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05D66C" w14:textId="77777777" w:rsidR="004F1A38" w:rsidRPr="00CF2985" w:rsidRDefault="00615E39" w:rsidP="00850142">
      <w:pPr>
        <w:spacing w:after="120"/>
        <w:contextualSpacing/>
        <w:rPr>
          <w:lang w:val="en-GB"/>
        </w:rPr>
      </w:pPr>
      <w:bookmarkStart w:id="0" w:name="_GoBack"/>
      <w:bookmarkEnd w:id="0"/>
      <w:r w:rsidRPr="00CF2985">
        <w:rPr>
          <w:rFonts w:ascii="Cambria" w:eastAsia="Cambria" w:hAnsi="Cambria" w:cs="Cambria"/>
          <w:b/>
          <w:sz w:val="28"/>
          <w:szCs w:val="28"/>
          <w:lang w:val="en-GB"/>
        </w:rPr>
        <w:t>The adoption of pottery by North-East European hunter-gatherers: evidence from lipid residue analysis</w:t>
      </w:r>
    </w:p>
    <w:p w14:paraId="20FFDF47" w14:textId="77777777" w:rsidR="00052081" w:rsidRPr="00CF2985" w:rsidRDefault="00052081" w:rsidP="00850142">
      <w:pPr>
        <w:spacing w:after="120"/>
        <w:contextualSpacing/>
        <w:rPr>
          <w:lang w:val="en-GB"/>
        </w:rPr>
      </w:pPr>
    </w:p>
    <w:p w14:paraId="13256BCE" w14:textId="77777777" w:rsidR="004F1A38" w:rsidRPr="00CF2985" w:rsidRDefault="00615E39" w:rsidP="00850142">
      <w:pPr>
        <w:spacing w:after="120" w:line="240" w:lineRule="auto"/>
        <w:contextualSpacing/>
        <w:rPr>
          <w:lang w:val="en-GB"/>
        </w:rPr>
      </w:pPr>
      <w:r w:rsidRPr="00CF2985">
        <w:rPr>
          <w:lang w:val="en-GB"/>
        </w:rPr>
        <w:t>Ester Oras</w:t>
      </w:r>
      <w:r w:rsidRPr="00CF2985">
        <w:rPr>
          <w:vertAlign w:val="superscript"/>
          <w:lang w:val="en-GB"/>
        </w:rPr>
        <w:t>a,e</w:t>
      </w:r>
      <w:r w:rsidR="00732255" w:rsidRPr="00CF2985">
        <w:rPr>
          <w:vertAlign w:val="superscript"/>
          <w:lang w:val="en-GB"/>
        </w:rPr>
        <w:t>*</w:t>
      </w:r>
      <w:r w:rsidRPr="00CF2985">
        <w:rPr>
          <w:lang w:val="en-GB"/>
        </w:rPr>
        <w:t>, Alexandre Lucquin</w:t>
      </w:r>
      <w:r w:rsidRPr="00CF2985">
        <w:rPr>
          <w:vertAlign w:val="superscript"/>
          <w:lang w:val="en-GB"/>
        </w:rPr>
        <w:t>b</w:t>
      </w:r>
      <w:r w:rsidRPr="00CF2985">
        <w:rPr>
          <w:lang w:val="en-GB"/>
        </w:rPr>
        <w:t>, Lembi Lõugas</w:t>
      </w:r>
      <w:r w:rsidRPr="00CF2985">
        <w:rPr>
          <w:vertAlign w:val="superscript"/>
          <w:lang w:val="en-GB"/>
        </w:rPr>
        <w:t>c</w:t>
      </w:r>
      <w:r w:rsidRPr="00CF2985">
        <w:rPr>
          <w:lang w:val="en-GB"/>
        </w:rPr>
        <w:t>, Mari Tõrv</w:t>
      </w:r>
      <w:r w:rsidRPr="00CF2985">
        <w:rPr>
          <w:vertAlign w:val="superscript"/>
          <w:lang w:val="en-GB"/>
        </w:rPr>
        <w:t>d</w:t>
      </w:r>
      <w:r w:rsidRPr="00CF2985">
        <w:rPr>
          <w:lang w:val="en-GB"/>
        </w:rPr>
        <w:t>, Aivar Kriiska</w:t>
      </w:r>
      <w:r w:rsidRPr="00CF2985">
        <w:rPr>
          <w:vertAlign w:val="superscript"/>
          <w:lang w:val="en-GB"/>
        </w:rPr>
        <w:t>e</w:t>
      </w:r>
      <w:r w:rsidRPr="00CF2985">
        <w:rPr>
          <w:lang w:val="en-GB"/>
        </w:rPr>
        <w:t>, Oliver E. Craig</w:t>
      </w:r>
      <w:r w:rsidRPr="00CF2985">
        <w:rPr>
          <w:vertAlign w:val="superscript"/>
          <w:lang w:val="en-GB"/>
        </w:rPr>
        <w:t>b</w:t>
      </w:r>
    </w:p>
    <w:p w14:paraId="1DA57C7A" w14:textId="77777777" w:rsidR="00850142" w:rsidRPr="00CF2985" w:rsidRDefault="00850142" w:rsidP="00850142">
      <w:pPr>
        <w:spacing w:after="120" w:line="240" w:lineRule="auto"/>
        <w:contextualSpacing/>
        <w:rPr>
          <w:lang w:val="en-GB"/>
        </w:rPr>
      </w:pPr>
    </w:p>
    <w:p w14:paraId="70A52876" w14:textId="77777777" w:rsidR="004F1A38" w:rsidRPr="00CF2985" w:rsidRDefault="00615E39" w:rsidP="00850142">
      <w:pPr>
        <w:spacing w:after="120" w:line="240" w:lineRule="auto"/>
        <w:contextualSpacing/>
        <w:rPr>
          <w:lang w:val="en-GB"/>
        </w:rPr>
      </w:pPr>
      <w:r w:rsidRPr="00CF2985">
        <w:rPr>
          <w:sz w:val="22"/>
          <w:szCs w:val="22"/>
          <w:highlight w:val="white"/>
          <w:vertAlign w:val="superscript"/>
          <w:lang w:val="en-GB"/>
        </w:rPr>
        <w:t xml:space="preserve">a </w:t>
      </w:r>
      <w:r w:rsidRPr="00CF2985">
        <w:rPr>
          <w:sz w:val="22"/>
          <w:szCs w:val="22"/>
          <w:highlight w:val="white"/>
          <w:lang w:val="en-GB"/>
        </w:rPr>
        <w:t>Institute of Chemistry, University of Tartu, Ravila 14A, 50411, Tartu, Estonia</w:t>
      </w:r>
    </w:p>
    <w:p w14:paraId="0B0E3666" w14:textId="77777777" w:rsidR="004F1A38" w:rsidRPr="00CF2985" w:rsidRDefault="00615E39" w:rsidP="00850142">
      <w:pPr>
        <w:spacing w:after="120" w:line="240" w:lineRule="auto"/>
        <w:contextualSpacing/>
        <w:rPr>
          <w:lang w:val="en-GB"/>
        </w:rPr>
      </w:pPr>
      <w:r w:rsidRPr="00CF2985">
        <w:rPr>
          <w:sz w:val="22"/>
          <w:szCs w:val="22"/>
          <w:highlight w:val="white"/>
          <w:vertAlign w:val="superscript"/>
          <w:lang w:val="en-GB"/>
        </w:rPr>
        <w:t xml:space="preserve">b </w:t>
      </w:r>
      <w:r w:rsidRPr="00CF2985">
        <w:rPr>
          <w:sz w:val="22"/>
          <w:szCs w:val="22"/>
          <w:highlight w:val="white"/>
          <w:lang w:val="en-GB"/>
        </w:rPr>
        <w:t>BioArCh, Department of Archaeology, University of York, Wentworth Way, Heslington, York, YO10 5NG, United Kingdom</w:t>
      </w:r>
    </w:p>
    <w:p w14:paraId="3B49A086" w14:textId="77777777" w:rsidR="004F1A38" w:rsidRPr="00CF2985" w:rsidRDefault="00615E39" w:rsidP="00850142">
      <w:pPr>
        <w:spacing w:after="120" w:line="240" w:lineRule="auto"/>
        <w:contextualSpacing/>
        <w:rPr>
          <w:lang w:val="en-GB"/>
        </w:rPr>
      </w:pPr>
      <w:r w:rsidRPr="00CF2985">
        <w:rPr>
          <w:sz w:val="22"/>
          <w:szCs w:val="22"/>
          <w:highlight w:val="white"/>
          <w:vertAlign w:val="superscript"/>
          <w:lang w:val="en-GB"/>
        </w:rPr>
        <w:t xml:space="preserve">c </w:t>
      </w:r>
      <w:r w:rsidRPr="00CF2985">
        <w:rPr>
          <w:sz w:val="22"/>
          <w:szCs w:val="22"/>
          <w:highlight w:val="white"/>
          <w:lang w:val="en-GB"/>
        </w:rPr>
        <w:t>Archaeological Research Collection, Tallinn University, Rüütli 10, 10130, Tallinn, Estonia</w:t>
      </w:r>
    </w:p>
    <w:p w14:paraId="12A01ABC" w14:textId="77777777" w:rsidR="004F1A38" w:rsidRPr="00CF2985" w:rsidRDefault="00615E39" w:rsidP="00850142">
      <w:pPr>
        <w:spacing w:after="120" w:line="240" w:lineRule="auto"/>
        <w:contextualSpacing/>
        <w:rPr>
          <w:lang w:val="en-GB"/>
        </w:rPr>
      </w:pPr>
      <w:r w:rsidRPr="00CF2985">
        <w:rPr>
          <w:sz w:val="22"/>
          <w:szCs w:val="22"/>
          <w:vertAlign w:val="superscript"/>
          <w:lang w:val="en-GB"/>
        </w:rPr>
        <w:t>d</w:t>
      </w:r>
      <w:r w:rsidRPr="00CF2985">
        <w:rPr>
          <w:sz w:val="22"/>
          <w:szCs w:val="22"/>
          <w:highlight w:val="white"/>
          <w:lang w:val="en-GB"/>
        </w:rPr>
        <w:t xml:space="preserve"> Independent researcher</w:t>
      </w:r>
    </w:p>
    <w:p w14:paraId="232E60E9" w14:textId="77777777" w:rsidR="004F1A38" w:rsidRPr="00CF2985" w:rsidRDefault="00615E39" w:rsidP="00850142">
      <w:pPr>
        <w:spacing w:after="120" w:line="240" w:lineRule="auto"/>
        <w:contextualSpacing/>
        <w:rPr>
          <w:sz w:val="22"/>
          <w:szCs w:val="22"/>
          <w:lang w:val="en-GB"/>
        </w:rPr>
      </w:pPr>
      <w:r w:rsidRPr="00CF2985">
        <w:rPr>
          <w:sz w:val="22"/>
          <w:szCs w:val="22"/>
          <w:highlight w:val="white"/>
          <w:vertAlign w:val="superscript"/>
          <w:lang w:val="en-GB"/>
        </w:rPr>
        <w:t xml:space="preserve">e </w:t>
      </w:r>
      <w:r w:rsidRPr="00CF2985">
        <w:rPr>
          <w:sz w:val="22"/>
          <w:szCs w:val="22"/>
          <w:highlight w:val="white"/>
          <w:lang w:val="en-GB"/>
        </w:rPr>
        <w:t>Institute of History and Archaeology, University of Tartu, Jakobi 2, 51014, Tartu, Estonia</w:t>
      </w:r>
    </w:p>
    <w:p w14:paraId="4548907A" w14:textId="77777777" w:rsidR="00732255" w:rsidRPr="00CF2985" w:rsidRDefault="00732255" w:rsidP="00850142">
      <w:pPr>
        <w:spacing w:after="120" w:line="240" w:lineRule="auto"/>
        <w:contextualSpacing/>
        <w:rPr>
          <w:lang w:val="en-GB"/>
        </w:rPr>
      </w:pPr>
    </w:p>
    <w:p w14:paraId="0BDB7D41" w14:textId="77777777" w:rsidR="00615E39" w:rsidRPr="00CF2985" w:rsidRDefault="00732255" w:rsidP="00850142">
      <w:pPr>
        <w:spacing w:after="120"/>
        <w:contextualSpacing/>
        <w:rPr>
          <w:lang w:val="en-GB"/>
        </w:rPr>
      </w:pPr>
      <w:r w:rsidRPr="00CF2985">
        <w:rPr>
          <w:vertAlign w:val="superscript"/>
          <w:lang w:val="en-GB"/>
        </w:rPr>
        <w:t xml:space="preserve">* </w:t>
      </w:r>
      <w:r w:rsidRPr="00CF2985">
        <w:rPr>
          <w:lang w:val="en-GB"/>
        </w:rPr>
        <w:t>Corresponding autor (</w:t>
      </w:r>
      <w:hyperlink r:id="rId8" w:history="1">
        <w:r w:rsidRPr="00CF2985">
          <w:rPr>
            <w:rStyle w:val="Hyperlink"/>
            <w:lang w:val="en-GB"/>
          </w:rPr>
          <w:t>ester.oras@ut.ee</w:t>
        </w:r>
      </w:hyperlink>
      <w:r w:rsidRPr="00CF2985">
        <w:rPr>
          <w:lang w:val="en-GB"/>
        </w:rPr>
        <w:t>)</w:t>
      </w:r>
    </w:p>
    <w:p w14:paraId="7E60CD6C" w14:textId="77777777" w:rsidR="00732255" w:rsidRPr="00CF2985" w:rsidRDefault="00732255" w:rsidP="00850142">
      <w:pPr>
        <w:spacing w:after="120"/>
        <w:contextualSpacing/>
        <w:rPr>
          <w:lang w:val="en-GB"/>
        </w:rPr>
      </w:pPr>
    </w:p>
    <w:p w14:paraId="62B5ABE2" w14:textId="77777777" w:rsidR="004F1A38" w:rsidRPr="00CF2985" w:rsidRDefault="00615E39" w:rsidP="00052081">
      <w:pPr>
        <w:pStyle w:val="Heading2"/>
        <w:contextualSpacing w:val="0"/>
        <w:rPr>
          <w:lang w:val="en-GB"/>
        </w:rPr>
      </w:pPr>
      <w:r w:rsidRPr="00CF2985">
        <w:rPr>
          <w:lang w:val="en-GB"/>
        </w:rPr>
        <w:t xml:space="preserve">Abstract </w:t>
      </w:r>
    </w:p>
    <w:p w14:paraId="6E8FDC7C" w14:textId="62C6C8FD" w:rsidR="004F1A38" w:rsidRPr="00CF2985" w:rsidRDefault="00615E39">
      <w:pPr>
        <w:rPr>
          <w:lang w:val="en-GB"/>
        </w:rPr>
      </w:pPr>
      <w:r w:rsidRPr="00CF2985">
        <w:rPr>
          <w:lang w:val="en-GB"/>
        </w:rPr>
        <w:t>Pottery was adopted by hunter-gatherers in the Eastern Baltic at the end of the 6th millennium cal BC. To examine the motivations for this cultural and technological shift, here we report the organic residue analysis of ceramic vessels from the earliest pottery horizon (Narva) in this region. A combined approach using GC-MS, GC-C-IRMS and bulk IRMS of residue</w:t>
      </w:r>
      <w:r w:rsidR="007362BB" w:rsidRPr="00CF2985">
        <w:rPr>
          <w:lang w:val="en-GB"/>
        </w:rPr>
        <w:t>s</w:t>
      </w:r>
      <w:r w:rsidRPr="00CF2985">
        <w:rPr>
          <w:lang w:val="en-GB"/>
        </w:rPr>
        <w:t xml:space="preserve"> absorbed into the ceramic and charred surface deposits was employed. The results show that despite variable preservation, Narva ceramic vessels were preferentially used for processing aquatic products. We </w:t>
      </w:r>
      <w:r w:rsidR="00B90C0A" w:rsidRPr="00CF2985">
        <w:rPr>
          <w:lang w:val="en-GB"/>
        </w:rPr>
        <w:t xml:space="preserve">argue </w:t>
      </w:r>
      <w:r w:rsidRPr="00CF2985">
        <w:rPr>
          <w:lang w:val="en-GB"/>
        </w:rPr>
        <w:t xml:space="preserve">that pottery was part of a new </w:t>
      </w:r>
      <w:r w:rsidR="00B90C0A" w:rsidRPr="00CF2985">
        <w:rPr>
          <w:lang w:val="en-GB"/>
        </w:rPr>
        <w:t xml:space="preserve">Late Mesolithic </w:t>
      </w:r>
      <w:r w:rsidRPr="00CF2985">
        <w:rPr>
          <w:lang w:val="en-GB"/>
        </w:rPr>
        <w:t xml:space="preserve">subsistence strategy </w:t>
      </w:r>
      <w:r w:rsidR="00B90C0A" w:rsidRPr="00CF2985">
        <w:rPr>
          <w:lang w:val="en-GB"/>
        </w:rPr>
        <w:t>which included</w:t>
      </w:r>
      <w:r w:rsidRPr="00CF2985">
        <w:rPr>
          <w:lang w:val="en-GB"/>
        </w:rPr>
        <w:t xml:space="preserve"> </w:t>
      </w:r>
      <w:r w:rsidR="00B90C0A" w:rsidRPr="00CF2985">
        <w:rPr>
          <w:lang w:val="en-GB"/>
        </w:rPr>
        <w:t xml:space="preserve">more </w:t>
      </w:r>
      <w:r w:rsidRPr="00CF2985">
        <w:rPr>
          <w:lang w:val="en-GB"/>
        </w:rPr>
        <w:t xml:space="preserve">intensive exploitation of aquatic foods </w:t>
      </w:r>
      <w:r w:rsidR="00B90C0A" w:rsidRPr="00CF2985">
        <w:rPr>
          <w:lang w:val="en-GB"/>
        </w:rPr>
        <w:t xml:space="preserve">and </w:t>
      </w:r>
      <w:r w:rsidRPr="00CF2985">
        <w:rPr>
          <w:lang w:val="en-GB"/>
        </w:rPr>
        <w:t>may have had important implications, such as increased sedentism and population growth.</w:t>
      </w:r>
    </w:p>
    <w:p w14:paraId="200A63A8" w14:textId="77777777" w:rsidR="00732255" w:rsidRPr="00CF2985" w:rsidRDefault="00732255">
      <w:pPr>
        <w:rPr>
          <w:b/>
          <w:lang w:val="en-GB"/>
        </w:rPr>
      </w:pPr>
    </w:p>
    <w:p w14:paraId="499DD901" w14:textId="77777777" w:rsidR="004F1A38" w:rsidRPr="00CF2985" w:rsidRDefault="00615E39">
      <w:pPr>
        <w:rPr>
          <w:lang w:val="en-GB"/>
        </w:rPr>
      </w:pPr>
      <w:r w:rsidRPr="00CF2985">
        <w:rPr>
          <w:b/>
          <w:lang w:val="en-GB"/>
        </w:rPr>
        <w:t xml:space="preserve">Keywords: </w:t>
      </w:r>
      <w:r w:rsidRPr="00CF2985">
        <w:rPr>
          <w:lang w:val="en-GB"/>
        </w:rPr>
        <w:t>lipid residue analysis, early pottery use, aquatic resources, Mesolithic, Neolithic, Eastern Baltic</w:t>
      </w:r>
      <w:bookmarkStart w:id="1" w:name="h.gjdgxs" w:colFirst="0" w:colLast="0"/>
      <w:bookmarkEnd w:id="1"/>
    </w:p>
    <w:p w14:paraId="479AE550" w14:textId="77777777" w:rsidR="00615E39" w:rsidRPr="00CF2985" w:rsidRDefault="00615E39">
      <w:pPr>
        <w:rPr>
          <w:lang w:val="en-GB"/>
        </w:rPr>
      </w:pPr>
    </w:p>
    <w:p w14:paraId="1C5C01C3" w14:textId="77777777" w:rsidR="00732255" w:rsidRPr="00CF2985" w:rsidRDefault="00732255">
      <w:pPr>
        <w:rPr>
          <w:lang w:val="en-GB"/>
        </w:rPr>
      </w:pPr>
    </w:p>
    <w:p w14:paraId="10BC4533" w14:textId="77777777" w:rsidR="004F1A38" w:rsidRPr="00CF2985" w:rsidRDefault="00615E39" w:rsidP="00DF1416">
      <w:pPr>
        <w:pStyle w:val="Heading2"/>
        <w:numPr>
          <w:ilvl w:val="0"/>
          <w:numId w:val="1"/>
        </w:numPr>
        <w:ind w:left="284" w:hanging="284"/>
        <w:rPr>
          <w:lang w:val="en-GB"/>
        </w:rPr>
      </w:pPr>
      <w:bookmarkStart w:id="2" w:name="h.ff8nw6ij743l" w:colFirst="0" w:colLast="0"/>
      <w:bookmarkEnd w:id="2"/>
      <w:r w:rsidRPr="00CF2985">
        <w:rPr>
          <w:lang w:val="en-GB"/>
        </w:rPr>
        <w:t xml:space="preserve">Introduction </w:t>
      </w:r>
      <w:r w:rsidRPr="00CF2985">
        <w:rPr>
          <w:lang w:val="en-GB"/>
        </w:rPr>
        <w:br/>
      </w:r>
    </w:p>
    <w:p w14:paraId="21B76136" w14:textId="3A045F10" w:rsidR="004F1A38" w:rsidRPr="00CF2985" w:rsidRDefault="00615E39">
      <w:pPr>
        <w:rPr>
          <w:lang w:val="en-GB"/>
        </w:rPr>
      </w:pPr>
      <w:r w:rsidRPr="00CF2985">
        <w:rPr>
          <w:lang w:val="en-GB"/>
        </w:rPr>
        <w:t xml:space="preserve">The arrival of pottery marks a clear archaeological horizon in the Northern Eurasian prehistoric sequence, and is often synonymous with the period known as the Neolithic, despite predating agriculture by several thousand years. In the Eastern Baltic this transition occurred during the late 6th </w:t>
      </w:r>
      <w:r w:rsidR="006D520F" w:rsidRPr="00CF2985">
        <w:rPr>
          <w:lang w:val="en-GB"/>
        </w:rPr>
        <w:t>m</w:t>
      </w:r>
      <w:r w:rsidRPr="00CF2985">
        <w:rPr>
          <w:lang w:val="en-GB"/>
        </w:rPr>
        <w:t xml:space="preserve">illennium </w:t>
      </w:r>
      <w:r w:rsidR="006D520F" w:rsidRPr="00CF2985">
        <w:rPr>
          <w:lang w:val="en-GB"/>
        </w:rPr>
        <w:t xml:space="preserve">cal </w:t>
      </w:r>
      <w:r w:rsidRPr="00CF2985">
        <w:rPr>
          <w:lang w:val="en-GB"/>
        </w:rPr>
        <w:t xml:space="preserve">BC, and may have been part </w:t>
      </w:r>
      <w:r w:rsidR="00C342F7" w:rsidRPr="00CF2985">
        <w:rPr>
          <w:lang w:val="en-GB"/>
        </w:rPr>
        <w:t xml:space="preserve">of an </w:t>
      </w:r>
      <w:r w:rsidRPr="00CF2985">
        <w:rPr>
          <w:lang w:val="en-GB"/>
        </w:rPr>
        <w:t xml:space="preserve">east-west expansion of pottery technology from the Eurasian steppe </w:t>
      </w:r>
      <w:hyperlink r:id="rId9">
        <w:r w:rsidRPr="00CF2985">
          <w:rPr>
            <w:lang w:val="en-GB"/>
          </w:rPr>
          <w:t>(Dolukhanov et al., 2005</w:t>
        </w:r>
        <w:r w:rsidR="006D520F" w:rsidRPr="00CF2985">
          <w:rPr>
            <w:lang w:val="en-GB"/>
          </w:rPr>
          <w:t>;</w:t>
        </w:r>
        <w:r w:rsidRPr="00CF2985">
          <w:rPr>
            <w:lang w:val="en-GB"/>
          </w:rPr>
          <w:t xml:space="preserve"> Piezonka</w:t>
        </w:r>
        <w:r w:rsidR="006D520F" w:rsidRPr="00CF2985">
          <w:rPr>
            <w:lang w:val="en-GB"/>
          </w:rPr>
          <w:t>,</w:t>
        </w:r>
        <w:r w:rsidRPr="00CF2985">
          <w:rPr>
            <w:lang w:val="en-GB"/>
          </w:rPr>
          <w:t xml:space="preserve"> 2015)</w:t>
        </w:r>
      </w:hyperlink>
      <w:r w:rsidRPr="00CF2985">
        <w:rPr>
          <w:lang w:val="en-GB"/>
        </w:rPr>
        <w:t xml:space="preserve"> and even further east from the Palaeolithic ceramic cultures of Eastern Russia and Japan </w:t>
      </w:r>
      <w:hyperlink r:id="rId10">
        <w:r w:rsidRPr="00CF2985">
          <w:rPr>
            <w:lang w:val="en-GB"/>
          </w:rPr>
          <w:t>(Gibbs, 2015; Gibbs and Jordan, 2013; Silva et al., 2014)</w:t>
        </w:r>
      </w:hyperlink>
      <w:r w:rsidRPr="00CF2985">
        <w:rPr>
          <w:lang w:val="en-GB"/>
        </w:rPr>
        <w:t>. It has been proposed that pottery containers were part of a pre-farming</w:t>
      </w:r>
      <w:r w:rsidRPr="00CF2985">
        <w:rPr>
          <w:highlight w:val="white"/>
          <w:lang w:val="en-GB"/>
        </w:rPr>
        <w:t xml:space="preserve"> package of technological innovations that led to more intensive food procurement, increased sedentism, higher population densities and the development of new exchange networks (Jordan and Zvelebil, 2009; Nordqvist and Kriiska, 2015). </w:t>
      </w:r>
      <w:r w:rsidR="009B36B2" w:rsidRPr="002F4F0E">
        <w:rPr>
          <w:color w:val="auto"/>
          <w:lang w:val="en-GB"/>
        </w:rPr>
        <w:t xml:space="preserve">In this sense, </w:t>
      </w:r>
      <w:r w:rsidR="009B36B2" w:rsidRPr="002F4F0E">
        <w:rPr>
          <w:color w:val="auto"/>
          <w:lang w:val="en-GB"/>
        </w:rPr>
        <w:lastRenderedPageBreak/>
        <w:t>pottery may have been as important as the agriculture in guiding Europe's subsequent cultural trajectory</w:t>
      </w:r>
      <w:r w:rsidRPr="00CF2985">
        <w:rPr>
          <w:highlight w:val="white"/>
          <w:lang w:val="en-GB"/>
        </w:rPr>
        <w:t xml:space="preserve">. The appearance of pottery certainly correlates with the flourishing of a broad range of late foragers across the Baltic in the 5th millennium </w:t>
      </w:r>
      <w:r w:rsidR="006D520F" w:rsidRPr="00CF2985">
        <w:rPr>
          <w:highlight w:val="white"/>
          <w:lang w:val="en-GB"/>
        </w:rPr>
        <w:t xml:space="preserve">cal </w:t>
      </w:r>
      <w:r w:rsidRPr="00CF2985">
        <w:rPr>
          <w:highlight w:val="white"/>
          <w:lang w:val="en-GB"/>
        </w:rPr>
        <w:t xml:space="preserve">BC, which also corresponds to the Holocene Thermal Maximum (e.g. Seppä </w:t>
      </w:r>
      <w:r w:rsidR="00850142" w:rsidRPr="00CF2985">
        <w:rPr>
          <w:highlight w:val="white"/>
          <w:lang w:val="en-GB"/>
        </w:rPr>
        <w:t xml:space="preserve">et al., 2009). </w:t>
      </w:r>
      <w:r w:rsidRPr="00CF2985">
        <w:rPr>
          <w:lang w:val="en-GB"/>
        </w:rPr>
        <w:t>However</w:t>
      </w:r>
      <w:r w:rsidR="00850142" w:rsidRPr="00CF2985">
        <w:rPr>
          <w:lang w:val="en-GB"/>
        </w:rPr>
        <w:t>,</w:t>
      </w:r>
      <w:r w:rsidRPr="00CF2985">
        <w:rPr>
          <w:lang w:val="en-GB"/>
        </w:rPr>
        <w:t xml:space="preserve"> the motivations for the introduction of pottery at this juncture in Baltic prehistory remain unclear. Indeed, in the Eastern Baltic, there seems to be little evidence for dramatic changes in the subsistence economies or settlement patterns following the first appearance of ceramic vessels (Kriiska et al., forthcoming) and an alternative hypothesis is that pottery made a rather ‘silent’ impact despite their visibility in the archaeological record. Instead of transforming prehistoric societies and economies, pottery may have merely represented a small step in container evolution fulfilling niches already occupied by perishable containers. </w:t>
      </w:r>
    </w:p>
    <w:p w14:paraId="13192A7D" w14:textId="77777777" w:rsidR="004F1A38" w:rsidRPr="00CF2985" w:rsidRDefault="004F1A38">
      <w:pPr>
        <w:rPr>
          <w:lang w:val="en-GB"/>
        </w:rPr>
      </w:pPr>
    </w:p>
    <w:p w14:paraId="477FB708" w14:textId="7DC6DB63" w:rsidR="004F1A38" w:rsidRPr="00CF2985" w:rsidRDefault="00615E39">
      <w:pPr>
        <w:rPr>
          <w:lang w:val="en-GB"/>
        </w:rPr>
      </w:pPr>
      <w:r w:rsidRPr="00CF2985">
        <w:rPr>
          <w:lang w:val="en-GB"/>
        </w:rPr>
        <w:t xml:space="preserve">To clarify their role and potential impact on the local economy, here we provide the first evidence of the use of pottery belonging to the earliest ceramic phases of the Eastern Baltic using lipid residue analysis. This approach involves the chemical and isotopic characterisation of lipids that become deposited within ceramic or charred surface deposits during their use (Evershed et al., 2001; Evershed, 2008; Craig et al., 2004; 2012). Lipid residue analysis has been applied to study pottery use by East Asian foragers </w:t>
      </w:r>
      <w:hyperlink r:id="rId11">
        <w:r w:rsidRPr="00CF2985">
          <w:rPr>
            <w:lang w:val="en-GB"/>
          </w:rPr>
          <w:t>(Craig et al., 2013; Lucquin et al., 2016)</w:t>
        </w:r>
      </w:hyperlink>
      <w:r w:rsidRPr="00CF2985">
        <w:rPr>
          <w:lang w:val="en-GB"/>
        </w:rPr>
        <w:t xml:space="preserve"> and by early farmers in Europe and the Near East </w:t>
      </w:r>
      <w:hyperlink r:id="rId12">
        <w:r w:rsidRPr="00CF2985">
          <w:rPr>
            <w:lang w:val="en-GB"/>
          </w:rPr>
          <w:t>(Copley et al., 2002; Cramp et al., 2014; Evershed et al., 2008b)</w:t>
        </w:r>
      </w:hyperlink>
      <w:r w:rsidRPr="00CF2985">
        <w:rPr>
          <w:lang w:val="en-GB"/>
        </w:rPr>
        <w:t>. However, far less attention has been given to the uptake and use of pottery by European foragers</w:t>
      </w:r>
      <w:r w:rsidR="00C342F7" w:rsidRPr="00CF2985">
        <w:rPr>
          <w:lang w:val="en-GB"/>
        </w:rPr>
        <w:t>, although there has been some work on the western Baltic</w:t>
      </w:r>
      <w:r w:rsidR="00B90C0A" w:rsidRPr="00CF2985">
        <w:rPr>
          <w:lang w:val="en-GB"/>
        </w:rPr>
        <w:t xml:space="preserve"> ceramic hunter-gatherers</w:t>
      </w:r>
      <w:r w:rsidR="00C342F7" w:rsidRPr="00CF2985">
        <w:rPr>
          <w:lang w:val="en-GB"/>
        </w:rPr>
        <w:t xml:space="preserve"> (Papmehl-Dufay 2006; Isaksson, 2009</w:t>
      </w:r>
      <w:r w:rsidR="004D4616">
        <w:rPr>
          <w:lang w:val="en-GB"/>
        </w:rPr>
        <w:t>; Craig et al., 2011</w:t>
      </w:r>
      <w:r w:rsidR="00C342F7" w:rsidRPr="00CF2985">
        <w:rPr>
          <w:lang w:val="en-GB"/>
        </w:rPr>
        <w:t>)</w:t>
      </w:r>
      <w:r w:rsidRPr="00CF2985">
        <w:rPr>
          <w:lang w:val="en-GB"/>
        </w:rPr>
        <w:t>.</w:t>
      </w:r>
    </w:p>
    <w:p w14:paraId="099D7B89" w14:textId="77777777" w:rsidR="004F1A38" w:rsidRPr="00CF2985" w:rsidRDefault="004F1A38">
      <w:pPr>
        <w:rPr>
          <w:lang w:val="en-GB"/>
        </w:rPr>
      </w:pPr>
    </w:p>
    <w:p w14:paraId="7998F123" w14:textId="1B566F9F" w:rsidR="004F1A38" w:rsidRPr="00CF2985" w:rsidRDefault="00615E39">
      <w:pPr>
        <w:rPr>
          <w:lang w:val="en-GB"/>
        </w:rPr>
      </w:pPr>
      <w:r w:rsidRPr="00CF2985">
        <w:rPr>
          <w:lang w:val="en-GB"/>
        </w:rPr>
        <w:t>Our study focuses on the Narva culture of Estonia dating from the late 6th to the 5th millennium cal BC (Piezonka, 2012; 2015; Kriiska et al., forthcoming), perhaps the best known example of pottery using forage</w:t>
      </w:r>
      <w:r w:rsidR="005D4DDE" w:rsidRPr="00CF2985">
        <w:rPr>
          <w:lang w:val="en-GB"/>
        </w:rPr>
        <w:t>rs in the Eastern Baltic. Narva-</w:t>
      </w:r>
      <w:r w:rsidRPr="00CF2985">
        <w:rPr>
          <w:lang w:val="en-GB"/>
        </w:rPr>
        <w:t xml:space="preserve">type ceramics include several different forms, from pointed-base vessels and shallow oblong bowls and represent the earliest pottery complex of this region. They are characterised by striated </w:t>
      </w:r>
      <w:r w:rsidR="00D93907">
        <w:rPr>
          <w:lang w:val="en-GB"/>
        </w:rPr>
        <w:t xml:space="preserve">or smoothed </w:t>
      </w:r>
      <w:r w:rsidRPr="00CF2985">
        <w:rPr>
          <w:lang w:val="en-GB"/>
        </w:rPr>
        <w:t>surfaces, but sometimes also decorated with pits, notches, grooves and comb impressions (Fig. 1). This pottery type is distributed across a range of hunter-gatherer societies throughout the Baltic countries, North-West Russia and Belorussia. Although, the technological aspects of Narva vessels have been well studied (e.g. Kriiska</w:t>
      </w:r>
      <w:r w:rsidR="006D520F" w:rsidRPr="00CF2985">
        <w:rPr>
          <w:lang w:val="en-GB"/>
        </w:rPr>
        <w:t>,</w:t>
      </w:r>
      <w:r w:rsidRPr="00CF2985">
        <w:rPr>
          <w:lang w:val="en-GB"/>
        </w:rPr>
        <w:t xml:space="preserve"> 1996; Mikšaitė, 2005), direct chemical evidence of their use is currently missing. </w:t>
      </w:r>
    </w:p>
    <w:p w14:paraId="7B67B8A8" w14:textId="77777777" w:rsidR="004F1A38" w:rsidRPr="00CF2985" w:rsidRDefault="004F1A38">
      <w:pPr>
        <w:rPr>
          <w:lang w:val="en-GB"/>
        </w:rPr>
      </w:pPr>
    </w:p>
    <w:p w14:paraId="5524096E" w14:textId="77777777" w:rsidR="004F1A38" w:rsidRPr="00CF2985" w:rsidRDefault="00615E39">
      <w:pPr>
        <w:rPr>
          <w:lang w:val="en-GB"/>
        </w:rPr>
      </w:pPr>
      <w:r w:rsidRPr="00CF2985">
        <w:rPr>
          <w:noProof/>
          <w:lang w:val="en-GB" w:eastAsia="en-GB"/>
        </w:rPr>
        <w:lastRenderedPageBreak/>
        <w:drawing>
          <wp:inline distT="0" distB="0" distL="0" distR="0" wp14:anchorId="51D9505F" wp14:editId="18ED34BD">
            <wp:extent cx="2035534" cy="2107096"/>
            <wp:effectExtent l="0" t="0" r="3175" b="7620"/>
            <wp:docPr id="3" name="image06.png" descr="Z:\VAHEPEATUS\Narva_artikkel_Aivariga\Narva_Artikkel_Aivariga_VANA\Figs_for_Article\Fig. 3.tif"/>
            <wp:cNvGraphicFramePr/>
            <a:graphic xmlns:a="http://schemas.openxmlformats.org/drawingml/2006/main">
              <a:graphicData uri="http://schemas.openxmlformats.org/drawingml/2006/picture">
                <pic:pic xmlns:pic="http://schemas.openxmlformats.org/drawingml/2006/picture">
                  <pic:nvPicPr>
                    <pic:cNvPr id="0" name="image06.png" descr="Z:\VAHEPEATUS\Narva_artikkel_Aivariga\Narva_Artikkel_Aivariga_VANA\Figs_for_Article\Fig. 3.tif"/>
                    <pic:cNvPicPr preferRelativeResize="0"/>
                  </pic:nvPicPr>
                  <pic:blipFill>
                    <a:blip r:embed="rId13"/>
                    <a:srcRect/>
                    <a:stretch>
                      <a:fillRect/>
                    </a:stretch>
                  </pic:blipFill>
                  <pic:spPr>
                    <a:xfrm>
                      <a:off x="0" y="0"/>
                      <a:ext cx="2035535" cy="2107097"/>
                    </a:xfrm>
                    <a:prstGeom prst="rect">
                      <a:avLst/>
                    </a:prstGeom>
                    <a:ln/>
                  </pic:spPr>
                </pic:pic>
              </a:graphicData>
            </a:graphic>
          </wp:inline>
        </w:drawing>
      </w:r>
    </w:p>
    <w:p w14:paraId="628A994D" w14:textId="1FA3726B" w:rsidR="004F1A38" w:rsidRPr="00CF2985" w:rsidRDefault="00615E39">
      <w:pPr>
        <w:rPr>
          <w:sz w:val="22"/>
          <w:szCs w:val="22"/>
          <w:lang w:val="en-GB"/>
        </w:rPr>
      </w:pPr>
      <w:r w:rsidRPr="00CF2985">
        <w:rPr>
          <w:b/>
          <w:sz w:val="22"/>
          <w:szCs w:val="22"/>
          <w:lang w:val="en-GB"/>
        </w:rPr>
        <w:t>Fig. 1. Examples of Narva</w:t>
      </w:r>
      <w:r w:rsidR="005D4DDE" w:rsidRPr="00CF2985">
        <w:rPr>
          <w:b/>
          <w:sz w:val="22"/>
          <w:szCs w:val="22"/>
          <w:lang w:val="en-GB"/>
        </w:rPr>
        <w:t>-type vessels</w:t>
      </w:r>
      <w:r w:rsidRPr="00CF2985">
        <w:rPr>
          <w:b/>
          <w:sz w:val="22"/>
          <w:szCs w:val="22"/>
          <w:lang w:val="en-GB"/>
        </w:rPr>
        <w:t xml:space="preserve"> from Estonia. </w:t>
      </w:r>
      <w:r w:rsidRPr="00CF2985">
        <w:rPr>
          <w:sz w:val="22"/>
          <w:szCs w:val="22"/>
          <w:lang w:val="en-GB"/>
        </w:rPr>
        <w:t xml:space="preserve">Reconstruction of the Narva-type pot and </w:t>
      </w:r>
      <w:r w:rsidR="0049401C">
        <w:rPr>
          <w:sz w:val="22"/>
          <w:szCs w:val="22"/>
          <w:lang w:val="en-GB"/>
        </w:rPr>
        <w:t>shallow oblong</w:t>
      </w:r>
      <w:r w:rsidR="0049401C" w:rsidRPr="00CF2985">
        <w:rPr>
          <w:sz w:val="22"/>
          <w:szCs w:val="22"/>
          <w:lang w:val="en-GB"/>
        </w:rPr>
        <w:t xml:space="preserve"> </w:t>
      </w:r>
      <w:r w:rsidRPr="00CF2985">
        <w:rPr>
          <w:sz w:val="22"/>
          <w:szCs w:val="22"/>
          <w:lang w:val="en-GB"/>
        </w:rPr>
        <w:t>bowl from Kääpa. Drawing by Diana Selli and photo by Kriiska et al., 1999.</w:t>
      </w:r>
    </w:p>
    <w:p w14:paraId="7A27FEBA" w14:textId="77777777" w:rsidR="00732255" w:rsidRPr="00CF2985" w:rsidRDefault="00732255">
      <w:pPr>
        <w:pStyle w:val="Heading2"/>
        <w:contextualSpacing w:val="0"/>
        <w:rPr>
          <w:lang w:val="en-GB"/>
        </w:rPr>
      </w:pPr>
      <w:bookmarkStart w:id="3" w:name="h.7dutnd56b28v" w:colFirst="0" w:colLast="0"/>
      <w:bookmarkEnd w:id="3"/>
    </w:p>
    <w:p w14:paraId="6B642B04" w14:textId="77777777" w:rsidR="004F1A38" w:rsidRPr="00CF2985" w:rsidRDefault="00615E39">
      <w:pPr>
        <w:pStyle w:val="Heading2"/>
        <w:contextualSpacing w:val="0"/>
        <w:rPr>
          <w:lang w:val="en-GB"/>
        </w:rPr>
      </w:pPr>
      <w:r w:rsidRPr="00CF2985">
        <w:rPr>
          <w:lang w:val="en-GB"/>
        </w:rPr>
        <w:t xml:space="preserve">2. Material and methods </w:t>
      </w:r>
    </w:p>
    <w:p w14:paraId="7CD3259F" w14:textId="77777777" w:rsidR="004F1A38" w:rsidRPr="00CF2985" w:rsidRDefault="00615E39" w:rsidP="00DF1416">
      <w:pPr>
        <w:pStyle w:val="Heading3"/>
        <w:contextualSpacing w:val="0"/>
        <w:rPr>
          <w:rFonts w:ascii="Times New Roman" w:hAnsi="Times New Roman" w:cs="Times New Roman"/>
          <w:lang w:val="en-GB"/>
        </w:rPr>
      </w:pPr>
      <w:bookmarkStart w:id="4" w:name="h.gvey0ct8qby1" w:colFirst="0" w:colLast="0"/>
      <w:bookmarkEnd w:id="4"/>
      <w:r w:rsidRPr="00CF2985">
        <w:rPr>
          <w:rFonts w:ascii="Times New Roman" w:hAnsi="Times New Roman" w:cs="Times New Roman"/>
          <w:lang w:val="en-GB"/>
        </w:rPr>
        <w:t>2.1. Narva pottery and sites analysed</w:t>
      </w:r>
    </w:p>
    <w:p w14:paraId="4B5737A0" w14:textId="593F3490" w:rsidR="004F1A38" w:rsidRPr="00CF2985" w:rsidRDefault="00615E39">
      <w:pPr>
        <w:rPr>
          <w:lang w:val="en-GB"/>
        </w:rPr>
      </w:pPr>
      <w:r w:rsidRPr="00CF2985">
        <w:rPr>
          <w:lang w:val="en-GB"/>
        </w:rPr>
        <w:t xml:space="preserve">In Estonia, there are around 30 </w:t>
      </w:r>
      <w:r w:rsidR="00B90C0A" w:rsidRPr="00CF2985">
        <w:rPr>
          <w:lang w:val="en-GB"/>
        </w:rPr>
        <w:t xml:space="preserve">known </w:t>
      </w:r>
      <w:r w:rsidRPr="00CF2985">
        <w:rPr>
          <w:lang w:val="en-GB"/>
        </w:rPr>
        <w:t>Narva settlements, including the type site Narva Joaorg, and four Narva burial sites. Settlements cover coastal, island, lagoon and inland areas, and include both short-term seasonal camps and long-term habitation sites. Here we targeted a wide selection of sites from different environmental and habitational contexts. The multi-site comparative approach was chosen to determine whether the earliest pottery in this region had a common use or whether use varied by site type and environmental conditions. The dates from Narva stage sites in Estonia range from 5200–3900 cal BC with directly dated Narva sherds from 4850–4710 cal BC and 4590–4440 cal BC (Kriiska et al., forthcoming). The latter were also included in current analysis. In total 100 samples from 65 sherds and 12 different Narva sites all over Estonia (Fig. 2; Table 1) were analysed.</w:t>
      </w:r>
    </w:p>
    <w:p w14:paraId="6BFDE07F" w14:textId="77777777" w:rsidR="004F1A38" w:rsidRPr="00CF2985" w:rsidRDefault="004F1A38">
      <w:pPr>
        <w:spacing w:line="240" w:lineRule="auto"/>
        <w:ind w:right="-60"/>
        <w:rPr>
          <w:lang w:val="en-GB"/>
        </w:rPr>
      </w:pPr>
    </w:p>
    <w:p w14:paraId="059A4D25" w14:textId="77777777" w:rsidR="004F1A38" w:rsidRPr="00CF2985" w:rsidRDefault="00615E39">
      <w:pPr>
        <w:spacing w:line="240" w:lineRule="auto"/>
        <w:ind w:right="-60"/>
        <w:rPr>
          <w:lang w:val="en-GB"/>
        </w:rPr>
      </w:pPr>
      <w:r w:rsidRPr="00CF2985">
        <w:rPr>
          <w:b/>
          <w:sz w:val="22"/>
          <w:szCs w:val="22"/>
          <w:lang w:val="en-GB"/>
        </w:rPr>
        <w:t xml:space="preserve">Table 1. Samples and results of residue analysis. </w:t>
      </w:r>
    </w:p>
    <w:tbl>
      <w:tblPr>
        <w:tblStyle w:val="a"/>
        <w:tblW w:w="10380" w:type="dxa"/>
        <w:tblInd w:w="-892" w:type="dxa"/>
        <w:tblLayout w:type="fixed"/>
        <w:tblLook w:val="0400" w:firstRow="0" w:lastRow="0" w:firstColumn="0" w:lastColumn="0" w:noHBand="0" w:noVBand="1"/>
      </w:tblPr>
      <w:tblGrid>
        <w:gridCol w:w="1149"/>
        <w:gridCol w:w="996"/>
        <w:gridCol w:w="705"/>
        <w:gridCol w:w="992"/>
        <w:gridCol w:w="1134"/>
        <w:gridCol w:w="1134"/>
        <w:gridCol w:w="993"/>
        <w:gridCol w:w="1275"/>
        <w:gridCol w:w="877"/>
        <w:gridCol w:w="1125"/>
      </w:tblGrid>
      <w:tr w:rsidR="004F1A38" w:rsidRPr="00CF2985" w14:paraId="2658BEA1" w14:textId="77777777" w:rsidTr="00645261">
        <w:trPr>
          <w:trHeight w:val="1060"/>
          <w:tblHeader/>
        </w:trPr>
        <w:tc>
          <w:tcPr>
            <w:tcW w:w="1149" w:type="dxa"/>
            <w:tcBorders>
              <w:top w:val="single" w:sz="4" w:space="0" w:color="000000"/>
              <w:left w:val="single" w:sz="4" w:space="0" w:color="000000"/>
              <w:bottom w:val="single" w:sz="4" w:space="0" w:color="000000"/>
              <w:right w:val="single" w:sz="4" w:space="0" w:color="000000"/>
            </w:tcBorders>
          </w:tcPr>
          <w:p w14:paraId="0B8E323A" w14:textId="77777777" w:rsidR="004F1A38" w:rsidRPr="00CF2985" w:rsidRDefault="00615E39" w:rsidP="00645261">
            <w:pPr>
              <w:spacing w:line="240" w:lineRule="auto"/>
              <w:jc w:val="center"/>
              <w:rPr>
                <w:lang w:val="en-GB"/>
              </w:rPr>
            </w:pPr>
            <w:r w:rsidRPr="00CF2985">
              <w:rPr>
                <w:b/>
                <w:sz w:val="16"/>
                <w:szCs w:val="16"/>
                <w:lang w:val="en-GB"/>
              </w:rPr>
              <w:t>Site</w:t>
            </w:r>
          </w:p>
        </w:tc>
        <w:tc>
          <w:tcPr>
            <w:tcW w:w="996" w:type="dxa"/>
            <w:tcBorders>
              <w:top w:val="single" w:sz="4" w:space="0" w:color="000000"/>
              <w:left w:val="nil"/>
              <w:bottom w:val="single" w:sz="4" w:space="0" w:color="000000"/>
              <w:right w:val="single" w:sz="4" w:space="0" w:color="000000"/>
            </w:tcBorders>
          </w:tcPr>
          <w:p w14:paraId="69298DDF" w14:textId="77777777" w:rsidR="004F1A38" w:rsidRPr="00CF2985" w:rsidRDefault="00615E39" w:rsidP="00645261">
            <w:pPr>
              <w:spacing w:line="240" w:lineRule="auto"/>
              <w:jc w:val="center"/>
              <w:rPr>
                <w:lang w:val="en-GB"/>
              </w:rPr>
            </w:pPr>
            <w:r w:rsidRPr="00CF2985">
              <w:rPr>
                <w:b/>
                <w:sz w:val="16"/>
                <w:szCs w:val="16"/>
                <w:lang w:val="en-GB"/>
              </w:rPr>
              <w:t>Location</w:t>
            </w:r>
          </w:p>
        </w:tc>
        <w:tc>
          <w:tcPr>
            <w:tcW w:w="705" w:type="dxa"/>
            <w:tcBorders>
              <w:top w:val="single" w:sz="4" w:space="0" w:color="000000"/>
              <w:left w:val="nil"/>
              <w:bottom w:val="single" w:sz="4" w:space="0" w:color="000000"/>
              <w:right w:val="single" w:sz="4" w:space="0" w:color="000000"/>
            </w:tcBorders>
          </w:tcPr>
          <w:p w14:paraId="7A3483B1" w14:textId="77777777" w:rsidR="004F1A38" w:rsidRPr="00CF2985" w:rsidRDefault="00615E39" w:rsidP="00645261">
            <w:pPr>
              <w:spacing w:line="240" w:lineRule="auto"/>
              <w:jc w:val="center"/>
              <w:rPr>
                <w:lang w:val="en-GB"/>
              </w:rPr>
            </w:pPr>
            <w:r w:rsidRPr="00CF2985">
              <w:rPr>
                <w:b/>
                <w:sz w:val="16"/>
                <w:szCs w:val="16"/>
                <w:lang w:val="en-GB"/>
              </w:rPr>
              <w:t>No. vessels</w:t>
            </w:r>
          </w:p>
        </w:tc>
        <w:tc>
          <w:tcPr>
            <w:tcW w:w="992" w:type="dxa"/>
            <w:tcBorders>
              <w:top w:val="single" w:sz="4" w:space="0" w:color="000000"/>
              <w:left w:val="nil"/>
              <w:bottom w:val="single" w:sz="4" w:space="0" w:color="000000"/>
              <w:right w:val="single" w:sz="4" w:space="0" w:color="000000"/>
            </w:tcBorders>
          </w:tcPr>
          <w:p w14:paraId="4BAD1BC8" w14:textId="77777777" w:rsidR="004F1A38" w:rsidRPr="00CF2985" w:rsidRDefault="00850142" w:rsidP="00645261">
            <w:pPr>
              <w:spacing w:line="240" w:lineRule="auto"/>
              <w:jc w:val="center"/>
              <w:rPr>
                <w:lang w:val="en-GB"/>
              </w:rPr>
            </w:pPr>
            <w:r w:rsidRPr="00CF2985">
              <w:rPr>
                <w:b/>
                <w:sz w:val="16"/>
                <w:szCs w:val="16"/>
                <w:lang w:val="en-GB"/>
              </w:rPr>
              <w:t xml:space="preserve">No. </w:t>
            </w:r>
            <w:r w:rsidR="00615E39" w:rsidRPr="00CF2985">
              <w:rPr>
                <w:b/>
                <w:sz w:val="16"/>
                <w:szCs w:val="16"/>
                <w:lang w:val="en-GB"/>
              </w:rPr>
              <w:t>samples</w:t>
            </w:r>
          </w:p>
        </w:tc>
        <w:tc>
          <w:tcPr>
            <w:tcW w:w="1134" w:type="dxa"/>
            <w:tcBorders>
              <w:top w:val="single" w:sz="4" w:space="0" w:color="000000"/>
              <w:left w:val="nil"/>
              <w:bottom w:val="single" w:sz="4" w:space="0" w:color="000000"/>
              <w:right w:val="single" w:sz="4" w:space="0" w:color="000000"/>
            </w:tcBorders>
          </w:tcPr>
          <w:p w14:paraId="4B0F9282" w14:textId="77777777" w:rsidR="004F1A38" w:rsidRPr="00CF2985" w:rsidRDefault="00615E39" w:rsidP="00645261">
            <w:pPr>
              <w:spacing w:line="240" w:lineRule="auto"/>
              <w:jc w:val="center"/>
              <w:rPr>
                <w:lang w:val="en-GB"/>
              </w:rPr>
            </w:pPr>
            <w:r w:rsidRPr="00CF2985">
              <w:rPr>
                <w:b/>
                <w:sz w:val="16"/>
                <w:szCs w:val="16"/>
                <w:lang w:val="en-GB"/>
              </w:rPr>
              <w:t>Sample types</w:t>
            </w:r>
          </w:p>
        </w:tc>
        <w:tc>
          <w:tcPr>
            <w:tcW w:w="1134" w:type="dxa"/>
            <w:tcBorders>
              <w:top w:val="single" w:sz="4" w:space="0" w:color="000000"/>
              <w:left w:val="nil"/>
              <w:bottom w:val="single" w:sz="4" w:space="0" w:color="000000"/>
              <w:right w:val="single" w:sz="4" w:space="0" w:color="000000"/>
            </w:tcBorders>
          </w:tcPr>
          <w:p w14:paraId="2F7470AD" w14:textId="77777777" w:rsidR="004F1A38" w:rsidRPr="00CF2985" w:rsidRDefault="00615E39" w:rsidP="00645261">
            <w:pPr>
              <w:spacing w:line="240" w:lineRule="auto"/>
              <w:jc w:val="center"/>
              <w:rPr>
                <w:lang w:val="en-GB"/>
              </w:rPr>
            </w:pPr>
            <w:r w:rsidRPr="00CF2985">
              <w:rPr>
                <w:b/>
                <w:sz w:val="16"/>
                <w:szCs w:val="16"/>
                <w:lang w:val="en-GB"/>
              </w:rPr>
              <w:t>Lipid preservation (ug g-1) range / median</w:t>
            </w:r>
          </w:p>
        </w:tc>
        <w:tc>
          <w:tcPr>
            <w:tcW w:w="993" w:type="dxa"/>
            <w:tcBorders>
              <w:top w:val="single" w:sz="4" w:space="0" w:color="000000"/>
              <w:left w:val="nil"/>
              <w:bottom w:val="single" w:sz="4" w:space="0" w:color="000000"/>
              <w:right w:val="single" w:sz="4" w:space="0" w:color="000000"/>
            </w:tcBorders>
          </w:tcPr>
          <w:p w14:paraId="21136275" w14:textId="77777777" w:rsidR="004F1A38" w:rsidRPr="00CF2985" w:rsidRDefault="00615E39" w:rsidP="00645261">
            <w:pPr>
              <w:spacing w:line="240" w:lineRule="auto"/>
              <w:jc w:val="center"/>
              <w:rPr>
                <w:lang w:val="en-GB"/>
              </w:rPr>
            </w:pPr>
            <w:r w:rsidRPr="00CF2985">
              <w:rPr>
                <w:b/>
                <w:sz w:val="16"/>
                <w:szCs w:val="16"/>
                <w:lang w:val="en-GB"/>
              </w:rPr>
              <w:t>No. vessels with lipids preserved*</w:t>
            </w:r>
          </w:p>
        </w:tc>
        <w:tc>
          <w:tcPr>
            <w:tcW w:w="1275" w:type="dxa"/>
            <w:tcBorders>
              <w:top w:val="single" w:sz="4" w:space="0" w:color="000000"/>
              <w:left w:val="nil"/>
              <w:bottom w:val="single" w:sz="4" w:space="0" w:color="000000"/>
              <w:right w:val="single" w:sz="4" w:space="0" w:color="000000"/>
            </w:tcBorders>
          </w:tcPr>
          <w:p w14:paraId="7FB4F286" w14:textId="77777777" w:rsidR="004F1A38" w:rsidRPr="00CF2985" w:rsidRDefault="00850142" w:rsidP="00645261">
            <w:pPr>
              <w:spacing w:line="240" w:lineRule="auto"/>
              <w:jc w:val="center"/>
              <w:rPr>
                <w:lang w:val="en-GB"/>
              </w:rPr>
            </w:pPr>
            <w:r w:rsidRPr="00CF2985">
              <w:rPr>
                <w:b/>
                <w:sz w:val="16"/>
                <w:szCs w:val="16"/>
                <w:lang w:val="en-GB"/>
              </w:rPr>
              <w:t xml:space="preserve">No. vessels with </w:t>
            </w:r>
            <w:r w:rsidR="00615E39" w:rsidRPr="00CF2985">
              <w:rPr>
                <w:b/>
                <w:sz w:val="16"/>
                <w:szCs w:val="16"/>
                <w:lang w:val="en-GB"/>
              </w:rPr>
              <w:t>aquatic biomarkers**: full (partial)</w:t>
            </w:r>
          </w:p>
        </w:tc>
        <w:tc>
          <w:tcPr>
            <w:tcW w:w="877" w:type="dxa"/>
            <w:tcBorders>
              <w:top w:val="single" w:sz="4" w:space="0" w:color="000000"/>
              <w:left w:val="nil"/>
              <w:bottom w:val="single" w:sz="4" w:space="0" w:color="000000"/>
              <w:right w:val="single" w:sz="4" w:space="0" w:color="000000"/>
            </w:tcBorders>
          </w:tcPr>
          <w:p w14:paraId="5BC8FE95" w14:textId="77777777" w:rsidR="004F1A38" w:rsidRPr="00CF2985" w:rsidRDefault="00615E39" w:rsidP="00645261">
            <w:pPr>
              <w:spacing w:line="240" w:lineRule="auto"/>
              <w:jc w:val="center"/>
              <w:rPr>
                <w:lang w:val="en-GB"/>
              </w:rPr>
            </w:pPr>
            <w:r w:rsidRPr="00CF2985">
              <w:rPr>
                <w:b/>
                <w:sz w:val="16"/>
                <w:szCs w:val="16"/>
                <w:lang w:val="en-GB"/>
              </w:rPr>
              <w:t>GC-C-IRMS samples</w:t>
            </w:r>
          </w:p>
        </w:tc>
        <w:tc>
          <w:tcPr>
            <w:tcW w:w="1125" w:type="dxa"/>
            <w:tcBorders>
              <w:top w:val="single" w:sz="4" w:space="0" w:color="000000"/>
              <w:left w:val="nil"/>
              <w:bottom w:val="single" w:sz="4" w:space="0" w:color="000000"/>
              <w:right w:val="single" w:sz="4" w:space="0" w:color="000000"/>
            </w:tcBorders>
          </w:tcPr>
          <w:p w14:paraId="48DB765E" w14:textId="77777777" w:rsidR="004F1A38" w:rsidRPr="00CF2985" w:rsidRDefault="00052081" w:rsidP="00645261">
            <w:pPr>
              <w:spacing w:line="240" w:lineRule="auto"/>
              <w:jc w:val="center"/>
              <w:rPr>
                <w:lang w:val="en-GB"/>
              </w:rPr>
            </w:pPr>
            <w:r w:rsidRPr="00CF2985">
              <w:rPr>
                <w:b/>
                <w:sz w:val="16"/>
                <w:szCs w:val="16"/>
                <w:lang w:val="en-GB"/>
              </w:rPr>
              <w:t>B</w:t>
            </w:r>
            <w:r w:rsidR="00615E39" w:rsidRPr="00CF2985">
              <w:rPr>
                <w:b/>
                <w:sz w:val="16"/>
                <w:szCs w:val="16"/>
                <w:lang w:val="en-GB"/>
              </w:rPr>
              <w:t>ulk IRMS samples</w:t>
            </w:r>
          </w:p>
        </w:tc>
      </w:tr>
      <w:tr w:rsidR="004F1A38" w:rsidRPr="00CF2985" w14:paraId="3560B230"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3595EF18" w14:textId="77777777" w:rsidR="004F1A38" w:rsidRPr="00CF2985" w:rsidRDefault="00615E39" w:rsidP="00645261">
            <w:pPr>
              <w:spacing w:line="240" w:lineRule="auto"/>
              <w:jc w:val="center"/>
              <w:rPr>
                <w:lang w:val="en-GB"/>
              </w:rPr>
            </w:pPr>
            <w:r w:rsidRPr="00CF2985">
              <w:rPr>
                <w:sz w:val="16"/>
                <w:szCs w:val="16"/>
                <w:lang w:val="en-GB"/>
              </w:rPr>
              <w:t>Akali</w:t>
            </w:r>
          </w:p>
        </w:tc>
        <w:tc>
          <w:tcPr>
            <w:tcW w:w="996" w:type="dxa"/>
            <w:tcBorders>
              <w:top w:val="nil"/>
              <w:left w:val="nil"/>
              <w:bottom w:val="single" w:sz="4" w:space="0" w:color="000000"/>
              <w:right w:val="single" w:sz="4" w:space="0" w:color="000000"/>
            </w:tcBorders>
          </w:tcPr>
          <w:p w14:paraId="540245EE" w14:textId="77777777" w:rsidR="004F1A38" w:rsidRPr="00CF2985" w:rsidRDefault="00615E39" w:rsidP="00645261">
            <w:pPr>
              <w:spacing w:line="240" w:lineRule="auto"/>
              <w:jc w:val="center"/>
              <w:rPr>
                <w:lang w:val="en-GB"/>
              </w:rPr>
            </w:pPr>
            <w:r w:rsidRPr="00CF2985">
              <w:rPr>
                <w:sz w:val="16"/>
                <w:szCs w:val="16"/>
                <w:lang w:val="en-GB"/>
              </w:rPr>
              <w:t>Inland</w:t>
            </w:r>
          </w:p>
        </w:tc>
        <w:tc>
          <w:tcPr>
            <w:tcW w:w="705" w:type="dxa"/>
            <w:tcBorders>
              <w:top w:val="nil"/>
              <w:left w:val="nil"/>
              <w:bottom w:val="single" w:sz="4" w:space="0" w:color="000000"/>
              <w:right w:val="single" w:sz="4" w:space="0" w:color="000000"/>
            </w:tcBorders>
          </w:tcPr>
          <w:p w14:paraId="7641AFF9" w14:textId="77777777" w:rsidR="004F1A38" w:rsidRPr="00CF2985" w:rsidRDefault="00615E39" w:rsidP="00645261">
            <w:pPr>
              <w:spacing w:line="240" w:lineRule="auto"/>
              <w:jc w:val="center"/>
              <w:rPr>
                <w:lang w:val="en-GB"/>
              </w:rPr>
            </w:pPr>
            <w:r w:rsidRPr="00CF2985">
              <w:rPr>
                <w:sz w:val="16"/>
                <w:szCs w:val="16"/>
                <w:lang w:val="en-GB"/>
              </w:rPr>
              <w:t>6</w:t>
            </w:r>
          </w:p>
        </w:tc>
        <w:tc>
          <w:tcPr>
            <w:tcW w:w="992" w:type="dxa"/>
            <w:tcBorders>
              <w:top w:val="nil"/>
              <w:left w:val="nil"/>
              <w:bottom w:val="single" w:sz="4" w:space="0" w:color="000000"/>
              <w:right w:val="single" w:sz="4" w:space="0" w:color="000000"/>
            </w:tcBorders>
          </w:tcPr>
          <w:p w14:paraId="5108CE9B" w14:textId="77777777" w:rsidR="004F1A38" w:rsidRPr="00CF2985" w:rsidRDefault="00615E39" w:rsidP="00645261">
            <w:pPr>
              <w:spacing w:line="240" w:lineRule="auto"/>
              <w:jc w:val="center"/>
              <w:rPr>
                <w:lang w:val="en-GB"/>
              </w:rPr>
            </w:pPr>
            <w:r w:rsidRPr="00CF2985">
              <w:rPr>
                <w:sz w:val="16"/>
                <w:szCs w:val="16"/>
                <w:lang w:val="en-GB"/>
              </w:rPr>
              <w:t>9</w:t>
            </w:r>
          </w:p>
        </w:tc>
        <w:tc>
          <w:tcPr>
            <w:tcW w:w="1134" w:type="dxa"/>
            <w:tcBorders>
              <w:top w:val="nil"/>
              <w:left w:val="nil"/>
              <w:bottom w:val="single" w:sz="4" w:space="0" w:color="000000"/>
              <w:right w:val="single" w:sz="4" w:space="0" w:color="000000"/>
            </w:tcBorders>
          </w:tcPr>
          <w:p w14:paraId="59EAE08E" w14:textId="77777777" w:rsidR="004F1A38" w:rsidRPr="00CF2985" w:rsidRDefault="00615E39" w:rsidP="00645261">
            <w:pPr>
              <w:spacing w:line="240" w:lineRule="auto"/>
              <w:jc w:val="center"/>
              <w:rPr>
                <w:lang w:val="en-GB"/>
              </w:rPr>
            </w:pPr>
            <w:r w:rsidRPr="00CF2985">
              <w:rPr>
                <w:sz w:val="16"/>
                <w:szCs w:val="16"/>
                <w:lang w:val="en-GB"/>
              </w:rPr>
              <w:t>Fi 3, I 6</w:t>
            </w:r>
          </w:p>
        </w:tc>
        <w:tc>
          <w:tcPr>
            <w:tcW w:w="1134" w:type="dxa"/>
            <w:tcBorders>
              <w:top w:val="nil"/>
              <w:left w:val="nil"/>
              <w:bottom w:val="single" w:sz="4" w:space="0" w:color="000000"/>
              <w:right w:val="single" w:sz="4" w:space="0" w:color="000000"/>
            </w:tcBorders>
          </w:tcPr>
          <w:p w14:paraId="22B59608" w14:textId="77777777" w:rsidR="004F1A38" w:rsidRPr="00CF2985" w:rsidRDefault="00615E39" w:rsidP="00645261">
            <w:pPr>
              <w:jc w:val="center"/>
              <w:rPr>
                <w:lang w:val="en-GB"/>
              </w:rPr>
            </w:pPr>
            <w:r w:rsidRPr="00CF2985">
              <w:rPr>
                <w:sz w:val="16"/>
                <w:szCs w:val="16"/>
                <w:lang w:val="en-GB"/>
              </w:rPr>
              <w:t>20-1230 / 205</w:t>
            </w:r>
          </w:p>
        </w:tc>
        <w:tc>
          <w:tcPr>
            <w:tcW w:w="993" w:type="dxa"/>
            <w:tcBorders>
              <w:top w:val="nil"/>
              <w:left w:val="nil"/>
              <w:bottom w:val="single" w:sz="4" w:space="0" w:color="000000"/>
              <w:right w:val="single" w:sz="4" w:space="0" w:color="000000"/>
            </w:tcBorders>
          </w:tcPr>
          <w:p w14:paraId="2B4980B5" w14:textId="77777777" w:rsidR="004F1A38" w:rsidRPr="00CF2985" w:rsidRDefault="00615E39" w:rsidP="00645261">
            <w:pPr>
              <w:spacing w:line="240" w:lineRule="auto"/>
              <w:jc w:val="center"/>
              <w:rPr>
                <w:lang w:val="en-GB"/>
              </w:rPr>
            </w:pPr>
            <w:r w:rsidRPr="00CF2985">
              <w:rPr>
                <w:sz w:val="16"/>
                <w:szCs w:val="16"/>
                <w:lang w:val="en-GB"/>
              </w:rPr>
              <w:t>6</w:t>
            </w:r>
          </w:p>
        </w:tc>
        <w:tc>
          <w:tcPr>
            <w:tcW w:w="1275" w:type="dxa"/>
            <w:tcBorders>
              <w:top w:val="nil"/>
              <w:left w:val="nil"/>
              <w:bottom w:val="single" w:sz="4" w:space="0" w:color="000000"/>
              <w:right w:val="single" w:sz="4" w:space="0" w:color="000000"/>
            </w:tcBorders>
          </w:tcPr>
          <w:p w14:paraId="3DDB6464" w14:textId="77777777" w:rsidR="004F1A38" w:rsidRPr="00CF2985" w:rsidRDefault="00615E39" w:rsidP="00645261">
            <w:pPr>
              <w:spacing w:line="240" w:lineRule="auto"/>
              <w:jc w:val="center"/>
              <w:rPr>
                <w:lang w:val="en-GB"/>
              </w:rPr>
            </w:pPr>
            <w:r w:rsidRPr="00CF2985">
              <w:rPr>
                <w:sz w:val="16"/>
                <w:szCs w:val="16"/>
                <w:lang w:val="en-GB"/>
              </w:rPr>
              <w:t>2</w:t>
            </w:r>
          </w:p>
        </w:tc>
        <w:tc>
          <w:tcPr>
            <w:tcW w:w="877" w:type="dxa"/>
            <w:tcBorders>
              <w:top w:val="nil"/>
              <w:left w:val="nil"/>
              <w:bottom w:val="single" w:sz="4" w:space="0" w:color="000000"/>
              <w:right w:val="single" w:sz="4" w:space="0" w:color="000000"/>
            </w:tcBorders>
          </w:tcPr>
          <w:p w14:paraId="24A7127E" w14:textId="77777777" w:rsidR="004F1A38" w:rsidRPr="00CF2985" w:rsidRDefault="00615E39" w:rsidP="00645261">
            <w:pPr>
              <w:spacing w:line="240" w:lineRule="auto"/>
              <w:jc w:val="center"/>
              <w:rPr>
                <w:lang w:val="en-GB"/>
              </w:rPr>
            </w:pPr>
            <w:r w:rsidRPr="00CF2985">
              <w:rPr>
                <w:sz w:val="16"/>
                <w:szCs w:val="16"/>
                <w:lang w:val="en-GB"/>
              </w:rPr>
              <w:t>5</w:t>
            </w:r>
          </w:p>
        </w:tc>
        <w:tc>
          <w:tcPr>
            <w:tcW w:w="1125" w:type="dxa"/>
            <w:tcBorders>
              <w:top w:val="nil"/>
              <w:left w:val="nil"/>
              <w:bottom w:val="single" w:sz="4" w:space="0" w:color="000000"/>
              <w:right w:val="single" w:sz="4" w:space="0" w:color="000000"/>
            </w:tcBorders>
          </w:tcPr>
          <w:p w14:paraId="387D2E29" w14:textId="77777777" w:rsidR="004F1A38" w:rsidRPr="00CF2985" w:rsidRDefault="00615E39" w:rsidP="00645261">
            <w:pPr>
              <w:spacing w:line="240" w:lineRule="auto"/>
              <w:jc w:val="center"/>
              <w:rPr>
                <w:lang w:val="en-GB"/>
              </w:rPr>
            </w:pPr>
            <w:r w:rsidRPr="00CF2985">
              <w:rPr>
                <w:sz w:val="16"/>
                <w:szCs w:val="16"/>
                <w:lang w:val="en-GB"/>
              </w:rPr>
              <w:t>3</w:t>
            </w:r>
          </w:p>
        </w:tc>
      </w:tr>
      <w:tr w:rsidR="004F1A38" w:rsidRPr="00CF2985" w14:paraId="2FC04928" w14:textId="77777777" w:rsidTr="00645261">
        <w:trPr>
          <w:trHeight w:val="540"/>
        </w:trPr>
        <w:tc>
          <w:tcPr>
            <w:tcW w:w="1149" w:type="dxa"/>
            <w:tcBorders>
              <w:top w:val="nil"/>
              <w:left w:val="single" w:sz="4" w:space="0" w:color="000000"/>
              <w:bottom w:val="single" w:sz="4" w:space="0" w:color="000000"/>
              <w:right w:val="single" w:sz="4" w:space="0" w:color="000000"/>
            </w:tcBorders>
          </w:tcPr>
          <w:p w14:paraId="59A0A65D" w14:textId="77777777" w:rsidR="004F1A38" w:rsidRPr="00CF2985" w:rsidRDefault="00615E39" w:rsidP="00645261">
            <w:pPr>
              <w:spacing w:line="240" w:lineRule="auto"/>
              <w:jc w:val="center"/>
              <w:rPr>
                <w:lang w:val="en-GB"/>
              </w:rPr>
            </w:pPr>
            <w:r w:rsidRPr="00CF2985">
              <w:rPr>
                <w:sz w:val="16"/>
                <w:szCs w:val="16"/>
                <w:lang w:val="en-GB"/>
              </w:rPr>
              <w:t>Kääpa</w:t>
            </w:r>
          </w:p>
        </w:tc>
        <w:tc>
          <w:tcPr>
            <w:tcW w:w="996" w:type="dxa"/>
            <w:tcBorders>
              <w:top w:val="nil"/>
              <w:left w:val="nil"/>
              <w:bottom w:val="single" w:sz="4" w:space="0" w:color="000000"/>
              <w:right w:val="single" w:sz="4" w:space="0" w:color="000000"/>
            </w:tcBorders>
          </w:tcPr>
          <w:p w14:paraId="031B3034" w14:textId="77777777" w:rsidR="004F1A38" w:rsidRPr="00CF2985" w:rsidRDefault="00615E39" w:rsidP="00645261">
            <w:pPr>
              <w:spacing w:line="240" w:lineRule="auto"/>
              <w:jc w:val="center"/>
              <w:rPr>
                <w:lang w:val="en-GB"/>
              </w:rPr>
            </w:pPr>
            <w:r w:rsidRPr="00CF2985">
              <w:rPr>
                <w:sz w:val="16"/>
                <w:szCs w:val="16"/>
                <w:lang w:val="en-GB"/>
              </w:rPr>
              <w:t>Inland</w:t>
            </w:r>
          </w:p>
        </w:tc>
        <w:tc>
          <w:tcPr>
            <w:tcW w:w="705" w:type="dxa"/>
            <w:tcBorders>
              <w:top w:val="nil"/>
              <w:left w:val="nil"/>
              <w:bottom w:val="single" w:sz="4" w:space="0" w:color="000000"/>
              <w:right w:val="single" w:sz="4" w:space="0" w:color="000000"/>
            </w:tcBorders>
          </w:tcPr>
          <w:p w14:paraId="4514FC61" w14:textId="77777777" w:rsidR="004F1A38" w:rsidRPr="00CF2985" w:rsidRDefault="00615E39" w:rsidP="00645261">
            <w:pPr>
              <w:spacing w:line="240" w:lineRule="auto"/>
              <w:jc w:val="center"/>
              <w:rPr>
                <w:lang w:val="en-GB"/>
              </w:rPr>
            </w:pPr>
            <w:r w:rsidRPr="00CF2985">
              <w:rPr>
                <w:sz w:val="16"/>
                <w:szCs w:val="16"/>
                <w:lang w:val="en-GB"/>
              </w:rPr>
              <w:t>21</w:t>
            </w:r>
          </w:p>
        </w:tc>
        <w:tc>
          <w:tcPr>
            <w:tcW w:w="992" w:type="dxa"/>
            <w:tcBorders>
              <w:top w:val="nil"/>
              <w:left w:val="nil"/>
              <w:bottom w:val="single" w:sz="4" w:space="0" w:color="000000"/>
              <w:right w:val="single" w:sz="4" w:space="0" w:color="000000"/>
            </w:tcBorders>
          </w:tcPr>
          <w:p w14:paraId="5122E5A3" w14:textId="77777777" w:rsidR="004F1A38" w:rsidRPr="00CF2985" w:rsidRDefault="00615E39" w:rsidP="00645261">
            <w:pPr>
              <w:spacing w:line="240" w:lineRule="auto"/>
              <w:jc w:val="center"/>
              <w:rPr>
                <w:lang w:val="en-GB"/>
              </w:rPr>
            </w:pPr>
            <w:r w:rsidRPr="00CF2985">
              <w:rPr>
                <w:sz w:val="16"/>
                <w:szCs w:val="16"/>
                <w:lang w:val="en-GB"/>
              </w:rPr>
              <w:t>41</w:t>
            </w:r>
          </w:p>
        </w:tc>
        <w:tc>
          <w:tcPr>
            <w:tcW w:w="1134" w:type="dxa"/>
            <w:tcBorders>
              <w:top w:val="nil"/>
              <w:left w:val="nil"/>
              <w:bottom w:val="single" w:sz="4" w:space="0" w:color="000000"/>
              <w:right w:val="single" w:sz="4" w:space="0" w:color="000000"/>
            </w:tcBorders>
          </w:tcPr>
          <w:p w14:paraId="42D08B3C" w14:textId="77777777" w:rsidR="004F1A38" w:rsidRPr="00CF2985" w:rsidRDefault="00615E39" w:rsidP="00645261">
            <w:pPr>
              <w:spacing w:line="240" w:lineRule="auto"/>
              <w:jc w:val="center"/>
              <w:rPr>
                <w:lang w:val="en-GB"/>
              </w:rPr>
            </w:pPr>
            <w:r w:rsidRPr="00CF2985">
              <w:rPr>
                <w:sz w:val="16"/>
                <w:szCs w:val="16"/>
                <w:lang w:val="en-GB"/>
              </w:rPr>
              <w:t>Fe 6, Fi 16, I 19</w:t>
            </w:r>
          </w:p>
        </w:tc>
        <w:tc>
          <w:tcPr>
            <w:tcW w:w="1134" w:type="dxa"/>
            <w:tcBorders>
              <w:top w:val="nil"/>
              <w:left w:val="nil"/>
              <w:bottom w:val="single" w:sz="4" w:space="0" w:color="000000"/>
              <w:right w:val="single" w:sz="4" w:space="0" w:color="000000"/>
            </w:tcBorders>
          </w:tcPr>
          <w:p w14:paraId="557A61A6" w14:textId="77777777" w:rsidR="004F1A38" w:rsidRPr="00CF2985" w:rsidRDefault="00615E39" w:rsidP="00645261">
            <w:pPr>
              <w:jc w:val="center"/>
              <w:rPr>
                <w:lang w:val="en-GB"/>
              </w:rPr>
            </w:pPr>
            <w:r w:rsidRPr="00CF2985">
              <w:rPr>
                <w:sz w:val="16"/>
                <w:szCs w:val="16"/>
                <w:lang w:val="en-GB"/>
              </w:rPr>
              <w:t>8-2513 / 357</w:t>
            </w:r>
          </w:p>
        </w:tc>
        <w:tc>
          <w:tcPr>
            <w:tcW w:w="993" w:type="dxa"/>
            <w:tcBorders>
              <w:top w:val="nil"/>
              <w:left w:val="nil"/>
              <w:bottom w:val="single" w:sz="4" w:space="0" w:color="000000"/>
              <w:right w:val="single" w:sz="4" w:space="0" w:color="000000"/>
            </w:tcBorders>
          </w:tcPr>
          <w:p w14:paraId="530109E0" w14:textId="77777777" w:rsidR="004F1A38" w:rsidRPr="00CF2985" w:rsidRDefault="00615E39" w:rsidP="00645261">
            <w:pPr>
              <w:spacing w:line="240" w:lineRule="auto"/>
              <w:jc w:val="center"/>
              <w:rPr>
                <w:lang w:val="en-GB"/>
              </w:rPr>
            </w:pPr>
            <w:r w:rsidRPr="00CF2985">
              <w:rPr>
                <w:sz w:val="16"/>
                <w:szCs w:val="16"/>
                <w:lang w:val="en-GB"/>
              </w:rPr>
              <w:t>21</w:t>
            </w:r>
          </w:p>
        </w:tc>
        <w:tc>
          <w:tcPr>
            <w:tcW w:w="1275" w:type="dxa"/>
            <w:tcBorders>
              <w:top w:val="nil"/>
              <w:left w:val="nil"/>
              <w:bottom w:val="single" w:sz="4" w:space="0" w:color="000000"/>
              <w:right w:val="single" w:sz="4" w:space="0" w:color="000000"/>
            </w:tcBorders>
          </w:tcPr>
          <w:p w14:paraId="69E4B7C8" w14:textId="77777777" w:rsidR="004F1A38" w:rsidRPr="00CF2985" w:rsidRDefault="00615E39" w:rsidP="00645261">
            <w:pPr>
              <w:spacing w:line="240" w:lineRule="auto"/>
              <w:jc w:val="center"/>
              <w:rPr>
                <w:lang w:val="en-GB"/>
              </w:rPr>
            </w:pPr>
            <w:r w:rsidRPr="00CF2985">
              <w:rPr>
                <w:sz w:val="16"/>
                <w:szCs w:val="16"/>
                <w:lang w:val="en-GB"/>
              </w:rPr>
              <w:t>14 (3)</w:t>
            </w:r>
          </w:p>
        </w:tc>
        <w:tc>
          <w:tcPr>
            <w:tcW w:w="877" w:type="dxa"/>
            <w:tcBorders>
              <w:top w:val="nil"/>
              <w:left w:val="nil"/>
              <w:bottom w:val="single" w:sz="4" w:space="0" w:color="000000"/>
              <w:right w:val="single" w:sz="4" w:space="0" w:color="000000"/>
            </w:tcBorders>
          </w:tcPr>
          <w:p w14:paraId="066B5298" w14:textId="77777777" w:rsidR="004F1A38" w:rsidRPr="00CF2985" w:rsidRDefault="00615E39" w:rsidP="00645261">
            <w:pPr>
              <w:spacing w:line="240" w:lineRule="auto"/>
              <w:jc w:val="center"/>
              <w:rPr>
                <w:lang w:val="en-GB"/>
              </w:rPr>
            </w:pPr>
            <w:r w:rsidRPr="00CF2985">
              <w:rPr>
                <w:sz w:val="16"/>
                <w:szCs w:val="16"/>
                <w:lang w:val="en-GB"/>
              </w:rPr>
              <w:t>29</w:t>
            </w:r>
          </w:p>
        </w:tc>
        <w:tc>
          <w:tcPr>
            <w:tcW w:w="1125" w:type="dxa"/>
            <w:tcBorders>
              <w:top w:val="nil"/>
              <w:left w:val="nil"/>
              <w:bottom w:val="single" w:sz="4" w:space="0" w:color="000000"/>
              <w:right w:val="single" w:sz="4" w:space="0" w:color="000000"/>
            </w:tcBorders>
          </w:tcPr>
          <w:p w14:paraId="5E4C4A03" w14:textId="77777777" w:rsidR="004F1A38" w:rsidRPr="00CF2985" w:rsidRDefault="00615E39" w:rsidP="00645261">
            <w:pPr>
              <w:spacing w:line="240" w:lineRule="auto"/>
              <w:jc w:val="center"/>
              <w:rPr>
                <w:lang w:val="en-GB"/>
              </w:rPr>
            </w:pPr>
            <w:r w:rsidRPr="00CF2985">
              <w:rPr>
                <w:sz w:val="16"/>
                <w:szCs w:val="16"/>
                <w:lang w:val="en-GB"/>
              </w:rPr>
              <w:t>19</w:t>
            </w:r>
          </w:p>
        </w:tc>
      </w:tr>
      <w:tr w:rsidR="004F1A38" w:rsidRPr="00CF2985" w14:paraId="2B93F898"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7EC344DD" w14:textId="77777777" w:rsidR="004F1A38" w:rsidRPr="00CF2985" w:rsidRDefault="00615E39" w:rsidP="00645261">
            <w:pPr>
              <w:spacing w:line="240" w:lineRule="auto"/>
              <w:jc w:val="center"/>
              <w:rPr>
                <w:lang w:val="en-GB"/>
              </w:rPr>
            </w:pPr>
            <w:r w:rsidRPr="00CF2985">
              <w:rPr>
                <w:sz w:val="16"/>
                <w:szCs w:val="16"/>
                <w:lang w:val="en-GB"/>
              </w:rPr>
              <w:t>Kalmaküla</w:t>
            </w:r>
          </w:p>
        </w:tc>
        <w:tc>
          <w:tcPr>
            <w:tcW w:w="996" w:type="dxa"/>
            <w:tcBorders>
              <w:top w:val="nil"/>
              <w:left w:val="nil"/>
              <w:bottom w:val="single" w:sz="4" w:space="0" w:color="000000"/>
              <w:right w:val="single" w:sz="4" w:space="0" w:color="000000"/>
            </w:tcBorders>
          </w:tcPr>
          <w:p w14:paraId="2435E17A" w14:textId="77777777" w:rsidR="004F1A38" w:rsidRPr="00CF2985" w:rsidRDefault="00615E39" w:rsidP="00645261">
            <w:pPr>
              <w:spacing w:line="240" w:lineRule="auto"/>
              <w:jc w:val="center"/>
              <w:rPr>
                <w:lang w:val="en-GB"/>
              </w:rPr>
            </w:pPr>
            <w:r w:rsidRPr="00CF2985">
              <w:rPr>
                <w:sz w:val="16"/>
                <w:szCs w:val="16"/>
                <w:lang w:val="en-GB"/>
              </w:rPr>
              <w:t>Inland</w:t>
            </w:r>
          </w:p>
        </w:tc>
        <w:tc>
          <w:tcPr>
            <w:tcW w:w="705" w:type="dxa"/>
            <w:tcBorders>
              <w:top w:val="nil"/>
              <w:left w:val="nil"/>
              <w:bottom w:val="single" w:sz="4" w:space="0" w:color="000000"/>
              <w:right w:val="single" w:sz="4" w:space="0" w:color="000000"/>
            </w:tcBorders>
          </w:tcPr>
          <w:p w14:paraId="4217BD4B" w14:textId="77777777" w:rsidR="004F1A38" w:rsidRPr="00CF2985" w:rsidRDefault="00615E39" w:rsidP="00645261">
            <w:pPr>
              <w:spacing w:line="240" w:lineRule="auto"/>
              <w:jc w:val="center"/>
              <w:rPr>
                <w:lang w:val="en-GB"/>
              </w:rPr>
            </w:pPr>
            <w:r w:rsidRPr="00CF2985">
              <w:rPr>
                <w:sz w:val="16"/>
                <w:szCs w:val="16"/>
                <w:lang w:val="en-GB"/>
              </w:rPr>
              <w:t>2</w:t>
            </w:r>
          </w:p>
        </w:tc>
        <w:tc>
          <w:tcPr>
            <w:tcW w:w="992" w:type="dxa"/>
            <w:tcBorders>
              <w:top w:val="nil"/>
              <w:left w:val="nil"/>
              <w:bottom w:val="single" w:sz="4" w:space="0" w:color="000000"/>
              <w:right w:val="single" w:sz="4" w:space="0" w:color="000000"/>
            </w:tcBorders>
          </w:tcPr>
          <w:p w14:paraId="23C5B406" w14:textId="77777777" w:rsidR="004F1A38" w:rsidRPr="00CF2985" w:rsidRDefault="00615E39" w:rsidP="00645261">
            <w:pPr>
              <w:spacing w:line="240" w:lineRule="auto"/>
              <w:jc w:val="center"/>
              <w:rPr>
                <w:lang w:val="en-GB"/>
              </w:rPr>
            </w:pPr>
            <w:r w:rsidRPr="00CF2985">
              <w:rPr>
                <w:sz w:val="16"/>
                <w:szCs w:val="16"/>
                <w:lang w:val="en-GB"/>
              </w:rPr>
              <w:t>2</w:t>
            </w:r>
          </w:p>
        </w:tc>
        <w:tc>
          <w:tcPr>
            <w:tcW w:w="1134" w:type="dxa"/>
            <w:tcBorders>
              <w:top w:val="nil"/>
              <w:left w:val="nil"/>
              <w:bottom w:val="single" w:sz="4" w:space="0" w:color="000000"/>
              <w:right w:val="single" w:sz="4" w:space="0" w:color="000000"/>
            </w:tcBorders>
          </w:tcPr>
          <w:p w14:paraId="7298127C" w14:textId="77777777" w:rsidR="004F1A38" w:rsidRPr="00CF2985" w:rsidRDefault="00615E39" w:rsidP="00645261">
            <w:pPr>
              <w:spacing w:line="240" w:lineRule="auto"/>
              <w:jc w:val="center"/>
              <w:rPr>
                <w:lang w:val="en-GB"/>
              </w:rPr>
            </w:pPr>
            <w:r w:rsidRPr="00CF2985">
              <w:rPr>
                <w:sz w:val="16"/>
                <w:szCs w:val="16"/>
                <w:lang w:val="en-GB"/>
              </w:rPr>
              <w:t>I 2</w:t>
            </w:r>
          </w:p>
        </w:tc>
        <w:tc>
          <w:tcPr>
            <w:tcW w:w="1134" w:type="dxa"/>
            <w:tcBorders>
              <w:top w:val="nil"/>
              <w:left w:val="nil"/>
              <w:bottom w:val="single" w:sz="4" w:space="0" w:color="000000"/>
              <w:right w:val="single" w:sz="4" w:space="0" w:color="000000"/>
            </w:tcBorders>
          </w:tcPr>
          <w:p w14:paraId="4F0A03C0" w14:textId="77777777" w:rsidR="004F1A38" w:rsidRPr="00CF2985" w:rsidRDefault="00615E39" w:rsidP="00645261">
            <w:pPr>
              <w:jc w:val="center"/>
              <w:rPr>
                <w:lang w:val="en-GB"/>
              </w:rPr>
            </w:pPr>
            <w:r w:rsidRPr="00CF2985">
              <w:rPr>
                <w:sz w:val="16"/>
                <w:szCs w:val="16"/>
                <w:lang w:val="en-GB"/>
              </w:rPr>
              <w:t>3-10 / NA</w:t>
            </w:r>
          </w:p>
        </w:tc>
        <w:tc>
          <w:tcPr>
            <w:tcW w:w="993" w:type="dxa"/>
            <w:tcBorders>
              <w:top w:val="nil"/>
              <w:left w:val="nil"/>
              <w:bottom w:val="single" w:sz="4" w:space="0" w:color="000000"/>
              <w:right w:val="single" w:sz="4" w:space="0" w:color="000000"/>
            </w:tcBorders>
          </w:tcPr>
          <w:p w14:paraId="4E3EBB62" w14:textId="77777777" w:rsidR="004F1A38" w:rsidRPr="00CF2985" w:rsidRDefault="00615E39" w:rsidP="00645261">
            <w:pPr>
              <w:spacing w:line="240" w:lineRule="auto"/>
              <w:jc w:val="center"/>
              <w:rPr>
                <w:lang w:val="en-GB"/>
              </w:rPr>
            </w:pPr>
            <w:r w:rsidRPr="00CF2985">
              <w:rPr>
                <w:sz w:val="16"/>
                <w:szCs w:val="16"/>
                <w:lang w:val="en-GB"/>
              </w:rPr>
              <w:t>1</w:t>
            </w:r>
          </w:p>
        </w:tc>
        <w:tc>
          <w:tcPr>
            <w:tcW w:w="1275" w:type="dxa"/>
            <w:tcBorders>
              <w:top w:val="nil"/>
              <w:left w:val="nil"/>
              <w:bottom w:val="single" w:sz="4" w:space="0" w:color="000000"/>
              <w:right w:val="single" w:sz="4" w:space="0" w:color="000000"/>
            </w:tcBorders>
          </w:tcPr>
          <w:p w14:paraId="57A78840"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5122DD6F" w14:textId="77777777" w:rsidR="004F1A38" w:rsidRPr="00CF2985" w:rsidRDefault="004F1A38" w:rsidP="00645261">
            <w:pPr>
              <w:spacing w:line="240" w:lineRule="auto"/>
              <w:jc w:val="center"/>
              <w:rPr>
                <w:lang w:val="en-GB"/>
              </w:rPr>
            </w:pPr>
          </w:p>
        </w:tc>
        <w:tc>
          <w:tcPr>
            <w:tcW w:w="1125" w:type="dxa"/>
            <w:tcBorders>
              <w:top w:val="nil"/>
              <w:left w:val="nil"/>
              <w:bottom w:val="single" w:sz="4" w:space="0" w:color="000000"/>
              <w:right w:val="single" w:sz="4" w:space="0" w:color="000000"/>
            </w:tcBorders>
          </w:tcPr>
          <w:p w14:paraId="4195D187" w14:textId="77777777" w:rsidR="004F1A38" w:rsidRPr="00CF2985" w:rsidRDefault="004F1A38" w:rsidP="00645261">
            <w:pPr>
              <w:spacing w:line="240" w:lineRule="auto"/>
              <w:jc w:val="center"/>
              <w:rPr>
                <w:lang w:val="en-GB"/>
              </w:rPr>
            </w:pPr>
          </w:p>
        </w:tc>
      </w:tr>
      <w:tr w:rsidR="004F1A38" w:rsidRPr="00CF2985" w14:paraId="6E5A12E9"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66B49CCF" w14:textId="77777777" w:rsidR="004F1A38" w:rsidRPr="00CF2985" w:rsidRDefault="00615E39" w:rsidP="00645261">
            <w:pPr>
              <w:spacing w:line="240" w:lineRule="auto"/>
              <w:jc w:val="center"/>
              <w:rPr>
                <w:lang w:val="en-GB"/>
              </w:rPr>
            </w:pPr>
            <w:r w:rsidRPr="00CF2985">
              <w:rPr>
                <w:sz w:val="16"/>
                <w:szCs w:val="16"/>
                <w:lang w:val="en-GB"/>
              </w:rPr>
              <w:t>Kõnnu</w:t>
            </w:r>
          </w:p>
        </w:tc>
        <w:tc>
          <w:tcPr>
            <w:tcW w:w="996" w:type="dxa"/>
            <w:tcBorders>
              <w:top w:val="nil"/>
              <w:left w:val="nil"/>
              <w:bottom w:val="single" w:sz="4" w:space="0" w:color="000000"/>
              <w:right w:val="single" w:sz="4" w:space="0" w:color="000000"/>
            </w:tcBorders>
          </w:tcPr>
          <w:p w14:paraId="39F096E1" w14:textId="77777777" w:rsidR="004F1A38" w:rsidRPr="00CF2985" w:rsidRDefault="00615E39" w:rsidP="00645261">
            <w:pPr>
              <w:spacing w:line="240" w:lineRule="auto"/>
              <w:jc w:val="center"/>
              <w:rPr>
                <w:lang w:val="en-GB"/>
              </w:rPr>
            </w:pPr>
            <w:r w:rsidRPr="00CF2985">
              <w:rPr>
                <w:sz w:val="16"/>
                <w:szCs w:val="16"/>
                <w:lang w:val="en-GB"/>
              </w:rPr>
              <w:t>Coastal</w:t>
            </w:r>
          </w:p>
        </w:tc>
        <w:tc>
          <w:tcPr>
            <w:tcW w:w="705" w:type="dxa"/>
            <w:tcBorders>
              <w:top w:val="nil"/>
              <w:left w:val="nil"/>
              <w:bottom w:val="single" w:sz="4" w:space="0" w:color="000000"/>
              <w:right w:val="single" w:sz="4" w:space="0" w:color="000000"/>
            </w:tcBorders>
          </w:tcPr>
          <w:p w14:paraId="5DD8FBDF" w14:textId="77777777" w:rsidR="004F1A38" w:rsidRPr="00CF2985" w:rsidRDefault="00615E39" w:rsidP="00645261">
            <w:pPr>
              <w:spacing w:line="240" w:lineRule="auto"/>
              <w:jc w:val="center"/>
              <w:rPr>
                <w:lang w:val="en-GB"/>
              </w:rPr>
            </w:pPr>
            <w:r w:rsidRPr="00CF2985">
              <w:rPr>
                <w:sz w:val="16"/>
                <w:szCs w:val="16"/>
                <w:lang w:val="en-GB"/>
              </w:rPr>
              <w:t>5</w:t>
            </w:r>
          </w:p>
        </w:tc>
        <w:tc>
          <w:tcPr>
            <w:tcW w:w="992" w:type="dxa"/>
            <w:tcBorders>
              <w:top w:val="nil"/>
              <w:left w:val="nil"/>
              <w:bottom w:val="single" w:sz="4" w:space="0" w:color="000000"/>
              <w:right w:val="single" w:sz="4" w:space="0" w:color="000000"/>
            </w:tcBorders>
          </w:tcPr>
          <w:p w14:paraId="68437473" w14:textId="77777777" w:rsidR="004F1A38" w:rsidRPr="00CF2985" w:rsidRDefault="00615E39" w:rsidP="00645261">
            <w:pPr>
              <w:spacing w:line="240" w:lineRule="auto"/>
              <w:jc w:val="center"/>
              <w:rPr>
                <w:lang w:val="en-GB"/>
              </w:rPr>
            </w:pPr>
            <w:r w:rsidRPr="00CF2985">
              <w:rPr>
                <w:sz w:val="16"/>
                <w:szCs w:val="16"/>
                <w:lang w:val="en-GB"/>
              </w:rPr>
              <w:t>9</w:t>
            </w:r>
          </w:p>
        </w:tc>
        <w:tc>
          <w:tcPr>
            <w:tcW w:w="1134" w:type="dxa"/>
            <w:tcBorders>
              <w:top w:val="nil"/>
              <w:left w:val="nil"/>
              <w:bottom w:val="single" w:sz="4" w:space="0" w:color="000000"/>
              <w:right w:val="single" w:sz="4" w:space="0" w:color="000000"/>
            </w:tcBorders>
          </w:tcPr>
          <w:p w14:paraId="7ED742D4" w14:textId="77777777" w:rsidR="004F1A38" w:rsidRPr="00CF2985" w:rsidRDefault="00615E39" w:rsidP="00645261">
            <w:pPr>
              <w:spacing w:line="240" w:lineRule="auto"/>
              <w:jc w:val="center"/>
              <w:rPr>
                <w:lang w:val="en-GB"/>
              </w:rPr>
            </w:pPr>
            <w:r w:rsidRPr="00CF2985">
              <w:rPr>
                <w:sz w:val="16"/>
                <w:szCs w:val="16"/>
                <w:lang w:val="en-GB"/>
              </w:rPr>
              <w:t>Fe 1, Fi 3, I 5</w:t>
            </w:r>
          </w:p>
        </w:tc>
        <w:tc>
          <w:tcPr>
            <w:tcW w:w="1134" w:type="dxa"/>
            <w:tcBorders>
              <w:top w:val="nil"/>
              <w:left w:val="nil"/>
              <w:bottom w:val="single" w:sz="4" w:space="0" w:color="000000"/>
              <w:right w:val="single" w:sz="4" w:space="0" w:color="000000"/>
            </w:tcBorders>
          </w:tcPr>
          <w:p w14:paraId="232BC42A" w14:textId="77777777" w:rsidR="004F1A38" w:rsidRPr="00CF2985" w:rsidRDefault="00615E39" w:rsidP="00645261">
            <w:pPr>
              <w:jc w:val="center"/>
              <w:rPr>
                <w:lang w:val="en-GB"/>
              </w:rPr>
            </w:pPr>
            <w:r w:rsidRPr="00CF2985">
              <w:rPr>
                <w:sz w:val="16"/>
                <w:szCs w:val="16"/>
                <w:lang w:val="en-GB"/>
              </w:rPr>
              <w:t>9-80 / 40</w:t>
            </w:r>
          </w:p>
        </w:tc>
        <w:tc>
          <w:tcPr>
            <w:tcW w:w="993" w:type="dxa"/>
            <w:tcBorders>
              <w:top w:val="nil"/>
              <w:left w:val="nil"/>
              <w:bottom w:val="single" w:sz="4" w:space="0" w:color="000000"/>
              <w:right w:val="single" w:sz="4" w:space="0" w:color="000000"/>
            </w:tcBorders>
          </w:tcPr>
          <w:p w14:paraId="6111508E" w14:textId="77777777" w:rsidR="004F1A38" w:rsidRPr="00CF2985" w:rsidRDefault="00615E39" w:rsidP="00645261">
            <w:pPr>
              <w:spacing w:line="240" w:lineRule="auto"/>
              <w:jc w:val="center"/>
              <w:rPr>
                <w:lang w:val="en-GB"/>
              </w:rPr>
            </w:pPr>
            <w:r w:rsidRPr="00CF2985">
              <w:rPr>
                <w:sz w:val="16"/>
                <w:szCs w:val="16"/>
                <w:lang w:val="en-GB"/>
              </w:rPr>
              <w:t>5</w:t>
            </w:r>
          </w:p>
        </w:tc>
        <w:tc>
          <w:tcPr>
            <w:tcW w:w="1275" w:type="dxa"/>
            <w:tcBorders>
              <w:top w:val="nil"/>
              <w:left w:val="nil"/>
              <w:bottom w:val="single" w:sz="4" w:space="0" w:color="000000"/>
              <w:right w:val="single" w:sz="4" w:space="0" w:color="000000"/>
            </w:tcBorders>
          </w:tcPr>
          <w:p w14:paraId="704C347F" w14:textId="77777777" w:rsidR="004F1A38" w:rsidRPr="00CF2985" w:rsidRDefault="00615E39" w:rsidP="00645261">
            <w:pPr>
              <w:spacing w:line="240" w:lineRule="auto"/>
              <w:jc w:val="center"/>
              <w:rPr>
                <w:lang w:val="en-GB"/>
              </w:rPr>
            </w:pPr>
            <w:r w:rsidRPr="00CF2985">
              <w:rPr>
                <w:sz w:val="16"/>
                <w:szCs w:val="16"/>
                <w:lang w:val="en-GB"/>
              </w:rPr>
              <w:t>1 (1)</w:t>
            </w:r>
          </w:p>
        </w:tc>
        <w:tc>
          <w:tcPr>
            <w:tcW w:w="877" w:type="dxa"/>
            <w:tcBorders>
              <w:top w:val="nil"/>
              <w:left w:val="nil"/>
              <w:bottom w:val="single" w:sz="4" w:space="0" w:color="000000"/>
              <w:right w:val="single" w:sz="4" w:space="0" w:color="000000"/>
            </w:tcBorders>
          </w:tcPr>
          <w:p w14:paraId="3686CEF8" w14:textId="77777777" w:rsidR="004F1A38" w:rsidRPr="00CF2985" w:rsidRDefault="00615E39" w:rsidP="00645261">
            <w:pPr>
              <w:spacing w:line="240" w:lineRule="auto"/>
              <w:jc w:val="center"/>
              <w:rPr>
                <w:lang w:val="en-GB"/>
              </w:rPr>
            </w:pPr>
            <w:r w:rsidRPr="00CF2985">
              <w:rPr>
                <w:sz w:val="16"/>
                <w:szCs w:val="16"/>
                <w:lang w:val="en-GB"/>
              </w:rPr>
              <w:t>4</w:t>
            </w:r>
          </w:p>
        </w:tc>
        <w:tc>
          <w:tcPr>
            <w:tcW w:w="1125" w:type="dxa"/>
            <w:tcBorders>
              <w:top w:val="nil"/>
              <w:left w:val="nil"/>
              <w:bottom w:val="single" w:sz="4" w:space="0" w:color="000000"/>
              <w:right w:val="single" w:sz="4" w:space="0" w:color="000000"/>
            </w:tcBorders>
          </w:tcPr>
          <w:p w14:paraId="6CBECA0C" w14:textId="77777777" w:rsidR="004F1A38" w:rsidRPr="00CF2985" w:rsidRDefault="00615E39" w:rsidP="00645261">
            <w:pPr>
              <w:spacing w:line="240" w:lineRule="auto"/>
              <w:jc w:val="center"/>
              <w:rPr>
                <w:lang w:val="en-GB"/>
              </w:rPr>
            </w:pPr>
            <w:r w:rsidRPr="00CF2985">
              <w:rPr>
                <w:sz w:val="16"/>
                <w:szCs w:val="16"/>
                <w:lang w:val="en-GB"/>
              </w:rPr>
              <w:t>4</w:t>
            </w:r>
          </w:p>
        </w:tc>
      </w:tr>
      <w:tr w:rsidR="004F1A38" w:rsidRPr="00CF2985" w14:paraId="4AF5A3DD"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10946BDC" w14:textId="77777777" w:rsidR="004F1A38" w:rsidRPr="00CF2985" w:rsidRDefault="00615E39" w:rsidP="00645261">
            <w:pPr>
              <w:spacing w:line="240" w:lineRule="auto"/>
              <w:jc w:val="center"/>
              <w:rPr>
                <w:lang w:val="en-GB"/>
              </w:rPr>
            </w:pPr>
            <w:r w:rsidRPr="00CF2985">
              <w:rPr>
                <w:sz w:val="16"/>
                <w:szCs w:val="16"/>
                <w:lang w:val="en-GB"/>
              </w:rPr>
              <w:t>Kõpu I</w:t>
            </w:r>
          </w:p>
        </w:tc>
        <w:tc>
          <w:tcPr>
            <w:tcW w:w="996" w:type="dxa"/>
            <w:tcBorders>
              <w:top w:val="nil"/>
              <w:left w:val="nil"/>
              <w:bottom w:val="single" w:sz="4" w:space="0" w:color="000000"/>
              <w:right w:val="single" w:sz="4" w:space="0" w:color="000000"/>
            </w:tcBorders>
          </w:tcPr>
          <w:p w14:paraId="28FA8A1A" w14:textId="77777777" w:rsidR="004F1A38" w:rsidRPr="00CF2985" w:rsidRDefault="00615E39" w:rsidP="00645261">
            <w:pPr>
              <w:spacing w:line="240" w:lineRule="auto"/>
              <w:jc w:val="center"/>
              <w:rPr>
                <w:lang w:val="en-GB"/>
              </w:rPr>
            </w:pPr>
            <w:r w:rsidRPr="00CF2985">
              <w:rPr>
                <w:sz w:val="16"/>
                <w:szCs w:val="16"/>
                <w:lang w:val="en-GB"/>
              </w:rPr>
              <w:t>Coastal</w:t>
            </w:r>
          </w:p>
        </w:tc>
        <w:tc>
          <w:tcPr>
            <w:tcW w:w="705" w:type="dxa"/>
            <w:tcBorders>
              <w:top w:val="nil"/>
              <w:left w:val="nil"/>
              <w:bottom w:val="single" w:sz="4" w:space="0" w:color="000000"/>
              <w:right w:val="single" w:sz="4" w:space="0" w:color="000000"/>
            </w:tcBorders>
          </w:tcPr>
          <w:p w14:paraId="2E90BD3F" w14:textId="77777777" w:rsidR="004F1A38" w:rsidRPr="00CF2985" w:rsidRDefault="00615E39" w:rsidP="00645261">
            <w:pPr>
              <w:spacing w:line="240" w:lineRule="auto"/>
              <w:jc w:val="center"/>
              <w:rPr>
                <w:lang w:val="en-GB"/>
              </w:rPr>
            </w:pPr>
            <w:r w:rsidRPr="00CF2985">
              <w:rPr>
                <w:sz w:val="16"/>
                <w:szCs w:val="16"/>
                <w:lang w:val="en-GB"/>
              </w:rPr>
              <w:t>1</w:t>
            </w:r>
          </w:p>
        </w:tc>
        <w:tc>
          <w:tcPr>
            <w:tcW w:w="992" w:type="dxa"/>
            <w:tcBorders>
              <w:top w:val="nil"/>
              <w:left w:val="nil"/>
              <w:bottom w:val="single" w:sz="4" w:space="0" w:color="000000"/>
              <w:right w:val="single" w:sz="4" w:space="0" w:color="000000"/>
            </w:tcBorders>
          </w:tcPr>
          <w:p w14:paraId="01B8DD67" w14:textId="77777777" w:rsidR="004F1A38" w:rsidRPr="00CF2985" w:rsidRDefault="00615E39" w:rsidP="00645261">
            <w:pPr>
              <w:spacing w:line="240" w:lineRule="auto"/>
              <w:jc w:val="center"/>
              <w:rPr>
                <w:lang w:val="en-GB"/>
              </w:rPr>
            </w:pPr>
            <w:r w:rsidRPr="00CF2985">
              <w:rPr>
                <w:sz w:val="16"/>
                <w:szCs w:val="16"/>
                <w:lang w:val="en-GB"/>
              </w:rPr>
              <w:t>1</w:t>
            </w:r>
          </w:p>
        </w:tc>
        <w:tc>
          <w:tcPr>
            <w:tcW w:w="1134" w:type="dxa"/>
            <w:tcBorders>
              <w:top w:val="nil"/>
              <w:left w:val="nil"/>
              <w:bottom w:val="single" w:sz="4" w:space="0" w:color="000000"/>
              <w:right w:val="single" w:sz="4" w:space="0" w:color="000000"/>
            </w:tcBorders>
          </w:tcPr>
          <w:p w14:paraId="2C125EC8" w14:textId="77777777" w:rsidR="004F1A38" w:rsidRPr="00CF2985" w:rsidRDefault="00615E39" w:rsidP="00645261">
            <w:pPr>
              <w:spacing w:line="240" w:lineRule="auto"/>
              <w:jc w:val="center"/>
              <w:rPr>
                <w:lang w:val="en-GB"/>
              </w:rPr>
            </w:pPr>
            <w:r w:rsidRPr="00CF2985">
              <w:rPr>
                <w:sz w:val="16"/>
                <w:szCs w:val="16"/>
                <w:lang w:val="en-GB"/>
              </w:rPr>
              <w:t>I 1</w:t>
            </w:r>
          </w:p>
        </w:tc>
        <w:tc>
          <w:tcPr>
            <w:tcW w:w="1134" w:type="dxa"/>
            <w:tcBorders>
              <w:top w:val="nil"/>
              <w:left w:val="nil"/>
              <w:bottom w:val="single" w:sz="4" w:space="0" w:color="000000"/>
              <w:right w:val="single" w:sz="4" w:space="0" w:color="000000"/>
            </w:tcBorders>
          </w:tcPr>
          <w:p w14:paraId="57CAF87F" w14:textId="77777777" w:rsidR="004F1A38" w:rsidRPr="00CF2985" w:rsidRDefault="00615E39" w:rsidP="00645261">
            <w:pPr>
              <w:spacing w:line="240" w:lineRule="auto"/>
              <w:jc w:val="center"/>
              <w:rPr>
                <w:lang w:val="en-GB"/>
              </w:rPr>
            </w:pPr>
            <w:r w:rsidRPr="00CF2985">
              <w:rPr>
                <w:sz w:val="16"/>
                <w:szCs w:val="16"/>
                <w:lang w:val="en-GB"/>
              </w:rPr>
              <w:t>38 / NA</w:t>
            </w:r>
          </w:p>
        </w:tc>
        <w:tc>
          <w:tcPr>
            <w:tcW w:w="993" w:type="dxa"/>
            <w:tcBorders>
              <w:top w:val="nil"/>
              <w:left w:val="nil"/>
              <w:bottom w:val="single" w:sz="4" w:space="0" w:color="000000"/>
              <w:right w:val="single" w:sz="4" w:space="0" w:color="000000"/>
            </w:tcBorders>
          </w:tcPr>
          <w:p w14:paraId="20AC08D0" w14:textId="77777777" w:rsidR="004F1A38" w:rsidRPr="00CF2985" w:rsidRDefault="00615E39" w:rsidP="00645261">
            <w:pPr>
              <w:spacing w:line="240" w:lineRule="auto"/>
              <w:jc w:val="center"/>
              <w:rPr>
                <w:lang w:val="en-GB"/>
              </w:rPr>
            </w:pPr>
            <w:r w:rsidRPr="00CF2985">
              <w:rPr>
                <w:sz w:val="16"/>
                <w:szCs w:val="16"/>
                <w:lang w:val="en-GB"/>
              </w:rPr>
              <w:t>1</w:t>
            </w:r>
          </w:p>
        </w:tc>
        <w:tc>
          <w:tcPr>
            <w:tcW w:w="1275" w:type="dxa"/>
            <w:tcBorders>
              <w:top w:val="nil"/>
              <w:left w:val="nil"/>
              <w:bottom w:val="single" w:sz="4" w:space="0" w:color="000000"/>
              <w:right w:val="single" w:sz="4" w:space="0" w:color="000000"/>
            </w:tcBorders>
          </w:tcPr>
          <w:p w14:paraId="02DAE3E4"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22654A84" w14:textId="77777777" w:rsidR="004F1A38" w:rsidRPr="00CF2985" w:rsidRDefault="004F1A38" w:rsidP="00645261">
            <w:pPr>
              <w:spacing w:line="240" w:lineRule="auto"/>
              <w:jc w:val="center"/>
              <w:rPr>
                <w:lang w:val="en-GB"/>
              </w:rPr>
            </w:pPr>
          </w:p>
        </w:tc>
        <w:tc>
          <w:tcPr>
            <w:tcW w:w="1125" w:type="dxa"/>
            <w:tcBorders>
              <w:top w:val="nil"/>
              <w:left w:val="nil"/>
              <w:bottom w:val="single" w:sz="4" w:space="0" w:color="000000"/>
              <w:right w:val="single" w:sz="4" w:space="0" w:color="000000"/>
            </w:tcBorders>
          </w:tcPr>
          <w:p w14:paraId="22E875A3" w14:textId="77777777" w:rsidR="004F1A38" w:rsidRPr="00CF2985" w:rsidRDefault="004F1A38" w:rsidP="00645261">
            <w:pPr>
              <w:spacing w:line="240" w:lineRule="auto"/>
              <w:jc w:val="center"/>
              <w:rPr>
                <w:lang w:val="en-GB"/>
              </w:rPr>
            </w:pPr>
          </w:p>
        </w:tc>
      </w:tr>
      <w:tr w:rsidR="004F1A38" w:rsidRPr="00CF2985" w14:paraId="2E0BBB23"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4C9C3139" w14:textId="77777777" w:rsidR="004F1A38" w:rsidRPr="00CF2985" w:rsidRDefault="00615E39" w:rsidP="00645261">
            <w:pPr>
              <w:spacing w:line="240" w:lineRule="auto"/>
              <w:jc w:val="center"/>
              <w:rPr>
                <w:lang w:val="en-GB"/>
              </w:rPr>
            </w:pPr>
            <w:r w:rsidRPr="00CF2985">
              <w:rPr>
                <w:sz w:val="16"/>
                <w:szCs w:val="16"/>
                <w:lang w:val="en-GB"/>
              </w:rPr>
              <w:t>Kroodi</w:t>
            </w:r>
          </w:p>
        </w:tc>
        <w:tc>
          <w:tcPr>
            <w:tcW w:w="996" w:type="dxa"/>
            <w:tcBorders>
              <w:top w:val="nil"/>
              <w:left w:val="nil"/>
              <w:bottom w:val="single" w:sz="4" w:space="0" w:color="000000"/>
              <w:right w:val="single" w:sz="4" w:space="0" w:color="000000"/>
            </w:tcBorders>
          </w:tcPr>
          <w:p w14:paraId="1F192CAE" w14:textId="77777777" w:rsidR="004F1A38" w:rsidRPr="00CF2985" w:rsidRDefault="00615E39" w:rsidP="00645261">
            <w:pPr>
              <w:spacing w:line="240" w:lineRule="auto"/>
              <w:jc w:val="center"/>
              <w:rPr>
                <w:lang w:val="en-GB"/>
              </w:rPr>
            </w:pPr>
            <w:r w:rsidRPr="00CF2985">
              <w:rPr>
                <w:sz w:val="16"/>
                <w:szCs w:val="16"/>
                <w:lang w:val="en-GB"/>
              </w:rPr>
              <w:t>Lagoon (?)</w:t>
            </w:r>
          </w:p>
        </w:tc>
        <w:tc>
          <w:tcPr>
            <w:tcW w:w="705" w:type="dxa"/>
            <w:tcBorders>
              <w:top w:val="nil"/>
              <w:left w:val="nil"/>
              <w:bottom w:val="single" w:sz="4" w:space="0" w:color="000000"/>
              <w:right w:val="single" w:sz="4" w:space="0" w:color="000000"/>
            </w:tcBorders>
          </w:tcPr>
          <w:p w14:paraId="23D3C1F0" w14:textId="77777777" w:rsidR="004F1A38" w:rsidRPr="00CF2985" w:rsidRDefault="00615E39" w:rsidP="00645261">
            <w:pPr>
              <w:spacing w:line="240" w:lineRule="auto"/>
              <w:jc w:val="center"/>
              <w:rPr>
                <w:lang w:val="en-GB"/>
              </w:rPr>
            </w:pPr>
            <w:r w:rsidRPr="00CF2985">
              <w:rPr>
                <w:sz w:val="16"/>
                <w:szCs w:val="16"/>
                <w:lang w:val="en-GB"/>
              </w:rPr>
              <w:t>1</w:t>
            </w:r>
          </w:p>
        </w:tc>
        <w:tc>
          <w:tcPr>
            <w:tcW w:w="992" w:type="dxa"/>
            <w:tcBorders>
              <w:top w:val="nil"/>
              <w:left w:val="nil"/>
              <w:bottom w:val="single" w:sz="4" w:space="0" w:color="000000"/>
              <w:right w:val="single" w:sz="4" w:space="0" w:color="000000"/>
            </w:tcBorders>
          </w:tcPr>
          <w:p w14:paraId="0DC3ECE8" w14:textId="77777777" w:rsidR="004F1A38" w:rsidRPr="00CF2985" w:rsidRDefault="00615E39" w:rsidP="00645261">
            <w:pPr>
              <w:spacing w:line="240" w:lineRule="auto"/>
              <w:jc w:val="center"/>
              <w:rPr>
                <w:lang w:val="en-GB"/>
              </w:rPr>
            </w:pPr>
            <w:r w:rsidRPr="00CF2985">
              <w:rPr>
                <w:sz w:val="16"/>
                <w:szCs w:val="16"/>
                <w:lang w:val="en-GB"/>
              </w:rPr>
              <w:t>2</w:t>
            </w:r>
          </w:p>
        </w:tc>
        <w:tc>
          <w:tcPr>
            <w:tcW w:w="1134" w:type="dxa"/>
            <w:tcBorders>
              <w:top w:val="nil"/>
              <w:left w:val="nil"/>
              <w:bottom w:val="single" w:sz="4" w:space="0" w:color="000000"/>
              <w:right w:val="single" w:sz="4" w:space="0" w:color="000000"/>
            </w:tcBorders>
          </w:tcPr>
          <w:p w14:paraId="30643628" w14:textId="77777777" w:rsidR="004F1A38" w:rsidRPr="00CF2985" w:rsidRDefault="00615E39" w:rsidP="00645261">
            <w:pPr>
              <w:spacing w:line="240" w:lineRule="auto"/>
              <w:jc w:val="center"/>
              <w:rPr>
                <w:lang w:val="en-GB"/>
              </w:rPr>
            </w:pPr>
            <w:r w:rsidRPr="00CF2985">
              <w:rPr>
                <w:sz w:val="16"/>
                <w:szCs w:val="16"/>
                <w:lang w:val="en-GB"/>
              </w:rPr>
              <w:t>Fi 1, I 1</w:t>
            </w:r>
          </w:p>
        </w:tc>
        <w:tc>
          <w:tcPr>
            <w:tcW w:w="1134" w:type="dxa"/>
            <w:tcBorders>
              <w:top w:val="nil"/>
              <w:left w:val="nil"/>
              <w:bottom w:val="single" w:sz="4" w:space="0" w:color="auto"/>
              <w:right w:val="single" w:sz="4" w:space="0" w:color="000000"/>
            </w:tcBorders>
          </w:tcPr>
          <w:p w14:paraId="0F7E6703" w14:textId="77777777" w:rsidR="004F1A38" w:rsidRPr="00CF2985" w:rsidRDefault="00615E39" w:rsidP="00645261">
            <w:pPr>
              <w:jc w:val="center"/>
              <w:rPr>
                <w:lang w:val="en-GB"/>
              </w:rPr>
            </w:pPr>
            <w:r w:rsidRPr="00CF2985">
              <w:rPr>
                <w:sz w:val="16"/>
                <w:szCs w:val="16"/>
                <w:lang w:val="en-GB"/>
              </w:rPr>
              <w:t>67-75 / NA</w:t>
            </w:r>
          </w:p>
        </w:tc>
        <w:tc>
          <w:tcPr>
            <w:tcW w:w="993" w:type="dxa"/>
            <w:tcBorders>
              <w:top w:val="nil"/>
              <w:left w:val="nil"/>
              <w:bottom w:val="single" w:sz="4" w:space="0" w:color="auto"/>
              <w:right w:val="single" w:sz="4" w:space="0" w:color="000000"/>
            </w:tcBorders>
          </w:tcPr>
          <w:p w14:paraId="7F42A6B1" w14:textId="77777777" w:rsidR="004F1A38" w:rsidRPr="00CF2985" w:rsidRDefault="00615E39" w:rsidP="00645261">
            <w:pPr>
              <w:spacing w:line="240" w:lineRule="auto"/>
              <w:jc w:val="center"/>
              <w:rPr>
                <w:lang w:val="en-GB"/>
              </w:rPr>
            </w:pPr>
            <w:r w:rsidRPr="00CF2985">
              <w:rPr>
                <w:sz w:val="16"/>
                <w:szCs w:val="16"/>
                <w:lang w:val="en-GB"/>
              </w:rPr>
              <w:t>1</w:t>
            </w:r>
          </w:p>
        </w:tc>
        <w:tc>
          <w:tcPr>
            <w:tcW w:w="1275" w:type="dxa"/>
            <w:tcBorders>
              <w:top w:val="nil"/>
              <w:left w:val="nil"/>
              <w:bottom w:val="single" w:sz="4" w:space="0" w:color="000000"/>
              <w:right w:val="single" w:sz="4" w:space="0" w:color="000000"/>
            </w:tcBorders>
          </w:tcPr>
          <w:p w14:paraId="3B01D4E1" w14:textId="77777777" w:rsidR="004F1A38" w:rsidRPr="00CF2985" w:rsidRDefault="00615E39" w:rsidP="00645261">
            <w:pPr>
              <w:spacing w:line="240" w:lineRule="auto"/>
              <w:jc w:val="center"/>
              <w:rPr>
                <w:lang w:val="en-GB"/>
              </w:rPr>
            </w:pPr>
            <w:r w:rsidRPr="00CF2985">
              <w:rPr>
                <w:sz w:val="16"/>
                <w:szCs w:val="16"/>
                <w:lang w:val="en-GB"/>
              </w:rPr>
              <w:t>(1)</w:t>
            </w:r>
          </w:p>
        </w:tc>
        <w:tc>
          <w:tcPr>
            <w:tcW w:w="877" w:type="dxa"/>
            <w:tcBorders>
              <w:top w:val="nil"/>
              <w:left w:val="nil"/>
              <w:bottom w:val="single" w:sz="4" w:space="0" w:color="000000"/>
              <w:right w:val="single" w:sz="4" w:space="0" w:color="000000"/>
            </w:tcBorders>
          </w:tcPr>
          <w:p w14:paraId="505089E3" w14:textId="77777777" w:rsidR="004F1A38" w:rsidRPr="00CF2985" w:rsidRDefault="00615E39" w:rsidP="00645261">
            <w:pPr>
              <w:spacing w:line="240" w:lineRule="auto"/>
              <w:jc w:val="center"/>
              <w:rPr>
                <w:lang w:val="en-GB"/>
              </w:rPr>
            </w:pPr>
            <w:r w:rsidRPr="00CF2985">
              <w:rPr>
                <w:sz w:val="16"/>
                <w:szCs w:val="16"/>
                <w:lang w:val="en-GB"/>
              </w:rPr>
              <w:t>1</w:t>
            </w:r>
          </w:p>
        </w:tc>
        <w:tc>
          <w:tcPr>
            <w:tcW w:w="1125" w:type="dxa"/>
            <w:tcBorders>
              <w:top w:val="nil"/>
              <w:left w:val="nil"/>
              <w:bottom w:val="single" w:sz="4" w:space="0" w:color="000000"/>
              <w:right w:val="single" w:sz="4" w:space="0" w:color="000000"/>
            </w:tcBorders>
          </w:tcPr>
          <w:p w14:paraId="3CC6B49D" w14:textId="77777777" w:rsidR="004F1A38" w:rsidRPr="00CF2985" w:rsidRDefault="00615E39" w:rsidP="00645261">
            <w:pPr>
              <w:spacing w:line="240" w:lineRule="auto"/>
              <w:jc w:val="center"/>
              <w:rPr>
                <w:lang w:val="en-GB"/>
              </w:rPr>
            </w:pPr>
            <w:r w:rsidRPr="00CF2985">
              <w:rPr>
                <w:sz w:val="16"/>
                <w:szCs w:val="16"/>
                <w:lang w:val="en-GB"/>
              </w:rPr>
              <w:t>1</w:t>
            </w:r>
          </w:p>
        </w:tc>
      </w:tr>
      <w:tr w:rsidR="004F1A38" w:rsidRPr="00CF2985" w14:paraId="4A1EE05E"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1316E7DD" w14:textId="77777777" w:rsidR="004F1A38" w:rsidRPr="00CF2985" w:rsidRDefault="00615E39" w:rsidP="00645261">
            <w:pPr>
              <w:spacing w:line="240" w:lineRule="auto"/>
              <w:jc w:val="center"/>
              <w:rPr>
                <w:lang w:val="en-GB"/>
              </w:rPr>
            </w:pPr>
            <w:r w:rsidRPr="00CF2985">
              <w:rPr>
                <w:sz w:val="16"/>
                <w:szCs w:val="16"/>
                <w:lang w:val="en-GB"/>
              </w:rPr>
              <w:t>Lommi</w:t>
            </w:r>
          </w:p>
        </w:tc>
        <w:tc>
          <w:tcPr>
            <w:tcW w:w="996" w:type="dxa"/>
            <w:tcBorders>
              <w:top w:val="nil"/>
              <w:left w:val="nil"/>
              <w:bottom w:val="single" w:sz="4" w:space="0" w:color="000000"/>
              <w:right w:val="single" w:sz="4" w:space="0" w:color="000000"/>
            </w:tcBorders>
          </w:tcPr>
          <w:p w14:paraId="70C9BAF6" w14:textId="77777777" w:rsidR="004F1A38" w:rsidRPr="00CF2985" w:rsidRDefault="00615E39" w:rsidP="00645261">
            <w:pPr>
              <w:spacing w:line="240" w:lineRule="auto"/>
              <w:jc w:val="center"/>
              <w:rPr>
                <w:lang w:val="en-GB"/>
              </w:rPr>
            </w:pPr>
            <w:r w:rsidRPr="00CF2985">
              <w:rPr>
                <w:sz w:val="16"/>
                <w:szCs w:val="16"/>
                <w:lang w:val="en-GB"/>
              </w:rPr>
              <w:t>Lagoon</w:t>
            </w:r>
          </w:p>
        </w:tc>
        <w:tc>
          <w:tcPr>
            <w:tcW w:w="705" w:type="dxa"/>
            <w:tcBorders>
              <w:top w:val="nil"/>
              <w:left w:val="nil"/>
              <w:bottom w:val="single" w:sz="4" w:space="0" w:color="000000"/>
              <w:right w:val="single" w:sz="4" w:space="0" w:color="000000"/>
            </w:tcBorders>
          </w:tcPr>
          <w:p w14:paraId="0616599F" w14:textId="77777777" w:rsidR="004F1A38" w:rsidRPr="00CF2985" w:rsidRDefault="00615E39" w:rsidP="00645261">
            <w:pPr>
              <w:spacing w:line="240" w:lineRule="auto"/>
              <w:jc w:val="center"/>
              <w:rPr>
                <w:lang w:val="en-GB"/>
              </w:rPr>
            </w:pPr>
            <w:r w:rsidRPr="00CF2985">
              <w:rPr>
                <w:sz w:val="16"/>
                <w:szCs w:val="16"/>
                <w:lang w:val="en-GB"/>
              </w:rPr>
              <w:t>5</w:t>
            </w:r>
          </w:p>
        </w:tc>
        <w:tc>
          <w:tcPr>
            <w:tcW w:w="992" w:type="dxa"/>
            <w:tcBorders>
              <w:top w:val="nil"/>
              <w:left w:val="nil"/>
              <w:bottom w:val="single" w:sz="4" w:space="0" w:color="000000"/>
              <w:right w:val="single" w:sz="4" w:space="0" w:color="000000"/>
            </w:tcBorders>
          </w:tcPr>
          <w:p w14:paraId="2278CBC1" w14:textId="77777777" w:rsidR="004F1A38" w:rsidRPr="00CF2985" w:rsidRDefault="00615E39" w:rsidP="00645261">
            <w:pPr>
              <w:spacing w:line="240" w:lineRule="auto"/>
              <w:jc w:val="center"/>
              <w:rPr>
                <w:lang w:val="en-GB"/>
              </w:rPr>
            </w:pPr>
            <w:r w:rsidRPr="00CF2985">
              <w:rPr>
                <w:sz w:val="16"/>
                <w:szCs w:val="16"/>
                <w:lang w:val="en-GB"/>
              </w:rPr>
              <w:t>5</w:t>
            </w:r>
          </w:p>
        </w:tc>
        <w:tc>
          <w:tcPr>
            <w:tcW w:w="1134" w:type="dxa"/>
            <w:tcBorders>
              <w:top w:val="nil"/>
              <w:left w:val="nil"/>
              <w:bottom w:val="single" w:sz="4" w:space="0" w:color="000000"/>
              <w:right w:val="single" w:sz="4" w:space="0" w:color="auto"/>
            </w:tcBorders>
          </w:tcPr>
          <w:p w14:paraId="0F2D7E49" w14:textId="77777777" w:rsidR="004F1A38" w:rsidRPr="00CF2985" w:rsidRDefault="00615E39" w:rsidP="00645261">
            <w:pPr>
              <w:spacing w:line="240" w:lineRule="auto"/>
              <w:jc w:val="center"/>
              <w:rPr>
                <w:lang w:val="en-GB"/>
              </w:rPr>
            </w:pPr>
            <w:r w:rsidRPr="00CF2985">
              <w:rPr>
                <w:sz w:val="16"/>
                <w:szCs w:val="16"/>
                <w:lang w:val="en-GB"/>
              </w:rPr>
              <w:t>I 5</w:t>
            </w:r>
          </w:p>
        </w:tc>
        <w:tc>
          <w:tcPr>
            <w:tcW w:w="1134"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5F5281D2" w14:textId="77777777" w:rsidR="004F1A38" w:rsidRPr="00CF2985" w:rsidRDefault="00615E39" w:rsidP="00645261">
            <w:pPr>
              <w:jc w:val="center"/>
              <w:rPr>
                <w:lang w:val="en-GB"/>
              </w:rPr>
            </w:pPr>
            <w:r w:rsidRPr="00CF2985">
              <w:rPr>
                <w:sz w:val="16"/>
                <w:szCs w:val="16"/>
                <w:lang w:val="en-GB"/>
              </w:rPr>
              <w:t>17-104 / 25</w:t>
            </w:r>
          </w:p>
        </w:tc>
        <w:tc>
          <w:tcPr>
            <w:tcW w:w="993"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tcPr>
          <w:p w14:paraId="7B4B442E" w14:textId="77777777" w:rsidR="004F1A38" w:rsidRPr="00CF2985" w:rsidRDefault="00615E39" w:rsidP="00645261">
            <w:pPr>
              <w:spacing w:line="240" w:lineRule="auto"/>
              <w:jc w:val="center"/>
              <w:rPr>
                <w:lang w:val="en-GB"/>
              </w:rPr>
            </w:pPr>
            <w:r w:rsidRPr="00CF2985">
              <w:rPr>
                <w:sz w:val="16"/>
                <w:szCs w:val="16"/>
                <w:lang w:val="en-GB"/>
              </w:rPr>
              <w:t>5</w:t>
            </w:r>
          </w:p>
        </w:tc>
        <w:tc>
          <w:tcPr>
            <w:tcW w:w="1275" w:type="dxa"/>
            <w:tcBorders>
              <w:top w:val="nil"/>
              <w:left w:val="single" w:sz="4" w:space="0" w:color="auto"/>
              <w:bottom w:val="single" w:sz="4" w:space="0" w:color="000000"/>
              <w:right w:val="single" w:sz="4" w:space="0" w:color="000000"/>
            </w:tcBorders>
          </w:tcPr>
          <w:p w14:paraId="11839253"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7F912622" w14:textId="77777777" w:rsidR="004F1A38" w:rsidRPr="00CF2985" w:rsidRDefault="00615E39" w:rsidP="00645261">
            <w:pPr>
              <w:spacing w:line="240" w:lineRule="auto"/>
              <w:jc w:val="center"/>
              <w:rPr>
                <w:lang w:val="en-GB"/>
              </w:rPr>
            </w:pPr>
            <w:r w:rsidRPr="00CF2985">
              <w:rPr>
                <w:sz w:val="16"/>
                <w:szCs w:val="16"/>
                <w:lang w:val="en-GB"/>
              </w:rPr>
              <w:t>3</w:t>
            </w:r>
          </w:p>
        </w:tc>
        <w:tc>
          <w:tcPr>
            <w:tcW w:w="1125" w:type="dxa"/>
            <w:tcBorders>
              <w:top w:val="nil"/>
              <w:left w:val="nil"/>
              <w:bottom w:val="single" w:sz="4" w:space="0" w:color="000000"/>
              <w:right w:val="single" w:sz="4" w:space="0" w:color="000000"/>
            </w:tcBorders>
          </w:tcPr>
          <w:p w14:paraId="7E70D817" w14:textId="77777777" w:rsidR="004F1A38" w:rsidRPr="00CF2985" w:rsidRDefault="004F1A38" w:rsidP="00645261">
            <w:pPr>
              <w:spacing w:line="240" w:lineRule="auto"/>
              <w:jc w:val="center"/>
              <w:rPr>
                <w:lang w:val="en-GB"/>
              </w:rPr>
            </w:pPr>
          </w:p>
        </w:tc>
      </w:tr>
      <w:tr w:rsidR="004F1A38" w:rsidRPr="00CF2985" w14:paraId="02E03B9E"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1D925349" w14:textId="77777777" w:rsidR="004F1A38" w:rsidRPr="00CF2985" w:rsidRDefault="00615E39" w:rsidP="00645261">
            <w:pPr>
              <w:spacing w:line="240" w:lineRule="auto"/>
              <w:jc w:val="center"/>
              <w:rPr>
                <w:lang w:val="en-GB"/>
              </w:rPr>
            </w:pPr>
            <w:r w:rsidRPr="00CF2985">
              <w:rPr>
                <w:sz w:val="16"/>
                <w:szCs w:val="16"/>
                <w:lang w:val="en-GB"/>
              </w:rPr>
              <w:t>Narva Joaorg</w:t>
            </w:r>
          </w:p>
        </w:tc>
        <w:tc>
          <w:tcPr>
            <w:tcW w:w="996" w:type="dxa"/>
            <w:tcBorders>
              <w:top w:val="nil"/>
              <w:left w:val="nil"/>
              <w:bottom w:val="single" w:sz="4" w:space="0" w:color="000000"/>
              <w:right w:val="single" w:sz="4" w:space="0" w:color="000000"/>
            </w:tcBorders>
          </w:tcPr>
          <w:p w14:paraId="1191E8E5" w14:textId="77777777" w:rsidR="004F1A38" w:rsidRPr="00CF2985" w:rsidRDefault="00615E39" w:rsidP="00645261">
            <w:pPr>
              <w:spacing w:line="240" w:lineRule="auto"/>
              <w:jc w:val="center"/>
              <w:rPr>
                <w:lang w:val="en-GB"/>
              </w:rPr>
            </w:pPr>
            <w:r w:rsidRPr="00CF2985">
              <w:rPr>
                <w:sz w:val="16"/>
                <w:szCs w:val="16"/>
                <w:lang w:val="en-GB"/>
              </w:rPr>
              <w:t>Estuary</w:t>
            </w:r>
          </w:p>
        </w:tc>
        <w:tc>
          <w:tcPr>
            <w:tcW w:w="705" w:type="dxa"/>
            <w:tcBorders>
              <w:top w:val="nil"/>
              <w:left w:val="nil"/>
              <w:bottom w:val="single" w:sz="4" w:space="0" w:color="000000"/>
              <w:right w:val="single" w:sz="4" w:space="0" w:color="000000"/>
            </w:tcBorders>
          </w:tcPr>
          <w:p w14:paraId="25A056B6" w14:textId="77777777" w:rsidR="004F1A38" w:rsidRPr="00CF2985" w:rsidRDefault="00615E39" w:rsidP="00645261">
            <w:pPr>
              <w:spacing w:line="240" w:lineRule="auto"/>
              <w:jc w:val="center"/>
              <w:rPr>
                <w:lang w:val="en-GB"/>
              </w:rPr>
            </w:pPr>
            <w:r w:rsidRPr="00CF2985">
              <w:rPr>
                <w:sz w:val="16"/>
                <w:szCs w:val="16"/>
                <w:lang w:val="en-GB"/>
              </w:rPr>
              <w:t>14</w:t>
            </w:r>
          </w:p>
        </w:tc>
        <w:tc>
          <w:tcPr>
            <w:tcW w:w="992" w:type="dxa"/>
            <w:tcBorders>
              <w:top w:val="nil"/>
              <w:left w:val="nil"/>
              <w:bottom w:val="single" w:sz="4" w:space="0" w:color="000000"/>
              <w:right w:val="single" w:sz="4" w:space="0" w:color="000000"/>
            </w:tcBorders>
          </w:tcPr>
          <w:p w14:paraId="132B3C77" w14:textId="77777777" w:rsidR="004F1A38" w:rsidRPr="00CF2985" w:rsidRDefault="00615E39" w:rsidP="00645261">
            <w:pPr>
              <w:spacing w:line="240" w:lineRule="auto"/>
              <w:jc w:val="center"/>
              <w:rPr>
                <w:lang w:val="en-GB"/>
              </w:rPr>
            </w:pPr>
            <w:r w:rsidRPr="00CF2985">
              <w:rPr>
                <w:sz w:val="16"/>
                <w:szCs w:val="16"/>
                <w:lang w:val="en-GB"/>
              </w:rPr>
              <w:t>20</w:t>
            </w:r>
          </w:p>
        </w:tc>
        <w:tc>
          <w:tcPr>
            <w:tcW w:w="1134" w:type="dxa"/>
            <w:tcBorders>
              <w:top w:val="nil"/>
              <w:left w:val="nil"/>
              <w:bottom w:val="single" w:sz="4" w:space="0" w:color="000000"/>
              <w:right w:val="single" w:sz="4" w:space="0" w:color="000000"/>
            </w:tcBorders>
          </w:tcPr>
          <w:p w14:paraId="7CBB6B7B" w14:textId="77777777" w:rsidR="004F1A38" w:rsidRPr="00CF2985" w:rsidRDefault="00615E39" w:rsidP="00645261">
            <w:pPr>
              <w:spacing w:line="240" w:lineRule="auto"/>
              <w:jc w:val="center"/>
              <w:rPr>
                <w:lang w:val="en-GB"/>
              </w:rPr>
            </w:pPr>
            <w:r w:rsidRPr="00CF2985">
              <w:rPr>
                <w:sz w:val="16"/>
                <w:szCs w:val="16"/>
                <w:lang w:val="en-GB"/>
              </w:rPr>
              <w:t>E 1, Fi 5, I 14</w:t>
            </w:r>
          </w:p>
        </w:tc>
        <w:tc>
          <w:tcPr>
            <w:tcW w:w="1134" w:type="dxa"/>
            <w:tcBorders>
              <w:top w:val="single" w:sz="4" w:space="0" w:color="auto"/>
              <w:left w:val="nil"/>
              <w:bottom w:val="single" w:sz="4" w:space="0" w:color="000000"/>
              <w:right w:val="single" w:sz="4" w:space="0" w:color="000000"/>
            </w:tcBorders>
          </w:tcPr>
          <w:p w14:paraId="3D174E1C" w14:textId="77777777" w:rsidR="004F1A38" w:rsidRPr="00CF2985" w:rsidRDefault="00615E39" w:rsidP="00645261">
            <w:pPr>
              <w:jc w:val="center"/>
              <w:rPr>
                <w:lang w:val="en-GB"/>
              </w:rPr>
            </w:pPr>
            <w:r w:rsidRPr="00CF2985">
              <w:rPr>
                <w:sz w:val="16"/>
                <w:szCs w:val="16"/>
                <w:lang w:val="en-GB"/>
              </w:rPr>
              <w:t>2-171 / 48</w:t>
            </w:r>
          </w:p>
        </w:tc>
        <w:tc>
          <w:tcPr>
            <w:tcW w:w="993" w:type="dxa"/>
            <w:tcBorders>
              <w:top w:val="single" w:sz="4" w:space="0" w:color="auto"/>
              <w:left w:val="nil"/>
              <w:bottom w:val="single" w:sz="4" w:space="0" w:color="000000"/>
              <w:right w:val="single" w:sz="4" w:space="0" w:color="000000"/>
            </w:tcBorders>
          </w:tcPr>
          <w:p w14:paraId="421C6EE6" w14:textId="77777777" w:rsidR="004F1A38" w:rsidRPr="00CF2985" w:rsidRDefault="00615E39" w:rsidP="00645261">
            <w:pPr>
              <w:spacing w:line="240" w:lineRule="auto"/>
              <w:jc w:val="center"/>
              <w:rPr>
                <w:lang w:val="en-GB"/>
              </w:rPr>
            </w:pPr>
            <w:r w:rsidRPr="00CF2985">
              <w:rPr>
                <w:sz w:val="16"/>
                <w:szCs w:val="16"/>
                <w:lang w:val="en-GB"/>
              </w:rPr>
              <w:t>13</w:t>
            </w:r>
          </w:p>
        </w:tc>
        <w:tc>
          <w:tcPr>
            <w:tcW w:w="1275" w:type="dxa"/>
            <w:tcBorders>
              <w:top w:val="nil"/>
              <w:left w:val="nil"/>
              <w:bottom w:val="single" w:sz="4" w:space="0" w:color="000000"/>
              <w:right w:val="single" w:sz="4" w:space="0" w:color="000000"/>
            </w:tcBorders>
          </w:tcPr>
          <w:p w14:paraId="57D74884" w14:textId="77777777" w:rsidR="004F1A38" w:rsidRPr="00CF2985" w:rsidRDefault="00615E39" w:rsidP="00645261">
            <w:pPr>
              <w:spacing w:line="240" w:lineRule="auto"/>
              <w:jc w:val="center"/>
              <w:rPr>
                <w:lang w:val="en-GB"/>
              </w:rPr>
            </w:pPr>
            <w:r w:rsidRPr="00CF2985">
              <w:rPr>
                <w:sz w:val="16"/>
                <w:szCs w:val="16"/>
                <w:lang w:val="en-GB"/>
              </w:rPr>
              <w:t>2</w:t>
            </w:r>
          </w:p>
        </w:tc>
        <w:tc>
          <w:tcPr>
            <w:tcW w:w="877" w:type="dxa"/>
            <w:tcBorders>
              <w:top w:val="nil"/>
              <w:left w:val="nil"/>
              <w:bottom w:val="single" w:sz="4" w:space="0" w:color="000000"/>
              <w:right w:val="single" w:sz="4" w:space="0" w:color="000000"/>
            </w:tcBorders>
          </w:tcPr>
          <w:p w14:paraId="7905DD6C" w14:textId="77777777" w:rsidR="004F1A38" w:rsidRPr="00CF2985" w:rsidRDefault="00615E39" w:rsidP="00645261">
            <w:pPr>
              <w:spacing w:line="240" w:lineRule="auto"/>
              <w:jc w:val="center"/>
              <w:rPr>
                <w:lang w:val="en-GB"/>
              </w:rPr>
            </w:pPr>
            <w:r w:rsidRPr="00CF2985">
              <w:rPr>
                <w:sz w:val="16"/>
                <w:szCs w:val="16"/>
                <w:lang w:val="en-GB"/>
              </w:rPr>
              <w:t>7</w:t>
            </w:r>
          </w:p>
        </w:tc>
        <w:tc>
          <w:tcPr>
            <w:tcW w:w="1125" w:type="dxa"/>
            <w:tcBorders>
              <w:top w:val="nil"/>
              <w:left w:val="nil"/>
              <w:bottom w:val="single" w:sz="4" w:space="0" w:color="000000"/>
              <w:right w:val="single" w:sz="4" w:space="0" w:color="000000"/>
            </w:tcBorders>
          </w:tcPr>
          <w:p w14:paraId="710C6088" w14:textId="77777777" w:rsidR="004F1A38" w:rsidRPr="00CF2985" w:rsidRDefault="00615E39" w:rsidP="00645261">
            <w:pPr>
              <w:spacing w:line="240" w:lineRule="auto"/>
              <w:jc w:val="center"/>
              <w:rPr>
                <w:lang w:val="en-GB"/>
              </w:rPr>
            </w:pPr>
            <w:r w:rsidRPr="00CF2985">
              <w:rPr>
                <w:sz w:val="16"/>
                <w:szCs w:val="16"/>
                <w:lang w:val="en-GB"/>
              </w:rPr>
              <w:t>3</w:t>
            </w:r>
          </w:p>
        </w:tc>
      </w:tr>
      <w:tr w:rsidR="004F1A38" w:rsidRPr="00CF2985" w14:paraId="50201ADD"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6F5BD9C3" w14:textId="77777777" w:rsidR="004F1A38" w:rsidRPr="00CF2985" w:rsidRDefault="00615E39" w:rsidP="00645261">
            <w:pPr>
              <w:spacing w:line="240" w:lineRule="auto"/>
              <w:jc w:val="center"/>
              <w:rPr>
                <w:lang w:val="en-GB"/>
              </w:rPr>
            </w:pPr>
            <w:r w:rsidRPr="00CF2985">
              <w:rPr>
                <w:sz w:val="16"/>
                <w:szCs w:val="16"/>
                <w:lang w:val="en-GB"/>
              </w:rPr>
              <w:lastRenderedPageBreak/>
              <w:t>Riigiküla IV</w:t>
            </w:r>
          </w:p>
        </w:tc>
        <w:tc>
          <w:tcPr>
            <w:tcW w:w="996" w:type="dxa"/>
            <w:tcBorders>
              <w:top w:val="nil"/>
              <w:left w:val="nil"/>
              <w:bottom w:val="single" w:sz="4" w:space="0" w:color="000000"/>
              <w:right w:val="single" w:sz="4" w:space="0" w:color="000000"/>
            </w:tcBorders>
          </w:tcPr>
          <w:p w14:paraId="31BE04FB" w14:textId="77777777" w:rsidR="004F1A38" w:rsidRPr="00CF2985" w:rsidRDefault="00615E39" w:rsidP="00645261">
            <w:pPr>
              <w:spacing w:line="240" w:lineRule="auto"/>
              <w:jc w:val="center"/>
              <w:rPr>
                <w:lang w:val="en-GB"/>
              </w:rPr>
            </w:pPr>
            <w:r w:rsidRPr="00CF2985">
              <w:rPr>
                <w:sz w:val="16"/>
                <w:szCs w:val="16"/>
                <w:lang w:val="en-GB"/>
              </w:rPr>
              <w:t>Lagoon</w:t>
            </w:r>
          </w:p>
        </w:tc>
        <w:tc>
          <w:tcPr>
            <w:tcW w:w="705" w:type="dxa"/>
            <w:tcBorders>
              <w:top w:val="nil"/>
              <w:left w:val="nil"/>
              <w:bottom w:val="single" w:sz="4" w:space="0" w:color="000000"/>
              <w:right w:val="single" w:sz="4" w:space="0" w:color="000000"/>
            </w:tcBorders>
          </w:tcPr>
          <w:p w14:paraId="61D1D464" w14:textId="77777777" w:rsidR="004F1A38" w:rsidRPr="00CF2985" w:rsidRDefault="00615E39" w:rsidP="00645261">
            <w:pPr>
              <w:spacing w:line="240" w:lineRule="auto"/>
              <w:jc w:val="center"/>
              <w:rPr>
                <w:lang w:val="en-GB"/>
              </w:rPr>
            </w:pPr>
            <w:r w:rsidRPr="00CF2985">
              <w:rPr>
                <w:sz w:val="16"/>
                <w:szCs w:val="16"/>
                <w:lang w:val="en-GB"/>
              </w:rPr>
              <w:t>2</w:t>
            </w:r>
          </w:p>
        </w:tc>
        <w:tc>
          <w:tcPr>
            <w:tcW w:w="992" w:type="dxa"/>
            <w:tcBorders>
              <w:top w:val="nil"/>
              <w:left w:val="nil"/>
              <w:bottom w:val="single" w:sz="4" w:space="0" w:color="000000"/>
              <w:right w:val="single" w:sz="4" w:space="0" w:color="000000"/>
            </w:tcBorders>
          </w:tcPr>
          <w:p w14:paraId="49CDFDE8" w14:textId="77777777" w:rsidR="004F1A38" w:rsidRPr="00CF2985" w:rsidRDefault="00615E39" w:rsidP="00645261">
            <w:pPr>
              <w:spacing w:line="240" w:lineRule="auto"/>
              <w:jc w:val="center"/>
              <w:rPr>
                <w:lang w:val="en-GB"/>
              </w:rPr>
            </w:pPr>
            <w:r w:rsidRPr="00CF2985">
              <w:rPr>
                <w:sz w:val="16"/>
                <w:szCs w:val="16"/>
                <w:lang w:val="en-GB"/>
              </w:rPr>
              <w:t>2</w:t>
            </w:r>
          </w:p>
        </w:tc>
        <w:tc>
          <w:tcPr>
            <w:tcW w:w="1134" w:type="dxa"/>
            <w:tcBorders>
              <w:top w:val="nil"/>
              <w:left w:val="nil"/>
              <w:bottom w:val="single" w:sz="4" w:space="0" w:color="000000"/>
              <w:right w:val="single" w:sz="4" w:space="0" w:color="000000"/>
            </w:tcBorders>
          </w:tcPr>
          <w:p w14:paraId="7E92979A" w14:textId="77777777" w:rsidR="004F1A38" w:rsidRPr="00CF2985" w:rsidRDefault="00615E39" w:rsidP="00645261">
            <w:pPr>
              <w:spacing w:line="240" w:lineRule="auto"/>
              <w:jc w:val="center"/>
              <w:rPr>
                <w:lang w:val="en-GB"/>
              </w:rPr>
            </w:pPr>
            <w:r w:rsidRPr="00CF2985">
              <w:rPr>
                <w:sz w:val="16"/>
                <w:szCs w:val="16"/>
                <w:lang w:val="en-GB"/>
              </w:rPr>
              <w:t>I 2</w:t>
            </w:r>
          </w:p>
        </w:tc>
        <w:tc>
          <w:tcPr>
            <w:tcW w:w="1134" w:type="dxa"/>
            <w:tcBorders>
              <w:top w:val="nil"/>
              <w:left w:val="nil"/>
              <w:bottom w:val="single" w:sz="4" w:space="0" w:color="000000"/>
              <w:right w:val="single" w:sz="4" w:space="0" w:color="000000"/>
            </w:tcBorders>
          </w:tcPr>
          <w:p w14:paraId="58CEE57B" w14:textId="77777777" w:rsidR="004F1A38" w:rsidRPr="00CF2985" w:rsidRDefault="00615E39" w:rsidP="00645261">
            <w:pPr>
              <w:spacing w:line="240" w:lineRule="auto"/>
              <w:jc w:val="center"/>
              <w:rPr>
                <w:lang w:val="en-GB"/>
              </w:rPr>
            </w:pPr>
            <w:r w:rsidRPr="00CF2985">
              <w:rPr>
                <w:sz w:val="16"/>
                <w:szCs w:val="16"/>
                <w:lang w:val="en-GB"/>
              </w:rPr>
              <w:t>35-86 / NA</w:t>
            </w:r>
          </w:p>
        </w:tc>
        <w:tc>
          <w:tcPr>
            <w:tcW w:w="993" w:type="dxa"/>
            <w:tcBorders>
              <w:top w:val="nil"/>
              <w:left w:val="nil"/>
              <w:bottom w:val="single" w:sz="4" w:space="0" w:color="000000"/>
              <w:right w:val="single" w:sz="4" w:space="0" w:color="000000"/>
            </w:tcBorders>
          </w:tcPr>
          <w:p w14:paraId="14468750" w14:textId="77777777" w:rsidR="004F1A38" w:rsidRPr="00CF2985" w:rsidRDefault="00615E39" w:rsidP="00645261">
            <w:pPr>
              <w:spacing w:line="240" w:lineRule="auto"/>
              <w:jc w:val="center"/>
              <w:rPr>
                <w:lang w:val="en-GB"/>
              </w:rPr>
            </w:pPr>
            <w:r w:rsidRPr="00CF2985">
              <w:rPr>
                <w:sz w:val="16"/>
                <w:szCs w:val="16"/>
                <w:lang w:val="en-GB"/>
              </w:rPr>
              <w:t>2</w:t>
            </w:r>
          </w:p>
        </w:tc>
        <w:tc>
          <w:tcPr>
            <w:tcW w:w="1275" w:type="dxa"/>
            <w:tcBorders>
              <w:top w:val="nil"/>
              <w:left w:val="nil"/>
              <w:bottom w:val="single" w:sz="4" w:space="0" w:color="000000"/>
              <w:right w:val="single" w:sz="4" w:space="0" w:color="000000"/>
            </w:tcBorders>
          </w:tcPr>
          <w:p w14:paraId="70C1C38E"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547800F7" w14:textId="77777777" w:rsidR="004F1A38" w:rsidRPr="00CF2985" w:rsidRDefault="004F1A38" w:rsidP="00645261">
            <w:pPr>
              <w:spacing w:line="240" w:lineRule="auto"/>
              <w:jc w:val="center"/>
              <w:rPr>
                <w:lang w:val="en-GB"/>
              </w:rPr>
            </w:pPr>
          </w:p>
        </w:tc>
        <w:tc>
          <w:tcPr>
            <w:tcW w:w="1125" w:type="dxa"/>
            <w:tcBorders>
              <w:top w:val="nil"/>
              <w:left w:val="nil"/>
              <w:bottom w:val="single" w:sz="4" w:space="0" w:color="000000"/>
              <w:right w:val="single" w:sz="4" w:space="0" w:color="000000"/>
            </w:tcBorders>
          </w:tcPr>
          <w:p w14:paraId="1AC9F09B" w14:textId="77777777" w:rsidR="004F1A38" w:rsidRPr="00CF2985" w:rsidRDefault="004F1A38" w:rsidP="00645261">
            <w:pPr>
              <w:spacing w:line="240" w:lineRule="auto"/>
              <w:jc w:val="center"/>
              <w:rPr>
                <w:lang w:val="en-GB"/>
              </w:rPr>
            </w:pPr>
          </w:p>
        </w:tc>
      </w:tr>
      <w:tr w:rsidR="004F1A38" w:rsidRPr="00CF2985" w14:paraId="7FD3611B"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7AB35EBB" w14:textId="77777777" w:rsidR="004F1A38" w:rsidRPr="00CF2985" w:rsidRDefault="00615E39" w:rsidP="00645261">
            <w:pPr>
              <w:spacing w:line="240" w:lineRule="auto"/>
              <w:jc w:val="center"/>
              <w:rPr>
                <w:lang w:val="en-GB"/>
              </w:rPr>
            </w:pPr>
            <w:r w:rsidRPr="00CF2985">
              <w:rPr>
                <w:sz w:val="16"/>
                <w:szCs w:val="16"/>
                <w:lang w:val="en-GB"/>
              </w:rPr>
              <w:t>Riigiküla VI</w:t>
            </w:r>
          </w:p>
        </w:tc>
        <w:tc>
          <w:tcPr>
            <w:tcW w:w="996" w:type="dxa"/>
            <w:tcBorders>
              <w:top w:val="nil"/>
              <w:left w:val="nil"/>
              <w:bottom w:val="single" w:sz="4" w:space="0" w:color="000000"/>
              <w:right w:val="single" w:sz="4" w:space="0" w:color="000000"/>
            </w:tcBorders>
          </w:tcPr>
          <w:p w14:paraId="4E4632F4" w14:textId="77777777" w:rsidR="004F1A38" w:rsidRPr="00CF2985" w:rsidRDefault="00615E39" w:rsidP="00645261">
            <w:pPr>
              <w:spacing w:line="240" w:lineRule="auto"/>
              <w:jc w:val="center"/>
              <w:rPr>
                <w:lang w:val="en-GB"/>
              </w:rPr>
            </w:pPr>
            <w:r w:rsidRPr="00CF2985">
              <w:rPr>
                <w:sz w:val="16"/>
                <w:szCs w:val="16"/>
                <w:lang w:val="en-GB"/>
              </w:rPr>
              <w:t>Lagoon</w:t>
            </w:r>
          </w:p>
        </w:tc>
        <w:tc>
          <w:tcPr>
            <w:tcW w:w="705" w:type="dxa"/>
            <w:tcBorders>
              <w:top w:val="nil"/>
              <w:left w:val="nil"/>
              <w:bottom w:val="single" w:sz="4" w:space="0" w:color="000000"/>
              <w:right w:val="single" w:sz="4" w:space="0" w:color="000000"/>
            </w:tcBorders>
          </w:tcPr>
          <w:p w14:paraId="761DA0C4" w14:textId="77777777" w:rsidR="004F1A38" w:rsidRPr="00CF2985" w:rsidRDefault="00615E39" w:rsidP="00645261">
            <w:pPr>
              <w:spacing w:line="240" w:lineRule="auto"/>
              <w:jc w:val="center"/>
              <w:rPr>
                <w:lang w:val="en-GB"/>
              </w:rPr>
            </w:pPr>
            <w:r w:rsidRPr="00CF2985">
              <w:rPr>
                <w:sz w:val="16"/>
                <w:szCs w:val="16"/>
                <w:lang w:val="en-GB"/>
              </w:rPr>
              <w:t>2</w:t>
            </w:r>
          </w:p>
        </w:tc>
        <w:tc>
          <w:tcPr>
            <w:tcW w:w="992" w:type="dxa"/>
            <w:tcBorders>
              <w:top w:val="nil"/>
              <w:left w:val="nil"/>
              <w:bottom w:val="single" w:sz="4" w:space="0" w:color="000000"/>
              <w:right w:val="single" w:sz="4" w:space="0" w:color="000000"/>
            </w:tcBorders>
          </w:tcPr>
          <w:p w14:paraId="69AD6F25" w14:textId="77777777" w:rsidR="004F1A38" w:rsidRPr="00CF2985" w:rsidRDefault="00615E39" w:rsidP="00645261">
            <w:pPr>
              <w:spacing w:line="240" w:lineRule="auto"/>
              <w:jc w:val="center"/>
              <w:rPr>
                <w:lang w:val="en-GB"/>
              </w:rPr>
            </w:pPr>
            <w:r w:rsidRPr="00CF2985">
              <w:rPr>
                <w:sz w:val="16"/>
                <w:szCs w:val="16"/>
                <w:lang w:val="en-GB"/>
              </w:rPr>
              <w:t>3</w:t>
            </w:r>
          </w:p>
        </w:tc>
        <w:tc>
          <w:tcPr>
            <w:tcW w:w="1134" w:type="dxa"/>
            <w:tcBorders>
              <w:top w:val="nil"/>
              <w:left w:val="nil"/>
              <w:bottom w:val="single" w:sz="4" w:space="0" w:color="000000"/>
              <w:right w:val="single" w:sz="4" w:space="0" w:color="000000"/>
            </w:tcBorders>
          </w:tcPr>
          <w:p w14:paraId="3D8DC6AB" w14:textId="77777777" w:rsidR="004F1A38" w:rsidRPr="00CF2985" w:rsidRDefault="00615E39" w:rsidP="00645261">
            <w:pPr>
              <w:spacing w:line="240" w:lineRule="auto"/>
              <w:jc w:val="center"/>
              <w:rPr>
                <w:lang w:val="en-GB"/>
              </w:rPr>
            </w:pPr>
            <w:r w:rsidRPr="00CF2985">
              <w:rPr>
                <w:sz w:val="16"/>
                <w:szCs w:val="16"/>
                <w:lang w:val="en-GB"/>
              </w:rPr>
              <w:t>E 1, I 2</w:t>
            </w:r>
          </w:p>
        </w:tc>
        <w:tc>
          <w:tcPr>
            <w:tcW w:w="1134" w:type="dxa"/>
            <w:tcBorders>
              <w:top w:val="nil"/>
              <w:left w:val="nil"/>
              <w:bottom w:val="single" w:sz="4" w:space="0" w:color="000000"/>
              <w:right w:val="single" w:sz="4" w:space="0" w:color="000000"/>
            </w:tcBorders>
          </w:tcPr>
          <w:p w14:paraId="030B5B00" w14:textId="77777777" w:rsidR="004F1A38" w:rsidRPr="00CF2985" w:rsidRDefault="00615E39" w:rsidP="00645261">
            <w:pPr>
              <w:spacing w:line="240" w:lineRule="auto"/>
              <w:jc w:val="center"/>
              <w:rPr>
                <w:lang w:val="en-GB"/>
              </w:rPr>
            </w:pPr>
            <w:r w:rsidRPr="00CF2985">
              <w:rPr>
                <w:sz w:val="16"/>
                <w:szCs w:val="16"/>
                <w:lang w:val="en-GB"/>
              </w:rPr>
              <w:t>52-73 / NA</w:t>
            </w:r>
          </w:p>
        </w:tc>
        <w:tc>
          <w:tcPr>
            <w:tcW w:w="993" w:type="dxa"/>
            <w:tcBorders>
              <w:top w:val="nil"/>
              <w:left w:val="nil"/>
              <w:bottom w:val="single" w:sz="4" w:space="0" w:color="000000"/>
              <w:right w:val="single" w:sz="4" w:space="0" w:color="000000"/>
            </w:tcBorders>
          </w:tcPr>
          <w:p w14:paraId="65AED069" w14:textId="77777777" w:rsidR="004F1A38" w:rsidRPr="00CF2985" w:rsidRDefault="00615E39" w:rsidP="00645261">
            <w:pPr>
              <w:spacing w:line="240" w:lineRule="auto"/>
              <w:jc w:val="center"/>
              <w:rPr>
                <w:lang w:val="en-GB"/>
              </w:rPr>
            </w:pPr>
            <w:r w:rsidRPr="00CF2985">
              <w:rPr>
                <w:sz w:val="16"/>
                <w:szCs w:val="16"/>
                <w:lang w:val="en-GB"/>
              </w:rPr>
              <w:t>2</w:t>
            </w:r>
          </w:p>
        </w:tc>
        <w:tc>
          <w:tcPr>
            <w:tcW w:w="1275" w:type="dxa"/>
            <w:tcBorders>
              <w:top w:val="nil"/>
              <w:left w:val="nil"/>
              <w:bottom w:val="single" w:sz="4" w:space="0" w:color="000000"/>
              <w:right w:val="single" w:sz="4" w:space="0" w:color="000000"/>
            </w:tcBorders>
          </w:tcPr>
          <w:p w14:paraId="7E7E3BF0"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4BCE5754" w14:textId="77777777" w:rsidR="004F1A38" w:rsidRPr="00CF2985" w:rsidRDefault="004F1A38" w:rsidP="00645261">
            <w:pPr>
              <w:spacing w:line="240" w:lineRule="auto"/>
              <w:jc w:val="center"/>
              <w:rPr>
                <w:lang w:val="en-GB"/>
              </w:rPr>
            </w:pPr>
          </w:p>
        </w:tc>
        <w:tc>
          <w:tcPr>
            <w:tcW w:w="1125" w:type="dxa"/>
            <w:tcBorders>
              <w:top w:val="nil"/>
              <w:left w:val="nil"/>
              <w:bottom w:val="single" w:sz="4" w:space="0" w:color="000000"/>
              <w:right w:val="single" w:sz="4" w:space="0" w:color="000000"/>
            </w:tcBorders>
          </w:tcPr>
          <w:p w14:paraId="45F91625" w14:textId="77777777" w:rsidR="004F1A38" w:rsidRPr="00CF2985" w:rsidRDefault="004F1A38" w:rsidP="00645261">
            <w:pPr>
              <w:spacing w:line="240" w:lineRule="auto"/>
              <w:jc w:val="center"/>
              <w:rPr>
                <w:lang w:val="en-GB"/>
              </w:rPr>
            </w:pPr>
          </w:p>
        </w:tc>
      </w:tr>
      <w:tr w:rsidR="004F1A38" w:rsidRPr="00CF2985" w14:paraId="72EF3FD8"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6B413694" w14:textId="77777777" w:rsidR="004F1A38" w:rsidRPr="00CF2985" w:rsidRDefault="00615E39" w:rsidP="00645261">
            <w:pPr>
              <w:spacing w:line="240" w:lineRule="auto"/>
              <w:jc w:val="center"/>
              <w:rPr>
                <w:lang w:val="en-GB"/>
              </w:rPr>
            </w:pPr>
            <w:r w:rsidRPr="00CF2985">
              <w:rPr>
                <w:sz w:val="16"/>
                <w:szCs w:val="16"/>
                <w:lang w:val="en-GB"/>
              </w:rPr>
              <w:t>Ruhnu II</w:t>
            </w:r>
          </w:p>
        </w:tc>
        <w:tc>
          <w:tcPr>
            <w:tcW w:w="996" w:type="dxa"/>
            <w:tcBorders>
              <w:top w:val="nil"/>
              <w:left w:val="nil"/>
              <w:bottom w:val="single" w:sz="4" w:space="0" w:color="000000"/>
              <w:right w:val="single" w:sz="4" w:space="0" w:color="000000"/>
            </w:tcBorders>
          </w:tcPr>
          <w:p w14:paraId="3FD7A9A7" w14:textId="77777777" w:rsidR="004F1A38" w:rsidRPr="00CF2985" w:rsidRDefault="00615E39" w:rsidP="00645261">
            <w:pPr>
              <w:spacing w:line="240" w:lineRule="auto"/>
              <w:jc w:val="center"/>
              <w:rPr>
                <w:lang w:val="en-GB"/>
              </w:rPr>
            </w:pPr>
            <w:r w:rsidRPr="00CF2985">
              <w:rPr>
                <w:sz w:val="16"/>
                <w:szCs w:val="16"/>
                <w:lang w:val="en-GB"/>
              </w:rPr>
              <w:t>Coastal</w:t>
            </w:r>
          </w:p>
        </w:tc>
        <w:tc>
          <w:tcPr>
            <w:tcW w:w="705" w:type="dxa"/>
            <w:tcBorders>
              <w:top w:val="nil"/>
              <w:left w:val="nil"/>
              <w:bottom w:val="single" w:sz="4" w:space="0" w:color="000000"/>
              <w:right w:val="single" w:sz="4" w:space="0" w:color="000000"/>
            </w:tcBorders>
          </w:tcPr>
          <w:p w14:paraId="4F943612" w14:textId="77777777" w:rsidR="004F1A38" w:rsidRPr="00CF2985" w:rsidRDefault="00615E39" w:rsidP="00645261">
            <w:pPr>
              <w:spacing w:line="240" w:lineRule="auto"/>
              <w:jc w:val="center"/>
              <w:rPr>
                <w:lang w:val="en-GB"/>
              </w:rPr>
            </w:pPr>
            <w:r w:rsidRPr="00CF2985">
              <w:rPr>
                <w:sz w:val="16"/>
                <w:szCs w:val="16"/>
                <w:lang w:val="en-GB"/>
              </w:rPr>
              <w:t>1</w:t>
            </w:r>
          </w:p>
        </w:tc>
        <w:tc>
          <w:tcPr>
            <w:tcW w:w="992" w:type="dxa"/>
            <w:tcBorders>
              <w:top w:val="nil"/>
              <w:left w:val="nil"/>
              <w:bottom w:val="single" w:sz="4" w:space="0" w:color="000000"/>
              <w:right w:val="single" w:sz="4" w:space="0" w:color="000000"/>
            </w:tcBorders>
          </w:tcPr>
          <w:p w14:paraId="03EB388B" w14:textId="77777777" w:rsidR="004F1A38" w:rsidRPr="00CF2985" w:rsidRDefault="00615E39" w:rsidP="00645261">
            <w:pPr>
              <w:spacing w:line="240" w:lineRule="auto"/>
              <w:jc w:val="center"/>
              <w:rPr>
                <w:lang w:val="en-GB"/>
              </w:rPr>
            </w:pPr>
            <w:r w:rsidRPr="00CF2985">
              <w:rPr>
                <w:sz w:val="16"/>
                <w:szCs w:val="16"/>
                <w:lang w:val="en-GB"/>
              </w:rPr>
              <w:t>1</w:t>
            </w:r>
          </w:p>
        </w:tc>
        <w:tc>
          <w:tcPr>
            <w:tcW w:w="1134" w:type="dxa"/>
            <w:tcBorders>
              <w:top w:val="nil"/>
              <w:left w:val="nil"/>
              <w:bottom w:val="single" w:sz="4" w:space="0" w:color="000000"/>
              <w:right w:val="single" w:sz="4" w:space="0" w:color="000000"/>
            </w:tcBorders>
          </w:tcPr>
          <w:p w14:paraId="71E4E477" w14:textId="77777777" w:rsidR="004F1A38" w:rsidRPr="00CF2985" w:rsidRDefault="00615E39" w:rsidP="00645261">
            <w:pPr>
              <w:spacing w:line="240" w:lineRule="auto"/>
              <w:jc w:val="center"/>
              <w:rPr>
                <w:lang w:val="en-GB"/>
              </w:rPr>
            </w:pPr>
            <w:r w:rsidRPr="00CF2985">
              <w:rPr>
                <w:sz w:val="16"/>
                <w:szCs w:val="16"/>
                <w:lang w:val="en-GB"/>
              </w:rPr>
              <w:t>I 1</w:t>
            </w:r>
          </w:p>
        </w:tc>
        <w:tc>
          <w:tcPr>
            <w:tcW w:w="1134" w:type="dxa"/>
            <w:tcBorders>
              <w:top w:val="nil"/>
              <w:left w:val="nil"/>
              <w:bottom w:val="single" w:sz="4" w:space="0" w:color="000000"/>
              <w:right w:val="single" w:sz="4" w:space="0" w:color="000000"/>
            </w:tcBorders>
          </w:tcPr>
          <w:p w14:paraId="751D9D5E" w14:textId="77777777" w:rsidR="004F1A38" w:rsidRPr="00CF2985" w:rsidRDefault="00615E39" w:rsidP="00645261">
            <w:pPr>
              <w:spacing w:line="240" w:lineRule="auto"/>
              <w:jc w:val="center"/>
              <w:rPr>
                <w:lang w:val="en-GB"/>
              </w:rPr>
            </w:pPr>
            <w:r w:rsidRPr="00CF2985">
              <w:rPr>
                <w:sz w:val="16"/>
                <w:szCs w:val="16"/>
                <w:lang w:val="en-GB"/>
              </w:rPr>
              <w:t>72 / NA</w:t>
            </w:r>
          </w:p>
        </w:tc>
        <w:tc>
          <w:tcPr>
            <w:tcW w:w="993" w:type="dxa"/>
            <w:tcBorders>
              <w:top w:val="nil"/>
              <w:left w:val="nil"/>
              <w:bottom w:val="single" w:sz="4" w:space="0" w:color="000000"/>
              <w:right w:val="single" w:sz="4" w:space="0" w:color="000000"/>
            </w:tcBorders>
          </w:tcPr>
          <w:p w14:paraId="0C2B0DF9" w14:textId="77777777" w:rsidR="004F1A38" w:rsidRPr="00CF2985" w:rsidRDefault="00615E39" w:rsidP="00645261">
            <w:pPr>
              <w:spacing w:line="240" w:lineRule="auto"/>
              <w:jc w:val="center"/>
              <w:rPr>
                <w:lang w:val="en-GB"/>
              </w:rPr>
            </w:pPr>
            <w:r w:rsidRPr="00CF2985">
              <w:rPr>
                <w:sz w:val="16"/>
                <w:szCs w:val="16"/>
                <w:lang w:val="en-GB"/>
              </w:rPr>
              <w:t>1</w:t>
            </w:r>
          </w:p>
        </w:tc>
        <w:tc>
          <w:tcPr>
            <w:tcW w:w="1275" w:type="dxa"/>
            <w:tcBorders>
              <w:top w:val="nil"/>
              <w:left w:val="nil"/>
              <w:bottom w:val="single" w:sz="4" w:space="0" w:color="000000"/>
              <w:right w:val="single" w:sz="4" w:space="0" w:color="000000"/>
            </w:tcBorders>
          </w:tcPr>
          <w:p w14:paraId="6AC3AF72" w14:textId="77777777" w:rsidR="004F1A38" w:rsidRPr="00CF2985" w:rsidRDefault="00615E39" w:rsidP="00645261">
            <w:pPr>
              <w:spacing w:line="240" w:lineRule="auto"/>
              <w:jc w:val="center"/>
              <w:rPr>
                <w:lang w:val="en-GB"/>
              </w:rPr>
            </w:pPr>
            <w:r w:rsidRPr="00CF2985">
              <w:rPr>
                <w:sz w:val="16"/>
                <w:szCs w:val="16"/>
                <w:lang w:val="en-GB"/>
              </w:rPr>
              <w:t>1</w:t>
            </w:r>
          </w:p>
        </w:tc>
        <w:tc>
          <w:tcPr>
            <w:tcW w:w="877" w:type="dxa"/>
            <w:tcBorders>
              <w:top w:val="nil"/>
              <w:left w:val="nil"/>
              <w:bottom w:val="single" w:sz="4" w:space="0" w:color="000000"/>
              <w:right w:val="single" w:sz="4" w:space="0" w:color="000000"/>
            </w:tcBorders>
          </w:tcPr>
          <w:p w14:paraId="702E85C6" w14:textId="77777777" w:rsidR="004F1A38" w:rsidRPr="00CF2985" w:rsidRDefault="00615E39" w:rsidP="00645261">
            <w:pPr>
              <w:spacing w:line="240" w:lineRule="auto"/>
              <w:jc w:val="center"/>
              <w:rPr>
                <w:lang w:val="en-GB"/>
              </w:rPr>
            </w:pPr>
            <w:r w:rsidRPr="00CF2985">
              <w:rPr>
                <w:sz w:val="16"/>
                <w:szCs w:val="16"/>
                <w:lang w:val="en-GB"/>
              </w:rPr>
              <w:t>1</w:t>
            </w:r>
          </w:p>
        </w:tc>
        <w:tc>
          <w:tcPr>
            <w:tcW w:w="1125" w:type="dxa"/>
            <w:tcBorders>
              <w:top w:val="nil"/>
              <w:left w:val="nil"/>
              <w:bottom w:val="single" w:sz="4" w:space="0" w:color="000000"/>
              <w:right w:val="single" w:sz="4" w:space="0" w:color="000000"/>
            </w:tcBorders>
          </w:tcPr>
          <w:p w14:paraId="43CEE335" w14:textId="77777777" w:rsidR="004F1A38" w:rsidRPr="00CF2985" w:rsidRDefault="004F1A38" w:rsidP="00645261">
            <w:pPr>
              <w:spacing w:line="240" w:lineRule="auto"/>
              <w:jc w:val="center"/>
              <w:rPr>
                <w:lang w:val="en-GB"/>
              </w:rPr>
            </w:pPr>
          </w:p>
        </w:tc>
      </w:tr>
      <w:tr w:rsidR="004F1A38" w:rsidRPr="00CF2985" w14:paraId="5321BE4B"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5F712845" w14:textId="77777777" w:rsidR="004F1A38" w:rsidRPr="00CF2985" w:rsidRDefault="00615E39" w:rsidP="00645261">
            <w:pPr>
              <w:spacing w:line="240" w:lineRule="auto"/>
              <w:jc w:val="center"/>
              <w:rPr>
                <w:lang w:val="en-GB"/>
              </w:rPr>
            </w:pPr>
            <w:r w:rsidRPr="00CF2985">
              <w:rPr>
                <w:sz w:val="16"/>
                <w:szCs w:val="16"/>
                <w:lang w:val="en-GB"/>
              </w:rPr>
              <w:t>Vihasoo III</w:t>
            </w:r>
          </w:p>
        </w:tc>
        <w:tc>
          <w:tcPr>
            <w:tcW w:w="996" w:type="dxa"/>
            <w:tcBorders>
              <w:top w:val="nil"/>
              <w:left w:val="nil"/>
              <w:bottom w:val="single" w:sz="4" w:space="0" w:color="000000"/>
              <w:right w:val="single" w:sz="4" w:space="0" w:color="000000"/>
            </w:tcBorders>
          </w:tcPr>
          <w:p w14:paraId="1322C100" w14:textId="77777777" w:rsidR="004F1A38" w:rsidRPr="00CF2985" w:rsidRDefault="00615E39" w:rsidP="00645261">
            <w:pPr>
              <w:spacing w:line="240" w:lineRule="auto"/>
              <w:jc w:val="center"/>
              <w:rPr>
                <w:lang w:val="en-GB"/>
              </w:rPr>
            </w:pPr>
            <w:r w:rsidRPr="00CF2985">
              <w:rPr>
                <w:sz w:val="16"/>
                <w:szCs w:val="16"/>
                <w:lang w:val="en-GB"/>
              </w:rPr>
              <w:t>Estuary</w:t>
            </w:r>
          </w:p>
        </w:tc>
        <w:tc>
          <w:tcPr>
            <w:tcW w:w="705" w:type="dxa"/>
            <w:tcBorders>
              <w:top w:val="nil"/>
              <w:left w:val="nil"/>
              <w:bottom w:val="single" w:sz="4" w:space="0" w:color="000000"/>
              <w:right w:val="single" w:sz="4" w:space="0" w:color="000000"/>
            </w:tcBorders>
          </w:tcPr>
          <w:p w14:paraId="3752DFFD" w14:textId="77777777" w:rsidR="004F1A38" w:rsidRPr="00CF2985" w:rsidRDefault="00615E39" w:rsidP="00645261">
            <w:pPr>
              <w:spacing w:line="240" w:lineRule="auto"/>
              <w:jc w:val="center"/>
              <w:rPr>
                <w:lang w:val="en-GB"/>
              </w:rPr>
            </w:pPr>
            <w:r w:rsidRPr="00CF2985">
              <w:rPr>
                <w:sz w:val="16"/>
                <w:szCs w:val="16"/>
                <w:lang w:val="en-GB"/>
              </w:rPr>
              <w:t>5</w:t>
            </w:r>
          </w:p>
        </w:tc>
        <w:tc>
          <w:tcPr>
            <w:tcW w:w="992" w:type="dxa"/>
            <w:tcBorders>
              <w:top w:val="nil"/>
              <w:left w:val="nil"/>
              <w:bottom w:val="single" w:sz="4" w:space="0" w:color="000000"/>
              <w:right w:val="single" w:sz="4" w:space="0" w:color="000000"/>
            </w:tcBorders>
          </w:tcPr>
          <w:p w14:paraId="0167AF3A" w14:textId="77777777" w:rsidR="004F1A38" w:rsidRPr="00CF2985" w:rsidRDefault="00615E39" w:rsidP="00645261">
            <w:pPr>
              <w:spacing w:line="240" w:lineRule="auto"/>
              <w:jc w:val="center"/>
              <w:rPr>
                <w:lang w:val="en-GB"/>
              </w:rPr>
            </w:pPr>
            <w:r w:rsidRPr="00CF2985">
              <w:rPr>
                <w:sz w:val="16"/>
                <w:szCs w:val="16"/>
                <w:lang w:val="en-GB"/>
              </w:rPr>
              <w:t>5</w:t>
            </w:r>
          </w:p>
        </w:tc>
        <w:tc>
          <w:tcPr>
            <w:tcW w:w="1134" w:type="dxa"/>
            <w:tcBorders>
              <w:top w:val="nil"/>
              <w:left w:val="nil"/>
              <w:bottom w:val="single" w:sz="4" w:space="0" w:color="000000"/>
              <w:right w:val="single" w:sz="4" w:space="0" w:color="000000"/>
            </w:tcBorders>
          </w:tcPr>
          <w:p w14:paraId="01B9EE09" w14:textId="77777777" w:rsidR="004F1A38" w:rsidRPr="00CF2985" w:rsidRDefault="00615E39" w:rsidP="00645261">
            <w:pPr>
              <w:spacing w:line="240" w:lineRule="auto"/>
              <w:jc w:val="center"/>
              <w:rPr>
                <w:lang w:val="en-GB"/>
              </w:rPr>
            </w:pPr>
            <w:r w:rsidRPr="00CF2985">
              <w:rPr>
                <w:sz w:val="16"/>
                <w:szCs w:val="16"/>
                <w:lang w:val="en-GB"/>
              </w:rPr>
              <w:t>I 5</w:t>
            </w:r>
          </w:p>
        </w:tc>
        <w:tc>
          <w:tcPr>
            <w:tcW w:w="1134" w:type="dxa"/>
            <w:tcBorders>
              <w:top w:val="nil"/>
              <w:left w:val="nil"/>
              <w:bottom w:val="single" w:sz="4" w:space="0" w:color="000000"/>
              <w:right w:val="single" w:sz="4" w:space="0" w:color="000000"/>
            </w:tcBorders>
          </w:tcPr>
          <w:p w14:paraId="54ED77F5" w14:textId="77777777" w:rsidR="004F1A38" w:rsidRPr="00CF2985" w:rsidRDefault="00615E39" w:rsidP="00645261">
            <w:pPr>
              <w:jc w:val="center"/>
              <w:rPr>
                <w:lang w:val="en-GB"/>
              </w:rPr>
            </w:pPr>
            <w:r w:rsidRPr="00CF2985">
              <w:rPr>
                <w:sz w:val="16"/>
                <w:szCs w:val="16"/>
                <w:lang w:val="en-GB"/>
              </w:rPr>
              <w:t>31-84 / 44</w:t>
            </w:r>
          </w:p>
        </w:tc>
        <w:tc>
          <w:tcPr>
            <w:tcW w:w="993" w:type="dxa"/>
            <w:tcBorders>
              <w:top w:val="nil"/>
              <w:left w:val="nil"/>
              <w:bottom w:val="single" w:sz="4" w:space="0" w:color="000000"/>
              <w:right w:val="single" w:sz="4" w:space="0" w:color="000000"/>
            </w:tcBorders>
          </w:tcPr>
          <w:p w14:paraId="351FC92E" w14:textId="77777777" w:rsidR="004F1A38" w:rsidRPr="00CF2985" w:rsidRDefault="00615E39" w:rsidP="00645261">
            <w:pPr>
              <w:spacing w:line="240" w:lineRule="auto"/>
              <w:jc w:val="center"/>
              <w:rPr>
                <w:lang w:val="en-GB"/>
              </w:rPr>
            </w:pPr>
            <w:r w:rsidRPr="00CF2985">
              <w:rPr>
                <w:sz w:val="16"/>
                <w:szCs w:val="16"/>
                <w:lang w:val="en-GB"/>
              </w:rPr>
              <w:t>5</w:t>
            </w:r>
          </w:p>
        </w:tc>
        <w:tc>
          <w:tcPr>
            <w:tcW w:w="1275" w:type="dxa"/>
            <w:tcBorders>
              <w:top w:val="nil"/>
              <w:left w:val="nil"/>
              <w:bottom w:val="single" w:sz="4" w:space="0" w:color="000000"/>
              <w:right w:val="single" w:sz="4" w:space="0" w:color="000000"/>
            </w:tcBorders>
          </w:tcPr>
          <w:p w14:paraId="1F75CCC5" w14:textId="77777777" w:rsidR="004F1A38" w:rsidRPr="00CF2985" w:rsidRDefault="004F1A38" w:rsidP="00645261">
            <w:pPr>
              <w:spacing w:line="240" w:lineRule="auto"/>
              <w:jc w:val="center"/>
              <w:rPr>
                <w:lang w:val="en-GB"/>
              </w:rPr>
            </w:pPr>
          </w:p>
        </w:tc>
        <w:tc>
          <w:tcPr>
            <w:tcW w:w="877" w:type="dxa"/>
            <w:tcBorders>
              <w:top w:val="nil"/>
              <w:left w:val="nil"/>
              <w:bottom w:val="single" w:sz="4" w:space="0" w:color="000000"/>
              <w:right w:val="single" w:sz="4" w:space="0" w:color="000000"/>
            </w:tcBorders>
          </w:tcPr>
          <w:p w14:paraId="053D59FE" w14:textId="77777777" w:rsidR="004F1A38" w:rsidRPr="00CF2985" w:rsidRDefault="00615E39" w:rsidP="00645261">
            <w:pPr>
              <w:spacing w:line="240" w:lineRule="auto"/>
              <w:jc w:val="center"/>
              <w:rPr>
                <w:lang w:val="en-GB"/>
              </w:rPr>
            </w:pPr>
            <w:r w:rsidRPr="00CF2985">
              <w:rPr>
                <w:sz w:val="16"/>
                <w:szCs w:val="16"/>
                <w:lang w:val="en-GB"/>
              </w:rPr>
              <w:t>3</w:t>
            </w:r>
          </w:p>
        </w:tc>
        <w:tc>
          <w:tcPr>
            <w:tcW w:w="1125" w:type="dxa"/>
            <w:tcBorders>
              <w:top w:val="nil"/>
              <w:left w:val="nil"/>
              <w:bottom w:val="single" w:sz="4" w:space="0" w:color="000000"/>
              <w:right w:val="single" w:sz="4" w:space="0" w:color="000000"/>
            </w:tcBorders>
          </w:tcPr>
          <w:p w14:paraId="1DB21023" w14:textId="77777777" w:rsidR="004F1A38" w:rsidRPr="00CF2985" w:rsidRDefault="004F1A38" w:rsidP="00645261">
            <w:pPr>
              <w:spacing w:line="240" w:lineRule="auto"/>
              <w:jc w:val="center"/>
              <w:rPr>
                <w:lang w:val="en-GB"/>
              </w:rPr>
            </w:pPr>
          </w:p>
        </w:tc>
      </w:tr>
      <w:tr w:rsidR="004F1A38" w:rsidRPr="00CF2985" w14:paraId="17B2F303" w14:textId="77777777" w:rsidTr="00645261">
        <w:trPr>
          <w:trHeight w:val="300"/>
        </w:trPr>
        <w:tc>
          <w:tcPr>
            <w:tcW w:w="1149" w:type="dxa"/>
            <w:tcBorders>
              <w:top w:val="nil"/>
              <w:left w:val="single" w:sz="4" w:space="0" w:color="000000"/>
              <w:bottom w:val="single" w:sz="4" w:space="0" w:color="000000"/>
              <w:right w:val="single" w:sz="4" w:space="0" w:color="000000"/>
            </w:tcBorders>
          </w:tcPr>
          <w:p w14:paraId="508E2A32" w14:textId="77777777" w:rsidR="004F1A38" w:rsidRPr="00CF2985" w:rsidRDefault="00615E39" w:rsidP="00645261">
            <w:pPr>
              <w:spacing w:line="240" w:lineRule="auto"/>
              <w:jc w:val="center"/>
              <w:rPr>
                <w:b/>
                <w:lang w:val="en-GB"/>
              </w:rPr>
            </w:pPr>
            <w:r w:rsidRPr="00CF2985">
              <w:rPr>
                <w:b/>
                <w:sz w:val="16"/>
                <w:szCs w:val="16"/>
                <w:lang w:val="en-GB"/>
              </w:rPr>
              <w:t>TOTAL</w:t>
            </w:r>
          </w:p>
        </w:tc>
        <w:tc>
          <w:tcPr>
            <w:tcW w:w="996" w:type="dxa"/>
            <w:tcBorders>
              <w:top w:val="nil"/>
              <w:left w:val="nil"/>
              <w:bottom w:val="single" w:sz="4" w:space="0" w:color="000000"/>
              <w:right w:val="single" w:sz="4" w:space="0" w:color="000000"/>
            </w:tcBorders>
          </w:tcPr>
          <w:p w14:paraId="78F5B007" w14:textId="77777777" w:rsidR="004F1A38" w:rsidRPr="00CF2985" w:rsidRDefault="004F1A38" w:rsidP="00645261">
            <w:pPr>
              <w:spacing w:line="240" w:lineRule="auto"/>
              <w:jc w:val="center"/>
              <w:rPr>
                <w:b/>
                <w:lang w:val="en-GB"/>
              </w:rPr>
            </w:pPr>
          </w:p>
        </w:tc>
        <w:tc>
          <w:tcPr>
            <w:tcW w:w="705" w:type="dxa"/>
            <w:tcBorders>
              <w:top w:val="nil"/>
              <w:left w:val="nil"/>
              <w:bottom w:val="single" w:sz="4" w:space="0" w:color="000000"/>
              <w:right w:val="single" w:sz="4" w:space="0" w:color="000000"/>
            </w:tcBorders>
          </w:tcPr>
          <w:p w14:paraId="046F0404" w14:textId="77777777" w:rsidR="004F1A38" w:rsidRPr="00CF2985" w:rsidRDefault="00615E39" w:rsidP="00645261">
            <w:pPr>
              <w:spacing w:line="240" w:lineRule="auto"/>
              <w:jc w:val="center"/>
              <w:rPr>
                <w:b/>
                <w:lang w:val="en-GB"/>
              </w:rPr>
            </w:pPr>
            <w:r w:rsidRPr="00CF2985">
              <w:rPr>
                <w:b/>
                <w:sz w:val="16"/>
                <w:szCs w:val="16"/>
                <w:lang w:val="en-GB"/>
              </w:rPr>
              <w:t>65</w:t>
            </w:r>
          </w:p>
        </w:tc>
        <w:tc>
          <w:tcPr>
            <w:tcW w:w="992" w:type="dxa"/>
            <w:tcBorders>
              <w:top w:val="nil"/>
              <w:left w:val="nil"/>
              <w:bottom w:val="single" w:sz="4" w:space="0" w:color="000000"/>
              <w:right w:val="single" w:sz="4" w:space="0" w:color="000000"/>
            </w:tcBorders>
          </w:tcPr>
          <w:p w14:paraId="31F9D084" w14:textId="77777777" w:rsidR="004F1A38" w:rsidRPr="00CF2985" w:rsidRDefault="00615E39" w:rsidP="00645261">
            <w:pPr>
              <w:spacing w:line="240" w:lineRule="auto"/>
              <w:jc w:val="center"/>
              <w:rPr>
                <w:b/>
                <w:lang w:val="en-GB"/>
              </w:rPr>
            </w:pPr>
            <w:r w:rsidRPr="00CF2985">
              <w:rPr>
                <w:b/>
                <w:sz w:val="16"/>
                <w:szCs w:val="16"/>
                <w:lang w:val="en-GB"/>
              </w:rPr>
              <w:t>100</w:t>
            </w:r>
          </w:p>
        </w:tc>
        <w:tc>
          <w:tcPr>
            <w:tcW w:w="1134" w:type="dxa"/>
            <w:tcBorders>
              <w:top w:val="nil"/>
              <w:left w:val="nil"/>
              <w:bottom w:val="single" w:sz="4" w:space="0" w:color="000000"/>
              <w:right w:val="single" w:sz="4" w:space="0" w:color="000000"/>
            </w:tcBorders>
          </w:tcPr>
          <w:p w14:paraId="57C1213B" w14:textId="77777777" w:rsidR="004F1A38" w:rsidRPr="00CF2985" w:rsidRDefault="004F1A38" w:rsidP="00645261">
            <w:pPr>
              <w:spacing w:line="240" w:lineRule="auto"/>
              <w:jc w:val="center"/>
              <w:rPr>
                <w:b/>
                <w:lang w:val="en-GB"/>
              </w:rPr>
            </w:pPr>
          </w:p>
        </w:tc>
        <w:tc>
          <w:tcPr>
            <w:tcW w:w="1134" w:type="dxa"/>
            <w:tcBorders>
              <w:top w:val="nil"/>
              <w:left w:val="nil"/>
              <w:bottom w:val="single" w:sz="4" w:space="0" w:color="000000"/>
              <w:right w:val="single" w:sz="4" w:space="0" w:color="000000"/>
            </w:tcBorders>
          </w:tcPr>
          <w:p w14:paraId="2724C700" w14:textId="77777777" w:rsidR="004F1A38" w:rsidRPr="00CF2985" w:rsidRDefault="004F1A38" w:rsidP="00645261">
            <w:pPr>
              <w:spacing w:line="240" w:lineRule="auto"/>
              <w:jc w:val="center"/>
              <w:rPr>
                <w:b/>
                <w:lang w:val="en-GB"/>
              </w:rPr>
            </w:pPr>
          </w:p>
        </w:tc>
        <w:tc>
          <w:tcPr>
            <w:tcW w:w="993" w:type="dxa"/>
            <w:tcBorders>
              <w:top w:val="nil"/>
              <w:left w:val="nil"/>
              <w:bottom w:val="single" w:sz="4" w:space="0" w:color="000000"/>
              <w:right w:val="single" w:sz="4" w:space="0" w:color="000000"/>
            </w:tcBorders>
          </w:tcPr>
          <w:p w14:paraId="48F31A6C" w14:textId="77777777" w:rsidR="004F1A38" w:rsidRPr="00CF2985" w:rsidRDefault="00615E39" w:rsidP="00645261">
            <w:pPr>
              <w:spacing w:line="240" w:lineRule="auto"/>
              <w:jc w:val="center"/>
              <w:rPr>
                <w:b/>
                <w:lang w:val="en-GB"/>
              </w:rPr>
            </w:pPr>
            <w:r w:rsidRPr="00CF2985">
              <w:rPr>
                <w:b/>
                <w:sz w:val="16"/>
                <w:szCs w:val="16"/>
                <w:lang w:val="en-GB"/>
              </w:rPr>
              <w:t>63</w:t>
            </w:r>
          </w:p>
        </w:tc>
        <w:tc>
          <w:tcPr>
            <w:tcW w:w="1275" w:type="dxa"/>
            <w:tcBorders>
              <w:top w:val="nil"/>
              <w:left w:val="nil"/>
              <w:bottom w:val="single" w:sz="4" w:space="0" w:color="000000"/>
              <w:right w:val="single" w:sz="4" w:space="0" w:color="000000"/>
            </w:tcBorders>
          </w:tcPr>
          <w:p w14:paraId="31498FC1" w14:textId="77777777" w:rsidR="004F1A38" w:rsidRPr="00CF2985" w:rsidRDefault="00615E39" w:rsidP="00645261">
            <w:pPr>
              <w:spacing w:line="240" w:lineRule="auto"/>
              <w:jc w:val="center"/>
              <w:rPr>
                <w:b/>
                <w:lang w:val="en-GB"/>
              </w:rPr>
            </w:pPr>
            <w:r w:rsidRPr="00CF2985">
              <w:rPr>
                <w:b/>
                <w:sz w:val="16"/>
                <w:szCs w:val="16"/>
                <w:lang w:val="en-GB"/>
              </w:rPr>
              <w:t>20 (5)</w:t>
            </w:r>
          </w:p>
        </w:tc>
        <w:tc>
          <w:tcPr>
            <w:tcW w:w="877" w:type="dxa"/>
            <w:tcBorders>
              <w:top w:val="nil"/>
              <w:left w:val="nil"/>
              <w:bottom w:val="single" w:sz="4" w:space="0" w:color="000000"/>
              <w:right w:val="single" w:sz="4" w:space="0" w:color="000000"/>
            </w:tcBorders>
          </w:tcPr>
          <w:p w14:paraId="6E1CB5E1" w14:textId="77777777" w:rsidR="004F1A38" w:rsidRPr="00CF2985" w:rsidRDefault="00615E39" w:rsidP="00645261">
            <w:pPr>
              <w:spacing w:line="240" w:lineRule="auto"/>
              <w:jc w:val="center"/>
              <w:rPr>
                <w:b/>
                <w:lang w:val="en-GB"/>
              </w:rPr>
            </w:pPr>
            <w:r w:rsidRPr="00CF2985">
              <w:rPr>
                <w:b/>
                <w:sz w:val="16"/>
                <w:szCs w:val="16"/>
                <w:lang w:val="en-GB"/>
              </w:rPr>
              <w:t>53</w:t>
            </w:r>
          </w:p>
        </w:tc>
        <w:tc>
          <w:tcPr>
            <w:tcW w:w="1125" w:type="dxa"/>
            <w:tcBorders>
              <w:top w:val="nil"/>
              <w:left w:val="nil"/>
              <w:bottom w:val="single" w:sz="4" w:space="0" w:color="000000"/>
              <w:right w:val="single" w:sz="4" w:space="0" w:color="000000"/>
            </w:tcBorders>
          </w:tcPr>
          <w:p w14:paraId="5E7A5F9D" w14:textId="77777777" w:rsidR="004F1A38" w:rsidRPr="00CF2985" w:rsidRDefault="00615E39" w:rsidP="00645261">
            <w:pPr>
              <w:spacing w:line="240" w:lineRule="auto"/>
              <w:jc w:val="center"/>
              <w:rPr>
                <w:b/>
                <w:lang w:val="en-GB"/>
              </w:rPr>
            </w:pPr>
            <w:r w:rsidRPr="00CF2985">
              <w:rPr>
                <w:b/>
                <w:sz w:val="16"/>
                <w:szCs w:val="16"/>
                <w:lang w:val="en-GB"/>
              </w:rPr>
              <w:t>30</w:t>
            </w:r>
          </w:p>
        </w:tc>
      </w:tr>
    </w:tbl>
    <w:p w14:paraId="47217FEC" w14:textId="77777777" w:rsidR="004F1A38" w:rsidRPr="00CF2985" w:rsidRDefault="00615E39">
      <w:pPr>
        <w:spacing w:line="240" w:lineRule="auto"/>
        <w:rPr>
          <w:lang w:val="en-GB"/>
        </w:rPr>
      </w:pPr>
      <w:r w:rsidRPr="00CF2985">
        <w:rPr>
          <w:sz w:val="16"/>
          <w:szCs w:val="16"/>
          <w:lang w:val="en-GB"/>
        </w:rPr>
        <w:t xml:space="preserve">I/i – Internal surface; E/e – External surface; F – Food crust. </w:t>
      </w:r>
    </w:p>
    <w:p w14:paraId="6B3565A9" w14:textId="77777777" w:rsidR="004F1A38" w:rsidRPr="00CF2985" w:rsidRDefault="00615E39">
      <w:pPr>
        <w:spacing w:line="240" w:lineRule="auto"/>
        <w:rPr>
          <w:lang w:val="en-GB"/>
        </w:rPr>
      </w:pPr>
      <w:r w:rsidRPr="00CF2985">
        <w:rPr>
          <w:sz w:val="16"/>
          <w:szCs w:val="16"/>
          <w:lang w:val="en-GB"/>
        </w:rPr>
        <w:t>* lipid preservation greater than 0.1 µg mg</w:t>
      </w:r>
      <w:r w:rsidRPr="00CF2985">
        <w:rPr>
          <w:sz w:val="16"/>
          <w:szCs w:val="16"/>
          <w:vertAlign w:val="superscript"/>
          <w:lang w:val="en-GB"/>
        </w:rPr>
        <w:t>-1</w:t>
      </w:r>
      <w:r w:rsidRPr="00CF2985">
        <w:rPr>
          <w:sz w:val="16"/>
          <w:szCs w:val="16"/>
          <w:lang w:val="en-GB"/>
        </w:rPr>
        <w:t xml:space="preserve"> of food crust or 5µg g</w:t>
      </w:r>
      <w:r w:rsidRPr="00CF2985">
        <w:rPr>
          <w:sz w:val="16"/>
          <w:szCs w:val="16"/>
          <w:vertAlign w:val="superscript"/>
          <w:lang w:val="en-GB"/>
        </w:rPr>
        <w:t>-1</w:t>
      </w:r>
      <w:r w:rsidRPr="00CF2985">
        <w:rPr>
          <w:sz w:val="16"/>
          <w:szCs w:val="16"/>
          <w:lang w:val="en-GB"/>
        </w:rPr>
        <w:t xml:space="preserve"> of ceramic powder.</w:t>
      </w:r>
    </w:p>
    <w:p w14:paraId="7A89F7EE" w14:textId="77777777" w:rsidR="004F1A38" w:rsidRPr="00CF2985" w:rsidRDefault="00615E39">
      <w:pPr>
        <w:spacing w:line="240" w:lineRule="auto"/>
        <w:rPr>
          <w:lang w:val="en-GB"/>
        </w:rPr>
      </w:pPr>
      <w:r w:rsidRPr="00CF2985">
        <w:rPr>
          <w:sz w:val="16"/>
          <w:szCs w:val="16"/>
          <w:lang w:val="en-GB"/>
        </w:rPr>
        <w:t>** full aquatic biomarkers - alkylphenyl fatty acids in C</w:t>
      </w:r>
      <w:r w:rsidRPr="00CF2985">
        <w:rPr>
          <w:sz w:val="16"/>
          <w:szCs w:val="16"/>
          <w:vertAlign w:val="subscript"/>
          <w:lang w:val="en-GB"/>
        </w:rPr>
        <w:t>18</w:t>
      </w:r>
      <w:r w:rsidRPr="00CF2985">
        <w:rPr>
          <w:sz w:val="16"/>
          <w:szCs w:val="16"/>
          <w:lang w:val="en-GB"/>
        </w:rPr>
        <w:t>-</w:t>
      </w:r>
      <w:r w:rsidRPr="00CF2985">
        <w:rPr>
          <w:sz w:val="16"/>
          <w:szCs w:val="16"/>
          <w:vertAlign w:val="subscript"/>
          <w:lang w:val="en-GB"/>
        </w:rPr>
        <w:t>22</w:t>
      </w:r>
      <w:r w:rsidRPr="00CF2985">
        <w:rPr>
          <w:sz w:val="16"/>
          <w:szCs w:val="16"/>
          <w:lang w:val="en-GB"/>
        </w:rPr>
        <w:t xml:space="preserve"> and isoprenoid fatty acids (phytanic, pristanic, 4,8,12-trimethyltridecanoic acid) or alkylphenyl fatty acids in C</w:t>
      </w:r>
      <w:r w:rsidRPr="00CF2985">
        <w:rPr>
          <w:sz w:val="16"/>
          <w:szCs w:val="16"/>
          <w:vertAlign w:val="subscript"/>
          <w:lang w:val="en-GB"/>
        </w:rPr>
        <w:t>20</w:t>
      </w:r>
      <w:r w:rsidRPr="00CF2985">
        <w:rPr>
          <w:sz w:val="16"/>
          <w:szCs w:val="16"/>
          <w:lang w:val="en-GB"/>
        </w:rPr>
        <w:t>-</w:t>
      </w:r>
      <w:r w:rsidRPr="00CF2985">
        <w:rPr>
          <w:sz w:val="16"/>
          <w:szCs w:val="16"/>
          <w:vertAlign w:val="subscript"/>
          <w:lang w:val="en-GB"/>
        </w:rPr>
        <w:t>22</w:t>
      </w:r>
      <w:r w:rsidRPr="00CF2985">
        <w:rPr>
          <w:sz w:val="16"/>
          <w:szCs w:val="16"/>
          <w:lang w:val="en-GB"/>
        </w:rPr>
        <w:t>; partial aquatic biomarkers - alkylphenyl fatty acids in C</w:t>
      </w:r>
      <w:r w:rsidRPr="00CF2985">
        <w:rPr>
          <w:sz w:val="16"/>
          <w:szCs w:val="16"/>
          <w:vertAlign w:val="subscript"/>
          <w:lang w:val="en-GB"/>
        </w:rPr>
        <w:t>18</w:t>
      </w:r>
      <w:r w:rsidRPr="00CF2985">
        <w:rPr>
          <w:sz w:val="16"/>
          <w:szCs w:val="16"/>
          <w:lang w:val="en-GB"/>
        </w:rPr>
        <w:t xml:space="preserve"> and isoprenoid fatty acids.</w:t>
      </w:r>
    </w:p>
    <w:p w14:paraId="19F96943" w14:textId="77777777" w:rsidR="004F1A38" w:rsidRPr="00CF2985" w:rsidRDefault="004F1A38">
      <w:pPr>
        <w:rPr>
          <w:lang w:val="en-GB"/>
        </w:rPr>
      </w:pPr>
    </w:p>
    <w:p w14:paraId="1047F64D" w14:textId="77777777" w:rsidR="004F1A38" w:rsidRPr="00CF2985" w:rsidRDefault="004F1A38">
      <w:pPr>
        <w:rPr>
          <w:lang w:val="en-GB"/>
        </w:rPr>
      </w:pPr>
    </w:p>
    <w:p w14:paraId="33C09BF9" w14:textId="77777777" w:rsidR="004F1A38" w:rsidRPr="00CF2985" w:rsidRDefault="00615E39">
      <w:pPr>
        <w:spacing w:line="240" w:lineRule="auto"/>
        <w:rPr>
          <w:lang w:val="en-GB"/>
        </w:rPr>
      </w:pPr>
      <w:r w:rsidRPr="00CF2985">
        <w:rPr>
          <w:noProof/>
          <w:lang w:val="en-GB" w:eastAsia="en-GB"/>
        </w:rPr>
        <w:drawing>
          <wp:inline distT="114300" distB="114300" distL="114300" distR="114300" wp14:anchorId="5F0D0389" wp14:editId="114D868C">
            <wp:extent cx="5731200" cy="3136900"/>
            <wp:effectExtent l="0" t="0" r="0" b="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4"/>
                    <a:srcRect/>
                    <a:stretch>
                      <a:fillRect/>
                    </a:stretch>
                  </pic:blipFill>
                  <pic:spPr>
                    <a:xfrm>
                      <a:off x="0" y="0"/>
                      <a:ext cx="5731200" cy="3136900"/>
                    </a:xfrm>
                    <a:prstGeom prst="rect">
                      <a:avLst/>
                    </a:prstGeom>
                    <a:ln/>
                  </pic:spPr>
                </pic:pic>
              </a:graphicData>
            </a:graphic>
          </wp:inline>
        </w:drawing>
      </w:r>
    </w:p>
    <w:p w14:paraId="7F2C7B8A" w14:textId="324DEDB3" w:rsidR="004F1A38" w:rsidRPr="00CF2985" w:rsidRDefault="00615E39">
      <w:pPr>
        <w:spacing w:after="200" w:line="240" w:lineRule="auto"/>
        <w:rPr>
          <w:lang w:val="en-GB"/>
        </w:rPr>
      </w:pPr>
      <w:r w:rsidRPr="00CF2985">
        <w:rPr>
          <w:b/>
          <w:sz w:val="22"/>
          <w:szCs w:val="22"/>
          <w:lang w:val="en-GB"/>
        </w:rPr>
        <w:t>Fig. 2. The sites of Narva stage in Estonia and Ingermanland (Russia</w:t>
      </w:r>
      <w:r w:rsidR="006D520F" w:rsidRPr="00CF2985">
        <w:rPr>
          <w:b/>
          <w:sz w:val="22"/>
          <w:szCs w:val="22"/>
          <w:lang w:val="en-GB"/>
        </w:rPr>
        <w:t>n Federation</w:t>
      </w:r>
      <w:r w:rsidRPr="00CF2985">
        <w:rPr>
          <w:b/>
          <w:sz w:val="22"/>
          <w:szCs w:val="22"/>
          <w:lang w:val="en-GB"/>
        </w:rPr>
        <w:t>)</w:t>
      </w:r>
      <w:r w:rsidR="00847FEB">
        <w:rPr>
          <w:b/>
          <w:sz w:val="22"/>
          <w:szCs w:val="22"/>
          <w:lang w:val="en-GB"/>
        </w:rPr>
        <w:t xml:space="preserve"> with the sites analysed for lipid residues marked with names</w:t>
      </w:r>
      <w:r w:rsidRPr="00CF2985">
        <w:rPr>
          <w:b/>
          <w:sz w:val="22"/>
          <w:szCs w:val="22"/>
          <w:lang w:val="en-GB"/>
        </w:rPr>
        <w:t xml:space="preserve">. </w:t>
      </w:r>
      <w:r w:rsidRPr="00CF2985">
        <w:rPr>
          <w:sz w:val="22"/>
          <w:szCs w:val="22"/>
          <w:lang w:val="en-GB"/>
        </w:rPr>
        <w:t>1 – one settlement site, 2 – from two to five settlement sites, 3 – six or more settlement sites. Map by Aivar Kriiska, technical realization Kristel Roog and Ester Oras (from Kriiska et al., forthcoming)</w:t>
      </w:r>
    </w:p>
    <w:p w14:paraId="688C6666" w14:textId="77777777" w:rsidR="004F1A38" w:rsidRPr="00CF2985" w:rsidRDefault="004F1A38">
      <w:pPr>
        <w:spacing w:line="240" w:lineRule="auto"/>
        <w:rPr>
          <w:lang w:val="en-GB"/>
        </w:rPr>
      </w:pPr>
    </w:p>
    <w:p w14:paraId="6D414E43" w14:textId="77777777" w:rsidR="004F1A38" w:rsidRPr="00CF2985" w:rsidRDefault="00615E39" w:rsidP="00DF1416">
      <w:pPr>
        <w:pStyle w:val="Heading3"/>
        <w:contextualSpacing w:val="0"/>
        <w:rPr>
          <w:rFonts w:ascii="Times New Roman" w:hAnsi="Times New Roman" w:cs="Times New Roman"/>
          <w:lang w:val="en-GB"/>
        </w:rPr>
      </w:pPr>
      <w:r w:rsidRPr="00CF2985">
        <w:rPr>
          <w:rFonts w:ascii="Times New Roman" w:hAnsi="Times New Roman" w:cs="Times New Roman"/>
          <w:lang w:val="en-GB"/>
        </w:rPr>
        <w:t>2.2. Methods</w:t>
      </w:r>
    </w:p>
    <w:p w14:paraId="7D64602A" w14:textId="194885EB" w:rsidR="004F1A38" w:rsidRPr="00CF2985" w:rsidRDefault="00615E39">
      <w:pPr>
        <w:rPr>
          <w:lang w:val="en-GB"/>
        </w:rPr>
      </w:pPr>
      <w:r w:rsidRPr="00CF2985">
        <w:rPr>
          <w:lang w:val="en-GB"/>
        </w:rPr>
        <w:t>Where available, both carbonised deposits or food crusts, visible on the pottery surface (ca. 20 mg of sample for GC-MS and 1 mg for bulk IRMS) and ceramic matrices (ca. 1 g) were mechanically removed. Lipids were extracted using a one-step acid/methanol extraction technique following previously established extraction protocols (Craig et al., 2013; Colonese et al., 2015; Heron et al., 2015</w:t>
      </w:r>
      <w:r w:rsidR="00881E14" w:rsidRPr="00CF2985">
        <w:rPr>
          <w:lang w:val="en-GB"/>
        </w:rPr>
        <w:t xml:space="preserve">; </w:t>
      </w:r>
      <w:r w:rsidR="00077D18" w:rsidRPr="00CF2985">
        <w:rPr>
          <w:lang w:val="en-GB"/>
        </w:rPr>
        <w:t>Pa</w:t>
      </w:r>
      <w:r w:rsidR="00881E14" w:rsidRPr="00CF2985">
        <w:rPr>
          <w:lang w:val="en-GB"/>
        </w:rPr>
        <w:t>pakosta et al., 2015</w:t>
      </w:r>
      <w:r w:rsidRPr="00CF2985">
        <w:rPr>
          <w:lang w:val="en-GB"/>
        </w:rPr>
        <w:t>). Briefly, acid catalysed lipid extraction and methylation with MeOH</w:t>
      </w:r>
      <w:r w:rsidR="00B90C0A" w:rsidRPr="00CF2985">
        <w:rPr>
          <w:lang w:val="en-GB"/>
        </w:rPr>
        <w:t xml:space="preserve"> (70º C, 4 h) </w:t>
      </w:r>
      <w:r w:rsidRPr="00CF2985">
        <w:rPr>
          <w:lang w:val="en-GB"/>
        </w:rPr>
        <w:t xml:space="preserve">was conducted after which lipids were extracted with </w:t>
      </w:r>
      <w:r w:rsidRPr="00CF2985">
        <w:rPr>
          <w:i/>
          <w:lang w:val="en-GB"/>
        </w:rPr>
        <w:t>n</w:t>
      </w:r>
      <w:r w:rsidRPr="00CF2985">
        <w:rPr>
          <w:lang w:val="en-GB"/>
        </w:rPr>
        <w:t xml:space="preserve">-hexane (3 × 2 ml). The samples were dried up under the stream of nitrogen at 37.5º C, </w:t>
      </w:r>
      <w:r w:rsidR="00B90C0A" w:rsidRPr="00CF2985">
        <w:rPr>
          <w:lang w:val="en-GB"/>
        </w:rPr>
        <w:lastRenderedPageBreak/>
        <w:t>dissolved</w:t>
      </w:r>
      <w:r w:rsidRPr="00CF2985">
        <w:rPr>
          <w:lang w:val="en-GB"/>
        </w:rPr>
        <w:t xml:space="preserve"> in 100µl of </w:t>
      </w:r>
      <w:r w:rsidRPr="00CF2985">
        <w:rPr>
          <w:i/>
          <w:lang w:val="en-GB"/>
        </w:rPr>
        <w:t>n</w:t>
      </w:r>
      <w:r w:rsidRPr="00CF2985">
        <w:rPr>
          <w:lang w:val="en-GB"/>
        </w:rPr>
        <w:t>-hexane with the addition of 10 µg of internal standard of C36:0 (</w:t>
      </w:r>
      <w:r w:rsidRPr="00CF2985">
        <w:rPr>
          <w:i/>
          <w:lang w:val="en-GB"/>
        </w:rPr>
        <w:t>n</w:t>
      </w:r>
      <w:r w:rsidRPr="00CF2985">
        <w:rPr>
          <w:lang w:val="en-GB"/>
        </w:rPr>
        <w:t xml:space="preserve">-hexatriacontane) and analysed directly with GC-FID, GC-MS, and GC-C-IRMS. </w:t>
      </w:r>
    </w:p>
    <w:p w14:paraId="0ECA26F8" w14:textId="77777777" w:rsidR="004F1A38" w:rsidRPr="00CF2985" w:rsidRDefault="004F1A38">
      <w:pPr>
        <w:rPr>
          <w:lang w:val="en-GB"/>
        </w:rPr>
      </w:pPr>
    </w:p>
    <w:p w14:paraId="7C45A75F" w14:textId="51722C95" w:rsidR="004F1A38" w:rsidRPr="00CF2985" w:rsidRDefault="00615E39">
      <w:pPr>
        <w:rPr>
          <w:lang w:val="en-GB"/>
        </w:rPr>
      </w:pPr>
      <w:r w:rsidRPr="00CF2985">
        <w:rPr>
          <w:lang w:val="en-GB"/>
        </w:rPr>
        <w:t xml:space="preserve">General screening and quantification of the lipid extract was </w:t>
      </w:r>
      <w:r w:rsidR="005D3BAA">
        <w:rPr>
          <w:lang w:val="en-GB"/>
        </w:rPr>
        <w:t>carried out</w:t>
      </w:r>
      <w:r w:rsidR="005D3BAA" w:rsidRPr="00CF2985">
        <w:rPr>
          <w:lang w:val="en-GB"/>
        </w:rPr>
        <w:t xml:space="preserve"> </w:t>
      </w:r>
      <w:r w:rsidRPr="00CF2985">
        <w:rPr>
          <w:lang w:val="en-GB"/>
        </w:rPr>
        <w:t>by GC-FID (gas chromatography - flame ionization detector) using an Agilent 7890A gas chromatograph (Agilent Technologies, Cheadle, Cheshire, UK). The injector was splitless and maintained at 300 °C</w:t>
      </w:r>
      <w:r w:rsidR="005D3BAA">
        <w:rPr>
          <w:lang w:val="en-GB"/>
        </w:rPr>
        <w:t>.</w:t>
      </w:r>
      <w:r w:rsidRPr="00CF2985">
        <w:rPr>
          <w:lang w:val="en-GB"/>
        </w:rPr>
        <w:t xml:space="preserve"> </w:t>
      </w:r>
      <w:r w:rsidR="005D3BAA">
        <w:rPr>
          <w:lang w:val="en-GB"/>
        </w:rPr>
        <w:t>One</w:t>
      </w:r>
      <w:r w:rsidRPr="00CF2985">
        <w:rPr>
          <w:lang w:val="en-GB"/>
        </w:rPr>
        <w:t xml:space="preserve"> µl of sample </w:t>
      </w:r>
      <w:r w:rsidR="005D3BAA">
        <w:rPr>
          <w:lang w:val="en-GB"/>
        </w:rPr>
        <w:t xml:space="preserve">dissolved in hexane was injected </w:t>
      </w:r>
      <w:r w:rsidRPr="00CF2985">
        <w:rPr>
          <w:lang w:val="en-GB"/>
        </w:rPr>
        <w:t>into the GC. The column used was a 100% Dimethylpolysiloxane DB-1 (15 m x 320 µm x 0.1 µm; J&amp;W Scientiﬁc, Folsom, CA, USA). The carrier gas was hydrogen with a constant flow rate of 2 ml min</w:t>
      </w:r>
      <w:r w:rsidRPr="00CF2985">
        <w:rPr>
          <w:vertAlign w:val="superscript"/>
          <w:lang w:val="en-GB"/>
        </w:rPr>
        <w:t>-1</w:t>
      </w:r>
      <w:r w:rsidRPr="00CF2985">
        <w:rPr>
          <w:lang w:val="en-GB"/>
        </w:rPr>
        <w:t>. The temperature program was set at 100 °C for 2 minutes, rose by 20 °C min</w:t>
      </w:r>
      <w:r w:rsidRPr="00CF2985">
        <w:rPr>
          <w:vertAlign w:val="superscript"/>
          <w:lang w:val="en-GB"/>
        </w:rPr>
        <w:t>-1</w:t>
      </w:r>
      <w:r w:rsidRPr="00CF2985">
        <w:rPr>
          <w:lang w:val="en-GB"/>
        </w:rPr>
        <w:t xml:space="preserve"> until 325 °C. This temperature was maintained for 3 minutes. Total run time was 16.25 minutes. The lower boundaries of interpretable archaeological lipid extract were 0.1 µg mg</w:t>
      </w:r>
      <w:r w:rsidRPr="00CF2985">
        <w:rPr>
          <w:vertAlign w:val="superscript"/>
          <w:lang w:val="en-GB"/>
        </w:rPr>
        <w:t>-1</w:t>
      </w:r>
      <w:r w:rsidRPr="00CF2985">
        <w:rPr>
          <w:lang w:val="en-GB"/>
        </w:rPr>
        <w:t xml:space="preserve"> of food crust corresponding roughly to 2µg of extracted lipids (Craig et al., 2013) or 5µg g</w:t>
      </w:r>
      <w:r w:rsidRPr="00CF2985">
        <w:rPr>
          <w:vertAlign w:val="superscript"/>
          <w:lang w:val="en-GB"/>
        </w:rPr>
        <w:t>-1</w:t>
      </w:r>
      <w:r w:rsidRPr="00CF2985">
        <w:rPr>
          <w:lang w:val="en-GB"/>
        </w:rPr>
        <w:t xml:space="preserve"> of ceramic powder corresponding roughly to 5µg of extracted lipids (Evershed, 2008).</w:t>
      </w:r>
    </w:p>
    <w:p w14:paraId="1732D8F5" w14:textId="77777777" w:rsidR="004F1A38" w:rsidRPr="00CF2985" w:rsidRDefault="004F1A38">
      <w:pPr>
        <w:rPr>
          <w:lang w:val="en-GB"/>
        </w:rPr>
      </w:pPr>
    </w:p>
    <w:p w14:paraId="14B9E2C8" w14:textId="63F9A28F" w:rsidR="004F1A38" w:rsidRPr="00CF2985" w:rsidRDefault="00615E39">
      <w:pPr>
        <w:rPr>
          <w:lang w:val="en-GB"/>
        </w:rPr>
      </w:pPr>
      <w:r w:rsidRPr="00CF2985">
        <w:rPr>
          <w:lang w:val="en-GB"/>
        </w:rPr>
        <w:t>GC-MS (gas chromatography-mass spectrometry) analysis was performed with Agilent 7690A Series ga</w:t>
      </w:r>
      <w:r w:rsidR="008255D5" w:rsidRPr="00CF2985">
        <w:rPr>
          <w:lang w:val="en-GB"/>
        </w:rPr>
        <w:t>s chromatography and Agilent 59</w:t>
      </w:r>
      <w:r w:rsidRPr="00CF2985">
        <w:rPr>
          <w:lang w:val="en-GB"/>
        </w:rPr>
        <w:t>7</w:t>
      </w:r>
      <w:r w:rsidR="008255D5" w:rsidRPr="00CF2985">
        <w:rPr>
          <w:lang w:val="en-GB"/>
        </w:rPr>
        <w:t>5</w:t>
      </w:r>
      <w:r w:rsidRPr="00CF2985">
        <w:rPr>
          <w:lang w:val="en-GB"/>
        </w:rPr>
        <w:t xml:space="preserve">C Inert XL mass-selective detector with a quadrupole mass analyser with Triple-Axis Detector (Agilent Technologies, Cheadle, Cheshire, UK) were used. The splitless injector and interface were maintained at 300°C and </w:t>
      </w:r>
      <w:r w:rsidR="005D3BAA">
        <w:rPr>
          <w:lang w:val="en-GB"/>
        </w:rPr>
        <w:t>28</w:t>
      </w:r>
      <w:r w:rsidRPr="00CF2985">
        <w:rPr>
          <w:lang w:val="en-GB"/>
        </w:rPr>
        <w:t xml:space="preserve">0 °C respectively. </w:t>
      </w:r>
      <w:r w:rsidR="005D3BAA">
        <w:rPr>
          <w:lang w:val="en-GB"/>
        </w:rPr>
        <w:t>One</w:t>
      </w:r>
      <w:r w:rsidR="005D3BAA" w:rsidRPr="00CF2985">
        <w:rPr>
          <w:lang w:val="en-GB"/>
        </w:rPr>
        <w:t xml:space="preserve"> µl of sample </w:t>
      </w:r>
      <w:r w:rsidR="005D3BAA">
        <w:rPr>
          <w:lang w:val="en-GB"/>
        </w:rPr>
        <w:t>dissolved in hexane was injected</w:t>
      </w:r>
      <w:r w:rsidR="00671245">
        <w:rPr>
          <w:lang w:val="en-GB"/>
        </w:rPr>
        <w:t>.</w:t>
      </w:r>
      <w:r w:rsidR="005D3BAA" w:rsidRPr="00CF2985">
        <w:rPr>
          <w:lang w:val="en-GB"/>
        </w:rPr>
        <w:t xml:space="preserve"> </w:t>
      </w:r>
      <w:r w:rsidRPr="00CF2985">
        <w:rPr>
          <w:lang w:val="en-GB"/>
        </w:rPr>
        <w:t>Helium was the carrier gas at constant inlet pressure. The GC column was inserted directly into the ion source of the mass spectrometer. The ionisation energy was 70 eV and spectra were obtained by scanning between m/z 50 and 800. All samples were analysed using a DB5-ms (5%-phenyl)-methylpolysiloxane column (30 m × 0.32 mm × 0.25 µm; J&amp;W Scientific, Folsom, CA, USA) with the temperature program of 2 min at 50°C, 10°C min</w:t>
      </w:r>
      <w:r w:rsidRPr="00CF2985">
        <w:rPr>
          <w:vertAlign w:val="superscript"/>
          <w:lang w:val="en-GB"/>
        </w:rPr>
        <w:t>–1</w:t>
      </w:r>
      <w:r w:rsidRPr="00CF2985">
        <w:rPr>
          <w:lang w:val="en-GB"/>
        </w:rPr>
        <w:t xml:space="preserve"> to 325°C and 15 min at 325°C. The identification of compounds was conducted with the Agilent Chemstation software according to their mass spectrum, their retention time and with the help of NIST 2008 library of mass spectra. </w:t>
      </w:r>
    </w:p>
    <w:p w14:paraId="3A3DD9D7" w14:textId="77777777" w:rsidR="004F1A38" w:rsidRPr="00CF2985" w:rsidRDefault="004F1A38">
      <w:pPr>
        <w:rPr>
          <w:lang w:val="en-GB"/>
        </w:rPr>
      </w:pPr>
    </w:p>
    <w:p w14:paraId="71DAD602" w14:textId="694D11E5" w:rsidR="004F1A38" w:rsidRPr="00CF2985" w:rsidRDefault="00615E39">
      <w:pPr>
        <w:rPr>
          <w:lang w:val="en-GB"/>
        </w:rPr>
      </w:pPr>
      <w:r w:rsidRPr="00CF2985">
        <w:rPr>
          <w:lang w:val="en-GB"/>
        </w:rPr>
        <w:t xml:space="preserve">GC-C-IRMS (gas chromatography-combustion-isotope ratio mass spectrometry) analysis of the samples with sufficient lipid preservation was conducted in order to estimate the </w:t>
      </w:r>
      <w:r w:rsidRPr="00CF2985">
        <w:rPr>
          <w:vertAlign w:val="superscript"/>
          <w:lang w:val="en-GB"/>
        </w:rPr>
        <w:t>13</w:t>
      </w:r>
      <w:r w:rsidRPr="00CF2985">
        <w:rPr>
          <w:lang w:val="en-GB"/>
        </w:rPr>
        <w:t xml:space="preserve">C/ </w:t>
      </w:r>
      <w:r w:rsidRPr="00CF2985">
        <w:rPr>
          <w:vertAlign w:val="superscript"/>
          <w:lang w:val="en-GB"/>
        </w:rPr>
        <w:t>12</w:t>
      </w:r>
      <w:r w:rsidRPr="00CF2985">
        <w:rPr>
          <w:lang w:val="en-GB"/>
        </w:rPr>
        <w:t>C ratio in two most abundant C</w:t>
      </w:r>
      <w:r w:rsidRPr="00CF2985">
        <w:rPr>
          <w:vertAlign w:val="subscript"/>
          <w:lang w:val="en-GB"/>
        </w:rPr>
        <w:t>16:0</w:t>
      </w:r>
      <w:r w:rsidRPr="00CF2985">
        <w:rPr>
          <w:lang w:val="en-GB"/>
        </w:rPr>
        <w:t xml:space="preserve"> and C</w:t>
      </w:r>
      <w:r w:rsidRPr="00CF2985">
        <w:rPr>
          <w:vertAlign w:val="subscript"/>
          <w:lang w:val="en-GB"/>
        </w:rPr>
        <w:t>18:0</w:t>
      </w:r>
      <w:r w:rsidRPr="00CF2985">
        <w:rPr>
          <w:lang w:val="en-GB"/>
        </w:rPr>
        <w:t xml:space="preserve"> fatty acids. </w:t>
      </w:r>
      <w:r w:rsidR="00731F82" w:rsidRPr="00CF2985">
        <w:rPr>
          <w:lang w:val="en-GB"/>
        </w:rPr>
        <w:t>This analysis</w:t>
      </w:r>
      <w:r w:rsidRPr="00CF2985">
        <w:rPr>
          <w:lang w:val="en-GB"/>
        </w:rPr>
        <w:t xml:space="preserve"> provides further information for distinguishing different substances. </w:t>
      </w:r>
    </w:p>
    <w:p w14:paraId="735100D0" w14:textId="77777777" w:rsidR="004F1A38" w:rsidRPr="00CF2985" w:rsidRDefault="004F1A38">
      <w:pPr>
        <w:rPr>
          <w:lang w:val="en-GB"/>
        </w:rPr>
      </w:pPr>
    </w:p>
    <w:p w14:paraId="05990F98" w14:textId="77777777" w:rsidR="004F1A38" w:rsidRPr="00CF2985" w:rsidRDefault="00615E39">
      <w:pPr>
        <w:rPr>
          <w:lang w:val="en-GB"/>
        </w:rPr>
      </w:pPr>
      <w:r w:rsidRPr="00CF2985">
        <w:rPr>
          <w:lang w:val="en-GB"/>
        </w:rPr>
        <w:t xml:space="preserve">The samples were analysed using an Agilent 7890B GC </w:t>
      </w:r>
      <w:r w:rsidRPr="00CF2985">
        <w:rPr>
          <w:highlight w:val="white"/>
          <w:lang w:val="en-GB"/>
        </w:rPr>
        <w:t xml:space="preserve">(Agilent Technologies, Santa Clara, CA, USA) </w:t>
      </w:r>
      <w:r w:rsidRPr="00CF2985">
        <w:rPr>
          <w:lang w:val="en-GB"/>
        </w:rPr>
        <w:t>instrument coupled to an Agilent 5975C MSD and an Isoprime 100 IRMS</w:t>
      </w:r>
      <w:r w:rsidRPr="00CF2985">
        <w:rPr>
          <w:highlight w:val="white"/>
          <w:lang w:val="en-GB"/>
        </w:rPr>
        <w:t xml:space="preserve"> (Isoprime, Cheadle, UK)</w:t>
      </w:r>
      <w:r w:rsidRPr="00CF2985">
        <w:rPr>
          <w:lang w:val="en-GB"/>
        </w:rPr>
        <w:t xml:space="preserve"> with an Isoprime GC5 interface (Isoprime, Cheadle, UK). </w:t>
      </w:r>
      <w:r w:rsidRPr="00CF2985">
        <w:rPr>
          <w:highlight w:val="white"/>
          <w:lang w:val="en-GB"/>
        </w:rPr>
        <w:t xml:space="preserve">All samples were diluted with hexane and subsequently 1 µl of each sample was injected into a DB-5MS </w:t>
      </w:r>
      <w:r w:rsidR="00731F82" w:rsidRPr="00CF2985">
        <w:rPr>
          <w:highlight w:val="white"/>
          <w:lang w:val="en-GB"/>
        </w:rPr>
        <w:t xml:space="preserve">(30 m × 0.25 mm, 0.25 µm) </w:t>
      </w:r>
      <w:r w:rsidRPr="00CF2985">
        <w:rPr>
          <w:highlight w:val="white"/>
          <w:lang w:val="en-GB"/>
        </w:rPr>
        <w:t>fused-silica column. The temperature was set for 0.5 min at 50°C, and raised by 10°C min</w:t>
      </w:r>
      <w:r w:rsidRPr="00CF2985">
        <w:rPr>
          <w:highlight w:val="white"/>
          <w:vertAlign w:val="superscript"/>
          <w:lang w:val="en-GB"/>
        </w:rPr>
        <w:t>-1</w:t>
      </w:r>
      <w:r w:rsidRPr="00CF2985">
        <w:rPr>
          <w:highlight w:val="white"/>
          <w:lang w:val="en-GB"/>
        </w:rPr>
        <w:t xml:space="preserve"> until 300°C was reached, and held for 10 min. The carrier gas was ultra-high purity grade helium with a flow rate of 3 ml min</w:t>
      </w:r>
      <w:r w:rsidRPr="00CF2985">
        <w:rPr>
          <w:highlight w:val="white"/>
          <w:vertAlign w:val="superscript"/>
          <w:lang w:val="en-GB"/>
        </w:rPr>
        <w:t>-1</w:t>
      </w:r>
      <w:r w:rsidRPr="00CF2985">
        <w:rPr>
          <w:highlight w:val="white"/>
          <w:lang w:val="en-GB"/>
        </w:rPr>
        <w:t>. The gases eluting from the chromatographic column were split into two streams. One of these was directed into an Agilent 5975C inert mass spectrometer detector (MSD), for sample identification and quantification, while the other was directed through the GC5 furnace held at 850°C to oxidise all carbon species to CO</w:t>
      </w:r>
      <w:r w:rsidRPr="00CF2985">
        <w:rPr>
          <w:highlight w:val="white"/>
          <w:vertAlign w:val="subscript"/>
          <w:lang w:val="en-GB"/>
        </w:rPr>
        <w:t>2</w:t>
      </w:r>
      <w:r w:rsidRPr="00CF2985">
        <w:rPr>
          <w:highlight w:val="white"/>
          <w:lang w:val="en-GB"/>
        </w:rPr>
        <w:t xml:space="preserve">. </w:t>
      </w:r>
      <w:r w:rsidRPr="00CF2985">
        <w:rPr>
          <w:lang w:val="en-GB"/>
        </w:rPr>
        <w:t>A clear resolution and baseline separation of the analysed peaks was achieved in both systems</w:t>
      </w:r>
    </w:p>
    <w:p w14:paraId="5BF80093" w14:textId="77777777" w:rsidR="004F1A38" w:rsidRPr="00CF2985" w:rsidRDefault="004F1A38">
      <w:pPr>
        <w:rPr>
          <w:lang w:val="en-GB"/>
        </w:rPr>
      </w:pPr>
    </w:p>
    <w:p w14:paraId="543AF6BF" w14:textId="77777777" w:rsidR="004F1A38" w:rsidRPr="00CF2985" w:rsidRDefault="00615E39">
      <w:pPr>
        <w:rPr>
          <w:lang w:val="en-GB"/>
        </w:rPr>
      </w:pPr>
      <w:r w:rsidRPr="00CF2985">
        <w:rPr>
          <w:lang w:val="en-GB"/>
        </w:rPr>
        <w:t xml:space="preserve">Eluted products were ionized in the mass spectrometer by electron impact. Ion intensities of </w:t>
      </w:r>
      <w:r w:rsidRPr="00CF2985">
        <w:rPr>
          <w:i/>
          <w:lang w:val="en-GB"/>
        </w:rPr>
        <w:t>m/z</w:t>
      </w:r>
      <w:r w:rsidRPr="00CF2985">
        <w:rPr>
          <w:lang w:val="en-GB"/>
        </w:rPr>
        <w:t xml:space="preserve"> 44, 45, and 46 were monitored in order to automatically compute the </w:t>
      </w:r>
      <w:r w:rsidRPr="00CF2985">
        <w:rPr>
          <w:vertAlign w:val="superscript"/>
          <w:lang w:val="en-GB"/>
        </w:rPr>
        <w:t>13</w:t>
      </w:r>
      <w:r w:rsidRPr="00CF2985">
        <w:rPr>
          <w:lang w:val="en-GB"/>
        </w:rPr>
        <w:t>C/</w:t>
      </w:r>
      <w:r w:rsidRPr="00CF2985">
        <w:rPr>
          <w:vertAlign w:val="superscript"/>
          <w:lang w:val="en-GB"/>
        </w:rPr>
        <w:t>12</w:t>
      </w:r>
      <w:r w:rsidRPr="00CF2985">
        <w:rPr>
          <w:lang w:val="en-GB"/>
        </w:rPr>
        <w:t>C ratio of each peak in the extracts. Computations were made with IonVantage and IonOS Softwares (Isoprime, Cheadle, UK) and were based on comparisons with a standard reference gas (CO</w:t>
      </w:r>
      <w:r w:rsidRPr="00CF2985">
        <w:rPr>
          <w:vertAlign w:val="subscript"/>
          <w:lang w:val="en-GB"/>
        </w:rPr>
        <w:t>2</w:t>
      </w:r>
      <w:r w:rsidRPr="00CF2985">
        <w:rPr>
          <w:lang w:val="en-GB"/>
        </w:rPr>
        <w:t xml:space="preserve">) of known isotopic composition that was repeatedly measured. The results from the analysis are reported in parts per mille (‰) relative to an international standard (V-PDB). </w:t>
      </w:r>
    </w:p>
    <w:p w14:paraId="7518D413" w14:textId="77777777" w:rsidR="004F1A38" w:rsidRPr="00CF2985" w:rsidRDefault="004F1A38">
      <w:pPr>
        <w:rPr>
          <w:lang w:val="en-GB"/>
        </w:rPr>
      </w:pPr>
    </w:p>
    <w:p w14:paraId="548CE32C" w14:textId="77777777" w:rsidR="004F1A38" w:rsidRPr="00CF2985" w:rsidRDefault="00615E39">
      <w:pPr>
        <w:rPr>
          <w:lang w:val="en-GB"/>
        </w:rPr>
      </w:pPr>
      <w:r w:rsidRPr="00CF2985">
        <w:rPr>
          <w:lang w:val="en-GB"/>
        </w:rPr>
        <w:t xml:space="preserve">The accuracy and precision of the instrument was determined on </w:t>
      </w:r>
      <w:r w:rsidRPr="00CF2985">
        <w:rPr>
          <w:i/>
          <w:lang w:val="en-GB"/>
        </w:rPr>
        <w:t>n</w:t>
      </w:r>
      <w:r w:rsidRPr="00CF2985">
        <w:rPr>
          <w:lang w:val="en-GB"/>
        </w:rPr>
        <w:t>-alkanoic acid ester standards of known isotopic composition (Indiana standard F8-3). The mean ± S.D. values of these were -29.82 ± 0.16‰ and -23.28 ± 0.19‰ for the methyl ester of C</w:t>
      </w:r>
      <w:r w:rsidRPr="00CF2985">
        <w:rPr>
          <w:vertAlign w:val="subscript"/>
          <w:lang w:val="en-GB"/>
        </w:rPr>
        <w:t>16:0</w:t>
      </w:r>
      <w:r w:rsidRPr="00CF2985">
        <w:rPr>
          <w:lang w:val="en-GB"/>
        </w:rPr>
        <w:t xml:space="preserve"> (reported mean value vs. VPDB -29.90 ± 0.03‰) and C</w:t>
      </w:r>
      <w:r w:rsidRPr="00CF2985">
        <w:rPr>
          <w:vertAlign w:val="subscript"/>
          <w:lang w:val="en-GB"/>
        </w:rPr>
        <w:t>18:0</w:t>
      </w:r>
      <w:r w:rsidRPr="00CF2985">
        <w:rPr>
          <w:lang w:val="en-GB"/>
        </w:rPr>
        <w:t xml:space="preserve"> (reported mean value vs. VPDB -23.24 ± 0.01‰) respectively. Each sample was measured in replicate (mean of S.D. 0.11‰ for C</w:t>
      </w:r>
      <w:r w:rsidRPr="00CF2985">
        <w:rPr>
          <w:vertAlign w:val="subscript"/>
          <w:lang w:val="en-GB"/>
        </w:rPr>
        <w:t>16:0</w:t>
      </w:r>
      <w:r w:rsidRPr="00CF2985">
        <w:rPr>
          <w:lang w:val="en-GB"/>
        </w:rPr>
        <w:t xml:space="preserve"> and 0.10‰ for C</w:t>
      </w:r>
      <w:r w:rsidRPr="00CF2985">
        <w:rPr>
          <w:vertAlign w:val="subscript"/>
          <w:lang w:val="en-GB"/>
        </w:rPr>
        <w:t>18:0</w:t>
      </w:r>
      <w:r w:rsidRPr="00CF2985">
        <w:rPr>
          <w:lang w:val="en-GB"/>
        </w:rPr>
        <w:t>). Values were also corrected subsequent to analysis to account for the methylation of the carboxyl group that occurs during acid extraction. Corrections were based on comparisons with a standard mixture of C</w:t>
      </w:r>
      <w:r w:rsidRPr="00CF2985">
        <w:rPr>
          <w:vertAlign w:val="subscript"/>
          <w:lang w:val="en-GB"/>
        </w:rPr>
        <w:t>16:0</w:t>
      </w:r>
      <w:r w:rsidRPr="00CF2985">
        <w:rPr>
          <w:lang w:val="en-GB"/>
        </w:rPr>
        <w:t xml:space="preserve"> and C</w:t>
      </w:r>
      <w:r w:rsidRPr="00CF2985">
        <w:rPr>
          <w:vertAlign w:val="subscript"/>
          <w:lang w:val="en-GB"/>
        </w:rPr>
        <w:t>18:0</w:t>
      </w:r>
      <w:r w:rsidRPr="00CF2985">
        <w:rPr>
          <w:lang w:val="en-GB"/>
        </w:rPr>
        <w:t xml:space="preserve"> fatty acids of known isotopic composition processed in each batch under identical conditions.</w:t>
      </w:r>
    </w:p>
    <w:p w14:paraId="3BF3FC01" w14:textId="77777777" w:rsidR="004F1A38" w:rsidRPr="00CF2985" w:rsidRDefault="004F1A38">
      <w:pPr>
        <w:rPr>
          <w:lang w:val="en-GB"/>
        </w:rPr>
      </w:pPr>
    </w:p>
    <w:p w14:paraId="1A179738" w14:textId="77777777" w:rsidR="004F1A38" w:rsidRPr="00CF2985" w:rsidRDefault="00615E39">
      <w:pPr>
        <w:rPr>
          <w:lang w:val="en-GB"/>
        </w:rPr>
      </w:pPr>
      <w:r w:rsidRPr="00CF2985">
        <w:rPr>
          <w:lang w:val="en-GB"/>
        </w:rPr>
        <w:t>Bulk IRMS (isotope ratio mass spectrometry) analysis of food crusts determining δ</w:t>
      </w:r>
      <w:r w:rsidRPr="00CF2985">
        <w:rPr>
          <w:vertAlign w:val="superscript"/>
          <w:lang w:val="en-GB"/>
        </w:rPr>
        <w:t>13</w:t>
      </w:r>
      <w:r w:rsidRPr="00CF2985">
        <w:rPr>
          <w:lang w:val="en-GB"/>
        </w:rPr>
        <w:t>C and δ</w:t>
      </w:r>
      <w:r w:rsidRPr="00CF2985">
        <w:rPr>
          <w:vertAlign w:val="superscript"/>
          <w:lang w:val="en-GB"/>
        </w:rPr>
        <w:t>15</w:t>
      </w:r>
      <w:r w:rsidRPr="00CF2985">
        <w:rPr>
          <w:lang w:val="en-GB"/>
        </w:rPr>
        <w:t xml:space="preserve">N relative to VPDR and AIR internal standards was conducted at the facilities at the University of York BioArCh laboratory and Department of Geology at the University of Tartu. Ca. 1 mg food crust sample was weighed into tin capsules. At the University of Tartu Institute of Geology IRMS facility the samples were analysed with Thermo Scientific Delta V Plus + Thermo Finnigan Flash HT Plus using IAEA-N2 standards (the mean ± S.D. values within run 20.299 ± 0.1482), IAEA-CH3 (-24.611 ± 0.0244‰), IAEA-CH6 (-10.52 ± 0.0335‰). At the York BioArCh Light Stable Isotope facility the instrument used was Sercon continuous flow 20-22 Isotope Ratio Mass Spectrometer with universal Faraday triple collectors (C, N, S, O) with the international standards of IAEA-N2 (20.30 ± 0.2‰) and IAEA-600 (caffeine; -27.77 ± 0.04‰), complemented with the lab standards of fish-gel and cane sugar. </w:t>
      </w:r>
    </w:p>
    <w:p w14:paraId="1611058E" w14:textId="77777777" w:rsidR="004F1A38" w:rsidRPr="00CF2985" w:rsidRDefault="00201AC1">
      <w:pPr>
        <w:rPr>
          <w:lang w:val="en-GB"/>
        </w:rPr>
      </w:pPr>
      <w:r w:rsidRPr="00CF2985">
        <w:rPr>
          <w:lang w:val="en-GB"/>
        </w:rPr>
        <w:br w:type="page"/>
      </w:r>
    </w:p>
    <w:p w14:paraId="260ED3A2" w14:textId="77777777" w:rsidR="004F1A38" w:rsidRPr="00CF2985" w:rsidRDefault="00615E39">
      <w:pPr>
        <w:pStyle w:val="Heading2"/>
        <w:contextualSpacing w:val="0"/>
        <w:rPr>
          <w:lang w:val="en-GB"/>
        </w:rPr>
      </w:pPr>
      <w:bookmarkStart w:id="5" w:name="h.4deddz3l0cke" w:colFirst="0" w:colLast="0"/>
      <w:bookmarkEnd w:id="5"/>
      <w:r w:rsidRPr="00CF2985">
        <w:rPr>
          <w:lang w:val="en-GB"/>
        </w:rPr>
        <w:t>3. Results</w:t>
      </w:r>
    </w:p>
    <w:p w14:paraId="21D9A66D" w14:textId="77777777" w:rsidR="00DF1416" w:rsidRPr="00CF2985" w:rsidRDefault="00DF1416" w:rsidP="00DF1416">
      <w:pPr>
        <w:rPr>
          <w:lang w:val="en-GB"/>
        </w:rPr>
      </w:pPr>
    </w:p>
    <w:p w14:paraId="35D25C65" w14:textId="77777777" w:rsidR="004F1A38" w:rsidRPr="00CF2985" w:rsidRDefault="00615E39" w:rsidP="00DF1416">
      <w:pPr>
        <w:pStyle w:val="Heading2"/>
        <w:contextualSpacing w:val="0"/>
        <w:rPr>
          <w:b w:val="0"/>
          <w:lang w:val="en-GB"/>
        </w:rPr>
      </w:pPr>
      <w:bookmarkStart w:id="6" w:name="h.30j0zll" w:colFirst="0" w:colLast="0"/>
      <w:bookmarkEnd w:id="6"/>
      <w:r w:rsidRPr="00CF2985">
        <w:rPr>
          <w:b w:val="0"/>
          <w:lang w:val="en-GB"/>
        </w:rPr>
        <w:t>3.1. GC-MS analysis</w:t>
      </w:r>
    </w:p>
    <w:p w14:paraId="622F5C64" w14:textId="5FB893E5" w:rsidR="004F1A38" w:rsidRPr="00CF2985" w:rsidRDefault="00615E39">
      <w:pPr>
        <w:rPr>
          <w:lang w:val="en-GB"/>
        </w:rPr>
      </w:pPr>
      <w:r w:rsidRPr="00CF2985">
        <w:rPr>
          <w:lang w:val="en-GB"/>
        </w:rPr>
        <w:t>In total 93 samples from 65 sherds were analysed by GC-MS, comprising 65 ceramic samples and 28 food crusts. An interpretable lipid residue (i.e. &gt;5µg g</w:t>
      </w:r>
      <w:r w:rsidRPr="00CF2985">
        <w:rPr>
          <w:vertAlign w:val="superscript"/>
          <w:lang w:val="en-GB"/>
        </w:rPr>
        <w:t xml:space="preserve">-1 </w:t>
      </w:r>
      <w:r w:rsidRPr="00CF2985">
        <w:rPr>
          <w:lang w:val="en-GB"/>
        </w:rPr>
        <w:t>sherd or &gt;0.1 µg mg</w:t>
      </w:r>
      <w:r w:rsidRPr="00CF2985">
        <w:rPr>
          <w:vertAlign w:val="superscript"/>
          <w:lang w:val="en-GB"/>
        </w:rPr>
        <w:t>-1</w:t>
      </w:r>
      <w:r w:rsidRPr="00CF2985">
        <w:rPr>
          <w:lang w:val="en-GB"/>
        </w:rPr>
        <w:t xml:space="preserve"> food crust) was present in 87 samples derived from 63 sherds/vessels. Lipid preservation varied considerably across the sites investigated with submerged inland sites (Kääpa and Akali) yielding the highest amounts and coastal sites the lowest (Table 1). </w:t>
      </w:r>
      <w:r w:rsidR="00A36653" w:rsidRPr="00CF2985">
        <w:rPr>
          <w:lang w:val="en-GB"/>
        </w:rPr>
        <w:t>Besides the environmental conditions lipid preservation may also depend on different use</w:t>
      </w:r>
      <w:r w:rsidR="009B36B2" w:rsidRPr="00CF2985">
        <w:rPr>
          <w:lang w:val="en-GB"/>
        </w:rPr>
        <w:t>s</w:t>
      </w:r>
      <w:r w:rsidR="00A36653" w:rsidRPr="00CF2985">
        <w:rPr>
          <w:lang w:val="en-GB"/>
        </w:rPr>
        <w:t xml:space="preserve"> of the vessels, as well as </w:t>
      </w:r>
      <w:r w:rsidR="009B36B2" w:rsidRPr="00CF2985">
        <w:rPr>
          <w:lang w:val="en-GB"/>
        </w:rPr>
        <w:t>the nature of the clay matrix</w:t>
      </w:r>
      <w:r w:rsidR="00A36653" w:rsidRPr="00CF2985">
        <w:rPr>
          <w:lang w:val="en-GB"/>
        </w:rPr>
        <w:t xml:space="preserve"> </w:t>
      </w:r>
      <w:r w:rsidR="009B36B2" w:rsidRPr="00CF2985">
        <w:rPr>
          <w:lang w:val="en-GB"/>
        </w:rPr>
        <w:t>a</w:t>
      </w:r>
      <w:r w:rsidR="00A36653" w:rsidRPr="00CF2985">
        <w:rPr>
          <w:lang w:val="en-GB"/>
        </w:rPr>
        <w:t xml:space="preserve">ffecting </w:t>
      </w:r>
      <w:r w:rsidR="004D7D7D" w:rsidRPr="00CF2985">
        <w:rPr>
          <w:lang w:val="en-GB"/>
        </w:rPr>
        <w:t>absorption</w:t>
      </w:r>
      <w:r w:rsidR="00A36653" w:rsidRPr="00CF2985">
        <w:rPr>
          <w:lang w:val="en-GB"/>
        </w:rPr>
        <w:t xml:space="preserve"> of lipids.</w:t>
      </w:r>
    </w:p>
    <w:p w14:paraId="4DF85007" w14:textId="77777777" w:rsidR="004F1A38" w:rsidRPr="00CF2985" w:rsidRDefault="004F1A38">
      <w:pPr>
        <w:rPr>
          <w:lang w:val="en-GB"/>
        </w:rPr>
      </w:pPr>
    </w:p>
    <w:p w14:paraId="4A23055E" w14:textId="37BC4014" w:rsidR="004F1A38" w:rsidRPr="00CF2985" w:rsidRDefault="00615E39">
      <w:pPr>
        <w:rPr>
          <w:lang w:val="en-GB"/>
        </w:rPr>
      </w:pPr>
      <w:r w:rsidRPr="00CF2985">
        <w:rPr>
          <w:lang w:val="en-GB"/>
        </w:rPr>
        <w:t xml:space="preserve">Twenty seven of samples contained </w:t>
      </w:r>
      <w:r w:rsidRPr="00CF2985">
        <w:rPr>
          <w:i/>
          <w:lang w:val="en-GB"/>
        </w:rPr>
        <w:t>ω</w:t>
      </w:r>
      <w:r w:rsidRPr="00CF2985">
        <w:rPr>
          <w:lang w:val="en-GB"/>
        </w:rPr>
        <w:t>-(</w:t>
      </w:r>
      <w:r w:rsidRPr="00CF2985">
        <w:rPr>
          <w:i/>
          <w:lang w:val="en-GB"/>
        </w:rPr>
        <w:t>o</w:t>
      </w:r>
      <w:r w:rsidRPr="00CF2985">
        <w:rPr>
          <w:lang w:val="en-GB"/>
        </w:rPr>
        <w:t>-alkylphenyl) alkanoic acids (APAAs), with carbon atoms ranging from C</w:t>
      </w:r>
      <w:r w:rsidRPr="00CF2985">
        <w:rPr>
          <w:vertAlign w:val="subscript"/>
          <w:lang w:val="en-GB"/>
        </w:rPr>
        <w:t>18</w:t>
      </w:r>
      <w:r w:rsidRPr="00CF2985">
        <w:rPr>
          <w:lang w:val="en-GB"/>
        </w:rPr>
        <w:t xml:space="preserve"> to C</w:t>
      </w:r>
      <w:r w:rsidRPr="00CF2985">
        <w:rPr>
          <w:vertAlign w:val="subscript"/>
          <w:lang w:val="en-GB"/>
        </w:rPr>
        <w:t>22</w:t>
      </w:r>
      <w:r w:rsidRPr="00CF2985">
        <w:rPr>
          <w:lang w:val="en-GB"/>
        </w:rPr>
        <w:t xml:space="preserve"> and isoprenoid fatty acids (phytanic, pristanic, and 4,8</w:t>
      </w:r>
      <w:r w:rsidR="00962217">
        <w:rPr>
          <w:lang w:val="en-GB"/>
        </w:rPr>
        <w:t>,12-trimethyltridecanoic (TMTD)</w:t>
      </w:r>
      <w:r w:rsidRPr="00CF2985">
        <w:rPr>
          <w:lang w:val="en-GB"/>
        </w:rPr>
        <w:t xml:space="preserve">. The former are formed by prolonged heating of polyunsaturated fatty acids found in aquatic organisms (Hansel et al., 2004; Craig et al., 2007) and therefore must be derived from primary use of the vessel. Together the presence of these compounds meet the molecular criteria for aquatic organisms </w:t>
      </w:r>
      <w:hyperlink r:id="rId15">
        <w:r w:rsidRPr="00CF2985">
          <w:rPr>
            <w:lang w:val="en-GB"/>
          </w:rPr>
          <w:t>(Evershed et al., 2008a)</w:t>
        </w:r>
      </w:hyperlink>
      <w:r w:rsidRPr="00CF2985">
        <w:rPr>
          <w:lang w:val="en-GB"/>
        </w:rPr>
        <w:t xml:space="preserve"> and are frequently found in other prehistoric forager pottery vessels from East Asia </w:t>
      </w:r>
      <w:hyperlink r:id="rId16">
        <w:r w:rsidRPr="00CF2985">
          <w:rPr>
            <w:lang w:val="en-GB"/>
          </w:rPr>
          <w:t>(Craig et al., 2013; Lucquin et al., 2016)</w:t>
        </w:r>
      </w:hyperlink>
      <w:r w:rsidRPr="00CF2985">
        <w:rPr>
          <w:lang w:val="en-GB"/>
        </w:rPr>
        <w:t xml:space="preserve">, North America </w:t>
      </w:r>
      <w:hyperlink r:id="rId17">
        <w:r w:rsidRPr="00CF2985">
          <w:rPr>
            <w:lang w:val="en-GB"/>
          </w:rPr>
          <w:t>(Taché and Craig, 2015)</w:t>
        </w:r>
      </w:hyperlink>
      <w:r w:rsidRPr="00CF2985">
        <w:rPr>
          <w:lang w:val="en-GB"/>
        </w:rPr>
        <w:t xml:space="preserve"> and the Baltic </w:t>
      </w:r>
      <w:hyperlink r:id="rId18">
        <w:r w:rsidRPr="00CF2985">
          <w:rPr>
            <w:lang w:val="en-GB"/>
          </w:rPr>
          <w:t>(</w:t>
        </w:r>
        <w:r w:rsidR="00A36653" w:rsidRPr="00CF2985">
          <w:rPr>
            <w:lang w:val="en-GB"/>
          </w:rPr>
          <w:t xml:space="preserve">Papmehl-Dufay, 2008; Isaksson, 2009; </w:t>
        </w:r>
        <w:r w:rsidRPr="00CF2985">
          <w:rPr>
            <w:lang w:val="en-GB"/>
          </w:rPr>
          <w:t>Craig et al., 2011; Cramp et al., 2014)</w:t>
        </w:r>
      </w:hyperlink>
      <w:r w:rsidRPr="00CF2985">
        <w:rPr>
          <w:lang w:val="en-GB"/>
        </w:rPr>
        <w:t>. Four samples included only C</w:t>
      </w:r>
      <w:r w:rsidRPr="00CF2985">
        <w:rPr>
          <w:vertAlign w:val="subscript"/>
          <w:lang w:val="en-GB"/>
        </w:rPr>
        <w:t xml:space="preserve">20 </w:t>
      </w:r>
      <w:r w:rsidRPr="00CF2985">
        <w:rPr>
          <w:lang w:val="en-GB"/>
        </w:rPr>
        <w:t>and/or C</w:t>
      </w:r>
      <w:r w:rsidRPr="00CF2985">
        <w:rPr>
          <w:vertAlign w:val="subscript"/>
          <w:lang w:val="en-GB"/>
        </w:rPr>
        <w:t>22</w:t>
      </w:r>
      <w:r w:rsidRPr="00CF2985">
        <w:rPr>
          <w:lang w:val="en-GB"/>
        </w:rPr>
        <w:t xml:space="preserve"> APAA without isoprenoid fatty acids, which are also considered as aquatic biomarkers. A further seven samples contained partial sets of aquatic biomarkers, i.e. C</w:t>
      </w:r>
      <w:r w:rsidRPr="00CF2985">
        <w:rPr>
          <w:vertAlign w:val="subscript"/>
          <w:lang w:val="en-GB"/>
        </w:rPr>
        <w:t>18</w:t>
      </w:r>
      <w:r w:rsidRPr="00CF2985">
        <w:rPr>
          <w:lang w:val="en-GB"/>
        </w:rPr>
        <w:t xml:space="preserve"> APAA and isoprenoid fatty acids. These are most likely derived from aquatic organisms but it is important to note that C</w:t>
      </w:r>
      <w:r w:rsidRPr="00CF2985">
        <w:rPr>
          <w:vertAlign w:val="subscript"/>
          <w:lang w:val="en-GB"/>
        </w:rPr>
        <w:t>18</w:t>
      </w:r>
      <w:r w:rsidRPr="00CF2985">
        <w:rPr>
          <w:lang w:val="en-GB"/>
        </w:rPr>
        <w:t xml:space="preserve"> APAAs may also be formed from by heating other mono- and polyunsaturated fatty acids found in plant oils and terrestrial animal fats.</w:t>
      </w:r>
    </w:p>
    <w:p w14:paraId="3C91C569" w14:textId="77777777" w:rsidR="004F1A38" w:rsidRPr="00CF2985" w:rsidRDefault="004F1A38">
      <w:pPr>
        <w:rPr>
          <w:lang w:val="en-GB"/>
        </w:rPr>
      </w:pPr>
    </w:p>
    <w:p w14:paraId="3F4F13F4" w14:textId="3B3208EA" w:rsidR="004F1A38" w:rsidRPr="00CF2985" w:rsidRDefault="00615E39">
      <w:pPr>
        <w:rPr>
          <w:lang w:val="en-GB"/>
        </w:rPr>
      </w:pPr>
      <w:r w:rsidRPr="00CF2985">
        <w:rPr>
          <w:lang w:val="en-GB"/>
        </w:rPr>
        <w:t xml:space="preserve">Cholesterol and various derivatives (e.g. cholestadiene, cholesterol methyl ether, cholestanol etc.) were identified in over one third of the samples hinting at animal-related substances. However, these can be both aquatic and terrestrial animals. In the vast majority of samples (83 in total), several diterpenes derived from </w:t>
      </w:r>
      <w:r w:rsidRPr="00CF2985">
        <w:rPr>
          <w:i/>
          <w:lang w:val="en-GB"/>
        </w:rPr>
        <w:t xml:space="preserve">Pinaceae </w:t>
      </w:r>
      <w:r w:rsidRPr="00CF2985">
        <w:rPr>
          <w:lang w:val="en-GB"/>
        </w:rPr>
        <w:t>resins (Pollard and Heron, 2008, 242; Modugno and Ribechini, 2009) were observed (Appendix A. Supplementary data). These compounds were at low abundance rather than the main constituent of the organic residue and include dehydroabietic acid, 7-oxodehydroabietic acid and retene. As retene will appear only with a protracted heating, contamination from surrounding soil can be excluded but these compounds may have be formed during the firing of the pot</w:t>
      </w:r>
      <w:r w:rsidR="003A1253" w:rsidRPr="00CF2985">
        <w:rPr>
          <w:lang w:val="en-GB"/>
        </w:rPr>
        <w:t xml:space="preserve"> or </w:t>
      </w:r>
      <w:r w:rsidR="009B36B2" w:rsidRPr="00CF2985">
        <w:rPr>
          <w:lang w:val="en-GB"/>
        </w:rPr>
        <w:t>potentially from woodsmoke during use</w:t>
      </w:r>
      <w:r w:rsidR="003A1253" w:rsidRPr="00CF2985">
        <w:rPr>
          <w:lang w:val="en-GB"/>
        </w:rPr>
        <w:t xml:space="preserve"> (Simoneit et al., 2000)</w:t>
      </w:r>
      <w:r w:rsidRPr="00CF2985">
        <w:rPr>
          <w:lang w:val="en-GB"/>
        </w:rPr>
        <w:t xml:space="preserve">. Another explanation would be that resins have been used to waterproof the pots. </w:t>
      </w:r>
    </w:p>
    <w:p w14:paraId="57BD4411" w14:textId="77777777" w:rsidR="004F1A38" w:rsidRPr="00CF2985" w:rsidRDefault="004F1A38">
      <w:pPr>
        <w:rPr>
          <w:lang w:val="en-GB"/>
        </w:rPr>
      </w:pPr>
    </w:p>
    <w:p w14:paraId="12E92482" w14:textId="77777777" w:rsidR="004F1A38" w:rsidRPr="00CF2985" w:rsidRDefault="00615E39">
      <w:pPr>
        <w:pStyle w:val="Heading3"/>
        <w:contextualSpacing w:val="0"/>
        <w:rPr>
          <w:rFonts w:ascii="Times New Roman" w:hAnsi="Times New Roman" w:cs="Times New Roman"/>
          <w:lang w:val="en-GB"/>
        </w:rPr>
      </w:pPr>
      <w:r w:rsidRPr="00CF2985">
        <w:rPr>
          <w:rFonts w:ascii="Times New Roman" w:hAnsi="Times New Roman" w:cs="Times New Roman"/>
          <w:lang w:val="en-GB"/>
        </w:rPr>
        <w:t>3.2. GC-C-IRMS analysis</w:t>
      </w:r>
    </w:p>
    <w:p w14:paraId="152A4B06" w14:textId="77777777" w:rsidR="004F1A38" w:rsidRPr="00CF2985" w:rsidRDefault="00615E39">
      <w:pPr>
        <w:rPr>
          <w:lang w:val="en-GB"/>
        </w:rPr>
      </w:pPr>
      <w:r w:rsidRPr="00CF2985">
        <w:rPr>
          <w:lang w:val="en-GB"/>
        </w:rPr>
        <w:t>The determination of the δ</w:t>
      </w:r>
      <w:r w:rsidRPr="00CF2985">
        <w:rPr>
          <w:vertAlign w:val="superscript"/>
          <w:lang w:val="en-GB"/>
        </w:rPr>
        <w:t>13</w:t>
      </w:r>
      <w:r w:rsidRPr="00CF2985">
        <w:rPr>
          <w:lang w:val="en-GB"/>
        </w:rPr>
        <w:t>C</w:t>
      </w:r>
      <w:r w:rsidRPr="00CF2985">
        <w:rPr>
          <w:vertAlign w:val="superscript"/>
          <w:lang w:val="en-GB"/>
        </w:rPr>
        <w:t xml:space="preserve"> </w:t>
      </w:r>
      <w:r w:rsidRPr="00CF2985">
        <w:rPr>
          <w:lang w:val="en-GB"/>
        </w:rPr>
        <w:t>values of the C</w:t>
      </w:r>
      <w:r w:rsidRPr="00CF2985">
        <w:rPr>
          <w:vertAlign w:val="subscript"/>
          <w:lang w:val="en-GB"/>
        </w:rPr>
        <w:t>16:0</w:t>
      </w:r>
      <w:r w:rsidRPr="00CF2985">
        <w:rPr>
          <w:lang w:val="en-GB"/>
        </w:rPr>
        <w:t xml:space="preserve"> and C</w:t>
      </w:r>
      <w:r w:rsidRPr="00CF2985">
        <w:rPr>
          <w:vertAlign w:val="subscript"/>
          <w:lang w:val="en-GB"/>
        </w:rPr>
        <w:t>18:0</w:t>
      </w:r>
      <w:r w:rsidRPr="00CF2985">
        <w:rPr>
          <w:lang w:val="en-GB"/>
        </w:rPr>
        <w:t xml:space="preserve"> fatty acids provides further information on the origin of organic residues associated with </w:t>
      </w:r>
      <w:r w:rsidR="008E796B" w:rsidRPr="00CF2985">
        <w:rPr>
          <w:lang w:val="en-GB"/>
        </w:rPr>
        <w:t xml:space="preserve">ceramic </w:t>
      </w:r>
      <w:r w:rsidRPr="00CF2985">
        <w:rPr>
          <w:lang w:val="en-GB"/>
        </w:rPr>
        <w:t>vessels (Evershed 2008; Craig et al. 2012). It is noticeable that majority of sherds analysed (29 out of 31) from inland sites, have fatty acid δ</w:t>
      </w:r>
      <w:r w:rsidRPr="00CF2985">
        <w:rPr>
          <w:vertAlign w:val="superscript"/>
          <w:lang w:val="en-GB"/>
        </w:rPr>
        <w:t>13</w:t>
      </w:r>
      <w:r w:rsidRPr="00CF2985">
        <w:rPr>
          <w:lang w:val="en-GB"/>
        </w:rPr>
        <w:t xml:space="preserve">C values below -30‰ (Fig. 3A). These are consistent with reported ranges for fatty acids from freshwater fish </w:t>
      </w:r>
      <w:hyperlink r:id="rId19">
        <w:r w:rsidRPr="00CF2985">
          <w:rPr>
            <w:lang w:val="en-GB"/>
          </w:rPr>
          <w:t xml:space="preserve">(Cramp and Evershed, </w:t>
        </w:r>
      </w:hyperlink>
      <w:hyperlink r:id="rId20">
        <w:r w:rsidRPr="00CF2985">
          <w:rPr>
            <w:lang w:val="en-GB"/>
          </w:rPr>
          <w:t>2014</w:t>
        </w:r>
      </w:hyperlink>
      <w:hyperlink r:id="rId21">
        <w:r w:rsidRPr="00CF2985">
          <w:rPr>
            <w:lang w:val="en-GB"/>
          </w:rPr>
          <w:t>)</w:t>
        </w:r>
      </w:hyperlink>
      <w:r w:rsidRPr="00CF2985">
        <w:rPr>
          <w:lang w:val="en-GB"/>
        </w:rPr>
        <w:t>, although plant oils and fats from non-ruminant herbivores, such at beaver (</w:t>
      </w:r>
      <w:r w:rsidRPr="00CF2985">
        <w:rPr>
          <w:i/>
          <w:lang w:val="en-GB"/>
        </w:rPr>
        <w:t>Castor fiber</w:t>
      </w:r>
      <w:r w:rsidRPr="00CF2985">
        <w:rPr>
          <w:lang w:val="en-GB"/>
        </w:rPr>
        <w:t xml:space="preserve">) may have similar values </w:t>
      </w:r>
      <w:hyperlink r:id="rId22">
        <w:r w:rsidRPr="00CF2985">
          <w:rPr>
            <w:lang w:val="en-GB"/>
          </w:rPr>
          <w:t>(Taché and Craig, 2015)</w:t>
        </w:r>
      </w:hyperlink>
      <w:r w:rsidRPr="00CF2985">
        <w:rPr>
          <w:lang w:val="en-GB"/>
        </w:rPr>
        <w:t>. However, when the molecular data is also considered, these terrestrial products are less likely as many of the samples contained full sets of aquatic biomarkers (Fig. 3A) and nearly all have isoprenoid fatty acids that are not typically found in plants and terrestrial non-ruminant tissues. Conversely, vessels from coastal sites have more enriched fatty acid δ</w:t>
      </w:r>
      <w:r w:rsidRPr="00CF2985">
        <w:rPr>
          <w:vertAlign w:val="superscript"/>
          <w:lang w:val="en-GB"/>
        </w:rPr>
        <w:t>13</w:t>
      </w:r>
      <w:r w:rsidRPr="00CF2985">
        <w:rPr>
          <w:lang w:val="en-GB"/>
        </w:rPr>
        <w:t>C values, consistent with marine foods, whilst those from brackish lagoonal sites have intermediate values, falling between the expected ranges for marine and freshwater fish. Lipids were much poorer preserved at these</w:t>
      </w:r>
      <w:r w:rsidR="006753CD" w:rsidRPr="00CF2985">
        <w:rPr>
          <w:lang w:val="en-GB"/>
        </w:rPr>
        <w:t xml:space="preserve"> coastal and brackish lagoonal</w:t>
      </w:r>
      <w:r w:rsidRPr="00CF2985">
        <w:rPr>
          <w:lang w:val="en-GB"/>
        </w:rPr>
        <w:t xml:space="preserve"> sites compared to inland, explaining the lack of aquatic biomarkers in the majority of samples analysed. Overall, the observed correspondence between site location and fatty acid δ</w:t>
      </w:r>
      <w:r w:rsidRPr="00CF2985">
        <w:rPr>
          <w:vertAlign w:val="superscript"/>
          <w:lang w:val="en-GB"/>
        </w:rPr>
        <w:t>13</w:t>
      </w:r>
      <w:r w:rsidRPr="00CF2985">
        <w:rPr>
          <w:lang w:val="en-GB"/>
        </w:rPr>
        <w:t xml:space="preserve">C values implies that locally caught fish was the principal commodity selected for processing in pottery from this region. </w:t>
      </w:r>
    </w:p>
    <w:p w14:paraId="128CD6B6" w14:textId="77777777" w:rsidR="004F1A38" w:rsidRPr="00CF2985" w:rsidRDefault="004F1A38">
      <w:pPr>
        <w:spacing w:line="240" w:lineRule="auto"/>
        <w:rPr>
          <w:lang w:val="en-GB"/>
        </w:rPr>
      </w:pPr>
    </w:p>
    <w:p w14:paraId="1C8FEFA0" w14:textId="1FA66601" w:rsidR="004F1A38" w:rsidRPr="00CF2985" w:rsidRDefault="001B2333" w:rsidP="004D4616">
      <w:pPr>
        <w:rPr>
          <w:lang w:val="en-GB"/>
        </w:rPr>
      </w:pPr>
      <w:r w:rsidRPr="00CF2985">
        <w:rPr>
          <w:lang w:val="en-GB"/>
        </w:rPr>
        <w:t xml:space="preserve">Based on GC-C-IRMS data, </w:t>
      </w:r>
      <w:r w:rsidR="00615E39" w:rsidRPr="00CF2985">
        <w:rPr>
          <w:lang w:val="en-GB"/>
        </w:rPr>
        <w:t>only four samples, of which two are from the same sherd, fall within the range of ruminant fats</w:t>
      </w:r>
      <w:r w:rsidR="001E781E" w:rsidRPr="00CF2985">
        <w:rPr>
          <w:lang w:val="en-GB"/>
        </w:rPr>
        <w:t xml:space="preserve">, although these also match the reference range </w:t>
      </w:r>
      <w:r w:rsidR="00060FF1" w:rsidRPr="00CF2985">
        <w:rPr>
          <w:lang w:val="en-GB"/>
        </w:rPr>
        <w:t xml:space="preserve">for </w:t>
      </w:r>
      <w:r w:rsidR="001E781E" w:rsidRPr="00CF2985">
        <w:rPr>
          <w:lang w:val="en-GB"/>
        </w:rPr>
        <w:t>freshwater fish</w:t>
      </w:r>
      <w:r w:rsidR="00060FF1" w:rsidRPr="00CF2985">
        <w:rPr>
          <w:lang w:val="en-GB"/>
        </w:rPr>
        <w:t xml:space="preserve"> (Fig 3A).</w:t>
      </w:r>
      <w:r w:rsidR="00615E39" w:rsidRPr="00CF2985">
        <w:rPr>
          <w:lang w:val="en-GB"/>
        </w:rPr>
        <w:t xml:space="preserve"> </w:t>
      </w:r>
      <w:r w:rsidR="00060FF1" w:rsidRPr="00CF2985">
        <w:rPr>
          <w:lang w:val="en-GB"/>
        </w:rPr>
        <w:t>These data contrast with the high abundance of ruminants</w:t>
      </w:r>
      <w:r w:rsidR="00615E39" w:rsidRPr="00CF2985">
        <w:rPr>
          <w:lang w:val="en-GB"/>
        </w:rPr>
        <w:t>, such as elk (</w:t>
      </w:r>
      <w:r w:rsidR="00615E39" w:rsidRPr="00CF2985">
        <w:rPr>
          <w:i/>
          <w:lang w:val="en-GB"/>
        </w:rPr>
        <w:t>Alces alces</w:t>
      </w:r>
      <w:r w:rsidR="00615E39" w:rsidRPr="00CF2985">
        <w:rPr>
          <w:lang w:val="en-GB"/>
        </w:rPr>
        <w:t>)</w:t>
      </w:r>
      <w:r w:rsidR="00060FF1" w:rsidRPr="00CF2985">
        <w:rPr>
          <w:lang w:val="en-GB"/>
        </w:rPr>
        <w:t xml:space="preserve">, observed in the </w:t>
      </w:r>
      <w:r w:rsidR="00615E39" w:rsidRPr="00CF2985">
        <w:rPr>
          <w:lang w:val="en-GB"/>
        </w:rPr>
        <w:t xml:space="preserve">faunal assemblages, </w:t>
      </w:r>
      <w:r w:rsidR="00060FF1" w:rsidRPr="00CF2985">
        <w:rPr>
          <w:lang w:val="en-GB"/>
        </w:rPr>
        <w:t xml:space="preserve">and therefore we can conclude that </w:t>
      </w:r>
      <w:r w:rsidR="00615E39" w:rsidRPr="00CF2985">
        <w:rPr>
          <w:lang w:val="en-GB"/>
        </w:rPr>
        <w:t xml:space="preserve">tissues from this animal were </w:t>
      </w:r>
      <w:r w:rsidR="001E781E" w:rsidRPr="00CF2985">
        <w:rPr>
          <w:lang w:val="en-GB"/>
        </w:rPr>
        <w:t>not routinely</w:t>
      </w:r>
      <w:r w:rsidR="00615E39" w:rsidRPr="00CF2985">
        <w:rPr>
          <w:lang w:val="en-GB"/>
        </w:rPr>
        <w:t xml:space="preserve"> processed in Narva pottery. </w:t>
      </w:r>
      <w:r w:rsidR="00060FF1" w:rsidRPr="00CF2985">
        <w:rPr>
          <w:lang w:val="en-GB"/>
        </w:rPr>
        <w:t>Even w</w:t>
      </w:r>
      <w:r w:rsidR="00615E39" w:rsidRPr="00CF2985">
        <w:rPr>
          <w:lang w:val="en-GB"/>
        </w:rPr>
        <w:t xml:space="preserve">here </w:t>
      </w:r>
      <w:r w:rsidR="00E051D5" w:rsidRPr="00CF2985">
        <w:rPr>
          <w:lang w:val="en-GB"/>
        </w:rPr>
        <w:t xml:space="preserve">the GC-C-IRMS data were consistent </w:t>
      </w:r>
      <w:r w:rsidR="00060FF1" w:rsidRPr="00CF2985">
        <w:rPr>
          <w:lang w:val="en-GB"/>
        </w:rPr>
        <w:t xml:space="preserve">with </w:t>
      </w:r>
      <w:r w:rsidR="00615E39" w:rsidRPr="00CF2985">
        <w:rPr>
          <w:lang w:val="en-GB"/>
        </w:rPr>
        <w:t>ruminant fats</w:t>
      </w:r>
      <w:r w:rsidR="00060FF1" w:rsidRPr="00CF2985">
        <w:rPr>
          <w:lang w:val="en-GB"/>
        </w:rPr>
        <w:t>,</w:t>
      </w:r>
      <w:r w:rsidR="00615E39" w:rsidRPr="00CF2985">
        <w:rPr>
          <w:lang w:val="en-GB"/>
        </w:rPr>
        <w:t xml:space="preserve"> these</w:t>
      </w:r>
      <w:r w:rsidR="00E051D5" w:rsidRPr="00CF2985">
        <w:rPr>
          <w:lang w:val="en-GB"/>
        </w:rPr>
        <w:t xml:space="preserve"> samples</w:t>
      </w:r>
      <w:r w:rsidR="00615E39" w:rsidRPr="00CF2985">
        <w:rPr>
          <w:lang w:val="en-GB"/>
        </w:rPr>
        <w:t xml:space="preserve"> also contained ω-(o-alkylphenyl) alkanoic acids in the range of C</w:t>
      </w:r>
      <w:r w:rsidR="00615E39" w:rsidRPr="00CF2985">
        <w:rPr>
          <w:vertAlign w:val="subscript"/>
          <w:lang w:val="en-GB"/>
        </w:rPr>
        <w:t>16-20</w:t>
      </w:r>
      <w:r w:rsidR="00BA459B" w:rsidRPr="0049401C">
        <w:rPr>
          <w:lang w:val="en-GB"/>
        </w:rPr>
        <w:t>.</w:t>
      </w:r>
      <w:r w:rsidR="002B2307" w:rsidRPr="00CF2985">
        <w:rPr>
          <w:vertAlign w:val="subscript"/>
          <w:lang w:val="en-GB"/>
        </w:rPr>
        <w:t xml:space="preserve"> </w:t>
      </w:r>
      <w:r w:rsidR="001E781E" w:rsidRPr="00CF2985">
        <w:rPr>
          <w:lang w:val="en-GB"/>
        </w:rPr>
        <w:t>Therefore, i</w:t>
      </w:r>
      <w:r w:rsidR="002B2307" w:rsidRPr="00CF2985">
        <w:rPr>
          <w:lang w:val="en-GB"/>
        </w:rPr>
        <w:t xml:space="preserve">f present </w:t>
      </w:r>
      <w:r w:rsidR="001E781E" w:rsidRPr="00CF2985">
        <w:rPr>
          <w:lang w:val="en-GB"/>
        </w:rPr>
        <w:t xml:space="preserve">at all, </w:t>
      </w:r>
      <w:r w:rsidR="002B2307" w:rsidRPr="00CF2985">
        <w:rPr>
          <w:lang w:val="en-GB"/>
        </w:rPr>
        <w:t>it</w:t>
      </w:r>
      <w:r w:rsidR="00E051D5" w:rsidRPr="00CF2985">
        <w:rPr>
          <w:lang w:val="en-GB"/>
        </w:rPr>
        <w:t xml:space="preserve"> is</w:t>
      </w:r>
      <w:r w:rsidR="002B2307" w:rsidRPr="00CF2985">
        <w:rPr>
          <w:lang w:val="en-GB"/>
        </w:rPr>
        <w:t xml:space="preserve"> </w:t>
      </w:r>
      <w:r w:rsidR="00E051D5" w:rsidRPr="00CF2985">
        <w:rPr>
          <w:lang w:val="en-GB"/>
        </w:rPr>
        <w:t>likely that terrestrial</w:t>
      </w:r>
      <w:r w:rsidR="002B2307" w:rsidRPr="00CF2985">
        <w:rPr>
          <w:lang w:val="en-GB"/>
        </w:rPr>
        <w:t xml:space="preserve"> ruminant</w:t>
      </w:r>
      <w:r w:rsidR="00E051D5" w:rsidRPr="00CF2985">
        <w:rPr>
          <w:lang w:val="en-GB"/>
        </w:rPr>
        <w:t xml:space="preserve"> fats </w:t>
      </w:r>
      <w:r w:rsidR="00615E39" w:rsidRPr="00CF2985">
        <w:rPr>
          <w:lang w:val="en-GB"/>
        </w:rPr>
        <w:t>were mixed or sequentially processed with fish oils</w:t>
      </w:r>
      <w:r w:rsidR="002B2307" w:rsidRPr="00CF2985">
        <w:rPr>
          <w:lang w:val="en-GB"/>
        </w:rPr>
        <w:t xml:space="preserve">. </w:t>
      </w:r>
      <w:r w:rsidR="00E051D5" w:rsidRPr="00CF2985">
        <w:rPr>
          <w:lang w:val="en-GB"/>
        </w:rPr>
        <w:t>Another explanation is that these GC</w:t>
      </w:r>
      <w:r w:rsidR="004D4616">
        <w:rPr>
          <w:lang w:val="en-GB"/>
        </w:rPr>
        <w:t>-</w:t>
      </w:r>
      <w:r w:rsidR="00E051D5" w:rsidRPr="00CF2985">
        <w:rPr>
          <w:lang w:val="en-GB"/>
        </w:rPr>
        <w:t>C</w:t>
      </w:r>
      <w:r w:rsidR="004D4616">
        <w:rPr>
          <w:lang w:val="en-GB"/>
        </w:rPr>
        <w:t>-</w:t>
      </w:r>
      <w:r w:rsidR="00E051D5" w:rsidRPr="00CF2985">
        <w:rPr>
          <w:lang w:val="en-GB"/>
        </w:rPr>
        <w:t xml:space="preserve">IRMS data are derived from the mixing of fatty acids from freshwater, terrestrial and marine lipids, although this would seem less likely for the samples from inland sites. </w:t>
      </w:r>
    </w:p>
    <w:p w14:paraId="58E8919C" w14:textId="77777777" w:rsidR="004F1A38" w:rsidRPr="00CF2985" w:rsidRDefault="004F1A38">
      <w:pPr>
        <w:spacing w:line="240" w:lineRule="auto"/>
        <w:rPr>
          <w:lang w:val="en-GB"/>
        </w:rPr>
      </w:pPr>
    </w:p>
    <w:p w14:paraId="6D26E842" w14:textId="77777777" w:rsidR="004F1A38" w:rsidRPr="00CF2985" w:rsidRDefault="00615E39">
      <w:pPr>
        <w:spacing w:line="240" w:lineRule="auto"/>
        <w:ind w:left="-1170" w:firstLine="1170"/>
        <w:rPr>
          <w:lang w:val="en-GB"/>
        </w:rPr>
      </w:pPr>
      <w:r w:rsidRPr="00CF2985">
        <w:rPr>
          <w:noProof/>
          <w:lang w:val="en-GB" w:eastAsia="en-GB"/>
        </w:rPr>
        <w:drawing>
          <wp:inline distT="114300" distB="114300" distL="114300" distR="114300" wp14:anchorId="662F7249" wp14:editId="45405B06">
            <wp:extent cx="2822401" cy="5557838"/>
            <wp:effectExtent l="0" t="0" r="0" b="0"/>
            <wp:docPr id="1" name="image03.jpg" descr="Figure 3-01.jpg"/>
            <wp:cNvGraphicFramePr/>
            <a:graphic xmlns:a="http://schemas.openxmlformats.org/drawingml/2006/main">
              <a:graphicData uri="http://schemas.openxmlformats.org/drawingml/2006/picture">
                <pic:pic xmlns:pic="http://schemas.openxmlformats.org/drawingml/2006/picture">
                  <pic:nvPicPr>
                    <pic:cNvPr id="0" name="image03.jpg" descr="Figure 3-01.jpg"/>
                    <pic:cNvPicPr preferRelativeResize="0"/>
                  </pic:nvPicPr>
                  <pic:blipFill>
                    <a:blip r:embed="rId23"/>
                    <a:srcRect/>
                    <a:stretch>
                      <a:fillRect/>
                    </a:stretch>
                  </pic:blipFill>
                  <pic:spPr>
                    <a:xfrm>
                      <a:off x="0" y="0"/>
                      <a:ext cx="2822401" cy="5557838"/>
                    </a:xfrm>
                    <a:prstGeom prst="rect">
                      <a:avLst/>
                    </a:prstGeom>
                    <a:ln/>
                  </pic:spPr>
                </pic:pic>
              </a:graphicData>
            </a:graphic>
          </wp:inline>
        </w:drawing>
      </w:r>
    </w:p>
    <w:p w14:paraId="08A91CF9" w14:textId="77777777" w:rsidR="004F1A38" w:rsidRPr="00CF2985" w:rsidRDefault="004F1A38">
      <w:pPr>
        <w:spacing w:line="240" w:lineRule="auto"/>
        <w:rPr>
          <w:lang w:val="en-GB"/>
        </w:rPr>
      </w:pPr>
    </w:p>
    <w:p w14:paraId="5AC92CA2" w14:textId="77777777" w:rsidR="004F1A38" w:rsidRPr="00CF2985" w:rsidRDefault="00615E39">
      <w:pPr>
        <w:spacing w:line="240" w:lineRule="auto"/>
        <w:rPr>
          <w:lang w:val="en-GB"/>
        </w:rPr>
      </w:pPr>
      <w:r w:rsidRPr="00CF2985">
        <w:rPr>
          <w:b/>
          <w:sz w:val="22"/>
          <w:szCs w:val="22"/>
          <w:lang w:val="en-GB"/>
        </w:rPr>
        <w:t xml:space="preserve">Fig. 3. Bulk and single compound stable isotope analysis of Estonian Narva pottery from different environmental contexts. A </w:t>
      </w:r>
      <w:r w:rsidR="00932020" w:rsidRPr="00CF2985">
        <w:rPr>
          <w:b/>
          <w:sz w:val="22"/>
          <w:szCs w:val="22"/>
          <w:lang w:val="en-GB"/>
        </w:rPr>
        <w:t>–</w:t>
      </w:r>
      <w:r w:rsidRPr="00CF2985">
        <w:rPr>
          <w:b/>
          <w:sz w:val="22"/>
          <w:szCs w:val="22"/>
          <w:lang w:val="en-GB"/>
        </w:rPr>
        <w:t xml:space="preserve"> </w:t>
      </w:r>
      <w:r w:rsidRPr="00CF2985">
        <w:rPr>
          <w:sz w:val="22"/>
          <w:szCs w:val="22"/>
          <w:lang w:val="en-GB"/>
        </w:rPr>
        <w:t>Plot of δ</w:t>
      </w:r>
      <w:r w:rsidRPr="00CF2985">
        <w:rPr>
          <w:sz w:val="22"/>
          <w:szCs w:val="22"/>
          <w:vertAlign w:val="superscript"/>
          <w:lang w:val="en-GB"/>
        </w:rPr>
        <w:t>13</w:t>
      </w:r>
      <w:r w:rsidRPr="00CF2985">
        <w:rPr>
          <w:sz w:val="22"/>
          <w:szCs w:val="22"/>
          <w:lang w:val="en-GB"/>
        </w:rPr>
        <w:t>C values of C</w:t>
      </w:r>
      <w:r w:rsidRPr="00CF2985">
        <w:rPr>
          <w:sz w:val="22"/>
          <w:szCs w:val="22"/>
          <w:vertAlign w:val="subscript"/>
          <w:lang w:val="en-GB"/>
        </w:rPr>
        <w:t>16:0</w:t>
      </w:r>
      <w:r w:rsidRPr="00CF2985">
        <w:rPr>
          <w:sz w:val="22"/>
          <w:szCs w:val="22"/>
          <w:lang w:val="en-GB"/>
        </w:rPr>
        <w:t xml:space="preserve"> and C</w:t>
      </w:r>
      <w:r w:rsidRPr="00CF2985">
        <w:rPr>
          <w:sz w:val="22"/>
          <w:szCs w:val="22"/>
          <w:vertAlign w:val="subscript"/>
          <w:lang w:val="en-GB"/>
        </w:rPr>
        <w:t>18:0</w:t>
      </w:r>
      <w:r w:rsidRPr="00CF2985">
        <w:rPr>
          <w:sz w:val="22"/>
          <w:szCs w:val="22"/>
          <w:lang w:val="en-GB"/>
        </w:rPr>
        <w:t xml:space="preserve"> </w:t>
      </w:r>
      <w:r w:rsidRPr="00CF2985">
        <w:rPr>
          <w:i/>
          <w:sz w:val="22"/>
          <w:szCs w:val="22"/>
          <w:lang w:val="en-GB"/>
        </w:rPr>
        <w:t>n-</w:t>
      </w:r>
      <w:r w:rsidRPr="00CF2985">
        <w:rPr>
          <w:sz w:val="22"/>
          <w:szCs w:val="22"/>
          <w:lang w:val="en-GB"/>
        </w:rPr>
        <w:t xml:space="preserve">alkanoic acids extracted Narva vessels from inland, estuary/lagoon and coastal sites. The data are compared to ranges for authentic reference lipids from modern tissues and archaeological bone (66.7% confidence) as previously reported </w:t>
      </w:r>
      <w:hyperlink r:id="rId24">
        <w:r w:rsidRPr="00CF2985">
          <w:rPr>
            <w:sz w:val="22"/>
            <w:szCs w:val="22"/>
            <w:lang w:val="en-GB"/>
          </w:rPr>
          <w:t>(Lucquin et al., 2016)</w:t>
        </w:r>
      </w:hyperlink>
      <w:r w:rsidRPr="00CF2985">
        <w:rPr>
          <w:sz w:val="22"/>
          <w:szCs w:val="22"/>
          <w:lang w:val="en-GB"/>
        </w:rPr>
        <w:t xml:space="preserve">. </w:t>
      </w:r>
      <w:r w:rsidRPr="00CF2985">
        <w:rPr>
          <w:b/>
          <w:sz w:val="22"/>
          <w:szCs w:val="22"/>
          <w:lang w:val="en-GB"/>
        </w:rPr>
        <w:t>B</w:t>
      </w:r>
      <w:r w:rsidRPr="00CF2985">
        <w:rPr>
          <w:sz w:val="22"/>
          <w:szCs w:val="22"/>
          <w:lang w:val="en-GB"/>
        </w:rPr>
        <w:t xml:space="preserve"> </w:t>
      </w:r>
      <w:r w:rsidR="00932020" w:rsidRPr="00CF2985">
        <w:rPr>
          <w:b/>
          <w:sz w:val="22"/>
          <w:szCs w:val="22"/>
          <w:lang w:val="en-GB"/>
        </w:rPr>
        <w:t>–</w:t>
      </w:r>
      <w:r w:rsidRPr="00CF2985">
        <w:rPr>
          <w:sz w:val="22"/>
          <w:szCs w:val="22"/>
          <w:lang w:val="en-GB"/>
        </w:rPr>
        <w:t xml:space="preserve"> Plot of bulk carbon (</w:t>
      </w:r>
      <w:r w:rsidRPr="00CF2985">
        <w:rPr>
          <w:lang w:val="en-GB"/>
        </w:rPr>
        <w:t>δ</w:t>
      </w:r>
      <w:r w:rsidRPr="00CF2985">
        <w:rPr>
          <w:vertAlign w:val="superscript"/>
          <w:lang w:val="en-GB"/>
        </w:rPr>
        <w:t>13</w:t>
      </w:r>
      <w:r w:rsidRPr="00CF2985">
        <w:rPr>
          <w:lang w:val="en-GB"/>
        </w:rPr>
        <w:t>C)</w:t>
      </w:r>
      <w:r w:rsidRPr="00CF2985">
        <w:rPr>
          <w:sz w:val="22"/>
          <w:szCs w:val="22"/>
          <w:lang w:val="en-GB"/>
        </w:rPr>
        <w:t xml:space="preserve"> against nitrogen (</w:t>
      </w:r>
      <w:r w:rsidRPr="00CF2985">
        <w:rPr>
          <w:lang w:val="en-GB"/>
        </w:rPr>
        <w:t>δ</w:t>
      </w:r>
      <w:r w:rsidRPr="00CF2985">
        <w:rPr>
          <w:vertAlign w:val="superscript"/>
          <w:lang w:val="en-GB"/>
        </w:rPr>
        <w:t>15</w:t>
      </w:r>
      <w:r w:rsidRPr="00CF2985">
        <w:rPr>
          <w:lang w:val="en-GB"/>
        </w:rPr>
        <w:t>N)</w:t>
      </w:r>
      <w:r w:rsidRPr="00CF2985">
        <w:rPr>
          <w:sz w:val="22"/>
          <w:szCs w:val="22"/>
          <w:lang w:val="en-GB"/>
        </w:rPr>
        <w:t xml:space="preserve"> isotope values for charred surface deposits from Narva vessels. Samples meeting the molecular criteria for aquatic products are shown by filled symbols. </w:t>
      </w:r>
    </w:p>
    <w:p w14:paraId="72C23B2F" w14:textId="77777777" w:rsidR="004F1A38" w:rsidRPr="00CF2985" w:rsidRDefault="004F1A38">
      <w:pPr>
        <w:spacing w:line="240" w:lineRule="auto"/>
        <w:rPr>
          <w:lang w:val="en-GB"/>
        </w:rPr>
      </w:pPr>
    </w:p>
    <w:p w14:paraId="20656F57" w14:textId="77777777" w:rsidR="004F1A38" w:rsidRPr="00CF2985" w:rsidRDefault="00615E39">
      <w:pPr>
        <w:pStyle w:val="Heading3"/>
        <w:contextualSpacing w:val="0"/>
        <w:rPr>
          <w:rFonts w:ascii="Times New Roman" w:hAnsi="Times New Roman" w:cs="Times New Roman"/>
          <w:lang w:val="en-GB"/>
        </w:rPr>
      </w:pPr>
      <w:r w:rsidRPr="00CF2985">
        <w:rPr>
          <w:rFonts w:ascii="Times New Roman" w:hAnsi="Times New Roman" w:cs="Times New Roman"/>
          <w:lang w:val="en-GB"/>
        </w:rPr>
        <w:t>3.3. Bulk IRMS analysis</w:t>
      </w:r>
    </w:p>
    <w:p w14:paraId="6E6D1A6B" w14:textId="1AA98FD0" w:rsidR="004F1A38" w:rsidRPr="00CF2985" w:rsidRDefault="00615E39">
      <w:pPr>
        <w:rPr>
          <w:lang w:val="en-GB"/>
        </w:rPr>
      </w:pPr>
      <w:r w:rsidRPr="00CF2985">
        <w:rPr>
          <w:lang w:val="en-GB"/>
        </w:rPr>
        <w:t xml:space="preserve">Overall the bulk IRMS results agree with the GC-C-IRMS data indicating that aquatic substances were the most dominant product processed in Narva pottery. For example, food crusts on pots from inland sites are generally depleted in </w:t>
      </w:r>
      <w:r w:rsidRPr="00CF2985">
        <w:rPr>
          <w:vertAlign w:val="superscript"/>
          <w:lang w:val="en-GB"/>
        </w:rPr>
        <w:t>13</w:t>
      </w:r>
      <w:r w:rsidRPr="00CF2985">
        <w:rPr>
          <w:lang w:val="en-GB"/>
        </w:rPr>
        <w:t>C compared to estuarine and coastal sites. The majority of vessels have δ</w:t>
      </w:r>
      <w:r w:rsidRPr="00CF2985">
        <w:rPr>
          <w:vertAlign w:val="superscript"/>
          <w:lang w:val="en-GB"/>
        </w:rPr>
        <w:t>15</w:t>
      </w:r>
      <w:r w:rsidRPr="00CF2985">
        <w:rPr>
          <w:lang w:val="en-GB"/>
        </w:rPr>
        <w:t xml:space="preserve">N values above 8‰ (Fig. 3B) and atomic C:N ratios less than 15 (Appendix A. Supplementary data), broadly consistent with the processing of medium and high trophic level marine or freshwater products, as demonstrated experimentally </w:t>
      </w:r>
      <w:hyperlink r:id="rId25">
        <w:r w:rsidRPr="00CF2985">
          <w:rPr>
            <w:lang w:val="en-GB"/>
          </w:rPr>
          <w:t>(Craig et al., 2011)</w:t>
        </w:r>
      </w:hyperlink>
      <w:r w:rsidRPr="00CF2985">
        <w:rPr>
          <w:lang w:val="en-GB"/>
        </w:rPr>
        <w:t>. The values are similar to previous analysis of forager pot</w:t>
      </w:r>
      <w:r w:rsidR="00A05EB9" w:rsidRPr="00CF2985">
        <w:rPr>
          <w:lang w:val="en-GB"/>
        </w:rPr>
        <w:t>s</w:t>
      </w:r>
      <w:r w:rsidRPr="00CF2985">
        <w:rPr>
          <w:lang w:val="en-GB"/>
        </w:rPr>
        <w:t xml:space="preserve"> from different archaeological sites with molecular evidence for the exploitation of fish and marine mammals </w:t>
      </w:r>
      <w:hyperlink r:id="rId26">
        <w:r w:rsidRPr="00CF2985">
          <w:rPr>
            <w:lang w:val="en-GB"/>
          </w:rPr>
          <w:t>(Craig et al., 2011; Lucquin et al., 2016; Taché and Craig, 2015)</w:t>
        </w:r>
      </w:hyperlink>
      <w:r w:rsidRPr="00CF2985">
        <w:rPr>
          <w:lang w:val="en-GB"/>
        </w:rPr>
        <w:t xml:space="preserve"> O</w:t>
      </w:r>
      <w:r w:rsidR="00A05EB9" w:rsidRPr="00CF2985">
        <w:rPr>
          <w:lang w:val="en-GB"/>
        </w:rPr>
        <w:t>nly o</w:t>
      </w:r>
      <w:r w:rsidRPr="00CF2985">
        <w:rPr>
          <w:lang w:val="en-GB"/>
        </w:rPr>
        <w:t>ne sample from the site of Akali had a much lower δ</w:t>
      </w:r>
      <w:r w:rsidRPr="00CF2985">
        <w:rPr>
          <w:vertAlign w:val="superscript"/>
          <w:lang w:val="en-GB"/>
        </w:rPr>
        <w:t>15</w:t>
      </w:r>
      <w:r w:rsidRPr="00CF2985">
        <w:rPr>
          <w:lang w:val="en-GB"/>
        </w:rPr>
        <w:t>N value (2.4‰) and higher C</w:t>
      </w:r>
      <w:r w:rsidR="00A21801" w:rsidRPr="00CF2985">
        <w:rPr>
          <w:lang w:val="en-GB"/>
        </w:rPr>
        <w:t>:</w:t>
      </w:r>
      <w:r w:rsidRPr="00CF2985">
        <w:rPr>
          <w:lang w:val="en-GB"/>
        </w:rPr>
        <w:t xml:space="preserve">N ratio (~19) and therefore more typical of terrestrial plants. </w:t>
      </w:r>
      <w:r w:rsidR="00A05EB9" w:rsidRPr="00CF2985">
        <w:rPr>
          <w:lang w:val="en-GB"/>
        </w:rPr>
        <w:t>Overall, while</w:t>
      </w:r>
      <w:r w:rsidRPr="00CF2985">
        <w:rPr>
          <w:lang w:val="en-GB"/>
        </w:rPr>
        <w:t xml:space="preserve"> </w:t>
      </w:r>
      <w:r w:rsidR="00A05EB9" w:rsidRPr="00CF2985">
        <w:rPr>
          <w:lang w:val="en-GB"/>
        </w:rPr>
        <w:t>most</w:t>
      </w:r>
      <w:r w:rsidRPr="00CF2985">
        <w:rPr>
          <w:lang w:val="en-GB"/>
        </w:rPr>
        <w:t xml:space="preserve"> bulk isotope values are consistent with aquatic products</w:t>
      </w:r>
      <w:r w:rsidR="00A05EB9" w:rsidRPr="00CF2985">
        <w:rPr>
          <w:lang w:val="en-GB"/>
        </w:rPr>
        <w:t xml:space="preserve">, </w:t>
      </w:r>
      <w:r w:rsidRPr="00CF2985">
        <w:rPr>
          <w:lang w:val="en-GB"/>
        </w:rPr>
        <w:t>care needs to be taken in interpreting these</w:t>
      </w:r>
      <w:r w:rsidR="005D3BAA">
        <w:rPr>
          <w:lang w:val="en-GB"/>
        </w:rPr>
        <w:t xml:space="preserve"> measurements</w:t>
      </w:r>
      <w:r w:rsidR="00A05EB9" w:rsidRPr="00CF2985">
        <w:rPr>
          <w:lang w:val="en-GB"/>
        </w:rPr>
        <w:t xml:space="preserve">. </w:t>
      </w:r>
      <w:r w:rsidR="005D3BAA">
        <w:rPr>
          <w:lang w:val="en-GB"/>
        </w:rPr>
        <w:t>I</w:t>
      </w:r>
      <w:r w:rsidRPr="00CF2985">
        <w:rPr>
          <w:lang w:val="en-GB"/>
        </w:rPr>
        <w:t>sotope values</w:t>
      </w:r>
      <w:r w:rsidR="005D3BAA">
        <w:rPr>
          <w:lang w:val="en-GB"/>
        </w:rPr>
        <w:t xml:space="preserve"> of bulk organic matter</w:t>
      </w:r>
      <w:r w:rsidRPr="00CF2985">
        <w:rPr>
          <w:lang w:val="en-GB"/>
        </w:rPr>
        <w:t xml:space="preserve"> </w:t>
      </w:r>
      <w:r w:rsidR="00A05EB9" w:rsidRPr="00CF2985">
        <w:rPr>
          <w:lang w:val="en-GB"/>
        </w:rPr>
        <w:t>are</w:t>
      </w:r>
      <w:r w:rsidRPr="00CF2985">
        <w:rPr>
          <w:lang w:val="en-GB"/>
        </w:rPr>
        <w:t xml:space="preserve"> susceptible to diagenetic change and only crudely reflect the original organic source </w:t>
      </w:r>
      <w:hyperlink r:id="rId27">
        <w:r w:rsidRPr="00CF2985">
          <w:rPr>
            <w:lang w:val="en-GB"/>
          </w:rPr>
          <w:t>(Heron and Craig, 2015)</w:t>
        </w:r>
      </w:hyperlink>
      <w:r w:rsidRPr="00CF2985">
        <w:rPr>
          <w:lang w:val="en-GB"/>
        </w:rPr>
        <w:t xml:space="preserve">. </w:t>
      </w:r>
    </w:p>
    <w:p w14:paraId="6A9B7574" w14:textId="77777777" w:rsidR="004F1A38" w:rsidRPr="00CF2985" w:rsidRDefault="004F1A38">
      <w:pPr>
        <w:spacing w:line="240" w:lineRule="auto"/>
        <w:rPr>
          <w:lang w:val="en-GB"/>
        </w:rPr>
      </w:pPr>
    </w:p>
    <w:p w14:paraId="68F5C345" w14:textId="68C06CF0" w:rsidR="00615E39" w:rsidRPr="00847FEB" w:rsidRDefault="00D5612A">
      <w:pPr>
        <w:spacing w:line="240" w:lineRule="auto"/>
        <w:rPr>
          <w:i/>
          <w:lang w:val="en-GB"/>
        </w:rPr>
      </w:pPr>
      <w:r w:rsidRPr="00847FEB">
        <w:rPr>
          <w:i/>
          <w:lang w:val="en-GB"/>
        </w:rPr>
        <w:t xml:space="preserve">3.4. Difference in between vessel </w:t>
      </w:r>
      <w:r w:rsidR="008E4EA5" w:rsidRPr="00CF2985">
        <w:rPr>
          <w:i/>
          <w:lang w:val="en-GB"/>
        </w:rPr>
        <w:t>typologies</w:t>
      </w:r>
    </w:p>
    <w:p w14:paraId="4D07D99D" w14:textId="77777777" w:rsidR="00D5612A" w:rsidRPr="00CF2985" w:rsidRDefault="00D5612A">
      <w:pPr>
        <w:spacing w:line="240" w:lineRule="auto"/>
        <w:rPr>
          <w:lang w:val="en-GB"/>
        </w:rPr>
      </w:pPr>
    </w:p>
    <w:p w14:paraId="058C9DDB" w14:textId="7CFDA7D7" w:rsidR="00D5612A" w:rsidRDefault="008E4EA5" w:rsidP="00DD1961">
      <w:pPr>
        <w:rPr>
          <w:lang w:val="en-GB"/>
        </w:rPr>
      </w:pPr>
      <w:r w:rsidRPr="0049401C">
        <w:rPr>
          <w:lang w:val="en-GB"/>
        </w:rPr>
        <w:t>At Kääpa it was possible to compare the organic residue</w:t>
      </w:r>
      <w:r w:rsidR="00BA459B" w:rsidRPr="0049401C">
        <w:rPr>
          <w:lang w:val="en-GB"/>
        </w:rPr>
        <w:t xml:space="preserve"> data between vessel types i.e.</w:t>
      </w:r>
      <w:r w:rsidRPr="0049401C">
        <w:rPr>
          <w:lang w:val="en-GB"/>
        </w:rPr>
        <w:t xml:space="preserve"> pointed-base vessels</w:t>
      </w:r>
      <w:r w:rsidR="00845439" w:rsidRPr="0049401C">
        <w:rPr>
          <w:lang w:val="en-GB"/>
        </w:rPr>
        <w:t xml:space="preserve"> (pbv)</w:t>
      </w:r>
      <w:r w:rsidRPr="0049401C">
        <w:rPr>
          <w:lang w:val="en-GB"/>
        </w:rPr>
        <w:t xml:space="preserve"> and shallow oblong bowls</w:t>
      </w:r>
      <w:r w:rsidR="008A5726" w:rsidRPr="0049401C">
        <w:rPr>
          <w:lang w:val="en-GB"/>
        </w:rPr>
        <w:t xml:space="preserve"> </w:t>
      </w:r>
      <w:r w:rsidR="00845439" w:rsidRPr="0049401C">
        <w:rPr>
          <w:lang w:val="en-GB"/>
        </w:rPr>
        <w:t>(ob)</w:t>
      </w:r>
      <w:r w:rsidRPr="0049401C">
        <w:rPr>
          <w:lang w:val="en-GB"/>
        </w:rPr>
        <w:t xml:space="preserve">. The latter are sometimes interpreted </w:t>
      </w:r>
      <w:r w:rsidR="005D3BAA" w:rsidRPr="0049401C">
        <w:rPr>
          <w:lang w:val="en-GB"/>
        </w:rPr>
        <w:t xml:space="preserve">to be </w:t>
      </w:r>
      <w:r w:rsidRPr="0049401C">
        <w:rPr>
          <w:lang w:val="en-GB"/>
        </w:rPr>
        <w:t xml:space="preserve">oil lamps </w:t>
      </w:r>
      <w:r w:rsidR="001463D3" w:rsidRPr="0049401C">
        <w:rPr>
          <w:color w:val="222222"/>
          <w:shd w:val="clear" w:color="auto" w:fill="FFFFFF"/>
          <w:lang w:val="en-GB"/>
        </w:rPr>
        <w:t xml:space="preserve">(Bērziņš 2008). </w:t>
      </w:r>
      <w:r w:rsidR="008A5726" w:rsidRPr="0049401C">
        <w:rPr>
          <w:lang w:val="en-GB"/>
        </w:rPr>
        <w:t>The proportion</w:t>
      </w:r>
      <w:r w:rsidR="005D3BAA" w:rsidRPr="0049401C">
        <w:rPr>
          <w:lang w:val="en-GB"/>
        </w:rPr>
        <w:t>s</w:t>
      </w:r>
      <w:r w:rsidRPr="0049401C">
        <w:rPr>
          <w:lang w:val="en-GB"/>
        </w:rPr>
        <w:t xml:space="preserve"> of </w:t>
      </w:r>
      <w:r w:rsidR="005D3BAA" w:rsidRPr="0049401C">
        <w:rPr>
          <w:lang w:val="en-GB"/>
        </w:rPr>
        <w:t xml:space="preserve">sherds with </w:t>
      </w:r>
      <w:r w:rsidR="008A5726" w:rsidRPr="0049401C">
        <w:rPr>
          <w:lang w:val="en-GB"/>
        </w:rPr>
        <w:t xml:space="preserve">aquatic biomarkers were similar for both </w:t>
      </w:r>
      <w:r w:rsidR="0013793E" w:rsidRPr="0049401C">
        <w:rPr>
          <w:lang w:val="en-GB"/>
        </w:rPr>
        <w:t>typologies</w:t>
      </w:r>
      <w:r w:rsidR="00845439" w:rsidRPr="0049401C">
        <w:rPr>
          <w:lang w:val="en-GB"/>
        </w:rPr>
        <w:t xml:space="preserve"> (</w:t>
      </w:r>
      <w:r w:rsidR="00DD1961" w:rsidRPr="0049401C">
        <w:rPr>
          <w:lang w:val="en-GB"/>
        </w:rPr>
        <w:t>Appendix A. Supplementary data</w:t>
      </w:r>
      <w:r w:rsidR="00845439" w:rsidRPr="0049401C">
        <w:rPr>
          <w:lang w:val="en-GB"/>
        </w:rPr>
        <w:t>)</w:t>
      </w:r>
      <w:r w:rsidR="005D3BAA" w:rsidRPr="0049401C">
        <w:rPr>
          <w:lang w:val="en-GB"/>
        </w:rPr>
        <w:t>. Both types also had similar distributions of fatty acid carbon isotope values strongly</w:t>
      </w:r>
      <w:r w:rsidR="00C54548" w:rsidRPr="0049401C">
        <w:rPr>
          <w:lang w:val="en-GB"/>
        </w:rPr>
        <w:t xml:space="preserve"> suggesting </w:t>
      </w:r>
      <w:r w:rsidR="005D3BAA" w:rsidRPr="0049401C">
        <w:rPr>
          <w:lang w:val="en-GB"/>
        </w:rPr>
        <w:t xml:space="preserve">in most cases </w:t>
      </w:r>
      <w:r w:rsidR="00C54548" w:rsidRPr="0049401C">
        <w:rPr>
          <w:lang w:val="en-GB"/>
        </w:rPr>
        <w:t xml:space="preserve">that </w:t>
      </w:r>
      <w:r w:rsidR="005D3BAA" w:rsidRPr="0049401C">
        <w:rPr>
          <w:lang w:val="en-GB"/>
        </w:rPr>
        <w:t>these</w:t>
      </w:r>
      <w:r w:rsidR="00C54548" w:rsidRPr="0049401C">
        <w:rPr>
          <w:lang w:val="en-GB"/>
        </w:rPr>
        <w:t xml:space="preserve"> </w:t>
      </w:r>
      <w:r w:rsidR="001463D3" w:rsidRPr="0049401C">
        <w:rPr>
          <w:lang w:val="en-GB"/>
        </w:rPr>
        <w:t>were</w:t>
      </w:r>
      <w:r w:rsidR="00C54548" w:rsidRPr="0049401C">
        <w:rPr>
          <w:lang w:val="en-GB"/>
        </w:rPr>
        <w:t xml:space="preserve"> used for processing freshwater fish</w:t>
      </w:r>
      <w:r w:rsidR="005D3BAA" w:rsidRPr="0049401C">
        <w:rPr>
          <w:lang w:val="en-GB"/>
        </w:rPr>
        <w:t>, as outlined above</w:t>
      </w:r>
      <w:r w:rsidR="00C54548" w:rsidRPr="0049401C">
        <w:rPr>
          <w:lang w:val="en-GB"/>
        </w:rPr>
        <w:t xml:space="preserve">. However, </w:t>
      </w:r>
      <w:r w:rsidR="008A5726" w:rsidRPr="0049401C">
        <w:rPr>
          <w:lang w:val="en-GB"/>
        </w:rPr>
        <w:t xml:space="preserve">the </w:t>
      </w:r>
      <w:r w:rsidR="00845439" w:rsidRPr="0049401C">
        <w:rPr>
          <w:lang w:val="en-GB"/>
        </w:rPr>
        <w:t xml:space="preserve">distribution of </w:t>
      </w:r>
      <w:r w:rsidR="008A5726" w:rsidRPr="0049401C">
        <w:rPr>
          <w:lang w:val="en-GB"/>
        </w:rPr>
        <w:t>δ</w:t>
      </w:r>
      <w:r w:rsidR="008A5726" w:rsidRPr="0049401C">
        <w:rPr>
          <w:vertAlign w:val="superscript"/>
          <w:lang w:val="en-GB"/>
        </w:rPr>
        <w:t>13</w:t>
      </w:r>
      <w:r w:rsidR="008A5726" w:rsidRPr="0049401C">
        <w:rPr>
          <w:lang w:val="en-GB"/>
        </w:rPr>
        <w:t>C values of the food</w:t>
      </w:r>
      <w:r w:rsidR="00DD1961" w:rsidRPr="0049401C">
        <w:rPr>
          <w:lang w:val="en-GB"/>
        </w:rPr>
        <w:t xml:space="preserve"> </w:t>
      </w:r>
      <w:r w:rsidR="008A5726" w:rsidRPr="0049401C">
        <w:rPr>
          <w:lang w:val="en-GB"/>
        </w:rPr>
        <w:t xml:space="preserve">crusts </w:t>
      </w:r>
      <w:r w:rsidR="006705EE" w:rsidRPr="0049401C">
        <w:rPr>
          <w:lang w:val="en-GB"/>
        </w:rPr>
        <w:t xml:space="preserve">on </w:t>
      </w:r>
      <w:r w:rsidR="008A5726" w:rsidRPr="0049401C">
        <w:rPr>
          <w:lang w:val="en-GB"/>
        </w:rPr>
        <w:t>the oblong bowls</w:t>
      </w:r>
      <w:r w:rsidR="00845439" w:rsidRPr="0049401C">
        <w:rPr>
          <w:lang w:val="en-GB"/>
        </w:rPr>
        <w:t xml:space="preserve"> (n=9) </w:t>
      </w:r>
      <w:r w:rsidR="008A5726" w:rsidRPr="0049401C">
        <w:rPr>
          <w:lang w:val="en-GB"/>
        </w:rPr>
        <w:t>were</w:t>
      </w:r>
      <w:r w:rsidR="00845439" w:rsidRPr="0049401C">
        <w:rPr>
          <w:lang w:val="en-GB"/>
        </w:rPr>
        <w:t xml:space="preserve"> significantly different to the pointed-base vessels (n=10; Kruskal-Wallis Test</w:t>
      </w:r>
      <w:r w:rsidR="00C54548" w:rsidRPr="0049401C">
        <w:rPr>
          <w:lang w:val="en-GB"/>
        </w:rPr>
        <w:t>, H=</w:t>
      </w:r>
      <w:r w:rsidR="00845439" w:rsidRPr="0049401C">
        <w:rPr>
          <w:lang w:val="en-GB"/>
        </w:rPr>
        <w:t>4.86, p=0.</w:t>
      </w:r>
      <w:r w:rsidR="009F50EF" w:rsidRPr="0049401C">
        <w:rPr>
          <w:lang w:val="en-GB"/>
        </w:rPr>
        <w:t>0</w:t>
      </w:r>
      <w:r w:rsidR="00845439" w:rsidRPr="0049401C">
        <w:rPr>
          <w:lang w:val="en-GB"/>
        </w:rPr>
        <w:t xml:space="preserve">27) with </w:t>
      </w:r>
      <w:r w:rsidR="005D3BAA" w:rsidRPr="0049401C">
        <w:rPr>
          <w:lang w:val="en-GB"/>
        </w:rPr>
        <w:t>lower</w:t>
      </w:r>
      <w:r w:rsidR="00C54548" w:rsidRPr="0049401C">
        <w:rPr>
          <w:lang w:val="en-GB"/>
        </w:rPr>
        <w:t xml:space="preserve"> δ</w:t>
      </w:r>
      <w:r w:rsidR="00C54548" w:rsidRPr="0049401C">
        <w:rPr>
          <w:vertAlign w:val="superscript"/>
          <w:lang w:val="en-GB"/>
        </w:rPr>
        <w:t>13</w:t>
      </w:r>
      <w:r w:rsidR="00C54548" w:rsidRPr="0049401C">
        <w:rPr>
          <w:lang w:val="en-GB"/>
        </w:rPr>
        <w:t>C</w:t>
      </w:r>
      <w:r w:rsidR="00845439" w:rsidRPr="0049401C">
        <w:rPr>
          <w:lang w:val="en-GB"/>
        </w:rPr>
        <w:t xml:space="preserve"> values obtained on </w:t>
      </w:r>
      <w:r w:rsidR="00C54548" w:rsidRPr="0049401C">
        <w:rPr>
          <w:lang w:val="en-GB"/>
        </w:rPr>
        <w:t>bowls</w:t>
      </w:r>
      <w:r w:rsidR="00845439" w:rsidRPr="0049401C">
        <w:rPr>
          <w:lang w:val="en-GB"/>
        </w:rPr>
        <w:t xml:space="preserve"> (</w:t>
      </w:r>
      <w:r w:rsidR="00C54548" w:rsidRPr="0049401C">
        <w:rPr>
          <w:lang w:val="en-GB"/>
        </w:rPr>
        <w:t>e.g. median</w:t>
      </w:r>
      <w:r w:rsidR="00845439" w:rsidRPr="0049401C">
        <w:rPr>
          <w:rFonts w:ascii="Times" w:hAnsi="Times"/>
          <w:color w:val="auto"/>
          <w:vertAlign w:val="subscript"/>
          <w:lang w:val="en-GB" w:eastAsia="en-US"/>
        </w:rPr>
        <w:t>ob</w:t>
      </w:r>
      <w:r w:rsidR="00845439" w:rsidRPr="0049401C">
        <w:rPr>
          <w:rFonts w:ascii="Times" w:hAnsi="Times"/>
          <w:color w:val="auto"/>
          <w:lang w:val="en-GB" w:eastAsia="en-US"/>
        </w:rPr>
        <w:t xml:space="preserve"> = -31.</w:t>
      </w:r>
      <w:r w:rsidR="00BA459B" w:rsidRPr="0049401C">
        <w:rPr>
          <w:rFonts w:ascii="Times" w:hAnsi="Times"/>
          <w:color w:val="auto"/>
          <w:lang w:val="en-GB" w:eastAsia="en-US"/>
        </w:rPr>
        <w:t>15</w:t>
      </w:r>
      <w:r w:rsidR="00845439" w:rsidRPr="0049401C">
        <w:rPr>
          <w:lang w:val="en-GB"/>
        </w:rPr>
        <w:t>‰</w:t>
      </w:r>
      <w:r w:rsidR="00845439" w:rsidRPr="0049401C">
        <w:rPr>
          <w:rFonts w:ascii="Times" w:hAnsi="Times"/>
          <w:color w:val="auto"/>
          <w:lang w:val="en-GB" w:eastAsia="en-US"/>
        </w:rPr>
        <w:t xml:space="preserve">; </w:t>
      </w:r>
      <w:r w:rsidR="00C54548" w:rsidRPr="0049401C">
        <w:rPr>
          <w:lang w:val="en-GB"/>
        </w:rPr>
        <w:t>median</w:t>
      </w:r>
      <w:r w:rsidR="00845439" w:rsidRPr="0049401C">
        <w:rPr>
          <w:vertAlign w:val="subscript"/>
          <w:lang w:val="en-GB"/>
        </w:rPr>
        <w:t>pbv</w:t>
      </w:r>
      <w:r w:rsidR="00845439" w:rsidRPr="0049401C">
        <w:rPr>
          <w:lang w:val="en-GB"/>
        </w:rPr>
        <w:t xml:space="preserve"> = </w:t>
      </w:r>
      <w:r w:rsidR="00845439" w:rsidRPr="0049401C">
        <w:rPr>
          <w:rFonts w:ascii="Times" w:hAnsi="Times"/>
          <w:color w:val="auto"/>
          <w:lang w:val="en-GB" w:eastAsia="en-US"/>
        </w:rPr>
        <w:t>-29.</w:t>
      </w:r>
      <w:r w:rsidR="00BA459B" w:rsidRPr="0049401C">
        <w:rPr>
          <w:rFonts w:ascii="Times" w:hAnsi="Times"/>
          <w:color w:val="auto"/>
          <w:lang w:val="en-GB" w:eastAsia="en-US"/>
        </w:rPr>
        <w:t>49</w:t>
      </w:r>
      <w:r w:rsidR="00845439" w:rsidRPr="0049401C">
        <w:rPr>
          <w:lang w:val="en-GB"/>
        </w:rPr>
        <w:t>‰</w:t>
      </w:r>
      <w:r w:rsidR="00845439" w:rsidRPr="0049401C">
        <w:rPr>
          <w:rFonts w:ascii="Times" w:hAnsi="Times"/>
          <w:color w:val="auto"/>
          <w:lang w:val="en-GB" w:eastAsia="en-US"/>
        </w:rPr>
        <w:t>).</w:t>
      </w:r>
      <w:r w:rsidR="001463D3" w:rsidRPr="0049401C">
        <w:rPr>
          <w:rFonts w:ascii="Times" w:hAnsi="Times"/>
          <w:color w:val="auto"/>
          <w:lang w:val="en-GB" w:eastAsia="en-US"/>
        </w:rPr>
        <w:t xml:space="preserve"> No difference was observed in </w:t>
      </w:r>
      <w:r w:rsidR="001463D3" w:rsidRPr="0049401C">
        <w:rPr>
          <w:lang w:val="en-GB"/>
        </w:rPr>
        <w:t>δ</w:t>
      </w:r>
      <w:r w:rsidR="001463D3" w:rsidRPr="0049401C">
        <w:rPr>
          <w:vertAlign w:val="superscript"/>
          <w:lang w:val="en-GB"/>
        </w:rPr>
        <w:t>15</w:t>
      </w:r>
      <w:r w:rsidR="001463D3" w:rsidRPr="0049401C">
        <w:rPr>
          <w:lang w:val="en-GB"/>
        </w:rPr>
        <w:t>N</w:t>
      </w:r>
      <w:r w:rsidR="001463D3" w:rsidRPr="0049401C">
        <w:rPr>
          <w:rFonts w:ascii="Times" w:hAnsi="Times"/>
          <w:color w:val="auto"/>
          <w:lang w:val="en-GB" w:eastAsia="en-US"/>
        </w:rPr>
        <w:t xml:space="preserve"> values. </w:t>
      </w:r>
      <w:r w:rsidR="00C54548" w:rsidRPr="0049401C">
        <w:rPr>
          <w:rFonts w:ascii="Times" w:hAnsi="Times"/>
          <w:color w:val="auto"/>
          <w:lang w:val="en-GB" w:eastAsia="en-US"/>
        </w:rPr>
        <w:t>Also the food</w:t>
      </w:r>
      <w:r w:rsidR="005D3BAA" w:rsidRPr="0049401C">
        <w:rPr>
          <w:rFonts w:ascii="Times" w:hAnsi="Times"/>
          <w:color w:val="auto"/>
          <w:lang w:val="en-GB" w:eastAsia="en-US"/>
        </w:rPr>
        <w:t xml:space="preserve"> </w:t>
      </w:r>
      <w:r w:rsidR="00C54548" w:rsidRPr="0049401C">
        <w:rPr>
          <w:rFonts w:ascii="Times" w:hAnsi="Times"/>
          <w:color w:val="auto"/>
          <w:lang w:val="en-GB" w:eastAsia="en-US"/>
        </w:rPr>
        <w:t xml:space="preserve">crusts on the oblong bowls had </w:t>
      </w:r>
      <w:r w:rsidR="00E7516C" w:rsidRPr="0049401C">
        <w:rPr>
          <w:rFonts w:ascii="Times" w:hAnsi="Times"/>
          <w:color w:val="auto"/>
          <w:lang w:val="en-GB" w:eastAsia="en-US"/>
        </w:rPr>
        <w:t>higher</w:t>
      </w:r>
      <w:r w:rsidR="00C54548" w:rsidRPr="0049401C">
        <w:rPr>
          <w:rFonts w:ascii="Times" w:hAnsi="Times"/>
          <w:color w:val="auto"/>
          <w:lang w:val="en-GB" w:eastAsia="en-US"/>
        </w:rPr>
        <w:t xml:space="preserve"> atomic C:N ratios (</w:t>
      </w:r>
      <w:r w:rsidR="00C54548" w:rsidRPr="0049401C">
        <w:rPr>
          <w:lang w:val="en-GB"/>
        </w:rPr>
        <w:t>median</w:t>
      </w:r>
      <w:r w:rsidR="00C54548" w:rsidRPr="0049401C">
        <w:rPr>
          <w:rFonts w:ascii="Times" w:hAnsi="Times"/>
          <w:color w:val="auto"/>
          <w:vertAlign w:val="subscript"/>
          <w:lang w:val="en-GB" w:eastAsia="en-US"/>
        </w:rPr>
        <w:t>ob</w:t>
      </w:r>
      <w:r w:rsidR="00C54548" w:rsidRPr="0049401C">
        <w:rPr>
          <w:rFonts w:ascii="Times" w:hAnsi="Times"/>
          <w:color w:val="auto"/>
          <w:lang w:val="en-GB" w:eastAsia="en-US"/>
        </w:rPr>
        <w:t xml:space="preserve"> = </w:t>
      </w:r>
      <w:r w:rsidR="00BA459B" w:rsidRPr="0049401C">
        <w:rPr>
          <w:rFonts w:ascii="Times" w:hAnsi="Times"/>
          <w:color w:val="auto"/>
          <w:lang w:val="en-GB" w:eastAsia="en-US"/>
        </w:rPr>
        <w:t>12</w:t>
      </w:r>
      <w:r w:rsidR="00C54548" w:rsidRPr="0049401C">
        <w:rPr>
          <w:rFonts w:ascii="Times" w:hAnsi="Times"/>
          <w:color w:val="auto"/>
          <w:lang w:val="en-GB" w:eastAsia="en-US"/>
        </w:rPr>
        <w:t>.</w:t>
      </w:r>
      <w:r w:rsidR="00BA459B" w:rsidRPr="0049401C">
        <w:rPr>
          <w:rFonts w:ascii="Times" w:hAnsi="Times"/>
          <w:color w:val="auto"/>
          <w:lang w:val="en-GB" w:eastAsia="en-US"/>
        </w:rPr>
        <w:t>48</w:t>
      </w:r>
      <w:r w:rsidR="00C54548" w:rsidRPr="0049401C">
        <w:rPr>
          <w:rFonts w:ascii="Times" w:hAnsi="Times"/>
          <w:color w:val="auto"/>
          <w:lang w:val="en-GB" w:eastAsia="en-US"/>
        </w:rPr>
        <w:t xml:space="preserve"> </w:t>
      </w:r>
      <w:r w:rsidR="00C54548" w:rsidRPr="0049401C">
        <w:rPr>
          <w:lang w:val="en-GB"/>
        </w:rPr>
        <w:t>‰</w:t>
      </w:r>
      <w:r w:rsidR="00C54548" w:rsidRPr="0049401C">
        <w:rPr>
          <w:rFonts w:ascii="Times" w:hAnsi="Times"/>
          <w:color w:val="auto"/>
          <w:lang w:val="en-GB" w:eastAsia="en-US"/>
        </w:rPr>
        <w:t xml:space="preserve">; </w:t>
      </w:r>
      <w:r w:rsidR="00C54548" w:rsidRPr="0049401C">
        <w:rPr>
          <w:lang w:val="en-GB"/>
        </w:rPr>
        <w:t>median</w:t>
      </w:r>
      <w:r w:rsidR="00C54548" w:rsidRPr="0049401C">
        <w:rPr>
          <w:vertAlign w:val="subscript"/>
          <w:lang w:val="en-GB"/>
        </w:rPr>
        <w:t>pbv</w:t>
      </w:r>
      <w:r w:rsidR="00C54548" w:rsidRPr="0049401C">
        <w:rPr>
          <w:lang w:val="en-GB"/>
        </w:rPr>
        <w:t xml:space="preserve"> = </w:t>
      </w:r>
      <w:r w:rsidR="00C54548" w:rsidRPr="0049401C">
        <w:rPr>
          <w:rFonts w:ascii="Times" w:hAnsi="Times"/>
          <w:color w:val="auto"/>
          <w:lang w:val="en-GB" w:eastAsia="en-US"/>
        </w:rPr>
        <w:t>8.4</w:t>
      </w:r>
      <w:r w:rsidR="00BA459B" w:rsidRPr="0049401C">
        <w:rPr>
          <w:rFonts w:ascii="Times" w:hAnsi="Times"/>
          <w:color w:val="auto"/>
          <w:lang w:val="en-GB" w:eastAsia="en-US"/>
        </w:rPr>
        <w:t>1</w:t>
      </w:r>
      <w:r w:rsidR="00C54548" w:rsidRPr="0049401C">
        <w:rPr>
          <w:lang w:val="en-GB"/>
        </w:rPr>
        <w:t xml:space="preserve">‰) and the distributions of these values were significantly different between </w:t>
      </w:r>
      <w:r w:rsidR="0049401C">
        <w:rPr>
          <w:lang w:val="en-GB"/>
        </w:rPr>
        <w:t>vessel</w:t>
      </w:r>
      <w:r w:rsidR="00C54548" w:rsidRPr="0049401C">
        <w:rPr>
          <w:lang w:val="en-GB"/>
        </w:rPr>
        <w:t xml:space="preserve"> types (Kruskal-Wallis Test, H = 5.61, p=0.</w:t>
      </w:r>
      <w:r w:rsidR="009F50EF" w:rsidRPr="0049401C">
        <w:rPr>
          <w:lang w:val="en-GB"/>
        </w:rPr>
        <w:t>0</w:t>
      </w:r>
      <w:r w:rsidR="00C54548" w:rsidRPr="0049401C">
        <w:rPr>
          <w:lang w:val="en-GB"/>
        </w:rPr>
        <w:t xml:space="preserve">18). An increase in the </w:t>
      </w:r>
      <w:r w:rsidR="005D3BAA" w:rsidRPr="0049401C">
        <w:rPr>
          <w:lang w:val="en-GB"/>
        </w:rPr>
        <w:t xml:space="preserve">carbon to nitrogen ratio and a decrease in </w:t>
      </w:r>
      <w:r w:rsidR="006705EE" w:rsidRPr="0049401C">
        <w:rPr>
          <w:lang w:val="en-GB"/>
        </w:rPr>
        <w:t>δ</w:t>
      </w:r>
      <w:r w:rsidR="006705EE" w:rsidRPr="0049401C">
        <w:rPr>
          <w:vertAlign w:val="superscript"/>
          <w:lang w:val="en-GB"/>
        </w:rPr>
        <w:t>13</w:t>
      </w:r>
      <w:r w:rsidR="006705EE" w:rsidRPr="0049401C">
        <w:rPr>
          <w:lang w:val="en-GB"/>
        </w:rPr>
        <w:t>C</w:t>
      </w:r>
      <w:r w:rsidR="00C54548" w:rsidRPr="0049401C">
        <w:rPr>
          <w:lang w:val="en-GB"/>
        </w:rPr>
        <w:t xml:space="preserve"> </w:t>
      </w:r>
      <w:r w:rsidR="006705EE" w:rsidRPr="0049401C">
        <w:rPr>
          <w:lang w:val="en-GB"/>
        </w:rPr>
        <w:t xml:space="preserve">values </w:t>
      </w:r>
      <w:r w:rsidR="00C54548" w:rsidRPr="0049401C">
        <w:rPr>
          <w:lang w:val="en-GB"/>
        </w:rPr>
        <w:t>is consiste</w:t>
      </w:r>
      <w:r w:rsidR="00B92C51" w:rsidRPr="0049401C">
        <w:rPr>
          <w:lang w:val="en-GB"/>
        </w:rPr>
        <w:t xml:space="preserve">nt with the hypothesis that </w:t>
      </w:r>
      <w:r w:rsidR="00C54548" w:rsidRPr="0049401C">
        <w:rPr>
          <w:lang w:val="en-GB"/>
        </w:rPr>
        <w:t>substances</w:t>
      </w:r>
      <w:r w:rsidR="00B92C51" w:rsidRPr="0049401C">
        <w:rPr>
          <w:lang w:val="en-GB"/>
        </w:rPr>
        <w:t xml:space="preserve"> relatively richer in lipids were processed in the ob</w:t>
      </w:r>
      <w:r w:rsidR="00C54548" w:rsidRPr="0049401C">
        <w:rPr>
          <w:lang w:val="en-GB"/>
        </w:rPr>
        <w:t xml:space="preserve">long bowls compared to the </w:t>
      </w:r>
      <w:r w:rsidR="00B92C51" w:rsidRPr="0049401C">
        <w:rPr>
          <w:lang w:val="en-GB"/>
        </w:rPr>
        <w:t>pointed-base vessels, supporting the idea that they were used as oil lamps for illumination (Heron et al., 20</w:t>
      </w:r>
      <w:r w:rsidR="004D4616" w:rsidRPr="0049401C">
        <w:rPr>
          <w:lang w:val="en-GB"/>
        </w:rPr>
        <w:t>13</w:t>
      </w:r>
      <w:r w:rsidR="00B92C51" w:rsidRPr="0049401C">
        <w:rPr>
          <w:lang w:val="en-GB"/>
        </w:rPr>
        <w:t>). Similar differences in bulk isotopic values between vessel types have been detected in the Lithuanian Neolithic sites of Nida and</w:t>
      </w:r>
      <w:r w:rsidR="00E7516C" w:rsidRPr="0049401C">
        <w:rPr>
          <w:lang w:val="en-GB"/>
        </w:rPr>
        <w:t xml:space="preserve"> Šventoji (Heron et al., 2015).</w:t>
      </w:r>
    </w:p>
    <w:p w14:paraId="330D5520" w14:textId="77777777" w:rsidR="00E7516C" w:rsidRPr="00CF2985" w:rsidRDefault="00E7516C" w:rsidP="00DD1961">
      <w:pPr>
        <w:rPr>
          <w:lang w:val="en-GB"/>
        </w:rPr>
      </w:pPr>
    </w:p>
    <w:p w14:paraId="37512FFE" w14:textId="77777777" w:rsidR="004F1A38" w:rsidRPr="00CF2985" w:rsidRDefault="00615E39">
      <w:pPr>
        <w:pStyle w:val="Heading2"/>
        <w:contextualSpacing w:val="0"/>
        <w:rPr>
          <w:lang w:val="en-GB"/>
        </w:rPr>
      </w:pPr>
      <w:bookmarkStart w:id="7" w:name="h.1fob9te" w:colFirst="0" w:colLast="0"/>
      <w:bookmarkEnd w:id="7"/>
      <w:r w:rsidRPr="00CF2985">
        <w:rPr>
          <w:lang w:val="en-GB"/>
        </w:rPr>
        <w:t>4. Discussion</w:t>
      </w:r>
    </w:p>
    <w:p w14:paraId="7A895588" w14:textId="77777777" w:rsidR="004F1A38" w:rsidRPr="00CF2985" w:rsidRDefault="00615E39" w:rsidP="00DF1416">
      <w:pPr>
        <w:pStyle w:val="Heading3"/>
        <w:contextualSpacing w:val="0"/>
        <w:rPr>
          <w:rFonts w:ascii="Times New Roman" w:hAnsi="Times New Roman" w:cs="Times New Roman"/>
          <w:lang w:val="en-GB"/>
        </w:rPr>
      </w:pPr>
      <w:bookmarkStart w:id="8" w:name="h.fhaqj0ekn172" w:colFirst="0" w:colLast="0"/>
      <w:bookmarkEnd w:id="8"/>
      <w:r w:rsidRPr="00CF2985">
        <w:rPr>
          <w:rFonts w:ascii="Times New Roman" w:hAnsi="Times New Roman" w:cs="Times New Roman"/>
          <w:lang w:val="en-GB"/>
        </w:rPr>
        <w:t>4.1. Comparison between pottery use and other evidence for subsistence strategies</w:t>
      </w:r>
    </w:p>
    <w:p w14:paraId="122D8A2D" w14:textId="3E34D42A" w:rsidR="00C064D7" w:rsidRPr="00CF2985" w:rsidRDefault="00615E39">
      <w:pPr>
        <w:rPr>
          <w:lang w:val="en-GB"/>
        </w:rPr>
      </w:pPr>
      <w:r w:rsidRPr="00CF2985">
        <w:rPr>
          <w:lang w:val="en-GB"/>
        </w:rPr>
        <w:t>When the data from absorbed residues and food crusts are combined, 20 vessels could be unequivocally associated with the processing aquatic organisms, i.e. either marine, freshwater or brackish species (Table 1). This is the minimum number as the diagnostic biomarkers are unlikely to be formed in all cases, and the preservation was highly variable between sites. For example if we consider vessels from Kääpa alone, the site with the best preservation, 14 out of 21 vessels contained the full set of aquatic biomarkers. The number rises further to 17 for Kääpa and 25 for all sites, if partial sets of biomarkers are considered, i.e. when isoprenoid and C</w:t>
      </w:r>
      <w:r w:rsidRPr="00CF2985">
        <w:rPr>
          <w:vertAlign w:val="subscript"/>
          <w:lang w:val="en-GB"/>
        </w:rPr>
        <w:t>18</w:t>
      </w:r>
      <w:r w:rsidR="00EB08AD" w:rsidRPr="00CF2985">
        <w:rPr>
          <w:vertAlign w:val="subscript"/>
          <w:lang w:val="en-GB"/>
        </w:rPr>
        <w:t xml:space="preserve"> </w:t>
      </w:r>
      <w:r w:rsidRPr="00CF2985">
        <w:rPr>
          <w:lang w:val="en-GB"/>
        </w:rPr>
        <w:t xml:space="preserve">APAA were </w:t>
      </w:r>
      <w:r w:rsidR="00096A0E" w:rsidRPr="00CF2985">
        <w:rPr>
          <w:lang w:val="en-GB"/>
        </w:rPr>
        <w:t xml:space="preserve">detected </w:t>
      </w:r>
      <w:r w:rsidRPr="00CF2985">
        <w:rPr>
          <w:lang w:val="en-GB"/>
        </w:rPr>
        <w:t xml:space="preserve">in the same extract. An even stronger and more compelling case is made, when the stable carbon isotopic characteristic of charred surface deposits and fatty acids extracted from the vessels are considered, as these in almost all cases are strongly influenced by the local aquatic isotope ecology (Fig. 3). If terrestrial plants or animals were routinely processed in Narva pottery, we would not expect to see such isotopic variation by site location; studies of animal bone collagen have shown that the isotope composition of wild terrestrial herbivores does not change between coastal and inland locations (Piličiauskas et al., in prep). </w:t>
      </w:r>
    </w:p>
    <w:p w14:paraId="5BDF827D" w14:textId="77777777" w:rsidR="00847FEB" w:rsidRDefault="00847FEB">
      <w:pPr>
        <w:rPr>
          <w:lang w:val="en-GB"/>
        </w:rPr>
      </w:pPr>
    </w:p>
    <w:p w14:paraId="63CFC995" w14:textId="767713ED" w:rsidR="004F1A38" w:rsidRPr="00CF2985" w:rsidRDefault="00615E39">
      <w:pPr>
        <w:rPr>
          <w:lang w:val="en-GB"/>
        </w:rPr>
      </w:pPr>
      <w:r w:rsidRPr="00CF2985">
        <w:rPr>
          <w:lang w:val="en-GB"/>
        </w:rPr>
        <w:t>Overall, therefore, there was a clear inclination towards the use and exploitation of aquatic substances during the first pottery producing people of the Eastern Baltic regardless of the environment</w:t>
      </w:r>
      <w:r w:rsidR="006B201A" w:rsidRPr="00CF2985">
        <w:rPr>
          <w:lang w:val="en-GB"/>
        </w:rPr>
        <w:t>s they</w:t>
      </w:r>
      <w:r w:rsidRPr="00CF2985">
        <w:rPr>
          <w:lang w:val="en-GB"/>
        </w:rPr>
        <w:t xml:space="preserve"> inhabited and habitation contexts, the latter covering inland long-term settlements and seasonal hunting sites. Although it is difficult to know, the variety of vessels types and the nature of the residues are consistent </w:t>
      </w:r>
      <w:r w:rsidR="00D5612A" w:rsidRPr="00CF2985">
        <w:rPr>
          <w:lang w:val="en-GB"/>
        </w:rPr>
        <w:t xml:space="preserve">with </w:t>
      </w:r>
      <w:r w:rsidRPr="00CF2985">
        <w:rPr>
          <w:lang w:val="en-GB"/>
        </w:rPr>
        <w:t>direct consumption of fish in stews, the rendering and storage of oils, and their non-culinary uses, including fuel for illumination</w:t>
      </w:r>
      <w:r w:rsidR="00B92C51" w:rsidRPr="00CF2985">
        <w:rPr>
          <w:lang w:val="en-GB"/>
        </w:rPr>
        <w:t>. Feasibl</w:t>
      </w:r>
      <w:r w:rsidR="006705EE">
        <w:rPr>
          <w:lang w:val="en-GB"/>
        </w:rPr>
        <w:t>y,</w:t>
      </w:r>
      <w:r w:rsidR="00B92C51" w:rsidRPr="00CF2985">
        <w:rPr>
          <w:lang w:val="en-GB"/>
        </w:rPr>
        <w:t xml:space="preserve"> such products could also have been </w:t>
      </w:r>
      <w:r w:rsidR="006705EE">
        <w:rPr>
          <w:lang w:val="en-GB"/>
        </w:rPr>
        <w:t>modified to be used</w:t>
      </w:r>
      <w:r w:rsidR="006705EE" w:rsidRPr="00CF2985">
        <w:rPr>
          <w:lang w:val="en-GB"/>
        </w:rPr>
        <w:t xml:space="preserve"> </w:t>
      </w:r>
      <w:r w:rsidR="00B92C51" w:rsidRPr="00CF2985">
        <w:rPr>
          <w:lang w:val="en-GB"/>
        </w:rPr>
        <w:t xml:space="preserve">as </w:t>
      </w:r>
      <w:r w:rsidRPr="00CF2985">
        <w:rPr>
          <w:lang w:val="en-GB"/>
        </w:rPr>
        <w:t xml:space="preserve">moisturisers, </w:t>
      </w:r>
      <w:r w:rsidR="00B92C51" w:rsidRPr="00CF2985">
        <w:rPr>
          <w:lang w:val="en-GB"/>
        </w:rPr>
        <w:t>sealants</w:t>
      </w:r>
      <w:r w:rsidRPr="00CF2985">
        <w:rPr>
          <w:lang w:val="en-GB"/>
        </w:rPr>
        <w:t>, adhesives, glues and lubricants.</w:t>
      </w:r>
    </w:p>
    <w:p w14:paraId="357545B3" w14:textId="77777777" w:rsidR="004F1A38" w:rsidRPr="00CF2985" w:rsidRDefault="004F1A38">
      <w:pPr>
        <w:rPr>
          <w:lang w:val="en-GB"/>
        </w:rPr>
      </w:pPr>
    </w:p>
    <w:p w14:paraId="6EFFC56E" w14:textId="77777777" w:rsidR="004F1A38" w:rsidRPr="00CF2985" w:rsidRDefault="00615E39">
      <w:pPr>
        <w:rPr>
          <w:lang w:val="en-GB"/>
        </w:rPr>
      </w:pPr>
      <w:r w:rsidRPr="00CF2985">
        <w:rPr>
          <w:lang w:val="en-GB"/>
        </w:rPr>
        <w:t>Considering the general substance economy and zooarchaeological record of the sites, these findings are unexpected. At Narva Joaorg and Kääpa, where large faunal assemblages are available, (European) elk, wild boar, brown bear, beaver are all well represented together with freshwater fish (Paaver, 1965; Lõugas, 1996a, b; Paaver and Lõugas, 2003). Whilst difficult to quantify or directly compare due to biases in taphonomy and recovery, terrestrial animal bone make up over 35% of the faunal assemblage at Kääpa and over 90% at Narva Joaorg by NISP</w:t>
      </w:r>
      <w:r w:rsidRPr="00CF2985">
        <w:rPr>
          <w:b/>
          <w:lang w:val="en-GB"/>
        </w:rPr>
        <w:t xml:space="preserve"> </w:t>
      </w:r>
      <w:r w:rsidRPr="00CF2985">
        <w:rPr>
          <w:lang w:val="en-GB"/>
        </w:rPr>
        <w:t xml:space="preserve">(Paaver, 1965; Lõugas, 1996a, b; Paaver and Lõugas, 2003). </w:t>
      </w:r>
    </w:p>
    <w:p w14:paraId="65461242" w14:textId="77777777" w:rsidR="004F1A38" w:rsidRPr="00CF2985" w:rsidRDefault="004F1A38">
      <w:pPr>
        <w:rPr>
          <w:lang w:val="en-GB"/>
        </w:rPr>
      </w:pPr>
    </w:p>
    <w:p w14:paraId="4C374D36" w14:textId="777E5982" w:rsidR="004F1A38" w:rsidRPr="00CF2985" w:rsidRDefault="00615E39">
      <w:pPr>
        <w:rPr>
          <w:lang w:val="en-GB"/>
        </w:rPr>
      </w:pPr>
      <w:r w:rsidRPr="00CF2985">
        <w:rPr>
          <w:lang w:val="en-GB"/>
        </w:rPr>
        <w:t xml:space="preserve">The available human stable isotope data for the Narva period is also consistent with a diet derived from a mixture of aquatic and terrestrial sources, including plants (Tõrv, 2016). For example, at Narva Joaorg plant foods are suggested to make the highest contribution to </w:t>
      </w:r>
      <w:r w:rsidR="00EF7B0B" w:rsidRPr="00CF2985">
        <w:rPr>
          <w:lang w:val="en-GB"/>
        </w:rPr>
        <w:t xml:space="preserve">protein intake </w:t>
      </w:r>
      <w:r w:rsidRPr="00CF2985">
        <w:rPr>
          <w:lang w:val="en-GB"/>
        </w:rPr>
        <w:t xml:space="preserve">by weight, followed by freshwater fish and then terrestrial animals. However, stable isotope evidence for fish consumption is clearly evident, supporting the lipid residue data (Fig 4). For example, humans buried at the coastal site of Kõnnu (see Fig. 2) have bone collagen clearly enriched in </w:t>
      </w:r>
      <w:r w:rsidRPr="00CF2985">
        <w:rPr>
          <w:vertAlign w:val="superscript"/>
          <w:lang w:val="en-GB"/>
        </w:rPr>
        <w:t>13</w:t>
      </w:r>
      <w:r w:rsidRPr="00CF2985">
        <w:rPr>
          <w:lang w:val="en-GB"/>
        </w:rPr>
        <w:t>C compared to those at inland and estuarine sites</w:t>
      </w:r>
      <w:r w:rsidR="006705EE">
        <w:rPr>
          <w:lang w:val="en-GB"/>
        </w:rPr>
        <w:t>,</w:t>
      </w:r>
      <w:r w:rsidRPr="00CF2985">
        <w:rPr>
          <w:lang w:val="en-GB"/>
        </w:rPr>
        <w:t xml:space="preserve"> attributed to marine fish consumption at the former compared to freshwater at the latter (Tõrv, 2016). At the multi-period site of Zvejnieki on Lake Burtnieks in Latvia</w:t>
      </w:r>
      <w:r w:rsidRPr="00CF2985">
        <w:rPr>
          <w:b/>
          <w:lang w:val="en-GB"/>
        </w:rPr>
        <w:t xml:space="preserve">, </w:t>
      </w:r>
      <w:r w:rsidRPr="00CF2985">
        <w:rPr>
          <w:lang w:val="en-GB"/>
        </w:rPr>
        <w:t xml:space="preserve">the isotope analysis shows an increase in terrestrial animal and plants during this Narva phase compared to previous periods </w:t>
      </w:r>
      <w:hyperlink r:id="rId28">
        <w:r w:rsidRPr="00CF2985">
          <w:rPr>
            <w:lang w:val="en-GB"/>
          </w:rPr>
          <w:t>(Eriksson et al., 2003</w:t>
        </w:r>
      </w:hyperlink>
      <w:hyperlink r:id="rId29">
        <w:r w:rsidRPr="00CF2985">
          <w:rPr>
            <w:lang w:val="en-GB"/>
          </w:rPr>
          <w:t xml:space="preserve">; </w:t>
        </w:r>
      </w:hyperlink>
      <w:hyperlink r:id="rId30">
        <w:r w:rsidRPr="00CF2985">
          <w:rPr>
            <w:lang w:val="en-GB"/>
          </w:rPr>
          <w:t>Meadows et al.</w:t>
        </w:r>
      </w:hyperlink>
      <w:hyperlink r:id="rId31">
        <w:r w:rsidRPr="00CF2985">
          <w:rPr>
            <w:lang w:val="en-GB"/>
          </w:rPr>
          <w:t xml:space="preserve">, </w:t>
        </w:r>
      </w:hyperlink>
      <w:hyperlink r:id="rId32">
        <w:r w:rsidRPr="00CF2985">
          <w:rPr>
            <w:lang w:val="en-GB"/>
          </w:rPr>
          <w:t>2016</w:t>
        </w:r>
      </w:hyperlink>
      <w:hyperlink r:id="rId33">
        <w:r w:rsidRPr="00CF2985">
          <w:rPr>
            <w:lang w:val="en-GB"/>
          </w:rPr>
          <w:t>)</w:t>
        </w:r>
      </w:hyperlink>
      <w:r w:rsidRPr="00CF2985">
        <w:rPr>
          <w:lang w:val="en-GB"/>
        </w:rPr>
        <w:t xml:space="preserve">, although freshwater fish continued to be important. Interestingly however, the observed broadening of diets reflected in the stable isotope data may have predated the introduction of pottery by a few hundred years </w:t>
      </w:r>
      <w:hyperlink r:id="rId34">
        <w:r w:rsidRPr="00CF2985">
          <w:rPr>
            <w:lang w:val="en-GB"/>
          </w:rPr>
          <w:t xml:space="preserve">(Meadows et al., </w:t>
        </w:r>
      </w:hyperlink>
      <w:hyperlink r:id="rId35">
        <w:r w:rsidRPr="00CF2985">
          <w:rPr>
            <w:lang w:val="en-GB"/>
          </w:rPr>
          <w:t>2016</w:t>
        </w:r>
      </w:hyperlink>
      <w:hyperlink r:id="rId36">
        <w:r w:rsidRPr="00CF2985">
          <w:rPr>
            <w:lang w:val="en-GB"/>
          </w:rPr>
          <w:t>)</w:t>
        </w:r>
      </w:hyperlink>
      <w:r w:rsidRPr="00CF2985">
        <w:rPr>
          <w:lang w:val="en-GB"/>
        </w:rPr>
        <w:t xml:space="preserve">. </w:t>
      </w:r>
    </w:p>
    <w:p w14:paraId="0099E54A" w14:textId="77777777" w:rsidR="004F1A38" w:rsidRPr="00CF2985" w:rsidRDefault="004F1A38">
      <w:pPr>
        <w:rPr>
          <w:lang w:val="en-GB"/>
        </w:rPr>
      </w:pPr>
    </w:p>
    <w:p w14:paraId="2AFE051A" w14:textId="4BB22FC5" w:rsidR="004F1A38" w:rsidRPr="00CF2985" w:rsidRDefault="00351A7F">
      <w:pPr>
        <w:rPr>
          <w:lang w:val="en-GB"/>
        </w:rPr>
      </w:pPr>
      <w:r w:rsidRPr="00351A7F">
        <w:rPr>
          <w:noProof/>
          <w:lang w:val="en-GB" w:eastAsia="en-GB"/>
        </w:rPr>
        <w:drawing>
          <wp:inline distT="0" distB="0" distL="0" distR="0" wp14:anchorId="4D10F916" wp14:editId="756F58E5">
            <wp:extent cx="392430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24300" cy="3505200"/>
                    </a:xfrm>
                    <a:prstGeom prst="rect">
                      <a:avLst/>
                    </a:prstGeom>
                    <a:noFill/>
                    <a:ln>
                      <a:noFill/>
                    </a:ln>
                  </pic:spPr>
                </pic:pic>
              </a:graphicData>
            </a:graphic>
          </wp:inline>
        </w:drawing>
      </w:r>
    </w:p>
    <w:p w14:paraId="6E167948" w14:textId="77777777" w:rsidR="004F1A38" w:rsidRPr="00CF2985" w:rsidRDefault="00615E39">
      <w:pPr>
        <w:rPr>
          <w:sz w:val="22"/>
          <w:szCs w:val="22"/>
          <w:lang w:val="en-GB"/>
        </w:rPr>
      </w:pPr>
      <w:r w:rsidRPr="00CF2985">
        <w:rPr>
          <w:b/>
          <w:sz w:val="22"/>
          <w:szCs w:val="22"/>
          <w:lang w:val="en-GB"/>
        </w:rPr>
        <w:t>Fig. 4. The carbon and nitrogen stable isotope data from human bone collagen from four Narva period sites in Estonia</w:t>
      </w:r>
      <w:r w:rsidRPr="00CF2985">
        <w:rPr>
          <w:sz w:val="22"/>
          <w:szCs w:val="22"/>
          <w:lang w:val="en-GB"/>
        </w:rPr>
        <w:t xml:space="preserve"> (adapted from Tõrv, 2016</w:t>
      </w:r>
      <w:r w:rsidR="00F650B9" w:rsidRPr="00CF2985">
        <w:rPr>
          <w:sz w:val="22"/>
          <w:szCs w:val="22"/>
          <w:lang w:val="en-GB"/>
        </w:rPr>
        <w:t>; Tõrv and Eriksson, forthcoming</w:t>
      </w:r>
      <w:r w:rsidRPr="00CF2985">
        <w:rPr>
          <w:sz w:val="22"/>
          <w:szCs w:val="22"/>
          <w:lang w:val="en-GB"/>
        </w:rPr>
        <w:t xml:space="preserve">). Green </w:t>
      </w:r>
      <w:r w:rsidR="00F650B9" w:rsidRPr="00CF2985">
        <w:rPr>
          <w:b/>
          <w:sz w:val="22"/>
          <w:szCs w:val="22"/>
          <w:lang w:val="en-GB"/>
        </w:rPr>
        <w:t>–</w:t>
      </w:r>
      <w:r w:rsidRPr="00CF2985">
        <w:rPr>
          <w:sz w:val="22"/>
          <w:szCs w:val="22"/>
          <w:lang w:val="en-GB"/>
        </w:rPr>
        <w:t xml:space="preserve"> inland riverine sites, red </w:t>
      </w:r>
      <w:r w:rsidR="00F650B9" w:rsidRPr="00CF2985">
        <w:rPr>
          <w:b/>
          <w:sz w:val="22"/>
          <w:szCs w:val="22"/>
          <w:lang w:val="en-GB"/>
        </w:rPr>
        <w:t>–</w:t>
      </w:r>
      <w:r w:rsidRPr="00CF2985">
        <w:rPr>
          <w:sz w:val="22"/>
          <w:szCs w:val="22"/>
          <w:lang w:val="en-GB"/>
        </w:rPr>
        <w:t xml:space="preserve"> river estuarine sites, blue </w:t>
      </w:r>
      <w:r w:rsidR="00F650B9" w:rsidRPr="00CF2985">
        <w:rPr>
          <w:b/>
          <w:sz w:val="22"/>
          <w:szCs w:val="22"/>
          <w:lang w:val="en-GB"/>
        </w:rPr>
        <w:t>–</w:t>
      </w:r>
      <w:r w:rsidRPr="00CF2985">
        <w:rPr>
          <w:sz w:val="22"/>
          <w:szCs w:val="22"/>
          <w:lang w:val="en-GB"/>
        </w:rPr>
        <w:t xml:space="preserve"> coastal sites.</w:t>
      </w:r>
    </w:p>
    <w:p w14:paraId="6F37A565" w14:textId="77777777" w:rsidR="00942564" w:rsidRPr="00CF2985" w:rsidRDefault="00942564">
      <w:pPr>
        <w:rPr>
          <w:lang w:val="en-GB"/>
        </w:rPr>
      </w:pPr>
    </w:p>
    <w:p w14:paraId="44D0FB04" w14:textId="77777777" w:rsidR="004F1A38" w:rsidRPr="00CF2985" w:rsidRDefault="00223AED" w:rsidP="00DF1416">
      <w:pPr>
        <w:pStyle w:val="Heading3"/>
        <w:contextualSpacing w:val="0"/>
        <w:rPr>
          <w:rFonts w:ascii="Times New Roman" w:hAnsi="Times New Roman" w:cs="Times New Roman"/>
          <w:lang w:val="en-GB"/>
        </w:rPr>
      </w:pPr>
      <w:bookmarkStart w:id="9" w:name="h.dsmexyqd1zmy" w:colFirst="0" w:colLast="0"/>
      <w:bookmarkEnd w:id="9"/>
      <w:r w:rsidRPr="00CF2985">
        <w:rPr>
          <w:rFonts w:ascii="Times New Roman" w:hAnsi="Times New Roman" w:cs="Times New Roman"/>
          <w:lang w:val="en-GB"/>
        </w:rPr>
        <w:t>4.2</w:t>
      </w:r>
      <w:r w:rsidR="00615E39" w:rsidRPr="00CF2985">
        <w:rPr>
          <w:rFonts w:ascii="Times New Roman" w:hAnsi="Times New Roman" w:cs="Times New Roman"/>
          <w:lang w:val="en-GB"/>
        </w:rPr>
        <w:t>. Evidence for an ‘aquatic Neolithic’ in NE Europe?</w:t>
      </w:r>
    </w:p>
    <w:p w14:paraId="203AB4E0" w14:textId="77777777" w:rsidR="004F1A38" w:rsidRPr="00CF2985" w:rsidRDefault="00615E39">
      <w:pPr>
        <w:rPr>
          <w:lang w:val="en-GB"/>
        </w:rPr>
      </w:pPr>
      <w:r w:rsidRPr="00CF2985">
        <w:rPr>
          <w:lang w:val="en-GB"/>
        </w:rPr>
        <w:t xml:space="preserve">The use of early pottery in Estonia is similar to both Finnish and Lithuanian Comb Wares (Leskinen, 2003; Pesonen and Leskinen, 2009; Cramp et al., 2014; Heron et al., 2015), which date to the 4th millennium </w:t>
      </w:r>
      <w:r w:rsidR="00F650B9" w:rsidRPr="00CF2985">
        <w:rPr>
          <w:lang w:val="en-GB"/>
        </w:rPr>
        <w:t xml:space="preserve">cal </w:t>
      </w:r>
      <w:r w:rsidRPr="00CF2985">
        <w:rPr>
          <w:lang w:val="en-GB"/>
        </w:rPr>
        <w:t xml:space="preserve">BC, and late 5th millennium </w:t>
      </w:r>
      <w:r w:rsidR="00F650B9" w:rsidRPr="00CF2985">
        <w:rPr>
          <w:lang w:val="en-GB"/>
        </w:rPr>
        <w:t xml:space="preserve">cal </w:t>
      </w:r>
      <w:r w:rsidRPr="00CF2985">
        <w:rPr>
          <w:lang w:val="en-GB"/>
        </w:rPr>
        <w:t>BC Scandinavian Ertebølle vessels (Craig et al., 2007; 2011; Heron et al., 2013; Philippsen and Meadows, 2014). In these later Baltic contexts, there is also evidence for specialization in the use of pottery for storing and processing aquatic products, despite the fact that ruminant and other animal fats were widely available. This general picture allows us to strengthen the hypothesis that forager pottery was widely adopted or independently invented by Holocene hunter-gatherers as part of a specialised toolkit allowing more efficient exploitation of aquatic resources (Haaland, 2009; Jordan and Zvelebil, 2009; Craig et al.</w:t>
      </w:r>
      <w:r w:rsidR="00F650B9" w:rsidRPr="00CF2985">
        <w:rPr>
          <w:lang w:val="en-GB"/>
        </w:rPr>
        <w:t>,</w:t>
      </w:r>
      <w:r w:rsidRPr="00CF2985">
        <w:rPr>
          <w:lang w:val="en-GB"/>
        </w:rPr>
        <w:t xml:space="preserve"> 2013; Gibbs and Jordan, 2013; Taché and Craig, 2015), the so called ‘aquatic Neolithic’.</w:t>
      </w:r>
    </w:p>
    <w:p w14:paraId="0739C8D9" w14:textId="77777777" w:rsidR="004F1A38" w:rsidRPr="00CF2985" w:rsidRDefault="004F1A38">
      <w:pPr>
        <w:rPr>
          <w:lang w:val="en-GB"/>
        </w:rPr>
      </w:pPr>
    </w:p>
    <w:p w14:paraId="561210A6" w14:textId="18E00FC1" w:rsidR="00A25C1A" w:rsidRPr="00CF2985" w:rsidRDefault="00615E39">
      <w:pPr>
        <w:rPr>
          <w:lang w:val="en-GB"/>
        </w:rPr>
      </w:pPr>
      <w:r w:rsidRPr="00CF2985">
        <w:rPr>
          <w:lang w:val="en-GB"/>
        </w:rPr>
        <w:t>Such a clear and direct relation to the exploitation of aquatic resources could be explained by some intrinsic differences between water and terrestrial related subsistence systems. Aquatic environments provide resources which are rich in nutritious fats or oils. They are constantly available throughout the seasons, but also become particularly accessible and abundant during certain, often short term, periods of the year. These relate to either natural migrations of fish and their spawning or breeding and during the rearing of aquatic mammals. In contrast to traditional game hunting, aquatic resources are particularly rich and easy to catch</w:t>
      </w:r>
      <w:r w:rsidR="00D463DE">
        <w:rPr>
          <w:lang w:val="en-GB"/>
        </w:rPr>
        <w:t xml:space="preserve"> </w:t>
      </w:r>
      <w:r w:rsidR="00442E5E">
        <w:rPr>
          <w:lang w:val="en-GB"/>
        </w:rPr>
        <w:t>making them accessible and allowing their</w:t>
      </w:r>
      <w:r w:rsidR="00D463DE">
        <w:rPr>
          <w:lang w:val="en-GB"/>
        </w:rPr>
        <w:t xml:space="preserve"> exploitation </w:t>
      </w:r>
      <w:r w:rsidRPr="00CF2985">
        <w:rPr>
          <w:lang w:val="en-GB"/>
        </w:rPr>
        <w:t xml:space="preserve">regardless of age and gender. We argue that seasonal intensification of aquatic resource exploitation was facilitated by the introduction of pottery, and together, these prompted increased sedentism and population growth, similar to the model first suggested for the East African early Holocene (Haaland, 2009). </w:t>
      </w:r>
    </w:p>
    <w:p w14:paraId="1A7D2986" w14:textId="77777777" w:rsidR="000951D6" w:rsidRPr="00CF2985" w:rsidRDefault="000951D6">
      <w:pPr>
        <w:rPr>
          <w:lang w:val="en-GB"/>
        </w:rPr>
      </w:pPr>
    </w:p>
    <w:p w14:paraId="6718FC4C" w14:textId="495B991E" w:rsidR="00A25C1A" w:rsidRPr="00CF2985" w:rsidRDefault="000951D6">
      <w:pPr>
        <w:rPr>
          <w:lang w:val="en-GB"/>
        </w:rPr>
      </w:pPr>
      <w:r w:rsidRPr="00CF2985">
        <w:rPr>
          <w:lang w:val="en-GB"/>
        </w:rPr>
        <w:t xml:space="preserve">The arrival of pottery did not necessarily transform diets by allowing increased consumption of aquatic foods. It is equally </w:t>
      </w:r>
      <w:r w:rsidR="004D3C0A" w:rsidRPr="00CF2985">
        <w:rPr>
          <w:lang w:val="en-GB"/>
        </w:rPr>
        <w:t>plausible</w:t>
      </w:r>
      <w:r w:rsidRPr="00CF2985">
        <w:rPr>
          <w:lang w:val="en-GB"/>
        </w:rPr>
        <w:t xml:space="preserve"> that ceramics simply provided a more </w:t>
      </w:r>
      <w:r w:rsidR="004D3C0A" w:rsidRPr="00CF2985">
        <w:rPr>
          <w:lang w:val="en-GB"/>
        </w:rPr>
        <w:t>efficient</w:t>
      </w:r>
      <w:r w:rsidRPr="00CF2985">
        <w:rPr>
          <w:lang w:val="en-GB"/>
        </w:rPr>
        <w:t xml:space="preserve"> way of processing, manipulating</w:t>
      </w:r>
      <w:r w:rsidR="00CC1B63" w:rsidRPr="00CF2985">
        <w:rPr>
          <w:lang w:val="en-GB"/>
        </w:rPr>
        <w:t xml:space="preserve"> and storing</w:t>
      </w:r>
      <w:r w:rsidRPr="00CF2985">
        <w:rPr>
          <w:lang w:val="en-GB"/>
        </w:rPr>
        <w:t xml:space="preserve"> oils from fish and other aquatic </w:t>
      </w:r>
      <w:r w:rsidR="00963D1A" w:rsidRPr="00CF2985">
        <w:rPr>
          <w:lang w:val="en-GB"/>
        </w:rPr>
        <w:t xml:space="preserve">organisms </w:t>
      </w:r>
      <w:r w:rsidRPr="00CF2985">
        <w:rPr>
          <w:lang w:val="en-GB"/>
        </w:rPr>
        <w:t>for consumption and other purposes</w:t>
      </w:r>
      <w:r w:rsidR="00313DBE">
        <w:rPr>
          <w:lang w:val="en-GB"/>
        </w:rPr>
        <w:t xml:space="preserve">, thus </w:t>
      </w:r>
      <w:r w:rsidR="00313DBE" w:rsidRPr="004D7D7D">
        <w:rPr>
          <w:lang w:val="en-GB"/>
        </w:rPr>
        <w:t>facilitat</w:t>
      </w:r>
      <w:r w:rsidR="00313DBE">
        <w:rPr>
          <w:lang w:val="en-GB"/>
        </w:rPr>
        <w:t>ing</w:t>
      </w:r>
      <w:r w:rsidR="00313DBE" w:rsidRPr="004D7D7D">
        <w:rPr>
          <w:lang w:val="en-GB"/>
        </w:rPr>
        <w:t xml:space="preserve"> intensified, expanded and prolonged use of aquatic resources</w:t>
      </w:r>
      <w:r w:rsidRPr="00CF2985">
        <w:rPr>
          <w:lang w:val="en-GB"/>
        </w:rPr>
        <w:t xml:space="preserve">. </w:t>
      </w:r>
      <w:r w:rsidR="006572D9" w:rsidRPr="00CF2985">
        <w:rPr>
          <w:lang w:val="en-GB"/>
        </w:rPr>
        <w:t>The production</w:t>
      </w:r>
      <w:r w:rsidR="00CC1B63" w:rsidRPr="00CF2985">
        <w:rPr>
          <w:lang w:val="en-GB"/>
        </w:rPr>
        <w:t xml:space="preserve"> of aquatic oils for storage may have been </w:t>
      </w:r>
      <w:r w:rsidR="004D3C0A" w:rsidRPr="00CF2985">
        <w:rPr>
          <w:lang w:val="en-GB"/>
        </w:rPr>
        <w:t>particularly</w:t>
      </w:r>
      <w:r w:rsidR="00CC1B63" w:rsidRPr="00CF2985">
        <w:rPr>
          <w:lang w:val="en-GB"/>
        </w:rPr>
        <w:t xml:space="preserve"> important for reducing the need for season</w:t>
      </w:r>
      <w:r w:rsidR="006572D9" w:rsidRPr="00CF2985">
        <w:rPr>
          <w:lang w:val="en-GB"/>
        </w:rPr>
        <w:t xml:space="preserve">al migrations. </w:t>
      </w:r>
      <w:r w:rsidRPr="00CF2985">
        <w:rPr>
          <w:lang w:val="en-GB"/>
        </w:rPr>
        <w:t xml:space="preserve">In this way, fishing </w:t>
      </w:r>
      <w:r w:rsidR="00963D1A" w:rsidRPr="00CF2985">
        <w:rPr>
          <w:lang w:val="en-GB"/>
        </w:rPr>
        <w:t>became</w:t>
      </w:r>
      <w:r w:rsidRPr="00CF2985">
        <w:rPr>
          <w:lang w:val="en-GB"/>
        </w:rPr>
        <w:t xml:space="preserve"> incorporated within a broadening subsistence system which allowed a reduction in mobility and a wider range of </w:t>
      </w:r>
      <w:r w:rsidR="00155142">
        <w:rPr>
          <w:lang w:val="en-GB"/>
        </w:rPr>
        <w:t xml:space="preserve">more </w:t>
      </w:r>
      <w:r w:rsidR="00313DBE">
        <w:rPr>
          <w:lang w:val="en-GB"/>
        </w:rPr>
        <w:t>specialised practices</w:t>
      </w:r>
      <w:r w:rsidRPr="00CF2985">
        <w:rPr>
          <w:lang w:val="en-GB"/>
        </w:rPr>
        <w:t xml:space="preserve"> includ</w:t>
      </w:r>
      <w:r w:rsidR="00313DBE">
        <w:rPr>
          <w:lang w:val="en-GB"/>
        </w:rPr>
        <w:t>ing</w:t>
      </w:r>
      <w:r w:rsidRPr="00CF2985">
        <w:rPr>
          <w:lang w:val="en-GB"/>
        </w:rPr>
        <w:t xml:space="preserve"> pottery production.</w:t>
      </w:r>
      <w:r w:rsidR="00B92C51" w:rsidRPr="00CF2985">
        <w:rPr>
          <w:lang w:val="en-GB"/>
        </w:rPr>
        <w:t xml:space="preserve"> </w:t>
      </w:r>
      <w:r w:rsidR="00313DBE">
        <w:rPr>
          <w:lang w:val="en-GB"/>
        </w:rPr>
        <w:t>We can presume that this broadening</w:t>
      </w:r>
      <w:r w:rsidRPr="00CF2985">
        <w:rPr>
          <w:lang w:val="en-GB"/>
        </w:rPr>
        <w:t xml:space="preserve"> </w:t>
      </w:r>
      <w:r w:rsidR="00313DBE">
        <w:rPr>
          <w:lang w:val="en-GB"/>
        </w:rPr>
        <w:t>subsistence system</w:t>
      </w:r>
      <w:r w:rsidRPr="00CF2985">
        <w:rPr>
          <w:lang w:val="en-GB"/>
        </w:rPr>
        <w:t xml:space="preserve"> also included exploitation of terrestrial forest products, such as acorns, deer, elk and wild boars, as shown by the faunal assemblages and partially also in the stable isotope data</w:t>
      </w:r>
      <w:r w:rsidR="00963D1A" w:rsidRPr="00CF2985">
        <w:rPr>
          <w:lang w:val="en-GB"/>
        </w:rPr>
        <w:t xml:space="preserve"> of human bone</w:t>
      </w:r>
      <w:r w:rsidRPr="00CF2985">
        <w:rPr>
          <w:lang w:val="en-GB"/>
        </w:rPr>
        <w:t>, but these products were largely excluded from pots implying different processing technologies</w:t>
      </w:r>
      <w:r w:rsidR="00313DBE">
        <w:rPr>
          <w:lang w:val="en-GB"/>
        </w:rPr>
        <w:t>.</w:t>
      </w:r>
    </w:p>
    <w:p w14:paraId="3FDBB15A" w14:textId="77777777" w:rsidR="004F1A38" w:rsidRPr="00CF2985" w:rsidRDefault="004F1A38">
      <w:pPr>
        <w:rPr>
          <w:lang w:val="en-GB"/>
        </w:rPr>
      </w:pPr>
    </w:p>
    <w:p w14:paraId="75C7A576" w14:textId="682EA39B" w:rsidR="00963D1A" w:rsidRPr="00CF2985" w:rsidRDefault="00615E39">
      <w:pPr>
        <w:rPr>
          <w:lang w:val="en-GB"/>
        </w:rPr>
      </w:pPr>
      <w:r w:rsidRPr="00CF2985">
        <w:rPr>
          <w:lang w:val="en-GB"/>
        </w:rPr>
        <w:t xml:space="preserve">The </w:t>
      </w:r>
      <w:r w:rsidR="00D8201A" w:rsidRPr="00CF2985">
        <w:rPr>
          <w:lang w:val="en-GB"/>
        </w:rPr>
        <w:t xml:space="preserve">earliest </w:t>
      </w:r>
      <w:r w:rsidRPr="00CF2985">
        <w:rPr>
          <w:lang w:val="en-GB"/>
        </w:rPr>
        <w:t xml:space="preserve">evidence of fishing nets in North-Eastern Europe </w:t>
      </w:r>
      <w:r w:rsidR="007B1DCD" w:rsidRPr="00CF2985">
        <w:rPr>
          <w:lang w:val="en-GB"/>
        </w:rPr>
        <w:t xml:space="preserve">are from Karelia </w:t>
      </w:r>
      <w:r w:rsidR="00313DBE">
        <w:rPr>
          <w:lang w:val="en-GB"/>
        </w:rPr>
        <w:t xml:space="preserve">(Antrea Korpilahti) </w:t>
      </w:r>
      <w:r w:rsidR="007B1DCD" w:rsidRPr="00CF2985">
        <w:rPr>
          <w:lang w:val="en-GB"/>
        </w:rPr>
        <w:t>and date to the</w:t>
      </w:r>
      <w:r w:rsidRPr="00CF2985">
        <w:rPr>
          <w:lang w:val="en-GB"/>
        </w:rPr>
        <w:t xml:space="preserve"> Early Mesolithic (Carpelan</w:t>
      </w:r>
      <w:r w:rsidR="00F650B9" w:rsidRPr="00CF2985">
        <w:rPr>
          <w:lang w:val="en-GB"/>
        </w:rPr>
        <w:t>,</w:t>
      </w:r>
      <w:r w:rsidRPr="00CF2985">
        <w:rPr>
          <w:lang w:val="en-GB"/>
        </w:rPr>
        <w:t xml:space="preserve"> 2008)</w:t>
      </w:r>
      <w:r w:rsidR="002A5E9F" w:rsidRPr="00CF2985">
        <w:rPr>
          <w:lang w:val="en-GB"/>
        </w:rPr>
        <w:t xml:space="preserve">. </w:t>
      </w:r>
      <w:r w:rsidR="007B1DCD" w:rsidRPr="00CF2985">
        <w:rPr>
          <w:lang w:val="en-GB"/>
        </w:rPr>
        <w:t xml:space="preserve">In Estonia, </w:t>
      </w:r>
      <w:r w:rsidRPr="00CF2985">
        <w:rPr>
          <w:lang w:val="en-GB"/>
        </w:rPr>
        <w:t>fishing implements (hooks, fish spears, clubs and harpoons) are known from the Early Mesolithic onwards</w:t>
      </w:r>
      <w:r w:rsidR="002A5E9F" w:rsidRPr="00CF2985">
        <w:rPr>
          <w:lang w:val="en-GB"/>
        </w:rPr>
        <w:t xml:space="preserve"> (Lõugas, 1996a; Bērziņš, 2010), but fishing net</w:t>
      </w:r>
      <w:r w:rsidR="007B1DCD" w:rsidRPr="00CF2985">
        <w:rPr>
          <w:lang w:val="en-GB"/>
        </w:rPr>
        <w:t xml:space="preserve">s only appear in the </w:t>
      </w:r>
      <w:r w:rsidR="002A5E9F" w:rsidRPr="00CF2985">
        <w:rPr>
          <w:lang w:val="en-GB"/>
        </w:rPr>
        <w:t>Late Mesolithic</w:t>
      </w:r>
      <w:r w:rsidR="00313DBE">
        <w:rPr>
          <w:lang w:val="en-GB"/>
        </w:rPr>
        <w:t xml:space="preserve"> </w:t>
      </w:r>
      <w:r w:rsidR="002A5E9F" w:rsidRPr="00CF2985">
        <w:rPr>
          <w:lang w:val="en-GB"/>
        </w:rPr>
        <w:t>(</w:t>
      </w:r>
      <w:r w:rsidR="00313DBE">
        <w:rPr>
          <w:lang w:val="en-GB"/>
        </w:rPr>
        <w:t xml:space="preserve">i.e. Siivertsi; </w:t>
      </w:r>
      <w:r w:rsidR="002A5E9F" w:rsidRPr="00CF2985">
        <w:rPr>
          <w:lang w:val="en-GB"/>
        </w:rPr>
        <w:t>Rosentau et al., 2013)</w:t>
      </w:r>
      <w:r w:rsidR="007B1DCD" w:rsidRPr="00CF2985">
        <w:rPr>
          <w:lang w:val="en-GB"/>
        </w:rPr>
        <w:t xml:space="preserve"> together with </w:t>
      </w:r>
      <w:r w:rsidRPr="00CF2985">
        <w:rPr>
          <w:lang w:val="en-GB"/>
        </w:rPr>
        <w:t>net floats, sinkers, net holding poles</w:t>
      </w:r>
      <w:r w:rsidR="007B1DCD" w:rsidRPr="00CF2985">
        <w:rPr>
          <w:lang w:val="en-GB"/>
        </w:rPr>
        <w:t xml:space="preserve"> and</w:t>
      </w:r>
      <w:r w:rsidRPr="00CF2985">
        <w:rPr>
          <w:lang w:val="en-GB"/>
        </w:rPr>
        <w:t xml:space="preserve"> bone needles usable for net production</w:t>
      </w:r>
      <w:r w:rsidR="007B1DCD" w:rsidRPr="00CF2985">
        <w:rPr>
          <w:lang w:val="en-GB"/>
        </w:rPr>
        <w:t xml:space="preserve"> </w:t>
      </w:r>
      <w:r w:rsidRPr="00CF2985">
        <w:rPr>
          <w:lang w:val="en-GB"/>
        </w:rPr>
        <w:t>(Lõugas, 1996a; Bērziņš, 2010; Kriiska and Roio, 2011)</w:t>
      </w:r>
      <w:r w:rsidR="00155142">
        <w:rPr>
          <w:lang w:val="en-GB"/>
        </w:rPr>
        <w:t>. These technologies appear to</w:t>
      </w:r>
      <w:r w:rsidR="007B1DCD" w:rsidRPr="00CF2985">
        <w:rPr>
          <w:lang w:val="en-GB"/>
        </w:rPr>
        <w:t xml:space="preserve"> </w:t>
      </w:r>
      <w:r w:rsidR="00155142" w:rsidRPr="00CF2985">
        <w:rPr>
          <w:lang w:val="en-GB"/>
        </w:rPr>
        <w:t>coincid</w:t>
      </w:r>
      <w:r w:rsidR="00155142">
        <w:rPr>
          <w:lang w:val="en-GB"/>
        </w:rPr>
        <w:t>e</w:t>
      </w:r>
      <w:r w:rsidR="00155142" w:rsidRPr="00CF2985">
        <w:rPr>
          <w:lang w:val="en-GB"/>
        </w:rPr>
        <w:t xml:space="preserve"> </w:t>
      </w:r>
      <w:r w:rsidR="00F75E73" w:rsidRPr="00CF2985">
        <w:rPr>
          <w:lang w:val="en-GB"/>
        </w:rPr>
        <w:t>with the first pottery use in this region</w:t>
      </w:r>
      <w:r w:rsidR="00155142">
        <w:rPr>
          <w:lang w:val="en-GB"/>
        </w:rPr>
        <w:t>, a</w:t>
      </w:r>
      <w:r w:rsidR="00D8201A" w:rsidRPr="00CF2985">
        <w:rPr>
          <w:lang w:val="en-GB"/>
        </w:rPr>
        <w:t xml:space="preserve">lthough </w:t>
      </w:r>
      <w:r w:rsidR="00313DBE">
        <w:rPr>
          <w:lang w:val="en-GB"/>
        </w:rPr>
        <w:t>taphonomic</w:t>
      </w:r>
      <w:r w:rsidR="00D8201A" w:rsidRPr="00CF2985">
        <w:rPr>
          <w:lang w:val="en-GB"/>
        </w:rPr>
        <w:t xml:space="preserve"> biases </w:t>
      </w:r>
      <w:r w:rsidR="00155142">
        <w:rPr>
          <w:lang w:val="en-GB"/>
        </w:rPr>
        <w:t xml:space="preserve">pertaining to the relative preservation of artefact types </w:t>
      </w:r>
      <w:r w:rsidR="00D8201A" w:rsidRPr="00CF2985">
        <w:rPr>
          <w:lang w:val="en-GB"/>
        </w:rPr>
        <w:t>need to be explored</w:t>
      </w:r>
      <w:r w:rsidR="00155142">
        <w:rPr>
          <w:lang w:val="en-GB"/>
        </w:rPr>
        <w:t xml:space="preserve"> further. Nevertheless</w:t>
      </w:r>
      <w:r w:rsidR="00D8201A" w:rsidRPr="00CF2985">
        <w:rPr>
          <w:lang w:val="en-GB"/>
        </w:rPr>
        <w:t xml:space="preserve">, the </w:t>
      </w:r>
      <w:r w:rsidR="008F7A25" w:rsidRPr="00CF2985">
        <w:rPr>
          <w:lang w:val="en-GB"/>
        </w:rPr>
        <w:t>evidence</w:t>
      </w:r>
      <w:r w:rsidR="00155142">
        <w:rPr>
          <w:lang w:val="en-GB"/>
        </w:rPr>
        <w:t xml:space="preserve"> available</w:t>
      </w:r>
      <w:r w:rsidR="008F7A25" w:rsidRPr="00CF2985">
        <w:rPr>
          <w:lang w:val="en-GB"/>
        </w:rPr>
        <w:t xml:space="preserve"> supports the notion that pottery was associated</w:t>
      </w:r>
      <w:r w:rsidR="00D8201A" w:rsidRPr="00CF2985">
        <w:rPr>
          <w:lang w:val="en-GB"/>
        </w:rPr>
        <w:t xml:space="preserve"> </w:t>
      </w:r>
      <w:r w:rsidR="008F7A25" w:rsidRPr="00CF2985">
        <w:rPr>
          <w:lang w:val="en-GB"/>
        </w:rPr>
        <w:t xml:space="preserve">with the </w:t>
      </w:r>
      <w:r w:rsidRPr="00CF2985">
        <w:rPr>
          <w:lang w:val="en-GB"/>
        </w:rPr>
        <w:t>wider adoption and extensive use of innovat</w:t>
      </w:r>
      <w:r w:rsidR="00BA459B">
        <w:rPr>
          <w:lang w:val="en-GB"/>
        </w:rPr>
        <w:t>ive fishing capture techniques.</w:t>
      </w:r>
      <w:r w:rsidR="00963D1A" w:rsidRPr="00CF2985">
        <w:rPr>
          <w:lang w:val="en-GB"/>
        </w:rPr>
        <w:t xml:space="preserve"> </w:t>
      </w:r>
    </w:p>
    <w:p w14:paraId="0F91BEDA" w14:textId="77777777" w:rsidR="00963D1A" w:rsidRPr="00CF2985" w:rsidRDefault="00963D1A">
      <w:pPr>
        <w:rPr>
          <w:lang w:val="en-GB"/>
        </w:rPr>
      </w:pPr>
    </w:p>
    <w:p w14:paraId="3FDE193C" w14:textId="0A2E9459" w:rsidR="004F1A38" w:rsidRPr="00CF2985" w:rsidRDefault="00615E39">
      <w:pPr>
        <w:rPr>
          <w:lang w:val="en-GB"/>
        </w:rPr>
      </w:pPr>
      <w:r w:rsidRPr="00CF2985">
        <w:rPr>
          <w:lang w:val="en-GB"/>
        </w:rPr>
        <w:t xml:space="preserve">Together, we suggest that these adaptations allowed larger quantities of fish to be caught and processed in a shorter time and with less labour investment. </w:t>
      </w:r>
      <w:r w:rsidR="00155142">
        <w:rPr>
          <w:lang w:val="en-GB"/>
        </w:rPr>
        <w:t>In turn,</w:t>
      </w:r>
      <w:r w:rsidR="00155142" w:rsidRPr="00CF2985">
        <w:rPr>
          <w:lang w:val="en-GB"/>
        </w:rPr>
        <w:t xml:space="preserve"> </w:t>
      </w:r>
      <w:r w:rsidRPr="00CF2985">
        <w:rPr>
          <w:lang w:val="en-GB"/>
        </w:rPr>
        <w:t>more time was dedicated to the production of artefacts, such as pottery, sinkers and nets, in anticipation of these easily exploitable and reliable aquatic resources. This freed up the yearly schedule, required increased residence times and creat</w:t>
      </w:r>
      <w:r w:rsidR="00155142">
        <w:rPr>
          <w:lang w:val="en-GB"/>
        </w:rPr>
        <w:t>ed</w:t>
      </w:r>
      <w:r w:rsidRPr="00CF2985">
        <w:rPr>
          <w:lang w:val="en-GB"/>
        </w:rPr>
        <w:t xml:space="preserve"> the conditions for population growth akin to models used for the expansion of the agricultural Neolithic. Stable isotope data of bone collagen from Narva period sites supports </w:t>
      </w:r>
      <w:r w:rsidR="0020472C" w:rsidRPr="00CF2985">
        <w:rPr>
          <w:lang w:val="en-GB"/>
        </w:rPr>
        <w:t>limited</w:t>
      </w:r>
      <w:r w:rsidRPr="00CF2985">
        <w:rPr>
          <w:lang w:val="en-GB"/>
        </w:rPr>
        <w:t xml:space="preserve"> mobility. Humans buried in coastal sites and inland sites have very different carbon and nitrogen isotope values (Tõrv, 2016; Tõrv and Eriksson, forthcoming), indicating that they subsisted on the local resources rather than extensive coastal/inland migrations in search of resources, which would produce more homogenised isotopic signatures. Whilst difficult to quantify, other studies also support the idea that Northern ceramic ‘hunter-gatherers’ were at high population densities therefore delaying the diffusion of farming to this region compared to others </w:t>
      </w:r>
      <w:hyperlink r:id="rId38">
        <w:r w:rsidRPr="00CF2985">
          <w:rPr>
            <w:lang w:val="en-GB"/>
          </w:rPr>
          <w:t>(Isern and Fort, 2012)</w:t>
        </w:r>
      </w:hyperlink>
      <w:r w:rsidRPr="00CF2985">
        <w:rPr>
          <w:lang w:val="en-GB"/>
        </w:rPr>
        <w:t xml:space="preserve">. </w:t>
      </w:r>
    </w:p>
    <w:p w14:paraId="467AF7E0" w14:textId="77777777" w:rsidR="00615E39" w:rsidRPr="00CF2985" w:rsidRDefault="00615E39">
      <w:pPr>
        <w:rPr>
          <w:lang w:val="en-GB"/>
        </w:rPr>
      </w:pPr>
    </w:p>
    <w:p w14:paraId="7684277C" w14:textId="77777777" w:rsidR="004F1A38" w:rsidRPr="00CF2985" w:rsidRDefault="00615E39">
      <w:pPr>
        <w:pStyle w:val="Heading2"/>
        <w:contextualSpacing w:val="0"/>
        <w:rPr>
          <w:lang w:val="en-GB"/>
        </w:rPr>
      </w:pPr>
      <w:r w:rsidRPr="00CF2985">
        <w:rPr>
          <w:lang w:val="en-GB"/>
        </w:rPr>
        <w:t>5. Conclusions</w:t>
      </w:r>
    </w:p>
    <w:p w14:paraId="46EBBB74" w14:textId="77777777" w:rsidR="004F1A38" w:rsidRPr="00CF2985" w:rsidRDefault="004F1A38">
      <w:pPr>
        <w:rPr>
          <w:lang w:val="en-GB"/>
        </w:rPr>
      </w:pPr>
    </w:p>
    <w:p w14:paraId="75E95FE5" w14:textId="1E398783" w:rsidR="00D26622" w:rsidRDefault="00615E39">
      <w:pPr>
        <w:rPr>
          <w:lang w:val="en-GB"/>
        </w:rPr>
      </w:pPr>
      <w:bookmarkStart w:id="10" w:name="h.m8uiyh6js9uq" w:colFirst="0" w:colLast="0"/>
      <w:bookmarkEnd w:id="10"/>
      <w:r w:rsidRPr="00CF2985">
        <w:rPr>
          <w:lang w:val="en-GB"/>
        </w:rPr>
        <w:t xml:space="preserve">Organic residue analysis of the earliest pottery </w:t>
      </w:r>
      <w:r w:rsidR="003F0C72" w:rsidRPr="00CF2985">
        <w:rPr>
          <w:lang w:val="en-GB"/>
        </w:rPr>
        <w:t xml:space="preserve">vessels </w:t>
      </w:r>
      <w:r w:rsidRPr="00CF2985">
        <w:rPr>
          <w:lang w:val="en-GB"/>
        </w:rPr>
        <w:t>in the Eastern Baltic (Narva-type ceramics) shows</w:t>
      </w:r>
      <w:r w:rsidR="003F0C72" w:rsidRPr="00CF2985">
        <w:rPr>
          <w:lang w:val="en-GB"/>
        </w:rPr>
        <w:t xml:space="preserve"> that</w:t>
      </w:r>
      <w:r w:rsidRPr="00CF2985">
        <w:rPr>
          <w:lang w:val="en-GB"/>
        </w:rPr>
        <w:t xml:space="preserve"> they were preferentially used for processing aquatic substances regardless of </w:t>
      </w:r>
      <w:r w:rsidR="003F0C72" w:rsidRPr="00CF2985">
        <w:rPr>
          <w:lang w:val="en-GB"/>
        </w:rPr>
        <w:t>their typology</w:t>
      </w:r>
      <w:r w:rsidRPr="00CF2985">
        <w:rPr>
          <w:lang w:val="en-GB"/>
        </w:rPr>
        <w:t xml:space="preserve"> and </w:t>
      </w:r>
      <w:r w:rsidR="003F0C72" w:rsidRPr="00CF2985">
        <w:rPr>
          <w:lang w:val="en-GB"/>
        </w:rPr>
        <w:t xml:space="preserve">the </w:t>
      </w:r>
      <w:r w:rsidRPr="00CF2985">
        <w:rPr>
          <w:lang w:val="en-GB"/>
        </w:rPr>
        <w:t>different environmental settings</w:t>
      </w:r>
      <w:r w:rsidR="003F0C72" w:rsidRPr="00CF2985">
        <w:rPr>
          <w:lang w:val="en-GB"/>
        </w:rPr>
        <w:t xml:space="preserve"> where they were found</w:t>
      </w:r>
      <w:r w:rsidRPr="00CF2985">
        <w:rPr>
          <w:lang w:val="en-GB"/>
        </w:rPr>
        <w:t xml:space="preserve">. Based on these results, we propose that the introduction of ceramic vessels provided a means for more efficient exploitation of coastal and inland fisheries, linked with </w:t>
      </w:r>
      <w:r w:rsidR="00011D28" w:rsidRPr="00CF2985">
        <w:rPr>
          <w:lang w:val="en-GB"/>
        </w:rPr>
        <w:t xml:space="preserve">broadening subsistence systems, </w:t>
      </w:r>
      <w:r w:rsidRPr="00CF2985">
        <w:rPr>
          <w:lang w:val="en-GB"/>
        </w:rPr>
        <w:t>increased sedentism and population growth</w:t>
      </w:r>
      <w:r w:rsidR="003F0C72" w:rsidRPr="00CF2985">
        <w:rPr>
          <w:lang w:val="en-GB"/>
        </w:rPr>
        <w:t xml:space="preserve"> during the Late Mesolithic period</w:t>
      </w:r>
      <w:r w:rsidRPr="00CF2985">
        <w:rPr>
          <w:lang w:val="en-GB"/>
        </w:rPr>
        <w:t>.</w:t>
      </w:r>
      <w:r w:rsidR="003F0C72" w:rsidRPr="00CF2985">
        <w:rPr>
          <w:lang w:val="en-GB"/>
        </w:rPr>
        <w:t xml:space="preserve"> Whether this adaptation was part of a larger super-regional phenomenon that encompasses the entire boreal zone from Siberia to the Western Baltic remains to be seen. To </w:t>
      </w:r>
      <w:r w:rsidR="00BE4FBE" w:rsidRPr="00CF2985">
        <w:rPr>
          <w:lang w:val="en-GB"/>
        </w:rPr>
        <w:t>test</w:t>
      </w:r>
      <w:r w:rsidR="003F0C72" w:rsidRPr="00CF2985">
        <w:rPr>
          <w:lang w:val="en-GB"/>
        </w:rPr>
        <w:t xml:space="preserve"> this</w:t>
      </w:r>
      <w:r w:rsidR="00313DBE">
        <w:rPr>
          <w:lang w:val="en-GB"/>
        </w:rPr>
        <w:t xml:space="preserve"> hypothesis,</w:t>
      </w:r>
      <w:r w:rsidR="003F0C72" w:rsidRPr="00CF2985">
        <w:rPr>
          <w:lang w:val="en-GB"/>
        </w:rPr>
        <w:t xml:space="preserve"> a </w:t>
      </w:r>
      <w:r w:rsidRPr="00CF2985">
        <w:rPr>
          <w:lang w:val="en-GB"/>
        </w:rPr>
        <w:t xml:space="preserve">larger synthesis of AMS dates and more widespread organic residue analysis is called for on a </w:t>
      </w:r>
      <w:r w:rsidR="00671245">
        <w:rPr>
          <w:lang w:val="en-GB"/>
        </w:rPr>
        <w:t>much grander</w:t>
      </w:r>
      <w:r w:rsidRPr="00CF2985">
        <w:rPr>
          <w:lang w:val="en-GB"/>
        </w:rPr>
        <w:t xml:space="preserve"> scale.</w:t>
      </w:r>
    </w:p>
    <w:p w14:paraId="3F7A124F" w14:textId="77777777" w:rsidR="00D26622" w:rsidRDefault="00D26622">
      <w:pPr>
        <w:rPr>
          <w:lang w:val="en-GB"/>
        </w:rPr>
      </w:pPr>
    </w:p>
    <w:p w14:paraId="211772B5" w14:textId="4A3BA95C" w:rsidR="00D26622" w:rsidRPr="004D7D7D" w:rsidRDefault="00D26622" w:rsidP="00D26622">
      <w:pPr>
        <w:rPr>
          <w:lang w:val="en-GB"/>
        </w:rPr>
      </w:pPr>
      <w:r>
        <w:rPr>
          <w:lang w:val="en-GB"/>
        </w:rPr>
        <w:t>Given</w:t>
      </w:r>
      <w:r w:rsidRPr="004D7D7D">
        <w:rPr>
          <w:lang w:val="en-GB"/>
        </w:rPr>
        <w:t xml:space="preserve"> our findings</w:t>
      </w:r>
      <w:r>
        <w:rPr>
          <w:lang w:val="en-GB"/>
        </w:rPr>
        <w:t xml:space="preserve">, it is vital that the </w:t>
      </w:r>
      <w:r w:rsidRPr="004D7D7D">
        <w:rPr>
          <w:lang w:val="en-GB"/>
        </w:rPr>
        <w:t xml:space="preserve">problems associated with the incorporation of ‘old’ carbon from marine and freshwater reservoirs (Kriiska et al., forthcoming) </w:t>
      </w:r>
      <w:r>
        <w:rPr>
          <w:lang w:val="en-GB"/>
        </w:rPr>
        <w:t>are addressed</w:t>
      </w:r>
      <w:r w:rsidRPr="004D7D7D">
        <w:rPr>
          <w:lang w:val="en-GB"/>
        </w:rPr>
        <w:t xml:space="preserve"> to decrease the uncertainty of dates made directly on pottery. </w:t>
      </w:r>
      <w:r>
        <w:rPr>
          <w:lang w:val="en-GB"/>
        </w:rPr>
        <w:t>This is important to more precisely compare the adoption of pottery with changes in the palae</w:t>
      </w:r>
      <w:r w:rsidR="00920CA6">
        <w:rPr>
          <w:lang w:val="en-GB"/>
        </w:rPr>
        <w:t>o</w:t>
      </w:r>
      <w:r>
        <w:rPr>
          <w:lang w:val="en-GB"/>
        </w:rPr>
        <w:t xml:space="preserve">economy, but also to chart the origins and spread of this technology. It has recently been suggested </w:t>
      </w:r>
      <w:r w:rsidRPr="004D7D7D">
        <w:rPr>
          <w:lang w:val="en-GB"/>
        </w:rPr>
        <w:t>that North-Eastern Eu</w:t>
      </w:r>
      <w:r>
        <w:rPr>
          <w:lang w:val="en-GB"/>
        </w:rPr>
        <w:t xml:space="preserve">ropean pottery may have an origin as far as </w:t>
      </w:r>
      <w:r w:rsidRPr="004D7D7D">
        <w:rPr>
          <w:lang w:val="en-GB"/>
        </w:rPr>
        <w:t>East Asia</w:t>
      </w:r>
      <w:r>
        <w:rPr>
          <w:lang w:val="en-GB"/>
        </w:rPr>
        <w:t>, a hypothesis a</w:t>
      </w:r>
      <w:r w:rsidRPr="004D7D7D">
        <w:rPr>
          <w:lang w:val="en-GB"/>
        </w:rPr>
        <w:t xml:space="preserve">t least consistent with the albeit limited AMS dataset </w:t>
      </w:r>
      <w:hyperlink r:id="rId39">
        <w:r w:rsidRPr="004D7D7D">
          <w:rPr>
            <w:lang w:val="en-GB"/>
          </w:rPr>
          <w:t>(Silva et al., 2014)</w:t>
        </w:r>
      </w:hyperlink>
      <w:r w:rsidRPr="004D7D7D">
        <w:rPr>
          <w:lang w:val="en-GB"/>
        </w:rPr>
        <w:t>. If so, the arrival of pottery to the shores of the Eastern Baltic may be part of the same cultural phenomenon adopted by hunter-gatherers living on</w:t>
      </w:r>
      <w:r w:rsidR="00671245">
        <w:rPr>
          <w:lang w:val="en-GB"/>
        </w:rPr>
        <w:t xml:space="preserve"> the shores of the S</w:t>
      </w:r>
      <w:r w:rsidRPr="004D7D7D">
        <w:rPr>
          <w:lang w:val="en-GB"/>
        </w:rPr>
        <w:t>ea of Japan some 9,000 years earlier.</w:t>
      </w:r>
    </w:p>
    <w:p w14:paraId="300625FE" w14:textId="77777777" w:rsidR="004F1A38" w:rsidRPr="00CF2985" w:rsidRDefault="004F1A38">
      <w:pPr>
        <w:rPr>
          <w:lang w:val="en-GB"/>
        </w:rPr>
      </w:pPr>
      <w:bookmarkStart w:id="11" w:name="h.h0pv2t1k9pdd" w:colFirst="0" w:colLast="0"/>
      <w:bookmarkEnd w:id="11"/>
    </w:p>
    <w:p w14:paraId="76EC59C3" w14:textId="77777777" w:rsidR="00615E39" w:rsidRPr="00CF2985" w:rsidRDefault="00615E39">
      <w:pPr>
        <w:rPr>
          <w:lang w:val="en-GB"/>
        </w:rPr>
      </w:pPr>
    </w:p>
    <w:p w14:paraId="643C7B88" w14:textId="77777777" w:rsidR="004F1A38" w:rsidRPr="00CF2985" w:rsidRDefault="00615E39">
      <w:pPr>
        <w:rPr>
          <w:lang w:val="en-GB"/>
        </w:rPr>
      </w:pPr>
      <w:bookmarkStart w:id="12" w:name="h.2hocx4eqdevl" w:colFirst="0" w:colLast="0"/>
      <w:bookmarkEnd w:id="12"/>
      <w:r w:rsidRPr="00CF2985">
        <w:rPr>
          <w:b/>
          <w:i/>
          <w:lang w:val="en-GB"/>
        </w:rPr>
        <w:t>Acknowledgements</w:t>
      </w:r>
      <w:bookmarkStart w:id="13" w:name="h.v41fjivyg4ka" w:colFirst="0" w:colLast="0"/>
      <w:bookmarkEnd w:id="13"/>
    </w:p>
    <w:p w14:paraId="7F5C0D9C" w14:textId="77777777" w:rsidR="004F1A38" w:rsidRPr="00CF2985" w:rsidRDefault="00615E39">
      <w:pPr>
        <w:rPr>
          <w:lang w:val="en-GB"/>
        </w:rPr>
      </w:pPr>
      <w:r w:rsidRPr="00CF2985">
        <w:rPr>
          <w:lang w:val="en-GB"/>
        </w:rPr>
        <w:t>The funds for lipid residue analysis were provided by the Estonian Research Council postdoctoral grant PUTJD64 and the Lili Kaelas foundation research grant. We also thank the Arts and Humanities Research Council (AH/L00691X/1) for their support. Support was also provided by the Estonian Ministry of Education and Research Institutional Research Grant IUT20-7.</w:t>
      </w:r>
      <w:r w:rsidRPr="00CF2985">
        <w:rPr>
          <w:lang w:val="en-GB"/>
        </w:rPr>
        <w:br w:type="page"/>
      </w:r>
    </w:p>
    <w:p w14:paraId="3E7C0467" w14:textId="376AE112" w:rsidR="00DD1961" w:rsidRPr="00847FEB" w:rsidRDefault="00615E39" w:rsidP="00313DBE">
      <w:pPr>
        <w:spacing w:before="120" w:after="120"/>
        <w:rPr>
          <w:rFonts w:ascii="Cambria" w:hAnsi="Cambria"/>
          <w:sz w:val="28"/>
          <w:szCs w:val="28"/>
          <w:lang w:val="en-GB"/>
        </w:rPr>
      </w:pPr>
      <w:bookmarkStart w:id="14" w:name="h.ey76agf87i24" w:colFirst="0" w:colLast="0"/>
      <w:bookmarkEnd w:id="14"/>
      <w:r w:rsidRPr="00847FEB">
        <w:rPr>
          <w:rFonts w:ascii="Cambria" w:hAnsi="Cambria"/>
          <w:b/>
          <w:sz w:val="28"/>
          <w:szCs w:val="28"/>
          <w:lang w:val="en-GB"/>
        </w:rPr>
        <w:t>References</w:t>
      </w:r>
    </w:p>
    <w:p w14:paraId="12C61476" w14:textId="6C592223" w:rsidR="001463D3" w:rsidRPr="00CF2985" w:rsidRDefault="001463D3" w:rsidP="00DF1416">
      <w:pPr>
        <w:spacing w:before="120" w:after="120"/>
        <w:ind w:left="420" w:hanging="420"/>
        <w:rPr>
          <w:lang w:val="en-GB"/>
        </w:rPr>
      </w:pPr>
      <w:r w:rsidRPr="00CF2985">
        <w:rPr>
          <w:color w:val="222222"/>
          <w:shd w:val="clear" w:color="auto" w:fill="FFFFFF"/>
          <w:lang w:val="en-GB"/>
        </w:rPr>
        <w:t>Bērziņš, V. 2008</w:t>
      </w:r>
      <w:r w:rsidRPr="00CF2985">
        <w:rPr>
          <w:lang w:val="en-GB"/>
        </w:rPr>
        <w:t xml:space="preserve">. Sārnate: </w:t>
      </w:r>
      <w:r w:rsidR="00DD1961" w:rsidRPr="00CF2985">
        <w:rPr>
          <w:lang w:val="en-GB"/>
        </w:rPr>
        <w:t xml:space="preserve">Living </w:t>
      </w:r>
      <w:r w:rsidRPr="00CF2985">
        <w:rPr>
          <w:lang w:val="en-GB"/>
        </w:rPr>
        <w:t xml:space="preserve">by a </w:t>
      </w:r>
      <w:r w:rsidR="00DD1961" w:rsidRPr="00CF2985">
        <w:rPr>
          <w:lang w:val="en-GB"/>
        </w:rPr>
        <w:t xml:space="preserve">Coastal Lake </w:t>
      </w:r>
      <w:r w:rsidRPr="00CF2985">
        <w:rPr>
          <w:lang w:val="en-GB"/>
        </w:rPr>
        <w:t xml:space="preserve">during the </w:t>
      </w:r>
      <w:r w:rsidR="00DD1961" w:rsidRPr="00CF2985">
        <w:rPr>
          <w:lang w:val="en-GB"/>
        </w:rPr>
        <w:t xml:space="preserve">East </w:t>
      </w:r>
      <w:r w:rsidRPr="00CF2985">
        <w:rPr>
          <w:lang w:val="en-GB"/>
        </w:rPr>
        <w:t>Baltic Neolithic</w:t>
      </w:r>
      <w:r w:rsidR="00DD1961">
        <w:rPr>
          <w:lang w:val="en-GB"/>
        </w:rPr>
        <w:t xml:space="preserve">. </w:t>
      </w:r>
      <w:r w:rsidRPr="00CF2985">
        <w:rPr>
          <w:lang w:val="en-GB"/>
        </w:rPr>
        <w:t>Acta Universitatis Ouluensis B</w:t>
      </w:r>
      <w:r w:rsidR="00DD1961">
        <w:rPr>
          <w:lang w:val="en-GB"/>
        </w:rPr>
        <w:t>,</w:t>
      </w:r>
      <w:r w:rsidRPr="00CF2985">
        <w:rPr>
          <w:lang w:val="en-GB"/>
        </w:rPr>
        <w:t xml:space="preserve"> 86. Oulu University Press</w:t>
      </w:r>
      <w:r w:rsidR="00DD1961">
        <w:rPr>
          <w:lang w:val="en-GB"/>
        </w:rPr>
        <w:t xml:space="preserve">, </w:t>
      </w:r>
      <w:r w:rsidR="00DD1961" w:rsidRPr="00CF2985">
        <w:rPr>
          <w:lang w:val="en-GB"/>
        </w:rPr>
        <w:t>Oulu</w:t>
      </w:r>
      <w:r w:rsidR="00DD1961">
        <w:rPr>
          <w:lang w:val="en-GB"/>
        </w:rPr>
        <w:t>.</w:t>
      </w:r>
    </w:p>
    <w:p w14:paraId="38E1D424" w14:textId="38A4B502" w:rsidR="001463D3" w:rsidRPr="00CF2985" w:rsidRDefault="001463D3">
      <w:pPr>
        <w:spacing w:before="120" w:after="120"/>
        <w:ind w:left="420" w:hanging="420"/>
        <w:rPr>
          <w:lang w:val="en-GB"/>
        </w:rPr>
      </w:pPr>
      <w:r w:rsidRPr="00CF2985">
        <w:rPr>
          <w:lang w:val="en-GB"/>
        </w:rPr>
        <w:t>Bērziņš, V., 2010. Seasonality and techniques in prehistory: Why freshwater fish are special. Archaeologia Baltica 13, 37–42.</w:t>
      </w:r>
    </w:p>
    <w:p w14:paraId="3CA0A647" w14:textId="77777777" w:rsidR="004F1A38" w:rsidRPr="00CF2985" w:rsidRDefault="00615E39" w:rsidP="00314D86">
      <w:pPr>
        <w:spacing w:before="120" w:after="120"/>
        <w:ind w:left="280" w:hanging="280"/>
        <w:rPr>
          <w:lang w:val="en-GB"/>
        </w:rPr>
      </w:pPr>
      <w:r w:rsidRPr="00CF2985">
        <w:rPr>
          <w:lang w:val="en-GB"/>
        </w:rPr>
        <w:t>Carpelan C., 2008. On the history and recent studies of the "Antrea net find". Iskos 16, 88–127.</w:t>
      </w:r>
    </w:p>
    <w:p w14:paraId="7A17CF14" w14:textId="77777777" w:rsidR="004F1A38" w:rsidRPr="00CF2985" w:rsidRDefault="00615E39" w:rsidP="00DF1416">
      <w:pPr>
        <w:spacing w:before="120" w:after="120"/>
        <w:ind w:left="420" w:hanging="420"/>
        <w:rPr>
          <w:lang w:val="en-GB"/>
        </w:rPr>
      </w:pPr>
      <w:r w:rsidRPr="00CF2985">
        <w:rPr>
          <w:lang w:val="en-GB"/>
        </w:rPr>
        <w:t>Colonese, A.C., Farrell, T., Lucquin, A., Firth, D., Charlton, S., Robson, H.K., Alexander, M., Craig, O.E., 2015. Archaeological bone lipids as palaeodietary markers. Rapid Communications in Mass Spectrometry 29, 611–618. doi:10.1002/rcm.7144</w:t>
      </w:r>
    </w:p>
    <w:p w14:paraId="7E702893" w14:textId="77777777" w:rsidR="004F1A38" w:rsidRPr="00CF2985" w:rsidRDefault="00324B02" w:rsidP="00DF1416">
      <w:pPr>
        <w:spacing w:before="120" w:after="120"/>
        <w:ind w:left="420" w:hanging="420"/>
        <w:rPr>
          <w:lang w:val="en-GB"/>
        </w:rPr>
      </w:pPr>
      <w:hyperlink r:id="rId40">
        <w:r w:rsidR="00615E39" w:rsidRPr="00CF2985">
          <w:rPr>
            <w:lang w:val="en-GB"/>
          </w:rPr>
          <w:t>Copley, M.S., Berstan, R., Dudd, S.N., Docherty, G., Mukherjee, A.J., Straker, V., Payne, S., Evershed, R.P., 2002. Direct chemical evidence for widespread dairying in prehisto</w:t>
        </w:r>
        <w:r w:rsidR="00850142" w:rsidRPr="00CF2985">
          <w:rPr>
            <w:lang w:val="en-GB"/>
          </w:rPr>
          <w:t>ric Britain. Proceedings of the</w:t>
        </w:r>
        <w:r w:rsidR="00615E39" w:rsidRPr="00CF2985">
          <w:rPr>
            <w:lang w:val="en-GB"/>
          </w:rPr>
          <w:t xml:space="preserve"> National Academy of Sciences of the United States of America</w:t>
        </w:r>
      </w:hyperlink>
      <w:r w:rsidR="00615E39" w:rsidRPr="00CF2985">
        <w:rPr>
          <w:lang w:val="en-GB"/>
        </w:rPr>
        <w:t xml:space="preserve"> 100, 1524–1529. doi: 10.1073/pnas.0335955100</w:t>
      </w:r>
    </w:p>
    <w:p w14:paraId="2FD1886A" w14:textId="77777777" w:rsidR="004F1A38" w:rsidRPr="00CF2985" w:rsidRDefault="00615E39" w:rsidP="00DF1416">
      <w:pPr>
        <w:spacing w:before="120" w:after="120"/>
        <w:ind w:left="420" w:hanging="420"/>
        <w:rPr>
          <w:lang w:val="en-GB"/>
        </w:rPr>
      </w:pPr>
      <w:r w:rsidRPr="00CF2985">
        <w:rPr>
          <w:lang w:val="en-GB"/>
        </w:rPr>
        <w:t>Craig, O.E., Allen, R. B., Thompson, A., Stevens, R.E., Steele, V. J., Heron, C., 2012. Distinguishing wild ruminant lipids by gas chromatography/combustion/isotope ratio mass spectrometry. Rapid Communications in Mass Spectrometry 26, 2359–2364.</w:t>
      </w:r>
    </w:p>
    <w:p w14:paraId="146B0B79" w14:textId="77777777" w:rsidR="004F1A38" w:rsidRPr="00CF2985" w:rsidRDefault="00615E39" w:rsidP="00DF1416">
      <w:pPr>
        <w:spacing w:before="120" w:after="120"/>
        <w:ind w:left="420" w:hanging="420"/>
        <w:rPr>
          <w:lang w:val="en-GB"/>
        </w:rPr>
      </w:pPr>
      <w:r w:rsidRPr="00CF2985">
        <w:rPr>
          <w:lang w:val="en-GB"/>
        </w:rPr>
        <w:t>Craig, O.E., Forster, M., Andersen, S.H., Koch, E., Crombé, P., Milner, N.J., Stern, B., Bailey, G.N., Heron, C.P., 2007. Molecular and isotopic demonstration of the processing of acquatic products in Northern European prehistoric pottery. Archaeometry 49, 135–152.</w:t>
      </w:r>
    </w:p>
    <w:p w14:paraId="69A3E6F0" w14:textId="77777777" w:rsidR="004F1A38" w:rsidRPr="00CF2985" w:rsidRDefault="00615E39" w:rsidP="00DF1416">
      <w:pPr>
        <w:spacing w:before="120" w:after="120"/>
        <w:ind w:left="420" w:hanging="420"/>
        <w:rPr>
          <w:lang w:val="en-GB"/>
        </w:rPr>
      </w:pPr>
      <w:r w:rsidRPr="00CF2985">
        <w:rPr>
          <w:lang w:val="en-GB"/>
        </w:rPr>
        <w:t>Craig, O.E., Love, G.D., Isaksson, S., Taylor, G., Snape, C.E., 2004. Stable carbon isotopic characterisation of free and bound lipid constituents of archaeological ceramic vessels released by solvent extraction, alkaline hydrolysis and catalytic hydropyrolysis. Journal of Analytical and Applied Pyrolysis 71, 613–634.</w:t>
      </w:r>
    </w:p>
    <w:p w14:paraId="4FDF780D" w14:textId="77777777" w:rsidR="004F1A38" w:rsidRPr="00CF2985" w:rsidRDefault="00615E39" w:rsidP="00DF1416">
      <w:pPr>
        <w:spacing w:before="120" w:after="120"/>
        <w:ind w:left="420" w:hanging="420"/>
        <w:rPr>
          <w:lang w:val="en-GB"/>
        </w:rPr>
      </w:pPr>
      <w:r w:rsidRPr="00CF2985">
        <w:rPr>
          <w:lang w:val="en-GB"/>
        </w:rPr>
        <w:t>Craig, O.E., Saul, H., Lucquin, A., Nishida, Y., Taché, K., Clarke, L., Thompson, A., Altoft, D.T., Uchiyama, J., Ajimoto, M., Gibbs, K., Isaksson, S., Heron, C.P., Jordan, P., 2013. Earliest evidence for the use of pottery. Nature 496, 351–354. doi:10.1038/nature12109</w:t>
      </w:r>
    </w:p>
    <w:p w14:paraId="4B0D7605" w14:textId="77777777" w:rsidR="004F1A38" w:rsidRPr="00CF2985" w:rsidRDefault="00324B02" w:rsidP="00DF1416">
      <w:pPr>
        <w:spacing w:before="120" w:after="120"/>
        <w:ind w:left="420" w:hanging="420"/>
        <w:rPr>
          <w:lang w:val="en-GB"/>
        </w:rPr>
      </w:pPr>
      <w:hyperlink r:id="rId41">
        <w:r w:rsidR="00615E39" w:rsidRPr="00CF2985">
          <w:rPr>
            <w:lang w:val="en-GB"/>
          </w:rPr>
          <w:t>Craig, O.E., Steele, V.J., Fischer, A., Hartz, S., Andersen, S.H., Donohoe, P., Glykou, A., Saul, H., Jones, D.M., Koch, E., Heron, C.P., 2011. Ancient lipids reveal continuity in culinary practices across the transition to agriculture in Northern Europe. Proceedings of the National Academy of Sciences 108, 17910–17915.</w:t>
        </w:r>
      </w:hyperlink>
      <w:r w:rsidR="00615E39" w:rsidRPr="00CF2985">
        <w:rPr>
          <w:lang w:val="en-GB"/>
        </w:rPr>
        <w:t xml:space="preserve"> doi:10.1073/pnas.1107202108</w:t>
      </w:r>
    </w:p>
    <w:p w14:paraId="5E757BDA" w14:textId="77777777" w:rsidR="004F1A38" w:rsidRPr="00CF2985" w:rsidRDefault="00324B02" w:rsidP="00DF1416">
      <w:pPr>
        <w:spacing w:before="120" w:after="120"/>
        <w:ind w:left="420" w:hanging="420"/>
        <w:rPr>
          <w:lang w:val="en-GB"/>
        </w:rPr>
      </w:pPr>
      <w:hyperlink r:id="rId42">
        <w:r w:rsidR="00615E39" w:rsidRPr="00CF2985">
          <w:rPr>
            <w:lang w:val="en-GB"/>
          </w:rPr>
          <w:t>Cramp, L., Evershed, R.P., 2014. Reconstructing aquatic resource exploitation in human prehistory using lipid biomarkers and stable isotopes. In: Holland, H.D., Turekian, K.K. (Eds.), Treatise on Geochemistry: Archaeology and Anthropology. Elsevier, Oxford, pp. 319</w:t>
        </w:r>
      </w:hyperlink>
      <w:hyperlink r:id="rId43">
        <w:r w:rsidR="00615E39" w:rsidRPr="00CF2985">
          <w:rPr>
            <w:lang w:val="en-GB"/>
          </w:rPr>
          <w:t>–</w:t>
        </w:r>
      </w:hyperlink>
      <w:hyperlink r:id="rId44">
        <w:r w:rsidR="00615E39" w:rsidRPr="00CF2985">
          <w:rPr>
            <w:lang w:val="en-GB"/>
          </w:rPr>
          <w:t>339.</w:t>
        </w:r>
      </w:hyperlink>
    </w:p>
    <w:p w14:paraId="5C1D3276" w14:textId="77777777" w:rsidR="004F1A38" w:rsidRPr="00CF2985" w:rsidRDefault="00615E39" w:rsidP="00DF1416">
      <w:pPr>
        <w:spacing w:before="120" w:after="120"/>
        <w:ind w:left="420" w:hanging="420"/>
        <w:rPr>
          <w:lang w:val="en-GB"/>
        </w:rPr>
      </w:pPr>
      <w:r w:rsidRPr="00CF2985">
        <w:rPr>
          <w:lang w:val="en-GB"/>
        </w:rPr>
        <w:t>Cramp, L.J.E., Evershed, R.P., Lavento, M., Halinen, P., Mannermaa, K., Oinonen, M., Kettunen, J., Perola, M., Onkamo, P., Heyd, V., 2014. Neolithic dairy farming at the extreme of agriculture in northern Europe. Proceedings of the Royal Society B: Biological Sciences 281, 1–9. doi:10.1098/rspb.2014.0819</w:t>
      </w:r>
    </w:p>
    <w:p w14:paraId="6725B1A8" w14:textId="77777777" w:rsidR="004F1A38" w:rsidRPr="00CF2985" w:rsidRDefault="00324B02" w:rsidP="00DF1416">
      <w:pPr>
        <w:spacing w:before="120" w:after="120"/>
        <w:ind w:left="420" w:hanging="420"/>
        <w:rPr>
          <w:lang w:val="en-GB"/>
        </w:rPr>
      </w:pPr>
      <w:hyperlink r:id="rId45">
        <w:r w:rsidR="00615E39" w:rsidRPr="00CF2985">
          <w:rPr>
            <w:lang w:val="en-GB"/>
          </w:rPr>
          <w:t xml:space="preserve">Dolukhanov, P., Shukurov, A., Gronenborn, D., 2005. The chronology of Neolithic dispersal in Central and Eastern Europe. Journal of Archaeological Science 32, </w:t>
        </w:r>
      </w:hyperlink>
      <w:hyperlink r:id="rId46">
        <w:r w:rsidR="00615E39" w:rsidRPr="00CF2985">
          <w:rPr>
            <w:lang w:val="en-GB"/>
          </w:rPr>
          <w:t>1441–1458</w:t>
        </w:r>
      </w:hyperlink>
      <w:hyperlink r:id="rId47">
        <w:r w:rsidR="00615E39" w:rsidRPr="00CF2985">
          <w:rPr>
            <w:lang w:val="en-GB"/>
          </w:rPr>
          <w:t>.</w:t>
        </w:r>
      </w:hyperlink>
    </w:p>
    <w:p w14:paraId="2C1D5D3D" w14:textId="77777777" w:rsidR="004F1A38" w:rsidRPr="00CF2985" w:rsidRDefault="00615E39" w:rsidP="00DF1416">
      <w:pPr>
        <w:spacing w:before="120" w:after="120"/>
        <w:ind w:left="420" w:hanging="420"/>
        <w:rPr>
          <w:lang w:val="en-GB"/>
        </w:rPr>
      </w:pPr>
      <w:r w:rsidRPr="00CF2985">
        <w:rPr>
          <w:lang w:val="en-GB"/>
        </w:rPr>
        <w:t>Eriksson, G., Lõugas, L., Zagorska, I., 2003. Stone Age hunter–fisher–gatherers at Zvejnieki, northern Latvia. Before Farming 1, 1–25. doi:10.3828/bfarm.2003.1.2.</w:t>
      </w:r>
    </w:p>
    <w:p w14:paraId="7D8EB384" w14:textId="77777777" w:rsidR="004F1A38" w:rsidRPr="00CF2985" w:rsidRDefault="00615E39" w:rsidP="00DF1416">
      <w:pPr>
        <w:ind w:left="420" w:hanging="420"/>
        <w:rPr>
          <w:lang w:val="en-GB"/>
        </w:rPr>
      </w:pPr>
      <w:r w:rsidRPr="00CF2985">
        <w:rPr>
          <w:lang w:val="en-GB"/>
        </w:rPr>
        <w:t>Evershed, R.P. 2008. Organic residue analysis in archaeology: The archaeological biomarker revolution. Archaeometry 50, 895–924.</w:t>
      </w:r>
    </w:p>
    <w:p w14:paraId="6689BE4B" w14:textId="77777777" w:rsidR="004F1A38" w:rsidRPr="00CF2985" w:rsidRDefault="00615E39" w:rsidP="00DF1416">
      <w:pPr>
        <w:spacing w:before="120" w:after="120"/>
        <w:ind w:left="420" w:hanging="420"/>
        <w:rPr>
          <w:lang w:val="en-GB"/>
        </w:rPr>
      </w:pPr>
      <w:r w:rsidRPr="00CF2985">
        <w:rPr>
          <w:lang w:val="en-GB"/>
        </w:rPr>
        <w:t>Evershed, R. P., Dudd, S., Lockheart, M. J., Jim, S., 2001. Lipids in archaeology. In: Brothwell, D.R., Pollard, A. M. (Eds.), Handbook of Archaeological Sciences. Wiley, Chichester, 331–349.</w:t>
      </w:r>
    </w:p>
    <w:p w14:paraId="4D564073" w14:textId="77777777" w:rsidR="004F1A38" w:rsidRPr="00CF2985" w:rsidRDefault="00324B02" w:rsidP="00DF1416">
      <w:pPr>
        <w:spacing w:before="120" w:after="120"/>
        <w:ind w:left="420" w:hanging="420"/>
        <w:rPr>
          <w:lang w:val="en-GB"/>
        </w:rPr>
      </w:pPr>
      <w:hyperlink r:id="rId48">
        <w:r w:rsidR="00615E39" w:rsidRPr="00CF2985">
          <w:rPr>
            <w:lang w:val="en-GB"/>
          </w:rPr>
          <w:t>Evershed, R.P., Copley, M.S., Dickson, L., Hansel, F.A., 2008a. Experimental evidence for the processing of marine animal products and other commodities containing polyunsaturated fatty acids in pottery vessels. Archaeometry 50, 101–113.</w:t>
        </w:r>
      </w:hyperlink>
    </w:p>
    <w:p w14:paraId="00F369A0" w14:textId="77777777" w:rsidR="004F1A38" w:rsidRPr="00CF2985" w:rsidRDefault="00615E39" w:rsidP="00DF1416">
      <w:pPr>
        <w:spacing w:before="120" w:after="120"/>
        <w:ind w:left="420" w:hanging="420"/>
        <w:rPr>
          <w:lang w:val="en-GB"/>
        </w:rPr>
      </w:pPr>
      <w:r w:rsidRPr="00CF2985">
        <w:rPr>
          <w:lang w:val="en-GB"/>
        </w:rPr>
        <w:t>Evershed, R.P., Payne, S., Sherratt, A.G., Copley, M.S., Coolidge, J., Urem-Kotsu, D., Kotsakis, K.,</w:t>
      </w:r>
      <w:hyperlink r:id="rId49">
        <w:r w:rsidRPr="00CF2985">
          <w:rPr>
            <w:lang w:val="en-GB"/>
          </w:rPr>
          <w:t xml:space="preserve"> </w:t>
        </w:r>
      </w:hyperlink>
      <w:hyperlink r:id="rId50">
        <w:r w:rsidRPr="00CF2985">
          <w:rPr>
            <w:lang w:val="en-GB"/>
          </w:rPr>
          <w:t>Ozdoğan, M</w:t>
        </w:r>
      </w:hyperlink>
      <w:r w:rsidRPr="00CF2985">
        <w:rPr>
          <w:lang w:val="en-GB"/>
        </w:rPr>
        <w:t>.,</w:t>
      </w:r>
      <w:hyperlink r:id="rId51">
        <w:r w:rsidRPr="00CF2985">
          <w:rPr>
            <w:lang w:val="en-GB"/>
          </w:rPr>
          <w:t xml:space="preserve"> </w:t>
        </w:r>
      </w:hyperlink>
      <w:hyperlink r:id="rId52">
        <w:r w:rsidRPr="00CF2985">
          <w:rPr>
            <w:lang w:val="en-GB"/>
          </w:rPr>
          <w:t>Ozdoğan, A.E</w:t>
        </w:r>
      </w:hyperlink>
      <w:r w:rsidRPr="00CF2985">
        <w:rPr>
          <w:lang w:val="en-GB"/>
        </w:rPr>
        <w:t>.,</w:t>
      </w:r>
      <w:hyperlink r:id="rId53">
        <w:r w:rsidRPr="00CF2985">
          <w:rPr>
            <w:lang w:val="en-GB"/>
          </w:rPr>
          <w:t xml:space="preserve"> </w:t>
        </w:r>
      </w:hyperlink>
      <w:hyperlink r:id="rId54">
        <w:r w:rsidRPr="00CF2985">
          <w:rPr>
            <w:lang w:val="en-GB"/>
          </w:rPr>
          <w:t>Nieuwenhuyse, O</w:t>
        </w:r>
      </w:hyperlink>
      <w:r w:rsidRPr="00CF2985">
        <w:rPr>
          <w:lang w:val="en-GB"/>
        </w:rPr>
        <w:t>.,</w:t>
      </w:r>
      <w:hyperlink r:id="rId55">
        <w:r w:rsidRPr="00CF2985">
          <w:rPr>
            <w:lang w:val="en-GB"/>
          </w:rPr>
          <w:t xml:space="preserve"> </w:t>
        </w:r>
      </w:hyperlink>
      <w:hyperlink r:id="rId56">
        <w:r w:rsidRPr="00CF2985">
          <w:rPr>
            <w:lang w:val="en-GB"/>
          </w:rPr>
          <w:t>Akkermans, P.M</w:t>
        </w:r>
      </w:hyperlink>
      <w:r w:rsidRPr="00CF2985">
        <w:rPr>
          <w:lang w:val="en-GB"/>
        </w:rPr>
        <w:t>.,</w:t>
      </w:r>
      <w:hyperlink r:id="rId57">
        <w:r w:rsidRPr="00CF2985">
          <w:rPr>
            <w:lang w:val="en-GB"/>
          </w:rPr>
          <w:t xml:space="preserve"> </w:t>
        </w:r>
      </w:hyperlink>
      <w:hyperlink r:id="rId58">
        <w:r w:rsidRPr="00CF2985">
          <w:rPr>
            <w:lang w:val="en-GB"/>
          </w:rPr>
          <w:t>Bailey, D</w:t>
        </w:r>
      </w:hyperlink>
      <w:r w:rsidRPr="00CF2985">
        <w:rPr>
          <w:lang w:val="en-GB"/>
        </w:rPr>
        <w:t>.,</w:t>
      </w:r>
      <w:hyperlink r:id="rId59">
        <w:r w:rsidRPr="00CF2985">
          <w:rPr>
            <w:lang w:val="en-GB"/>
          </w:rPr>
          <w:t xml:space="preserve"> </w:t>
        </w:r>
      </w:hyperlink>
      <w:hyperlink r:id="rId60">
        <w:r w:rsidRPr="00CF2985">
          <w:rPr>
            <w:lang w:val="en-GB"/>
          </w:rPr>
          <w:t>Andeescu, R.R</w:t>
        </w:r>
      </w:hyperlink>
      <w:r w:rsidRPr="00CF2985">
        <w:rPr>
          <w:lang w:val="en-GB"/>
        </w:rPr>
        <w:t>.,</w:t>
      </w:r>
      <w:hyperlink r:id="rId61">
        <w:r w:rsidRPr="00CF2985">
          <w:rPr>
            <w:lang w:val="en-GB"/>
          </w:rPr>
          <w:t xml:space="preserve"> </w:t>
        </w:r>
      </w:hyperlink>
      <w:hyperlink r:id="rId62">
        <w:r w:rsidRPr="00CF2985">
          <w:rPr>
            <w:lang w:val="en-GB"/>
          </w:rPr>
          <w:t>Campbell, S</w:t>
        </w:r>
      </w:hyperlink>
      <w:r w:rsidRPr="00CF2985">
        <w:rPr>
          <w:lang w:val="en-GB"/>
        </w:rPr>
        <w:t>.,</w:t>
      </w:r>
      <w:hyperlink r:id="rId63">
        <w:r w:rsidRPr="00CF2985">
          <w:rPr>
            <w:lang w:val="en-GB"/>
          </w:rPr>
          <w:t xml:space="preserve"> </w:t>
        </w:r>
      </w:hyperlink>
      <w:hyperlink r:id="rId64">
        <w:r w:rsidRPr="00CF2985">
          <w:rPr>
            <w:lang w:val="en-GB"/>
          </w:rPr>
          <w:t>Farid, S</w:t>
        </w:r>
      </w:hyperlink>
      <w:r w:rsidRPr="00CF2985">
        <w:rPr>
          <w:lang w:val="en-GB"/>
        </w:rPr>
        <w:t>.,</w:t>
      </w:r>
      <w:hyperlink r:id="rId65">
        <w:r w:rsidRPr="00CF2985">
          <w:rPr>
            <w:lang w:val="en-GB"/>
          </w:rPr>
          <w:t xml:space="preserve"> </w:t>
        </w:r>
      </w:hyperlink>
      <w:hyperlink r:id="rId66">
        <w:r w:rsidRPr="00CF2985">
          <w:rPr>
            <w:lang w:val="en-GB"/>
          </w:rPr>
          <w:t>Hodder, I</w:t>
        </w:r>
      </w:hyperlink>
      <w:r w:rsidRPr="00CF2985">
        <w:rPr>
          <w:lang w:val="en-GB"/>
        </w:rPr>
        <w:t>.,</w:t>
      </w:r>
      <w:hyperlink r:id="rId67">
        <w:r w:rsidRPr="00CF2985">
          <w:rPr>
            <w:lang w:val="en-GB"/>
          </w:rPr>
          <w:t xml:space="preserve"> </w:t>
        </w:r>
      </w:hyperlink>
      <w:hyperlink r:id="rId68">
        <w:r w:rsidRPr="00CF2985">
          <w:rPr>
            <w:lang w:val="en-GB"/>
          </w:rPr>
          <w:t>Yalman, N</w:t>
        </w:r>
      </w:hyperlink>
      <w:r w:rsidRPr="00CF2985">
        <w:rPr>
          <w:lang w:val="en-GB"/>
        </w:rPr>
        <w:t>.,</w:t>
      </w:r>
      <w:hyperlink r:id="rId69">
        <w:r w:rsidRPr="00CF2985">
          <w:rPr>
            <w:lang w:val="en-GB"/>
          </w:rPr>
          <w:t xml:space="preserve"> </w:t>
        </w:r>
      </w:hyperlink>
      <w:hyperlink r:id="rId70">
        <w:r w:rsidRPr="00CF2985">
          <w:rPr>
            <w:lang w:val="en-GB"/>
          </w:rPr>
          <w:t>Ozbaşaran, M</w:t>
        </w:r>
      </w:hyperlink>
      <w:r w:rsidRPr="00CF2985">
        <w:rPr>
          <w:lang w:val="en-GB"/>
        </w:rPr>
        <w:t>.,</w:t>
      </w:r>
      <w:hyperlink r:id="rId71">
        <w:r w:rsidRPr="00CF2985">
          <w:rPr>
            <w:lang w:val="en-GB"/>
          </w:rPr>
          <w:t xml:space="preserve"> </w:t>
        </w:r>
      </w:hyperlink>
      <w:hyperlink r:id="rId72">
        <w:r w:rsidRPr="00CF2985">
          <w:rPr>
            <w:lang w:val="en-GB"/>
          </w:rPr>
          <w:t>Biçakci, E</w:t>
        </w:r>
      </w:hyperlink>
      <w:r w:rsidRPr="00CF2985">
        <w:rPr>
          <w:lang w:val="en-GB"/>
        </w:rPr>
        <w:t>.,</w:t>
      </w:r>
      <w:hyperlink r:id="rId73">
        <w:r w:rsidRPr="00CF2985">
          <w:rPr>
            <w:lang w:val="en-GB"/>
          </w:rPr>
          <w:t xml:space="preserve"> </w:t>
        </w:r>
      </w:hyperlink>
      <w:hyperlink r:id="rId74">
        <w:r w:rsidRPr="00CF2985">
          <w:rPr>
            <w:lang w:val="en-GB"/>
          </w:rPr>
          <w:t>Garfinkel, Y</w:t>
        </w:r>
      </w:hyperlink>
      <w:r w:rsidRPr="00CF2985">
        <w:rPr>
          <w:lang w:val="en-GB"/>
        </w:rPr>
        <w:t>.,</w:t>
      </w:r>
      <w:hyperlink r:id="rId75">
        <w:r w:rsidRPr="00CF2985">
          <w:rPr>
            <w:lang w:val="en-GB"/>
          </w:rPr>
          <w:t xml:space="preserve"> </w:t>
        </w:r>
      </w:hyperlink>
      <w:hyperlink r:id="rId76">
        <w:r w:rsidRPr="00CF2985">
          <w:rPr>
            <w:lang w:val="en-GB"/>
          </w:rPr>
          <w:t>Levy, T</w:t>
        </w:r>
      </w:hyperlink>
      <w:r w:rsidRPr="00CF2985">
        <w:rPr>
          <w:lang w:val="en-GB"/>
        </w:rPr>
        <w:t>.,</w:t>
      </w:r>
      <w:hyperlink r:id="rId77">
        <w:r w:rsidRPr="00CF2985">
          <w:rPr>
            <w:lang w:val="en-GB"/>
          </w:rPr>
          <w:t xml:space="preserve"> </w:t>
        </w:r>
      </w:hyperlink>
      <w:hyperlink r:id="rId78">
        <w:r w:rsidRPr="00CF2985">
          <w:rPr>
            <w:lang w:val="en-GB"/>
          </w:rPr>
          <w:t>Burton, M.M</w:t>
        </w:r>
      </w:hyperlink>
      <w:r w:rsidRPr="00CF2985">
        <w:rPr>
          <w:lang w:val="en-GB"/>
        </w:rPr>
        <w:t>.,2008b. Earliest date for milk use in the Near East and southeastern Europe linked to cattle herding. Nature 455, 528–531.</w:t>
      </w:r>
    </w:p>
    <w:p w14:paraId="1527DD8B" w14:textId="77777777" w:rsidR="004F1A38" w:rsidRPr="00CF2985" w:rsidRDefault="00324B02" w:rsidP="00DF1416">
      <w:pPr>
        <w:spacing w:before="120" w:after="120"/>
        <w:ind w:left="420" w:hanging="420"/>
        <w:rPr>
          <w:lang w:val="en-GB"/>
        </w:rPr>
      </w:pPr>
      <w:hyperlink r:id="rId79">
        <w:r w:rsidR="00615E39" w:rsidRPr="00CF2985">
          <w:rPr>
            <w:lang w:val="en-GB"/>
          </w:rPr>
          <w:t>Gibbs, K., 2015. Pottery invention and innovation in East Asia and the Near East. Cambridge Archaeological Journal 25, 339–351.</w:t>
        </w:r>
      </w:hyperlink>
    </w:p>
    <w:p w14:paraId="356ADCBD" w14:textId="77777777" w:rsidR="004F1A38" w:rsidRPr="00CF2985" w:rsidRDefault="00615E39" w:rsidP="00DF1416">
      <w:pPr>
        <w:spacing w:before="120" w:after="120"/>
        <w:ind w:left="420" w:hanging="420"/>
        <w:rPr>
          <w:lang w:val="en-GB"/>
        </w:rPr>
      </w:pPr>
      <w:r w:rsidRPr="00CF2985">
        <w:rPr>
          <w:lang w:val="en-GB"/>
        </w:rPr>
        <w:t>Gibbs, K., Jordan, P., 2013. Bridging the Boreal Forest: Siberian Archaeology and the Emergence of Pottery among Prehistoric Hunter-Gatherers of Northern Eurasia. Sibirica 12, 1–38. doi:10.3167/sib.2013.120101</w:t>
      </w:r>
    </w:p>
    <w:p w14:paraId="5FA30953" w14:textId="77777777" w:rsidR="004F1A38" w:rsidRPr="00CF2985" w:rsidRDefault="00324B02" w:rsidP="00DF1416">
      <w:pPr>
        <w:spacing w:before="120" w:after="120"/>
        <w:ind w:left="420" w:hanging="420"/>
        <w:rPr>
          <w:lang w:val="en-GB"/>
        </w:rPr>
      </w:pPr>
      <w:hyperlink r:id="rId80">
        <w:r w:rsidR="00615E39" w:rsidRPr="00CF2985">
          <w:rPr>
            <w:lang w:val="en-GB"/>
          </w:rPr>
          <w:t>Gibbs, K., Jordan, P., 2013. Bridging the Boreal forest: Siberian archaeology and the emergence of pottery among prehistoric hunter-gatherers of northern Eurasia. Sibirica 12, 1–38.</w:t>
        </w:r>
      </w:hyperlink>
    </w:p>
    <w:p w14:paraId="0CA9A267" w14:textId="77777777" w:rsidR="004F1A38" w:rsidRPr="00CF2985" w:rsidRDefault="00615E39" w:rsidP="00DF1416">
      <w:pPr>
        <w:spacing w:before="120" w:after="120"/>
        <w:ind w:left="420" w:hanging="420"/>
        <w:rPr>
          <w:lang w:val="en-GB"/>
        </w:rPr>
      </w:pPr>
      <w:r w:rsidRPr="00CF2985">
        <w:rPr>
          <w:lang w:val="en-GB"/>
        </w:rPr>
        <w:t>Haaland, R., 2009. Aquatic resource utilization and the emergence of pottery during the Late Palaeolithic and Mesolithic. A Global perspective From the Nile to China. In: Oestigaard T. (Ed.), Water, Culture and Identity: Comparing Past and Present Traditions in the Nile Basin Region. BRIC Press, Bergen, pp. 213–235.</w:t>
      </w:r>
    </w:p>
    <w:p w14:paraId="62C7F673" w14:textId="77777777" w:rsidR="004F1A38" w:rsidRPr="00CF2985" w:rsidRDefault="00615E39" w:rsidP="00DF1416">
      <w:pPr>
        <w:spacing w:before="120" w:after="120"/>
        <w:ind w:left="420" w:hanging="420"/>
        <w:rPr>
          <w:lang w:val="en-GB"/>
        </w:rPr>
      </w:pPr>
      <w:r w:rsidRPr="00CF2985">
        <w:rPr>
          <w:lang w:val="en-GB"/>
        </w:rPr>
        <w:t>Hansel, F.A., Copley, M.S., Madureira, L.A.S., Evershed, R.P., 2004. Thermally produced ω-(o-alkylphenyl)alkanoic acids provide evidence for the processing of marine products in archaeological pottery vessels. Tetrahedron Letters 45, 2999–3002.</w:t>
      </w:r>
    </w:p>
    <w:p w14:paraId="2C4679FD" w14:textId="77777777" w:rsidR="004F1A38" w:rsidRPr="00CF2985" w:rsidRDefault="00615E39" w:rsidP="00DF1416">
      <w:pPr>
        <w:spacing w:before="120" w:after="120"/>
        <w:ind w:left="420" w:hanging="420"/>
        <w:rPr>
          <w:lang w:val="en-GB"/>
        </w:rPr>
      </w:pPr>
      <w:r w:rsidRPr="00CF2985">
        <w:rPr>
          <w:lang w:val="en-GB"/>
        </w:rPr>
        <w:t>Heron, C., Andersen, S., Fischer, A., Glykou, A., Hartz, S., Saul, H., Steele, V., Craig, O., 2013. Illuminating the Late Mesolithic: residue analysis of “blubber” lamps from Northern Europe. Antiquity 87, 178–188.</w:t>
      </w:r>
    </w:p>
    <w:p w14:paraId="26C29B14" w14:textId="77777777" w:rsidR="004F1A38" w:rsidRPr="00CF2985" w:rsidRDefault="00324B02" w:rsidP="00DF1416">
      <w:pPr>
        <w:spacing w:before="120" w:after="120"/>
        <w:ind w:left="420" w:hanging="420"/>
        <w:rPr>
          <w:lang w:val="en-GB"/>
        </w:rPr>
      </w:pPr>
      <w:hyperlink r:id="rId81">
        <w:r w:rsidR="00615E39" w:rsidRPr="00CF2985">
          <w:rPr>
            <w:lang w:val="en-GB"/>
          </w:rPr>
          <w:t>Heron, C., Craig, O.E., 2015. Aquatic Resources in foodcrusts: Identification and implication. Radiocarbon 57, 707–719. doi:</w:t>
        </w:r>
      </w:hyperlink>
      <w:hyperlink r:id="rId82">
        <w:r w:rsidR="00615E39" w:rsidRPr="00CF2985">
          <w:rPr>
            <w:lang w:val="en-GB"/>
          </w:rPr>
          <w:t>10.2458/azu_rc.57.18454</w:t>
        </w:r>
      </w:hyperlink>
    </w:p>
    <w:p w14:paraId="12C422A3" w14:textId="77777777" w:rsidR="004F1A38" w:rsidRPr="00CF2985" w:rsidRDefault="00615E39" w:rsidP="00DF1416">
      <w:pPr>
        <w:spacing w:before="120" w:after="120"/>
        <w:ind w:left="420" w:hanging="420"/>
        <w:rPr>
          <w:lang w:val="en-GB"/>
        </w:rPr>
      </w:pPr>
      <w:r w:rsidRPr="00CF2985">
        <w:rPr>
          <w:lang w:val="en-GB"/>
        </w:rPr>
        <w:t>Heron, C., Craig, O.E., Luquin, A., Steele, V.J., Thompson, A., Piličiauskas, G., 2015. Cooking fish and drinking milk? Patterns in pottery use in the southeastern Baltic, 3300–2400 cal BC. Journal of Archaeological Science 63, 33–43. doi:10.1016/j.jas.2015.08.002</w:t>
      </w:r>
    </w:p>
    <w:p w14:paraId="6484C70D" w14:textId="633AA832" w:rsidR="00675421" w:rsidRPr="00CF2985" w:rsidRDefault="00BA459B" w:rsidP="00313DBE">
      <w:pPr>
        <w:ind w:left="426" w:hanging="426"/>
        <w:rPr>
          <w:lang w:val="en-GB"/>
        </w:rPr>
      </w:pPr>
      <w:r>
        <w:rPr>
          <w:lang w:val="en-GB"/>
        </w:rPr>
        <w:t xml:space="preserve">Isaksson, S., </w:t>
      </w:r>
      <w:r w:rsidR="00675421" w:rsidRPr="00CF2985">
        <w:rPr>
          <w:lang w:val="en-GB"/>
        </w:rPr>
        <w:t>2009. Vessels of change. A long-term perspective on prehistoric pottery-use in southern and eastern middle Sweden based on lipid residue analyses. Current S</w:t>
      </w:r>
      <w:r w:rsidR="00313DBE">
        <w:rPr>
          <w:lang w:val="en-GB"/>
        </w:rPr>
        <w:t>wedish Archaeology 17. 131–149.</w:t>
      </w:r>
    </w:p>
    <w:p w14:paraId="54D53D53" w14:textId="77777777" w:rsidR="004F1A38" w:rsidRPr="00CF2985" w:rsidRDefault="00324B02" w:rsidP="00DF1416">
      <w:pPr>
        <w:spacing w:before="120" w:after="120"/>
        <w:ind w:left="420" w:hanging="420"/>
        <w:rPr>
          <w:lang w:val="en-GB"/>
        </w:rPr>
      </w:pPr>
      <w:hyperlink r:id="rId83">
        <w:r w:rsidR="00615E39" w:rsidRPr="00CF2985">
          <w:rPr>
            <w:lang w:val="en-GB"/>
          </w:rPr>
          <w:t>Isern, N., Fort, J., 2012. Modelling the effect of Mesolithic populations on the slowdown of the Neolithic transition. Journal of Archaeological Science 39, 3671–3676.</w:t>
        </w:r>
      </w:hyperlink>
    </w:p>
    <w:p w14:paraId="139E7FCF" w14:textId="77777777" w:rsidR="004F1A38" w:rsidRPr="00CF2985" w:rsidRDefault="00615E39" w:rsidP="00DF1416">
      <w:pPr>
        <w:spacing w:before="120" w:after="120"/>
        <w:ind w:left="420" w:hanging="420"/>
        <w:rPr>
          <w:lang w:val="en-GB"/>
        </w:rPr>
      </w:pPr>
      <w:r w:rsidRPr="00CF2985">
        <w:rPr>
          <w:lang w:val="en-GB"/>
        </w:rPr>
        <w:t>Jordan, P., Zvelebil, M., 2009. Ex Oriente Lux: the prehistory of hunter gatherer ceramic dispersals. In: Jordan, P., Zvelebil, M. (Eds.), Ceramics before Farming : The Dispersal of Pottery among Prehistoric Eurasian Hunter-Gatherers. Publications of the Institute of Archaeology, University College London. Left Coast Press, Walnut Creek, Calif., pp. 33–89.</w:t>
      </w:r>
    </w:p>
    <w:p w14:paraId="4299D5D5" w14:textId="77777777" w:rsidR="004F1A38" w:rsidRPr="00CF2985" w:rsidRDefault="00615E39" w:rsidP="00DF1416">
      <w:pPr>
        <w:spacing w:before="120" w:after="120"/>
        <w:ind w:left="420" w:hanging="420"/>
        <w:rPr>
          <w:lang w:val="en-GB"/>
        </w:rPr>
      </w:pPr>
      <w:r w:rsidRPr="00CF2985">
        <w:rPr>
          <w:lang w:val="en-GB"/>
        </w:rPr>
        <w:t>Kriiska, A. Oras, E., Lõugas, L., Meadows, J., Lucquin, A., Craig. O.E., Forthcoming. Late Mesolithic Narva stage on the territory of Estonia: Pottery, settlement types and chronology. Estonian Journal of Archaeology.</w:t>
      </w:r>
    </w:p>
    <w:p w14:paraId="22AD179C" w14:textId="77777777" w:rsidR="004F1A38" w:rsidRPr="00CF2985" w:rsidRDefault="00615E39" w:rsidP="00DF1416">
      <w:pPr>
        <w:spacing w:before="120" w:after="120"/>
        <w:ind w:left="420" w:hanging="420"/>
        <w:rPr>
          <w:lang w:val="en-GB"/>
        </w:rPr>
      </w:pPr>
      <w:r w:rsidRPr="00CF2985">
        <w:rPr>
          <w:lang w:val="en-GB"/>
        </w:rPr>
        <w:t>Kriiska, A., 1996. The Neolithic pottery manufacturing technique of the lower course of the Narva River“. In: Hackens, T., Hicks, S., Lang, V., Miller, U., Saarse, L. (Eds.), Coastal Estonia: Recent Advances in Environmental and Cultural History, PACT 51. Strassbourg, Rixensart: Council of Europe, pp. 373–384.</w:t>
      </w:r>
    </w:p>
    <w:p w14:paraId="656F7D3B" w14:textId="77777777" w:rsidR="004F1A38" w:rsidRPr="00CF2985" w:rsidRDefault="00615E39" w:rsidP="00DF1416">
      <w:pPr>
        <w:spacing w:before="120" w:after="120"/>
        <w:ind w:left="420" w:hanging="420"/>
        <w:rPr>
          <w:lang w:val="en-GB"/>
        </w:rPr>
      </w:pPr>
      <w:r w:rsidRPr="00CF2985">
        <w:rPr>
          <w:lang w:val="en-GB"/>
        </w:rPr>
        <w:t>Kriiska, A., Jonuks, T., Kraas, P., 1999. Eesti muinasesemed. Tartu.</w:t>
      </w:r>
      <w:hyperlink r:id="rId84">
        <w:r w:rsidRPr="00CF2985">
          <w:rPr>
            <w:lang w:val="en-GB"/>
          </w:rPr>
          <w:t xml:space="preserve"> </w:t>
        </w:r>
      </w:hyperlink>
      <w:hyperlink r:id="rId85">
        <w:r w:rsidRPr="00CF2985">
          <w:rPr>
            <w:color w:val="1155CC"/>
            <w:u w:val="single"/>
            <w:lang w:val="en-GB"/>
          </w:rPr>
          <w:t>http://tutulus.ee/muinasesemed/</w:t>
        </w:r>
      </w:hyperlink>
      <w:r w:rsidRPr="00CF2985">
        <w:rPr>
          <w:lang w:val="en-GB"/>
        </w:rPr>
        <w:t xml:space="preserve"> (accessed 07.04.2016)</w:t>
      </w:r>
    </w:p>
    <w:p w14:paraId="01243E2B" w14:textId="77777777" w:rsidR="004F1A38" w:rsidRPr="00CF2985" w:rsidRDefault="00615E39" w:rsidP="00DF1416">
      <w:pPr>
        <w:spacing w:before="120" w:after="120"/>
        <w:ind w:left="420" w:hanging="420"/>
        <w:rPr>
          <w:lang w:val="en-GB"/>
        </w:rPr>
      </w:pPr>
      <w:r w:rsidRPr="00CF2985">
        <w:rPr>
          <w:lang w:val="en-GB"/>
        </w:rPr>
        <w:t>Kriiska, A., Roio, M., 2011. Prehistoric archaeology of wetlands in Estonia. In: Pranckėnaitė, E. (Ed.), Wetland Settlements of the Baltic: A Prehistoric Perspective. Center of Underwater Archaeology, Vilnius, pp. 55–73.</w:t>
      </w:r>
    </w:p>
    <w:p w14:paraId="6671A327" w14:textId="77777777" w:rsidR="004F1A38" w:rsidRPr="00CF2985" w:rsidRDefault="00615E39" w:rsidP="00DF1416">
      <w:pPr>
        <w:spacing w:before="120" w:after="120"/>
        <w:ind w:left="420" w:hanging="420"/>
        <w:rPr>
          <w:lang w:val="en-GB"/>
        </w:rPr>
      </w:pPr>
      <w:r w:rsidRPr="00CF2985">
        <w:rPr>
          <w:lang w:val="en-GB"/>
        </w:rPr>
        <w:t>Leskinen, S., 2003. On the dating and function of the Comb Ceramics from Maarinkunnas. Finskt Museum 1995, 5–43.</w:t>
      </w:r>
    </w:p>
    <w:p w14:paraId="308CFD77" w14:textId="77777777" w:rsidR="004F1A38" w:rsidRPr="00CF2985" w:rsidRDefault="00615E39" w:rsidP="00DF1416">
      <w:pPr>
        <w:spacing w:before="120" w:after="120"/>
        <w:ind w:left="420" w:hanging="420"/>
        <w:rPr>
          <w:lang w:val="en-GB"/>
        </w:rPr>
      </w:pPr>
      <w:r w:rsidRPr="00CF2985">
        <w:rPr>
          <w:lang w:val="en-GB"/>
        </w:rPr>
        <w:t>Lõugas, L., 1996a. Stone Age fishing strategies in Estonia. What did they depend on? Archaeofauna 5, 101–109.</w:t>
      </w:r>
    </w:p>
    <w:p w14:paraId="2BE48B8F" w14:textId="77777777" w:rsidR="004F1A38" w:rsidRPr="00CF2985" w:rsidRDefault="00615E39" w:rsidP="00DF1416">
      <w:pPr>
        <w:spacing w:before="120" w:after="120"/>
        <w:ind w:left="420" w:hanging="420"/>
        <w:rPr>
          <w:lang w:val="en-GB"/>
        </w:rPr>
      </w:pPr>
      <w:r w:rsidRPr="00CF2985">
        <w:rPr>
          <w:lang w:val="en-GB"/>
        </w:rPr>
        <w:t>Lõugas, L., 1996b. Subfossil fauna complex from Narva region. In: Hackens, T., Hicks, S., Lang, V., Miller, U., Saarse, L. (Eds.), Coastal Estonia: Recent Advances in Environmental and Cultural History, PACT 51. Strassbourg, Rixensart: Council of Europe, pp. 397–400.</w:t>
      </w:r>
    </w:p>
    <w:p w14:paraId="79CAB1CE" w14:textId="77777777" w:rsidR="004F1A38" w:rsidRPr="00CF2985" w:rsidRDefault="00324B02" w:rsidP="00DF1416">
      <w:pPr>
        <w:spacing w:before="120" w:after="120"/>
        <w:ind w:left="420" w:hanging="420"/>
        <w:rPr>
          <w:lang w:val="en-GB"/>
        </w:rPr>
      </w:pPr>
      <w:hyperlink r:id="rId86">
        <w:r w:rsidR="00615E39" w:rsidRPr="00CF2985">
          <w:rPr>
            <w:lang w:val="en-GB"/>
          </w:rPr>
          <w:t>Lucquin, A., Gibbs, K., Uchiyama, J., Saul, H., Ajimoto, M., Eley, Y., Radini, A., Heron, C.P., Shoda, S., Nishida, Y., Lundy, J., Jordan, P., Isaksson, S., Craig, O.E., 2016. Ancient lipids document continuity in the use of early hunter-gatherer pottery through 9,000 years of Japanese</w:t>
        </w:r>
        <w:r w:rsidR="00850142" w:rsidRPr="00CF2985">
          <w:rPr>
            <w:lang w:val="en-GB"/>
          </w:rPr>
          <w:t xml:space="preserve"> prehistory. Proceedings of the</w:t>
        </w:r>
        <w:r w:rsidR="00615E39" w:rsidRPr="00CF2985">
          <w:rPr>
            <w:lang w:val="en-GB"/>
          </w:rPr>
          <w:t xml:space="preserve"> National Academy of Sciences of the United States of America</w:t>
        </w:r>
      </w:hyperlink>
      <w:hyperlink r:id="rId87">
        <w:r w:rsidR="00615E39" w:rsidRPr="00CF2985">
          <w:rPr>
            <w:lang w:val="en-GB"/>
          </w:rPr>
          <w:t xml:space="preserve"> 113, 3991–3996</w:t>
        </w:r>
      </w:hyperlink>
      <w:hyperlink r:id="rId88">
        <w:r w:rsidR="00615E39" w:rsidRPr="00CF2985">
          <w:rPr>
            <w:u w:val="single"/>
            <w:lang w:val="en-GB"/>
          </w:rPr>
          <w:t>.</w:t>
        </w:r>
      </w:hyperlink>
      <w:hyperlink r:id="rId89">
        <w:r w:rsidR="00615E39" w:rsidRPr="00CF2985">
          <w:rPr>
            <w:lang w:val="en-GB"/>
          </w:rPr>
          <w:t xml:space="preserve"> doi:</w:t>
        </w:r>
      </w:hyperlink>
      <w:hyperlink r:id="rId90">
        <w:r w:rsidR="00615E39" w:rsidRPr="00CF2985">
          <w:rPr>
            <w:lang w:val="en-GB"/>
          </w:rPr>
          <w:t>10.1073/pnas.1522908113</w:t>
        </w:r>
      </w:hyperlink>
    </w:p>
    <w:p w14:paraId="70142943" w14:textId="77777777" w:rsidR="004F1A38" w:rsidRPr="00CF2985" w:rsidRDefault="00324B02" w:rsidP="00DF1416">
      <w:pPr>
        <w:spacing w:before="120" w:after="120"/>
        <w:ind w:left="420" w:hanging="420"/>
        <w:rPr>
          <w:lang w:val="en-GB"/>
        </w:rPr>
      </w:pPr>
      <w:hyperlink r:id="rId91">
        <w:r w:rsidR="00615E39" w:rsidRPr="00CF2985">
          <w:rPr>
            <w:lang w:val="en-GB"/>
          </w:rPr>
          <w:t>Meadows, J., Bērziņš, V., Legzdiņa, D., Lübke, H., Schmölcke, U., Zagorska, I., Zariņa, G., 2016. Stone-age subsistence strategies at Lake Burtnieks, Latvia. Journal of Archaeological Science: Reports. doi:</w:t>
        </w:r>
      </w:hyperlink>
      <w:hyperlink r:id="rId92">
        <w:r w:rsidR="00615E39" w:rsidRPr="00CF2985">
          <w:rPr>
            <w:lang w:val="en-GB"/>
          </w:rPr>
          <w:t>10.1016/j.jasrep.2016.03.042</w:t>
        </w:r>
      </w:hyperlink>
    </w:p>
    <w:p w14:paraId="507FF23D" w14:textId="77777777" w:rsidR="004F1A38" w:rsidRPr="00CF2985" w:rsidRDefault="00615E39" w:rsidP="00DF1416">
      <w:pPr>
        <w:spacing w:before="120" w:after="120"/>
        <w:ind w:left="420" w:hanging="420"/>
        <w:rPr>
          <w:lang w:val="en-GB"/>
        </w:rPr>
      </w:pPr>
      <w:r w:rsidRPr="00CF2985">
        <w:rPr>
          <w:lang w:val="en-GB"/>
        </w:rPr>
        <w:t>Mikšaitė, S., 2005. Production of ceramics of Narva Culture (Reconstructin based</w:t>
      </w:r>
      <w:r w:rsidR="00850142" w:rsidRPr="00CF2985">
        <w:rPr>
          <w:lang w:val="en-GB"/>
        </w:rPr>
        <w:t xml:space="preserve"> on experimental archaeology). </w:t>
      </w:r>
      <w:r w:rsidRPr="00CF2985">
        <w:rPr>
          <w:lang w:val="en-GB"/>
        </w:rPr>
        <w:t>Estonian Journal of Archaeology 9(1), 60–72.</w:t>
      </w:r>
    </w:p>
    <w:p w14:paraId="577CF496" w14:textId="77777777" w:rsidR="00A37A0F" w:rsidRPr="00CF2985" w:rsidRDefault="00615E39" w:rsidP="00A37A0F">
      <w:pPr>
        <w:spacing w:after="120"/>
        <w:ind w:left="420" w:hanging="420"/>
        <w:rPr>
          <w:lang w:val="en-GB"/>
        </w:rPr>
      </w:pPr>
      <w:r w:rsidRPr="00CF2985">
        <w:rPr>
          <w:lang w:val="en-GB"/>
        </w:rPr>
        <w:t xml:space="preserve">Modugno, F., Ribechini, E. 2009. GC/MS in the characterisation of resinous materials. In: Colombini, M.P., Modugno, F. (Eds.), </w:t>
      </w:r>
      <w:r w:rsidRPr="00847FEB">
        <w:rPr>
          <w:lang w:val="en-GB"/>
        </w:rPr>
        <w:t>Organic Mass Spectrometry in Art and Archaeology</w:t>
      </w:r>
      <w:r w:rsidRPr="00CF2985">
        <w:rPr>
          <w:lang w:val="en-GB"/>
        </w:rPr>
        <w:t xml:space="preserve">, John Wiley, Chichester, </w:t>
      </w:r>
      <w:r w:rsidR="00675421" w:rsidRPr="00CF2985">
        <w:rPr>
          <w:lang w:val="en-GB"/>
        </w:rPr>
        <w:t xml:space="preserve">pp. </w:t>
      </w:r>
      <w:r w:rsidRPr="00CF2985">
        <w:rPr>
          <w:lang w:val="en-GB"/>
        </w:rPr>
        <w:t>215–235.</w:t>
      </w:r>
    </w:p>
    <w:p w14:paraId="6FC003F1" w14:textId="77777777" w:rsidR="004F1A38" w:rsidRPr="00CF2985" w:rsidRDefault="00615E39" w:rsidP="00DF1416">
      <w:pPr>
        <w:ind w:left="420" w:hanging="420"/>
        <w:rPr>
          <w:lang w:val="en-GB"/>
        </w:rPr>
      </w:pPr>
      <w:r w:rsidRPr="00CF2985">
        <w:rPr>
          <w:lang w:val="en-GB"/>
        </w:rPr>
        <w:t>Nordqvist, K., Kriiska, A., 2015. Towards Neolithisation. The Mesolithic-Neolithic transition in the central area of the easte</w:t>
      </w:r>
      <w:r w:rsidR="00850142" w:rsidRPr="00CF2985">
        <w:rPr>
          <w:lang w:val="en-GB"/>
        </w:rPr>
        <w:t>rn part of the Baltic Sea. In: Kabaciński, J.,</w:t>
      </w:r>
      <w:r w:rsidRPr="00CF2985">
        <w:rPr>
          <w:lang w:val="en-GB"/>
        </w:rPr>
        <w:t xml:space="preserve"> Hartz, S., Raemaekers, D.C.M., Terberger, T. (Eds.), The Dąbki Site in Pomerania and the Neolithisation of the North European Lowlands (c. 5000–3000 calBC). Archaologie und Geschichte im Ostseeraum 8. Leidorf: Verlag Marie Leidorf GmbH . Rahden/Westf, pp. 537−556.</w:t>
      </w:r>
    </w:p>
    <w:p w14:paraId="34643282" w14:textId="77777777" w:rsidR="004F1A38" w:rsidRPr="00CF2985" w:rsidRDefault="00615E39" w:rsidP="00DF1416">
      <w:pPr>
        <w:spacing w:before="120" w:after="120"/>
        <w:ind w:left="420" w:hanging="420"/>
        <w:rPr>
          <w:lang w:val="en-GB"/>
        </w:rPr>
      </w:pPr>
      <w:r w:rsidRPr="00CF2985">
        <w:rPr>
          <w:lang w:val="en-GB"/>
        </w:rPr>
        <w:t>Paaver, K., 1965. = Паaвер К. Формирование териофауны и изменчивость млекопитающих Прибалтики в голоцене. Академия Наук Эстонской ССР, Тарту.</w:t>
      </w:r>
    </w:p>
    <w:p w14:paraId="02F265BE" w14:textId="77777777" w:rsidR="004F1A38" w:rsidRPr="00CF2985" w:rsidRDefault="00615E39" w:rsidP="00DF1416">
      <w:pPr>
        <w:spacing w:before="120" w:after="120"/>
        <w:ind w:left="420" w:hanging="420"/>
        <w:rPr>
          <w:lang w:val="en-GB"/>
        </w:rPr>
      </w:pPr>
      <w:r w:rsidRPr="00CF2985">
        <w:rPr>
          <w:lang w:val="en-GB"/>
        </w:rPr>
        <w:t>Paaver, T., Lõugas, L., 2003. Origin and history of the fish fauna in Estonia. In: Ojaveer, E., Pihu, E., Saat, T. (Eds.), Fishes of Estonia. Estonian Academy Publishers, Tallinn, pp. 28–46.</w:t>
      </w:r>
    </w:p>
    <w:p w14:paraId="2835EC90" w14:textId="77777777" w:rsidR="004B0841" w:rsidRPr="00CF2985" w:rsidRDefault="004B0841" w:rsidP="004B0841">
      <w:pPr>
        <w:spacing w:before="120" w:after="120"/>
        <w:ind w:left="420" w:hanging="420"/>
        <w:rPr>
          <w:lang w:val="en-GB"/>
        </w:rPr>
      </w:pPr>
      <w:r w:rsidRPr="00CF2985">
        <w:rPr>
          <w:lang w:val="en-GB"/>
        </w:rPr>
        <w:t>Papakosta, V., Smittenberg, R.H., Gibbs, K., Jordan, P., Isaksson, S., 2015. Extraction and derivatization of absorbed lipid residues from very small and very old samples of ceramic potsherds for molecular analysis by gas chromatography-mass spectrometry (GC-MS) and single compound stable carbon isotope analysis by gas chromatography-combustion-isotope ratio mass spectrometry (GC-C-IRMS). Microchemical Journal 123, 196–200.</w:t>
      </w:r>
    </w:p>
    <w:p w14:paraId="37C10F2E" w14:textId="267DAA30" w:rsidR="00675421" w:rsidRPr="00CF2985" w:rsidRDefault="00675421" w:rsidP="00313DBE">
      <w:pPr>
        <w:spacing w:before="120" w:after="120"/>
        <w:ind w:left="420" w:hanging="420"/>
        <w:jc w:val="left"/>
        <w:rPr>
          <w:lang w:val="en-GB"/>
        </w:rPr>
      </w:pPr>
      <w:r w:rsidRPr="00CF2985">
        <w:rPr>
          <w:lang w:val="en-GB"/>
        </w:rPr>
        <w:t>Papmehl-Dufay, L. 2006. Shaping an Identity. Pitted Ware pottery and potters in southeast Sweden. Theses and Papers in Scientific Archaeology 7. The Archaeological Research Laboratory, Stockholm Univeristy, Stockholm</w:t>
      </w:r>
      <w:r w:rsidR="00313DBE">
        <w:rPr>
          <w:lang w:val="en-GB"/>
        </w:rPr>
        <w:t xml:space="preserve">. </w:t>
      </w:r>
    </w:p>
    <w:p w14:paraId="04703167" w14:textId="77777777" w:rsidR="004F1A38" w:rsidRPr="00CF2985" w:rsidRDefault="00615E39" w:rsidP="00DF1416">
      <w:pPr>
        <w:spacing w:before="120" w:after="120"/>
        <w:ind w:left="420" w:hanging="420"/>
        <w:rPr>
          <w:lang w:val="en-GB"/>
        </w:rPr>
      </w:pPr>
      <w:r w:rsidRPr="00CF2985">
        <w:rPr>
          <w:lang w:val="en-GB"/>
        </w:rPr>
        <w:t>Pesonen, P., Leskinen, S., 2009. Hunter–gatherer ceramics in Stone Age Finland. In: Jordan, P., Zvelebil, M. (Eds.), Ceramics before Farming : The Dispersal of Pottery among Prehistoric Eurasian Hunter-Gatherers. Publications of the Institute of Archaeology, University College London. Left Coast Press, Walnut Creek, Calif., pp. 299–318.</w:t>
      </w:r>
    </w:p>
    <w:p w14:paraId="5F240027" w14:textId="77777777" w:rsidR="004F1A38" w:rsidRPr="00CF2985" w:rsidRDefault="00615E39" w:rsidP="00DF1416">
      <w:pPr>
        <w:spacing w:before="120" w:after="120"/>
        <w:ind w:left="420" w:hanging="420"/>
        <w:rPr>
          <w:lang w:val="en-GB"/>
        </w:rPr>
      </w:pPr>
      <w:r w:rsidRPr="00CF2985">
        <w:rPr>
          <w:lang w:val="en-GB"/>
        </w:rPr>
        <w:t>Philippsen, B., Meadows, J., 2014. Inland Ertebølle Culture: the importance of aquatic resources and the freshwater reservoir effect in radiocarbon dates from pottery food crusts. Internet Archaeology. doi:10.11141/ia.37.9</w:t>
      </w:r>
    </w:p>
    <w:p w14:paraId="0326B9CE" w14:textId="77777777" w:rsidR="004F1A38" w:rsidRPr="00CF2985" w:rsidRDefault="00615E39" w:rsidP="00DF1416">
      <w:pPr>
        <w:spacing w:before="120" w:after="120"/>
        <w:ind w:left="420" w:hanging="420"/>
        <w:rPr>
          <w:lang w:val="en-GB"/>
        </w:rPr>
      </w:pPr>
      <w:r w:rsidRPr="00CF2985">
        <w:rPr>
          <w:lang w:val="en-GB"/>
        </w:rPr>
        <w:t>Piezonka, H., 2012. Stone Age hunter-gatherer ceramics of North-Eastern Europe: new insights into the dispersal of an essential innovation. Documenta Praehistorica 39, 23–51.</w:t>
      </w:r>
    </w:p>
    <w:p w14:paraId="7FB2BAF2" w14:textId="77777777" w:rsidR="004F1A38" w:rsidRPr="00CF2985" w:rsidRDefault="00615E39" w:rsidP="00DF1416">
      <w:pPr>
        <w:spacing w:before="120" w:after="120"/>
        <w:ind w:left="420" w:hanging="420"/>
        <w:rPr>
          <w:lang w:val="en-GB"/>
        </w:rPr>
      </w:pPr>
      <w:r w:rsidRPr="00CF2985">
        <w:rPr>
          <w:lang w:val="en-GB"/>
        </w:rPr>
        <w:t>Piezonka, H., 2015. Jäger, Fischer, Töpfer. Wildbeutergruppen mit früher Keramik in Nordosteuropa im 6. Und 5. Jahrtausend v.Chr. Archäologie in Eurasien, 30. Hebert-Verlag, Bonn.</w:t>
      </w:r>
    </w:p>
    <w:p w14:paraId="06BACF14" w14:textId="77777777" w:rsidR="004F1A38" w:rsidRPr="00CF2985" w:rsidRDefault="00615E39" w:rsidP="00DF1416">
      <w:pPr>
        <w:spacing w:before="120" w:after="120"/>
        <w:ind w:left="420" w:hanging="420"/>
        <w:rPr>
          <w:lang w:val="en-GB"/>
        </w:rPr>
      </w:pPr>
      <w:r w:rsidRPr="00CF2985">
        <w:rPr>
          <w:lang w:val="en-GB"/>
        </w:rPr>
        <w:t>Pollard, A.M., Heron, C., 2008. Archaeological chemistry. 2nd edition. Royal Society of Chemistry, Cambridge.</w:t>
      </w:r>
    </w:p>
    <w:p w14:paraId="47A6F1BB" w14:textId="77777777" w:rsidR="004F1A38" w:rsidRPr="00CF2985" w:rsidRDefault="00615E39" w:rsidP="00DF1416">
      <w:pPr>
        <w:spacing w:before="120"/>
        <w:ind w:left="420" w:right="960" w:hanging="420"/>
        <w:rPr>
          <w:lang w:val="en-GB"/>
        </w:rPr>
      </w:pPr>
      <w:r w:rsidRPr="00CF2985">
        <w:rPr>
          <w:lang w:val="en-GB"/>
        </w:rPr>
        <w:t>Rosentau, A., Muru, M., Kriiska, A., Subetto, D., Vassiljev, J., Hang, T., Gerasimov, D., Nordqvist, K., Ludikova, A., Lõugas, L., Raig, H., Kihno, K., Aunap, R., Letyka, N., 2013. Stone Age settlement and Holocene shore displacement in the Narva-Luga Klint Bay area, eastern Gulf of Finland. Boreas 42, 912–931.</w:t>
      </w:r>
    </w:p>
    <w:p w14:paraId="6A946700" w14:textId="77777777" w:rsidR="004F1A38" w:rsidRPr="00CF2985" w:rsidRDefault="00324B02" w:rsidP="00DF1416">
      <w:pPr>
        <w:spacing w:before="120" w:after="120"/>
        <w:ind w:left="420" w:hanging="420"/>
        <w:rPr>
          <w:lang w:val="en-GB"/>
        </w:rPr>
      </w:pPr>
      <w:hyperlink r:id="rId93">
        <w:r w:rsidR="00615E39" w:rsidRPr="00CF2985">
          <w:rPr>
            <w:lang w:val="en-GB"/>
          </w:rPr>
          <w:t>Silva, F., Steele, J., Gibbs, K., Jordan, P., 2014. Modeling spatial innovation diffusion from radiocarbon dates and regression residuals: The case of early old world pottery. Radiocarbon 56, 723–732.</w:t>
        </w:r>
      </w:hyperlink>
    </w:p>
    <w:p w14:paraId="5A40638F" w14:textId="77777777" w:rsidR="004D7D7D" w:rsidRPr="00CF2985" w:rsidRDefault="004D7D7D" w:rsidP="00313DBE">
      <w:pPr>
        <w:widowControl w:val="0"/>
        <w:autoSpaceDE w:val="0"/>
        <w:autoSpaceDN w:val="0"/>
        <w:adjustRightInd w:val="0"/>
        <w:spacing w:line="240" w:lineRule="auto"/>
        <w:ind w:left="720" w:hanging="720"/>
        <w:rPr>
          <w:lang w:val="en-GB"/>
        </w:rPr>
      </w:pPr>
      <w:r w:rsidRPr="00CF2985">
        <w:rPr>
          <w:lang w:val="en-GB"/>
        </w:rPr>
        <w:t>Simoneit, B.R.T., Rogge, W.F., Lang, Q., Jaffé, R., 2000. Molecular characterization of smoke from campfire burning of pine wood (Pinus elliottii). Chemosphere - Global Change Science 2, 107–122.</w:t>
      </w:r>
    </w:p>
    <w:p w14:paraId="733848C0" w14:textId="77777777" w:rsidR="004F1A38" w:rsidRPr="00CF2985" w:rsidRDefault="00324B02" w:rsidP="00DF1416">
      <w:pPr>
        <w:spacing w:before="120" w:after="120"/>
        <w:ind w:left="420" w:hanging="420"/>
        <w:rPr>
          <w:lang w:val="en-GB"/>
        </w:rPr>
      </w:pPr>
      <w:hyperlink r:id="rId94">
        <w:r w:rsidR="00850142" w:rsidRPr="00CF2985">
          <w:rPr>
            <w:lang w:val="en-GB"/>
          </w:rPr>
          <w:t xml:space="preserve">Seppä, H., </w:t>
        </w:r>
        <w:r w:rsidR="00615E39" w:rsidRPr="00CF2985">
          <w:rPr>
            <w:lang w:val="en-GB"/>
          </w:rPr>
          <w:t xml:space="preserve">Bjune A. E., Telford, R. J., Birks, H. J. B., Veski. S., 2009. Last nine-thousand years of temperature variability in Northern Europe. </w:t>
        </w:r>
      </w:hyperlink>
      <w:hyperlink r:id="rId95">
        <w:r w:rsidR="00615E39" w:rsidRPr="00CF2985">
          <w:rPr>
            <w:sz w:val="25"/>
            <w:szCs w:val="25"/>
            <w:lang w:val="en-GB"/>
          </w:rPr>
          <w:t>Climate of the Past 5, 523–535.</w:t>
        </w:r>
      </w:hyperlink>
      <w:hyperlink r:id="rId96"/>
    </w:p>
    <w:p w14:paraId="514BEBDB" w14:textId="77777777" w:rsidR="004F1A38" w:rsidRPr="00CF2985" w:rsidRDefault="00615E39" w:rsidP="00DF1416">
      <w:pPr>
        <w:spacing w:before="120" w:after="120"/>
        <w:ind w:left="420" w:hanging="420"/>
        <w:rPr>
          <w:lang w:val="en-GB"/>
        </w:rPr>
      </w:pPr>
      <w:r w:rsidRPr="00CF2985">
        <w:rPr>
          <w:lang w:val="en-GB"/>
        </w:rPr>
        <w:t>Taché, K., Craig, O.E., 2015. Cooperative harvesting of aquatic resources triggered the beginning of pottery production in Northeastern North America. Antiquity 89, 177–190.</w:t>
      </w:r>
    </w:p>
    <w:p w14:paraId="68A3FF02" w14:textId="77777777" w:rsidR="004F1A38" w:rsidRPr="00CF2985" w:rsidRDefault="00615E39" w:rsidP="00DF1416">
      <w:pPr>
        <w:spacing w:before="120" w:after="120"/>
        <w:ind w:left="420" w:hanging="420"/>
        <w:rPr>
          <w:lang w:val="en-GB"/>
        </w:rPr>
      </w:pPr>
      <w:r w:rsidRPr="00CF2985">
        <w:rPr>
          <w:lang w:val="en-GB"/>
        </w:rPr>
        <w:t>Tõrv, M. 2016. Persistent Practices. A Multi-Disciplinary Study of Hunter-Gatherer Mortuary Remains from c. 6500–2600 cal. BC, Estonia. Dissertationes archaeologiae Universitatis Tartuensis, 5. Tartu University Press, Tartu.</w:t>
      </w:r>
    </w:p>
    <w:p w14:paraId="767AD062" w14:textId="77777777" w:rsidR="004F1A38" w:rsidRPr="00CF2985" w:rsidRDefault="00615E39" w:rsidP="00DF1416">
      <w:pPr>
        <w:spacing w:before="120" w:after="120"/>
        <w:ind w:left="420" w:hanging="420"/>
        <w:rPr>
          <w:lang w:val="en-GB"/>
        </w:rPr>
      </w:pPr>
      <w:r w:rsidRPr="00CF2985">
        <w:rPr>
          <w:lang w:val="en-GB"/>
        </w:rPr>
        <w:t>Tõrv, M., Eriksson, G., Forthcoming. Cemetery, meeting place or settlement? Stable isotope analysis of the late hunter-gatherers from Tamula, SE Estonia. Journal of Archaeological Science: Reports, submitted.</w:t>
      </w:r>
    </w:p>
    <w:p w14:paraId="60992594" w14:textId="77777777" w:rsidR="004F1A38" w:rsidRPr="00CF2985" w:rsidRDefault="00615E39" w:rsidP="00DF1416">
      <w:pPr>
        <w:spacing w:before="120" w:after="120"/>
        <w:ind w:left="420" w:hanging="420"/>
        <w:rPr>
          <w:lang w:val="en-GB"/>
        </w:rPr>
      </w:pPr>
      <w:r w:rsidRPr="00CF2985">
        <w:rPr>
          <w:lang w:val="en-GB"/>
        </w:rPr>
        <w:t xml:space="preserve"> </w:t>
      </w:r>
    </w:p>
    <w:p w14:paraId="6E4380D8" w14:textId="77777777" w:rsidR="004F1A38" w:rsidRPr="00CF2985" w:rsidRDefault="004F1A38" w:rsidP="00DF1416">
      <w:pPr>
        <w:widowControl w:val="0"/>
        <w:ind w:hanging="420"/>
        <w:jc w:val="left"/>
        <w:rPr>
          <w:lang w:val="en-GB"/>
        </w:rPr>
      </w:pPr>
    </w:p>
    <w:p w14:paraId="2EB2D5C2" w14:textId="77777777" w:rsidR="004F1A38" w:rsidRPr="00CF2985" w:rsidRDefault="004F1A38">
      <w:pPr>
        <w:widowControl w:val="0"/>
        <w:jc w:val="left"/>
        <w:rPr>
          <w:lang w:val="en-GB"/>
        </w:rPr>
      </w:pPr>
    </w:p>
    <w:p w14:paraId="1DBF2D8C" w14:textId="77777777" w:rsidR="004F1A38" w:rsidRPr="00CF2985" w:rsidRDefault="00615E39">
      <w:pPr>
        <w:rPr>
          <w:lang w:val="en-GB"/>
        </w:rPr>
      </w:pPr>
      <w:r w:rsidRPr="00CF2985">
        <w:rPr>
          <w:lang w:val="en-GB"/>
        </w:rPr>
        <w:br w:type="page"/>
      </w:r>
    </w:p>
    <w:p w14:paraId="4A4324EE" w14:textId="77777777" w:rsidR="004F1A38" w:rsidRPr="00CF2985" w:rsidRDefault="00615E39">
      <w:pPr>
        <w:widowControl w:val="0"/>
        <w:jc w:val="left"/>
        <w:rPr>
          <w:lang w:val="en-GB"/>
        </w:rPr>
      </w:pPr>
      <w:r w:rsidRPr="00CF2985">
        <w:rPr>
          <w:lang w:val="en-GB"/>
        </w:rPr>
        <w:t>Supplementary Data: Appendix A</w:t>
      </w:r>
    </w:p>
    <w:p w14:paraId="0CECACD5" w14:textId="05F0C8E5" w:rsidR="00845F31" w:rsidRPr="00CF2985" w:rsidRDefault="00615E39" w:rsidP="008E796B">
      <w:pPr>
        <w:widowControl w:val="0"/>
        <w:rPr>
          <w:rFonts w:eastAsia="Calibri"/>
          <w:lang w:val="en-GB"/>
        </w:rPr>
        <w:sectPr w:rsidR="00845F31" w:rsidRPr="00CF2985" w:rsidSect="00CD39C4">
          <w:footerReference w:type="default" r:id="rId97"/>
          <w:pgSz w:w="11906" w:h="16838"/>
          <w:pgMar w:top="1440" w:right="1440" w:bottom="1440" w:left="1440" w:header="708" w:footer="708" w:gutter="0"/>
          <w:lnNumType w:countBy="1" w:restart="continuous"/>
          <w:pgNumType w:start="1"/>
          <w:cols w:space="708"/>
          <w:docGrid w:linePitch="326"/>
        </w:sectPr>
      </w:pPr>
      <w:r w:rsidRPr="00CF2985">
        <w:rPr>
          <w:rFonts w:eastAsia="Calibri"/>
          <w:b/>
          <w:lang w:val="en-GB"/>
        </w:rPr>
        <w:t xml:space="preserve">Table A.1. List of samples analysed with GC-MS, GC-C-IRMS and EA-IRMS (bulk isotope of charred deposits). </w:t>
      </w:r>
      <w:r w:rsidRPr="00CF2985">
        <w:rPr>
          <w:rFonts w:eastAsia="Calibri"/>
          <w:lang w:val="en-GB"/>
        </w:rPr>
        <w:t>C –</w:t>
      </w:r>
      <w:r w:rsidRPr="00CF2985">
        <w:rPr>
          <w:lang w:val="en-GB"/>
        </w:rPr>
        <w:t xml:space="preserve"> C</w:t>
      </w:r>
      <w:r w:rsidRPr="00CF2985">
        <w:rPr>
          <w:rFonts w:eastAsia="Calibri"/>
          <w:lang w:val="en-GB"/>
        </w:rPr>
        <w:t>eramic sherd sample,</w:t>
      </w:r>
      <w:r w:rsidRPr="00CF2985">
        <w:rPr>
          <w:rFonts w:eastAsia="Calibri"/>
          <w:b/>
          <w:lang w:val="en-GB"/>
        </w:rPr>
        <w:t xml:space="preserve"> </w:t>
      </w:r>
      <w:r w:rsidRPr="00CF2985">
        <w:rPr>
          <w:rFonts w:eastAsia="Calibri"/>
          <w:lang w:val="en-GB"/>
        </w:rPr>
        <w:t>F – Food crust;</w:t>
      </w:r>
      <w:r w:rsidRPr="00CF2985">
        <w:rPr>
          <w:rFonts w:eastAsia="Calibri"/>
          <w:b/>
          <w:lang w:val="en-GB"/>
        </w:rPr>
        <w:t xml:space="preserve"> </w:t>
      </w:r>
      <w:r w:rsidRPr="00CF2985">
        <w:rPr>
          <w:rFonts w:eastAsia="Calibri"/>
          <w:lang w:val="en-GB"/>
        </w:rPr>
        <w:t>i – Internal surface; e – External surface; TÜ/AK – Archaeology collections of the Department of Archaeology, University of Tartu; AI – Archaeology Research Collections of the Tallinn University; PäMu – Archaeology collections of Pärnu Museum. (Cn:x) - carboxilic acids with carbon length n and number of unsaturations x, SFA – saturated fatty acid, UFA – unsaturated fatty acids, DC - α,ω-dicarboxylic acids, ALK – alkanes, APAA - ω-(o-alkylphenyl) alkanoic acids, TMTD - 4,8,12-trimethyltridecanoic acid, pri – pristanic acid, phy – phytanic acid, chol – cholesterol or derivative, abie – dehydroabietic acid, terp – presence of one or several terpenes including</w:t>
      </w:r>
      <w:r w:rsidRPr="00CF2985">
        <w:rPr>
          <w:lang w:val="en-GB"/>
        </w:rPr>
        <w:t xml:space="preserve"> </w:t>
      </w:r>
      <w:r w:rsidRPr="00CF2985">
        <w:rPr>
          <w:rFonts w:eastAsia="Calibri"/>
          <w:lang w:val="en-GB"/>
        </w:rPr>
        <w:t>α- and β- amyrin, two unidentified isomers of formula C</w:t>
      </w:r>
      <w:r w:rsidRPr="00CF2985">
        <w:rPr>
          <w:rFonts w:eastAsia="Calibri"/>
          <w:vertAlign w:val="subscript"/>
          <w:lang w:val="en-GB"/>
        </w:rPr>
        <w:t>30</w:t>
      </w:r>
      <w:r w:rsidRPr="00CF2985">
        <w:rPr>
          <w:rFonts w:eastAsia="Calibri"/>
          <w:lang w:val="en-GB"/>
        </w:rPr>
        <w:t>H</w:t>
      </w:r>
      <w:r w:rsidRPr="00CF2985">
        <w:rPr>
          <w:rFonts w:eastAsia="Calibri"/>
          <w:vertAlign w:val="subscript"/>
          <w:lang w:val="en-GB"/>
        </w:rPr>
        <w:t>48</w:t>
      </w:r>
      <w:r w:rsidRPr="00CF2985">
        <w:rPr>
          <w:rFonts w:eastAsia="Calibri"/>
          <w:lang w:val="en-GB"/>
        </w:rPr>
        <w:t xml:space="preserve">O and an unidentified terpenes of M+ 412, ket – mid chain ketones, ergost – ergostanol, </w:t>
      </w:r>
      <w:r w:rsidRPr="00CF2985">
        <w:rPr>
          <w:lang w:val="en-GB"/>
        </w:rPr>
        <w:t>2-HFA – d</w:t>
      </w:r>
      <w:r w:rsidR="003473A4" w:rsidRPr="00CF2985">
        <w:rPr>
          <w:rFonts w:eastAsia="Calibri"/>
          <w:lang w:val="en-GB"/>
        </w:rPr>
        <w:t>ihydroxy fatty acid</w:t>
      </w:r>
      <w:r w:rsidR="00847FEB">
        <w:rPr>
          <w:rFonts w:eastAsia="Calibri"/>
          <w:lang w:val="en-GB"/>
        </w:rPr>
        <w:t xml:space="preserve">. </w:t>
      </w:r>
      <w:r w:rsidR="00847FEB">
        <w:t>* indicates samples from shallow oblong bowls, the rest are from the pointed-base vessels.</w:t>
      </w:r>
    </w:p>
    <w:p w14:paraId="6EAF3035" w14:textId="77777777" w:rsidR="004F1A38" w:rsidRPr="00CF2985" w:rsidRDefault="004F1A38" w:rsidP="00201AC1">
      <w:pPr>
        <w:widowControl w:val="0"/>
        <w:jc w:val="left"/>
        <w:rPr>
          <w:lang w:val="en-GB"/>
        </w:rPr>
      </w:pPr>
    </w:p>
    <w:sectPr w:rsidR="004F1A38" w:rsidRPr="00CF2985" w:rsidSect="00845F31">
      <w:pgSz w:w="16838" w:h="11906" w:orient="landscape"/>
      <w:pgMar w:top="1440" w:right="1440" w:bottom="1440"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0828D" w14:textId="77777777" w:rsidR="00DD1961" w:rsidRDefault="00DD1961">
      <w:pPr>
        <w:spacing w:line="240" w:lineRule="auto"/>
      </w:pPr>
      <w:r>
        <w:separator/>
      </w:r>
    </w:p>
  </w:endnote>
  <w:endnote w:type="continuationSeparator" w:id="0">
    <w:p w14:paraId="3FA51F3A" w14:textId="77777777" w:rsidR="00DD1961" w:rsidRDefault="00DD1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009" w14:textId="41FA96CB" w:rsidR="00DD1961" w:rsidRDefault="00DD1961">
    <w:pPr>
      <w:tabs>
        <w:tab w:val="center" w:pos="4513"/>
        <w:tab w:val="right" w:pos="9026"/>
      </w:tabs>
      <w:spacing w:after="200"/>
      <w:jc w:val="right"/>
    </w:pPr>
    <w:r>
      <w:fldChar w:fldCharType="begin"/>
    </w:r>
    <w:r>
      <w:instrText>PAGE</w:instrText>
    </w:r>
    <w:r>
      <w:fldChar w:fldCharType="separate"/>
    </w:r>
    <w:r w:rsidR="00324B02">
      <w:rPr>
        <w:noProof/>
      </w:rPr>
      <w:t>1</w:t>
    </w:r>
    <w:r>
      <w:fldChar w:fldCharType="end"/>
    </w:r>
  </w:p>
  <w:p w14:paraId="0A15FF9F" w14:textId="77777777" w:rsidR="00DD1961" w:rsidRDefault="00DD1961">
    <w:pPr>
      <w:tabs>
        <w:tab w:val="center" w:pos="4513"/>
        <w:tab w:val="right" w:pos="9026"/>
      </w:tabs>
      <w:spacing w:after="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A9D62" w14:textId="77777777" w:rsidR="00DD1961" w:rsidRDefault="00DD1961">
      <w:pPr>
        <w:spacing w:line="240" w:lineRule="auto"/>
      </w:pPr>
      <w:r>
        <w:separator/>
      </w:r>
    </w:p>
  </w:footnote>
  <w:footnote w:type="continuationSeparator" w:id="0">
    <w:p w14:paraId="4523FDB8" w14:textId="77777777" w:rsidR="00DD1961" w:rsidRDefault="00DD19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C986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NoteLevel9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2C6549B7"/>
    <w:multiLevelType w:val="multilevel"/>
    <w:tmpl w:val="717281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38"/>
    <w:rsid w:val="00011D28"/>
    <w:rsid w:val="00052081"/>
    <w:rsid w:val="00060FF1"/>
    <w:rsid w:val="00077D18"/>
    <w:rsid w:val="000951D6"/>
    <w:rsid w:val="00096A0E"/>
    <w:rsid w:val="001005ED"/>
    <w:rsid w:val="0013793E"/>
    <w:rsid w:val="001463D3"/>
    <w:rsid w:val="00155142"/>
    <w:rsid w:val="001B2333"/>
    <w:rsid w:val="001E781E"/>
    <w:rsid w:val="00201AC1"/>
    <w:rsid w:val="0020472C"/>
    <w:rsid w:val="00223AED"/>
    <w:rsid w:val="002A5E9F"/>
    <w:rsid w:val="002B2307"/>
    <w:rsid w:val="002D2F57"/>
    <w:rsid w:val="002F4F0E"/>
    <w:rsid w:val="00313DBE"/>
    <w:rsid w:val="00314D86"/>
    <w:rsid w:val="00323A0D"/>
    <w:rsid w:val="00324B02"/>
    <w:rsid w:val="003473A4"/>
    <w:rsid w:val="0035193B"/>
    <w:rsid w:val="00351A7F"/>
    <w:rsid w:val="00394E85"/>
    <w:rsid w:val="003A1253"/>
    <w:rsid w:val="003B1B96"/>
    <w:rsid w:val="003F0C72"/>
    <w:rsid w:val="003F2EEA"/>
    <w:rsid w:val="00442E5E"/>
    <w:rsid w:val="00461E60"/>
    <w:rsid w:val="0049401C"/>
    <w:rsid w:val="004B0841"/>
    <w:rsid w:val="004D3C0A"/>
    <w:rsid w:val="004D4616"/>
    <w:rsid w:val="004D7D7D"/>
    <w:rsid w:val="004E4227"/>
    <w:rsid w:val="004F1A38"/>
    <w:rsid w:val="005D3BAA"/>
    <w:rsid w:val="005D4DDE"/>
    <w:rsid w:val="00605A65"/>
    <w:rsid w:val="00615E39"/>
    <w:rsid w:val="00617DEB"/>
    <w:rsid w:val="00625CFB"/>
    <w:rsid w:val="00645261"/>
    <w:rsid w:val="006572D9"/>
    <w:rsid w:val="006705EE"/>
    <w:rsid w:val="00671245"/>
    <w:rsid w:val="006753CD"/>
    <w:rsid w:val="00675421"/>
    <w:rsid w:val="006B201A"/>
    <w:rsid w:val="006B447F"/>
    <w:rsid w:val="006D520F"/>
    <w:rsid w:val="00700857"/>
    <w:rsid w:val="00722D6B"/>
    <w:rsid w:val="00731F82"/>
    <w:rsid w:val="00732255"/>
    <w:rsid w:val="007362BB"/>
    <w:rsid w:val="007B1DCD"/>
    <w:rsid w:val="007D2FF1"/>
    <w:rsid w:val="007E1D04"/>
    <w:rsid w:val="008255D5"/>
    <w:rsid w:val="00845439"/>
    <w:rsid w:val="00845F31"/>
    <w:rsid w:val="00847FEB"/>
    <w:rsid w:val="00850142"/>
    <w:rsid w:val="00872E61"/>
    <w:rsid w:val="00881E14"/>
    <w:rsid w:val="00892E27"/>
    <w:rsid w:val="008A5726"/>
    <w:rsid w:val="008B3F41"/>
    <w:rsid w:val="008B5CA7"/>
    <w:rsid w:val="008E4EA5"/>
    <w:rsid w:val="008E796B"/>
    <w:rsid w:val="008F7A25"/>
    <w:rsid w:val="00920CA6"/>
    <w:rsid w:val="009232F9"/>
    <w:rsid w:val="00932020"/>
    <w:rsid w:val="00942564"/>
    <w:rsid w:val="00955A99"/>
    <w:rsid w:val="00962217"/>
    <w:rsid w:val="00963D1A"/>
    <w:rsid w:val="00981590"/>
    <w:rsid w:val="009A6228"/>
    <w:rsid w:val="009B36B2"/>
    <w:rsid w:val="009D29A0"/>
    <w:rsid w:val="009F50EF"/>
    <w:rsid w:val="00A011B8"/>
    <w:rsid w:val="00A05EB9"/>
    <w:rsid w:val="00A21801"/>
    <w:rsid w:val="00A25C1A"/>
    <w:rsid w:val="00A36653"/>
    <w:rsid w:val="00A37A0F"/>
    <w:rsid w:val="00A82393"/>
    <w:rsid w:val="00AC7132"/>
    <w:rsid w:val="00B1354D"/>
    <w:rsid w:val="00B37316"/>
    <w:rsid w:val="00B6268E"/>
    <w:rsid w:val="00B90C0A"/>
    <w:rsid w:val="00B92C51"/>
    <w:rsid w:val="00BA459B"/>
    <w:rsid w:val="00BA4DE4"/>
    <w:rsid w:val="00BA6852"/>
    <w:rsid w:val="00BE4FBE"/>
    <w:rsid w:val="00BE5EC9"/>
    <w:rsid w:val="00BF12C2"/>
    <w:rsid w:val="00BF6DB7"/>
    <w:rsid w:val="00C064D7"/>
    <w:rsid w:val="00C315AE"/>
    <w:rsid w:val="00C342F7"/>
    <w:rsid w:val="00C54548"/>
    <w:rsid w:val="00C60497"/>
    <w:rsid w:val="00CC1B63"/>
    <w:rsid w:val="00CD39C4"/>
    <w:rsid w:val="00CD43F0"/>
    <w:rsid w:val="00CF2985"/>
    <w:rsid w:val="00D26622"/>
    <w:rsid w:val="00D463DE"/>
    <w:rsid w:val="00D50489"/>
    <w:rsid w:val="00D5612A"/>
    <w:rsid w:val="00D8201A"/>
    <w:rsid w:val="00D93907"/>
    <w:rsid w:val="00DA795D"/>
    <w:rsid w:val="00DD1961"/>
    <w:rsid w:val="00DD556E"/>
    <w:rsid w:val="00DF1416"/>
    <w:rsid w:val="00E02EC5"/>
    <w:rsid w:val="00E051D5"/>
    <w:rsid w:val="00E7516C"/>
    <w:rsid w:val="00E7560A"/>
    <w:rsid w:val="00E91ECF"/>
    <w:rsid w:val="00EB08AD"/>
    <w:rsid w:val="00EC01AE"/>
    <w:rsid w:val="00EF7B0B"/>
    <w:rsid w:val="00F650B9"/>
    <w:rsid w:val="00F75E73"/>
    <w:rsid w:val="00F8703B"/>
    <w:rsid w:val="00FC5BF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5F5F2"/>
  <w15:docId w15:val="{39DB0052-2664-492B-8E41-3F686A13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contextualSpacing/>
      <w:outlineLvl w:val="0"/>
    </w:pPr>
    <w:rPr>
      <w:rFonts w:ascii="Cambria" w:eastAsia="Cambria" w:hAnsi="Cambria" w:cs="Cambria"/>
      <w:sz w:val="28"/>
      <w:szCs w:val="28"/>
    </w:rPr>
  </w:style>
  <w:style w:type="paragraph" w:styleId="Heading2">
    <w:name w:val="heading 2"/>
    <w:basedOn w:val="Normal"/>
    <w:next w:val="Normal"/>
    <w:pPr>
      <w:keepNext/>
      <w:keepLines/>
      <w:spacing w:before="100" w:line="240" w:lineRule="auto"/>
      <w:contextualSpacing/>
      <w:outlineLvl w:val="1"/>
    </w:pPr>
    <w:rPr>
      <w:b/>
      <w:i/>
    </w:rPr>
  </w:style>
  <w:style w:type="paragraph" w:styleId="Heading3">
    <w:name w:val="heading 3"/>
    <w:basedOn w:val="Normal"/>
    <w:next w:val="Normal"/>
    <w:pPr>
      <w:keepNext/>
      <w:keepLines/>
      <w:spacing w:before="200"/>
      <w:contextualSpacing/>
      <w:outlineLvl w:val="2"/>
    </w:pPr>
    <w:rPr>
      <w:rFonts w:ascii="Cambria" w:eastAsia="Cambria" w:hAnsi="Cambria" w:cs="Cambria"/>
      <w:i/>
    </w:rPr>
  </w:style>
  <w:style w:type="paragraph" w:styleId="Heading4">
    <w:name w:val="heading 4"/>
    <w:basedOn w:val="Normal"/>
    <w:next w:val="Normal"/>
    <w:pPr>
      <w:keepNext/>
      <w:keepLines/>
      <w:spacing w:before="40"/>
      <w:outlineLvl w:val="3"/>
    </w:pPr>
    <w:rPr>
      <w:rFonts w:ascii="Cambria" w:eastAsia="Cambria" w:hAnsi="Cambria" w:cs="Cambria"/>
      <w:i/>
      <w:color w:val="366091"/>
      <w:sz w:val="22"/>
      <w:szCs w:val="2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F1416"/>
    <w:pPr>
      <w:ind w:left="720"/>
      <w:contextualSpacing/>
    </w:pPr>
  </w:style>
  <w:style w:type="character" w:styleId="Hyperlink">
    <w:name w:val="Hyperlink"/>
    <w:basedOn w:val="DefaultParagraphFont"/>
    <w:uiPriority w:val="99"/>
    <w:unhideWhenUsed/>
    <w:rsid w:val="00845F31"/>
    <w:rPr>
      <w:color w:val="0563C1"/>
      <w:u w:val="single"/>
    </w:rPr>
  </w:style>
  <w:style w:type="paragraph" w:customStyle="1" w:styleId="font5">
    <w:name w:val="font5"/>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b/>
      <w:bCs/>
      <w:color w:val="auto"/>
      <w:sz w:val="22"/>
      <w:szCs w:val="22"/>
    </w:rPr>
  </w:style>
  <w:style w:type="paragraph" w:customStyle="1" w:styleId="font6">
    <w:name w:val="font6"/>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b/>
      <w:bCs/>
      <w:color w:val="auto"/>
      <w:sz w:val="22"/>
      <w:szCs w:val="22"/>
    </w:rPr>
  </w:style>
  <w:style w:type="paragraph" w:customStyle="1" w:styleId="font7">
    <w:name w:val="font7"/>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color w:val="auto"/>
      <w:sz w:val="20"/>
      <w:szCs w:val="20"/>
    </w:rPr>
  </w:style>
  <w:style w:type="paragraph" w:customStyle="1" w:styleId="xl65">
    <w:name w:val="xl65"/>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rFonts w:ascii="Calibri" w:hAnsi="Calibri"/>
      <w:color w:val="auto"/>
    </w:rPr>
  </w:style>
  <w:style w:type="paragraph" w:customStyle="1" w:styleId="xl66">
    <w:name w:val="xl66"/>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rFonts w:ascii="Calibri" w:hAnsi="Calibri"/>
      <w:color w:val="auto"/>
    </w:rPr>
  </w:style>
  <w:style w:type="paragraph" w:customStyle="1" w:styleId="xl67">
    <w:name w:val="xl67"/>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color w:val="auto"/>
    </w:rPr>
  </w:style>
  <w:style w:type="paragraph" w:customStyle="1" w:styleId="xl68">
    <w:name w:val="xl68"/>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b/>
      <w:bCs/>
      <w:color w:val="auto"/>
    </w:rPr>
  </w:style>
  <w:style w:type="paragraph" w:customStyle="1" w:styleId="xl69">
    <w:name w:val="xl69"/>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b/>
      <w:bCs/>
      <w:color w:val="auto"/>
    </w:rPr>
  </w:style>
  <w:style w:type="paragraph" w:customStyle="1" w:styleId="xl70">
    <w:name w:val="xl70"/>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b/>
      <w:bCs/>
      <w:color w:val="auto"/>
    </w:rPr>
  </w:style>
  <w:style w:type="paragraph" w:customStyle="1" w:styleId="xl71">
    <w:name w:val="xl71"/>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color w:val="auto"/>
    </w:rPr>
  </w:style>
  <w:style w:type="paragraph" w:customStyle="1" w:styleId="xl72">
    <w:name w:val="xl72"/>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rFonts w:ascii="Calibri" w:hAnsi="Calibri"/>
      <w:color w:val="auto"/>
    </w:rPr>
  </w:style>
  <w:style w:type="paragraph" w:customStyle="1" w:styleId="xl73">
    <w:name w:val="xl73"/>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color w:val="auto"/>
    </w:rPr>
  </w:style>
  <w:style w:type="paragraph" w:customStyle="1" w:styleId="xl74">
    <w:name w:val="xl74"/>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textAlignment w:val="center"/>
    </w:pPr>
    <w:rPr>
      <w:color w:val="auto"/>
    </w:rPr>
  </w:style>
  <w:style w:type="paragraph" w:customStyle="1" w:styleId="xl75">
    <w:name w:val="xl75"/>
    <w:basedOn w:val="Normal"/>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line="240" w:lineRule="auto"/>
      <w:jc w:val="left"/>
    </w:pPr>
    <w:rPr>
      <w:rFonts w:ascii="Calibri" w:hAnsi="Calibri"/>
      <w:color w:val="auto"/>
    </w:rPr>
  </w:style>
  <w:style w:type="paragraph" w:customStyle="1" w:styleId="NoteLevel11">
    <w:name w:val="Note Level 11"/>
    <w:basedOn w:val="Normal"/>
    <w:uiPriority w:val="99"/>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contextualSpacing/>
      <w:jc w:val="left"/>
      <w:outlineLvl w:val="0"/>
    </w:pPr>
    <w:rPr>
      <w:rFonts w:ascii="Verdana" w:eastAsiaTheme="minorEastAsia" w:hAnsi="Verdana" w:cstheme="minorBidi"/>
      <w:color w:val="auto"/>
      <w:sz w:val="22"/>
      <w:szCs w:val="22"/>
      <w:lang w:val="en-GB" w:eastAsia="en-US"/>
    </w:rPr>
  </w:style>
  <w:style w:type="paragraph" w:customStyle="1" w:styleId="NoteLevel21">
    <w:name w:val="Note Level 2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720"/>
      </w:tabs>
      <w:ind w:left="1080" w:hanging="360"/>
      <w:contextualSpacing/>
      <w:jc w:val="left"/>
      <w:outlineLvl w:val="1"/>
    </w:pPr>
    <w:rPr>
      <w:rFonts w:ascii="Verdana" w:eastAsiaTheme="minorEastAsia" w:hAnsi="Verdana" w:cstheme="minorBidi"/>
      <w:color w:val="auto"/>
      <w:sz w:val="22"/>
      <w:szCs w:val="22"/>
      <w:lang w:val="en-GB" w:eastAsia="en-US"/>
    </w:rPr>
  </w:style>
  <w:style w:type="paragraph" w:customStyle="1" w:styleId="NoteLevel31">
    <w:name w:val="Note Level 3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left="1800" w:hanging="360"/>
      <w:contextualSpacing/>
      <w:jc w:val="left"/>
      <w:outlineLvl w:val="2"/>
    </w:pPr>
    <w:rPr>
      <w:rFonts w:ascii="Verdana" w:eastAsiaTheme="minorEastAsia" w:hAnsi="Verdana" w:cstheme="minorBidi"/>
      <w:color w:val="auto"/>
      <w:sz w:val="22"/>
      <w:szCs w:val="22"/>
      <w:lang w:val="en-GB" w:eastAsia="en-US"/>
    </w:rPr>
  </w:style>
  <w:style w:type="paragraph" w:customStyle="1" w:styleId="NoteLevel41">
    <w:name w:val="Note Level 4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2160"/>
      </w:tabs>
      <w:ind w:left="2520" w:hanging="360"/>
      <w:contextualSpacing/>
      <w:jc w:val="left"/>
      <w:outlineLvl w:val="3"/>
    </w:pPr>
    <w:rPr>
      <w:rFonts w:ascii="Verdana" w:eastAsiaTheme="minorEastAsia" w:hAnsi="Verdana" w:cstheme="minorBidi"/>
      <w:color w:val="auto"/>
      <w:sz w:val="22"/>
      <w:szCs w:val="22"/>
      <w:lang w:val="en-GB" w:eastAsia="en-US"/>
    </w:rPr>
  </w:style>
  <w:style w:type="paragraph" w:customStyle="1" w:styleId="NoteLevel51">
    <w:name w:val="Note Level 5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2880"/>
      </w:tabs>
      <w:ind w:left="3240" w:hanging="360"/>
      <w:contextualSpacing/>
      <w:jc w:val="left"/>
      <w:outlineLvl w:val="4"/>
    </w:pPr>
    <w:rPr>
      <w:rFonts w:ascii="Verdana" w:eastAsiaTheme="minorEastAsia" w:hAnsi="Verdana" w:cstheme="minorBidi"/>
      <w:color w:val="auto"/>
      <w:sz w:val="22"/>
      <w:szCs w:val="22"/>
      <w:lang w:val="en-GB" w:eastAsia="en-US"/>
    </w:rPr>
  </w:style>
  <w:style w:type="paragraph" w:customStyle="1" w:styleId="NoteLevel61">
    <w:name w:val="Note Level 6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3600"/>
      </w:tabs>
      <w:ind w:left="3960" w:hanging="360"/>
      <w:contextualSpacing/>
      <w:jc w:val="left"/>
      <w:outlineLvl w:val="5"/>
    </w:pPr>
    <w:rPr>
      <w:rFonts w:ascii="Verdana" w:eastAsiaTheme="minorEastAsia" w:hAnsi="Verdana" w:cstheme="minorBidi"/>
      <w:color w:val="auto"/>
      <w:sz w:val="22"/>
      <w:szCs w:val="22"/>
      <w:lang w:val="en-GB" w:eastAsia="en-US"/>
    </w:rPr>
  </w:style>
  <w:style w:type="paragraph" w:customStyle="1" w:styleId="NoteLevel71">
    <w:name w:val="Note Level 7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4320"/>
      </w:tabs>
      <w:ind w:left="4680" w:hanging="360"/>
      <w:contextualSpacing/>
      <w:jc w:val="left"/>
      <w:outlineLvl w:val="6"/>
    </w:pPr>
    <w:rPr>
      <w:rFonts w:ascii="Verdana" w:eastAsiaTheme="minorEastAsia" w:hAnsi="Verdana" w:cstheme="minorBidi"/>
      <w:color w:val="auto"/>
      <w:sz w:val="22"/>
      <w:szCs w:val="22"/>
      <w:lang w:val="en-GB" w:eastAsia="en-US"/>
    </w:rPr>
  </w:style>
  <w:style w:type="paragraph" w:customStyle="1" w:styleId="NoteLevel81">
    <w:name w:val="Note Level 81"/>
    <w:basedOn w:val="Normal"/>
    <w:uiPriority w:val="99"/>
    <w:semiHidden/>
    <w:unhideWhenUsed/>
    <w:rsid w:val="00845F31"/>
    <w:pPr>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5040"/>
      </w:tabs>
      <w:ind w:left="5400" w:hanging="360"/>
      <w:contextualSpacing/>
      <w:jc w:val="left"/>
      <w:outlineLvl w:val="7"/>
    </w:pPr>
    <w:rPr>
      <w:rFonts w:ascii="Verdana" w:eastAsiaTheme="minorEastAsia" w:hAnsi="Verdana" w:cstheme="minorBidi"/>
      <w:color w:val="auto"/>
      <w:sz w:val="22"/>
      <w:szCs w:val="22"/>
      <w:lang w:val="en-GB" w:eastAsia="en-US"/>
    </w:rPr>
  </w:style>
  <w:style w:type="paragraph" w:customStyle="1" w:styleId="NoteLevel91">
    <w:name w:val="Note Level 91"/>
    <w:basedOn w:val="Normal"/>
    <w:uiPriority w:val="99"/>
    <w:semiHidden/>
    <w:unhideWhenUsed/>
    <w:rsid w:val="00845F31"/>
    <w:pPr>
      <w:keepNext/>
      <w:numPr>
        <w:ilvl w:val="8"/>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left"/>
      <w:outlineLvl w:val="8"/>
    </w:pPr>
    <w:rPr>
      <w:rFonts w:ascii="Verdana" w:eastAsiaTheme="minorEastAsia" w:hAnsi="Verdana" w:cstheme="minorBidi"/>
      <w:color w:val="auto"/>
      <w:sz w:val="22"/>
      <w:szCs w:val="22"/>
      <w:lang w:val="en-GB" w:eastAsia="en-US"/>
    </w:rPr>
  </w:style>
  <w:style w:type="character" w:customStyle="1" w:styleId="BalloonTextChar">
    <w:name w:val="Balloon Text Char"/>
    <w:basedOn w:val="DefaultParagraphFont"/>
    <w:link w:val="BalloonText"/>
    <w:uiPriority w:val="99"/>
    <w:semiHidden/>
    <w:rsid w:val="00845F31"/>
    <w:rPr>
      <w:rFonts w:ascii="Segoe UI" w:eastAsiaTheme="minorHAnsi" w:hAnsi="Segoe UI" w:cs="Segoe UI"/>
      <w:color w:val="auto"/>
      <w:sz w:val="18"/>
      <w:szCs w:val="18"/>
      <w:lang w:eastAsia="en-US"/>
    </w:rPr>
  </w:style>
  <w:style w:type="paragraph" w:styleId="BalloonText">
    <w:name w:val="Balloon Text"/>
    <w:basedOn w:val="Normal"/>
    <w:link w:val="BalloonTextChar"/>
    <w:uiPriority w:val="99"/>
    <w:semiHidden/>
    <w:unhideWhenUsed/>
    <w:rsid w:val="00845F31"/>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uto"/>
      <w:jc w:val="left"/>
    </w:pPr>
    <w:rPr>
      <w:rFonts w:ascii="Segoe UI" w:eastAsiaTheme="minorHAnsi" w:hAnsi="Segoe UI" w:cs="Segoe UI"/>
      <w:color w:val="auto"/>
      <w:sz w:val="18"/>
      <w:szCs w:val="18"/>
      <w:lang w:eastAsia="en-US"/>
    </w:rPr>
  </w:style>
  <w:style w:type="character" w:styleId="CommentReference">
    <w:name w:val="annotation reference"/>
    <w:basedOn w:val="DefaultParagraphFont"/>
    <w:uiPriority w:val="99"/>
    <w:semiHidden/>
    <w:unhideWhenUsed/>
    <w:rsid w:val="00BE5EC9"/>
    <w:rPr>
      <w:sz w:val="16"/>
      <w:szCs w:val="16"/>
    </w:rPr>
  </w:style>
  <w:style w:type="paragraph" w:styleId="CommentText">
    <w:name w:val="annotation text"/>
    <w:basedOn w:val="Normal"/>
    <w:link w:val="CommentTextChar"/>
    <w:uiPriority w:val="99"/>
    <w:semiHidden/>
    <w:unhideWhenUsed/>
    <w:rsid w:val="00BE5EC9"/>
    <w:pPr>
      <w:spacing w:line="240" w:lineRule="auto"/>
    </w:pPr>
    <w:rPr>
      <w:sz w:val="20"/>
      <w:szCs w:val="20"/>
    </w:rPr>
  </w:style>
  <w:style w:type="character" w:customStyle="1" w:styleId="CommentTextChar">
    <w:name w:val="Comment Text Char"/>
    <w:basedOn w:val="DefaultParagraphFont"/>
    <w:link w:val="CommentText"/>
    <w:uiPriority w:val="99"/>
    <w:semiHidden/>
    <w:rsid w:val="00BE5EC9"/>
    <w:rPr>
      <w:sz w:val="20"/>
      <w:szCs w:val="20"/>
    </w:rPr>
  </w:style>
  <w:style w:type="paragraph" w:styleId="CommentSubject">
    <w:name w:val="annotation subject"/>
    <w:basedOn w:val="CommentText"/>
    <w:next w:val="CommentText"/>
    <w:link w:val="CommentSubjectChar"/>
    <w:uiPriority w:val="99"/>
    <w:semiHidden/>
    <w:unhideWhenUsed/>
    <w:rsid w:val="00BE5EC9"/>
    <w:rPr>
      <w:b/>
      <w:bCs/>
    </w:rPr>
  </w:style>
  <w:style w:type="character" w:customStyle="1" w:styleId="CommentSubjectChar">
    <w:name w:val="Comment Subject Char"/>
    <w:basedOn w:val="CommentTextChar"/>
    <w:link w:val="CommentSubject"/>
    <w:uiPriority w:val="99"/>
    <w:semiHidden/>
    <w:rsid w:val="00BE5EC9"/>
    <w:rPr>
      <w:b/>
      <w:bCs/>
      <w:sz w:val="20"/>
      <w:szCs w:val="20"/>
    </w:rPr>
  </w:style>
  <w:style w:type="character" w:styleId="LineNumber">
    <w:name w:val="line number"/>
    <w:basedOn w:val="DefaultParagraphFont"/>
    <w:uiPriority w:val="99"/>
    <w:semiHidden/>
    <w:unhideWhenUsed/>
    <w:rsid w:val="00722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3920">
      <w:bodyDiv w:val="1"/>
      <w:marLeft w:val="0"/>
      <w:marRight w:val="0"/>
      <w:marTop w:val="0"/>
      <w:marBottom w:val="0"/>
      <w:divBdr>
        <w:top w:val="none" w:sz="0" w:space="0" w:color="auto"/>
        <w:left w:val="none" w:sz="0" w:space="0" w:color="auto"/>
        <w:bottom w:val="none" w:sz="0" w:space="0" w:color="auto"/>
        <w:right w:val="none" w:sz="0" w:space="0" w:color="auto"/>
      </w:divBdr>
    </w:div>
    <w:div w:id="1184900221">
      <w:bodyDiv w:val="1"/>
      <w:marLeft w:val="0"/>
      <w:marRight w:val="0"/>
      <w:marTop w:val="0"/>
      <w:marBottom w:val="0"/>
      <w:divBdr>
        <w:top w:val="none" w:sz="0" w:space="0" w:color="auto"/>
        <w:left w:val="none" w:sz="0" w:space="0" w:color="auto"/>
        <w:bottom w:val="none" w:sz="0" w:space="0" w:color="auto"/>
        <w:right w:val="none" w:sz="0" w:space="0" w:color="auto"/>
      </w:divBdr>
    </w:div>
    <w:div w:id="1240404810">
      <w:bodyDiv w:val="1"/>
      <w:marLeft w:val="0"/>
      <w:marRight w:val="0"/>
      <w:marTop w:val="0"/>
      <w:marBottom w:val="0"/>
      <w:divBdr>
        <w:top w:val="none" w:sz="0" w:space="0" w:color="auto"/>
        <w:left w:val="none" w:sz="0" w:space="0" w:color="auto"/>
        <w:bottom w:val="none" w:sz="0" w:space="0" w:color="auto"/>
        <w:right w:val="none" w:sz="0" w:space="0" w:color="auto"/>
      </w:divBdr>
    </w:div>
    <w:div w:id="1382286158">
      <w:bodyDiv w:val="1"/>
      <w:marLeft w:val="0"/>
      <w:marRight w:val="0"/>
      <w:marTop w:val="0"/>
      <w:marBottom w:val="0"/>
      <w:divBdr>
        <w:top w:val="none" w:sz="0" w:space="0" w:color="auto"/>
        <w:left w:val="none" w:sz="0" w:space="0" w:color="auto"/>
        <w:bottom w:val="none" w:sz="0" w:space="0" w:color="auto"/>
        <w:right w:val="none" w:sz="0" w:space="0" w:color="auto"/>
      </w:divBdr>
    </w:div>
    <w:div w:id="1498499176">
      <w:bodyDiv w:val="1"/>
      <w:marLeft w:val="0"/>
      <w:marRight w:val="0"/>
      <w:marTop w:val="0"/>
      <w:marBottom w:val="0"/>
      <w:divBdr>
        <w:top w:val="none" w:sz="0" w:space="0" w:color="auto"/>
        <w:left w:val="none" w:sz="0" w:space="0" w:color="auto"/>
        <w:bottom w:val="none" w:sz="0" w:space="0" w:color="auto"/>
        <w:right w:val="none" w:sz="0" w:space="0" w:color="auto"/>
      </w:divBdr>
    </w:div>
    <w:div w:id="197594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sHVo0a/OQ4h+VH6X+6X7D" TargetMode="External"/><Relationship Id="rId21" Type="http://schemas.openxmlformats.org/officeDocument/2006/relationships/hyperlink" Target="https://paperpile.com/c/sHVo0a/H9mn" TargetMode="External"/><Relationship Id="rId34" Type="http://schemas.openxmlformats.org/officeDocument/2006/relationships/hyperlink" Target="https://paperpile.com/c/sHVo0a/HqiP" TargetMode="External"/><Relationship Id="rId42" Type="http://schemas.openxmlformats.org/officeDocument/2006/relationships/hyperlink" Target="http://paperpile.com/b/sHVo0a/H9mn" TargetMode="External"/><Relationship Id="rId47" Type="http://schemas.openxmlformats.org/officeDocument/2006/relationships/hyperlink" Target="http://paperpile.com/b/sHVo0a/OCJV" TargetMode="External"/><Relationship Id="rId50" Type="http://schemas.openxmlformats.org/officeDocument/2006/relationships/hyperlink" Target="http://www.ncbi.nlm.nih.gov/pubmed/?term=Ozdo%C4%9Fan%20M%5BAuthor%5D&amp;cauthor=true&amp;cauthor_uid=18690215" TargetMode="External"/><Relationship Id="rId55" Type="http://schemas.openxmlformats.org/officeDocument/2006/relationships/hyperlink" Target="http://www.ncbi.nlm.nih.gov/pubmed/?term=Akkermans%20PM%5BAuthor%5D&amp;cauthor=true&amp;cauthor_uid=18690215" TargetMode="External"/><Relationship Id="rId63" Type="http://schemas.openxmlformats.org/officeDocument/2006/relationships/hyperlink" Target="http://www.ncbi.nlm.nih.gov/pubmed/?term=Farid%20S%5BAuthor%5D&amp;cauthor=true&amp;cauthor_uid=18690215" TargetMode="External"/><Relationship Id="rId68" Type="http://schemas.openxmlformats.org/officeDocument/2006/relationships/hyperlink" Target="http://www.ncbi.nlm.nih.gov/pubmed/?term=Yalman%20N%5BAuthor%5D&amp;cauthor=true&amp;cauthor_uid=18690215" TargetMode="External"/><Relationship Id="rId76" Type="http://schemas.openxmlformats.org/officeDocument/2006/relationships/hyperlink" Target="http://www.ncbi.nlm.nih.gov/pubmed/?term=Levy%20T%5BAuthor%5D&amp;cauthor=true&amp;cauthor_uid=18690215" TargetMode="External"/><Relationship Id="rId84" Type="http://schemas.openxmlformats.org/officeDocument/2006/relationships/hyperlink" Target="http://tutulus.ee/muinasesemed/" TargetMode="External"/><Relationship Id="rId89" Type="http://schemas.openxmlformats.org/officeDocument/2006/relationships/hyperlink" Target="http://paperpile.com/b/sHVo0a/6X7D"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ncbi.nlm.nih.gov/pubmed/?term=Bi%C3%A7akci%20E%5BAuthor%5D&amp;cauthor=true&amp;cauthor_uid=18690215" TargetMode="External"/><Relationship Id="rId92" Type="http://schemas.openxmlformats.org/officeDocument/2006/relationships/hyperlink" Target="http://dx.doi.org/10.1016/j.jasrep.2016.03.042" TargetMode="External"/><Relationship Id="rId2" Type="http://schemas.openxmlformats.org/officeDocument/2006/relationships/numbering" Target="numbering.xml"/><Relationship Id="rId16" Type="http://schemas.openxmlformats.org/officeDocument/2006/relationships/hyperlink" Target="https://paperpile.com/c/sHVo0a/n4Ik+6X7D" TargetMode="External"/><Relationship Id="rId29" Type="http://schemas.openxmlformats.org/officeDocument/2006/relationships/hyperlink" Target="https://paperpile.com/c/sHVo0a/HqiP" TargetMode="External"/><Relationship Id="rId11" Type="http://schemas.openxmlformats.org/officeDocument/2006/relationships/hyperlink" Target="https://paperpile.com/c/sHVo0a/n4Ik+6X7D" TargetMode="External"/><Relationship Id="rId24" Type="http://schemas.openxmlformats.org/officeDocument/2006/relationships/hyperlink" Target="https://paperpile.com/c/sHVo0a/6X7D" TargetMode="External"/><Relationship Id="rId32" Type="http://schemas.openxmlformats.org/officeDocument/2006/relationships/hyperlink" Target="https://paperpile.com/c/sHVo0a/HqiP" TargetMode="External"/><Relationship Id="rId37" Type="http://schemas.openxmlformats.org/officeDocument/2006/relationships/image" Target="media/image4.emf"/><Relationship Id="rId40" Type="http://schemas.openxmlformats.org/officeDocument/2006/relationships/hyperlink" Target="http://paperpile.com/b/sHVo0a/26hd" TargetMode="External"/><Relationship Id="rId45" Type="http://schemas.openxmlformats.org/officeDocument/2006/relationships/hyperlink" Target="http://paperpile.com/b/sHVo0a/OCJV" TargetMode="External"/><Relationship Id="rId53" Type="http://schemas.openxmlformats.org/officeDocument/2006/relationships/hyperlink" Target="http://www.ncbi.nlm.nih.gov/pubmed/?term=Nieuwenhuyse%20O%5BAuthor%5D&amp;cauthor=true&amp;cauthor_uid=18690215" TargetMode="External"/><Relationship Id="rId58" Type="http://schemas.openxmlformats.org/officeDocument/2006/relationships/hyperlink" Target="http://www.ncbi.nlm.nih.gov/pubmed/?term=Bailey%20D%5BAuthor%5D&amp;cauthor=true&amp;cauthor_uid=18690215" TargetMode="External"/><Relationship Id="rId66" Type="http://schemas.openxmlformats.org/officeDocument/2006/relationships/hyperlink" Target="http://www.ncbi.nlm.nih.gov/pubmed/?term=Hodder%20I%5BAuthor%5D&amp;cauthor=true&amp;cauthor_uid=18690215" TargetMode="External"/><Relationship Id="rId74" Type="http://schemas.openxmlformats.org/officeDocument/2006/relationships/hyperlink" Target="http://www.ncbi.nlm.nih.gov/pubmed/?term=Garfinkel%20Y%5BAuthor%5D&amp;cauthor=true&amp;cauthor_uid=18690215" TargetMode="External"/><Relationship Id="rId79" Type="http://schemas.openxmlformats.org/officeDocument/2006/relationships/hyperlink" Target="http://paperpile.com/b/sHVo0a/VROe" TargetMode="External"/><Relationship Id="rId87" Type="http://schemas.openxmlformats.org/officeDocument/2006/relationships/hyperlink" Target="http://paperpile.com/b/sHVo0a/6X7D" TargetMode="External"/><Relationship Id="rId5" Type="http://schemas.openxmlformats.org/officeDocument/2006/relationships/webSettings" Target="webSettings.xml"/><Relationship Id="rId61" Type="http://schemas.openxmlformats.org/officeDocument/2006/relationships/hyperlink" Target="http://www.ncbi.nlm.nih.gov/pubmed/?term=Campbell%20S%5BAuthor%5D&amp;cauthor=true&amp;cauthor_uid=18690215" TargetMode="External"/><Relationship Id="rId82" Type="http://schemas.openxmlformats.org/officeDocument/2006/relationships/hyperlink" Target="http://dx.doi.org/10.2458/azu_rc.57.18454" TargetMode="External"/><Relationship Id="rId90" Type="http://schemas.openxmlformats.org/officeDocument/2006/relationships/hyperlink" Target="http://dx.doi.org/10.1073/pnas.1522908113" TargetMode="External"/><Relationship Id="rId95" Type="http://schemas.openxmlformats.org/officeDocument/2006/relationships/hyperlink" Target="http://paperpile.com/b/sHVo0a/90VX" TargetMode="External"/><Relationship Id="rId19" Type="http://schemas.openxmlformats.org/officeDocument/2006/relationships/hyperlink" Target="https://paperpile.com/c/sHVo0a/H9mn" TargetMode="External"/><Relationship Id="rId14" Type="http://schemas.openxmlformats.org/officeDocument/2006/relationships/image" Target="media/image2.jpg"/><Relationship Id="rId22" Type="http://schemas.openxmlformats.org/officeDocument/2006/relationships/hyperlink" Target="https://paperpile.com/c/sHVo0a/OQ4h" TargetMode="External"/><Relationship Id="rId27" Type="http://schemas.openxmlformats.org/officeDocument/2006/relationships/hyperlink" Target="https://paperpile.com/c/sHVo0a/ti6j" TargetMode="External"/><Relationship Id="rId30" Type="http://schemas.openxmlformats.org/officeDocument/2006/relationships/hyperlink" Target="https://paperpile.com/c/sHVo0a/HqiP" TargetMode="External"/><Relationship Id="rId35" Type="http://schemas.openxmlformats.org/officeDocument/2006/relationships/hyperlink" Target="https://paperpile.com/c/sHVo0a/HqiP" TargetMode="External"/><Relationship Id="rId43" Type="http://schemas.openxmlformats.org/officeDocument/2006/relationships/hyperlink" Target="http://paperpile.com/b/sHVo0a/OCJV" TargetMode="External"/><Relationship Id="rId48" Type="http://schemas.openxmlformats.org/officeDocument/2006/relationships/hyperlink" Target="http://paperpile.com/b/sHVo0a/nUsp" TargetMode="External"/><Relationship Id="rId56" Type="http://schemas.openxmlformats.org/officeDocument/2006/relationships/hyperlink" Target="http://www.ncbi.nlm.nih.gov/pubmed/?term=Akkermans%20PM%5BAuthor%5D&amp;cauthor=true&amp;cauthor_uid=18690215" TargetMode="External"/><Relationship Id="rId64" Type="http://schemas.openxmlformats.org/officeDocument/2006/relationships/hyperlink" Target="http://www.ncbi.nlm.nih.gov/pubmed/?term=Farid%20S%5BAuthor%5D&amp;cauthor=true&amp;cauthor_uid=18690215" TargetMode="External"/><Relationship Id="rId69" Type="http://schemas.openxmlformats.org/officeDocument/2006/relationships/hyperlink" Target="http://www.ncbi.nlm.nih.gov/pubmed/?term=Ozba%C5%9Faran%20M%5BAuthor%5D&amp;cauthor=true&amp;cauthor_uid=18690215" TargetMode="External"/><Relationship Id="rId77" Type="http://schemas.openxmlformats.org/officeDocument/2006/relationships/hyperlink" Target="http://www.ncbi.nlm.nih.gov/pubmed/?term=Burton%20MM%5BAuthor%5D&amp;cauthor=true&amp;cauthor_uid=18690215" TargetMode="External"/><Relationship Id="rId8" Type="http://schemas.openxmlformats.org/officeDocument/2006/relationships/hyperlink" Target="mailto:ester.oras@ut.ee" TargetMode="External"/><Relationship Id="rId51" Type="http://schemas.openxmlformats.org/officeDocument/2006/relationships/hyperlink" Target="http://www.ncbi.nlm.nih.gov/pubmed/?term=Ozdo%C4%9Fan%20AE%5BAuthor%5D&amp;cauthor=true&amp;cauthor_uid=18690215" TargetMode="External"/><Relationship Id="rId72" Type="http://schemas.openxmlformats.org/officeDocument/2006/relationships/hyperlink" Target="http://www.ncbi.nlm.nih.gov/pubmed/?term=Bi%C3%A7akci%20E%5BAuthor%5D&amp;cauthor=true&amp;cauthor_uid=18690215" TargetMode="External"/><Relationship Id="rId80" Type="http://schemas.openxmlformats.org/officeDocument/2006/relationships/hyperlink" Target="http://paperpile.com/b/sHVo0a/E5MT" TargetMode="External"/><Relationship Id="rId85" Type="http://schemas.openxmlformats.org/officeDocument/2006/relationships/hyperlink" Target="http://tutulus.ee/muinasesemed/" TargetMode="External"/><Relationship Id="rId93" Type="http://schemas.openxmlformats.org/officeDocument/2006/relationships/hyperlink" Target="http://paperpile.com/b/sHVo0a/90VX"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aperpile.com/c/sHVo0a/kqRg+dKng+26hd" TargetMode="External"/><Relationship Id="rId17" Type="http://schemas.openxmlformats.org/officeDocument/2006/relationships/hyperlink" Target="https://paperpile.com/c/sHVo0a/OQ4h" TargetMode="External"/><Relationship Id="rId25" Type="http://schemas.openxmlformats.org/officeDocument/2006/relationships/hyperlink" Target="https://paperpile.com/c/sHVo0a/VH6X" TargetMode="External"/><Relationship Id="rId33" Type="http://schemas.openxmlformats.org/officeDocument/2006/relationships/hyperlink" Target="https://paperpile.com/c/sHVo0a/HqiP" TargetMode="External"/><Relationship Id="rId38" Type="http://schemas.openxmlformats.org/officeDocument/2006/relationships/hyperlink" Target="https://paperpile.com/c/sHVo0a/wxNi" TargetMode="External"/><Relationship Id="rId46" Type="http://schemas.openxmlformats.org/officeDocument/2006/relationships/hyperlink" Target="http://paperpile.com/b/sHVo0a/OCJV" TargetMode="External"/><Relationship Id="rId59" Type="http://schemas.openxmlformats.org/officeDocument/2006/relationships/hyperlink" Target="http://www.ncbi.nlm.nih.gov/pubmed/?term=Andeescu%20RR%5BAuthor%5D&amp;cauthor=true&amp;cauthor_uid=18690215" TargetMode="External"/><Relationship Id="rId67" Type="http://schemas.openxmlformats.org/officeDocument/2006/relationships/hyperlink" Target="http://www.ncbi.nlm.nih.gov/pubmed/?term=Yalman%20N%5BAuthor%5D&amp;cauthor=true&amp;cauthor_uid=18690215" TargetMode="External"/><Relationship Id="rId20" Type="http://schemas.openxmlformats.org/officeDocument/2006/relationships/hyperlink" Target="https://paperpile.com/c/sHVo0a/H9mn" TargetMode="External"/><Relationship Id="rId41" Type="http://schemas.openxmlformats.org/officeDocument/2006/relationships/hyperlink" Target="http://paperpile.com/b/sHVo0a/VH6X" TargetMode="External"/><Relationship Id="rId54" Type="http://schemas.openxmlformats.org/officeDocument/2006/relationships/hyperlink" Target="http://www.ncbi.nlm.nih.gov/pubmed/?term=Nieuwenhuyse%20O%5BAuthor%5D&amp;cauthor=true&amp;cauthor_uid=18690215" TargetMode="External"/><Relationship Id="rId62" Type="http://schemas.openxmlformats.org/officeDocument/2006/relationships/hyperlink" Target="http://www.ncbi.nlm.nih.gov/pubmed/?term=Campbell%20S%5BAuthor%5D&amp;cauthor=true&amp;cauthor_uid=18690215" TargetMode="External"/><Relationship Id="rId70" Type="http://schemas.openxmlformats.org/officeDocument/2006/relationships/hyperlink" Target="http://www.ncbi.nlm.nih.gov/pubmed/?term=Ozba%C5%9Faran%20M%5BAuthor%5D&amp;cauthor=true&amp;cauthor_uid=18690215" TargetMode="External"/><Relationship Id="rId75" Type="http://schemas.openxmlformats.org/officeDocument/2006/relationships/hyperlink" Target="http://www.ncbi.nlm.nih.gov/pubmed/?term=Levy%20T%5BAuthor%5D&amp;cauthor=true&amp;cauthor_uid=18690215" TargetMode="External"/><Relationship Id="rId83" Type="http://schemas.openxmlformats.org/officeDocument/2006/relationships/hyperlink" Target="http://paperpile.com/b/sHVo0a/wxNi" TargetMode="External"/><Relationship Id="rId88" Type="http://schemas.openxmlformats.org/officeDocument/2006/relationships/hyperlink" Target="http://paperpile.com/b/sHVo0a/6X7D" TargetMode="External"/><Relationship Id="rId91" Type="http://schemas.openxmlformats.org/officeDocument/2006/relationships/hyperlink" Target="http://paperpile.com/b/sHVo0a/HqiP" TargetMode="External"/><Relationship Id="rId96" Type="http://schemas.openxmlformats.org/officeDocument/2006/relationships/hyperlink" Target="http://paperpile.com/b/sHVo0a/90V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pile.com/c/sHVo0a/nUsp" TargetMode="External"/><Relationship Id="rId23" Type="http://schemas.openxmlformats.org/officeDocument/2006/relationships/image" Target="media/image3.jpg"/><Relationship Id="rId28" Type="http://schemas.openxmlformats.org/officeDocument/2006/relationships/hyperlink" Target="https://paperpile.com/c/sHVo0a/HqiP" TargetMode="External"/><Relationship Id="rId36" Type="http://schemas.openxmlformats.org/officeDocument/2006/relationships/hyperlink" Target="https://paperpile.com/c/sHVo0a/HqiP" TargetMode="External"/><Relationship Id="rId49" Type="http://schemas.openxmlformats.org/officeDocument/2006/relationships/hyperlink" Target="http://www.ncbi.nlm.nih.gov/pubmed/?term=Ozdo%C4%9Fan%20M%5BAuthor%5D&amp;cauthor=true&amp;cauthor_uid=18690215" TargetMode="External"/><Relationship Id="rId57" Type="http://schemas.openxmlformats.org/officeDocument/2006/relationships/hyperlink" Target="http://www.ncbi.nlm.nih.gov/pubmed/?term=Bailey%20D%5BAuthor%5D&amp;cauthor=true&amp;cauthor_uid=18690215" TargetMode="External"/><Relationship Id="rId10" Type="http://schemas.openxmlformats.org/officeDocument/2006/relationships/hyperlink" Target="https://paperpile.com/c/sHVo0a/90VX+VROe+E5MT" TargetMode="External"/><Relationship Id="rId31" Type="http://schemas.openxmlformats.org/officeDocument/2006/relationships/hyperlink" Target="https://paperpile.com/c/sHVo0a/HqiP" TargetMode="External"/><Relationship Id="rId44" Type="http://schemas.openxmlformats.org/officeDocument/2006/relationships/hyperlink" Target="http://paperpile.com/b/sHVo0a/H9mn" TargetMode="External"/><Relationship Id="rId52" Type="http://schemas.openxmlformats.org/officeDocument/2006/relationships/hyperlink" Target="http://www.ncbi.nlm.nih.gov/pubmed/?term=Ozdo%C4%9Fan%20AE%5BAuthor%5D&amp;cauthor=true&amp;cauthor_uid=18690215" TargetMode="External"/><Relationship Id="rId60" Type="http://schemas.openxmlformats.org/officeDocument/2006/relationships/hyperlink" Target="http://www.ncbi.nlm.nih.gov/pubmed/?term=Andeescu%20RR%5BAuthor%5D&amp;cauthor=true&amp;cauthor_uid=18690215" TargetMode="External"/><Relationship Id="rId65" Type="http://schemas.openxmlformats.org/officeDocument/2006/relationships/hyperlink" Target="http://www.ncbi.nlm.nih.gov/pubmed/?term=Hodder%20I%5BAuthor%5D&amp;cauthor=true&amp;cauthor_uid=18690215" TargetMode="External"/><Relationship Id="rId73" Type="http://schemas.openxmlformats.org/officeDocument/2006/relationships/hyperlink" Target="http://www.ncbi.nlm.nih.gov/pubmed/?term=Garfinkel%20Y%5BAuthor%5D&amp;cauthor=true&amp;cauthor_uid=18690215" TargetMode="External"/><Relationship Id="rId78" Type="http://schemas.openxmlformats.org/officeDocument/2006/relationships/hyperlink" Target="http://www.ncbi.nlm.nih.gov/pubmed/?term=Burton%20MM%5BAuthor%5D&amp;cauthor=true&amp;cauthor_uid=18690215" TargetMode="External"/><Relationship Id="rId81" Type="http://schemas.openxmlformats.org/officeDocument/2006/relationships/hyperlink" Target="http://paperpile.com/b/sHVo0a/ti6j" TargetMode="External"/><Relationship Id="rId86" Type="http://schemas.openxmlformats.org/officeDocument/2006/relationships/hyperlink" Target="http://paperpile.com/b/sHVo0a/6X7D" TargetMode="External"/><Relationship Id="rId94" Type="http://schemas.openxmlformats.org/officeDocument/2006/relationships/hyperlink" Target="http://paperpile.com/b/sHVo0a/90VX"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pile.com/c/sHVo0a/OCJV" TargetMode="External"/><Relationship Id="rId13" Type="http://schemas.openxmlformats.org/officeDocument/2006/relationships/image" Target="media/image1.png"/><Relationship Id="rId18" Type="http://schemas.openxmlformats.org/officeDocument/2006/relationships/hyperlink" Target="https://paperpile.com/c/sHVo0a/VH6X" TargetMode="External"/><Relationship Id="rId39" Type="http://schemas.openxmlformats.org/officeDocument/2006/relationships/hyperlink" Target="https://paperpile.com/c/sHVo0a/90V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9865-7A41-4AE8-867C-A33A6CBF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C5E880F2.dotm</Template>
  <TotalTime>0</TotalTime>
  <Pages>27</Pages>
  <Words>8300</Words>
  <Characters>47314</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Ester</dc:creator>
  <cp:lastModifiedBy>Matthew Wigzell</cp:lastModifiedBy>
  <cp:revision>2</cp:revision>
  <cp:lastPrinted>2016-08-15T09:10:00Z</cp:lastPrinted>
  <dcterms:created xsi:type="dcterms:W3CDTF">2017-04-21T09:07:00Z</dcterms:created>
  <dcterms:modified xsi:type="dcterms:W3CDTF">2017-04-21T09:07:00Z</dcterms:modified>
</cp:coreProperties>
</file>