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EE" w:rsidRDefault="00B013EE">
      <w:pPr>
        <w:rPr>
          <w:b/>
        </w:rPr>
      </w:pPr>
      <w:r>
        <w:rPr>
          <w:b/>
        </w:rPr>
        <w:t>UNIVERSITY OF YORK</w:t>
      </w:r>
    </w:p>
    <w:p w:rsidR="00B013EE" w:rsidRDefault="00B013EE">
      <w:pPr>
        <w:rPr>
          <w:b/>
        </w:rPr>
      </w:pPr>
      <w:r>
        <w:rPr>
          <w:b/>
        </w:rPr>
        <w:t>Social Policy Research Unit</w:t>
      </w:r>
    </w:p>
    <w:p w:rsidR="00B013EE" w:rsidRDefault="00B013EE">
      <w:pPr>
        <w:rPr>
          <w:b/>
        </w:rPr>
      </w:pPr>
    </w:p>
    <w:p w:rsidR="00CA712F" w:rsidRDefault="00F16B47">
      <w:pPr>
        <w:rPr>
          <w:b/>
        </w:rPr>
      </w:pPr>
      <w:r w:rsidRPr="00F16B47">
        <w:rPr>
          <w:b/>
        </w:rPr>
        <w:t>WATER POVERTY IN ENGLAND AND WALES: AN UPDATE</w:t>
      </w:r>
    </w:p>
    <w:p w:rsidR="00F16B47" w:rsidRDefault="00F16B47">
      <w:pPr>
        <w:rPr>
          <w:b/>
        </w:rPr>
      </w:pPr>
    </w:p>
    <w:p w:rsidR="00F16B47" w:rsidRDefault="00465AB2">
      <w:r>
        <w:t>Jonathan Bradshaw</w:t>
      </w:r>
      <w:r>
        <w:rPr>
          <w:rStyle w:val="FootnoteReference"/>
        </w:rPr>
        <w:footnoteReference w:id="1"/>
      </w:r>
      <w:r>
        <w:t xml:space="preserve"> and Gill Main</w:t>
      </w:r>
      <w:r>
        <w:rPr>
          <w:rStyle w:val="FootnoteReference"/>
        </w:rPr>
        <w:footnoteReference w:id="2"/>
      </w:r>
    </w:p>
    <w:p w:rsidR="00465AB2" w:rsidRDefault="00465AB2"/>
    <w:p w:rsidR="00F16B47" w:rsidRDefault="00F16B47">
      <w:r>
        <w:t xml:space="preserve">We published an article on this subject based on an analysis of 2009/10 </w:t>
      </w:r>
      <w:r w:rsidR="00D83C6A">
        <w:t>data from the Family Resources S</w:t>
      </w:r>
      <w:r>
        <w:t>urvey</w:t>
      </w:r>
      <w:r w:rsidR="00186099">
        <w:rPr>
          <w:rStyle w:val="FootnoteReference"/>
        </w:rPr>
        <w:footnoteReference w:id="3"/>
      </w:r>
      <w:r>
        <w:t xml:space="preserve">. </w:t>
      </w:r>
    </w:p>
    <w:p w:rsidR="00F16B47" w:rsidRDefault="00F16B47"/>
    <w:p w:rsidR="00F16B47" w:rsidRDefault="00F16B47">
      <w:r>
        <w:t xml:space="preserve">This note updates that analysis but does not reproduce all the policy discussion in the article </w:t>
      </w:r>
      <w:r w:rsidR="00251CDA">
        <w:t>because</w:t>
      </w:r>
      <w:r>
        <w:t xml:space="preserve"> these arguments really have not changed.</w:t>
      </w:r>
    </w:p>
    <w:p w:rsidR="00F16B47" w:rsidRDefault="00F16B47"/>
    <w:p w:rsidR="00F16B47" w:rsidRDefault="00F16B47">
      <w:r>
        <w:t xml:space="preserve">Water charges </w:t>
      </w:r>
      <w:r w:rsidR="00465AB2">
        <w:t xml:space="preserve">have </w:t>
      </w:r>
      <w:r w:rsidR="00251CDA">
        <w:t>continue</w:t>
      </w:r>
      <w:r w:rsidR="00465AB2">
        <w:t>d</w:t>
      </w:r>
      <w:r w:rsidR="000A6E41">
        <w:t xml:space="preserve"> to rise -</w:t>
      </w:r>
      <w:r>
        <w:t xml:space="preserve"> </w:t>
      </w:r>
      <w:r w:rsidR="000A6E41">
        <w:t>f</w:t>
      </w:r>
      <w:r>
        <w:t>aster than general</w:t>
      </w:r>
      <w:r w:rsidR="00186099">
        <w:t xml:space="preserve"> </w:t>
      </w:r>
      <w:r>
        <w:t>inf</w:t>
      </w:r>
      <w:r w:rsidR="00186099">
        <w:t>la</w:t>
      </w:r>
      <w:r>
        <w:t>tion (CPI</w:t>
      </w:r>
      <w:r w:rsidR="000A6E41">
        <w:t xml:space="preserve"> and RPI</w:t>
      </w:r>
      <w:r>
        <w:t xml:space="preserve">) and faster than </w:t>
      </w:r>
      <w:r w:rsidR="00186099">
        <w:t>average net equivalent disposable incomes</w:t>
      </w:r>
      <w:r>
        <w:t>. See Figure 1.</w:t>
      </w:r>
    </w:p>
    <w:p w:rsidR="00F16B47" w:rsidRDefault="00F16B47"/>
    <w:p w:rsidR="000A6E41" w:rsidRPr="00465AB2" w:rsidRDefault="000A6E41">
      <w:pPr>
        <w:rPr>
          <w:b/>
        </w:rPr>
      </w:pPr>
      <w:r w:rsidRPr="000A6E41">
        <w:rPr>
          <w:b/>
        </w:rPr>
        <w:t>Figure 1: Trends in prices</w:t>
      </w:r>
      <w:r w:rsidR="00251CDA">
        <w:rPr>
          <w:b/>
        </w:rPr>
        <w:t>,</w:t>
      </w:r>
      <w:r w:rsidRPr="000A6E41">
        <w:rPr>
          <w:b/>
        </w:rPr>
        <w:t xml:space="preserve"> earnings and water prices. 2005=100.</w:t>
      </w:r>
    </w:p>
    <w:p w:rsidR="000A6E41" w:rsidRDefault="000A6E41">
      <w:r w:rsidRPr="000A6E41">
        <w:rPr>
          <w:noProof/>
          <w:lang w:eastAsia="en-GB"/>
        </w:rPr>
        <w:drawing>
          <wp:inline distT="0" distB="0" distL="0" distR="0" wp14:anchorId="32DAF7A8" wp14:editId="155BB7E8">
            <wp:extent cx="4791871" cy="3712786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871" cy="371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B47" w:rsidRDefault="00F16B47"/>
    <w:p w:rsidR="00F16B47" w:rsidRDefault="00F16B47"/>
    <w:p w:rsidR="00F16B47" w:rsidRDefault="00F16B47">
      <w:r>
        <w:t xml:space="preserve">OFWAT </w:t>
      </w:r>
      <w:r w:rsidR="00465AB2">
        <w:t>is</w:t>
      </w:r>
      <w:r>
        <w:t xml:space="preserve"> negotiating with the water companies to achieve a real terms reduction </w:t>
      </w:r>
      <w:r w:rsidR="00186099">
        <w:t xml:space="preserve">in water prices </w:t>
      </w:r>
      <w:r>
        <w:t xml:space="preserve">of 5% 2015-2020. </w:t>
      </w:r>
      <w:r w:rsidR="00D83C6A">
        <w:t>To achieve this</w:t>
      </w:r>
      <w:r>
        <w:t xml:space="preserve"> would be a huge break in their past achievements. But a real terms reduction in prices does not mean a reduction in water poverty. Since 2010 </w:t>
      </w:r>
      <w:r w:rsidR="00251CDA">
        <w:t>incomes</w:t>
      </w:r>
      <w:r>
        <w:t xml:space="preserve"> have been falling behind prices and </w:t>
      </w:r>
      <w:r w:rsidR="00186099">
        <w:t xml:space="preserve">behind </w:t>
      </w:r>
      <w:r>
        <w:t>water prices</w:t>
      </w:r>
      <w:r w:rsidR="00D83C6A">
        <w:t xml:space="preserve"> and we don’t know when that pattern is going to end</w:t>
      </w:r>
      <w:r>
        <w:t>.</w:t>
      </w:r>
    </w:p>
    <w:p w:rsidR="00186099" w:rsidRDefault="00186099"/>
    <w:p w:rsidR="00186099" w:rsidRDefault="00186099">
      <w:r>
        <w:t xml:space="preserve">Water poverty has been conventionally defined as households spending more than 3% or 5% on water </w:t>
      </w:r>
      <w:r w:rsidR="00E25362">
        <w:t>and sewera</w:t>
      </w:r>
      <w:r>
        <w:t>ge. Th</w:t>
      </w:r>
      <w:r w:rsidR="00251CDA">
        <w:t xml:space="preserve">ese thresholds are arbitrary </w:t>
      </w:r>
      <w:r>
        <w:t xml:space="preserve">and it would be a good idea for the </w:t>
      </w:r>
      <w:r w:rsidR="00E25362">
        <w:t>go</w:t>
      </w:r>
      <w:r>
        <w:t>v</w:t>
      </w:r>
      <w:r w:rsidR="00E25362">
        <w:t>e</w:t>
      </w:r>
      <w:r>
        <w:t xml:space="preserve">rnment and the </w:t>
      </w:r>
      <w:r w:rsidR="00251CDA">
        <w:t>regulators</w:t>
      </w:r>
      <w:r>
        <w:t xml:space="preserve"> to invest in t</w:t>
      </w:r>
      <w:r w:rsidR="00E25362">
        <w:t>he kind of exercise that has le</w:t>
      </w:r>
      <w:r>
        <w:t>d to the redefinition of fu</w:t>
      </w:r>
      <w:r w:rsidR="00E25362">
        <w:t>el</w:t>
      </w:r>
      <w:r>
        <w:t xml:space="preserve"> poverty as a result of the Sir John Hills report</w:t>
      </w:r>
      <w:r w:rsidR="00E25362">
        <w:rPr>
          <w:rStyle w:val="FootnoteReference"/>
        </w:rPr>
        <w:footnoteReference w:id="4"/>
      </w:r>
      <w:r>
        <w:t xml:space="preserve">. </w:t>
      </w:r>
    </w:p>
    <w:p w:rsidR="00186099" w:rsidRDefault="00186099"/>
    <w:p w:rsidR="00186099" w:rsidRDefault="00186099">
      <w:r>
        <w:t xml:space="preserve">Table 1 is the result of analysis of the Family Resources Surveys from 2009/10 to 2011/12 the most recent available. </w:t>
      </w:r>
      <w:r w:rsidR="00E25362">
        <w:t xml:space="preserve">Water poverty rates </w:t>
      </w:r>
      <w:r w:rsidR="005A7C5F">
        <w:t xml:space="preserve">using the 3% threshold </w:t>
      </w:r>
      <w:r w:rsidR="00E25362">
        <w:t xml:space="preserve">have increased </w:t>
      </w:r>
      <w:r w:rsidR="00206F34">
        <w:t xml:space="preserve">over the whole period. </w:t>
      </w:r>
      <w:r w:rsidR="005A7C5F">
        <w:t xml:space="preserve">The </w:t>
      </w:r>
      <w:r w:rsidR="00E25362">
        <w:t xml:space="preserve">water poverty gap </w:t>
      </w:r>
      <w:r w:rsidR="005A7C5F">
        <w:t xml:space="preserve">(the average reduction in water charges needed per week by those in water poverty if they are to be lifted out of water poverty) </w:t>
      </w:r>
      <w:r w:rsidR="00E25362">
        <w:t xml:space="preserve">has </w:t>
      </w:r>
      <w:r w:rsidR="00206F34">
        <w:t>fallen slightly</w:t>
      </w:r>
      <w:r w:rsidR="00E25362">
        <w:t>.</w:t>
      </w:r>
    </w:p>
    <w:p w:rsidR="00D83C6A" w:rsidRDefault="00D83C6A"/>
    <w:p w:rsidR="00D83C6A" w:rsidRDefault="00D83C6A">
      <w:pPr>
        <w:rPr>
          <w:b/>
        </w:rPr>
      </w:pPr>
      <w:r w:rsidRPr="00D83C6A">
        <w:rPr>
          <w:b/>
        </w:rPr>
        <w:t xml:space="preserve">Table 1: </w:t>
      </w:r>
      <w:r w:rsidR="00C33897">
        <w:rPr>
          <w:b/>
        </w:rPr>
        <w:t>Water</w:t>
      </w:r>
      <w:r w:rsidRPr="00D83C6A">
        <w:rPr>
          <w:b/>
        </w:rPr>
        <w:t xml:space="preserve"> poverty rates and gaps 2009/10-2011/12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C33897" w:rsidRPr="005A7C5F" w:rsidTr="00C33897">
        <w:tc>
          <w:tcPr>
            <w:tcW w:w="1848" w:type="dxa"/>
          </w:tcPr>
          <w:p w:rsidR="00C33897" w:rsidRPr="005A7C5F" w:rsidRDefault="00C33897"/>
        </w:tc>
        <w:tc>
          <w:tcPr>
            <w:tcW w:w="1848" w:type="dxa"/>
          </w:tcPr>
          <w:p w:rsidR="00C33897" w:rsidRPr="005A7C5F" w:rsidRDefault="00C33897">
            <w:r w:rsidRPr="005A7C5F">
              <w:t>Water</w:t>
            </w:r>
            <w:r w:rsidR="00694405" w:rsidRPr="005A7C5F">
              <w:t xml:space="preserve"> </w:t>
            </w:r>
            <w:r w:rsidRPr="005A7C5F">
              <w:t>poverty rate &gt;3%</w:t>
            </w:r>
          </w:p>
        </w:tc>
        <w:tc>
          <w:tcPr>
            <w:tcW w:w="1848" w:type="dxa"/>
          </w:tcPr>
          <w:p w:rsidR="00C33897" w:rsidRPr="005A7C5F" w:rsidRDefault="00C33897">
            <w:r w:rsidRPr="005A7C5F">
              <w:t>Water poverty rate &gt;5%</w:t>
            </w:r>
          </w:p>
        </w:tc>
        <w:tc>
          <w:tcPr>
            <w:tcW w:w="1849" w:type="dxa"/>
          </w:tcPr>
          <w:p w:rsidR="00C33897" w:rsidRPr="005A7C5F" w:rsidRDefault="00C33897">
            <w:r w:rsidRPr="005A7C5F">
              <w:t>W</w:t>
            </w:r>
            <w:r w:rsidR="00694405" w:rsidRPr="005A7C5F">
              <w:t>ater</w:t>
            </w:r>
            <w:r w:rsidRPr="005A7C5F">
              <w:t xml:space="preserve"> poverty gap 3%</w:t>
            </w:r>
            <w:r w:rsidR="005A7C5F" w:rsidRPr="005A7C5F">
              <w:t xml:space="preserve"> £ per week</w:t>
            </w:r>
          </w:p>
        </w:tc>
        <w:tc>
          <w:tcPr>
            <w:tcW w:w="1849" w:type="dxa"/>
          </w:tcPr>
          <w:p w:rsidR="00C33897" w:rsidRPr="005A7C5F" w:rsidRDefault="00C33897">
            <w:r w:rsidRPr="005A7C5F">
              <w:t>Water poverty gap 5%</w:t>
            </w:r>
            <w:r w:rsidR="005A7C5F" w:rsidRPr="005A7C5F">
              <w:t xml:space="preserve"> £ per week</w:t>
            </w:r>
          </w:p>
        </w:tc>
      </w:tr>
      <w:tr w:rsidR="00C33897" w:rsidRPr="005A7C5F" w:rsidTr="00C33897">
        <w:tc>
          <w:tcPr>
            <w:tcW w:w="1848" w:type="dxa"/>
          </w:tcPr>
          <w:p w:rsidR="00C33897" w:rsidRPr="005A7C5F" w:rsidRDefault="00C33897">
            <w:r w:rsidRPr="005A7C5F">
              <w:t>2009/10</w:t>
            </w:r>
            <w:r w:rsidR="00465AB2">
              <w:rPr>
                <w:rStyle w:val="FootnoteReference"/>
              </w:rPr>
              <w:footnoteReference w:id="5"/>
            </w:r>
          </w:p>
        </w:tc>
        <w:tc>
          <w:tcPr>
            <w:tcW w:w="1848" w:type="dxa"/>
          </w:tcPr>
          <w:p w:rsidR="00C33897" w:rsidRPr="005A7C5F" w:rsidRDefault="00F87284">
            <w:r>
              <w:t>22.3</w:t>
            </w:r>
          </w:p>
        </w:tc>
        <w:tc>
          <w:tcPr>
            <w:tcW w:w="1848" w:type="dxa"/>
          </w:tcPr>
          <w:p w:rsidR="00C33897" w:rsidRPr="005A7C5F" w:rsidRDefault="00F87284">
            <w:r>
              <w:t>9.8</w:t>
            </w:r>
          </w:p>
        </w:tc>
        <w:tc>
          <w:tcPr>
            <w:tcW w:w="1849" w:type="dxa"/>
          </w:tcPr>
          <w:p w:rsidR="00C33897" w:rsidRPr="005A7C5F" w:rsidRDefault="00F87284">
            <w:r>
              <w:t>3.48</w:t>
            </w:r>
          </w:p>
        </w:tc>
        <w:tc>
          <w:tcPr>
            <w:tcW w:w="1849" w:type="dxa"/>
          </w:tcPr>
          <w:p w:rsidR="00C33897" w:rsidRPr="005A7C5F" w:rsidRDefault="00F87284">
            <w:r>
              <w:t>3.63</w:t>
            </w:r>
          </w:p>
        </w:tc>
      </w:tr>
      <w:tr w:rsidR="00C33897" w:rsidRPr="005A7C5F" w:rsidTr="00C33897">
        <w:tc>
          <w:tcPr>
            <w:tcW w:w="1848" w:type="dxa"/>
          </w:tcPr>
          <w:p w:rsidR="00C33897" w:rsidRPr="005A7C5F" w:rsidRDefault="00C33897">
            <w:r w:rsidRPr="005A7C5F">
              <w:t>2010/11</w:t>
            </w:r>
          </w:p>
        </w:tc>
        <w:tc>
          <w:tcPr>
            <w:tcW w:w="1848" w:type="dxa"/>
          </w:tcPr>
          <w:p w:rsidR="00C33897" w:rsidRPr="005A7C5F" w:rsidRDefault="00F87284">
            <w:r>
              <w:t>22.4</w:t>
            </w:r>
          </w:p>
        </w:tc>
        <w:tc>
          <w:tcPr>
            <w:tcW w:w="1848" w:type="dxa"/>
          </w:tcPr>
          <w:p w:rsidR="00C33897" w:rsidRPr="005A7C5F" w:rsidRDefault="00F87284">
            <w:r>
              <w:t>9.2</w:t>
            </w:r>
          </w:p>
        </w:tc>
        <w:tc>
          <w:tcPr>
            <w:tcW w:w="1849" w:type="dxa"/>
          </w:tcPr>
          <w:p w:rsidR="00C33897" w:rsidRPr="005A7C5F" w:rsidRDefault="00F87284">
            <w:r>
              <w:t>3.18</w:t>
            </w:r>
          </w:p>
        </w:tc>
        <w:tc>
          <w:tcPr>
            <w:tcW w:w="1849" w:type="dxa"/>
          </w:tcPr>
          <w:p w:rsidR="00C33897" w:rsidRPr="005A7C5F" w:rsidRDefault="00F87284">
            <w:r>
              <w:t>3.33</w:t>
            </w:r>
          </w:p>
        </w:tc>
      </w:tr>
      <w:tr w:rsidR="00C33897" w:rsidRPr="005A7C5F" w:rsidTr="00C33897">
        <w:tc>
          <w:tcPr>
            <w:tcW w:w="1848" w:type="dxa"/>
          </w:tcPr>
          <w:p w:rsidR="00C33897" w:rsidRPr="005A7C5F" w:rsidRDefault="00C33897">
            <w:r w:rsidRPr="005A7C5F">
              <w:t>2011/12</w:t>
            </w:r>
          </w:p>
        </w:tc>
        <w:tc>
          <w:tcPr>
            <w:tcW w:w="1848" w:type="dxa"/>
          </w:tcPr>
          <w:p w:rsidR="00C33897" w:rsidRPr="005A7C5F" w:rsidRDefault="00F87284">
            <w:r>
              <w:t>23.5</w:t>
            </w:r>
          </w:p>
        </w:tc>
        <w:tc>
          <w:tcPr>
            <w:tcW w:w="1848" w:type="dxa"/>
          </w:tcPr>
          <w:p w:rsidR="00C33897" w:rsidRPr="005A7C5F" w:rsidRDefault="00F87284">
            <w:r>
              <w:t>10.0</w:t>
            </w:r>
          </w:p>
        </w:tc>
        <w:tc>
          <w:tcPr>
            <w:tcW w:w="1849" w:type="dxa"/>
          </w:tcPr>
          <w:p w:rsidR="00C33897" w:rsidRPr="005A7C5F" w:rsidRDefault="00F87284">
            <w:r>
              <w:t>3.43</w:t>
            </w:r>
          </w:p>
        </w:tc>
        <w:tc>
          <w:tcPr>
            <w:tcW w:w="1849" w:type="dxa"/>
          </w:tcPr>
          <w:p w:rsidR="00C33897" w:rsidRPr="005A7C5F" w:rsidRDefault="00F87284">
            <w:r>
              <w:t>3.49</w:t>
            </w:r>
          </w:p>
        </w:tc>
      </w:tr>
    </w:tbl>
    <w:p w:rsidR="00D83C6A" w:rsidRPr="00D83C6A" w:rsidRDefault="00D83C6A">
      <w:r w:rsidRPr="00D83C6A">
        <w:t>Source: O</w:t>
      </w:r>
      <w:r>
        <w:t>wn analysis of the Family R</w:t>
      </w:r>
      <w:r w:rsidRPr="00D83C6A">
        <w:t>esources Survey</w:t>
      </w:r>
      <w:r w:rsidR="00206F34">
        <w:t>s</w:t>
      </w:r>
    </w:p>
    <w:p w:rsidR="00E25362" w:rsidRDefault="00E25362"/>
    <w:p w:rsidR="00D83C6A" w:rsidRDefault="00E25362">
      <w:r>
        <w:t>The</w:t>
      </w:r>
      <w:r w:rsidR="00D83C6A">
        <w:t xml:space="preserve">re is no </w:t>
      </w:r>
      <w:r w:rsidR="00B013EE">
        <w:t>easy</w:t>
      </w:r>
      <w:r w:rsidR="00D83C6A">
        <w:t xml:space="preserve"> solution to </w:t>
      </w:r>
      <w:r w:rsidR="00206F34">
        <w:t>water poverty</w:t>
      </w:r>
      <w:r w:rsidR="00D83C6A">
        <w:t>.</w:t>
      </w:r>
    </w:p>
    <w:p w:rsidR="00D83C6A" w:rsidRDefault="00D83C6A"/>
    <w:p w:rsidR="00D83C6A" w:rsidRDefault="00B013EE">
      <w:r>
        <w:t>T</w:t>
      </w:r>
      <w:r w:rsidR="00E25362">
        <w:t>he Water</w:t>
      </w:r>
      <w:r w:rsidR="000A6E41">
        <w:t xml:space="preserve"> S</w:t>
      </w:r>
      <w:r w:rsidR="00E25362">
        <w:t xml:space="preserve">ure scheme is </w:t>
      </w:r>
      <w:r>
        <w:t>not being taken up</w:t>
      </w:r>
      <w:r w:rsidR="000A6E41">
        <w:t xml:space="preserve"> </w:t>
      </w:r>
      <w:r>
        <w:t>and touches the edge of the problem</w:t>
      </w:r>
      <w:r w:rsidR="00E25362">
        <w:t xml:space="preserve">. </w:t>
      </w:r>
      <w:r>
        <w:t>The South West subsidy is ill directed.</w:t>
      </w:r>
      <w:r w:rsidR="00FA284E">
        <w:t xml:space="preserve"> There is also a huge </w:t>
      </w:r>
      <w:r w:rsidR="005A7C5F">
        <w:t xml:space="preserve">and growing </w:t>
      </w:r>
      <w:r w:rsidR="00FA284E">
        <w:t>water debt problem.</w:t>
      </w:r>
    </w:p>
    <w:p w:rsidR="00D83C6A" w:rsidRDefault="00D83C6A"/>
    <w:p w:rsidR="00D83C6A" w:rsidRDefault="00E25362">
      <w:r>
        <w:t xml:space="preserve">The </w:t>
      </w:r>
      <w:r w:rsidR="000A6E41">
        <w:t xml:space="preserve">water </w:t>
      </w:r>
      <w:r>
        <w:t>companies don</w:t>
      </w:r>
      <w:r w:rsidR="000A6E41">
        <w:t>’</w:t>
      </w:r>
      <w:r>
        <w:t xml:space="preserve">t know enough about consumers to target </w:t>
      </w:r>
      <w:r w:rsidR="00D83C6A">
        <w:t xml:space="preserve">relief </w:t>
      </w:r>
      <w:r>
        <w:t>successfully</w:t>
      </w:r>
      <w:r w:rsidR="00FA284E">
        <w:t xml:space="preserve"> and really they don’t want to try</w:t>
      </w:r>
      <w:r>
        <w:t xml:space="preserve">. </w:t>
      </w:r>
    </w:p>
    <w:p w:rsidR="00D83C6A" w:rsidRDefault="00D83C6A"/>
    <w:p w:rsidR="00E25362" w:rsidRDefault="00E25362">
      <w:r>
        <w:t>The best solution</w:t>
      </w:r>
      <w:r w:rsidR="00B013EE">
        <w:t>s are</w:t>
      </w:r>
    </w:p>
    <w:p w:rsidR="00E25362" w:rsidRDefault="00E25362" w:rsidP="00E25362">
      <w:pPr>
        <w:pStyle w:val="ListParagraph"/>
        <w:numPr>
          <w:ilvl w:val="0"/>
          <w:numId w:val="1"/>
        </w:numPr>
      </w:pPr>
      <w:r>
        <w:t>Fierce</w:t>
      </w:r>
      <w:r w:rsidR="00B013EE">
        <w:t>r</w:t>
      </w:r>
      <w:r>
        <w:t xml:space="preserve"> regulation of prices by OFWAT.</w:t>
      </w:r>
    </w:p>
    <w:p w:rsidR="00E25362" w:rsidRDefault="00B013EE" w:rsidP="00E25362">
      <w:pPr>
        <w:pStyle w:val="ListParagraph"/>
        <w:numPr>
          <w:ilvl w:val="0"/>
          <w:numId w:val="1"/>
        </w:numPr>
      </w:pPr>
      <w:r>
        <w:t>Faster</w:t>
      </w:r>
      <w:r w:rsidR="00E25362">
        <w:t xml:space="preserve"> introduction of water meters.</w:t>
      </w:r>
    </w:p>
    <w:p w:rsidR="00E25362" w:rsidRDefault="00E25362" w:rsidP="00E25362">
      <w:pPr>
        <w:pStyle w:val="ListParagraph"/>
        <w:numPr>
          <w:ilvl w:val="0"/>
          <w:numId w:val="1"/>
        </w:numPr>
      </w:pPr>
      <w:r>
        <w:t>Then tilting tariffs so consumers who wash their cars or fill their ponds</w:t>
      </w:r>
      <w:r w:rsidR="00B013EE">
        <w:t>/swimming pools</w:t>
      </w:r>
      <w:r>
        <w:t xml:space="preserve"> with drinking water pay a premium.</w:t>
      </w:r>
    </w:p>
    <w:p w:rsidR="00E25362" w:rsidRDefault="00E25362" w:rsidP="00E25362">
      <w:pPr>
        <w:pStyle w:val="ListParagraph"/>
        <w:numPr>
          <w:ilvl w:val="0"/>
          <w:numId w:val="1"/>
        </w:numPr>
      </w:pPr>
      <w:r>
        <w:t xml:space="preserve">But </w:t>
      </w:r>
      <w:r w:rsidR="00D83C6A">
        <w:t>meanwhile</w:t>
      </w:r>
      <w:r w:rsidR="00B013EE">
        <w:t>,</w:t>
      </w:r>
      <w:r w:rsidR="00D83C6A">
        <w:t xml:space="preserve"> and anyway</w:t>
      </w:r>
      <w:r w:rsidR="00B013EE">
        <w:t>,</w:t>
      </w:r>
      <w:r w:rsidR="00D83C6A">
        <w:t xml:space="preserve"> </w:t>
      </w:r>
      <w:r>
        <w:t xml:space="preserve">the key is really </w:t>
      </w:r>
      <w:r w:rsidR="000A6E41">
        <w:t xml:space="preserve">an </w:t>
      </w:r>
      <w:r>
        <w:t xml:space="preserve">increase in </w:t>
      </w:r>
      <w:r w:rsidR="00B013EE">
        <w:t xml:space="preserve">cash </w:t>
      </w:r>
      <w:r>
        <w:t>benefits and low wages</w:t>
      </w:r>
      <w:r w:rsidR="00B013EE">
        <w:t xml:space="preserve"> so </w:t>
      </w:r>
      <w:r w:rsidR="00206F34">
        <w:t xml:space="preserve">that </w:t>
      </w:r>
      <w:r w:rsidR="00B013EE">
        <w:t>they exceed water price</w:t>
      </w:r>
      <w:r w:rsidR="00FA284E">
        <w:t xml:space="preserve"> increases</w:t>
      </w:r>
      <w:r w:rsidR="00B013EE">
        <w:t>.</w:t>
      </w:r>
    </w:p>
    <w:p w:rsidR="00E25362" w:rsidRDefault="00E25362" w:rsidP="00E25362">
      <w:pPr>
        <w:pStyle w:val="ListParagraph"/>
        <w:numPr>
          <w:ilvl w:val="0"/>
          <w:numId w:val="1"/>
        </w:numPr>
      </w:pPr>
      <w:r>
        <w:t>More research on th</w:t>
      </w:r>
      <w:r w:rsidR="00B013EE">
        <w:t>is</w:t>
      </w:r>
      <w:r>
        <w:t xml:space="preserve"> subject</w:t>
      </w:r>
      <w:r w:rsidR="00D83C6A">
        <w:t xml:space="preserve"> is also needed</w:t>
      </w:r>
      <w:r w:rsidR="00B013EE">
        <w:t xml:space="preserve"> - </w:t>
      </w:r>
      <w:r w:rsidR="00D83C6A">
        <w:t xml:space="preserve">by OFWAT, </w:t>
      </w:r>
      <w:proofErr w:type="spellStart"/>
      <w:r w:rsidR="00D83C6A">
        <w:t>CCWater</w:t>
      </w:r>
      <w:proofErr w:type="spellEnd"/>
      <w:r w:rsidR="00D83C6A">
        <w:t xml:space="preserve"> and/or the water companies</w:t>
      </w:r>
      <w:r>
        <w:t>.</w:t>
      </w:r>
      <w:r w:rsidR="000A6E41">
        <w:t xml:space="preserve"> </w:t>
      </w:r>
    </w:p>
    <w:p w:rsidR="00D83C6A" w:rsidRDefault="00D83C6A" w:rsidP="00D83C6A"/>
    <w:p w:rsidR="00D83C6A" w:rsidRDefault="00D83C6A" w:rsidP="00D83C6A">
      <w:r>
        <w:t>No one funded this analysis!</w:t>
      </w:r>
    </w:p>
    <w:p w:rsidR="00FA284E" w:rsidRDefault="00FA284E" w:rsidP="00D83C6A"/>
    <w:p w:rsidR="00FA284E" w:rsidRDefault="00FA284E" w:rsidP="00D83C6A">
      <w:r>
        <w:t>September 2014.</w:t>
      </w:r>
    </w:p>
    <w:sectPr w:rsidR="00FA2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B2" w:rsidRDefault="00465AB2" w:rsidP="00186099">
      <w:r>
        <w:separator/>
      </w:r>
    </w:p>
  </w:endnote>
  <w:endnote w:type="continuationSeparator" w:id="0">
    <w:p w:rsidR="00465AB2" w:rsidRDefault="00465AB2" w:rsidP="0018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B2" w:rsidRDefault="00465AB2" w:rsidP="00186099">
      <w:r>
        <w:separator/>
      </w:r>
    </w:p>
  </w:footnote>
  <w:footnote w:type="continuationSeparator" w:id="0">
    <w:p w:rsidR="00465AB2" w:rsidRDefault="00465AB2" w:rsidP="00186099">
      <w:r>
        <w:continuationSeparator/>
      </w:r>
    </w:p>
  </w:footnote>
  <w:footnote w:id="1">
    <w:p w:rsidR="00465AB2" w:rsidRPr="00465AB2" w:rsidRDefault="00465AB2" w:rsidP="00465AB2">
      <w:pPr>
        <w:rPr>
          <w:rFonts w:cs="Times New Roman"/>
          <w:sz w:val="20"/>
          <w:szCs w:val="20"/>
        </w:rPr>
      </w:pPr>
      <w:r w:rsidRPr="00465AB2">
        <w:rPr>
          <w:rStyle w:val="FootnoteReference"/>
          <w:rFonts w:cs="Times New Roman"/>
          <w:sz w:val="20"/>
          <w:szCs w:val="20"/>
        </w:rPr>
        <w:footnoteRef/>
      </w:r>
      <w:r w:rsidRPr="00465AB2">
        <w:rPr>
          <w:rFonts w:cs="Times New Roman"/>
          <w:sz w:val="20"/>
          <w:szCs w:val="20"/>
        </w:rPr>
        <w:t xml:space="preserve"> Professor of Social Policy, University of York and University of Durham</w:t>
      </w:r>
    </w:p>
  </w:footnote>
  <w:footnote w:id="2">
    <w:p w:rsidR="00465AB2" w:rsidRPr="00465AB2" w:rsidRDefault="00465AB2">
      <w:pPr>
        <w:pStyle w:val="FootnoteText"/>
        <w:rPr>
          <w:rFonts w:cs="Times New Roman"/>
        </w:rPr>
      </w:pPr>
      <w:r w:rsidRPr="00465AB2">
        <w:rPr>
          <w:rStyle w:val="FootnoteReference"/>
          <w:rFonts w:cs="Times New Roman"/>
        </w:rPr>
        <w:footnoteRef/>
      </w:r>
      <w:r w:rsidRPr="00465AB2">
        <w:rPr>
          <w:rFonts w:cs="Times New Roman"/>
        </w:rPr>
        <w:t xml:space="preserve"> </w:t>
      </w:r>
      <w:proofErr w:type="gramStart"/>
      <w:r w:rsidRPr="00465AB2">
        <w:rPr>
          <w:rFonts w:cs="Times New Roman"/>
        </w:rPr>
        <w:t>Research Fellow, Social Policy Research Unit, University of York.</w:t>
      </w:r>
      <w:proofErr w:type="gramEnd"/>
    </w:p>
  </w:footnote>
  <w:footnote w:id="3">
    <w:p w:rsidR="00465AB2" w:rsidRPr="00465AB2" w:rsidRDefault="00465AB2" w:rsidP="000A6E41">
      <w:pPr>
        <w:pStyle w:val="NormalWeb"/>
        <w:spacing w:before="0" w:beforeAutospacing="0" w:after="0" w:afterAutospacing="0" w:line="240" w:lineRule="auto"/>
        <w:rPr>
          <w:rFonts w:ascii="Times New Roman" w:eastAsia="ArialMT" w:hAnsi="Times New Roman" w:cs="Times New Roman"/>
          <w:sz w:val="20"/>
          <w:szCs w:val="20"/>
          <w:lang w:eastAsia="en-GB"/>
        </w:rPr>
      </w:pPr>
      <w:r w:rsidRPr="00465AB2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65AB2">
        <w:rPr>
          <w:rFonts w:ascii="Times New Roman" w:hAnsi="Times New Roman" w:cs="Times New Roman"/>
          <w:sz w:val="20"/>
          <w:szCs w:val="20"/>
        </w:rPr>
        <w:t xml:space="preserve"> </w:t>
      </w:r>
      <w:r w:rsidRPr="00465AB2">
        <w:rPr>
          <w:rFonts w:ascii="Times New Roman" w:eastAsia="ArialMT" w:hAnsi="Times New Roman" w:cs="Times New Roman"/>
          <w:sz w:val="20"/>
          <w:szCs w:val="20"/>
          <w:lang w:eastAsia="en-GB"/>
        </w:rPr>
        <w:t xml:space="preserve">Bradshaw, J. and Huby, M. (2013) Water poverty in England and Wales, </w:t>
      </w:r>
      <w:r w:rsidRPr="00465AB2">
        <w:rPr>
          <w:rFonts w:ascii="Times New Roman" w:eastAsia="ArialMT" w:hAnsi="Times New Roman" w:cs="Times New Roman"/>
          <w:i/>
          <w:sz w:val="20"/>
          <w:szCs w:val="20"/>
          <w:lang w:eastAsia="en-GB"/>
        </w:rPr>
        <w:t>Journal of Poverty and Social Justice</w:t>
      </w:r>
      <w:r w:rsidRPr="00465AB2">
        <w:rPr>
          <w:rFonts w:ascii="Times New Roman" w:eastAsia="ArialMT" w:hAnsi="Times New Roman" w:cs="Times New Roman"/>
          <w:sz w:val="20"/>
          <w:szCs w:val="20"/>
          <w:lang w:eastAsia="en-GB"/>
        </w:rPr>
        <w:t xml:space="preserve">, 21, 2, 137-148 </w:t>
      </w:r>
    </w:p>
    <w:p w:rsidR="00465AB2" w:rsidRPr="00465AB2" w:rsidRDefault="00465AB2">
      <w:pPr>
        <w:pStyle w:val="FootnoteText"/>
        <w:rPr>
          <w:rFonts w:cs="Times New Roman"/>
        </w:rPr>
      </w:pPr>
    </w:p>
  </w:footnote>
  <w:footnote w:id="4">
    <w:p w:rsidR="00465AB2" w:rsidRDefault="00465A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3C6A">
        <w:t>https://www.gov.uk/government/publications/final-report-of-the-fuel-poverty-review</w:t>
      </w:r>
    </w:p>
  </w:footnote>
  <w:footnote w:id="5">
    <w:p w:rsidR="00465AB2" w:rsidRDefault="00465AB2">
      <w:pPr>
        <w:pStyle w:val="FootnoteText"/>
      </w:pPr>
      <w:r>
        <w:rPr>
          <w:rStyle w:val="FootnoteReference"/>
        </w:rPr>
        <w:footnoteRef/>
      </w:r>
      <w:r>
        <w:t xml:space="preserve"> These numbers are slightly different than given in Bradshaw and Huby for 2009/10 (for reasons that we cannot </w:t>
      </w:r>
      <w:r>
        <w:t>fathom</w:t>
      </w:r>
      <w:r w:rsidR="00206F34">
        <w:t>)</w:t>
      </w:r>
      <w:bookmarkStart w:id="0" w:name="_GoBack"/>
      <w:bookmarkEnd w:id="0"/>
      <w:r>
        <w:t xml:space="preserve"> but they are a consistent basis for each year.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83822"/>
    <w:multiLevelType w:val="hybridMultilevel"/>
    <w:tmpl w:val="76AAD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47"/>
    <w:rsid w:val="000A6E41"/>
    <w:rsid w:val="00186099"/>
    <w:rsid w:val="00206F34"/>
    <w:rsid w:val="00251CDA"/>
    <w:rsid w:val="0040289C"/>
    <w:rsid w:val="00465AB2"/>
    <w:rsid w:val="004A696C"/>
    <w:rsid w:val="005A7C5F"/>
    <w:rsid w:val="00694405"/>
    <w:rsid w:val="00825876"/>
    <w:rsid w:val="00B013EE"/>
    <w:rsid w:val="00B7170D"/>
    <w:rsid w:val="00C33897"/>
    <w:rsid w:val="00C863C8"/>
    <w:rsid w:val="00CA712F"/>
    <w:rsid w:val="00D83C6A"/>
    <w:rsid w:val="00E25362"/>
    <w:rsid w:val="00F16B47"/>
    <w:rsid w:val="00F87284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60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0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60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5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A6E41"/>
    <w:pPr>
      <w:spacing w:before="100" w:beforeAutospacing="1" w:after="100" w:afterAutospacing="1" w:line="348" w:lineRule="auto"/>
    </w:pPr>
    <w:rPr>
      <w:rFonts w:ascii="Arial" w:eastAsia="SimSun" w:hAnsi="Arial" w:cs="Arial"/>
      <w:szCs w:val="24"/>
      <w:lang w:eastAsia="zh-CN" w:bidi="he-IL"/>
    </w:rPr>
  </w:style>
  <w:style w:type="table" w:styleId="TableGrid">
    <w:name w:val="Table Grid"/>
    <w:basedOn w:val="TableNormal"/>
    <w:uiPriority w:val="59"/>
    <w:rsid w:val="00C3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7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2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60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0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60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5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A6E41"/>
    <w:pPr>
      <w:spacing w:before="100" w:beforeAutospacing="1" w:after="100" w:afterAutospacing="1" w:line="348" w:lineRule="auto"/>
    </w:pPr>
    <w:rPr>
      <w:rFonts w:ascii="Arial" w:eastAsia="SimSun" w:hAnsi="Arial" w:cs="Arial"/>
      <w:szCs w:val="24"/>
      <w:lang w:eastAsia="zh-CN" w:bidi="he-IL"/>
    </w:rPr>
  </w:style>
  <w:style w:type="table" w:styleId="TableGrid">
    <w:name w:val="Table Grid"/>
    <w:basedOn w:val="TableNormal"/>
    <w:uiPriority w:val="59"/>
    <w:rsid w:val="00C3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7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47269-9EC5-4467-B563-6BEA8C17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903174EE.dotm</Template>
  <TotalTime>1</TotalTime>
  <Pages>2</Pages>
  <Words>487</Words>
  <Characters>2367</Characters>
  <Application>Microsoft Office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 Bradshaw</cp:lastModifiedBy>
  <cp:revision>2</cp:revision>
  <dcterms:created xsi:type="dcterms:W3CDTF">2014-09-22T15:10:00Z</dcterms:created>
  <dcterms:modified xsi:type="dcterms:W3CDTF">2014-09-22T15:10:00Z</dcterms:modified>
</cp:coreProperties>
</file>