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981F0" w14:textId="77777777" w:rsidR="00494FA9" w:rsidRDefault="00494FA9" w:rsidP="00494FA9">
      <w:pPr>
        <w:pStyle w:val="Heading1"/>
        <w:spacing w:line="480" w:lineRule="auto"/>
      </w:pPr>
      <w:r w:rsidRPr="003B7B27">
        <w:t>Implementing safeguarding and personali</w:t>
      </w:r>
      <w:r>
        <w:t>s</w:t>
      </w:r>
      <w:r w:rsidRPr="003B7B27">
        <w:t xml:space="preserve">ation in social </w:t>
      </w:r>
      <w:r>
        <w:t>work: findings from practice</w:t>
      </w:r>
    </w:p>
    <w:p w14:paraId="67AA9AC5" w14:textId="77777777" w:rsidR="00494FA9" w:rsidRDefault="00494FA9" w:rsidP="00494FA9">
      <w:r>
        <w:t xml:space="preserve">Author for </w:t>
      </w:r>
      <w:proofErr w:type="spellStart"/>
      <w:r>
        <w:t>Corespondence</w:t>
      </w:r>
      <w:proofErr w:type="spellEnd"/>
      <w:r>
        <w:t xml:space="preserve">: Martin Stevens: Social Care Workforce Research Unit, King’s College </w:t>
      </w:r>
      <w:proofErr w:type="spellStart"/>
      <w:r>
        <w:t>London</w:t>
      </w:r>
      <w:proofErr w:type="gramStart"/>
      <w:r>
        <w:t>,Strand</w:t>
      </w:r>
      <w:proofErr w:type="spellEnd"/>
      <w:proofErr w:type="gramEnd"/>
      <w:r>
        <w:t xml:space="preserve">, London, WC2R 2LS. </w:t>
      </w:r>
      <w:hyperlink r:id="rId9" w:history="1">
        <w:r w:rsidRPr="008923C8">
          <w:rPr>
            <w:rStyle w:val="Hyperlink"/>
          </w:rPr>
          <w:t>martin.stevens@kcl.ac.uk</w:t>
        </w:r>
      </w:hyperlink>
      <w:r>
        <w:t xml:space="preserve"> </w:t>
      </w:r>
    </w:p>
    <w:p w14:paraId="17005574" w14:textId="77777777" w:rsidR="00494FA9" w:rsidRDefault="00494FA9" w:rsidP="00494FA9"/>
    <w:p w14:paraId="02DB0D79" w14:textId="77777777" w:rsidR="00494FA9" w:rsidRDefault="00494FA9" w:rsidP="00494FA9">
      <w:r>
        <w:t>Authors</w:t>
      </w:r>
    </w:p>
    <w:p w14:paraId="28A095A1" w14:textId="0F073184" w:rsidR="00494FA9" w:rsidRDefault="00494FA9" w:rsidP="00494FA9">
      <w:r>
        <w:t>Martin Stevens</w:t>
      </w:r>
      <w:r w:rsidRPr="00AA7622">
        <w:rPr>
          <w:vertAlign w:val="superscript"/>
        </w:rPr>
        <w:t>1</w:t>
      </w:r>
      <w:r>
        <w:t>, John Woolham</w:t>
      </w:r>
      <w:r w:rsidRPr="00AA7622">
        <w:rPr>
          <w:vertAlign w:val="superscript"/>
        </w:rPr>
        <w:t>2</w:t>
      </w:r>
      <w:r>
        <w:t>, Jill Manthorpe</w:t>
      </w:r>
      <w:r w:rsidRPr="00AA7622">
        <w:rPr>
          <w:vertAlign w:val="superscript"/>
        </w:rPr>
        <w:t>1</w:t>
      </w:r>
      <w:r w:rsidR="00531C47">
        <w:t>, Fiona Aspinal</w:t>
      </w:r>
      <w:r w:rsidRPr="00AA7622">
        <w:rPr>
          <w:vertAlign w:val="superscript"/>
        </w:rPr>
        <w:t>3</w:t>
      </w:r>
      <w:r>
        <w:t xml:space="preserve">, </w:t>
      </w:r>
      <w:proofErr w:type="spellStart"/>
      <w:r>
        <w:t>Shereen</w:t>
      </w:r>
      <w:proofErr w:type="spellEnd"/>
      <w:r>
        <w:t xml:space="preserve"> Hussein</w:t>
      </w:r>
      <w:r w:rsidRPr="00AA7622">
        <w:rPr>
          <w:vertAlign w:val="superscript"/>
        </w:rPr>
        <w:t>1</w:t>
      </w:r>
      <w:r>
        <w:t>, Kate Baxter</w:t>
      </w:r>
      <w:r w:rsidRPr="00AA7622">
        <w:rPr>
          <w:vertAlign w:val="superscript"/>
        </w:rPr>
        <w:t>3</w:t>
      </w:r>
      <w:r>
        <w:t>, Kritika Samsi</w:t>
      </w:r>
      <w:r w:rsidRPr="00AA7622">
        <w:rPr>
          <w:vertAlign w:val="superscript"/>
        </w:rPr>
        <w:t>1</w:t>
      </w:r>
      <w:r>
        <w:t xml:space="preserve"> and Mohamed Ismail</w:t>
      </w:r>
      <w:r w:rsidRPr="00AA7622">
        <w:rPr>
          <w:vertAlign w:val="superscript"/>
        </w:rPr>
        <w:t>4</w:t>
      </w:r>
    </w:p>
    <w:p w14:paraId="3398FD96" w14:textId="77777777" w:rsidR="00494FA9" w:rsidRDefault="00494FA9" w:rsidP="00494FA9">
      <w:bookmarkStart w:id="0" w:name="_GoBack"/>
      <w:bookmarkEnd w:id="0"/>
    </w:p>
    <w:p w14:paraId="0F452189" w14:textId="77777777" w:rsidR="00494FA9" w:rsidRDefault="00494FA9" w:rsidP="00494FA9">
      <w:pPr>
        <w:pStyle w:val="ListParagraph"/>
        <w:numPr>
          <w:ilvl w:val="0"/>
          <w:numId w:val="14"/>
        </w:numPr>
      </w:pPr>
      <w:r>
        <w:t xml:space="preserve">Social Care Workforce Research Unit, King’s College </w:t>
      </w:r>
      <w:proofErr w:type="spellStart"/>
      <w:r>
        <w:t>London,Strand</w:t>
      </w:r>
      <w:proofErr w:type="spellEnd"/>
      <w:r>
        <w:t>, London, WC2R 2LS</w:t>
      </w:r>
    </w:p>
    <w:p w14:paraId="6A244787" w14:textId="77777777" w:rsidR="00494FA9" w:rsidRDefault="00494FA9" w:rsidP="00494FA9">
      <w:pPr>
        <w:pStyle w:val="ListParagraph"/>
        <w:numPr>
          <w:ilvl w:val="0"/>
          <w:numId w:val="14"/>
        </w:numPr>
      </w:pPr>
      <w:r>
        <w:t>Faculty of Health and Life Sciences, Charles Ward Building, Coventry University, Coventry, CV1 5FB</w:t>
      </w:r>
    </w:p>
    <w:p w14:paraId="0CD9002E" w14:textId="77777777" w:rsidR="00494FA9" w:rsidRDefault="00494FA9" w:rsidP="00494FA9">
      <w:pPr>
        <w:pStyle w:val="ListParagraph"/>
        <w:numPr>
          <w:ilvl w:val="0"/>
          <w:numId w:val="14"/>
        </w:numPr>
      </w:pPr>
      <w:r>
        <w:t xml:space="preserve">Social Policy Research Unit, University of York, </w:t>
      </w:r>
      <w:proofErr w:type="spellStart"/>
      <w:r>
        <w:t>Heslington</w:t>
      </w:r>
      <w:proofErr w:type="spellEnd"/>
      <w:r>
        <w:t>, York, YO10 5DD</w:t>
      </w:r>
    </w:p>
    <w:p w14:paraId="7BE89B08" w14:textId="77777777" w:rsidR="00494FA9" w:rsidRDefault="00494FA9" w:rsidP="00494FA9">
      <w:pPr>
        <w:pStyle w:val="ListParagraph"/>
        <w:numPr>
          <w:ilvl w:val="0"/>
          <w:numId w:val="14"/>
        </w:numPr>
      </w:pPr>
      <w:r>
        <w:t xml:space="preserve">Analytical Research Limited, </w:t>
      </w:r>
      <w:r w:rsidRPr="00AA7622">
        <w:t>Station House, Connaught Road, Surrey, GU24 0ER</w:t>
      </w:r>
    </w:p>
    <w:p w14:paraId="25907632" w14:textId="77777777" w:rsidR="00494FA9" w:rsidRDefault="00494FA9" w:rsidP="00494FA9"/>
    <w:p w14:paraId="32133268" w14:textId="77777777" w:rsidR="00494FA9" w:rsidRDefault="00494FA9" w:rsidP="00494FA9">
      <w:r>
        <w:t>Keywords: Safeguarding, Personalisation, Risk, Personal Budgets, Social Work</w:t>
      </w:r>
    </w:p>
    <w:p w14:paraId="25819C3F" w14:textId="77777777" w:rsidR="00494FA9" w:rsidRDefault="00494FA9" w:rsidP="00494FA9"/>
    <w:p w14:paraId="7853D5E7" w14:textId="79BD7E2D" w:rsidR="00494FA9" w:rsidRDefault="00494FA9" w:rsidP="00494FA9">
      <w:r>
        <w:t>Journal of Social Work</w:t>
      </w:r>
    </w:p>
    <w:p w14:paraId="723516ED" w14:textId="77777777" w:rsidR="00494FA9" w:rsidRDefault="00494FA9" w:rsidP="00494FA9"/>
    <w:p w14:paraId="759E7CC1" w14:textId="10C193E7" w:rsidR="00494FA9" w:rsidRDefault="00494FA9" w:rsidP="00494FA9">
      <w:r>
        <w:t>Accepted 21/03/2016</w:t>
      </w:r>
    </w:p>
    <w:p w14:paraId="5C24F46B" w14:textId="77777777" w:rsidR="00494FA9" w:rsidRDefault="00494FA9" w:rsidP="00494FA9"/>
    <w:p w14:paraId="434207E3" w14:textId="77777777" w:rsidR="00494FA9" w:rsidRPr="00AA7622" w:rsidRDefault="00494FA9" w:rsidP="00494FA9"/>
    <w:p w14:paraId="374F246C" w14:textId="77777777" w:rsidR="00494FA9" w:rsidRDefault="00494FA9">
      <w:pPr>
        <w:spacing w:after="200" w:line="276" w:lineRule="auto"/>
        <w:rPr>
          <w:rFonts w:eastAsiaTheme="majorEastAsia" w:cstheme="majorBidi"/>
          <w:b/>
          <w:bCs/>
          <w:color w:val="0091C3"/>
          <w:sz w:val="32"/>
          <w:szCs w:val="28"/>
        </w:rPr>
      </w:pPr>
      <w:r>
        <w:br w:type="page"/>
      </w:r>
    </w:p>
    <w:p w14:paraId="6D91CCB2" w14:textId="57356ACD" w:rsidR="0052012F" w:rsidRDefault="0052012F" w:rsidP="0052012F">
      <w:pPr>
        <w:pStyle w:val="Heading1"/>
        <w:spacing w:before="0" w:line="480" w:lineRule="auto"/>
      </w:pPr>
      <w:r w:rsidRPr="003B7B27">
        <w:lastRenderedPageBreak/>
        <w:t>Implementing safeguarding and personali</w:t>
      </w:r>
      <w:r>
        <w:t>s</w:t>
      </w:r>
      <w:r w:rsidRPr="003B7B27">
        <w:t xml:space="preserve">ation in social </w:t>
      </w:r>
      <w:r>
        <w:t>work: findings from practice</w:t>
      </w:r>
    </w:p>
    <w:p w14:paraId="0D66BB9C" w14:textId="77777777" w:rsidR="0052012F" w:rsidRDefault="0052012F" w:rsidP="0052012F">
      <w:pPr>
        <w:pStyle w:val="Heading2"/>
        <w:spacing w:line="480" w:lineRule="auto"/>
      </w:pPr>
      <w:r>
        <w:t xml:space="preserve">250 words </w:t>
      </w:r>
      <w:r w:rsidRPr="00CC3796">
        <w:t xml:space="preserve">Abstract: </w:t>
      </w:r>
    </w:p>
    <w:p w14:paraId="3937F536" w14:textId="77777777" w:rsidR="0052012F" w:rsidRDefault="0052012F" w:rsidP="0052012F">
      <w:pPr>
        <w:pStyle w:val="Heading3"/>
        <w:spacing w:line="480" w:lineRule="auto"/>
      </w:pPr>
      <w:r>
        <w:t>Summary</w:t>
      </w:r>
    </w:p>
    <w:p w14:paraId="32C6F288" w14:textId="74FEB6BC" w:rsidR="0052012F" w:rsidRDefault="0052012F" w:rsidP="0052012F">
      <w:pPr>
        <w:spacing w:line="480" w:lineRule="auto"/>
      </w:pPr>
      <w:r>
        <w:t xml:space="preserve">This paper reports on part of a research study carried out in three local authority adult </w:t>
      </w:r>
      <w:r w:rsidR="00552E55">
        <w:t>social care</w:t>
      </w:r>
      <w:r>
        <w:t xml:space="preserve"> departments in England, which explored links between adult safeguarding and personalisation. The study included statistical analysis of data on safeguarding referrals and the take up of personal budgets and qualitative interviews with managers, social workers, other staff working on safeguarding and with service users. The paper reports the findings from 16 interviews with managers and social workers, highlighting their perspectives and experiences.</w:t>
      </w:r>
    </w:p>
    <w:p w14:paraId="1553240D" w14:textId="77777777" w:rsidR="0052012F" w:rsidRDefault="0052012F" w:rsidP="0052012F">
      <w:pPr>
        <w:pStyle w:val="Heading3"/>
        <w:spacing w:line="480" w:lineRule="auto"/>
      </w:pPr>
      <w:r>
        <w:t>Findings</w:t>
      </w:r>
    </w:p>
    <w:p w14:paraId="319AB5A1" w14:textId="77777777" w:rsidR="0052012F" w:rsidRDefault="0052012F" w:rsidP="0052012F">
      <w:pPr>
        <w:spacing w:line="480" w:lineRule="auto"/>
      </w:pPr>
      <w:r>
        <w:t>Five main themes emerged from our analysis: contexts and risk factors; views about  risks associated with Direct Payments, approaches to minimising risk; balancing risk and choice; and weaving safeguarding and personalisation practice</w:t>
      </w:r>
      <w:r>
        <w:rPr>
          <w:rFonts w:cs="Arial"/>
          <w:color w:val="000000"/>
          <w:szCs w:val="24"/>
        </w:rPr>
        <w:t xml:space="preserve">. </w:t>
      </w:r>
      <w:r>
        <w:t>Social workers identified similar ranges and kinds of risks to those identified in the national evaluation of Individual Budgets</w:t>
      </w:r>
      <w:r>
        <w:rPr>
          <w:rStyle w:val="CommentReference"/>
        </w:rPr>
        <w:t>.</w:t>
      </w:r>
      <w:r>
        <w:t xml:space="preserve"> They described a tension between policy objectives and their exercise of discretion to assess and manage risks. For example, some described how they would discourage certain people from taking their personal budget as a Direct Payment or suggest they take only part of a personal budget as a Direct Payment.</w:t>
      </w:r>
    </w:p>
    <w:p w14:paraId="1736B017" w14:textId="77777777" w:rsidR="0052012F" w:rsidRDefault="0052012F" w:rsidP="0052012F">
      <w:pPr>
        <w:pStyle w:val="Heading3"/>
        <w:spacing w:line="480" w:lineRule="auto"/>
      </w:pPr>
      <w:r>
        <w:lastRenderedPageBreak/>
        <w:t>Application</w:t>
      </w:r>
    </w:p>
    <w:p w14:paraId="280E2A97" w14:textId="77777777" w:rsidR="0052012F" w:rsidRPr="005B38EE" w:rsidRDefault="0052012F" w:rsidP="0052012F">
      <w:pPr>
        <w:spacing w:line="480" w:lineRule="auto"/>
      </w:pPr>
      <w:r>
        <w:t xml:space="preserve">This exploratory study supports the continued need for skilled social workers to deliver outcomes related to both safeguarding and personalisation policies. Implementing these policies may entail a new form of ‘care and control’, which may require specific approaches in supervision in order to ensure good practice is fostered and positive outcomes attained. </w:t>
      </w:r>
    </w:p>
    <w:p w14:paraId="42849A3A" w14:textId="77777777" w:rsidR="0052012F" w:rsidRDefault="0052012F" w:rsidP="0052012F">
      <w:pPr>
        <w:spacing w:line="480" w:lineRule="auto"/>
      </w:pPr>
    </w:p>
    <w:p w14:paraId="741D85D3" w14:textId="77777777" w:rsidR="0052012F" w:rsidRDefault="0052012F" w:rsidP="0052012F">
      <w:pPr>
        <w:pStyle w:val="Heading2"/>
        <w:spacing w:line="480" w:lineRule="auto"/>
      </w:pPr>
      <w:r>
        <w:t xml:space="preserve">Keywords: </w:t>
      </w:r>
    </w:p>
    <w:p w14:paraId="2BA3D8EE" w14:textId="77777777" w:rsidR="0052012F" w:rsidRPr="002D5A19" w:rsidRDefault="0052012F" w:rsidP="0052012F">
      <w:pPr>
        <w:spacing w:line="480" w:lineRule="auto"/>
      </w:pPr>
      <w:r>
        <w:t>Personalisation; Direct Payments; Personal Budgets; Safeguarding; Social Work</w:t>
      </w:r>
    </w:p>
    <w:p w14:paraId="47C5DDE1" w14:textId="77777777" w:rsidR="0052012F" w:rsidRDefault="0052012F" w:rsidP="0052012F">
      <w:pPr>
        <w:spacing w:line="480" w:lineRule="auto"/>
      </w:pPr>
    </w:p>
    <w:p w14:paraId="7AD80842" w14:textId="4114B192" w:rsidR="00F20090" w:rsidRPr="00096FF8" w:rsidRDefault="00F20090" w:rsidP="00490617">
      <w:pPr>
        <w:pStyle w:val="Heading2"/>
        <w:spacing w:line="480" w:lineRule="auto"/>
        <w:rPr>
          <w:rFonts w:asciiTheme="minorHAnsi" w:hAnsiTheme="minorHAnsi"/>
        </w:rPr>
      </w:pPr>
      <w:r w:rsidRPr="00096FF8">
        <w:rPr>
          <w:rFonts w:asciiTheme="minorHAnsi" w:hAnsiTheme="minorHAnsi"/>
        </w:rPr>
        <w:t>Introduction</w:t>
      </w:r>
    </w:p>
    <w:p w14:paraId="387C4076" w14:textId="6EA514D8" w:rsidR="0082087E" w:rsidRPr="00096FF8" w:rsidRDefault="00580BB0" w:rsidP="00490617">
      <w:pPr>
        <w:pStyle w:val="CommentText"/>
        <w:spacing w:line="480" w:lineRule="auto"/>
        <w:rPr>
          <w:rFonts w:asciiTheme="minorHAnsi" w:hAnsiTheme="minorHAnsi"/>
          <w:szCs w:val="24"/>
        </w:rPr>
      </w:pPr>
      <w:r w:rsidRPr="00096FF8">
        <w:rPr>
          <w:rFonts w:asciiTheme="minorHAnsi" w:hAnsiTheme="minorHAnsi"/>
          <w:szCs w:val="24"/>
        </w:rPr>
        <w:t>Personalisation</w:t>
      </w:r>
      <w:r w:rsidR="00DE652D" w:rsidRPr="00096FF8">
        <w:rPr>
          <w:rFonts w:asciiTheme="minorHAnsi" w:hAnsiTheme="minorHAnsi"/>
          <w:szCs w:val="24"/>
        </w:rPr>
        <w:t xml:space="preserve"> has been a </w:t>
      </w:r>
      <w:r w:rsidR="008914B2" w:rsidRPr="00096FF8">
        <w:rPr>
          <w:rFonts w:asciiTheme="minorHAnsi" w:hAnsiTheme="minorHAnsi"/>
          <w:szCs w:val="24"/>
        </w:rPr>
        <w:t xml:space="preserve">prominent </w:t>
      </w:r>
      <w:r w:rsidR="00DE652D" w:rsidRPr="00096FF8">
        <w:rPr>
          <w:rFonts w:asciiTheme="minorHAnsi" w:hAnsiTheme="minorHAnsi"/>
          <w:szCs w:val="24"/>
        </w:rPr>
        <w:t xml:space="preserve">policy aspiration of the English Department of Health (DH) </w:t>
      </w:r>
      <w:r w:rsidR="008914B2" w:rsidRPr="00096FF8">
        <w:rPr>
          <w:rFonts w:asciiTheme="minorHAnsi" w:hAnsiTheme="minorHAnsi"/>
          <w:szCs w:val="24"/>
        </w:rPr>
        <w:t>in recent years (</w:t>
      </w:r>
      <w:r w:rsidR="004F4159" w:rsidRPr="00096FF8">
        <w:rPr>
          <w:rFonts w:asciiTheme="minorHAnsi" w:hAnsiTheme="minorHAnsi"/>
          <w:szCs w:val="24"/>
        </w:rPr>
        <w:t>DH</w:t>
      </w:r>
      <w:r w:rsidR="00DE652D" w:rsidRPr="00096FF8">
        <w:rPr>
          <w:rFonts w:asciiTheme="minorHAnsi" w:hAnsiTheme="minorHAnsi"/>
          <w:szCs w:val="24"/>
        </w:rPr>
        <w:t xml:space="preserve"> 2008, Carr, 20</w:t>
      </w:r>
      <w:r w:rsidR="004F4159" w:rsidRPr="00096FF8">
        <w:rPr>
          <w:rFonts w:asciiTheme="minorHAnsi" w:hAnsiTheme="minorHAnsi"/>
          <w:szCs w:val="24"/>
        </w:rPr>
        <w:t>12</w:t>
      </w:r>
      <w:r w:rsidR="004E57D5" w:rsidRPr="00096FF8">
        <w:rPr>
          <w:rFonts w:asciiTheme="minorHAnsi" w:hAnsiTheme="minorHAnsi"/>
          <w:szCs w:val="24"/>
        </w:rPr>
        <w:t>,</w:t>
      </w:r>
      <w:r w:rsidR="00DE652D" w:rsidRPr="00096FF8">
        <w:rPr>
          <w:rFonts w:asciiTheme="minorHAnsi" w:hAnsiTheme="minorHAnsi"/>
          <w:szCs w:val="24"/>
        </w:rPr>
        <w:t xml:space="preserve"> DH, 2010</w:t>
      </w:r>
      <w:r w:rsidR="004F4159" w:rsidRPr="00096FF8">
        <w:rPr>
          <w:rFonts w:asciiTheme="minorHAnsi" w:hAnsiTheme="minorHAnsi"/>
          <w:szCs w:val="24"/>
        </w:rPr>
        <w:t>b</w:t>
      </w:r>
      <w:r w:rsidR="00DE652D" w:rsidRPr="00096FF8">
        <w:rPr>
          <w:rFonts w:asciiTheme="minorHAnsi" w:hAnsiTheme="minorHAnsi"/>
          <w:szCs w:val="24"/>
        </w:rPr>
        <w:t>)</w:t>
      </w:r>
      <w:r w:rsidR="00DC23D9" w:rsidRPr="00096FF8">
        <w:rPr>
          <w:rFonts w:asciiTheme="minorHAnsi" w:hAnsiTheme="minorHAnsi"/>
          <w:szCs w:val="24"/>
        </w:rPr>
        <w:t>.</w:t>
      </w:r>
      <w:r w:rsidR="005F2670" w:rsidRPr="00096FF8">
        <w:rPr>
          <w:rFonts w:asciiTheme="minorHAnsi" w:hAnsiTheme="minorHAnsi"/>
          <w:szCs w:val="24"/>
        </w:rPr>
        <w:t xml:space="preserve"> The Care Act 2014 continues this policy emphasis, requiring local authorities to offer </w:t>
      </w:r>
      <w:r w:rsidR="00D14027" w:rsidRPr="00096FF8">
        <w:rPr>
          <w:rFonts w:asciiTheme="minorHAnsi" w:hAnsiTheme="minorHAnsi"/>
          <w:szCs w:val="24"/>
        </w:rPr>
        <w:t xml:space="preserve">personal budgets </w:t>
      </w:r>
      <w:r w:rsidR="005F2670" w:rsidRPr="00096FF8">
        <w:rPr>
          <w:rFonts w:asciiTheme="minorHAnsi" w:hAnsiTheme="minorHAnsi"/>
          <w:szCs w:val="24"/>
        </w:rPr>
        <w:t xml:space="preserve">to all </w:t>
      </w:r>
      <w:r w:rsidR="00E85CAC" w:rsidRPr="00096FF8">
        <w:rPr>
          <w:rFonts w:asciiTheme="minorHAnsi" w:hAnsiTheme="minorHAnsi"/>
          <w:szCs w:val="24"/>
        </w:rPr>
        <w:t xml:space="preserve">those eligible for publicly funded social </w:t>
      </w:r>
      <w:r w:rsidR="00AF19ED" w:rsidRPr="00096FF8">
        <w:rPr>
          <w:rFonts w:asciiTheme="minorHAnsi" w:hAnsiTheme="minorHAnsi"/>
          <w:szCs w:val="24"/>
        </w:rPr>
        <w:t>care</w:t>
      </w:r>
      <w:r w:rsidR="00AF19ED">
        <w:rPr>
          <w:rFonts w:asciiTheme="minorHAnsi" w:hAnsiTheme="minorHAnsi"/>
          <w:szCs w:val="24"/>
        </w:rPr>
        <w:t>.</w:t>
      </w:r>
      <w:r w:rsidR="00AF19ED" w:rsidRPr="00096FF8">
        <w:rPr>
          <w:rFonts w:asciiTheme="minorHAnsi" w:hAnsiTheme="minorHAnsi"/>
          <w:szCs w:val="24"/>
        </w:rPr>
        <w:t xml:space="preserve"> However</w:t>
      </w:r>
      <w:r w:rsidR="008914B2" w:rsidRPr="00096FF8">
        <w:rPr>
          <w:rFonts w:asciiTheme="minorHAnsi" w:hAnsiTheme="minorHAnsi"/>
          <w:szCs w:val="24"/>
        </w:rPr>
        <w:t xml:space="preserve">, </w:t>
      </w:r>
      <w:r w:rsidR="005F2670" w:rsidRPr="00096FF8">
        <w:rPr>
          <w:rFonts w:asciiTheme="minorHAnsi" w:hAnsiTheme="minorHAnsi"/>
          <w:szCs w:val="24"/>
        </w:rPr>
        <w:t>personalisation</w:t>
      </w:r>
      <w:r w:rsidR="008914B2" w:rsidRPr="00096FF8">
        <w:rPr>
          <w:rFonts w:asciiTheme="minorHAnsi" w:hAnsiTheme="minorHAnsi"/>
          <w:szCs w:val="24"/>
        </w:rPr>
        <w:t xml:space="preserve"> </w:t>
      </w:r>
      <w:r w:rsidR="00D14027" w:rsidRPr="00096FF8">
        <w:rPr>
          <w:rFonts w:asciiTheme="minorHAnsi" w:hAnsiTheme="minorHAnsi"/>
          <w:szCs w:val="24"/>
        </w:rPr>
        <w:t>is</w:t>
      </w:r>
      <w:r w:rsidR="00DE652D" w:rsidRPr="00096FF8">
        <w:rPr>
          <w:rFonts w:asciiTheme="minorHAnsi" w:hAnsiTheme="minorHAnsi"/>
          <w:szCs w:val="24"/>
        </w:rPr>
        <w:t xml:space="preserve"> </w:t>
      </w:r>
      <w:r w:rsidR="008914B2" w:rsidRPr="00096FF8">
        <w:rPr>
          <w:rFonts w:asciiTheme="minorHAnsi" w:hAnsiTheme="minorHAnsi"/>
          <w:szCs w:val="24"/>
        </w:rPr>
        <w:t xml:space="preserve">defined </w:t>
      </w:r>
      <w:r w:rsidR="00DE652D" w:rsidRPr="00096FF8">
        <w:rPr>
          <w:rFonts w:asciiTheme="minorHAnsi" w:hAnsiTheme="minorHAnsi"/>
          <w:szCs w:val="24"/>
        </w:rPr>
        <w:t>in a number of ways. First</w:t>
      </w:r>
      <w:r w:rsidR="004106EB" w:rsidRPr="00096FF8">
        <w:rPr>
          <w:rFonts w:asciiTheme="minorHAnsi" w:hAnsiTheme="minorHAnsi"/>
          <w:szCs w:val="24"/>
        </w:rPr>
        <w:t>,</w:t>
      </w:r>
      <w:r w:rsidR="00DE652D" w:rsidRPr="00096FF8">
        <w:rPr>
          <w:rFonts w:asciiTheme="minorHAnsi" w:hAnsiTheme="minorHAnsi"/>
          <w:szCs w:val="24"/>
        </w:rPr>
        <w:t xml:space="preserve"> </w:t>
      </w:r>
      <w:r w:rsidR="004E57D5" w:rsidRPr="00096FF8">
        <w:rPr>
          <w:rFonts w:asciiTheme="minorHAnsi" w:hAnsiTheme="minorHAnsi"/>
          <w:szCs w:val="24"/>
        </w:rPr>
        <w:t xml:space="preserve">it may be seen as </w:t>
      </w:r>
      <w:r w:rsidRPr="00096FF8">
        <w:rPr>
          <w:rFonts w:asciiTheme="minorHAnsi" w:hAnsiTheme="minorHAnsi"/>
          <w:szCs w:val="24"/>
        </w:rPr>
        <w:t>the creation of support tailored to individual needs</w:t>
      </w:r>
      <w:r w:rsidR="00DE652D" w:rsidRPr="00096FF8">
        <w:rPr>
          <w:rFonts w:asciiTheme="minorHAnsi" w:hAnsiTheme="minorHAnsi"/>
          <w:szCs w:val="24"/>
        </w:rPr>
        <w:t>, offering greater flexibility, choice and control</w:t>
      </w:r>
      <w:r w:rsidR="00B47369" w:rsidRPr="00096FF8">
        <w:rPr>
          <w:rFonts w:asciiTheme="minorHAnsi" w:hAnsiTheme="minorHAnsi"/>
          <w:szCs w:val="24"/>
        </w:rPr>
        <w:t xml:space="preserve"> over </w:t>
      </w:r>
      <w:r w:rsidR="004E57D5" w:rsidRPr="00096FF8">
        <w:rPr>
          <w:rFonts w:asciiTheme="minorHAnsi" w:hAnsiTheme="minorHAnsi"/>
          <w:szCs w:val="24"/>
        </w:rPr>
        <w:t xml:space="preserve">care and support </w:t>
      </w:r>
      <w:r w:rsidR="008914B2" w:rsidRPr="00096FF8">
        <w:rPr>
          <w:rFonts w:asciiTheme="minorHAnsi" w:hAnsiTheme="minorHAnsi"/>
          <w:szCs w:val="24"/>
        </w:rPr>
        <w:t xml:space="preserve">than traditional services </w:t>
      </w:r>
      <w:r w:rsidR="00DE652D" w:rsidRPr="00096FF8">
        <w:rPr>
          <w:rFonts w:asciiTheme="minorHAnsi" w:hAnsiTheme="minorHAnsi"/>
          <w:szCs w:val="24"/>
        </w:rPr>
        <w:t xml:space="preserve">(Carr </w:t>
      </w:r>
      <w:r w:rsidR="00775DE5" w:rsidRPr="00096FF8">
        <w:rPr>
          <w:rFonts w:asciiTheme="minorHAnsi" w:hAnsiTheme="minorHAnsi"/>
          <w:szCs w:val="24"/>
        </w:rPr>
        <w:t>2012</w:t>
      </w:r>
      <w:r w:rsidR="00DE652D" w:rsidRPr="00096FF8">
        <w:rPr>
          <w:rFonts w:asciiTheme="minorHAnsi" w:hAnsiTheme="minorHAnsi"/>
          <w:szCs w:val="24"/>
        </w:rPr>
        <w:t>)</w:t>
      </w:r>
      <w:r w:rsidR="00DC23D9" w:rsidRPr="00096FF8">
        <w:rPr>
          <w:rFonts w:asciiTheme="minorHAnsi" w:hAnsiTheme="minorHAnsi"/>
          <w:szCs w:val="24"/>
        </w:rPr>
        <w:t xml:space="preserve">. </w:t>
      </w:r>
      <w:r w:rsidR="008914B2" w:rsidRPr="00096FF8">
        <w:rPr>
          <w:rFonts w:asciiTheme="minorHAnsi" w:hAnsiTheme="minorHAnsi"/>
          <w:szCs w:val="24"/>
        </w:rPr>
        <w:t>It</w:t>
      </w:r>
      <w:r w:rsidR="00DE652D" w:rsidRPr="00096FF8">
        <w:rPr>
          <w:rFonts w:asciiTheme="minorHAnsi" w:hAnsiTheme="minorHAnsi"/>
          <w:szCs w:val="24"/>
        </w:rPr>
        <w:t xml:space="preserve"> has </w:t>
      </w:r>
      <w:r w:rsidR="00CA6A34" w:rsidRPr="00096FF8">
        <w:rPr>
          <w:rFonts w:asciiTheme="minorHAnsi" w:hAnsiTheme="minorHAnsi"/>
          <w:szCs w:val="24"/>
        </w:rPr>
        <w:t xml:space="preserve">also </w:t>
      </w:r>
      <w:r w:rsidR="00DE652D" w:rsidRPr="00096FF8">
        <w:rPr>
          <w:rFonts w:asciiTheme="minorHAnsi" w:hAnsiTheme="minorHAnsi"/>
          <w:szCs w:val="24"/>
        </w:rPr>
        <w:t>been argued that</w:t>
      </w:r>
      <w:r w:rsidR="00CA6A34" w:rsidRPr="00096FF8">
        <w:rPr>
          <w:rFonts w:asciiTheme="minorHAnsi" w:hAnsiTheme="minorHAnsi"/>
          <w:szCs w:val="24"/>
        </w:rPr>
        <w:t xml:space="preserve"> </w:t>
      </w:r>
      <w:r w:rsidR="00DE652D" w:rsidRPr="00096FF8">
        <w:rPr>
          <w:rFonts w:asciiTheme="minorHAnsi" w:hAnsiTheme="minorHAnsi"/>
          <w:szCs w:val="24"/>
        </w:rPr>
        <w:t xml:space="preserve">personalisation, particularly the use of </w:t>
      </w:r>
      <w:r w:rsidR="00D14027" w:rsidRPr="00096FF8">
        <w:rPr>
          <w:rFonts w:asciiTheme="minorHAnsi" w:hAnsiTheme="minorHAnsi"/>
          <w:szCs w:val="24"/>
        </w:rPr>
        <w:t xml:space="preserve">personal budgets </w:t>
      </w:r>
      <w:r w:rsidR="00DE652D" w:rsidRPr="00096FF8">
        <w:rPr>
          <w:rFonts w:asciiTheme="minorHAnsi" w:hAnsiTheme="minorHAnsi"/>
          <w:szCs w:val="24"/>
        </w:rPr>
        <w:t xml:space="preserve">and </w:t>
      </w:r>
      <w:r w:rsidR="00137BED" w:rsidRPr="00096FF8">
        <w:rPr>
          <w:rFonts w:asciiTheme="minorHAnsi" w:hAnsiTheme="minorHAnsi"/>
          <w:szCs w:val="24"/>
        </w:rPr>
        <w:t>D</w:t>
      </w:r>
      <w:r w:rsidR="00DE652D" w:rsidRPr="00096FF8">
        <w:rPr>
          <w:rFonts w:asciiTheme="minorHAnsi" w:hAnsiTheme="minorHAnsi"/>
          <w:szCs w:val="24"/>
        </w:rPr>
        <w:t xml:space="preserve">irect </w:t>
      </w:r>
      <w:r w:rsidR="00137BED" w:rsidRPr="00096FF8">
        <w:rPr>
          <w:rFonts w:asciiTheme="minorHAnsi" w:hAnsiTheme="minorHAnsi"/>
          <w:szCs w:val="24"/>
        </w:rPr>
        <w:t>P</w:t>
      </w:r>
      <w:r w:rsidR="00DE652D" w:rsidRPr="00096FF8">
        <w:rPr>
          <w:rFonts w:asciiTheme="minorHAnsi" w:hAnsiTheme="minorHAnsi"/>
          <w:szCs w:val="24"/>
        </w:rPr>
        <w:t xml:space="preserve">ayments </w:t>
      </w:r>
      <w:r w:rsidR="004E57D5" w:rsidRPr="00096FF8">
        <w:rPr>
          <w:rFonts w:asciiTheme="minorHAnsi" w:hAnsiTheme="minorHAnsi"/>
          <w:szCs w:val="24"/>
        </w:rPr>
        <w:t>or cash</w:t>
      </w:r>
      <w:r w:rsidR="00E60F45" w:rsidRPr="00096FF8">
        <w:rPr>
          <w:rFonts w:asciiTheme="minorHAnsi" w:hAnsiTheme="minorHAnsi"/>
          <w:szCs w:val="24"/>
        </w:rPr>
        <w:t>-</w:t>
      </w:r>
      <w:r w:rsidR="004E57D5" w:rsidRPr="00096FF8">
        <w:rPr>
          <w:rFonts w:asciiTheme="minorHAnsi" w:hAnsiTheme="minorHAnsi"/>
          <w:szCs w:val="24"/>
        </w:rPr>
        <w:t>for</w:t>
      </w:r>
      <w:r w:rsidR="00183F27" w:rsidRPr="00096FF8">
        <w:rPr>
          <w:rFonts w:asciiTheme="minorHAnsi" w:hAnsiTheme="minorHAnsi"/>
          <w:szCs w:val="24"/>
        </w:rPr>
        <w:t>-</w:t>
      </w:r>
      <w:r w:rsidR="004E57D5" w:rsidRPr="00096FF8">
        <w:rPr>
          <w:rFonts w:asciiTheme="minorHAnsi" w:hAnsiTheme="minorHAnsi"/>
          <w:szCs w:val="24"/>
        </w:rPr>
        <w:t xml:space="preserve">care, </w:t>
      </w:r>
      <w:r w:rsidR="00285295" w:rsidRPr="00096FF8">
        <w:rPr>
          <w:rFonts w:asciiTheme="minorHAnsi" w:hAnsiTheme="minorHAnsi"/>
          <w:szCs w:val="24"/>
        </w:rPr>
        <w:t>reflect</w:t>
      </w:r>
      <w:r w:rsidR="004A4353" w:rsidRPr="00096FF8">
        <w:rPr>
          <w:rFonts w:asciiTheme="minorHAnsi" w:hAnsiTheme="minorHAnsi"/>
          <w:szCs w:val="24"/>
        </w:rPr>
        <w:t>s</w:t>
      </w:r>
      <w:r w:rsidR="00DE652D" w:rsidRPr="00096FF8">
        <w:rPr>
          <w:rFonts w:asciiTheme="minorHAnsi" w:hAnsiTheme="minorHAnsi"/>
          <w:szCs w:val="24"/>
        </w:rPr>
        <w:t xml:space="preserve"> a neoliberal agenda of </w:t>
      </w:r>
      <w:r w:rsidR="008914B2" w:rsidRPr="00096FF8">
        <w:rPr>
          <w:rFonts w:asciiTheme="minorHAnsi" w:hAnsiTheme="minorHAnsi"/>
          <w:szCs w:val="24"/>
        </w:rPr>
        <w:t xml:space="preserve">reducing </w:t>
      </w:r>
      <w:r w:rsidR="00DE652D" w:rsidRPr="00096FF8">
        <w:rPr>
          <w:rFonts w:asciiTheme="minorHAnsi" w:hAnsiTheme="minorHAnsi"/>
          <w:szCs w:val="24"/>
        </w:rPr>
        <w:t xml:space="preserve">public sector </w:t>
      </w:r>
      <w:r w:rsidR="008914B2" w:rsidRPr="00096FF8">
        <w:rPr>
          <w:rFonts w:asciiTheme="minorHAnsi" w:hAnsiTheme="minorHAnsi"/>
          <w:szCs w:val="24"/>
        </w:rPr>
        <w:t xml:space="preserve">expenditure </w:t>
      </w:r>
      <w:r w:rsidR="00DE652D" w:rsidRPr="00096FF8">
        <w:rPr>
          <w:rFonts w:asciiTheme="minorHAnsi" w:hAnsiTheme="minorHAnsi"/>
          <w:szCs w:val="24"/>
        </w:rPr>
        <w:t xml:space="preserve">and increasing </w:t>
      </w:r>
      <w:r w:rsidR="004E57D5" w:rsidRPr="00096FF8">
        <w:rPr>
          <w:rFonts w:asciiTheme="minorHAnsi" w:hAnsiTheme="minorHAnsi"/>
          <w:szCs w:val="24"/>
        </w:rPr>
        <w:t>commercial</w:t>
      </w:r>
      <w:r w:rsidR="00CA6A34" w:rsidRPr="00096FF8">
        <w:rPr>
          <w:rFonts w:asciiTheme="minorHAnsi" w:hAnsiTheme="minorHAnsi"/>
          <w:szCs w:val="24"/>
        </w:rPr>
        <w:t xml:space="preserve"> </w:t>
      </w:r>
      <w:r w:rsidR="008914B2" w:rsidRPr="00096FF8">
        <w:rPr>
          <w:rFonts w:asciiTheme="minorHAnsi" w:hAnsiTheme="minorHAnsi"/>
          <w:szCs w:val="24"/>
        </w:rPr>
        <w:t>transaction</w:t>
      </w:r>
      <w:r w:rsidR="00CA6A34" w:rsidRPr="00096FF8">
        <w:rPr>
          <w:rFonts w:asciiTheme="minorHAnsi" w:hAnsiTheme="minorHAnsi"/>
          <w:szCs w:val="24"/>
        </w:rPr>
        <w:t xml:space="preserve">s that offer consumer choice at the expense of </w:t>
      </w:r>
      <w:r w:rsidR="004E57D5" w:rsidRPr="00096FF8">
        <w:rPr>
          <w:rFonts w:asciiTheme="minorHAnsi" w:hAnsiTheme="minorHAnsi"/>
          <w:szCs w:val="24"/>
        </w:rPr>
        <w:t xml:space="preserve">more </w:t>
      </w:r>
      <w:r w:rsidR="00CA6A34" w:rsidRPr="00096FF8">
        <w:rPr>
          <w:rFonts w:asciiTheme="minorHAnsi" w:hAnsiTheme="minorHAnsi"/>
          <w:szCs w:val="24"/>
        </w:rPr>
        <w:t>universal entitlement and citizenship (Daly</w:t>
      </w:r>
      <w:r w:rsidR="00360D28" w:rsidRPr="00096FF8">
        <w:rPr>
          <w:rFonts w:asciiTheme="minorHAnsi" w:hAnsiTheme="minorHAnsi"/>
          <w:szCs w:val="24"/>
        </w:rPr>
        <w:t>,</w:t>
      </w:r>
      <w:r w:rsidR="00CA6A34" w:rsidRPr="00096FF8">
        <w:rPr>
          <w:rFonts w:asciiTheme="minorHAnsi" w:hAnsiTheme="minorHAnsi"/>
          <w:szCs w:val="24"/>
        </w:rPr>
        <w:t xml:space="preserve"> 2012</w:t>
      </w:r>
      <w:r w:rsidR="00DE0A17">
        <w:rPr>
          <w:rFonts w:asciiTheme="minorHAnsi" w:hAnsiTheme="minorHAnsi"/>
          <w:szCs w:val="24"/>
        </w:rPr>
        <w:t>; Lymbery, 2014</w:t>
      </w:r>
      <w:r w:rsidR="00CA6A34" w:rsidRPr="00096FF8">
        <w:rPr>
          <w:rFonts w:asciiTheme="minorHAnsi" w:hAnsiTheme="minorHAnsi"/>
          <w:szCs w:val="24"/>
        </w:rPr>
        <w:t>)</w:t>
      </w:r>
      <w:r w:rsidR="00017A61" w:rsidRPr="00096FF8">
        <w:rPr>
          <w:rFonts w:asciiTheme="minorHAnsi" w:hAnsiTheme="minorHAnsi"/>
          <w:szCs w:val="24"/>
        </w:rPr>
        <w:t xml:space="preserve">. </w:t>
      </w:r>
      <w:r w:rsidR="00775DE5" w:rsidRPr="00096FF8">
        <w:rPr>
          <w:rFonts w:asciiTheme="minorHAnsi" w:hAnsiTheme="minorHAnsi"/>
          <w:szCs w:val="24"/>
        </w:rPr>
        <w:t xml:space="preserve">Furthermore, </w:t>
      </w:r>
      <w:r w:rsidR="00DC23D9" w:rsidRPr="00096FF8">
        <w:rPr>
          <w:rFonts w:asciiTheme="minorHAnsi" w:hAnsiTheme="minorHAnsi"/>
          <w:szCs w:val="24"/>
        </w:rPr>
        <w:t xml:space="preserve">personalisation </w:t>
      </w:r>
      <w:r w:rsidR="00A70279" w:rsidRPr="00096FF8">
        <w:rPr>
          <w:rFonts w:asciiTheme="minorHAnsi" w:hAnsiTheme="minorHAnsi"/>
          <w:szCs w:val="24"/>
        </w:rPr>
        <w:t>has been implemented</w:t>
      </w:r>
      <w:r w:rsidR="00DC23D9" w:rsidRPr="00096FF8">
        <w:rPr>
          <w:rFonts w:asciiTheme="minorHAnsi" w:hAnsiTheme="minorHAnsi"/>
          <w:szCs w:val="24"/>
        </w:rPr>
        <w:t xml:space="preserve"> in the context of means</w:t>
      </w:r>
      <w:r w:rsidR="00360D28" w:rsidRPr="00096FF8">
        <w:rPr>
          <w:rFonts w:asciiTheme="minorHAnsi" w:hAnsiTheme="minorHAnsi"/>
          <w:szCs w:val="24"/>
        </w:rPr>
        <w:t>-</w:t>
      </w:r>
      <w:r w:rsidR="00DC23D9" w:rsidRPr="00096FF8">
        <w:rPr>
          <w:rFonts w:asciiTheme="minorHAnsi" w:hAnsiTheme="minorHAnsi"/>
          <w:szCs w:val="24"/>
        </w:rPr>
        <w:t xml:space="preserve">testing and high eligibility thresholds at a time when diminishing numbers of people are receiving local authority funded </w:t>
      </w:r>
      <w:r w:rsidR="008914B2" w:rsidRPr="00096FF8">
        <w:rPr>
          <w:rFonts w:asciiTheme="minorHAnsi" w:hAnsiTheme="minorHAnsi"/>
          <w:szCs w:val="24"/>
        </w:rPr>
        <w:t xml:space="preserve">services </w:t>
      </w:r>
      <w:r w:rsidR="00DC23D9" w:rsidRPr="00096FF8">
        <w:rPr>
          <w:rFonts w:asciiTheme="minorHAnsi" w:hAnsiTheme="minorHAnsi"/>
          <w:szCs w:val="24"/>
        </w:rPr>
        <w:t>(Fernandez et al</w:t>
      </w:r>
      <w:r w:rsidR="00CA6A34" w:rsidRPr="00096FF8">
        <w:rPr>
          <w:rFonts w:asciiTheme="minorHAnsi" w:hAnsiTheme="minorHAnsi"/>
          <w:szCs w:val="24"/>
        </w:rPr>
        <w:t>.</w:t>
      </w:r>
      <w:r w:rsidR="00DC23D9" w:rsidRPr="00096FF8">
        <w:rPr>
          <w:rFonts w:asciiTheme="minorHAnsi" w:hAnsiTheme="minorHAnsi"/>
          <w:szCs w:val="24"/>
        </w:rPr>
        <w:t xml:space="preserve"> 2013)</w:t>
      </w:r>
      <w:r w:rsidR="004A4353" w:rsidRPr="00096FF8">
        <w:rPr>
          <w:rFonts w:asciiTheme="minorHAnsi" w:hAnsiTheme="minorHAnsi"/>
          <w:szCs w:val="24"/>
        </w:rPr>
        <w:t>.</w:t>
      </w:r>
      <w:r w:rsidR="00A70279" w:rsidRPr="00096FF8">
        <w:rPr>
          <w:rFonts w:asciiTheme="minorHAnsi" w:hAnsiTheme="minorHAnsi"/>
          <w:szCs w:val="24"/>
        </w:rPr>
        <w:t xml:space="preserve"> </w:t>
      </w:r>
      <w:r w:rsidR="004A4353" w:rsidRPr="00096FF8">
        <w:rPr>
          <w:rFonts w:asciiTheme="minorHAnsi" w:hAnsiTheme="minorHAnsi"/>
          <w:szCs w:val="24"/>
        </w:rPr>
        <w:t>This</w:t>
      </w:r>
      <w:r w:rsidR="008914B2" w:rsidRPr="00096FF8">
        <w:rPr>
          <w:rFonts w:asciiTheme="minorHAnsi" w:hAnsiTheme="minorHAnsi"/>
          <w:szCs w:val="24"/>
        </w:rPr>
        <w:t xml:space="preserve"> may suggest the individual </w:t>
      </w:r>
      <w:r w:rsidR="00775DE5" w:rsidRPr="00096FF8">
        <w:rPr>
          <w:rFonts w:asciiTheme="minorHAnsi" w:hAnsiTheme="minorHAnsi"/>
          <w:szCs w:val="24"/>
        </w:rPr>
        <w:t>has to</w:t>
      </w:r>
      <w:r w:rsidR="008914B2" w:rsidRPr="00096FF8">
        <w:rPr>
          <w:rFonts w:asciiTheme="minorHAnsi" w:hAnsiTheme="minorHAnsi"/>
          <w:szCs w:val="24"/>
        </w:rPr>
        <w:t xml:space="preserve"> </w:t>
      </w:r>
      <w:r w:rsidR="008914B2" w:rsidRPr="00096FF8">
        <w:rPr>
          <w:rFonts w:asciiTheme="minorHAnsi" w:hAnsiTheme="minorHAnsi"/>
          <w:szCs w:val="24"/>
        </w:rPr>
        <w:lastRenderedPageBreak/>
        <w:t>take on</w:t>
      </w:r>
      <w:r w:rsidR="00775DE5" w:rsidRPr="00096FF8">
        <w:rPr>
          <w:rFonts w:asciiTheme="minorHAnsi" w:hAnsiTheme="minorHAnsi"/>
          <w:szCs w:val="24"/>
        </w:rPr>
        <w:t xml:space="preserve"> more</w:t>
      </w:r>
      <w:r w:rsidR="008914B2" w:rsidRPr="00096FF8">
        <w:rPr>
          <w:rFonts w:asciiTheme="minorHAnsi" w:hAnsiTheme="minorHAnsi"/>
          <w:szCs w:val="24"/>
        </w:rPr>
        <w:t xml:space="preserve"> responsibility for the size and shape of care</w:t>
      </w:r>
      <w:r w:rsidR="00DC23D9" w:rsidRPr="00096FF8">
        <w:rPr>
          <w:rFonts w:asciiTheme="minorHAnsi" w:hAnsiTheme="minorHAnsi"/>
          <w:szCs w:val="24"/>
        </w:rPr>
        <w:t>.</w:t>
      </w:r>
      <w:r w:rsidR="0082087E" w:rsidRPr="00096FF8">
        <w:rPr>
          <w:rFonts w:asciiTheme="minorHAnsi" w:hAnsiTheme="minorHAnsi"/>
          <w:szCs w:val="24"/>
        </w:rPr>
        <w:t xml:space="preserve"> As Slasberg and Beresford (2015) note, this trend leads to </w:t>
      </w:r>
      <w:r w:rsidR="00D14027" w:rsidRPr="00096FF8">
        <w:rPr>
          <w:rFonts w:asciiTheme="minorHAnsi" w:hAnsiTheme="minorHAnsi"/>
          <w:szCs w:val="24"/>
        </w:rPr>
        <w:t>substantial</w:t>
      </w:r>
      <w:r w:rsidR="0082087E" w:rsidRPr="00096FF8">
        <w:rPr>
          <w:rFonts w:asciiTheme="minorHAnsi" w:hAnsiTheme="minorHAnsi"/>
          <w:szCs w:val="24"/>
        </w:rPr>
        <w:t xml:space="preserve"> unacknowledged unmet need</w:t>
      </w:r>
      <w:r w:rsidR="00D14027" w:rsidRPr="00096FF8">
        <w:rPr>
          <w:rFonts w:asciiTheme="minorHAnsi" w:hAnsiTheme="minorHAnsi"/>
          <w:szCs w:val="24"/>
        </w:rPr>
        <w:t>.</w:t>
      </w:r>
    </w:p>
    <w:p w14:paraId="4FE1F495" w14:textId="77777777" w:rsidR="0082087E" w:rsidRPr="00096FF8" w:rsidRDefault="0082087E" w:rsidP="00490617">
      <w:pPr>
        <w:pStyle w:val="CommentText"/>
        <w:spacing w:line="480" w:lineRule="auto"/>
        <w:rPr>
          <w:rFonts w:asciiTheme="minorHAnsi" w:hAnsiTheme="minorHAnsi"/>
          <w:szCs w:val="24"/>
        </w:rPr>
      </w:pPr>
    </w:p>
    <w:p w14:paraId="4CC1C762" w14:textId="00E655B2" w:rsidR="004C2E95" w:rsidRPr="00096FF8" w:rsidRDefault="00096FF8" w:rsidP="00490617">
      <w:pPr>
        <w:pStyle w:val="CommentText"/>
        <w:spacing w:line="480" w:lineRule="auto"/>
        <w:rPr>
          <w:rFonts w:asciiTheme="minorHAnsi" w:hAnsiTheme="minorHAnsi"/>
          <w:szCs w:val="24"/>
        </w:rPr>
      </w:pPr>
      <w:r w:rsidRPr="00096FF8">
        <w:rPr>
          <w:rFonts w:asciiTheme="minorHAnsi" w:hAnsiTheme="minorHAnsi"/>
          <w:szCs w:val="24"/>
        </w:rPr>
        <w:t xml:space="preserve">However, </w:t>
      </w:r>
      <w:r w:rsidR="00DA000A" w:rsidRPr="00096FF8">
        <w:rPr>
          <w:rFonts w:asciiTheme="minorHAnsi" w:hAnsiTheme="minorHAnsi"/>
          <w:szCs w:val="24"/>
        </w:rPr>
        <w:t xml:space="preserve">Needham (2010) cites some research claiming </w:t>
      </w:r>
      <w:r w:rsidR="00C628A6" w:rsidRPr="00096FF8">
        <w:rPr>
          <w:rFonts w:asciiTheme="minorHAnsi" w:hAnsiTheme="minorHAnsi"/>
          <w:szCs w:val="24"/>
        </w:rPr>
        <w:t xml:space="preserve">that </w:t>
      </w:r>
      <w:r w:rsidR="0082087E" w:rsidRPr="00096FF8">
        <w:rPr>
          <w:rFonts w:asciiTheme="minorHAnsi" w:hAnsiTheme="minorHAnsi"/>
          <w:szCs w:val="24"/>
        </w:rPr>
        <w:t>there is a</w:t>
      </w:r>
      <w:r w:rsidR="00DA000A" w:rsidRPr="00096FF8">
        <w:rPr>
          <w:rFonts w:asciiTheme="minorHAnsi" w:hAnsiTheme="minorHAnsi"/>
          <w:szCs w:val="24"/>
        </w:rPr>
        <w:t xml:space="preserve"> ‘</w:t>
      </w:r>
      <w:r w:rsidR="00DA000A" w:rsidRPr="00096FF8">
        <w:rPr>
          <w:rFonts w:asciiTheme="minorHAnsi" w:hAnsiTheme="minorHAnsi"/>
        </w:rPr>
        <w:t>potential for personalization to deliver cost-savings, through getting users to be more creative in their use of funds’</w:t>
      </w:r>
      <w:r w:rsidR="009D6EF1" w:rsidRPr="00096FF8">
        <w:rPr>
          <w:rFonts w:asciiTheme="minorHAnsi" w:hAnsiTheme="minorHAnsi"/>
          <w:szCs w:val="24"/>
        </w:rPr>
        <w:t xml:space="preserve"> (Needham, 2010</w:t>
      </w:r>
      <w:r w:rsidR="00DA000A" w:rsidRPr="00096FF8">
        <w:rPr>
          <w:rFonts w:asciiTheme="minorHAnsi" w:hAnsiTheme="minorHAnsi"/>
          <w:szCs w:val="24"/>
        </w:rPr>
        <w:t xml:space="preserve">, </w:t>
      </w:r>
      <w:r w:rsidR="000F0172" w:rsidRPr="00096FF8">
        <w:rPr>
          <w:rFonts w:asciiTheme="minorHAnsi" w:hAnsiTheme="minorHAnsi"/>
          <w:szCs w:val="24"/>
        </w:rPr>
        <w:t>p136)</w:t>
      </w:r>
      <w:r w:rsidR="00E12505" w:rsidRPr="00096FF8">
        <w:rPr>
          <w:rFonts w:asciiTheme="minorHAnsi" w:hAnsiTheme="minorHAnsi"/>
          <w:szCs w:val="24"/>
        </w:rPr>
        <w:t>.</w:t>
      </w:r>
      <w:r w:rsidR="008E7497" w:rsidRPr="00096FF8">
        <w:rPr>
          <w:rFonts w:asciiTheme="minorHAnsi" w:hAnsiTheme="minorHAnsi"/>
          <w:szCs w:val="24"/>
        </w:rPr>
        <w:t xml:space="preserve"> </w:t>
      </w:r>
      <w:r w:rsidR="00E6129C" w:rsidRPr="00096FF8">
        <w:rPr>
          <w:rFonts w:asciiTheme="minorHAnsi" w:hAnsiTheme="minorHAnsi"/>
          <w:szCs w:val="24"/>
        </w:rPr>
        <w:t>Local authorities may therefore exert</w:t>
      </w:r>
      <w:r w:rsidR="008E7497" w:rsidRPr="00096FF8">
        <w:rPr>
          <w:rFonts w:asciiTheme="minorHAnsi" w:hAnsiTheme="minorHAnsi"/>
          <w:szCs w:val="24"/>
        </w:rPr>
        <w:t xml:space="preserve"> pressure on care managers to </w:t>
      </w:r>
      <w:r w:rsidRPr="00096FF8">
        <w:rPr>
          <w:rFonts w:asciiTheme="minorHAnsi" w:hAnsiTheme="minorHAnsi"/>
          <w:szCs w:val="24"/>
        </w:rPr>
        <w:t>increase numbers of</w:t>
      </w:r>
      <w:r w:rsidR="008E7497" w:rsidRPr="00096FF8">
        <w:rPr>
          <w:rFonts w:asciiTheme="minorHAnsi" w:hAnsiTheme="minorHAnsi"/>
          <w:szCs w:val="24"/>
        </w:rPr>
        <w:t xml:space="preserve"> people on D</w:t>
      </w:r>
      <w:r w:rsidR="00483C84" w:rsidRPr="00096FF8">
        <w:rPr>
          <w:rFonts w:asciiTheme="minorHAnsi" w:hAnsiTheme="minorHAnsi"/>
          <w:szCs w:val="24"/>
        </w:rPr>
        <w:t xml:space="preserve">irect </w:t>
      </w:r>
      <w:r w:rsidR="008E7497" w:rsidRPr="00096FF8">
        <w:rPr>
          <w:rFonts w:asciiTheme="minorHAnsi" w:hAnsiTheme="minorHAnsi"/>
          <w:szCs w:val="24"/>
        </w:rPr>
        <w:t>P</w:t>
      </w:r>
      <w:r w:rsidR="00483C84" w:rsidRPr="00096FF8">
        <w:rPr>
          <w:rFonts w:asciiTheme="minorHAnsi" w:hAnsiTheme="minorHAnsi"/>
          <w:szCs w:val="24"/>
        </w:rPr>
        <w:t>ayments</w:t>
      </w:r>
      <w:r w:rsidR="00E6129C" w:rsidRPr="00096FF8">
        <w:rPr>
          <w:rFonts w:asciiTheme="minorHAnsi" w:hAnsiTheme="minorHAnsi"/>
          <w:szCs w:val="24"/>
        </w:rPr>
        <w:t>, which may lead to</w:t>
      </w:r>
      <w:r w:rsidR="002B4571">
        <w:rPr>
          <w:rFonts w:asciiTheme="minorHAnsi" w:hAnsiTheme="minorHAnsi"/>
          <w:szCs w:val="24"/>
        </w:rPr>
        <w:t xml:space="preserve"> increased risk and</w:t>
      </w:r>
      <w:r w:rsidR="00E6129C" w:rsidRPr="00096FF8">
        <w:rPr>
          <w:rFonts w:asciiTheme="minorHAnsi" w:hAnsiTheme="minorHAnsi"/>
          <w:szCs w:val="24"/>
        </w:rPr>
        <w:t xml:space="preserve"> </w:t>
      </w:r>
      <w:r w:rsidR="00C46A54" w:rsidRPr="00096FF8">
        <w:rPr>
          <w:rFonts w:asciiTheme="minorHAnsi" w:hAnsiTheme="minorHAnsi"/>
          <w:szCs w:val="24"/>
        </w:rPr>
        <w:t xml:space="preserve">some </w:t>
      </w:r>
      <w:r w:rsidR="00E6129C" w:rsidRPr="00096FF8">
        <w:rPr>
          <w:rFonts w:asciiTheme="minorHAnsi" w:hAnsiTheme="minorHAnsi"/>
          <w:szCs w:val="24"/>
        </w:rPr>
        <w:t xml:space="preserve">individuals </w:t>
      </w:r>
      <w:r w:rsidR="00C46A54" w:rsidRPr="00096FF8">
        <w:rPr>
          <w:rFonts w:asciiTheme="minorHAnsi" w:hAnsiTheme="minorHAnsi"/>
          <w:szCs w:val="24"/>
        </w:rPr>
        <w:t>struggl</w:t>
      </w:r>
      <w:r w:rsidR="00E6129C" w:rsidRPr="00096FF8">
        <w:rPr>
          <w:rFonts w:asciiTheme="minorHAnsi" w:hAnsiTheme="minorHAnsi"/>
          <w:szCs w:val="24"/>
        </w:rPr>
        <w:t>ing</w:t>
      </w:r>
      <w:r w:rsidR="00C46A54" w:rsidRPr="00096FF8">
        <w:rPr>
          <w:rFonts w:asciiTheme="minorHAnsi" w:hAnsiTheme="minorHAnsi"/>
          <w:szCs w:val="24"/>
        </w:rPr>
        <w:t xml:space="preserve"> to organise and manage care</w:t>
      </w:r>
      <w:r w:rsidR="00483C84" w:rsidRPr="00096FF8">
        <w:rPr>
          <w:rFonts w:asciiTheme="minorHAnsi" w:hAnsiTheme="minorHAnsi"/>
          <w:szCs w:val="24"/>
        </w:rPr>
        <w:t xml:space="preserve">. Lloyd (2010) argues that such consequences arise from an individualistic conception of choice and control, rather than acknowledging the centrality </w:t>
      </w:r>
      <w:r w:rsidR="00285295" w:rsidRPr="00096FF8">
        <w:rPr>
          <w:rFonts w:asciiTheme="minorHAnsi" w:hAnsiTheme="minorHAnsi"/>
          <w:szCs w:val="24"/>
        </w:rPr>
        <w:t xml:space="preserve">of </w:t>
      </w:r>
      <w:r w:rsidR="00483C84" w:rsidRPr="00096FF8">
        <w:rPr>
          <w:rFonts w:asciiTheme="minorHAnsi" w:hAnsiTheme="minorHAnsi"/>
          <w:szCs w:val="24"/>
        </w:rPr>
        <w:t>relationships and an ethic of care</w:t>
      </w:r>
      <w:r w:rsidR="00C46A54" w:rsidRPr="00096FF8">
        <w:rPr>
          <w:rFonts w:asciiTheme="minorHAnsi" w:hAnsiTheme="minorHAnsi"/>
          <w:szCs w:val="24"/>
        </w:rPr>
        <w:t>.</w:t>
      </w:r>
      <w:r w:rsidR="00483C84" w:rsidRPr="00096FF8">
        <w:rPr>
          <w:rFonts w:asciiTheme="minorHAnsi" w:hAnsiTheme="minorHAnsi"/>
          <w:szCs w:val="24"/>
        </w:rPr>
        <w:t xml:space="preserve"> </w:t>
      </w:r>
    </w:p>
    <w:p w14:paraId="410ADABC" w14:textId="77777777" w:rsidR="003018BA" w:rsidRPr="00096FF8" w:rsidRDefault="003018BA" w:rsidP="00490617">
      <w:pPr>
        <w:spacing w:line="480" w:lineRule="auto"/>
        <w:rPr>
          <w:rFonts w:asciiTheme="minorHAnsi" w:hAnsiTheme="minorHAnsi"/>
          <w:szCs w:val="24"/>
        </w:rPr>
      </w:pPr>
    </w:p>
    <w:p w14:paraId="587639DC" w14:textId="5DCEE215" w:rsidR="004C36A1" w:rsidRPr="00096FF8" w:rsidRDefault="006C7201" w:rsidP="00490617">
      <w:pPr>
        <w:pStyle w:val="CommentText"/>
        <w:spacing w:line="480" w:lineRule="auto"/>
        <w:rPr>
          <w:rFonts w:asciiTheme="minorHAnsi" w:hAnsiTheme="minorHAnsi"/>
          <w:szCs w:val="24"/>
        </w:rPr>
      </w:pPr>
      <w:r w:rsidRPr="00096FF8">
        <w:rPr>
          <w:rFonts w:asciiTheme="minorHAnsi" w:hAnsiTheme="minorHAnsi"/>
          <w:szCs w:val="24"/>
        </w:rPr>
        <w:t>A distinction is often made  between ‘person-centred care’, meaning providing choice and control for individuals, and ‘personalisation’, representing the policy focus on Resource Allocation Systems, Personal Budgets and marketisation (Beresford et al,</w:t>
      </w:r>
      <w:r w:rsidR="004F4159" w:rsidRPr="00096FF8">
        <w:rPr>
          <w:rFonts w:asciiTheme="minorHAnsi" w:hAnsiTheme="minorHAnsi"/>
          <w:szCs w:val="24"/>
        </w:rPr>
        <w:t xml:space="preserve"> </w:t>
      </w:r>
      <w:r w:rsidRPr="00096FF8">
        <w:rPr>
          <w:rFonts w:asciiTheme="minorHAnsi" w:hAnsiTheme="minorHAnsi"/>
          <w:szCs w:val="24"/>
        </w:rPr>
        <w:t xml:space="preserve">2011; Woolham et al, </w:t>
      </w:r>
      <w:r w:rsidR="00E12505" w:rsidRPr="00096FF8">
        <w:rPr>
          <w:rFonts w:asciiTheme="minorHAnsi" w:hAnsiTheme="minorHAnsi"/>
          <w:szCs w:val="24"/>
        </w:rPr>
        <w:t>2015</w:t>
      </w:r>
      <w:r w:rsidRPr="00096FF8">
        <w:rPr>
          <w:rFonts w:asciiTheme="minorHAnsi" w:hAnsiTheme="minorHAnsi"/>
          <w:szCs w:val="24"/>
        </w:rPr>
        <w:t xml:space="preserve">). </w:t>
      </w:r>
      <w:r w:rsidR="00163E26" w:rsidRPr="00096FF8">
        <w:rPr>
          <w:rFonts w:asciiTheme="minorHAnsi" w:hAnsiTheme="minorHAnsi"/>
          <w:szCs w:val="24"/>
        </w:rPr>
        <w:t>T</w:t>
      </w:r>
      <w:r w:rsidR="008F1C41" w:rsidRPr="00096FF8">
        <w:rPr>
          <w:rFonts w:asciiTheme="minorHAnsi" w:hAnsiTheme="minorHAnsi"/>
          <w:szCs w:val="24"/>
        </w:rPr>
        <w:t xml:space="preserve">he development of </w:t>
      </w:r>
      <w:r w:rsidR="00E13E4E" w:rsidRPr="00096FF8">
        <w:rPr>
          <w:rFonts w:asciiTheme="minorHAnsi" w:hAnsiTheme="minorHAnsi"/>
          <w:szCs w:val="24"/>
        </w:rPr>
        <w:t>Direct Payments</w:t>
      </w:r>
      <w:r w:rsidR="008F1C41" w:rsidRPr="00096FF8">
        <w:rPr>
          <w:rFonts w:asciiTheme="minorHAnsi" w:hAnsiTheme="minorHAnsi"/>
          <w:szCs w:val="24"/>
        </w:rPr>
        <w:t xml:space="preserve"> can be seen as part of </w:t>
      </w:r>
      <w:r w:rsidRPr="00096FF8">
        <w:rPr>
          <w:rFonts w:asciiTheme="minorHAnsi" w:hAnsiTheme="minorHAnsi"/>
          <w:szCs w:val="24"/>
        </w:rPr>
        <w:t xml:space="preserve">a </w:t>
      </w:r>
      <w:r w:rsidR="008F1C41" w:rsidRPr="00096FF8">
        <w:rPr>
          <w:rFonts w:asciiTheme="minorHAnsi" w:hAnsiTheme="minorHAnsi"/>
          <w:szCs w:val="24"/>
        </w:rPr>
        <w:t>greater transfer of responsibilit</w:t>
      </w:r>
      <w:r w:rsidR="00163E26" w:rsidRPr="00096FF8">
        <w:rPr>
          <w:rFonts w:asciiTheme="minorHAnsi" w:hAnsiTheme="minorHAnsi"/>
          <w:szCs w:val="24"/>
        </w:rPr>
        <w:t>y</w:t>
      </w:r>
      <w:r w:rsidR="004C36A1" w:rsidRPr="00096FF8">
        <w:rPr>
          <w:rFonts w:asciiTheme="minorHAnsi" w:hAnsiTheme="minorHAnsi"/>
          <w:szCs w:val="24"/>
        </w:rPr>
        <w:t xml:space="preserve"> and risk from the state</w:t>
      </w:r>
      <w:r w:rsidR="008F1C41" w:rsidRPr="00096FF8">
        <w:rPr>
          <w:rFonts w:asciiTheme="minorHAnsi" w:hAnsiTheme="minorHAnsi"/>
          <w:szCs w:val="24"/>
        </w:rPr>
        <w:t xml:space="preserve"> to the </w:t>
      </w:r>
      <w:r w:rsidR="00931134" w:rsidRPr="00096FF8">
        <w:rPr>
          <w:rFonts w:asciiTheme="minorHAnsi" w:hAnsiTheme="minorHAnsi"/>
          <w:szCs w:val="24"/>
        </w:rPr>
        <w:t xml:space="preserve">service </w:t>
      </w:r>
      <w:r w:rsidR="008F1C41" w:rsidRPr="00096FF8">
        <w:rPr>
          <w:rFonts w:asciiTheme="minorHAnsi" w:hAnsiTheme="minorHAnsi"/>
          <w:szCs w:val="24"/>
        </w:rPr>
        <w:t>user for the choices they make and their consequences</w:t>
      </w:r>
      <w:r w:rsidR="00163E26" w:rsidRPr="00096FF8">
        <w:rPr>
          <w:rFonts w:asciiTheme="minorHAnsi" w:hAnsiTheme="minorHAnsi"/>
          <w:szCs w:val="24"/>
        </w:rPr>
        <w:t xml:space="preserve"> (Ferguson</w:t>
      </w:r>
      <w:r w:rsidR="008C6B6B" w:rsidRPr="00096FF8">
        <w:rPr>
          <w:rFonts w:asciiTheme="minorHAnsi" w:hAnsiTheme="minorHAnsi"/>
          <w:szCs w:val="24"/>
        </w:rPr>
        <w:t>,</w:t>
      </w:r>
      <w:r w:rsidR="00163E26" w:rsidRPr="00096FF8">
        <w:rPr>
          <w:rFonts w:asciiTheme="minorHAnsi" w:hAnsiTheme="minorHAnsi"/>
          <w:szCs w:val="24"/>
        </w:rPr>
        <w:t xml:space="preserve"> 2007)</w:t>
      </w:r>
      <w:r w:rsidR="00C70701" w:rsidRPr="00096FF8">
        <w:rPr>
          <w:rFonts w:asciiTheme="minorHAnsi" w:hAnsiTheme="minorHAnsi"/>
          <w:szCs w:val="24"/>
        </w:rPr>
        <w:t>.</w:t>
      </w:r>
      <w:r w:rsidR="00D40A8C" w:rsidRPr="00096FF8">
        <w:rPr>
          <w:rFonts w:asciiTheme="minorHAnsi" w:hAnsiTheme="minorHAnsi"/>
          <w:szCs w:val="24"/>
        </w:rPr>
        <w:t xml:space="preserve"> </w:t>
      </w:r>
      <w:r w:rsidR="004C36A1" w:rsidRPr="00096FF8">
        <w:rPr>
          <w:rFonts w:asciiTheme="minorHAnsi" w:hAnsiTheme="minorHAnsi"/>
          <w:szCs w:val="24"/>
        </w:rPr>
        <w:t xml:space="preserve">This paper examines some of the implications of this development of </w:t>
      </w:r>
      <w:r w:rsidR="00196CB4" w:rsidRPr="00096FF8">
        <w:rPr>
          <w:rFonts w:asciiTheme="minorHAnsi" w:hAnsiTheme="minorHAnsi"/>
          <w:szCs w:val="24"/>
        </w:rPr>
        <w:t>‘</w:t>
      </w:r>
      <w:r w:rsidR="004C36A1" w:rsidRPr="00096FF8">
        <w:rPr>
          <w:rFonts w:asciiTheme="minorHAnsi" w:hAnsiTheme="minorHAnsi"/>
          <w:szCs w:val="24"/>
        </w:rPr>
        <w:t>responsibilisation</w:t>
      </w:r>
      <w:r w:rsidR="00196CB4" w:rsidRPr="00096FF8">
        <w:rPr>
          <w:rFonts w:asciiTheme="minorHAnsi" w:hAnsiTheme="minorHAnsi"/>
          <w:szCs w:val="24"/>
        </w:rPr>
        <w:t>’</w:t>
      </w:r>
      <w:r w:rsidR="00285295" w:rsidRPr="00096FF8">
        <w:rPr>
          <w:rFonts w:asciiTheme="minorHAnsi" w:hAnsiTheme="minorHAnsi"/>
          <w:szCs w:val="24"/>
        </w:rPr>
        <w:t>,</w:t>
      </w:r>
      <w:r w:rsidR="00276B44" w:rsidRPr="00096FF8">
        <w:rPr>
          <w:rFonts w:asciiTheme="minorHAnsi" w:hAnsiTheme="minorHAnsi"/>
          <w:szCs w:val="24"/>
        </w:rPr>
        <w:t xml:space="preserve"> </w:t>
      </w:r>
      <w:r w:rsidR="004C36A1" w:rsidRPr="00096FF8">
        <w:rPr>
          <w:rFonts w:asciiTheme="minorHAnsi" w:hAnsiTheme="minorHAnsi"/>
          <w:szCs w:val="24"/>
        </w:rPr>
        <w:t xml:space="preserve">reflecting </w:t>
      </w:r>
      <w:r w:rsidR="004C36A1" w:rsidRPr="00096FF8">
        <w:rPr>
          <w:rFonts w:asciiTheme="minorHAnsi" w:hAnsiTheme="minorHAnsi"/>
          <w:szCs w:val="24"/>
          <w:lang w:val="en-US"/>
        </w:rPr>
        <w:t>neo-liberal theory where individuals are seen as self-directing and autonomous (Bondi, 2005</w:t>
      </w:r>
      <w:r w:rsidR="00C803C2" w:rsidRPr="00096FF8">
        <w:rPr>
          <w:rFonts w:asciiTheme="minorHAnsi" w:hAnsiTheme="minorHAnsi"/>
          <w:szCs w:val="24"/>
          <w:lang w:val="en-US"/>
        </w:rPr>
        <w:t>, Clarke</w:t>
      </w:r>
      <w:r w:rsidR="00116800" w:rsidRPr="00096FF8">
        <w:rPr>
          <w:rFonts w:asciiTheme="minorHAnsi" w:hAnsiTheme="minorHAnsi"/>
          <w:szCs w:val="24"/>
          <w:lang w:val="en-US"/>
        </w:rPr>
        <w:t xml:space="preserve"> et al</w:t>
      </w:r>
      <w:r w:rsidR="00C803C2" w:rsidRPr="00096FF8">
        <w:rPr>
          <w:rFonts w:asciiTheme="minorHAnsi" w:hAnsiTheme="minorHAnsi"/>
          <w:szCs w:val="24"/>
          <w:lang w:val="en-US"/>
        </w:rPr>
        <w:t>, 200</w:t>
      </w:r>
      <w:r w:rsidR="0082087E" w:rsidRPr="00096FF8">
        <w:rPr>
          <w:rFonts w:asciiTheme="minorHAnsi" w:hAnsiTheme="minorHAnsi"/>
          <w:szCs w:val="24"/>
          <w:lang w:val="en-US"/>
        </w:rPr>
        <w:t>7</w:t>
      </w:r>
      <w:r w:rsidR="004C36A1" w:rsidRPr="00096FF8">
        <w:rPr>
          <w:rFonts w:asciiTheme="minorHAnsi" w:hAnsiTheme="minorHAnsi"/>
          <w:szCs w:val="24"/>
          <w:lang w:val="en-US"/>
        </w:rPr>
        <w:t>)</w:t>
      </w:r>
      <w:r w:rsidR="00285295" w:rsidRPr="00096FF8">
        <w:rPr>
          <w:rFonts w:asciiTheme="minorHAnsi" w:hAnsiTheme="minorHAnsi"/>
          <w:szCs w:val="24"/>
          <w:lang w:val="en-US"/>
        </w:rPr>
        <w:t>,</w:t>
      </w:r>
      <w:r w:rsidR="00AF19ED">
        <w:rPr>
          <w:rFonts w:asciiTheme="minorHAnsi" w:hAnsiTheme="minorHAnsi"/>
          <w:szCs w:val="24"/>
          <w:lang w:val="en-US"/>
        </w:rPr>
        <w:t xml:space="preserve"> in </w:t>
      </w:r>
      <w:r w:rsidR="00C70701" w:rsidRPr="00096FF8">
        <w:rPr>
          <w:rFonts w:asciiTheme="minorHAnsi" w:hAnsiTheme="minorHAnsi"/>
          <w:szCs w:val="24"/>
        </w:rPr>
        <w:t xml:space="preserve">the context of </w:t>
      </w:r>
      <w:r w:rsidR="004C36A1" w:rsidRPr="00096FF8">
        <w:rPr>
          <w:rFonts w:asciiTheme="minorHAnsi" w:hAnsiTheme="minorHAnsi"/>
          <w:szCs w:val="24"/>
        </w:rPr>
        <w:t>risk and safeguarding</w:t>
      </w:r>
      <w:r w:rsidR="00C70701" w:rsidRPr="00096FF8">
        <w:rPr>
          <w:rFonts w:asciiTheme="minorHAnsi" w:hAnsiTheme="minorHAnsi"/>
          <w:szCs w:val="24"/>
        </w:rPr>
        <w:t xml:space="preserve"> </w:t>
      </w:r>
      <w:r w:rsidR="004E57D5" w:rsidRPr="00096FF8">
        <w:rPr>
          <w:rFonts w:asciiTheme="minorHAnsi" w:hAnsiTheme="minorHAnsi"/>
          <w:szCs w:val="24"/>
        </w:rPr>
        <w:t>imperatives</w:t>
      </w:r>
      <w:r w:rsidR="000D2FAE" w:rsidRPr="00096FF8">
        <w:rPr>
          <w:rFonts w:asciiTheme="minorHAnsi" w:hAnsiTheme="minorHAnsi"/>
          <w:szCs w:val="24"/>
        </w:rPr>
        <w:t>.</w:t>
      </w:r>
    </w:p>
    <w:p w14:paraId="4A968569" w14:textId="77777777" w:rsidR="008F1C41" w:rsidRPr="00096FF8" w:rsidRDefault="008F1C41" w:rsidP="00490617">
      <w:pPr>
        <w:spacing w:line="480" w:lineRule="auto"/>
        <w:ind w:left="360"/>
        <w:rPr>
          <w:rFonts w:asciiTheme="minorHAnsi" w:hAnsiTheme="minorHAnsi"/>
          <w:szCs w:val="24"/>
        </w:rPr>
      </w:pPr>
    </w:p>
    <w:p w14:paraId="0B88FAD8" w14:textId="4B6588A7" w:rsidR="007B367F" w:rsidRPr="00096FF8" w:rsidRDefault="008F1C41" w:rsidP="00490617">
      <w:pPr>
        <w:autoSpaceDE w:val="0"/>
        <w:autoSpaceDN w:val="0"/>
        <w:adjustRightInd w:val="0"/>
        <w:spacing w:line="480" w:lineRule="auto"/>
        <w:rPr>
          <w:rFonts w:asciiTheme="minorHAnsi" w:hAnsiTheme="minorHAnsi" w:cs="Arial"/>
          <w:szCs w:val="24"/>
        </w:rPr>
      </w:pPr>
      <w:r w:rsidRPr="00096FF8">
        <w:rPr>
          <w:rFonts w:asciiTheme="minorHAnsi" w:hAnsiTheme="minorHAnsi"/>
          <w:szCs w:val="24"/>
        </w:rPr>
        <w:t xml:space="preserve">There </w:t>
      </w:r>
      <w:r w:rsidR="00323148" w:rsidRPr="00096FF8">
        <w:rPr>
          <w:rFonts w:asciiTheme="minorHAnsi" w:hAnsiTheme="minorHAnsi"/>
          <w:szCs w:val="24"/>
        </w:rPr>
        <w:t xml:space="preserve">is </w:t>
      </w:r>
      <w:r w:rsidRPr="00096FF8">
        <w:rPr>
          <w:rFonts w:asciiTheme="minorHAnsi" w:hAnsiTheme="minorHAnsi"/>
          <w:szCs w:val="24"/>
        </w:rPr>
        <w:t xml:space="preserve">little </w:t>
      </w:r>
      <w:r w:rsidR="00C70701" w:rsidRPr="00096FF8">
        <w:rPr>
          <w:rFonts w:asciiTheme="minorHAnsi" w:hAnsiTheme="minorHAnsi"/>
          <w:szCs w:val="24"/>
        </w:rPr>
        <w:t xml:space="preserve">research </w:t>
      </w:r>
      <w:r w:rsidR="004E57D5" w:rsidRPr="00096FF8">
        <w:rPr>
          <w:rFonts w:asciiTheme="minorHAnsi" w:hAnsiTheme="minorHAnsi"/>
          <w:szCs w:val="24"/>
        </w:rPr>
        <w:t>on</w:t>
      </w:r>
      <w:r w:rsidRPr="00096FF8">
        <w:rPr>
          <w:rFonts w:asciiTheme="minorHAnsi" w:hAnsiTheme="minorHAnsi"/>
          <w:szCs w:val="24"/>
        </w:rPr>
        <w:t xml:space="preserve"> the impact of personalisation on safeguarding practice</w:t>
      </w:r>
      <w:r w:rsidR="00457D19" w:rsidRPr="00096FF8">
        <w:rPr>
          <w:rFonts w:asciiTheme="minorHAnsi" w:hAnsiTheme="minorHAnsi"/>
          <w:szCs w:val="24"/>
        </w:rPr>
        <w:t xml:space="preserve"> (for exceptions</w:t>
      </w:r>
      <w:r w:rsidR="00293ACC" w:rsidRPr="00096FF8">
        <w:rPr>
          <w:rFonts w:asciiTheme="minorHAnsi" w:hAnsiTheme="minorHAnsi"/>
          <w:szCs w:val="24"/>
        </w:rPr>
        <w:t>,</w:t>
      </w:r>
      <w:r w:rsidR="00457D19" w:rsidRPr="00096FF8">
        <w:rPr>
          <w:rFonts w:asciiTheme="minorHAnsi" w:hAnsiTheme="minorHAnsi"/>
          <w:szCs w:val="24"/>
        </w:rPr>
        <w:t xml:space="preserve"> see Manthorpe et al 2009; Hunter et al 2013)</w:t>
      </w:r>
      <w:r w:rsidRPr="00096FF8">
        <w:rPr>
          <w:rFonts w:asciiTheme="minorHAnsi" w:hAnsiTheme="minorHAnsi"/>
          <w:szCs w:val="24"/>
        </w:rPr>
        <w:t xml:space="preserve">. </w:t>
      </w:r>
      <w:r w:rsidR="00E076B7" w:rsidRPr="00096FF8">
        <w:rPr>
          <w:rFonts w:asciiTheme="minorHAnsi" w:hAnsiTheme="minorHAnsi"/>
          <w:szCs w:val="24"/>
        </w:rPr>
        <w:t xml:space="preserve">This </w:t>
      </w:r>
      <w:r w:rsidR="00457D19" w:rsidRPr="00096FF8">
        <w:rPr>
          <w:rFonts w:asciiTheme="minorHAnsi" w:hAnsiTheme="minorHAnsi"/>
          <w:szCs w:val="24"/>
        </w:rPr>
        <w:t xml:space="preserve">paper </w:t>
      </w:r>
      <w:r w:rsidR="00E076B7" w:rsidRPr="00096FF8">
        <w:rPr>
          <w:rFonts w:asciiTheme="minorHAnsi" w:hAnsiTheme="minorHAnsi"/>
          <w:szCs w:val="24"/>
        </w:rPr>
        <w:t>presents findings from a</w:t>
      </w:r>
      <w:r w:rsidR="00DA3D5F" w:rsidRPr="00096FF8">
        <w:rPr>
          <w:rFonts w:asciiTheme="minorHAnsi" w:hAnsiTheme="minorHAnsi"/>
          <w:szCs w:val="24"/>
        </w:rPr>
        <w:t xml:space="preserve"> </w:t>
      </w:r>
      <w:r w:rsidR="00E076B7" w:rsidRPr="00096FF8">
        <w:rPr>
          <w:rFonts w:asciiTheme="minorHAnsi" w:hAnsiTheme="minorHAnsi"/>
          <w:szCs w:val="24"/>
        </w:rPr>
        <w:t xml:space="preserve">qualitative interview study </w:t>
      </w:r>
      <w:r w:rsidR="00293ACC" w:rsidRPr="00096FF8">
        <w:rPr>
          <w:rFonts w:asciiTheme="minorHAnsi" w:hAnsiTheme="minorHAnsi"/>
          <w:szCs w:val="24"/>
        </w:rPr>
        <w:t>that sought</w:t>
      </w:r>
      <w:r w:rsidR="00E076B7" w:rsidRPr="00096FF8">
        <w:rPr>
          <w:rFonts w:asciiTheme="minorHAnsi" w:hAnsiTheme="minorHAnsi"/>
          <w:szCs w:val="24"/>
        </w:rPr>
        <w:t xml:space="preserve"> professionals' perspectives, experiences and </w:t>
      </w:r>
      <w:r w:rsidR="00E076B7" w:rsidRPr="00096FF8">
        <w:rPr>
          <w:rFonts w:asciiTheme="minorHAnsi" w:hAnsiTheme="minorHAnsi"/>
          <w:szCs w:val="24"/>
        </w:rPr>
        <w:lastRenderedPageBreak/>
        <w:t xml:space="preserve">responses to balancing the sometimes conflicting demands of personalisation and safeguarding. </w:t>
      </w:r>
      <w:r w:rsidR="00457D19" w:rsidRPr="00096FF8">
        <w:rPr>
          <w:rFonts w:asciiTheme="minorHAnsi" w:hAnsiTheme="minorHAnsi"/>
          <w:szCs w:val="24"/>
        </w:rPr>
        <w:t>I</w:t>
      </w:r>
      <w:r w:rsidR="00E076B7" w:rsidRPr="00096FF8">
        <w:rPr>
          <w:rFonts w:asciiTheme="minorHAnsi" w:hAnsiTheme="minorHAnsi"/>
          <w:szCs w:val="24"/>
        </w:rPr>
        <w:t>nterviews were</w:t>
      </w:r>
      <w:r w:rsidRPr="00096FF8">
        <w:rPr>
          <w:rFonts w:asciiTheme="minorHAnsi" w:hAnsiTheme="minorHAnsi"/>
          <w:szCs w:val="24"/>
        </w:rPr>
        <w:t xml:space="preserve"> undertaken as part of a recently completed study</w:t>
      </w:r>
      <w:r w:rsidR="007B367F" w:rsidRPr="00096FF8">
        <w:rPr>
          <w:rFonts w:asciiTheme="minorHAnsi" w:hAnsiTheme="minorHAnsi"/>
          <w:szCs w:val="24"/>
        </w:rPr>
        <w:t xml:space="preserve"> </w:t>
      </w:r>
      <w:r w:rsidRPr="00096FF8">
        <w:rPr>
          <w:rFonts w:asciiTheme="minorHAnsi" w:hAnsiTheme="minorHAnsi"/>
          <w:szCs w:val="24"/>
        </w:rPr>
        <w:t xml:space="preserve">that aimed to identify the impact of </w:t>
      </w:r>
      <w:r w:rsidR="00E13E4E" w:rsidRPr="00096FF8">
        <w:rPr>
          <w:rFonts w:asciiTheme="minorHAnsi" w:hAnsiTheme="minorHAnsi"/>
          <w:szCs w:val="24"/>
        </w:rPr>
        <w:t>Direct Payments</w:t>
      </w:r>
      <w:r w:rsidRPr="00096FF8">
        <w:rPr>
          <w:rFonts w:asciiTheme="minorHAnsi" w:hAnsiTheme="minorHAnsi"/>
          <w:szCs w:val="24"/>
        </w:rPr>
        <w:t xml:space="preserve"> and </w:t>
      </w:r>
      <w:r w:rsidR="00457D19" w:rsidRPr="00096FF8">
        <w:rPr>
          <w:rFonts w:asciiTheme="minorHAnsi" w:hAnsiTheme="minorHAnsi"/>
          <w:szCs w:val="24"/>
        </w:rPr>
        <w:t xml:space="preserve">personal budgets </w:t>
      </w:r>
      <w:r w:rsidRPr="00096FF8">
        <w:rPr>
          <w:rFonts w:asciiTheme="minorHAnsi" w:hAnsiTheme="minorHAnsi"/>
          <w:szCs w:val="24"/>
        </w:rPr>
        <w:t xml:space="preserve">on safeguarding referrals and to explore practice approaches to managing risks in supporting people to use </w:t>
      </w:r>
      <w:r w:rsidR="00E13E4E" w:rsidRPr="00096FF8">
        <w:rPr>
          <w:rFonts w:asciiTheme="minorHAnsi" w:hAnsiTheme="minorHAnsi"/>
          <w:szCs w:val="24"/>
        </w:rPr>
        <w:t>Direct Payments</w:t>
      </w:r>
      <w:r w:rsidRPr="00096FF8">
        <w:rPr>
          <w:rFonts w:asciiTheme="minorHAnsi" w:hAnsiTheme="minorHAnsi"/>
          <w:szCs w:val="24"/>
        </w:rPr>
        <w:t xml:space="preserve"> and </w:t>
      </w:r>
      <w:r w:rsidR="00457D19" w:rsidRPr="00096FF8">
        <w:rPr>
          <w:rFonts w:asciiTheme="minorHAnsi" w:hAnsiTheme="minorHAnsi"/>
          <w:szCs w:val="24"/>
        </w:rPr>
        <w:t xml:space="preserve">personal budgets </w:t>
      </w:r>
      <w:r w:rsidRPr="00096FF8">
        <w:rPr>
          <w:rFonts w:asciiTheme="minorHAnsi" w:hAnsiTheme="minorHAnsi"/>
          <w:szCs w:val="24"/>
        </w:rPr>
        <w:t>safely.</w:t>
      </w:r>
      <w:r w:rsidR="007B367F" w:rsidRPr="00096FF8">
        <w:rPr>
          <w:rFonts w:asciiTheme="minorHAnsi" w:hAnsiTheme="minorHAnsi"/>
          <w:szCs w:val="24"/>
        </w:rPr>
        <w:t xml:space="preserve"> The study explored the speculative concerns raised by local authority and other professionals in</w:t>
      </w:r>
      <w:r w:rsidR="00931134" w:rsidRPr="00096FF8">
        <w:rPr>
          <w:rFonts w:asciiTheme="minorHAnsi" w:hAnsiTheme="minorHAnsi"/>
          <w:szCs w:val="24"/>
        </w:rPr>
        <w:t xml:space="preserve"> the context of</w:t>
      </w:r>
      <w:r w:rsidR="007B367F" w:rsidRPr="00096FF8">
        <w:rPr>
          <w:rFonts w:asciiTheme="minorHAnsi" w:hAnsiTheme="minorHAnsi"/>
          <w:szCs w:val="24"/>
        </w:rPr>
        <w:t xml:space="preserve"> earlier</w:t>
      </w:r>
      <w:r w:rsidR="00931134" w:rsidRPr="00096FF8">
        <w:rPr>
          <w:rFonts w:asciiTheme="minorHAnsi" w:hAnsiTheme="minorHAnsi"/>
          <w:szCs w:val="24"/>
        </w:rPr>
        <w:t xml:space="preserve"> </w:t>
      </w:r>
      <w:r w:rsidR="004E57D5" w:rsidRPr="00096FF8">
        <w:rPr>
          <w:rFonts w:asciiTheme="minorHAnsi" w:hAnsiTheme="minorHAnsi"/>
          <w:szCs w:val="24"/>
        </w:rPr>
        <w:t>opinions and debates</w:t>
      </w:r>
      <w:r w:rsidR="007B367F" w:rsidRPr="00096FF8">
        <w:rPr>
          <w:rFonts w:asciiTheme="minorHAnsi" w:hAnsiTheme="minorHAnsi"/>
          <w:szCs w:val="24"/>
        </w:rPr>
        <w:t>, such as views about personalisation improving or jeopardising safeguarding (Poll et al</w:t>
      </w:r>
      <w:r w:rsidR="00C70701" w:rsidRPr="00096FF8">
        <w:rPr>
          <w:rFonts w:asciiTheme="minorHAnsi" w:hAnsiTheme="minorHAnsi"/>
          <w:szCs w:val="24"/>
        </w:rPr>
        <w:t>.</w:t>
      </w:r>
      <w:r w:rsidR="007B367F" w:rsidRPr="00096FF8">
        <w:rPr>
          <w:rFonts w:asciiTheme="minorHAnsi" w:hAnsiTheme="minorHAnsi"/>
          <w:szCs w:val="24"/>
        </w:rPr>
        <w:t xml:space="preserve"> 2005; Williams 2010; Warin 2010;</w:t>
      </w:r>
      <w:r w:rsidR="007B367F" w:rsidRPr="00096FF8">
        <w:rPr>
          <w:rFonts w:asciiTheme="minorHAnsi" w:hAnsiTheme="minorHAnsi" w:cs="Bliss-Regular"/>
        </w:rPr>
        <w:t xml:space="preserve"> </w:t>
      </w:r>
      <w:r w:rsidR="007B367F" w:rsidRPr="00096FF8">
        <w:rPr>
          <w:rFonts w:asciiTheme="minorHAnsi" w:hAnsiTheme="minorHAnsi" w:cs="Bliss-Regular"/>
          <w:szCs w:val="24"/>
        </w:rPr>
        <w:t>Richards and Ogilvie, 2010</w:t>
      </w:r>
      <w:r w:rsidR="007B367F" w:rsidRPr="00096FF8">
        <w:rPr>
          <w:rFonts w:asciiTheme="minorHAnsi" w:hAnsiTheme="minorHAnsi" w:cs="Arial"/>
          <w:szCs w:val="24"/>
        </w:rPr>
        <w:t>)</w:t>
      </w:r>
      <w:r w:rsidR="00096FF8" w:rsidRPr="00096FF8">
        <w:rPr>
          <w:rFonts w:asciiTheme="minorHAnsi" w:hAnsiTheme="minorHAnsi" w:cs="Arial"/>
          <w:szCs w:val="24"/>
        </w:rPr>
        <w:t>, which has been</w:t>
      </w:r>
      <w:r w:rsidR="007B367F" w:rsidRPr="00096FF8">
        <w:rPr>
          <w:rFonts w:asciiTheme="minorHAnsi" w:hAnsiTheme="minorHAnsi" w:cs="Arial"/>
          <w:szCs w:val="24"/>
        </w:rPr>
        <w:t xml:space="preserve"> </w:t>
      </w:r>
      <w:r w:rsidR="00931134" w:rsidRPr="00096FF8">
        <w:rPr>
          <w:rFonts w:asciiTheme="minorHAnsi" w:hAnsiTheme="minorHAnsi" w:cs="Arial"/>
          <w:szCs w:val="24"/>
        </w:rPr>
        <w:t>a</w:t>
      </w:r>
      <w:r w:rsidR="00096FF8" w:rsidRPr="00096FF8">
        <w:rPr>
          <w:rFonts w:asciiTheme="minorHAnsi" w:hAnsiTheme="minorHAnsi" w:cs="Arial"/>
          <w:szCs w:val="24"/>
        </w:rPr>
        <w:t>l</w:t>
      </w:r>
      <w:r w:rsidR="00931134" w:rsidRPr="00096FF8">
        <w:rPr>
          <w:rFonts w:asciiTheme="minorHAnsi" w:hAnsiTheme="minorHAnsi" w:cs="Arial"/>
          <w:szCs w:val="24"/>
        </w:rPr>
        <w:t>s</w:t>
      </w:r>
      <w:r w:rsidR="00096FF8" w:rsidRPr="00096FF8">
        <w:rPr>
          <w:rFonts w:asciiTheme="minorHAnsi" w:hAnsiTheme="minorHAnsi" w:cs="Arial"/>
          <w:szCs w:val="24"/>
        </w:rPr>
        <w:t>o</w:t>
      </w:r>
      <w:r w:rsidR="00931134" w:rsidRPr="00096FF8">
        <w:rPr>
          <w:rFonts w:asciiTheme="minorHAnsi" w:hAnsiTheme="minorHAnsi" w:cs="Arial"/>
          <w:szCs w:val="24"/>
        </w:rPr>
        <w:t xml:space="preserve"> highlighted </w:t>
      </w:r>
      <w:r w:rsidR="007B367F" w:rsidRPr="00096FF8">
        <w:rPr>
          <w:rFonts w:asciiTheme="minorHAnsi" w:hAnsiTheme="minorHAnsi" w:cs="Arial"/>
          <w:szCs w:val="24"/>
        </w:rPr>
        <w:t xml:space="preserve">by users and carers (Anonymous 2008; James 2008; Jupp 2008) and contributors to the </w:t>
      </w:r>
      <w:r w:rsidR="008C6B6B" w:rsidRPr="00096FF8">
        <w:rPr>
          <w:rFonts w:asciiTheme="minorHAnsi" w:hAnsiTheme="minorHAnsi" w:cs="Arial"/>
          <w:szCs w:val="24"/>
        </w:rPr>
        <w:t xml:space="preserve">government’s </w:t>
      </w:r>
      <w:r w:rsidR="007B367F" w:rsidRPr="00096FF8">
        <w:rPr>
          <w:rFonts w:asciiTheme="minorHAnsi" w:hAnsiTheme="minorHAnsi" w:cs="Arial"/>
          <w:szCs w:val="24"/>
        </w:rPr>
        <w:t xml:space="preserve">review of </w:t>
      </w:r>
      <w:r w:rsidR="004E57D5" w:rsidRPr="00096FF8">
        <w:rPr>
          <w:rFonts w:asciiTheme="minorHAnsi" w:hAnsiTheme="minorHAnsi" w:cs="Arial"/>
          <w:szCs w:val="24"/>
        </w:rPr>
        <w:t xml:space="preserve">the policy guidance on adult safeguarding, </w:t>
      </w:r>
      <w:r w:rsidR="007B367F" w:rsidRPr="00096FF8">
        <w:rPr>
          <w:rFonts w:asciiTheme="minorHAnsi" w:hAnsiTheme="minorHAnsi" w:cs="Arial"/>
          <w:szCs w:val="24"/>
        </w:rPr>
        <w:t xml:space="preserve">No Secrets (DH </w:t>
      </w:r>
      <w:r w:rsidR="00457D19" w:rsidRPr="00096FF8">
        <w:rPr>
          <w:rFonts w:asciiTheme="minorHAnsi" w:hAnsiTheme="minorHAnsi" w:cs="Arial"/>
          <w:szCs w:val="24"/>
        </w:rPr>
        <w:t>2010b</w:t>
      </w:r>
      <w:r w:rsidR="007B367F" w:rsidRPr="00096FF8">
        <w:rPr>
          <w:rFonts w:asciiTheme="minorHAnsi" w:hAnsiTheme="minorHAnsi" w:cs="Arial"/>
          <w:szCs w:val="24"/>
        </w:rPr>
        <w:t>).</w:t>
      </w:r>
    </w:p>
    <w:p w14:paraId="210BE0F3" w14:textId="77777777" w:rsidR="007B367F" w:rsidRPr="00096FF8" w:rsidRDefault="007B367F" w:rsidP="00490617">
      <w:pPr>
        <w:autoSpaceDE w:val="0"/>
        <w:autoSpaceDN w:val="0"/>
        <w:adjustRightInd w:val="0"/>
        <w:spacing w:line="480" w:lineRule="auto"/>
        <w:rPr>
          <w:rFonts w:asciiTheme="minorHAnsi" w:hAnsiTheme="minorHAnsi" w:cs="Arial"/>
          <w:szCs w:val="24"/>
        </w:rPr>
      </w:pPr>
    </w:p>
    <w:p w14:paraId="5FC191C2" w14:textId="24FFB86B" w:rsidR="007B367F" w:rsidRPr="00096FF8" w:rsidRDefault="007B367F" w:rsidP="00490617">
      <w:pPr>
        <w:autoSpaceDE w:val="0"/>
        <w:autoSpaceDN w:val="0"/>
        <w:adjustRightInd w:val="0"/>
        <w:spacing w:line="480" w:lineRule="auto"/>
        <w:rPr>
          <w:rFonts w:asciiTheme="minorHAnsi" w:hAnsiTheme="minorHAnsi"/>
          <w:szCs w:val="24"/>
        </w:rPr>
      </w:pPr>
      <w:r w:rsidRPr="00096FF8">
        <w:rPr>
          <w:rFonts w:asciiTheme="minorHAnsi" w:hAnsiTheme="minorHAnsi" w:cs="Arial"/>
          <w:szCs w:val="24"/>
        </w:rPr>
        <w:t xml:space="preserve">Findings from interviews with professionals are presented and discussed in light of the </w:t>
      </w:r>
      <w:r w:rsidR="00142672" w:rsidRPr="00096FF8">
        <w:rPr>
          <w:rFonts w:asciiTheme="minorHAnsi" w:hAnsiTheme="minorHAnsi" w:cs="Arial"/>
          <w:szCs w:val="24"/>
        </w:rPr>
        <w:t xml:space="preserve">themes </w:t>
      </w:r>
      <w:r w:rsidRPr="00096FF8">
        <w:rPr>
          <w:rFonts w:asciiTheme="minorHAnsi" w:hAnsiTheme="minorHAnsi" w:cs="Arial"/>
          <w:szCs w:val="24"/>
        </w:rPr>
        <w:t>raised in the literature, such as</w:t>
      </w:r>
      <w:r w:rsidR="00096FF8">
        <w:rPr>
          <w:rFonts w:asciiTheme="minorHAnsi" w:hAnsiTheme="minorHAnsi" w:cs="Arial"/>
          <w:szCs w:val="24"/>
        </w:rPr>
        <w:t>:</w:t>
      </w:r>
      <w:r w:rsidRPr="00096FF8">
        <w:rPr>
          <w:rFonts w:asciiTheme="minorHAnsi" w:hAnsiTheme="minorHAnsi" w:cs="Arial"/>
          <w:szCs w:val="24"/>
        </w:rPr>
        <w:t xml:space="preserve"> the benefits and risks of self-directed support (Hunter et al</w:t>
      </w:r>
      <w:r w:rsidR="00917B71" w:rsidRPr="00096FF8">
        <w:rPr>
          <w:rFonts w:asciiTheme="minorHAnsi" w:hAnsiTheme="minorHAnsi" w:cs="Arial"/>
          <w:szCs w:val="24"/>
        </w:rPr>
        <w:t>,</w:t>
      </w:r>
      <w:r w:rsidRPr="00096FF8">
        <w:rPr>
          <w:rFonts w:asciiTheme="minorHAnsi" w:hAnsiTheme="minorHAnsi" w:cs="Arial"/>
          <w:szCs w:val="24"/>
        </w:rPr>
        <w:t xml:space="preserve"> 2013)</w:t>
      </w:r>
      <w:r w:rsidR="00096FF8">
        <w:rPr>
          <w:rFonts w:asciiTheme="minorHAnsi" w:hAnsiTheme="minorHAnsi" w:cs="Arial"/>
          <w:szCs w:val="24"/>
        </w:rPr>
        <w:t>;</w:t>
      </w:r>
      <w:r w:rsidRPr="00096FF8">
        <w:rPr>
          <w:rFonts w:asciiTheme="minorHAnsi" w:hAnsiTheme="minorHAnsi" w:cs="Arial"/>
          <w:szCs w:val="24"/>
        </w:rPr>
        <w:t xml:space="preserve"> the power relationship</w:t>
      </w:r>
      <w:r w:rsidR="00142672" w:rsidRPr="00096FF8">
        <w:rPr>
          <w:rFonts w:asciiTheme="minorHAnsi" w:hAnsiTheme="minorHAnsi" w:cs="Arial"/>
          <w:szCs w:val="24"/>
        </w:rPr>
        <w:t>s</w:t>
      </w:r>
      <w:r w:rsidRPr="00096FF8">
        <w:rPr>
          <w:rFonts w:asciiTheme="minorHAnsi" w:hAnsiTheme="minorHAnsi" w:cs="Arial"/>
          <w:szCs w:val="24"/>
        </w:rPr>
        <w:t xml:space="preserve"> implicit in </w:t>
      </w:r>
      <w:r w:rsidR="00E13E4E" w:rsidRPr="00096FF8">
        <w:rPr>
          <w:rFonts w:asciiTheme="minorHAnsi" w:hAnsiTheme="minorHAnsi" w:cs="Arial"/>
          <w:szCs w:val="24"/>
        </w:rPr>
        <w:t>Direct Payments</w:t>
      </w:r>
      <w:r w:rsidRPr="00096FF8">
        <w:rPr>
          <w:rFonts w:asciiTheme="minorHAnsi" w:hAnsiTheme="minorHAnsi" w:cs="Arial"/>
          <w:szCs w:val="24"/>
        </w:rPr>
        <w:t xml:space="preserve"> (Leece</w:t>
      </w:r>
      <w:r w:rsidR="00C101CE" w:rsidRPr="00096FF8">
        <w:rPr>
          <w:rFonts w:asciiTheme="minorHAnsi" w:hAnsiTheme="minorHAnsi" w:cs="Arial"/>
          <w:szCs w:val="24"/>
        </w:rPr>
        <w:t>, 2010</w:t>
      </w:r>
      <w:r w:rsidRPr="00096FF8">
        <w:rPr>
          <w:rFonts w:asciiTheme="minorHAnsi" w:hAnsiTheme="minorHAnsi" w:cs="Arial"/>
          <w:szCs w:val="24"/>
        </w:rPr>
        <w:t>)</w:t>
      </w:r>
      <w:r w:rsidR="00096FF8">
        <w:rPr>
          <w:rFonts w:asciiTheme="minorHAnsi" w:hAnsiTheme="minorHAnsi" w:cs="Arial"/>
          <w:szCs w:val="24"/>
        </w:rPr>
        <w:t>;</w:t>
      </w:r>
      <w:r w:rsidRPr="00096FF8">
        <w:rPr>
          <w:rFonts w:asciiTheme="minorHAnsi" w:hAnsiTheme="minorHAnsi" w:cs="Arial"/>
          <w:szCs w:val="24"/>
        </w:rPr>
        <w:t xml:space="preserve"> and the reported reluctance of some groups to report potentially abusive or neglectful care provided by family carers (Bowes et al</w:t>
      </w:r>
      <w:r w:rsidR="00C70701" w:rsidRPr="00096FF8">
        <w:rPr>
          <w:rFonts w:asciiTheme="minorHAnsi" w:hAnsiTheme="minorHAnsi" w:cs="Arial"/>
          <w:szCs w:val="24"/>
        </w:rPr>
        <w:t>.</w:t>
      </w:r>
      <w:r w:rsidRPr="00096FF8">
        <w:rPr>
          <w:rFonts w:asciiTheme="minorHAnsi" w:hAnsiTheme="minorHAnsi" w:cs="Arial"/>
          <w:szCs w:val="24"/>
        </w:rPr>
        <w:t xml:space="preserve"> 2008). It conclude</w:t>
      </w:r>
      <w:r w:rsidR="00193C04" w:rsidRPr="00096FF8">
        <w:rPr>
          <w:rFonts w:asciiTheme="minorHAnsi" w:hAnsiTheme="minorHAnsi" w:cs="Arial"/>
          <w:szCs w:val="24"/>
        </w:rPr>
        <w:t>s</w:t>
      </w:r>
      <w:r w:rsidRPr="00096FF8">
        <w:rPr>
          <w:rFonts w:asciiTheme="minorHAnsi" w:hAnsiTheme="minorHAnsi" w:cs="Arial"/>
          <w:szCs w:val="24"/>
        </w:rPr>
        <w:t xml:space="preserve"> </w:t>
      </w:r>
      <w:r w:rsidR="00142672" w:rsidRPr="00096FF8">
        <w:rPr>
          <w:rFonts w:asciiTheme="minorHAnsi" w:hAnsiTheme="minorHAnsi" w:cs="Arial"/>
          <w:szCs w:val="24"/>
        </w:rPr>
        <w:t>by</w:t>
      </w:r>
      <w:r w:rsidRPr="00096FF8">
        <w:rPr>
          <w:rFonts w:asciiTheme="minorHAnsi" w:hAnsiTheme="minorHAnsi" w:cs="Arial"/>
          <w:szCs w:val="24"/>
        </w:rPr>
        <w:t xml:space="preserve"> </w:t>
      </w:r>
      <w:r w:rsidR="00142672" w:rsidRPr="00096FF8">
        <w:rPr>
          <w:rFonts w:asciiTheme="minorHAnsi" w:hAnsiTheme="minorHAnsi" w:cs="Arial"/>
          <w:szCs w:val="24"/>
        </w:rPr>
        <w:t xml:space="preserve">discussing </w:t>
      </w:r>
      <w:r w:rsidRPr="00096FF8">
        <w:rPr>
          <w:rFonts w:asciiTheme="minorHAnsi" w:hAnsiTheme="minorHAnsi" w:cs="Arial"/>
          <w:szCs w:val="24"/>
        </w:rPr>
        <w:t xml:space="preserve">the degree of convergence between personalisation and safeguarding, which </w:t>
      </w:r>
      <w:r w:rsidR="00457D19" w:rsidRPr="00096FF8">
        <w:rPr>
          <w:rFonts w:asciiTheme="minorHAnsi" w:hAnsiTheme="minorHAnsi" w:cs="Arial"/>
          <w:szCs w:val="24"/>
        </w:rPr>
        <w:t xml:space="preserve">the </w:t>
      </w:r>
      <w:r w:rsidRPr="00096FF8">
        <w:rPr>
          <w:rFonts w:asciiTheme="minorHAnsi" w:hAnsiTheme="minorHAnsi" w:cs="Arial"/>
          <w:szCs w:val="24"/>
        </w:rPr>
        <w:t xml:space="preserve">earlier </w:t>
      </w:r>
      <w:r w:rsidR="00457D19" w:rsidRPr="00096FF8">
        <w:rPr>
          <w:rFonts w:asciiTheme="minorHAnsi" w:hAnsiTheme="minorHAnsi" w:cs="Arial"/>
          <w:szCs w:val="24"/>
        </w:rPr>
        <w:t xml:space="preserve">evaluation of Individual Budgets </w:t>
      </w:r>
      <w:r w:rsidRPr="00096FF8">
        <w:rPr>
          <w:rFonts w:asciiTheme="minorHAnsi" w:hAnsiTheme="minorHAnsi" w:cs="Arial"/>
          <w:szCs w:val="24"/>
        </w:rPr>
        <w:t xml:space="preserve">identified as initially operating largely on ‘parallel tracks’ (Manthorpe et al., 2009) and </w:t>
      </w:r>
      <w:r w:rsidR="005651F8" w:rsidRPr="00096FF8">
        <w:rPr>
          <w:rFonts w:asciiTheme="minorHAnsi" w:hAnsiTheme="minorHAnsi" w:cs="Arial"/>
          <w:szCs w:val="24"/>
        </w:rPr>
        <w:t xml:space="preserve">which </w:t>
      </w:r>
      <w:r w:rsidR="00C70701" w:rsidRPr="00096FF8">
        <w:rPr>
          <w:rFonts w:asciiTheme="minorHAnsi" w:hAnsiTheme="minorHAnsi" w:cs="Arial"/>
          <w:szCs w:val="24"/>
        </w:rPr>
        <w:t xml:space="preserve">potentially </w:t>
      </w:r>
      <w:r w:rsidRPr="00096FF8">
        <w:rPr>
          <w:rFonts w:asciiTheme="minorHAnsi" w:hAnsiTheme="minorHAnsi" w:cs="Arial"/>
          <w:szCs w:val="24"/>
        </w:rPr>
        <w:t>remains a contested area of practice (Schwehr 2010; SCIE 2010).</w:t>
      </w:r>
      <w:r w:rsidRPr="00096FF8">
        <w:rPr>
          <w:rFonts w:asciiTheme="minorHAnsi" w:hAnsiTheme="minorHAnsi"/>
          <w:szCs w:val="24"/>
        </w:rPr>
        <w:t xml:space="preserve">  </w:t>
      </w:r>
    </w:p>
    <w:p w14:paraId="2001A442" w14:textId="77777777" w:rsidR="008F1C41" w:rsidRPr="00096FF8" w:rsidRDefault="00193C04" w:rsidP="00490617">
      <w:pPr>
        <w:pStyle w:val="Heading2"/>
        <w:spacing w:line="480" w:lineRule="auto"/>
        <w:rPr>
          <w:rFonts w:asciiTheme="minorHAnsi" w:hAnsiTheme="minorHAnsi"/>
        </w:rPr>
      </w:pPr>
      <w:r w:rsidRPr="00096FF8">
        <w:rPr>
          <w:rFonts w:asciiTheme="minorHAnsi" w:hAnsiTheme="minorHAnsi"/>
        </w:rPr>
        <w:t xml:space="preserve">The </w:t>
      </w:r>
      <w:r w:rsidR="007B367F" w:rsidRPr="00096FF8">
        <w:rPr>
          <w:rFonts w:asciiTheme="minorHAnsi" w:hAnsiTheme="minorHAnsi"/>
        </w:rPr>
        <w:t>benefits and risks of personalisation</w:t>
      </w:r>
    </w:p>
    <w:p w14:paraId="7A073736" w14:textId="6883D3CB" w:rsidR="00581E19" w:rsidRPr="00096FF8" w:rsidRDefault="003018BA" w:rsidP="00490617">
      <w:pPr>
        <w:autoSpaceDE w:val="0"/>
        <w:autoSpaceDN w:val="0"/>
        <w:adjustRightInd w:val="0"/>
        <w:spacing w:line="480" w:lineRule="auto"/>
        <w:rPr>
          <w:rFonts w:asciiTheme="minorHAnsi" w:hAnsiTheme="minorHAnsi"/>
          <w:szCs w:val="24"/>
        </w:rPr>
      </w:pPr>
      <w:r w:rsidRPr="00096FF8">
        <w:rPr>
          <w:rFonts w:asciiTheme="minorHAnsi" w:hAnsiTheme="minorHAnsi"/>
          <w:szCs w:val="24"/>
        </w:rPr>
        <w:t xml:space="preserve">There is a substantial international literature on the use of </w:t>
      </w:r>
      <w:r w:rsidR="00931134" w:rsidRPr="00096FF8">
        <w:rPr>
          <w:rFonts w:asciiTheme="minorHAnsi" w:hAnsiTheme="minorHAnsi"/>
          <w:szCs w:val="24"/>
        </w:rPr>
        <w:t xml:space="preserve">personalised care </w:t>
      </w:r>
      <w:r w:rsidRPr="00096FF8">
        <w:rPr>
          <w:rFonts w:asciiTheme="minorHAnsi" w:hAnsiTheme="minorHAnsi"/>
          <w:szCs w:val="24"/>
        </w:rPr>
        <w:t>models, which involve the monetising of need and individualised purchasing of support (Manthorpe et al</w:t>
      </w:r>
      <w:r w:rsidR="009230E5" w:rsidRPr="00096FF8">
        <w:rPr>
          <w:rFonts w:asciiTheme="minorHAnsi" w:hAnsiTheme="minorHAnsi"/>
          <w:szCs w:val="24"/>
        </w:rPr>
        <w:t>.</w:t>
      </w:r>
      <w:r w:rsidRPr="00096FF8">
        <w:rPr>
          <w:rFonts w:asciiTheme="minorHAnsi" w:hAnsiTheme="minorHAnsi"/>
          <w:szCs w:val="24"/>
        </w:rPr>
        <w:t xml:space="preserve"> </w:t>
      </w:r>
      <w:r w:rsidR="00581E19" w:rsidRPr="00096FF8">
        <w:rPr>
          <w:rFonts w:asciiTheme="minorHAnsi" w:hAnsiTheme="minorHAnsi"/>
          <w:szCs w:val="24"/>
        </w:rPr>
        <w:lastRenderedPageBreak/>
        <w:t>2014</w:t>
      </w:r>
      <w:r w:rsidRPr="00096FF8">
        <w:rPr>
          <w:rFonts w:asciiTheme="minorHAnsi" w:hAnsiTheme="minorHAnsi"/>
          <w:szCs w:val="24"/>
        </w:rPr>
        <w:t>)</w:t>
      </w:r>
      <w:r w:rsidR="00931134" w:rsidRPr="00096FF8">
        <w:rPr>
          <w:rFonts w:asciiTheme="minorHAnsi" w:hAnsiTheme="minorHAnsi"/>
          <w:szCs w:val="24"/>
        </w:rPr>
        <w:t xml:space="preserve"> although eligibility may be restricted by </w:t>
      </w:r>
      <w:r w:rsidR="0008286C" w:rsidRPr="00096FF8">
        <w:rPr>
          <w:rFonts w:asciiTheme="minorHAnsi" w:hAnsiTheme="minorHAnsi"/>
          <w:szCs w:val="24"/>
        </w:rPr>
        <w:t>impairmen</w:t>
      </w:r>
      <w:r w:rsidR="00522F95" w:rsidRPr="00096FF8">
        <w:rPr>
          <w:rFonts w:asciiTheme="minorHAnsi" w:hAnsiTheme="minorHAnsi"/>
          <w:szCs w:val="24"/>
        </w:rPr>
        <w:t xml:space="preserve">t </w:t>
      </w:r>
      <w:r w:rsidR="00931134" w:rsidRPr="00096FF8">
        <w:rPr>
          <w:rFonts w:asciiTheme="minorHAnsi" w:hAnsiTheme="minorHAnsi"/>
          <w:szCs w:val="24"/>
        </w:rPr>
        <w:t>or age</w:t>
      </w:r>
      <w:r w:rsidRPr="00096FF8">
        <w:rPr>
          <w:rFonts w:asciiTheme="minorHAnsi" w:hAnsiTheme="minorHAnsi"/>
          <w:szCs w:val="24"/>
        </w:rPr>
        <w:t xml:space="preserve">. In </w:t>
      </w:r>
      <w:r w:rsidR="008C6B6B" w:rsidRPr="00096FF8">
        <w:rPr>
          <w:rFonts w:asciiTheme="minorHAnsi" w:hAnsiTheme="minorHAnsi"/>
          <w:szCs w:val="24"/>
        </w:rPr>
        <w:t>England</w:t>
      </w:r>
      <w:r w:rsidRPr="00096FF8">
        <w:rPr>
          <w:rFonts w:asciiTheme="minorHAnsi" w:hAnsiTheme="minorHAnsi"/>
          <w:szCs w:val="24"/>
        </w:rPr>
        <w:t>, the current</w:t>
      </w:r>
      <w:r w:rsidR="00096FF8">
        <w:rPr>
          <w:rFonts w:asciiTheme="minorHAnsi" w:hAnsiTheme="minorHAnsi"/>
          <w:szCs w:val="24"/>
        </w:rPr>
        <w:t>ly</w:t>
      </w:r>
      <w:r w:rsidRPr="00096FF8">
        <w:rPr>
          <w:rFonts w:asciiTheme="minorHAnsi" w:hAnsiTheme="minorHAnsi"/>
          <w:szCs w:val="24"/>
        </w:rPr>
        <w:t xml:space="preserve"> dominant cash-for-care model </w:t>
      </w:r>
      <w:r w:rsidR="00931134" w:rsidRPr="00096FF8">
        <w:rPr>
          <w:rFonts w:asciiTheme="minorHAnsi" w:hAnsiTheme="minorHAnsi"/>
          <w:szCs w:val="24"/>
        </w:rPr>
        <w:t>i</w:t>
      </w:r>
      <w:r w:rsidR="00581E19" w:rsidRPr="00096FF8">
        <w:rPr>
          <w:rFonts w:asciiTheme="minorHAnsi" w:hAnsiTheme="minorHAnsi"/>
          <w:szCs w:val="24"/>
        </w:rPr>
        <w:t>s personal budgets</w:t>
      </w:r>
      <w:r w:rsidR="00457D19" w:rsidRPr="00096FF8">
        <w:rPr>
          <w:rFonts w:asciiTheme="minorHAnsi" w:hAnsiTheme="minorHAnsi"/>
          <w:szCs w:val="24"/>
        </w:rPr>
        <w:t xml:space="preserve">, </w:t>
      </w:r>
      <w:r w:rsidR="00581E19" w:rsidRPr="00096FF8">
        <w:rPr>
          <w:rFonts w:asciiTheme="minorHAnsi" w:hAnsiTheme="minorHAnsi"/>
          <w:szCs w:val="24"/>
        </w:rPr>
        <w:t xml:space="preserve">as recently confirmed by the Care Act 2014. </w:t>
      </w:r>
      <w:r w:rsidR="00457D19" w:rsidRPr="00096FF8">
        <w:rPr>
          <w:rFonts w:asciiTheme="minorHAnsi" w:hAnsiTheme="minorHAnsi"/>
          <w:szCs w:val="24"/>
        </w:rPr>
        <w:t>These</w:t>
      </w:r>
      <w:r w:rsidR="00E13E4E" w:rsidRPr="00096FF8">
        <w:rPr>
          <w:rFonts w:asciiTheme="minorHAnsi" w:hAnsiTheme="minorHAnsi"/>
          <w:szCs w:val="24"/>
        </w:rPr>
        <w:t xml:space="preserve"> offer </w:t>
      </w:r>
      <w:r w:rsidR="00457D19" w:rsidRPr="00096FF8">
        <w:rPr>
          <w:rFonts w:asciiTheme="minorHAnsi" w:hAnsiTheme="minorHAnsi"/>
          <w:szCs w:val="24"/>
        </w:rPr>
        <w:t>eligible individuals</w:t>
      </w:r>
      <w:r w:rsidR="00E13E4E" w:rsidRPr="00096FF8">
        <w:rPr>
          <w:rFonts w:asciiTheme="minorHAnsi" w:hAnsiTheme="minorHAnsi"/>
          <w:szCs w:val="24"/>
        </w:rPr>
        <w:t xml:space="preserve"> increased control over the use of allocated money. They can be deployed in different ways: as a Direct Payment, where service users </w:t>
      </w:r>
      <w:r w:rsidR="0094441F" w:rsidRPr="00096FF8">
        <w:rPr>
          <w:rFonts w:asciiTheme="minorHAnsi" w:hAnsiTheme="minorHAnsi"/>
          <w:szCs w:val="24"/>
        </w:rPr>
        <w:t xml:space="preserve">entirely or partly </w:t>
      </w:r>
      <w:r w:rsidR="00E13E4E" w:rsidRPr="00096FF8">
        <w:rPr>
          <w:rFonts w:asciiTheme="minorHAnsi" w:hAnsiTheme="minorHAnsi"/>
          <w:szCs w:val="24"/>
        </w:rPr>
        <w:t xml:space="preserve">manage </w:t>
      </w:r>
      <w:r w:rsidR="0094441F" w:rsidRPr="00096FF8">
        <w:rPr>
          <w:rFonts w:asciiTheme="minorHAnsi" w:hAnsiTheme="minorHAnsi"/>
          <w:szCs w:val="24"/>
        </w:rPr>
        <w:t xml:space="preserve">their </w:t>
      </w:r>
      <w:r w:rsidR="00E13E4E" w:rsidRPr="00096FF8">
        <w:rPr>
          <w:rFonts w:asciiTheme="minorHAnsi" w:hAnsiTheme="minorHAnsi"/>
          <w:szCs w:val="24"/>
        </w:rPr>
        <w:t xml:space="preserve"> </w:t>
      </w:r>
      <w:r w:rsidR="00457D19" w:rsidRPr="00096FF8">
        <w:rPr>
          <w:rFonts w:asciiTheme="minorHAnsi" w:hAnsiTheme="minorHAnsi"/>
          <w:szCs w:val="24"/>
        </w:rPr>
        <w:t xml:space="preserve">personal budget </w:t>
      </w:r>
      <w:r w:rsidR="00E13E4E" w:rsidRPr="00096FF8">
        <w:rPr>
          <w:rFonts w:asciiTheme="minorHAnsi" w:hAnsiTheme="minorHAnsi"/>
          <w:szCs w:val="24"/>
        </w:rPr>
        <w:t>as a Direct Payment; paid to a third party</w:t>
      </w:r>
      <w:r w:rsidR="00C803C2" w:rsidRPr="00096FF8">
        <w:rPr>
          <w:rFonts w:asciiTheme="minorHAnsi" w:hAnsiTheme="minorHAnsi"/>
          <w:szCs w:val="24"/>
        </w:rPr>
        <w:t xml:space="preserve"> (an ‘indirect payment’)</w:t>
      </w:r>
      <w:r w:rsidR="00E13E4E" w:rsidRPr="00096FF8">
        <w:rPr>
          <w:rFonts w:asciiTheme="minorHAnsi" w:hAnsiTheme="minorHAnsi"/>
          <w:szCs w:val="24"/>
        </w:rPr>
        <w:t xml:space="preserve">, usually a family member, who manages the </w:t>
      </w:r>
      <w:r w:rsidR="00C803C2" w:rsidRPr="00096FF8">
        <w:rPr>
          <w:rFonts w:asciiTheme="minorHAnsi" w:hAnsiTheme="minorHAnsi"/>
          <w:szCs w:val="24"/>
        </w:rPr>
        <w:t>budget</w:t>
      </w:r>
      <w:r w:rsidR="00E13E4E" w:rsidRPr="00096FF8">
        <w:rPr>
          <w:rFonts w:asciiTheme="minorHAnsi" w:hAnsiTheme="minorHAnsi"/>
          <w:szCs w:val="24"/>
        </w:rPr>
        <w:t xml:space="preserve"> on behalf of the </w:t>
      </w:r>
      <w:r w:rsidR="00457D19" w:rsidRPr="00096FF8">
        <w:rPr>
          <w:rFonts w:asciiTheme="minorHAnsi" w:hAnsiTheme="minorHAnsi"/>
          <w:szCs w:val="24"/>
        </w:rPr>
        <w:t>individual</w:t>
      </w:r>
      <w:r w:rsidR="00E13E4E" w:rsidRPr="00096FF8">
        <w:rPr>
          <w:rFonts w:asciiTheme="minorHAnsi" w:hAnsiTheme="minorHAnsi"/>
          <w:szCs w:val="24"/>
        </w:rPr>
        <w:t>; or wholly managed by a care manager or social worker</w:t>
      </w:r>
      <w:r w:rsidR="00E12505" w:rsidRPr="00096FF8">
        <w:rPr>
          <w:rFonts w:asciiTheme="minorHAnsi" w:hAnsiTheme="minorHAnsi"/>
          <w:szCs w:val="24"/>
        </w:rPr>
        <w:t>, which is</w:t>
      </w:r>
      <w:r w:rsidR="00E13E4E" w:rsidRPr="00096FF8">
        <w:rPr>
          <w:rFonts w:asciiTheme="minorHAnsi" w:hAnsiTheme="minorHAnsi"/>
          <w:szCs w:val="24"/>
        </w:rPr>
        <w:t xml:space="preserve"> known as a managed Personal Budget</w:t>
      </w:r>
      <w:r w:rsidR="000E5A33">
        <w:rPr>
          <w:rFonts w:asciiTheme="minorHAnsi" w:hAnsiTheme="minorHAnsi"/>
          <w:szCs w:val="24"/>
        </w:rPr>
        <w:t>, which</w:t>
      </w:r>
      <w:r w:rsidR="000E5A33">
        <w:rPr>
          <w:szCs w:val="24"/>
        </w:rPr>
        <w:t xml:space="preserve"> some have argued offers </w:t>
      </w:r>
      <w:r w:rsidR="000E5A33" w:rsidRPr="008E33DB">
        <w:rPr>
          <w:szCs w:val="24"/>
        </w:rPr>
        <w:t xml:space="preserve">only </w:t>
      </w:r>
      <w:r w:rsidR="000E5A33">
        <w:rPr>
          <w:szCs w:val="24"/>
        </w:rPr>
        <w:t>‘</w:t>
      </w:r>
      <w:r w:rsidR="000E5A33" w:rsidRPr="008E33DB">
        <w:rPr>
          <w:szCs w:val="24"/>
        </w:rPr>
        <w:t>minor increases in opportunities</w:t>
      </w:r>
      <w:r w:rsidR="000E5A33">
        <w:rPr>
          <w:szCs w:val="24"/>
        </w:rPr>
        <w:t xml:space="preserve"> </w:t>
      </w:r>
      <w:r w:rsidR="000E5A33" w:rsidRPr="008E33DB">
        <w:rPr>
          <w:szCs w:val="24"/>
        </w:rPr>
        <w:t>for personalisation and choice</w:t>
      </w:r>
      <w:r w:rsidR="000E5A33">
        <w:rPr>
          <w:szCs w:val="24"/>
        </w:rPr>
        <w:t>’ (Rabiee et al, 2013: p3)</w:t>
      </w:r>
      <w:r w:rsidR="0094441F" w:rsidRPr="00096FF8">
        <w:rPr>
          <w:rFonts w:asciiTheme="minorHAnsi" w:hAnsiTheme="minorHAnsi"/>
          <w:szCs w:val="24"/>
        </w:rPr>
        <w:t>.</w:t>
      </w:r>
      <w:r w:rsidR="00E13E4E" w:rsidRPr="00096FF8">
        <w:rPr>
          <w:rFonts w:asciiTheme="minorHAnsi" w:hAnsiTheme="minorHAnsi"/>
          <w:szCs w:val="24"/>
        </w:rPr>
        <w:t xml:space="preserve"> </w:t>
      </w:r>
      <w:r w:rsidR="00581E19" w:rsidRPr="00096FF8">
        <w:rPr>
          <w:rFonts w:asciiTheme="minorHAnsi" w:hAnsiTheme="minorHAnsi"/>
          <w:szCs w:val="24"/>
        </w:rPr>
        <w:t xml:space="preserve">It is the government’s intention that </w:t>
      </w:r>
      <w:r w:rsidR="00E13E4E" w:rsidRPr="00096FF8">
        <w:rPr>
          <w:rFonts w:asciiTheme="minorHAnsi" w:hAnsiTheme="minorHAnsi"/>
          <w:szCs w:val="24"/>
        </w:rPr>
        <w:t>Direct Payments</w:t>
      </w:r>
      <w:r w:rsidR="00581E19" w:rsidRPr="00096FF8">
        <w:rPr>
          <w:rFonts w:asciiTheme="minorHAnsi" w:hAnsiTheme="minorHAnsi"/>
          <w:szCs w:val="24"/>
        </w:rPr>
        <w:t xml:space="preserve"> become the main form of deployment of </w:t>
      </w:r>
      <w:r w:rsidR="00457D19" w:rsidRPr="00096FF8">
        <w:rPr>
          <w:rFonts w:asciiTheme="minorHAnsi" w:hAnsiTheme="minorHAnsi"/>
          <w:szCs w:val="24"/>
        </w:rPr>
        <w:t xml:space="preserve">personal budgets </w:t>
      </w:r>
      <w:r w:rsidR="005651F8" w:rsidRPr="00096FF8">
        <w:rPr>
          <w:rFonts w:asciiTheme="minorHAnsi" w:hAnsiTheme="minorHAnsi"/>
          <w:szCs w:val="24"/>
        </w:rPr>
        <w:t xml:space="preserve">(DH </w:t>
      </w:r>
      <w:r w:rsidR="00457D19" w:rsidRPr="00096FF8">
        <w:rPr>
          <w:rFonts w:asciiTheme="minorHAnsi" w:hAnsiTheme="minorHAnsi"/>
          <w:szCs w:val="24"/>
        </w:rPr>
        <w:t>2010a</w:t>
      </w:r>
      <w:r w:rsidR="005651F8" w:rsidRPr="00096FF8">
        <w:rPr>
          <w:rFonts w:asciiTheme="minorHAnsi" w:hAnsiTheme="minorHAnsi"/>
          <w:szCs w:val="24"/>
        </w:rPr>
        <w:t>)</w:t>
      </w:r>
      <w:r w:rsidR="0094441F" w:rsidRPr="00096FF8">
        <w:rPr>
          <w:rFonts w:asciiTheme="minorHAnsi" w:hAnsiTheme="minorHAnsi"/>
          <w:szCs w:val="24"/>
        </w:rPr>
        <w:t>.</w:t>
      </w:r>
      <w:r w:rsidR="00581E19" w:rsidRPr="00096FF8">
        <w:rPr>
          <w:rFonts w:asciiTheme="minorHAnsi" w:hAnsiTheme="minorHAnsi"/>
        </w:rPr>
        <w:t xml:space="preserve"> </w:t>
      </w:r>
    </w:p>
    <w:p w14:paraId="23208AD1" w14:textId="1C21CF75" w:rsidR="00C803C2" w:rsidRPr="00096FF8" w:rsidRDefault="00C803C2" w:rsidP="00490617">
      <w:pPr>
        <w:spacing w:line="480" w:lineRule="auto"/>
        <w:rPr>
          <w:rFonts w:asciiTheme="minorHAnsi" w:hAnsiTheme="minorHAnsi"/>
          <w:szCs w:val="24"/>
        </w:rPr>
      </w:pPr>
    </w:p>
    <w:p w14:paraId="41453FDC" w14:textId="7A1B79DB" w:rsidR="00214ACC" w:rsidRPr="00096FF8" w:rsidRDefault="00017A61" w:rsidP="00490617">
      <w:pPr>
        <w:spacing w:line="480" w:lineRule="auto"/>
        <w:rPr>
          <w:rFonts w:asciiTheme="minorHAnsi" w:hAnsiTheme="minorHAnsi"/>
          <w:szCs w:val="24"/>
        </w:rPr>
      </w:pPr>
      <w:r w:rsidRPr="00096FF8">
        <w:rPr>
          <w:rFonts w:asciiTheme="minorHAnsi" w:hAnsiTheme="minorHAnsi"/>
          <w:szCs w:val="24"/>
        </w:rPr>
        <w:t xml:space="preserve">There </w:t>
      </w:r>
      <w:r w:rsidR="00457D19" w:rsidRPr="00096FF8">
        <w:rPr>
          <w:rFonts w:asciiTheme="minorHAnsi" w:hAnsiTheme="minorHAnsi"/>
          <w:szCs w:val="24"/>
        </w:rPr>
        <w:t>is</w:t>
      </w:r>
      <w:r w:rsidRPr="00096FF8">
        <w:rPr>
          <w:rFonts w:asciiTheme="minorHAnsi" w:hAnsiTheme="minorHAnsi"/>
          <w:szCs w:val="24"/>
        </w:rPr>
        <w:t xml:space="preserve"> much evidence about the positive impact of Direct Payments for certain groups of people, although similar evidence has not been found for </w:t>
      </w:r>
      <w:r w:rsidR="0094441F" w:rsidRPr="00096FF8">
        <w:rPr>
          <w:rFonts w:asciiTheme="minorHAnsi" w:hAnsiTheme="minorHAnsi"/>
          <w:szCs w:val="24"/>
        </w:rPr>
        <w:t xml:space="preserve">managed </w:t>
      </w:r>
      <w:r w:rsidR="00457D19" w:rsidRPr="00096FF8">
        <w:rPr>
          <w:rFonts w:asciiTheme="minorHAnsi" w:hAnsiTheme="minorHAnsi"/>
          <w:szCs w:val="24"/>
        </w:rPr>
        <w:t>personal b</w:t>
      </w:r>
      <w:r w:rsidR="000F0172" w:rsidRPr="00096FF8">
        <w:rPr>
          <w:rFonts w:asciiTheme="minorHAnsi" w:hAnsiTheme="minorHAnsi"/>
          <w:szCs w:val="24"/>
        </w:rPr>
        <w:t>udgets (</w:t>
      </w:r>
      <w:r w:rsidRPr="00096FF8">
        <w:rPr>
          <w:rFonts w:asciiTheme="minorHAnsi" w:hAnsiTheme="minorHAnsi"/>
          <w:szCs w:val="24"/>
        </w:rPr>
        <w:t xml:space="preserve">Slasberg and Beresford, 2015). </w:t>
      </w:r>
      <w:r w:rsidR="006E002D" w:rsidRPr="00096FF8">
        <w:rPr>
          <w:rFonts w:asciiTheme="minorHAnsi" w:hAnsiTheme="minorHAnsi"/>
          <w:szCs w:val="24"/>
        </w:rPr>
        <w:t>O</w:t>
      </w:r>
      <w:r w:rsidR="00214ACC" w:rsidRPr="00096FF8">
        <w:rPr>
          <w:rFonts w:asciiTheme="minorHAnsi" w:hAnsiTheme="minorHAnsi"/>
          <w:szCs w:val="24"/>
        </w:rPr>
        <w:t xml:space="preserve">utcomes for older people </w:t>
      </w:r>
      <w:r w:rsidR="006C7201" w:rsidRPr="00096FF8">
        <w:rPr>
          <w:rFonts w:asciiTheme="minorHAnsi" w:hAnsiTheme="minorHAnsi"/>
          <w:szCs w:val="24"/>
        </w:rPr>
        <w:t xml:space="preserve">have been found to be </w:t>
      </w:r>
      <w:r w:rsidR="00214ACC" w:rsidRPr="00096FF8">
        <w:rPr>
          <w:rFonts w:asciiTheme="minorHAnsi" w:hAnsiTheme="minorHAnsi"/>
          <w:szCs w:val="24"/>
        </w:rPr>
        <w:t>less positive</w:t>
      </w:r>
      <w:r w:rsidR="00457D19" w:rsidRPr="00096FF8">
        <w:rPr>
          <w:rFonts w:asciiTheme="minorHAnsi" w:hAnsiTheme="minorHAnsi"/>
          <w:szCs w:val="24"/>
        </w:rPr>
        <w:t xml:space="preserve"> than for others</w:t>
      </w:r>
      <w:r w:rsidR="00214ACC" w:rsidRPr="00096FF8">
        <w:rPr>
          <w:rFonts w:asciiTheme="minorHAnsi" w:hAnsiTheme="minorHAnsi"/>
          <w:szCs w:val="24"/>
        </w:rPr>
        <w:t xml:space="preserve"> (Netten et al., 201</w:t>
      </w:r>
      <w:r w:rsidR="00116800" w:rsidRPr="00096FF8">
        <w:rPr>
          <w:rFonts w:asciiTheme="minorHAnsi" w:hAnsiTheme="minorHAnsi"/>
          <w:szCs w:val="24"/>
        </w:rPr>
        <w:t>2</w:t>
      </w:r>
      <w:r w:rsidR="00214ACC" w:rsidRPr="00096FF8">
        <w:rPr>
          <w:rFonts w:asciiTheme="minorHAnsi" w:hAnsiTheme="minorHAnsi"/>
          <w:szCs w:val="24"/>
        </w:rPr>
        <w:t>).</w:t>
      </w:r>
      <w:r w:rsidR="0039720B" w:rsidRPr="00096FF8">
        <w:rPr>
          <w:rFonts w:asciiTheme="minorHAnsi" w:hAnsiTheme="minorHAnsi"/>
          <w:szCs w:val="24"/>
        </w:rPr>
        <w:t xml:space="preserve"> However, take up of </w:t>
      </w:r>
      <w:r w:rsidR="00E13E4E" w:rsidRPr="00096FF8">
        <w:rPr>
          <w:rFonts w:asciiTheme="minorHAnsi" w:hAnsiTheme="minorHAnsi"/>
          <w:szCs w:val="24"/>
        </w:rPr>
        <w:t>Direct Payments</w:t>
      </w:r>
      <w:r w:rsidR="0039720B" w:rsidRPr="00096FF8">
        <w:rPr>
          <w:rFonts w:asciiTheme="minorHAnsi" w:hAnsiTheme="minorHAnsi"/>
          <w:szCs w:val="24"/>
        </w:rPr>
        <w:t xml:space="preserve"> remains low, especially amongst older people</w:t>
      </w:r>
      <w:r w:rsidR="00686B01" w:rsidRPr="00096FF8">
        <w:rPr>
          <w:rFonts w:asciiTheme="minorHAnsi" w:hAnsiTheme="minorHAnsi"/>
          <w:szCs w:val="24"/>
        </w:rPr>
        <w:t>;</w:t>
      </w:r>
      <w:r w:rsidR="00580CF0" w:rsidRPr="00096FF8">
        <w:rPr>
          <w:rFonts w:asciiTheme="minorHAnsi" w:hAnsiTheme="minorHAnsi"/>
          <w:szCs w:val="24"/>
        </w:rPr>
        <w:t xml:space="preserve"> </w:t>
      </w:r>
      <w:r w:rsidR="00761112" w:rsidRPr="00096FF8">
        <w:rPr>
          <w:rFonts w:asciiTheme="minorHAnsi" w:hAnsiTheme="minorHAnsi"/>
          <w:szCs w:val="24"/>
        </w:rPr>
        <w:t xml:space="preserve">only </w:t>
      </w:r>
      <w:r w:rsidR="00580CF0" w:rsidRPr="00096FF8">
        <w:rPr>
          <w:rFonts w:asciiTheme="minorHAnsi" w:hAnsiTheme="minorHAnsi"/>
          <w:szCs w:val="24"/>
        </w:rPr>
        <w:t>15</w:t>
      </w:r>
      <w:r w:rsidR="00B74A1A" w:rsidRPr="00096FF8">
        <w:rPr>
          <w:rFonts w:asciiTheme="minorHAnsi" w:hAnsiTheme="minorHAnsi"/>
          <w:szCs w:val="24"/>
        </w:rPr>
        <w:t xml:space="preserve"> per cent </w:t>
      </w:r>
      <w:r w:rsidR="00580CF0" w:rsidRPr="00096FF8">
        <w:rPr>
          <w:rFonts w:asciiTheme="minorHAnsi" w:hAnsiTheme="minorHAnsi"/>
          <w:szCs w:val="24"/>
        </w:rPr>
        <w:t xml:space="preserve">of older people receiving publicly funded social care </w:t>
      </w:r>
      <w:r w:rsidR="00457D19" w:rsidRPr="00096FF8">
        <w:rPr>
          <w:rFonts w:asciiTheme="minorHAnsi" w:hAnsiTheme="minorHAnsi"/>
          <w:szCs w:val="24"/>
        </w:rPr>
        <w:t xml:space="preserve">take up </w:t>
      </w:r>
      <w:r w:rsidR="00580CF0" w:rsidRPr="00096FF8">
        <w:rPr>
          <w:rFonts w:asciiTheme="minorHAnsi" w:hAnsiTheme="minorHAnsi"/>
          <w:szCs w:val="24"/>
        </w:rPr>
        <w:t xml:space="preserve">a Direct Payment (ADASS, 2014).  </w:t>
      </w:r>
    </w:p>
    <w:p w14:paraId="18AFC493" w14:textId="77777777" w:rsidR="00AD16A1" w:rsidRPr="00096FF8" w:rsidRDefault="00AD16A1" w:rsidP="00490617">
      <w:pPr>
        <w:spacing w:line="480" w:lineRule="auto"/>
        <w:rPr>
          <w:rFonts w:asciiTheme="minorHAnsi" w:hAnsiTheme="minorHAnsi"/>
          <w:szCs w:val="24"/>
        </w:rPr>
      </w:pPr>
    </w:p>
    <w:p w14:paraId="2A150A3B" w14:textId="20070C48" w:rsidR="00AD16A1" w:rsidRPr="00096FF8" w:rsidRDefault="00AD16A1" w:rsidP="00490617">
      <w:pPr>
        <w:spacing w:line="480" w:lineRule="auto"/>
        <w:rPr>
          <w:rFonts w:asciiTheme="minorHAnsi" w:hAnsiTheme="minorHAnsi"/>
          <w:szCs w:val="24"/>
        </w:rPr>
      </w:pPr>
      <w:r w:rsidRPr="00096FF8">
        <w:rPr>
          <w:rFonts w:asciiTheme="minorHAnsi" w:hAnsiTheme="minorHAnsi"/>
          <w:szCs w:val="24"/>
        </w:rPr>
        <w:t>Manthorpe et al</w:t>
      </w:r>
      <w:r w:rsidR="008664C1" w:rsidRPr="00096FF8">
        <w:rPr>
          <w:rFonts w:asciiTheme="minorHAnsi" w:hAnsiTheme="minorHAnsi"/>
          <w:szCs w:val="24"/>
        </w:rPr>
        <w:t>.</w:t>
      </w:r>
      <w:r w:rsidRPr="00096FF8">
        <w:rPr>
          <w:rFonts w:asciiTheme="minorHAnsi" w:hAnsiTheme="minorHAnsi"/>
          <w:szCs w:val="24"/>
        </w:rPr>
        <w:t xml:space="preserve"> </w:t>
      </w:r>
      <w:r w:rsidR="00D65FD6" w:rsidRPr="00096FF8">
        <w:rPr>
          <w:rFonts w:asciiTheme="minorHAnsi" w:hAnsiTheme="minorHAnsi"/>
          <w:szCs w:val="24"/>
        </w:rPr>
        <w:t>(</w:t>
      </w:r>
      <w:r w:rsidRPr="00096FF8">
        <w:rPr>
          <w:rFonts w:asciiTheme="minorHAnsi" w:hAnsiTheme="minorHAnsi"/>
          <w:szCs w:val="24"/>
        </w:rPr>
        <w:t>2009)</w:t>
      </w:r>
      <w:r w:rsidR="00CF29D4" w:rsidRPr="00096FF8">
        <w:rPr>
          <w:rFonts w:asciiTheme="minorHAnsi" w:hAnsiTheme="minorHAnsi"/>
          <w:szCs w:val="24"/>
        </w:rPr>
        <w:t xml:space="preserve"> </w:t>
      </w:r>
      <w:r w:rsidRPr="00096FF8">
        <w:rPr>
          <w:rFonts w:asciiTheme="minorHAnsi" w:hAnsiTheme="minorHAnsi"/>
          <w:szCs w:val="24"/>
        </w:rPr>
        <w:t xml:space="preserve">found that many practitioners and managers had concerns about the negative consequences of </w:t>
      </w:r>
      <w:r w:rsidR="00E13E4E" w:rsidRPr="00096FF8">
        <w:rPr>
          <w:rFonts w:asciiTheme="minorHAnsi" w:hAnsiTheme="minorHAnsi"/>
          <w:szCs w:val="24"/>
        </w:rPr>
        <w:t>Individual Budgets</w:t>
      </w:r>
      <w:r w:rsidR="004C59CD" w:rsidRPr="00096FF8">
        <w:rPr>
          <w:rFonts w:asciiTheme="minorHAnsi" w:hAnsiTheme="minorHAnsi"/>
          <w:szCs w:val="24"/>
        </w:rPr>
        <w:t xml:space="preserve"> (the precursor to </w:t>
      </w:r>
      <w:r w:rsidR="00457D19" w:rsidRPr="00096FF8">
        <w:rPr>
          <w:rFonts w:asciiTheme="minorHAnsi" w:hAnsiTheme="minorHAnsi"/>
          <w:szCs w:val="24"/>
        </w:rPr>
        <w:t xml:space="preserve">personal </w:t>
      </w:r>
      <w:r w:rsidR="004C59CD" w:rsidRPr="00096FF8">
        <w:rPr>
          <w:rFonts w:asciiTheme="minorHAnsi" w:hAnsiTheme="minorHAnsi"/>
          <w:szCs w:val="24"/>
        </w:rPr>
        <w:t>budgets)</w:t>
      </w:r>
      <w:r w:rsidRPr="00096FF8">
        <w:rPr>
          <w:rFonts w:asciiTheme="minorHAnsi" w:hAnsiTheme="minorHAnsi"/>
          <w:szCs w:val="24"/>
        </w:rPr>
        <w:t xml:space="preserve"> for some people. Fears were expressed that using unregulated care workers or relatives may leave disabled or older people at greater risk of abuse (including neglect, physical and financial abuse/exploitation) or of receiving poorer quality support than people in receipt of conventional </w:t>
      </w:r>
      <w:r w:rsidR="00457D19" w:rsidRPr="00096FF8">
        <w:rPr>
          <w:rFonts w:asciiTheme="minorHAnsi" w:hAnsiTheme="minorHAnsi"/>
          <w:szCs w:val="24"/>
        </w:rPr>
        <w:t xml:space="preserve">regulated </w:t>
      </w:r>
      <w:r w:rsidRPr="00096FF8">
        <w:rPr>
          <w:rFonts w:asciiTheme="minorHAnsi" w:hAnsiTheme="minorHAnsi"/>
          <w:szCs w:val="24"/>
        </w:rPr>
        <w:t>services</w:t>
      </w:r>
      <w:r w:rsidR="00DC23D9" w:rsidRPr="00096FF8">
        <w:rPr>
          <w:rFonts w:asciiTheme="minorHAnsi" w:hAnsiTheme="minorHAnsi"/>
          <w:szCs w:val="24"/>
        </w:rPr>
        <w:t xml:space="preserve">. </w:t>
      </w:r>
      <w:r w:rsidRPr="00096FF8">
        <w:rPr>
          <w:rFonts w:asciiTheme="minorHAnsi" w:hAnsiTheme="minorHAnsi"/>
          <w:szCs w:val="24"/>
        </w:rPr>
        <w:t>Such fears are widely shared (</w:t>
      </w:r>
      <w:r w:rsidR="00C46A54" w:rsidRPr="00096FF8">
        <w:rPr>
          <w:rFonts w:asciiTheme="minorHAnsi" w:hAnsiTheme="minorHAnsi"/>
          <w:szCs w:val="24"/>
        </w:rPr>
        <w:t xml:space="preserve">Leece, 2010; </w:t>
      </w:r>
      <w:r w:rsidRPr="00096FF8">
        <w:rPr>
          <w:rFonts w:asciiTheme="minorHAnsi" w:hAnsiTheme="minorHAnsi"/>
          <w:szCs w:val="24"/>
        </w:rPr>
        <w:t>Ferguson</w:t>
      </w:r>
      <w:r w:rsidR="004A4353" w:rsidRPr="00096FF8">
        <w:rPr>
          <w:rFonts w:asciiTheme="minorHAnsi" w:hAnsiTheme="minorHAnsi"/>
          <w:szCs w:val="24"/>
        </w:rPr>
        <w:t xml:space="preserve">, </w:t>
      </w:r>
      <w:r w:rsidR="004A4353" w:rsidRPr="00096FF8">
        <w:rPr>
          <w:rFonts w:asciiTheme="minorHAnsi" w:hAnsiTheme="minorHAnsi"/>
          <w:szCs w:val="24"/>
        </w:rPr>
        <w:lastRenderedPageBreak/>
        <w:t>2007)</w:t>
      </w:r>
      <w:r w:rsidRPr="00096FF8">
        <w:rPr>
          <w:rFonts w:asciiTheme="minorHAnsi" w:hAnsiTheme="minorHAnsi"/>
          <w:szCs w:val="24"/>
        </w:rPr>
        <w:t xml:space="preserve">. </w:t>
      </w:r>
      <w:r w:rsidR="00E13E4E" w:rsidRPr="00096FF8">
        <w:rPr>
          <w:rFonts w:asciiTheme="minorHAnsi" w:hAnsiTheme="minorHAnsi"/>
          <w:szCs w:val="24"/>
        </w:rPr>
        <w:t>Direct Payment</w:t>
      </w:r>
      <w:r w:rsidRPr="00096FF8">
        <w:rPr>
          <w:rFonts w:asciiTheme="minorHAnsi" w:hAnsiTheme="minorHAnsi"/>
          <w:szCs w:val="24"/>
        </w:rPr>
        <w:t xml:space="preserve"> holders are permitted to pay relatives</w:t>
      </w:r>
      <w:r w:rsidR="003A3650" w:rsidRPr="00096FF8">
        <w:rPr>
          <w:rFonts w:asciiTheme="minorHAnsi" w:hAnsiTheme="minorHAnsi"/>
          <w:szCs w:val="24"/>
        </w:rPr>
        <w:t xml:space="preserve"> (who live outside the home)</w:t>
      </w:r>
      <w:r w:rsidRPr="00096FF8">
        <w:rPr>
          <w:rFonts w:asciiTheme="minorHAnsi" w:hAnsiTheme="minorHAnsi"/>
          <w:szCs w:val="24"/>
        </w:rPr>
        <w:t xml:space="preserve"> to provide care and support and relatives</w:t>
      </w:r>
      <w:r w:rsidR="008E33DB" w:rsidRPr="00096FF8">
        <w:rPr>
          <w:rFonts w:asciiTheme="minorHAnsi" w:hAnsiTheme="minorHAnsi"/>
          <w:szCs w:val="24"/>
        </w:rPr>
        <w:t xml:space="preserve"> are able to</w:t>
      </w:r>
      <w:r w:rsidRPr="00096FF8">
        <w:rPr>
          <w:rFonts w:asciiTheme="minorHAnsi" w:hAnsiTheme="minorHAnsi"/>
          <w:szCs w:val="24"/>
        </w:rPr>
        <w:t xml:space="preserve"> act as proxies by holding the </w:t>
      </w:r>
      <w:r w:rsidR="00E13E4E" w:rsidRPr="00096FF8">
        <w:rPr>
          <w:rFonts w:asciiTheme="minorHAnsi" w:hAnsiTheme="minorHAnsi"/>
          <w:szCs w:val="24"/>
        </w:rPr>
        <w:t>Direct Payment</w:t>
      </w:r>
      <w:r w:rsidRPr="00096FF8">
        <w:rPr>
          <w:rFonts w:asciiTheme="minorHAnsi" w:hAnsiTheme="minorHAnsi"/>
          <w:szCs w:val="24"/>
        </w:rPr>
        <w:t xml:space="preserve"> when the adult concerned is not able to do so</w:t>
      </w:r>
      <w:r w:rsidR="00E12505" w:rsidRPr="00096FF8">
        <w:rPr>
          <w:rFonts w:asciiTheme="minorHAnsi" w:hAnsiTheme="minorHAnsi"/>
          <w:szCs w:val="24"/>
        </w:rPr>
        <w:t xml:space="preserve">, </w:t>
      </w:r>
      <w:r w:rsidRPr="00096FF8">
        <w:rPr>
          <w:rFonts w:asciiTheme="minorHAnsi" w:hAnsiTheme="minorHAnsi"/>
          <w:szCs w:val="24"/>
        </w:rPr>
        <w:t>for reasons such as severe dementia</w:t>
      </w:r>
      <w:r w:rsidR="008E33DB" w:rsidRPr="00096FF8">
        <w:rPr>
          <w:rFonts w:asciiTheme="minorHAnsi" w:hAnsiTheme="minorHAnsi"/>
          <w:szCs w:val="24"/>
        </w:rPr>
        <w:t xml:space="preserve">. Both of these developments </w:t>
      </w:r>
      <w:r w:rsidRPr="00096FF8">
        <w:rPr>
          <w:rFonts w:asciiTheme="minorHAnsi" w:hAnsiTheme="minorHAnsi"/>
          <w:szCs w:val="24"/>
        </w:rPr>
        <w:t>may increase vulnerability to financial and other forms of abuse, as adult safeguarding managers have warned (Manthorpe and Samsi</w:t>
      </w:r>
      <w:r w:rsidR="008C6B6B" w:rsidRPr="00096FF8">
        <w:rPr>
          <w:rFonts w:asciiTheme="minorHAnsi" w:hAnsiTheme="minorHAnsi"/>
          <w:szCs w:val="24"/>
        </w:rPr>
        <w:t>,</w:t>
      </w:r>
      <w:r w:rsidRPr="00096FF8">
        <w:rPr>
          <w:rFonts w:asciiTheme="minorHAnsi" w:hAnsiTheme="minorHAnsi"/>
          <w:szCs w:val="24"/>
        </w:rPr>
        <w:t xml:space="preserve"> </w:t>
      </w:r>
      <w:r w:rsidR="00253355" w:rsidRPr="00096FF8">
        <w:rPr>
          <w:rFonts w:asciiTheme="minorHAnsi" w:hAnsiTheme="minorHAnsi"/>
          <w:szCs w:val="24"/>
        </w:rPr>
        <w:t>2013</w:t>
      </w:r>
      <w:r w:rsidRPr="00096FF8">
        <w:rPr>
          <w:rFonts w:asciiTheme="minorHAnsi" w:hAnsiTheme="minorHAnsi"/>
          <w:szCs w:val="24"/>
        </w:rPr>
        <w:t xml:space="preserve">). </w:t>
      </w:r>
      <w:r w:rsidR="00142957" w:rsidRPr="00096FF8">
        <w:rPr>
          <w:rFonts w:asciiTheme="minorHAnsi" w:hAnsiTheme="minorHAnsi"/>
          <w:szCs w:val="24"/>
        </w:rPr>
        <w:t xml:space="preserve">Earlier </w:t>
      </w:r>
      <w:r w:rsidRPr="00096FF8">
        <w:rPr>
          <w:rFonts w:asciiTheme="minorHAnsi" w:hAnsiTheme="minorHAnsi"/>
          <w:szCs w:val="24"/>
        </w:rPr>
        <w:t xml:space="preserve">research, however, suggests that people using </w:t>
      </w:r>
      <w:r w:rsidR="00E13E4E" w:rsidRPr="00096FF8">
        <w:rPr>
          <w:rFonts w:asciiTheme="minorHAnsi" w:hAnsiTheme="minorHAnsi"/>
          <w:szCs w:val="24"/>
        </w:rPr>
        <w:t>Direct Payments</w:t>
      </w:r>
      <w:r w:rsidRPr="00096FF8">
        <w:rPr>
          <w:rFonts w:asciiTheme="minorHAnsi" w:hAnsiTheme="minorHAnsi"/>
          <w:szCs w:val="24"/>
        </w:rPr>
        <w:t xml:space="preserve"> and employing </w:t>
      </w:r>
      <w:r w:rsidR="00011222" w:rsidRPr="00096FF8">
        <w:rPr>
          <w:rFonts w:asciiTheme="minorHAnsi" w:hAnsiTheme="minorHAnsi"/>
          <w:szCs w:val="24"/>
        </w:rPr>
        <w:t>Personal Assistants (PA</w:t>
      </w:r>
      <w:r w:rsidR="006E002D" w:rsidRPr="00096FF8">
        <w:rPr>
          <w:rFonts w:asciiTheme="minorHAnsi" w:hAnsiTheme="minorHAnsi"/>
          <w:szCs w:val="24"/>
        </w:rPr>
        <w:t>s</w:t>
      </w:r>
      <w:r w:rsidR="00011222" w:rsidRPr="00096FF8">
        <w:rPr>
          <w:rFonts w:asciiTheme="minorHAnsi" w:hAnsiTheme="minorHAnsi"/>
          <w:szCs w:val="24"/>
        </w:rPr>
        <w:t>)</w:t>
      </w:r>
      <w:r w:rsidRPr="00096FF8">
        <w:rPr>
          <w:rFonts w:asciiTheme="minorHAnsi" w:hAnsiTheme="minorHAnsi"/>
          <w:szCs w:val="24"/>
        </w:rPr>
        <w:t xml:space="preserve"> may report less abuse or poor quality care than those using conventional, council-commissioned services (Adams and Godwin</w:t>
      </w:r>
      <w:r w:rsidR="00292010" w:rsidRPr="00096FF8">
        <w:rPr>
          <w:rFonts w:asciiTheme="minorHAnsi" w:hAnsiTheme="minorHAnsi"/>
          <w:szCs w:val="24"/>
        </w:rPr>
        <w:t>,</w:t>
      </w:r>
      <w:r w:rsidRPr="00096FF8">
        <w:rPr>
          <w:rFonts w:asciiTheme="minorHAnsi" w:hAnsiTheme="minorHAnsi"/>
          <w:szCs w:val="24"/>
        </w:rPr>
        <w:t xml:space="preserve"> 2008)</w:t>
      </w:r>
      <w:r w:rsidR="008E33DB" w:rsidRPr="00096FF8">
        <w:rPr>
          <w:rFonts w:asciiTheme="minorHAnsi" w:hAnsiTheme="minorHAnsi"/>
          <w:szCs w:val="24"/>
        </w:rPr>
        <w:t xml:space="preserve">, although this may be due more to low reporting levels rather than an indication of less abuse. Furthermore, </w:t>
      </w:r>
      <w:r w:rsidRPr="00096FF8">
        <w:rPr>
          <w:rFonts w:asciiTheme="minorHAnsi" w:hAnsiTheme="minorHAnsi"/>
          <w:szCs w:val="24"/>
        </w:rPr>
        <w:t>some commentators have</w:t>
      </w:r>
      <w:r w:rsidR="000E7E9C" w:rsidRPr="00096FF8">
        <w:rPr>
          <w:rFonts w:asciiTheme="minorHAnsi" w:hAnsiTheme="minorHAnsi"/>
          <w:szCs w:val="24"/>
        </w:rPr>
        <w:t xml:space="preserve"> </w:t>
      </w:r>
      <w:r w:rsidRPr="00096FF8">
        <w:rPr>
          <w:rFonts w:asciiTheme="minorHAnsi" w:hAnsiTheme="minorHAnsi"/>
          <w:szCs w:val="24"/>
        </w:rPr>
        <w:t>proposed that safeguarding is enhanced by greater choice and control (Tyson</w:t>
      </w:r>
      <w:r w:rsidR="00292010" w:rsidRPr="00096FF8">
        <w:rPr>
          <w:rFonts w:asciiTheme="minorHAnsi" w:hAnsiTheme="minorHAnsi"/>
          <w:szCs w:val="24"/>
        </w:rPr>
        <w:t>,</w:t>
      </w:r>
      <w:r w:rsidRPr="00096FF8">
        <w:rPr>
          <w:rFonts w:asciiTheme="minorHAnsi" w:hAnsiTheme="minorHAnsi"/>
          <w:szCs w:val="24"/>
        </w:rPr>
        <w:t xml:space="preserve"> 2010).</w:t>
      </w:r>
    </w:p>
    <w:p w14:paraId="04363036" w14:textId="77777777" w:rsidR="00430556" w:rsidRPr="00096FF8" w:rsidRDefault="00430556" w:rsidP="00490617">
      <w:pPr>
        <w:spacing w:line="480" w:lineRule="auto"/>
        <w:rPr>
          <w:rFonts w:asciiTheme="minorHAnsi" w:hAnsiTheme="minorHAnsi"/>
          <w:szCs w:val="24"/>
        </w:rPr>
      </w:pPr>
    </w:p>
    <w:p w14:paraId="2DE432A1" w14:textId="77777777" w:rsidR="005C66AB" w:rsidRPr="00096FF8" w:rsidRDefault="005C66AB" w:rsidP="00490617">
      <w:pPr>
        <w:pStyle w:val="Heading2"/>
        <w:spacing w:before="0" w:line="480" w:lineRule="auto"/>
        <w:rPr>
          <w:rFonts w:asciiTheme="minorHAnsi" w:hAnsiTheme="minorHAnsi"/>
          <w:i w:val="0"/>
        </w:rPr>
      </w:pPr>
      <w:r w:rsidRPr="00096FF8">
        <w:rPr>
          <w:rFonts w:asciiTheme="minorHAnsi" w:hAnsiTheme="minorHAnsi"/>
          <w:i w:val="0"/>
        </w:rPr>
        <w:t>Methods</w:t>
      </w:r>
      <w:r w:rsidR="00CC3796" w:rsidRPr="00096FF8">
        <w:rPr>
          <w:rFonts w:asciiTheme="minorHAnsi" w:hAnsiTheme="minorHAnsi"/>
          <w:i w:val="0"/>
        </w:rPr>
        <w:t xml:space="preserve"> and </w:t>
      </w:r>
      <w:r w:rsidR="00006DAD" w:rsidRPr="00096FF8">
        <w:rPr>
          <w:rFonts w:asciiTheme="minorHAnsi" w:hAnsiTheme="minorHAnsi"/>
          <w:i w:val="0"/>
        </w:rPr>
        <w:t>data</w:t>
      </w:r>
    </w:p>
    <w:p w14:paraId="0A2C019A" w14:textId="7D49CE02" w:rsidR="00326559" w:rsidRPr="00096FF8" w:rsidRDefault="00621FA4" w:rsidP="00490617">
      <w:pPr>
        <w:pStyle w:val="MediumGrid1-Accent21"/>
        <w:spacing w:before="0" w:after="0" w:line="480" w:lineRule="auto"/>
        <w:ind w:left="0"/>
        <w:rPr>
          <w:rFonts w:asciiTheme="minorHAnsi" w:hAnsiTheme="minorHAnsi"/>
          <w:bCs/>
          <w:szCs w:val="24"/>
        </w:rPr>
      </w:pPr>
      <w:r>
        <w:rPr>
          <w:rFonts w:asciiTheme="minorHAnsi" w:hAnsiTheme="minorHAnsi"/>
          <w:bCs/>
          <w:szCs w:val="24"/>
        </w:rPr>
        <w:t xml:space="preserve">The study </w:t>
      </w:r>
      <w:r w:rsidR="00D962A5" w:rsidRPr="00096FF8">
        <w:rPr>
          <w:rFonts w:asciiTheme="minorHAnsi" w:hAnsiTheme="minorHAnsi"/>
          <w:bCs/>
          <w:szCs w:val="24"/>
        </w:rPr>
        <w:t xml:space="preserve">took place from 2012 to 2014. </w:t>
      </w:r>
      <w:r w:rsidR="00326559" w:rsidRPr="00096FF8">
        <w:rPr>
          <w:rFonts w:asciiTheme="minorHAnsi" w:hAnsiTheme="minorHAnsi"/>
          <w:bCs/>
          <w:szCs w:val="24"/>
        </w:rPr>
        <w:t>It</w:t>
      </w:r>
      <w:r w:rsidR="00CC3796" w:rsidRPr="00096FF8">
        <w:rPr>
          <w:rFonts w:asciiTheme="minorHAnsi" w:hAnsiTheme="minorHAnsi"/>
          <w:bCs/>
          <w:szCs w:val="24"/>
        </w:rPr>
        <w:t xml:space="preserve"> in</w:t>
      </w:r>
      <w:r w:rsidR="007B367F" w:rsidRPr="00096FF8">
        <w:rPr>
          <w:rFonts w:asciiTheme="minorHAnsi" w:hAnsiTheme="minorHAnsi"/>
          <w:bCs/>
          <w:szCs w:val="24"/>
        </w:rPr>
        <w:t>volved</w:t>
      </w:r>
      <w:r w:rsidR="00CC3796" w:rsidRPr="00096FF8">
        <w:rPr>
          <w:rFonts w:asciiTheme="minorHAnsi" w:hAnsiTheme="minorHAnsi"/>
          <w:bCs/>
          <w:szCs w:val="24"/>
        </w:rPr>
        <w:t xml:space="preserve"> a review of </w:t>
      </w:r>
      <w:r w:rsidR="006652AE" w:rsidRPr="00096FF8">
        <w:rPr>
          <w:rFonts w:asciiTheme="minorHAnsi" w:hAnsiTheme="minorHAnsi"/>
          <w:bCs/>
          <w:szCs w:val="24"/>
        </w:rPr>
        <w:t>Safeguarding Adults Boards’ Annual Reports</w:t>
      </w:r>
      <w:r w:rsidR="004C59CD" w:rsidRPr="00096FF8">
        <w:rPr>
          <w:rFonts w:asciiTheme="minorHAnsi" w:hAnsiTheme="minorHAnsi"/>
          <w:bCs/>
          <w:szCs w:val="24"/>
        </w:rPr>
        <w:t xml:space="preserve"> </w:t>
      </w:r>
      <w:r w:rsidR="00326559" w:rsidRPr="00096FF8">
        <w:rPr>
          <w:rFonts w:asciiTheme="minorHAnsi" w:hAnsiTheme="minorHAnsi"/>
          <w:bCs/>
          <w:szCs w:val="24"/>
        </w:rPr>
        <w:t>(</w:t>
      </w:r>
      <w:r w:rsidR="009B3107">
        <w:rPr>
          <w:rFonts w:asciiTheme="minorHAnsi" w:hAnsiTheme="minorHAnsi"/>
          <w:bCs/>
          <w:szCs w:val="24"/>
        </w:rPr>
        <w:t>Manthorpe et al</w:t>
      </w:r>
      <w:r w:rsidR="00326559" w:rsidRPr="00096FF8">
        <w:rPr>
          <w:rFonts w:asciiTheme="minorHAnsi" w:hAnsiTheme="minorHAnsi"/>
          <w:bCs/>
          <w:szCs w:val="24"/>
        </w:rPr>
        <w:t>, 201</w:t>
      </w:r>
      <w:r w:rsidR="00AF5C4E">
        <w:rPr>
          <w:rFonts w:asciiTheme="minorHAnsi" w:hAnsiTheme="minorHAnsi"/>
          <w:bCs/>
          <w:szCs w:val="24"/>
        </w:rPr>
        <w:t>5</w:t>
      </w:r>
      <w:r w:rsidR="00326559" w:rsidRPr="00096FF8">
        <w:rPr>
          <w:rFonts w:asciiTheme="minorHAnsi" w:hAnsiTheme="minorHAnsi"/>
          <w:bCs/>
          <w:szCs w:val="24"/>
        </w:rPr>
        <w:t>)</w:t>
      </w:r>
      <w:r w:rsidR="00AF19ED" w:rsidRPr="00096FF8">
        <w:rPr>
          <w:rFonts w:asciiTheme="minorHAnsi" w:hAnsiTheme="minorHAnsi"/>
          <w:bCs/>
          <w:szCs w:val="24"/>
        </w:rPr>
        <w:t>, analysis</w:t>
      </w:r>
      <w:r w:rsidR="00CC3796" w:rsidRPr="00096FF8">
        <w:rPr>
          <w:rFonts w:asciiTheme="minorHAnsi" w:hAnsiTheme="minorHAnsi"/>
          <w:bCs/>
          <w:szCs w:val="24"/>
        </w:rPr>
        <w:t xml:space="preserve"> of national and local data</w:t>
      </w:r>
      <w:r w:rsidR="003A3650" w:rsidRPr="00096FF8">
        <w:rPr>
          <w:rFonts w:asciiTheme="minorHAnsi" w:hAnsiTheme="minorHAnsi"/>
          <w:bCs/>
          <w:szCs w:val="24"/>
        </w:rPr>
        <w:t xml:space="preserve"> and interviews with professionals and service users</w:t>
      </w:r>
      <w:r w:rsidR="00540303" w:rsidRPr="00096FF8">
        <w:rPr>
          <w:rFonts w:asciiTheme="minorHAnsi" w:hAnsiTheme="minorHAnsi"/>
          <w:bCs/>
          <w:szCs w:val="24"/>
        </w:rPr>
        <w:t>.</w:t>
      </w:r>
      <w:r w:rsidR="00BA72BE" w:rsidRPr="00096FF8">
        <w:rPr>
          <w:rFonts w:asciiTheme="minorHAnsi" w:hAnsiTheme="minorHAnsi"/>
          <w:bCs/>
          <w:szCs w:val="24"/>
        </w:rPr>
        <w:t xml:space="preserve"> </w:t>
      </w:r>
      <w:r w:rsidR="00326559" w:rsidRPr="00096FF8">
        <w:rPr>
          <w:rFonts w:asciiTheme="minorHAnsi" w:hAnsiTheme="minorHAnsi"/>
          <w:bCs/>
          <w:szCs w:val="24"/>
        </w:rPr>
        <w:t>The study’s findings are reported in</w:t>
      </w:r>
      <w:r w:rsidR="00BA72BE" w:rsidRPr="00096FF8">
        <w:rPr>
          <w:rFonts w:asciiTheme="minorHAnsi" w:hAnsiTheme="minorHAnsi"/>
          <w:bCs/>
          <w:szCs w:val="24"/>
        </w:rPr>
        <w:t xml:space="preserve"> </w:t>
      </w:r>
      <w:r w:rsidR="00253754">
        <w:rPr>
          <w:rFonts w:asciiTheme="minorHAnsi" w:hAnsiTheme="minorHAnsi"/>
          <w:bCs/>
          <w:szCs w:val="24"/>
        </w:rPr>
        <w:t xml:space="preserve">Stevens et al </w:t>
      </w:r>
      <w:r w:rsidR="004215A4" w:rsidRPr="00096FF8">
        <w:rPr>
          <w:rFonts w:asciiTheme="minorHAnsi" w:hAnsiTheme="minorHAnsi"/>
          <w:bCs/>
          <w:szCs w:val="24"/>
        </w:rPr>
        <w:t>(</w:t>
      </w:r>
      <w:r w:rsidR="00BA72BE" w:rsidRPr="00096FF8">
        <w:rPr>
          <w:rFonts w:asciiTheme="minorHAnsi" w:hAnsiTheme="minorHAnsi"/>
          <w:bCs/>
          <w:szCs w:val="24"/>
        </w:rPr>
        <w:t xml:space="preserve">2015). </w:t>
      </w:r>
    </w:p>
    <w:p w14:paraId="001547B8" w14:textId="77777777" w:rsidR="00326559" w:rsidRPr="00096FF8" w:rsidRDefault="00326559" w:rsidP="00490617">
      <w:pPr>
        <w:pStyle w:val="MediumGrid1-Accent21"/>
        <w:spacing w:before="0" w:after="0" w:line="480" w:lineRule="auto"/>
        <w:ind w:left="0"/>
        <w:rPr>
          <w:rFonts w:asciiTheme="minorHAnsi" w:hAnsiTheme="minorHAnsi"/>
          <w:bCs/>
          <w:szCs w:val="24"/>
        </w:rPr>
      </w:pPr>
    </w:p>
    <w:p w14:paraId="26770802" w14:textId="792FB598" w:rsidR="00DA000A" w:rsidRPr="00096FF8" w:rsidRDefault="00D962A5" w:rsidP="00490617">
      <w:pPr>
        <w:pStyle w:val="MediumGrid1-Accent21"/>
        <w:spacing w:before="0" w:after="0" w:line="480" w:lineRule="auto"/>
        <w:ind w:left="0"/>
        <w:rPr>
          <w:rFonts w:asciiTheme="minorHAnsi" w:hAnsiTheme="minorHAnsi"/>
          <w:szCs w:val="24"/>
        </w:rPr>
      </w:pPr>
      <w:r w:rsidRPr="00096FF8">
        <w:rPr>
          <w:rFonts w:asciiTheme="minorHAnsi" w:hAnsiTheme="minorHAnsi"/>
          <w:bCs/>
          <w:szCs w:val="24"/>
        </w:rPr>
        <w:t xml:space="preserve">This </w:t>
      </w:r>
      <w:r w:rsidR="00326559" w:rsidRPr="00096FF8">
        <w:rPr>
          <w:rFonts w:asciiTheme="minorHAnsi" w:hAnsiTheme="minorHAnsi"/>
          <w:bCs/>
          <w:szCs w:val="24"/>
        </w:rPr>
        <w:t xml:space="preserve">paper </w:t>
      </w:r>
      <w:r w:rsidR="00166890" w:rsidRPr="00096FF8">
        <w:rPr>
          <w:rFonts w:asciiTheme="minorHAnsi" w:hAnsiTheme="minorHAnsi"/>
          <w:bCs/>
          <w:szCs w:val="24"/>
        </w:rPr>
        <w:t>draws on semi-st</w:t>
      </w:r>
      <w:r w:rsidR="00BF082E" w:rsidRPr="00096FF8">
        <w:rPr>
          <w:rFonts w:asciiTheme="minorHAnsi" w:hAnsiTheme="minorHAnsi"/>
          <w:bCs/>
          <w:szCs w:val="24"/>
        </w:rPr>
        <w:t>r</w:t>
      </w:r>
      <w:r w:rsidR="00166890" w:rsidRPr="00096FF8">
        <w:rPr>
          <w:rFonts w:asciiTheme="minorHAnsi" w:hAnsiTheme="minorHAnsi"/>
          <w:bCs/>
          <w:szCs w:val="24"/>
        </w:rPr>
        <w:t>uctu</w:t>
      </w:r>
      <w:r w:rsidR="00BF082E" w:rsidRPr="00096FF8">
        <w:rPr>
          <w:rFonts w:asciiTheme="minorHAnsi" w:hAnsiTheme="minorHAnsi"/>
          <w:bCs/>
          <w:szCs w:val="24"/>
        </w:rPr>
        <w:t>r</w:t>
      </w:r>
      <w:r w:rsidR="00166890" w:rsidRPr="00096FF8">
        <w:rPr>
          <w:rFonts w:asciiTheme="minorHAnsi" w:hAnsiTheme="minorHAnsi"/>
          <w:bCs/>
          <w:szCs w:val="24"/>
        </w:rPr>
        <w:t>ed interviews with professionals</w:t>
      </w:r>
      <w:r w:rsidRPr="00096FF8">
        <w:rPr>
          <w:rFonts w:asciiTheme="minorHAnsi" w:hAnsiTheme="minorHAnsi"/>
          <w:bCs/>
          <w:szCs w:val="24"/>
        </w:rPr>
        <w:t xml:space="preserve"> working</w:t>
      </w:r>
      <w:r w:rsidR="00166890" w:rsidRPr="00096FF8">
        <w:rPr>
          <w:rFonts w:asciiTheme="minorHAnsi" w:hAnsiTheme="minorHAnsi"/>
          <w:bCs/>
          <w:szCs w:val="24"/>
        </w:rPr>
        <w:t xml:space="preserve"> </w:t>
      </w:r>
      <w:r w:rsidR="00BC2DE0" w:rsidRPr="00096FF8">
        <w:rPr>
          <w:rFonts w:asciiTheme="minorHAnsi" w:hAnsiTheme="minorHAnsi"/>
          <w:bCs/>
          <w:szCs w:val="24"/>
        </w:rPr>
        <w:t xml:space="preserve">in </w:t>
      </w:r>
      <w:r w:rsidR="00E321AB" w:rsidRPr="00096FF8">
        <w:rPr>
          <w:rFonts w:asciiTheme="minorHAnsi" w:hAnsiTheme="minorHAnsi"/>
          <w:bCs/>
          <w:szCs w:val="24"/>
        </w:rPr>
        <w:t xml:space="preserve">three selected </w:t>
      </w:r>
      <w:r w:rsidR="00326559" w:rsidRPr="00096FF8">
        <w:rPr>
          <w:rFonts w:asciiTheme="minorHAnsi" w:hAnsiTheme="minorHAnsi"/>
          <w:bCs/>
          <w:szCs w:val="24"/>
        </w:rPr>
        <w:t xml:space="preserve">English </w:t>
      </w:r>
      <w:r w:rsidR="00BF082E" w:rsidRPr="00096FF8">
        <w:rPr>
          <w:rFonts w:asciiTheme="minorHAnsi" w:hAnsiTheme="minorHAnsi"/>
          <w:bCs/>
          <w:szCs w:val="24"/>
        </w:rPr>
        <w:t>local authorities</w:t>
      </w:r>
      <w:r w:rsidR="00166890" w:rsidRPr="00096FF8">
        <w:rPr>
          <w:rFonts w:asciiTheme="minorHAnsi" w:hAnsiTheme="minorHAnsi"/>
          <w:bCs/>
          <w:szCs w:val="24"/>
        </w:rPr>
        <w:t xml:space="preserve">. </w:t>
      </w:r>
      <w:r w:rsidR="00DA000A" w:rsidRPr="00096FF8">
        <w:rPr>
          <w:rFonts w:asciiTheme="minorHAnsi" w:hAnsiTheme="minorHAnsi"/>
          <w:szCs w:val="24"/>
        </w:rPr>
        <w:t xml:space="preserve">The three sites were chosen to represent different types and size of authority: one Metropolitan borough, one rural Shire county and one city council. Two had specialist safeguarding teams that undertook some or all safeguarding work. </w:t>
      </w:r>
      <w:r w:rsidR="00494277" w:rsidRPr="00096FF8">
        <w:rPr>
          <w:rFonts w:asciiTheme="minorHAnsi" w:hAnsiTheme="minorHAnsi"/>
          <w:szCs w:val="24"/>
        </w:rPr>
        <w:t xml:space="preserve">In the third site </w:t>
      </w:r>
      <w:r w:rsidR="00326559" w:rsidRPr="00096FF8">
        <w:rPr>
          <w:rFonts w:asciiTheme="minorHAnsi" w:hAnsiTheme="minorHAnsi"/>
          <w:szCs w:val="24"/>
        </w:rPr>
        <w:t xml:space="preserve">responses to </w:t>
      </w:r>
      <w:r w:rsidR="00494277" w:rsidRPr="00096FF8">
        <w:rPr>
          <w:rFonts w:asciiTheme="minorHAnsi" w:hAnsiTheme="minorHAnsi"/>
          <w:szCs w:val="24"/>
        </w:rPr>
        <w:t>s</w:t>
      </w:r>
      <w:r w:rsidR="00DA000A" w:rsidRPr="00096FF8">
        <w:rPr>
          <w:rFonts w:asciiTheme="minorHAnsi" w:hAnsiTheme="minorHAnsi"/>
          <w:szCs w:val="24"/>
        </w:rPr>
        <w:t xml:space="preserve">afeguarding </w:t>
      </w:r>
      <w:r w:rsidR="00326559" w:rsidRPr="00096FF8">
        <w:rPr>
          <w:rFonts w:asciiTheme="minorHAnsi" w:hAnsiTheme="minorHAnsi"/>
          <w:szCs w:val="24"/>
        </w:rPr>
        <w:t xml:space="preserve">concerns were </w:t>
      </w:r>
      <w:r w:rsidR="00DA000A" w:rsidRPr="00096FF8">
        <w:rPr>
          <w:rFonts w:asciiTheme="minorHAnsi" w:hAnsiTheme="minorHAnsi"/>
          <w:szCs w:val="24"/>
        </w:rPr>
        <w:t>undertaken by any social work</w:t>
      </w:r>
      <w:r w:rsidR="00B74A1A" w:rsidRPr="00096FF8">
        <w:rPr>
          <w:rFonts w:asciiTheme="minorHAnsi" w:hAnsiTheme="minorHAnsi"/>
          <w:szCs w:val="24"/>
        </w:rPr>
        <w:t>er</w:t>
      </w:r>
      <w:r w:rsidR="00DA000A" w:rsidRPr="00096FF8">
        <w:rPr>
          <w:rFonts w:asciiTheme="minorHAnsi" w:hAnsiTheme="minorHAnsi"/>
          <w:szCs w:val="24"/>
        </w:rPr>
        <w:t xml:space="preserve">. The </w:t>
      </w:r>
      <w:r w:rsidR="00E2044D" w:rsidRPr="00096FF8">
        <w:rPr>
          <w:rFonts w:asciiTheme="minorHAnsi" w:hAnsiTheme="minorHAnsi"/>
          <w:szCs w:val="24"/>
        </w:rPr>
        <w:t xml:space="preserve">size of the </w:t>
      </w:r>
      <w:r w:rsidR="00326559" w:rsidRPr="00096FF8">
        <w:rPr>
          <w:rFonts w:asciiTheme="minorHAnsi" w:hAnsiTheme="minorHAnsi"/>
          <w:szCs w:val="24"/>
        </w:rPr>
        <w:t xml:space="preserve">sites’ </w:t>
      </w:r>
      <w:r w:rsidR="00E2044D" w:rsidRPr="00096FF8">
        <w:rPr>
          <w:rFonts w:asciiTheme="minorHAnsi" w:hAnsiTheme="minorHAnsi"/>
          <w:szCs w:val="24"/>
        </w:rPr>
        <w:t xml:space="preserve">general </w:t>
      </w:r>
      <w:r w:rsidR="00DA000A" w:rsidRPr="00096FF8">
        <w:rPr>
          <w:rFonts w:asciiTheme="minorHAnsi" w:hAnsiTheme="minorHAnsi"/>
          <w:szCs w:val="24"/>
        </w:rPr>
        <w:t>population</w:t>
      </w:r>
      <w:r w:rsidR="00345DD5" w:rsidRPr="00096FF8">
        <w:rPr>
          <w:rFonts w:asciiTheme="minorHAnsi" w:hAnsiTheme="minorHAnsi"/>
          <w:szCs w:val="24"/>
        </w:rPr>
        <w:t>’</w:t>
      </w:r>
      <w:r w:rsidR="00DA000A" w:rsidRPr="00096FF8">
        <w:rPr>
          <w:rFonts w:asciiTheme="minorHAnsi" w:hAnsiTheme="minorHAnsi"/>
          <w:szCs w:val="24"/>
        </w:rPr>
        <w:t xml:space="preserve">s </w:t>
      </w:r>
      <w:r w:rsidR="000F0172" w:rsidRPr="00096FF8">
        <w:rPr>
          <w:rFonts w:asciiTheme="minorHAnsi" w:hAnsiTheme="minorHAnsi"/>
          <w:szCs w:val="24"/>
        </w:rPr>
        <w:t>ranged</w:t>
      </w:r>
      <w:r w:rsidR="00DA000A" w:rsidRPr="00096FF8">
        <w:rPr>
          <w:rFonts w:asciiTheme="minorHAnsi" w:hAnsiTheme="minorHAnsi"/>
          <w:szCs w:val="24"/>
        </w:rPr>
        <w:t xml:space="preserve"> from 200,000 – 500,000. </w:t>
      </w:r>
    </w:p>
    <w:p w14:paraId="3F7AED13" w14:textId="77777777" w:rsidR="00DA000A" w:rsidRPr="00096FF8" w:rsidRDefault="00DA000A" w:rsidP="00490617">
      <w:pPr>
        <w:spacing w:line="480" w:lineRule="auto"/>
        <w:rPr>
          <w:rFonts w:asciiTheme="minorHAnsi" w:eastAsia="Calibri" w:hAnsiTheme="minorHAnsi"/>
          <w:bCs/>
          <w:szCs w:val="24"/>
        </w:rPr>
      </w:pPr>
    </w:p>
    <w:p w14:paraId="4A79A8AB" w14:textId="02E12960" w:rsidR="00DA3D5F" w:rsidRPr="00096FF8" w:rsidRDefault="00166890" w:rsidP="00490617">
      <w:pPr>
        <w:spacing w:line="480" w:lineRule="auto"/>
        <w:rPr>
          <w:rFonts w:asciiTheme="minorHAnsi" w:eastAsia="Calibri" w:hAnsiTheme="minorHAnsi"/>
          <w:bCs/>
          <w:szCs w:val="24"/>
        </w:rPr>
      </w:pPr>
      <w:r w:rsidRPr="00096FF8">
        <w:rPr>
          <w:rFonts w:asciiTheme="minorHAnsi" w:eastAsia="Calibri" w:hAnsiTheme="minorHAnsi"/>
          <w:bCs/>
          <w:szCs w:val="24"/>
        </w:rPr>
        <w:t xml:space="preserve">We interviewed </w:t>
      </w:r>
      <w:r w:rsidR="000A128F" w:rsidRPr="00096FF8">
        <w:rPr>
          <w:rFonts w:asciiTheme="minorHAnsi" w:eastAsia="Calibri" w:hAnsiTheme="minorHAnsi"/>
          <w:bCs/>
          <w:szCs w:val="24"/>
        </w:rPr>
        <w:t>1</w:t>
      </w:r>
      <w:r w:rsidR="007C1ACC" w:rsidRPr="00096FF8">
        <w:rPr>
          <w:rFonts w:asciiTheme="minorHAnsi" w:eastAsia="Calibri" w:hAnsiTheme="minorHAnsi"/>
          <w:bCs/>
          <w:szCs w:val="24"/>
        </w:rPr>
        <w:t>4</w:t>
      </w:r>
      <w:r w:rsidR="000A128F" w:rsidRPr="00096FF8">
        <w:rPr>
          <w:rFonts w:asciiTheme="minorHAnsi" w:eastAsia="Calibri" w:hAnsiTheme="minorHAnsi"/>
          <w:bCs/>
          <w:szCs w:val="24"/>
        </w:rPr>
        <w:t xml:space="preserve"> </w:t>
      </w:r>
      <w:r w:rsidR="00F84705" w:rsidRPr="00096FF8">
        <w:rPr>
          <w:rFonts w:asciiTheme="minorHAnsi" w:eastAsia="Calibri" w:hAnsiTheme="minorHAnsi"/>
          <w:bCs/>
          <w:szCs w:val="24"/>
        </w:rPr>
        <w:t>professionals (six social workers, five team managers</w:t>
      </w:r>
      <w:r w:rsidR="00BF082E" w:rsidRPr="00096FF8">
        <w:rPr>
          <w:rFonts w:asciiTheme="minorHAnsi" w:eastAsia="Calibri" w:hAnsiTheme="minorHAnsi"/>
          <w:bCs/>
          <w:szCs w:val="24"/>
        </w:rPr>
        <w:t xml:space="preserve"> and </w:t>
      </w:r>
      <w:r w:rsidR="007C1ACC" w:rsidRPr="00096FF8">
        <w:rPr>
          <w:rFonts w:asciiTheme="minorHAnsi" w:eastAsia="Calibri" w:hAnsiTheme="minorHAnsi"/>
          <w:bCs/>
          <w:szCs w:val="24"/>
        </w:rPr>
        <w:t xml:space="preserve">three </w:t>
      </w:r>
      <w:r w:rsidR="00BF082E" w:rsidRPr="00096FF8">
        <w:rPr>
          <w:rFonts w:asciiTheme="minorHAnsi" w:eastAsia="Calibri" w:hAnsiTheme="minorHAnsi"/>
          <w:bCs/>
          <w:szCs w:val="24"/>
        </w:rPr>
        <w:t>senior managers</w:t>
      </w:r>
      <w:r w:rsidR="000A128F" w:rsidRPr="00096FF8">
        <w:rPr>
          <w:rFonts w:asciiTheme="minorHAnsi" w:eastAsia="Calibri" w:hAnsiTheme="minorHAnsi"/>
          <w:bCs/>
          <w:szCs w:val="24"/>
        </w:rPr>
        <w:t>)</w:t>
      </w:r>
      <w:r w:rsidR="00CC3796" w:rsidRPr="00096FF8">
        <w:rPr>
          <w:rFonts w:asciiTheme="minorHAnsi" w:eastAsia="Calibri" w:hAnsiTheme="minorHAnsi"/>
          <w:bCs/>
          <w:szCs w:val="24"/>
        </w:rPr>
        <w:t xml:space="preserve"> </w:t>
      </w:r>
      <w:r w:rsidR="000A128F" w:rsidRPr="00096FF8">
        <w:rPr>
          <w:rFonts w:asciiTheme="minorHAnsi" w:eastAsia="Calibri" w:hAnsiTheme="minorHAnsi"/>
          <w:bCs/>
          <w:szCs w:val="24"/>
        </w:rPr>
        <w:t xml:space="preserve">and </w:t>
      </w:r>
      <w:r w:rsidR="00BF082E" w:rsidRPr="00096FF8">
        <w:rPr>
          <w:rFonts w:asciiTheme="minorHAnsi" w:eastAsia="Calibri" w:hAnsiTheme="minorHAnsi"/>
          <w:bCs/>
          <w:szCs w:val="24"/>
        </w:rPr>
        <w:t>two elected</w:t>
      </w:r>
      <w:r w:rsidR="007C1ACC" w:rsidRPr="00096FF8">
        <w:rPr>
          <w:rFonts w:asciiTheme="minorHAnsi" w:eastAsia="Calibri" w:hAnsiTheme="minorHAnsi"/>
          <w:bCs/>
          <w:szCs w:val="24"/>
        </w:rPr>
        <w:t xml:space="preserve"> council</w:t>
      </w:r>
      <w:r w:rsidR="00BF082E" w:rsidRPr="00096FF8">
        <w:rPr>
          <w:rFonts w:asciiTheme="minorHAnsi" w:eastAsia="Calibri" w:hAnsiTheme="minorHAnsi"/>
          <w:bCs/>
          <w:szCs w:val="24"/>
        </w:rPr>
        <w:t xml:space="preserve"> members</w:t>
      </w:r>
      <w:r w:rsidR="00F84705" w:rsidRPr="00096FF8">
        <w:rPr>
          <w:rFonts w:asciiTheme="minorHAnsi" w:eastAsia="Calibri" w:hAnsiTheme="minorHAnsi"/>
          <w:bCs/>
          <w:szCs w:val="24"/>
        </w:rPr>
        <w:t>.</w:t>
      </w:r>
      <w:r w:rsidR="00DA3D5F" w:rsidRPr="00096FF8">
        <w:rPr>
          <w:rFonts w:asciiTheme="minorHAnsi" w:eastAsia="Calibri" w:hAnsiTheme="minorHAnsi"/>
          <w:bCs/>
          <w:szCs w:val="24"/>
        </w:rPr>
        <w:t xml:space="preserve"> Of these participants, only social workers have regular extended contact with service users, undertaking assessments and reviews. Team managers may have occasional contact, possibly only in resolving problems or in relation to safeguarding referrals. Senior managers have less contact still, again mainly </w:t>
      </w:r>
      <w:r w:rsidR="00DF3784">
        <w:rPr>
          <w:rFonts w:asciiTheme="minorHAnsi" w:eastAsia="Calibri" w:hAnsiTheme="minorHAnsi"/>
          <w:bCs/>
          <w:szCs w:val="24"/>
        </w:rPr>
        <w:t>when</w:t>
      </w:r>
      <w:r w:rsidR="00DA3D5F" w:rsidRPr="00096FF8">
        <w:rPr>
          <w:rFonts w:asciiTheme="minorHAnsi" w:eastAsia="Calibri" w:hAnsiTheme="minorHAnsi"/>
          <w:bCs/>
          <w:szCs w:val="24"/>
        </w:rPr>
        <w:t xml:space="preserve"> chairing meetings or possibly through </w:t>
      </w:r>
      <w:r w:rsidR="00326559" w:rsidRPr="00096FF8">
        <w:rPr>
          <w:rFonts w:asciiTheme="minorHAnsi" w:eastAsia="Calibri" w:hAnsiTheme="minorHAnsi"/>
          <w:bCs/>
          <w:szCs w:val="24"/>
        </w:rPr>
        <w:t>consultative</w:t>
      </w:r>
      <w:r w:rsidR="00DA3D5F" w:rsidRPr="00096FF8">
        <w:rPr>
          <w:rFonts w:asciiTheme="minorHAnsi" w:eastAsia="Calibri" w:hAnsiTheme="minorHAnsi"/>
          <w:bCs/>
          <w:szCs w:val="24"/>
        </w:rPr>
        <w:t xml:space="preserve"> activities in relation to policy and practice (which may </w:t>
      </w:r>
      <w:r w:rsidR="00326559" w:rsidRPr="00096FF8">
        <w:rPr>
          <w:rFonts w:asciiTheme="minorHAnsi" w:eastAsia="Calibri" w:hAnsiTheme="minorHAnsi"/>
          <w:bCs/>
          <w:szCs w:val="24"/>
        </w:rPr>
        <w:t xml:space="preserve">also </w:t>
      </w:r>
      <w:r w:rsidR="00DA3D5F" w:rsidRPr="00096FF8">
        <w:rPr>
          <w:rFonts w:asciiTheme="minorHAnsi" w:eastAsia="Calibri" w:hAnsiTheme="minorHAnsi"/>
          <w:bCs/>
          <w:szCs w:val="24"/>
        </w:rPr>
        <w:t xml:space="preserve">be attended </w:t>
      </w:r>
      <w:r w:rsidR="000F0172" w:rsidRPr="00096FF8">
        <w:rPr>
          <w:rFonts w:asciiTheme="minorHAnsi" w:eastAsia="Calibri" w:hAnsiTheme="minorHAnsi"/>
          <w:bCs/>
          <w:szCs w:val="24"/>
        </w:rPr>
        <w:t>by elected</w:t>
      </w:r>
      <w:r w:rsidR="00DA3D5F" w:rsidRPr="00096FF8">
        <w:rPr>
          <w:rFonts w:asciiTheme="minorHAnsi" w:eastAsia="Calibri" w:hAnsiTheme="minorHAnsi"/>
          <w:bCs/>
          <w:szCs w:val="24"/>
        </w:rPr>
        <w:t xml:space="preserve"> members).</w:t>
      </w:r>
    </w:p>
    <w:p w14:paraId="69E5BC27" w14:textId="3F1FD188" w:rsidR="008C4EF2" w:rsidRPr="00096FF8" w:rsidRDefault="00326559" w:rsidP="00490617">
      <w:pPr>
        <w:spacing w:line="480" w:lineRule="auto"/>
        <w:rPr>
          <w:rFonts w:asciiTheme="minorHAnsi" w:hAnsiTheme="minorHAnsi"/>
        </w:rPr>
      </w:pPr>
      <w:r w:rsidRPr="00096FF8">
        <w:rPr>
          <w:rFonts w:asciiTheme="minorHAnsi" w:eastAsia="Calibri" w:hAnsiTheme="minorHAnsi"/>
          <w:bCs/>
          <w:szCs w:val="24"/>
        </w:rPr>
        <w:t>To</w:t>
      </w:r>
      <w:r w:rsidR="007C1ACC" w:rsidRPr="00096FF8">
        <w:rPr>
          <w:rFonts w:asciiTheme="minorHAnsi" w:eastAsia="Calibri" w:hAnsiTheme="minorHAnsi"/>
          <w:bCs/>
          <w:szCs w:val="24"/>
        </w:rPr>
        <w:t xml:space="preserve"> preserve anonymity, </w:t>
      </w:r>
      <w:r w:rsidR="000F0172" w:rsidRPr="00096FF8">
        <w:rPr>
          <w:rFonts w:asciiTheme="minorHAnsi" w:eastAsia="Calibri" w:hAnsiTheme="minorHAnsi"/>
          <w:bCs/>
          <w:szCs w:val="24"/>
        </w:rPr>
        <w:t>quotations from</w:t>
      </w:r>
      <w:r w:rsidR="007C1ACC" w:rsidRPr="00096FF8">
        <w:rPr>
          <w:rFonts w:asciiTheme="minorHAnsi" w:eastAsia="Calibri" w:hAnsiTheme="minorHAnsi"/>
          <w:bCs/>
          <w:szCs w:val="24"/>
        </w:rPr>
        <w:t xml:space="preserve"> the elected members have been labelled as ‘Senior Managers’, in the Findings Section. </w:t>
      </w:r>
      <w:r w:rsidR="008C4EF2" w:rsidRPr="00096FF8">
        <w:rPr>
          <w:rFonts w:asciiTheme="minorHAnsi" w:hAnsiTheme="minorHAnsi"/>
        </w:rPr>
        <w:t>Table 1 presents some demographic details about</w:t>
      </w:r>
      <w:r w:rsidR="00936D6C" w:rsidRPr="00096FF8">
        <w:rPr>
          <w:rFonts w:asciiTheme="minorHAnsi" w:hAnsiTheme="minorHAnsi"/>
        </w:rPr>
        <w:t xml:space="preserve"> sites and </w:t>
      </w:r>
      <w:r w:rsidR="008C4EF2" w:rsidRPr="00096FF8">
        <w:rPr>
          <w:rFonts w:asciiTheme="minorHAnsi" w:hAnsiTheme="minorHAnsi"/>
        </w:rPr>
        <w:t>participants. While there was a mix of gender, we will refer to all participants as ‘she’ in order to protect anonymity</w:t>
      </w:r>
      <w:r w:rsidR="006E002D" w:rsidRPr="00096FF8">
        <w:rPr>
          <w:rFonts w:asciiTheme="minorHAnsi" w:hAnsiTheme="minorHAnsi"/>
        </w:rPr>
        <w:t>;</w:t>
      </w:r>
      <w:r w:rsidR="008C4EF2" w:rsidRPr="00096FF8">
        <w:rPr>
          <w:rFonts w:asciiTheme="minorHAnsi" w:hAnsiTheme="minorHAnsi"/>
        </w:rPr>
        <w:t xml:space="preserve"> the names of the LA sites are not reported</w:t>
      </w:r>
      <w:r w:rsidR="00D962A5" w:rsidRPr="00096FF8">
        <w:rPr>
          <w:rFonts w:asciiTheme="minorHAnsi" w:hAnsiTheme="minorHAnsi"/>
        </w:rPr>
        <w:t xml:space="preserve"> as a further assurance</w:t>
      </w:r>
      <w:r w:rsidR="008C4EF2" w:rsidRPr="00096FF8">
        <w:rPr>
          <w:rFonts w:asciiTheme="minorHAnsi" w:hAnsiTheme="minorHAnsi"/>
        </w:rPr>
        <w:t>. Other possibly identifying characteristics have also been disguised</w:t>
      </w:r>
      <w:r w:rsidR="00541317" w:rsidRPr="00096FF8">
        <w:rPr>
          <w:rFonts w:asciiTheme="minorHAnsi" w:hAnsiTheme="minorHAnsi"/>
        </w:rPr>
        <w:t>.</w:t>
      </w:r>
    </w:p>
    <w:p w14:paraId="2D702499" w14:textId="77777777" w:rsidR="007B367F" w:rsidRPr="00096FF8" w:rsidRDefault="007B367F" w:rsidP="00490617">
      <w:pPr>
        <w:spacing w:line="480" w:lineRule="auto"/>
        <w:rPr>
          <w:rFonts w:asciiTheme="minorHAnsi" w:hAnsiTheme="minorHAnsi"/>
        </w:rPr>
      </w:pPr>
    </w:p>
    <w:p w14:paraId="4238C1CC" w14:textId="481B6232" w:rsidR="008C4EF2" w:rsidRPr="00096FF8" w:rsidRDefault="00494277" w:rsidP="00490617">
      <w:pPr>
        <w:spacing w:line="480" w:lineRule="auto"/>
        <w:rPr>
          <w:rFonts w:asciiTheme="minorHAnsi" w:hAnsiTheme="minorHAnsi"/>
        </w:rPr>
      </w:pPr>
      <w:r w:rsidRPr="00096FF8">
        <w:rPr>
          <w:rFonts w:asciiTheme="minorHAnsi" w:eastAsia="Calibri" w:hAnsiTheme="minorHAnsi"/>
        </w:rPr>
        <w:t>Informed c</w:t>
      </w:r>
      <w:r w:rsidR="00C47F8E" w:rsidRPr="00096FF8">
        <w:rPr>
          <w:rFonts w:asciiTheme="minorHAnsi" w:eastAsia="Calibri" w:hAnsiTheme="minorHAnsi"/>
        </w:rPr>
        <w:t xml:space="preserve">onsent was obtained from all participants </w:t>
      </w:r>
      <w:r w:rsidR="00B90DD1" w:rsidRPr="00096FF8">
        <w:rPr>
          <w:rFonts w:asciiTheme="minorHAnsi" w:eastAsia="Calibri" w:hAnsiTheme="minorHAnsi"/>
        </w:rPr>
        <w:t xml:space="preserve">before </w:t>
      </w:r>
      <w:r w:rsidR="00C47F8E" w:rsidRPr="00096FF8">
        <w:rPr>
          <w:rFonts w:asciiTheme="minorHAnsi" w:eastAsia="Calibri" w:hAnsiTheme="minorHAnsi"/>
        </w:rPr>
        <w:t xml:space="preserve">interviews. </w:t>
      </w:r>
      <w:r w:rsidR="00581E19" w:rsidRPr="00096FF8">
        <w:rPr>
          <w:rFonts w:asciiTheme="minorHAnsi" w:eastAsia="Calibri" w:hAnsiTheme="minorHAnsi"/>
        </w:rPr>
        <w:t xml:space="preserve">The interviews </w:t>
      </w:r>
      <w:r w:rsidR="000A128F" w:rsidRPr="00096FF8">
        <w:rPr>
          <w:rFonts w:asciiTheme="minorHAnsi" w:eastAsia="Calibri" w:hAnsiTheme="minorHAnsi"/>
        </w:rPr>
        <w:t xml:space="preserve">sought </w:t>
      </w:r>
      <w:r w:rsidR="00166890" w:rsidRPr="00096FF8">
        <w:rPr>
          <w:rFonts w:asciiTheme="minorHAnsi" w:eastAsia="Calibri" w:hAnsiTheme="minorHAnsi"/>
        </w:rPr>
        <w:t xml:space="preserve">views about the potential risks and opportunities of </w:t>
      </w:r>
      <w:r w:rsidR="00326559" w:rsidRPr="00096FF8">
        <w:rPr>
          <w:rFonts w:asciiTheme="minorHAnsi" w:eastAsia="Calibri" w:hAnsiTheme="minorHAnsi"/>
        </w:rPr>
        <w:t xml:space="preserve">personal budgets </w:t>
      </w:r>
      <w:r w:rsidR="00166890" w:rsidRPr="00096FF8">
        <w:rPr>
          <w:rFonts w:asciiTheme="minorHAnsi" w:eastAsia="Calibri" w:hAnsiTheme="minorHAnsi"/>
        </w:rPr>
        <w:t xml:space="preserve">and </w:t>
      </w:r>
      <w:r w:rsidR="00E13E4E" w:rsidRPr="00096FF8">
        <w:rPr>
          <w:rFonts w:asciiTheme="minorHAnsi" w:eastAsia="Calibri" w:hAnsiTheme="minorHAnsi"/>
        </w:rPr>
        <w:t>Direct Payments</w:t>
      </w:r>
      <w:r w:rsidR="00166890" w:rsidRPr="00096FF8">
        <w:rPr>
          <w:rFonts w:asciiTheme="minorHAnsi" w:eastAsia="Calibri" w:hAnsiTheme="minorHAnsi"/>
        </w:rPr>
        <w:t xml:space="preserve"> and the extent to which safeguarding </w:t>
      </w:r>
      <w:r w:rsidR="00326559" w:rsidRPr="00096FF8">
        <w:rPr>
          <w:rFonts w:asciiTheme="minorHAnsi" w:eastAsia="Calibri" w:hAnsiTheme="minorHAnsi"/>
        </w:rPr>
        <w:t>was</w:t>
      </w:r>
      <w:r w:rsidR="00166890" w:rsidRPr="00096FF8">
        <w:rPr>
          <w:rFonts w:asciiTheme="minorHAnsi" w:eastAsia="Calibri" w:hAnsiTheme="minorHAnsi"/>
        </w:rPr>
        <w:t xml:space="preserve"> </w:t>
      </w:r>
      <w:r w:rsidR="00B90DD1" w:rsidRPr="00096FF8">
        <w:rPr>
          <w:rFonts w:asciiTheme="minorHAnsi" w:eastAsia="Calibri" w:hAnsiTheme="minorHAnsi"/>
        </w:rPr>
        <w:t xml:space="preserve">considered and if necessary </w:t>
      </w:r>
      <w:r w:rsidR="00166890" w:rsidRPr="00096FF8">
        <w:rPr>
          <w:rFonts w:asciiTheme="minorHAnsi" w:eastAsia="Calibri" w:hAnsiTheme="minorHAnsi"/>
        </w:rPr>
        <w:t>addressed within support plans. Details about the link between safeguarding and personalisation practice were also explored.</w:t>
      </w:r>
      <w:r w:rsidR="00DA3D5F" w:rsidRPr="00096FF8">
        <w:rPr>
          <w:rFonts w:asciiTheme="minorHAnsi" w:eastAsia="Calibri" w:hAnsiTheme="minorHAnsi"/>
        </w:rPr>
        <w:t xml:space="preserve"> The interview guide</w:t>
      </w:r>
      <w:r w:rsidR="003A3650" w:rsidRPr="00096FF8">
        <w:rPr>
          <w:rFonts w:asciiTheme="minorHAnsi" w:eastAsia="Calibri" w:hAnsiTheme="minorHAnsi"/>
        </w:rPr>
        <w:t>s</w:t>
      </w:r>
      <w:r w:rsidR="00DA3D5F" w:rsidRPr="00096FF8">
        <w:rPr>
          <w:rFonts w:asciiTheme="minorHAnsi" w:eastAsia="Calibri" w:hAnsiTheme="minorHAnsi"/>
        </w:rPr>
        <w:t xml:space="preserve"> </w:t>
      </w:r>
      <w:r w:rsidR="003A3650" w:rsidRPr="00096FF8">
        <w:rPr>
          <w:rFonts w:asciiTheme="minorHAnsi" w:eastAsia="Calibri" w:hAnsiTheme="minorHAnsi"/>
        </w:rPr>
        <w:t>are</w:t>
      </w:r>
      <w:r w:rsidR="00DA3D5F" w:rsidRPr="00096FF8">
        <w:rPr>
          <w:rFonts w:asciiTheme="minorHAnsi" w:eastAsia="Calibri" w:hAnsiTheme="minorHAnsi"/>
        </w:rPr>
        <w:t xml:space="preserve"> </w:t>
      </w:r>
      <w:r w:rsidR="00DF3784">
        <w:rPr>
          <w:rFonts w:asciiTheme="minorHAnsi" w:eastAsia="Calibri" w:hAnsiTheme="minorHAnsi"/>
        </w:rPr>
        <w:t>available from the authors</w:t>
      </w:r>
      <w:r w:rsidR="00DA3D5F" w:rsidRPr="00096FF8">
        <w:rPr>
          <w:rFonts w:asciiTheme="minorHAnsi" w:eastAsia="Calibri" w:hAnsiTheme="minorHAnsi"/>
        </w:rPr>
        <w:t>.</w:t>
      </w:r>
      <w:r w:rsidR="00166890" w:rsidRPr="00096FF8">
        <w:rPr>
          <w:rFonts w:asciiTheme="minorHAnsi" w:eastAsia="Calibri" w:hAnsiTheme="minorHAnsi"/>
        </w:rPr>
        <w:t xml:space="preserve"> </w:t>
      </w:r>
      <w:r w:rsidR="00E321AB" w:rsidRPr="00096FF8">
        <w:rPr>
          <w:rFonts w:asciiTheme="minorHAnsi" w:hAnsiTheme="minorHAnsi"/>
        </w:rPr>
        <w:t>All</w:t>
      </w:r>
      <w:r w:rsidR="00166890" w:rsidRPr="00096FF8">
        <w:rPr>
          <w:rFonts w:asciiTheme="minorHAnsi" w:hAnsiTheme="minorHAnsi"/>
        </w:rPr>
        <w:t xml:space="preserve"> </w:t>
      </w:r>
      <w:r w:rsidR="00E321AB" w:rsidRPr="00096FF8">
        <w:rPr>
          <w:rFonts w:asciiTheme="minorHAnsi" w:hAnsiTheme="minorHAnsi"/>
        </w:rPr>
        <w:t xml:space="preserve">interviews </w:t>
      </w:r>
      <w:r w:rsidR="00166890" w:rsidRPr="00096FF8">
        <w:rPr>
          <w:rFonts w:asciiTheme="minorHAnsi" w:hAnsiTheme="minorHAnsi"/>
        </w:rPr>
        <w:t>were</w:t>
      </w:r>
      <w:r w:rsidR="00E321AB" w:rsidRPr="00096FF8">
        <w:rPr>
          <w:rFonts w:asciiTheme="minorHAnsi" w:hAnsiTheme="minorHAnsi"/>
        </w:rPr>
        <w:t xml:space="preserve"> </w:t>
      </w:r>
      <w:r w:rsidR="00B90DD1" w:rsidRPr="00096FF8">
        <w:rPr>
          <w:rFonts w:asciiTheme="minorHAnsi" w:hAnsiTheme="minorHAnsi"/>
        </w:rPr>
        <w:t xml:space="preserve">digitally </w:t>
      </w:r>
      <w:r w:rsidR="00B74A1A" w:rsidRPr="00096FF8">
        <w:rPr>
          <w:rFonts w:asciiTheme="minorHAnsi" w:hAnsiTheme="minorHAnsi"/>
        </w:rPr>
        <w:t>audio-</w:t>
      </w:r>
      <w:r w:rsidR="00E321AB" w:rsidRPr="00096FF8">
        <w:rPr>
          <w:rFonts w:asciiTheme="minorHAnsi" w:hAnsiTheme="minorHAnsi"/>
        </w:rPr>
        <w:t xml:space="preserve">recorded and </w:t>
      </w:r>
      <w:r w:rsidR="00B90DD1" w:rsidRPr="00096FF8">
        <w:rPr>
          <w:rFonts w:asciiTheme="minorHAnsi" w:hAnsiTheme="minorHAnsi"/>
        </w:rPr>
        <w:t xml:space="preserve">fully </w:t>
      </w:r>
      <w:r w:rsidR="00E321AB" w:rsidRPr="00096FF8">
        <w:rPr>
          <w:rFonts w:asciiTheme="minorHAnsi" w:hAnsiTheme="minorHAnsi"/>
        </w:rPr>
        <w:t>transcribed</w:t>
      </w:r>
      <w:r w:rsidR="00936D6C" w:rsidRPr="00096FF8">
        <w:rPr>
          <w:rFonts w:asciiTheme="minorHAnsi" w:hAnsiTheme="minorHAnsi"/>
        </w:rPr>
        <w:t>.</w:t>
      </w:r>
      <w:r w:rsidR="00E321AB" w:rsidRPr="00096FF8">
        <w:rPr>
          <w:rFonts w:asciiTheme="minorHAnsi" w:hAnsiTheme="minorHAnsi"/>
        </w:rPr>
        <w:t xml:space="preserve"> </w:t>
      </w:r>
    </w:p>
    <w:p w14:paraId="166F7C23" w14:textId="77777777" w:rsidR="008C4EF2" w:rsidRPr="00096FF8" w:rsidRDefault="008C4EF2" w:rsidP="00490617">
      <w:pPr>
        <w:spacing w:line="480" w:lineRule="auto"/>
        <w:rPr>
          <w:rFonts w:asciiTheme="minorHAnsi" w:hAnsiTheme="minorHAnsi"/>
        </w:rPr>
      </w:pPr>
    </w:p>
    <w:p w14:paraId="4DFA1A10" w14:textId="04177A0D" w:rsidR="00CC3796" w:rsidRPr="00096FF8" w:rsidRDefault="00534D69" w:rsidP="00490617">
      <w:pPr>
        <w:spacing w:line="480" w:lineRule="auto"/>
        <w:rPr>
          <w:rFonts w:asciiTheme="minorHAnsi" w:hAnsiTheme="minorHAnsi"/>
        </w:rPr>
      </w:pPr>
      <w:r w:rsidRPr="00096FF8">
        <w:rPr>
          <w:rFonts w:asciiTheme="minorHAnsi" w:hAnsiTheme="minorHAnsi"/>
        </w:rPr>
        <w:t>Analysis</w:t>
      </w:r>
      <w:r w:rsidR="00E321AB" w:rsidRPr="00096FF8">
        <w:rPr>
          <w:rFonts w:asciiTheme="minorHAnsi" w:hAnsiTheme="minorHAnsi"/>
        </w:rPr>
        <w:t xml:space="preserve"> </w:t>
      </w:r>
      <w:r w:rsidR="00166890" w:rsidRPr="00096FF8">
        <w:rPr>
          <w:rFonts w:asciiTheme="minorHAnsi" w:hAnsiTheme="minorHAnsi"/>
        </w:rPr>
        <w:t>was</w:t>
      </w:r>
      <w:r w:rsidR="00E321AB" w:rsidRPr="00096FF8">
        <w:rPr>
          <w:rFonts w:asciiTheme="minorHAnsi" w:hAnsiTheme="minorHAnsi"/>
        </w:rPr>
        <w:t xml:space="preserve"> undertaken with the aid of </w:t>
      </w:r>
      <w:r w:rsidR="0047553B" w:rsidRPr="00096FF8">
        <w:rPr>
          <w:rFonts w:asciiTheme="minorHAnsi" w:hAnsiTheme="minorHAnsi"/>
        </w:rPr>
        <w:t xml:space="preserve">the </w:t>
      </w:r>
      <w:r w:rsidR="00E321AB" w:rsidRPr="00096FF8">
        <w:rPr>
          <w:rFonts w:asciiTheme="minorHAnsi" w:hAnsiTheme="minorHAnsi"/>
        </w:rPr>
        <w:t>computerised qualitative data analysis software</w:t>
      </w:r>
      <w:r w:rsidR="0047553B" w:rsidRPr="00096FF8">
        <w:rPr>
          <w:rFonts w:asciiTheme="minorHAnsi" w:hAnsiTheme="minorHAnsi"/>
        </w:rPr>
        <w:t xml:space="preserve"> NVIVO</w:t>
      </w:r>
      <w:r w:rsidR="00E321AB" w:rsidRPr="00096FF8">
        <w:rPr>
          <w:rFonts w:asciiTheme="minorHAnsi" w:hAnsiTheme="minorHAnsi"/>
        </w:rPr>
        <w:t>. We use</w:t>
      </w:r>
      <w:r w:rsidR="00BF082E" w:rsidRPr="00096FF8">
        <w:rPr>
          <w:rFonts w:asciiTheme="minorHAnsi" w:hAnsiTheme="minorHAnsi"/>
        </w:rPr>
        <w:t>d</w:t>
      </w:r>
      <w:r w:rsidR="00E321AB" w:rsidRPr="00096FF8">
        <w:rPr>
          <w:rFonts w:asciiTheme="minorHAnsi" w:hAnsiTheme="minorHAnsi"/>
        </w:rPr>
        <w:t xml:space="preserve"> Framework</w:t>
      </w:r>
      <w:r w:rsidR="00C47F8E" w:rsidRPr="00096FF8">
        <w:rPr>
          <w:rFonts w:asciiTheme="minorHAnsi" w:hAnsiTheme="minorHAnsi"/>
        </w:rPr>
        <w:t xml:space="preserve"> analysis</w:t>
      </w:r>
      <w:r w:rsidR="00E935B9" w:rsidRPr="00096FF8">
        <w:rPr>
          <w:rFonts w:asciiTheme="minorHAnsi" w:hAnsiTheme="minorHAnsi"/>
        </w:rPr>
        <w:t xml:space="preserve"> (</w:t>
      </w:r>
      <w:r w:rsidR="00936D6C" w:rsidRPr="00096FF8">
        <w:rPr>
          <w:rFonts w:asciiTheme="minorHAnsi" w:hAnsiTheme="minorHAnsi"/>
        </w:rPr>
        <w:t xml:space="preserve">Gale </w:t>
      </w:r>
      <w:r w:rsidR="00E935B9" w:rsidRPr="00096FF8">
        <w:rPr>
          <w:rFonts w:asciiTheme="minorHAnsi" w:hAnsiTheme="minorHAnsi"/>
        </w:rPr>
        <w:t>et al</w:t>
      </w:r>
      <w:r w:rsidR="00790294" w:rsidRPr="00096FF8">
        <w:rPr>
          <w:rFonts w:asciiTheme="minorHAnsi" w:hAnsiTheme="minorHAnsi"/>
        </w:rPr>
        <w:t>.</w:t>
      </w:r>
      <w:r w:rsidR="00E935B9" w:rsidRPr="00096FF8">
        <w:rPr>
          <w:rFonts w:asciiTheme="minorHAnsi" w:hAnsiTheme="minorHAnsi"/>
        </w:rPr>
        <w:t xml:space="preserve"> 20</w:t>
      </w:r>
      <w:r w:rsidR="00936D6C" w:rsidRPr="00096FF8">
        <w:rPr>
          <w:rFonts w:asciiTheme="minorHAnsi" w:hAnsiTheme="minorHAnsi"/>
        </w:rPr>
        <w:t>13</w:t>
      </w:r>
      <w:r w:rsidR="00E321AB" w:rsidRPr="00096FF8">
        <w:rPr>
          <w:rFonts w:asciiTheme="minorHAnsi" w:hAnsiTheme="minorHAnsi"/>
        </w:rPr>
        <w:t>) as the method of analysis</w:t>
      </w:r>
      <w:r w:rsidR="0047553B" w:rsidRPr="00096FF8">
        <w:rPr>
          <w:rFonts w:asciiTheme="minorHAnsi" w:hAnsiTheme="minorHAnsi"/>
        </w:rPr>
        <w:t>, which</w:t>
      </w:r>
      <w:r w:rsidR="00E321AB" w:rsidRPr="00096FF8">
        <w:rPr>
          <w:rFonts w:asciiTheme="minorHAnsi" w:hAnsiTheme="minorHAnsi"/>
        </w:rPr>
        <w:t xml:space="preserve"> enable</w:t>
      </w:r>
      <w:r w:rsidR="00166890" w:rsidRPr="00096FF8">
        <w:rPr>
          <w:rFonts w:asciiTheme="minorHAnsi" w:hAnsiTheme="minorHAnsi"/>
        </w:rPr>
        <w:t>d</w:t>
      </w:r>
      <w:r w:rsidR="00E321AB" w:rsidRPr="00096FF8">
        <w:rPr>
          <w:rFonts w:asciiTheme="minorHAnsi" w:hAnsiTheme="minorHAnsi"/>
        </w:rPr>
        <w:t xml:space="preserve"> summari</w:t>
      </w:r>
      <w:r w:rsidR="0047553B" w:rsidRPr="00096FF8">
        <w:rPr>
          <w:rFonts w:asciiTheme="minorHAnsi" w:hAnsiTheme="minorHAnsi"/>
        </w:rPr>
        <w:t>sing</w:t>
      </w:r>
      <w:r w:rsidR="00E321AB" w:rsidRPr="00096FF8">
        <w:rPr>
          <w:rFonts w:asciiTheme="minorHAnsi" w:hAnsiTheme="minorHAnsi"/>
        </w:rPr>
        <w:t xml:space="preserve"> of data from each source </w:t>
      </w:r>
      <w:r w:rsidR="0047553B" w:rsidRPr="00096FF8">
        <w:rPr>
          <w:rFonts w:asciiTheme="minorHAnsi" w:hAnsiTheme="minorHAnsi"/>
        </w:rPr>
        <w:t>prior to</w:t>
      </w:r>
      <w:r w:rsidR="00E321AB" w:rsidRPr="00096FF8">
        <w:rPr>
          <w:rFonts w:asciiTheme="minorHAnsi" w:hAnsiTheme="minorHAnsi"/>
        </w:rPr>
        <w:t xml:space="preserve"> analys</w:t>
      </w:r>
      <w:r w:rsidR="0047553B" w:rsidRPr="00096FF8">
        <w:rPr>
          <w:rFonts w:asciiTheme="minorHAnsi" w:hAnsiTheme="minorHAnsi"/>
        </w:rPr>
        <w:t>is</w:t>
      </w:r>
      <w:r w:rsidR="00E321AB" w:rsidRPr="00096FF8">
        <w:rPr>
          <w:rFonts w:asciiTheme="minorHAnsi" w:hAnsiTheme="minorHAnsi"/>
        </w:rPr>
        <w:t xml:space="preserve"> by type/characteristics of </w:t>
      </w:r>
      <w:r w:rsidR="00E321AB" w:rsidRPr="00096FF8">
        <w:rPr>
          <w:rFonts w:asciiTheme="minorHAnsi" w:hAnsiTheme="minorHAnsi"/>
        </w:rPr>
        <w:lastRenderedPageBreak/>
        <w:t xml:space="preserve">study participants as well as by themes, both those derived from previous research findings and those </w:t>
      </w:r>
      <w:r w:rsidR="00326559" w:rsidRPr="00096FF8">
        <w:rPr>
          <w:rFonts w:asciiTheme="minorHAnsi" w:hAnsiTheme="minorHAnsi"/>
        </w:rPr>
        <w:t>emerging</w:t>
      </w:r>
      <w:r w:rsidR="00E321AB" w:rsidRPr="00096FF8">
        <w:rPr>
          <w:rFonts w:asciiTheme="minorHAnsi" w:hAnsiTheme="minorHAnsi"/>
        </w:rPr>
        <w:t xml:space="preserve"> from the study.</w:t>
      </w:r>
      <w:r w:rsidR="00BF082E" w:rsidRPr="00096FF8">
        <w:rPr>
          <w:rFonts w:asciiTheme="minorHAnsi" w:hAnsiTheme="minorHAnsi"/>
        </w:rPr>
        <w:t xml:space="preserve"> </w:t>
      </w:r>
    </w:p>
    <w:p w14:paraId="3593C5A4" w14:textId="77777777" w:rsidR="00302A58" w:rsidRPr="00096FF8" w:rsidRDefault="00302A58" w:rsidP="00490617">
      <w:pPr>
        <w:spacing w:line="480" w:lineRule="auto"/>
        <w:rPr>
          <w:rFonts w:asciiTheme="minorHAnsi" w:hAnsiTheme="minorHAnsi"/>
        </w:rPr>
      </w:pPr>
    </w:p>
    <w:p w14:paraId="268CA8B5" w14:textId="77777777" w:rsidR="00494FA9" w:rsidRPr="00936D6C" w:rsidRDefault="00494FA9" w:rsidP="00494FA9">
      <w:pPr>
        <w:pStyle w:val="Heading3"/>
        <w:spacing w:line="480" w:lineRule="auto"/>
      </w:pPr>
      <w:r w:rsidRPr="00936D6C">
        <w:t xml:space="preserve">Table 1 </w:t>
      </w:r>
      <w:r>
        <w:t xml:space="preserve">Research </w:t>
      </w:r>
      <w:r w:rsidRPr="00936D6C">
        <w:t>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12"/>
        <w:gridCol w:w="1476"/>
        <w:gridCol w:w="720"/>
        <w:gridCol w:w="1240"/>
      </w:tblGrid>
      <w:tr w:rsidR="00494FA9" w:rsidRPr="00936D6C" w14:paraId="2E22D738" w14:textId="77777777" w:rsidTr="004B0981">
        <w:trPr>
          <w:trHeight w:val="255"/>
        </w:trPr>
        <w:tc>
          <w:tcPr>
            <w:tcW w:w="2300" w:type="dxa"/>
            <w:vMerge w:val="restart"/>
            <w:tcBorders>
              <w:bottom w:val="single" w:sz="4" w:space="0" w:color="auto"/>
            </w:tcBorders>
            <w:noWrap/>
            <w:vAlign w:val="bottom"/>
            <w:hideMark/>
          </w:tcPr>
          <w:p w14:paraId="7D30EB56" w14:textId="77777777" w:rsidR="00494FA9" w:rsidRPr="00936D6C" w:rsidRDefault="00494FA9" w:rsidP="004B0981">
            <w:pPr>
              <w:spacing w:line="480" w:lineRule="auto"/>
              <w:rPr>
                <w:bCs/>
              </w:rPr>
            </w:pPr>
            <w:r w:rsidRPr="00936D6C">
              <w:rPr>
                <w:bCs/>
              </w:rPr>
              <w:t>Type of professional</w:t>
            </w:r>
          </w:p>
        </w:tc>
        <w:tc>
          <w:tcPr>
            <w:tcW w:w="3308" w:type="dxa"/>
            <w:gridSpan w:val="3"/>
            <w:tcBorders>
              <w:bottom w:val="single" w:sz="4" w:space="0" w:color="auto"/>
            </w:tcBorders>
            <w:noWrap/>
            <w:hideMark/>
          </w:tcPr>
          <w:p w14:paraId="58C13C4D" w14:textId="77777777" w:rsidR="00494FA9" w:rsidRPr="00936D6C" w:rsidRDefault="00494FA9" w:rsidP="004B0981">
            <w:pPr>
              <w:spacing w:line="480" w:lineRule="auto"/>
              <w:jc w:val="center"/>
              <w:rPr>
                <w:bCs/>
              </w:rPr>
            </w:pPr>
            <w:r w:rsidRPr="00936D6C">
              <w:rPr>
                <w:bCs/>
              </w:rPr>
              <w:t>Site</w:t>
            </w:r>
          </w:p>
        </w:tc>
        <w:tc>
          <w:tcPr>
            <w:tcW w:w="1240" w:type="dxa"/>
            <w:vMerge w:val="restart"/>
            <w:tcBorders>
              <w:bottom w:val="single" w:sz="4" w:space="0" w:color="auto"/>
            </w:tcBorders>
            <w:noWrap/>
            <w:vAlign w:val="bottom"/>
            <w:hideMark/>
          </w:tcPr>
          <w:p w14:paraId="08332BC5" w14:textId="77777777" w:rsidR="00494FA9" w:rsidRPr="00936D6C" w:rsidRDefault="00494FA9" w:rsidP="004B0981">
            <w:pPr>
              <w:spacing w:line="480" w:lineRule="auto"/>
              <w:rPr>
                <w:bCs/>
              </w:rPr>
            </w:pPr>
            <w:r w:rsidRPr="00936D6C">
              <w:rPr>
                <w:bCs/>
              </w:rPr>
              <w:t>Total</w:t>
            </w:r>
          </w:p>
        </w:tc>
      </w:tr>
      <w:tr w:rsidR="00494FA9" w:rsidRPr="00936D6C" w14:paraId="22DC3983" w14:textId="77777777" w:rsidTr="004B0981">
        <w:trPr>
          <w:trHeight w:val="255"/>
        </w:trPr>
        <w:tc>
          <w:tcPr>
            <w:tcW w:w="2300" w:type="dxa"/>
            <w:vMerge/>
            <w:tcBorders>
              <w:top w:val="single" w:sz="4" w:space="0" w:color="auto"/>
              <w:bottom w:val="single" w:sz="4" w:space="0" w:color="auto"/>
            </w:tcBorders>
            <w:noWrap/>
            <w:hideMark/>
          </w:tcPr>
          <w:p w14:paraId="09A75118" w14:textId="77777777" w:rsidR="00494FA9" w:rsidRPr="00936D6C" w:rsidRDefault="00494FA9" w:rsidP="004B0981">
            <w:pPr>
              <w:spacing w:line="480" w:lineRule="auto"/>
              <w:rPr>
                <w:bCs/>
              </w:rPr>
            </w:pPr>
          </w:p>
        </w:tc>
        <w:tc>
          <w:tcPr>
            <w:tcW w:w="1112" w:type="dxa"/>
            <w:tcBorders>
              <w:top w:val="single" w:sz="4" w:space="0" w:color="auto"/>
              <w:bottom w:val="single" w:sz="4" w:space="0" w:color="auto"/>
            </w:tcBorders>
            <w:noWrap/>
          </w:tcPr>
          <w:p w14:paraId="72DEBFB6" w14:textId="77777777" w:rsidR="00494FA9" w:rsidRPr="00936D6C" w:rsidRDefault="00494FA9" w:rsidP="004B0981">
            <w:pPr>
              <w:spacing w:line="480" w:lineRule="auto"/>
              <w:rPr>
                <w:bCs/>
              </w:rPr>
            </w:pPr>
            <w:r>
              <w:rPr>
                <w:bCs/>
              </w:rPr>
              <w:t>1</w:t>
            </w:r>
          </w:p>
        </w:tc>
        <w:tc>
          <w:tcPr>
            <w:tcW w:w="1476" w:type="dxa"/>
            <w:tcBorders>
              <w:top w:val="single" w:sz="4" w:space="0" w:color="auto"/>
              <w:bottom w:val="single" w:sz="4" w:space="0" w:color="auto"/>
            </w:tcBorders>
            <w:noWrap/>
          </w:tcPr>
          <w:p w14:paraId="666D9995" w14:textId="77777777" w:rsidR="00494FA9" w:rsidRPr="00936D6C" w:rsidRDefault="00494FA9" w:rsidP="004B0981">
            <w:pPr>
              <w:spacing w:line="480" w:lineRule="auto"/>
              <w:rPr>
                <w:bCs/>
              </w:rPr>
            </w:pPr>
            <w:r>
              <w:rPr>
                <w:bCs/>
              </w:rPr>
              <w:t>2</w:t>
            </w:r>
          </w:p>
        </w:tc>
        <w:tc>
          <w:tcPr>
            <w:tcW w:w="720" w:type="dxa"/>
            <w:tcBorders>
              <w:top w:val="single" w:sz="4" w:space="0" w:color="auto"/>
              <w:bottom w:val="single" w:sz="4" w:space="0" w:color="auto"/>
            </w:tcBorders>
            <w:noWrap/>
          </w:tcPr>
          <w:p w14:paraId="15A9DBB2" w14:textId="77777777" w:rsidR="00494FA9" w:rsidRPr="00936D6C" w:rsidRDefault="00494FA9" w:rsidP="004B0981">
            <w:pPr>
              <w:spacing w:line="480" w:lineRule="auto"/>
              <w:rPr>
                <w:bCs/>
              </w:rPr>
            </w:pPr>
            <w:r>
              <w:rPr>
                <w:bCs/>
              </w:rPr>
              <w:t>3</w:t>
            </w:r>
          </w:p>
        </w:tc>
        <w:tc>
          <w:tcPr>
            <w:tcW w:w="1240" w:type="dxa"/>
            <w:vMerge/>
            <w:tcBorders>
              <w:top w:val="single" w:sz="4" w:space="0" w:color="auto"/>
              <w:bottom w:val="single" w:sz="4" w:space="0" w:color="auto"/>
            </w:tcBorders>
            <w:noWrap/>
            <w:hideMark/>
          </w:tcPr>
          <w:p w14:paraId="305E0B17" w14:textId="77777777" w:rsidR="00494FA9" w:rsidRPr="00936D6C" w:rsidRDefault="00494FA9" w:rsidP="004B0981">
            <w:pPr>
              <w:spacing w:line="480" w:lineRule="auto"/>
              <w:rPr>
                <w:bCs/>
              </w:rPr>
            </w:pPr>
          </w:p>
        </w:tc>
      </w:tr>
      <w:tr w:rsidR="00494FA9" w:rsidRPr="00936D6C" w14:paraId="05942BE2" w14:textId="77777777" w:rsidTr="004B0981">
        <w:trPr>
          <w:trHeight w:val="255"/>
        </w:trPr>
        <w:tc>
          <w:tcPr>
            <w:tcW w:w="2300" w:type="dxa"/>
            <w:tcBorders>
              <w:top w:val="single" w:sz="4" w:space="0" w:color="auto"/>
            </w:tcBorders>
            <w:noWrap/>
            <w:hideMark/>
          </w:tcPr>
          <w:p w14:paraId="75972D5B" w14:textId="77777777" w:rsidR="00494FA9" w:rsidRPr="00936D6C" w:rsidRDefault="00494FA9" w:rsidP="004B0981">
            <w:pPr>
              <w:spacing w:line="480" w:lineRule="auto"/>
            </w:pPr>
            <w:r w:rsidRPr="00936D6C">
              <w:t>Senior manager</w:t>
            </w:r>
            <w:r>
              <w:t>/elected member</w:t>
            </w:r>
          </w:p>
        </w:tc>
        <w:tc>
          <w:tcPr>
            <w:tcW w:w="1112" w:type="dxa"/>
            <w:tcBorders>
              <w:top w:val="single" w:sz="4" w:space="0" w:color="auto"/>
            </w:tcBorders>
            <w:noWrap/>
            <w:hideMark/>
          </w:tcPr>
          <w:p w14:paraId="43B3E2EF" w14:textId="77777777" w:rsidR="00494FA9" w:rsidRPr="00936D6C" w:rsidRDefault="00494FA9" w:rsidP="004B0981">
            <w:pPr>
              <w:spacing w:line="480" w:lineRule="auto"/>
            </w:pPr>
            <w:r>
              <w:t>2</w:t>
            </w:r>
          </w:p>
        </w:tc>
        <w:tc>
          <w:tcPr>
            <w:tcW w:w="1476" w:type="dxa"/>
            <w:tcBorders>
              <w:top w:val="single" w:sz="4" w:space="0" w:color="auto"/>
            </w:tcBorders>
            <w:noWrap/>
            <w:hideMark/>
          </w:tcPr>
          <w:p w14:paraId="6715D3CC" w14:textId="77777777" w:rsidR="00494FA9" w:rsidRPr="00936D6C" w:rsidRDefault="00494FA9" w:rsidP="004B0981">
            <w:pPr>
              <w:spacing w:line="480" w:lineRule="auto"/>
            </w:pPr>
            <w:r>
              <w:t>2</w:t>
            </w:r>
          </w:p>
        </w:tc>
        <w:tc>
          <w:tcPr>
            <w:tcW w:w="720" w:type="dxa"/>
            <w:tcBorders>
              <w:top w:val="single" w:sz="4" w:space="0" w:color="auto"/>
            </w:tcBorders>
            <w:noWrap/>
            <w:hideMark/>
          </w:tcPr>
          <w:p w14:paraId="4B6B254E" w14:textId="77777777" w:rsidR="00494FA9" w:rsidRPr="00936D6C" w:rsidRDefault="00494FA9" w:rsidP="004B0981">
            <w:pPr>
              <w:spacing w:line="480" w:lineRule="auto"/>
            </w:pPr>
            <w:r w:rsidRPr="00936D6C">
              <w:t>1</w:t>
            </w:r>
          </w:p>
        </w:tc>
        <w:tc>
          <w:tcPr>
            <w:tcW w:w="1240" w:type="dxa"/>
            <w:tcBorders>
              <w:top w:val="single" w:sz="4" w:space="0" w:color="auto"/>
            </w:tcBorders>
            <w:noWrap/>
            <w:hideMark/>
          </w:tcPr>
          <w:p w14:paraId="68830643" w14:textId="77777777" w:rsidR="00494FA9" w:rsidRPr="00936D6C" w:rsidRDefault="00494FA9" w:rsidP="004B0981">
            <w:pPr>
              <w:spacing w:line="480" w:lineRule="auto"/>
            </w:pPr>
            <w:r>
              <w:t>5</w:t>
            </w:r>
          </w:p>
        </w:tc>
      </w:tr>
      <w:tr w:rsidR="00494FA9" w:rsidRPr="00936D6C" w14:paraId="08C1A3B8" w14:textId="77777777" w:rsidTr="004B0981">
        <w:trPr>
          <w:trHeight w:val="255"/>
        </w:trPr>
        <w:tc>
          <w:tcPr>
            <w:tcW w:w="2300" w:type="dxa"/>
            <w:noWrap/>
            <w:hideMark/>
          </w:tcPr>
          <w:p w14:paraId="20643407" w14:textId="77777777" w:rsidR="00494FA9" w:rsidRPr="00936D6C" w:rsidRDefault="00494FA9" w:rsidP="004B0981">
            <w:pPr>
              <w:spacing w:line="480" w:lineRule="auto"/>
            </w:pPr>
            <w:r w:rsidRPr="00936D6C">
              <w:t>Social worker</w:t>
            </w:r>
          </w:p>
        </w:tc>
        <w:tc>
          <w:tcPr>
            <w:tcW w:w="1112" w:type="dxa"/>
            <w:noWrap/>
            <w:hideMark/>
          </w:tcPr>
          <w:p w14:paraId="3F2CA97D" w14:textId="77777777" w:rsidR="00494FA9" w:rsidRPr="00936D6C" w:rsidRDefault="00494FA9" w:rsidP="004B0981">
            <w:pPr>
              <w:spacing w:line="480" w:lineRule="auto"/>
            </w:pPr>
            <w:r w:rsidRPr="00936D6C">
              <w:t>3</w:t>
            </w:r>
          </w:p>
        </w:tc>
        <w:tc>
          <w:tcPr>
            <w:tcW w:w="1476" w:type="dxa"/>
            <w:noWrap/>
            <w:hideMark/>
          </w:tcPr>
          <w:p w14:paraId="2F6EFC0C" w14:textId="77777777" w:rsidR="00494FA9" w:rsidRPr="00936D6C" w:rsidRDefault="00494FA9" w:rsidP="004B0981">
            <w:pPr>
              <w:spacing w:line="480" w:lineRule="auto"/>
            </w:pPr>
            <w:r w:rsidRPr="00936D6C">
              <w:t>2</w:t>
            </w:r>
          </w:p>
        </w:tc>
        <w:tc>
          <w:tcPr>
            <w:tcW w:w="720" w:type="dxa"/>
            <w:noWrap/>
            <w:hideMark/>
          </w:tcPr>
          <w:p w14:paraId="4FC837D1" w14:textId="77777777" w:rsidR="00494FA9" w:rsidRPr="00936D6C" w:rsidRDefault="00494FA9" w:rsidP="004B0981">
            <w:pPr>
              <w:spacing w:line="480" w:lineRule="auto"/>
            </w:pPr>
            <w:r w:rsidRPr="00936D6C">
              <w:t>1</w:t>
            </w:r>
          </w:p>
        </w:tc>
        <w:tc>
          <w:tcPr>
            <w:tcW w:w="1240" w:type="dxa"/>
            <w:noWrap/>
            <w:hideMark/>
          </w:tcPr>
          <w:p w14:paraId="4F123680" w14:textId="77777777" w:rsidR="00494FA9" w:rsidRPr="00936D6C" w:rsidRDefault="00494FA9" w:rsidP="004B0981">
            <w:pPr>
              <w:spacing w:line="480" w:lineRule="auto"/>
            </w:pPr>
            <w:r w:rsidRPr="00936D6C">
              <w:t>6</w:t>
            </w:r>
          </w:p>
        </w:tc>
      </w:tr>
      <w:tr w:rsidR="00494FA9" w:rsidRPr="00936D6C" w14:paraId="493FB156" w14:textId="77777777" w:rsidTr="004B0981">
        <w:trPr>
          <w:trHeight w:val="255"/>
        </w:trPr>
        <w:tc>
          <w:tcPr>
            <w:tcW w:w="2300" w:type="dxa"/>
            <w:noWrap/>
            <w:hideMark/>
          </w:tcPr>
          <w:p w14:paraId="07B28DCF" w14:textId="77777777" w:rsidR="00494FA9" w:rsidRPr="00936D6C" w:rsidRDefault="00494FA9" w:rsidP="004B0981">
            <w:pPr>
              <w:spacing w:line="480" w:lineRule="auto"/>
            </w:pPr>
            <w:r w:rsidRPr="00936D6C">
              <w:t>Team manager</w:t>
            </w:r>
          </w:p>
        </w:tc>
        <w:tc>
          <w:tcPr>
            <w:tcW w:w="1112" w:type="dxa"/>
            <w:noWrap/>
            <w:hideMark/>
          </w:tcPr>
          <w:p w14:paraId="67F6E802" w14:textId="77777777" w:rsidR="00494FA9" w:rsidRPr="00936D6C" w:rsidRDefault="00494FA9" w:rsidP="004B0981">
            <w:pPr>
              <w:spacing w:line="480" w:lineRule="auto"/>
            </w:pPr>
          </w:p>
        </w:tc>
        <w:tc>
          <w:tcPr>
            <w:tcW w:w="1476" w:type="dxa"/>
            <w:noWrap/>
            <w:hideMark/>
          </w:tcPr>
          <w:p w14:paraId="062F7C35" w14:textId="77777777" w:rsidR="00494FA9" w:rsidRPr="00936D6C" w:rsidRDefault="00494FA9" w:rsidP="004B0981">
            <w:pPr>
              <w:spacing w:line="480" w:lineRule="auto"/>
            </w:pPr>
          </w:p>
        </w:tc>
        <w:tc>
          <w:tcPr>
            <w:tcW w:w="720" w:type="dxa"/>
            <w:noWrap/>
            <w:hideMark/>
          </w:tcPr>
          <w:p w14:paraId="66BCAACF" w14:textId="77777777" w:rsidR="00494FA9" w:rsidRPr="00936D6C" w:rsidRDefault="00494FA9" w:rsidP="004B0981">
            <w:pPr>
              <w:spacing w:line="480" w:lineRule="auto"/>
            </w:pPr>
            <w:r w:rsidRPr="00936D6C">
              <w:t>5</w:t>
            </w:r>
          </w:p>
        </w:tc>
        <w:tc>
          <w:tcPr>
            <w:tcW w:w="1240" w:type="dxa"/>
            <w:noWrap/>
            <w:hideMark/>
          </w:tcPr>
          <w:p w14:paraId="6EF1B1D2" w14:textId="77777777" w:rsidR="00494FA9" w:rsidRPr="00936D6C" w:rsidRDefault="00494FA9" w:rsidP="004B0981">
            <w:pPr>
              <w:spacing w:line="480" w:lineRule="auto"/>
            </w:pPr>
            <w:r w:rsidRPr="00936D6C">
              <w:t>5</w:t>
            </w:r>
          </w:p>
        </w:tc>
      </w:tr>
      <w:tr w:rsidR="00494FA9" w:rsidRPr="008211CE" w14:paraId="512BC800" w14:textId="77777777" w:rsidTr="004B0981">
        <w:trPr>
          <w:trHeight w:val="314"/>
        </w:trPr>
        <w:tc>
          <w:tcPr>
            <w:tcW w:w="2300" w:type="dxa"/>
            <w:tcBorders>
              <w:top w:val="single" w:sz="4" w:space="0" w:color="auto"/>
            </w:tcBorders>
            <w:noWrap/>
            <w:hideMark/>
          </w:tcPr>
          <w:p w14:paraId="2B83073C" w14:textId="77777777" w:rsidR="00494FA9" w:rsidRPr="00936D6C" w:rsidRDefault="00494FA9" w:rsidP="004B0981">
            <w:pPr>
              <w:spacing w:line="480" w:lineRule="auto"/>
              <w:rPr>
                <w:bCs/>
              </w:rPr>
            </w:pPr>
            <w:r w:rsidRPr="00936D6C">
              <w:rPr>
                <w:bCs/>
              </w:rPr>
              <w:t>Total</w:t>
            </w:r>
          </w:p>
        </w:tc>
        <w:tc>
          <w:tcPr>
            <w:tcW w:w="1112" w:type="dxa"/>
            <w:tcBorders>
              <w:top w:val="single" w:sz="4" w:space="0" w:color="auto"/>
            </w:tcBorders>
            <w:noWrap/>
            <w:hideMark/>
          </w:tcPr>
          <w:p w14:paraId="5CB95E37" w14:textId="77777777" w:rsidR="00494FA9" w:rsidRPr="00936D6C" w:rsidRDefault="00494FA9" w:rsidP="004B0981">
            <w:pPr>
              <w:spacing w:line="480" w:lineRule="auto"/>
              <w:rPr>
                <w:bCs/>
              </w:rPr>
            </w:pPr>
            <w:r w:rsidRPr="00936D6C">
              <w:rPr>
                <w:bCs/>
              </w:rPr>
              <w:t>5</w:t>
            </w:r>
          </w:p>
        </w:tc>
        <w:tc>
          <w:tcPr>
            <w:tcW w:w="1476" w:type="dxa"/>
            <w:tcBorders>
              <w:top w:val="single" w:sz="4" w:space="0" w:color="auto"/>
            </w:tcBorders>
            <w:noWrap/>
            <w:hideMark/>
          </w:tcPr>
          <w:p w14:paraId="4E604084" w14:textId="77777777" w:rsidR="00494FA9" w:rsidRPr="00936D6C" w:rsidRDefault="00494FA9" w:rsidP="004B0981">
            <w:pPr>
              <w:spacing w:line="480" w:lineRule="auto"/>
              <w:rPr>
                <w:bCs/>
              </w:rPr>
            </w:pPr>
            <w:r w:rsidRPr="00936D6C">
              <w:rPr>
                <w:bCs/>
              </w:rPr>
              <w:t>4</w:t>
            </w:r>
          </w:p>
        </w:tc>
        <w:tc>
          <w:tcPr>
            <w:tcW w:w="720" w:type="dxa"/>
            <w:tcBorders>
              <w:top w:val="single" w:sz="4" w:space="0" w:color="auto"/>
            </w:tcBorders>
            <w:noWrap/>
            <w:hideMark/>
          </w:tcPr>
          <w:p w14:paraId="5D97EE4E" w14:textId="77777777" w:rsidR="00494FA9" w:rsidRPr="00936D6C" w:rsidRDefault="00494FA9" w:rsidP="004B0981">
            <w:pPr>
              <w:spacing w:line="480" w:lineRule="auto"/>
              <w:rPr>
                <w:bCs/>
              </w:rPr>
            </w:pPr>
            <w:r w:rsidRPr="00936D6C">
              <w:rPr>
                <w:bCs/>
              </w:rPr>
              <w:t>7</w:t>
            </w:r>
          </w:p>
        </w:tc>
        <w:tc>
          <w:tcPr>
            <w:tcW w:w="1240" w:type="dxa"/>
            <w:tcBorders>
              <w:top w:val="single" w:sz="4" w:space="0" w:color="auto"/>
            </w:tcBorders>
            <w:noWrap/>
            <w:hideMark/>
          </w:tcPr>
          <w:p w14:paraId="289E04D3" w14:textId="77777777" w:rsidR="00494FA9" w:rsidRPr="008211CE" w:rsidRDefault="00494FA9" w:rsidP="004B0981">
            <w:pPr>
              <w:spacing w:line="480" w:lineRule="auto"/>
              <w:rPr>
                <w:bCs/>
              </w:rPr>
            </w:pPr>
            <w:r w:rsidRPr="00936D6C">
              <w:rPr>
                <w:bCs/>
              </w:rPr>
              <w:t>16</w:t>
            </w:r>
          </w:p>
        </w:tc>
      </w:tr>
    </w:tbl>
    <w:p w14:paraId="17A48E6E" w14:textId="77777777" w:rsidR="00494FA9" w:rsidRDefault="00494FA9" w:rsidP="00494FA9"/>
    <w:p w14:paraId="70CD1444" w14:textId="77777777" w:rsidR="000B2341" w:rsidRPr="00096FF8" w:rsidRDefault="000B2341" w:rsidP="00490617">
      <w:pPr>
        <w:pStyle w:val="MediumGrid1-Accent21"/>
        <w:spacing w:before="0" w:after="0" w:line="480" w:lineRule="auto"/>
        <w:ind w:left="0"/>
        <w:rPr>
          <w:rFonts w:asciiTheme="minorHAnsi" w:hAnsiTheme="minorHAnsi"/>
          <w:szCs w:val="24"/>
        </w:rPr>
      </w:pPr>
    </w:p>
    <w:p w14:paraId="068F6C84" w14:textId="77777777" w:rsidR="00402080" w:rsidRPr="00096FF8" w:rsidRDefault="00402080" w:rsidP="00490617">
      <w:pPr>
        <w:pStyle w:val="Heading2"/>
        <w:spacing w:before="0" w:line="480" w:lineRule="auto"/>
        <w:rPr>
          <w:rFonts w:asciiTheme="minorHAnsi" w:hAnsiTheme="minorHAnsi"/>
          <w:i w:val="0"/>
        </w:rPr>
      </w:pPr>
      <w:r w:rsidRPr="00096FF8">
        <w:rPr>
          <w:rFonts w:asciiTheme="minorHAnsi" w:hAnsiTheme="minorHAnsi"/>
          <w:i w:val="0"/>
        </w:rPr>
        <w:t>Findings</w:t>
      </w:r>
    </w:p>
    <w:p w14:paraId="4742C883" w14:textId="13B20756" w:rsidR="001962F8" w:rsidRPr="00096FF8" w:rsidRDefault="00494277" w:rsidP="00490617">
      <w:pPr>
        <w:spacing w:line="480" w:lineRule="auto"/>
        <w:rPr>
          <w:rFonts w:asciiTheme="minorHAnsi" w:hAnsiTheme="minorHAnsi" w:cs="Arial"/>
          <w:color w:val="000000"/>
          <w:szCs w:val="24"/>
        </w:rPr>
      </w:pPr>
      <w:r w:rsidRPr="00096FF8">
        <w:rPr>
          <w:rFonts w:asciiTheme="minorHAnsi" w:hAnsiTheme="minorHAnsi"/>
        </w:rPr>
        <w:t>F</w:t>
      </w:r>
      <w:r w:rsidR="001962F8" w:rsidRPr="00096FF8">
        <w:rPr>
          <w:rFonts w:asciiTheme="minorHAnsi" w:hAnsiTheme="minorHAnsi"/>
        </w:rPr>
        <w:t xml:space="preserve">ive main themes emerged from our analysis: </w:t>
      </w:r>
      <w:r w:rsidR="00BE0177" w:rsidRPr="00096FF8">
        <w:rPr>
          <w:rFonts w:asciiTheme="minorHAnsi" w:hAnsiTheme="minorHAnsi"/>
        </w:rPr>
        <w:t xml:space="preserve">contexts and risk factors; views </w:t>
      </w:r>
      <w:r w:rsidR="00E2044D" w:rsidRPr="00096FF8">
        <w:rPr>
          <w:rFonts w:asciiTheme="minorHAnsi" w:hAnsiTheme="minorHAnsi"/>
        </w:rPr>
        <w:t xml:space="preserve">about </w:t>
      </w:r>
      <w:r w:rsidR="00BE0177" w:rsidRPr="00096FF8">
        <w:rPr>
          <w:rFonts w:asciiTheme="minorHAnsi" w:hAnsiTheme="minorHAnsi"/>
        </w:rPr>
        <w:t xml:space="preserve"> risks associated with D</w:t>
      </w:r>
      <w:r w:rsidR="00790294" w:rsidRPr="00096FF8">
        <w:rPr>
          <w:rFonts w:asciiTheme="minorHAnsi" w:hAnsiTheme="minorHAnsi"/>
        </w:rPr>
        <w:t xml:space="preserve">irect </w:t>
      </w:r>
      <w:r w:rsidR="00BE0177" w:rsidRPr="00096FF8">
        <w:rPr>
          <w:rFonts w:asciiTheme="minorHAnsi" w:hAnsiTheme="minorHAnsi"/>
        </w:rPr>
        <w:t>P</w:t>
      </w:r>
      <w:r w:rsidR="00790294" w:rsidRPr="00096FF8">
        <w:rPr>
          <w:rFonts w:asciiTheme="minorHAnsi" w:hAnsiTheme="minorHAnsi"/>
        </w:rPr>
        <w:t>ayments</w:t>
      </w:r>
      <w:r w:rsidR="00DF3784">
        <w:rPr>
          <w:rFonts w:asciiTheme="minorHAnsi" w:hAnsiTheme="minorHAnsi"/>
        </w:rPr>
        <w:t>;</w:t>
      </w:r>
      <w:r w:rsidR="00BE0177" w:rsidRPr="00096FF8">
        <w:rPr>
          <w:rFonts w:asciiTheme="minorHAnsi" w:hAnsiTheme="minorHAnsi"/>
        </w:rPr>
        <w:t xml:space="preserve"> approaches to </w:t>
      </w:r>
      <w:r w:rsidR="00326559" w:rsidRPr="00096FF8">
        <w:rPr>
          <w:rFonts w:asciiTheme="minorHAnsi" w:hAnsiTheme="minorHAnsi"/>
        </w:rPr>
        <w:t xml:space="preserve">minimising </w:t>
      </w:r>
      <w:r w:rsidR="00BE0177" w:rsidRPr="00096FF8">
        <w:rPr>
          <w:rFonts w:asciiTheme="minorHAnsi" w:hAnsiTheme="minorHAnsi"/>
        </w:rPr>
        <w:t>risk; balancing risk and choice; and weaving safeguarding and personalisation practice</w:t>
      </w:r>
      <w:r w:rsidR="001962F8" w:rsidRPr="00096FF8">
        <w:rPr>
          <w:rFonts w:asciiTheme="minorHAnsi" w:hAnsiTheme="minorHAnsi" w:cs="Arial"/>
          <w:color w:val="000000"/>
          <w:szCs w:val="24"/>
        </w:rPr>
        <w:t xml:space="preserve">. </w:t>
      </w:r>
    </w:p>
    <w:p w14:paraId="68132B25" w14:textId="77777777" w:rsidR="001962F8" w:rsidRPr="00096FF8" w:rsidRDefault="001962F8" w:rsidP="00490617">
      <w:pPr>
        <w:spacing w:line="480" w:lineRule="auto"/>
        <w:rPr>
          <w:rFonts w:asciiTheme="minorHAnsi" w:hAnsiTheme="minorHAnsi" w:cs="Arial"/>
          <w:color w:val="000000"/>
          <w:szCs w:val="24"/>
        </w:rPr>
      </w:pPr>
    </w:p>
    <w:p w14:paraId="426B1750" w14:textId="77777777" w:rsidR="00D03E93" w:rsidRPr="00096FF8" w:rsidRDefault="00402080" w:rsidP="00490617">
      <w:pPr>
        <w:pStyle w:val="Heading3"/>
        <w:spacing w:before="0" w:line="480" w:lineRule="auto"/>
        <w:rPr>
          <w:rFonts w:asciiTheme="minorHAnsi" w:hAnsiTheme="minorHAnsi"/>
        </w:rPr>
      </w:pPr>
      <w:r w:rsidRPr="00096FF8">
        <w:rPr>
          <w:rFonts w:asciiTheme="minorHAnsi" w:hAnsiTheme="minorHAnsi"/>
        </w:rPr>
        <w:t>Contexts</w:t>
      </w:r>
      <w:r w:rsidR="00E935B9" w:rsidRPr="00096FF8">
        <w:rPr>
          <w:rFonts w:asciiTheme="minorHAnsi" w:hAnsiTheme="minorHAnsi"/>
        </w:rPr>
        <w:t xml:space="preserve"> and risk factors</w:t>
      </w:r>
    </w:p>
    <w:p w14:paraId="216A2EFB" w14:textId="52CF358E" w:rsidR="001B54DD" w:rsidRPr="00096FF8" w:rsidRDefault="00BF082E"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Public spending constraint</w:t>
      </w:r>
      <w:r w:rsidR="00D962A5" w:rsidRPr="00096FF8">
        <w:rPr>
          <w:rFonts w:asciiTheme="minorHAnsi" w:hAnsiTheme="minorHAnsi"/>
          <w:szCs w:val="24"/>
        </w:rPr>
        <w:t>s</w:t>
      </w:r>
      <w:r w:rsidR="00402080" w:rsidRPr="00096FF8">
        <w:rPr>
          <w:rFonts w:asciiTheme="minorHAnsi" w:hAnsiTheme="minorHAnsi"/>
          <w:szCs w:val="24"/>
        </w:rPr>
        <w:t xml:space="preserve"> </w:t>
      </w:r>
      <w:r w:rsidR="00D962A5" w:rsidRPr="00096FF8">
        <w:rPr>
          <w:rFonts w:asciiTheme="minorHAnsi" w:hAnsiTheme="minorHAnsi"/>
          <w:szCs w:val="24"/>
        </w:rPr>
        <w:t xml:space="preserve">were </w:t>
      </w:r>
      <w:r w:rsidR="00402080" w:rsidRPr="00096FF8">
        <w:rPr>
          <w:rFonts w:asciiTheme="minorHAnsi" w:hAnsiTheme="minorHAnsi"/>
          <w:szCs w:val="24"/>
        </w:rPr>
        <w:t>perceived by many participants as important factor</w:t>
      </w:r>
      <w:r w:rsidR="00D962A5" w:rsidRPr="00096FF8">
        <w:rPr>
          <w:rFonts w:asciiTheme="minorHAnsi" w:hAnsiTheme="minorHAnsi"/>
          <w:szCs w:val="24"/>
        </w:rPr>
        <w:t>s</w:t>
      </w:r>
      <w:r w:rsidR="00110F98" w:rsidRPr="00096FF8">
        <w:rPr>
          <w:rFonts w:asciiTheme="minorHAnsi" w:hAnsiTheme="minorHAnsi"/>
          <w:szCs w:val="24"/>
        </w:rPr>
        <w:t xml:space="preserve"> in</w:t>
      </w:r>
      <w:r w:rsidR="00402080" w:rsidRPr="00096FF8">
        <w:rPr>
          <w:rFonts w:asciiTheme="minorHAnsi" w:hAnsiTheme="minorHAnsi"/>
          <w:szCs w:val="24"/>
        </w:rPr>
        <w:t xml:space="preserve"> creating a more risky context</w:t>
      </w:r>
      <w:r w:rsidR="004530ED" w:rsidRPr="00096FF8">
        <w:rPr>
          <w:rFonts w:asciiTheme="minorHAnsi" w:hAnsiTheme="minorHAnsi"/>
          <w:szCs w:val="24"/>
        </w:rPr>
        <w:t xml:space="preserve"> for personalisation</w:t>
      </w:r>
      <w:r w:rsidR="00402080" w:rsidRPr="00096FF8">
        <w:rPr>
          <w:rFonts w:asciiTheme="minorHAnsi" w:hAnsiTheme="minorHAnsi"/>
          <w:szCs w:val="24"/>
        </w:rPr>
        <w:t>. Reductions in services or</w:t>
      </w:r>
      <w:r w:rsidR="00AE526E" w:rsidRPr="00096FF8">
        <w:rPr>
          <w:rFonts w:asciiTheme="minorHAnsi" w:hAnsiTheme="minorHAnsi"/>
          <w:szCs w:val="24"/>
        </w:rPr>
        <w:t xml:space="preserve"> to </w:t>
      </w:r>
      <w:r w:rsidR="00402080" w:rsidRPr="00096FF8">
        <w:rPr>
          <w:rFonts w:asciiTheme="minorHAnsi" w:hAnsiTheme="minorHAnsi"/>
          <w:szCs w:val="24"/>
        </w:rPr>
        <w:t xml:space="preserve">budgets were believed by some to increase risk through </w:t>
      </w:r>
      <w:r w:rsidR="00790294" w:rsidRPr="00096FF8">
        <w:rPr>
          <w:rFonts w:asciiTheme="minorHAnsi" w:hAnsiTheme="minorHAnsi"/>
          <w:szCs w:val="24"/>
        </w:rPr>
        <w:t>exacerbating</w:t>
      </w:r>
      <w:r w:rsidR="00402080" w:rsidRPr="00096FF8">
        <w:rPr>
          <w:rFonts w:asciiTheme="minorHAnsi" w:hAnsiTheme="minorHAnsi"/>
          <w:szCs w:val="24"/>
        </w:rPr>
        <w:t xml:space="preserve"> unmet needs</w:t>
      </w:r>
      <w:r w:rsidR="004A19B5" w:rsidRPr="00096FF8">
        <w:rPr>
          <w:rFonts w:asciiTheme="minorHAnsi" w:hAnsiTheme="minorHAnsi"/>
          <w:szCs w:val="24"/>
        </w:rPr>
        <w:t xml:space="preserve"> among care users</w:t>
      </w:r>
      <w:r w:rsidR="00402080" w:rsidRPr="00096FF8">
        <w:rPr>
          <w:rFonts w:asciiTheme="minorHAnsi" w:hAnsiTheme="minorHAnsi"/>
          <w:szCs w:val="24"/>
        </w:rPr>
        <w:t xml:space="preserve">, </w:t>
      </w:r>
      <w:r w:rsidR="001D1DF0" w:rsidRPr="00096FF8">
        <w:rPr>
          <w:rFonts w:asciiTheme="minorHAnsi" w:hAnsiTheme="minorHAnsi"/>
          <w:szCs w:val="24"/>
        </w:rPr>
        <w:t xml:space="preserve">potentially </w:t>
      </w:r>
      <w:r w:rsidR="00402080" w:rsidRPr="00096FF8">
        <w:rPr>
          <w:rFonts w:asciiTheme="minorHAnsi" w:hAnsiTheme="minorHAnsi"/>
          <w:szCs w:val="24"/>
        </w:rPr>
        <w:t>lower quality services</w:t>
      </w:r>
      <w:r w:rsidR="00AE526E" w:rsidRPr="00096FF8">
        <w:rPr>
          <w:rFonts w:asciiTheme="minorHAnsi" w:hAnsiTheme="minorHAnsi"/>
          <w:szCs w:val="24"/>
        </w:rPr>
        <w:t xml:space="preserve"> (arising from a view that</w:t>
      </w:r>
      <w:r w:rsidR="00581E19" w:rsidRPr="00096FF8">
        <w:rPr>
          <w:rFonts w:asciiTheme="minorHAnsi" w:hAnsiTheme="minorHAnsi"/>
          <w:szCs w:val="24"/>
        </w:rPr>
        <w:t xml:space="preserve"> care</w:t>
      </w:r>
      <w:r w:rsidR="00AE526E" w:rsidRPr="00096FF8">
        <w:rPr>
          <w:rFonts w:asciiTheme="minorHAnsi" w:hAnsiTheme="minorHAnsi"/>
          <w:szCs w:val="24"/>
        </w:rPr>
        <w:t xml:space="preserve"> providers were being paid </w:t>
      </w:r>
      <w:r w:rsidR="00AE526E" w:rsidRPr="00096FF8">
        <w:rPr>
          <w:rFonts w:asciiTheme="minorHAnsi" w:hAnsiTheme="minorHAnsi"/>
          <w:szCs w:val="24"/>
        </w:rPr>
        <w:lastRenderedPageBreak/>
        <w:t>less to provide the same service, resulting in lower standards)</w:t>
      </w:r>
      <w:r w:rsidR="004A19B5" w:rsidRPr="00096FF8">
        <w:rPr>
          <w:rFonts w:asciiTheme="minorHAnsi" w:hAnsiTheme="minorHAnsi"/>
          <w:szCs w:val="24"/>
        </w:rPr>
        <w:t xml:space="preserve"> </w:t>
      </w:r>
      <w:r w:rsidR="00402080" w:rsidRPr="00096FF8">
        <w:rPr>
          <w:rFonts w:asciiTheme="minorHAnsi" w:hAnsiTheme="minorHAnsi"/>
          <w:szCs w:val="24"/>
        </w:rPr>
        <w:t xml:space="preserve">and higher eligibility criteria. </w:t>
      </w:r>
      <w:r w:rsidR="00966424" w:rsidRPr="00096FF8">
        <w:rPr>
          <w:rFonts w:asciiTheme="minorHAnsi" w:hAnsiTheme="minorHAnsi"/>
          <w:szCs w:val="24"/>
        </w:rPr>
        <w:t>However, the two elected members were less critical of cuts being made.</w:t>
      </w:r>
    </w:p>
    <w:p w14:paraId="019921A3" w14:textId="77777777" w:rsidR="00110F98" w:rsidRPr="00096FF8" w:rsidRDefault="00110F98" w:rsidP="00490617">
      <w:pPr>
        <w:pStyle w:val="MediumGrid1-Accent21"/>
        <w:spacing w:before="0" w:after="0" w:line="480" w:lineRule="auto"/>
        <w:ind w:left="0"/>
        <w:rPr>
          <w:rFonts w:asciiTheme="minorHAnsi" w:hAnsiTheme="minorHAnsi"/>
          <w:szCs w:val="24"/>
        </w:rPr>
      </w:pPr>
    </w:p>
    <w:p w14:paraId="6AAC2482" w14:textId="66BC546D" w:rsidR="00402080" w:rsidRPr="00096FF8" w:rsidRDefault="00402080"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More generally, poverty was widely identified by participants as a</w:t>
      </w:r>
      <w:r w:rsidR="00B42470" w:rsidRPr="00096FF8">
        <w:rPr>
          <w:rFonts w:asciiTheme="minorHAnsi" w:hAnsiTheme="minorHAnsi"/>
          <w:szCs w:val="24"/>
        </w:rPr>
        <w:t xml:space="preserve">n important </w:t>
      </w:r>
      <w:r w:rsidRPr="00096FF8">
        <w:rPr>
          <w:rFonts w:asciiTheme="minorHAnsi" w:hAnsiTheme="minorHAnsi"/>
          <w:szCs w:val="24"/>
        </w:rPr>
        <w:t>f</w:t>
      </w:r>
      <w:r w:rsidR="00B42470" w:rsidRPr="00096FF8">
        <w:rPr>
          <w:rFonts w:asciiTheme="minorHAnsi" w:hAnsiTheme="minorHAnsi"/>
          <w:szCs w:val="24"/>
        </w:rPr>
        <w:t>actor in relation to</w:t>
      </w:r>
      <w:r w:rsidRPr="00096FF8">
        <w:rPr>
          <w:rFonts w:asciiTheme="minorHAnsi" w:hAnsiTheme="minorHAnsi"/>
          <w:szCs w:val="24"/>
        </w:rPr>
        <w:t xml:space="preserve"> abuse. One senior manager suggested that this might create a risk as the </w:t>
      </w:r>
      <w:r w:rsidR="00E13E4E" w:rsidRPr="00096FF8">
        <w:rPr>
          <w:rFonts w:asciiTheme="minorHAnsi" w:hAnsiTheme="minorHAnsi"/>
          <w:szCs w:val="24"/>
        </w:rPr>
        <w:t>Direct Payment</w:t>
      </w:r>
      <w:r w:rsidRPr="00096FF8">
        <w:rPr>
          <w:rFonts w:asciiTheme="minorHAnsi" w:hAnsiTheme="minorHAnsi"/>
          <w:szCs w:val="24"/>
        </w:rPr>
        <w:t xml:space="preserve"> would become </w:t>
      </w:r>
      <w:r w:rsidR="004A19B5" w:rsidRPr="00096FF8">
        <w:rPr>
          <w:rFonts w:asciiTheme="minorHAnsi" w:hAnsiTheme="minorHAnsi"/>
          <w:szCs w:val="24"/>
        </w:rPr>
        <w:t xml:space="preserve">an apparently necessary </w:t>
      </w:r>
      <w:r w:rsidRPr="00096FF8">
        <w:rPr>
          <w:rFonts w:asciiTheme="minorHAnsi" w:hAnsiTheme="minorHAnsi"/>
          <w:szCs w:val="24"/>
        </w:rPr>
        <w:t xml:space="preserve">part of the family income and it might be difficult to ensure it was used </w:t>
      </w:r>
      <w:r w:rsidR="00D962A5" w:rsidRPr="00096FF8">
        <w:rPr>
          <w:rFonts w:asciiTheme="minorHAnsi" w:hAnsiTheme="minorHAnsi"/>
          <w:szCs w:val="24"/>
        </w:rPr>
        <w:t xml:space="preserve">by </w:t>
      </w:r>
      <w:r w:rsidRPr="00096FF8">
        <w:rPr>
          <w:rFonts w:asciiTheme="minorHAnsi" w:hAnsiTheme="minorHAnsi"/>
          <w:szCs w:val="24"/>
        </w:rPr>
        <w:t xml:space="preserve">the </w:t>
      </w:r>
      <w:r w:rsidR="00385406" w:rsidRPr="00096FF8">
        <w:rPr>
          <w:rFonts w:asciiTheme="minorHAnsi" w:hAnsiTheme="minorHAnsi"/>
          <w:szCs w:val="24"/>
        </w:rPr>
        <w:t>person for wh</w:t>
      </w:r>
      <w:r w:rsidR="00D962A5" w:rsidRPr="00096FF8">
        <w:rPr>
          <w:rFonts w:asciiTheme="minorHAnsi" w:hAnsiTheme="minorHAnsi"/>
          <w:szCs w:val="24"/>
        </w:rPr>
        <w:t>om</w:t>
      </w:r>
      <w:r w:rsidR="00385406" w:rsidRPr="00096FF8">
        <w:rPr>
          <w:rFonts w:asciiTheme="minorHAnsi" w:hAnsiTheme="minorHAnsi"/>
          <w:szCs w:val="24"/>
        </w:rPr>
        <w:t xml:space="preserve"> it was intended</w:t>
      </w:r>
      <w:r w:rsidR="00BF082E" w:rsidRPr="00096FF8">
        <w:rPr>
          <w:rFonts w:asciiTheme="minorHAnsi" w:hAnsiTheme="minorHAnsi"/>
          <w:szCs w:val="24"/>
        </w:rPr>
        <w:t>.</w:t>
      </w:r>
      <w:r w:rsidRPr="00096FF8">
        <w:rPr>
          <w:rFonts w:asciiTheme="minorHAnsi" w:hAnsiTheme="minorHAnsi"/>
          <w:szCs w:val="24"/>
        </w:rPr>
        <w:t xml:space="preserve"> One social worker</w:t>
      </w:r>
      <w:r w:rsidR="00BF082E" w:rsidRPr="00096FF8">
        <w:rPr>
          <w:rFonts w:asciiTheme="minorHAnsi" w:hAnsiTheme="minorHAnsi"/>
          <w:szCs w:val="24"/>
        </w:rPr>
        <w:t xml:space="preserve"> specifically </w:t>
      </w:r>
      <w:r w:rsidRPr="00096FF8">
        <w:rPr>
          <w:rFonts w:asciiTheme="minorHAnsi" w:hAnsiTheme="minorHAnsi"/>
          <w:szCs w:val="24"/>
        </w:rPr>
        <w:t xml:space="preserve">identified poverty as a risk factor, citing the recent financial downturn as creating </w:t>
      </w:r>
      <w:r w:rsidR="00385406" w:rsidRPr="00096FF8">
        <w:rPr>
          <w:rFonts w:asciiTheme="minorHAnsi" w:hAnsiTheme="minorHAnsi"/>
          <w:szCs w:val="24"/>
        </w:rPr>
        <w:t>the circumstances in which Personal Assistants (</w:t>
      </w:r>
      <w:r w:rsidRPr="00096FF8">
        <w:rPr>
          <w:rFonts w:asciiTheme="minorHAnsi" w:hAnsiTheme="minorHAnsi"/>
          <w:szCs w:val="24"/>
        </w:rPr>
        <w:t>P</w:t>
      </w:r>
      <w:r w:rsidR="00C05E17" w:rsidRPr="00096FF8">
        <w:rPr>
          <w:rFonts w:asciiTheme="minorHAnsi" w:hAnsiTheme="minorHAnsi"/>
          <w:szCs w:val="24"/>
        </w:rPr>
        <w:t>A</w:t>
      </w:r>
      <w:r w:rsidRPr="00096FF8">
        <w:rPr>
          <w:rFonts w:asciiTheme="minorHAnsi" w:hAnsiTheme="minorHAnsi"/>
          <w:szCs w:val="24"/>
        </w:rPr>
        <w:t>s</w:t>
      </w:r>
      <w:r w:rsidR="00302A58" w:rsidRPr="00096FF8">
        <w:rPr>
          <w:rFonts w:asciiTheme="minorHAnsi" w:hAnsiTheme="minorHAnsi"/>
          <w:szCs w:val="24"/>
        </w:rPr>
        <w:t xml:space="preserve">, </w:t>
      </w:r>
      <w:r w:rsidRPr="00096FF8">
        <w:rPr>
          <w:rFonts w:asciiTheme="minorHAnsi" w:hAnsiTheme="minorHAnsi"/>
          <w:szCs w:val="24"/>
        </w:rPr>
        <w:t xml:space="preserve">including family members employed as PAs), </w:t>
      </w:r>
      <w:r w:rsidR="00385406" w:rsidRPr="00096FF8">
        <w:rPr>
          <w:rFonts w:asciiTheme="minorHAnsi" w:hAnsiTheme="minorHAnsi"/>
          <w:szCs w:val="24"/>
        </w:rPr>
        <w:t xml:space="preserve">might engage in </w:t>
      </w:r>
      <w:r w:rsidRPr="00096FF8">
        <w:rPr>
          <w:rFonts w:asciiTheme="minorHAnsi" w:hAnsiTheme="minorHAnsi"/>
          <w:szCs w:val="24"/>
        </w:rPr>
        <w:t>abusive behaviour:</w:t>
      </w:r>
    </w:p>
    <w:p w14:paraId="69017534" w14:textId="77777777" w:rsidR="00402080" w:rsidRPr="00096FF8" w:rsidRDefault="00402080" w:rsidP="00490617">
      <w:pPr>
        <w:pStyle w:val="MediumGrid1-Accent21"/>
        <w:spacing w:before="0" w:after="0" w:line="480" w:lineRule="auto"/>
        <w:ind w:left="360"/>
        <w:rPr>
          <w:rFonts w:asciiTheme="minorHAnsi" w:hAnsiTheme="minorHAnsi"/>
          <w:szCs w:val="24"/>
        </w:rPr>
      </w:pPr>
    </w:p>
    <w:p w14:paraId="77FA395C" w14:textId="77777777" w:rsidR="00402080" w:rsidRPr="00096FF8" w:rsidRDefault="00402080" w:rsidP="00490617">
      <w:pPr>
        <w:pStyle w:val="Quote"/>
        <w:spacing w:line="480" w:lineRule="auto"/>
        <w:rPr>
          <w:rFonts w:asciiTheme="minorHAnsi" w:hAnsiTheme="minorHAnsi"/>
        </w:rPr>
      </w:pPr>
      <w:r w:rsidRPr="00096FF8">
        <w:rPr>
          <w:rFonts w:asciiTheme="minorHAnsi" w:hAnsiTheme="minorHAnsi"/>
        </w:rPr>
        <w:t>I think, there were lots of cases to be honest, where people are doing things to people, bad things, that ordinarily they may not do if they weren’t quite so desperate themselves.</w:t>
      </w:r>
    </w:p>
    <w:p w14:paraId="557766B9" w14:textId="77777777" w:rsidR="00402080" w:rsidRPr="00096FF8" w:rsidRDefault="00313570" w:rsidP="00490617">
      <w:pPr>
        <w:pStyle w:val="QuoteLabel"/>
        <w:spacing w:line="480" w:lineRule="auto"/>
        <w:rPr>
          <w:rFonts w:asciiTheme="minorHAnsi" w:hAnsiTheme="minorHAnsi"/>
        </w:rPr>
      </w:pPr>
      <w:r w:rsidRPr="00096FF8">
        <w:rPr>
          <w:rFonts w:asciiTheme="minorHAnsi" w:hAnsiTheme="minorHAnsi"/>
        </w:rPr>
        <w:t>Social Worker 09</w:t>
      </w:r>
    </w:p>
    <w:p w14:paraId="60AC9B0D" w14:textId="77777777" w:rsidR="00402080" w:rsidRPr="00096FF8" w:rsidRDefault="00402080" w:rsidP="00490617">
      <w:pPr>
        <w:pStyle w:val="MediumGrid1-Accent21"/>
        <w:spacing w:before="0" w:after="0" w:line="480" w:lineRule="auto"/>
        <w:ind w:left="0"/>
        <w:rPr>
          <w:rFonts w:asciiTheme="minorHAnsi" w:hAnsiTheme="minorHAnsi"/>
          <w:szCs w:val="24"/>
        </w:rPr>
      </w:pPr>
    </w:p>
    <w:p w14:paraId="58C52560" w14:textId="0499C398" w:rsidR="00280843" w:rsidRPr="00096FF8" w:rsidRDefault="00110F98"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The degree to which </w:t>
      </w:r>
      <w:r w:rsidR="00402080" w:rsidRPr="00096FF8">
        <w:rPr>
          <w:rFonts w:asciiTheme="minorHAnsi" w:hAnsiTheme="minorHAnsi"/>
          <w:szCs w:val="24"/>
        </w:rPr>
        <w:t xml:space="preserve">personalisation had been </w:t>
      </w:r>
      <w:r w:rsidRPr="00096FF8">
        <w:rPr>
          <w:rFonts w:asciiTheme="minorHAnsi" w:hAnsiTheme="minorHAnsi"/>
          <w:szCs w:val="24"/>
        </w:rPr>
        <w:t xml:space="preserve">embedded </w:t>
      </w:r>
      <w:r w:rsidR="00402080" w:rsidRPr="00096FF8">
        <w:rPr>
          <w:rFonts w:asciiTheme="minorHAnsi" w:hAnsiTheme="minorHAnsi"/>
          <w:szCs w:val="24"/>
        </w:rPr>
        <w:t xml:space="preserve">within a </w:t>
      </w:r>
      <w:r w:rsidRPr="00096FF8">
        <w:rPr>
          <w:rFonts w:asciiTheme="minorHAnsi" w:hAnsiTheme="minorHAnsi"/>
          <w:szCs w:val="24"/>
        </w:rPr>
        <w:t xml:space="preserve">local authority </w:t>
      </w:r>
      <w:r w:rsidR="00402080" w:rsidRPr="00096FF8">
        <w:rPr>
          <w:rFonts w:asciiTheme="minorHAnsi" w:hAnsiTheme="minorHAnsi"/>
          <w:szCs w:val="24"/>
        </w:rPr>
        <w:t>was another important aspect of the context</w:t>
      </w:r>
      <w:r w:rsidR="006B59A4" w:rsidRPr="00096FF8">
        <w:rPr>
          <w:rFonts w:asciiTheme="minorHAnsi" w:hAnsiTheme="minorHAnsi"/>
          <w:szCs w:val="24"/>
        </w:rPr>
        <w:t xml:space="preserve"> within which social </w:t>
      </w:r>
      <w:r w:rsidR="008F1EC8" w:rsidRPr="00096FF8">
        <w:rPr>
          <w:rFonts w:asciiTheme="minorHAnsi" w:hAnsiTheme="minorHAnsi"/>
          <w:szCs w:val="24"/>
        </w:rPr>
        <w:t>work</w:t>
      </w:r>
      <w:r w:rsidR="00A15D07" w:rsidRPr="00096FF8">
        <w:rPr>
          <w:rFonts w:asciiTheme="minorHAnsi" w:hAnsiTheme="minorHAnsi"/>
          <w:szCs w:val="24"/>
        </w:rPr>
        <w:t>ers</w:t>
      </w:r>
      <w:r w:rsidR="008F1EC8" w:rsidRPr="00096FF8">
        <w:rPr>
          <w:rFonts w:asciiTheme="minorHAnsi" w:hAnsiTheme="minorHAnsi"/>
          <w:szCs w:val="24"/>
        </w:rPr>
        <w:t xml:space="preserve"> </w:t>
      </w:r>
      <w:r w:rsidR="00A15D07" w:rsidRPr="00096FF8">
        <w:rPr>
          <w:rFonts w:asciiTheme="minorHAnsi" w:hAnsiTheme="minorHAnsi"/>
          <w:szCs w:val="24"/>
        </w:rPr>
        <w:t>practiced</w:t>
      </w:r>
      <w:r w:rsidR="00402080" w:rsidRPr="00096FF8">
        <w:rPr>
          <w:rFonts w:asciiTheme="minorHAnsi" w:hAnsiTheme="minorHAnsi"/>
          <w:szCs w:val="24"/>
        </w:rPr>
        <w:t xml:space="preserve">. The advent of </w:t>
      </w:r>
      <w:r w:rsidR="00A15D07" w:rsidRPr="00096FF8">
        <w:rPr>
          <w:rFonts w:asciiTheme="minorHAnsi" w:hAnsiTheme="minorHAnsi"/>
          <w:szCs w:val="24"/>
        </w:rPr>
        <w:t xml:space="preserve">personal budgets </w:t>
      </w:r>
      <w:r w:rsidR="00402080" w:rsidRPr="00096FF8">
        <w:rPr>
          <w:rFonts w:asciiTheme="minorHAnsi" w:hAnsiTheme="minorHAnsi"/>
          <w:szCs w:val="24"/>
        </w:rPr>
        <w:t xml:space="preserve">was felt to have </w:t>
      </w:r>
      <w:r w:rsidR="008416CE" w:rsidRPr="00096FF8">
        <w:rPr>
          <w:rFonts w:asciiTheme="minorHAnsi" w:hAnsiTheme="minorHAnsi"/>
          <w:szCs w:val="24"/>
        </w:rPr>
        <w:t xml:space="preserve">offered </w:t>
      </w:r>
      <w:r w:rsidR="00402080" w:rsidRPr="00096FF8">
        <w:rPr>
          <w:rFonts w:asciiTheme="minorHAnsi" w:hAnsiTheme="minorHAnsi"/>
          <w:szCs w:val="24"/>
        </w:rPr>
        <w:t xml:space="preserve">a wider variety of ways of arranging support in addition to </w:t>
      </w:r>
      <w:r w:rsidR="00E13E4E" w:rsidRPr="00096FF8">
        <w:rPr>
          <w:rFonts w:asciiTheme="minorHAnsi" w:hAnsiTheme="minorHAnsi"/>
          <w:szCs w:val="24"/>
        </w:rPr>
        <w:t>Direct Payments</w:t>
      </w:r>
      <w:r w:rsidR="00402080" w:rsidRPr="00096FF8">
        <w:rPr>
          <w:rFonts w:asciiTheme="minorHAnsi" w:hAnsiTheme="minorHAnsi"/>
          <w:szCs w:val="24"/>
        </w:rPr>
        <w:t>, including pool</w:t>
      </w:r>
      <w:r w:rsidR="00443107" w:rsidRPr="00096FF8">
        <w:rPr>
          <w:rFonts w:asciiTheme="minorHAnsi" w:hAnsiTheme="minorHAnsi"/>
          <w:szCs w:val="24"/>
        </w:rPr>
        <w:t>ed</w:t>
      </w:r>
      <w:r w:rsidR="00402080" w:rsidRPr="00096FF8">
        <w:rPr>
          <w:rFonts w:asciiTheme="minorHAnsi" w:hAnsiTheme="minorHAnsi"/>
          <w:szCs w:val="24"/>
        </w:rPr>
        <w:t xml:space="preserve"> budgets and </w:t>
      </w:r>
      <w:r w:rsidR="008416CE" w:rsidRPr="00096FF8">
        <w:rPr>
          <w:rFonts w:asciiTheme="minorHAnsi" w:hAnsiTheme="minorHAnsi"/>
          <w:szCs w:val="24"/>
        </w:rPr>
        <w:t xml:space="preserve">legal </w:t>
      </w:r>
      <w:r w:rsidR="00402080" w:rsidRPr="00096FF8">
        <w:rPr>
          <w:rFonts w:asciiTheme="minorHAnsi" w:hAnsiTheme="minorHAnsi"/>
          <w:szCs w:val="24"/>
        </w:rPr>
        <w:t>trusts</w:t>
      </w:r>
      <w:r w:rsidR="00DC23D9" w:rsidRPr="00096FF8">
        <w:rPr>
          <w:rFonts w:asciiTheme="minorHAnsi" w:hAnsiTheme="minorHAnsi"/>
          <w:szCs w:val="24"/>
        </w:rPr>
        <w:t xml:space="preserve">. </w:t>
      </w:r>
      <w:r w:rsidR="00402080" w:rsidRPr="00096FF8">
        <w:rPr>
          <w:rFonts w:asciiTheme="minorHAnsi" w:hAnsiTheme="minorHAnsi"/>
          <w:szCs w:val="24"/>
        </w:rPr>
        <w:t xml:space="preserve">Several </w:t>
      </w:r>
      <w:r w:rsidR="00D962A5" w:rsidRPr="00096FF8">
        <w:rPr>
          <w:rFonts w:asciiTheme="minorHAnsi" w:hAnsiTheme="minorHAnsi"/>
          <w:szCs w:val="24"/>
        </w:rPr>
        <w:t xml:space="preserve">dimensions </w:t>
      </w:r>
      <w:r w:rsidR="00402080" w:rsidRPr="00096FF8">
        <w:rPr>
          <w:rFonts w:asciiTheme="minorHAnsi" w:hAnsiTheme="minorHAnsi"/>
          <w:szCs w:val="24"/>
        </w:rPr>
        <w:t>were identified. First was the ability to choose from a wider range of services</w:t>
      </w:r>
      <w:r w:rsidR="006B59A4" w:rsidRPr="00096FF8">
        <w:rPr>
          <w:rFonts w:asciiTheme="minorHAnsi" w:hAnsiTheme="minorHAnsi"/>
          <w:szCs w:val="24"/>
        </w:rPr>
        <w:t>:</w:t>
      </w:r>
      <w:r w:rsidR="00402080" w:rsidRPr="00096FF8">
        <w:rPr>
          <w:rFonts w:asciiTheme="minorHAnsi" w:hAnsiTheme="minorHAnsi"/>
          <w:szCs w:val="24"/>
        </w:rPr>
        <w:t xml:space="preserve"> </w:t>
      </w:r>
      <w:r w:rsidR="00385406" w:rsidRPr="00096FF8">
        <w:rPr>
          <w:rFonts w:asciiTheme="minorHAnsi" w:hAnsiTheme="minorHAnsi"/>
          <w:szCs w:val="24"/>
        </w:rPr>
        <w:t>m</w:t>
      </w:r>
      <w:r w:rsidR="00280843" w:rsidRPr="00096FF8">
        <w:rPr>
          <w:rFonts w:asciiTheme="minorHAnsi" w:hAnsiTheme="minorHAnsi"/>
        </w:rPr>
        <w:t xml:space="preserve">ost </w:t>
      </w:r>
      <w:r w:rsidR="008416CE" w:rsidRPr="00096FF8">
        <w:rPr>
          <w:rFonts w:asciiTheme="minorHAnsi" w:hAnsiTheme="minorHAnsi"/>
        </w:rPr>
        <w:t>participants</w:t>
      </w:r>
      <w:r w:rsidR="00280843" w:rsidRPr="00096FF8">
        <w:rPr>
          <w:rFonts w:asciiTheme="minorHAnsi" w:hAnsiTheme="minorHAnsi"/>
        </w:rPr>
        <w:t xml:space="preserve"> reported that all people who met </w:t>
      </w:r>
      <w:r w:rsidR="008416CE" w:rsidRPr="00096FF8">
        <w:rPr>
          <w:rFonts w:asciiTheme="minorHAnsi" w:hAnsiTheme="minorHAnsi"/>
        </w:rPr>
        <w:t xml:space="preserve">the eligibility </w:t>
      </w:r>
      <w:r w:rsidR="00280843" w:rsidRPr="00096FF8">
        <w:rPr>
          <w:rFonts w:asciiTheme="minorHAnsi" w:hAnsiTheme="minorHAnsi"/>
        </w:rPr>
        <w:t xml:space="preserve">criteria were offered a </w:t>
      </w:r>
      <w:r w:rsidR="00E13E4E" w:rsidRPr="00096FF8">
        <w:rPr>
          <w:rFonts w:asciiTheme="minorHAnsi" w:hAnsiTheme="minorHAnsi"/>
        </w:rPr>
        <w:t>Direct Payment</w:t>
      </w:r>
      <w:r w:rsidR="008416CE" w:rsidRPr="00096FF8">
        <w:rPr>
          <w:rFonts w:asciiTheme="minorHAnsi" w:hAnsiTheme="minorHAnsi"/>
        </w:rPr>
        <w:t xml:space="preserve">. </w:t>
      </w:r>
      <w:r w:rsidR="00280843" w:rsidRPr="00096FF8">
        <w:rPr>
          <w:rFonts w:asciiTheme="minorHAnsi" w:hAnsiTheme="minorHAnsi"/>
        </w:rPr>
        <w:t xml:space="preserve">However, </w:t>
      </w:r>
      <w:r w:rsidR="00280843" w:rsidRPr="00096FF8">
        <w:rPr>
          <w:rFonts w:asciiTheme="minorHAnsi" w:hAnsiTheme="minorHAnsi"/>
          <w:szCs w:val="24"/>
        </w:rPr>
        <w:t>safeguarding</w:t>
      </w:r>
      <w:r w:rsidR="008416CE" w:rsidRPr="00096FF8">
        <w:rPr>
          <w:rFonts w:asciiTheme="minorHAnsi" w:hAnsiTheme="minorHAnsi"/>
          <w:szCs w:val="24"/>
        </w:rPr>
        <w:t xml:space="preserve"> concerns</w:t>
      </w:r>
      <w:r w:rsidR="00280843" w:rsidRPr="00096FF8">
        <w:rPr>
          <w:rFonts w:asciiTheme="minorHAnsi" w:hAnsiTheme="minorHAnsi"/>
          <w:szCs w:val="24"/>
        </w:rPr>
        <w:t xml:space="preserve"> </w:t>
      </w:r>
      <w:r w:rsidR="008416CE" w:rsidRPr="00096FF8">
        <w:rPr>
          <w:rFonts w:asciiTheme="minorHAnsi" w:hAnsiTheme="minorHAnsi"/>
          <w:szCs w:val="24"/>
        </w:rPr>
        <w:t xml:space="preserve">were </w:t>
      </w:r>
      <w:r w:rsidR="00280843" w:rsidRPr="00096FF8">
        <w:rPr>
          <w:rFonts w:asciiTheme="minorHAnsi" w:hAnsiTheme="minorHAnsi"/>
          <w:szCs w:val="24"/>
        </w:rPr>
        <w:t xml:space="preserve">sometimes given as a reason not to offer </w:t>
      </w:r>
      <w:r w:rsidR="00A15D07" w:rsidRPr="00096FF8">
        <w:rPr>
          <w:rFonts w:asciiTheme="minorHAnsi" w:hAnsiTheme="minorHAnsi"/>
          <w:szCs w:val="24"/>
        </w:rPr>
        <w:t>one</w:t>
      </w:r>
      <w:r w:rsidR="00280843" w:rsidRPr="00096FF8">
        <w:rPr>
          <w:rFonts w:asciiTheme="minorHAnsi" w:hAnsiTheme="minorHAnsi"/>
          <w:szCs w:val="24"/>
        </w:rPr>
        <w:t>:</w:t>
      </w:r>
    </w:p>
    <w:p w14:paraId="1E37C40C" w14:textId="77777777" w:rsidR="00280843" w:rsidRPr="00096FF8" w:rsidRDefault="00280843" w:rsidP="00490617">
      <w:pPr>
        <w:pStyle w:val="MediumGrid1-Accent21"/>
        <w:spacing w:before="0" w:after="0" w:line="480" w:lineRule="auto"/>
        <w:ind w:left="0"/>
        <w:rPr>
          <w:rFonts w:asciiTheme="minorHAnsi" w:hAnsiTheme="minorHAnsi"/>
          <w:szCs w:val="24"/>
        </w:rPr>
      </w:pPr>
    </w:p>
    <w:p w14:paraId="5C68B09D" w14:textId="033D2DDA" w:rsidR="00280843" w:rsidRPr="00096FF8" w:rsidRDefault="00280843" w:rsidP="00490617">
      <w:pPr>
        <w:pStyle w:val="Quote"/>
        <w:spacing w:line="480" w:lineRule="auto"/>
        <w:rPr>
          <w:rFonts w:asciiTheme="minorHAnsi" w:hAnsiTheme="minorHAnsi"/>
        </w:rPr>
      </w:pPr>
      <w:r w:rsidRPr="00096FF8">
        <w:rPr>
          <w:rFonts w:asciiTheme="minorHAnsi" w:hAnsiTheme="minorHAnsi"/>
        </w:rPr>
        <w:t xml:space="preserve">You’ll be aware that really we have to offer a </w:t>
      </w:r>
      <w:r w:rsidR="00790294" w:rsidRPr="00096FF8">
        <w:rPr>
          <w:rFonts w:asciiTheme="minorHAnsi" w:hAnsiTheme="minorHAnsi"/>
        </w:rPr>
        <w:t>Direct Payment</w:t>
      </w:r>
      <w:r w:rsidRPr="00096FF8">
        <w:rPr>
          <w:rFonts w:asciiTheme="minorHAnsi" w:hAnsiTheme="minorHAnsi"/>
        </w:rPr>
        <w:t>, unless there’s a safeguarding reason not to</w:t>
      </w:r>
      <w:r w:rsidR="008416CE" w:rsidRPr="00096FF8">
        <w:rPr>
          <w:rFonts w:asciiTheme="minorHAnsi" w:hAnsiTheme="minorHAnsi"/>
        </w:rPr>
        <w:t>.</w:t>
      </w:r>
    </w:p>
    <w:p w14:paraId="374C4FFA" w14:textId="77777777" w:rsidR="00280843" w:rsidRPr="00096FF8" w:rsidRDefault="00280843" w:rsidP="00490617">
      <w:pPr>
        <w:pStyle w:val="QuoteLabel"/>
        <w:spacing w:line="480" w:lineRule="auto"/>
        <w:rPr>
          <w:rFonts w:asciiTheme="minorHAnsi" w:hAnsiTheme="minorHAnsi"/>
        </w:rPr>
      </w:pPr>
      <w:r w:rsidRPr="00096FF8">
        <w:rPr>
          <w:rFonts w:asciiTheme="minorHAnsi" w:hAnsiTheme="minorHAnsi"/>
        </w:rPr>
        <w:t xml:space="preserve">Senior Manager </w:t>
      </w:r>
      <w:r w:rsidR="00517A26" w:rsidRPr="00096FF8">
        <w:rPr>
          <w:rFonts w:asciiTheme="minorHAnsi" w:hAnsiTheme="minorHAnsi"/>
        </w:rPr>
        <w:t>05</w:t>
      </w:r>
    </w:p>
    <w:p w14:paraId="05A4F49A" w14:textId="77777777" w:rsidR="00280843" w:rsidRPr="00096FF8" w:rsidRDefault="00280843" w:rsidP="00490617">
      <w:pPr>
        <w:pStyle w:val="Normal0"/>
        <w:spacing w:line="480" w:lineRule="auto"/>
        <w:rPr>
          <w:rFonts w:asciiTheme="minorHAnsi" w:hAnsiTheme="minorHAnsi"/>
        </w:rPr>
      </w:pPr>
    </w:p>
    <w:p w14:paraId="24487610" w14:textId="68B07BB4" w:rsidR="006B59A4" w:rsidRPr="00096FF8" w:rsidRDefault="00F27493"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How personalisation </w:t>
      </w:r>
      <w:r w:rsidR="00790294" w:rsidRPr="00096FF8">
        <w:rPr>
          <w:rFonts w:asciiTheme="minorHAnsi" w:hAnsiTheme="minorHAnsi"/>
          <w:szCs w:val="24"/>
        </w:rPr>
        <w:t xml:space="preserve">was </w:t>
      </w:r>
      <w:r w:rsidRPr="00096FF8">
        <w:rPr>
          <w:rFonts w:asciiTheme="minorHAnsi" w:hAnsiTheme="minorHAnsi"/>
          <w:szCs w:val="24"/>
        </w:rPr>
        <w:t xml:space="preserve">being implemented locally </w:t>
      </w:r>
      <w:r w:rsidR="00385406" w:rsidRPr="00096FF8">
        <w:rPr>
          <w:rFonts w:asciiTheme="minorHAnsi" w:hAnsiTheme="minorHAnsi"/>
          <w:szCs w:val="24"/>
        </w:rPr>
        <w:t xml:space="preserve">was </w:t>
      </w:r>
      <w:r w:rsidRPr="00096FF8">
        <w:rPr>
          <w:rFonts w:asciiTheme="minorHAnsi" w:hAnsiTheme="minorHAnsi"/>
          <w:szCs w:val="24"/>
        </w:rPr>
        <w:t xml:space="preserve">another important </w:t>
      </w:r>
      <w:r w:rsidR="00385406" w:rsidRPr="00096FF8">
        <w:rPr>
          <w:rFonts w:asciiTheme="minorHAnsi" w:hAnsiTheme="minorHAnsi"/>
          <w:szCs w:val="24"/>
        </w:rPr>
        <w:t>contextual factor</w:t>
      </w:r>
      <w:r w:rsidR="00D962A5" w:rsidRPr="00096FF8">
        <w:rPr>
          <w:rFonts w:asciiTheme="minorHAnsi" w:hAnsiTheme="minorHAnsi"/>
          <w:szCs w:val="24"/>
        </w:rPr>
        <w:t>.</w:t>
      </w:r>
      <w:r w:rsidR="00385406" w:rsidRPr="00096FF8">
        <w:rPr>
          <w:rFonts w:asciiTheme="minorHAnsi" w:hAnsiTheme="minorHAnsi"/>
          <w:szCs w:val="24"/>
        </w:rPr>
        <w:t xml:space="preserve"> In each of the sites</w:t>
      </w:r>
      <w:r w:rsidR="00761112" w:rsidRPr="00096FF8">
        <w:rPr>
          <w:rFonts w:asciiTheme="minorHAnsi" w:hAnsiTheme="minorHAnsi"/>
          <w:szCs w:val="24"/>
        </w:rPr>
        <w:t>,</w:t>
      </w:r>
      <w:r w:rsidR="00385406" w:rsidRPr="00096FF8">
        <w:rPr>
          <w:rFonts w:asciiTheme="minorHAnsi" w:hAnsiTheme="minorHAnsi"/>
          <w:szCs w:val="24"/>
        </w:rPr>
        <w:t xml:space="preserve"> </w:t>
      </w:r>
      <w:r w:rsidR="007600FC" w:rsidRPr="00096FF8">
        <w:rPr>
          <w:rFonts w:asciiTheme="minorHAnsi" w:hAnsiTheme="minorHAnsi"/>
          <w:szCs w:val="24"/>
        </w:rPr>
        <w:t>participants</w:t>
      </w:r>
      <w:r w:rsidR="00D962A5" w:rsidRPr="00096FF8">
        <w:rPr>
          <w:rFonts w:asciiTheme="minorHAnsi" w:hAnsiTheme="minorHAnsi"/>
          <w:szCs w:val="24"/>
        </w:rPr>
        <w:t xml:space="preserve"> expressed </w:t>
      </w:r>
      <w:r w:rsidR="006B59A4" w:rsidRPr="00096FF8">
        <w:rPr>
          <w:rFonts w:asciiTheme="minorHAnsi" w:hAnsiTheme="minorHAnsi"/>
          <w:szCs w:val="24"/>
        </w:rPr>
        <w:t xml:space="preserve">commitment to promoting person-centred services that </w:t>
      </w:r>
      <w:r w:rsidR="00A15D07" w:rsidRPr="00096FF8">
        <w:rPr>
          <w:rFonts w:asciiTheme="minorHAnsi" w:hAnsiTheme="minorHAnsi"/>
          <w:szCs w:val="24"/>
        </w:rPr>
        <w:t xml:space="preserve">promoted </w:t>
      </w:r>
      <w:r w:rsidR="006B59A4" w:rsidRPr="00096FF8">
        <w:rPr>
          <w:rFonts w:asciiTheme="minorHAnsi" w:hAnsiTheme="minorHAnsi"/>
          <w:szCs w:val="24"/>
        </w:rPr>
        <w:t xml:space="preserve">choice and </w:t>
      </w:r>
      <w:r w:rsidR="009A4850" w:rsidRPr="00096FF8">
        <w:rPr>
          <w:rFonts w:asciiTheme="minorHAnsi" w:hAnsiTheme="minorHAnsi"/>
          <w:szCs w:val="24"/>
        </w:rPr>
        <w:t>control;</w:t>
      </w:r>
      <w:r w:rsidR="006B59A4" w:rsidRPr="00096FF8">
        <w:rPr>
          <w:rFonts w:asciiTheme="minorHAnsi" w:hAnsiTheme="minorHAnsi"/>
          <w:szCs w:val="24"/>
        </w:rPr>
        <w:t xml:space="preserve"> </w:t>
      </w:r>
      <w:r w:rsidR="00D962A5" w:rsidRPr="00096FF8">
        <w:rPr>
          <w:rFonts w:asciiTheme="minorHAnsi" w:hAnsiTheme="minorHAnsi"/>
          <w:szCs w:val="24"/>
        </w:rPr>
        <w:t>indeed these were seen</w:t>
      </w:r>
      <w:r w:rsidR="006B59A4" w:rsidRPr="00096FF8">
        <w:rPr>
          <w:rFonts w:asciiTheme="minorHAnsi" w:hAnsiTheme="minorHAnsi"/>
          <w:szCs w:val="24"/>
        </w:rPr>
        <w:t xml:space="preserve"> as </w:t>
      </w:r>
      <w:r w:rsidR="00D962A5" w:rsidRPr="00096FF8">
        <w:rPr>
          <w:rFonts w:asciiTheme="minorHAnsi" w:hAnsiTheme="minorHAnsi"/>
          <w:szCs w:val="24"/>
        </w:rPr>
        <w:t>an expression of</w:t>
      </w:r>
      <w:r w:rsidR="006B59A4" w:rsidRPr="00096FF8">
        <w:rPr>
          <w:rFonts w:asciiTheme="minorHAnsi" w:hAnsiTheme="minorHAnsi"/>
          <w:szCs w:val="24"/>
        </w:rPr>
        <w:t xml:space="preserve"> social work values. </w:t>
      </w:r>
      <w:r w:rsidR="00A15D07" w:rsidRPr="00096FF8">
        <w:rPr>
          <w:rFonts w:asciiTheme="minorHAnsi" w:hAnsiTheme="minorHAnsi"/>
          <w:szCs w:val="24"/>
        </w:rPr>
        <w:t>There</w:t>
      </w:r>
      <w:r w:rsidR="006B59A4" w:rsidRPr="00096FF8">
        <w:rPr>
          <w:rFonts w:asciiTheme="minorHAnsi" w:hAnsiTheme="minorHAnsi"/>
          <w:szCs w:val="24"/>
        </w:rPr>
        <w:t xml:space="preserve"> was a </w:t>
      </w:r>
      <w:r w:rsidR="00D962A5" w:rsidRPr="00096FF8">
        <w:rPr>
          <w:rFonts w:asciiTheme="minorHAnsi" w:hAnsiTheme="minorHAnsi"/>
          <w:szCs w:val="24"/>
        </w:rPr>
        <w:t xml:space="preserve">simultaneous </w:t>
      </w:r>
      <w:r w:rsidR="006B59A4" w:rsidRPr="00096FF8">
        <w:rPr>
          <w:rFonts w:asciiTheme="minorHAnsi" w:hAnsiTheme="minorHAnsi"/>
          <w:szCs w:val="24"/>
        </w:rPr>
        <w:t xml:space="preserve">perception that the focus on </w:t>
      </w:r>
      <w:r w:rsidR="00A15D07" w:rsidRPr="00096FF8">
        <w:rPr>
          <w:rFonts w:asciiTheme="minorHAnsi" w:hAnsiTheme="minorHAnsi"/>
          <w:szCs w:val="24"/>
        </w:rPr>
        <w:t xml:space="preserve">personal budgets </w:t>
      </w:r>
      <w:r w:rsidR="006B59A4" w:rsidRPr="00096FF8">
        <w:rPr>
          <w:rFonts w:asciiTheme="minorHAnsi" w:hAnsiTheme="minorHAnsi"/>
          <w:szCs w:val="24"/>
        </w:rPr>
        <w:t xml:space="preserve">reflected market-driven approaches that were </w:t>
      </w:r>
      <w:r w:rsidR="00D962A5" w:rsidRPr="00096FF8">
        <w:rPr>
          <w:rFonts w:asciiTheme="minorHAnsi" w:hAnsiTheme="minorHAnsi"/>
          <w:szCs w:val="24"/>
        </w:rPr>
        <w:t>designed to</w:t>
      </w:r>
      <w:r w:rsidR="006B59A4" w:rsidRPr="00096FF8">
        <w:rPr>
          <w:rFonts w:asciiTheme="minorHAnsi" w:hAnsiTheme="minorHAnsi"/>
          <w:szCs w:val="24"/>
        </w:rPr>
        <w:t xml:space="preserve"> reduc</w:t>
      </w:r>
      <w:r w:rsidR="00D962A5" w:rsidRPr="00096FF8">
        <w:rPr>
          <w:rFonts w:asciiTheme="minorHAnsi" w:hAnsiTheme="minorHAnsi"/>
          <w:szCs w:val="24"/>
        </w:rPr>
        <w:t xml:space="preserve">e the size of </w:t>
      </w:r>
      <w:r w:rsidR="006B59A4" w:rsidRPr="00096FF8">
        <w:rPr>
          <w:rFonts w:asciiTheme="minorHAnsi" w:hAnsiTheme="minorHAnsi"/>
          <w:szCs w:val="24"/>
        </w:rPr>
        <w:t xml:space="preserve">the public sector. This comment by a team manager typifies </w:t>
      </w:r>
      <w:r w:rsidR="002617B1" w:rsidRPr="00096FF8">
        <w:rPr>
          <w:rFonts w:asciiTheme="minorHAnsi" w:hAnsiTheme="minorHAnsi"/>
          <w:szCs w:val="24"/>
        </w:rPr>
        <w:t>this tension</w:t>
      </w:r>
      <w:r w:rsidR="00D962A5" w:rsidRPr="00096FF8">
        <w:rPr>
          <w:rFonts w:asciiTheme="minorHAnsi" w:hAnsiTheme="minorHAnsi"/>
          <w:szCs w:val="24"/>
        </w:rPr>
        <w:t>:</w:t>
      </w:r>
      <w:r w:rsidR="006B59A4" w:rsidRPr="00096FF8">
        <w:rPr>
          <w:rFonts w:asciiTheme="minorHAnsi" w:hAnsiTheme="minorHAnsi"/>
          <w:szCs w:val="24"/>
        </w:rPr>
        <w:t xml:space="preserve"> </w:t>
      </w:r>
    </w:p>
    <w:p w14:paraId="0AE60D8C" w14:textId="77777777" w:rsidR="006B59A4" w:rsidRPr="00096FF8" w:rsidRDefault="006B59A4" w:rsidP="00490617">
      <w:pPr>
        <w:pStyle w:val="Quote"/>
        <w:spacing w:line="480" w:lineRule="auto"/>
        <w:rPr>
          <w:rFonts w:asciiTheme="minorHAnsi" w:hAnsiTheme="minorHAnsi"/>
        </w:rPr>
      </w:pPr>
    </w:p>
    <w:p w14:paraId="36A25D25" w14:textId="77777777" w:rsidR="006B59A4" w:rsidRPr="00096FF8" w:rsidRDefault="006B59A4" w:rsidP="00490617">
      <w:pPr>
        <w:pStyle w:val="Quote"/>
        <w:spacing w:line="480" w:lineRule="auto"/>
        <w:rPr>
          <w:rFonts w:asciiTheme="minorHAnsi" w:hAnsiTheme="minorHAnsi"/>
        </w:rPr>
      </w:pPr>
      <w:r w:rsidRPr="00096FF8">
        <w:rPr>
          <w:rFonts w:asciiTheme="minorHAnsi" w:hAnsiTheme="minorHAnsi"/>
        </w:rPr>
        <w:t xml:space="preserve">I think that social work values are really linked into being personalised and person-centred, but I think that personalisation is interpreted in a lot of different ways by social workers. </w:t>
      </w:r>
      <w:r w:rsidR="009A4850" w:rsidRPr="00096FF8">
        <w:rPr>
          <w:rFonts w:asciiTheme="minorHAnsi" w:hAnsiTheme="minorHAnsi"/>
        </w:rPr>
        <w:t xml:space="preserve">I think...some social workers really embrace it and adopt it as part of social work. </w:t>
      </w:r>
      <w:r w:rsidRPr="00096FF8">
        <w:rPr>
          <w:rFonts w:asciiTheme="minorHAnsi" w:hAnsiTheme="minorHAnsi"/>
        </w:rPr>
        <w:t>I’m probably a little bit more sceptical, I sort of see a more politicised version of it and, about sort of market forces</w:t>
      </w:r>
      <w:r w:rsidR="00494277" w:rsidRPr="00096FF8">
        <w:rPr>
          <w:rFonts w:asciiTheme="minorHAnsi" w:hAnsiTheme="minorHAnsi"/>
        </w:rPr>
        <w:t>.</w:t>
      </w:r>
    </w:p>
    <w:p w14:paraId="0DDC3181" w14:textId="77777777" w:rsidR="006B59A4" w:rsidRPr="00096FF8" w:rsidRDefault="006B59A4" w:rsidP="00490617">
      <w:pPr>
        <w:pStyle w:val="QuoteLabel"/>
        <w:spacing w:line="480" w:lineRule="auto"/>
        <w:rPr>
          <w:rFonts w:asciiTheme="minorHAnsi" w:hAnsiTheme="minorHAnsi"/>
        </w:rPr>
      </w:pPr>
      <w:r w:rsidRPr="00096FF8">
        <w:rPr>
          <w:rFonts w:asciiTheme="minorHAnsi" w:hAnsiTheme="minorHAnsi"/>
        </w:rPr>
        <w:t xml:space="preserve"> Team Manager 11</w:t>
      </w:r>
    </w:p>
    <w:p w14:paraId="51B93C58" w14:textId="27669EC4" w:rsidR="006B3AD1" w:rsidRPr="00096FF8" w:rsidRDefault="00783BC2" w:rsidP="00490617">
      <w:pPr>
        <w:spacing w:line="480" w:lineRule="auto"/>
        <w:rPr>
          <w:rFonts w:asciiTheme="minorHAnsi" w:hAnsiTheme="minorHAnsi"/>
        </w:rPr>
      </w:pPr>
      <w:r w:rsidRPr="00096FF8">
        <w:rPr>
          <w:rFonts w:asciiTheme="minorHAnsi" w:hAnsiTheme="minorHAnsi"/>
        </w:rPr>
        <w:t xml:space="preserve">It was therefore </w:t>
      </w:r>
      <w:r w:rsidR="000857AA" w:rsidRPr="00096FF8">
        <w:rPr>
          <w:rFonts w:asciiTheme="minorHAnsi" w:hAnsiTheme="minorHAnsi"/>
        </w:rPr>
        <w:t>un</w:t>
      </w:r>
      <w:r w:rsidRPr="00096FF8">
        <w:rPr>
          <w:rFonts w:asciiTheme="minorHAnsi" w:hAnsiTheme="minorHAnsi"/>
        </w:rPr>
        <w:t xml:space="preserve">surprising that participants </w:t>
      </w:r>
      <w:r w:rsidR="008416CE" w:rsidRPr="00096FF8">
        <w:rPr>
          <w:rFonts w:asciiTheme="minorHAnsi" w:hAnsiTheme="minorHAnsi"/>
        </w:rPr>
        <w:t xml:space="preserve">expressed </w:t>
      </w:r>
      <w:r w:rsidR="006B3AD1" w:rsidRPr="00096FF8">
        <w:rPr>
          <w:rFonts w:asciiTheme="minorHAnsi" w:hAnsiTheme="minorHAnsi"/>
        </w:rPr>
        <w:t>varying opinions</w:t>
      </w:r>
      <w:r w:rsidR="009B4580" w:rsidRPr="00096FF8">
        <w:rPr>
          <w:rFonts w:asciiTheme="minorHAnsi" w:hAnsiTheme="minorHAnsi"/>
        </w:rPr>
        <w:t xml:space="preserve"> about the impact of personalisation on risks of abuse</w:t>
      </w:r>
      <w:r w:rsidR="008416CE" w:rsidRPr="00096FF8">
        <w:rPr>
          <w:rFonts w:asciiTheme="minorHAnsi" w:hAnsiTheme="minorHAnsi"/>
        </w:rPr>
        <w:t xml:space="preserve"> and neglect</w:t>
      </w:r>
      <w:r w:rsidR="009B4580" w:rsidRPr="00096FF8">
        <w:rPr>
          <w:rFonts w:asciiTheme="minorHAnsi" w:hAnsiTheme="minorHAnsi"/>
        </w:rPr>
        <w:t xml:space="preserve">. </w:t>
      </w:r>
      <w:r w:rsidRPr="00096FF8">
        <w:rPr>
          <w:rFonts w:asciiTheme="minorHAnsi" w:hAnsiTheme="minorHAnsi"/>
        </w:rPr>
        <w:t>At times</w:t>
      </w:r>
      <w:r w:rsidR="00761112" w:rsidRPr="00096FF8">
        <w:rPr>
          <w:rFonts w:asciiTheme="minorHAnsi" w:hAnsiTheme="minorHAnsi"/>
        </w:rPr>
        <w:t>,</w:t>
      </w:r>
      <w:r w:rsidRPr="00096FF8">
        <w:rPr>
          <w:rFonts w:asciiTheme="minorHAnsi" w:hAnsiTheme="minorHAnsi"/>
        </w:rPr>
        <w:t xml:space="preserve"> this could lead to </w:t>
      </w:r>
      <w:r w:rsidR="009B4580" w:rsidRPr="00096FF8">
        <w:rPr>
          <w:rFonts w:asciiTheme="minorHAnsi" w:hAnsiTheme="minorHAnsi"/>
        </w:rPr>
        <w:t xml:space="preserve">the same participant </w:t>
      </w:r>
      <w:r w:rsidRPr="00096FF8">
        <w:rPr>
          <w:rFonts w:asciiTheme="minorHAnsi" w:hAnsiTheme="minorHAnsi"/>
        </w:rPr>
        <w:t xml:space="preserve">suggesting that </w:t>
      </w:r>
      <w:r w:rsidR="00E13E4E" w:rsidRPr="00096FF8">
        <w:rPr>
          <w:rFonts w:asciiTheme="minorHAnsi" w:hAnsiTheme="minorHAnsi"/>
        </w:rPr>
        <w:t>Direct Payments</w:t>
      </w:r>
      <w:r w:rsidR="009B4580" w:rsidRPr="00096FF8">
        <w:rPr>
          <w:rFonts w:asciiTheme="minorHAnsi" w:hAnsiTheme="minorHAnsi"/>
        </w:rPr>
        <w:t xml:space="preserve"> </w:t>
      </w:r>
      <w:r w:rsidRPr="00096FF8">
        <w:rPr>
          <w:rFonts w:asciiTheme="minorHAnsi" w:hAnsiTheme="minorHAnsi"/>
        </w:rPr>
        <w:t xml:space="preserve">were </w:t>
      </w:r>
      <w:r w:rsidR="006B3AD1" w:rsidRPr="00096FF8">
        <w:rPr>
          <w:rFonts w:asciiTheme="minorHAnsi" w:hAnsiTheme="minorHAnsi"/>
        </w:rPr>
        <w:t>both increas</w:t>
      </w:r>
      <w:r w:rsidR="001D1DF0" w:rsidRPr="00096FF8">
        <w:rPr>
          <w:rFonts w:asciiTheme="minorHAnsi" w:hAnsiTheme="minorHAnsi"/>
        </w:rPr>
        <w:t>ing and reducing such</w:t>
      </w:r>
      <w:r w:rsidR="006B3AD1" w:rsidRPr="00096FF8">
        <w:rPr>
          <w:rFonts w:asciiTheme="minorHAnsi" w:hAnsiTheme="minorHAnsi"/>
        </w:rPr>
        <w:t xml:space="preserve"> risks</w:t>
      </w:r>
      <w:r w:rsidR="00660023" w:rsidRPr="00096FF8">
        <w:rPr>
          <w:rFonts w:asciiTheme="minorHAnsi" w:hAnsiTheme="minorHAnsi"/>
        </w:rPr>
        <w:t>, depending on context</w:t>
      </w:r>
      <w:r w:rsidR="009B4580" w:rsidRPr="00096FF8">
        <w:rPr>
          <w:rFonts w:asciiTheme="minorHAnsi" w:hAnsiTheme="minorHAnsi"/>
        </w:rPr>
        <w:t xml:space="preserve">. </w:t>
      </w:r>
      <w:r w:rsidR="006B3AD1" w:rsidRPr="00096FF8">
        <w:rPr>
          <w:rFonts w:asciiTheme="minorHAnsi" w:hAnsiTheme="minorHAnsi"/>
          <w:szCs w:val="24"/>
        </w:rPr>
        <w:t xml:space="preserve">We encountered </w:t>
      </w:r>
      <w:r w:rsidRPr="00096FF8">
        <w:rPr>
          <w:rFonts w:asciiTheme="minorHAnsi" w:hAnsiTheme="minorHAnsi"/>
          <w:szCs w:val="24"/>
        </w:rPr>
        <w:t xml:space="preserve">many </w:t>
      </w:r>
      <w:r w:rsidR="000857AA" w:rsidRPr="00096FF8">
        <w:rPr>
          <w:rFonts w:asciiTheme="minorHAnsi" w:hAnsiTheme="minorHAnsi"/>
          <w:szCs w:val="24"/>
        </w:rPr>
        <w:t xml:space="preserve">of the </w:t>
      </w:r>
      <w:r w:rsidRPr="00096FF8">
        <w:rPr>
          <w:rFonts w:asciiTheme="minorHAnsi" w:hAnsiTheme="minorHAnsi"/>
          <w:szCs w:val="24"/>
        </w:rPr>
        <w:t>similar</w:t>
      </w:r>
      <w:r w:rsidR="006B3AD1" w:rsidRPr="00096FF8">
        <w:rPr>
          <w:rFonts w:asciiTheme="minorHAnsi" w:hAnsiTheme="minorHAnsi"/>
          <w:szCs w:val="24"/>
        </w:rPr>
        <w:t xml:space="preserve"> </w:t>
      </w:r>
      <w:r w:rsidR="000857AA" w:rsidRPr="00096FF8">
        <w:rPr>
          <w:rFonts w:asciiTheme="minorHAnsi" w:hAnsiTheme="minorHAnsi"/>
          <w:szCs w:val="24"/>
        </w:rPr>
        <w:t xml:space="preserve">anticipatory </w:t>
      </w:r>
      <w:r w:rsidR="006B3AD1" w:rsidRPr="00096FF8">
        <w:rPr>
          <w:rFonts w:asciiTheme="minorHAnsi" w:hAnsiTheme="minorHAnsi"/>
          <w:szCs w:val="24"/>
        </w:rPr>
        <w:t xml:space="preserve">fears reported </w:t>
      </w:r>
      <w:r w:rsidR="009B4580" w:rsidRPr="00096FF8">
        <w:rPr>
          <w:rFonts w:asciiTheme="minorHAnsi" w:hAnsiTheme="minorHAnsi"/>
          <w:szCs w:val="24"/>
        </w:rPr>
        <w:t xml:space="preserve">by Manthorpe </w:t>
      </w:r>
      <w:r w:rsidR="00302A58" w:rsidRPr="00096FF8">
        <w:rPr>
          <w:rFonts w:asciiTheme="minorHAnsi" w:hAnsiTheme="minorHAnsi"/>
          <w:szCs w:val="24"/>
        </w:rPr>
        <w:t>et al</w:t>
      </w:r>
      <w:r w:rsidR="009B4580" w:rsidRPr="00096FF8">
        <w:rPr>
          <w:rFonts w:asciiTheme="minorHAnsi" w:hAnsiTheme="minorHAnsi"/>
          <w:szCs w:val="24"/>
        </w:rPr>
        <w:t xml:space="preserve"> (20</w:t>
      </w:r>
      <w:r w:rsidR="00B33939" w:rsidRPr="00096FF8">
        <w:rPr>
          <w:rFonts w:asciiTheme="minorHAnsi" w:hAnsiTheme="minorHAnsi"/>
          <w:szCs w:val="24"/>
        </w:rPr>
        <w:t>09</w:t>
      </w:r>
      <w:r w:rsidR="009B4580" w:rsidRPr="00096FF8">
        <w:rPr>
          <w:rFonts w:asciiTheme="minorHAnsi" w:hAnsiTheme="minorHAnsi"/>
          <w:szCs w:val="24"/>
        </w:rPr>
        <w:t xml:space="preserve">) </w:t>
      </w:r>
      <w:r w:rsidR="006B3AD1" w:rsidRPr="00096FF8">
        <w:rPr>
          <w:rFonts w:asciiTheme="minorHAnsi" w:hAnsiTheme="minorHAnsi"/>
          <w:szCs w:val="24"/>
        </w:rPr>
        <w:t>in the</w:t>
      </w:r>
      <w:r w:rsidR="009B4580" w:rsidRPr="00096FF8">
        <w:rPr>
          <w:rFonts w:asciiTheme="minorHAnsi" w:hAnsiTheme="minorHAnsi"/>
          <w:szCs w:val="24"/>
        </w:rPr>
        <w:t xml:space="preserve"> national evaluation of Individual Budgets</w:t>
      </w:r>
      <w:r w:rsidR="00173C07" w:rsidRPr="00096FF8">
        <w:rPr>
          <w:rFonts w:asciiTheme="minorHAnsi" w:hAnsiTheme="minorHAnsi"/>
          <w:szCs w:val="24"/>
        </w:rPr>
        <w:t xml:space="preserve"> (the </w:t>
      </w:r>
      <w:r w:rsidR="00E935B9" w:rsidRPr="00096FF8">
        <w:rPr>
          <w:rFonts w:asciiTheme="minorHAnsi" w:hAnsiTheme="minorHAnsi"/>
          <w:szCs w:val="24"/>
        </w:rPr>
        <w:t>IBSEN study</w:t>
      </w:r>
      <w:r w:rsidR="00173C07" w:rsidRPr="00096FF8">
        <w:rPr>
          <w:rFonts w:asciiTheme="minorHAnsi" w:hAnsiTheme="minorHAnsi"/>
          <w:szCs w:val="24"/>
        </w:rPr>
        <w:t>)</w:t>
      </w:r>
      <w:r w:rsidR="008416CE" w:rsidRPr="00096FF8">
        <w:rPr>
          <w:rFonts w:asciiTheme="minorHAnsi" w:hAnsiTheme="minorHAnsi"/>
          <w:szCs w:val="24"/>
        </w:rPr>
        <w:t>.</w:t>
      </w:r>
      <w:r w:rsidR="001D1DF0" w:rsidRPr="00096FF8">
        <w:rPr>
          <w:rFonts w:asciiTheme="minorHAnsi" w:hAnsiTheme="minorHAnsi"/>
          <w:szCs w:val="24"/>
        </w:rPr>
        <w:t xml:space="preserve"> </w:t>
      </w:r>
      <w:r w:rsidRPr="00096FF8">
        <w:rPr>
          <w:rFonts w:asciiTheme="minorHAnsi" w:hAnsiTheme="minorHAnsi"/>
          <w:szCs w:val="24"/>
        </w:rPr>
        <w:t>In this present study</w:t>
      </w:r>
      <w:r w:rsidR="007600FC" w:rsidRPr="00096FF8">
        <w:rPr>
          <w:rFonts w:asciiTheme="minorHAnsi" w:hAnsiTheme="minorHAnsi"/>
          <w:szCs w:val="24"/>
        </w:rPr>
        <w:t>,</w:t>
      </w:r>
      <w:r w:rsidRPr="00096FF8">
        <w:rPr>
          <w:rFonts w:asciiTheme="minorHAnsi" w:hAnsiTheme="minorHAnsi"/>
          <w:szCs w:val="24"/>
        </w:rPr>
        <w:t xml:space="preserve"> however</w:t>
      </w:r>
      <w:r w:rsidR="007600FC" w:rsidRPr="00096FF8">
        <w:rPr>
          <w:rFonts w:asciiTheme="minorHAnsi" w:hAnsiTheme="minorHAnsi"/>
          <w:szCs w:val="24"/>
        </w:rPr>
        <w:t>,</w:t>
      </w:r>
      <w:r w:rsidRPr="00096FF8">
        <w:rPr>
          <w:rFonts w:asciiTheme="minorHAnsi" w:hAnsiTheme="minorHAnsi"/>
          <w:szCs w:val="24"/>
        </w:rPr>
        <w:t xml:space="preserve"> these fears were set in the context of practice experience</w:t>
      </w:r>
      <w:r w:rsidR="00660023" w:rsidRPr="00096FF8">
        <w:rPr>
          <w:rFonts w:asciiTheme="minorHAnsi" w:hAnsiTheme="minorHAnsi"/>
          <w:szCs w:val="24"/>
        </w:rPr>
        <w:t xml:space="preserve">. </w:t>
      </w:r>
      <w:r w:rsidR="00660023" w:rsidRPr="00096FF8">
        <w:rPr>
          <w:rFonts w:asciiTheme="minorHAnsi" w:hAnsiTheme="minorHAnsi"/>
          <w:szCs w:val="24"/>
        </w:rPr>
        <w:lastRenderedPageBreak/>
        <w:t>T</w:t>
      </w:r>
      <w:r w:rsidR="006B3AD1" w:rsidRPr="00096FF8">
        <w:rPr>
          <w:rFonts w:asciiTheme="minorHAnsi" w:hAnsiTheme="minorHAnsi"/>
          <w:szCs w:val="24"/>
        </w:rPr>
        <w:t xml:space="preserve">hree participants </w:t>
      </w:r>
      <w:r w:rsidR="001D1DF0" w:rsidRPr="00096FF8">
        <w:rPr>
          <w:rFonts w:asciiTheme="minorHAnsi" w:hAnsiTheme="minorHAnsi"/>
          <w:szCs w:val="24"/>
        </w:rPr>
        <w:t>reported</w:t>
      </w:r>
      <w:r w:rsidR="008416CE" w:rsidRPr="00096FF8">
        <w:rPr>
          <w:rFonts w:asciiTheme="minorHAnsi" w:hAnsiTheme="minorHAnsi"/>
          <w:szCs w:val="24"/>
        </w:rPr>
        <w:t xml:space="preserve"> experience</w:t>
      </w:r>
      <w:r w:rsidR="001D1DF0" w:rsidRPr="00096FF8">
        <w:rPr>
          <w:rFonts w:asciiTheme="minorHAnsi" w:hAnsiTheme="minorHAnsi"/>
          <w:szCs w:val="24"/>
        </w:rPr>
        <w:t xml:space="preserve">s </w:t>
      </w:r>
      <w:r w:rsidRPr="00096FF8">
        <w:rPr>
          <w:rFonts w:asciiTheme="minorHAnsi" w:hAnsiTheme="minorHAnsi"/>
          <w:szCs w:val="24"/>
        </w:rPr>
        <w:t xml:space="preserve">of </w:t>
      </w:r>
      <w:r w:rsidR="00E13E4E" w:rsidRPr="00096FF8">
        <w:rPr>
          <w:rFonts w:asciiTheme="minorHAnsi" w:hAnsiTheme="minorHAnsi"/>
          <w:szCs w:val="24"/>
        </w:rPr>
        <w:t>Direct Payment</w:t>
      </w:r>
      <w:r w:rsidR="006B3AD1" w:rsidRPr="00096FF8">
        <w:rPr>
          <w:rFonts w:asciiTheme="minorHAnsi" w:hAnsiTheme="minorHAnsi"/>
          <w:szCs w:val="24"/>
        </w:rPr>
        <w:t xml:space="preserve"> users </w:t>
      </w:r>
      <w:r w:rsidRPr="00096FF8">
        <w:rPr>
          <w:rFonts w:asciiTheme="minorHAnsi" w:hAnsiTheme="minorHAnsi"/>
          <w:szCs w:val="24"/>
        </w:rPr>
        <w:t xml:space="preserve">being at greater </w:t>
      </w:r>
      <w:r w:rsidR="006B3AD1" w:rsidRPr="00096FF8">
        <w:rPr>
          <w:rFonts w:asciiTheme="minorHAnsi" w:hAnsiTheme="minorHAnsi"/>
          <w:szCs w:val="24"/>
        </w:rPr>
        <w:t xml:space="preserve">risk </w:t>
      </w:r>
      <w:r w:rsidRPr="00096FF8">
        <w:rPr>
          <w:rFonts w:asciiTheme="minorHAnsi" w:hAnsiTheme="minorHAnsi"/>
          <w:szCs w:val="24"/>
        </w:rPr>
        <w:t xml:space="preserve">of </w:t>
      </w:r>
      <w:r w:rsidR="006B3AD1" w:rsidRPr="00096FF8">
        <w:rPr>
          <w:rFonts w:asciiTheme="minorHAnsi" w:hAnsiTheme="minorHAnsi"/>
          <w:szCs w:val="24"/>
        </w:rPr>
        <w:t>financial abuse and exploitation from family members</w:t>
      </w:r>
      <w:r w:rsidRPr="00096FF8">
        <w:rPr>
          <w:rFonts w:asciiTheme="minorHAnsi" w:hAnsiTheme="minorHAnsi"/>
          <w:szCs w:val="24"/>
        </w:rPr>
        <w:t xml:space="preserve"> in the context of personalisation</w:t>
      </w:r>
      <w:r w:rsidR="006B3AD1" w:rsidRPr="00096FF8">
        <w:rPr>
          <w:rFonts w:asciiTheme="minorHAnsi" w:hAnsiTheme="minorHAnsi"/>
          <w:szCs w:val="24"/>
        </w:rPr>
        <w:t xml:space="preserve">, </w:t>
      </w:r>
      <w:r w:rsidRPr="00096FF8">
        <w:rPr>
          <w:rFonts w:asciiTheme="minorHAnsi" w:hAnsiTheme="minorHAnsi"/>
          <w:szCs w:val="24"/>
        </w:rPr>
        <w:t>whe</w:t>
      </w:r>
      <w:r w:rsidR="007600FC" w:rsidRPr="00096FF8">
        <w:rPr>
          <w:rFonts w:asciiTheme="minorHAnsi" w:hAnsiTheme="minorHAnsi"/>
          <w:szCs w:val="24"/>
        </w:rPr>
        <w:t>ther</w:t>
      </w:r>
      <w:r w:rsidR="008416CE" w:rsidRPr="00096FF8">
        <w:rPr>
          <w:rFonts w:asciiTheme="minorHAnsi" w:hAnsiTheme="minorHAnsi"/>
          <w:szCs w:val="24"/>
        </w:rPr>
        <w:t xml:space="preserve"> user</w:t>
      </w:r>
      <w:r w:rsidRPr="00096FF8">
        <w:rPr>
          <w:rFonts w:asciiTheme="minorHAnsi" w:hAnsiTheme="minorHAnsi"/>
          <w:szCs w:val="24"/>
        </w:rPr>
        <w:t>s</w:t>
      </w:r>
      <w:r w:rsidR="008416CE" w:rsidRPr="00096FF8">
        <w:rPr>
          <w:rFonts w:asciiTheme="minorHAnsi" w:hAnsiTheme="minorHAnsi"/>
          <w:szCs w:val="24"/>
        </w:rPr>
        <w:t xml:space="preserve"> </w:t>
      </w:r>
      <w:r w:rsidRPr="00096FF8">
        <w:rPr>
          <w:rFonts w:asciiTheme="minorHAnsi" w:hAnsiTheme="minorHAnsi"/>
          <w:szCs w:val="24"/>
        </w:rPr>
        <w:t xml:space="preserve">were </w:t>
      </w:r>
      <w:r w:rsidR="006B3AD1" w:rsidRPr="00096FF8">
        <w:rPr>
          <w:rFonts w:asciiTheme="minorHAnsi" w:hAnsiTheme="minorHAnsi"/>
          <w:szCs w:val="24"/>
        </w:rPr>
        <w:t xml:space="preserve">managing </w:t>
      </w:r>
      <w:r w:rsidRPr="00096FF8">
        <w:rPr>
          <w:rFonts w:asciiTheme="minorHAnsi" w:hAnsiTheme="minorHAnsi"/>
          <w:szCs w:val="24"/>
        </w:rPr>
        <w:t xml:space="preserve">a </w:t>
      </w:r>
      <w:r w:rsidR="00E13E4E" w:rsidRPr="00096FF8">
        <w:rPr>
          <w:rFonts w:asciiTheme="minorHAnsi" w:hAnsiTheme="minorHAnsi"/>
          <w:szCs w:val="24"/>
        </w:rPr>
        <w:t>Direct Payment</w:t>
      </w:r>
      <w:r w:rsidR="006B3AD1" w:rsidRPr="00096FF8">
        <w:rPr>
          <w:rFonts w:asciiTheme="minorHAnsi" w:hAnsiTheme="minorHAnsi"/>
          <w:szCs w:val="24"/>
        </w:rPr>
        <w:t xml:space="preserve"> </w:t>
      </w:r>
      <w:r w:rsidRPr="00096FF8">
        <w:rPr>
          <w:rFonts w:asciiTheme="minorHAnsi" w:hAnsiTheme="minorHAnsi"/>
          <w:szCs w:val="24"/>
        </w:rPr>
        <w:t xml:space="preserve">themselves </w:t>
      </w:r>
      <w:r w:rsidR="006B3AD1" w:rsidRPr="00096FF8">
        <w:rPr>
          <w:rFonts w:asciiTheme="minorHAnsi" w:hAnsiTheme="minorHAnsi"/>
          <w:szCs w:val="24"/>
        </w:rPr>
        <w:t>or not</w:t>
      </w:r>
      <w:r w:rsidR="00011222" w:rsidRPr="00096FF8">
        <w:rPr>
          <w:rFonts w:asciiTheme="minorHAnsi" w:hAnsiTheme="minorHAnsi"/>
          <w:szCs w:val="24"/>
        </w:rPr>
        <w:t>.</w:t>
      </w:r>
    </w:p>
    <w:p w14:paraId="4A4CEAA3" w14:textId="77777777" w:rsidR="006B3AD1" w:rsidRPr="00096FF8" w:rsidRDefault="006B3AD1" w:rsidP="00490617">
      <w:pPr>
        <w:spacing w:line="480" w:lineRule="auto"/>
        <w:rPr>
          <w:rFonts w:asciiTheme="minorHAnsi" w:hAnsiTheme="minorHAnsi"/>
        </w:rPr>
      </w:pPr>
    </w:p>
    <w:p w14:paraId="03D253EC" w14:textId="16339B6A" w:rsidR="00BD7D4B" w:rsidRPr="00096FF8" w:rsidRDefault="00BD7D4B" w:rsidP="00490617">
      <w:pPr>
        <w:pStyle w:val="MediumGrid1-Accent21"/>
        <w:spacing w:before="0" w:after="0" w:line="480" w:lineRule="auto"/>
        <w:ind w:left="0"/>
        <w:rPr>
          <w:rFonts w:asciiTheme="minorHAnsi" w:hAnsiTheme="minorHAnsi"/>
          <w:szCs w:val="24"/>
        </w:rPr>
      </w:pPr>
      <w:r w:rsidRPr="00096FF8">
        <w:rPr>
          <w:rFonts w:asciiTheme="minorHAnsi" w:hAnsiTheme="minorHAnsi"/>
        </w:rPr>
        <w:t>A small number of social workers described the level of monitoring</w:t>
      </w:r>
      <w:r w:rsidR="00443107" w:rsidRPr="00096FF8">
        <w:rPr>
          <w:rFonts w:asciiTheme="minorHAnsi" w:hAnsiTheme="minorHAnsi"/>
        </w:rPr>
        <w:t xml:space="preserve"> of</w:t>
      </w:r>
      <w:r w:rsidR="001340EE" w:rsidRPr="00096FF8">
        <w:rPr>
          <w:rFonts w:asciiTheme="minorHAnsi" w:hAnsiTheme="minorHAnsi"/>
        </w:rPr>
        <w:t xml:space="preserve"> </w:t>
      </w:r>
      <w:r w:rsidR="00E13E4E" w:rsidRPr="00096FF8">
        <w:rPr>
          <w:rFonts w:asciiTheme="minorHAnsi" w:hAnsiTheme="minorHAnsi"/>
        </w:rPr>
        <w:t>Direct Payments</w:t>
      </w:r>
      <w:r w:rsidRPr="00096FF8">
        <w:rPr>
          <w:rFonts w:asciiTheme="minorHAnsi" w:hAnsiTheme="minorHAnsi"/>
        </w:rPr>
        <w:t xml:space="preserve"> as being </w:t>
      </w:r>
      <w:r w:rsidR="00783BC2" w:rsidRPr="00096FF8">
        <w:rPr>
          <w:rFonts w:asciiTheme="minorHAnsi" w:hAnsiTheme="minorHAnsi"/>
        </w:rPr>
        <w:t xml:space="preserve">less intensive </w:t>
      </w:r>
      <w:r w:rsidR="008416CE" w:rsidRPr="00096FF8">
        <w:rPr>
          <w:rFonts w:asciiTheme="minorHAnsi" w:hAnsiTheme="minorHAnsi"/>
        </w:rPr>
        <w:t>in the current context</w:t>
      </w:r>
      <w:r w:rsidR="009B65AB" w:rsidRPr="00096FF8">
        <w:rPr>
          <w:rFonts w:asciiTheme="minorHAnsi" w:hAnsiTheme="minorHAnsi"/>
        </w:rPr>
        <w:t xml:space="preserve"> and </w:t>
      </w:r>
      <w:r w:rsidRPr="00096FF8">
        <w:rPr>
          <w:rFonts w:asciiTheme="minorHAnsi" w:hAnsiTheme="minorHAnsi"/>
        </w:rPr>
        <w:t>felt this increased risk</w:t>
      </w:r>
      <w:r w:rsidR="00790294" w:rsidRPr="00096FF8">
        <w:rPr>
          <w:rFonts w:asciiTheme="minorHAnsi" w:hAnsiTheme="minorHAnsi"/>
        </w:rPr>
        <w:t xml:space="preserve"> of harm</w:t>
      </w:r>
      <w:r w:rsidR="006865DB" w:rsidRPr="00096FF8">
        <w:rPr>
          <w:rFonts w:asciiTheme="minorHAnsi" w:hAnsiTheme="minorHAnsi"/>
        </w:rPr>
        <w:t xml:space="preserve"> </w:t>
      </w:r>
      <w:r w:rsidRPr="00096FF8">
        <w:rPr>
          <w:rFonts w:asciiTheme="minorHAnsi" w:hAnsiTheme="minorHAnsi"/>
        </w:rPr>
        <w:t xml:space="preserve">because </w:t>
      </w:r>
      <w:r w:rsidR="008416CE" w:rsidRPr="00096FF8">
        <w:rPr>
          <w:rFonts w:asciiTheme="minorHAnsi" w:hAnsiTheme="minorHAnsi"/>
        </w:rPr>
        <w:t xml:space="preserve">problems </w:t>
      </w:r>
      <w:r w:rsidRPr="00096FF8">
        <w:rPr>
          <w:rFonts w:asciiTheme="minorHAnsi" w:hAnsiTheme="minorHAnsi"/>
        </w:rPr>
        <w:t xml:space="preserve">may </w:t>
      </w:r>
      <w:r w:rsidR="00D37160" w:rsidRPr="00096FF8">
        <w:rPr>
          <w:rFonts w:asciiTheme="minorHAnsi" w:hAnsiTheme="minorHAnsi"/>
        </w:rPr>
        <w:t>have gone</w:t>
      </w:r>
      <w:r w:rsidRPr="00096FF8">
        <w:rPr>
          <w:rFonts w:asciiTheme="minorHAnsi" w:hAnsiTheme="minorHAnsi"/>
        </w:rPr>
        <w:t xml:space="preserve"> unnoticed. One felt that</w:t>
      </w:r>
      <w:r w:rsidR="009B65AB" w:rsidRPr="00096FF8">
        <w:rPr>
          <w:rFonts w:asciiTheme="minorHAnsi" w:hAnsiTheme="minorHAnsi"/>
        </w:rPr>
        <w:t>,</w:t>
      </w:r>
      <w:r w:rsidRPr="00096FF8">
        <w:rPr>
          <w:rFonts w:asciiTheme="minorHAnsi" w:hAnsiTheme="minorHAnsi"/>
        </w:rPr>
        <w:t xml:space="preserve"> </w:t>
      </w:r>
      <w:r w:rsidR="009B65AB" w:rsidRPr="00096FF8">
        <w:rPr>
          <w:rFonts w:asciiTheme="minorHAnsi" w:hAnsiTheme="minorHAnsi"/>
        </w:rPr>
        <w:t xml:space="preserve">as </w:t>
      </w:r>
      <w:r w:rsidR="00443107" w:rsidRPr="00096FF8">
        <w:rPr>
          <w:rFonts w:asciiTheme="minorHAnsi" w:hAnsiTheme="minorHAnsi"/>
        </w:rPr>
        <w:t xml:space="preserve">a </w:t>
      </w:r>
      <w:r w:rsidR="009B65AB" w:rsidRPr="00096FF8">
        <w:rPr>
          <w:rFonts w:asciiTheme="minorHAnsi" w:hAnsiTheme="minorHAnsi"/>
        </w:rPr>
        <w:t xml:space="preserve">consequence of increased flexibility over </w:t>
      </w:r>
      <w:r w:rsidR="000857AA" w:rsidRPr="00096FF8">
        <w:rPr>
          <w:rFonts w:asciiTheme="minorHAnsi" w:hAnsiTheme="minorHAnsi"/>
        </w:rPr>
        <w:t>’personalised’</w:t>
      </w:r>
      <w:r w:rsidR="009B65AB" w:rsidRPr="00096FF8">
        <w:rPr>
          <w:rFonts w:asciiTheme="minorHAnsi" w:hAnsiTheme="minorHAnsi"/>
        </w:rPr>
        <w:t xml:space="preserve"> social care, </w:t>
      </w:r>
      <w:r w:rsidR="000857AA" w:rsidRPr="00096FF8">
        <w:rPr>
          <w:rFonts w:asciiTheme="minorHAnsi" w:hAnsiTheme="minorHAnsi"/>
        </w:rPr>
        <w:t xml:space="preserve">care </w:t>
      </w:r>
      <w:r w:rsidR="009B65AB" w:rsidRPr="00096FF8">
        <w:rPr>
          <w:rFonts w:asciiTheme="minorHAnsi" w:hAnsiTheme="minorHAnsi"/>
        </w:rPr>
        <w:t>accessed</w:t>
      </w:r>
      <w:r w:rsidR="00783BC2" w:rsidRPr="00096FF8">
        <w:rPr>
          <w:rFonts w:asciiTheme="minorHAnsi" w:hAnsiTheme="minorHAnsi"/>
        </w:rPr>
        <w:t xml:space="preserve"> or arranged</w:t>
      </w:r>
      <w:r w:rsidR="009B65AB" w:rsidRPr="00096FF8">
        <w:rPr>
          <w:rFonts w:asciiTheme="minorHAnsi" w:hAnsiTheme="minorHAnsi"/>
        </w:rPr>
        <w:t xml:space="preserve"> by </w:t>
      </w:r>
      <w:r w:rsidR="00E13E4E" w:rsidRPr="00096FF8">
        <w:rPr>
          <w:rFonts w:asciiTheme="minorHAnsi" w:hAnsiTheme="minorHAnsi"/>
        </w:rPr>
        <w:t>Direct Payment</w:t>
      </w:r>
      <w:r w:rsidR="009B65AB" w:rsidRPr="00096FF8">
        <w:rPr>
          <w:rFonts w:asciiTheme="minorHAnsi" w:hAnsiTheme="minorHAnsi"/>
        </w:rPr>
        <w:t xml:space="preserve"> users was more difficult to monitor than in-house arranged or provided </w:t>
      </w:r>
      <w:r w:rsidRPr="00096FF8">
        <w:rPr>
          <w:rFonts w:asciiTheme="minorHAnsi" w:hAnsiTheme="minorHAnsi"/>
        </w:rPr>
        <w:t>services</w:t>
      </w:r>
      <w:r w:rsidR="008416CE" w:rsidRPr="00096FF8">
        <w:rPr>
          <w:rFonts w:asciiTheme="minorHAnsi" w:hAnsiTheme="minorHAnsi"/>
        </w:rPr>
        <w:t>:</w:t>
      </w:r>
    </w:p>
    <w:p w14:paraId="36EA3D02" w14:textId="77777777" w:rsidR="006B3AD1" w:rsidRPr="00096FF8" w:rsidRDefault="006B3AD1" w:rsidP="00490617">
      <w:pPr>
        <w:spacing w:line="480" w:lineRule="auto"/>
        <w:rPr>
          <w:rFonts w:asciiTheme="minorHAnsi" w:hAnsiTheme="minorHAnsi"/>
        </w:rPr>
      </w:pPr>
    </w:p>
    <w:p w14:paraId="53333903" w14:textId="6088D494" w:rsidR="006B3AD1" w:rsidRPr="00096FF8" w:rsidRDefault="006B3AD1" w:rsidP="00490617">
      <w:pPr>
        <w:pStyle w:val="Quote"/>
        <w:spacing w:line="480" w:lineRule="auto"/>
        <w:rPr>
          <w:rFonts w:asciiTheme="minorHAnsi" w:hAnsiTheme="minorHAnsi"/>
        </w:rPr>
      </w:pPr>
      <w:r w:rsidRPr="00096FF8">
        <w:rPr>
          <w:rFonts w:asciiTheme="minorHAnsi" w:hAnsiTheme="minorHAnsi"/>
        </w:rPr>
        <w:t xml:space="preserve">Yes, quite possibly </w:t>
      </w:r>
      <w:r w:rsidRPr="00096FF8">
        <w:rPr>
          <w:rFonts w:asciiTheme="minorHAnsi" w:hAnsiTheme="minorHAnsi"/>
          <w:i w:val="0"/>
        </w:rPr>
        <w:t>[there is increased risk]</w:t>
      </w:r>
      <w:r w:rsidRPr="00096FF8">
        <w:rPr>
          <w:rFonts w:asciiTheme="minorHAnsi" w:hAnsiTheme="minorHAnsi"/>
        </w:rPr>
        <w:t>, because when you have a conventional home care service, it kind of does what it says on the tin. You know, half an hour here and there</w:t>
      </w:r>
      <w:r w:rsidR="00DC23D9" w:rsidRPr="00096FF8">
        <w:rPr>
          <w:rFonts w:asciiTheme="minorHAnsi" w:hAnsiTheme="minorHAnsi"/>
        </w:rPr>
        <w:t xml:space="preserve">. </w:t>
      </w:r>
      <w:r w:rsidRPr="00096FF8">
        <w:rPr>
          <w:rFonts w:asciiTheme="minorHAnsi" w:hAnsiTheme="minorHAnsi"/>
        </w:rPr>
        <w:t>You’ll put your tasks down, that sorts that out</w:t>
      </w:r>
      <w:r w:rsidR="00DC23D9" w:rsidRPr="00096FF8">
        <w:rPr>
          <w:rFonts w:asciiTheme="minorHAnsi" w:hAnsiTheme="minorHAnsi"/>
        </w:rPr>
        <w:t xml:space="preserve">. </w:t>
      </w:r>
      <w:r w:rsidRPr="00096FF8">
        <w:rPr>
          <w:rFonts w:asciiTheme="minorHAnsi" w:hAnsiTheme="minorHAnsi"/>
        </w:rPr>
        <w:t>You know, tasks on the care plan or support plan, whatever it’s called these days</w:t>
      </w:r>
      <w:r w:rsidR="00DC23D9" w:rsidRPr="00096FF8">
        <w:rPr>
          <w:rFonts w:asciiTheme="minorHAnsi" w:hAnsiTheme="minorHAnsi"/>
        </w:rPr>
        <w:t xml:space="preserve">. </w:t>
      </w:r>
      <w:r w:rsidRPr="00096FF8">
        <w:rPr>
          <w:rFonts w:asciiTheme="minorHAnsi" w:hAnsiTheme="minorHAnsi"/>
        </w:rPr>
        <w:t xml:space="preserve">With somebody with a </w:t>
      </w:r>
      <w:r w:rsidR="00790294" w:rsidRPr="00096FF8">
        <w:rPr>
          <w:rFonts w:asciiTheme="minorHAnsi" w:hAnsiTheme="minorHAnsi"/>
        </w:rPr>
        <w:t>Direct Payment</w:t>
      </w:r>
      <w:r w:rsidRPr="00096FF8">
        <w:rPr>
          <w:rFonts w:asciiTheme="minorHAnsi" w:hAnsiTheme="minorHAnsi"/>
        </w:rPr>
        <w:t>, you’ve got all sorts of other things that you need to consider.</w:t>
      </w:r>
    </w:p>
    <w:p w14:paraId="6F1F0646" w14:textId="77777777" w:rsidR="00E33C31" w:rsidRPr="00096FF8" w:rsidRDefault="006B3AD1" w:rsidP="00490617">
      <w:pPr>
        <w:pStyle w:val="QuoteLabel"/>
        <w:spacing w:line="480" w:lineRule="auto"/>
        <w:rPr>
          <w:rFonts w:asciiTheme="minorHAnsi" w:hAnsiTheme="minorHAnsi"/>
        </w:rPr>
      </w:pPr>
      <w:r w:rsidRPr="00096FF8">
        <w:rPr>
          <w:rFonts w:asciiTheme="minorHAnsi" w:hAnsiTheme="minorHAnsi"/>
        </w:rPr>
        <w:t xml:space="preserve">Social Worker </w:t>
      </w:r>
      <w:r w:rsidR="00517A26" w:rsidRPr="00096FF8">
        <w:rPr>
          <w:rFonts w:asciiTheme="minorHAnsi" w:hAnsiTheme="minorHAnsi"/>
        </w:rPr>
        <w:t>09</w:t>
      </w:r>
    </w:p>
    <w:p w14:paraId="144091A3" w14:textId="77777777" w:rsidR="00660023" w:rsidRPr="00096FF8" w:rsidRDefault="00660023" w:rsidP="00490617">
      <w:pPr>
        <w:spacing w:line="480" w:lineRule="auto"/>
        <w:rPr>
          <w:rFonts w:asciiTheme="minorHAnsi" w:hAnsiTheme="minorHAnsi"/>
        </w:rPr>
      </w:pPr>
    </w:p>
    <w:p w14:paraId="0C1FC467" w14:textId="5EFFB0B8" w:rsidR="005500D6" w:rsidRPr="00096FF8" w:rsidRDefault="006B3AD1" w:rsidP="00490617">
      <w:pPr>
        <w:spacing w:line="480" w:lineRule="auto"/>
        <w:rPr>
          <w:rFonts w:asciiTheme="minorHAnsi" w:hAnsiTheme="minorHAnsi"/>
        </w:rPr>
      </w:pPr>
      <w:r w:rsidRPr="00096FF8">
        <w:rPr>
          <w:rFonts w:asciiTheme="minorHAnsi" w:hAnsiTheme="minorHAnsi"/>
        </w:rPr>
        <w:t>Only two participan</w:t>
      </w:r>
      <w:r w:rsidR="009B4580" w:rsidRPr="00096FF8">
        <w:rPr>
          <w:rFonts w:asciiTheme="minorHAnsi" w:hAnsiTheme="minorHAnsi"/>
        </w:rPr>
        <w:t>t</w:t>
      </w:r>
      <w:r w:rsidRPr="00096FF8">
        <w:rPr>
          <w:rFonts w:asciiTheme="minorHAnsi" w:hAnsiTheme="minorHAnsi"/>
        </w:rPr>
        <w:t xml:space="preserve">s mentioned increased risks from the employment of unregulated </w:t>
      </w:r>
      <w:r w:rsidR="001D1DF0" w:rsidRPr="00096FF8">
        <w:rPr>
          <w:rFonts w:asciiTheme="minorHAnsi" w:hAnsiTheme="minorHAnsi"/>
        </w:rPr>
        <w:t>PA</w:t>
      </w:r>
      <w:r w:rsidRPr="00096FF8">
        <w:rPr>
          <w:rFonts w:asciiTheme="minorHAnsi" w:hAnsiTheme="minorHAnsi"/>
        </w:rPr>
        <w:t xml:space="preserve">s, which </w:t>
      </w:r>
      <w:r w:rsidR="00790294" w:rsidRPr="00096FF8">
        <w:rPr>
          <w:rFonts w:asciiTheme="minorHAnsi" w:hAnsiTheme="minorHAnsi"/>
        </w:rPr>
        <w:t xml:space="preserve">were </w:t>
      </w:r>
      <w:r w:rsidR="00783BC2" w:rsidRPr="00096FF8">
        <w:rPr>
          <w:rFonts w:asciiTheme="minorHAnsi" w:hAnsiTheme="minorHAnsi"/>
        </w:rPr>
        <w:t xml:space="preserve">more commonly </w:t>
      </w:r>
      <w:r w:rsidR="00D37160" w:rsidRPr="00096FF8">
        <w:rPr>
          <w:rFonts w:asciiTheme="minorHAnsi" w:hAnsiTheme="minorHAnsi"/>
        </w:rPr>
        <w:t xml:space="preserve">raised as concerns </w:t>
      </w:r>
      <w:r w:rsidR="00DF4CF8" w:rsidRPr="00096FF8">
        <w:rPr>
          <w:rFonts w:asciiTheme="minorHAnsi" w:hAnsiTheme="minorHAnsi"/>
        </w:rPr>
        <w:t xml:space="preserve"> in the</w:t>
      </w:r>
      <w:r w:rsidR="001D1DF0" w:rsidRPr="00096FF8">
        <w:rPr>
          <w:rFonts w:asciiTheme="minorHAnsi" w:hAnsiTheme="minorHAnsi"/>
        </w:rPr>
        <w:t xml:space="preserve"> </w:t>
      </w:r>
      <w:r w:rsidR="00E935B9" w:rsidRPr="00096FF8">
        <w:rPr>
          <w:rFonts w:asciiTheme="minorHAnsi" w:hAnsiTheme="minorHAnsi"/>
        </w:rPr>
        <w:t>IBSEN study</w:t>
      </w:r>
      <w:r w:rsidR="00DF4CF8" w:rsidRPr="00096FF8">
        <w:rPr>
          <w:rFonts w:asciiTheme="minorHAnsi" w:hAnsiTheme="minorHAnsi"/>
        </w:rPr>
        <w:t>. H</w:t>
      </w:r>
      <w:r w:rsidR="005500D6" w:rsidRPr="00096FF8">
        <w:rPr>
          <w:rFonts w:asciiTheme="minorHAnsi" w:hAnsiTheme="minorHAnsi"/>
        </w:rPr>
        <w:t>owever</w:t>
      </w:r>
      <w:r w:rsidR="001D1DF0" w:rsidRPr="00096FF8">
        <w:rPr>
          <w:rFonts w:asciiTheme="minorHAnsi" w:hAnsiTheme="minorHAnsi"/>
        </w:rPr>
        <w:t>,</w:t>
      </w:r>
      <w:r w:rsidR="00DF4CF8" w:rsidRPr="00096FF8">
        <w:rPr>
          <w:rFonts w:asciiTheme="minorHAnsi" w:hAnsiTheme="minorHAnsi"/>
        </w:rPr>
        <w:t xml:space="preserve"> </w:t>
      </w:r>
      <w:r w:rsidR="009B65AB" w:rsidRPr="00096FF8">
        <w:rPr>
          <w:rFonts w:asciiTheme="minorHAnsi" w:hAnsiTheme="minorHAnsi"/>
        </w:rPr>
        <w:t xml:space="preserve">participants emphasised the </w:t>
      </w:r>
      <w:r w:rsidR="005500D6" w:rsidRPr="00096FF8">
        <w:rPr>
          <w:rFonts w:asciiTheme="minorHAnsi" w:hAnsiTheme="minorHAnsi"/>
        </w:rPr>
        <w:t xml:space="preserve">challenges </w:t>
      </w:r>
      <w:r w:rsidR="009B65AB" w:rsidRPr="00096FF8">
        <w:rPr>
          <w:rFonts w:asciiTheme="minorHAnsi" w:hAnsiTheme="minorHAnsi"/>
        </w:rPr>
        <w:t xml:space="preserve">that </w:t>
      </w:r>
      <w:r w:rsidR="005500D6" w:rsidRPr="00096FF8">
        <w:rPr>
          <w:rFonts w:asciiTheme="minorHAnsi" w:hAnsiTheme="minorHAnsi"/>
        </w:rPr>
        <w:t xml:space="preserve">being an employer </w:t>
      </w:r>
      <w:r w:rsidR="009B65AB" w:rsidRPr="00096FF8">
        <w:rPr>
          <w:rFonts w:asciiTheme="minorHAnsi" w:hAnsiTheme="minorHAnsi"/>
        </w:rPr>
        <w:t xml:space="preserve">could pose </w:t>
      </w:r>
      <w:r w:rsidR="005500D6" w:rsidRPr="00096FF8">
        <w:rPr>
          <w:rFonts w:asciiTheme="minorHAnsi" w:hAnsiTheme="minorHAnsi"/>
        </w:rPr>
        <w:t xml:space="preserve">for </w:t>
      </w:r>
      <w:r w:rsidR="00E13E4E" w:rsidRPr="00096FF8">
        <w:rPr>
          <w:rFonts w:asciiTheme="minorHAnsi" w:hAnsiTheme="minorHAnsi"/>
        </w:rPr>
        <w:t>Direct Payment</w:t>
      </w:r>
      <w:r w:rsidR="005500D6" w:rsidRPr="00096FF8">
        <w:rPr>
          <w:rFonts w:asciiTheme="minorHAnsi" w:hAnsiTheme="minorHAnsi"/>
        </w:rPr>
        <w:t xml:space="preserve"> users. </w:t>
      </w:r>
      <w:r w:rsidR="00DF0018" w:rsidRPr="00096FF8">
        <w:rPr>
          <w:rFonts w:asciiTheme="minorHAnsi" w:hAnsiTheme="minorHAnsi"/>
        </w:rPr>
        <w:t>They</w:t>
      </w:r>
      <w:r w:rsidR="005500D6" w:rsidRPr="00096FF8">
        <w:rPr>
          <w:rFonts w:asciiTheme="minorHAnsi" w:hAnsiTheme="minorHAnsi"/>
        </w:rPr>
        <w:t xml:space="preserve"> </w:t>
      </w:r>
      <w:r w:rsidR="00B760F8" w:rsidRPr="00096FF8">
        <w:rPr>
          <w:rFonts w:asciiTheme="minorHAnsi" w:hAnsiTheme="minorHAnsi"/>
        </w:rPr>
        <w:t xml:space="preserve">referred to </w:t>
      </w:r>
      <w:r w:rsidR="005500D6" w:rsidRPr="00096FF8">
        <w:rPr>
          <w:rFonts w:asciiTheme="minorHAnsi" w:hAnsiTheme="minorHAnsi"/>
        </w:rPr>
        <w:t xml:space="preserve">difficulties related to blurred boundaries </w:t>
      </w:r>
      <w:r w:rsidR="00B760F8" w:rsidRPr="00096FF8">
        <w:rPr>
          <w:rFonts w:asciiTheme="minorHAnsi" w:hAnsiTheme="minorHAnsi"/>
        </w:rPr>
        <w:t>arising from</w:t>
      </w:r>
      <w:r w:rsidR="005500D6" w:rsidRPr="00096FF8">
        <w:rPr>
          <w:rFonts w:asciiTheme="minorHAnsi" w:hAnsiTheme="minorHAnsi"/>
        </w:rPr>
        <w:t xml:space="preserve"> </w:t>
      </w:r>
      <w:r w:rsidR="00B760F8" w:rsidRPr="00096FF8">
        <w:rPr>
          <w:rFonts w:asciiTheme="minorHAnsi" w:hAnsiTheme="minorHAnsi"/>
        </w:rPr>
        <w:t>budget holders</w:t>
      </w:r>
      <w:r w:rsidR="005500D6" w:rsidRPr="00096FF8">
        <w:rPr>
          <w:rFonts w:asciiTheme="minorHAnsi" w:hAnsiTheme="minorHAnsi"/>
        </w:rPr>
        <w:t xml:space="preserve"> </w:t>
      </w:r>
      <w:r w:rsidR="00783BC2" w:rsidRPr="00096FF8">
        <w:rPr>
          <w:rFonts w:asciiTheme="minorHAnsi" w:hAnsiTheme="minorHAnsi"/>
        </w:rPr>
        <w:t xml:space="preserve">employing </w:t>
      </w:r>
      <w:r w:rsidR="005500D6" w:rsidRPr="00096FF8">
        <w:rPr>
          <w:rFonts w:asciiTheme="minorHAnsi" w:hAnsiTheme="minorHAnsi"/>
        </w:rPr>
        <w:t xml:space="preserve">friends and family members. </w:t>
      </w:r>
      <w:r w:rsidR="00E53295" w:rsidRPr="00096FF8">
        <w:rPr>
          <w:rFonts w:asciiTheme="minorHAnsi" w:hAnsiTheme="minorHAnsi"/>
        </w:rPr>
        <w:t>Social workers</w:t>
      </w:r>
      <w:r w:rsidR="008D45CA" w:rsidRPr="00096FF8">
        <w:rPr>
          <w:rFonts w:asciiTheme="minorHAnsi" w:hAnsiTheme="minorHAnsi"/>
        </w:rPr>
        <w:t>’</w:t>
      </w:r>
      <w:r w:rsidR="00E53295" w:rsidRPr="00096FF8">
        <w:rPr>
          <w:rFonts w:asciiTheme="minorHAnsi" w:hAnsiTheme="minorHAnsi"/>
        </w:rPr>
        <w:t xml:space="preserve"> </w:t>
      </w:r>
      <w:r w:rsidR="000857AA" w:rsidRPr="00096FF8">
        <w:rPr>
          <w:rFonts w:asciiTheme="minorHAnsi" w:hAnsiTheme="minorHAnsi"/>
        </w:rPr>
        <w:t xml:space="preserve">lack of knowledge </w:t>
      </w:r>
      <w:r w:rsidR="00BB2032" w:rsidRPr="00096FF8">
        <w:rPr>
          <w:rFonts w:asciiTheme="minorHAnsi" w:hAnsiTheme="minorHAnsi"/>
        </w:rPr>
        <w:t>of</w:t>
      </w:r>
      <w:r w:rsidR="005500D6" w:rsidRPr="00096FF8">
        <w:rPr>
          <w:rFonts w:asciiTheme="minorHAnsi" w:hAnsiTheme="minorHAnsi"/>
        </w:rPr>
        <w:t xml:space="preserve"> who </w:t>
      </w:r>
      <w:r w:rsidR="00B760F8" w:rsidRPr="00096FF8">
        <w:rPr>
          <w:rFonts w:asciiTheme="minorHAnsi" w:hAnsiTheme="minorHAnsi"/>
        </w:rPr>
        <w:t>was</w:t>
      </w:r>
      <w:r w:rsidR="005500D6" w:rsidRPr="00096FF8">
        <w:rPr>
          <w:rFonts w:asciiTheme="minorHAnsi" w:hAnsiTheme="minorHAnsi"/>
        </w:rPr>
        <w:t xml:space="preserve"> being employed as a</w:t>
      </w:r>
      <w:r w:rsidR="00783BC2" w:rsidRPr="00096FF8">
        <w:rPr>
          <w:rFonts w:asciiTheme="minorHAnsi" w:hAnsiTheme="minorHAnsi"/>
        </w:rPr>
        <w:t xml:space="preserve"> person’s</w:t>
      </w:r>
      <w:r w:rsidR="005500D6" w:rsidRPr="00096FF8">
        <w:rPr>
          <w:rFonts w:asciiTheme="minorHAnsi" w:hAnsiTheme="minorHAnsi"/>
        </w:rPr>
        <w:t xml:space="preserve"> PA was </w:t>
      </w:r>
      <w:r w:rsidR="00B760F8" w:rsidRPr="00096FF8">
        <w:rPr>
          <w:rFonts w:asciiTheme="minorHAnsi" w:hAnsiTheme="minorHAnsi"/>
        </w:rPr>
        <w:t>also cited as a potential are</w:t>
      </w:r>
      <w:r w:rsidR="006A125E" w:rsidRPr="00096FF8">
        <w:rPr>
          <w:rFonts w:asciiTheme="minorHAnsi" w:hAnsiTheme="minorHAnsi"/>
        </w:rPr>
        <w:t>a</w:t>
      </w:r>
      <w:r w:rsidR="00B760F8" w:rsidRPr="00096FF8">
        <w:rPr>
          <w:rFonts w:asciiTheme="minorHAnsi" w:hAnsiTheme="minorHAnsi"/>
        </w:rPr>
        <w:t xml:space="preserve"> of concern</w:t>
      </w:r>
      <w:r w:rsidR="00783BC2" w:rsidRPr="00096FF8">
        <w:rPr>
          <w:rFonts w:asciiTheme="minorHAnsi" w:hAnsiTheme="minorHAnsi"/>
        </w:rPr>
        <w:t>:</w:t>
      </w:r>
      <w:r w:rsidR="00B760F8" w:rsidRPr="00096FF8">
        <w:rPr>
          <w:rFonts w:asciiTheme="minorHAnsi" w:hAnsiTheme="minorHAnsi"/>
        </w:rPr>
        <w:t xml:space="preserve"> </w:t>
      </w:r>
    </w:p>
    <w:p w14:paraId="39BE6102" w14:textId="77777777" w:rsidR="006B3AD1" w:rsidRPr="00096FF8" w:rsidRDefault="006B3AD1" w:rsidP="00490617">
      <w:pPr>
        <w:spacing w:line="480" w:lineRule="auto"/>
        <w:rPr>
          <w:rFonts w:asciiTheme="minorHAnsi" w:hAnsiTheme="minorHAnsi"/>
        </w:rPr>
      </w:pPr>
      <w:r w:rsidRPr="00096FF8">
        <w:rPr>
          <w:rFonts w:asciiTheme="minorHAnsi" w:hAnsiTheme="minorHAnsi"/>
        </w:rPr>
        <w:lastRenderedPageBreak/>
        <w:t xml:space="preserve"> </w:t>
      </w:r>
    </w:p>
    <w:p w14:paraId="579C6F67" w14:textId="77777777" w:rsidR="006B3AD1" w:rsidRPr="00096FF8" w:rsidRDefault="006B3AD1" w:rsidP="00490617">
      <w:pPr>
        <w:pStyle w:val="Quote"/>
        <w:spacing w:line="480" w:lineRule="auto"/>
        <w:rPr>
          <w:rFonts w:asciiTheme="minorHAnsi" w:hAnsiTheme="minorHAnsi"/>
        </w:rPr>
      </w:pPr>
      <w:r w:rsidRPr="00096FF8">
        <w:rPr>
          <w:rFonts w:asciiTheme="minorHAnsi" w:hAnsiTheme="minorHAnsi"/>
        </w:rPr>
        <w:t>It could be anybody</w:t>
      </w:r>
      <w:r w:rsidR="00DC23D9" w:rsidRPr="00096FF8">
        <w:rPr>
          <w:rFonts w:asciiTheme="minorHAnsi" w:hAnsiTheme="minorHAnsi"/>
        </w:rPr>
        <w:t xml:space="preserve">. </w:t>
      </w:r>
      <w:r w:rsidRPr="00096FF8">
        <w:rPr>
          <w:rFonts w:asciiTheme="minorHAnsi" w:hAnsiTheme="minorHAnsi"/>
        </w:rPr>
        <w:t>The risk is</w:t>
      </w:r>
      <w:r w:rsidR="00DD1E82" w:rsidRPr="00096FF8">
        <w:rPr>
          <w:rFonts w:asciiTheme="minorHAnsi" w:hAnsiTheme="minorHAnsi"/>
        </w:rPr>
        <w:t>:</w:t>
      </w:r>
      <w:r w:rsidRPr="00096FF8">
        <w:rPr>
          <w:rFonts w:asciiTheme="minorHAnsi" w:hAnsiTheme="minorHAnsi"/>
        </w:rPr>
        <w:t xml:space="preserve"> who are they employing</w:t>
      </w:r>
      <w:r w:rsidR="00DC23D9" w:rsidRPr="00096FF8">
        <w:rPr>
          <w:rFonts w:asciiTheme="minorHAnsi" w:hAnsiTheme="minorHAnsi"/>
        </w:rPr>
        <w:t xml:space="preserve">? </w:t>
      </w:r>
      <w:r w:rsidRPr="00096FF8">
        <w:rPr>
          <w:rFonts w:asciiTheme="minorHAnsi" w:hAnsiTheme="minorHAnsi"/>
        </w:rPr>
        <w:t>What experience do these people</w:t>
      </w:r>
      <w:r w:rsidR="00E53295" w:rsidRPr="00096FF8">
        <w:rPr>
          <w:rFonts w:asciiTheme="minorHAnsi" w:hAnsiTheme="minorHAnsi"/>
        </w:rPr>
        <w:t xml:space="preserve"> [PAs]</w:t>
      </w:r>
      <w:r w:rsidRPr="00096FF8">
        <w:rPr>
          <w:rFonts w:asciiTheme="minorHAnsi" w:hAnsiTheme="minorHAnsi"/>
        </w:rPr>
        <w:t xml:space="preserve"> have?</w:t>
      </w:r>
    </w:p>
    <w:p w14:paraId="276AAEEA" w14:textId="77777777" w:rsidR="006B3AD1" w:rsidRPr="00096FF8" w:rsidRDefault="006B3AD1" w:rsidP="00490617">
      <w:pPr>
        <w:pStyle w:val="QuoteLabel"/>
        <w:spacing w:line="480" w:lineRule="auto"/>
        <w:rPr>
          <w:rFonts w:asciiTheme="minorHAnsi" w:hAnsiTheme="minorHAnsi"/>
        </w:rPr>
      </w:pPr>
      <w:r w:rsidRPr="00096FF8">
        <w:rPr>
          <w:rFonts w:asciiTheme="minorHAnsi" w:hAnsiTheme="minorHAnsi"/>
        </w:rPr>
        <w:t xml:space="preserve">Team Manager </w:t>
      </w:r>
      <w:r w:rsidR="00517A26" w:rsidRPr="00096FF8">
        <w:rPr>
          <w:rFonts w:asciiTheme="minorHAnsi" w:hAnsiTheme="minorHAnsi"/>
        </w:rPr>
        <w:t>01</w:t>
      </w:r>
    </w:p>
    <w:p w14:paraId="42C52172" w14:textId="77777777" w:rsidR="006B3AD1" w:rsidRPr="00096FF8" w:rsidRDefault="006B3AD1" w:rsidP="00490617">
      <w:pPr>
        <w:spacing w:line="480" w:lineRule="auto"/>
        <w:rPr>
          <w:rFonts w:asciiTheme="minorHAnsi" w:hAnsiTheme="minorHAnsi"/>
        </w:rPr>
      </w:pPr>
    </w:p>
    <w:p w14:paraId="1FA0F579" w14:textId="23C39BE6" w:rsidR="00661A04" w:rsidRPr="00096FF8" w:rsidRDefault="00661A04"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Seven participants </w:t>
      </w:r>
      <w:r w:rsidR="000857AA" w:rsidRPr="00096FF8">
        <w:rPr>
          <w:rFonts w:asciiTheme="minorHAnsi" w:hAnsiTheme="minorHAnsi"/>
          <w:szCs w:val="24"/>
        </w:rPr>
        <w:t>perceived an</w:t>
      </w:r>
      <w:r w:rsidRPr="00096FF8">
        <w:rPr>
          <w:rFonts w:asciiTheme="minorHAnsi" w:hAnsiTheme="minorHAnsi"/>
          <w:szCs w:val="24"/>
        </w:rPr>
        <w:t xml:space="preserve"> increased risk when </w:t>
      </w:r>
      <w:r w:rsidR="00E13E4E" w:rsidRPr="00096FF8">
        <w:rPr>
          <w:rFonts w:asciiTheme="minorHAnsi" w:hAnsiTheme="minorHAnsi"/>
          <w:szCs w:val="24"/>
        </w:rPr>
        <w:t>Direct Payments</w:t>
      </w:r>
      <w:r w:rsidRPr="00096FF8">
        <w:rPr>
          <w:rFonts w:asciiTheme="minorHAnsi" w:hAnsiTheme="minorHAnsi"/>
          <w:szCs w:val="24"/>
        </w:rPr>
        <w:t xml:space="preserve"> </w:t>
      </w:r>
      <w:r w:rsidR="00B760F8" w:rsidRPr="00096FF8">
        <w:rPr>
          <w:rFonts w:asciiTheme="minorHAnsi" w:hAnsiTheme="minorHAnsi"/>
          <w:szCs w:val="24"/>
        </w:rPr>
        <w:t>we</w:t>
      </w:r>
      <w:r w:rsidRPr="00096FF8">
        <w:rPr>
          <w:rFonts w:asciiTheme="minorHAnsi" w:hAnsiTheme="minorHAnsi"/>
          <w:szCs w:val="24"/>
        </w:rPr>
        <w:t xml:space="preserve">re managed by </w:t>
      </w:r>
      <w:r w:rsidR="00B760F8" w:rsidRPr="00096FF8">
        <w:rPr>
          <w:rFonts w:asciiTheme="minorHAnsi" w:hAnsiTheme="minorHAnsi"/>
          <w:szCs w:val="24"/>
        </w:rPr>
        <w:t xml:space="preserve">a </w:t>
      </w:r>
      <w:r w:rsidRPr="00096FF8">
        <w:rPr>
          <w:rFonts w:asciiTheme="minorHAnsi" w:hAnsiTheme="minorHAnsi"/>
          <w:szCs w:val="24"/>
        </w:rPr>
        <w:t>third part</w:t>
      </w:r>
      <w:r w:rsidR="00B760F8" w:rsidRPr="00096FF8">
        <w:rPr>
          <w:rFonts w:asciiTheme="minorHAnsi" w:hAnsiTheme="minorHAnsi"/>
          <w:szCs w:val="24"/>
        </w:rPr>
        <w:t xml:space="preserve">y </w:t>
      </w:r>
      <w:r w:rsidR="00783BC2" w:rsidRPr="00096FF8">
        <w:rPr>
          <w:rFonts w:asciiTheme="minorHAnsi" w:hAnsiTheme="minorHAnsi"/>
          <w:szCs w:val="24"/>
        </w:rPr>
        <w:t xml:space="preserve">such as a family member </w:t>
      </w:r>
      <w:r w:rsidR="000857AA" w:rsidRPr="00096FF8">
        <w:rPr>
          <w:rFonts w:asciiTheme="minorHAnsi" w:hAnsiTheme="minorHAnsi"/>
          <w:szCs w:val="24"/>
        </w:rPr>
        <w:t xml:space="preserve"> </w:t>
      </w:r>
      <w:r w:rsidR="00BD4CFF" w:rsidRPr="00096FF8">
        <w:rPr>
          <w:rFonts w:asciiTheme="minorHAnsi" w:hAnsiTheme="minorHAnsi"/>
          <w:szCs w:val="24"/>
        </w:rPr>
        <w:t>However</w:t>
      </w:r>
      <w:r w:rsidR="006865DB" w:rsidRPr="00096FF8">
        <w:rPr>
          <w:rFonts w:asciiTheme="minorHAnsi" w:hAnsiTheme="minorHAnsi"/>
          <w:szCs w:val="24"/>
        </w:rPr>
        <w:t xml:space="preserve">, </w:t>
      </w:r>
      <w:r w:rsidRPr="00096FF8">
        <w:rPr>
          <w:rFonts w:asciiTheme="minorHAnsi" w:hAnsiTheme="minorHAnsi"/>
          <w:szCs w:val="24"/>
        </w:rPr>
        <w:t xml:space="preserve">one case </w:t>
      </w:r>
      <w:r w:rsidR="006865DB" w:rsidRPr="00096FF8">
        <w:rPr>
          <w:rFonts w:asciiTheme="minorHAnsi" w:hAnsiTheme="minorHAnsi"/>
          <w:szCs w:val="24"/>
        </w:rPr>
        <w:t xml:space="preserve">was </w:t>
      </w:r>
      <w:r w:rsidRPr="00096FF8">
        <w:rPr>
          <w:rFonts w:asciiTheme="minorHAnsi" w:hAnsiTheme="minorHAnsi"/>
          <w:szCs w:val="24"/>
        </w:rPr>
        <w:t xml:space="preserve">described where a </w:t>
      </w:r>
      <w:r w:rsidR="006865DB" w:rsidRPr="00096FF8">
        <w:rPr>
          <w:rFonts w:asciiTheme="minorHAnsi" w:hAnsiTheme="minorHAnsi"/>
          <w:szCs w:val="24"/>
        </w:rPr>
        <w:t xml:space="preserve">social care </w:t>
      </w:r>
      <w:r w:rsidRPr="00096FF8">
        <w:rPr>
          <w:rFonts w:asciiTheme="minorHAnsi" w:hAnsiTheme="minorHAnsi"/>
          <w:szCs w:val="24"/>
        </w:rPr>
        <w:t>provider</w:t>
      </w:r>
      <w:r w:rsidR="00E53295" w:rsidRPr="00096FF8">
        <w:rPr>
          <w:rFonts w:asciiTheme="minorHAnsi" w:hAnsiTheme="minorHAnsi"/>
          <w:szCs w:val="24"/>
        </w:rPr>
        <w:t xml:space="preserve">, operating as a </w:t>
      </w:r>
      <w:r w:rsidR="009A1253" w:rsidRPr="00096FF8">
        <w:rPr>
          <w:rFonts w:asciiTheme="minorHAnsi" w:hAnsiTheme="minorHAnsi"/>
          <w:szCs w:val="24"/>
        </w:rPr>
        <w:t xml:space="preserve">sole </w:t>
      </w:r>
      <w:r w:rsidR="00E53295" w:rsidRPr="00096FF8">
        <w:rPr>
          <w:rFonts w:asciiTheme="minorHAnsi" w:hAnsiTheme="minorHAnsi"/>
          <w:szCs w:val="24"/>
        </w:rPr>
        <w:t>trader</w:t>
      </w:r>
      <w:r w:rsidR="00B760F8" w:rsidRPr="00096FF8">
        <w:rPr>
          <w:rFonts w:asciiTheme="minorHAnsi" w:hAnsiTheme="minorHAnsi"/>
          <w:szCs w:val="24"/>
        </w:rPr>
        <w:t>,</w:t>
      </w:r>
      <w:r w:rsidRPr="00096FF8">
        <w:rPr>
          <w:rFonts w:asciiTheme="minorHAnsi" w:hAnsiTheme="minorHAnsi"/>
          <w:szCs w:val="24"/>
        </w:rPr>
        <w:t xml:space="preserve"> was effectively offering a </w:t>
      </w:r>
      <w:r w:rsidR="006865DB" w:rsidRPr="00096FF8">
        <w:rPr>
          <w:rFonts w:asciiTheme="minorHAnsi" w:hAnsiTheme="minorHAnsi"/>
          <w:szCs w:val="24"/>
        </w:rPr>
        <w:t xml:space="preserve">case </w:t>
      </w:r>
      <w:r w:rsidRPr="00096FF8">
        <w:rPr>
          <w:rFonts w:asciiTheme="minorHAnsi" w:hAnsiTheme="minorHAnsi"/>
          <w:szCs w:val="24"/>
        </w:rPr>
        <w:t>management service</w:t>
      </w:r>
      <w:r w:rsidR="00E53295" w:rsidRPr="00096FF8">
        <w:rPr>
          <w:rFonts w:asciiTheme="minorHAnsi" w:hAnsiTheme="minorHAnsi"/>
          <w:szCs w:val="24"/>
        </w:rPr>
        <w:t xml:space="preserve">, but was defrauding service users </w:t>
      </w:r>
      <w:r w:rsidR="00783BC2" w:rsidRPr="00096FF8">
        <w:rPr>
          <w:rFonts w:asciiTheme="minorHAnsi" w:hAnsiTheme="minorHAnsi"/>
          <w:szCs w:val="24"/>
        </w:rPr>
        <w:t xml:space="preserve">by </w:t>
      </w:r>
      <w:r w:rsidR="00E53295" w:rsidRPr="00096FF8">
        <w:rPr>
          <w:rFonts w:asciiTheme="minorHAnsi" w:hAnsiTheme="minorHAnsi"/>
          <w:szCs w:val="24"/>
        </w:rPr>
        <w:t xml:space="preserve">not providing the service promised. </w:t>
      </w:r>
      <w:r w:rsidR="00783BC2" w:rsidRPr="00096FF8">
        <w:rPr>
          <w:rFonts w:asciiTheme="minorHAnsi" w:hAnsiTheme="minorHAnsi"/>
          <w:szCs w:val="24"/>
        </w:rPr>
        <w:t>Another case was reported</w:t>
      </w:r>
      <w:r w:rsidR="00E53295" w:rsidRPr="00096FF8">
        <w:rPr>
          <w:rFonts w:asciiTheme="minorHAnsi" w:hAnsiTheme="minorHAnsi"/>
          <w:szCs w:val="24"/>
        </w:rPr>
        <w:t xml:space="preserve"> </w:t>
      </w:r>
      <w:r w:rsidRPr="00096FF8">
        <w:rPr>
          <w:rFonts w:asciiTheme="minorHAnsi" w:hAnsiTheme="minorHAnsi"/>
          <w:szCs w:val="24"/>
        </w:rPr>
        <w:t>where an</w:t>
      </w:r>
      <w:r w:rsidR="006865DB" w:rsidRPr="00096FF8">
        <w:rPr>
          <w:rFonts w:asciiTheme="minorHAnsi" w:hAnsiTheme="minorHAnsi"/>
          <w:szCs w:val="24"/>
        </w:rPr>
        <w:t xml:space="preserve"> unknown</w:t>
      </w:r>
      <w:r w:rsidRPr="00096FF8">
        <w:rPr>
          <w:rFonts w:asciiTheme="minorHAnsi" w:hAnsiTheme="minorHAnsi"/>
          <w:szCs w:val="24"/>
        </w:rPr>
        <w:t xml:space="preserve"> individual had offered </w:t>
      </w:r>
      <w:r w:rsidR="00B760F8" w:rsidRPr="00096FF8">
        <w:rPr>
          <w:rFonts w:asciiTheme="minorHAnsi" w:hAnsiTheme="minorHAnsi"/>
          <w:szCs w:val="24"/>
        </w:rPr>
        <w:t xml:space="preserve">care management </w:t>
      </w:r>
      <w:r w:rsidRPr="00096FF8">
        <w:rPr>
          <w:rFonts w:asciiTheme="minorHAnsi" w:hAnsiTheme="minorHAnsi"/>
          <w:szCs w:val="24"/>
        </w:rPr>
        <w:t xml:space="preserve">services, paid </w:t>
      </w:r>
      <w:r w:rsidR="00B760F8" w:rsidRPr="00096FF8">
        <w:rPr>
          <w:rFonts w:asciiTheme="minorHAnsi" w:hAnsiTheme="minorHAnsi"/>
          <w:szCs w:val="24"/>
        </w:rPr>
        <w:t xml:space="preserve">for </w:t>
      </w:r>
      <w:r w:rsidR="00B447C3" w:rsidRPr="00096FF8">
        <w:rPr>
          <w:rFonts w:asciiTheme="minorHAnsi" w:hAnsiTheme="minorHAnsi"/>
          <w:szCs w:val="24"/>
        </w:rPr>
        <w:t>through</w:t>
      </w:r>
      <w:r w:rsidRPr="00096FF8">
        <w:rPr>
          <w:rFonts w:asciiTheme="minorHAnsi" w:hAnsiTheme="minorHAnsi"/>
          <w:szCs w:val="24"/>
        </w:rPr>
        <w:t xml:space="preserve"> </w:t>
      </w:r>
      <w:r w:rsidR="00B760F8" w:rsidRPr="00096FF8">
        <w:rPr>
          <w:rFonts w:asciiTheme="minorHAnsi" w:hAnsiTheme="minorHAnsi"/>
          <w:szCs w:val="24"/>
        </w:rPr>
        <w:t xml:space="preserve">a </w:t>
      </w:r>
      <w:r w:rsidR="00E13E4E" w:rsidRPr="00096FF8">
        <w:rPr>
          <w:rFonts w:asciiTheme="minorHAnsi" w:hAnsiTheme="minorHAnsi"/>
          <w:szCs w:val="24"/>
        </w:rPr>
        <w:t>Direct Payment</w:t>
      </w:r>
      <w:r w:rsidR="005500D6" w:rsidRPr="00096FF8">
        <w:rPr>
          <w:rFonts w:asciiTheme="minorHAnsi" w:hAnsiTheme="minorHAnsi"/>
          <w:szCs w:val="24"/>
        </w:rPr>
        <w:t>, which had c</w:t>
      </w:r>
      <w:r w:rsidRPr="00096FF8">
        <w:rPr>
          <w:rFonts w:asciiTheme="minorHAnsi" w:hAnsiTheme="minorHAnsi"/>
          <w:szCs w:val="24"/>
        </w:rPr>
        <w:t>aus</w:t>
      </w:r>
      <w:r w:rsidR="005500D6" w:rsidRPr="00096FF8">
        <w:rPr>
          <w:rFonts w:asciiTheme="minorHAnsi" w:hAnsiTheme="minorHAnsi"/>
          <w:szCs w:val="24"/>
        </w:rPr>
        <w:t>ed</w:t>
      </w:r>
      <w:r w:rsidRPr="00096FF8">
        <w:rPr>
          <w:rFonts w:asciiTheme="minorHAnsi" w:hAnsiTheme="minorHAnsi"/>
          <w:szCs w:val="24"/>
        </w:rPr>
        <w:t xml:space="preserve"> concern. The main risk</w:t>
      </w:r>
      <w:r w:rsidR="00DF4CF8" w:rsidRPr="00096FF8">
        <w:rPr>
          <w:rFonts w:asciiTheme="minorHAnsi" w:hAnsiTheme="minorHAnsi"/>
          <w:szCs w:val="24"/>
        </w:rPr>
        <w:t>s</w:t>
      </w:r>
      <w:r w:rsidRPr="00096FF8">
        <w:rPr>
          <w:rFonts w:asciiTheme="minorHAnsi" w:hAnsiTheme="minorHAnsi"/>
          <w:szCs w:val="24"/>
        </w:rPr>
        <w:t xml:space="preserve"> identified w</w:t>
      </w:r>
      <w:r w:rsidR="00DF4CF8" w:rsidRPr="00096FF8">
        <w:rPr>
          <w:rFonts w:asciiTheme="minorHAnsi" w:hAnsiTheme="minorHAnsi"/>
          <w:szCs w:val="24"/>
        </w:rPr>
        <w:t>ere</w:t>
      </w:r>
      <w:r w:rsidRPr="00096FF8">
        <w:rPr>
          <w:rFonts w:asciiTheme="minorHAnsi" w:hAnsiTheme="minorHAnsi"/>
          <w:szCs w:val="24"/>
        </w:rPr>
        <w:t xml:space="preserve"> financial exploitation and the person not getting the care or support services they needed. This social worker summed </w:t>
      </w:r>
      <w:r w:rsidR="00DF4CF8" w:rsidRPr="00096FF8">
        <w:rPr>
          <w:rFonts w:asciiTheme="minorHAnsi" w:hAnsiTheme="minorHAnsi"/>
          <w:szCs w:val="24"/>
        </w:rPr>
        <w:t xml:space="preserve">up </w:t>
      </w:r>
      <w:r w:rsidR="009A2B0A" w:rsidRPr="00096FF8">
        <w:rPr>
          <w:rFonts w:asciiTheme="minorHAnsi" w:hAnsiTheme="minorHAnsi"/>
          <w:szCs w:val="24"/>
        </w:rPr>
        <w:t xml:space="preserve">such </w:t>
      </w:r>
      <w:r w:rsidR="00DF4CF8" w:rsidRPr="00096FF8">
        <w:rPr>
          <w:rFonts w:asciiTheme="minorHAnsi" w:hAnsiTheme="minorHAnsi"/>
          <w:szCs w:val="24"/>
        </w:rPr>
        <w:t>concerns</w:t>
      </w:r>
      <w:r w:rsidR="005500D6" w:rsidRPr="00096FF8">
        <w:rPr>
          <w:rFonts w:asciiTheme="minorHAnsi" w:hAnsiTheme="minorHAnsi"/>
          <w:szCs w:val="24"/>
        </w:rPr>
        <w:t>:</w:t>
      </w:r>
    </w:p>
    <w:p w14:paraId="7CF5DB60" w14:textId="77777777" w:rsidR="00661A04" w:rsidRPr="00096FF8" w:rsidRDefault="00661A04" w:rsidP="00490617">
      <w:pPr>
        <w:pStyle w:val="MediumGrid1-Accent21"/>
        <w:spacing w:before="0" w:after="0" w:line="480" w:lineRule="auto"/>
        <w:ind w:left="360"/>
        <w:rPr>
          <w:rFonts w:asciiTheme="minorHAnsi" w:hAnsiTheme="minorHAnsi"/>
          <w:szCs w:val="24"/>
        </w:rPr>
      </w:pPr>
    </w:p>
    <w:p w14:paraId="7EEDE975" w14:textId="77777777" w:rsidR="00661A04" w:rsidRPr="00096FF8" w:rsidRDefault="00661A04" w:rsidP="00490617">
      <w:pPr>
        <w:pStyle w:val="Quote"/>
        <w:spacing w:line="480" w:lineRule="auto"/>
        <w:rPr>
          <w:rFonts w:asciiTheme="minorHAnsi" w:hAnsiTheme="minorHAnsi"/>
        </w:rPr>
      </w:pPr>
      <w:r w:rsidRPr="00096FF8">
        <w:rPr>
          <w:rFonts w:asciiTheme="minorHAnsi" w:hAnsiTheme="minorHAnsi"/>
        </w:rPr>
        <w:t xml:space="preserve">I think people are more at risk of </w:t>
      </w:r>
      <w:r w:rsidR="00B447C3" w:rsidRPr="00096FF8">
        <w:rPr>
          <w:rFonts w:asciiTheme="minorHAnsi" w:hAnsiTheme="minorHAnsi"/>
        </w:rPr>
        <w:t>exploitation</w:t>
      </w:r>
      <w:r w:rsidRPr="00096FF8">
        <w:rPr>
          <w:rFonts w:asciiTheme="minorHAnsi" w:hAnsiTheme="minorHAnsi"/>
        </w:rPr>
        <w:t>. I’m not saying that they don’t have a right to take that risk, but I think things will be missed. That’s my concern, that professionals won’t always be aware of what’s going on, especially in some of the cases where I’ve worked with family members who are exploiting the individual. Then it’s actually</w:t>
      </w:r>
      <w:r w:rsidR="00011222" w:rsidRPr="00096FF8">
        <w:rPr>
          <w:rFonts w:asciiTheme="minorHAnsi" w:hAnsiTheme="minorHAnsi"/>
        </w:rPr>
        <w:t>,</w:t>
      </w:r>
      <w:r w:rsidRPr="00096FF8">
        <w:rPr>
          <w:rFonts w:asciiTheme="minorHAnsi" w:hAnsiTheme="minorHAnsi"/>
        </w:rPr>
        <w:t xml:space="preserve"> they’re not getting more choice </w:t>
      </w:r>
      <w:r w:rsidR="00011222" w:rsidRPr="00096FF8">
        <w:rPr>
          <w:rFonts w:asciiTheme="minorHAnsi" w:hAnsiTheme="minorHAnsi"/>
        </w:rPr>
        <w:t xml:space="preserve">and </w:t>
      </w:r>
      <w:r w:rsidRPr="00096FF8">
        <w:rPr>
          <w:rFonts w:asciiTheme="minorHAnsi" w:hAnsiTheme="minorHAnsi"/>
        </w:rPr>
        <w:t>control, they’re getting less.</w:t>
      </w:r>
    </w:p>
    <w:p w14:paraId="082229D0" w14:textId="77777777" w:rsidR="00661A04" w:rsidRPr="00096FF8" w:rsidRDefault="00661A04" w:rsidP="00490617">
      <w:pPr>
        <w:pStyle w:val="QuoteLabel"/>
        <w:spacing w:line="480" w:lineRule="auto"/>
        <w:rPr>
          <w:rFonts w:asciiTheme="minorHAnsi" w:hAnsiTheme="minorHAnsi"/>
        </w:rPr>
      </w:pPr>
      <w:r w:rsidRPr="00096FF8">
        <w:rPr>
          <w:rFonts w:asciiTheme="minorHAnsi" w:hAnsiTheme="minorHAnsi"/>
        </w:rPr>
        <w:t xml:space="preserve">Social worker </w:t>
      </w:r>
      <w:r w:rsidR="00517A26" w:rsidRPr="00096FF8">
        <w:rPr>
          <w:rFonts w:asciiTheme="minorHAnsi" w:hAnsiTheme="minorHAnsi"/>
        </w:rPr>
        <w:t>08</w:t>
      </w:r>
    </w:p>
    <w:p w14:paraId="21AAD13A" w14:textId="77777777" w:rsidR="00661A04" w:rsidRPr="00096FF8" w:rsidRDefault="009F05F2" w:rsidP="00490617">
      <w:pPr>
        <w:pStyle w:val="Heading3"/>
        <w:spacing w:line="480" w:lineRule="auto"/>
        <w:rPr>
          <w:rFonts w:asciiTheme="minorHAnsi" w:hAnsiTheme="minorHAnsi"/>
        </w:rPr>
      </w:pPr>
      <w:r w:rsidRPr="00096FF8">
        <w:rPr>
          <w:rFonts w:asciiTheme="minorHAnsi" w:hAnsiTheme="minorHAnsi"/>
        </w:rPr>
        <w:lastRenderedPageBreak/>
        <w:t xml:space="preserve">Views on risks associated with </w:t>
      </w:r>
      <w:r w:rsidR="00E13E4E" w:rsidRPr="00096FF8">
        <w:rPr>
          <w:rFonts w:asciiTheme="minorHAnsi" w:hAnsiTheme="minorHAnsi"/>
        </w:rPr>
        <w:t>Direct Payments</w:t>
      </w:r>
      <w:r w:rsidR="00661A04" w:rsidRPr="00096FF8">
        <w:rPr>
          <w:rFonts w:asciiTheme="minorHAnsi" w:hAnsiTheme="minorHAnsi"/>
        </w:rPr>
        <w:t xml:space="preserve"> </w:t>
      </w:r>
    </w:p>
    <w:p w14:paraId="31296E8B" w14:textId="215C56A3" w:rsidR="006B3AD1" w:rsidRPr="00096FF8" w:rsidRDefault="00DF4CF8" w:rsidP="00490617">
      <w:pPr>
        <w:spacing w:line="480" w:lineRule="auto"/>
        <w:rPr>
          <w:rFonts w:asciiTheme="minorHAnsi" w:hAnsiTheme="minorHAnsi"/>
        </w:rPr>
      </w:pPr>
      <w:r w:rsidRPr="00096FF8">
        <w:rPr>
          <w:rFonts w:asciiTheme="minorHAnsi" w:hAnsiTheme="minorHAnsi"/>
        </w:rPr>
        <w:t>F</w:t>
      </w:r>
      <w:r w:rsidR="006B3AD1" w:rsidRPr="00096FF8">
        <w:rPr>
          <w:rFonts w:asciiTheme="minorHAnsi" w:hAnsiTheme="minorHAnsi"/>
        </w:rPr>
        <w:t xml:space="preserve">ive participants </w:t>
      </w:r>
      <w:r w:rsidR="00FC1ABB" w:rsidRPr="00096FF8">
        <w:rPr>
          <w:rFonts w:asciiTheme="minorHAnsi" w:hAnsiTheme="minorHAnsi"/>
        </w:rPr>
        <w:t>argued</w:t>
      </w:r>
      <w:r w:rsidR="006B3AD1" w:rsidRPr="00096FF8">
        <w:rPr>
          <w:rFonts w:asciiTheme="minorHAnsi" w:hAnsiTheme="minorHAnsi"/>
        </w:rPr>
        <w:t xml:space="preserve"> that </w:t>
      </w:r>
      <w:r w:rsidR="00E13E4E" w:rsidRPr="00096FF8">
        <w:rPr>
          <w:rFonts w:asciiTheme="minorHAnsi" w:hAnsiTheme="minorHAnsi"/>
        </w:rPr>
        <w:t>Direct Payments</w:t>
      </w:r>
      <w:r w:rsidR="006B3AD1" w:rsidRPr="00096FF8">
        <w:rPr>
          <w:rFonts w:asciiTheme="minorHAnsi" w:hAnsiTheme="minorHAnsi"/>
        </w:rPr>
        <w:t xml:space="preserve"> </w:t>
      </w:r>
      <w:r w:rsidR="006865DB" w:rsidRPr="00096FF8">
        <w:rPr>
          <w:rFonts w:asciiTheme="minorHAnsi" w:hAnsiTheme="minorHAnsi"/>
        </w:rPr>
        <w:t xml:space="preserve">would be a way to </w:t>
      </w:r>
      <w:r w:rsidR="006B3AD1" w:rsidRPr="00096FF8">
        <w:rPr>
          <w:rFonts w:asciiTheme="minorHAnsi" w:hAnsiTheme="minorHAnsi"/>
        </w:rPr>
        <w:t xml:space="preserve">reduce </w:t>
      </w:r>
      <w:r w:rsidR="006865DB" w:rsidRPr="00096FF8">
        <w:rPr>
          <w:rFonts w:asciiTheme="minorHAnsi" w:hAnsiTheme="minorHAnsi"/>
        </w:rPr>
        <w:t xml:space="preserve">the </w:t>
      </w:r>
      <w:r w:rsidR="006B3AD1" w:rsidRPr="00096FF8">
        <w:rPr>
          <w:rFonts w:asciiTheme="minorHAnsi" w:hAnsiTheme="minorHAnsi"/>
        </w:rPr>
        <w:t>risk of harm</w:t>
      </w:r>
      <w:r w:rsidR="009B4580" w:rsidRPr="00096FF8">
        <w:rPr>
          <w:rFonts w:asciiTheme="minorHAnsi" w:hAnsiTheme="minorHAnsi"/>
        </w:rPr>
        <w:t xml:space="preserve">. </w:t>
      </w:r>
      <w:r w:rsidR="006865DB" w:rsidRPr="00096FF8">
        <w:rPr>
          <w:rFonts w:asciiTheme="minorHAnsi" w:hAnsiTheme="minorHAnsi"/>
        </w:rPr>
        <w:t>They attributed this to</w:t>
      </w:r>
      <w:r w:rsidR="006B3AD1" w:rsidRPr="00096FF8">
        <w:rPr>
          <w:rFonts w:asciiTheme="minorHAnsi" w:hAnsiTheme="minorHAnsi"/>
        </w:rPr>
        <w:t xml:space="preserve"> the increased control </w:t>
      </w:r>
      <w:r w:rsidR="00E13E4E" w:rsidRPr="00096FF8">
        <w:rPr>
          <w:rFonts w:asciiTheme="minorHAnsi" w:hAnsiTheme="minorHAnsi"/>
        </w:rPr>
        <w:t>Direct Payments</w:t>
      </w:r>
      <w:r w:rsidR="00876A0D" w:rsidRPr="00096FF8">
        <w:rPr>
          <w:rFonts w:asciiTheme="minorHAnsi" w:hAnsiTheme="minorHAnsi"/>
        </w:rPr>
        <w:t xml:space="preserve"> c</w:t>
      </w:r>
      <w:r w:rsidR="00ED5F86" w:rsidRPr="00096FF8">
        <w:rPr>
          <w:rFonts w:asciiTheme="minorHAnsi" w:hAnsiTheme="minorHAnsi"/>
        </w:rPr>
        <w:t xml:space="preserve">ould </w:t>
      </w:r>
      <w:r w:rsidR="006B3AD1" w:rsidRPr="00096FF8">
        <w:rPr>
          <w:rFonts w:asciiTheme="minorHAnsi" w:hAnsiTheme="minorHAnsi"/>
        </w:rPr>
        <w:t>give to people</w:t>
      </w:r>
      <w:r w:rsidR="00B447C3" w:rsidRPr="00096FF8">
        <w:rPr>
          <w:rFonts w:asciiTheme="minorHAnsi" w:hAnsiTheme="minorHAnsi"/>
        </w:rPr>
        <w:t xml:space="preserve">. </w:t>
      </w:r>
      <w:r w:rsidR="006B3AD1" w:rsidRPr="00096FF8">
        <w:rPr>
          <w:rFonts w:asciiTheme="minorHAnsi" w:hAnsiTheme="minorHAnsi"/>
        </w:rPr>
        <w:t>Four</w:t>
      </w:r>
      <w:r w:rsidR="00384B79" w:rsidRPr="00096FF8">
        <w:rPr>
          <w:rFonts w:asciiTheme="minorHAnsi" w:hAnsiTheme="minorHAnsi"/>
        </w:rPr>
        <w:t xml:space="preserve"> </w:t>
      </w:r>
      <w:r w:rsidR="00021A78" w:rsidRPr="00096FF8">
        <w:rPr>
          <w:rFonts w:asciiTheme="minorHAnsi" w:hAnsiTheme="minorHAnsi"/>
        </w:rPr>
        <w:t xml:space="preserve">of these were </w:t>
      </w:r>
      <w:r w:rsidR="006B3AD1" w:rsidRPr="00096FF8">
        <w:rPr>
          <w:rFonts w:asciiTheme="minorHAnsi" w:hAnsiTheme="minorHAnsi"/>
        </w:rPr>
        <w:t xml:space="preserve">managers </w:t>
      </w:r>
      <w:r w:rsidR="00021A78" w:rsidRPr="00096FF8">
        <w:rPr>
          <w:rFonts w:asciiTheme="minorHAnsi" w:hAnsiTheme="minorHAnsi"/>
        </w:rPr>
        <w:t xml:space="preserve">who </w:t>
      </w:r>
      <w:r w:rsidR="00876A0D" w:rsidRPr="00096FF8">
        <w:rPr>
          <w:rFonts w:asciiTheme="minorHAnsi" w:hAnsiTheme="minorHAnsi"/>
        </w:rPr>
        <w:t>suggested</w:t>
      </w:r>
      <w:r w:rsidR="00021A78" w:rsidRPr="00096FF8">
        <w:rPr>
          <w:rFonts w:asciiTheme="minorHAnsi" w:hAnsiTheme="minorHAnsi"/>
        </w:rPr>
        <w:t xml:space="preserve"> </w:t>
      </w:r>
      <w:r w:rsidR="006B3AD1" w:rsidRPr="00096FF8">
        <w:rPr>
          <w:rFonts w:asciiTheme="minorHAnsi" w:hAnsiTheme="minorHAnsi"/>
        </w:rPr>
        <w:t xml:space="preserve">that </w:t>
      </w:r>
      <w:r w:rsidR="00E13E4E" w:rsidRPr="00096FF8">
        <w:rPr>
          <w:rFonts w:asciiTheme="minorHAnsi" w:hAnsiTheme="minorHAnsi"/>
        </w:rPr>
        <w:t>Direct Payments</w:t>
      </w:r>
      <w:r w:rsidR="006B3AD1" w:rsidRPr="00096FF8">
        <w:rPr>
          <w:rFonts w:asciiTheme="minorHAnsi" w:hAnsiTheme="minorHAnsi"/>
        </w:rPr>
        <w:t xml:space="preserve"> might reduce risk </w:t>
      </w:r>
      <w:r w:rsidR="00876A0D" w:rsidRPr="00096FF8">
        <w:rPr>
          <w:rFonts w:asciiTheme="minorHAnsi" w:hAnsiTheme="minorHAnsi"/>
        </w:rPr>
        <w:t xml:space="preserve">primarily </w:t>
      </w:r>
      <w:r w:rsidR="006B3AD1" w:rsidRPr="00096FF8">
        <w:rPr>
          <w:rFonts w:asciiTheme="minorHAnsi" w:hAnsiTheme="minorHAnsi"/>
        </w:rPr>
        <w:t xml:space="preserve">because of increased choice and control, but also because </w:t>
      </w:r>
      <w:r w:rsidR="00E13E4E" w:rsidRPr="00096FF8">
        <w:rPr>
          <w:rFonts w:asciiTheme="minorHAnsi" w:hAnsiTheme="minorHAnsi"/>
        </w:rPr>
        <w:t>Direct Payment</w:t>
      </w:r>
      <w:r w:rsidR="006B3AD1" w:rsidRPr="00096FF8">
        <w:rPr>
          <w:rFonts w:asciiTheme="minorHAnsi" w:hAnsiTheme="minorHAnsi"/>
        </w:rPr>
        <w:t xml:space="preserve"> users were more likely to be supported in the community</w:t>
      </w:r>
      <w:r w:rsidR="00021A78" w:rsidRPr="00096FF8">
        <w:rPr>
          <w:rFonts w:asciiTheme="minorHAnsi" w:hAnsiTheme="minorHAnsi"/>
        </w:rPr>
        <w:t>:</w:t>
      </w:r>
    </w:p>
    <w:p w14:paraId="1D82A77C" w14:textId="77777777" w:rsidR="006B3AD1" w:rsidRPr="00096FF8" w:rsidRDefault="006B3AD1" w:rsidP="00490617">
      <w:pPr>
        <w:spacing w:line="480" w:lineRule="auto"/>
        <w:rPr>
          <w:rFonts w:asciiTheme="minorHAnsi" w:hAnsiTheme="minorHAnsi"/>
        </w:rPr>
      </w:pPr>
    </w:p>
    <w:p w14:paraId="3860037C" w14:textId="77777777" w:rsidR="006B3AD1" w:rsidRPr="00096FF8" w:rsidRDefault="006B3AD1" w:rsidP="00490617">
      <w:pPr>
        <w:pStyle w:val="Quote"/>
        <w:spacing w:line="480" w:lineRule="auto"/>
        <w:rPr>
          <w:rFonts w:asciiTheme="minorHAnsi" w:hAnsiTheme="minorHAnsi"/>
        </w:rPr>
      </w:pPr>
      <w:r w:rsidRPr="00096FF8">
        <w:rPr>
          <w:rFonts w:asciiTheme="minorHAnsi" w:hAnsiTheme="minorHAnsi"/>
        </w:rPr>
        <w:t>I think that the evidence, I think the evidence that I’ve seen shows that where people feel more in control of their lives they are more likely to be able to keep themselves safe.</w:t>
      </w:r>
    </w:p>
    <w:p w14:paraId="567271CE" w14:textId="77777777" w:rsidR="006B3AD1" w:rsidRPr="00096FF8" w:rsidRDefault="006B3AD1" w:rsidP="00490617">
      <w:pPr>
        <w:pStyle w:val="QuoteLabel"/>
        <w:spacing w:line="480" w:lineRule="auto"/>
        <w:rPr>
          <w:rFonts w:asciiTheme="minorHAnsi" w:hAnsiTheme="minorHAnsi"/>
        </w:rPr>
      </w:pPr>
      <w:r w:rsidRPr="00096FF8">
        <w:rPr>
          <w:rFonts w:asciiTheme="minorHAnsi" w:hAnsiTheme="minorHAnsi"/>
        </w:rPr>
        <w:t xml:space="preserve">Team Manager </w:t>
      </w:r>
      <w:r w:rsidR="00517A26" w:rsidRPr="00096FF8">
        <w:rPr>
          <w:rFonts w:asciiTheme="minorHAnsi" w:hAnsiTheme="minorHAnsi"/>
        </w:rPr>
        <w:t>11</w:t>
      </w:r>
    </w:p>
    <w:p w14:paraId="7F84C9CB" w14:textId="77777777" w:rsidR="006B3AD1" w:rsidRPr="00096FF8" w:rsidRDefault="006B3AD1" w:rsidP="00490617">
      <w:pPr>
        <w:spacing w:line="480" w:lineRule="auto"/>
        <w:rPr>
          <w:rFonts w:asciiTheme="minorHAnsi" w:hAnsiTheme="minorHAnsi"/>
        </w:rPr>
      </w:pPr>
    </w:p>
    <w:p w14:paraId="243E6869" w14:textId="4C98D2E3" w:rsidR="00876A0D" w:rsidRPr="00096FF8" w:rsidRDefault="00DF4CF8" w:rsidP="00490617">
      <w:pPr>
        <w:spacing w:line="480" w:lineRule="auto"/>
        <w:rPr>
          <w:rFonts w:asciiTheme="minorHAnsi" w:hAnsiTheme="minorHAnsi"/>
        </w:rPr>
      </w:pPr>
      <w:r w:rsidRPr="00096FF8">
        <w:rPr>
          <w:rFonts w:asciiTheme="minorHAnsi" w:hAnsiTheme="minorHAnsi"/>
        </w:rPr>
        <w:t xml:space="preserve">However, </w:t>
      </w:r>
      <w:r w:rsidR="00790294" w:rsidRPr="00096FF8">
        <w:rPr>
          <w:rFonts w:asciiTheme="minorHAnsi" w:hAnsiTheme="minorHAnsi"/>
        </w:rPr>
        <w:t xml:space="preserve">another </w:t>
      </w:r>
      <w:r w:rsidRPr="00096FF8">
        <w:rPr>
          <w:rFonts w:asciiTheme="minorHAnsi" w:hAnsiTheme="minorHAnsi"/>
        </w:rPr>
        <w:t xml:space="preserve">manager </w:t>
      </w:r>
      <w:r w:rsidR="008F5342" w:rsidRPr="00096FF8">
        <w:rPr>
          <w:rFonts w:asciiTheme="minorHAnsi" w:hAnsiTheme="minorHAnsi"/>
        </w:rPr>
        <w:t>suggested</w:t>
      </w:r>
      <w:r w:rsidRPr="00096FF8">
        <w:rPr>
          <w:rFonts w:asciiTheme="minorHAnsi" w:hAnsiTheme="minorHAnsi"/>
        </w:rPr>
        <w:t xml:space="preserve"> that individual</w:t>
      </w:r>
      <w:r w:rsidR="009E67B1" w:rsidRPr="00096FF8">
        <w:rPr>
          <w:rFonts w:asciiTheme="minorHAnsi" w:hAnsiTheme="minorHAnsi"/>
        </w:rPr>
        <w:t>s using</w:t>
      </w:r>
      <w:r w:rsidRPr="00096FF8">
        <w:rPr>
          <w:rFonts w:asciiTheme="minorHAnsi" w:hAnsiTheme="minorHAnsi"/>
        </w:rPr>
        <w:t xml:space="preserve"> </w:t>
      </w:r>
      <w:r w:rsidR="00FC1ABB" w:rsidRPr="00096FF8">
        <w:rPr>
          <w:rFonts w:asciiTheme="minorHAnsi" w:hAnsiTheme="minorHAnsi"/>
        </w:rPr>
        <w:t xml:space="preserve">personal budgets </w:t>
      </w:r>
      <w:r w:rsidRPr="00096FF8">
        <w:rPr>
          <w:rFonts w:asciiTheme="minorHAnsi" w:hAnsiTheme="minorHAnsi"/>
        </w:rPr>
        <w:t>may not always be in a good position to exercise control, because of t</w:t>
      </w:r>
      <w:r w:rsidR="00FB7F7E" w:rsidRPr="00096FF8">
        <w:rPr>
          <w:rFonts w:asciiTheme="minorHAnsi" w:hAnsiTheme="minorHAnsi"/>
        </w:rPr>
        <w:t xml:space="preserve">he </w:t>
      </w:r>
      <w:r w:rsidR="009A2B0A" w:rsidRPr="00096FF8">
        <w:rPr>
          <w:rFonts w:asciiTheme="minorHAnsi" w:hAnsiTheme="minorHAnsi"/>
        </w:rPr>
        <w:t xml:space="preserve">imbalance in </w:t>
      </w:r>
      <w:r w:rsidR="00FB7F7E" w:rsidRPr="00096FF8">
        <w:rPr>
          <w:rFonts w:asciiTheme="minorHAnsi" w:hAnsiTheme="minorHAnsi"/>
        </w:rPr>
        <w:t>power relationships</w:t>
      </w:r>
      <w:r w:rsidR="00876A0D" w:rsidRPr="00096FF8">
        <w:rPr>
          <w:rFonts w:asciiTheme="minorHAnsi" w:hAnsiTheme="minorHAnsi"/>
        </w:rPr>
        <w:t xml:space="preserve"> between </w:t>
      </w:r>
      <w:r w:rsidR="00FC1ABB" w:rsidRPr="00096FF8">
        <w:rPr>
          <w:rFonts w:asciiTheme="minorHAnsi" w:hAnsiTheme="minorHAnsi"/>
        </w:rPr>
        <w:t>themselves</w:t>
      </w:r>
      <w:r w:rsidR="00876A0D" w:rsidRPr="00096FF8">
        <w:rPr>
          <w:rFonts w:asciiTheme="minorHAnsi" w:hAnsiTheme="minorHAnsi"/>
        </w:rPr>
        <w:t xml:space="preserve"> and local authorities</w:t>
      </w:r>
      <w:r w:rsidR="00FB7F7E" w:rsidRPr="00096FF8">
        <w:rPr>
          <w:rFonts w:asciiTheme="minorHAnsi" w:hAnsiTheme="minorHAnsi"/>
        </w:rPr>
        <w:t>, and the</w:t>
      </w:r>
      <w:r w:rsidR="009A2B0A" w:rsidRPr="00096FF8">
        <w:rPr>
          <w:rFonts w:asciiTheme="minorHAnsi" w:hAnsiTheme="minorHAnsi"/>
        </w:rPr>
        <w:t xml:space="preserve"> </w:t>
      </w:r>
      <w:r w:rsidR="00FC1ABB" w:rsidRPr="00096FF8">
        <w:rPr>
          <w:rFonts w:asciiTheme="minorHAnsi" w:hAnsiTheme="minorHAnsi"/>
        </w:rPr>
        <w:t>questions about the</w:t>
      </w:r>
      <w:r w:rsidR="00FB7F7E" w:rsidRPr="00096FF8">
        <w:rPr>
          <w:rFonts w:asciiTheme="minorHAnsi" w:hAnsiTheme="minorHAnsi"/>
        </w:rPr>
        <w:t xml:space="preserve"> </w:t>
      </w:r>
      <w:r w:rsidR="00313570" w:rsidRPr="00096FF8">
        <w:rPr>
          <w:rFonts w:asciiTheme="minorHAnsi" w:hAnsiTheme="minorHAnsi"/>
        </w:rPr>
        <w:t>availability</w:t>
      </w:r>
      <w:r w:rsidR="00FB7F7E" w:rsidRPr="00096FF8">
        <w:rPr>
          <w:rFonts w:asciiTheme="minorHAnsi" w:hAnsiTheme="minorHAnsi"/>
        </w:rPr>
        <w:t xml:space="preserve"> of alternative</w:t>
      </w:r>
      <w:r w:rsidR="00876A0D" w:rsidRPr="00096FF8">
        <w:rPr>
          <w:rFonts w:asciiTheme="minorHAnsi" w:hAnsiTheme="minorHAnsi"/>
        </w:rPr>
        <w:t xml:space="preserve"> providers of support</w:t>
      </w:r>
      <w:r w:rsidR="00FB7F7E" w:rsidRPr="00096FF8">
        <w:rPr>
          <w:rFonts w:asciiTheme="minorHAnsi" w:hAnsiTheme="minorHAnsi"/>
        </w:rPr>
        <w:t xml:space="preserve">. Glendinning (2008) </w:t>
      </w:r>
      <w:r w:rsidR="009A2B0A" w:rsidRPr="00096FF8">
        <w:rPr>
          <w:rFonts w:asciiTheme="minorHAnsi" w:hAnsiTheme="minorHAnsi"/>
        </w:rPr>
        <w:t xml:space="preserve">argued </w:t>
      </w:r>
      <w:r w:rsidR="00FB7F7E" w:rsidRPr="00096FF8">
        <w:rPr>
          <w:rFonts w:asciiTheme="minorHAnsi" w:hAnsiTheme="minorHAnsi"/>
        </w:rPr>
        <w:t xml:space="preserve">that the increased potential for choice </w:t>
      </w:r>
      <w:r w:rsidR="0084380D" w:rsidRPr="00096FF8">
        <w:rPr>
          <w:rFonts w:asciiTheme="minorHAnsi" w:hAnsiTheme="minorHAnsi"/>
        </w:rPr>
        <w:t xml:space="preserve">offered by </w:t>
      </w:r>
      <w:r w:rsidR="00314382" w:rsidRPr="00096FF8">
        <w:rPr>
          <w:rFonts w:asciiTheme="minorHAnsi" w:hAnsiTheme="minorHAnsi"/>
        </w:rPr>
        <w:t xml:space="preserve">Individual </w:t>
      </w:r>
      <w:r w:rsidR="00E13E4E" w:rsidRPr="00096FF8">
        <w:rPr>
          <w:rFonts w:asciiTheme="minorHAnsi" w:hAnsiTheme="minorHAnsi"/>
        </w:rPr>
        <w:t>Budgets</w:t>
      </w:r>
      <w:r w:rsidR="0084380D" w:rsidRPr="00096FF8">
        <w:rPr>
          <w:rFonts w:asciiTheme="minorHAnsi" w:hAnsiTheme="minorHAnsi"/>
        </w:rPr>
        <w:t xml:space="preserve"> and </w:t>
      </w:r>
      <w:r w:rsidR="00E13E4E" w:rsidRPr="00096FF8">
        <w:rPr>
          <w:rFonts w:asciiTheme="minorHAnsi" w:hAnsiTheme="minorHAnsi"/>
        </w:rPr>
        <w:t>Direct Payments</w:t>
      </w:r>
      <w:r w:rsidR="0084380D" w:rsidRPr="00096FF8">
        <w:rPr>
          <w:rFonts w:asciiTheme="minorHAnsi" w:hAnsiTheme="minorHAnsi"/>
        </w:rPr>
        <w:t xml:space="preserve"> </w:t>
      </w:r>
      <w:r w:rsidR="009A2B0A" w:rsidRPr="00096FF8">
        <w:rPr>
          <w:rFonts w:asciiTheme="minorHAnsi" w:hAnsiTheme="minorHAnsi"/>
        </w:rPr>
        <w:t xml:space="preserve">would be likely to be </w:t>
      </w:r>
      <w:r w:rsidR="0084380D" w:rsidRPr="00096FF8">
        <w:rPr>
          <w:rFonts w:asciiTheme="minorHAnsi" w:hAnsiTheme="minorHAnsi"/>
        </w:rPr>
        <w:t xml:space="preserve">limited by </w:t>
      </w:r>
      <w:r w:rsidR="00876A0D" w:rsidRPr="00096FF8">
        <w:rPr>
          <w:rFonts w:asciiTheme="minorHAnsi" w:hAnsiTheme="minorHAnsi"/>
        </w:rPr>
        <w:t xml:space="preserve">contextual </w:t>
      </w:r>
      <w:r w:rsidR="0084380D" w:rsidRPr="00096FF8">
        <w:rPr>
          <w:rFonts w:asciiTheme="minorHAnsi" w:hAnsiTheme="minorHAnsi"/>
        </w:rPr>
        <w:t>factors such as resources, ability and strength of family networks</w:t>
      </w:r>
      <w:r w:rsidR="009A2B0A" w:rsidRPr="00096FF8">
        <w:rPr>
          <w:rFonts w:asciiTheme="minorHAnsi" w:hAnsiTheme="minorHAnsi"/>
        </w:rPr>
        <w:t>; a view similarly expressed by a senior manager</w:t>
      </w:r>
      <w:r w:rsidR="00E31E16" w:rsidRPr="00096FF8">
        <w:rPr>
          <w:rFonts w:asciiTheme="minorHAnsi" w:hAnsiTheme="minorHAnsi"/>
        </w:rPr>
        <w:t>:</w:t>
      </w:r>
      <w:r w:rsidR="0084380D" w:rsidRPr="00096FF8">
        <w:rPr>
          <w:rFonts w:asciiTheme="minorHAnsi" w:hAnsiTheme="minorHAnsi"/>
        </w:rPr>
        <w:t xml:space="preserve">  </w:t>
      </w:r>
    </w:p>
    <w:p w14:paraId="09383AC5" w14:textId="77777777" w:rsidR="00876A0D" w:rsidRPr="00096FF8" w:rsidRDefault="00876A0D" w:rsidP="00490617">
      <w:pPr>
        <w:spacing w:line="480" w:lineRule="auto"/>
        <w:rPr>
          <w:rFonts w:asciiTheme="minorHAnsi" w:hAnsiTheme="minorHAnsi"/>
        </w:rPr>
      </w:pPr>
    </w:p>
    <w:p w14:paraId="4D335B00" w14:textId="67275B34" w:rsidR="00876A0D" w:rsidRPr="00096FF8" w:rsidRDefault="00876A0D" w:rsidP="00490617">
      <w:pPr>
        <w:pStyle w:val="Quote"/>
        <w:spacing w:line="480" w:lineRule="auto"/>
        <w:rPr>
          <w:rFonts w:asciiTheme="minorHAnsi" w:hAnsiTheme="minorHAnsi"/>
        </w:rPr>
      </w:pPr>
      <w:r w:rsidRPr="00096FF8">
        <w:rPr>
          <w:rFonts w:asciiTheme="minorHAnsi" w:hAnsiTheme="minorHAnsi"/>
        </w:rPr>
        <w:t xml:space="preserve">I do believe that if you take a </w:t>
      </w:r>
      <w:r w:rsidR="00314382" w:rsidRPr="00096FF8">
        <w:rPr>
          <w:rFonts w:asciiTheme="minorHAnsi" w:hAnsiTheme="minorHAnsi"/>
        </w:rPr>
        <w:t>Personal Budget</w:t>
      </w:r>
      <w:r w:rsidR="008A0D3A" w:rsidRPr="00096FF8">
        <w:rPr>
          <w:rFonts w:asciiTheme="minorHAnsi" w:hAnsiTheme="minorHAnsi"/>
        </w:rPr>
        <w:t>,</w:t>
      </w:r>
      <w:r w:rsidR="00314382" w:rsidRPr="00096FF8">
        <w:rPr>
          <w:rFonts w:asciiTheme="minorHAnsi" w:hAnsiTheme="minorHAnsi"/>
        </w:rPr>
        <w:t xml:space="preserve"> </w:t>
      </w:r>
      <w:r w:rsidRPr="00096FF8">
        <w:rPr>
          <w:rFonts w:asciiTheme="minorHAnsi" w:hAnsiTheme="minorHAnsi"/>
        </w:rPr>
        <w:t>you actually have more control over the decision making</w:t>
      </w:r>
      <w:r w:rsidR="00DC23D9" w:rsidRPr="00096FF8">
        <w:rPr>
          <w:rFonts w:asciiTheme="minorHAnsi" w:hAnsiTheme="minorHAnsi"/>
        </w:rPr>
        <w:t xml:space="preserve">. </w:t>
      </w:r>
      <w:r w:rsidRPr="00096FF8">
        <w:rPr>
          <w:rFonts w:asciiTheme="minorHAnsi" w:hAnsiTheme="minorHAnsi"/>
        </w:rPr>
        <w:t xml:space="preserve">It doesn’t necessarily mean that you are in a personally strong situation where you can say, ‘Actually, I don’t want it </w:t>
      </w:r>
      <w:r w:rsidRPr="00096FF8">
        <w:rPr>
          <w:rFonts w:asciiTheme="minorHAnsi" w:hAnsiTheme="minorHAnsi"/>
        </w:rPr>
        <w:lastRenderedPageBreak/>
        <w:t xml:space="preserve">anymore because I don’t feel </w:t>
      </w:r>
      <w:r w:rsidR="00DC23D9" w:rsidRPr="00096FF8">
        <w:rPr>
          <w:rFonts w:asciiTheme="minorHAnsi" w:hAnsiTheme="minorHAnsi"/>
        </w:rPr>
        <w:t xml:space="preserve">safe.’ </w:t>
      </w:r>
      <w:r w:rsidRPr="00096FF8">
        <w:rPr>
          <w:rFonts w:asciiTheme="minorHAnsi" w:hAnsiTheme="minorHAnsi"/>
        </w:rPr>
        <w:t>But I would hope that you at least have a say in what you have.</w:t>
      </w:r>
    </w:p>
    <w:p w14:paraId="4636FB1F" w14:textId="77777777" w:rsidR="00876A0D" w:rsidRPr="00096FF8" w:rsidRDefault="00876A0D" w:rsidP="00490617">
      <w:pPr>
        <w:pStyle w:val="QuoteLabel"/>
        <w:spacing w:line="480" w:lineRule="auto"/>
        <w:rPr>
          <w:rFonts w:asciiTheme="minorHAnsi" w:hAnsiTheme="minorHAnsi"/>
        </w:rPr>
      </w:pPr>
      <w:r w:rsidRPr="00096FF8">
        <w:rPr>
          <w:rFonts w:asciiTheme="minorHAnsi" w:hAnsiTheme="minorHAnsi"/>
        </w:rPr>
        <w:t>Senior manager 06</w:t>
      </w:r>
    </w:p>
    <w:p w14:paraId="464CB239" w14:textId="77777777" w:rsidR="00876A0D" w:rsidRPr="00096FF8" w:rsidRDefault="00876A0D" w:rsidP="00490617">
      <w:pPr>
        <w:spacing w:line="480" w:lineRule="auto"/>
        <w:rPr>
          <w:rFonts w:asciiTheme="minorHAnsi" w:hAnsiTheme="minorHAnsi"/>
        </w:rPr>
      </w:pPr>
    </w:p>
    <w:p w14:paraId="075E0602" w14:textId="40B1B5FB" w:rsidR="006B3AD1" w:rsidRPr="00096FF8" w:rsidRDefault="00021A78" w:rsidP="00490617">
      <w:pPr>
        <w:spacing w:line="480" w:lineRule="auto"/>
        <w:rPr>
          <w:rFonts w:asciiTheme="minorHAnsi" w:hAnsiTheme="minorHAnsi"/>
        </w:rPr>
      </w:pPr>
      <w:r w:rsidRPr="00096FF8">
        <w:rPr>
          <w:rFonts w:asciiTheme="minorHAnsi" w:hAnsiTheme="minorHAnsi"/>
        </w:rPr>
        <w:t>In contrast</w:t>
      </w:r>
      <w:r w:rsidR="00DF4CF8" w:rsidRPr="00096FF8">
        <w:rPr>
          <w:rFonts w:asciiTheme="minorHAnsi" w:hAnsiTheme="minorHAnsi"/>
        </w:rPr>
        <w:t>, s</w:t>
      </w:r>
      <w:r w:rsidR="00661A04" w:rsidRPr="00096FF8">
        <w:rPr>
          <w:rFonts w:asciiTheme="minorHAnsi" w:hAnsiTheme="minorHAnsi"/>
        </w:rPr>
        <w:t>ix</w:t>
      </w:r>
      <w:r w:rsidR="006B3AD1" w:rsidRPr="00096FF8">
        <w:rPr>
          <w:rFonts w:asciiTheme="minorHAnsi" w:hAnsiTheme="minorHAnsi"/>
        </w:rPr>
        <w:t xml:space="preserve"> participants </w:t>
      </w:r>
      <w:r w:rsidRPr="00096FF8">
        <w:rPr>
          <w:rFonts w:asciiTheme="minorHAnsi" w:hAnsiTheme="minorHAnsi"/>
        </w:rPr>
        <w:t xml:space="preserve">thought </w:t>
      </w:r>
      <w:r w:rsidR="00DF4CF8" w:rsidRPr="00096FF8">
        <w:rPr>
          <w:rFonts w:asciiTheme="minorHAnsi" w:hAnsiTheme="minorHAnsi"/>
        </w:rPr>
        <w:t xml:space="preserve">that </w:t>
      </w:r>
      <w:r w:rsidR="00E13E4E" w:rsidRPr="00096FF8">
        <w:rPr>
          <w:rFonts w:asciiTheme="minorHAnsi" w:hAnsiTheme="minorHAnsi"/>
        </w:rPr>
        <w:t>Direct Payments</w:t>
      </w:r>
      <w:r w:rsidR="00DF4CF8" w:rsidRPr="00096FF8">
        <w:rPr>
          <w:rFonts w:asciiTheme="minorHAnsi" w:hAnsiTheme="minorHAnsi"/>
        </w:rPr>
        <w:t xml:space="preserve"> represented </w:t>
      </w:r>
      <w:r w:rsidR="002617B1" w:rsidRPr="00096FF8">
        <w:rPr>
          <w:rFonts w:asciiTheme="minorHAnsi" w:hAnsiTheme="minorHAnsi"/>
        </w:rPr>
        <w:t>similar levels and types of</w:t>
      </w:r>
      <w:r w:rsidR="00DF4CF8" w:rsidRPr="00096FF8">
        <w:rPr>
          <w:rFonts w:asciiTheme="minorHAnsi" w:hAnsiTheme="minorHAnsi"/>
        </w:rPr>
        <w:t xml:space="preserve"> risk</w:t>
      </w:r>
      <w:r w:rsidR="009A2B0A" w:rsidRPr="00096FF8">
        <w:rPr>
          <w:rFonts w:asciiTheme="minorHAnsi" w:hAnsiTheme="minorHAnsi"/>
        </w:rPr>
        <w:t>s</w:t>
      </w:r>
      <w:r w:rsidRPr="00096FF8">
        <w:rPr>
          <w:rFonts w:asciiTheme="minorHAnsi" w:hAnsiTheme="minorHAnsi"/>
        </w:rPr>
        <w:t xml:space="preserve"> as previous arrangements</w:t>
      </w:r>
      <w:r w:rsidR="00DF4CF8" w:rsidRPr="00096FF8">
        <w:rPr>
          <w:rFonts w:asciiTheme="minorHAnsi" w:hAnsiTheme="minorHAnsi"/>
        </w:rPr>
        <w:t xml:space="preserve">, or that </w:t>
      </w:r>
      <w:r w:rsidRPr="00096FF8">
        <w:rPr>
          <w:rFonts w:asciiTheme="minorHAnsi" w:hAnsiTheme="minorHAnsi"/>
        </w:rPr>
        <w:t xml:space="preserve">any </w:t>
      </w:r>
      <w:r w:rsidR="00DF4CF8" w:rsidRPr="00096FF8">
        <w:rPr>
          <w:rFonts w:asciiTheme="minorHAnsi" w:hAnsiTheme="minorHAnsi"/>
        </w:rPr>
        <w:t xml:space="preserve">difference in risk </w:t>
      </w:r>
      <w:r w:rsidRPr="00096FF8">
        <w:rPr>
          <w:rFonts w:asciiTheme="minorHAnsi" w:hAnsiTheme="minorHAnsi"/>
        </w:rPr>
        <w:t xml:space="preserve">was </w:t>
      </w:r>
      <w:r w:rsidR="00661A04" w:rsidRPr="00096FF8">
        <w:rPr>
          <w:rFonts w:asciiTheme="minorHAnsi" w:hAnsiTheme="minorHAnsi"/>
        </w:rPr>
        <w:t>unknown</w:t>
      </w:r>
      <w:r w:rsidRPr="00096FF8">
        <w:rPr>
          <w:rFonts w:asciiTheme="minorHAnsi" w:hAnsiTheme="minorHAnsi"/>
        </w:rPr>
        <w:t xml:space="preserve"> or unknowable</w:t>
      </w:r>
      <w:r w:rsidR="00DF4CF8" w:rsidRPr="00096FF8">
        <w:rPr>
          <w:rFonts w:asciiTheme="minorHAnsi" w:hAnsiTheme="minorHAnsi"/>
        </w:rPr>
        <w:t>. These participants</w:t>
      </w:r>
      <w:r w:rsidR="006B3AD1" w:rsidRPr="00096FF8">
        <w:rPr>
          <w:rFonts w:asciiTheme="minorHAnsi" w:hAnsiTheme="minorHAnsi"/>
        </w:rPr>
        <w:t xml:space="preserve"> </w:t>
      </w:r>
      <w:r w:rsidR="00DF4CF8" w:rsidRPr="00096FF8">
        <w:rPr>
          <w:rFonts w:asciiTheme="minorHAnsi" w:hAnsiTheme="minorHAnsi"/>
        </w:rPr>
        <w:t xml:space="preserve">also </w:t>
      </w:r>
      <w:r w:rsidR="00E31E16" w:rsidRPr="00096FF8">
        <w:rPr>
          <w:rFonts w:asciiTheme="minorHAnsi" w:hAnsiTheme="minorHAnsi"/>
        </w:rPr>
        <w:t xml:space="preserve">reflected </w:t>
      </w:r>
      <w:r w:rsidR="006B3AD1" w:rsidRPr="00096FF8">
        <w:rPr>
          <w:rFonts w:asciiTheme="minorHAnsi" w:hAnsiTheme="minorHAnsi"/>
        </w:rPr>
        <w:t xml:space="preserve">on the risk </w:t>
      </w:r>
      <w:r w:rsidR="00E31E16" w:rsidRPr="00096FF8">
        <w:rPr>
          <w:rFonts w:asciiTheme="minorHAnsi" w:hAnsiTheme="minorHAnsi"/>
        </w:rPr>
        <w:t xml:space="preserve">of abuse </w:t>
      </w:r>
      <w:r w:rsidR="005043EA" w:rsidRPr="00096FF8">
        <w:rPr>
          <w:rFonts w:asciiTheme="minorHAnsi" w:hAnsiTheme="minorHAnsi"/>
        </w:rPr>
        <w:t xml:space="preserve">by </w:t>
      </w:r>
      <w:r w:rsidR="00FC1ABB" w:rsidRPr="00096FF8">
        <w:rPr>
          <w:rFonts w:asciiTheme="minorHAnsi" w:hAnsiTheme="minorHAnsi"/>
        </w:rPr>
        <w:t xml:space="preserve">regulated </w:t>
      </w:r>
      <w:r w:rsidR="005043EA" w:rsidRPr="00096FF8">
        <w:rPr>
          <w:rFonts w:asciiTheme="minorHAnsi" w:hAnsiTheme="minorHAnsi"/>
        </w:rPr>
        <w:t>home care workers who</w:t>
      </w:r>
      <w:r w:rsidR="00E31E16" w:rsidRPr="00096FF8">
        <w:rPr>
          <w:rFonts w:asciiTheme="minorHAnsi" w:hAnsiTheme="minorHAnsi"/>
        </w:rPr>
        <w:t xml:space="preserve"> </w:t>
      </w:r>
      <w:r w:rsidR="006B3AD1" w:rsidRPr="00096FF8">
        <w:rPr>
          <w:rFonts w:asciiTheme="minorHAnsi" w:hAnsiTheme="minorHAnsi"/>
        </w:rPr>
        <w:t xml:space="preserve">regularly </w:t>
      </w:r>
      <w:r w:rsidR="005043EA" w:rsidRPr="00096FF8">
        <w:rPr>
          <w:rFonts w:asciiTheme="minorHAnsi" w:hAnsiTheme="minorHAnsi"/>
        </w:rPr>
        <w:t xml:space="preserve">spent </w:t>
      </w:r>
      <w:r w:rsidR="006B3AD1" w:rsidRPr="00096FF8">
        <w:rPr>
          <w:rFonts w:asciiTheme="minorHAnsi" w:hAnsiTheme="minorHAnsi"/>
        </w:rPr>
        <w:t xml:space="preserve">less time than contracted with the service user. </w:t>
      </w:r>
      <w:r w:rsidR="00E31E16" w:rsidRPr="00096FF8">
        <w:rPr>
          <w:rFonts w:asciiTheme="minorHAnsi" w:hAnsiTheme="minorHAnsi"/>
        </w:rPr>
        <w:t xml:space="preserve">For example, </w:t>
      </w:r>
      <w:r w:rsidR="009A2B0A" w:rsidRPr="00096FF8">
        <w:rPr>
          <w:rFonts w:asciiTheme="minorHAnsi" w:hAnsiTheme="minorHAnsi"/>
        </w:rPr>
        <w:t xml:space="preserve">a </w:t>
      </w:r>
      <w:r w:rsidR="006B3AD1" w:rsidRPr="00096FF8">
        <w:rPr>
          <w:rFonts w:asciiTheme="minorHAnsi" w:hAnsiTheme="minorHAnsi"/>
        </w:rPr>
        <w:t xml:space="preserve">team manager felt that </w:t>
      </w:r>
      <w:r w:rsidR="00E13E4E" w:rsidRPr="00096FF8">
        <w:rPr>
          <w:rFonts w:asciiTheme="minorHAnsi" w:hAnsiTheme="minorHAnsi"/>
        </w:rPr>
        <w:t>Direct Payments</w:t>
      </w:r>
      <w:r w:rsidRPr="00096FF8">
        <w:rPr>
          <w:rFonts w:asciiTheme="minorHAnsi" w:hAnsiTheme="minorHAnsi"/>
        </w:rPr>
        <w:t xml:space="preserve"> </w:t>
      </w:r>
      <w:r w:rsidR="00FC1ABB" w:rsidRPr="00096FF8">
        <w:rPr>
          <w:rFonts w:asciiTheme="minorHAnsi" w:hAnsiTheme="minorHAnsi"/>
        </w:rPr>
        <w:t xml:space="preserve">holders </w:t>
      </w:r>
      <w:r w:rsidR="006B3AD1" w:rsidRPr="00096FF8">
        <w:rPr>
          <w:rFonts w:asciiTheme="minorHAnsi" w:hAnsiTheme="minorHAnsi"/>
        </w:rPr>
        <w:t xml:space="preserve">were likely to suffer the </w:t>
      </w:r>
      <w:r w:rsidR="00660023" w:rsidRPr="00096FF8">
        <w:rPr>
          <w:rFonts w:asciiTheme="minorHAnsi" w:hAnsiTheme="minorHAnsi"/>
        </w:rPr>
        <w:t xml:space="preserve">full range of </w:t>
      </w:r>
      <w:r w:rsidR="006B3AD1" w:rsidRPr="00096FF8">
        <w:rPr>
          <w:rFonts w:asciiTheme="minorHAnsi" w:hAnsiTheme="minorHAnsi"/>
        </w:rPr>
        <w:t>abuse</w:t>
      </w:r>
      <w:r w:rsidRPr="00096FF8">
        <w:rPr>
          <w:rFonts w:asciiTheme="minorHAnsi" w:hAnsiTheme="minorHAnsi"/>
        </w:rPr>
        <w:t xml:space="preserve">: </w:t>
      </w:r>
    </w:p>
    <w:p w14:paraId="3D193146" w14:textId="77777777" w:rsidR="00636380" w:rsidRPr="00096FF8" w:rsidRDefault="00636380" w:rsidP="00490617">
      <w:pPr>
        <w:spacing w:line="480" w:lineRule="auto"/>
        <w:rPr>
          <w:rFonts w:asciiTheme="minorHAnsi" w:hAnsiTheme="minorHAnsi"/>
        </w:rPr>
      </w:pPr>
    </w:p>
    <w:p w14:paraId="0A842D44" w14:textId="77777777" w:rsidR="006B3AD1" w:rsidRPr="00096FF8" w:rsidRDefault="006B3AD1" w:rsidP="00490617">
      <w:pPr>
        <w:pStyle w:val="Quote"/>
        <w:spacing w:line="480" w:lineRule="auto"/>
        <w:rPr>
          <w:rFonts w:asciiTheme="minorHAnsi" w:hAnsiTheme="minorHAnsi"/>
        </w:rPr>
      </w:pPr>
      <w:r w:rsidRPr="00096FF8">
        <w:rPr>
          <w:rFonts w:asciiTheme="minorHAnsi" w:hAnsiTheme="minorHAnsi"/>
        </w:rPr>
        <w:t>There’s a real range, you know, from, financial and material exploitation or abuse, through to physical, sexual, acts of neglect</w:t>
      </w:r>
      <w:r w:rsidR="00DC23D9" w:rsidRPr="00096FF8">
        <w:rPr>
          <w:rFonts w:asciiTheme="minorHAnsi" w:hAnsiTheme="minorHAnsi"/>
        </w:rPr>
        <w:t xml:space="preserve">. </w:t>
      </w:r>
      <w:r w:rsidR="00E31E16" w:rsidRPr="00096FF8">
        <w:rPr>
          <w:rFonts w:asciiTheme="minorHAnsi" w:hAnsiTheme="minorHAnsi"/>
        </w:rPr>
        <w:t>T</w:t>
      </w:r>
      <w:r w:rsidRPr="00096FF8">
        <w:rPr>
          <w:rFonts w:asciiTheme="minorHAnsi" w:hAnsiTheme="minorHAnsi"/>
        </w:rPr>
        <w:t>here’s various cases that are kind of popping into my brain now as I’m talking about, which really reflect the whole spectrum of types of exploitation or harm.</w:t>
      </w:r>
    </w:p>
    <w:p w14:paraId="0BC92D39" w14:textId="77777777" w:rsidR="006B3AD1" w:rsidRPr="00096FF8" w:rsidRDefault="004106EB" w:rsidP="00490617">
      <w:pPr>
        <w:pStyle w:val="Quote"/>
        <w:spacing w:line="480" w:lineRule="auto"/>
        <w:jc w:val="right"/>
        <w:rPr>
          <w:rFonts w:asciiTheme="minorHAnsi" w:hAnsiTheme="minorHAnsi"/>
        </w:rPr>
      </w:pPr>
      <w:r w:rsidRPr="00096FF8">
        <w:rPr>
          <w:rFonts w:asciiTheme="minorHAnsi" w:hAnsiTheme="minorHAnsi"/>
        </w:rPr>
        <w:t>Team Manager 10</w:t>
      </w:r>
    </w:p>
    <w:p w14:paraId="3FD89AEE" w14:textId="77777777" w:rsidR="006B3AD1" w:rsidRPr="00096FF8" w:rsidRDefault="006B3AD1" w:rsidP="00490617">
      <w:pPr>
        <w:pStyle w:val="Heading3"/>
        <w:spacing w:line="480" w:lineRule="auto"/>
        <w:rPr>
          <w:rFonts w:asciiTheme="minorHAnsi" w:hAnsiTheme="minorHAnsi"/>
        </w:rPr>
      </w:pPr>
      <w:r w:rsidRPr="00096FF8">
        <w:rPr>
          <w:rFonts w:asciiTheme="minorHAnsi" w:hAnsiTheme="minorHAnsi"/>
        </w:rPr>
        <w:t>Approaches to minimise risk</w:t>
      </w:r>
    </w:p>
    <w:p w14:paraId="73BC7147" w14:textId="0FD453A5" w:rsidR="00E31E16" w:rsidRPr="00096FF8" w:rsidRDefault="00CD4F27" w:rsidP="00490617">
      <w:pPr>
        <w:spacing w:line="480" w:lineRule="auto"/>
        <w:rPr>
          <w:rFonts w:asciiTheme="minorHAnsi" w:hAnsiTheme="minorHAnsi"/>
        </w:rPr>
      </w:pPr>
      <w:r w:rsidRPr="00096FF8">
        <w:rPr>
          <w:rFonts w:asciiTheme="minorHAnsi" w:hAnsiTheme="minorHAnsi"/>
        </w:rPr>
        <w:t>Many different interventions were discussed by social workers and managers as a response to concerns about risk</w:t>
      </w:r>
      <w:r w:rsidR="00021A78" w:rsidRPr="00096FF8">
        <w:rPr>
          <w:rFonts w:asciiTheme="minorHAnsi" w:hAnsiTheme="minorHAnsi"/>
        </w:rPr>
        <w:t xml:space="preserve"> of harm</w:t>
      </w:r>
      <w:r w:rsidRPr="00096FF8">
        <w:rPr>
          <w:rFonts w:asciiTheme="minorHAnsi" w:hAnsiTheme="minorHAnsi"/>
        </w:rPr>
        <w:t xml:space="preserve"> in relation to the use of </w:t>
      </w:r>
      <w:r w:rsidR="00E13E4E" w:rsidRPr="00096FF8">
        <w:rPr>
          <w:rFonts w:asciiTheme="minorHAnsi" w:hAnsiTheme="minorHAnsi"/>
        </w:rPr>
        <w:t>Direct Payments</w:t>
      </w:r>
      <w:r w:rsidRPr="00096FF8">
        <w:rPr>
          <w:rFonts w:asciiTheme="minorHAnsi" w:hAnsiTheme="minorHAnsi"/>
        </w:rPr>
        <w:t xml:space="preserve">. These included not offering </w:t>
      </w:r>
      <w:r w:rsidR="00E13E4E" w:rsidRPr="00096FF8">
        <w:rPr>
          <w:rFonts w:asciiTheme="minorHAnsi" w:hAnsiTheme="minorHAnsi"/>
        </w:rPr>
        <w:t>Direct Payments</w:t>
      </w:r>
      <w:r w:rsidR="00B447C3" w:rsidRPr="00096FF8">
        <w:rPr>
          <w:rFonts w:asciiTheme="minorHAnsi" w:hAnsiTheme="minorHAnsi"/>
        </w:rPr>
        <w:t xml:space="preserve">, or </w:t>
      </w:r>
      <w:r w:rsidR="00FC1ABB" w:rsidRPr="00096FF8">
        <w:rPr>
          <w:rFonts w:asciiTheme="minorHAnsi" w:hAnsiTheme="minorHAnsi"/>
        </w:rPr>
        <w:t xml:space="preserve">rescinding a </w:t>
      </w:r>
      <w:r w:rsidR="00E13E4E" w:rsidRPr="00096FF8">
        <w:rPr>
          <w:rFonts w:asciiTheme="minorHAnsi" w:hAnsiTheme="minorHAnsi"/>
        </w:rPr>
        <w:t>Direct Payment</w:t>
      </w:r>
      <w:r w:rsidRPr="00096FF8">
        <w:rPr>
          <w:rFonts w:asciiTheme="minorHAnsi" w:hAnsiTheme="minorHAnsi"/>
        </w:rPr>
        <w:t xml:space="preserve"> when there were serious concerns about safety</w:t>
      </w:r>
      <w:r w:rsidR="00ED5F86" w:rsidRPr="00096FF8">
        <w:rPr>
          <w:rFonts w:asciiTheme="minorHAnsi" w:hAnsiTheme="minorHAnsi"/>
        </w:rPr>
        <w:t>. As one senior manager put it</w:t>
      </w:r>
      <w:r w:rsidRPr="00096FF8">
        <w:rPr>
          <w:rFonts w:asciiTheme="minorHAnsi" w:hAnsiTheme="minorHAnsi"/>
        </w:rPr>
        <w:t>: ‘</w:t>
      </w:r>
      <w:r w:rsidRPr="00096FF8">
        <w:rPr>
          <w:rFonts w:asciiTheme="minorHAnsi" w:hAnsiTheme="minorHAnsi"/>
          <w:i/>
        </w:rPr>
        <w:t>So it’s choice as long as we agree with your choice’</w:t>
      </w:r>
      <w:r w:rsidRPr="00096FF8">
        <w:rPr>
          <w:rFonts w:asciiTheme="minorHAnsi" w:hAnsiTheme="minorHAnsi"/>
        </w:rPr>
        <w:t xml:space="preserve"> (Senior manager 01). However</w:t>
      </w:r>
      <w:r w:rsidR="00ED5F86" w:rsidRPr="00096FF8">
        <w:rPr>
          <w:rFonts w:asciiTheme="minorHAnsi" w:hAnsiTheme="minorHAnsi"/>
        </w:rPr>
        <w:t xml:space="preserve">, </w:t>
      </w:r>
      <w:r w:rsidR="004208CF" w:rsidRPr="00096FF8">
        <w:rPr>
          <w:rFonts w:asciiTheme="minorHAnsi" w:hAnsiTheme="minorHAnsi"/>
        </w:rPr>
        <w:t>in</w:t>
      </w:r>
      <w:r w:rsidR="00ED5F86" w:rsidRPr="00096FF8">
        <w:rPr>
          <w:rFonts w:asciiTheme="minorHAnsi" w:hAnsiTheme="minorHAnsi"/>
        </w:rPr>
        <w:t xml:space="preserve"> contrast,</w:t>
      </w:r>
      <w:r w:rsidRPr="00096FF8">
        <w:rPr>
          <w:rFonts w:asciiTheme="minorHAnsi" w:hAnsiTheme="minorHAnsi"/>
        </w:rPr>
        <w:t xml:space="preserve"> one team manager also said that a </w:t>
      </w:r>
      <w:r w:rsidR="00E13E4E" w:rsidRPr="00096FF8">
        <w:rPr>
          <w:rFonts w:asciiTheme="minorHAnsi" w:hAnsiTheme="minorHAnsi"/>
        </w:rPr>
        <w:t>Direct Payment</w:t>
      </w:r>
      <w:r w:rsidRPr="00096FF8">
        <w:rPr>
          <w:rFonts w:asciiTheme="minorHAnsi" w:hAnsiTheme="minorHAnsi"/>
        </w:rPr>
        <w:t xml:space="preserve"> could be </w:t>
      </w:r>
      <w:r w:rsidR="00E31E16" w:rsidRPr="00096FF8">
        <w:rPr>
          <w:rFonts w:asciiTheme="minorHAnsi" w:hAnsiTheme="minorHAnsi"/>
        </w:rPr>
        <w:t xml:space="preserve">introduced as a </w:t>
      </w:r>
      <w:r w:rsidRPr="00096FF8">
        <w:rPr>
          <w:rFonts w:asciiTheme="minorHAnsi" w:hAnsiTheme="minorHAnsi"/>
        </w:rPr>
        <w:t>response to a risky situation</w:t>
      </w:r>
      <w:r w:rsidR="0075575F" w:rsidRPr="00096FF8">
        <w:rPr>
          <w:rFonts w:asciiTheme="minorHAnsi" w:hAnsiTheme="minorHAnsi"/>
        </w:rPr>
        <w:t xml:space="preserve">, possibly as the only means of engaging </w:t>
      </w:r>
      <w:r w:rsidR="00FC1ABB" w:rsidRPr="00096FF8">
        <w:rPr>
          <w:rFonts w:asciiTheme="minorHAnsi" w:hAnsiTheme="minorHAnsi"/>
        </w:rPr>
        <w:t>with someone</w:t>
      </w:r>
      <w:r w:rsidR="00ED5F86" w:rsidRPr="00096FF8">
        <w:rPr>
          <w:rFonts w:asciiTheme="minorHAnsi" w:hAnsiTheme="minorHAnsi"/>
        </w:rPr>
        <w:t xml:space="preserve"> with very specific kinds of need</w:t>
      </w:r>
      <w:r w:rsidRPr="00096FF8">
        <w:rPr>
          <w:rFonts w:asciiTheme="minorHAnsi" w:hAnsiTheme="minorHAnsi"/>
        </w:rPr>
        <w:t xml:space="preserve">. Other ways of managing risk </w:t>
      </w:r>
      <w:r w:rsidRPr="00096FF8">
        <w:rPr>
          <w:rFonts w:asciiTheme="minorHAnsi" w:hAnsiTheme="minorHAnsi"/>
        </w:rPr>
        <w:lastRenderedPageBreak/>
        <w:t xml:space="preserve">included allowing only part of the </w:t>
      </w:r>
      <w:r w:rsidR="00FC1ABB" w:rsidRPr="00096FF8">
        <w:rPr>
          <w:rFonts w:asciiTheme="minorHAnsi" w:hAnsiTheme="minorHAnsi"/>
        </w:rPr>
        <w:t xml:space="preserve">personal budget </w:t>
      </w:r>
      <w:r w:rsidR="0066568C" w:rsidRPr="00096FF8">
        <w:rPr>
          <w:rFonts w:asciiTheme="minorHAnsi" w:hAnsiTheme="minorHAnsi"/>
        </w:rPr>
        <w:t xml:space="preserve">to </w:t>
      </w:r>
      <w:r w:rsidRPr="00096FF8">
        <w:rPr>
          <w:rFonts w:asciiTheme="minorHAnsi" w:hAnsiTheme="minorHAnsi"/>
        </w:rPr>
        <w:t xml:space="preserve">be taken as a </w:t>
      </w:r>
      <w:r w:rsidR="00E13E4E" w:rsidRPr="00096FF8">
        <w:rPr>
          <w:rFonts w:asciiTheme="minorHAnsi" w:hAnsiTheme="minorHAnsi"/>
        </w:rPr>
        <w:t>Direct Payment</w:t>
      </w:r>
      <w:r w:rsidR="00BD7D4B" w:rsidRPr="00096FF8">
        <w:rPr>
          <w:rFonts w:asciiTheme="minorHAnsi" w:hAnsiTheme="minorHAnsi"/>
        </w:rPr>
        <w:t xml:space="preserve"> and</w:t>
      </w:r>
      <w:r w:rsidRPr="00096FF8">
        <w:rPr>
          <w:rFonts w:asciiTheme="minorHAnsi" w:hAnsiTheme="minorHAnsi"/>
        </w:rPr>
        <w:t xml:space="preserve"> increased monitoring</w:t>
      </w:r>
      <w:r w:rsidR="0066568C" w:rsidRPr="00096FF8">
        <w:rPr>
          <w:rFonts w:asciiTheme="minorHAnsi" w:hAnsiTheme="minorHAnsi"/>
        </w:rPr>
        <w:t xml:space="preserve"> through the</w:t>
      </w:r>
      <w:r w:rsidRPr="00096FF8">
        <w:rPr>
          <w:rFonts w:asciiTheme="minorHAnsi" w:hAnsiTheme="minorHAnsi"/>
        </w:rPr>
        <w:t xml:space="preserve"> involv</w:t>
      </w:r>
      <w:r w:rsidR="0066568C" w:rsidRPr="00096FF8">
        <w:rPr>
          <w:rFonts w:asciiTheme="minorHAnsi" w:hAnsiTheme="minorHAnsi"/>
        </w:rPr>
        <w:t xml:space="preserve">ement of other </w:t>
      </w:r>
      <w:r w:rsidRPr="00096FF8">
        <w:rPr>
          <w:rFonts w:asciiTheme="minorHAnsi" w:hAnsiTheme="minorHAnsi"/>
        </w:rPr>
        <w:t>agencies</w:t>
      </w:r>
      <w:r w:rsidR="0066568C" w:rsidRPr="00096FF8">
        <w:rPr>
          <w:rFonts w:asciiTheme="minorHAnsi" w:hAnsiTheme="minorHAnsi"/>
        </w:rPr>
        <w:t xml:space="preserve"> providing </w:t>
      </w:r>
      <w:r w:rsidR="00314382" w:rsidRPr="00096FF8">
        <w:rPr>
          <w:rFonts w:asciiTheme="minorHAnsi" w:hAnsiTheme="minorHAnsi"/>
        </w:rPr>
        <w:t>treatment and support</w:t>
      </w:r>
      <w:r w:rsidR="0075575F" w:rsidRPr="00096FF8">
        <w:rPr>
          <w:rFonts w:asciiTheme="minorHAnsi" w:hAnsiTheme="minorHAnsi"/>
        </w:rPr>
        <w:t xml:space="preserve">, such as </w:t>
      </w:r>
      <w:r w:rsidR="005043EA" w:rsidRPr="00096FF8">
        <w:rPr>
          <w:rFonts w:asciiTheme="minorHAnsi" w:hAnsiTheme="minorHAnsi"/>
        </w:rPr>
        <w:t>NHS</w:t>
      </w:r>
      <w:r w:rsidR="00436D05" w:rsidRPr="00096FF8">
        <w:rPr>
          <w:rFonts w:asciiTheme="minorHAnsi" w:hAnsiTheme="minorHAnsi"/>
        </w:rPr>
        <w:t xml:space="preserve"> </w:t>
      </w:r>
      <w:r w:rsidR="0075575F" w:rsidRPr="00096FF8">
        <w:rPr>
          <w:rFonts w:asciiTheme="minorHAnsi" w:hAnsiTheme="minorHAnsi"/>
        </w:rPr>
        <w:t>community nurses</w:t>
      </w:r>
      <w:r w:rsidR="00BD7D4B" w:rsidRPr="00096FF8">
        <w:rPr>
          <w:rFonts w:asciiTheme="minorHAnsi" w:hAnsiTheme="minorHAnsi"/>
        </w:rPr>
        <w:t>.</w:t>
      </w:r>
      <w:r w:rsidRPr="00096FF8">
        <w:rPr>
          <w:rFonts w:asciiTheme="minorHAnsi" w:hAnsiTheme="minorHAnsi"/>
        </w:rPr>
        <w:t xml:space="preserve"> </w:t>
      </w:r>
    </w:p>
    <w:p w14:paraId="1F52A250" w14:textId="77777777" w:rsidR="00E31E16" w:rsidRPr="00096FF8" w:rsidRDefault="00E31E16" w:rsidP="00490617">
      <w:pPr>
        <w:spacing w:line="480" w:lineRule="auto"/>
        <w:rPr>
          <w:rFonts w:asciiTheme="minorHAnsi" w:hAnsiTheme="minorHAnsi"/>
        </w:rPr>
      </w:pPr>
    </w:p>
    <w:p w14:paraId="402991BB" w14:textId="5E4E49A4" w:rsidR="00436D05" w:rsidRPr="00096FF8" w:rsidRDefault="00CD4F27" w:rsidP="00490617">
      <w:pPr>
        <w:spacing w:line="480" w:lineRule="auto"/>
        <w:rPr>
          <w:rFonts w:asciiTheme="minorHAnsi" w:hAnsiTheme="minorHAnsi"/>
        </w:rPr>
      </w:pPr>
      <w:r w:rsidRPr="00096FF8">
        <w:rPr>
          <w:rFonts w:asciiTheme="minorHAnsi" w:hAnsiTheme="minorHAnsi"/>
        </w:rPr>
        <w:t xml:space="preserve">Three managers and social workers </w:t>
      </w:r>
      <w:r w:rsidR="00E31E16" w:rsidRPr="00096FF8">
        <w:rPr>
          <w:rFonts w:asciiTheme="minorHAnsi" w:hAnsiTheme="minorHAnsi"/>
        </w:rPr>
        <w:t xml:space="preserve">described </w:t>
      </w:r>
      <w:r w:rsidR="007D5C0D" w:rsidRPr="00096FF8">
        <w:rPr>
          <w:rFonts w:asciiTheme="minorHAnsi" w:hAnsiTheme="minorHAnsi"/>
        </w:rPr>
        <w:t xml:space="preserve">situations where </w:t>
      </w:r>
      <w:r w:rsidRPr="00096FF8">
        <w:rPr>
          <w:rFonts w:asciiTheme="minorHAnsi" w:hAnsiTheme="minorHAnsi"/>
        </w:rPr>
        <w:t>relatives, companies or user-led organisations act</w:t>
      </w:r>
      <w:r w:rsidR="007D5C0D" w:rsidRPr="00096FF8">
        <w:rPr>
          <w:rFonts w:asciiTheme="minorHAnsi" w:hAnsiTheme="minorHAnsi"/>
        </w:rPr>
        <w:t>ed</w:t>
      </w:r>
      <w:r w:rsidRPr="00096FF8">
        <w:rPr>
          <w:rFonts w:asciiTheme="minorHAnsi" w:hAnsiTheme="minorHAnsi"/>
        </w:rPr>
        <w:t xml:space="preserve"> as third parties</w:t>
      </w:r>
      <w:r w:rsidR="007D5C0D" w:rsidRPr="00096FF8">
        <w:rPr>
          <w:rFonts w:asciiTheme="minorHAnsi" w:hAnsiTheme="minorHAnsi"/>
        </w:rPr>
        <w:t xml:space="preserve"> or</w:t>
      </w:r>
      <w:r w:rsidR="00351D17" w:rsidRPr="00096FF8">
        <w:rPr>
          <w:rFonts w:asciiTheme="minorHAnsi" w:hAnsiTheme="minorHAnsi"/>
        </w:rPr>
        <w:t xml:space="preserve"> </w:t>
      </w:r>
      <w:r w:rsidRPr="00096FF8">
        <w:rPr>
          <w:rFonts w:asciiTheme="minorHAnsi" w:hAnsiTheme="minorHAnsi"/>
        </w:rPr>
        <w:t>offer</w:t>
      </w:r>
      <w:r w:rsidR="00351D17" w:rsidRPr="00096FF8">
        <w:rPr>
          <w:rFonts w:asciiTheme="minorHAnsi" w:hAnsiTheme="minorHAnsi"/>
        </w:rPr>
        <w:t>ed</w:t>
      </w:r>
      <w:r w:rsidRPr="00096FF8">
        <w:rPr>
          <w:rFonts w:asciiTheme="minorHAnsi" w:hAnsiTheme="minorHAnsi"/>
        </w:rPr>
        <w:t xml:space="preserve"> </w:t>
      </w:r>
      <w:r w:rsidR="005043EA" w:rsidRPr="00096FF8">
        <w:rPr>
          <w:rFonts w:asciiTheme="minorHAnsi" w:hAnsiTheme="minorHAnsi"/>
        </w:rPr>
        <w:t>an unofficial</w:t>
      </w:r>
      <w:r w:rsidRPr="00096FF8">
        <w:rPr>
          <w:rFonts w:asciiTheme="minorHAnsi" w:hAnsiTheme="minorHAnsi"/>
        </w:rPr>
        <w:t xml:space="preserve"> care management service</w:t>
      </w:r>
      <w:r w:rsidR="0053737E" w:rsidRPr="00096FF8">
        <w:rPr>
          <w:rFonts w:asciiTheme="minorHAnsi" w:hAnsiTheme="minorHAnsi"/>
        </w:rPr>
        <w:t xml:space="preserve">. This was felt to </w:t>
      </w:r>
      <w:r w:rsidR="00351D17" w:rsidRPr="00096FF8">
        <w:rPr>
          <w:rFonts w:asciiTheme="minorHAnsi" w:hAnsiTheme="minorHAnsi"/>
        </w:rPr>
        <w:t xml:space="preserve">provide additional </w:t>
      </w:r>
      <w:r w:rsidRPr="00096FF8">
        <w:rPr>
          <w:rFonts w:asciiTheme="minorHAnsi" w:hAnsiTheme="minorHAnsi"/>
        </w:rPr>
        <w:t>protecti</w:t>
      </w:r>
      <w:r w:rsidR="00351D17" w:rsidRPr="00096FF8">
        <w:rPr>
          <w:rFonts w:asciiTheme="minorHAnsi" w:hAnsiTheme="minorHAnsi"/>
        </w:rPr>
        <w:t>on</w:t>
      </w:r>
      <w:r w:rsidR="0053737E" w:rsidRPr="00096FF8">
        <w:rPr>
          <w:rFonts w:asciiTheme="minorHAnsi" w:hAnsiTheme="minorHAnsi"/>
        </w:rPr>
        <w:t xml:space="preserve"> by supporting the </w:t>
      </w:r>
      <w:r w:rsidR="009008DB" w:rsidRPr="00096FF8">
        <w:rPr>
          <w:rFonts w:asciiTheme="minorHAnsi" w:hAnsiTheme="minorHAnsi"/>
        </w:rPr>
        <w:t>individual</w:t>
      </w:r>
      <w:r w:rsidR="0053737E" w:rsidRPr="00096FF8">
        <w:rPr>
          <w:rFonts w:asciiTheme="minorHAnsi" w:hAnsiTheme="minorHAnsi"/>
        </w:rPr>
        <w:t xml:space="preserve"> to make good decisions about </w:t>
      </w:r>
      <w:r w:rsidR="00FC1ABB" w:rsidRPr="00096FF8">
        <w:rPr>
          <w:rFonts w:asciiTheme="minorHAnsi" w:hAnsiTheme="minorHAnsi"/>
        </w:rPr>
        <w:t>using</w:t>
      </w:r>
      <w:r w:rsidR="0053737E" w:rsidRPr="00096FF8">
        <w:rPr>
          <w:rFonts w:asciiTheme="minorHAnsi" w:hAnsiTheme="minorHAnsi"/>
        </w:rPr>
        <w:t xml:space="preserve"> their </w:t>
      </w:r>
      <w:r w:rsidR="00E13E4E" w:rsidRPr="00096FF8">
        <w:rPr>
          <w:rFonts w:asciiTheme="minorHAnsi" w:hAnsiTheme="minorHAnsi"/>
        </w:rPr>
        <w:t>Direct Payment</w:t>
      </w:r>
      <w:r w:rsidRPr="00096FF8">
        <w:rPr>
          <w:rFonts w:asciiTheme="minorHAnsi" w:hAnsiTheme="minorHAnsi"/>
        </w:rPr>
        <w:t xml:space="preserve">. </w:t>
      </w:r>
      <w:r w:rsidR="007D5C0D" w:rsidRPr="00096FF8">
        <w:rPr>
          <w:rFonts w:asciiTheme="minorHAnsi" w:hAnsiTheme="minorHAnsi"/>
        </w:rPr>
        <w:t xml:space="preserve">Where such arrangements were made, </w:t>
      </w:r>
      <w:r w:rsidR="00BD7D4B" w:rsidRPr="00096FF8">
        <w:rPr>
          <w:rFonts w:asciiTheme="minorHAnsi" w:hAnsiTheme="minorHAnsi"/>
        </w:rPr>
        <w:t>one</w:t>
      </w:r>
      <w:r w:rsidR="006B3AD1" w:rsidRPr="00096FF8">
        <w:rPr>
          <w:rFonts w:asciiTheme="minorHAnsi" w:hAnsiTheme="minorHAnsi"/>
        </w:rPr>
        <w:t xml:space="preserve"> senior manager described </w:t>
      </w:r>
      <w:r w:rsidR="005043EA" w:rsidRPr="00096FF8">
        <w:rPr>
          <w:rFonts w:asciiTheme="minorHAnsi" w:hAnsiTheme="minorHAnsi"/>
        </w:rPr>
        <w:t>the legal</w:t>
      </w:r>
      <w:r w:rsidR="006B3AD1" w:rsidRPr="00096FF8">
        <w:rPr>
          <w:rFonts w:asciiTheme="minorHAnsi" w:hAnsiTheme="minorHAnsi"/>
        </w:rPr>
        <w:t xml:space="preserve"> safeguards </w:t>
      </w:r>
      <w:r w:rsidR="005043EA" w:rsidRPr="00096FF8">
        <w:rPr>
          <w:rFonts w:asciiTheme="minorHAnsi" w:hAnsiTheme="minorHAnsi"/>
        </w:rPr>
        <w:t>required</w:t>
      </w:r>
      <w:r w:rsidR="001C1969" w:rsidRPr="00096FF8">
        <w:rPr>
          <w:rFonts w:asciiTheme="minorHAnsi" w:hAnsiTheme="minorHAnsi"/>
        </w:rPr>
        <w:t>,</w:t>
      </w:r>
      <w:r w:rsidR="005043EA" w:rsidRPr="00096FF8">
        <w:rPr>
          <w:rFonts w:asciiTheme="minorHAnsi" w:hAnsiTheme="minorHAnsi"/>
        </w:rPr>
        <w:t xml:space="preserve"> </w:t>
      </w:r>
      <w:r w:rsidR="009008DB" w:rsidRPr="00096FF8">
        <w:rPr>
          <w:rFonts w:asciiTheme="minorHAnsi" w:hAnsiTheme="minorHAnsi"/>
        </w:rPr>
        <w:t>such as</w:t>
      </w:r>
      <w:r w:rsidR="0066568C" w:rsidRPr="00096FF8">
        <w:rPr>
          <w:rFonts w:asciiTheme="minorHAnsi" w:hAnsiTheme="minorHAnsi"/>
        </w:rPr>
        <w:t xml:space="preserve"> </w:t>
      </w:r>
      <w:r w:rsidR="00E95840" w:rsidRPr="00096FF8">
        <w:rPr>
          <w:rFonts w:asciiTheme="minorHAnsi" w:hAnsiTheme="minorHAnsi"/>
        </w:rPr>
        <w:t xml:space="preserve">a </w:t>
      </w:r>
      <w:r w:rsidR="0066568C" w:rsidRPr="00096FF8">
        <w:rPr>
          <w:rFonts w:asciiTheme="minorHAnsi" w:hAnsiTheme="minorHAnsi"/>
        </w:rPr>
        <w:t xml:space="preserve">confirmation </w:t>
      </w:r>
      <w:r w:rsidR="006B3AD1" w:rsidRPr="00096FF8">
        <w:rPr>
          <w:rFonts w:asciiTheme="minorHAnsi" w:hAnsiTheme="minorHAnsi"/>
        </w:rPr>
        <w:t xml:space="preserve">that the </w:t>
      </w:r>
      <w:r w:rsidR="0066568C" w:rsidRPr="00096FF8">
        <w:rPr>
          <w:rFonts w:asciiTheme="minorHAnsi" w:hAnsiTheme="minorHAnsi"/>
        </w:rPr>
        <w:t xml:space="preserve">relative was a </w:t>
      </w:r>
      <w:r w:rsidR="005043EA" w:rsidRPr="00096FF8">
        <w:rPr>
          <w:rFonts w:asciiTheme="minorHAnsi" w:hAnsiTheme="minorHAnsi"/>
        </w:rPr>
        <w:t>‘</w:t>
      </w:r>
      <w:r w:rsidR="006B3AD1" w:rsidRPr="00096FF8">
        <w:rPr>
          <w:rFonts w:asciiTheme="minorHAnsi" w:hAnsiTheme="minorHAnsi"/>
        </w:rPr>
        <w:t xml:space="preserve">suitable </w:t>
      </w:r>
      <w:r w:rsidR="0066568C" w:rsidRPr="00096FF8">
        <w:rPr>
          <w:rFonts w:asciiTheme="minorHAnsi" w:hAnsiTheme="minorHAnsi"/>
        </w:rPr>
        <w:t>person</w:t>
      </w:r>
      <w:r w:rsidR="005043EA" w:rsidRPr="00096FF8">
        <w:rPr>
          <w:rFonts w:asciiTheme="minorHAnsi" w:hAnsiTheme="minorHAnsi"/>
        </w:rPr>
        <w:t>’</w:t>
      </w:r>
      <w:r w:rsidR="0066568C" w:rsidRPr="00096FF8">
        <w:rPr>
          <w:rFonts w:asciiTheme="minorHAnsi" w:hAnsiTheme="minorHAnsi"/>
        </w:rPr>
        <w:t xml:space="preserve"> to</w:t>
      </w:r>
      <w:r w:rsidR="006B3AD1" w:rsidRPr="00096FF8">
        <w:rPr>
          <w:rFonts w:asciiTheme="minorHAnsi" w:hAnsiTheme="minorHAnsi"/>
        </w:rPr>
        <w:t xml:space="preserve"> </w:t>
      </w:r>
      <w:r w:rsidR="005055AB" w:rsidRPr="00096FF8">
        <w:rPr>
          <w:rFonts w:asciiTheme="minorHAnsi" w:hAnsiTheme="minorHAnsi"/>
        </w:rPr>
        <w:t>manag</w:t>
      </w:r>
      <w:r w:rsidR="0066568C" w:rsidRPr="00096FF8">
        <w:rPr>
          <w:rFonts w:asciiTheme="minorHAnsi" w:hAnsiTheme="minorHAnsi"/>
        </w:rPr>
        <w:t xml:space="preserve">e the </w:t>
      </w:r>
      <w:r w:rsidR="00E13E4E" w:rsidRPr="00096FF8">
        <w:rPr>
          <w:rFonts w:asciiTheme="minorHAnsi" w:hAnsiTheme="minorHAnsi"/>
        </w:rPr>
        <w:t>Direct Payment</w:t>
      </w:r>
      <w:r w:rsidR="005055AB" w:rsidRPr="00096FF8">
        <w:rPr>
          <w:rFonts w:asciiTheme="minorHAnsi" w:hAnsiTheme="minorHAnsi"/>
        </w:rPr>
        <w:t xml:space="preserve"> on their behalf</w:t>
      </w:r>
      <w:r w:rsidR="001D48F8" w:rsidRPr="00096FF8">
        <w:rPr>
          <w:rFonts w:asciiTheme="minorHAnsi" w:hAnsiTheme="minorHAnsi"/>
        </w:rPr>
        <w:t xml:space="preserve">, which </w:t>
      </w:r>
      <w:r w:rsidR="009008DB" w:rsidRPr="00096FF8">
        <w:rPr>
          <w:rFonts w:asciiTheme="minorHAnsi" w:hAnsiTheme="minorHAnsi"/>
        </w:rPr>
        <w:t>may</w:t>
      </w:r>
      <w:r w:rsidR="001D48F8" w:rsidRPr="00096FF8">
        <w:rPr>
          <w:rFonts w:asciiTheme="minorHAnsi" w:hAnsiTheme="minorHAnsi"/>
        </w:rPr>
        <w:t xml:space="preserve"> provide some </w:t>
      </w:r>
      <w:r w:rsidR="00FC1ABB" w:rsidRPr="00096FF8">
        <w:rPr>
          <w:rFonts w:asciiTheme="minorHAnsi" w:hAnsiTheme="minorHAnsi"/>
        </w:rPr>
        <w:t>safeguards:</w:t>
      </w:r>
    </w:p>
    <w:p w14:paraId="15C89564" w14:textId="77777777" w:rsidR="006B3AD1" w:rsidRPr="00096FF8" w:rsidRDefault="006B3AD1" w:rsidP="00490617">
      <w:pPr>
        <w:spacing w:line="480" w:lineRule="auto"/>
        <w:rPr>
          <w:rFonts w:asciiTheme="minorHAnsi" w:hAnsiTheme="minorHAnsi"/>
        </w:rPr>
      </w:pPr>
    </w:p>
    <w:p w14:paraId="4B17EABB" w14:textId="77777777" w:rsidR="006B3AD1" w:rsidRPr="00096FF8" w:rsidRDefault="00351D17" w:rsidP="00490617">
      <w:pPr>
        <w:pStyle w:val="Quote"/>
        <w:spacing w:line="480" w:lineRule="auto"/>
        <w:rPr>
          <w:rFonts w:asciiTheme="minorHAnsi" w:hAnsiTheme="minorHAnsi"/>
        </w:rPr>
      </w:pPr>
      <w:r w:rsidRPr="00096FF8">
        <w:rPr>
          <w:rFonts w:asciiTheme="minorHAnsi" w:hAnsiTheme="minorHAnsi"/>
        </w:rPr>
        <w:t>I</w:t>
      </w:r>
      <w:r w:rsidR="006B3AD1" w:rsidRPr="00096FF8">
        <w:rPr>
          <w:rFonts w:asciiTheme="minorHAnsi" w:hAnsiTheme="minorHAnsi"/>
        </w:rPr>
        <w:t>f we are satisfied that we believe the person can manage the direct payment or a relative can manage it for them</w:t>
      </w:r>
      <w:r w:rsidRPr="00096FF8">
        <w:rPr>
          <w:rFonts w:asciiTheme="minorHAnsi" w:hAnsiTheme="minorHAnsi"/>
        </w:rPr>
        <w:t>,</w:t>
      </w:r>
      <w:r w:rsidR="006B3AD1" w:rsidRPr="00096FF8">
        <w:rPr>
          <w:rFonts w:asciiTheme="minorHAnsi" w:hAnsiTheme="minorHAnsi"/>
        </w:rPr>
        <w:t xml:space="preserve"> and that relative appears to be suitable, then we will allow the direct payment to go ahead</w:t>
      </w:r>
      <w:r w:rsidR="00DC23D9" w:rsidRPr="00096FF8">
        <w:rPr>
          <w:rFonts w:asciiTheme="minorHAnsi" w:hAnsiTheme="minorHAnsi"/>
        </w:rPr>
        <w:t xml:space="preserve">. </w:t>
      </w:r>
      <w:r w:rsidR="006B3AD1" w:rsidRPr="00096FF8">
        <w:rPr>
          <w:rFonts w:asciiTheme="minorHAnsi" w:hAnsiTheme="minorHAnsi"/>
        </w:rPr>
        <w:t xml:space="preserve">And that’s just part of general practice.  </w:t>
      </w:r>
    </w:p>
    <w:p w14:paraId="6F94D3C2" w14:textId="77777777" w:rsidR="006B3AD1" w:rsidRPr="00096FF8" w:rsidRDefault="00DC57C0" w:rsidP="00490617">
      <w:pPr>
        <w:pStyle w:val="QuoteLabel"/>
        <w:spacing w:line="480" w:lineRule="auto"/>
        <w:rPr>
          <w:rFonts w:asciiTheme="minorHAnsi" w:hAnsiTheme="minorHAnsi"/>
        </w:rPr>
      </w:pPr>
      <w:r w:rsidRPr="00096FF8">
        <w:rPr>
          <w:rFonts w:asciiTheme="minorHAnsi" w:hAnsiTheme="minorHAnsi"/>
        </w:rPr>
        <w:t>Senior manager 05</w:t>
      </w:r>
    </w:p>
    <w:p w14:paraId="3B8CB2C9" w14:textId="77777777" w:rsidR="00C05A42" w:rsidRPr="00096FF8" w:rsidRDefault="00C05A42" w:rsidP="00490617">
      <w:pPr>
        <w:pStyle w:val="MediumGrid1-Accent21"/>
        <w:spacing w:before="0" w:after="0" w:line="480" w:lineRule="auto"/>
        <w:ind w:left="0"/>
        <w:rPr>
          <w:rFonts w:asciiTheme="minorHAnsi" w:hAnsiTheme="minorHAnsi"/>
          <w:szCs w:val="24"/>
        </w:rPr>
      </w:pPr>
    </w:p>
    <w:p w14:paraId="13DB8BE3" w14:textId="7C6BFA95" w:rsidR="00E7168D" w:rsidRPr="00096FF8" w:rsidRDefault="00DD1E82" w:rsidP="00490617">
      <w:pPr>
        <w:pStyle w:val="MediumGrid1-Accent21"/>
        <w:spacing w:before="0" w:after="0" w:line="480" w:lineRule="auto"/>
        <w:ind w:left="0"/>
        <w:rPr>
          <w:rFonts w:asciiTheme="minorHAnsi" w:hAnsiTheme="minorHAnsi"/>
          <w:szCs w:val="24"/>
        </w:rPr>
      </w:pPr>
      <w:r w:rsidRPr="00096FF8">
        <w:rPr>
          <w:rFonts w:asciiTheme="minorHAnsi" w:hAnsiTheme="minorHAnsi"/>
        </w:rPr>
        <w:t xml:space="preserve">However, problems with </w:t>
      </w:r>
      <w:r w:rsidR="00FC1ABB" w:rsidRPr="00096FF8">
        <w:rPr>
          <w:rFonts w:asciiTheme="minorHAnsi" w:hAnsiTheme="minorHAnsi"/>
        </w:rPr>
        <w:t xml:space="preserve">these </w:t>
      </w:r>
      <w:r w:rsidRPr="00096FF8">
        <w:rPr>
          <w:rFonts w:asciiTheme="minorHAnsi" w:hAnsiTheme="minorHAnsi"/>
        </w:rPr>
        <w:t>processes and support planning have been reported (Laybourne, et al., 2014).</w:t>
      </w:r>
      <w:r w:rsidR="00E60F45" w:rsidRPr="00096FF8">
        <w:rPr>
          <w:rFonts w:asciiTheme="minorHAnsi" w:hAnsiTheme="minorHAnsi"/>
          <w:szCs w:val="24"/>
        </w:rPr>
        <w:t xml:space="preserve"> </w:t>
      </w:r>
    </w:p>
    <w:p w14:paraId="4DB6FD30" w14:textId="77777777" w:rsidR="00E7168D" w:rsidRPr="00096FF8" w:rsidRDefault="00E7168D" w:rsidP="00490617">
      <w:pPr>
        <w:pStyle w:val="MediumGrid1-Accent21"/>
        <w:spacing w:before="0" w:after="0" w:line="480" w:lineRule="auto"/>
        <w:ind w:left="0"/>
        <w:rPr>
          <w:rFonts w:asciiTheme="minorHAnsi" w:hAnsiTheme="minorHAnsi"/>
          <w:szCs w:val="24"/>
        </w:rPr>
      </w:pPr>
    </w:p>
    <w:p w14:paraId="6240633C" w14:textId="594E19D5" w:rsidR="00CD4F27" w:rsidRPr="00096FF8" w:rsidRDefault="007706BB"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The </w:t>
      </w:r>
      <w:r w:rsidR="00DD5AEB" w:rsidRPr="00096FF8">
        <w:rPr>
          <w:rFonts w:asciiTheme="minorHAnsi" w:hAnsiTheme="minorHAnsi"/>
          <w:szCs w:val="24"/>
        </w:rPr>
        <w:t xml:space="preserve">importance of </w:t>
      </w:r>
      <w:r w:rsidRPr="00096FF8">
        <w:rPr>
          <w:rFonts w:asciiTheme="minorHAnsi" w:hAnsiTheme="minorHAnsi"/>
          <w:szCs w:val="24"/>
        </w:rPr>
        <w:t>monitoring and review</w:t>
      </w:r>
      <w:r w:rsidR="00B447C3" w:rsidRPr="00096FF8">
        <w:rPr>
          <w:rFonts w:asciiTheme="minorHAnsi" w:hAnsiTheme="minorHAnsi"/>
          <w:szCs w:val="24"/>
        </w:rPr>
        <w:t>s</w:t>
      </w:r>
      <w:r w:rsidRPr="00096FF8">
        <w:rPr>
          <w:rFonts w:asciiTheme="minorHAnsi" w:hAnsiTheme="minorHAnsi"/>
          <w:szCs w:val="24"/>
        </w:rPr>
        <w:t xml:space="preserve"> </w:t>
      </w:r>
      <w:r w:rsidR="0066568C" w:rsidRPr="00096FF8">
        <w:rPr>
          <w:rFonts w:asciiTheme="minorHAnsi" w:hAnsiTheme="minorHAnsi"/>
          <w:szCs w:val="24"/>
        </w:rPr>
        <w:t>to</w:t>
      </w:r>
      <w:r w:rsidR="00351D17" w:rsidRPr="00096FF8">
        <w:rPr>
          <w:rFonts w:asciiTheme="minorHAnsi" w:hAnsiTheme="minorHAnsi"/>
          <w:szCs w:val="24"/>
        </w:rPr>
        <w:t xml:space="preserve"> </w:t>
      </w:r>
      <w:r w:rsidR="00DD5AEB" w:rsidRPr="00096FF8">
        <w:rPr>
          <w:rFonts w:asciiTheme="minorHAnsi" w:hAnsiTheme="minorHAnsi"/>
          <w:szCs w:val="24"/>
        </w:rPr>
        <w:t xml:space="preserve">identify potential risks of abuse and harm </w:t>
      </w:r>
      <w:r w:rsidR="00FC1ABB" w:rsidRPr="00096FF8">
        <w:rPr>
          <w:rFonts w:asciiTheme="minorHAnsi" w:hAnsiTheme="minorHAnsi"/>
          <w:szCs w:val="24"/>
        </w:rPr>
        <w:t xml:space="preserve">was </w:t>
      </w:r>
      <w:r w:rsidR="0066568C" w:rsidRPr="00096FF8">
        <w:rPr>
          <w:rFonts w:asciiTheme="minorHAnsi" w:hAnsiTheme="minorHAnsi"/>
          <w:szCs w:val="24"/>
        </w:rPr>
        <w:t xml:space="preserve">mentioned </w:t>
      </w:r>
      <w:r w:rsidR="00DD5AEB" w:rsidRPr="00096FF8">
        <w:rPr>
          <w:rFonts w:asciiTheme="minorHAnsi" w:hAnsiTheme="minorHAnsi"/>
          <w:szCs w:val="24"/>
        </w:rPr>
        <w:t xml:space="preserve">by </w:t>
      </w:r>
      <w:r w:rsidR="00351D17" w:rsidRPr="00096FF8">
        <w:rPr>
          <w:rFonts w:asciiTheme="minorHAnsi" w:hAnsiTheme="minorHAnsi"/>
          <w:szCs w:val="24"/>
        </w:rPr>
        <w:t xml:space="preserve">most </w:t>
      </w:r>
      <w:r w:rsidR="00DD5AEB" w:rsidRPr="00096FF8">
        <w:rPr>
          <w:rFonts w:asciiTheme="minorHAnsi" w:hAnsiTheme="minorHAnsi"/>
          <w:szCs w:val="24"/>
        </w:rPr>
        <w:t>participants.</w:t>
      </w:r>
      <w:r w:rsidRPr="00096FF8">
        <w:rPr>
          <w:rFonts w:asciiTheme="minorHAnsi" w:hAnsiTheme="minorHAnsi"/>
          <w:szCs w:val="24"/>
        </w:rPr>
        <w:t xml:space="preserve"> </w:t>
      </w:r>
      <w:r w:rsidR="00DD5AEB" w:rsidRPr="00096FF8">
        <w:rPr>
          <w:rFonts w:asciiTheme="minorHAnsi" w:hAnsiTheme="minorHAnsi"/>
          <w:szCs w:val="24"/>
        </w:rPr>
        <w:t xml:space="preserve">They </w:t>
      </w:r>
      <w:r w:rsidR="00351D17" w:rsidRPr="00096FF8">
        <w:rPr>
          <w:rFonts w:asciiTheme="minorHAnsi" w:hAnsiTheme="minorHAnsi"/>
          <w:szCs w:val="24"/>
        </w:rPr>
        <w:t xml:space="preserve">suggested </w:t>
      </w:r>
      <w:r w:rsidRPr="00096FF8">
        <w:rPr>
          <w:rFonts w:asciiTheme="minorHAnsi" w:hAnsiTheme="minorHAnsi"/>
          <w:szCs w:val="24"/>
        </w:rPr>
        <w:t>that this was more</w:t>
      </w:r>
      <w:r w:rsidR="005055AB" w:rsidRPr="00096FF8">
        <w:rPr>
          <w:rFonts w:asciiTheme="minorHAnsi" w:hAnsiTheme="minorHAnsi"/>
          <w:szCs w:val="24"/>
        </w:rPr>
        <w:t xml:space="preserve"> necessary</w:t>
      </w:r>
      <w:r w:rsidRPr="00096FF8">
        <w:rPr>
          <w:rFonts w:asciiTheme="minorHAnsi" w:hAnsiTheme="minorHAnsi"/>
          <w:szCs w:val="24"/>
        </w:rPr>
        <w:t xml:space="preserve"> when </w:t>
      </w:r>
      <w:r w:rsidR="00E13E4E" w:rsidRPr="00096FF8">
        <w:rPr>
          <w:rFonts w:asciiTheme="minorHAnsi" w:hAnsiTheme="minorHAnsi"/>
          <w:szCs w:val="24"/>
        </w:rPr>
        <w:t>Direct Payments</w:t>
      </w:r>
      <w:r w:rsidRPr="00096FF8">
        <w:rPr>
          <w:rFonts w:asciiTheme="minorHAnsi" w:hAnsiTheme="minorHAnsi"/>
          <w:szCs w:val="24"/>
        </w:rPr>
        <w:t xml:space="preserve"> were involved.</w:t>
      </w:r>
      <w:r w:rsidR="00D04C30" w:rsidRPr="00096FF8">
        <w:rPr>
          <w:rFonts w:asciiTheme="minorHAnsi" w:hAnsiTheme="minorHAnsi"/>
          <w:szCs w:val="24"/>
        </w:rPr>
        <w:t xml:space="preserve"> </w:t>
      </w:r>
      <w:r w:rsidR="00351D17" w:rsidRPr="00096FF8">
        <w:rPr>
          <w:rFonts w:asciiTheme="minorHAnsi" w:hAnsiTheme="minorHAnsi"/>
          <w:szCs w:val="24"/>
        </w:rPr>
        <w:t xml:space="preserve">For example, some participants emphasised the </w:t>
      </w:r>
      <w:r w:rsidR="00FC1ABB" w:rsidRPr="00096FF8">
        <w:rPr>
          <w:rFonts w:asciiTheme="minorHAnsi" w:hAnsiTheme="minorHAnsi"/>
          <w:szCs w:val="24"/>
        </w:rPr>
        <w:t xml:space="preserve">potential </w:t>
      </w:r>
      <w:r w:rsidR="00351D17" w:rsidRPr="00096FF8">
        <w:rPr>
          <w:rFonts w:asciiTheme="minorHAnsi" w:hAnsiTheme="minorHAnsi"/>
          <w:szCs w:val="24"/>
        </w:rPr>
        <w:t xml:space="preserve">of </w:t>
      </w:r>
      <w:r w:rsidR="00351D17" w:rsidRPr="00096FF8">
        <w:rPr>
          <w:rFonts w:asciiTheme="minorHAnsi" w:hAnsiTheme="minorHAnsi"/>
          <w:szCs w:val="24"/>
        </w:rPr>
        <w:lastRenderedPageBreak/>
        <w:t>f</w:t>
      </w:r>
      <w:r w:rsidR="00D04C30" w:rsidRPr="00096FF8">
        <w:rPr>
          <w:rFonts w:asciiTheme="minorHAnsi" w:hAnsiTheme="minorHAnsi"/>
          <w:szCs w:val="24"/>
        </w:rPr>
        <w:t xml:space="preserve">inancial monitoring </w:t>
      </w:r>
      <w:r w:rsidR="005043EA" w:rsidRPr="00096FF8">
        <w:rPr>
          <w:rFonts w:asciiTheme="minorHAnsi" w:hAnsiTheme="minorHAnsi"/>
          <w:szCs w:val="24"/>
        </w:rPr>
        <w:t>as</w:t>
      </w:r>
      <w:r w:rsidR="00351D17" w:rsidRPr="00096FF8">
        <w:rPr>
          <w:rFonts w:asciiTheme="minorHAnsi" w:hAnsiTheme="minorHAnsi"/>
          <w:szCs w:val="24"/>
        </w:rPr>
        <w:t xml:space="preserve"> a useful </w:t>
      </w:r>
      <w:r w:rsidR="00D04C30" w:rsidRPr="00096FF8">
        <w:rPr>
          <w:rFonts w:asciiTheme="minorHAnsi" w:hAnsiTheme="minorHAnsi"/>
          <w:szCs w:val="24"/>
        </w:rPr>
        <w:t>trigger for further investigation</w:t>
      </w:r>
      <w:r w:rsidR="007D5C0D" w:rsidRPr="00096FF8">
        <w:rPr>
          <w:rFonts w:asciiTheme="minorHAnsi" w:hAnsiTheme="minorHAnsi"/>
          <w:szCs w:val="24"/>
        </w:rPr>
        <w:t xml:space="preserve">. </w:t>
      </w:r>
      <w:r w:rsidR="005043EA" w:rsidRPr="00096FF8">
        <w:rPr>
          <w:rFonts w:asciiTheme="minorHAnsi" w:hAnsiTheme="minorHAnsi"/>
          <w:szCs w:val="24"/>
        </w:rPr>
        <w:t xml:space="preserve">These </w:t>
      </w:r>
      <w:r w:rsidR="007D5C0D" w:rsidRPr="00096FF8">
        <w:rPr>
          <w:rFonts w:asciiTheme="minorHAnsi" w:hAnsiTheme="minorHAnsi"/>
          <w:szCs w:val="24"/>
        </w:rPr>
        <w:t xml:space="preserve">could be </w:t>
      </w:r>
      <w:r w:rsidR="00F80DF0" w:rsidRPr="00096FF8">
        <w:rPr>
          <w:rFonts w:asciiTheme="minorHAnsi" w:hAnsiTheme="minorHAnsi"/>
          <w:szCs w:val="24"/>
        </w:rPr>
        <w:t xml:space="preserve">initiated </w:t>
      </w:r>
      <w:r w:rsidR="00D04C30" w:rsidRPr="00096FF8">
        <w:rPr>
          <w:rFonts w:asciiTheme="minorHAnsi" w:hAnsiTheme="minorHAnsi"/>
          <w:szCs w:val="24"/>
        </w:rPr>
        <w:t xml:space="preserve">if </w:t>
      </w:r>
      <w:r w:rsidR="00EC79EC" w:rsidRPr="00096FF8">
        <w:rPr>
          <w:rFonts w:asciiTheme="minorHAnsi" w:hAnsiTheme="minorHAnsi"/>
          <w:szCs w:val="24"/>
        </w:rPr>
        <w:t xml:space="preserve">people using </w:t>
      </w:r>
      <w:r w:rsidR="00E13E4E" w:rsidRPr="00096FF8">
        <w:rPr>
          <w:rFonts w:asciiTheme="minorHAnsi" w:hAnsiTheme="minorHAnsi"/>
          <w:szCs w:val="24"/>
        </w:rPr>
        <w:t>Direct Payment</w:t>
      </w:r>
      <w:r w:rsidR="001C1969" w:rsidRPr="00096FF8">
        <w:rPr>
          <w:rFonts w:asciiTheme="minorHAnsi" w:hAnsiTheme="minorHAnsi"/>
          <w:szCs w:val="24"/>
        </w:rPr>
        <w:t>s</w:t>
      </w:r>
      <w:r w:rsidR="00D04C30" w:rsidRPr="00096FF8">
        <w:rPr>
          <w:rFonts w:asciiTheme="minorHAnsi" w:hAnsiTheme="minorHAnsi"/>
          <w:szCs w:val="24"/>
        </w:rPr>
        <w:t xml:space="preserve"> did not send their monitoring reports </w:t>
      </w:r>
      <w:r w:rsidR="005055AB" w:rsidRPr="00096FF8">
        <w:rPr>
          <w:rFonts w:asciiTheme="minorHAnsi" w:hAnsiTheme="minorHAnsi"/>
          <w:szCs w:val="24"/>
        </w:rPr>
        <w:t xml:space="preserve">to the </w:t>
      </w:r>
      <w:r w:rsidR="00FC1ABB" w:rsidRPr="00096FF8">
        <w:rPr>
          <w:rFonts w:asciiTheme="minorHAnsi" w:hAnsiTheme="minorHAnsi"/>
          <w:szCs w:val="24"/>
        </w:rPr>
        <w:t xml:space="preserve">local authority </w:t>
      </w:r>
      <w:r w:rsidR="00D04C30" w:rsidRPr="00096FF8">
        <w:rPr>
          <w:rFonts w:asciiTheme="minorHAnsi" w:hAnsiTheme="minorHAnsi"/>
          <w:szCs w:val="24"/>
        </w:rPr>
        <w:t xml:space="preserve">for long periods, or </w:t>
      </w:r>
      <w:r w:rsidR="00300E1A" w:rsidRPr="00096FF8">
        <w:rPr>
          <w:rFonts w:asciiTheme="minorHAnsi" w:hAnsiTheme="minorHAnsi"/>
          <w:szCs w:val="24"/>
        </w:rPr>
        <w:t>i</w:t>
      </w:r>
      <w:r w:rsidR="00D04C30" w:rsidRPr="00096FF8">
        <w:rPr>
          <w:rFonts w:asciiTheme="minorHAnsi" w:hAnsiTheme="minorHAnsi"/>
          <w:szCs w:val="24"/>
        </w:rPr>
        <w:t xml:space="preserve">f something </w:t>
      </w:r>
      <w:r w:rsidR="001C3107" w:rsidRPr="00096FF8">
        <w:rPr>
          <w:rFonts w:asciiTheme="minorHAnsi" w:hAnsiTheme="minorHAnsi"/>
          <w:szCs w:val="24"/>
        </w:rPr>
        <w:t>untoward</w:t>
      </w:r>
      <w:r w:rsidR="00D04C30" w:rsidRPr="00096FF8">
        <w:rPr>
          <w:rFonts w:asciiTheme="minorHAnsi" w:hAnsiTheme="minorHAnsi"/>
          <w:szCs w:val="24"/>
        </w:rPr>
        <w:t xml:space="preserve"> appeared </w:t>
      </w:r>
      <w:r w:rsidR="00FC1ABB" w:rsidRPr="00096FF8">
        <w:rPr>
          <w:rFonts w:asciiTheme="minorHAnsi" w:hAnsiTheme="minorHAnsi"/>
          <w:szCs w:val="24"/>
        </w:rPr>
        <w:t xml:space="preserve">in </w:t>
      </w:r>
      <w:r w:rsidR="00D04C30" w:rsidRPr="00096FF8">
        <w:rPr>
          <w:rFonts w:asciiTheme="minorHAnsi" w:hAnsiTheme="minorHAnsi"/>
          <w:szCs w:val="24"/>
        </w:rPr>
        <w:t>the reports</w:t>
      </w:r>
      <w:r w:rsidR="001C3107" w:rsidRPr="00096FF8">
        <w:rPr>
          <w:rFonts w:asciiTheme="minorHAnsi" w:hAnsiTheme="minorHAnsi"/>
          <w:szCs w:val="24"/>
        </w:rPr>
        <w:t xml:space="preserve">, for </w:t>
      </w:r>
      <w:r w:rsidR="00EC79EC" w:rsidRPr="00096FF8">
        <w:rPr>
          <w:rFonts w:asciiTheme="minorHAnsi" w:hAnsiTheme="minorHAnsi"/>
          <w:szCs w:val="24"/>
        </w:rPr>
        <w:t xml:space="preserve">instance </w:t>
      </w:r>
      <w:r w:rsidR="005043EA" w:rsidRPr="00096FF8">
        <w:rPr>
          <w:rFonts w:asciiTheme="minorHAnsi" w:hAnsiTheme="minorHAnsi"/>
          <w:szCs w:val="24"/>
        </w:rPr>
        <w:t>how</w:t>
      </w:r>
      <w:r w:rsidR="001C3107" w:rsidRPr="00096FF8">
        <w:rPr>
          <w:rFonts w:asciiTheme="minorHAnsi" w:hAnsiTheme="minorHAnsi"/>
          <w:szCs w:val="24"/>
        </w:rPr>
        <w:t xml:space="preserve"> th</w:t>
      </w:r>
      <w:r w:rsidR="0066568C" w:rsidRPr="00096FF8">
        <w:rPr>
          <w:rFonts w:asciiTheme="minorHAnsi" w:hAnsiTheme="minorHAnsi"/>
          <w:szCs w:val="24"/>
        </w:rPr>
        <w:t>e</w:t>
      </w:r>
      <w:r w:rsidR="001C3107" w:rsidRPr="00096FF8">
        <w:rPr>
          <w:rFonts w:asciiTheme="minorHAnsi" w:hAnsiTheme="minorHAnsi"/>
          <w:szCs w:val="24"/>
        </w:rPr>
        <w:t xml:space="preserve"> budget had been spent.</w:t>
      </w:r>
      <w:r w:rsidR="007D5C0D" w:rsidRPr="00096FF8">
        <w:rPr>
          <w:rFonts w:asciiTheme="minorHAnsi" w:hAnsiTheme="minorHAnsi"/>
          <w:szCs w:val="24"/>
        </w:rPr>
        <w:t xml:space="preserve"> </w:t>
      </w:r>
      <w:r w:rsidR="00EC79EC" w:rsidRPr="00096FF8">
        <w:rPr>
          <w:rFonts w:asciiTheme="minorHAnsi" w:hAnsiTheme="minorHAnsi"/>
          <w:szCs w:val="24"/>
        </w:rPr>
        <w:t xml:space="preserve">As an </w:t>
      </w:r>
      <w:r w:rsidR="007D5C0D" w:rsidRPr="00096FF8">
        <w:rPr>
          <w:rFonts w:asciiTheme="minorHAnsi" w:hAnsiTheme="minorHAnsi"/>
          <w:szCs w:val="24"/>
        </w:rPr>
        <w:t xml:space="preserve">example, one social worker described how a financial report had identified that a </w:t>
      </w:r>
      <w:r w:rsidR="00E13E4E" w:rsidRPr="00096FF8">
        <w:rPr>
          <w:rFonts w:asciiTheme="minorHAnsi" w:hAnsiTheme="minorHAnsi"/>
          <w:szCs w:val="24"/>
        </w:rPr>
        <w:t>Direct Payment</w:t>
      </w:r>
      <w:r w:rsidR="007D5C0D" w:rsidRPr="00096FF8">
        <w:rPr>
          <w:rFonts w:asciiTheme="minorHAnsi" w:hAnsiTheme="minorHAnsi"/>
          <w:szCs w:val="24"/>
        </w:rPr>
        <w:t xml:space="preserve"> user had used up </w:t>
      </w:r>
      <w:r w:rsidR="000F0172" w:rsidRPr="00096FF8">
        <w:rPr>
          <w:rFonts w:asciiTheme="minorHAnsi" w:hAnsiTheme="minorHAnsi"/>
          <w:szCs w:val="24"/>
        </w:rPr>
        <w:t>their entire</w:t>
      </w:r>
      <w:r w:rsidR="007D5C0D" w:rsidRPr="00096FF8">
        <w:rPr>
          <w:rFonts w:asciiTheme="minorHAnsi" w:hAnsiTheme="minorHAnsi"/>
          <w:szCs w:val="24"/>
        </w:rPr>
        <w:t xml:space="preserve"> </w:t>
      </w:r>
      <w:r w:rsidR="00EC79EC" w:rsidRPr="00096FF8">
        <w:rPr>
          <w:rFonts w:asciiTheme="minorHAnsi" w:hAnsiTheme="minorHAnsi"/>
          <w:szCs w:val="24"/>
        </w:rPr>
        <w:t>budget</w:t>
      </w:r>
      <w:r w:rsidR="007D5C0D" w:rsidRPr="00096FF8">
        <w:rPr>
          <w:rFonts w:asciiTheme="minorHAnsi" w:hAnsiTheme="minorHAnsi"/>
          <w:szCs w:val="24"/>
        </w:rPr>
        <w:t>, which meant they had no money to cover annual leave</w:t>
      </w:r>
      <w:r w:rsidR="005043EA" w:rsidRPr="00096FF8">
        <w:rPr>
          <w:rFonts w:asciiTheme="minorHAnsi" w:hAnsiTheme="minorHAnsi"/>
          <w:szCs w:val="24"/>
        </w:rPr>
        <w:t xml:space="preserve"> costs and replacement care</w:t>
      </w:r>
      <w:r w:rsidR="007D5C0D" w:rsidRPr="00096FF8">
        <w:rPr>
          <w:rFonts w:asciiTheme="minorHAnsi" w:hAnsiTheme="minorHAnsi"/>
          <w:szCs w:val="24"/>
        </w:rPr>
        <w:t xml:space="preserve"> or </w:t>
      </w:r>
      <w:r w:rsidR="005043EA" w:rsidRPr="00096FF8">
        <w:rPr>
          <w:rFonts w:asciiTheme="minorHAnsi" w:hAnsiTheme="minorHAnsi"/>
          <w:szCs w:val="24"/>
        </w:rPr>
        <w:t xml:space="preserve">to meet </w:t>
      </w:r>
      <w:r w:rsidR="007D5C0D" w:rsidRPr="00096FF8">
        <w:rPr>
          <w:rFonts w:asciiTheme="minorHAnsi" w:hAnsiTheme="minorHAnsi"/>
          <w:szCs w:val="24"/>
        </w:rPr>
        <w:t xml:space="preserve">contingencies, which raised </w:t>
      </w:r>
      <w:r w:rsidR="0066568C" w:rsidRPr="00096FF8">
        <w:rPr>
          <w:rFonts w:asciiTheme="minorHAnsi" w:hAnsiTheme="minorHAnsi"/>
          <w:szCs w:val="24"/>
        </w:rPr>
        <w:t xml:space="preserve">wider </w:t>
      </w:r>
      <w:r w:rsidR="005043EA" w:rsidRPr="00096FF8">
        <w:rPr>
          <w:rFonts w:asciiTheme="minorHAnsi" w:hAnsiTheme="minorHAnsi"/>
          <w:szCs w:val="24"/>
        </w:rPr>
        <w:t>concerns about what was happening.</w:t>
      </w:r>
      <w:r w:rsidRPr="00096FF8">
        <w:rPr>
          <w:rFonts w:asciiTheme="minorHAnsi" w:hAnsiTheme="minorHAnsi"/>
          <w:szCs w:val="24"/>
        </w:rPr>
        <w:t xml:space="preserve"> </w:t>
      </w:r>
    </w:p>
    <w:p w14:paraId="5B2BD202" w14:textId="77777777" w:rsidR="00681D2E" w:rsidRPr="00096FF8" w:rsidRDefault="00681D2E" w:rsidP="00490617">
      <w:pPr>
        <w:pStyle w:val="MediumGrid1-Accent21"/>
        <w:spacing w:before="0" w:after="0" w:line="480" w:lineRule="auto"/>
        <w:ind w:left="0"/>
        <w:rPr>
          <w:rFonts w:asciiTheme="minorHAnsi" w:hAnsiTheme="minorHAnsi"/>
          <w:szCs w:val="24"/>
        </w:rPr>
      </w:pPr>
    </w:p>
    <w:p w14:paraId="3B246F11" w14:textId="11C9F510" w:rsidR="00681D2E" w:rsidRPr="00096FF8" w:rsidRDefault="00681D2E" w:rsidP="00490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rPr>
      </w:pPr>
      <w:r w:rsidRPr="00096FF8">
        <w:rPr>
          <w:rFonts w:asciiTheme="minorHAnsi" w:hAnsiTheme="minorHAnsi"/>
        </w:rPr>
        <w:t xml:space="preserve">Two participants specifically mentioned recommendations that their local authority made to prospective Direct Payment users to help minimise risk. These related to vetting potential PAs to check if they had a criminal record or </w:t>
      </w:r>
      <w:r w:rsidR="00FC1ABB" w:rsidRPr="00096FF8">
        <w:rPr>
          <w:rFonts w:asciiTheme="minorHAnsi" w:hAnsiTheme="minorHAnsi"/>
        </w:rPr>
        <w:t>were</w:t>
      </w:r>
      <w:r w:rsidRPr="00096FF8">
        <w:rPr>
          <w:rFonts w:asciiTheme="minorHAnsi" w:hAnsiTheme="minorHAnsi"/>
        </w:rPr>
        <w:t xml:space="preserve"> barred from similar work. However, despite the descriptions of leaflets, factsheets, web information and direct advice, one social worker commented that people using Direct Payments (or family carers or friends) learned about what to do if something went wrong by ‘</w:t>
      </w:r>
      <w:r w:rsidRPr="00096FF8">
        <w:rPr>
          <w:rFonts w:asciiTheme="minorHAnsi" w:hAnsiTheme="minorHAnsi"/>
          <w:i/>
        </w:rPr>
        <w:t>word of mouth’</w:t>
      </w:r>
      <w:r w:rsidRPr="00096FF8">
        <w:rPr>
          <w:rFonts w:asciiTheme="minorHAnsi" w:hAnsiTheme="minorHAnsi"/>
        </w:rPr>
        <w:t xml:space="preserve"> (Social Worker 11). No participants </w:t>
      </w:r>
      <w:r w:rsidR="005E67C4" w:rsidRPr="00096FF8">
        <w:rPr>
          <w:rFonts w:asciiTheme="minorHAnsi" w:hAnsiTheme="minorHAnsi"/>
        </w:rPr>
        <w:t>mentioned</w:t>
      </w:r>
      <w:r w:rsidRPr="00096FF8">
        <w:rPr>
          <w:rFonts w:asciiTheme="minorHAnsi" w:hAnsiTheme="minorHAnsi"/>
        </w:rPr>
        <w:t xml:space="preserve"> providing individuals with information about any specific risks associated with taking up a Direct Payment before a </w:t>
      </w:r>
      <w:r w:rsidR="00E7168D" w:rsidRPr="00096FF8">
        <w:rPr>
          <w:rFonts w:asciiTheme="minorHAnsi" w:hAnsiTheme="minorHAnsi"/>
        </w:rPr>
        <w:t>particular</w:t>
      </w:r>
      <w:r w:rsidRPr="00096FF8">
        <w:rPr>
          <w:rFonts w:asciiTheme="minorHAnsi" w:hAnsiTheme="minorHAnsi"/>
        </w:rPr>
        <w:t xml:space="preserve"> arrangement was agreed. This may have been because of pressure to achieve local targets for Personal Budgets, and a desire not to discourage Direct Payment take</w:t>
      </w:r>
      <w:r w:rsidR="00FC1ABB" w:rsidRPr="00096FF8">
        <w:rPr>
          <w:rFonts w:asciiTheme="minorHAnsi" w:hAnsiTheme="minorHAnsi"/>
        </w:rPr>
        <w:t>-</w:t>
      </w:r>
      <w:r w:rsidRPr="00096FF8">
        <w:rPr>
          <w:rFonts w:asciiTheme="minorHAnsi" w:hAnsiTheme="minorHAnsi"/>
        </w:rPr>
        <w:t xml:space="preserve">up.  </w:t>
      </w:r>
    </w:p>
    <w:p w14:paraId="7FC5BEEE" w14:textId="77777777" w:rsidR="00FE6A02" w:rsidRPr="00096FF8" w:rsidRDefault="00FE6A02" w:rsidP="00490617">
      <w:pPr>
        <w:pStyle w:val="Heading3"/>
        <w:spacing w:line="480" w:lineRule="auto"/>
        <w:rPr>
          <w:rFonts w:asciiTheme="minorHAnsi" w:hAnsiTheme="minorHAnsi"/>
        </w:rPr>
      </w:pPr>
      <w:r w:rsidRPr="00096FF8">
        <w:rPr>
          <w:rFonts w:asciiTheme="minorHAnsi" w:hAnsiTheme="minorHAnsi"/>
        </w:rPr>
        <w:t>Balancing risk and choice</w:t>
      </w:r>
    </w:p>
    <w:p w14:paraId="603AB5E8" w14:textId="420713FC" w:rsidR="00FE6A02" w:rsidRPr="00096FF8" w:rsidRDefault="00436D05" w:rsidP="00490617">
      <w:pPr>
        <w:spacing w:line="480" w:lineRule="auto"/>
        <w:rPr>
          <w:rFonts w:asciiTheme="minorHAnsi" w:hAnsiTheme="minorHAnsi"/>
        </w:rPr>
      </w:pPr>
      <w:r w:rsidRPr="00096FF8">
        <w:rPr>
          <w:rFonts w:asciiTheme="minorHAnsi" w:hAnsiTheme="minorHAnsi"/>
        </w:rPr>
        <w:t>B</w:t>
      </w:r>
      <w:r w:rsidR="000342C4" w:rsidRPr="00096FF8">
        <w:rPr>
          <w:rFonts w:asciiTheme="minorHAnsi" w:hAnsiTheme="minorHAnsi"/>
        </w:rPr>
        <w:t>alancing risk and choice</w:t>
      </w:r>
      <w:r w:rsidR="00FE6A02" w:rsidRPr="00096FF8">
        <w:rPr>
          <w:rFonts w:asciiTheme="minorHAnsi" w:hAnsiTheme="minorHAnsi"/>
        </w:rPr>
        <w:t xml:space="preserve"> emerged </w:t>
      </w:r>
      <w:r w:rsidRPr="00096FF8">
        <w:rPr>
          <w:rFonts w:asciiTheme="minorHAnsi" w:hAnsiTheme="minorHAnsi"/>
        </w:rPr>
        <w:t xml:space="preserve">as a strong theme </w:t>
      </w:r>
      <w:r w:rsidR="00FE6A02" w:rsidRPr="00096FF8">
        <w:rPr>
          <w:rFonts w:asciiTheme="minorHAnsi" w:hAnsiTheme="minorHAnsi"/>
        </w:rPr>
        <w:t xml:space="preserve">from </w:t>
      </w:r>
      <w:r w:rsidR="00313570" w:rsidRPr="00096FF8">
        <w:rPr>
          <w:rFonts w:asciiTheme="minorHAnsi" w:hAnsiTheme="minorHAnsi"/>
        </w:rPr>
        <w:t>participants</w:t>
      </w:r>
      <w:r w:rsidR="007A6358" w:rsidRPr="00096FF8">
        <w:rPr>
          <w:rFonts w:asciiTheme="minorHAnsi" w:hAnsiTheme="minorHAnsi"/>
        </w:rPr>
        <w:t>’</w:t>
      </w:r>
      <w:r w:rsidR="00B447C3" w:rsidRPr="00096FF8">
        <w:rPr>
          <w:rFonts w:asciiTheme="minorHAnsi" w:hAnsiTheme="minorHAnsi"/>
        </w:rPr>
        <w:t xml:space="preserve"> accounts</w:t>
      </w:r>
      <w:r w:rsidR="00FE6A02" w:rsidRPr="00096FF8">
        <w:rPr>
          <w:rFonts w:asciiTheme="minorHAnsi" w:hAnsiTheme="minorHAnsi"/>
        </w:rPr>
        <w:t xml:space="preserve">. Two </w:t>
      </w:r>
      <w:r w:rsidR="00FC1ABB" w:rsidRPr="00096FF8">
        <w:rPr>
          <w:rFonts w:asciiTheme="minorHAnsi" w:hAnsiTheme="minorHAnsi"/>
        </w:rPr>
        <w:t xml:space="preserve">specific </w:t>
      </w:r>
      <w:r w:rsidR="00FE6A02" w:rsidRPr="00096FF8">
        <w:rPr>
          <w:rFonts w:asciiTheme="minorHAnsi" w:hAnsiTheme="minorHAnsi"/>
        </w:rPr>
        <w:t>aspects were identified</w:t>
      </w:r>
      <w:r w:rsidR="006815B9" w:rsidRPr="00096FF8">
        <w:rPr>
          <w:rFonts w:asciiTheme="minorHAnsi" w:hAnsiTheme="minorHAnsi"/>
        </w:rPr>
        <w:t>:</w:t>
      </w:r>
      <w:r w:rsidR="00FE6A02" w:rsidRPr="00096FF8">
        <w:rPr>
          <w:rFonts w:asciiTheme="minorHAnsi" w:hAnsiTheme="minorHAnsi"/>
        </w:rPr>
        <w:t xml:space="preserve"> changes in relationships with </w:t>
      </w:r>
      <w:r w:rsidR="00E13E4E" w:rsidRPr="00096FF8">
        <w:rPr>
          <w:rFonts w:asciiTheme="minorHAnsi" w:hAnsiTheme="minorHAnsi"/>
        </w:rPr>
        <w:t>Direct Payment</w:t>
      </w:r>
      <w:r w:rsidR="00FE6A02" w:rsidRPr="00096FF8">
        <w:rPr>
          <w:rFonts w:asciiTheme="minorHAnsi" w:hAnsiTheme="minorHAnsi"/>
        </w:rPr>
        <w:t xml:space="preserve"> and </w:t>
      </w:r>
      <w:r w:rsidR="00FC1ABB" w:rsidRPr="00096FF8">
        <w:rPr>
          <w:rFonts w:asciiTheme="minorHAnsi" w:hAnsiTheme="minorHAnsi"/>
        </w:rPr>
        <w:t xml:space="preserve">personal budget </w:t>
      </w:r>
      <w:r w:rsidR="00FE6A02" w:rsidRPr="00096FF8">
        <w:rPr>
          <w:rFonts w:asciiTheme="minorHAnsi" w:hAnsiTheme="minorHAnsi"/>
        </w:rPr>
        <w:t xml:space="preserve">holders </w:t>
      </w:r>
      <w:r w:rsidR="000342C4" w:rsidRPr="00096FF8">
        <w:rPr>
          <w:rFonts w:asciiTheme="minorHAnsi" w:hAnsiTheme="minorHAnsi"/>
        </w:rPr>
        <w:t>about risk management</w:t>
      </w:r>
      <w:r w:rsidR="006815B9" w:rsidRPr="00096FF8">
        <w:rPr>
          <w:rFonts w:asciiTheme="minorHAnsi" w:hAnsiTheme="minorHAnsi"/>
        </w:rPr>
        <w:t>;</w:t>
      </w:r>
      <w:r w:rsidR="000342C4" w:rsidRPr="00096FF8">
        <w:rPr>
          <w:rFonts w:asciiTheme="minorHAnsi" w:hAnsiTheme="minorHAnsi"/>
        </w:rPr>
        <w:t xml:space="preserve"> </w:t>
      </w:r>
      <w:r w:rsidR="00FE6A02" w:rsidRPr="00096FF8">
        <w:rPr>
          <w:rFonts w:asciiTheme="minorHAnsi" w:hAnsiTheme="minorHAnsi"/>
        </w:rPr>
        <w:t xml:space="preserve">and positive risk taking. </w:t>
      </w:r>
    </w:p>
    <w:p w14:paraId="00709892" w14:textId="7005EDFC" w:rsidR="00DC23D9" w:rsidRPr="00096FF8" w:rsidRDefault="004C36A1" w:rsidP="00490617">
      <w:pPr>
        <w:pStyle w:val="Heading4"/>
        <w:spacing w:line="480" w:lineRule="auto"/>
        <w:rPr>
          <w:rFonts w:asciiTheme="minorHAnsi" w:hAnsiTheme="minorHAnsi"/>
        </w:rPr>
      </w:pPr>
      <w:r w:rsidRPr="00096FF8">
        <w:rPr>
          <w:rFonts w:asciiTheme="minorHAnsi" w:hAnsiTheme="minorHAnsi"/>
        </w:rPr>
        <w:lastRenderedPageBreak/>
        <w:t xml:space="preserve">Changing relationships with </w:t>
      </w:r>
      <w:r w:rsidR="00E13E4E" w:rsidRPr="00096FF8">
        <w:rPr>
          <w:rFonts w:asciiTheme="minorHAnsi" w:hAnsiTheme="minorHAnsi"/>
        </w:rPr>
        <w:t>Direct Payment</w:t>
      </w:r>
      <w:r w:rsidRPr="00096FF8">
        <w:rPr>
          <w:rFonts w:asciiTheme="minorHAnsi" w:hAnsiTheme="minorHAnsi"/>
        </w:rPr>
        <w:t xml:space="preserve"> and </w:t>
      </w:r>
      <w:r w:rsidR="00FC1ABB" w:rsidRPr="00096FF8">
        <w:rPr>
          <w:rFonts w:asciiTheme="minorHAnsi" w:hAnsiTheme="minorHAnsi"/>
        </w:rPr>
        <w:t xml:space="preserve">personal budget </w:t>
      </w:r>
      <w:r w:rsidRPr="00096FF8">
        <w:rPr>
          <w:rFonts w:asciiTheme="minorHAnsi" w:hAnsiTheme="minorHAnsi"/>
        </w:rPr>
        <w:t>holder</w:t>
      </w:r>
      <w:r w:rsidR="00436475" w:rsidRPr="00096FF8">
        <w:rPr>
          <w:rFonts w:asciiTheme="minorHAnsi" w:hAnsiTheme="minorHAnsi"/>
        </w:rPr>
        <w:t>s</w:t>
      </w:r>
      <w:r w:rsidR="000A29CE" w:rsidRPr="00096FF8">
        <w:rPr>
          <w:rFonts w:asciiTheme="minorHAnsi" w:hAnsiTheme="minorHAnsi"/>
        </w:rPr>
        <w:t xml:space="preserve"> </w:t>
      </w:r>
    </w:p>
    <w:p w14:paraId="7A99D700" w14:textId="023752E4" w:rsidR="00F01D42" w:rsidRPr="00096FF8" w:rsidRDefault="005055AB" w:rsidP="00490617">
      <w:pPr>
        <w:spacing w:line="480" w:lineRule="auto"/>
        <w:rPr>
          <w:rFonts w:asciiTheme="minorHAnsi" w:hAnsiTheme="minorHAnsi"/>
          <w:szCs w:val="24"/>
        </w:rPr>
      </w:pPr>
      <w:r w:rsidRPr="00096FF8">
        <w:rPr>
          <w:rFonts w:asciiTheme="minorHAnsi" w:hAnsiTheme="minorHAnsi"/>
          <w:szCs w:val="24"/>
        </w:rPr>
        <w:t xml:space="preserve">A </w:t>
      </w:r>
      <w:r w:rsidR="00313570" w:rsidRPr="00096FF8">
        <w:rPr>
          <w:rFonts w:asciiTheme="minorHAnsi" w:hAnsiTheme="minorHAnsi"/>
          <w:szCs w:val="24"/>
        </w:rPr>
        <w:t xml:space="preserve">range of perspectives </w:t>
      </w:r>
      <w:r w:rsidR="000342C4" w:rsidRPr="00096FF8">
        <w:rPr>
          <w:rFonts w:asciiTheme="minorHAnsi" w:hAnsiTheme="minorHAnsi"/>
          <w:szCs w:val="24"/>
        </w:rPr>
        <w:t>about responsibilities for managing risk</w:t>
      </w:r>
      <w:r w:rsidR="005043EA" w:rsidRPr="00096FF8">
        <w:rPr>
          <w:rFonts w:asciiTheme="minorHAnsi" w:hAnsiTheme="minorHAnsi"/>
          <w:szCs w:val="24"/>
        </w:rPr>
        <w:t xml:space="preserve"> emerged</w:t>
      </w:r>
      <w:r w:rsidR="00313570" w:rsidRPr="00096FF8">
        <w:rPr>
          <w:rFonts w:asciiTheme="minorHAnsi" w:hAnsiTheme="minorHAnsi"/>
          <w:szCs w:val="24"/>
        </w:rPr>
        <w:t xml:space="preserve"> in </w:t>
      </w:r>
      <w:r w:rsidRPr="00096FF8">
        <w:rPr>
          <w:rFonts w:asciiTheme="minorHAnsi" w:hAnsiTheme="minorHAnsi"/>
          <w:szCs w:val="24"/>
        </w:rPr>
        <w:t xml:space="preserve">the interviews with the </w:t>
      </w:r>
      <w:r w:rsidR="00313570" w:rsidRPr="00096FF8">
        <w:rPr>
          <w:rFonts w:asciiTheme="minorHAnsi" w:hAnsiTheme="minorHAnsi"/>
          <w:szCs w:val="24"/>
        </w:rPr>
        <w:t>social workers and managers</w:t>
      </w:r>
      <w:r w:rsidRPr="00096FF8">
        <w:rPr>
          <w:rFonts w:asciiTheme="minorHAnsi" w:hAnsiTheme="minorHAnsi"/>
          <w:szCs w:val="24"/>
        </w:rPr>
        <w:t>.</w:t>
      </w:r>
      <w:r w:rsidR="00313570" w:rsidRPr="00096FF8">
        <w:rPr>
          <w:rFonts w:asciiTheme="minorHAnsi" w:hAnsiTheme="minorHAnsi"/>
          <w:szCs w:val="24"/>
        </w:rPr>
        <w:t xml:space="preserve"> </w:t>
      </w:r>
      <w:r w:rsidR="000342C4" w:rsidRPr="00096FF8">
        <w:rPr>
          <w:rFonts w:asciiTheme="minorHAnsi" w:hAnsiTheme="minorHAnsi"/>
          <w:szCs w:val="24"/>
        </w:rPr>
        <w:t xml:space="preserve">Almost all </w:t>
      </w:r>
      <w:r w:rsidR="00F01D42" w:rsidRPr="00096FF8">
        <w:rPr>
          <w:rFonts w:asciiTheme="minorHAnsi" w:hAnsiTheme="minorHAnsi"/>
          <w:szCs w:val="24"/>
        </w:rPr>
        <w:t xml:space="preserve">stressed </w:t>
      </w:r>
      <w:r w:rsidR="000342C4" w:rsidRPr="00096FF8">
        <w:rPr>
          <w:rFonts w:asciiTheme="minorHAnsi" w:hAnsiTheme="minorHAnsi"/>
          <w:szCs w:val="24"/>
        </w:rPr>
        <w:t xml:space="preserve">that the </w:t>
      </w:r>
      <w:r w:rsidR="00FC1ABB" w:rsidRPr="00096FF8">
        <w:rPr>
          <w:rFonts w:asciiTheme="minorHAnsi" w:hAnsiTheme="minorHAnsi"/>
          <w:szCs w:val="24"/>
        </w:rPr>
        <w:t xml:space="preserve">local authority </w:t>
      </w:r>
      <w:r w:rsidR="000342C4" w:rsidRPr="00096FF8">
        <w:rPr>
          <w:rFonts w:asciiTheme="minorHAnsi" w:hAnsiTheme="minorHAnsi"/>
          <w:szCs w:val="24"/>
        </w:rPr>
        <w:t>had a</w:t>
      </w:r>
      <w:r w:rsidRPr="00096FF8">
        <w:rPr>
          <w:rFonts w:asciiTheme="minorHAnsi" w:hAnsiTheme="minorHAnsi"/>
          <w:szCs w:val="24"/>
        </w:rPr>
        <w:t xml:space="preserve"> responsibility to ensure</w:t>
      </w:r>
      <w:r w:rsidR="001C3107" w:rsidRPr="00096FF8">
        <w:rPr>
          <w:rFonts w:asciiTheme="minorHAnsi" w:hAnsiTheme="minorHAnsi"/>
          <w:szCs w:val="24"/>
        </w:rPr>
        <w:t xml:space="preserve"> that people </w:t>
      </w:r>
      <w:r w:rsidR="00FC1ABB" w:rsidRPr="00096FF8">
        <w:rPr>
          <w:rFonts w:asciiTheme="minorHAnsi" w:hAnsiTheme="minorHAnsi"/>
          <w:szCs w:val="24"/>
        </w:rPr>
        <w:t>receiving</w:t>
      </w:r>
      <w:r w:rsidR="00F01D42" w:rsidRPr="00096FF8">
        <w:rPr>
          <w:rFonts w:asciiTheme="minorHAnsi" w:hAnsiTheme="minorHAnsi"/>
          <w:szCs w:val="24"/>
        </w:rPr>
        <w:t xml:space="preserve"> a </w:t>
      </w:r>
      <w:r w:rsidR="00E13E4E" w:rsidRPr="00096FF8">
        <w:rPr>
          <w:rFonts w:asciiTheme="minorHAnsi" w:hAnsiTheme="minorHAnsi"/>
          <w:szCs w:val="24"/>
        </w:rPr>
        <w:t>Direct Payment</w:t>
      </w:r>
      <w:r w:rsidR="001C3107" w:rsidRPr="00096FF8">
        <w:rPr>
          <w:rFonts w:asciiTheme="minorHAnsi" w:hAnsiTheme="minorHAnsi"/>
          <w:szCs w:val="24"/>
        </w:rPr>
        <w:t xml:space="preserve"> remained safe</w:t>
      </w:r>
      <w:r w:rsidR="00F01D42" w:rsidRPr="00096FF8">
        <w:rPr>
          <w:rFonts w:asciiTheme="minorHAnsi" w:hAnsiTheme="minorHAnsi"/>
          <w:szCs w:val="24"/>
        </w:rPr>
        <w:t>.</w:t>
      </w:r>
      <w:r w:rsidR="00540303" w:rsidRPr="00096FF8">
        <w:rPr>
          <w:rFonts w:asciiTheme="minorHAnsi" w:hAnsiTheme="minorHAnsi"/>
          <w:szCs w:val="24"/>
        </w:rPr>
        <w:t xml:space="preserve"> </w:t>
      </w:r>
      <w:r w:rsidR="00540303" w:rsidRPr="00096FF8">
        <w:rPr>
          <w:rFonts w:asciiTheme="minorHAnsi" w:hAnsiTheme="minorHAnsi"/>
        </w:rPr>
        <w:t>There was strong acceptance that greater individual responsibility for risk was inevitable and indeed, a positive consequence of increasing choice and control. However participants</w:t>
      </w:r>
      <w:r w:rsidR="001C3107" w:rsidRPr="00096FF8">
        <w:rPr>
          <w:rFonts w:asciiTheme="minorHAnsi" w:hAnsiTheme="minorHAnsi"/>
          <w:szCs w:val="24"/>
        </w:rPr>
        <w:t xml:space="preserve"> </w:t>
      </w:r>
      <w:r w:rsidR="00F01D42" w:rsidRPr="00096FF8">
        <w:rPr>
          <w:rFonts w:asciiTheme="minorHAnsi" w:hAnsiTheme="minorHAnsi"/>
          <w:szCs w:val="24"/>
        </w:rPr>
        <w:t>described</w:t>
      </w:r>
      <w:r w:rsidRPr="00096FF8">
        <w:rPr>
          <w:rFonts w:asciiTheme="minorHAnsi" w:hAnsiTheme="minorHAnsi"/>
          <w:szCs w:val="24"/>
        </w:rPr>
        <w:t xml:space="preserve"> having to</w:t>
      </w:r>
      <w:r w:rsidR="00F01D42" w:rsidRPr="00096FF8">
        <w:rPr>
          <w:rFonts w:asciiTheme="minorHAnsi" w:hAnsiTheme="minorHAnsi"/>
          <w:szCs w:val="24"/>
        </w:rPr>
        <w:t xml:space="preserve"> balance the </w:t>
      </w:r>
      <w:r w:rsidR="00FC1ABB" w:rsidRPr="00096FF8">
        <w:rPr>
          <w:rFonts w:asciiTheme="minorHAnsi" w:hAnsiTheme="minorHAnsi"/>
          <w:szCs w:val="24"/>
        </w:rPr>
        <w:t xml:space="preserve">task of promoting </w:t>
      </w:r>
      <w:r w:rsidR="00F01D42" w:rsidRPr="00096FF8">
        <w:rPr>
          <w:rFonts w:asciiTheme="minorHAnsi" w:hAnsiTheme="minorHAnsi"/>
          <w:szCs w:val="24"/>
        </w:rPr>
        <w:t xml:space="preserve">autonomy with </w:t>
      </w:r>
      <w:r w:rsidR="001C3107" w:rsidRPr="00096FF8">
        <w:rPr>
          <w:rFonts w:asciiTheme="minorHAnsi" w:hAnsiTheme="minorHAnsi"/>
          <w:szCs w:val="24"/>
        </w:rPr>
        <w:t>a</w:t>
      </w:r>
      <w:r w:rsidR="00F01D42" w:rsidRPr="00096FF8">
        <w:rPr>
          <w:rFonts w:asciiTheme="minorHAnsi" w:hAnsiTheme="minorHAnsi"/>
          <w:szCs w:val="24"/>
        </w:rPr>
        <w:t xml:space="preserve"> duty of care, suggesting that the transfer of risk was only partial</w:t>
      </w:r>
      <w:r w:rsidR="001C3107" w:rsidRPr="00096FF8">
        <w:rPr>
          <w:rFonts w:asciiTheme="minorHAnsi" w:hAnsiTheme="minorHAnsi"/>
          <w:szCs w:val="24"/>
        </w:rPr>
        <w:t xml:space="preserve">. </w:t>
      </w:r>
      <w:r w:rsidRPr="00096FF8">
        <w:rPr>
          <w:rFonts w:asciiTheme="minorHAnsi" w:hAnsiTheme="minorHAnsi"/>
          <w:szCs w:val="24"/>
        </w:rPr>
        <w:t xml:space="preserve">Practitioners </w:t>
      </w:r>
      <w:r w:rsidR="004C36A1" w:rsidRPr="00096FF8">
        <w:rPr>
          <w:rFonts w:asciiTheme="minorHAnsi" w:hAnsiTheme="minorHAnsi"/>
          <w:szCs w:val="24"/>
        </w:rPr>
        <w:t>expressed</w:t>
      </w:r>
      <w:r w:rsidRPr="00096FF8">
        <w:rPr>
          <w:rFonts w:asciiTheme="minorHAnsi" w:hAnsiTheme="minorHAnsi"/>
          <w:szCs w:val="24"/>
        </w:rPr>
        <w:t xml:space="preserve"> </w:t>
      </w:r>
      <w:r w:rsidR="001C3107" w:rsidRPr="00096FF8">
        <w:rPr>
          <w:rFonts w:asciiTheme="minorHAnsi" w:hAnsiTheme="minorHAnsi"/>
          <w:szCs w:val="24"/>
        </w:rPr>
        <w:t>a continuing</w:t>
      </w:r>
      <w:r w:rsidR="00F01D42" w:rsidRPr="00096FF8">
        <w:rPr>
          <w:rFonts w:asciiTheme="minorHAnsi" w:hAnsiTheme="minorHAnsi"/>
          <w:szCs w:val="24"/>
        </w:rPr>
        <w:t xml:space="preserve"> sense of responsibility for people’s safety</w:t>
      </w:r>
      <w:r w:rsidR="005043EA" w:rsidRPr="00096FF8">
        <w:rPr>
          <w:rFonts w:asciiTheme="minorHAnsi" w:hAnsiTheme="minorHAnsi"/>
          <w:szCs w:val="24"/>
        </w:rPr>
        <w:t xml:space="preserve"> or wellbeing</w:t>
      </w:r>
      <w:r w:rsidR="00983609" w:rsidRPr="00096FF8">
        <w:rPr>
          <w:rFonts w:asciiTheme="minorHAnsi" w:hAnsiTheme="minorHAnsi"/>
          <w:szCs w:val="24"/>
        </w:rPr>
        <w:t>,</w:t>
      </w:r>
      <w:r w:rsidR="00F01D42" w:rsidRPr="00096FF8">
        <w:rPr>
          <w:rFonts w:asciiTheme="minorHAnsi" w:hAnsiTheme="minorHAnsi"/>
          <w:szCs w:val="24"/>
        </w:rPr>
        <w:t xml:space="preserve"> whether or not </w:t>
      </w:r>
      <w:r w:rsidR="000342C4" w:rsidRPr="00096FF8">
        <w:rPr>
          <w:rFonts w:asciiTheme="minorHAnsi" w:hAnsiTheme="minorHAnsi"/>
          <w:szCs w:val="24"/>
        </w:rPr>
        <w:t xml:space="preserve">the </w:t>
      </w:r>
      <w:r w:rsidR="005E67C4" w:rsidRPr="00096FF8">
        <w:rPr>
          <w:rFonts w:asciiTheme="minorHAnsi" w:hAnsiTheme="minorHAnsi"/>
          <w:szCs w:val="24"/>
        </w:rPr>
        <w:t>individual</w:t>
      </w:r>
      <w:r w:rsidR="000342C4" w:rsidRPr="00096FF8">
        <w:rPr>
          <w:rFonts w:asciiTheme="minorHAnsi" w:hAnsiTheme="minorHAnsi"/>
          <w:szCs w:val="24"/>
        </w:rPr>
        <w:t xml:space="preserve"> </w:t>
      </w:r>
      <w:r w:rsidR="00983609" w:rsidRPr="00096FF8">
        <w:rPr>
          <w:rFonts w:asciiTheme="minorHAnsi" w:hAnsiTheme="minorHAnsi"/>
          <w:szCs w:val="24"/>
        </w:rPr>
        <w:t xml:space="preserve">had </w:t>
      </w:r>
      <w:r w:rsidR="005043EA" w:rsidRPr="00096FF8">
        <w:rPr>
          <w:rFonts w:asciiTheme="minorHAnsi" w:hAnsiTheme="minorHAnsi"/>
          <w:szCs w:val="24"/>
        </w:rPr>
        <w:t xml:space="preserve">decision making </w:t>
      </w:r>
      <w:r w:rsidR="00F01D42" w:rsidRPr="00096FF8">
        <w:rPr>
          <w:rFonts w:asciiTheme="minorHAnsi" w:hAnsiTheme="minorHAnsi"/>
          <w:szCs w:val="24"/>
        </w:rPr>
        <w:t>capacity and</w:t>
      </w:r>
      <w:r w:rsidR="000342C4" w:rsidRPr="00096FF8">
        <w:rPr>
          <w:rFonts w:asciiTheme="minorHAnsi" w:hAnsiTheme="minorHAnsi"/>
          <w:szCs w:val="24"/>
        </w:rPr>
        <w:t>/or</w:t>
      </w:r>
      <w:r w:rsidR="00F01D42" w:rsidRPr="00096FF8">
        <w:rPr>
          <w:rFonts w:asciiTheme="minorHAnsi" w:hAnsiTheme="minorHAnsi"/>
          <w:szCs w:val="24"/>
        </w:rPr>
        <w:t xml:space="preserve"> </w:t>
      </w:r>
      <w:r w:rsidR="005043EA" w:rsidRPr="00096FF8">
        <w:rPr>
          <w:rFonts w:asciiTheme="minorHAnsi" w:hAnsiTheme="minorHAnsi"/>
          <w:szCs w:val="24"/>
        </w:rPr>
        <w:t xml:space="preserve">was in receipt of </w:t>
      </w:r>
      <w:r w:rsidR="00E13E4E" w:rsidRPr="00096FF8">
        <w:rPr>
          <w:rFonts w:asciiTheme="minorHAnsi" w:hAnsiTheme="minorHAnsi"/>
          <w:szCs w:val="24"/>
        </w:rPr>
        <w:t>Direct Payments</w:t>
      </w:r>
      <w:r w:rsidR="001C3107" w:rsidRPr="00096FF8">
        <w:rPr>
          <w:rFonts w:asciiTheme="minorHAnsi" w:hAnsiTheme="minorHAnsi"/>
          <w:szCs w:val="24"/>
        </w:rPr>
        <w:t xml:space="preserve">. Several linked this concern with the fact that </w:t>
      </w:r>
      <w:r w:rsidR="00E13E4E" w:rsidRPr="00096FF8">
        <w:rPr>
          <w:rFonts w:asciiTheme="minorHAnsi" w:hAnsiTheme="minorHAnsi"/>
          <w:szCs w:val="24"/>
        </w:rPr>
        <w:t>Direct Payments</w:t>
      </w:r>
      <w:r w:rsidR="001C3107" w:rsidRPr="00096FF8">
        <w:rPr>
          <w:rFonts w:asciiTheme="minorHAnsi" w:hAnsiTheme="minorHAnsi"/>
          <w:szCs w:val="24"/>
        </w:rPr>
        <w:t xml:space="preserve"> were public money</w:t>
      </w:r>
      <w:r w:rsidR="00F01D42" w:rsidRPr="00096FF8">
        <w:rPr>
          <w:rFonts w:asciiTheme="minorHAnsi" w:hAnsiTheme="minorHAnsi"/>
          <w:szCs w:val="24"/>
        </w:rPr>
        <w:t xml:space="preserve">:  </w:t>
      </w:r>
    </w:p>
    <w:p w14:paraId="7ADA2384" w14:textId="77777777" w:rsidR="00F01D42" w:rsidRPr="00096FF8" w:rsidRDefault="00F01D42" w:rsidP="00490617">
      <w:pPr>
        <w:pStyle w:val="MediumGrid1-Accent21"/>
        <w:spacing w:before="0" w:after="0" w:line="480" w:lineRule="auto"/>
        <w:rPr>
          <w:rFonts w:asciiTheme="minorHAnsi" w:hAnsiTheme="minorHAnsi"/>
          <w:szCs w:val="24"/>
        </w:rPr>
      </w:pPr>
    </w:p>
    <w:p w14:paraId="1D9188C0" w14:textId="3A15EFD1" w:rsidR="00F01D42" w:rsidRPr="00096FF8" w:rsidRDefault="00F01D42" w:rsidP="00490617">
      <w:pPr>
        <w:pStyle w:val="Quote"/>
        <w:spacing w:line="480" w:lineRule="auto"/>
        <w:rPr>
          <w:rFonts w:asciiTheme="minorHAnsi" w:hAnsiTheme="minorHAnsi"/>
        </w:rPr>
      </w:pPr>
      <w:r w:rsidRPr="00096FF8">
        <w:rPr>
          <w:rFonts w:asciiTheme="minorHAnsi" w:hAnsiTheme="minorHAnsi"/>
        </w:rPr>
        <w:t>I think we need to be quite careful of having an attitude where we say quite blithely that people have a right to make unwise decisions.</w:t>
      </w:r>
      <w:r w:rsidR="00983609" w:rsidRPr="00096FF8">
        <w:rPr>
          <w:rFonts w:asciiTheme="minorHAnsi" w:hAnsiTheme="minorHAnsi"/>
        </w:rPr>
        <w:t xml:space="preserve"> </w:t>
      </w:r>
      <w:r w:rsidRPr="00096FF8">
        <w:rPr>
          <w:rFonts w:asciiTheme="minorHAnsi" w:hAnsiTheme="minorHAnsi"/>
        </w:rPr>
        <w:t>That is never going to remove the duty of care for</w:t>
      </w:r>
      <w:r w:rsidR="004C36A1" w:rsidRPr="00096FF8">
        <w:rPr>
          <w:rFonts w:asciiTheme="minorHAnsi" w:hAnsiTheme="minorHAnsi"/>
        </w:rPr>
        <w:t xml:space="preserve"> [a]</w:t>
      </w:r>
      <w:r w:rsidRPr="00096FF8">
        <w:rPr>
          <w:rFonts w:asciiTheme="minorHAnsi" w:hAnsiTheme="minorHAnsi"/>
        </w:rPr>
        <w:t xml:space="preserve"> local authority where people are putting themselves in a position of harm and the fact that people are deemed to have capacity can sometimes give professionals, and sometimes local authorities, a seeming </w:t>
      </w:r>
      <w:r w:rsidR="006A3B74" w:rsidRPr="00096FF8">
        <w:rPr>
          <w:rFonts w:asciiTheme="minorHAnsi" w:hAnsiTheme="minorHAnsi"/>
        </w:rPr>
        <w:t>‘</w:t>
      </w:r>
      <w:r w:rsidRPr="00096FF8">
        <w:rPr>
          <w:rFonts w:asciiTheme="minorHAnsi" w:hAnsiTheme="minorHAnsi"/>
        </w:rPr>
        <w:t>carte blanche</w:t>
      </w:r>
      <w:r w:rsidR="006A3B74" w:rsidRPr="00096FF8">
        <w:rPr>
          <w:rFonts w:asciiTheme="minorHAnsi" w:hAnsiTheme="minorHAnsi"/>
        </w:rPr>
        <w:t>’</w:t>
      </w:r>
      <w:r w:rsidRPr="00096FF8">
        <w:rPr>
          <w:rFonts w:asciiTheme="minorHAnsi" w:hAnsiTheme="minorHAnsi"/>
        </w:rPr>
        <w:t xml:space="preserve"> to remove themselves from any responsibility in that person’s life, where they are, where they are making unwise decisions and putting themselves at considerable risk.</w:t>
      </w:r>
    </w:p>
    <w:p w14:paraId="7337E2B9" w14:textId="77777777" w:rsidR="00F01D42" w:rsidRPr="00096FF8" w:rsidRDefault="00DC57C0" w:rsidP="00490617">
      <w:pPr>
        <w:pStyle w:val="QuoteLabel"/>
        <w:spacing w:line="480" w:lineRule="auto"/>
        <w:rPr>
          <w:rFonts w:asciiTheme="minorHAnsi" w:hAnsiTheme="minorHAnsi"/>
        </w:rPr>
      </w:pPr>
      <w:r w:rsidRPr="00096FF8">
        <w:rPr>
          <w:rFonts w:asciiTheme="minorHAnsi" w:hAnsiTheme="minorHAnsi"/>
        </w:rPr>
        <w:t>Team Manager 10</w:t>
      </w:r>
    </w:p>
    <w:p w14:paraId="4201BD28" w14:textId="77777777" w:rsidR="00F01D42" w:rsidRPr="00096FF8" w:rsidRDefault="00F01D42" w:rsidP="00490617">
      <w:pPr>
        <w:spacing w:line="480" w:lineRule="auto"/>
        <w:rPr>
          <w:rFonts w:asciiTheme="minorHAnsi" w:hAnsiTheme="minorHAnsi"/>
        </w:rPr>
      </w:pPr>
    </w:p>
    <w:p w14:paraId="610C9570" w14:textId="241B83BC" w:rsidR="00D96F16" w:rsidRPr="00096FF8" w:rsidRDefault="00F01D42" w:rsidP="00490617">
      <w:pPr>
        <w:spacing w:line="480" w:lineRule="auto"/>
        <w:rPr>
          <w:rFonts w:asciiTheme="minorHAnsi" w:hAnsiTheme="minorHAnsi"/>
        </w:rPr>
      </w:pPr>
      <w:r w:rsidRPr="00096FF8">
        <w:rPr>
          <w:rFonts w:asciiTheme="minorHAnsi" w:hAnsiTheme="minorHAnsi"/>
        </w:rPr>
        <w:t xml:space="preserve">Five participants also </w:t>
      </w:r>
      <w:r w:rsidR="00666461" w:rsidRPr="00096FF8">
        <w:rPr>
          <w:rFonts w:asciiTheme="minorHAnsi" w:hAnsiTheme="minorHAnsi"/>
        </w:rPr>
        <w:t xml:space="preserve">considered that the management of </w:t>
      </w:r>
      <w:r w:rsidR="00E13E4E" w:rsidRPr="00096FF8">
        <w:rPr>
          <w:rFonts w:asciiTheme="minorHAnsi" w:hAnsiTheme="minorHAnsi"/>
        </w:rPr>
        <w:t>Direct Payments</w:t>
      </w:r>
      <w:r w:rsidR="00666461" w:rsidRPr="00096FF8">
        <w:rPr>
          <w:rFonts w:asciiTheme="minorHAnsi" w:hAnsiTheme="minorHAnsi"/>
        </w:rPr>
        <w:t xml:space="preserve"> could be burdensome for </w:t>
      </w:r>
      <w:r w:rsidR="00ED7F09" w:rsidRPr="00096FF8">
        <w:rPr>
          <w:rFonts w:asciiTheme="minorHAnsi" w:hAnsiTheme="minorHAnsi"/>
        </w:rPr>
        <w:t>the budget holder</w:t>
      </w:r>
      <w:r w:rsidR="00666461" w:rsidRPr="00096FF8">
        <w:rPr>
          <w:rFonts w:asciiTheme="minorHAnsi" w:hAnsiTheme="minorHAnsi"/>
        </w:rPr>
        <w:t>.</w:t>
      </w:r>
      <w:r w:rsidR="00D96F16" w:rsidRPr="00096FF8">
        <w:rPr>
          <w:rFonts w:asciiTheme="minorHAnsi" w:hAnsiTheme="minorHAnsi"/>
        </w:rPr>
        <w:t xml:space="preserve"> Elements that created burden included the </w:t>
      </w:r>
      <w:r w:rsidR="00673DF9" w:rsidRPr="00096FF8">
        <w:rPr>
          <w:rFonts w:asciiTheme="minorHAnsi" w:hAnsiTheme="minorHAnsi"/>
        </w:rPr>
        <w:t xml:space="preserve">intensive </w:t>
      </w:r>
      <w:r w:rsidR="00D96F16" w:rsidRPr="00096FF8">
        <w:rPr>
          <w:rFonts w:asciiTheme="minorHAnsi" w:hAnsiTheme="minorHAnsi"/>
        </w:rPr>
        <w:lastRenderedPageBreak/>
        <w:t xml:space="preserve">responsibility </w:t>
      </w:r>
      <w:r w:rsidR="00D37160" w:rsidRPr="00096FF8">
        <w:rPr>
          <w:rFonts w:asciiTheme="minorHAnsi" w:hAnsiTheme="minorHAnsi"/>
        </w:rPr>
        <w:t xml:space="preserve">of </w:t>
      </w:r>
      <w:r w:rsidR="00D96F16" w:rsidRPr="00096FF8">
        <w:rPr>
          <w:rFonts w:asciiTheme="minorHAnsi" w:hAnsiTheme="minorHAnsi"/>
        </w:rPr>
        <w:t xml:space="preserve"> managing care for a spouse</w:t>
      </w:r>
      <w:r w:rsidR="00674156" w:rsidRPr="00096FF8">
        <w:rPr>
          <w:rFonts w:asciiTheme="minorHAnsi" w:hAnsiTheme="minorHAnsi"/>
        </w:rPr>
        <w:t>. A</w:t>
      </w:r>
      <w:r w:rsidR="00ED7F09" w:rsidRPr="00096FF8">
        <w:rPr>
          <w:rFonts w:asciiTheme="minorHAnsi" w:hAnsiTheme="minorHAnsi"/>
        </w:rPr>
        <w:t>s well as</w:t>
      </w:r>
      <w:r w:rsidR="00D96F16" w:rsidRPr="00096FF8">
        <w:rPr>
          <w:rFonts w:asciiTheme="minorHAnsi" w:hAnsiTheme="minorHAnsi"/>
        </w:rPr>
        <w:t xml:space="preserve"> add</w:t>
      </w:r>
      <w:r w:rsidR="00ED7F09" w:rsidRPr="00096FF8">
        <w:rPr>
          <w:rFonts w:asciiTheme="minorHAnsi" w:hAnsiTheme="minorHAnsi"/>
        </w:rPr>
        <w:t>ing</w:t>
      </w:r>
      <w:r w:rsidR="00D96F16" w:rsidRPr="00096FF8">
        <w:rPr>
          <w:rFonts w:asciiTheme="minorHAnsi" w:hAnsiTheme="minorHAnsi"/>
        </w:rPr>
        <w:t xml:space="preserve"> to </w:t>
      </w:r>
      <w:r w:rsidR="00ED7F09" w:rsidRPr="00096FF8">
        <w:rPr>
          <w:rFonts w:asciiTheme="minorHAnsi" w:hAnsiTheme="minorHAnsi"/>
        </w:rPr>
        <w:t xml:space="preserve">pre-existing </w:t>
      </w:r>
      <w:r w:rsidR="00D96F16" w:rsidRPr="00096FF8">
        <w:rPr>
          <w:rFonts w:asciiTheme="minorHAnsi" w:hAnsiTheme="minorHAnsi"/>
        </w:rPr>
        <w:t>car</w:t>
      </w:r>
      <w:r w:rsidR="00ED7F09" w:rsidRPr="00096FF8">
        <w:rPr>
          <w:rFonts w:asciiTheme="minorHAnsi" w:hAnsiTheme="minorHAnsi"/>
        </w:rPr>
        <w:t>e tasks</w:t>
      </w:r>
      <w:r w:rsidR="00D96F16" w:rsidRPr="00096FF8">
        <w:rPr>
          <w:rFonts w:asciiTheme="minorHAnsi" w:hAnsiTheme="minorHAnsi"/>
        </w:rPr>
        <w:t xml:space="preserve">, </w:t>
      </w:r>
      <w:r w:rsidR="006A3B74" w:rsidRPr="00096FF8">
        <w:rPr>
          <w:rFonts w:asciiTheme="minorHAnsi" w:hAnsiTheme="minorHAnsi"/>
        </w:rPr>
        <w:t xml:space="preserve">responsibilities </w:t>
      </w:r>
      <w:r w:rsidR="004C36A1" w:rsidRPr="00096FF8">
        <w:rPr>
          <w:rFonts w:asciiTheme="minorHAnsi" w:hAnsiTheme="minorHAnsi"/>
        </w:rPr>
        <w:t xml:space="preserve">for training </w:t>
      </w:r>
      <w:r w:rsidR="00D96F16" w:rsidRPr="00096FF8">
        <w:rPr>
          <w:rFonts w:asciiTheme="minorHAnsi" w:hAnsiTheme="minorHAnsi"/>
        </w:rPr>
        <w:t xml:space="preserve">PAs or for employing staff </w:t>
      </w:r>
      <w:r w:rsidR="00674156" w:rsidRPr="00096FF8">
        <w:rPr>
          <w:rFonts w:asciiTheme="minorHAnsi" w:hAnsiTheme="minorHAnsi"/>
        </w:rPr>
        <w:t xml:space="preserve">were sometimes </w:t>
      </w:r>
      <w:r w:rsidR="006A3B74" w:rsidRPr="00096FF8">
        <w:rPr>
          <w:rFonts w:asciiTheme="minorHAnsi" w:hAnsiTheme="minorHAnsi"/>
        </w:rPr>
        <w:t>daunting</w:t>
      </w:r>
      <w:r w:rsidR="00674156" w:rsidRPr="00096FF8">
        <w:rPr>
          <w:rFonts w:asciiTheme="minorHAnsi" w:hAnsiTheme="minorHAnsi"/>
        </w:rPr>
        <w:t xml:space="preserve"> </w:t>
      </w:r>
      <w:r w:rsidR="00673DF9" w:rsidRPr="00096FF8">
        <w:rPr>
          <w:rFonts w:asciiTheme="minorHAnsi" w:hAnsiTheme="minorHAnsi"/>
        </w:rPr>
        <w:t>for spouse carers and others:</w:t>
      </w:r>
    </w:p>
    <w:p w14:paraId="3ACDCE2B" w14:textId="77777777" w:rsidR="00D96F16" w:rsidRPr="00096FF8" w:rsidRDefault="00D96F16" w:rsidP="00490617">
      <w:pPr>
        <w:pStyle w:val="MediumGrid1-Accent21"/>
        <w:spacing w:before="0" w:after="0" w:line="480" w:lineRule="auto"/>
        <w:ind w:left="0"/>
        <w:rPr>
          <w:rFonts w:asciiTheme="minorHAnsi" w:hAnsiTheme="minorHAnsi"/>
        </w:rPr>
      </w:pPr>
    </w:p>
    <w:p w14:paraId="046B115B" w14:textId="77777777" w:rsidR="00D96F16" w:rsidRPr="00096FF8" w:rsidRDefault="00D96F16" w:rsidP="00490617">
      <w:pPr>
        <w:pStyle w:val="Quote"/>
        <w:spacing w:line="480" w:lineRule="auto"/>
        <w:rPr>
          <w:rFonts w:asciiTheme="minorHAnsi" w:hAnsiTheme="minorHAnsi"/>
        </w:rPr>
      </w:pPr>
      <w:r w:rsidRPr="00096FF8">
        <w:rPr>
          <w:rFonts w:asciiTheme="minorHAnsi" w:hAnsiTheme="minorHAnsi"/>
        </w:rPr>
        <w:t>You see their faces change when people start saying</w:t>
      </w:r>
      <w:r w:rsidR="00011222" w:rsidRPr="00096FF8">
        <w:rPr>
          <w:rFonts w:asciiTheme="minorHAnsi" w:hAnsiTheme="minorHAnsi"/>
        </w:rPr>
        <w:t>,</w:t>
      </w:r>
      <w:r w:rsidRPr="00096FF8">
        <w:rPr>
          <w:rFonts w:asciiTheme="minorHAnsi" w:hAnsiTheme="minorHAnsi"/>
        </w:rPr>
        <w:t xml:space="preserve"> </w:t>
      </w:r>
      <w:r w:rsidR="00F26D5F" w:rsidRPr="00096FF8">
        <w:rPr>
          <w:rFonts w:asciiTheme="minorHAnsi" w:hAnsiTheme="minorHAnsi"/>
        </w:rPr>
        <w:t>‘</w:t>
      </w:r>
      <w:r w:rsidRPr="00096FF8">
        <w:rPr>
          <w:rFonts w:asciiTheme="minorHAnsi" w:hAnsiTheme="minorHAnsi"/>
        </w:rPr>
        <w:t>well actually, you’ll be the employer</w:t>
      </w:r>
      <w:r w:rsidR="00F26D5F" w:rsidRPr="00096FF8">
        <w:rPr>
          <w:rFonts w:asciiTheme="minorHAnsi" w:hAnsiTheme="minorHAnsi"/>
        </w:rPr>
        <w:t>’</w:t>
      </w:r>
      <w:r w:rsidRPr="00096FF8">
        <w:rPr>
          <w:rFonts w:asciiTheme="minorHAnsi" w:hAnsiTheme="minorHAnsi"/>
        </w:rPr>
        <w:t>, they’ll go</w:t>
      </w:r>
      <w:r w:rsidR="00011222" w:rsidRPr="00096FF8">
        <w:rPr>
          <w:rFonts w:asciiTheme="minorHAnsi" w:hAnsiTheme="minorHAnsi"/>
        </w:rPr>
        <w:t>,</w:t>
      </w:r>
      <w:r w:rsidRPr="00096FF8">
        <w:rPr>
          <w:rFonts w:asciiTheme="minorHAnsi" w:hAnsiTheme="minorHAnsi"/>
        </w:rPr>
        <w:t xml:space="preserve"> </w:t>
      </w:r>
      <w:r w:rsidR="00F26D5F" w:rsidRPr="00096FF8">
        <w:rPr>
          <w:rFonts w:asciiTheme="minorHAnsi" w:hAnsiTheme="minorHAnsi"/>
        </w:rPr>
        <w:t>‘</w:t>
      </w:r>
      <w:r w:rsidRPr="00096FF8">
        <w:rPr>
          <w:rFonts w:asciiTheme="minorHAnsi" w:hAnsiTheme="minorHAnsi"/>
        </w:rPr>
        <w:t>what do you mean</w:t>
      </w:r>
      <w:r w:rsidR="00011222" w:rsidRPr="00096FF8">
        <w:rPr>
          <w:rFonts w:asciiTheme="minorHAnsi" w:hAnsiTheme="minorHAnsi"/>
        </w:rPr>
        <w:t>?</w:t>
      </w:r>
      <w:r w:rsidRPr="00096FF8">
        <w:rPr>
          <w:rFonts w:asciiTheme="minorHAnsi" w:hAnsiTheme="minorHAnsi"/>
        </w:rPr>
        <w:t xml:space="preserve"> I don’t want to be an employer</w:t>
      </w:r>
      <w:r w:rsidR="00F26D5F" w:rsidRPr="00096FF8">
        <w:rPr>
          <w:rFonts w:asciiTheme="minorHAnsi" w:hAnsiTheme="minorHAnsi"/>
        </w:rPr>
        <w:t>’</w:t>
      </w:r>
      <w:r w:rsidRPr="00096FF8">
        <w:rPr>
          <w:rFonts w:asciiTheme="minorHAnsi" w:hAnsiTheme="minorHAnsi"/>
        </w:rPr>
        <w:t>, you know</w:t>
      </w:r>
      <w:r w:rsidR="00DC23D9" w:rsidRPr="00096FF8">
        <w:rPr>
          <w:rFonts w:asciiTheme="minorHAnsi" w:hAnsiTheme="minorHAnsi"/>
        </w:rPr>
        <w:t xml:space="preserve">. </w:t>
      </w:r>
      <w:r w:rsidR="00F26D5F" w:rsidRPr="00096FF8">
        <w:rPr>
          <w:rFonts w:asciiTheme="minorHAnsi" w:hAnsiTheme="minorHAnsi"/>
        </w:rPr>
        <w:t>‘</w:t>
      </w:r>
      <w:r w:rsidRPr="00096FF8">
        <w:rPr>
          <w:rFonts w:asciiTheme="minorHAnsi" w:hAnsiTheme="minorHAnsi"/>
        </w:rPr>
        <w:t>I worked in a factory all me life</w:t>
      </w:r>
      <w:r w:rsidR="00011222" w:rsidRPr="00096FF8">
        <w:rPr>
          <w:rFonts w:asciiTheme="minorHAnsi" w:hAnsiTheme="minorHAnsi"/>
        </w:rPr>
        <w:t>…</w:t>
      </w:r>
      <w:r w:rsidR="00F26D5F" w:rsidRPr="00096FF8">
        <w:rPr>
          <w:rFonts w:asciiTheme="minorHAnsi" w:hAnsiTheme="minorHAnsi"/>
        </w:rPr>
        <w:t>’</w:t>
      </w:r>
    </w:p>
    <w:p w14:paraId="1A857959" w14:textId="77777777" w:rsidR="00D96F16" w:rsidRPr="00096FF8" w:rsidRDefault="00D96F16" w:rsidP="00490617">
      <w:pPr>
        <w:pStyle w:val="QuoteLabel"/>
        <w:spacing w:line="480" w:lineRule="auto"/>
        <w:rPr>
          <w:rFonts w:asciiTheme="minorHAnsi" w:hAnsiTheme="minorHAnsi"/>
        </w:rPr>
      </w:pPr>
      <w:r w:rsidRPr="00096FF8">
        <w:rPr>
          <w:rFonts w:asciiTheme="minorHAnsi" w:hAnsiTheme="minorHAnsi"/>
        </w:rPr>
        <w:t>Social Worker 05</w:t>
      </w:r>
    </w:p>
    <w:p w14:paraId="0D8D0208" w14:textId="77777777" w:rsidR="00D96F16" w:rsidRPr="00096FF8" w:rsidRDefault="00D96F16" w:rsidP="00490617">
      <w:pPr>
        <w:pStyle w:val="MediumGrid1-Accent21"/>
        <w:spacing w:before="0" w:after="0" w:line="480" w:lineRule="auto"/>
        <w:ind w:left="0"/>
        <w:rPr>
          <w:rFonts w:asciiTheme="minorHAnsi" w:hAnsiTheme="minorHAnsi"/>
        </w:rPr>
      </w:pPr>
    </w:p>
    <w:p w14:paraId="7593B74F" w14:textId="2E6A0333" w:rsidR="00F01D42" w:rsidRPr="00096FF8" w:rsidRDefault="00F01D42" w:rsidP="00490617">
      <w:pPr>
        <w:pStyle w:val="MediumGrid1-Accent21"/>
        <w:spacing w:before="0" w:after="0" w:line="480" w:lineRule="auto"/>
        <w:ind w:left="0"/>
        <w:rPr>
          <w:rFonts w:asciiTheme="minorHAnsi" w:hAnsiTheme="minorHAnsi"/>
        </w:rPr>
      </w:pPr>
      <w:r w:rsidRPr="00096FF8">
        <w:rPr>
          <w:rFonts w:asciiTheme="minorHAnsi" w:hAnsiTheme="minorHAnsi"/>
        </w:rPr>
        <w:t xml:space="preserve">However, two social workers </w:t>
      </w:r>
      <w:r w:rsidR="00D96F16" w:rsidRPr="00096FF8">
        <w:rPr>
          <w:rFonts w:asciiTheme="minorHAnsi" w:hAnsiTheme="minorHAnsi"/>
        </w:rPr>
        <w:t>believed that</w:t>
      </w:r>
      <w:r w:rsidRPr="00096FF8">
        <w:rPr>
          <w:rFonts w:asciiTheme="minorHAnsi" w:hAnsiTheme="minorHAnsi"/>
        </w:rPr>
        <w:t xml:space="preserve"> many </w:t>
      </w:r>
      <w:r w:rsidR="005E67C4" w:rsidRPr="00096FF8">
        <w:rPr>
          <w:rFonts w:asciiTheme="minorHAnsi" w:hAnsiTheme="minorHAnsi"/>
        </w:rPr>
        <w:t>people</w:t>
      </w:r>
      <w:r w:rsidR="00D96F16" w:rsidRPr="00096FF8">
        <w:rPr>
          <w:rFonts w:asciiTheme="minorHAnsi" w:hAnsiTheme="minorHAnsi"/>
        </w:rPr>
        <w:t xml:space="preserve"> were well </w:t>
      </w:r>
      <w:r w:rsidR="00673DF9" w:rsidRPr="00096FF8">
        <w:rPr>
          <w:rFonts w:asciiTheme="minorHAnsi" w:hAnsiTheme="minorHAnsi"/>
        </w:rPr>
        <w:t xml:space="preserve">placed </w:t>
      </w:r>
      <w:r w:rsidRPr="00096FF8">
        <w:rPr>
          <w:rFonts w:asciiTheme="minorHAnsi" w:hAnsiTheme="minorHAnsi"/>
        </w:rPr>
        <w:t>to make good and safe decisions about the</w:t>
      </w:r>
      <w:r w:rsidR="00673DF9" w:rsidRPr="00096FF8">
        <w:rPr>
          <w:rFonts w:asciiTheme="minorHAnsi" w:hAnsiTheme="minorHAnsi"/>
        </w:rPr>
        <w:t>ir</w:t>
      </w:r>
      <w:r w:rsidRPr="00096FF8">
        <w:rPr>
          <w:rFonts w:asciiTheme="minorHAnsi" w:hAnsiTheme="minorHAnsi"/>
        </w:rPr>
        <w:t xml:space="preserve"> use</w:t>
      </w:r>
      <w:r w:rsidR="00673DF9" w:rsidRPr="00096FF8">
        <w:rPr>
          <w:rFonts w:asciiTheme="minorHAnsi" w:hAnsiTheme="minorHAnsi"/>
        </w:rPr>
        <w:t xml:space="preserve"> of</w:t>
      </w:r>
      <w:r w:rsidRPr="00096FF8">
        <w:rPr>
          <w:rFonts w:asciiTheme="minorHAnsi" w:hAnsiTheme="minorHAnsi"/>
        </w:rPr>
        <w:t xml:space="preserve"> </w:t>
      </w:r>
      <w:r w:rsidR="009C3442" w:rsidRPr="00096FF8">
        <w:rPr>
          <w:rFonts w:asciiTheme="minorHAnsi" w:hAnsiTheme="minorHAnsi"/>
        </w:rPr>
        <w:t xml:space="preserve">personal budgets </w:t>
      </w:r>
      <w:r w:rsidRPr="00096FF8">
        <w:rPr>
          <w:rFonts w:asciiTheme="minorHAnsi" w:hAnsiTheme="minorHAnsi"/>
        </w:rPr>
        <w:t xml:space="preserve">and </w:t>
      </w:r>
      <w:r w:rsidR="00E13E4E" w:rsidRPr="00096FF8">
        <w:rPr>
          <w:rFonts w:asciiTheme="minorHAnsi" w:hAnsiTheme="minorHAnsi"/>
        </w:rPr>
        <w:t>Direct Payments</w:t>
      </w:r>
      <w:r w:rsidRPr="00096FF8">
        <w:rPr>
          <w:rFonts w:asciiTheme="minorHAnsi" w:hAnsiTheme="minorHAnsi"/>
        </w:rPr>
        <w:t>. This</w:t>
      </w:r>
      <w:r w:rsidR="00D96F16" w:rsidRPr="00096FF8">
        <w:rPr>
          <w:rFonts w:asciiTheme="minorHAnsi" w:hAnsiTheme="minorHAnsi"/>
        </w:rPr>
        <w:t xml:space="preserve"> balance of </w:t>
      </w:r>
      <w:r w:rsidRPr="00096FF8">
        <w:rPr>
          <w:rFonts w:asciiTheme="minorHAnsi" w:hAnsiTheme="minorHAnsi"/>
        </w:rPr>
        <w:t>approach</w:t>
      </w:r>
      <w:r w:rsidR="00D96F16" w:rsidRPr="00096FF8">
        <w:rPr>
          <w:rFonts w:asciiTheme="minorHAnsi" w:hAnsiTheme="minorHAnsi"/>
        </w:rPr>
        <w:t>es</w:t>
      </w:r>
      <w:r w:rsidRPr="00096FF8">
        <w:rPr>
          <w:rFonts w:asciiTheme="minorHAnsi" w:hAnsiTheme="minorHAnsi"/>
        </w:rPr>
        <w:t xml:space="preserve"> was summed up by one senior manager, who talked about the need to offer service users the same </w:t>
      </w:r>
      <w:r w:rsidR="00AE5CE8" w:rsidRPr="00096FF8">
        <w:rPr>
          <w:rFonts w:asciiTheme="minorHAnsi" w:hAnsiTheme="minorHAnsi"/>
        </w:rPr>
        <w:t>safeguards</w:t>
      </w:r>
      <w:r w:rsidRPr="00096FF8">
        <w:rPr>
          <w:rFonts w:asciiTheme="minorHAnsi" w:hAnsiTheme="minorHAnsi"/>
        </w:rPr>
        <w:t xml:space="preserve"> </w:t>
      </w:r>
      <w:r w:rsidR="004210DB" w:rsidRPr="00096FF8">
        <w:rPr>
          <w:rFonts w:asciiTheme="minorHAnsi" w:hAnsiTheme="minorHAnsi"/>
        </w:rPr>
        <w:t>as those</w:t>
      </w:r>
      <w:r w:rsidR="00BE322C" w:rsidRPr="00096FF8">
        <w:rPr>
          <w:rFonts w:asciiTheme="minorHAnsi" w:hAnsiTheme="minorHAnsi"/>
        </w:rPr>
        <w:t xml:space="preserve"> for </w:t>
      </w:r>
      <w:r w:rsidR="004210DB" w:rsidRPr="00096FF8">
        <w:rPr>
          <w:rFonts w:asciiTheme="minorHAnsi" w:hAnsiTheme="minorHAnsi"/>
        </w:rPr>
        <w:t xml:space="preserve">people </w:t>
      </w:r>
      <w:r w:rsidRPr="00096FF8">
        <w:rPr>
          <w:rFonts w:asciiTheme="minorHAnsi" w:hAnsiTheme="minorHAnsi"/>
        </w:rPr>
        <w:t>using commissioned services,</w:t>
      </w:r>
      <w:r w:rsidR="00BE322C" w:rsidRPr="00096FF8">
        <w:rPr>
          <w:rFonts w:asciiTheme="minorHAnsi" w:hAnsiTheme="minorHAnsi"/>
        </w:rPr>
        <w:t xml:space="preserve"> whilst ensuring </w:t>
      </w:r>
      <w:r w:rsidR="00E13E4E" w:rsidRPr="00096FF8">
        <w:rPr>
          <w:rFonts w:asciiTheme="minorHAnsi" w:hAnsiTheme="minorHAnsi"/>
        </w:rPr>
        <w:t>Direct Payment</w:t>
      </w:r>
      <w:r w:rsidR="00BE322C" w:rsidRPr="00096FF8">
        <w:rPr>
          <w:rFonts w:asciiTheme="minorHAnsi" w:hAnsiTheme="minorHAnsi"/>
        </w:rPr>
        <w:t xml:space="preserve"> users maintained control</w:t>
      </w:r>
      <w:r w:rsidRPr="00096FF8">
        <w:rPr>
          <w:rFonts w:asciiTheme="minorHAnsi" w:hAnsiTheme="minorHAnsi"/>
        </w:rPr>
        <w:t>:</w:t>
      </w:r>
    </w:p>
    <w:p w14:paraId="3EEC39B3" w14:textId="77777777" w:rsidR="00F01D42" w:rsidRPr="00096FF8" w:rsidRDefault="00F01D42" w:rsidP="00490617">
      <w:pPr>
        <w:spacing w:line="480" w:lineRule="auto"/>
        <w:rPr>
          <w:rFonts w:asciiTheme="minorHAnsi" w:hAnsiTheme="minorHAnsi"/>
        </w:rPr>
      </w:pPr>
    </w:p>
    <w:p w14:paraId="076E665E" w14:textId="77777777" w:rsidR="00F01D42" w:rsidRPr="00096FF8" w:rsidRDefault="00F01D42" w:rsidP="00490617">
      <w:pPr>
        <w:pStyle w:val="Quote"/>
        <w:spacing w:line="480" w:lineRule="auto"/>
        <w:rPr>
          <w:rFonts w:asciiTheme="minorHAnsi" w:hAnsiTheme="minorHAnsi"/>
        </w:rPr>
      </w:pPr>
      <w:r w:rsidRPr="00096FF8">
        <w:rPr>
          <w:rFonts w:asciiTheme="minorHAnsi" w:hAnsiTheme="minorHAnsi"/>
        </w:rPr>
        <w:t>So it’s putting in place those safeguards that, that we would have for any commissioned services, and, and not forcing it on people but giving them the access to those sorts of, of assurances that we would put in place.</w:t>
      </w:r>
    </w:p>
    <w:p w14:paraId="3159CB90" w14:textId="77777777" w:rsidR="00F01D42" w:rsidRPr="00096FF8" w:rsidRDefault="00F01D42" w:rsidP="00490617">
      <w:pPr>
        <w:pStyle w:val="QuoteLabel"/>
        <w:spacing w:line="480" w:lineRule="auto"/>
        <w:rPr>
          <w:rFonts w:asciiTheme="minorHAnsi" w:hAnsiTheme="minorHAnsi"/>
        </w:rPr>
      </w:pPr>
      <w:r w:rsidRPr="00096FF8">
        <w:rPr>
          <w:rFonts w:asciiTheme="minorHAnsi" w:hAnsiTheme="minorHAnsi"/>
        </w:rPr>
        <w:t xml:space="preserve">Senior Manager </w:t>
      </w:r>
      <w:r w:rsidR="00517A26" w:rsidRPr="00096FF8">
        <w:rPr>
          <w:rFonts w:asciiTheme="minorHAnsi" w:hAnsiTheme="minorHAnsi"/>
        </w:rPr>
        <w:t>11</w:t>
      </w:r>
    </w:p>
    <w:p w14:paraId="5CE31B9E" w14:textId="77777777" w:rsidR="00F01D42" w:rsidRPr="00096FF8" w:rsidRDefault="00F01D42" w:rsidP="00490617">
      <w:pPr>
        <w:spacing w:line="480" w:lineRule="auto"/>
        <w:rPr>
          <w:rFonts w:asciiTheme="minorHAnsi" w:hAnsiTheme="minorHAnsi"/>
        </w:rPr>
      </w:pPr>
    </w:p>
    <w:p w14:paraId="0FA7611B" w14:textId="77777777" w:rsidR="00FE6A02" w:rsidRPr="00096FF8" w:rsidRDefault="00FE6A02" w:rsidP="00490617">
      <w:pPr>
        <w:pStyle w:val="Heading4"/>
        <w:spacing w:before="0" w:line="480" w:lineRule="auto"/>
        <w:rPr>
          <w:rFonts w:asciiTheme="minorHAnsi" w:hAnsiTheme="minorHAnsi"/>
        </w:rPr>
      </w:pPr>
      <w:r w:rsidRPr="00096FF8">
        <w:rPr>
          <w:rFonts w:asciiTheme="minorHAnsi" w:hAnsiTheme="minorHAnsi"/>
        </w:rPr>
        <w:t>Positive risk taking</w:t>
      </w:r>
    </w:p>
    <w:p w14:paraId="23450115" w14:textId="50B0C6D0" w:rsidR="0023201E" w:rsidRPr="00096FF8" w:rsidRDefault="00011222"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For practitioners, t</w:t>
      </w:r>
      <w:r w:rsidR="0023201E" w:rsidRPr="00096FF8">
        <w:rPr>
          <w:rFonts w:asciiTheme="minorHAnsi" w:hAnsiTheme="minorHAnsi"/>
          <w:szCs w:val="24"/>
        </w:rPr>
        <w:t xml:space="preserve">he nub of decision making about risks </w:t>
      </w:r>
      <w:r w:rsidR="009F4D6D" w:rsidRPr="00096FF8">
        <w:rPr>
          <w:rFonts w:asciiTheme="minorHAnsi" w:hAnsiTheme="minorHAnsi"/>
          <w:szCs w:val="24"/>
        </w:rPr>
        <w:t xml:space="preserve">appeared to be in </w:t>
      </w:r>
      <w:r w:rsidR="0023201E" w:rsidRPr="00096FF8">
        <w:rPr>
          <w:rFonts w:asciiTheme="minorHAnsi" w:hAnsiTheme="minorHAnsi"/>
          <w:szCs w:val="24"/>
        </w:rPr>
        <w:t>balancing</w:t>
      </w:r>
      <w:r w:rsidR="009F4D6D" w:rsidRPr="00096FF8">
        <w:rPr>
          <w:rFonts w:asciiTheme="minorHAnsi" w:hAnsiTheme="minorHAnsi"/>
          <w:szCs w:val="24"/>
        </w:rPr>
        <w:t xml:space="preserve"> </w:t>
      </w:r>
      <w:r w:rsidR="001D046C" w:rsidRPr="00096FF8">
        <w:rPr>
          <w:rFonts w:asciiTheme="minorHAnsi" w:hAnsiTheme="minorHAnsi"/>
          <w:szCs w:val="24"/>
        </w:rPr>
        <w:t xml:space="preserve">the likelihood of </w:t>
      </w:r>
      <w:r w:rsidR="009F4D6D" w:rsidRPr="00096FF8">
        <w:rPr>
          <w:rFonts w:asciiTheme="minorHAnsi" w:hAnsiTheme="minorHAnsi"/>
          <w:szCs w:val="24"/>
        </w:rPr>
        <w:t>potentially</w:t>
      </w:r>
      <w:r w:rsidR="0023201E" w:rsidRPr="00096FF8">
        <w:rPr>
          <w:rFonts w:asciiTheme="minorHAnsi" w:hAnsiTheme="minorHAnsi"/>
          <w:szCs w:val="24"/>
        </w:rPr>
        <w:t xml:space="preserve"> positive benefits to be gained, such as self-determination</w:t>
      </w:r>
      <w:r w:rsidR="00660023" w:rsidRPr="00096FF8">
        <w:rPr>
          <w:rFonts w:asciiTheme="minorHAnsi" w:hAnsiTheme="minorHAnsi"/>
          <w:szCs w:val="24"/>
        </w:rPr>
        <w:t>,</w:t>
      </w:r>
      <w:r w:rsidR="0023201E" w:rsidRPr="00096FF8">
        <w:rPr>
          <w:rFonts w:asciiTheme="minorHAnsi" w:hAnsiTheme="minorHAnsi"/>
          <w:szCs w:val="24"/>
        </w:rPr>
        <w:t xml:space="preserve"> a valued relationship</w:t>
      </w:r>
      <w:r w:rsidR="00660023" w:rsidRPr="00096FF8">
        <w:rPr>
          <w:rFonts w:asciiTheme="minorHAnsi" w:hAnsiTheme="minorHAnsi"/>
          <w:szCs w:val="24"/>
        </w:rPr>
        <w:t xml:space="preserve"> </w:t>
      </w:r>
      <w:r w:rsidR="00E7168D" w:rsidRPr="00096FF8">
        <w:rPr>
          <w:rFonts w:asciiTheme="minorHAnsi" w:hAnsiTheme="minorHAnsi"/>
          <w:szCs w:val="24"/>
        </w:rPr>
        <w:t xml:space="preserve">and </w:t>
      </w:r>
      <w:r w:rsidR="00540303" w:rsidRPr="00096FF8">
        <w:rPr>
          <w:rFonts w:asciiTheme="minorHAnsi" w:hAnsiTheme="minorHAnsi"/>
          <w:szCs w:val="24"/>
        </w:rPr>
        <w:t xml:space="preserve">choice of </w:t>
      </w:r>
      <w:r w:rsidR="00660023" w:rsidRPr="00096FF8">
        <w:rPr>
          <w:rFonts w:asciiTheme="minorHAnsi" w:hAnsiTheme="minorHAnsi"/>
          <w:szCs w:val="24"/>
        </w:rPr>
        <w:t>particular provider</w:t>
      </w:r>
      <w:r w:rsidR="009F4D6D" w:rsidRPr="00096FF8">
        <w:rPr>
          <w:rFonts w:asciiTheme="minorHAnsi" w:hAnsiTheme="minorHAnsi"/>
          <w:szCs w:val="24"/>
        </w:rPr>
        <w:t>,</w:t>
      </w:r>
      <w:r w:rsidR="0023201E" w:rsidRPr="00096FF8">
        <w:rPr>
          <w:rFonts w:asciiTheme="minorHAnsi" w:hAnsiTheme="minorHAnsi"/>
          <w:szCs w:val="24"/>
        </w:rPr>
        <w:t xml:space="preserve"> against the likelihood and relative severity of </w:t>
      </w:r>
      <w:r w:rsidR="0023201E" w:rsidRPr="00096FF8">
        <w:rPr>
          <w:rFonts w:asciiTheme="minorHAnsi" w:hAnsiTheme="minorHAnsi"/>
          <w:szCs w:val="24"/>
        </w:rPr>
        <w:lastRenderedPageBreak/>
        <w:t xml:space="preserve">harm. </w:t>
      </w:r>
      <w:r w:rsidR="001D046C" w:rsidRPr="00096FF8">
        <w:rPr>
          <w:rFonts w:asciiTheme="minorHAnsi" w:hAnsiTheme="minorHAnsi"/>
          <w:szCs w:val="24"/>
        </w:rPr>
        <w:t xml:space="preserve">Illustrations </w:t>
      </w:r>
      <w:r w:rsidR="00B447C3" w:rsidRPr="00096FF8">
        <w:rPr>
          <w:rFonts w:asciiTheme="minorHAnsi" w:hAnsiTheme="minorHAnsi"/>
          <w:szCs w:val="24"/>
        </w:rPr>
        <w:t>provided by participants</w:t>
      </w:r>
      <w:r w:rsidR="0023201E" w:rsidRPr="00096FF8">
        <w:rPr>
          <w:rFonts w:asciiTheme="minorHAnsi" w:hAnsiTheme="minorHAnsi"/>
          <w:szCs w:val="24"/>
        </w:rPr>
        <w:t xml:space="preserve"> included situations where individuals with</w:t>
      </w:r>
      <w:r w:rsidR="00B447C3" w:rsidRPr="00096FF8">
        <w:rPr>
          <w:rFonts w:asciiTheme="minorHAnsi" w:hAnsiTheme="minorHAnsi"/>
          <w:szCs w:val="24"/>
        </w:rPr>
        <w:t xml:space="preserve"> decision-</w:t>
      </w:r>
      <w:r w:rsidR="009F4D6D" w:rsidRPr="00096FF8">
        <w:rPr>
          <w:rFonts w:asciiTheme="minorHAnsi" w:hAnsiTheme="minorHAnsi"/>
          <w:szCs w:val="24"/>
        </w:rPr>
        <w:t>making</w:t>
      </w:r>
      <w:r w:rsidR="0023201E" w:rsidRPr="00096FF8">
        <w:rPr>
          <w:rFonts w:asciiTheme="minorHAnsi" w:hAnsiTheme="minorHAnsi"/>
          <w:szCs w:val="24"/>
        </w:rPr>
        <w:t xml:space="preserve"> capacity, or possibly where there were doubts about capacity</w:t>
      </w:r>
      <w:r w:rsidR="009F4D6D" w:rsidRPr="00096FF8">
        <w:rPr>
          <w:rFonts w:asciiTheme="minorHAnsi" w:hAnsiTheme="minorHAnsi"/>
          <w:szCs w:val="24"/>
        </w:rPr>
        <w:t>,</w:t>
      </w:r>
      <w:r w:rsidR="0023201E" w:rsidRPr="00096FF8">
        <w:rPr>
          <w:rFonts w:asciiTheme="minorHAnsi" w:hAnsiTheme="minorHAnsi"/>
          <w:szCs w:val="24"/>
        </w:rPr>
        <w:t xml:space="preserve"> chose to pa</w:t>
      </w:r>
      <w:r w:rsidR="00B447C3" w:rsidRPr="00096FF8">
        <w:rPr>
          <w:rFonts w:asciiTheme="minorHAnsi" w:hAnsiTheme="minorHAnsi"/>
          <w:szCs w:val="24"/>
        </w:rPr>
        <w:t xml:space="preserve">y individuals to </w:t>
      </w:r>
      <w:r w:rsidR="001D046C" w:rsidRPr="00096FF8">
        <w:rPr>
          <w:rFonts w:asciiTheme="minorHAnsi" w:hAnsiTheme="minorHAnsi"/>
          <w:szCs w:val="24"/>
        </w:rPr>
        <w:t xml:space="preserve">provide them with </w:t>
      </w:r>
      <w:r w:rsidR="009F4D6D" w:rsidRPr="00096FF8">
        <w:rPr>
          <w:rFonts w:asciiTheme="minorHAnsi" w:hAnsiTheme="minorHAnsi"/>
          <w:szCs w:val="24"/>
        </w:rPr>
        <w:t xml:space="preserve">physical </w:t>
      </w:r>
      <w:r w:rsidR="002B4571">
        <w:rPr>
          <w:rFonts w:asciiTheme="minorHAnsi" w:hAnsiTheme="minorHAnsi"/>
          <w:szCs w:val="24"/>
        </w:rPr>
        <w:t>care and where</w:t>
      </w:r>
      <w:r w:rsidR="0023201E" w:rsidRPr="00096FF8">
        <w:rPr>
          <w:rFonts w:asciiTheme="minorHAnsi" w:hAnsiTheme="minorHAnsi"/>
          <w:szCs w:val="24"/>
        </w:rPr>
        <w:t xml:space="preserve"> concerns </w:t>
      </w:r>
      <w:r w:rsidR="009F4D6D" w:rsidRPr="00096FF8">
        <w:rPr>
          <w:rFonts w:asciiTheme="minorHAnsi" w:hAnsiTheme="minorHAnsi"/>
          <w:szCs w:val="24"/>
        </w:rPr>
        <w:t>emerged</w:t>
      </w:r>
      <w:r w:rsidR="0023201E" w:rsidRPr="00096FF8">
        <w:rPr>
          <w:rFonts w:asciiTheme="minorHAnsi" w:hAnsiTheme="minorHAnsi"/>
          <w:szCs w:val="24"/>
        </w:rPr>
        <w:t xml:space="preserve"> about some kind of emotional or financial abuse. For example, one social worker described a case</w:t>
      </w:r>
      <w:r w:rsidR="001D046C" w:rsidRPr="00096FF8">
        <w:rPr>
          <w:rFonts w:asciiTheme="minorHAnsi" w:hAnsiTheme="minorHAnsi"/>
          <w:szCs w:val="24"/>
        </w:rPr>
        <w:t xml:space="preserve"> she classed as problematic</w:t>
      </w:r>
      <w:r w:rsidR="0023201E" w:rsidRPr="00096FF8">
        <w:rPr>
          <w:rFonts w:asciiTheme="minorHAnsi" w:hAnsiTheme="minorHAnsi"/>
          <w:szCs w:val="24"/>
        </w:rPr>
        <w:t xml:space="preserve"> </w:t>
      </w:r>
      <w:r w:rsidR="004210DB" w:rsidRPr="00096FF8">
        <w:rPr>
          <w:rFonts w:asciiTheme="minorHAnsi" w:hAnsiTheme="minorHAnsi"/>
          <w:szCs w:val="24"/>
        </w:rPr>
        <w:t>in which a</w:t>
      </w:r>
      <w:r w:rsidR="00DC4C6D" w:rsidRPr="00096FF8">
        <w:rPr>
          <w:rFonts w:asciiTheme="minorHAnsi" w:hAnsiTheme="minorHAnsi"/>
          <w:szCs w:val="24"/>
        </w:rPr>
        <w:t xml:space="preserve"> man</w:t>
      </w:r>
      <w:r w:rsidR="004C253B" w:rsidRPr="00096FF8">
        <w:rPr>
          <w:rFonts w:asciiTheme="minorHAnsi" w:hAnsiTheme="minorHAnsi"/>
          <w:szCs w:val="24"/>
        </w:rPr>
        <w:t xml:space="preserve"> was very keen to be supported by particular </w:t>
      </w:r>
      <w:r w:rsidR="00DC4C6D" w:rsidRPr="00096FF8">
        <w:rPr>
          <w:rFonts w:asciiTheme="minorHAnsi" w:hAnsiTheme="minorHAnsi"/>
          <w:szCs w:val="24"/>
        </w:rPr>
        <w:t>PAs</w:t>
      </w:r>
      <w:r w:rsidR="004C253B" w:rsidRPr="00096FF8">
        <w:rPr>
          <w:rFonts w:asciiTheme="minorHAnsi" w:hAnsiTheme="minorHAnsi"/>
          <w:szCs w:val="24"/>
        </w:rPr>
        <w:t xml:space="preserve">, but there were concerns that they might have been harming </w:t>
      </w:r>
      <w:r w:rsidR="00DC4C6D" w:rsidRPr="00096FF8">
        <w:rPr>
          <w:rFonts w:asciiTheme="minorHAnsi" w:hAnsiTheme="minorHAnsi"/>
          <w:szCs w:val="24"/>
        </w:rPr>
        <w:t>him</w:t>
      </w:r>
      <w:r w:rsidR="004C253B" w:rsidRPr="00096FF8">
        <w:rPr>
          <w:rFonts w:asciiTheme="minorHAnsi" w:hAnsiTheme="minorHAnsi"/>
          <w:szCs w:val="24"/>
        </w:rPr>
        <w:t>:</w:t>
      </w:r>
      <w:r w:rsidR="0023201E" w:rsidRPr="00096FF8">
        <w:rPr>
          <w:rFonts w:asciiTheme="minorHAnsi" w:hAnsiTheme="minorHAnsi"/>
          <w:szCs w:val="24"/>
        </w:rPr>
        <w:t xml:space="preserve">  </w:t>
      </w:r>
    </w:p>
    <w:p w14:paraId="294745EB" w14:textId="77777777" w:rsidR="0023201E" w:rsidRPr="00096FF8" w:rsidRDefault="0023201E" w:rsidP="00490617">
      <w:pPr>
        <w:pStyle w:val="MediumGrid1-Accent21"/>
        <w:spacing w:before="0" w:after="0" w:line="480" w:lineRule="auto"/>
        <w:rPr>
          <w:rFonts w:asciiTheme="minorHAnsi" w:hAnsiTheme="minorHAnsi"/>
          <w:szCs w:val="24"/>
        </w:rPr>
      </w:pPr>
    </w:p>
    <w:p w14:paraId="2E520032" w14:textId="77777777" w:rsidR="0023201E" w:rsidRPr="00096FF8" w:rsidRDefault="0023201E" w:rsidP="00490617">
      <w:pPr>
        <w:pStyle w:val="Quote"/>
        <w:spacing w:line="480" w:lineRule="auto"/>
        <w:rPr>
          <w:rFonts w:asciiTheme="minorHAnsi" w:hAnsiTheme="minorHAnsi"/>
        </w:rPr>
      </w:pPr>
      <w:r w:rsidRPr="00096FF8">
        <w:rPr>
          <w:rFonts w:asciiTheme="minorHAnsi" w:hAnsiTheme="minorHAnsi"/>
        </w:rPr>
        <w:t xml:space="preserve">But this gentleman was crystal clear, that he wanted these two people to provide the support </w:t>
      </w:r>
      <w:r w:rsidR="001D046C" w:rsidRPr="00096FF8">
        <w:rPr>
          <w:rFonts w:asciiTheme="minorHAnsi" w:hAnsiTheme="minorHAnsi"/>
        </w:rPr>
        <w:t xml:space="preserve">as </w:t>
      </w:r>
      <w:r w:rsidRPr="00096FF8">
        <w:rPr>
          <w:rFonts w:asciiTheme="minorHAnsi" w:hAnsiTheme="minorHAnsi"/>
        </w:rPr>
        <w:t>PA</w:t>
      </w:r>
      <w:r w:rsidR="00DC4C6D" w:rsidRPr="00096FF8">
        <w:rPr>
          <w:rFonts w:asciiTheme="minorHAnsi" w:hAnsiTheme="minorHAnsi"/>
        </w:rPr>
        <w:t>s</w:t>
      </w:r>
      <w:r w:rsidRPr="00096FF8">
        <w:rPr>
          <w:rFonts w:asciiTheme="minorHAnsi" w:hAnsiTheme="minorHAnsi"/>
        </w:rPr>
        <w:t xml:space="preserve"> rather than having the conventional care package that he’d had for a little while</w:t>
      </w:r>
      <w:r w:rsidR="00DC23D9" w:rsidRPr="00096FF8">
        <w:rPr>
          <w:rFonts w:asciiTheme="minorHAnsi" w:hAnsiTheme="minorHAnsi"/>
        </w:rPr>
        <w:t xml:space="preserve">. </w:t>
      </w:r>
      <w:r w:rsidRPr="00096FF8">
        <w:rPr>
          <w:rFonts w:asciiTheme="minorHAnsi" w:hAnsiTheme="minorHAnsi"/>
        </w:rPr>
        <w:t>And I thought, okay, this is potentially risky, you know, we have a referral about these people.</w:t>
      </w:r>
    </w:p>
    <w:p w14:paraId="1ADE3E01" w14:textId="77777777" w:rsidR="0023201E" w:rsidRPr="00096FF8" w:rsidRDefault="00DC57C0" w:rsidP="00490617">
      <w:pPr>
        <w:pStyle w:val="QuoteLabel"/>
        <w:spacing w:line="480" w:lineRule="auto"/>
        <w:rPr>
          <w:rFonts w:asciiTheme="minorHAnsi" w:hAnsiTheme="minorHAnsi"/>
        </w:rPr>
      </w:pPr>
      <w:r w:rsidRPr="00096FF8">
        <w:rPr>
          <w:rFonts w:asciiTheme="minorHAnsi" w:hAnsiTheme="minorHAnsi"/>
        </w:rPr>
        <w:t>Social worker 07</w:t>
      </w:r>
    </w:p>
    <w:p w14:paraId="5AFD7CE9" w14:textId="77777777" w:rsidR="001C5D06" w:rsidRPr="00096FF8" w:rsidRDefault="001C5D06" w:rsidP="00490617">
      <w:pPr>
        <w:pStyle w:val="MediumGrid1-Accent21"/>
        <w:spacing w:before="0" w:after="0" w:line="480" w:lineRule="auto"/>
        <w:ind w:left="0"/>
        <w:rPr>
          <w:rFonts w:asciiTheme="minorHAnsi" w:hAnsiTheme="minorHAnsi"/>
          <w:szCs w:val="24"/>
        </w:rPr>
      </w:pPr>
    </w:p>
    <w:p w14:paraId="49ADDA99" w14:textId="6B83AD8C" w:rsidR="00D96F16" w:rsidRPr="00096FF8" w:rsidRDefault="00D96F16" w:rsidP="00490617">
      <w:pPr>
        <w:pStyle w:val="MediumGrid1-Accent21"/>
        <w:spacing w:before="0" w:after="0" w:line="480" w:lineRule="auto"/>
        <w:ind w:left="0"/>
        <w:jc w:val="both"/>
        <w:rPr>
          <w:rFonts w:asciiTheme="minorHAnsi" w:hAnsiTheme="minorHAnsi"/>
          <w:szCs w:val="24"/>
        </w:rPr>
      </w:pPr>
      <w:r w:rsidRPr="00096FF8">
        <w:rPr>
          <w:rFonts w:asciiTheme="minorHAnsi" w:hAnsiTheme="minorHAnsi"/>
          <w:szCs w:val="24"/>
        </w:rPr>
        <w:t>Despite the differences in relationships noted above, four managers and social workers reiterated the view that ‘</w:t>
      </w:r>
      <w:r w:rsidRPr="00096FF8">
        <w:rPr>
          <w:rFonts w:asciiTheme="minorHAnsi" w:hAnsiTheme="minorHAnsi"/>
          <w:i/>
          <w:szCs w:val="24"/>
        </w:rPr>
        <w:t>old fashioned social work</w:t>
      </w:r>
      <w:r w:rsidRPr="00096FF8">
        <w:rPr>
          <w:rFonts w:asciiTheme="minorHAnsi" w:hAnsiTheme="minorHAnsi"/>
          <w:szCs w:val="24"/>
        </w:rPr>
        <w:t>’</w:t>
      </w:r>
      <w:r w:rsidR="00F543DD" w:rsidRPr="00096FF8">
        <w:rPr>
          <w:rFonts w:asciiTheme="minorHAnsi" w:hAnsiTheme="minorHAnsi"/>
          <w:szCs w:val="24"/>
        </w:rPr>
        <w:t>,</w:t>
      </w:r>
      <w:r w:rsidRPr="00096FF8">
        <w:rPr>
          <w:rFonts w:asciiTheme="minorHAnsi" w:hAnsiTheme="minorHAnsi"/>
          <w:szCs w:val="24"/>
        </w:rPr>
        <w:t xml:space="preserve"> related to </w:t>
      </w:r>
      <w:r w:rsidRPr="00096FF8">
        <w:rPr>
          <w:rFonts w:asciiTheme="minorHAnsi" w:hAnsiTheme="minorHAnsi"/>
          <w:i/>
          <w:szCs w:val="24"/>
        </w:rPr>
        <w:t>‘care and control’</w:t>
      </w:r>
      <w:r w:rsidRPr="00096FF8">
        <w:rPr>
          <w:rFonts w:asciiTheme="minorHAnsi" w:hAnsiTheme="minorHAnsi"/>
          <w:szCs w:val="24"/>
        </w:rPr>
        <w:t xml:space="preserve"> (</w:t>
      </w:r>
      <w:r w:rsidR="00B81398" w:rsidRPr="00096FF8">
        <w:rPr>
          <w:rFonts w:asciiTheme="minorHAnsi" w:hAnsiTheme="minorHAnsi"/>
          <w:szCs w:val="24"/>
        </w:rPr>
        <w:t xml:space="preserve">Team Manager </w:t>
      </w:r>
      <w:r w:rsidRPr="00096FF8">
        <w:rPr>
          <w:rFonts w:asciiTheme="minorHAnsi" w:hAnsiTheme="minorHAnsi"/>
          <w:szCs w:val="24"/>
        </w:rPr>
        <w:t>03)</w:t>
      </w:r>
      <w:r w:rsidR="00F543DD" w:rsidRPr="00096FF8">
        <w:rPr>
          <w:rFonts w:asciiTheme="minorHAnsi" w:hAnsiTheme="minorHAnsi"/>
          <w:szCs w:val="24"/>
        </w:rPr>
        <w:t>,</w:t>
      </w:r>
      <w:r w:rsidRPr="00096FF8">
        <w:rPr>
          <w:rFonts w:asciiTheme="minorHAnsi" w:hAnsiTheme="minorHAnsi"/>
          <w:szCs w:val="24"/>
        </w:rPr>
        <w:t xml:space="preserve"> was needed. In other words, they felt that the approach needed</w:t>
      </w:r>
      <w:r w:rsidR="001D046C" w:rsidRPr="00096FF8">
        <w:rPr>
          <w:rFonts w:asciiTheme="minorHAnsi" w:hAnsiTheme="minorHAnsi"/>
          <w:szCs w:val="24"/>
        </w:rPr>
        <w:t xml:space="preserve"> currently</w:t>
      </w:r>
      <w:r w:rsidRPr="00096FF8">
        <w:rPr>
          <w:rFonts w:asciiTheme="minorHAnsi" w:hAnsiTheme="minorHAnsi"/>
          <w:szCs w:val="24"/>
        </w:rPr>
        <w:t xml:space="preserve"> was not fundamentally different </w:t>
      </w:r>
      <w:r w:rsidR="001D046C" w:rsidRPr="00096FF8">
        <w:rPr>
          <w:rFonts w:asciiTheme="minorHAnsi" w:hAnsiTheme="minorHAnsi"/>
          <w:szCs w:val="24"/>
        </w:rPr>
        <w:t xml:space="preserve">from </w:t>
      </w:r>
      <w:r w:rsidRPr="00096FF8">
        <w:rPr>
          <w:rFonts w:asciiTheme="minorHAnsi" w:hAnsiTheme="minorHAnsi"/>
          <w:szCs w:val="24"/>
        </w:rPr>
        <w:t xml:space="preserve">social work before </w:t>
      </w:r>
      <w:r w:rsidR="00674156" w:rsidRPr="00096FF8">
        <w:rPr>
          <w:rFonts w:asciiTheme="minorHAnsi" w:hAnsiTheme="minorHAnsi"/>
          <w:szCs w:val="24"/>
        </w:rPr>
        <w:t xml:space="preserve">the implementation of </w:t>
      </w:r>
      <w:r w:rsidRPr="00096FF8">
        <w:rPr>
          <w:rFonts w:asciiTheme="minorHAnsi" w:hAnsiTheme="minorHAnsi"/>
          <w:szCs w:val="24"/>
        </w:rPr>
        <w:t>personalisation</w:t>
      </w:r>
      <w:r w:rsidR="00674156" w:rsidRPr="00096FF8">
        <w:rPr>
          <w:rFonts w:asciiTheme="minorHAnsi" w:hAnsiTheme="minorHAnsi"/>
          <w:szCs w:val="24"/>
        </w:rPr>
        <w:t xml:space="preserve"> policies</w:t>
      </w:r>
      <w:r w:rsidRPr="00096FF8">
        <w:rPr>
          <w:rFonts w:asciiTheme="minorHAnsi" w:hAnsiTheme="minorHAnsi"/>
          <w:szCs w:val="24"/>
        </w:rPr>
        <w:t>.</w:t>
      </w:r>
      <w:r w:rsidR="00253355" w:rsidRPr="00096FF8">
        <w:rPr>
          <w:rFonts w:asciiTheme="minorHAnsi" w:hAnsiTheme="minorHAnsi"/>
          <w:szCs w:val="24"/>
        </w:rPr>
        <w:t xml:space="preserve"> </w:t>
      </w:r>
      <w:r w:rsidR="00F543DD" w:rsidRPr="00096FF8">
        <w:rPr>
          <w:rFonts w:asciiTheme="minorHAnsi" w:hAnsiTheme="minorHAnsi"/>
          <w:szCs w:val="24"/>
        </w:rPr>
        <w:t>Additionally</w:t>
      </w:r>
      <w:r w:rsidR="00253355" w:rsidRPr="00096FF8">
        <w:rPr>
          <w:rFonts w:asciiTheme="minorHAnsi" w:hAnsiTheme="minorHAnsi"/>
          <w:szCs w:val="24"/>
        </w:rPr>
        <w:t xml:space="preserve">, the processes involved in agreeing </w:t>
      </w:r>
      <w:r w:rsidR="00674156" w:rsidRPr="00096FF8">
        <w:rPr>
          <w:rFonts w:asciiTheme="minorHAnsi" w:hAnsiTheme="minorHAnsi"/>
          <w:szCs w:val="24"/>
        </w:rPr>
        <w:t xml:space="preserve">whatever </w:t>
      </w:r>
      <w:r w:rsidR="00253355" w:rsidRPr="00096FF8">
        <w:rPr>
          <w:rFonts w:asciiTheme="minorHAnsi" w:hAnsiTheme="minorHAnsi"/>
          <w:szCs w:val="24"/>
        </w:rPr>
        <w:t xml:space="preserve">support </w:t>
      </w:r>
      <w:r w:rsidR="00674156" w:rsidRPr="00096FF8">
        <w:rPr>
          <w:rFonts w:asciiTheme="minorHAnsi" w:hAnsiTheme="minorHAnsi"/>
          <w:szCs w:val="24"/>
        </w:rPr>
        <w:t xml:space="preserve">was </w:t>
      </w:r>
      <w:r w:rsidR="00253355" w:rsidRPr="00096FF8">
        <w:rPr>
          <w:rFonts w:asciiTheme="minorHAnsi" w:hAnsiTheme="minorHAnsi"/>
          <w:szCs w:val="24"/>
        </w:rPr>
        <w:t xml:space="preserve">planned often involved management oversight, </w:t>
      </w:r>
      <w:r w:rsidR="001C2DDF" w:rsidRPr="00096FF8">
        <w:rPr>
          <w:rFonts w:asciiTheme="minorHAnsi" w:hAnsiTheme="minorHAnsi"/>
          <w:szCs w:val="24"/>
        </w:rPr>
        <w:t xml:space="preserve">keeping </w:t>
      </w:r>
      <w:r w:rsidR="00253355" w:rsidRPr="00096FF8">
        <w:rPr>
          <w:rFonts w:asciiTheme="minorHAnsi" w:hAnsiTheme="minorHAnsi"/>
          <w:szCs w:val="24"/>
        </w:rPr>
        <w:t xml:space="preserve">another element of control within the </w:t>
      </w:r>
      <w:r w:rsidR="00F543DD" w:rsidRPr="00096FF8">
        <w:rPr>
          <w:rFonts w:asciiTheme="minorHAnsi" w:hAnsiTheme="minorHAnsi"/>
          <w:szCs w:val="24"/>
        </w:rPr>
        <w:t>local authority</w:t>
      </w:r>
      <w:r w:rsidR="003460A5" w:rsidRPr="00096FF8">
        <w:rPr>
          <w:rFonts w:asciiTheme="minorHAnsi" w:hAnsiTheme="minorHAnsi"/>
          <w:szCs w:val="24"/>
        </w:rPr>
        <w:t xml:space="preserve">: </w:t>
      </w:r>
    </w:p>
    <w:p w14:paraId="2DA80543" w14:textId="77777777" w:rsidR="001C5D06" w:rsidRPr="00096FF8" w:rsidRDefault="001C5D06" w:rsidP="00490617">
      <w:pPr>
        <w:pStyle w:val="MediumGrid1-Accent21"/>
        <w:spacing w:before="0" w:after="0" w:line="480" w:lineRule="auto"/>
        <w:ind w:left="0"/>
        <w:rPr>
          <w:rFonts w:asciiTheme="minorHAnsi" w:hAnsiTheme="minorHAnsi"/>
          <w:szCs w:val="24"/>
        </w:rPr>
      </w:pPr>
    </w:p>
    <w:p w14:paraId="21DEA17A" w14:textId="77777777" w:rsidR="001C5D06" w:rsidRPr="00096FF8" w:rsidRDefault="001C5D06" w:rsidP="00490617">
      <w:pPr>
        <w:pStyle w:val="Quote"/>
        <w:spacing w:line="480" w:lineRule="auto"/>
        <w:rPr>
          <w:rFonts w:asciiTheme="minorHAnsi" w:hAnsiTheme="minorHAnsi"/>
        </w:rPr>
      </w:pPr>
      <w:r w:rsidRPr="00096FF8">
        <w:rPr>
          <w:rFonts w:asciiTheme="minorHAnsi" w:hAnsiTheme="minorHAnsi"/>
        </w:rPr>
        <w:t xml:space="preserve">So I think it’s an interesting area about how you deal with, I don’t know if, if risk is about, it’s about conflict sometimes, difference, difference of opinion and different view, and that’s, yeah, it’s a bit of good old-fashioned social </w:t>
      </w:r>
      <w:r w:rsidRPr="00096FF8">
        <w:rPr>
          <w:rFonts w:asciiTheme="minorHAnsi" w:hAnsiTheme="minorHAnsi"/>
        </w:rPr>
        <w:lastRenderedPageBreak/>
        <w:t>work</w:t>
      </w:r>
      <w:r w:rsidR="00BF3A96" w:rsidRPr="00096FF8">
        <w:rPr>
          <w:rFonts w:asciiTheme="minorHAnsi" w:hAnsiTheme="minorHAnsi"/>
        </w:rPr>
        <w:t>,</w:t>
      </w:r>
      <w:r w:rsidRPr="00096FF8">
        <w:rPr>
          <w:rFonts w:asciiTheme="minorHAnsi" w:hAnsiTheme="minorHAnsi"/>
        </w:rPr>
        <w:t xml:space="preserve"> i</w:t>
      </w:r>
      <w:r w:rsidR="00DC4C6D" w:rsidRPr="00096FF8">
        <w:rPr>
          <w:rFonts w:asciiTheme="minorHAnsi" w:hAnsiTheme="minorHAnsi"/>
        </w:rPr>
        <w:t>s</w:t>
      </w:r>
      <w:r w:rsidRPr="00096FF8">
        <w:rPr>
          <w:rFonts w:asciiTheme="minorHAnsi" w:hAnsiTheme="minorHAnsi"/>
        </w:rPr>
        <w:t>n’t it really</w:t>
      </w:r>
      <w:r w:rsidR="00BF3A96" w:rsidRPr="00096FF8">
        <w:rPr>
          <w:rFonts w:asciiTheme="minorHAnsi" w:hAnsiTheme="minorHAnsi"/>
        </w:rPr>
        <w:t>?</w:t>
      </w:r>
      <w:r w:rsidRPr="00096FF8">
        <w:rPr>
          <w:rFonts w:asciiTheme="minorHAnsi" w:hAnsiTheme="minorHAnsi"/>
        </w:rPr>
        <w:t xml:space="preserve"> </w:t>
      </w:r>
      <w:r w:rsidR="00BF3A96" w:rsidRPr="00096FF8">
        <w:rPr>
          <w:rFonts w:asciiTheme="minorHAnsi" w:hAnsiTheme="minorHAnsi"/>
        </w:rPr>
        <w:t>Y</w:t>
      </w:r>
      <w:r w:rsidRPr="00096FF8">
        <w:rPr>
          <w:rFonts w:asciiTheme="minorHAnsi" w:hAnsiTheme="minorHAnsi"/>
        </w:rPr>
        <w:t>ou know, working with people to come to, you know, a consensus and a view</w:t>
      </w:r>
      <w:r w:rsidR="00300E1A" w:rsidRPr="00096FF8">
        <w:rPr>
          <w:rFonts w:asciiTheme="minorHAnsi" w:hAnsiTheme="minorHAnsi"/>
        </w:rPr>
        <w:t>.</w:t>
      </w:r>
    </w:p>
    <w:p w14:paraId="74E57964" w14:textId="77777777" w:rsidR="001C5D06" w:rsidRPr="00096FF8" w:rsidRDefault="00DC57C0" w:rsidP="00490617">
      <w:pPr>
        <w:pStyle w:val="QuoteLabel"/>
        <w:spacing w:line="480" w:lineRule="auto"/>
        <w:rPr>
          <w:rFonts w:asciiTheme="minorHAnsi" w:hAnsiTheme="minorHAnsi"/>
        </w:rPr>
      </w:pPr>
      <w:r w:rsidRPr="00096FF8">
        <w:rPr>
          <w:rFonts w:asciiTheme="minorHAnsi" w:hAnsiTheme="minorHAnsi"/>
        </w:rPr>
        <w:t>Team Manager 12</w:t>
      </w:r>
    </w:p>
    <w:p w14:paraId="226EFAC0" w14:textId="77777777" w:rsidR="002E68A0" w:rsidRPr="00096FF8" w:rsidRDefault="002E68A0" w:rsidP="00490617">
      <w:pPr>
        <w:pStyle w:val="Heading3"/>
        <w:spacing w:before="0" w:line="480" w:lineRule="auto"/>
        <w:rPr>
          <w:rFonts w:asciiTheme="minorHAnsi" w:hAnsiTheme="minorHAnsi"/>
        </w:rPr>
      </w:pPr>
    </w:p>
    <w:p w14:paraId="16965053" w14:textId="77777777" w:rsidR="00035903" w:rsidRPr="00096FF8" w:rsidRDefault="001C5D06" w:rsidP="00490617">
      <w:pPr>
        <w:pStyle w:val="Heading3"/>
        <w:spacing w:before="0" w:line="480" w:lineRule="auto"/>
        <w:rPr>
          <w:rFonts w:asciiTheme="minorHAnsi" w:hAnsiTheme="minorHAnsi"/>
        </w:rPr>
      </w:pPr>
      <w:r w:rsidRPr="00096FF8">
        <w:rPr>
          <w:rFonts w:asciiTheme="minorHAnsi" w:hAnsiTheme="minorHAnsi"/>
        </w:rPr>
        <w:t xml:space="preserve">Weaving safeguarding </w:t>
      </w:r>
      <w:r w:rsidR="00D04C30" w:rsidRPr="00096FF8">
        <w:rPr>
          <w:rFonts w:asciiTheme="minorHAnsi" w:hAnsiTheme="minorHAnsi"/>
        </w:rPr>
        <w:t xml:space="preserve">and </w:t>
      </w:r>
      <w:r w:rsidRPr="00096FF8">
        <w:rPr>
          <w:rFonts w:asciiTheme="minorHAnsi" w:hAnsiTheme="minorHAnsi"/>
        </w:rPr>
        <w:t>personal</w:t>
      </w:r>
      <w:r w:rsidR="005E22AE" w:rsidRPr="00096FF8">
        <w:rPr>
          <w:rFonts w:asciiTheme="minorHAnsi" w:hAnsiTheme="minorHAnsi"/>
        </w:rPr>
        <w:t>is</w:t>
      </w:r>
      <w:r w:rsidR="00D04C30" w:rsidRPr="00096FF8">
        <w:rPr>
          <w:rFonts w:asciiTheme="minorHAnsi" w:hAnsiTheme="minorHAnsi"/>
        </w:rPr>
        <w:t>ation practice</w:t>
      </w:r>
    </w:p>
    <w:p w14:paraId="1F9438F3" w14:textId="120E7154" w:rsidR="00927749" w:rsidRPr="00096FF8" w:rsidRDefault="00DD5AEB"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Providing information about managing a </w:t>
      </w:r>
      <w:r w:rsidR="00E13E4E" w:rsidRPr="00096FF8">
        <w:rPr>
          <w:rFonts w:asciiTheme="minorHAnsi" w:hAnsiTheme="minorHAnsi"/>
          <w:szCs w:val="24"/>
        </w:rPr>
        <w:t>Direct Payment</w:t>
      </w:r>
      <w:r w:rsidRPr="00096FF8">
        <w:rPr>
          <w:rFonts w:asciiTheme="minorHAnsi" w:hAnsiTheme="minorHAnsi"/>
          <w:szCs w:val="24"/>
        </w:rPr>
        <w:t xml:space="preserve"> and various risk</w:t>
      </w:r>
      <w:r w:rsidR="00F543DD" w:rsidRPr="00096FF8">
        <w:rPr>
          <w:rFonts w:asciiTheme="minorHAnsi" w:hAnsiTheme="minorHAnsi"/>
          <w:szCs w:val="24"/>
        </w:rPr>
        <w:t>s</w:t>
      </w:r>
      <w:r w:rsidRPr="00096FF8">
        <w:rPr>
          <w:rFonts w:asciiTheme="minorHAnsi" w:hAnsiTheme="minorHAnsi"/>
          <w:szCs w:val="24"/>
        </w:rPr>
        <w:t xml:space="preserve"> was one of the strongest themes from practitioners</w:t>
      </w:r>
      <w:r w:rsidR="001D046C" w:rsidRPr="00096FF8">
        <w:rPr>
          <w:rFonts w:asciiTheme="minorHAnsi" w:hAnsiTheme="minorHAnsi"/>
          <w:szCs w:val="24"/>
        </w:rPr>
        <w:t xml:space="preserve"> once the decision </w:t>
      </w:r>
      <w:r w:rsidR="00C05E17" w:rsidRPr="00096FF8">
        <w:rPr>
          <w:rFonts w:asciiTheme="minorHAnsi" w:hAnsiTheme="minorHAnsi"/>
          <w:szCs w:val="24"/>
        </w:rPr>
        <w:t xml:space="preserve">about how to manage </w:t>
      </w:r>
      <w:r w:rsidR="00F543DD" w:rsidRPr="00096FF8">
        <w:rPr>
          <w:rFonts w:asciiTheme="minorHAnsi" w:hAnsiTheme="minorHAnsi"/>
          <w:szCs w:val="24"/>
        </w:rPr>
        <w:t xml:space="preserve">personal budgets </w:t>
      </w:r>
      <w:r w:rsidR="001D046C" w:rsidRPr="00096FF8">
        <w:rPr>
          <w:rFonts w:asciiTheme="minorHAnsi" w:hAnsiTheme="minorHAnsi"/>
          <w:szCs w:val="24"/>
        </w:rPr>
        <w:t>was made</w:t>
      </w:r>
      <w:r w:rsidRPr="00096FF8">
        <w:rPr>
          <w:rFonts w:asciiTheme="minorHAnsi" w:hAnsiTheme="minorHAnsi"/>
          <w:szCs w:val="24"/>
        </w:rPr>
        <w:t xml:space="preserve">. </w:t>
      </w:r>
      <w:r w:rsidR="00DF71FD" w:rsidRPr="00096FF8">
        <w:rPr>
          <w:rFonts w:asciiTheme="minorHAnsi" w:hAnsiTheme="minorHAnsi"/>
          <w:szCs w:val="24"/>
        </w:rPr>
        <w:t>Information about personal budgets and safeguarding (mainly describing how to avoid financial exploitation) tended to be given after the initial assessments of eligibility and financial circumstances had been completed rather than at first contact</w:t>
      </w:r>
    </w:p>
    <w:p w14:paraId="14598FFB" w14:textId="77777777" w:rsidR="007A4809" w:rsidRPr="00096FF8" w:rsidRDefault="007A4809" w:rsidP="00490617">
      <w:pPr>
        <w:pStyle w:val="MediumGrid1-Accent21"/>
        <w:spacing w:before="0" w:after="0" w:line="480" w:lineRule="auto"/>
        <w:ind w:left="0"/>
        <w:rPr>
          <w:rFonts w:asciiTheme="minorHAnsi" w:hAnsiTheme="minorHAnsi"/>
          <w:szCs w:val="24"/>
        </w:rPr>
      </w:pPr>
    </w:p>
    <w:p w14:paraId="4AF55185" w14:textId="4F1E58DD" w:rsidR="00DD5AEB" w:rsidRPr="00096FF8" w:rsidRDefault="00FA3359"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One </w:t>
      </w:r>
      <w:r w:rsidR="00DD5AEB" w:rsidRPr="00096FF8">
        <w:rPr>
          <w:rFonts w:asciiTheme="minorHAnsi" w:hAnsiTheme="minorHAnsi"/>
          <w:szCs w:val="24"/>
        </w:rPr>
        <w:t>senior manager, for example, described how safeguarding information</w:t>
      </w:r>
      <w:r w:rsidR="00AE7EA6" w:rsidRPr="00096FF8">
        <w:rPr>
          <w:rFonts w:asciiTheme="minorHAnsi" w:hAnsiTheme="minorHAnsi"/>
          <w:szCs w:val="24"/>
        </w:rPr>
        <w:t>,</w:t>
      </w:r>
      <w:r w:rsidR="00DD5AEB" w:rsidRPr="00096FF8">
        <w:rPr>
          <w:rFonts w:asciiTheme="minorHAnsi" w:hAnsiTheme="minorHAnsi"/>
          <w:szCs w:val="24"/>
        </w:rPr>
        <w:t xml:space="preserve"> or at least information about risk management</w:t>
      </w:r>
      <w:r w:rsidR="00AE7EA6" w:rsidRPr="00096FF8">
        <w:rPr>
          <w:rFonts w:asciiTheme="minorHAnsi" w:hAnsiTheme="minorHAnsi"/>
          <w:szCs w:val="24"/>
        </w:rPr>
        <w:t>,</w:t>
      </w:r>
      <w:r w:rsidR="00DD5AEB" w:rsidRPr="00096FF8">
        <w:rPr>
          <w:rFonts w:asciiTheme="minorHAnsi" w:hAnsiTheme="minorHAnsi"/>
          <w:szCs w:val="24"/>
        </w:rPr>
        <w:t xml:space="preserve"> was given after a safeguarding </w:t>
      </w:r>
      <w:r w:rsidR="00F543DD" w:rsidRPr="00096FF8">
        <w:rPr>
          <w:rFonts w:asciiTheme="minorHAnsi" w:hAnsiTheme="minorHAnsi"/>
          <w:szCs w:val="24"/>
        </w:rPr>
        <w:t xml:space="preserve">concern </w:t>
      </w:r>
      <w:r w:rsidR="00DD5AEB" w:rsidRPr="00096FF8">
        <w:rPr>
          <w:rFonts w:asciiTheme="minorHAnsi" w:hAnsiTheme="minorHAnsi"/>
          <w:szCs w:val="24"/>
        </w:rPr>
        <w:t xml:space="preserve">had been raised: </w:t>
      </w:r>
    </w:p>
    <w:p w14:paraId="40454424" w14:textId="77777777" w:rsidR="00DD5AEB" w:rsidRPr="00096FF8" w:rsidRDefault="00DD5AEB" w:rsidP="00490617">
      <w:pPr>
        <w:tabs>
          <w:tab w:val="left" w:pos="660"/>
          <w:tab w:val="right" w:pos="8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480" w:lineRule="auto"/>
        <w:ind w:left="660" w:hanging="660"/>
        <w:rPr>
          <w:rFonts w:asciiTheme="minorHAnsi" w:hAnsiTheme="minorHAnsi" w:cs="Arial"/>
          <w:color w:val="000000"/>
          <w:sz w:val="22"/>
          <w:szCs w:val="22"/>
        </w:rPr>
      </w:pPr>
    </w:p>
    <w:p w14:paraId="3C53F757" w14:textId="77777777" w:rsidR="00DD5AEB" w:rsidRPr="00096FF8" w:rsidRDefault="00DD5AEB" w:rsidP="00490617">
      <w:pPr>
        <w:pStyle w:val="Quote"/>
        <w:spacing w:line="480" w:lineRule="auto"/>
        <w:rPr>
          <w:rFonts w:asciiTheme="minorHAnsi" w:hAnsiTheme="minorHAnsi"/>
        </w:rPr>
      </w:pPr>
      <w:r w:rsidRPr="00096FF8">
        <w:rPr>
          <w:rFonts w:asciiTheme="minorHAnsi" w:hAnsiTheme="minorHAnsi"/>
        </w:rPr>
        <w:t xml:space="preserve">I know that once it gets to the point of looking like it might be, for example, a safeguarding issue; some initial advice is given then before passing it to the relevant social work team to take forward further. </w:t>
      </w:r>
    </w:p>
    <w:p w14:paraId="7C448B69" w14:textId="77777777" w:rsidR="00DD5AEB" w:rsidRPr="00096FF8" w:rsidRDefault="00DC57C0" w:rsidP="00490617">
      <w:pPr>
        <w:pStyle w:val="QuoteLabel"/>
        <w:spacing w:line="480" w:lineRule="auto"/>
        <w:rPr>
          <w:rFonts w:asciiTheme="minorHAnsi" w:hAnsiTheme="minorHAnsi"/>
        </w:rPr>
      </w:pPr>
      <w:r w:rsidRPr="00096FF8">
        <w:rPr>
          <w:rFonts w:asciiTheme="minorHAnsi" w:hAnsiTheme="minorHAnsi"/>
        </w:rPr>
        <w:t>Senior Manager 07</w:t>
      </w:r>
    </w:p>
    <w:p w14:paraId="6CA52DEF" w14:textId="77777777" w:rsidR="00DD5AEB" w:rsidRPr="00096FF8" w:rsidRDefault="00DD5AEB" w:rsidP="00490617">
      <w:pPr>
        <w:spacing w:line="480" w:lineRule="auto"/>
        <w:rPr>
          <w:rFonts w:asciiTheme="minorHAnsi" w:hAnsiTheme="minorHAnsi"/>
        </w:rPr>
      </w:pPr>
    </w:p>
    <w:p w14:paraId="17E00E28" w14:textId="14F86EB0" w:rsidR="00995430" w:rsidRPr="00096FF8" w:rsidRDefault="001C5D06" w:rsidP="00490617">
      <w:pPr>
        <w:pStyle w:val="MediumGrid1-Accent21"/>
        <w:spacing w:before="0" w:after="0" w:line="480" w:lineRule="auto"/>
        <w:ind w:left="0"/>
        <w:rPr>
          <w:rFonts w:asciiTheme="minorHAnsi" w:hAnsiTheme="minorHAnsi"/>
          <w:szCs w:val="24"/>
        </w:rPr>
      </w:pPr>
      <w:r w:rsidRPr="00096FF8">
        <w:rPr>
          <w:rFonts w:asciiTheme="minorHAnsi" w:hAnsiTheme="minorHAnsi"/>
          <w:szCs w:val="24"/>
        </w:rPr>
        <w:t xml:space="preserve">In all sites, there was evidence that safeguarding concerns </w:t>
      </w:r>
      <w:r w:rsidR="004C253B" w:rsidRPr="00096FF8">
        <w:rPr>
          <w:rFonts w:asciiTheme="minorHAnsi" w:hAnsiTheme="minorHAnsi"/>
          <w:szCs w:val="24"/>
        </w:rPr>
        <w:t>were being</w:t>
      </w:r>
      <w:r w:rsidRPr="00096FF8">
        <w:rPr>
          <w:rFonts w:asciiTheme="minorHAnsi" w:hAnsiTheme="minorHAnsi"/>
          <w:szCs w:val="24"/>
        </w:rPr>
        <w:t xml:space="preserve"> woven into personalisation practice (‘</w:t>
      </w:r>
      <w:r w:rsidRPr="00096FF8">
        <w:rPr>
          <w:rFonts w:asciiTheme="minorHAnsi" w:hAnsiTheme="minorHAnsi"/>
          <w:i/>
          <w:szCs w:val="24"/>
        </w:rPr>
        <w:t>safeguarding is everyone’s business’</w:t>
      </w:r>
      <w:r w:rsidR="00930032" w:rsidRPr="00096FF8">
        <w:rPr>
          <w:rFonts w:asciiTheme="minorHAnsi" w:hAnsiTheme="minorHAnsi"/>
          <w:i/>
          <w:szCs w:val="24"/>
        </w:rPr>
        <w:t xml:space="preserve"> </w:t>
      </w:r>
      <w:r w:rsidRPr="00096FF8">
        <w:rPr>
          <w:rFonts w:asciiTheme="minorHAnsi" w:hAnsiTheme="minorHAnsi"/>
          <w:szCs w:val="24"/>
        </w:rPr>
        <w:t xml:space="preserve">Senior Manager 01), although formal crossover of responsibility was at service manager level or above. </w:t>
      </w:r>
      <w:r w:rsidR="002E68A0" w:rsidRPr="00096FF8">
        <w:rPr>
          <w:rFonts w:asciiTheme="minorHAnsi" w:hAnsiTheme="minorHAnsi"/>
          <w:szCs w:val="24"/>
        </w:rPr>
        <w:t xml:space="preserve">However, in </w:t>
      </w:r>
      <w:r w:rsidR="00AE7EA6" w:rsidRPr="00096FF8">
        <w:rPr>
          <w:rFonts w:asciiTheme="minorHAnsi" w:hAnsiTheme="minorHAnsi"/>
          <w:szCs w:val="24"/>
        </w:rPr>
        <w:t xml:space="preserve">one of </w:t>
      </w:r>
      <w:r w:rsidR="002E68A0" w:rsidRPr="00096FF8">
        <w:rPr>
          <w:rFonts w:asciiTheme="minorHAnsi" w:hAnsiTheme="minorHAnsi"/>
          <w:szCs w:val="24"/>
        </w:rPr>
        <w:lastRenderedPageBreak/>
        <w:t>the site</w:t>
      </w:r>
      <w:r w:rsidR="00AE7EA6" w:rsidRPr="00096FF8">
        <w:rPr>
          <w:rFonts w:asciiTheme="minorHAnsi" w:hAnsiTheme="minorHAnsi"/>
          <w:szCs w:val="24"/>
        </w:rPr>
        <w:t>s</w:t>
      </w:r>
      <w:r w:rsidR="002E68A0" w:rsidRPr="00096FF8">
        <w:rPr>
          <w:rFonts w:asciiTheme="minorHAnsi" w:hAnsiTheme="minorHAnsi"/>
          <w:szCs w:val="24"/>
        </w:rPr>
        <w:t xml:space="preserve"> that had a specialist safeguarding team, there was some concern that this might </w:t>
      </w:r>
      <w:r w:rsidR="00F543DD" w:rsidRPr="00096FF8">
        <w:rPr>
          <w:rFonts w:asciiTheme="minorHAnsi" w:hAnsiTheme="minorHAnsi"/>
          <w:szCs w:val="24"/>
        </w:rPr>
        <w:t>distort</w:t>
      </w:r>
      <w:r w:rsidR="005F7E26" w:rsidRPr="00096FF8">
        <w:rPr>
          <w:rFonts w:asciiTheme="minorHAnsi" w:hAnsiTheme="minorHAnsi"/>
          <w:szCs w:val="24"/>
        </w:rPr>
        <w:t xml:space="preserve"> the practice of </w:t>
      </w:r>
      <w:r w:rsidR="002E68A0" w:rsidRPr="00096FF8">
        <w:rPr>
          <w:rFonts w:asciiTheme="minorHAnsi" w:hAnsiTheme="minorHAnsi"/>
          <w:szCs w:val="24"/>
        </w:rPr>
        <w:t>operational social work team members</w:t>
      </w:r>
      <w:r w:rsidR="005F7E26" w:rsidRPr="00096FF8">
        <w:rPr>
          <w:rFonts w:asciiTheme="minorHAnsi" w:hAnsiTheme="minorHAnsi"/>
          <w:szCs w:val="24"/>
        </w:rPr>
        <w:t xml:space="preserve">, who found ways to triage and not refer less serious </w:t>
      </w:r>
      <w:r w:rsidR="00F543DD" w:rsidRPr="00096FF8">
        <w:rPr>
          <w:rFonts w:asciiTheme="minorHAnsi" w:hAnsiTheme="minorHAnsi"/>
          <w:szCs w:val="24"/>
        </w:rPr>
        <w:t>concerns</w:t>
      </w:r>
      <w:r w:rsidR="002E68A0" w:rsidRPr="00096FF8">
        <w:rPr>
          <w:rFonts w:asciiTheme="minorHAnsi" w:hAnsiTheme="minorHAnsi"/>
          <w:szCs w:val="24"/>
        </w:rPr>
        <w:t xml:space="preserve">. </w:t>
      </w:r>
      <w:r w:rsidR="00995430" w:rsidRPr="00096FF8">
        <w:rPr>
          <w:rFonts w:asciiTheme="minorHAnsi" w:hAnsiTheme="minorHAnsi"/>
          <w:szCs w:val="24"/>
        </w:rPr>
        <w:t xml:space="preserve">Risks </w:t>
      </w:r>
      <w:r w:rsidR="00EF475E" w:rsidRPr="00096FF8">
        <w:rPr>
          <w:rFonts w:asciiTheme="minorHAnsi" w:hAnsiTheme="minorHAnsi"/>
          <w:szCs w:val="24"/>
        </w:rPr>
        <w:t xml:space="preserve">were </w:t>
      </w:r>
      <w:r w:rsidR="00995430" w:rsidRPr="00096FF8">
        <w:rPr>
          <w:rFonts w:asciiTheme="minorHAnsi" w:hAnsiTheme="minorHAnsi"/>
          <w:szCs w:val="24"/>
        </w:rPr>
        <w:t>assessed at many points in the process and through different types of work. Support planning appeared to be the part of the process where</w:t>
      </w:r>
      <w:r w:rsidR="00FA3359" w:rsidRPr="00096FF8">
        <w:rPr>
          <w:rFonts w:asciiTheme="minorHAnsi" w:hAnsiTheme="minorHAnsi"/>
          <w:szCs w:val="24"/>
        </w:rPr>
        <w:t>by</w:t>
      </w:r>
      <w:r w:rsidR="00995430" w:rsidRPr="00096FF8">
        <w:rPr>
          <w:rFonts w:asciiTheme="minorHAnsi" w:hAnsiTheme="minorHAnsi"/>
          <w:szCs w:val="24"/>
        </w:rPr>
        <w:t xml:space="preserve"> risks more relevant to safeguarding </w:t>
      </w:r>
      <w:r w:rsidR="00EF475E" w:rsidRPr="00096FF8">
        <w:rPr>
          <w:rFonts w:asciiTheme="minorHAnsi" w:hAnsiTheme="minorHAnsi"/>
          <w:szCs w:val="24"/>
        </w:rPr>
        <w:t xml:space="preserve">were </w:t>
      </w:r>
      <w:r w:rsidR="00995430" w:rsidRPr="00096FF8">
        <w:rPr>
          <w:rFonts w:asciiTheme="minorHAnsi" w:hAnsiTheme="minorHAnsi"/>
          <w:szCs w:val="24"/>
        </w:rPr>
        <w:t>identified and plans drawn up to minimise or ameliorate</w:t>
      </w:r>
      <w:r w:rsidR="00EE6060" w:rsidRPr="00096FF8">
        <w:rPr>
          <w:rFonts w:asciiTheme="minorHAnsi" w:hAnsiTheme="minorHAnsi"/>
          <w:szCs w:val="24"/>
        </w:rPr>
        <w:t xml:space="preserve"> them. Alternatively, support plans</w:t>
      </w:r>
      <w:r w:rsidR="00995430" w:rsidRPr="00096FF8">
        <w:rPr>
          <w:rFonts w:asciiTheme="minorHAnsi" w:hAnsiTheme="minorHAnsi"/>
          <w:szCs w:val="24"/>
        </w:rPr>
        <w:t xml:space="preserve"> </w:t>
      </w:r>
      <w:r w:rsidR="00EE6060" w:rsidRPr="00096FF8">
        <w:rPr>
          <w:rFonts w:asciiTheme="minorHAnsi" w:hAnsiTheme="minorHAnsi"/>
          <w:szCs w:val="24"/>
        </w:rPr>
        <w:t xml:space="preserve">explicitly </w:t>
      </w:r>
      <w:r w:rsidR="001B120A" w:rsidRPr="00096FF8">
        <w:rPr>
          <w:rFonts w:asciiTheme="minorHAnsi" w:hAnsiTheme="minorHAnsi"/>
          <w:szCs w:val="24"/>
        </w:rPr>
        <w:t xml:space="preserve">recorded </w:t>
      </w:r>
      <w:r w:rsidR="00995430" w:rsidRPr="00096FF8">
        <w:rPr>
          <w:rFonts w:asciiTheme="minorHAnsi" w:hAnsiTheme="minorHAnsi"/>
          <w:szCs w:val="24"/>
        </w:rPr>
        <w:t>risk</w:t>
      </w:r>
      <w:r w:rsidR="004C253B" w:rsidRPr="00096FF8">
        <w:rPr>
          <w:rFonts w:asciiTheme="minorHAnsi" w:hAnsiTheme="minorHAnsi"/>
          <w:szCs w:val="24"/>
        </w:rPr>
        <w:t>y</w:t>
      </w:r>
      <w:r w:rsidR="00995430" w:rsidRPr="00096FF8">
        <w:rPr>
          <w:rFonts w:asciiTheme="minorHAnsi" w:hAnsiTheme="minorHAnsi"/>
          <w:szCs w:val="24"/>
        </w:rPr>
        <w:t xml:space="preserve"> decisions </w:t>
      </w:r>
      <w:r w:rsidR="00EE6060" w:rsidRPr="00096FF8">
        <w:rPr>
          <w:rFonts w:asciiTheme="minorHAnsi" w:hAnsiTheme="minorHAnsi"/>
          <w:szCs w:val="24"/>
        </w:rPr>
        <w:t>b</w:t>
      </w:r>
      <w:r w:rsidR="00995430" w:rsidRPr="00096FF8">
        <w:rPr>
          <w:rFonts w:asciiTheme="minorHAnsi" w:hAnsiTheme="minorHAnsi"/>
          <w:szCs w:val="24"/>
        </w:rPr>
        <w:t xml:space="preserve">eing taken by service </w:t>
      </w:r>
      <w:r w:rsidR="00F543DD" w:rsidRPr="00096FF8">
        <w:rPr>
          <w:rFonts w:asciiTheme="minorHAnsi" w:hAnsiTheme="minorHAnsi"/>
          <w:szCs w:val="24"/>
        </w:rPr>
        <w:t>users</w:t>
      </w:r>
      <w:r w:rsidR="004C253B" w:rsidRPr="00096FF8">
        <w:rPr>
          <w:rFonts w:asciiTheme="minorHAnsi" w:hAnsiTheme="minorHAnsi"/>
          <w:szCs w:val="24"/>
        </w:rPr>
        <w:t xml:space="preserve">. </w:t>
      </w:r>
      <w:r w:rsidR="001B120A" w:rsidRPr="00096FF8">
        <w:rPr>
          <w:rFonts w:asciiTheme="minorHAnsi" w:hAnsiTheme="minorHAnsi"/>
          <w:szCs w:val="24"/>
        </w:rPr>
        <w:t>Participants thought that i</w:t>
      </w:r>
      <w:r w:rsidR="00995430" w:rsidRPr="00096FF8">
        <w:rPr>
          <w:rFonts w:asciiTheme="minorHAnsi" w:hAnsiTheme="minorHAnsi"/>
          <w:szCs w:val="24"/>
        </w:rPr>
        <w:t>nitial</w:t>
      </w:r>
      <w:r w:rsidR="004C253B" w:rsidRPr="00096FF8">
        <w:rPr>
          <w:rFonts w:asciiTheme="minorHAnsi" w:hAnsiTheme="minorHAnsi"/>
          <w:szCs w:val="24"/>
        </w:rPr>
        <w:t xml:space="preserve"> </w:t>
      </w:r>
      <w:r w:rsidR="00995430" w:rsidRPr="00096FF8">
        <w:rPr>
          <w:rFonts w:asciiTheme="minorHAnsi" w:hAnsiTheme="minorHAnsi"/>
          <w:szCs w:val="24"/>
        </w:rPr>
        <w:t xml:space="preserve">assessments </w:t>
      </w:r>
      <w:r w:rsidR="001B120A" w:rsidRPr="00096FF8">
        <w:rPr>
          <w:rFonts w:asciiTheme="minorHAnsi" w:hAnsiTheme="minorHAnsi"/>
          <w:szCs w:val="24"/>
        </w:rPr>
        <w:t>tended</w:t>
      </w:r>
      <w:r w:rsidR="00995430" w:rsidRPr="00096FF8">
        <w:rPr>
          <w:rFonts w:asciiTheme="minorHAnsi" w:hAnsiTheme="minorHAnsi"/>
          <w:szCs w:val="24"/>
        </w:rPr>
        <w:t xml:space="preserve"> to focus on more generic risks</w:t>
      </w:r>
      <w:r w:rsidR="00EE6060" w:rsidRPr="00096FF8">
        <w:rPr>
          <w:rFonts w:asciiTheme="minorHAnsi" w:hAnsiTheme="minorHAnsi"/>
          <w:szCs w:val="24"/>
        </w:rPr>
        <w:t>, such as falling:</w:t>
      </w:r>
    </w:p>
    <w:p w14:paraId="098BD067" w14:textId="77777777" w:rsidR="00995430" w:rsidRPr="00096FF8" w:rsidRDefault="00995430" w:rsidP="00490617">
      <w:pPr>
        <w:pStyle w:val="MediumGrid1-Accent21"/>
        <w:spacing w:before="0" w:after="0" w:line="480" w:lineRule="auto"/>
        <w:ind w:left="0"/>
        <w:rPr>
          <w:rFonts w:asciiTheme="minorHAnsi" w:hAnsiTheme="minorHAnsi"/>
          <w:szCs w:val="24"/>
        </w:rPr>
      </w:pPr>
    </w:p>
    <w:p w14:paraId="53C6B7EA" w14:textId="190409F4" w:rsidR="00995430" w:rsidRPr="00096FF8" w:rsidRDefault="00995430" w:rsidP="00490617">
      <w:pPr>
        <w:pStyle w:val="Quote"/>
        <w:spacing w:line="480" w:lineRule="auto"/>
        <w:rPr>
          <w:rFonts w:asciiTheme="minorHAnsi" w:hAnsiTheme="minorHAnsi"/>
          <w:i w:val="0"/>
        </w:rPr>
      </w:pPr>
      <w:r w:rsidRPr="00096FF8">
        <w:rPr>
          <w:rFonts w:asciiTheme="minorHAnsi" w:hAnsiTheme="minorHAnsi"/>
        </w:rPr>
        <w:t xml:space="preserve">So, at that point it is the more generic risks, not the risks associated with, say, having a personal assistant via </w:t>
      </w:r>
      <w:r w:rsidR="00142EB9" w:rsidRPr="00096FF8">
        <w:rPr>
          <w:rFonts w:asciiTheme="minorHAnsi" w:hAnsiTheme="minorHAnsi"/>
        </w:rPr>
        <w:t>Direct Payment</w:t>
      </w:r>
      <w:r w:rsidR="00DC23D9" w:rsidRPr="00096FF8">
        <w:rPr>
          <w:rFonts w:asciiTheme="minorHAnsi" w:hAnsiTheme="minorHAnsi"/>
        </w:rPr>
        <w:t xml:space="preserve">. </w:t>
      </w:r>
      <w:r w:rsidRPr="00096FF8">
        <w:rPr>
          <w:rFonts w:asciiTheme="minorHAnsi" w:hAnsiTheme="minorHAnsi"/>
        </w:rPr>
        <w:t xml:space="preserve">... at the point of support planning, then you're getting into that discussion with the person about how they want their care delivered, and that would start to get into the arena of how </w:t>
      </w:r>
      <w:r w:rsidRPr="00096FF8">
        <w:rPr>
          <w:rFonts w:asciiTheme="minorHAnsi" w:hAnsiTheme="minorHAnsi"/>
          <w:i w:val="0"/>
        </w:rPr>
        <w:t>[to address safeguarding risks]</w:t>
      </w:r>
    </w:p>
    <w:p w14:paraId="098A6434" w14:textId="77777777" w:rsidR="00995430" w:rsidRPr="00096FF8" w:rsidRDefault="00DC57C0" w:rsidP="00490617">
      <w:pPr>
        <w:pStyle w:val="QuoteLabel"/>
        <w:spacing w:line="480" w:lineRule="auto"/>
        <w:rPr>
          <w:rFonts w:asciiTheme="minorHAnsi" w:hAnsiTheme="minorHAnsi"/>
        </w:rPr>
      </w:pPr>
      <w:r w:rsidRPr="00096FF8">
        <w:rPr>
          <w:rFonts w:asciiTheme="minorHAnsi" w:hAnsiTheme="minorHAnsi"/>
        </w:rPr>
        <w:t>Senior Manager 07</w:t>
      </w:r>
    </w:p>
    <w:p w14:paraId="1D32CA5A" w14:textId="77777777" w:rsidR="004E335F" w:rsidRPr="00096FF8" w:rsidRDefault="00D04C30" w:rsidP="00490617">
      <w:pPr>
        <w:pStyle w:val="Heading4"/>
        <w:spacing w:line="480" w:lineRule="auto"/>
        <w:rPr>
          <w:rFonts w:asciiTheme="minorHAnsi" w:hAnsiTheme="minorHAnsi"/>
        </w:rPr>
      </w:pPr>
      <w:r w:rsidRPr="00096FF8">
        <w:rPr>
          <w:rFonts w:asciiTheme="minorHAnsi" w:hAnsiTheme="minorHAnsi"/>
        </w:rPr>
        <w:t>Safeguarding process</w:t>
      </w:r>
    </w:p>
    <w:p w14:paraId="40899FA9" w14:textId="3919E586" w:rsidR="007A4809" w:rsidRPr="00096FF8" w:rsidRDefault="00D04C30" w:rsidP="00490617">
      <w:pPr>
        <w:spacing w:line="480" w:lineRule="auto"/>
        <w:rPr>
          <w:rFonts w:asciiTheme="minorHAnsi" w:hAnsiTheme="minorHAnsi"/>
        </w:rPr>
      </w:pPr>
      <w:r w:rsidRPr="00096FF8">
        <w:rPr>
          <w:rFonts w:asciiTheme="minorHAnsi" w:hAnsiTheme="minorHAnsi"/>
        </w:rPr>
        <w:t xml:space="preserve">In the main, the safeguarding process was </w:t>
      </w:r>
      <w:r w:rsidR="00F543DD" w:rsidRPr="00096FF8">
        <w:rPr>
          <w:rFonts w:asciiTheme="minorHAnsi" w:hAnsiTheme="minorHAnsi"/>
        </w:rPr>
        <w:t xml:space="preserve">reported as </w:t>
      </w:r>
      <w:r w:rsidRPr="00096FF8">
        <w:rPr>
          <w:rFonts w:asciiTheme="minorHAnsi" w:hAnsiTheme="minorHAnsi"/>
        </w:rPr>
        <w:t>similar for all service users</w:t>
      </w:r>
      <w:r w:rsidR="007A4809" w:rsidRPr="00096FF8">
        <w:rPr>
          <w:rFonts w:asciiTheme="minorHAnsi" w:hAnsiTheme="minorHAnsi"/>
        </w:rPr>
        <w:t>,</w:t>
      </w:r>
      <w:r w:rsidR="009A2139" w:rsidRPr="00096FF8">
        <w:rPr>
          <w:rFonts w:asciiTheme="minorHAnsi" w:hAnsiTheme="minorHAnsi"/>
        </w:rPr>
        <w:t xml:space="preserve"> regardless of whether they </w:t>
      </w:r>
      <w:r w:rsidR="007A4809" w:rsidRPr="00096FF8">
        <w:rPr>
          <w:rFonts w:asciiTheme="minorHAnsi" w:hAnsiTheme="minorHAnsi"/>
        </w:rPr>
        <w:t xml:space="preserve">received </w:t>
      </w:r>
      <w:r w:rsidR="00E13E4E" w:rsidRPr="00096FF8">
        <w:rPr>
          <w:rFonts w:asciiTheme="minorHAnsi" w:hAnsiTheme="minorHAnsi"/>
        </w:rPr>
        <w:t>Direct Payments</w:t>
      </w:r>
      <w:r w:rsidR="009A2139" w:rsidRPr="00096FF8">
        <w:rPr>
          <w:rFonts w:asciiTheme="minorHAnsi" w:hAnsiTheme="minorHAnsi"/>
        </w:rPr>
        <w:t xml:space="preserve"> or commissioned care services</w:t>
      </w:r>
      <w:r w:rsidR="007A4809" w:rsidRPr="00096FF8">
        <w:rPr>
          <w:rFonts w:asciiTheme="minorHAnsi" w:hAnsiTheme="minorHAnsi"/>
        </w:rPr>
        <w:t>:</w:t>
      </w:r>
    </w:p>
    <w:p w14:paraId="7ABEDC60" w14:textId="77777777" w:rsidR="001B120A" w:rsidRPr="00096FF8" w:rsidRDefault="007A4809" w:rsidP="00490617">
      <w:pPr>
        <w:spacing w:line="480" w:lineRule="auto"/>
        <w:rPr>
          <w:rFonts w:asciiTheme="minorHAnsi" w:hAnsiTheme="minorHAnsi"/>
        </w:rPr>
      </w:pPr>
      <w:r w:rsidRPr="00096FF8">
        <w:rPr>
          <w:rFonts w:asciiTheme="minorHAnsi" w:hAnsiTheme="minorHAnsi"/>
        </w:rPr>
        <w:t xml:space="preserve"> </w:t>
      </w:r>
    </w:p>
    <w:p w14:paraId="071941BE" w14:textId="77777777" w:rsidR="001B120A" w:rsidRPr="00096FF8" w:rsidRDefault="001B120A" w:rsidP="00490617">
      <w:pPr>
        <w:pStyle w:val="Quote"/>
        <w:spacing w:line="480" w:lineRule="auto"/>
        <w:rPr>
          <w:rFonts w:asciiTheme="minorHAnsi" w:hAnsiTheme="minorHAnsi"/>
        </w:rPr>
      </w:pPr>
      <w:r w:rsidRPr="00096FF8">
        <w:rPr>
          <w:rFonts w:asciiTheme="minorHAnsi" w:hAnsiTheme="minorHAnsi"/>
        </w:rPr>
        <w:t>I don’t think it’s changed the standard, and the guidance, and the policy that much, but I think it has, by nature, raised the awareness of staff to look out for different things in different situations</w:t>
      </w:r>
      <w:r w:rsidR="00276B44" w:rsidRPr="00096FF8">
        <w:rPr>
          <w:rFonts w:asciiTheme="minorHAnsi" w:hAnsiTheme="minorHAnsi"/>
        </w:rPr>
        <w:t>.</w:t>
      </w:r>
    </w:p>
    <w:p w14:paraId="6EFBDB08" w14:textId="77777777" w:rsidR="001B120A" w:rsidRPr="00096FF8" w:rsidRDefault="001B120A" w:rsidP="00490617">
      <w:pPr>
        <w:pStyle w:val="QuoteLabel"/>
        <w:spacing w:line="480" w:lineRule="auto"/>
        <w:rPr>
          <w:rFonts w:asciiTheme="minorHAnsi" w:hAnsiTheme="minorHAnsi"/>
        </w:rPr>
      </w:pPr>
      <w:r w:rsidRPr="00096FF8">
        <w:rPr>
          <w:rFonts w:asciiTheme="minorHAnsi" w:hAnsiTheme="minorHAnsi"/>
        </w:rPr>
        <w:t xml:space="preserve">Senior </w:t>
      </w:r>
      <w:r w:rsidR="00B81398" w:rsidRPr="00096FF8">
        <w:rPr>
          <w:rFonts w:asciiTheme="minorHAnsi" w:hAnsiTheme="minorHAnsi"/>
        </w:rPr>
        <w:t xml:space="preserve">Manager </w:t>
      </w:r>
      <w:r w:rsidRPr="00096FF8">
        <w:rPr>
          <w:rFonts w:asciiTheme="minorHAnsi" w:hAnsiTheme="minorHAnsi"/>
        </w:rPr>
        <w:t>07</w:t>
      </w:r>
    </w:p>
    <w:p w14:paraId="4F0EA6E9" w14:textId="77777777" w:rsidR="001B120A" w:rsidRPr="00096FF8" w:rsidRDefault="001B120A" w:rsidP="00490617">
      <w:pPr>
        <w:spacing w:line="480" w:lineRule="auto"/>
        <w:rPr>
          <w:rFonts w:asciiTheme="minorHAnsi" w:hAnsiTheme="minorHAnsi"/>
        </w:rPr>
      </w:pPr>
    </w:p>
    <w:p w14:paraId="00260CCB" w14:textId="5F8DB77F" w:rsidR="004C253B" w:rsidRPr="00096FF8" w:rsidRDefault="00D04C30" w:rsidP="00490617">
      <w:pPr>
        <w:spacing w:line="480" w:lineRule="auto"/>
        <w:rPr>
          <w:rFonts w:asciiTheme="minorHAnsi" w:hAnsiTheme="minorHAnsi"/>
        </w:rPr>
      </w:pPr>
      <w:r w:rsidRPr="00096FF8">
        <w:rPr>
          <w:rFonts w:asciiTheme="minorHAnsi" w:hAnsiTheme="minorHAnsi"/>
        </w:rPr>
        <w:t xml:space="preserve">They also noted that </w:t>
      </w:r>
      <w:r w:rsidR="00E13E4E" w:rsidRPr="00096FF8">
        <w:rPr>
          <w:rFonts w:asciiTheme="minorHAnsi" w:hAnsiTheme="minorHAnsi"/>
        </w:rPr>
        <w:t>Direct Payment</w:t>
      </w:r>
      <w:r w:rsidRPr="00096FF8">
        <w:rPr>
          <w:rFonts w:asciiTheme="minorHAnsi" w:hAnsiTheme="minorHAnsi"/>
        </w:rPr>
        <w:t xml:space="preserve"> users rarely reported abuse. </w:t>
      </w:r>
      <w:r w:rsidR="00D15AAC" w:rsidRPr="00096FF8">
        <w:rPr>
          <w:rFonts w:asciiTheme="minorHAnsi" w:hAnsiTheme="minorHAnsi"/>
        </w:rPr>
        <w:t xml:space="preserve">Some suggested that </w:t>
      </w:r>
      <w:r w:rsidR="007A4809" w:rsidRPr="00096FF8">
        <w:rPr>
          <w:rFonts w:asciiTheme="minorHAnsi" w:hAnsiTheme="minorHAnsi"/>
        </w:rPr>
        <w:t xml:space="preserve">family </w:t>
      </w:r>
      <w:r w:rsidR="00D15AAC" w:rsidRPr="00096FF8">
        <w:rPr>
          <w:rFonts w:asciiTheme="minorHAnsi" w:hAnsiTheme="minorHAnsi"/>
        </w:rPr>
        <w:t>care</w:t>
      </w:r>
      <w:r w:rsidR="002E68A0" w:rsidRPr="00096FF8">
        <w:rPr>
          <w:rFonts w:asciiTheme="minorHAnsi" w:hAnsiTheme="minorHAnsi"/>
        </w:rPr>
        <w:t xml:space="preserve">rs </w:t>
      </w:r>
      <w:r w:rsidR="00D15AAC" w:rsidRPr="00096FF8">
        <w:rPr>
          <w:rFonts w:asciiTheme="minorHAnsi" w:hAnsiTheme="minorHAnsi"/>
        </w:rPr>
        <w:t xml:space="preserve">should be made aware </w:t>
      </w:r>
      <w:r w:rsidR="001B120A" w:rsidRPr="00096FF8">
        <w:rPr>
          <w:rFonts w:asciiTheme="minorHAnsi" w:hAnsiTheme="minorHAnsi"/>
        </w:rPr>
        <w:t xml:space="preserve">of </w:t>
      </w:r>
      <w:r w:rsidRPr="00096FF8">
        <w:rPr>
          <w:rFonts w:asciiTheme="minorHAnsi" w:hAnsiTheme="minorHAnsi"/>
        </w:rPr>
        <w:t xml:space="preserve">what </w:t>
      </w:r>
      <w:r w:rsidR="00280CCE" w:rsidRPr="00096FF8">
        <w:rPr>
          <w:rFonts w:asciiTheme="minorHAnsi" w:hAnsiTheme="minorHAnsi"/>
        </w:rPr>
        <w:t xml:space="preserve">constitutes </w:t>
      </w:r>
      <w:r w:rsidR="00DC23D9" w:rsidRPr="00096FF8">
        <w:rPr>
          <w:rFonts w:asciiTheme="minorHAnsi" w:hAnsiTheme="minorHAnsi"/>
        </w:rPr>
        <w:t xml:space="preserve">acceptable staff behaviour </w:t>
      </w:r>
      <w:r w:rsidRPr="00096FF8">
        <w:rPr>
          <w:rFonts w:asciiTheme="minorHAnsi" w:hAnsiTheme="minorHAnsi"/>
        </w:rPr>
        <w:t xml:space="preserve">and </w:t>
      </w:r>
      <w:r w:rsidR="007A4809" w:rsidRPr="00096FF8">
        <w:rPr>
          <w:rFonts w:asciiTheme="minorHAnsi" w:hAnsiTheme="minorHAnsi"/>
        </w:rPr>
        <w:t xml:space="preserve">inappropriate </w:t>
      </w:r>
      <w:r w:rsidR="00ED0627" w:rsidRPr="00096FF8">
        <w:rPr>
          <w:rFonts w:asciiTheme="minorHAnsi" w:hAnsiTheme="minorHAnsi"/>
        </w:rPr>
        <w:t xml:space="preserve">behaviour </w:t>
      </w:r>
      <w:r w:rsidR="001B120A" w:rsidRPr="00096FF8">
        <w:rPr>
          <w:rFonts w:asciiTheme="minorHAnsi" w:hAnsiTheme="minorHAnsi"/>
        </w:rPr>
        <w:t>so that they can identify unsafe and poor care</w:t>
      </w:r>
      <w:r w:rsidRPr="00096FF8">
        <w:rPr>
          <w:rFonts w:asciiTheme="minorHAnsi" w:hAnsiTheme="minorHAnsi"/>
        </w:rPr>
        <w:t xml:space="preserve">. </w:t>
      </w:r>
      <w:r w:rsidR="005E22AE" w:rsidRPr="00096FF8">
        <w:rPr>
          <w:rFonts w:asciiTheme="minorHAnsi" w:hAnsiTheme="minorHAnsi"/>
        </w:rPr>
        <w:t xml:space="preserve">However, because of the different kinds of relationships involved with </w:t>
      </w:r>
      <w:r w:rsidR="00E13E4E" w:rsidRPr="00096FF8">
        <w:rPr>
          <w:rFonts w:asciiTheme="minorHAnsi" w:hAnsiTheme="minorHAnsi"/>
        </w:rPr>
        <w:t>Direct Payment</w:t>
      </w:r>
      <w:r w:rsidR="00F543DD" w:rsidRPr="00096FF8">
        <w:rPr>
          <w:rFonts w:asciiTheme="minorHAnsi" w:hAnsiTheme="minorHAnsi"/>
        </w:rPr>
        <w:t>s</w:t>
      </w:r>
      <w:r w:rsidR="00DC23D9" w:rsidRPr="00096FF8">
        <w:rPr>
          <w:rFonts w:asciiTheme="minorHAnsi" w:hAnsiTheme="minorHAnsi"/>
        </w:rPr>
        <w:t>, the</w:t>
      </w:r>
      <w:r w:rsidR="005E22AE" w:rsidRPr="00096FF8">
        <w:rPr>
          <w:rFonts w:asciiTheme="minorHAnsi" w:hAnsiTheme="minorHAnsi"/>
        </w:rPr>
        <w:t xml:space="preserve"> content and focus</w:t>
      </w:r>
      <w:r w:rsidR="007A4809" w:rsidRPr="00096FF8">
        <w:rPr>
          <w:rFonts w:asciiTheme="minorHAnsi" w:hAnsiTheme="minorHAnsi"/>
        </w:rPr>
        <w:t xml:space="preserve"> of discussions</w:t>
      </w:r>
      <w:r w:rsidR="005E22AE" w:rsidRPr="00096FF8">
        <w:rPr>
          <w:rFonts w:asciiTheme="minorHAnsi" w:hAnsiTheme="minorHAnsi"/>
        </w:rPr>
        <w:t xml:space="preserve"> may differ</w:t>
      </w:r>
      <w:r w:rsidR="00D15AAC" w:rsidRPr="00096FF8">
        <w:rPr>
          <w:rFonts w:asciiTheme="minorHAnsi" w:hAnsiTheme="minorHAnsi"/>
        </w:rPr>
        <w:t xml:space="preserve"> when discussing care quality</w:t>
      </w:r>
      <w:r w:rsidR="00DC23D9" w:rsidRPr="00096FF8">
        <w:rPr>
          <w:rFonts w:asciiTheme="minorHAnsi" w:hAnsiTheme="minorHAnsi"/>
        </w:rPr>
        <w:t>.</w:t>
      </w:r>
      <w:r w:rsidR="0065343B" w:rsidRPr="00096FF8">
        <w:rPr>
          <w:rFonts w:asciiTheme="minorHAnsi" w:hAnsiTheme="minorHAnsi"/>
        </w:rPr>
        <w:t xml:space="preserve"> </w:t>
      </w:r>
      <w:r w:rsidR="00FA3359" w:rsidRPr="00096FF8">
        <w:rPr>
          <w:rFonts w:asciiTheme="minorHAnsi" w:hAnsiTheme="minorHAnsi"/>
        </w:rPr>
        <w:t xml:space="preserve">The ability of </w:t>
      </w:r>
      <w:r w:rsidR="00E13E4E" w:rsidRPr="00096FF8">
        <w:rPr>
          <w:rFonts w:asciiTheme="minorHAnsi" w:hAnsiTheme="minorHAnsi"/>
        </w:rPr>
        <w:t>Direct Payment</w:t>
      </w:r>
      <w:r w:rsidR="0065343B" w:rsidRPr="00096FF8">
        <w:rPr>
          <w:rFonts w:asciiTheme="minorHAnsi" w:hAnsiTheme="minorHAnsi"/>
        </w:rPr>
        <w:t xml:space="preserve"> users </w:t>
      </w:r>
      <w:r w:rsidR="00FA3359" w:rsidRPr="00096FF8">
        <w:rPr>
          <w:rFonts w:asciiTheme="minorHAnsi" w:hAnsiTheme="minorHAnsi"/>
        </w:rPr>
        <w:t xml:space="preserve">to </w:t>
      </w:r>
      <w:r w:rsidR="00F543DD" w:rsidRPr="00096FF8">
        <w:rPr>
          <w:rFonts w:asciiTheme="minorHAnsi" w:hAnsiTheme="minorHAnsi"/>
        </w:rPr>
        <w:t xml:space="preserve">choose </w:t>
      </w:r>
      <w:r w:rsidR="0065343B" w:rsidRPr="00096FF8">
        <w:rPr>
          <w:rFonts w:asciiTheme="minorHAnsi" w:hAnsiTheme="minorHAnsi"/>
        </w:rPr>
        <w:t xml:space="preserve">whom they employ </w:t>
      </w:r>
      <w:r w:rsidR="00DF71FD" w:rsidRPr="00096FF8">
        <w:rPr>
          <w:rFonts w:asciiTheme="minorHAnsi" w:hAnsiTheme="minorHAnsi"/>
        </w:rPr>
        <w:t xml:space="preserve">potentially </w:t>
      </w:r>
      <w:r w:rsidR="000B2341" w:rsidRPr="00096FF8">
        <w:rPr>
          <w:rFonts w:asciiTheme="minorHAnsi" w:hAnsiTheme="minorHAnsi"/>
        </w:rPr>
        <w:t xml:space="preserve">creates a </w:t>
      </w:r>
      <w:r w:rsidR="00DF71FD" w:rsidRPr="00096FF8">
        <w:rPr>
          <w:rFonts w:asciiTheme="minorHAnsi" w:hAnsiTheme="minorHAnsi"/>
        </w:rPr>
        <w:t>double standard, given</w:t>
      </w:r>
      <w:r w:rsidR="000B2341" w:rsidRPr="00096FF8">
        <w:rPr>
          <w:rFonts w:asciiTheme="minorHAnsi" w:hAnsiTheme="minorHAnsi"/>
        </w:rPr>
        <w:t xml:space="preserve"> </w:t>
      </w:r>
      <w:r w:rsidR="00DF71FD" w:rsidRPr="00096FF8">
        <w:rPr>
          <w:rFonts w:asciiTheme="minorHAnsi" w:hAnsiTheme="minorHAnsi"/>
        </w:rPr>
        <w:t xml:space="preserve">the </w:t>
      </w:r>
      <w:r w:rsidR="0065343B" w:rsidRPr="00096FF8">
        <w:rPr>
          <w:rFonts w:asciiTheme="minorHAnsi" w:hAnsiTheme="minorHAnsi"/>
        </w:rPr>
        <w:t xml:space="preserve">requirements </w:t>
      </w:r>
      <w:r w:rsidR="00A16DBA" w:rsidRPr="00096FF8">
        <w:rPr>
          <w:rFonts w:asciiTheme="minorHAnsi" w:hAnsiTheme="minorHAnsi"/>
        </w:rPr>
        <w:t xml:space="preserve">that apply to staff working for regulated providers where </w:t>
      </w:r>
      <w:r w:rsidR="0065343B" w:rsidRPr="00096FF8">
        <w:rPr>
          <w:rFonts w:asciiTheme="minorHAnsi" w:hAnsiTheme="minorHAnsi"/>
        </w:rPr>
        <w:t xml:space="preserve">training and </w:t>
      </w:r>
      <w:r w:rsidR="00280CCE" w:rsidRPr="00096FF8">
        <w:rPr>
          <w:rFonts w:asciiTheme="minorHAnsi" w:hAnsiTheme="minorHAnsi"/>
        </w:rPr>
        <w:t>pre-employment checks for criminal convictions</w:t>
      </w:r>
      <w:r w:rsidR="0065343B" w:rsidRPr="00096FF8">
        <w:rPr>
          <w:rFonts w:asciiTheme="minorHAnsi" w:hAnsiTheme="minorHAnsi"/>
        </w:rPr>
        <w:t xml:space="preserve"> </w:t>
      </w:r>
      <w:r w:rsidR="00F543DD" w:rsidRPr="00096FF8">
        <w:rPr>
          <w:rFonts w:asciiTheme="minorHAnsi" w:hAnsiTheme="minorHAnsi"/>
        </w:rPr>
        <w:t>are requirements</w:t>
      </w:r>
      <w:r w:rsidR="007A4809" w:rsidRPr="00096FF8">
        <w:rPr>
          <w:rFonts w:asciiTheme="minorHAnsi" w:hAnsiTheme="minorHAnsi"/>
        </w:rPr>
        <w:t>.</w:t>
      </w:r>
    </w:p>
    <w:p w14:paraId="4EC57A8C" w14:textId="77777777" w:rsidR="00D04C30" w:rsidRPr="00096FF8" w:rsidRDefault="00D04C30" w:rsidP="00490617">
      <w:pPr>
        <w:spacing w:line="480" w:lineRule="auto"/>
        <w:rPr>
          <w:rFonts w:asciiTheme="minorHAnsi" w:hAnsiTheme="minorHAnsi"/>
        </w:rPr>
      </w:pPr>
    </w:p>
    <w:p w14:paraId="08FB2C8C" w14:textId="5AC57C12" w:rsidR="00EE6060" w:rsidRPr="00096FF8" w:rsidRDefault="00A16DBA" w:rsidP="00490617">
      <w:pPr>
        <w:spacing w:line="480" w:lineRule="auto"/>
        <w:rPr>
          <w:rFonts w:asciiTheme="minorHAnsi" w:hAnsiTheme="minorHAnsi"/>
        </w:rPr>
      </w:pPr>
      <w:r w:rsidRPr="00096FF8">
        <w:rPr>
          <w:rFonts w:asciiTheme="minorHAnsi" w:hAnsiTheme="minorHAnsi"/>
          <w:szCs w:val="24"/>
        </w:rPr>
        <w:t xml:space="preserve">One </w:t>
      </w:r>
      <w:r w:rsidR="00EE6060" w:rsidRPr="00096FF8">
        <w:rPr>
          <w:rFonts w:asciiTheme="minorHAnsi" w:hAnsiTheme="minorHAnsi"/>
          <w:szCs w:val="24"/>
        </w:rPr>
        <w:t>social worker described how the safeguarding team and learning disability care management team work</w:t>
      </w:r>
      <w:r w:rsidR="000A128F" w:rsidRPr="00096FF8">
        <w:rPr>
          <w:rFonts w:asciiTheme="minorHAnsi" w:hAnsiTheme="minorHAnsi"/>
          <w:szCs w:val="24"/>
        </w:rPr>
        <w:t>ed</w:t>
      </w:r>
      <w:r w:rsidR="00EE6060" w:rsidRPr="00096FF8">
        <w:rPr>
          <w:rFonts w:asciiTheme="minorHAnsi" w:hAnsiTheme="minorHAnsi"/>
          <w:szCs w:val="24"/>
        </w:rPr>
        <w:t xml:space="preserve"> together on more complex cases</w:t>
      </w:r>
      <w:r w:rsidR="007A4809" w:rsidRPr="00096FF8">
        <w:rPr>
          <w:rFonts w:asciiTheme="minorHAnsi" w:hAnsiTheme="minorHAnsi"/>
          <w:szCs w:val="24"/>
        </w:rPr>
        <w:t xml:space="preserve"> in their </w:t>
      </w:r>
      <w:r w:rsidR="00C101B2" w:rsidRPr="00096FF8">
        <w:rPr>
          <w:rFonts w:asciiTheme="minorHAnsi" w:hAnsiTheme="minorHAnsi"/>
          <w:szCs w:val="24"/>
        </w:rPr>
        <w:t>local authority</w:t>
      </w:r>
      <w:r w:rsidR="000A128F" w:rsidRPr="00096FF8">
        <w:rPr>
          <w:rFonts w:asciiTheme="minorHAnsi" w:hAnsiTheme="minorHAnsi"/>
          <w:szCs w:val="24"/>
        </w:rPr>
        <w:t>.</w:t>
      </w:r>
      <w:r w:rsidR="00EE6060" w:rsidRPr="00096FF8">
        <w:rPr>
          <w:rFonts w:asciiTheme="minorHAnsi" w:hAnsiTheme="minorHAnsi"/>
          <w:szCs w:val="24"/>
        </w:rPr>
        <w:t xml:space="preserve"> </w:t>
      </w:r>
      <w:r w:rsidR="00F543DD" w:rsidRPr="00096FF8">
        <w:rPr>
          <w:rFonts w:asciiTheme="minorHAnsi" w:hAnsiTheme="minorHAnsi"/>
          <w:szCs w:val="24"/>
        </w:rPr>
        <w:t>She</w:t>
      </w:r>
      <w:r w:rsidR="00EE6060" w:rsidRPr="00096FF8">
        <w:rPr>
          <w:rFonts w:asciiTheme="minorHAnsi" w:hAnsiTheme="minorHAnsi"/>
          <w:szCs w:val="24"/>
        </w:rPr>
        <w:t xml:space="preserve"> </w:t>
      </w:r>
      <w:r w:rsidR="00EE6060" w:rsidRPr="00096FF8">
        <w:rPr>
          <w:rFonts w:asciiTheme="minorHAnsi" w:hAnsiTheme="minorHAnsi"/>
        </w:rPr>
        <w:t>stressed the importance of particular circumstances in determining the relation</w:t>
      </w:r>
      <w:r w:rsidR="00EA68BB" w:rsidRPr="00096FF8">
        <w:rPr>
          <w:rFonts w:asciiTheme="minorHAnsi" w:hAnsiTheme="minorHAnsi"/>
        </w:rPr>
        <w:t>ship</w:t>
      </w:r>
      <w:r w:rsidR="00EE6060" w:rsidRPr="00096FF8">
        <w:rPr>
          <w:rFonts w:asciiTheme="minorHAnsi" w:hAnsiTheme="minorHAnsi"/>
        </w:rPr>
        <w:t xml:space="preserve"> between safeguarding and support planning. For example, financial abuse may have little to do with </w:t>
      </w:r>
      <w:r w:rsidR="000A128F" w:rsidRPr="00096FF8">
        <w:rPr>
          <w:rFonts w:asciiTheme="minorHAnsi" w:hAnsiTheme="minorHAnsi"/>
        </w:rPr>
        <w:t xml:space="preserve">care </w:t>
      </w:r>
      <w:r w:rsidR="007A4809" w:rsidRPr="00096FF8">
        <w:rPr>
          <w:rFonts w:asciiTheme="minorHAnsi" w:hAnsiTheme="minorHAnsi"/>
        </w:rPr>
        <w:t>needs;</w:t>
      </w:r>
      <w:r w:rsidR="00EE6060" w:rsidRPr="00096FF8">
        <w:rPr>
          <w:rFonts w:asciiTheme="minorHAnsi" w:hAnsiTheme="minorHAnsi"/>
        </w:rPr>
        <w:t xml:space="preserve"> therefore </w:t>
      </w:r>
      <w:r w:rsidR="000A128F" w:rsidRPr="00096FF8">
        <w:rPr>
          <w:rFonts w:asciiTheme="minorHAnsi" w:hAnsiTheme="minorHAnsi"/>
        </w:rPr>
        <w:t xml:space="preserve">a </w:t>
      </w:r>
      <w:r w:rsidR="00EE6060" w:rsidRPr="00096FF8">
        <w:rPr>
          <w:rFonts w:asciiTheme="minorHAnsi" w:hAnsiTheme="minorHAnsi"/>
        </w:rPr>
        <w:t xml:space="preserve">safeguarding plan </w:t>
      </w:r>
      <w:r w:rsidR="000A128F" w:rsidRPr="00096FF8">
        <w:rPr>
          <w:rFonts w:asciiTheme="minorHAnsi" w:hAnsiTheme="minorHAnsi"/>
        </w:rPr>
        <w:t>may focus on distinct elements:</w:t>
      </w:r>
    </w:p>
    <w:p w14:paraId="26E8B700" w14:textId="77777777" w:rsidR="00EE6060" w:rsidRPr="00096FF8" w:rsidRDefault="00EE6060" w:rsidP="00490617">
      <w:pPr>
        <w:spacing w:line="480" w:lineRule="auto"/>
        <w:rPr>
          <w:rFonts w:asciiTheme="minorHAnsi" w:hAnsiTheme="minorHAnsi"/>
        </w:rPr>
      </w:pPr>
    </w:p>
    <w:p w14:paraId="48C1410F" w14:textId="65359ED2" w:rsidR="00EE6060" w:rsidRPr="00096FF8" w:rsidRDefault="00EE6060" w:rsidP="00490617">
      <w:pPr>
        <w:pStyle w:val="Quote"/>
        <w:spacing w:line="480" w:lineRule="auto"/>
        <w:rPr>
          <w:rFonts w:asciiTheme="minorHAnsi" w:hAnsiTheme="minorHAnsi"/>
        </w:rPr>
      </w:pPr>
      <w:r w:rsidRPr="00096FF8">
        <w:rPr>
          <w:rFonts w:asciiTheme="minorHAnsi" w:hAnsiTheme="minorHAnsi"/>
        </w:rPr>
        <w:t xml:space="preserve">Sometimes they [Support plan and Safeguarding plan] are inextricably linked and you can’t separate them but there are other times where people have got, maybe there’s an </w:t>
      </w:r>
      <w:r w:rsidR="00F543DD" w:rsidRPr="00096FF8">
        <w:rPr>
          <w:rFonts w:asciiTheme="minorHAnsi" w:hAnsiTheme="minorHAnsi"/>
        </w:rPr>
        <w:t xml:space="preserve">incident </w:t>
      </w:r>
      <w:r w:rsidRPr="00096FF8">
        <w:rPr>
          <w:rFonts w:asciiTheme="minorHAnsi" w:hAnsiTheme="minorHAnsi"/>
        </w:rPr>
        <w:t xml:space="preserve">of financial abuse, but it doesn’t really link with their care needs. </w:t>
      </w:r>
    </w:p>
    <w:p w14:paraId="38E9AFEC" w14:textId="77777777" w:rsidR="004C253B" w:rsidRPr="00096FF8" w:rsidRDefault="004C253B" w:rsidP="00490617">
      <w:pPr>
        <w:pStyle w:val="QuoteLabel"/>
        <w:spacing w:line="480" w:lineRule="auto"/>
        <w:rPr>
          <w:rFonts w:asciiTheme="minorHAnsi" w:hAnsiTheme="minorHAnsi"/>
        </w:rPr>
      </w:pPr>
      <w:r w:rsidRPr="00096FF8">
        <w:rPr>
          <w:rFonts w:asciiTheme="minorHAnsi" w:hAnsiTheme="minorHAnsi"/>
        </w:rPr>
        <w:t xml:space="preserve">Social Worker </w:t>
      </w:r>
      <w:r w:rsidR="00517A26" w:rsidRPr="00096FF8">
        <w:rPr>
          <w:rFonts w:asciiTheme="minorHAnsi" w:hAnsiTheme="minorHAnsi"/>
        </w:rPr>
        <w:t>08</w:t>
      </w:r>
    </w:p>
    <w:p w14:paraId="780EB18B" w14:textId="77777777" w:rsidR="00EE6060" w:rsidRPr="00096FF8" w:rsidRDefault="00EE6060" w:rsidP="00490617">
      <w:pPr>
        <w:spacing w:line="480" w:lineRule="auto"/>
        <w:rPr>
          <w:rFonts w:asciiTheme="minorHAnsi" w:hAnsiTheme="minorHAnsi"/>
        </w:rPr>
      </w:pPr>
    </w:p>
    <w:p w14:paraId="66BE2644" w14:textId="062FD26B" w:rsidR="00EE6060" w:rsidRPr="00096FF8" w:rsidRDefault="001B120A" w:rsidP="00490617">
      <w:pPr>
        <w:spacing w:line="480" w:lineRule="auto"/>
        <w:rPr>
          <w:rFonts w:asciiTheme="minorHAnsi" w:hAnsiTheme="minorHAnsi"/>
        </w:rPr>
      </w:pPr>
      <w:r w:rsidRPr="00096FF8">
        <w:rPr>
          <w:rFonts w:asciiTheme="minorHAnsi" w:hAnsiTheme="minorHAnsi"/>
        </w:rPr>
        <w:t>Some participants felt that s</w:t>
      </w:r>
      <w:r w:rsidR="00EE6060" w:rsidRPr="00096FF8">
        <w:rPr>
          <w:rFonts w:asciiTheme="minorHAnsi" w:hAnsiTheme="minorHAnsi"/>
        </w:rPr>
        <w:t>afeguarding planning was complicated because</w:t>
      </w:r>
      <w:r w:rsidRPr="00096FF8">
        <w:rPr>
          <w:rFonts w:asciiTheme="minorHAnsi" w:hAnsiTheme="minorHAnsi"/>
        </w:rPr>
        <w:t xml:space="preserve"> specialist safeguarding social workers</w:t>
      </w:r>
      <w:r w:rsidR="007A4809" w:rsidRPr="00096FF8">
        <w:rPr>
          <w:rFonts w:asciiTheme="minorHAnsi" w:hAnsiTheme="minorHAnsi"/>
        </w:rPr>
        <w:t xml:space="preserve"> </w:t>
      </w:r>
      <w:r w:rsidR="00EE6060" w:rsidRPr="00096FF8">
        <w:rPr>
          <w:rFonts w:asciiTheme="minorHAnsi" w:hAnsiTheme="minorHAnsi"/>
        </w:rPr>
        <w:t>were usually not in a position to commission new services</w:t>
      </w:r>
      <w:r w:rsidR="00DF71FD" w:rsidRPr="00096FF8">
        <w:rPr>
          <w:rFonts w:asciiTheme="minorHAnsi" w:hAnsiTheme="minorHAnsi"/>
        </w:rPr>
        <w:t xml:space="preserve"> for </w:t>
      </w:r>
      <w:r w:rsidR="00DF71FD" w:rsidRPr="00096FF8">
        <w:rPr>
          <w:rFonts w:asciiTheme="minorHAnsi" w:hAnsiTheme="minorHAnsi"/>
        </w:rPr>
        <w:lastRenderedPageBreak/>
        <w:t>individuals</w:t>
      </w:r>
      <w:r w:rsidR="00EE6060" w:rsidRPr="00096FF8">
        <w:rPr>
          <w:rFonts w:asciiTheme="minorHAnsi" w:hAnsiTheme="minorHAnsi"/>
        </w:rPr>
        <w:t xml:space="preserve">. </w:t>
      </w:r>
      <w:r w:rsidR="004215A4" w:rsidRPr="00096FF8">
        <w:rPr>
          <w:rFonts w:asciiTheme="minorHAnsi" w:hAnsiTheme="minorHAnsi"/>
        </w:rPr>
        <w:t xml:space="preserve">This meant fresh arrangements were needed when a safeguarding plan required new services. </w:t>
      </w:r>
      <w:r w:rsidR="002B4571">
        <w:rPr>
          <w:rFonts w:asciiTheme="minorHAnsi" w:hAnsiTheme="minorHAnsi"/>
        </w:rPr>
        <w:t>However,</w:t>
      </w:r>
      <w:r w:rsidR="00EE6060" w:rsidRPr="00096FF8">
        <w:rPr>
          <w:rFonts w:asciiTheme="minorHAnsi" w:hAnsiTheme="minorHAnsi"/>
        </w:rPr>
        <w:t>, if the protection</w:t>
      </w:r>
      <w:r w:rsidR="000A128F" w:rsidRPr="00096FF8">
        <w:rPr>
          <w:rFonts w:asciiTheme="minorHAnsi" w:hAnsiTheme="minorHAnsi"/>
        </w:rPr>
        <w:t xml:space="preserve"> or safeguarding</w:t>
      </w:r>
      <w:r w:rsidR="00EE6060" w:rsidRPr="00096FF8">
        <w:rPr>
          <w:rFonts w:asciiTheme="minorHAnsi" w:hAnsiTheme="minorHAnsi"/>
        </w:rPr>
        <w:t xml:space="preserve"> plan involve</w:t>
      </w:r>
      <w:r w:rsidR="004C253B" w:rsidRPr="00096FF8">
        <w:rPr>
          <w:rFonts w:asciiTheme="minorHAnsi" w:hAnsiTheme="minorHAnsi"/>
        </w:rPr>
        <w:t>d</w:t>
      </w:r>
      <w:r w:rsidR="00EE6060" w:rsidRPr="00096FF8">
        <w:rPr>
          <w:rFonts w:asciiTheme="minorHAnsi" w:hAnsiTheme="minorHAnsi"/>
        </w:rPr>
        <w:t xml:space="preserve"> </w:t>
      </w:r>
      <w:r w:rsidR="000A128F" w:rsidRPr="00096FF8">
        <w:rPr>
          <w:rFonts w:asciiTheme="minorHAnsi" w:hAnsiTheme="minorHAnsi"/>
        </w:rPr>
        <w:t xml:space="preserve">setting up </w:t>
      </w:r>
      <w:r w:rsidR="00EE6060" w:rsidRPr="00096FF8">
        <w:rPr>
          <w:rFonts w:asciiTheme="minorHAnsi" w:hAnsiTheme="minorHAnsi"/>
        </w:rPr>
        <w:t xml:space="preserve">an appointee to </w:t>
      </w:r>
      <w:r w:rsidR="000A128F" w:rsidRPr="00096FF8">
        <w:rPr>
          <w:rFonts w:asciiTheme="minorHAnsi" w:hAnsiTheme="minorHAnsi"/>
        </w:rPr>
        <w:t xml:space="preserve">manage </w:t>
      </w:r>
      <w:r w:rsidR="00EE6060" w:rsidRPr="00096FF8">
        <w:rPr>
          <w:rFonts w:asciiTheme="minorHAnsi" w:hAnsiTheme="minorHAnsi"/>
        </w:rPr>
        <w:t>a service user’s finances</w:t>
      </w:r>
      <w:r w:rsidR="000A128F" w:rsidRPr="00096FF8">
        <w:rPr>
          <w:rFonts w:asciiTheme="minorHAnsi" w:hAnsiTheme="minorHAnsi"/>
        </w:rPr>
        <w:t xml:space="preserve"> (benefits and/or pensions)</w:t>
      </w:r>
      <w:r w:rsidR="00EE6060" w:rsidRPr="00096FF8">
        <w:rPr>
          <w:rFonts w:asciiTheme="minorHAnsi" w:hAnsiTheme="minorHAnsi"/>
        </w:rPr>
        <w:t xml:space="preserve"> </w:t>
      </w:r>
      <w:r w:rsidR="001C7AEF" w:rsidRPr="00096FF8">
        <w:rPr>
          <w:rFonts w:asciiTheme="minorHAnsi" w:hAnsiTheme="minorHAnsi"/>
        </w:rPr>
        <w:t>as</w:t>
      </w:r>
      <w:r w:rsidR="00EE6060" w:rsidRPr="00096FF8">
        <w:rPr>
          <w:rFonts w:asciiTheme="minorHAnsi" w:hAnsiTheme="minorHAnsi"/>
        </w:rPr>
        <w:t xml:space="preserve"> the only </w:t>
      </w:r>
      <w:r w:rsidR="007A4809" w:rsidRPr="00096FF8">
        <w:rPr>
          <w:rFonts w:asciiTheme="minorHAnsi" w:hAnsiTheme="minorHAnsi"/>
        </w:rPr>
        <w:t xml:space="preserve">element </w:t>
      </w:r>
      <w:r w:rsidR="00EE6060" w:rsidRPr="00096FF8">
        <w:rPr>
          <w:rFonts w:asciiTheme="minorHAnsi" w:hAnsiTheme="minorHAnsi"/>
        </w:rPr>
        <w:t xml:space="preserve">of the safeguarding plan, </w:t>
      </w:r>
      <w:r w:rsidR="001C7AEF" w:rsidRPr="00096FF8">
        <w:rPr>
          <w:rFonts w:asciiTheme="minorHAnsi" w:hAnsiTheme="minorHAnsi"/>
        </w:rPr>
        <w:t xml:space="preserve">an </w:t>
      </w:r>
      <w:r w:rsidR="00EE6060" w:rsidRPr="00096FF8">
        <w:rPr>
          <w:rFonts w:asciiTheme="minorHAnsi" w:hAnsiTheme="minorHAnsi"/>
        </w:rPr>
        <w:t>operational social work</w:t>
      </w:r>
      <w:r w:rsidR="0012027F" w:rsidRPr="00096FF8">
        <w:rPr>
          <w:rFonts w:asciiTheme="minorHAnsi" w:hAnsiTheme="minorHAnsi"/>
        </w:rPr>
        <w:t xml:space="preserve">er </w:t>
      </w:r>
      <w:r w:rsidR="001C7AEF" w:rsidRPr="00096FF8">
        <w:rPr>
          <w:rFonts w:asciiTheme="minorHAnsi" w:hAnsiTheme="minorHAnsi"/>
        </w:rPr>
        <w:t>was not needed to do this</w:t>
      </w:r>
      <w:r w:rsidR="00EE6060" w:rsidRPr="00096FF8">
        <w:rPr>
          <w:rFonts w:asciiTheme="minorHAnsi" w:hAnsiTheme="minorHAnsi"/>
        </w:rPr>
        <w:t>:</w:t>
      </w:r>
    </w:p>
    <w:p w14:paraId="27CEF9D0" w14:textId="77777777" w:rsidR="00EE6060" w:rsidRPr="00096FF8" w:rsidRDefault="00EE6060" w:rsidP="00490617">
      <w:pPr>
        <w:spacing w:line="480" w:lineRule="auto"/>
        <w:rPr>
          <w:rFonts w:asciiTheme="minorHAnsi" w:hAnsiTheme="minorHAnsi"/>
        </w:rPr>
      </w:pPr>
    </w:p>
    <w:p w14:paraId="4A5264BF" w14:textId="77777777" w:rsidR="00EE6060" w:rsidRPr="00096FF8" w:rsidRDefault="00EE6060" w:rsidP="00490617">
      <w:pPr>
        <w:pStyle w:val="Quote"/>
        <w:spacing w:line="480" w:lineRule="auto"/>
        <w:rPr>
          <w:rFonts w:asciiTheme="minorHAnsi" w:hAnsiTheme="minorHAnsi"/>
        </w:rPr>
      </w:pPr>
      <w:r w:rsidRPr="00096FF8">
        <w:rPr>
          <w:rFonts w:asciiTheme="minorHAnsi" w:hAnsiTheme="minorHAnsi"/>
        </w:rPr>
        <w:t>Again, it’s being proportionate and reasonable. It doesn’t seem proportionate to pass it on to a social worker to do a full self-directed support plan. We’ve got all that information and all we’re asking for is a very small service to manage the risk.</w:t>
      </w:r>
    </w:p>
    <w:p w14:paraId="55EFD877" w14:textId="77777777" w:rsidR="00EE6060" w:rsidRPr="00096FF8" w:rsidRDefault="00EE6060" w:rsidP="00490617">
      <w:pPr>
        <w:pStyle w:val="QuoteLabel"/>
        <w:spacing w:line="480" w:lineRule="auto"/>
        <w:rPr>
          <w:rFonts w:asciiTheme="minorHAnsi" w:hAnsiTheme="minorHAnsi"/>
        </w:rPr>
      </w:pPr>
      <w:r w:rsidRPr="00096FF8">
        <w:rPr>
          <w:rFonts w:asciiTheme="minorHAnsi" w:hAnsiTheme="minorHAnsi"/>
        </w:rPr>
        <w:t xml:space="preserve">Social Worker </w:t>
      </w:r>
      <w:r w:rsidR="00517A26" w:rsidRPr="00096FF8">
        <w:rPr>
          <w:rFonts w:asciiTheme="minorHAnsi" w:hAnsiTheme="minorHAnsi"/>
        </w:rPr>
        <w:t>08</w:t>
      </w:r>
    </w:p>
    <w:p w14:paraId="29B68C39" w14:textId="77777777" w:rsidR="00DA48B3" w:rsidRPr="00096FF8" w:rsidRDefault="00DA48B3" w:rsidP="00490617">
      <w:pPr>
        <w:pStyle w:val="Heading2"/>
        <w:spacing w:line="480" w:lineRule="auto"/>
        <w:rPr>
          <w:rFonts w:asciiTheme="minorHAnsi" w:hAnsiTheme="minorHAnsi"/>
        </w:rPr>
      </w:pPr>
      <w:r w:rsidRPr="00096FF8">
        <w:rPr>
          <w:rFonts w:asciiTheme="minorHAnsi" w:hAnsiTheme="minorHAnsi"/>
        </w:rPr>
        <w:t>Discussion and conclusion</w:t>
      </w:r>
    </w:p>
    <w:p w14:paraId="549F7D2A" w14:textId="6AF59D9D" w:rsidR="00E0040D" w:rsidRPr="00096FF8" w:rsidRDefault="00781B05" w:rsidP="00E0040D">
      <w:pPr>
        <w:spacing w:line="480" w:lineRule="auto"/>
        <w:rPr>
          <w:rFonts w:asciiTheme="minorHAnsi" w:hAnsiTheme="minorHAnsi"/>
        </w:rPr>
      </w:pPr>
      <w:r w:rsidRPr="00096FF8">
        <w:rPr>
          <w:rFonts w:asciiTheme="minorHAnsi" w:hAnsiTheme="minorHAnsi"/>
        </w:rPr>
        <w:t xml:space="preserve">Other recent studies exploring </w:t>
      </w:r>
      <w:r w:rsidR="00346365" w:rsidRPr="00096FF8">
        <w:rPr>
          <w:rFonts w:asciiTheme="minorHAnsi" w:hAnsiTheme="minorHAnsi"/>
        </w:rPr>
        <w:t>safeguarding</w:t>
      </w:r>
      <w:r w:rsidRPr="00096FF8">
        <w:rPr>
          <w:rFonts w:asciiTheme="minorHAnsi" w:hAnsiTheme="minorHAnsi"/>
        </w:rPr>
        <w:t xml:space="preserve"> and </w:t>
      </w:r>
      <w:r w:rsidR="001C7AEF" w:rsidRPr="00096FF8">
        <w:rPr>
          <w:rFonts w:asciiTheme="minorHAnsi" w:hAnsiTheme="minorHAnsi"/>
        </w:rPr>
        <w:t>personalisation</w:t>
      </w:r>
      <w:r w:rsidRPr="00096FF8">
        <w:rPr>
          <w:rFonts w:asciiTheme="minorHAnsi" w:hAnsiTheme="minorHAnsi"/>
        </w:rPr>
        <w:t xml:space="preserve"> have </w:t>
      </w:r>
      <w:r w:rsidR="00346365" w:rsidRPr="00096FF8">
        <w:rPr>
          <w:rFonts w:asciiTheme="minorHAnsi" w:hAnsiTheme="minorHAnsi"/>
        </w:rPr>
        <w:t>concentrated on safeguarding practitioners (Manthorpe and Samsi</w:t>
      </w:r>
      <w:r w:rsidR="0012027F" w:rsidRPr="00096FF8">
        <w:rPr>
          <w:rFonts w:asciiTheme="minorHAnsi" w:hAnsiTheme="minorHAnsi"/>
        </w:rPr>
        <w:t>,</w:t>
      </w:r>
      <w:r w:rsidR="00253355" w:rsidRPr="00096FF8">
        <w:rPr>
          <w:rFonts w:asciiTheme="minorHAnsi" w:hAnsiTheme="minorHAnsi"/>
        </w:rPr>
        <w:t xml:space="preserve"> 2013)</w:t>
      </w:r>
      <w:r w:rsidR="00346365" w:rsidRPr="00096FF8">
        <w:rPr>
          <w:rFonts w:asciiTheme="minorHAnsi" w:hAnsiTheme="minorHAnsi"/>
        </w:rPr>
        <w:t>.</w:t>
      </w:r>
      <w:r w:rsidR="0012027F" w:rsidRPr="00096FF8">
        <w:rPr>
          <w:rFonts w:asciiTheme="minorHAnsi" w:hAnsiTheme="minorHAnsi"/>
        </w:rPr>
        <w:t xml:space="preserve"> </w:t>
      </w:r>
      <w:r w:rsidR="00346365" w:rsidRPr="00096FF8">
        <w:rPr>
          <w:rFonts w:asciiTheme="minorHAnsi" w:hAnsiTheme="minorHAnsi"/>
        </w:rPr>
        <w:t>Our findings</w:t>
      </w:r>
      <w:r w:rsidR="009F2EB3" w:rsidRPr="00096FF8">
        <w:rPr>
          <w:rFonts w:asciiTheme="minorHAnsi" w:hAnsiTheme="minorHAnsi"/>
        </w:rPr>
        <w:t xml:space="preserve"> suggest </w:t>
      </w:r>
      <w:r w:rsidR="00F3084D" w:rsidRPr="00096FF8">
        <w:rPr>
          <w:rFonts w:asciiTheme="minorHAnsi" w:hAnsiTheme="minorHAnsi"/>
        </w:rPr>
        <w:t>changes in approach and a reworking of traditional relationships between social workers (who</w:t>
      </w:r>
      <w:r w:rsidR="00B42EDA" w:rsidRPr="00096FF8">
        <w:rPr>
          <w:rFonts w:asciiTheme="minorHAnsi" w:hAnsiTheme="minorHAnsi"/>
        </w:rPr>
        <w:t>, in our study</w:t>
      </w:r>
      <w:r w:rsidR="001C1B9A" w:rsidRPr="00096FF8">
        <w:rPr>
          <w:rFonts w:asciiTheme="minorHAnsi" w:hAnsiTheme="minorHAnsi"/>
        </w:rPr>
        <w:t>,</w:t>
      </w:r>
      <w:r w:rsidR="00F3084D" w:rsidRPr="00096FF8">
        <w:rPr>
          <w:rFonts w:asciiTheme="minorHAnsi" w:hAnsiTheme="minorHAnsi"/>
        </w:rPr>
        <w:t xml:space="preserve"> continue</w:t>
      </w:r>
      <w:r w:rsidR="00B42EDA" w:rsidRPr="00096FF8">
        <w:rPr>
          <w:rFonts w:asciiTheme="minorHAnsi" w:hAnsiTheme="minorHAnsi"/>
        </w:rPr>
        <w:t>d</w:t>
      </w:r>
      <w:r w:rsidR="00F3084D" w:rsidRPr="00096FF8">
        <w:rPr>
          <w:rFonts w:asciiTheme="minorHAnsi" w:hAnsiTheme="minorHAnsi"/>
        </w:rPr>
        <w:t xml:space="preserve"> to be the main professionals involved) and people using services</w:t>
      </w:r>
      <w:r w:rsidR="0065343B" w:rsidRPr="00096FF8">
        <w:rPr>
          <w:rFonts w:asciiTheme="minorHAnsi" w:hAnsiTheme="minorHAnsi"/>
        </w:rPr>
        <w:t>.</w:t>
      </w:r>
      <w:r w:rsidR="00F3084D" w:rsidRPr="00096FF8">
        <w:rPr>
          <w:rFonts w:asciiTheme="minorHAnsi" w:hAnsiTheme="minorHAnsi"/>
        </w:rPr>
        <w:t xml:space="preserve"> </w:t>
      </w:r>
      <w:r w:rsidR="00E0040D" w:rsidRPr="00096FF8">
        <w:rPr>
          <w:rFonts w:asciiTheme="minorHAnsi" w:hAnsiTheme="minorHAnsi"/>
        </w:rPr>
        <w:t>Many of our findings explore tensions in policy and practice. While findings from interviews with service users (</w:t>
      </w:r>
      <w:r w:rsidR="007B4560">
        <w:rPr>
          <w:rFonts w:asciiTheme="minorHAnsi" w:hAnsiTheme="minorHAnsi"/>
        </w:rPr>
        <w:t xml:space="preserve">Stevens et al, </w:t>
      </w:r>
      <w:r w:rsidR="00E0040D" w:rsidRPr="00096FF8">
        <w:rPr>
          <w:rFonts w:asciiTheme="minorHAnsi" w:hAnsiTheme="minorHAnsi"/>
        </w:rPr>
        <w:t>2015) complement the themes identified here, more research is needed</w:t>
      </w:r>
      <w:r w:rsidR="00025D35">
        <w:rPr>
          <w:rFonts w:asciiTheme="minorHAnsi" w:hAnsiTheme="minorHAnsi"/>
        </w:rPr>
        <w:t xml:space="preserve"> in order thoroughly to explore in these tensions</w:t>
      </w:r>
      <w:r w:rsidR="00025D35" w:rsidRPr="00025D35">
        <w:rPr>
          <w:rFonts w:asciiTheme="minorHAnsi" w:hAnsiTheme="minorHAnsi"/>
        </w:rPr>
        <w:t xml:space="preserve"> </w:t>
      </w:r>
      <w:r w:rsidR="00025D35">
        <w:rPr>
          <w:rFonts w:asciiTheme="minorHAnsi" w:hAnsiTheme="minorHAnsi"/>
        </w:rPr>
        <w:t>and to identify nuances in how they are manifested.</w:t>
      </w:r>
    </w:p>
    <w:p w14:paraId="18B1298F" w14:textId="77777777" w:rsidR="009F2EB3" w:rsidRPr="00096FF8" w:rsidRDefault="009F2EB3" w:rsidP="00490617">
      <w:pPr>
        <w:spacing w:line="480" w:lineRule="auto"/>
        <w:rPr>
          <w:rFonts w:asciiTheme="minorHAnsi" w:hAnsiTheme="minorHAnsi"/>
        </w:rPr>
      </w:pPr>
    </w:p>
    <w:p w14:paraId="5F941A48" w14:textId="05DF5AFE" w:rsidR="00CF33BA" w:rsidRPr="00096FF8" w:rsidRDefault="00D40A8C" w:rsidP="00490617">
      <w:pPr>
        <w:spacing w:line="480" w:lineRule="auto"/>
        <w:rPr>
          <w:rFonts w:asciiTheme="minorHAnsi" w:hAnsiTheme="minorHAnsi"/>
        </w:rPr>
      </w:pPr>
      <w:r w:rsidRPr="00096FF8">
        <w:rPr>
          <w:rFonts w:asciiTheme="minorHAnsi" w:hAnsiTheme="minorHAnsi"/>
        </w:rPr>
        <w:t xml:space="preserve">As noted in the introduction, </w:t>
      </w:r>
      <w:r w:rsidR="001C7AEF" w:rsidRPr="00096FF8">
        <w:rPr>
          <w:rFonts w:asciiTheme="minorHAnsi" w:hAnsiTheme="minorHAnsi"/>
        </w:rPr>
        <w:t xml:space="preserve">some </w:t>
      </w:r>
      <w:r w:rsidR="000E6944" w:rsidRPr="00096FF8">
        <w:rPr>
          <w:rFonts w:asciiTheme="minorHAnsi" w:hAnsiTheme="minorHAnsi"/>
        </w:rPr>
        <w:t>commentators</w:t>
      </w:r>
      <w:r w:rsidR="009F2EB3" w:rsidRPr="00096FF8">
        <w:rPr>
          <w:rFonts w:asciiTheme="minorHAnsi" w:hAnsiTheme="minorHAnsi"/>
        </w:rPr>
        <w:t xml:space="preserve"> (Clarke et al 200</w:t>
      </w:r>
      <w:r w:rsidR="00C101CE" w:rsidRPr="00096FF8">
        <w:rPr>
          <w:rFonts w:asciiTheme="minorHAnsi" w:hAnsiTheme="minorHAnsi"/>
        </w:rPr>
        <w:t>7</w:t>
      </w:r>
      <w:r w:rsidR="009F2EB3" w:rsidRPr="00096FF8">
        <w:rPr>
          <w:rFonts w:asciiTheme="minorHAnsi" w:hAnsiTheme="minorHAnsi"/>
        </w:rPr>
        <w:t>; Ferguson, 2007</w:t>
      </w:r>
      <w:r w:rsidR="000A4AB5" w:rsidRPr="00096FF8">
        <w:rPr>
          <w:rFonts w:asciiTheme="minorHAnsi" w:hAnsiTheme="minorHAnsi"/>
        </w:rPr>
        <w:t>; Scourfield, 2007</w:t>
      </w:r>
      <w:r w:rsidR="009F2EB3" w:rsidRPr="00096FF8">
        <w:rPr>
          <w:rFonts w:asciiTheme="minorHAnsi" w:hAnsiTheme="minorHAnsi"/>
        </w:rPr>
        <w:t>)</w:t>
      </w:r>
      <w:r w:rsidR="000E6944" w:rsidRPr="00096FF8">
        <w:rPr>
          <w:rFonts w:asciiTheme="minorHAnsi" w:hAnsiTheme="minorHAnsi"/>
        </w:rPr>
        <w:t xml:space="preserve"> have pointed to the increased focus on individualisation as transfer of risks from the state to the individual.</w:t>
      </w:r>
      <w:r w:rsidRPr="00096FF8">
        <w:rPr>
          <w:rFonts w:asciiTheme="minorHAnsi" w:hAnsiTheme="minorHAnsi"/>
          <w:szCs w:val="24"/>
        </w:rPr>
        <w:t xml:space="preserve"> </w:t>
      </w:r>
      <w:r w:rsidR="009F2EB3" w:rsidRPr="00096FF8">
        <w:rPr>
          <w:rFonts w:asciiTheme="minorHAnsi" w:hAnsiTheme="minorHAnsi"/>
        </w:rPr>
        <w:t xml:space="preserve">For example, </w:t>
      </w:r>
      <w:r w:rsidR="005F7051" w:rsidRPr="00096FF8">
        <w:rPr>
          <w:rFonts w:asciiTheme="minorHAnsi" w:hAnsiTheme="minorHAnsi"/>
        </w:rPr>
        <w:t xml:space="preserve">Ferguson (2007) </w:t>
      </w:r>
      <w:r w:rsidR="0016786C" w:rsidRPr="00096FF8">
        <w:rPr>
          <w:rFonts w:asciiTheme="minorHAnsi" w:hAnsiTheme="minorHAnsi"/>
        </w:rPr>
        <w:t xml:space="preserve">argues </w:t>
      </w:r>
      <w:r w:rsidR="005F7051" w:rsidRPr="00096FF8">
        <w:rPr>
          <w:rFonts w:asciiTheme="minorHAnsi" w:hAnsiTheme="minorHAnsi"/>
        </w:rPr>
        <w:t xml:space="preserve">that the programme </w:t>
      </w:r>
      <w:r w:rsidR="005F7051" w:rsidRPr="00096FF8">
        <w:rPr>
          <w:rFonts w:asciiTheme="minorHAnsi" w:hAnsiTheme="minorHAnsi"/>
        </w:rPr>
        <w:lastRenderedPageBreak/>
        <w:t>of personalisation started by the New Labour</w:t>
      </w:r>
      <w:r w:rsidR="0044354A" w:rsidRPr="00096FF8">
        <w:rPr>
          <w:rFonts w:asciiTheme="minorHAnsi" w:hAnsiTheme="minorHAnsi"/>
        </w:rPr>
        <w:t xml:space="preserve"> </w:t>
      </w:r>
      <w:r w:rsidR="005F7051" w:rsidRPr="00096FF8">
        <w:rPr>
          <w:rFonts w:asciiTheme="minorHAnsi" w:hAnsiTheme="minorHAnsi"/>
        </w:rPr>
        <w:t xml:space="preserve">government, and continued by the Coalition government, resulted in a major transfer of risks from the state to the individual, along with greater focus on individualised services and the emphasis on individual responsibility for wellbeing. </w:t>
      </w:r>
      <w:r w:rsidRPr="00096FF8">
        <w:rPr>
          <w:rFonts w:asciiTheme="minorHAnsi" w:hAnsiTheme="minorHAnsi"/>
          <w:szCs w:val="24"/>
        </w:rPr>
        <w:t xml:space="preserve">Like other aspects of personalisation, this has been perceived </w:t>
      </w:r>
      <w:r w:rsidR="00025D35">
        <w:rPr>
          <w:rFonts w:asciiTheme="minorHAnsi" w:hAnsiTheme="minorHAnsi"/>
          <w:szCs w:val="24"/>
        </w:rPr>
        <w:t xml:space="preserve">as </w:t>
      </w:r>
      <w:r w:rsidRPr="00096FF8">
        <w:rPr>
          <w:rFonts w:asciiTheme="minorHAnsi" w:hAnsiTheme="minorHAnsi"/>
          <w:szCs w:val="24"/>
        </w:rPr>
        <w:t xml:space="preserve">both  empowering and as ‘radical individualism’ (Burton and Kagan, 2006: 302), emphasising the individual </w:t>
      </w:r>
      <w:r w:rsidR="003C480A" w:rsidRPr="00096FF8">
        <w:rPr>
          <w:rFonts w:asciiTheme="minorHAnsi" w:hAnsiTheme="minorHAnsi"/>
          <w:szCs w:val="24"/>
        </w:rPr>
        <w:t>rather than the social</w:t>
      </w:r>
      <w:r w:rsidR="00522F95" w:rsidRPr="00096FF8">
        <w:rPr>
          <w:rFonts w:asciiTheme="minorHAnsi" w:hAnsiTheme="minorHAnsi"/>
          <w:szCs w:val="24"/>
        </w:rPr>
        <w:t xml:space="preserve"> as the locus of responsibility</w:t>
      </w:r>
      <w:r w:rsidR="00DC23D9" w:rsidRPr="00096FF8">
        <w:rPr>
          <w:rFonts w:asciiTheme="minorHAnsi" w:hAnsiTheme="minorHAnsi"/>
          <w:szCs w:val="24"/>
        </w:rPr>
        <w:t xml:space="preserve">. </w:t>
      </w:r>
      <w:r w:rsidR="00D62A91" w:rsidRPr="00096FF8">
        <w:rPr>
          <w:rFonts w:asciiTheme="minorHAnsi" w:hAnsiTheme="minorHAnsi"/>
        </w:rPr>
        <w:t xml:space="preserve">More </w:t>
      </w:r>
      <w:r w:rsidR="00346365" w:rsidRPr="00096FF8">
        <w:rPr>
          <w:rFonts w:asciiTheme="minorHAnsi" w:hAnsiTheme="minorHAnsi"/>
        </w:rPr>
        <w:t>‘</w:t>
      </w:r>
      <w:r w:rsidR="00D62A91" w:rsidRPr="00096FF8">
        <w:rPr>
          <w:rFonts w:asciiTheme="minorHAnsi" w:hAnsiTheme="minorHAnsi"/>
        </w:rPr>
        <w:t>able</w:t>
      </w:r>
      <w:r w:rsidR="00346365" w:rsidRPr="00096FF8">
        <w:rPr>
          <w:rFonts w:asciiTheme="minorHAnsi" w:hAnsiTheme="minorHAnsi"/>
        </w:rPr>
        <w:t>’</w:t>
      </w:r>
      <w:r w:rsidR="00D62A91" w:rsidRPr="00096FF8">
        <w:rPr>
          <w:rFonts w:asciiTheme="minorHAnsi" w:hAnsiTheme="minorHAnsi"/>
        </w:rPr>
        <w:t xml:space="preserve"> individuals and those with access to greater financial and human resources (in the f</w:t>
      </w:r>
      <w:r w:rsidR="00DE39D8" w:rsidRPr="00096FF8">
        <w:rPr>
          <w:rFonts w:asciiTheme="minorHAnsi" w:hAnsiTheme="minorHAnsi"/>
        </w:rPr>
        <w:t>orm</w:t>
      </w:r>
      <w:r w:rsidR="00D62A91" w:rsidRPr="00096FF8">
        <w:rPr>
          <w:rFonts w:asciiTheme="minorHAnsi" w:hAnsiTheme="minorHAnsi"/>
        </w:rPr>
        <w:t xml:space="preserve"> of human capital) </w:t>
      </w:r>
      <w:r w:rsidR="003C480A" w:rsidRPr="00096FF8">
        <w:rPr>
          <w:rFonts w:asciiTheme="minorHAnsi" w:hAnsiTheme="minorHAnsi"/>
        </w:rPr>
        <w:t>seem better</w:t>
      </w:r>
      <w:r w:rsidR="00D62A91" w:rsidRPr="00096FF8">
        <w:rPr>
          <w:rFonts w:asciiTheme="minorHAnsi" w:hAnsiTheme="minorHAnsi"/>
        </w:rPr>
        <w:t xml:space="preserve"> able to make the most of this increased choice</w:t>
      </w:r>
      <w:r w:rsidR="00CF33BA" w:rsidRPr="00096FF8">
        <w:rPr>
          <w:rFonts w:asciiTheme="minorHAnsi" w:hAnsiTheme="minorHAnsi"/>
        </w:rPr>
        <w:t>, thereby leading to better outcomes. As Clarke et al</w:t>
      </w:r>
      <w:r w:rsidR="00A16DBA" w:rsidRPr="00096FF8">
        <w:rPr>
          <w:rFonts w:asciiTheme="minorHAnsi" w:hAnsiTheme="minorHAnsi"/>
        </w:rPr>
        <w:t>.</w:t>
      </w:r>
      <w:r w:rsidR="00CF33BA" w:rsidRPr="00096FF8">
        <w:rPr>
          <w:rFonts w:asciiTheme="minorHAnsi" w:hAnsiTheme="minorHAnsi"/>
        </w:rPr>
        <w:t xml:space="preserve"> (2007) </w:t>
      </w:r>
      <w:r w:rsidR="0016786C" w:rsidRPr="00096FF8">
        <w:rPr>
          <w:rFonts w:asciiTheme="minorHAnsi" w:hAnsiTheme="minorHAnsi"/>
        </w:rPr>
        <w:t>argues</w:t>
      </w:r>
      <w:r w:rsidR="00CF33BA" w:rsidRPr="00096FF8">
        <w:rPr>
          <w:rFonts w:asciiTheme="minorHAnsi" w:hAnsiTheme="minorHAnsi"/>
        </w:rPr>
        <w:t>:</w:t>
      </w:r>
    </w:p>
    <w:p w14:paraId="4FC112FF" w14:textId="77777777" w:rsidR="00CF33BA" w:rsidRPr="00096FF8" w:rsidRDefault="00CF33BA" w:rsidP="00490617">
      <w:pPr>
        <w:spacing w:line="480" w:lineRule="auto"/>
        <w:rPr>
          <w:rFonts w:asciiTheme="minorHAnsi" w:hAnsiTheme="minorHAnsi"/>
        </w:rPr>
      </w:pPr>
    </w:p>
    <w:p w14:paraId="3D02AE7B" w14:textId="77777777" w:rsidR="00CF33BA" w:rsidRPr="00096FF8" w:rsidRDefault="00CF33BA" w:rsidP="00490617">
      <w:pPr>
        <w:pStyle w:val="Quote"/>
        <w:spacing w:line="480" w:lineRule="auto"/>
        <w:rPr>
          <w:rFonts w:asciiTheme="minorHAnsi" w:hAnsiTheme="minorHAnsi"/>
        </w:rPr>
      </w:pPr>
      <w:r w:rsidRPr="00096FF8">
        <w:rPr>
          <w:rFonts w:asciiTheme="minorHAnsi" w:hAnsiTheme="minorHAnsi"/>
        </w:rPr>
        <w:t>Inequalities of wealth and income, and of cultural and social capital, affect both the range of choice available and the ability to make desired outcomes materialise. (Clarke et al, 2007: 249)</w:t>
      </w:r>
    </w:p>
    <w:p w14:paraId="2AEC8977" w14:textId="77777777" w:rsidR="00CF33BA" w:rsidRPr="00096FF8" w:rsidRDefault="00CF33BA" w:rsidP="00490617">
      <w:pPr>
        <w:spacing w:line="480" w:lineRule="auto"/>
        <w:rPr>
          <w:rFonts w:asciiTheme="minorHAnsi" w:hAnsiTheme="minorHAnsi"/>
        </w:rPr>
      </w:pPr>
    </w:p>
    <w:p w14:paraId="4F625978" w14:textId="04488BD0" w:rsidR="0075575F" w:rsidRPr="00096FF8" w:rsidRDefault="00D62A91" w:rsidP="00490617">
      <w:pPr>
        <w:spacing w:line="480" w:lineRule="auto"/>
        <w:rPr>
          <w:rFonts w:asciiTheme="minorHAnsi" w:hAnsiTheme="minorHAnsi"/>
        </w:rPr>
      </w:pPr>
      <w:r w:rsidRPr="00096FF8">
        <w:rPr>
          <w:rFonts w:asciiTheme="minorHAnsi" w:hAnsiTheme="minorHAnsi"/>
        </w:rPr>
        <w:t>Users of publicly funded social care services tend to be among the poorest, which means they may find it difficult to make the most of the</w:t>
      </w:r>
      <w:r w:rsidR="00D66E50" w:rsidRPr="00096FF8">
        <w:rPr>
          <w:rFonts w:asciiTheme="minorHAnsi" w:hAnsiTheme="minorHAnsi"/>
        </w:rPr>
        <w:t xml:space="preserve"> anticipated</w:t>
      </w:r>
      <w:r w:rsidRPr="00096FF8">
        <w:rPr>
          <w:rFonts w:asciiTheme="minorHAnsi" w:hAnsiTheme="minorHAnsi"/>
        </w:rPr>
        <w:t xml:space="preserve"> </w:t>
      </w:r>
      <w:r w:rsidR="00D66E50" w:rsidRPr="00096FF8">
        <w:rPr>
          <w:rFonts w:asciiTheme="minorHAnsi" w:hAnsiTheme="minorHAnsi"/>
        </w:rPr>
        <w:t xml:space="preserve">effect of </w:t>
      </w:r>
      <w:r w:rsidRPr="00096FF8">
        <w:rPr>
          <w:rFonts w:asciiTheme="minorHAnsi" w:hAnsiTheme="minorHAnsi"/>
        </w:rPr>
        <w:t>choice and control.</w:t>
      </w:r>
      <w:r w:rsidR="00346365" w:rsidRPr="00096FF8">
        <w:rPr>
          <w:rFonts w:asciiTheme="minorHAnsi" w:hAnsiTheme="minorHAnsi"/>
        </w:rPr>
        <w:t xml:space="preserve"> </w:t>
      </w:r>
      <w:r w:rsidR="001C7AEF" w:rsidRPr="00096FF8">
        <w:rPr>
          <w:rFonts w:asciiTheme="minorHAnsi" w:hAnsiTheme="minorHAnsi"/>
        </w:rPr>
        <w:t>They may</w:t>
      </w:r>
      <w:r w:rsidR="0075575F" w:rsidRPr="00096FF8">
        <w:rPr>
          <w:rFonts w:asciiTheme="minorHAnsi" w:hAnsiTheme="minorHAnsi"/>
        </w:rPr>
        <w:t xml:space="preserve"> lack support to make </w:t>
      </w:r>
      <w:r w:rsidR="00D66E50" w:rsidRPr="00096FF8">
        <w:rPr>
          <w:rFonts w:asciiTheme="minorHAnsi" w:hAnsiTheme="minorHAnsi"/>
        </w:rPr>
        <w:t xml:space="preserve">the best </w:t>
      </w:r>
      <w:r w:rsidR="0075575F" w:rsidRPr="00096FF8">
        <w:rPr>
          <w:rFonts w:asciiTheme="minorHAnsi" w:hAnsiTheme="minorHAnsi"/>
        </w:rPr>
        <w:t xml:space="preserve">decisions, or choices </w:t>
      </w:r>
      <w:r w:rsidR="001C7AEF" w:rsidRPr="00096FF8">
        <w:rPr>
          <w:rFonts w:asciiTheme="minorHAnsi" w:hAnsiTheme="minorHAnsi"/>
        </w:rPr>
        <w:t xml:space="preserve">may </w:t>
      </w:r>
      <w:r w:rsidR="0075575F" w:rsidRPr="00096FF8">
        <w:rPr>
          <w:rFonts w:asciiTheme="minorHAnsi" w:hAnsiTheme="minorHAnsi"/>
        </w:rPr>
        <w:t>in</w:t>
      </w:r>
      <w:r w:rsidR="003C480A" w:rsidRPr="00096FF8">
        <w:rPr>
          <w:rFonts w:asciiTheme="minorHAnsi" w:hAnsiTheme="minorHAnsi"/>
        </w:rPr>
        <w:t>deed</w:t>
      </w:r>
      <w:r w:rsidR="001C7AEF" w:rsidRPr="00096FF8">
        <w:rPr>
          <w:rFonts w:asciiTheme="minorHAnsi" w:hAnsiTheme="minorHAnsi"/>
        </w:rPr>
        <w:t xml:space="preserve"> be</w:t>
      </w:r>
      <w:r w:rsidR="0075575F" w:rsidRPr="00096FF8">
        <w:rPr>
          <w:rFonts w:asciiTheme="minorHAnsi" w:hAnsiTheme="minorHAnsi"/>
        </w:rPr>
        <w:t xml:space="preserve"> limited. There was some discussion in the interviews about the extent to which people can exercise choice, or are merely given theoretical choice. This was felt to be relevant to the degree to which use of </w:t>
      </w:r>
      <w:r w:rsidR="00E13E4E" w:rsidRPr="00096FF8">
        <w:rPr>
          <w:rFonts w:asciiTheme="minorHAnsi" w:hAnsiTheme="minorHAnsi"/>
        </w:rPr>
        <w:t>Direct Payments</w:t>
      </w:r>
      <w:r w:rsidR="0075575F" w:rsidRPr="00096FF8">
        <w:rPr>
          <w:rFonts w:asciiTheme="minorHAnsi" w:hAnsiTheme="minorHAnsi"/>
        </w:rPr>
        <w:t xml:space="preserve"> could improve service users’ abilities to keep themselves safe. </w:t>
      </w:r>
      <w:r w:rsidR="00B6375A" w:rsidRPr="00096FF8">
        <w:rPr>
          <w:rFonts w:asciiTheme="minorHAnsi" w:hAnsiTheme="minorHAnsi"/>
        </w:rPr>
        <w:t xml:space="preserve">For example, the combination of high eligibility criteria and stringent financial assessments may mean that </w:t>
      </w:r>
      <w:r w:rsidR="0016786C" w:rsidRPr="00096FF8">
        <w:rPr>
          <w:rFonts w:asciiTheme="minorHAnsi" w:hAnsiTheme="minorHAnsi"/>
        </w:rPr>
        <w:t xml:space="preserve">some </w:t>
      </w:r>
      <w:r w:rsidR="00B6375A" w:rsidRPr="00096FF8">
        <w:rPr>
          <w:rFonts w:asciiTheme="minorHAnsi" w:hAnsiTheme="minorHAnsi"/>
        </w:rPr>
        <w:t>people with needs</w:t>
      </w:r>
      <w:r w:rsidR="0016786C" w:rsidRPr="00096FF8">
        <w:rPr>
          <w:rFonts w:asciiTheme="minorHAnsi" w:hAnsiTheme="minorHAnsi"/>
        </w:rPr>
        <w:t xml:space="preserve"> for care and support</w:t>
      </w:r>
      <w:r w:rsidR="00B6375A" w:rsidRPr="00096FF8">
        <w:rPr>
          <w:rFonts w:asciiTheme="minorHAnsi" w:hAnsiTheme="minorHAnsi"/>
        </w:rPr>
        <w:t xml:space="preserve"> get small or no budgets at all, thus making it much harder to exercise choice. </w:t>
      </w:r>
      <w:r w:rsidR="0075575F" w:rsidRPr="00096FF8">
        <w:rPr>
          <w:rFonts w:asciiTheme="minorHAnsi" w:hAnsiTheme="minorHAnsi"/>
        </w:rPr>
        <w:t xml:space="preserve">A </w:t>
      </w:r>
      <w:r w:rsidR="00DC23D9" w:rsidRPr="00096FF8">
        <w:rPr>
          <w:rFonts w:asciiTheme="minorHAnsi" w:hAnsiTheme="minorHAnsi"/>
        </w:rPr>
        <w:t>similar distinction</w:t>
      </w:r>
      <w:r w:rsidR="0075575F" w:rsidRPr="00096FF8">
        <w:rPr>
          <w:rFonts w:asciiTheme="minorHAnsi" w:hAnsiTheme="minorHAnsi"/>
        </w:rPr>
        <w:t xml:space="preserve"> has been drawn in community development, between psychological and political empowerment</w:t>
      </w:r>
      <w:r w:rsidR="00011222" w:rsidRPr="00096FF8">
        <w:rPr>
          <w:rFonts w:asciiTheme="minorHAnsi" w:hAnsiTheme="minorHAnsi"/>
        </w:rPr>
        <w:t xml:space="preserve"> (</w:t>
      </w:r>
      <w:r w:rsidR="0075575F" w:rsidRPr="00096FF8">
        <w:rPr>
          <w:rFonts w:asciiTheme="minorHAnsi" w:hAnsiTheme="minorHAnsi"/>
        </w:rPr>
        <w:t>Sadan</w:t>
      </w:r>
      <w:r w:rsidR="00011222" w:rsidRPr="00096FF8">
        <w:rPr>
          <w:rFonts w:asciiTheme="minorHAnsi" w:hAnsiTheme="minorHAnsi"/>
        </w:rPr>
        <w:t>,</w:t>
      </w:r>
      <w:r w:rsidR="0075575F" w:rsidRPr="00096FF8">
        <w:rPr>
          <w:rFonts w:asciiTheme="minorHAnsi" w:hAnsiTheme="minorHAnsi"/>
        </w:rPr>
        <w:t xml:space="preserve"> 2004</w:t>
      </w:r>
      <w:r w:rsidR="00DC23D9" w:rsidRPr="00096FF8">
        <w:rPr>
          <w:rFonts w:asciiTheme="minorHAnsi" w:hAnsiTheme="minorHAnsi"/>
        </w:rPr>
        <w:t>)</w:t>
      </w:r>
      <w:r w:rsidR="00011222" w:rsidRPr="00096FF8">
        <w:rPr>
          <w:rFonts w:asciiTheme="minorHAnsi" w:hAnsiTheme="minorHAnsi"/>
        </w:rPr>
        <w:t>.</w:t>
      </w:r>
      <w:r w:rsidR="00DC23D9" w:rsidRPr="00096FF8">
        <w:rPr>
          <w:rFonts w:asciiTheme="minorHAnsi" w:hAnsiTheme="minorHAnsi"/>
        </w:rPr>
        <w:t xml:space="preserve"> </w:t>
      </w:r>
      <w:r w:rsidR="00DC23D9" w:rsidRPr="00096FF8">
        <w:rPr>
          <w:rFonts w:asciiTheme="minorHAnsi" w:hAnsiTheme="minorHAnsi"/>
        </w:rPr>
        <w:lastRenderedPageBreak/>
        <w:t>Psychological</w:t>
      </w:r>
      <w:r w:rsidR="0075575F" w:rsidRPr="00096FF8">
        <w:rPr>
          <w:rFonts w:asciiTheme="minorHAnsi" w:hAnsiTheme="minorHAnsi"/>
        </w:rPr>
        <w:t xml:space="preserve"> empowerment reflects individual ability and confidence to make decisions. Political empowerment requires the existence of the right kinds of societal support to execute</w:t>
      </w:r>
      <w:r w:rsidR="00CF33BA" w:rsidRPr="00096FF8">
        <w:rPr>
          <w:rFonts w:asciiTheme="minorHAnsi" w:hAnsiTheme="minorHAnsi"/>
        </w:rPr>
        <w:t xml:space="preserve"> decisions </w:t>
      </w:r>
      <w:r w:rsidR="00DC23D9" w:rsidRPr="00096FF8">
        <w:rPr>
          <w:rFonts w:asciiTheme="minorHAnsi" w:hAnsiTheme="minorHAnsi"/>
        </w:rPr>
        <w:t xml:space="preserve">made. </w:t>
      </w:r>
      <w:r w:rsidR="0075575F" w:rsidRPr="00096FF8">
        <w:rPr>
          <w:rFonts w:asciiTheme="minorHAnsi" w:hAnsiTheme="minorHAnsi"/>
        </w:rPr>
        <w:t xml:space="preserve">This distinction seems especially </w:t>
      </w:r>
      <w:r w:rsidR="00471F3B" w:rsidRPr="00096FF8">
        <w:rPr>
          <w:rFonts w:asciiTheme="minorHAnsi" w:hAnsiTheme="minorHAnsi"/>
        </w:rPr>
        <w:t xml:space="preserve">apposite </w:t>
      </w:r>
      <w:r w:rsidR="0075575F" w:rsidRPr="00096FF8">
        <w:rPr>
          <w:rFonts w:asciiTheme="minorHAnsi" w:hAnsiTheme="minorHAnsi"/>
        </w:rPr>
        <w:t xml:space="preserve">for safeguarding situations, which may affect both </w:t>
      </w:r>
      <w:r w:rsidR="006D7B81" w:rsidRPr="00096FF8">
        <w:rPr>
          <w:rFonts w:asciiTheme="minorHAnsi" w:hAnsiTheme="minorHAnsi"/>
        </w:rPr>
        <w:t>an</w:t>
      </w:r>
      <w:r w:rsidR="0075575F" w:rsidRPr="00096FF8">
        <w:rPr>
          <w:rFonts w:asciiTheme="minorHAnsi" w:hAnsiTheme="minorHAnsi"/>
        </w:rPr>
        <w:t xml:space="preserve"> individual</w:t>
      </w:r>
      <w:r w:rsidR="006D7B81" w:rsidRPr="00096FF8">
        <w:rPr>
          <w:rFonts w:asciiTheme="minorHAnsi" w:hAnsiTheme="minorHAnsi"/>
        </w:rPr>
        <w:t>’s</w:t>
      </w:r>
      <w:r w:rsidR="0075575F" w:rsidRPr="00096FF8">
        <w:rPr>
          <w:rFonts w:asciiTheme="minorHAnsi" w:hAnsiTheme="minorHAnsi"/>
        </w:rPr>
        <w:t xml:space="preserve"> ability to </w:t>
      </w:r>
      <w:r w:rsidR="0016786C" w:rsidRPr="00096FF8">
        <w:rPr>
          <w:rFonts w:asciiTheme="minorHAnsi" w:hAnsiTheme="minorHAnsi"/>
        </w:rPr>
        <w:t xml:space="preserve">take, or </w:t>
      </w:r>
      <w:r w:rsidR="00B6375A" w:rsidRPr="00096FF8">
        <w:rPr>
          <w:rFonts w:asciiTheme="minorHAnsi" w:hAnsiTheme="minorHAnsi"/>
        </w:rPr>
        <w:t>more importantly</w:t>
      </w:r>
      <w:r w:rsidR="0075575F" w:rsidRPr="00096FF8">
        <w:rPr>
          <w:rFonts w:asciiTheme="minorHAnsi" w:hAnsiTheme="minorHAnsi"/>
        </w:rPr>
        <w:t xml:space="preserve"> implement</w:t>
      </w:r>
      <w:r w:rsidR="00F2647B" w:rsidRPr="00096FF8">
        <w:rPr>
          <w:rFonts w:asciiTheme="minorHAnsi" w:hAnsiTheme="minorHAnsi"/>
        </w:rPr>
        <w:t>,</w:t>
      </w:r>
      <w:r w:rsidR="0075575F" w:rsidRPr="00096FF8">
        <w:rPr>
          <w:rFonts w:asciiTheme="minorHAnsi" w:hAnsiTheme="minorHAnsi"/>
        </w:rPr>
        <w:t xml:space="preserve"> decisions</w:t>
      </w:r>
      <w:r w:rsidR="006D7B81" w:rsidRPr="00096FF8">
        <w:rPr>
          <w:rFonts w:asciiTheme="minorHAnsi" w:hAnsiTheme="minorHAnsi"/>
        </w:rPr>
        <w:t>.</w:t>
      </w:r>
      <w:r w:rsidR="00607CEE" w:rsidRPr="00096FF8">
        <w:rPr>
          <w:rFonts w:asciiTheme="minorHAnsi" w:hAnsiTheme="minorHAnsi"/>
        </w:rPr>
        <w:t xml:space="preserve"> For example, if PAs or family members consistently undermine a service user’s confidence this will limit </w:t>
      </w:r>
      <w:r w:rsidR="00471F3B" w:rsidRPr="00096FF8">
        <w:rPr>
          <w:rFonts w:asciiTheme="minorHAnsi" w:hAnsiTheme="minorHAnsi"/>
        </w:rPr>
        <w:t>their</w:t>
      </w:r>
      <w:r w:rsidR="00607CEE" w:rsidRPr="00096FF8">
        <w:rPr>
          <w:rFonts w:asciiTheme="minorHAnsi" w:hAnsiTheme="minorHAnsi"/>
        </w:rPr>
        <w:t xml:space="preserve"> ability to make and implement choices.</w:t>
      </w:r>
    </w:p>
    <w:p w14:paraId="0B0F3620" w14:textId="77777777" w:rsidR="0075575F" w:rsidRPr="00096FF8" w:rsidRDefault="0075575F" w:rsidP="00490617">
      <w:pPr>
        <w:spacing w:line="480" w:lineRule="auto"/>
        <w:rPr>
          <w:rFonts w:asciiTheme="minorHAnsi" w:hAnsiTheme="minorHAnsi"/>
        </w:rPr>
      </w:pPr>
    </w:p>
    <w:p w14:paraId="619C21D2" w14:textId="356C7049" w:rsidR="00CF33BA" w:rsidRPr="00096FF8" w:rsidRDefault="00346365" w:rsidP="00490617">
      <w:pPr>
        <w:spacing w:line="480" w:lineRule="auto"/>
        <w:rPr>
          <w:rFonts w:asciiTheme="minorHAnsi" w:hAnsiTheme="minorHAnsi"/>
        </w:rPr>
      </w:pPr>
      <w:r w:rsidRPr="00096FF8">
        <w:rPr>
          <w:rFonts w:asciiTheme="minorHAnsi" w:hAnsiTheme="minorHAnsi"/>
        </w:rPr>
        <w:t>While individualisation may be helpful conceptually in discussing the primacy of choice and control</w:t>
      </w:r>
      <w:r w:rsidR="00E92CF0" w:rsidRPr="00096FF8">
        <w:rPr>
          <w:rFonts w:asciiTheme="minorHAnsi" w:hAnsiTheme="minorHAnsi"/>
        </w:rPr>
        <w:t>,</w:t>
      </w:r>
      <w:r w:rsidRPr="00096FF8">
        <w:rPr>
          <w:rFonts w:asciiTheme="minorHAnsi" w:hAnsiTheme="minorHAnsi"/>
        </w:rPr>
        <w:t xml:space="preserve"> our findings suggest that the concept of responsibilisation may be more </w:t>
      </w:r>
      <w:r w:rsidR="003C480A" w:rsidRPr="00096FF8">
        <w:rPr>
          <w:rFonts w:asciiTheme="minorHAnsi" w:hAnsiTheme="minorHAnsi"/>
        </w:rPr>
        <w:t xml:space="preserve">fruitful </w:t>
      </w:r>
      <w:r w:rsidRPr="00096FF8">
        <w:rPr>
          <w:rFonts w:asciiTheme="minorHAnsi" w:hAnsiTheme="minorHAnsi"/>
        </w:rPr>
        <w:t>in analysing the interface of personalisation and adult safeguarding for practitioners.</w:t>
      </w:r>
      <w:r w:rsidR="000F0E69" w:rsidRPr="00096FF8">
        <w:rPr>
          <w:rFonts w:asciiTheme="minorHAnsi" w:hAnsiTheme="minorHAnsi"/>
        </w:rPr>
        <w:t xml:space="preserve"> </w:t>
      </w:r>
      <w:r w:rsidRPr="00096FF8">
        <w:rPr>
          <w:rFonts w:asciiTheme="minorHAnsi" w:hAnsiTheme="minorHAnsi"/>
        </w:rPr>
        <w:t>Our findings</w:t>
      </w:r>
      <w:r w:rsidR="003C480A" w:rsidRPr="00096FF8">
        <w:rPr>
          <w:rFonts w:asciiTheme="minorHAnsi" w:hAnsiTheme="minorHAnsi"/>
        </w:rPr>
        <w:t xml:space="preserve"> further</w:t>
      </w:r>
      <w:r w:rsidR="00DB6AD7" w:rsidRPr="00096FF8">
        <w:rPr>
          <w:rFonts w:asciiTheme="minorHAnsi" w:hAnsiTheme="minorHAnsi"/>
        </w:rPr>
        <w:t xml:space="preserve"> </w:t>
      </w:r>
      <w:r w:rsidR="0016786C" w:rsidRPr="00096FF8">
        <w:rPr>
          <w:rFonts w:asciiTheme="minorHAnsi" w:hAnsiTheme="minorHAnsi"/>
        </w:rPr>
        <w:t xml:space="preserve">conclude </w:t>
      </w:r>
      <w:r w:rsidR="00CF33BA" w:rsidRPr="00096FF8">
        <w:rPr>
          <w:rFonts w:asciiTheme="minorHAnsi" w:hAnsiTheme="minorHAnsi"/>
        </w:rPr>
        <w:t>that</w:t>
      </w:r>
      <w:r w:rsidRPr="00096FF8">
        <w:rPr>
          <w:rFonts w:asciiTheme="minorHAnsi" w:hAnsiTheme="minorHAnsi"/>
        </w:rPr>
        <w:t xml:space="preserve"> the importance of being</w:t>
      </w:r>
      <w:r w:rsidR="00B6375A" w:rsidRPr="00096FF8">
        <w:rPr>
          <w:rFonts w:asciiTheme="minorHAnsi" w:hAnsiTheme="minorHAnsi"/>
        </w:rPr>
        <w:t xml:space="preserve"> ‘</w:t>
      </w:r>
      <w:r w:rsidRPr="00096FF8">
        <w:rPr>
          <w:rFonts w:asciiTheme="minorHAnsi" w:hAnsiTheme="minorHAnsi"/>
        </w:rPr>
        <w:t>responsible</w:t>
      </w:r>
      <w:r w:rsidR="00B6375A" w:rsidRPr="00096FF8">
        <w:rPr>
          <w:rFonts w:asciiTheme="minorHAnsi" w:hAnsiTheme="minorHAnsi"/>
        </w:rPr>
        <w:t>’</w:t>
      </w:r>
      <w:r w:rsidRPr="00096FF8">
        <w:rPr>
          <w:rFonts w:asciiTheme="minorHAnsi" w:hAnsiTheme="minorHAnsi"/>
        </w:rPr>
        <w:t xml:space="preserve"> is not solely applicable to </w:t>
      </w:r>
      <w:r w:rsidR="003C480A" w:rsidRPr="00096FF8">
        <w:rPr>
          <w:rFonts w:asciiTheme="minorHAnsi" w:hAnsiTheme="minorHAnsi"/>
        </w:rPr>
        <w:t>service users</w:t>
      </w:r>
      <w:r w:rsidRPr="00096FF8">
        <w:rPr>
          <w:rFonts w:asciiTheme="minorHAnsi" w:hAnsiTheme="minorHAnsi"/>
        </w:rPr>
        <w:t xml:space="preserve"> but applies to practitioners and managers who see their role as being responsible for </w:t>
      </w:r>
      <w:r w:rsidR="006D7B81" w:rsidRPr="00096FF8">
        <w:rPr>
          <w:rFonts w:asciiTheme="minorHAnsi" w:hAnsiTheme="minorHAnsi"/>
        </w:rPr>
        <w:t xml:space="preserve">spending </w:t>
      </w:r>
      <w:r w:rsidRPr="00096FF8">
        <w:rPr>
          <w:rFonts w:asciiTheme="minorHAnsi" w:hAnsiTheme="minorHAnsi"/>
        </w:rPr>
        <w:t>public money, for the wellbeing and safety of vulnerable adults</w:t>
      </w:r>
      <w:r w:rsidR="003C480A" w:rsidRPr="00096FF8">
        <w:rPr>
          <w:rFonts w:asciiTheme="minorHAnsi" w:hAnsiTheme="minorHAnsi"/>
        </w:rPr>
        <w:t>,</w:t>
      </w:r>
      <w:r w:rsidRPr="00096FF8">
        <w:rPr>
          <w:rFonts w:asciiTheme="minorHAnsi" w:hAnsiTheme="minorHAnsi"/>
        </w:rPr>
        <w:t xml:space="preserve"> and for </w:t>
      </w:r>
      <w:r w:rsidR="003C480A" w:rsidRPr="00096FF8">
        <w:rPr>
          <w:rFonts w:asciiTheme="minorHAnsi" w:hAnsiTheme="minorHAnsi"/>
        </w:rPr>
        <w:t xml:space="preserve">promoting </w:t>
      </w:r>
      <w:r w:rsidRPr="00096FF8">
        <w:rPr>
          <w:rFonts w:asciiTheme="minorHAnsi" w:hAnsiTheme="minorHAnsi"/>
        </w:rPr>
        <w:t xml:space="preserve">effective safeguarding measures. </w:t>
      </w:r>
      <w:r w:rsidR="000F0E69" w:rsidRPr="00096FF8">
        <w:rPr>
          <w:rFonts w:asciiTheme="minorHAnsi" w:hAnsiTheme="minorHAnsi"/>
        </w:rPr>
        <w:t xml:space="preserve">The idea of responsibilisation is seen by Roulstone and Morgan (2009) as distorting the aims of self-direction and management, allowing for a more victim blaming discourse. </w:t>
      </w:r>
      <w:r w:rsidR="008D3CEE" w:rsidRPr="00096FF8">
        <w:rPr>
          <w:rFonts w:asciiTheme="minorHAnsi" w:hAnsiTheme="minorHAnsi"/>
        </w:rPr>
        <w:t>A</w:t>
      </w:r>
      <w:r w:rsidR="0065343B" w:rsidRPr="00096FF8">
        <w:rPr>
          <w:rFonts w:asciiTheme="minorHAnsi" w:hAnsiTheme="minorHAnsi"/>
        </w:rPr>
        <w:t xml:space="preserve">s Lewis and West (2014) argue, </w:t>
      </w:r>
      <w:r w:rsidR="00607CEE" w:rsidRPr="00096FF8">
        <w:rPr>
          <w:rFonts w:asciiTheme="minorHAnsi" w:hAnsiTheme="minorHAnsi"/>
        </w:rPr>
        <w:t xml:space="preserve">the </w:t>
      </w:r>
      <w:r w:rsidR="0065343B" w:rsidRPr="00096FF8">
        <w:rPr>
          <w:rFonts w:asciiTheme="minorHAnsi" w:hAnsiTheme="minorHAnsi"/>
        </w:rPr>
        <w:t xml:space="preserve">tension </w:t>
      </w:r>
      <w:r w:rsidR="00607CEE" w:rsidRPr="00096FF8">
        <w:rPr>
          <w:rFonts w:asciiTheme="minorHAnsi" w:hAnsiTheme="minorHAnsi"/>
        </w:rPr>
        <w:t xml:space="preserve">that </w:t>
      </w:r>
      <w:r w:rsidR="0016786C" w:rsidRPr="00096FF8">
        <w:rPr>
          <w:rFonts w:asciiTheme="minorHAnsi" w:hAnsiTheme="minorHAnsi"/>
        </w:rPr>
        <w:t xml:space="preserve">sometimes exists </w:t>
      </w:r>
      <w:r w:rsidR="0065343B" w:rsidRPr="00096FF8">
        <w:rPr>
          <w:rFonts w:asciiTheme="minorHAnsi" w:hAnsiTheme="minorHAnsi"/>
        </w:rPr>
        <w:t xml:space="preserve">between established standards of quality and </w:t>
      </w:r>
      <w:r w:rsidR="00D159B6" w:rsidRPr="00096FF8">
        <w:rPr>
          <w:rFonts w:asciiTheme="minorHAnsi" w:hAnsiTheme="minorHAnsi"/>
        </w:rPr>
        <w:t xml:space="preserve">the </w:t>
      </w:r>
      <w:r w:rsidR="0065343B" w:rsidRPr="00096FF8">
        <w:rPr>
          <w:rFonts w:asciiTheme="minorHAnsi" w:hAnsiTheme="minorHAnsi"/>
        </w:rPr>
        <w:t xml:space="preserve">choices </w:t>
      </w:r>
      <w:r w:rsidR="00D159B6" w:rsidRPr="00096FF8">
        <w:rPr>
          <w:rFonts w:asciiTheme="minorHAnsi" w:hAnsiTheme="minorHAnsi"/>
        </w:rPr>
        <w:t xml:space="preserve">that </w:t>
      </w:r>
      <w:r w:rsidR="00F2647B" w:rsidRPr="00096FF8">
        <w:rPr>
          <w:rFonts w:asciiTheme="minorHAnsi" w:hAnsiTheme="minorHAnsi"/>
        </w:rPr>
        <w:t xml:space="preserve">are made by </w:t>
      </w:r>
      <w:r w:rsidR="00E13E4E" w:rsidRPr="00096FF8">
        <w:rPr>
          <w:rFonts w:asciiTheme="minorHAnsi" w:hAnsiTheme="minorHAnsi"/>
        </w:rPr>
        <w:t>Direct Payment</w:t>
      </w:r>
      <w:r w:rsidR="0065343B" w:rsidRPr="00096FF8">
        <w:rPr>
          <w:rFonts w:asciiTheme="minorHAnsi" w:hAnsiTheme="minorHAnsi"/>
        </w:rPr>
        <w:t xml:space="preserve"> </w:t>
      </w:r>
      <w:r w:rsidR="006D7B81" w:rsidRPr="00096FF8">
        <w:rPr>
          <w:rFonts w:asciiTheme="minorHAnsi" w:hAnsiTheme="minorHAnsi"/>
        </w:rPr>
        <w:t>users</w:t>
      </w:r>
      <w:r w:rsidR="00B42EDA" w:rsidRPr="00096FF8">
        <w:rPr>
          <w:rFonts w:asciiTheme="minorHAnsi" w:hAnsiTheme="minorHAnsi"/>
        </w:rPr>
        <w:t>,</w:t>
      </w:r>
      <w:r w:rsidR="006D7B81" w:rsidRPr="00096FF8">
        <w:rPr>
          <w:rFonts w:asciiTheme="minorHAnsi" w:hAnsiTheme="minorHAnsi"/>
        </w:rPr>
        <w:t xml:space="preserve"> </w:t>
      </w:r>
      <w:r w:rsidR="00D159B6" w:rsidRPr="00096FF8">
        <w:rPr>
          <w:rFonts w:asciiTheme="minorHAnsi" w:hAnsiTheme="minorHAnsi"/>
        </w:rPr>
        <w:t xml:space="preserve">can </w:t>
      </w:r>
      <w:r w:rsidR="0065343B" w:rsidRPr="00096FF8">
        <w:rPr>
          <w:rFonts w:asciiTheme="minorHAnsi" w:hAnsiTheme="minorHAnsi"/>
        </w:rPr>
        <w:t xml:space="preserve">create an added problem in </w:t>
      </w:r>
      <w:r w:rsidR="003C480A" w:rsidRPr="00096FF8">
        <w:rPr>
          <w:rFonts w:asciiTheme="minorHAnsi" w:hAnsiTheme="minorHAnsi"/>
        </w:rPr>
        <w:t>managing risk</w:t>
      </w:r>
      <w:r w:rsidR="0065343B" w:rsidRPr="00096FF8">
        <w:rPr>
          <w:rFonts w:asciiTheme="minorHAnsi" w:hAnsiTheme="minorHAnsi"/>
        </w:rPr>
        <w:t xml:space="preserve">. </w:t>
      </w:r>
      <w:r w:rsidR="00471F3B" w:rsidRPr="00096FF8">
        <w:rPr>
          <w:rFonts w:asciiTheme="minorHAnsi" w:hAnsiTheme="minorHAnsi"/>
        </w:rPr>
        <w:t>They fu</w:t>
      </w:r>
      <w:r w:rsidR="001C1B9A" w:rsidRPr="00096FF8">
        <w:rPr>
          <w:rFonts w:asciiTheme="minorHAnsi" w:hAnsiTheme="minorHAnsi"/>
        </w:rPr>
        <w:t>r</w:t>
      </w:r>
      <w:r w:rsidR="00471F3B" w:rsidRPr="00096FF8">
        <w:rPr>
          <w:rFonts w:asciiTheme="minorHAnsi" w:hAnsiTheme="minorHAnsi"/>
        </w:rPr>
        <w:t>ther</w:t>
      </w:r>
      <w:r w:rsidR="00CF33BA" w:rsidRPr="00096FF8">
        <w:rPr>
          <w:rFonts w:asciiTheme="minorHAnsi" w:hAnsiTheme="minorHAnsi"/>
        </w:rPr>
        <w:t xml:space="preserve"> </w:t>
      </w:r>
      <w:r w:rsidR="0065343B" w:rsidRPr="00096FF8">
        <w:rPr>
          <w:rFonts w:asciiTheme="minorHAnsi" w:hAnsiTheme="minorHAnsi"/>
        </w:rPr>
        <w:t>point</w:t>
      </w:r>
      <w:r w:rsidR="00607CEE" w:rsidRPr="00096FF8">
        <w:rPr>
          <w:rFonts w:asciiTheme="minorHAnsi" w:hAnsiTheme="minorHAnsi"/>
        </w:rPr>
        <w:t xml:space="preserve"> </w:t>
      </w:r>
      <w:r w:rsidR="003C480A" w:rsidRPr="00096FF8">
        <w:rPr>
          <w:rFonts w:asciiTheme="minorHAnsi" w:hAnsiTheme="minorHAnsi"/>
        </w:rPr>
        <w:t>out</w:t>
      </w:r>
      <w:r w:rsidR="0065343B" w:rsidRPr="00096FF8">
        <w:rPr>
          <w:rFonts w:asciiTheme="minorHAnsi" w:hAnsiTheme="minorHAnsi"/>
        </w:rPr>
        <w:t xml:space="preserve"> </w:t>
      </w:r>
      <w:r w:rsidR="00CF33BA" w:rsidRPr="00096FF8">
        <w:rPr>
          <w:rFonts w:asciiTheme="minorHAnsi" w:hAnsiTheme="minorHAnsi"/>
        </w:rPr>
        <w:t>that</w:t>
      </w:r>
      <w:r w:rsidR="0065343B" w:rsidRPr="00096FF8">
        <w:rPr>
          <w:rFonts w:asciiTheme="minorHAnsi" w:hAnsiTheme="minorHAnsi"/>
        </w:rPr>
        <w:t xml:space="preserve"> the decrease in public funds available for adult social care creates an added problem for </w:t>
      </w:r>
      <w:r w:rsidR="00E13E4E" w:rsidRPr="00096FF8">
        <w:rPr>
          <w:rFonts w:asciiTheme="minorHAnsi" w:hAnsiTheme="minorHAnsi"/>
        </w:rPr>
        <w:t>Direct Payment</w:t>
      </w:r>
      <w:r w:rsidR="0065343B" w:rsidRPr="00096FF8">
        <w:rPr>
          <w:rFonts w:asciiTheme="minorHAnsi" w:hAnsiTheme="minorHAnsi"/>
        </w:rPr>
        <w:t xml:space="preserve"> users </w:t>
      </w:r>
      <w:r w:rsidR="006D7B81" w:rsidRPr="00096FF8">
        <w:rPr>
          <w:rFonts w:asciiTheme="minorHAnsi" w:hAnsiTheme="minorHAnsi"/>
        </w:rPr>
        <w:t xml:space="preserve">in </w:t>
      </w:r>
      <w:r w:rsidR="0065343B" w:rsidRPr="00096FF8">
        <w:rPr>
          <w:rFonts w:asciiTheme="minorHAnsi" w:hAnsiTheme="minorHAnsi"/>
        </w:rPr>
        <w:t>secur</w:t>
      </w:r>
      <w:r w:rsidR="006D7B81" w:rsidRPr="00096FF8">
        <w:rPr>
          <w:rFonts w:asciiTheme="minorHAnsi" w:hAnsiTheme="minorHAnsi"/>
        </w:rPr>
        <w:t>ing</w:t>
      </w:r>
      <w:r w:rsidR="0065343B" w:rsidRPr="00096FF8">
        <w:rPr>
          <w:rFonts w:asciiTheme="minorHAnsi" w:hAnsiTheme="minorHAnsi"/>
        </w:rPr>
        <w:t xml:space="preserve"> sufficient</w:t>
      </w:r>
      <w:r w:rsidR="006D7B81" w:rsidRPr="00096FF8">
        <w:rPr>
          <w:rFonts w:asciiTheme="minorHAnsi" w:hAnsiTheme="minorHAnsi"/>
        </w:rPr>
        <w:t>ly</w:t>
      </w:r>
      <w:r w:rsidR="0065343B" w:rsidRPr="00096FF8">
        <w:rPr>
          <w:rFonts w:asciiTheme="minorHAnsi" w:hAnsiTheme="minorHAnsi"/>
        </w:rPr>
        <w:t xml:space="preserve"> high quality care</w:t>
      </w:r>
      <w:r w:rsidR="00CF33BA" w:rsidRPr="00096FF8">
        <w:rPr>
          <w:rFonts w:asciiTheme="minorHAnsi" w:hAnsiTheme="minorHAnsi"/>
        </w:rPr>
        <w:t>, another factor</w:t>
      </w:r>
      <w:r w:rsidR="006D7B81" w:rsidRPr="00096FF8">
        <w:rPr>
          <w:rFonts w:asciiTheme="minorHAnsi" w:hAnsiTheme="minorHAnsi"/>
        </w:rPr>
        <w:t xml:space="preserve"> likely to</w:t>
      </w:r>
      <w:r w:rsidR="00CF33BA" w:rsidRPr="00096FF8">
        <w:rPr>
          <w:rFonts w:asciiTheme="minorHAnsi" w:hAnsiTheme="minorHAnsi"/>
        </w:rPr>
        <w:t xml:space="preserve"> affect safety</w:t>
      </w:r>
      <w:r w:rsidR="003C480A" w:rsidRPr="00096FF8">
        <w:rPr>
          <w:rFonts w:asciiTheme="minorHAnsi" w:hAnsiTheme="minorHAnsi"/>
        </w:rPr>
        <w:t xml:space="preserve"> and wellbeing</w:t>
      </w:r>
      <w:r w:rsidR="00C27F83" w:rsidRPr="00096FF8">
        <w:rPr>
          <w:rFonts w:asciiTheme="minorHAnsi" w:hAnsiTheme="minorHAnsi"/>
        </w:rPr>
        <w:t>.</w:t>
      </w:r>
    </w:p>
    <w:p w14:paraId="3DCA57F8" w14:textId="77777777" w:rsidR="00C27F83" w:rsidRPr="00096FF8" w:rsidRDefault="00C27F83" w:rsidP="00490617">
      <w:pPr>
        <w:spacing w:line="480" w:lineRule="auto"/>
        <w:rPr>
          <w:rFonts w:asciiTheme="minorHAnsi" w:hAnsiTheme="minorHAnsi"/>
        </w:rPr>
      </w:pPr>
    </w:p>
    <w:p w14:paraId="350BAB7A" w14:textId="566D239D" w:rsidR="00E0040D" w:rsidRPr="00096FF8" w:rsidRDefault="0044354A" w:rsidP="00490617">
      <w:pPr>
        <w:spacing w:line="480" w:lineRule="auto"/>
        <w:rPr>
          <w:rFonts w:asciiTheme="minorHAnsi" w:hAnsiTheme="minorHAnsi"/>
        </w:rPr>
      </w:pPr>
      <w:r w:rsidRPr="00096FF8">
        <w:rPr>
          <w:rFonts w:asciiTheme="minorHAnsi" w:hAnsiTheme="minorHAnsi"/>
        </w:rPr>
        <w:t>From this study of the perspectives of social workers and their managers</w:t>
      </w:r>
      <w:r w:rsidR="00D66E50" w:rsidRPr="00096FF8">
        <w:rPr>
          <w:rFonts w:asciiTheme="minorHAnsi" w:hAnsiTheme="minorHAnsi"/>
        </w:rPr>
        <w:t xml:space="preserve"> </w:t>
      </w:r>
      <w:r w:rsidRPr="00096FF8">
        <w:rPr>
          <w:rFonts w:asciiTheme="minorHAnsi" w:hAnsiTheme="minorHAnsi"/>
        </w:rPr>
        <w:t xml:space="preserve">it appears that they are </w:t>
      </w:r>
      <w:r w:rsidR="009C466D" w:rsidRPr="00096FF8">
        <w:rPr>
          <w:rFonts w:asciiTheme="minorHAnsi" w:hAnsiTheme="minorHAnsi"/>
        </w:rPr>
        <w:t xml:space="preserve">reconciling </w:t>
      </w:r>
      <w:r w:rsidR="003C480A" w:rsidRPr="00096FF8">
        <w:rPr>
          <w:rFonts w:asciiTheme="minorHAnsi" w:hAnsiTheme="minorHAnsi"/>
        </w:rPr>
        <w:t xml:space="preserve">possibly </w:t>
      </w:r>
      <w:r w:rsidR="009C466D" w:rsidRPr="00096FF8">
        <w:rPr>
          <w:rFonts w:asciiTheme="minorHAnsi" w:hAnsiTheme="minorHAnsi"/>
        </w:rPr>
        <w:t>competing policy objectives</w:t>
      </w:r>
      <w:r w:rsidR="00025D35">
        <w:rPr>
          <w:rFonts w:asciiTheme="minorHAnsi" w:hAnsiTheme="minorHAnsi"/>
        </w:rPr>
        <w:t xml:space="preserve"> and</w:t>
      </w:r>
      <w:r w:rsidR="009C466D" w:rsidRPr="00096FF8">
        <w:rPr>
          <w:rFonts w:asciiTheme="minorHAnsi" w:hAnsiTheme="minorHAnsi"/>
        </w:rPr>
        <w:t xml:space="preserve"> adapting their role </w:t>
      </w:r>
      <w:r w:rsidR="009C466D" w:rsidRPr="00096FF8">
        <w:rPr>
          <w:rFonts w:asciiTheme="minorHAnsi" w:hAnsiTheme="minorHAnsi"/>
        </w:rPr>
        <w:lastRenderedPageBreak/>
        <w:t>accordingly</w:t>
      </w:r>
      <w:r w:rsidR="003C480A" w:rsidRPr="00096FF8">
        <w:rPr>
          <w:rFonts w:asciiTheme="minorHAnsi" w:hAnsiTheme="minorHAnsi"/>
        </w:rPr>
        <w:t>.</w:t>
      </w:r>
      <w:r w:rsidR="00313570" w:rsidRPr="00096FF8">
        <w:rPr>
          <w:rFonts w:asciiTheme="minorHAnsi" w:hAnsiTheme="minorHAnsi"/>
        </w:rPr>
        <w:t xml:space="preserve"> The professional participants appeared to be wrestling with a new emphasis on autonomy, while retaining a strong sense of duty of care, reflecting the tensions identified by older people participating in Leece and Leece’s (2011) study</w:t>
      </w:r>
      <w:r w:rsidR="00AA032A" w:rsidRPr="00096FF8">
        <w:rPr>
          <w:rFonts w:asciiTheme="minorHAnsi" w:hAnsiTheme="minorHAnsi"/>
        </w:rPr>
        <w:t>.</w:t>
      </w:r>
      <w:r w:rsidR="005F7E26" w:rsidRPr="00096FF8">
        <w:rPr>
          <w:rFonts w:asciiTheme="minorHAnsi" w:hAnsiTheme="minorHAnsi"/>
        </w:rPr>
        <w:t xml:space="preserve"> </w:t>
      </w:r>
      <w:r w:rsidR="00B67464" w:rsidRPr="00096FF8">
        <w:rPr>
          <w:rFonts w:asciiTheme="minorHAnsi" w:hAnsiTheme="minorHAnsi"/>
        </w:rPr>
        <w:t>This appears to have strong echoes of the well-known and longstanding tensions between care and control</w:t>
      </w:r>
      <w:r w:rsidR="00917B71" w:rsidRPr="00096FF8">
        <w:rPr>
          <w:rFonts w:asciiTheme="minorHAnsi" w:hAnsiTheme="minorHAnsi"/>
        </w:rPr>
        <w:t xml:space="preserve"> </w:t>
      </w:r>
      <w:r w:rsidR="00B67464" w:rsidRPr="00096FF8">
        <w:rPr>
          <w:rFonts w:asciiTheme="minorHAnsi" w:hAnsiTheme="minorHAnsi"/>
        </w:rPr>
        <w:t>(</w:t>
      </w:r>
      <w:r w:rsidR="00B21898" w:rsidRPr="00096FF8">
        <w:rPr>
          <w:rFonts w:asciiTheme="minorHAnsi" w:hAnsiTheme="minorHAnsi"/>
        </w:rPr>
        <w:t>P</w:t>
      </w:r>
      <w:r w:rsidR="00B67464" w:rsidRPr="00096FF8">
        <w:rPr>
          <w:rFonts w:asciiTheme="minorHAnsi" w:hAnsiTheme="minorHAnsi"/>
        </w:rPr>
        <w:t xml:space="preserve">arton, 2000) or protection and autonomy </w:t>
      </w:r>
      <w:r w:rsidR="00917B71" w:rsidRPr="00096FF8">
        <w:rPr>
          <w:rFonts w:asciiTheme="minorHAnsi" w:hAnsiTheme="minorHAnsi"/>
        </w:rPr>
        <w:t>(</w:t>
      </w:r>
      <w:r w:rsidR="00B67464" w:rsidRPr="00096FF8">
        <w:rPr>
          <w:rFonts w:asciiTheme="minorHAnsi" w:hAnsiTheme="minorHAnsi"/>
        </w:rPr>
        <w:t>Stevenson, 1993)</w:t>
      </w:r>
      <w:r w:rsidR="004215A4" w:rsidRPr="00096FF8">
        <w:rPr>
          <w:rFonts w:asciiTheme="minorHAnsi" w:hAnsiTheme="minorHAnsi"/>
        </w:rPr>
        <w:t xml:space="preserve">. </w:t>
      </w:r>
      <w:r w:rsidR="00DF71FD" w:rsidRPr="00096FF8">
        <w:rPr>
          <w:rFonts w:asciiTheme="minorHAnsi" w:hAnsiTheme="minorHAnsi"/>
        </w:rPr>
        <w:t xml:space="preserve">This study suggests the importance developments in the balance of emphasis in these kinds of tensions, which may </w:t>
      </w:r>
      <w:r w:rsidR="006059FB" w:rsidRPr="00096FF8">
        <w:rPr>
          <w:rFonts w:asciiTheme="minorHAnsi" w:hAnsiTheme="minorHAnsi"/>
        </w:rPr>
        <w:t>underlie</w:t>
      </w:r>
      <w:r w:rsidR="00DF71FD" w:rsidRPr="00096FF8">
        <w:rPr>
          <w:rFonts w:asciiTheme="minorHAnsi" w:hAnsiTheme="minorHAnsi"/>
        </w:rPr>
        <w:t xml:space="preserve"> </w:t>
      </w:r>
      <w:r w:rsidR="006059FB" w:rsidRPr="00096FF8">
        <w:rPr>
          <w:rFonts w:asciiTheme="minorHAnsi" w:hAnsiTheme="minorHAnsi"/>
        </w:rPr>
        <w:t>practitioners’</w:t>
      </w:r>
      <w:r w:rsidR="00DF71FD" w:rsidRPr="00096FF8">
        <w:rPr>
          <w:rFonts w:asciiTheme="minorHAnsi" w:hAnsiTheme="minorHAnsi"/>
        </w:rPr>
        <w:t xml:space="preserve"> enduring fears about risk, desire to maintain monitoring</w:t>
      </w:r>
      <w:r w:rsidR="006059FB" w:rsidRPr="00096FF8">
        <w:rPr>
          <w:rFonts w:asciiTheme="minorHAnsi" w:hAnsiTheme="minorHAnsi"/>
        </w:rPr>
        <w:t xml:space="preserve"> </w:t>
      </w:r>
      <w:r w:rsidR="00DF71FD" w:rsidRPr="00096FF8">
        <w:rPr>
          <w:rFonts w:asciiTheme="minorHAnsi" w:hAnsiTheme="minorHAnsi"/>
        </w:rPr>
        <w:t>and to constrain care choices.</w:t>
      </w:r>
      <w:r w:rsidR="00E0040D" w:rsidRPr="00096FF8">
        <w:rPr>
          <w:rFonts w:asciiTheme="minorHAnsi" w:hAnsiTheme="minorHAnsi"/>
        </w:rPr>
        <w:t xml:space="preserve">  </w:t>
      </w:r>
    </w:p>
    <w:p w14:paraId="74CD5622" w14:textId="69047FDB" w:rsidR="00FA49BD" w:rsidRPr="00096FF8" w:rsidRDefault="00FA49BD" w:rsidP="00490617">
      <w:pPr>
        <w:spacing w:line="480" w:lineRule="auto"/>
        <w:rPr>
          <w:rFonts w:asciiTheme="minorHAnsi" w:hAnsiTheme="minorHAnsi"/>
        </w:rPr>
      </w:pPr>
    </w:p>
    <w:p w14:paraId="7B407BF2" w14:textId="6B863721" w:rsidR="00922B96" w:rsidRPr="00096FF8" w:rsidRDefault="00FA49BD" w:rsidP="00922B96">
      <w:pPr>
        <w:spacing w:line="480" w:lineRule="auto"/>
        <w:rPr>
          <w:rFonts w:asciiTheme="minorHAnsi" w:hAnsiTheme="minorHAnsi"/>
        </w:rPr>
      </w:pPr>
      <w:r w:rsidRPr="00096FF8">
        <w:rPr>
          <w:rFonts w:asciiTheme="minorHAnsi" w:hAnsiTheme="minorHAnsi"/>
        </w:rPr>
        <w:t>This exemplifies the argument made by Stevens et al. (2011) that there are multiple motivations behind personalisation. First, the goals of the disability movement in increasing self-realisation and autonomy through greater choice and control, which were seen as closely aligned to professional aspirations, but second, a desire to reduce the public sector and implement market-driven solutions were less broadly supported</w:t>
      </w:r>
      <w:r w:rsidR="00471F3B" w:rsidRPr="00096FF8">
        <w:rPr>
          <w:rFonts w:asciiTheme="minorHAnsi" w:hAnsiTheme="minorHAnsi"/>
        </w:rPr>
        <w:t xml:space="preserve"> by practitioners</w:t>
      </w:r>
      <w:r w:rsidRPr="00096FF8">
        <w:rPr>
          <w:rFonts w:asciiTheme="minorHAnsi" w:hAnsiTheme="minorHAnsi"/>
        </w:rPr>
        <w:t>.</w:t>
      </w:r>
      <w:r w:rsidR="00922B96" w:rsidRPr="00096FF8">
        <w:rPr>
          <w:rFonts w:asciiTheme="minorHAnsi" w:hAnsiTheme="minorHAnsi"/>
        </w:rPr>
        <w:t xml:space="preserve"> There is increasing concern </w:t>
      </w:r>
      <w:r w:rsidR="006770E1" w:rsidRPr="00096FF8">
        <w:rPr>
          <w:rFonts w:asciiTheme="minorHAnsi" w:hAnsiTheme="minorHAnsi"/>
        </w:rPr>
        <w:t xml:space="preserve">about the dominance of </w:t>
      </w:r>
      <w:r w:rsidR="00922B96" w:rsidRPr="00096FF8">
        <w:rPr>
          <w:rFonts w:asciiTheme="minorHAnsi" w:hAnsiTheme="minorHAnsi"/>
        </w:rPr>
        <w:t>a neoliberal standpoint, driving the focus on reducing public spending</w:t>
      </w:r>
      <w:r w:rsidR="00AB3CC5" w:rsidRPr="00096FF8">
        <w:rPr>
          <w:rFonts w:asciiTheme="minorHAnsi" w:hAnsiTheme="minorHAnsi"/>
        </w:rPr>
        <w:t xml:space="preserve">, </w:t>
      </w:r>
      <w:r w:rsidR="00922B96" w:rsidRPr="00096FF8">
        <w:rPr>
          <w:rFonts w:asciiTheme="minorHAnsi" w:hAnsiTheme="minorHAnsi"/>
        </w:rPr>
        <w:t>increasing marketisation</w:t>
      </w:r>
      <w:r w:rsidR="00AB3CC5" w:rsidRPr="00096FF8">
        <w:rPr>
          <w:rFonts w:asciiTheme="minorHAnsi" w:hAnsiTheme="minorHAnsi"/>
        </w:rPr>
        <w:t xml:space="preserve"> and privileging </w:t>
      </w:r>
      <w:r w:rsidR="00A51E79" w:rsidRPr="00096FF8">
        <w:rPr>
          <w:rFonts w:asciiTheme="minorHAnsi" w:hAnsiTheme="minorHAnsi"/>
        </w:rPr>
        <w:t xml:space="preserve"> ind</w:t>
      </w:r>
      <w:r w:rsidR="00922B96" w:rsidRPr="00096FF8">
        <w:rPr>
          <w:rFonts w:asciiTheme="minorHAnsi" w:hAnsiTheme="minorHAnsi"/>
        </w:rPr>
        <w:t>i</w:t>
      </w:r>
      <w:r w:rsidR="00A51E79" w:rsidRPr="00096FF8">
        <w:rPr>
          <w:rFonts w:asciiTheme="minorHAnsi" w:hAnsiTheme="minorHAnsi"/>
        </w:rPr>
        <w:t>vidualism over collectiv</w:t>
      </w:r>
      <w:r w:rsidR="006770E1" w:rsidRPr="00096FF8">
        <w:rPr>
          <w:rFonts w:asciiTheme="minorHAnsi" w:hAnsiTheme="minorHAnsi"/>
        </w:rPr>
        <w:t>ism (Ferguson, 2012)</w:t>
      </w:r>
      <w:r w:rsidR="000F0172" w:rsidRPr="00096FF8">
        <w:rPr>
          <w:rFonts w:asciiTheme="minorHAnsi" w:hAnsiTheme="minorHAnsi"/>
        </w:rPr>
        <w:t xml:space="preserve">. </w:t>
      </w:r>
    </w:p>
    <w:p w14:paraId="35DC87EF" w14:textId="77777777" w:rsidR="00B67464" w:rsidRPr="00096FF8" w:rsidRDefault="00B67464" w:rsidP="00490617">
      <w:pPr>
        <w:spacing w:line="480" w:lineRule="auto"/>
        <w:rPr>
          <w:rFonts w:asciiTheme="minorHAnsi" w:hAnsiTheme="minorHAnsi"/>
        </w:rPr>
      </w:pPr>
    </w:p>
    <w:p w14:paraId="169DA767" w14:textId="3CD3F449" w:rsidR="00F53C3D" w:rsidRPr="00096FF8" w:rsidRDefault="00471F3B" w:rsidP="00490617">
      <w:pPr>
        <w:spacing w:line="480" w:lineRule="auto"/>
        <w:rPr>
          <w:rFonts w:asciiTheme="minorHAnsi" w:hAnsiTheme="minorHAnsi"/>
        </w:rPr>
      </w:pPr>
      <w:r w:rsidRPr="00096FF8">
        <w:rPr>
          <w:rFonts w:asciiTheme="minorHAnsi" w:hAnsiTheme="minorHAnsi"/>
        </w:rPr>
        <w:t xml:space="preserve">Participants </w:t>
      </w:r>
      <w:r w:rsidR="000F0172" w:rsidRPr="00096FF8">
        <w:rPr>
          <w:rFonts w:asciiTheme="minorHAnsi" w:hAnsiTheme="minorHAnsi"/>
        </w:rPr>
        <w:t xml:space="preserve">identified concerns about the invisibility of abuse </w:t>
      </w:r>
      <w:r w:rsidRPr="00096FF8">
        <w:rPr>
          <w:rFonts w:asciiTheme="minorHAnsi" w:hAnsiTheme="minorHAnsi"/>
        </w:rPr>
        <w:t xml:space="preserve">among </w:t>
      </w:r>
      <w:r w:rsidR="000F0172" w:rsidRPr="00096FF8">
        <w:rPr>
          <w:rFonts w:asciiTheme="minorHAnsi" w:hAnsiTheme="minorHAnsi"/>
        </w:rPr>
        <w:t>Direct Payment users, as well as a desire to instigate ‘normal safeguards’</w:t>
      </w:r>
      <w:r w:rsidR="00BA7EBB" w:rsidRPr="00096FF8">
        <w:rPr>
          <w:rFonts w:asciiTheme="minorHAnsi" w:hAnsiTheme="minorHAnsi"/>
        </w:rPr>
        <w:t>.</w:t>
      </w:r>
      <w:r w:rsidR="000F0172" w:rsidRPr="00096FF8">
        <w:rPr>
          <w:rFonts w:asciiTheme="minorHAnsi" w:hAnsiTheme="minorHAnsi"/>
        </w:rPr>
        <w:t xml:space="preserve"> Our study suggests that social workers continue to exercise discretion as ‘street level bureaucrats’ (Ellis, 2007, citing Lipsky, 1980) and thereby affect policy implementation. </w:t>
      </w:r>
      <w:r w:rsidR="00DB6AD7" w:rsidRPr="00096FF8">
        <w:rPr>
          <w:rFonts w:asciiTheme="minorHAnsi" w:hAnsiTheme="minorHAnsi"/>
        </w:rPr>
        <w:t xml:space="preserve">This arises from the </w:t>
      </w:r>
      <w:r w:rsidR="003C480A" w:rsidRPr="00096FF8">
        <w:rPr>
          <w:rFonts w:asciiTheme="minorHAnsi" w:hAnsiTheme="minorHAnsi"/>
        </w:rPr>
        <w:t xml:space="preserve">limited </w:t>
      </w:r>
      <w:r w:rsidR="00DB6AD7" w:rsidRPr="00096FF8">
        <w:rPr>
          <w:rFonts w:asciiTheme="minorHAnsi" w:hAnsiTheme="minorHAnsi"/>
        </w:rPr>
        <w:t xml:space="preserve">scope they </w:t>
      </w:r>
      <w:r w:rsidR="003C480A" w:rsidRPr="00096FF8">
        <w:rPr>
          <w:rFonts w:asciiTheme="minorHAnsi" w:hAnsiTheme="minorHAnsi"/>
        </w:rPr>
        <w:t xml:space="preserve">retain </w:t>
      </w:r>
      <w:r w:rsidR="00DB6AD7" w:rsidRPr="00096FF8">
        <w:rPr>
          <w:rFonts w:asciiTheme="minorHAnsi" w:hAnsiTheme="minorHAnsi"/>
        </w:rPr>
        <w:t xml:space="preserve">to </w:t>
      </w:r>
      <w:r w:rsidR="00DC23D9" w:rsidRPr="00096FF8">
        <w:rPr>
          <w:rFonts w:asciiTheme="minorHAnsi" w:hAnsiTheme="minorHAnsi"/>
        </w:rPr>
        <w:t>decide whether</w:t>
      </w:r>
      <w:r w:rsidR="00F53C3D" w:rsidRPr="00096FF8">
        <w:rPr>
          <w:rFonts w:asciiTheme="minorHAnsi" w:hAnsiTheme="minorHAnsi"/>
        </w:rPr>
        <w:t xml:space="preserve"> </w:t>
      </w:r>
      <w:r w:rsidR="00DB6AD7" w:rsidRPr="00096FF8">
        <w:rPr>
          <w:rFonts w:asciiTheme="minorHAnsi" w:hAnsiTheme="minorHAnsi"/>
        </w:rPr>
        <w:t xml:space="preserve">or not </w:t>
      </w:r>
      <w:r w:rsidR="00F53C3D" w:rsidRPr="00096FF8">
        <w:rPr>
          <w:rFonts w:asciiTheme="minorHAnsi" w:hAnsiTheme="minorHAnsi"/>
        </w:rPr>
        <w:t xml:space="preserve">to offer </w:t>
      </w:r>
      <w:r w:rsidR="00DB6AD7" w:rsidRPr="00096FF8">
        <w:rPr>
          <w:rFonts w:asciiTheme="minorHAnsi" w:hAnsiTheme="minorHAnsi"/>
        </w:rPr>
        <w:t xml:space="preserve">a prospective service user a </w:t>
      </w:r>
      <w:r w:rsidR="00E13E4E" w:rsidRPr="00096FF8">
        <w:rPr>
          <w:rFonts w:asciiTheme="minorHAnsi" w:hAnsiTheme="minorHAnsi"/>
        </w:rPr>
        <w:t>Direct Payment</w:t>
      </w:r>
      <w:r w:rsidR="00DB6AD7" w:rsidRPr="00096FF8">
        <w:rPr>
          <w:rFonts w:asciiTheme="minorHAnsi" w:hAnsiTheme="minorHAnsi"/>
        </w:rPr>
        <w:t xml:space="preserve"> or </w:t>
      </w:r>
      <w:r w:rsidR="00F53C3D" w:rsidRPr="00096FF8">
        <w:rPr>
          <w:rFonts w:asciiTheme="minorHAnsi" w:hAnsiTheme="minorHAnsi"/>
        </w:rPr>
        <w:t xml:space="preserve">to offer </w:t>
      </w:r>
      <w:r w:rsidR="00DB6AD7" w:rsidRPr="00096FF8">
        <w:rPr>
          <w:rFonts w:asciiTheme="minorHAnsi" w:hAnsiTheme="minorHAnsi"/>
        </w:rPr>
        <w:t xml:space="preserve">a </w:t>
      </w:r>
      <w:r w:rsidR="00DC23D9" w:rsidRPr="00096FF8">
        <w:rPr>
          <w:rFonts w:asciiTheme="minorHAnsi" w:hAnsiTheme="minorHAnsi"/>
        </w:rPr>
        <w:lastRenderedPageBreak/>
        <w:t xml:space="preserve">‘partial’ </w:t>
      </w:r>
      <w:r w:rsidR="00E13E4E" w:rsidRPr="00096FF8">
        <w:rPr>
          <w:rFonts w:asciiTheme="minorHAnsi" w:hAnsiTheme="minorHAnsi"/>
        </w:rPr>
        <w:t>Direct Payment</w:t>
      </w:r>
      <w:r w:rsidR="00DB6AD7" w:rsidRPr="00096FF8">
        <w:rPr>
          <w:rFonts w:asciiTheme="minorHAnsi" w:hAnsiTheme="minorHAnsi"/>
        </w:rPr>
        <w:t xml:space="preserve">, as well as their </w:t>
      </w:r>
      <w:r w:rsidR="003C480A" w:rsidRPr="00096FF8">
        <w:rPr>
          <w:rFonts w:asciiTheme="minorHAnsi" w:hAnsiTheme="minorHAnsi"/>
        </w:rPr>
        <w:t xml:space="preserve">possible </w:t>
      </w:r>
      <w:r w:rsidR="00DB6AD7" w:rsidRPr="00096FF8">
        <w:rPr>
          <w:rFonts w:asciiTheme="minorHAnsi" w:hAnsiTheme="minorHAnsi"/>
        </w:rPr>
        <w:t xml:space="preserve">discretion over </w:t>
      </w:r>
      <w:r w:rsidR="00F53C3D" w:rsidRPr="00096FF8">
        <w:rPr>
          <w:rFonts w:asciiTheme="minorHAnsi" w:hAnsiTheme="minorHAnsi"/>
        </w:rPr>
        <w:t xml:space="preserve">the way they </w:t>
      </w:r>
      <w:r w:rsidR="00DB6AD7" w:rsidRPr="00096FF8">
        <w:rPr>
          <w:rFonts w:asciiTheme="minorHAnsi" w:hAnsiTheme="minorHAnsi"/>
        </w:rPr>
        <w:t xml:space="preserve">decide to </w:t>
      </w:r>
      <w:r w:rsidR="00F53C3D" w:rsidRPr="00096FF8">
        <w:rPr>
          <w:rFonts w:asciiTheme="minorHAnsi" w:hAnsiTheme="minorHAnsi"/>
        </w:rPr>
        <w:t>work with individuals to manage</w:t>
      </w:r>
      <w:r w:rsidR="00DB6AD7" w:rsidRPr="00096FF8">
        <w:rPr>
          <w:rFonts w:asciiTheme="minorHAnsi" w:hAnsiTheme="minorHAnsi"/>
        </w:rPr>
        <w:t xml:space="preserve"> identified</w:t>
      </w:r>
      <w:r w:rsidR="00F53C3D" w:rsidRPr="00096FF8">
        <w:rPr>
          <w:rFonts w:asciiTheme="minorHAnsi" w:hAnsiTheme="minorHAnsi"/>
        </w:rPr>
        <w:t xml:space="preserve"> risk</w:t>
      </w:r>
      <w:r w:rsidRPr="00096FF8">
        <w:rPr>
          <w:rFonts w:asciiTheme="minorHAnsi" w:hAnsiTheme="minorHAnsi"/>
        </w:rPr>
        <w:t>s</w:t>
      </w:r>
      <w:r w:rsidR="003C480A" w:rsidRPr="00096FF8">
        <w:rPr>
          <w:rFonts w:asciiTheme="minorHAnsi" w:hAnsiTheme="minorHAnsi"/>
        </w:rPr>
        <w:t xml:space="preserve"> and set in place monitoring </w:t>
      </w:r>
      <w:r w:rsidR="00D66E50" w:rsidRPr="00096FF8">
        <w:rPr>
          <w:rFonts w:asciiTheme="minorHAnsi" w:hAnsiTheme="minorHAnsi"/>
        </w:rPr>
        <w:t>requirements</w:t>
      </w:r>
      <w:r w:rsidR="00F53C3D" w:rsidRPr="00096FF8">
        <w:rPr>
          <w:rFonts w:asciiTheme="minorHAnsi" w:hAnsiTheme="minorHAnsi"/>
        </w:rPr>
        <w:t xml:space="preserve">. </w:t>
      </w:r>
    </w:p>
    <w:p w14:paraId="392BD9E2" w14:textId="77777777" w:rsidR="00B6375A" w:rsidRPr="00096FF8" w:rsidRDefault="00B6375A" w:rsidP="00490617">
      <w:pPr>
        <w:spacing w:line="480" w:lineRule="auto"/>
        <w:rPr>
          <w:rFonts w:asciiTheme="minorHAnsi" w:hAnsiTheme="minorHAnsi"/>
        </w:rPr>
      </w:pPr>
    </w:p>
    <w:p w14:paraId="15D54BCD" w14:textId="7187E5BE" w:rsidR="0097310E" w:rsidRDefault="00F73458" w:rsidP="00490617">
      <w:pPr>
        <w:spacing w:line="480" w:lineRule="auto"/>
        <w:rPr>
          <w:rFonts w:asciiTheme="minorHAnsi" w:hAnsiTheme="minorHAnsi"/>
        </w:rPr>
      </w:pPr>
      <w:r w:rsidRPr="00096FF8">
        <w:rPr>
          <w:rFonts w:asciiTheme="minorHAnsi" w:hAnsiTheme="minorHAnsi"/>
        </w:rPr>
        <w:t xml:space="preserve">However, </w:t>
      </w:r>
      <w:r w:rsidR="00D159B6" w:rsidRPr="00096FF8">
        <w:rPr>
          <w:rFonts w:asciiTheme="minorHAnsi" w:hAnsiTheme="minorHAnsi"/>
        </w:rPr>
        <w:t xml:space="preserve">social </w:t>
      </w:r>
      <w:r w:rsidR="00471F3B" w:rsidRPr="00096FF8">
        <w:rPr>
          <w:rFonts w:asciiTheme="minorHAnsi" w:hAnsiTheme="minorHAnsi"/>
        </w:rPr>
        <w:t>workers</w:t>
      </w:r>
      <w:r w:rsidRPr="00096FF8">
        <w:rPr>
          <w:rFonts w:asciiTheme="minorHAnsi" w:hAnsiTheme="minorHAnsi"/>
        </w:rPr>
        <w:t xml:space="preserve"> are responsible for implementing safeguarding policy</w:t>
      </w:r>
      <w:r w:rsidR="00CF5800" w:rsidRPr="00096FF8">
        <w:rPr>
          <w:rFonts w:asciiTheme="minorHAnsi" w:hAnsiTheme="minorHAnsi"/>
        </w:rPr>
        <w:t xml:space="preserve"> and procedures. </w:t>
      </w:r>
      <w:r w:rsidRPr="00096FF8">
        <w:rPr>
          <w:rFonts w:asciiTheme="minorHAnsi" w:hAnsiTheme="minorHAnsi"/>
        </w:rPr>
        <w:t xml:space="preserve">The Care Act 2014 creates a duty, for the first time, on </w:t>
      </w:r>
      <w:r w:rsidR="00C101B2" w:rsidRPr="00096FF8">
        <w:rPr>
          <w:rFonts w:asciiTheme="minorHAnsi" w:hAnsiTheme="minorHAnsi"/>
        </w:rPr>
        <w:t>local authorities</w:t>
      </w:r>
      <w:r w:rsidRPr="00096FF8">
        <w:rPr>
          <w:rFonts w:asciiTheme="minorHAnsi" w:hAnsiTheme="minorHAnsi"/>
        </w:rPr>
        <w:t xml:space="preserve"> to </w:t>
      </w:r>
      <w:r w:rsidR="00CF5800" w:rsidRPr="00096FF8">
        <w:rPr>
          <w:rFonts w:asciiTheme="minorHAnsi" w:hAnsiTheme="minorHAnsi"/>
        </w:rPr>
        <w:t xml:space="preserve">undertake </w:t>
      </w:r>
      <w:r w:rsidR="00D159B6" w:rsidRPr="00096FF8">
        <w:rPr>
          <w:rFonts w:asciiTheme="minorHAnsi" w:hAnsiTheme="minorHAnsi"/>
        </w:rPr>
        <w:t>i</w:t>
      </w:r>
      <w:r w:rsidR="00CF5800" w:rsidRPr="00096FF8">
        <w:rPr>
          <w:rFonts w:asciiTheme="minorHAnsi" w:hAnsiTheme="minorHAnsi"/>
        </w:rPr>
        <w:t>nquiries whe</w:t>
      </w:r>
      <w:r w:rsidR="00260906" w:rsidRPr="00096FF8">
        <w:rPr>
          <w:rFonts w:asciiTheme="minorHAnsi" w:hAnsiTheme="minorHAnsi"/>
        </w:rPr>
        <w:t>re</w:t>
      </w:r>
      <w:r w:rsidR="00CF5800" w:rsidRPr="00096FF8">
        <w:rPr>
          <w:rFonts w:asciiTheme="minorHAnsi" w:hAnsiTheme="minorHAnsi"/>
        </w:rPr>
        <w:t xml:space="preserve"> there are safeguarding concerns</w:t>
      </w:r>
      <w:r w:rsidRPr="00096FF8">
        <w:rPr>
          <w:rFonts w:asciiTheme="minorHAnsi" w:hAnsiTheme="minorHAnsi"/>
        </w:rPr>
        <w:t xml:space="preserve">. </w:t>
      </w:r>
      <w:r w:rsidR="0064772B" w:rsidRPr="00096FF8">
        <w:rPr>
          <w:rFonts w:asciiTheme="minorHAnsi" w:hAnsiTheme="minorHAnsi"/>
        </w:rPr>
        <w:t xml:space="preserve">While this is mainly strengthening </w:t>
      </w:r>
      <w:r w:rsidR="008D3CEE" w:rsidRPr="00096FF8">
        <w:rPr>
          <w:rFonts w:asciiTheme="minorHAnsi" w:hAnsiTheme="minorHAnsi"/>
        </w:rPr>
        <w:t xml:space="preserve">existing </w:t>
      </w:r>
      <w:r w:rsidR="0064772B" w:rsidRPr="00096FF8">
        <w:rPr>
          <w:rFonts w:asciiTheme="minorHAnsi" w:hAnsiTheme="minorHAnsi"/>
        </w:rPr>
        <w:t xml:space="preserve">policy, rather than being a new </w:t>
      </w:r>
      <w:r w:rsidR="008D3CEE" w:rsidRPr="00096FF8">
        <w:rPr>
          <w:rFonts w:asciiTheme="minorHAnsi" w:hAnsiTheme="minorHAnsi"/>
        </w:rPr>
        <w:t>duty or power</w:t>
      </w:r>
      <w:r w:rsidR="00DE39D8" w:rsidRPr="00096FF8">
        <w:rPr>
          <w:rFonts w:asciiTheme="minorHAnsi" w:hAnsiTheme="minorHAnsi"/>
        </w:rPr>
        <w:t>,</w:t>
      </w:r>
      <w:r w:rsidRPr="00096FF8">
        <w:rPr>
          <w:rFonts w:asciiTheme="minorHAnsi" w:hAnsiTheme="minorHAnsi"/>
        </w:rPr>
        <w:t xml:space="preserve"> the symbolism of a statutory requirement is important</w:t>
      </w:r>
      <w:r w:rsidR="00DE39D8" w:rsidRPr="00096FF8">
        <w:rPr>
          <w:rFonts w:asciiTheme="minorHAnsi" w:hAnsiTheme="minorHAnsi"/>
        </w:rPr>
        <w:t>. It</w:t>
      </w:r>
      <w:r w:rsidRPr="00096FF8">
        <w:rPr>
          <w:rFonts w:asciiTheme="minorHAnsi" w:hAnsiTheme="minorHAnsi"/>
        </w:rPr>
        <w:t xml:space="preserve"> </w:t>
      </w:r>
      <w:r w:rsidR="00471F3B" w:rsidRPr="00096FF8">
        <w:rPr>
          <w:rFonts w:asciiTheme="minorHAnsi" w:hAnsiTheme="minorHAnsi"/>
        </w:rPr>
        <w:t xml:space="preserve">sends </w:t>
      </w:r>
      <w:r w:rsidRPr="00096FF8">
        <w:rPr>
          <w:rFonts w:asciiTheme="minorHAnsi" w:hAnsiTheme="minorHAnsi"/>
        </w:rPr>
        <w:t xml:space="preserve">a strong message about </w:t>
      </w:r>
      <w:r w:rsidR="00471F3B" w:rsidRPr="00096FF8">
        <w:rPr>
          <w:rFonts w:asciiTheme="minorHAnsi" w:hAnsiTheme="minorHAnsi"/>
        </w:rPr>
        <w:t xml:space="preserve">professional </w:t>
      </w:r>
      <w:r w:rsidRPr="00096FF8">
        <w:rPr>
          <w:rFonts w:asciiTheme="minorHAnsi" w:hAnsiTheme="minorHAnsi"/>
        </w:rPr>
        <w:t>roles</w:t>
      </w:r>
      <w:r w:rsidR="00471F3B" w:rsidRPr="00096FF8">
        <w:rPr>
          <w:rFonts w:asciiTheme="minorHAnsi" w:hAnsiTheme="minorHAnsi"/>
        </w:rPr>
        <w:t>.</w:t>
      </w:r>
      <w:r w:rsidRPr="00096FF8">
        <w:rPr>
          <w:rFonts w:asciiTheme="minorHAnsi" w:hAnsiTheme="minorHAnsi"/>
        </w:rPr>
        <w:t xml:space="preserve"> Consequently, social workers are working across policies that appear still to be in tension, as Manthorpe et al</w:t>
      </w:r>
      <w:r w:rsidR="00E92CF0" w:rsidRPr="00096FF8">
        <w:rPr>
          <w:rFonts w:asciiTheme="minorHAnsi" w:hAnsiTheme="minorHAnsi"/>
        </w:rPr>
        <w:t>.</w:t>
      </w:r>
      <w:r w:rsidRPr="00096FF8">
        <w:rPr>
          <w:rFonts w:asciiTheme="minorHAnsi" w:hAnsiTheme="minorHAnsi"/>
        </w:rPr>
        <w:t xml:space="preserve"> (20</w:t>
      </w:r>
      <w:r w:rsidR="004F4159" w:rsidRPr="00096FF8">
        <w:rPr>
          <w:rFonts w:asciiTheme="minorHAnsi" w:hAnsiTheme="minorHAnsi"/>
        </w:rPr>
        <w:t>09</w:t>
      </w:r>
      <w:r w:rsidRPr="00096FF8">
        <w:rPr>
          <w:rFonts w:asciiTheme="minorHAnsi" w:hAnsiTheme="minorHAnsi"/>
        </w:rPr>
        <w:t>) noted</w:t>
      </w:r>
      <w:r w:rsidR="00997CDC" w:rsidRPr="00096FF8">
        <w:rPr>
          <w:rFonts w:asciiTheme="minorHAnsi" w:hAnsiTheme="minorHAnsi"/>
        </w:rPr>
        <w:t>. This</w:t>
      </w:r>
      <w:r w:rsidRPr="00096FF8">
        <w:rPr>
          <w:rFonts w:asciiTheme="minorHAnsi" w:hAnsiTheme="minorHAnsi"/>
        </w:rPr>
        <w:t xml:space="preserve"> may allow more space for discretion in implementation, particularly as a result of increasing public </w:t>
      </w:r>
      <w:r w:rsidR="00B9527E" w:rsidRPr="00096FF8">
        <w:rPr>
          <w:rFonts w:asciiTheme="minorHAnsi" w:hAnsiTheme="minorHAnsi"/>
        </w:rPr>
        <w:t>unease</w:t>
      </w:r>
      <w:r w:rsidRPr="00096FF8">
        <w:rPr>
          <w:rFonts w:asciiTheme="minorHAnsi" w:hAnsiTheme="minorHAnsi"/>
        </w:rPr>
        <w:t xml:space="preserve"> about </w:t>
      </w:r>
      <w:r w:rsidR="00CF5800" w:rsidRPr="00096FF8">
        <w:rPr>
          <w:rFonts w:asciiTheme="minorHAnsi" w:hAnsiTheme="minorHAnsi"/>
        </w:rPr>
        <w:t xml:space="preserve">cases where concerns were </w:t>
      </w:r>
      <w:r w:rsidR="00471F3B" w:rsidRPr="00096FF8">
        <w:rPr>
          <w:rFonts w:asciiTheme="minorHAnsi" w:hAnsiTheme="minorHAnsi"/>
        </w:rPr>
        <w:t>un</w:t>
      </w:r>
      <w:r w:rsidR="00CF5800" w:rsidRPr="00096FF8">
        <w:rPr>
          <w:rFonts w:asciiTheme="minorHAnsi" w:hAnsiTheme="minorHAnsi"/>
        </w:rPr>
        <w:t>addressed</w:t>
      </w:r>
      <w:r w:rsidR="00917B71" w:rsidRPr="00096FF8">
        <w:rPr>
          <w:rFonts w:asciiTheme="minorHAnsi" w:hAnsiTheme="minorHAnsi"/>
        </w:rPr>
        <w:t>, for example, the Stephen Hoskin serious case review (</w:t>
      </w:r>
      <w:r w:rsidRPr="00096FF8">
        <w:rPr>
          <w:rFonts w:asciiTheme="minorHAnsi" w:hAnsiTheme="minorHAnsi"/>
        </w:rPr>
        <w:t>Flynn, 2009). The mantra that ‘</w:t>
      </w:r>
      <w:r w:rsidR="003C07F0" w:rsidRPr="00096FF8">
        <w:rPr>
          <w:rFonts w:asciiTheme="minorHAnsi" w:hAnsiTheme="minorHAnsi"/>
        </w:rPr>
        <w:t>s</w:t>
      </w:r>
      <w:r w:rsidRPr="00096FF8">
        <w:rPr>
          <w:rFonts w:asciiTheme="minorHAnsi" w:hAnsiTheme="minorHAnsi"/>
        </w:rPr>
        <w:t>afeguarding is everybody’s business</w:t>
      </w:r>
      <w:r w:rsidR="00DE39D8" w:rsidRPr="00096FF8">
        <w:rPr>
          <w:rFonts w:asciiTheme="minorHAnsi" w:hAnsiTheme="minorHAnsi"/>
        </w:rPr>
        <w:t>’</w:t>
      </w:r>
      <w:r w:rsidR="00997CDC" w:rsidRPr="00096FF8">
        <w:rPr>
          <w:rFonts w:asciiTheme="minorHAnsi" w:hAnsiTheme="minorHAnsi"/>
        </w:rPr>
        <w:t xml:space="preserve"> (Dunn et al</w:t>
      </w:r>
      <w:r w:rsidR="00260906" w:rsidRPr="00096FF8">
        <w:rPr>
          <w:rFonts w:asciiTheme="minorHAnsi" w:hAnsiTheme="minorHAnsi"/>
        </w:rPr>
        <w:t>.</w:t>
      </w:r>
      <w:r w:rsidR="00997CDC" w:rsidRPr="00096FF8">
        <w:rPr>
          <w:rFonts w:asciiTheme="minorHAnsi" w:hAnsiTheme="minorHAnsi"/>
        </w:rPr>
        <w:t xml:space="preserve"> 2009) adds to this sense that all social workers, whether directly involved in safeguarding or not</w:t>
      </w:r>
      <w:r w:rsidR="00E92CF0" w:rsidRPr="00096FF8">
        <w:rPr>
          <w:rFonts w:asciiTheme="minorHAnsi" w:hAnsiTheme="minorHAnsi"/>
        </w:rPr>
        <w:t>,</w:t>
      </w:r>
      <w:r w:rsidR="00997CDC" w:rsidRPr="00096FF8">
        <w:rPr>
          <w:rFonts w:asciiTheme="minorHAnsi" w:hAnsiTheme="minorHAnsi"/>
        </w:rPr>
        <w:t xml:space="preserve"> have a responsibility to minimise risk</w:t>
      </w:r>
      <w:r w:rsidR="00CF5800" w:rsidRPr="00096FF8">
        <w:rPr>
          <w:rFonts w:asciiTheme="minorHAnsi" w:hAnsiTheme="minorHAnsi"/>
        </w:rPr>
        <w:t xml:space="preserve"> of harm</w:t>
      </w:r>
      <w:r w:rsidR="00997CDC" w:rsidRPr="00096FF8">
        <w:rPr>
          <w:rFonts w:asciiTheme="minorHAnsi" w:hAnsiTheme="minorHAnsi"/>
        </w:rPr>
        <w:t>, even where people have capac</w:t>
      </w:r>
      <w:r w:rsidR="00DE39D8" w:rsidRPr="00096FF8">
        <w:rPr>
          <w:rFonts w:asciiTheme="minorHAnsi" w:hAnsiTheme="minorHAnsi"/>
        </w:rPr>
        <w:t xml:space="preserve">ity to make </w:t>
      </w:r>
      <w:r w:rsidR="00997CDC" w:rsidRPr="00096FF8">
        <w:rPr>
          <w:rFonts w:asciiTheme="minorHAnsi" w:hAnsiTheme="minorHAnsi"/>
        </w:rPr>
        <w:t>decisions</w:t>
      </w:r>
      <w:r w:rsidR="00DE39D8" w:rsidRPr="00096FF8">
        <w:rPr>
          <w:rFonts w:asciiTheme="minorHAnsi" w:hAnsiTheme="minorHAnsi"/>
        </w:rPr>
        <w:t xml:space="preserve"> including decisions seen as risky or unwise</w:t>
      </w:r>
      <w:r w:rsidR="00E0040D" w:rsidRPr="00096FF8">
        <w:rPr>
          <w:rFonts w:asciiTheme="minorHAnsi" w:hAnsiTheme="minorHAnsi"/>
        </w:rPr>
        <w:t>. Further research may point to practice solutions, to such dilemmas.</w:t>
      </w:r>
    </w:p>
    <w:p w14:paraId="7DF7DAB6" w14:textId="77777777" w:rsidR="0097310E" w:rsidRDefault="0097310E" w:rsidP="00490617">
      <w:pPr>
        <w:spacing w:line="480" w:lineRule="auto"/>
        <w:rPr>
          <w:rFonts w:asciiTheme="minorHAnsi" w:hAnsiTheme="minorHAnsi"/>
        </w:rPr>
      </w:pPr>
    </w:p>
    <w:p w14:paraId="288E83EF" w14:textId="77777777" w:rsidR="0097310E" w:rsidRPr="00096FF8" w:rsidRDefault="0097310E" w:rsidP="0097310E">
      <w:pPr>
        <w:pStyle w:val="Heading2"/>
        <w:spacing w:line="480" w:lineRule="auto"/>
        <w:rPr>
          <w:rFonts w:asciiTheme="minorHAnsi" w:hAnsiTheme="minorHAnsi"/>
        </w:rPr>
      </w:pPr>
      <w:r w:rsidRPr="00096FF8">
        <w:rPr>
          <w:rFonts w:asciiTheme="minorHAnsi" w:hAnsiTheme="minorHAnsi"/>
        </w:rPr>
        <w:t xml:space="preserve">Limitations of this study </w:t>
      </w:r>
    </w:p>
    <w:p w14:paraId="6252872B" w14:textId="05859CE4" w:rsidR="00001571" w:rsidRPr="00096FF8" w:rsidRDefault="0097310E" w:rsidP="00490617">
      <w:pPr>
        <w:spacing w:line="480" w:lineRule="auto"/>
        <w:rPr>
          <w:rFonts w:asciiTheme="minorHAnsi" w:hAnsiTheme="minorHAnsi"/>
        </w:rPr>
      </w:pPr>
      <w:r w:rsidRPr="00096FF8">
        <w:rPr>
          <w:rFonts w:asciiTheme="minorHAnsi" w:hAnsiTheme="minorHAnsi"/>
        </w:rPr>
        <w:t xml:space="preserve">This study was limited in scale and scope. It took place in three sites and whilst these reflected differences in type of authority, geographical location and local demography, they are unlikely to be representative of all English authorities. The small number of participants may have had strong opinions which may or may not have been typical and they may not </w:t>
      </w:r>
      <w:r w:rsidRPr="00096FF8">
        <w:rPr>
          <w:rFonts w:asciiTheme="minorHAnsi" w:hAnsiTheme="minorHAnsi"/>
        </w:rPr>
        <w:lastRenderedPageBreak/>
        <w:t xml:space="preserve">have had substantial experience of Direct Payment and safeguarding practice. Nonetheless, this research, building on previous studies, especially the IBSEN study completed in 2008 when practice and provision of Direct Payments were still unclear, provides up-to-date rich data about social workers’ experience and views about personalisation and safeguarding practice. </w:t>
      </w:r>
    </w:p>
    <w:p w14:paraId="1318752F" w14:textId="77777777" w:rsidR="00001571" w:rsidRPr="00096FF8" w:rsidRDefault="00001571" w:rsidP="00490617">
      <w:pPr>
        <w:pStyle w:val="Heading2"/>
        <w:spacing w:line="480" w:lineRule="auto"/>
        <w:rPr>
          <w:rFonts w:asciiTheme="minorHAnsi" w:hAnsiTheme="minorHAnsi"/>
        </w:rPr>
      </w:pPr>
      <w:r w:rsidRPr="00096FF8">
        <w:rPr>
          <w:rFonts w:asciiTheme="minorHAnsi" w:hAnsiTheme="minorHAnsi"/>
        </w:rPr>
        <w:t xml:space="preserve">Conclusion </w:t>
      </w:r>
    </w:p>
    <w:p w14:paraId="2C544984" w14:textId="400F76B9" w:rsidR="00F3084D" w:rsidRDefault="00001571" w:rsidP="00490617">
      <w:pPr>
        <w:spacing w:line="480" w:lineRule="auto"/>
        <w:rPr>
          <w:rFonts w:asciiTheme="minorHAnsi" w:hAnsiTheme="minorHAnsi"/>
        </w:rPr>
      </w:pPr>
      <w:r w:rsidRPr="00096FF8">
        <w:rPr>
          <w:rFonts w:asciiTheme="minorHAnsi" w:hAnsiTheme="minorHAnsi" w:cs="Arial"/>
          <w:color w:val="000000"/>
          <w:szCs w:val="24"/>
        </w:rPr>
        <w:t>T</w:t>
      </w:r>
      <w:r w:rsidR="00997CDC" w:rsidRPr="00096FF8">
        <w:rPr>
          <w:rFonts w:asciiTheme="minorHAnsi" w:hAnsiTheme="minorHAnsi"/>
        </w:rPr>
        <w:t xml:space="preserve">his study </w:t>
      </w:r>
      <w:r w:rsidR="00247799" w:rsidRPr="00096FF8">
        <w:rPr>
          <w:rFonts w:asciiTheme="minorHAnsi" w:hAnsiTheme="minorHAnsi"/>
        </w:rPr>
        <w:t xml:space="preserve">suggests </w:t>
      </w:r>
      <w:r w:rsidR="00997CDC" w:rsidRPr="00096FF8">
        <w:rPr>
          <w:rFonts w:asciiTheme="minorHAnsi" w:hAnsiTheme="minorHAnsi"/>
        </w:rPr>
        <w:t xml:space="preserve">that social workers and managers </w:t>
      </w:r>
      <w:r w:rsidR="00AA032A" w:rsidRPr="00096FF8">
        <w:rPr>
          <w:rFonts w:asciiTheme="minorHAnsi" w:hAnsiTheme="minorHAnsi"/>
        </w:rPr>
        <w:t xml:space="preserve">are </w:t>
      </w:r>
      <w:r w:rsidRPr="00096FF8">
        <w:rPr>
          <w:rFonts w:asciiTheme="minorHAnsi" w:hAnsiTheme="minorHAnsi"/>
        </w:rPr>
        <w:t xml:space="preserve">more </w:t>
      </w:r>
      <w:r w:rsidR="00DC23D9" w:rsidRPr="00096FF8">
        <w:rPr>
          <w:rFonts w:asciiTheme="minorHAnsi" w:hAnsiTheme="minorHAnsi"/>
        </w:rPr>
        <w:t>aware</w:t>
      </w:r>
      <w:r w:rsidRPr="00096FF8">
        <w:rPr>
          <w:rFonts w:asciiTheme="minorHAnsi" w:hAnsiTheme="minorHAnsi"/>
        </w:rPr>
        <w:t xml:space="preserve"> of the links between safeguarding and personalisation practice than Manthorpe et al</w:t>
      </w:r>
      <w:r w:rsidR="00260906" w:rsidRPr="00096FF8">
        <w:rPr>
          <w:rFonts w:asciiTheme="minorHAnsi" w:hAnsiTheme="minorHAnsi"/>
        </w:rPr>
        <w:t>.</w:t>
      </w:r>
      <w:r w:rsidRPr="00096FF8">
        <w:rPr>
          <w:rFonts w:asciiTheme="minorHAnsi" w:hAnsiTheme="minorHAnsi"/>
        </w:rPr>
        <w:t xml:space="preserve"> (20</w:t>
      </w:r>
      <w:r w:rsidR="004F4159" w:rsidRPr="00096FF8">
        <w:rPr>
          <w:rFonts w:asciiTheme="minorHAnsi" w:hAnsiTheme="minorHAnsi"/>
        </w:rPr>
        <w:t>09</w:t>
      </w:r>
      <w:r w:rsidRPr="00096FF8">
        <w:rPr>
          <w:rFonts w:asciiTheme="minorHAnsi" w:hAnsiTheme="minorHAnsi"/>
        </w:rPr>
        <w:t xml:space="preserve">) found at </w:t>
      </w:r>
      <w:r w:rsidR="00260906" w:rsidRPr="00096FF8">
        <w:rPr>
          <w:rFonts w:asciiTheme="minorHAnsi" w:hAnsiTheme="minorHAnsi"/>
        </w:rPr>
        <w:t xml:space="preserve">the time of </w:t>
      </w:r>
      <w:r w:rsidRPr="00096FF8">
        <w:rPr>
          <w:rFonts w:asciiTheme="minorHAnsi" w:hAnsiTheme="minorHAnsi"/>
        </w:rPr>
        <w:t>the Individual Budgets pilots</w:t>
      </w:r>
      <w:r w:rsidR="00260906" w:rsidRPr="00096FF8">
        <w:rPr>
          <w:rFonts w:asciiTheme="minorHAnsi" w:hAnsiTheme="minorHAnsi"/>
        </w:rPr>
        <w:t xml:space="preserve"> in 200</w:t>
      </w:r>
      <w:r w:rsidR="00E8725B" w:rsidRPr="00096FF8">
        <w:rPr>
          <w:rFonts w:asciiTheme="minorHAnsi" w:hAnsiTheme="minorHAnsi"/>
        </w:rPr>
        <w:t>6-08</w:t>
      </w:r>
      <w:r w:rsidR="00D97FC1" w:rsidRPr="00096FF8">
        <w:rPr>
          <w:rFonts w:asciiTheme="minorHAnsi" w:hAnsiTheme="minorHAnsi"/>
        </w:rPr>
        <w:t>.</w:t>
      </w:r>
      <w:r w:rsidR="00B9527E" w:rsidRPr="00096FF8">
        <w:rPr>
          <w:rFonts w:asciiTheme="minorHAnsi" w:hAnsiTheme="minorHAnsi"/>
        </w:rPr>
        <w:t xml:space="preserve"> </w:t>
      </w:r>
      <w:r w:rsidR="00AA032A" w:rsidRPr="00096FF8">
        <w:rPr>
          <w:rFonts w:asciiTheme="minorHAnsi" w:hAnsiTheme="minorHAnsi"/>
        </w:rPr>
        <w:t xml:space="preserve">It </w:t>
      </w:r>
      <w:r w:rsidR="00DC23D9" w:rsidRPr="00096FF8">
        <w:rPr>
          <w:rFonts w:asciiTheme="minorHAnsi" w:hAnsiTheme="minorHAnsi"/>
        </w:rPr>
        <w:t>also</w:t>
      </w:r>
      <w:r w:rsidR="005B38EE" w:rsidRPr="00096FF8">
        <w:rPr>
          <w:rFonts w:asciiTheme="minorHAnsi" w:hAnsiTheme="minorHAnsi"/>
        </w:rPr>
        <w:t xml:space="preserve"> identifies a </w:t>
      </w:r>
      <w:r w:rsidR="00DC23D9" w:rsidRPr="00096FF8">
        <w:rPr>
          <w:rFonts w:asciiTheme="minorHAnsi" w:hAnsiTheme="minorHAnsi"/>
        </w:rPr>
        <w:t>continuing tension</w:t>
      </w:r>
      <w:r w:rsidRPr="00096FF8">
        <w:rPr>
          <w:rFonts w:asciiTheme="minorHAnsi" w:hAnsiTheme="minorHAnsi"/>
        </w:rPr>
        <w:t xml:space="preserve"> between these policy objectives in practice. However, this tension is inherent in social work practice</w:t>
      </w:r>
      <w:r w:rsidR="005B38EE" w:rsidRPr="00096FF8">
        <w:rPr>
          <w:rFonts w:asciiTheme="minorHAnsi" w:hAnsiTheme="minorHAnsi"/>
        </w:rPr>
        <w:t xml:space="preserve">, requiring practitioners to </w:t>
      </w:r>
      <w:r w:rsidR="00B82EDB" w:rsidRPr="00096FF8">
        <w:rPr>
          <w:rFonts w:asciiTheme="minorHAnsi" w:hAnsiTheme="minorHAnsi"/>
        </w:rPr>
        <w:t xml:space="preserve">engage </w:t>
      </w:r>
      <w:r w:rsidR="005B38EE" w:rsidRPr="00096FF8">
        <w:rPr>
          <w:rFonts w:asciiTheme="minorHAnsi" w:hAnsiTheme="minorHAnsi"/>
        </w:rPr>
        <w:t>with a new form of the familiar balance between ‘care and control’ (Weinberg, 201</w:t>
      </w:r>
      <w:r w:rsidR="00375CDE" w:rsidRPr="00096FF8">
        <w:rPr>
          <w:rFonts w:asciiTheme="minorHAnsi" w:hAnsiTheme="minorHAnsi"/>
        </w:rPr>
        <w:t>4</w:t>
      </w:r>
      <w:r w:rsidR="005B38EE" w:rsidRPr="00096FF8">
        <w:rPr>
          <w:rFonts w:asciiTheme="minorHAnsi" w:hAnsiTheme="minorHAnsi"/>
        </w:rPr>
        <w:t>). Managing this new balance</w:t>
      </w:r>
      <w:r w:rsidR="00375CDE" w:rsidRPr="00096FF8">
        <w:rPr>
          <w:rFonts w:asciiTheme="minorHAnsi" w:hAnsiTheme="minorHAnsi"/>
        </w:rPr>
        <w:t xml:space="preserve"> </w:t>
      </w:r>
      <w:r w:rsidR="00B82EDB" w:rsidRPr="00096FF8">
        <w:rPr>
          <w:rFonts w:asciiTheme="minorHAnsi" w:hAnsiTheme="minorHAnsi"/>
        </w:rPr>
        <w:t xml:space="preserve">may </w:t>
      </w:r>
      <w:r w:rsidR="005B38EE" w:rsidRPr="00096FF8">
        <w:rPr>
          <w:rFonts w:asciiTheme="minorHAnsi" w:hAnsiTheme="minorHAnsi"/>
        </w:rPr>
        <w:t xml:space="preserve">require reorientation of </w:t>
      </w:r>
      <w:r w:rsidR="00B82EDB" w:rsidRPr="00096FF8">
        <w:rPr>
          <w:rFonts w:asciiTheme="minorHAnsi" w:hAnsiTheme="minorHAnsi"/>
        </w:rPr>
        <w:t>practice</w:t>
      </w:r>
      <w:r w:rsidR="00375CDE" w:rsidRPr="00096FF8">
        <w:rPr>
          <w:rFonts w:asciiTheme="minorHAnsi" w:hAnsiTheme="minorHAnsi"/>
        </w:rPr>
        <w:t>, as practitioners negotiate the potentially divergent requirements to promote autonomy, whilst remaining responsible for safeguarding</w:t>
      </w:r>
      <w:r w:rsidR="005B38EE" w:rsidRPr="00096FF8">
        <w:rPr>
          <w:rFonts w:asciiTheme="minorHAnsi" w:hAnsiTheme="minorHAnsi"/>
        </w:rPr>
        <w:t xml:space="preserve">. This suggests </w:t>
      </w:r>
      <w:r w:rsidR="00247799" w:rsidRPr="00096FF8">
        <w:rPr>
          <w:rFonts w:asciiTheme="minorHAnsi" w:hAnsiTheme="minorHAnsi"/>
        </w:rPr>
        <w:t xml:space="preserve">a </w:t>
      </w:r>
      <w:r w:rsidR="005B38EE" w:rsidRPr="00096FF8">
        <w:rPr>
          <w:rFonts w:asciiTheme="minorHAnsi" w:hAnsiTheme="minorHAnsi"/>
        </w:rPr>
        <w:t xml:space="preserve">need for </w:t>
      </w:r>
      <w:r w:rsidR="00025D35">
        <w:rPr>
          <w:rFonts w:asciiTheme="minorHAnsi" w:hAnsiTheme="minorHAnsi"/>
        </w:rPr>
        <w:t xml:space="preserve">training or </w:t>
      </w:r>
      <w:r w:rsidR="00B82EDB" w:rsidRPr="00096FF8">
        <w:rPr>
          <w:rFonts w:asciiTheme="minorHAnsi" w:hAnsiTheme="minorHAnsi"/>
        </w:rPr>
        <w:t>skills development</w:t>
      </w:r>
      <w:r w:rsidR="00025D35">
        <w:rPr>
          <w:rFonts w:asciiTheme="minorHAnsi" w:hAnsiTheme="minorHAnsi"/>
        </w:rPr>
        <w:t>,</w:t>
      </w:r>
      <w:r w:rsidR="005B38EE" w:rsidRPr="00096FF8">
        <w:rPr>
          <w:rFonts w:asciiTheme="minorHAnsi" w:hAnsiTheme="minorHAnsi"/>
        </w:rPr>
        <w:t xml:space="preserve"> good supervision </w:t>
      </w:r>
      <w:r w:rsidR="00B52D0D" w:rsidRPr="00096FF8">
        <w:rPr>
          <w:rFonts w:asciiTheme="minorHAnsi" w:hAnsiTheme="minorHAnsi"/>
        </w:rPr>
        <w:t xml:space="preserve">and </w:t>
      </w:r>
      <w:r w:rsidR="005B38EE" w:rsidRPr="00096FF8">
        <w:rPr>
          <w:rFonts w:asciiTheme="minorHAnsi" w:hAnsiTheme="minorHAnsi"/>
        </w:rPr>
        <w:t>official acknowledgement of the tensions that social workers are managing</w:t>
      </w:r>
      <w:r w:rsidR="00DC23D9" w:rsidRPr="00096FF8">
        <w:rPr>
          <w:rFonts w:asciiTheme="minorHAnsi" w:hAnsiTheme="minorHAnsi"/>
        </w:rPr>
        <w:t xml:space="preserve">. </w:t>
      </w:r>
      <w:r w:rsidR="00997CDC" w:rsidRPr="00096FF8">
        <w:rPr>
          <w:rFonts w:asciiTheme="minorHAnsi" w:hAnsiTheme="minorHAnsi"/>
        </w:rPr>
        <w:t>Overall, t</w:t>
      </w:r>
      <w:r w:rsidR="00F3084D" w:rsidRPr="00096FF8">
        <w:rPr>
          <w:rFonts w:asciiTheme="minorHAnsi" w:hAnsiTheme="minorHAnsi"/>
        </w:rPr>
        <w:t xml:space="preserve">he study supports the continued need for </w:t>
      </w:r>
      <w:r w:rsidR="00B82EDB" w:rsidRPr="00096FF8">
        <w:rPr>
          <w:rFonts w:asciiTheme="minorHAnsi" w:hAnsiTheme="minorHAnsi"/>
        </w:rPr>
        <w:t xml:space="preserve">skilled </w:t>
      </w:r>
      <w:r w:rsidR="00F3084D" w:rsidRPr="00096FF8">
        <w:rPr>
          <w:rFonts w:asciiTheme="minorHAnsi" w:hAnsiTheme="minorHAnsi"/>
        </w:rPr>
        <w:t>professional involvement in</w:t>
      </w:r>
      <w:r w:rsidR="00997CDC" w:rsidRPr="00096FF8">
        <w:rPr>
          <w:rFonts w:asciiTheme="minorHAnsi" w:hAnsiTheme="minorHAnsi"/>
        </w:rPr>
        <w:t xml:space="preserve"> personalised social care and </w:t>
      </w:r>
      <w:r w:rsidR="00F3084D" w:rsidRPr="00096FF8">
        <w:rPr>
          <w:rFonts w:asciiTheme="minorHAnsi" w:hAnsiTheme="minorHAnsi"/>
        </w:rPr>
        <w:t>safeguarding, given the complexity of some of the judgements that need to be made, especially in interpreting the relative importance of family dynamics and other relationships as pointers to potential abuse.</w:t>
      </w:r>
    </w:p>
    <w:p w14:paraId="62C585CB" w14:textId="77777777" w:rsidR="00552E55" w:rsidRPr="00096FF8" w:rsidRDefault="00552E55" w:rsidP="00490617">
      <w:pPr>
        <w:spacing w:line="480" w:lineRule="auto"/>
        <w:rPr>
          <w:rFonts w:asciiTheme="minorHAnsi" w:hAnsiTheme="minorHAnsi"/>
        </w:rPr>
      </w:pPr>
    </w:p>
    <w:p w14:paraId="62E56BEC" w14:textId="0434FA6D" w:rsidR="00552E55" w:rsidRDefault="00552E55" w:rsidP="00552E55">
      <w:pPr>
        <w:pStyle w:val="Heading2"/>
        <w:spacing w:before="0" w:line="480" w:lineRule="auto"/>
        <w:rPr>
          <w:rFonts w:asciiTheme="minorHAnsi" w:hAnsiTheme="minorHAnsi"/>
        </w:rPr>
      </w:pPr>
      <w:r>
        <w:rPr>
          <w:rFonts w:asciiTheme="minorHAnsi" w:hAnsiTheme="minorHAnsi"/>
        </w:rPr>
        <w:lastRenderedPageBreak/>
        <w:t>Research ethics</w:t>
      </w:r>
    </w:p>
    <w:p w14:paraId="166A39B8" w14:textId="0D44B2AB" w:rsidR="00552E55" w:rsidRDefault="00552E55" w:rsidP="00461DF3">
      <w:pPr>
        <w:spacing w:line="480" w:lineRule="auto"/>
      </w:pPr>
      <w:r w:rsidRPr="00552E55">
        <w:t xml:space="preserve">Research ethics approval was received from the Dyfed Powys Research Ethics Committee (Ref 12/WA/0191) and </w:t>
      </w:r>
      <w:r>
        <w:t xml:space="preserve">each local </w:t>
      </w:r>
      <w:r w:rsidRPr="00552E55">
        <w:t>authority</w:t>
      </w:r>
      <w:r>
        <w:t xml:space="preserve"> research site </w:t>
      </w:r>
      <w:r w:rsidRPr="00552E55">
        <w:t>gave Research Governance approval.</w:t>
      </w:r>
    </w:p>
    <w:p w14:paraId="310F08EF" w14:textId="77777777" w:rsidR="00552E55" w:rsidRPr="00461DF3" w:rsidRDefault="00552E55" w:rsidP="00461DF3">
      <w:pPr>
        <w:spacing w:line="480" w:lineRule="auto"/>
      </w:pPr>
    </w:p>
    <w:p w14:paraId="74ADED70" w14:textId="5086EAAA" w:rsidR="00621FA4" w:rsidRDefault="00552E55" w:rsidP="00461DF3">
      <w:pPr>
        <w:pStyle w:val="Heading2"/>
        <w:spacing w:before="0" w:line="480" w:lineRule="auto"/>
        <w:rPr>
          <w:rFonts w:asciiTheme="minorHAnsi" w:hAnsiTheme="minorHAnsi"/>
        </w:rPr>
      </w:pPr>
      <w:r>
        <w:rPr>
          <w:rFonts w:asciiTheme="minorHAnsi" w:hAnsiTheme="minorHAnsi"/>
        </w:rPr>
        <w:t>F</w:t>
      </w:r>
      <w:r w:rsidR="00621FA4">
        <w:rPr>
          <w:rFonts w:asciiTheme="minorHAnsi" w:hAnsiTheme="minorHAnsi"/>
        </w:rPr>
        <w:t>und</w:t>
      </w:r>
      <w:r>
        <w:rPr>
          <w:rFonts w:asciiTheme="minorHAnsi" w:hAnsiTheme="minorHAnsi"/>
        </w:rPr>
        <w:t>ing</w:t>
      </w:r>
    </w:p>
    <w:p w14:paraId="4EFCF913" w14:textId="6A603FAD" w:rsidR="00621FA4" w:rsidRPr="00461DF3" w:rsidRDefault="00621FA4" w:rsidP="00461DF3">
      <w:pPr>
        <w:spacing w:line="480" w:lineRule="auto"/>
      </w:pPr>
      <w:r w:rsidRPr="00621FA4">
        <w:t>This study was funded by the National Institute of Health Research School for Social Care  Research</w:t>
      </w:r>
      <w:r>
        <w:t xml:space="preserve"> </w:t>
      </w:r>
      <w:r w:rsidRPr="00621FA4">
        <w:t>(SSCR) (Ref: T976/EM/KCL2)</w:t>
      </w:r>
    </w:p>
    <w:p w14:paraId="359537E4" w14:textId="77777777" w:rsidR="00621FA4" w:rsidRPr="00461DF3" w:rsidRDefault="00621FA4" w:rsidP="00461DF3">
      <w:pPr>
        <w:spacing w:line="480" w:lineRule="auto"/>
      </w:pPr>
    </w:p>
    <w:p w14:paraId="14C5C80F" w14:textId="4F7AD048" w:rsidR="00621FA4" w:rsidRDefault="00621FA4" w:rsidP="00461DF3">
      <w:pPr>
        <w:pStyle w:val="Heading2"/>
        <w:spacing w:before="0" w:line="480" w:lineRule="auto"/>
        <w:rPr>
          <w:rFonts w:asciiTheme="minorHAnsi" w:hAnsiTheme="minorHAnsi"/>
        </w:rPr>
      </w:pPr>
      <w:r>
        <w:rPr>
          <w:rFonts w:asciiTheme="minorHAnsi" w:hAnsiTheme="minorHAnsi"/>
        </w:rPr>
        <w:t>Acknowledgements and disclaimer</w:t>
      </w:r>
    </w:p>
    <w:p w14:paraId="37B7F704" w14:textId="512EEED4" w:rsidR="00621FA4" w:rsidRDefault="00621FA4" w:rsidP="00461DF3">
      <w:pPr>
        <w:spacing w:line="480" w:lineRule="auto"/>
      </w:pPr>
      <w:r>
        <w:t>Many thanks to the SSCR and all participants in the research. The views expressed in the paper are those of the authors and not those of the SSCR.</w:t>
      </w:r>
    </w:p>
    <w:p w14:paraId="153C3147" w14:textId="77777777" w:rsidR="00621FA4" w:rsidRPr="00461DF3" w:rsidRDefault="00621FA4" w:rsidP="00461DF3"/>
    <w:p w14:paraId="4CAD8F0A" w14:textId="0298B72D" w:rsidR="00F6429B" w:rsidRPr="00096FF8" w:rsidRDefault="00F6429B" w:rsidP="00490617">
      <w:pPr>
        <w:pStyle w:val="Heading2"/>
        <w:spacing w:before="0" w:line="480" w:lineRule="auto"/>
        <w:rPr>
          <w:rFonts w:asciiTheme="minorHAnsi" w:hAnsiTheme="minorHAnsi"/>
        </w:rPr>
      </w:pPr>
      <w:r w:rsidRPr="00096FF8">
        <w:rPr>
          <w:rFonts w:asciiTheme="minorHAnsi" w:hAnsiTheme="minorHAnsi"/>
        </w:rPr>
        <w:t>References</w:t>
      </w:r>
    </w:p>
    <w:p w14:paraId="39554C53" w14:textId="6A436A43" w:rsidR="00F6429B" w:rsidRPr="00096FF8" w:rsidRDefault="00F6429B" w:rsidP="00490617">
      <w:pPr>
        <w:autoSpaceDE w:val="0"/>
        <w:autoSpaceDN w:val="0"/>
        <w:adjustRightInd w:val="0"/>
        <w:spacing w:line="480" w:lineRule="auto"/>
        <w:rPr>
          <w:rFonts w:asciiTheme="minorHAnsi" w:hAnsiTheme="minorHAnsi" w:cs="Arial"/>
          <w:szCs w:val="24"/>
        </w:rPr>
      </w:pPr>
      <w:r w:rsidRPr="00096FF8">
        <w:rPr>
          <w:rFonts w:asciiTheme="minorHAnsi" w:hAnsiTheme="minorHAnsi" w:cs="Arial"/>
          <w:szCs w:val="24"/>
        </w:rPr>
        <w:t>Adams, L. and Godwin, L. (2008)</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iCs/>
          <w:szCs w:val="24"/>
        </w:rPr>
        <w:t>Employment Aspects and Workforce Implications of Direct Payments (Prepared for Skills for Care)</w:t>
      </w:r>
      <w:r w:rsidR="00201208" w:rsidRPr="00096FF8">
        <w:rPr>
          <w:rFonts w:asciiTheme="minorHAnsi" w:hAnsiTheme="minorHAnsi" w:cs="Arial"/>
          <w:i/>
          <w:iCs/>
          <w:szCs w:val="24"/>
        </w:rPr>
        <w:t>.</w:t>
      </w:r>
      <w:r w:rsidRPr="00096FF8">
        <w:rPr>
          <w:rFonts w:asciiTheme="minorHAnsi" w:hAnsiTheme="minorHAnsi" w:cs="Arial"/>
          <w:i/>
          <w:iCs/>
          <w:szCs w:val="24"/>
        </w:rPr>
        <w:t xml:space="preserve"> </w:t>
      </w:r>
      <w:r w:rsidRPr="00096FF8">
        <w:rPr>
          <w:rFonts w:asciiTheme="minorHAnsi" w:hAnsiTheme="minorHAnsi" w:cs="Arial"/>
          <w:szCs w:val="24"/>
        </w:rPr>
        <w:t>London: IFF Research.</w:t>
      </w:r>
      <w:r w:rsidR="00EE3594" w:rsidRPr="00096FF8">
        <w:rPr>
          <w:rFonts w:asciiTheme="minorHAnsi" w:hAnsiTheme="minorHAnsi" w:cs="Arial"/>
          <w:szCs w:val="24"/>
        </w:rPr>
        <w:t xml:space="preserve"> </w:t>
      </w:r>
      <w:r w:rsidR="00F76399" w:rsidRPr="00096FF8">
        <w:rPr>
          <w:rFonts w:asciiTheme="minorHAnsi" w:hAnsiTheme="minorHAnsi" w:cs="Arial"/>
          <w:szCs w:val="24"/>
        </w:rPr>
        <w:t>Retrieved from</w:t>
      </w:r>
      <w:r w:rsidR="00EE3594" w:rsidRPr="00096FF8">
        <w:rPr>
          <w:rFonts w:asciiTheme="minorHAnsi" w:hAnsiTheme="minorHAnsi" w:cs="Arial"/>
          <w:szCs w:val="24"/>
        </w:rPr>
        <w:t xml:space="preserve"> </w:t>
      </w:r>
      <w:hyperlink r:id="rId10" w:history="1">
        <w:r w:rsidR="00EE3594" w:rsidRPr="00096FF8">
          <w:rPr>
            <w:rStyle w:val="Hyperlink"/>
            <w:rFonts w:asciiTheme="minorHAnsi" w:hAnsiTheme="minorHAnsi" w:cs="Arial"/>
            <w:szCs w:val="24"/>
          </w:rPr>
          <w:t>http://panet.org.uk/wp-content/uploads/2011/08/Employment-Aspects-of-Direct-PaymentsReport.pdf</w:t>
        </w:r>
      </w:hyperlink>
      <w:r w:rsidR="00EE3594" w:rsidRPr="00096FF8">
        <w:rPr>
          <w:rFonts w:asciiTheme="minorHAnsi" w:hAnsiTheme="minorHAnsi" w:cs="Arial"/>
          <w:szCs w:val="24"/>
        </w:rPr>
        <w:t xml:space="preserve"> (Accessed </w:t>
      </w:r>
      <w:r w:rsidR="00F76399" w:rsidRPr="00096FF8">
        <w:rPr>
          <w:rFonts w:asciiTheme="minorHAnsi" w:hAnsiTheme="minorHAnsi" w:cs="Arial"/>
          <w:szCs w:val="24"/>
        </w:rPr>
        <w:t>14</w:t>
      </w:r>
      <w:r w:rsidR="00EE3594" w:rsidRPr="00096FF8">
        <w:rPr>
          <w:rFonts w:asciiTheme="minorHAnsi" w:hAnsiTheme="minorHAnsi" w:cs="Arial"/>
          <w:szCs w:val="24"/>
        </w:rPr>
        <w:t>/</w:t>
      </w:r>
      <w:r w:rsidR="00F76399" w:rsidRPr="00096FF8">
        <w:rPr>
          <w:rFonts w:asciiTheme="minorHAnsi" w:hAnsiTheme="minorHAnsi" w:cs="Arial"/>
          <w:szCs w:val="24"/>
        </w:rPr>
        <w:t>12</w:t>
      </w:r>
      <w:r w:rsidR="00EE3594" w:rsidRPr="00096FF8">
        <w:rPr>
          <w:rFonts w:asciiTheme="minorHAnsi" w:hAnsiTheme="minorHAnsi" w:cs="Arial"/>
          <w:szCs w:val="24"/>
        </w:rPr>
        <w:t>/2015).</w:t>
      </w:r>
    </w:p>
    <w:p w14:paraId="185DCFE4" w14:textId="77777777" w:rsidR="00522F95" w:rsidRPr="00096FF8" w:rsidRDefault="00522F95" w:rsidP="00490617">
      <w:pPr>
        <w:spacing w:line="480" w:lineRule="auto"/>
        <w:rPr>
          <w:rFonts w:asciiTheme="minorHAnsi" w:hAnsiTheme="minorHAnsi" w:cs="Arial"/>
          <w:szCs w:val="24"/>
        </w:rPr>
      </w:pPr>
    </w:p>
    <w:p w14:paraId="61FD1918" w14:textId="186682B2" w:rsidR="00522F95" w:rsidRPr="00096FF8" w:rsidRDefault="00522F95" w:rsidP="00490617">
      <w:pPr>
        <w:spacing w:line="480" w:lineRule="auto"/>
        <w:rPr>
          <w:rFonts w:asciiTheme="minorHAnsi" w:hAnsiTheme="minorHAnsi"/>
        </w:rPr>
      </w:pPr>
      <w:r w:rsidRPr="00096FF8">
        <w:rPr>
          <w:rFonts w:asciiTheme="minorHAnsi" w:hAnsiTheme="minorHAnsi"/>
        </w:rPr>
        <w:t xml:space="preserve">ADASS </w:t>
      </w:r>
      <w:r w:rsidR="00D2723A" w:rsidRPr="00096FF8">
        <w:rPr>
          <w:rFonts w:asciiTheme="minorHAnsi" w:hAnsiTheme="minorHAnsi"/>
        </w:rPr>
        <w:t>(</w:t>
      </w:r>
      <w:r w:rsidRPr="00096FF8">
        <w:rPr>
          <w:rFonts w:asciiTheme="minorHAnsi" w:hAnsiTheme="minorHAnsi"/>
        </w:rPr>
        <w:t>2014</w:t>
      </w:r>
      <w:r w:rsidR="00201208" w:rsidRPr="00096FF8">
        <w:rPr>
          <w:rFonts w:asciiTheme="minorHAnsi" w:hAnsiTheme="minorHAnsi"/>
        </w:rPr>
        <w:t>.</w:t>
      </w:r>
      <w:r w:rsidR="00D2723A" w:rsidRPr="00096FF8">
        <w:rPr>
          <w:rFonts w:asciiTheme="minorHAnsi" w:hAnsiTheme="minorHAnsi"/>
        </w:rPr>
        <w:t>)</w:t>
      </w:r>
      <w:r w:rsidRPr="00096FF8">
        <w:rPr>
          <w:rFonts w:asciiTheme="minorHAnsi" w:hAnsiTheme="minorHAnsi"/>
        </w:rPr>
        <w:t xml:space="preserve"> ADASS </w:t>
      </w:r>
      <w:r w:rsidRPr="00096FF8">
        <w:rPr>
          <w:rFonts w:asciiTheme="minorHAnsi" w:hAnsiTheme="minorHAnsi"/>
          <w:i/>
        </w:rPr>
        <w:t>Personalisation Survey 2014: National Overview Report</w:t>
      </w:r>
      <w:r w:rsidR="000F0172" w:rsidRPr="00096FF8">
        <w:rPr>
          <w:rFonts w:asciiTheme="minorHAnsi" w:hAnsiTheme="minorHAnsi"/>
          <w:i/>
        </w:rPr>
        <w:t xml:space="preserve">. </w:t>
      </w:r>
      <w:r w:rsidRPr="00096FF8">
        <w:rPr>
          <w:rFonts w:asciiTheme="minorHAnsi" w:hAnsiTheme="minorHAnsi"/>
        </w:rPr>
        <w:t xml:space="preserve">London, ADASS. </w:t>
      </w:r>
      <w:r w:rsidR="00F76399" w:rsidRPr="00096FF8">
        <w:rPr>
          <w:rFonts w:asciiTheme="minorHAnsi" w:hAnsiTheme="minorHAnsi"/>
        </w:rPr>
        <w:t>Retrieved from</w:t>
      </w:r>
      <w:r w:rsidRPr="00096FF8">
        <w:rPr>
          <w:rFonts w:asciiTheme="minorHAnsi" w:hAnsiTheme="minorHAnsi"/>
        </w:rPr>
        <w:t xml:space="preserve"> </w:t>
      </w:r>
      <w:hyperlink r:id="rId11" w:history="1">
        <w:r w:rsidRPr="00096FF8">
          <w:rPr>
            <w:rStyle w:val="Hyperlink"/>
            <w:rFonts w:asciiTheme="minorHAnsi" w:hAnsiTheme="minorHAnsi"/>
          </w:rPr>
          <w:t>http://www.adass.org.uk/uploadedFiles/adass_content/policy_networks/personalisation/policy_network_reports/ADASSPersonalisationSurveyReport03102014.pdf</w:t>
        </w:r>
      </w:hyperlink>
      <w:r w:rsidRPr="00096FF8">
        <w:rPr>
          <w:rFonts w:asciiTheme="minorHAnsi" w:hAnsiTheme="minorHAnsi"/>
        </w:rPr>
        <w:t xml:space="preserve"> (</w:t>
      </w:r>
      <w:r w:rsidR="009A4850" w:rsidRPr="00096FF8">
        <w:rPr>
          <w:rFonts w:asciiTheme="minorHAnsi" w:hAnsiTheme="minorHAnsi"/>
        </w:rPr>
        <w:t>Accessed</w:t>
      </w:r>
      <w:r w:rsidRPr="00096FF8">
        <w:rPr>
          <w:rFonts w:asciiTheme="minorHAnsi" w:hAnsiTheme="minorHAnsi"/>
        </w:rPr>
        <w:t xml:space="preserve"> </w:t>
      </w:r>
      <w:r w:rsidR="00F76399" w:rsidRPr="00096FF8">
        <w:rPr>
          <w:rFonts w:asciiTheme="minorHAnsi" w:hAnsiTheme="minorHAnsi"/>
        </w:rPr>
        <w:t>14</w:t>
      </w:r>
      <w:r w:rsidR="00EE3594" w:rsidRPr="00096FF8">
        <w:rPr>
          <w:rFonts w:asciiTheme="minorHAnsi" w:hAnsiTheme="minorHAnsi"/>
        </w:rPr>
        <w:t>/</w:t>
      </w:r>
      <w:r w:rsidR="00F76399" w:rsidRPr="00096FF8">
        <w:rPr>
          <w:rFonts w:asciiTheme="minorHAnsi" w:hAnsiTheme="minorHAnsi"/>
        </w:rPr>
        <w:t>12</w:t>
      </w:r>
      <w:r w:rsidRPr="00096FF8">
        <w:rPr>
          <w:rFonts w:asciiTheme="minorHAnsi" w:hAnsiTheme="minorHAnsi"/>
        </w:rPr>
        <w:t>/2015</w:t>
      </w:r>
      <w:r w:rsidR="00201208" w:rsidRPr="00096FF8">
        <w:rPr>
          <w:rFonts w:asciiTheme="minorHAnsi" w:hAnsiTheme="minorHAnsi"/>
        </w:rPr>
        <w:t>.</w:t>
      </w:r>
    </w:p>
    <w:p w14:paraId="45B8A18F" w14:textId="77777777" w:rsidR="00522F95" w:rsidRPr="00096FF8" w:rsidRDefault="00522F95" w:rsidP="00490617">
      <w:pPr>
        <w:spacing w:line="480" w:lineRule="auto"/>
        <w:rPr>
          <w:rFonts w:asciiTheme="minorHAnsi" w:hAnsiTheme="minorHAnsi" w:cs="Arial"/>
          <w:szCs w:val="24"/>
        </w:rPr>
      </w:pPr>
    </w:p>
    <w:p w14:paraId="571ABDBE" w14:textId="2FB0B6C4" w:rsidR="00F6429B" w:rsidRPr="00096FF8" w:rsidRDefault="00F6429B" w:rsidP="00490617">
      <w:pPr>
        <w:spacing w:line="480" w:lineRule="auto"/>
        <w:rPr>
          <w:rFonts w:asciiTheme="minorHAnsi" w:hAnsiTheme="minorHAnsi" w:cs="Arial"/>
          <w:szCs w:val="24"/>
        </w:rPr>
      </w:pPr>
      <w:r w:rsidRPr="00096FF8">
        <w:rPr>
          <w:rFonts w:asciiTheme="minorHAnsi" w:hAnsiTheme="minorHAnsi" w:cs="Arial"/>
          <w:szCs w:val="24"/>
        </w:rPr>
        <w:t>Anonymous (2008)</w:t>
      </w:r>
      <w:r w:rsidR="00201208" w:rsidRPr="00096FF8">
        <w:rPr>
          <w:rFonts w:asciiTheme="minorHAnsi" w:hAnsiTheme="minorHAnsi" w:cs="Arial"/>
          <w:szCs w:val="24"/>
        </w:rPr>
        <w:t>.</w:t>
      </w:r>
      <w:r w:rsidRPr="00096FF8">
        <w:rPr>
          <w:rFonts w:asciiTheme="minorHAnsi" w:hAnsiTheme="minorHAnsi" w:cs="Arial"/>
          <w:szCs w:val="24"/>
        </w:rPr>
        <w:t xml:space="preserve"> In Control: making sure we’re not out of control! Some issues for people considering a Direct Payment or individualised budgets</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Journal of</w:t>
      </w:r>
      <w:r w:rsidRPr="00096FF8">
        <w:rPr>
          <w:rFonts w:asciiTheme="minorHAnsi" w:hAnsiTheme="minorHAnsi" w:cs="Arial"/>
          <w:szCs w:val="24"/>
        </w:rPr>
        <w:t xml:space="preserve"> </w:t>
      </w:r>
      <w:r w:rsidRPr="00096FF8">
        <w:rPr>
          <w:rFonts w:asciiTheme="minorHAnsi" w:hAnsiTheme="minorHAnsi" w:cs="Arial"/>
          <w:i/>
          <w:szCs w:val="24"/>
        </w:rPr>
        <w:t>Adult Protection</w:t>
      </w:r>
      <w:r w:rsidR="00F76399" w:rsidRPr="00096FF8">
        <w:rPr>
          <w:rFonts w:asciiTheme="minorHAnsi" w:hAnsiTheme="minorHAnsi" w:cs="Arial"/>
          <w:i/>
          <w:szCs w:val="24"/>
        </w:rPr>
        <w:t>,</w:t>
      </w:r>
      <w:r w:rsidRPr="00096FF8">
        <w:rPr>
          <w:rFonts w:asciiTheme="minorHAnsi" w:hAnsiTheme="minorHAnsi" w:cs="Arial"/>
          <w:szCs w:val="24"/>
        </w:rPr>
        <w:t xml:space="preserve"> 10(3)</w:t>
      </w:r>
      <w:r w:rsidR="00201208" w:rsidRPr="00096FF8">
        <w:rPr>
          <w:rFonts w:asciiTheme="minorHAnsi" w:hAnsiTheme="minorHAnsi" w:cs="Arial"/>
          <w:szCs w:val="24"/>
        </w:rPr>
        <w:t>,</w:t>
      </w:r>
      <w:r w:rsidRPr="00096FF8">
        <w:rPr>
          <w:rFonts w:asciiTheme="minorHAnsi" w:hAnsiTheme="minorHAnsi" w:cs="Arial"/>
          <w:szCs w:val="24"/>
        </w:rPr>
        <w:t xml:space="preserve"> 14-22.</w:t>
      </w:r>
      <w:r w:rsidR="00EE3594" w:rsidRPr="00096FF8">
        <w:rPr>
          <w:rFonts w:asciiTheme="minorHAnsi" w:hAnsiTheme="minorHAnsi" w:cs="Arial"/>
          <w:szCs w:val="24"/>
        </w:rPr>
        <w:t xml:space="preserve"> </w:t>
      </w:r>
      <w:r w:rsidR="001D3189" w:rsidRPr="00096FF8">
        <w:rPr>
          <w:rFonts w:asciiTheme="minorHAnsi" w:hAnsiTheme="minorHAnsi" w:cs="Arial"/>
          <w:szCs w:val="24"/>
        </w:rPr>
        <w:t>doi</w:t>
      </w:r>
      <w:r w:rsidR="00EE3594" w:rsidRPr="00096FF8">
        <w:rPr>
          <w:rFonts w:asciiTheme="minorHAnsi" w:hAnsiTheme="minorHAnsi" w:cs="Arial"/>
          <w:szCs w:val="24"/>
        </w:rPr>
        <w:t xml:space="preserve">: </w:t>
      </w:r>
      <w:hyperlink r:id="rId12" w:history="1">
        <w:r w:rsidR="00EE3594" w:rsidRPr="00096FF8">
          <w:rPr>
            <w:rStyle w:val="Hyperlink"/>
            <w:rFonts w:asciiTheme="minorHAnsi" w:hAnsiTheme="minorHAnsi" w:cs="Arial"/>
            <w:szCs w:val="24"/>
          </w:rPr>
          <w:t>http://dx.doi.org/10.1108/14668203200800016</w:t>
        </w:r>
      </w:hyperlink>
      <w:r w:rsidR="00EE3594" w:rsidRPr="00096FF8">
        <w:rPr>
          <w:rFonts w:asciiTheme="minorHAnsi" w:hAnsiTheme="minorHAnsi" w:cs="Arial"/>
          <w:szCs w:val="24"/>
        </w:rPr>
        <w:t xml:space="preserve"> </w:t>
      </w:r>
    </w:p>
    <w:p w14:paraId="37EE1736" w14:textId="77777777" w:rsidR="00F6429B" w:rsidRPr="00096FF8" w:rsidRDefault="00F6429B" w:rsidP="00490617">
      <w:pPr>
        <w:spacing w:line="480" w:lineRule="auto"/>
        <w:rPr>
          <w:rFonts w:asciiTheme="minorHAnsi" w:hAnsiTheme="minorHAnsi" w:cs="Arial"/>
          <w:szCs w:val="24"/>
        </w:rPr>
      </w:pPr>
    </w:p>
    <w:p w14:paraId="5A020019" w14:textId="6B38295F" w:rsidR="004F4159" w:rsidRPr="00096FF8" w:rsidRDefault="00EC44D5" w:rsidP="00490617">
      <w:pPr>
        <w:spacing w:line="480" w:lineRule="auto"/>
        <w:rPr>
          <w:rFonts w:asciiTheme="minorHAnsi" w:hAnsiTheme="minorHAnsi" w:cs="Arial"/>
          <w:szCs w:val="24"/>
        </w:rPr>
      </w:pPr>
      <w:r w:rsidRPr="00096FF8">
        <w:rPr>
          <w:rFonts w:asciiTheme="minorHAnsi" w:hAnsiTheme="minorHAnsi"/>
          <w:szCs w:val="24"/>
        </w:rPr>
        <w:t xml:space="preserve">Beresford, P. (2011). Person-centred support: the way forward or an enduring contradiction? </w:t>
      </w:r>
      <w:r w:rsidR="00017A61" w:rsidRPr="00096FF8">
        <w:rPr>
          <w:rFonts w:asciiTheme="minorHAnsi" w:hAnsiTheme="minorHAnsi" w:cs="Arial"/>
          <w:i/>
          <w:szCs w:val="24"/>
        </w:rPr>
        <w:t>Open Mind</w:t>
      </w:r>
      <w:r w:rsidR="00F76399" w:rsidRPr="00096FF8">
        <w:rPr>
          <w:rFonts w:asciiTheme="minorHAnsi" w:hAnsiTheme="minorHAnsi" w:cs="Arial"/>
          <w:i/>
          <w:szCs w:val="24"/>
        </w:rPr>
        <w:t>,</w:t>
      </w:r>
      <w:r w:rsidRPr="00096FF8">
        <w:rPr>
          <w:rFonts w:asciiTheme="minorHAnsi" w:hAnsiTheme="minorHAnsi" w:cs="Arial"/>
          <w:szCs w:val="24"/>
        </w:rPr>
        <w:t xml:space="preserve"> 167, 16-17.</w:t>
      </w:r>
      <w:r w:rsidR="000827C2" w:rsidRPr="00096FF8">
        <w:rPr>
          <w:rFonts w:asciiTheme="minorHAnsi" w:hAnsiTheme="minorHAnsi" w:cs="Arial"/>
          <w:szCs w:val="24"/>
        </w:rPr>
        <w:t xml:space="preserve"> </w:t>
      </w:r>
      <w:r w:rsidR="00F76399" w:rsidRPr="00096FF8">
        <w:rPr>
          <w:rFonts w:asciiTheme="minorHAnsi" w:hAnsiTheme="minorHAnsi" w:cs="Arial"/>
          <w:szCs w:val="24"/>
        </w:rPr>
        <w:t>Retrieved from</w:t>
      </w:r>
      <w:r w:rsidR="000827C2" w:rsidRPr="00096FF8">
        <w:rPr>
          <w:rFonts w:asciiTheme="minorHAnsi" w:hAnsiTheme="minorHAnsi" w:cs="Arial"/>
          <w:szCs w:val="24"/>
        </w:rPr>
        <w:t>:</w:t>
      </w:r>
      <w:r w:rsidR="0020384A" w:rsidRPr="00096FF8">
        <w:rPr>
          <w:rFonts w:asciiTheme="minorHAnsi" w:hAnsiTheme="minorHAnsi" w:cs="Arial"/>
          <w:szCs w:val="24"/>
        </w:rPr>
        <w:t xml:space="preserve"> </w:t>
      </w:r>
      <w:hyperlink r:id="rId13" w:history="1">
        <w:r w:rsidR="0020384A" w:rsidRPr="00096FF8">
          <w:rPr>
            <w:rStyle w:val="Hyperlink"/>
            <w:rFonts w:asciiTheme="minorHAnsi" w:hAnsiTheme="minorHAnsi" w:cs="Arial"/>
            <w:szCs w:val="24"/>
          </w:rPr>
          <w:t>http://issuu.com/mindcharity/docs/om167/6</w:t>
        </w:r>
      </w:hyperlink>
      <w:r w:rsidR="0020384A" w:rsidRPr="00096FF8">
        <w:rPr>
          <w:rFonts w:asciiTheme="minorHAnsi" w:hAnsiTheme="minorHAnsi" w:cs="Arial"/>
          <w:szCs w:val="24"/>
        </w:rPr>
        <w:t xml:space="preserve"> (Accessed 23/04/2015)</w:t>
      </w:r>
    </w:p>
    <w:p w14:paraId="19CAB279" w14:textId="77777777" w:rsidR="004F4159" w:rsidRPr="00096FF8" w:rsidRDefault="004F4159" w:rsidP="00490617">
      <w:pPr>
        <w:spacing w:line="480" w:lineRule="auto"/>
        <w:rPr>
          <w:rFonts w:asciiTheme="minorHAnsi" w:hAnsiTheme="minorHAnsi" w:cs="Arial"/>
          <w:szCs w:val="24"/>
        </w:rPr>
      </w:pPr>
    </w:p>
    <w:p w14:paraId="43FD4FC1" w14:textId="3808010C" w:rsidR="00522F95" w:rsidRPr="00096FF8" w:rsidRDefault="00522F95" w:rsidP="00490617">
      <w:pPr>
        <w:spacing w:line="480" w:lineRule="auto"/>
        <w:rPr>
          <w:rFonts w:asciiTheme="minorHAnsi" w:hAnsiTheme="minorHAnsi"/>
        </w:rPr>
      </w:pPr>
      <w:r w:rsidRPr="00096FF8">
        <w:rPr>
          <w:rFonts w:asciiTheme="minorHAnsi" w:hAnsiTheme="minorHAnsi"/>
        </w:rPr>
        <w:t>Bondi</w:t>
      </w:r>
      <w:r w:rsidR="00D97FC1" w:rsidRPr="00096FF8">
        <w:rPr>
          <w:rFonts w:asciiTheme="minorHAnsi" w:hAnsiTheme="minorHAnsi"/>
        </w:rPr>
        <w:t>, L.</w:t>
      </w:r>
      <w:r w:rsidRPr="00096FF8">
        <w:rPr>
          <w:rFonts w:asciiTheme="minorHAnsi" w:hAnsiTheme="minorHAnsi"/>
        </w:rPr>
        <w:t xml:space="preserve"> (2005)</w:t>
      </w:r>
      <w:r w:rsidR="00201208" w:rsidRPr="00096FF8">
        <w:rPr>
          <w:rFonts w:asciiTheme="minorHAnsi" w:hAnsiTheme="minorHAnsi"/>
        </w:rPr>
        <w:t>.</w:t>
      </w:r>
      <w:r w:rsidRPr="00096FF8">
        <w:rPr>
          <w:rFonts w:asciiTheme="minorHAnsi" w:hAnsiTheme="minorHAnsi"/>
        </w:rPr>
        <w:t xml:space="preserve"> Working the Spaces of Neoliberal Subjectivity: Psychotherapeutic Technologies</w:t>
      </w:r>
      <w:r w:rsidR="00201208" w:rsidRPr="00096FF8">
        <w:rPr>
          <w:rFonts w:asciiTheme="minorHAnsi" w:hAnsiTheme="minorHAnsi"/>
        </w:rPr>
        <w:t>,</w:t>
      </w:r>
      <w:r w:rsidRPr="00096FF8">
        <w:rPr>
          <w:rFonts w:asciiTheme="minorHAnsi" w:hAnsiTheme="minorHAnsi"/>
        </w:rPr>
        <w:t xml:space="preserve"> Professionalisation and Counselling</w:t>
      </w:r>
      <w:r w:rsidR="00201208" w:rsidRPr="00096FF8">
        <w:rPr>
          <w:rFonts w:asciiTheme="minorHAnsi" w:hAnsiTheme="minorHAnsi"/>
        </w:rPr>
        <w:t>.</w:t>
      </w:r>
      <w:r w:rsidRPr="00096FF8">
        <w:rPr>
          <w:rFonts w:asciiTheme="minorHAnsi" w:hAnsiTheme="minorHAnsi"/>
        </w:rPr>
        <w:t xml:space="preserve"> </w:t>
      </w:r>
      <w:r w:rsidRPr="00096FF8">
        <w:rPr>
          <w:rFonts w:asciiTheme="minorHAnsi" w:hAnsiTheme="minorHAnsi"/>
          <w:i/>
        </w:rPr>
        <w:t>Antipode,</w:t>
      </w:r>
      <w:r w:rsidRPr="00096FF8">
        <w:rPr>
          <w:rFonts w:asciiTheme="minorHAnsi" w:hAnsiTheme="minorHAnsi"/>
        </w:rPr>
        <w:t xml:space="preserve"> 37(3)</w:t>
      </w:r>
      <w:r w:rsidR="00F76399" w:rsidRPr="00096FF8">
        <w:rPr>
          <w:rFonts w:asciiTheme="minorHAnsi" w:hAnsiTheme="minorHAnsi"/>
        </w:rPr>
        <w:t xml:space="preserve">, </w:t>
      </w:r>
      <w:r w:rsidRPr="00096FF8">
        <w:rPr>
          <w:rFonts w:asciiTheme="minorHAnsi" w:hAnsiTheme="minorHAnsi"/>
        </w:rPr>
        <w:t xml:space="preserve">497–514. </w:t>
      </w:r>
    </w:p>
    <w:p w14:paraId="67E9707C" w14:textId="261CEE98" w:rsidR="00522F95" w:rsidRPr="00096FF8" w:rsidRDefault="001D3189" w:rsidP="00490617">
      <w:pPr>
        <w:spacing w:line="480" w:lineRule="auto"/>
        <w:rPr>
          <w:rFonts w:asciiTheme="minorHAnsi" w:hAnsiTheme="minorHAnsi"/>
        </w:rPr>
      </w:pPr>
      <w:r w:rsidRPr="00096FF8">
        <w:rPr>
          <w:rFonts w:asciiTheme="minorHAnsi" w:hAnsiTheme="minorHAnsi"/>
        </w:rPr>
        <w:t>doi</w:t>
      </w:r>
      <w:r w:rsidR="00522F95" w:rsidRPr="00096FF8">
        <w:rPr>
          <w:rFonts w:asciiTheme="minorHAnsi" w:hAnsiTheme="minorHAnsi"/>
        </w:rPr>
        <w:t>: 10.1111/j.0066-4812.2005.00508.x</w:t>
      </w:r>
    </w:p>
    <w:p w14:paraId="018D28EE" w14:textId="77777777" w:rsidR="00522F95" w:rsidRPr="00096FF8" w:rsidRDefault="00522F95" w:rsidP="00490617">
      <w:pPr>
        <w:spacing w:line="480" w:lineRule="auto"/>
        <w:rPr>
          <w:rFonts w:asciiTheme="minorHAnsi" w:hAnsiTheme="minorHAnsi" w:cs="Arial"/>
          <w:szCs w:val="24"/>
        </w:rPr>
      </w:pPr>
    </w:p>
    <w:p w14:paraId="70A7D174" w14:textId="3EFA10C4" w:rsidR="00F6429B" w:rsidRPr="00096FF8" w:rsidRDefault="00F6429B" w:rsidP="00490617">
      <w:pPr>
        <w:spacing w:line="480" w:lineRule="auto"/>
        <w:rPr>
          <w:rFonts w:asciiTheme="minorHAnsi" w:hAnsiTheme="minorHAnsi" w:cs="Arial"/>
          <w:szCs w:val="24"/>
        </w:rPr>
      </w:pPr>
      <w:r w:rsidRPr="00096FF8">
        <w:rPr>
          <w:rFonts w:asciiTheme="minorHAnsi" w:hAnsiTheme="minorHAnsi" w:cs="Arial"/>
          <w:szCs w:val="24"/>
        </w:rPr>
        <w:t>Bowes, A., Avan, G. and Macintosh, S. (2008)</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They put up with it – what else can they do? Mistreatment of black and minority ethnic older people and the service response</w:t>
      </w:r>
      <w:r w:rsidR="00201208" w:rsidRPr="00096FF8">
        <w:rPr>
          <w:rFonts w:asciiTheme="minorHAnsi" w:hAnsiTheme="minorHAnsi" w:cs="Arial"/>
          <w:i/>
          <w:szCs w:val="24"/>
        </w:rPr>
        <w:t>.</w:t>
      </w:r>
      <w:r w:rsidRPr="00096FF8">
        <w:rPr>
          <w:rFonts w:asciiTheme="minorHAnsi" w:hAnsiTheme="minorHAnsi" w:cs="Arial"/>
          <w:szCs w:val="24"/>
        </w:rPr>
        <w:t xml:space="preserve"> Edinburgh, Age Concern Scotland.</w:t>
      </w:r>
      <w:r w:rsidR="00EE3594" w:rsidRPr="00096FF8">
        <w:rPr>
          <w:rFonts w:asciiTheme="minorHAnsi" w:hAnsiTheme="minorHAnsi" w:cs="Arial"/>
          <w:szCs w:val="24"/>
        </w:rPr>
        <w:t xml:space="preserve"> </w:t>
      </w:r>
      <w:r w:rsidR="00F76399" w:rsidRPr="00096FF8">
        <w:rPr>
          <w:rFonts w:asciiTheme="minorHAnsi" w:hAnsiTheme="minorHAnsi" w:cs="Arial"/>
          <w:szCs w:val="24"/>
        </w:rPr>
        <w:t>Retrieved from</w:t>
      </w:r>
      <w:r w:rsidR="00EE3594" w:rsidRPr="00096FF8">
        <w:rPr>
          <w:rFonts w:asciiTheme="minorHAnsi" w:hAnsiTheme="minorHAnsi" w:cs="Arial"/>
          <w:szCs w:val="24"/>
        </w:rPr>
        <w:t xml:space="preserve">: </w:t>
      </w:r>
      <w:hyperlink r:id="rId14" w:history="1">
        <w:r w:rsidR="00EE3594" w:rsidRPr="00096FF8">
          <w:rPr>
            <w:rStyle w:val="Hyperlink"/>
            <w:rFonts w:asciiTheme="minorHAnsi" w:hAnsiTheme="minorHAnsi" w:cs="Arial"/>
            <w:szCs w:val="24"/>
          </w:rPr>
          <w:t>https://dspace.stir.ac.uk/bitstream/1893/7346/1/BowesReport.pdf</w:t>
        </w:r>
      </w:hyperlink>
      <w:r w:rsidR="00EE3594" w:rsidRPr="00096FF8">
        <w:rPr>
          <w:rFonts w:asciiTheme="minorHAnsi" w:hAnsiTheme="minorHAnsi" w:cs="Arial"/>
          <w:szCs w:val="24"/>
        </w:rPr>
        <w:t xml:space="preserve"> (Accessed 23/04/2015).</w:t>
      </w:r>
    </w:p>
    <w:p w14:paraId="711B34B4" w14:textId="77777777" w:rsidR="00F6429B" w:rsidRPr="00096FF8" w:rsidRDefault="00F6429B" w:rsidP="00490617">
      <w:pPr>
        <w:spacing w:line="480" w:lineRule="auto"/>
        <w:rPr>
          <w:rFonts w:asciiTheme="minorHAnsi" w:hAnsiTheme="minorHAnsi" w:cs="Arial"/>
          <w:szCs w:val="24"/>
        </w:rPr>
      </w:pPr>
    </w:p>
    <w:p w14:paraId="3BC1D2A7" w14:textId="3B4CFBD6" w:rsidR="00983609" w:rsidRPr="00096FF8" w:rsidRDefault="00983609" w:rsidP="00490617">
      <w:pPr>
        <w:spacing w:line="480" w:lineRule="auto"/>
        <w:rPr>
          <w:rFonts w:asciiTheme="minorHAnsi" w:hAnsiTheme="minorHAnsi" w:cs="Arial"/>
          <w:szCs w:val="24"/>
        </w:rPr>
      </w:pPr>
      <w:r w:rsidRPr="00096FF8">
        <w:rPr>
          <w:rFonts w:asciiTheme="minorHAnsi" w:hAnsiTheme="minorHAnsi" w:cs="Arial"/>
          <w:szCs w:val="24"/>
        </w:rPr>
        <w:t>Burton, M. and Kagan, C. (2006)</w:t>
      </w:r>
      <w:r w:rsidR="00201208" w:rsidRPr="00096FF8">
        <w:rPr>
          <w:rFonts w:asciiTheme="minorHAnsi" w:hAnsiTheme="minorHAnsi" w:cs="Arial"/>
          <w:szCs w:val="24"/>
        </w:rPr>
        <w:t>.</w:t>
      </w:r>
      <w:r w:rsidRPr="00096FF8">
        <w:rPr>
          <w:rFonts w:asciiTheme="minorHAnsi" w:hAnsiTheme="minorHAnsi" w:cs="Arial"/>
          <w:szCs w:val="24"/>
        </w:rPr>
        <w:t xml:space="preserve"> Decoding </w:t>
      </w:r>
      <w:r w:rsidR="001A2F40" w:rsidRPr="00096FF8">
        <w:rPr>
          <w:rFonts w:asciiTheme="minorHAnsi" w:hAnsiTheme="minorHAnsi" w:cs="Arial"/>
          <w:szCs w:val="24"/>
        </w:rPr>
        <w:t>Valuing People</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Disability &amp; Society</w:t>
      </w:r>
      <w:r w:rsidRPr="00096FF8">
        <w:rPr>
          <w:rFonts w:asciiTheme="minorHAnsi" w:hAnsiTheme="minorHAnsi" w:cs="Arial"/>
          <w:szCs w:val="24"/>
        </w:rPr>
        <w:t>, 21</w:t>
      </w:r>
      <w:r w:rsidR="00F76399" w:rsidRPr="00096FF8">
        <w:rPr>
          <w:rFonts w:asciiTheme="minorHAnsi" w:hAnsiTheme="minorHAnsi" w:cs="Arial"/>
          <w:szCs w:val="24"/>
        </w:rPr>
        <w:t>(</w:t>
      </w:r>
      <w:r w:rsidRPr="00096FF8">
        <w:rPr>
          <w:rFonts w:asciiTheme="minorHAnsi" w:hAnsiTheme="minorHAnsi" w:cs="Arial"/>
          <w:szCs w:val="24"/>
        </w:rPr>
        <w:t>4</w:t>
      </w:r>
      <w:r w:rsidR="00F76399" w:rsidRPr="00096FF8">
        <w:rPr>
          <w:rFonts w:asciiTheme="minorHAnsi" w:hAnsiTheme="minorHAnsi" w:cs="Arial"/>
          <w:szCs w:val="24"/>
        </w:rPr>
        <w:t>)</w:t>
      </w:r>
      <w:r w:rsidRPr="00096FF8">
        <w:rPr>
          <w:rFonts w:asciiTheme="minorHAnsi" w:hAnsiTheme="minorHAnsi" w:cs="Arial"/>
          <w:szCs w:val="24"/>
        </w:rPr>
        <w:t>, 299–313.</w:t>
      </w:r>
      <w:r w:rsidR="00EE3594" w:rsidRPr="00096FF8">
        <w:rPr>
          <w:rFonts w:asciiTheme="minorHAnsi" w:hAnsiTheme="minorHAnsi" w:cs="Arial"/>
          <w:szCs w:val="24"/>
        </w:rPr>
        <w:t xml:space="preserve"> </w:t>
      </w:r>
      <w:r w:rsidR="001D3189" w:rsidRPr="00096FF8">
        <w:rPr>
          <w:rFonts w:asciiTheme="minorHAnsi" w:hAnsiTheme="minorHAnsi" w:cs="Arial"/>
          <w:szCs w:val="24"/>
        </w:rPr>
        <w:t>doi</w:t>
      </w:r>
      <w:r w:rsidR="00EE3594" w:rsidRPr="00096FF8">
        <w:rPr>
          <w:rFonts w:asciiTheme="minorHAnsi" w:hAnsiTheme="minorHAnsi" w:cs="Arial"/>
          <w:szCs w:val="24"/>
        </w:rPr>
        <w:t>:10.1080/09687590600679899.</w:t>
      </w:r>
    </w:p>
    <w:p w14:paraId="15BB34DA" w14:textId="77777777" w:rsidR="00F6429B" w:rsidRPr="00096FF8" w:rsidRDefault="00F6429B" w:rsidP="00490617">
      <w:pPr>
        <w:spacing w:line="480" w:lineRule="auto"/>
        <w:rPr>
          <w:rFonts w:asciiTheme="minorHAnsi" w:hAnsiTheme="minorHAnsi" w:cs="Arial"/>
          <w:szCs w:val="24"/>
        </w:rPr>
      </w:pPr>
    </w:p>
    <w:p w14:paraId="49E73D0D" w14:textId="4E617FF3" w:rsidR="00F6429B" w:rsidRPr="00096FF8" w:rsidRDefault="00F6429B" w:rsidP="00490617">
      <w:pPr>
        <w:spacing w:line="480" w:lineRule="auto"/>
        <w:rPr>
          <w:rFonts w:asciiTheme="minorHAnsi" w:hAnsiTheme="minorHAnsi"/>
          <w:lang w:eastAsia="en-US"/>
        </w:rPr>
      </w:pPr>
      <w:r w:rsidRPr="00096FF8">
        <w:rPr>
          <w:rFonts w:asciiTheme="minorHAnsi" w:hAnsiTheme="minorHAnsi"/>
          <w:i/>
          <w:lang w:eastAsia="en-US"/>
        </w:rPr>
        <w:t xml:space="preserve">Care Act 2014 Ch.23 </w:t>
      </w:r>
      <w:r w:rsidR="00201208" w:rsidRPr="00096FF8">
        <w:rPr>
          <w:rFonts w:asciiTheme="minorHAnsi" w:hAnsiTheme="minorHAnsi"/>
          <w:lang w:eastAsia="en-US"/>
        </w:rPr>
        <w:t xml:space="preserve">London HMSO </w:t>
      </w:r>
      <w:r w:rsidR="00F76399" w:rsidRPr="00096FF8">
        <w:rPr>
          <w:rFonts w:asciiTheme="minorHAnsi" w:hAnsiTheme="minorHAnsi"/>
          <w:lang w:eastAsia="en-US"/>
        </w:rPr>
        <w:t>Retrieved from</w:t>
      </w:r>
      <w:r w:rsidR="00201208" w:rsidRPr="00096FF8">
        <w:rPr>
          <w:rFonts w:asciiTheme="minorHAnsi" w:hAnsiTheme="minorHAnsi"/>
          <w:lang w:eastAsia="en-US"/>
        </w:rPr>
        <w:t xml:space="preserve">: </w:t>
      </w:r>
      <w:hyperlink r:id="rId15" w:history="1">
        <w:r w:rsidRPr="00096FF8">
          <w:rPr>
            <w:rStyle w:val="Hyperlink"/>
            <w:rFonts w:asciiTheme="minorHAnsi" w:hAnsiTheme="minorHAnsi"/>
            <w:lang w:eastAsia="en-US"/>
          </w:rPr>
          <w:t>http://www.legislation.gov.uk/ukpga/2014/23/contents/enacted/data.htm</w:t>
        </w:r>
      </w:hyperlink>
      <w:r w:rsidRPr="00096FF8">
        <w:rPr>
          <w:rFonts w:asciiTheme="minorHAnsi" w:hAnsiTheme="minorHAnsi"/>
          <w:lang w:eastAsia="en-US"/>
        </w:rPr>
        <w:t xml:space="preserve"> (</w:t>
      </w:r>
      <w:r w:rsidR="00F76399" w:rsidRPr="00096FF8">
        <w:rPr>
          <w:rFonts w:asciiTheme="minorHAnsi" w:hAnsiTheme="minorHAnsi"/>
          <w:lang w:eastAsia="en-US"/>
        </w:rPr>
        <w:t>Accessed</w:t>
      </w:r>
      <w:r w:rsidRPr="00096FF8">
        <w:rPr>
          <w:rFonts w:asciiTheme="minorHAnsi" w:hAnsiTheme="minorHAnsi"/>
          <w:lang w:eastAsia="en-US"/>
        </w:rPr>
        <w:t xml:space="preserve"> 2</w:t>
      </w:r>
      <w:r w:rsidR="00EE3594" w:rsidRPr="00096FF8">
        <w:rPr>
          <w:rFonts w:asciiTheme="minorHAnsi" w:hAnsiTheme="minorHAnsi"/>
          <w:lang w:eastAsia="en-US"/>
        </w:rPr>
        <w:t>3</w:t>
      </w:r>
      <w:r w:rsidRPr="00096FF8">
        <w:rPr>
          <w:rFonts w:asciiTheme="minorHAnsi" w:hAnsiTheme="minorHAnsi"/>
          <w:lang w:eastAsia="en-US"/>
        </w:rPr>
        <w:t>/0</w:t>
      </w:r>
      <w:r w:rsidR="00EE3594" w:rsidRPr="00096FF8">
        <w:rPr>
          <w:rFonts w:asciiTheme="minorHAnsi" w:hAnsiTheme="minorHAnsi"/>
          <w:lang w:eastAsia="en-US"/>
        </w:rPr>
        <w:t>4</w:t>
      </w:r>
      <w:r w:rsidRPr="00096FF8">
        <w:rPr>
          <w:rFonts w:asciiTheme="minorHAnsi" w:hAnsiTheme="minorHAnsi"/>
          <w:lang w:eastAsia="en-US"/>
        </w:rPr>
        <w:t>/201</w:t>
      </w:r>
      <w:r w:rsidR="00EE3594" w:rsidRPr="00096FF8">
        <w:rPr>
          <w:rFonts w:asciiTheme="minorHAnsi" w:hAnsiTheme="minorHAnsi"/>
          <w:lang w:eastAsia="en-US"/>
        </w:rPr>
        <w:t>5</w:t>
      </w:r>
      <w:r w:rsidRPr="00096FF8">
        <w:rPr>
          <w:rFonts w:asciiTheme="minorHAnsi" w:hAnsiTheme="minorHAnsi"/>
          <w:lang w:eastAsia="en-US"/>
        </w:rPr>
        <w:t>)</w:t>
      </w:r>
      <w:r w:rsidR="00EF1EFF" w:rsidRPr="00096FF8">
        <w:rPr>
          <w:rFonts w:asciiTheme="minorHAnsi" w:hAnsiTheme="minorHAnsi"/>
          <w:lang w:eastAsia="en-US"/>
        </w:rPr>
        <w:t>.</w:t>
      </w:r>
    </w:p>
    <w:p w14:paraId="471DFBDB" w14:textId="77777777" w:rsidR="00F6429B" w:rsidRPr="00096FF8" w:rsidRDefault="00F6429B" w:rsidP="00490617">
      <w:pPr>
        <w:spacing w:line="480" w:lineRule="auto"/>
        <w:rPr>
          <w:rFonts w:asciiTheme="minorHAnsi" w:hAnsiTheme="minorHAnsi" w:cs="Arial"/>
          <w:szCs w:val="24"/>
        </w:rPr>
      </w:pPr>
    </w:p>
    <w:p w14:paraId="6453DC1E" w14:textId="47B26724" w:rsidR="00522F95" w:rsidRPr="00096FF8" w:rsidRDefault="00522F95" w:rsidP="00490617">
      <w:pPr>
        <w:spacing w:line="480" w:lineRule="auto"/>
        <w:rPr>
          <w:rFonts w:asciiTheme="minorHAnsi" w:hAnsiTheme="minorHAnsi"/>
        </w:rPr>
      </w:pPr>
      <w:r w:rsidRPr="00096FF8">
        <w:rPr>
          <w:rFonts w:asciiTheme="minorHAnsi" w:hAnsiTheme="minorHAnsi"/>
        </w:rPr>
        <w:t>Carr, S. (2012)</w:t>
      </w:r>
      <w:r w:rsidR="00201208" w:rsidRPr="00096FF8">
        <w:rPr>
          <w:rFonts w:asciiTheme="minorHAnsi" w:hAnsiTheme="minorHAnsi"/>
        </w:rPr>
        <w:t>.</w:t>
      </w:r>
      <w:r w:rsidRPr="00096FF8">
        <w:rPr>
          <w:rFonts w:asciiTheme="minorHAnsi" w:hAnsiTheme="minorHAnsi"/>
        </w:rPr>
        <w:t xml:space="preserve"> </w:t>
      </w:r>
      <w:r w:rsidRPr="00096FF8">
        <w:rPr>
          <w:rFonts w:asciiTheme="minorHAnsi" w:hAnsiTheme="minorHAnsi"/>
          <w:i/>
        </w:rPr>
        <w:t>Personalisation: a Rough Guide, 2</w:t>
      </w:r>
      <w:r w:rsidRPr="00096FF8">
        <w:rPr>
          <w:rFonts w:asciiTheme="minorHAnsi" w:hAnsiTheme="minorHAnsi"/>
          <w:i/>
          <w:vertAlign w:val="superscript"/>
        </w:rPr>
        <w:t>nd</w:t>
      </w:r>
      <w:r w:rsidRPr="00096FF8">
        <w:rPr>
          <w:rFonts w:asciiTheme="minorHAnsi" w:hAnsiTheme="minorHAnsi"/>
          <w:i/>
        </w:rPr>
        <w:t xml:space="preserve"> Edition</w:t>
      </w:r>
      <w:r w:rsidR="00201208" w:rsidRPr="00096FF8">
        <w:rPr>
          <w:rFonts w:asciiTheme="minorHAnsi" w:hAnsiTheme="minorHAnsi"/>
          <w:i/>
        </w:rPr>
        <w:t>.</w:t>
      </w:r>
      <w:r w:rsidRPr="00096FF8">
        <w:rPr>
          <w:rFonts w:asciiTheme="minorHAnsi" w:hAnsiTheme="minorHAnsi"/>
        </w:rPr>
        <w:t xml:space="preserve"> London, Social Care Institute for Excellence. </w:t>
      </w:r>
      <w:r w:rsidR="00F76399" w:rsidRPr="00096FF8">
        <w:rPr>
          <w:rFonts w:asciiTheme="minorHAnsi" w:hAnsiTheme="minorHAnsi"/>
        </w:rPr>
        <w:t>Retrieved from</w:t>
      </w:r>
      <w:r w:rsidRPr="00096FF8">
        <w:rPr>
          <w:rFonts w:asciiTheme="minorHAnsi" w:hAnsiTheme="minorHAnsi"/>
        </w:rPr>
        <w:t xml:space="preserve">: </w:t>
      </w:r>
      <w:hyperlink r:id="rId16" w:history="1">
        <w:r w:rsidR="00257763" w:rsidRPr="00096FF8">
          <w:rPr>
            <w:rStyle w:val="Hyperlink"/>
            <w:rFonts w:asciiTheme="minorHAnsi" w:hAnsiTheme="minorHAnsi"/>
          </w:rPr>
          <w:t>http://www.scie.org.uk/publications/guides/guide47/files/guide47.pdf</w:t>
        </w:r>
      </w:hyperlink>
      <w:r w:rsidR="00257763" w:rsidRPr="00096FF8">
        <w:rPr>
          <w:rFonts w:asciiTheme="minorHAnsi" w:hAnsiTheme="minorHAnsi"/>
        </w:rPr>
        <w:t xml:space="preserve"> </w:t>
      </w:r>
      <w:r w:rsidRPr="00096FF8">
        <w:rPr>
          <w:rFonts w:asciiTheme="minorHAnsi" w:hAnsiTheme="minorHAnsi"/>
        </w:rPr>
        <w:t xml:space="preserve"> (</w:t>
      </w:r>
      <w:r w:rsidR="00F76399" w:rsidRPr="00096FF8">
        <w:rPr>
          <w:rFonts w:asciiTheme="minorHAnsi" w:hAnsiTheme="minorHAnsi"/>
        </w:rPr>
        <w:t>A</w:t>
      </w:r>
      <w:r w:rsidRPr="00096FF8">
        <w:rPr>
          <w:rFonts w:asciiTheme="minorHAnsi" w:hAnsiTheme="minorHAnsi"/>
        </w:rPr>
        <w:t xml:space="preserve">ccessed </w:t>
      </w:r>
      <w:r w:rsidR="00257763" w:rsidRPr="00096FF8">
        <w:rPr>
          <w:rFonts w:asciiTheme="minorHAnsi" w:hAnsiTheme="minorHAnsi"/>
        </w:rPr>
        <w:t>14</w:t>
      </w:r>
      <w:r w:rsidR="00EE3594" w:rsidRPr="00096FF8">
        <w:rPr>
          <w:rFonts w:asciiTheme="minorHAnsi" w:hAnsiTheme="minorHAnsi"/>
        </w:rPr>
        <w:t>/</w:t>
      </w:r>
      <w:r w:rsidR="00257763" w:rsidRPr="00096FF8">
        <w:rPr>
          <w:rFonts w:asciiTheme="minorHAnsi" w:hAnsiTheme="minorHAnsi"/>
        </w:rPr>
        <w:t>12</w:t>
      </w:r>
      <w:r w:rsidRPr="00096FF8">
        <w:rPr>
          <w:rFonts w:asciiTheme="minorHAnsi" w:hAnsiTheme="minorHAnsi"/>
        </w:rPr>
        <w:t>/2015</w:t>
      </w:r>
      <w:r w:rsidR="00257763" w:rsidRPr="00096FF8">
        <w:rPr>
          <w:rFonts w:asciiTheme="minorHAnsi" w:hAnsiTheme="minorHAnsi"/>
        </w:rPr>
        <w:t>.</w:t>
      </w:r>
    </w:p>
    <w:p w14:paraId="003069C2" w14:textId="77777777" w:rsidR="00522F95" w:rsidRPr="00096FF8" w:rsidRDefault="00522F95" w:rsidP="00490617">
      <w:pPr>
        <w:spacing w:line="480" w:lineRule="auto"/>
        <w:rPr>
          <w:rFonts w:asciiTheme="minorHAnsi" w:hAnsiTheme="minorHAnsi"/>
        </w:rPr>
      </w:pPr>
    </w:p>
    <w:p w14:paraId="6DDC0DD8" w14:textId="222BA859" w:rsidR="000A4AB5" w:rsidRPr="00096FF8" w:rsidRDefault="000A4AB5" w:rsidP="00490617">
      <w:pPr>
        <w:spacing w:line="480" w:lineRule="auto"/>
        <w:rPr>
          <w:rFonts w:asciiTheme="minorHAnsi" w:hAnsiTheme="minorHAnsi" w:cs="Arial"/>
          <w:i/>
          <w:szCs w:val="24"/>
        </w:rPr>
      </w:pPr>
      <w:r w:rsidRPr="00096FF8">
        <w:rPr>
          <w:rFonts w:asciiTheme="minorHAnsi" w:hAnsiTheme="minorHAnsi" w:cs="Arial"/>
          <w:szCs w:val="24"/>
        </w:rPr>
        <w:t>Clarke, J., Newman, J. and Westmarland, L. (2007)</w:t>
      </w:r>
      <w:r w:rsidR="00201208" w:rsidRPr="00096FF8">
        <w:rPr>
          <w:rFonts w:asciiTheme="minorHAnsi" w:hAnsiTheme="minorHAnsi" w:cs="Arial"/>
          <w:szCs w:val="24"/>
        </w:rPr>
        <w:t xml:space="preserve">. </w:t>
      </w:r>
      <w:r w:rsidRPr="00096FF8">
        <w:rPr>
          <w:rFonts w:asciiTheme="minorHAnsi" w:hAnsiTheme="minorHAnsi" w:cs="Arial"/>
          <w:szCs w:val="24"/>
        </w:rPr>
        <w:t>The Antagonisms of Choice: New Labour and the reform of public services</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Social Policy and Society</w:t>
      </w:r>
      <w:r w:rsidR="00257763" w:rsidRPr="00096FF8">
        <w:rPr>
          <w:rFonts w:asciiTheme="minorHAnsi" w:hAnsiTheme="minorHAnsi" w:cs="Arial"/>
          <w:i/>
          <w:szCs w:val="24"/>
        </w:rPr>
        <w:t>,</w:t>
      </w:r>
      <w:r w:rsidRPr="00096FF8">
        <w:rPr>
          <w:rFonts w:asciiTheme="minorHAnsi" w:hAnsiTheme="minorHAnsi" w:cs="Arial"/>
          <w:szCs w:val="24"/>
        </w:rPr>
        <w:t xml:space="preserve"> 7(2)</w:t>
      </w:r>
      <w:r w:rsidR="00201208" w:rsidRPr="00096FF8">
        <w:rPr>
          <w:rFonts w:asciiTheme="minorHAnsi" w:hAnsiTheme="minorHAnsi" w:cs="Arial"/>
          <w:szCs w:val="24"/>
        </w:rPr>
        <w:t>,</w:t>
      </w:r>
      <w:r w:rsidRPr="00096FF8">
        <w:rPr>
          <w:rFonts w:asciiTheme="minorHAnsi" w:hAnsiTheme="minorHAnsi" w:cs="Arial"/>
          <w:szCs w:val="24"/>
        </w:rPr>
        <w:t xml:space="preserve"> 245–253.</w:t>
      </w:r>
      <w:r w:rsidR="00EE3594" w:rsidRPr="00096FF8">
        <w:rPr>
          <w:rFonts w:asciiTheme="minorHAnsi" w:hAnsiTheme="minorHAnsi" w:cs="Arial"/>
          <w:szCs w:val="24"/>
        </w:rPr>
        <w:t xml:space="preserve"> </w:t>
      </w:r>
      <w:r w:rsidR="001D3189" w:rsidRPr="00096FF8">
        <w:rPr>
          <w:rFonts w:asciiTheme="minorHAnsi" w:hAnsiTheme="minorHAnsi" w:cs="Arial"/>
          <w:szCs w:val="24"/>
        </w:rPr>
        <w:t>doi</w:t>
      </w:r>
      <w:r w:rsidR="00EE3594" w:rsidRPr="00096FF8">
        <w:rPr>
          <w:rFonts w:asciiTheme="minorHAnsi" w:hAnsiTheme="minorHAnsi" w:cs="Arial"/>
          <w:szCs w:val="24"/>
        </w:rPr>
        <w:t xml:space="preserve">: </w:t>
      </w:r>
      <w:hyperlink r:id="rId17" w:history="1">
        <w:r w:rsidR="00EE3594" w:rsidRPr="00096FF8">
          <w:rPr>
            <w:rStyle w:val="Hyperlink"/>
            <w:rFonts w:asciiTheme="minorHAnsi" w:hAnsiTheme="minorHAnsi" w:cs="Arial"/>
            <w:szCs w:val="24"/>
          </w:rPr>
          <w:t>http://dx.doi.org/10.1017/S1474746407004198</w:t>
        </w:r>
      </w:hyperlink>
      <w:r w:rsidR="00EE3594" w:rsidRPr="00096FF8">
        <w:rPr>
          <w:rFonts w:asciiTheme="minorHAnsi" w:hAnsiTheme="minorHAnsi" w:cs="Arial"/>
          <w:szCs w:val="24"/>
        </w:rPr>
        <w:t xml:space="preserve">. </w:t>
      </w:r>
    </w:p>
    <w:p w14:paraId="2E0BF774" w14:textId="77777777" w:rsidR="000A4AB5" w:rsidRPr="00096FF8" w:rsidRDefault="000A4AB5" w:rsidP="00490617">
      <w:pPr>
        <w:spacing w:line="480" w:lineRule="auto"/>
        <w:rPr>
          <w:rFonts w:asciiTheme="minorHAnsi" w:hAnsiTheme="minorHAnsi" w:cs="Arial"/>
          <w:szCs w:val="24"/>
        </w:rPr>
      </w:pPr>
    </w:p>
    <w:p w14:paraId="2ED1C23D" w14:textId="7FE610C1" w:rsidR="005F7E26" w:rsidRPr="00096FF8" w:rsidRDefault="005F7E26" w:rsidP="00490617">
      <w:pPr>
        <w:spacing w:line="480" w:lineRule="auto"/>
        <w:rPr>
          <w:rFonts w:asciiTheme="minorHAnsi" w:hAnsiTheme="minorHAnsi" w:cs="Arial"/>
          <w:i/>
          <w:szCs w:val="24"/>
        </w:rPr>
      </w:pPr>
      <w:r w:rsidRPr="00096FF8">
        <w:rPr>
          <w:rFonts w:asciiTheme="minorHAnsi" w:hAnsiTheme="minorHAnsi" w:cs="Arial"/>
          <w:szCs w:val="24"/>
        </w:rPr>
        <w:t>Daly, G. (2012</w:t>
      </w:r>
      <w:r w:rsidR="006D54A2" w:rsidRPr="00096FF8">
        <w:rPr>
          <w:rFonts w:asciiTheme="minorHAnsi" w:hAnsiTheme="minorHAnsi" w:cs="Arial"/>
          <w:szCs w:val="24"/>
        </w:rPr>
        <w:t xml:space="preserve">). Citizenship, choice and care: an examination of the promotion of choice in the provision of adult social care. </w:t>
      </w:r>
      <w:r w:rsidR="006D54A2" w:rsidRPr="00096FF8">
        <w:rPr>
          <w:rFonts w:asciiTheme="minorHAnsi" w:hAnsiTheme="minorHAnsi" w:cs="Arial"/>
          <w:i/>
          <w:szCs w:val="24"/>
        </w:rPr>
        <w:t>Research Policy and Planning</w:t>
      </w:r>
      <w:r w:rsidR="00257763" w:rsidRPr="00096FF8">
        <w:rPr>
          <w:rFonts w:asciiTheme="minorHAnsi" w:hAnsiTheme="minorHAnsi" w:cs="Arial"/>
          <w:i/>
          <w:szCs w:val="24"/>
        </w:rPr>
        <w:t>,</w:t>
      </w:r>
      <w:r w:rsidR="006D54A2" w:rsidRPr="00096FF8">
        <w:rPr>
          <w:rFonts w:asciiTheme="minorHAnsi" w:hAnsiTheme="minorHAnsi" w:cs="Arial"/>
          <w:i/>
          <w:szCs w:val="24"/>
        </w:rPr>
        <w:t>.</w:t>
      </w:r>
      <w:r w:rsidR="006D54A2" w:rsidRPr="00096FF8">
        <w:rPr>
          <w:rFonts w:asciiTheme="minorHAnsi" w:hAnsiTheme="minorHAnsi" w:cs="Arial"/>
          <w:szCs w:val="24"/>
        </w:rPr>
        <w:t xml:space="preserve"> 29(3)</w:t>
      </w:r>
      <w:r w:rsidR="00201208" w:rsidRPr="00096FF8">
        <w:rPr>
          <w:rFonts w:asciiTheme="minorHAnsi" w:hAnsiTheme="minorHAnsi" w:cs="Arial"/>
          <w:szCs w:val="24"/>
        </w:rPr>
        <w:t>,</w:t>
      </w:r>
      <w:r w:rsidR="006D54A2" w:rsidRPr="00096FF8">
        <w:rPr>
          <w:rFonts w:asciiTheme="minorHAnsi" w:hAnsiTheme="minorHAnsi" w:cs="Arial"/>
          <w:szCs w:val="24"/>
        </w:rPr>
        <w:t xml:space="preserve"> 179-189. </w:t>
      </w:r>
      <w:r w:rsidR="00F76399" w:rsidRPr="00096FF8">
        <w:rPr>
          <w:rFonts w:asciiTheme="minorHAnsi" w:hAnsiTheme="minorHAnsi" w:cs="Arial"/>
          <w:szCs w:val="24"/>
        </w:rPr>
        <w:t>Retrieved from</w:t>
      </w:r>
      <w:r w:rsidR="006D54A2" w:rsidRPr="00096FF8">
        <w:rPr>
          <w:rFonts w:asciiTheme="minorHAnsi" w:hAnsiTheme="minorHAnsi" w:cs="Arial"/>
          <w:szCs w:val="24"/>
        </w:rPr>
        <w:t xml:space="preserve"> </w:t>
      </w:r>
      <w:hyperlink r:id="rId18" w:history="1">
        <w:r w:rsidR="006D54A2" w:rsidRPr="00096FF8">
          <w:rPr>
            <w:rStyle w:val="Hyperlink"/>
            <w:rFonts w:asciiTheme="minorHAnsi" w:hAnsiTheme="minorHAnsi" w:cs="Arial"/>
            <w:szCs w:val="24"/>
          </w:rPr>
          <w:t>http://ssrg.org.uk/wp-content/uploads/2012/01/Daly.pdf</w:t>
        </w:r>
      </w:hyperlink>
      <w:r w:rsidR="006D54A2" w:rsidRPr="00096FF8">
        <w:rPr>
          <w:rFonts w:asciiTheme="minorHAnsi" w:hAnsiTheme="minorHAnsi" w:cs="Arial"/>
          <w:szCs w:val="24"/>
        </w:rPr>
        <w:t xml:space="preserve"> (Accessed </w:t>
      </w:r>
      <w:r w:rsidR="00EE3594" w:rsidRPr="00096FF8">
        <w:rPr>
          <w:rFonts w:asciiTheme="minorHAnsi" w:hAnsiTheme="minorHAnsi" w:cs="Arial"/>
          <w:szCs w:val="24"/>
        </w:rPr>
        <w:t>23</w:t>
      </w:r>
      <w:r w:rsidR="006D54A2" w:rsidRPr="00096FF8">
        <w:rPr>
          <w:rFonts w:asciiTheme="minorHAnsi" w:hAnsiTheme="minorHAnsi" w:cs="Arial"/>
          <w:szCs w:val="24"/>
        </w:rPr>
        <w:t>/04/2015).</w:t>
      </w:r>
    </w:p>
    <w:p w14:paraId="401560FF" w14:textId="77777777" w:rsidR="005F7E26" w:rsidRPr="00096FF8" w:rsidRDefault="005F7E26" w:rsidP="00490617">
      <w:pPr>
        <w:spacing w:line="480" w:lineRule="auto"/>
        <w:rPr>
          <w:rFonts w:asciiTheme="minorHAnsi" w:hAnsiTheme="minorHAnsi" w:cs="Arial"/>
          <w:szCs w:val="24"/>
        </w:rPr>
      </w:pPr>
    </w:p>
    <w:p w14:paraId="1C20EAD8" w14:textId="381DC5AF" w:rsidR="00F6429B" w:rsidRPr="00096FF8" w:rsidRDefault="00F6429B" w:rsidP="00490617">
      <w:pPr>
        <w:spacing w:line="480" w:lineRule="auto"/>
        <w:rPr>
          <w:rFonts w:asciiTheme="minorHAnsi" w:hAnsiTheme="minorHAnsi"/>
        </w:rPr>
      </w:pPr>
      <w:r w:rsidRPr="00096FF8">
        <w:rPr>
          <w:rFonts w:asciiTheme="minorHAnsi" w:hAnsiTheme="minorHAnsi"/>
        </w:rPr>
        <w:t>Department of Health (2008)</w:t>
      </w:r>
      <w:r w:rsidR="00201208" w:rsidRPr="00096FF8">
        <w:rPr>
          <w:rFonts w:asciiTheme="minorHAnsi" w:hAnsiTheme="minorHAnsi"/>
        </w:rPr>
        <w:t>.</w:t>
      </w:r>
      <w:r w:rsidRPr="00096FF8">
        <w:rPr>
          <w:rFonts w:asciiTheme="minorHAnsi" w:hAnsiTheme="minorHAnsi"/>
        </w:rPr>
        <w:t xml:space="preserve"> </w:t>
      </w:r>
      <w:r w:rsidRPr="00096FF8">
        <w:rPr>
          <w:rFonts w:asciiTheme="minorHAnsi" w:hAnsiTheme="minorHAnsi"/>
          <w:i/>
        </w:rPr>
        <w:t>Local Authority Circular LAC (DH) (2008) 1: Transforming Social Care</w:t>
      </w:r>
      <w:r w:rsidRPr="00096FF8">
        <w:rPr>
          <w:rFonts w:asciiTheme="minorHAnsi" w:hAnsiTheme="minorHAnsi"/>
        </w:rPr>
        <w:t xml:space="preserve">. London, HMSO. </w:t>
      </w:r>
      <w:r w:rsidR="00F76399" w:rsidRPr="00096FF8">
        <w:rPr>
          <w:rFonts w:asciiTheme="minorHAnsi" w:hAnsiTheme="minorHAnsi"/>
        </w:rPr>
        <w:t>Retrieved from</w:t>
      </w:r>
      <w:r w:rsidRPr="00096FF8">
        <w:rPr>
          <w:rFonts w:asciiTheme="minorHAnsi" w:hAnsiTheme="minorHAnsi"/>
        </w:rPr>
        <w:t>:</w:t>
      </w:r>
    </w:p>
    <w:p w14:paraId="35DE21CF" w14:textId="6E88CCF3" w:rsidR="00F6429B" w:rsidRPr="00096FF8" w:rsidRDefault="00531C47" w:rsidP="00490617">
      <w:pPr>
        <w:spacing w:line="480" w:lineRule="auto"/>
        <w:rPr>
          <w:rFonts w:asciiTheme="minorHAnsi" w:hAnsiTheme="minorHAnsi"/>
        </w:rPr>
      </w:pPr>
      <w:hyperlink r:id="rId19" w:history="1">
        <w:r w:rsidR="00F6429B" w:rsidRPr="00096FF8">
          <w:rPr>
            <w:rStyle w:val="Hyperlink"/>
            <w:rFonts w:asciiTheme="minorHAnsi" w:hAnsiTheme="minorHAnsi"/>
          </w:rPr>
          <w:t>http://webarchive.nationalarchives.gov.uk/+/www.dh.gov.uk/en/publicationsandstatistics/lettersandcirculars/localauthoritycirculars/dh_081934</w:t>
        </w:r>
      </w:hyperlink>
      <w:r w:rsidR="00F6429B" w:rsidRPr="00096FF8">
        <w:rPr>
          <w:rFonts w:asciiTheme="minorHAnsi" w:hAnsiTheme="minorHAnsi"/>
        </w:rPr>
        <w:t xml:space="preserve"> (</w:t>
      </w:r>
      <w:r w:rsidR="00F76399" w:rsidRPr="00096FF8">
        <w:rPr>
          <w:rFonts w:asciiTheme="minorHAnsi" w:hAnsiTheme="minorHAnsi"/>
        </w:rPr>
        <w:t>Accessed</w:t>
      </w:r>
      <w:r w:rsidR="00F6429B" w:rsidRPr="00096FF8">
        <w:rPr>
          <w:rFonts w:asciiTheme="minorHAnsi" w:hAnsiTheme="minorHAnsi"/>
        </w:rPr>
        <w:t xml:space="preserve"> </w:t>
      </w:r>
      <w:r w:rsidR="00257763" w:rsidRPr="00096FF8">
        <w:rPr>
          <w:rFonts w:asciiTheme="minorHAnsi" w:hAnsiTheme="minorHAnsi"/>
        </w:rPr>
        <w:t>14</w:t>
      </w:r>
      <w:r w:rsidR="00F6429B" w:rsidRPr="00096FF8">
        <w:rPr>
          <w:rFonts w:asciiTheme="minorHAnsi" w:hAnsiTheme="minorHAnsi"/>
        </w:rPr>
        <w:t>/</w:t>
      </w:r>
      <w:r w:rsidR="00257763" w:rsidRPr="00096FF8">
        <w:rPr>
          <w:rFonts w:asciiTheme="minorHAnsi" w:hAnsiTheme="minorHAnsi"/>
        </w:rPr>
        <w:t>12</w:t>
      </w:r>
      <w:r w:rsidR="00F6429B" w:rsidRPr="00096FF8">
        <w:rPr>
          <w:rFonts w:asciiTheme="minorHAnsi" w:hAnsiTheme="minorHAnsi"/>
        </w:rPr>
        <w:t>/201</w:t>
      </w:r>
      <w:r w:rsidR="00EE3594" w:rsidRPr="00096FF8">
        <w:rPr>
          <w:rFonts w:asciiTheme="minorHAnsi" w:hAnsiTheme="minorHAnsi"/>
        </w:rPr>
        <w:t>5</w:t>
      </w:r>
      <w:r w:rsidR="00F6429B" w:rsidRPr="00096FF8">
        <w:rPr>
          <w:rFonts w:asciiTheme="minorHAnsi" w:hAnsiTheme="minorHAnsi"/>
        </w:rPr>
        <w:t>).</w:t>
      </w:r>
    </w:p>
    <w:p w14:paraId="25C3C4AA" w14:textId="77777777" w:rsidR="00F6429B" w:rsidRPr="00096FF8" w:rsidRDefault="00F6429B" w:rsidP="00490617">
      <w:pPr>
        <w:spacing w:line="480" w:lineRule="auto"/>
        <w:rPr>
          <w:rFonts w:asciiTheme="minorHAnsi" w:hAnsiTheme="minorHAnsi" w:cs="Arial"/>
          <w:szCs w:val="24"/>
        </w:rPr>
      </w:pPr>
    </w:p>
    <w:p w14:paraId="0DB4A4D8" w14:textId="77777777" w:rsidR="00F6429B" w:rsidRPr="00096FF8" w:rsidRDefault="00F6429B" w:rsidP="00490617">
      <w:pPr>
        <w:spacing w:line="480" w:lineRule="auto"/>
        <w:rPr>
          <w:rFonts w:asciiTheme="minorHAnsi" w:hAnsiTheme="minorHAnsi" w:cs="Arial"/>
          <w:szCs w:val="24"/>
        </w:rPr>
      </w:pPr>
    </w:p>
    <w:p w14:paraId="66249888" w14:textId="07001265" w:rsidR="00F6429B" w:rsidRPr="00096FF8" w:rsidRDefault="00F6429B" w:rsidP="00490617">
      <w:pPr>
        <w:spacing w:line="480" w:lineRule="auto"/>
        <w:rPr>
          <w:rFonts w:asciiTheme="minorHAnsi" w:hAnsiTheme="minorHAnsi" w:cs="Arial"/>
          <w:szCs w:val="24"/>
        </w:rPr>
      </w:pPr>
      <w:r w:rsidRPr="00096FF8">
        <w:rPr>
          <w:rFonts w:asciiTheme="minorHAnsi" w:hAnsiTheme="minorHAnsi" w:cs="Arial"/>
          <w:szCs w:val="24"/>
        </w:rPr>
        <w:t>Department of Health (</w:t>
      </w:r>
      <w:r w:rsidR="00457D19" w:rsidRPr="00096FF8">
        <w:rPr>
          <w:rFonts w:asciiTheme="minorHAnsi" w:hAnsiTheme="minorHAnsi" w:cs="Arial"/>
          <w:szCs w:val="24"/>
        </w:rPr>
        <w:t>2010a</w:t>
      </w:r>
      <w:r w:rsidRPr="00096FF8">
        <w:rPr>
          <w:rFonts w:asciiTheme="minorHAnsi" w:hAnsiTheme="minorHAnsi" w:cs="Arial"/>
          <w:szCs w:val="24"/>
        </w:rPr>
        <w:t>)</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 xml:space="preserve">A Vision for Adult Social Care: Capable Communities and Active Citizens. </w:t>
      </w:r>
      <w:r w:rsidRPr="00096FF8">
        <w:rPr>
          <w:rFonts w:asciiTheme="minorHAnsi" w:hAnsiTheme="minorHAnsi" w:cs="Arial"/>
          <w:szCs w:val="24"/>
        </w:rPr>
        <w:t xml:space="preserve">London: Social Care Policy, Department of Health. </w:t>
      </w:r>
      <w:r w:rsidR="00F76399" w:rsidRPr="00096FF8">
        <w:rPr>
          <w:rFonts w:asciiTheme="minorHAnsi" w:hAnsiTheme="minorHAnsi" w:cs="Arial"/>
          <w:szCs w:val="24"/>
        </w:rPr>
        <w:t>Retrieved from</w:t>
      </w:r>
      <w:r w:rsidRPr="00096FF8">
        <w:rPr>
          <w:rFonts w:asciiTheme="minorHAnsi" w:hAnsiTheme="minorHAnsi" w:cs="Arial"/>
          <w:szCs w:val="24"/>
        </w:rPr>
        <w:t xml:space="preserve"> </w:t>
      </w:r>
      <w:hyperlink r:id="rId20" w:history="1">
        <w:r w:rsidR="00EE3594" w:rsidRPr="00096FF8">
          <w:rPr>
            <w:rStyle w:val="Hyperlink"/>
            <w:rFonts w:asciiTheme="minorHAnsi" w:hAnsiTheme="minorHAnsi"/>
          </w:rPr>
          <w:t>https://www.gov.uk/government/publications/lac-dh-2010-7-the-vision-for-adult-social-care-and-supporting-documents</w:t>
        </w:r>
      </w:hyperlink>
      <w:r w:rsidR="00EE3594" w:rsidRPr="00096FF8">
        <w:rPr>
          <w:rFonts w:asciiTheme="minorHAnsi" w:hAnsiTheme="minorHAnsi"/>
        </w:rPr>
        <w:t xml:space="preserve"> (Accessed </w:t>
      </w:r>
      <w:r w:rsidR="00257763" w:rsidRPr="00096FF8">
        <w:rPr>
          <w:rFonts w:asciiTheme="minorHAnsi" w:hAnsiTheme="minorHAnsi"/>
        </w:rPr>
        <w:t>14</w:t>
      </w:r>
      <w:r w:rsidR="00EE3594" w:rsidRPr="00096FF8">
        <w:rPr>
          <w:rFonts w:asciiTheme="minorHAnsi" w:hAnsiTheme="minorHAnsi"/>
        </w:rPr>
        <w:t>/</w:t>
      </w:r>
      <w:r w:rsidR="00257763" w:rsidRPr="00096FF8">
        <w:rPr>
          <w:rFonts w:asciiTheme="minorHAnsi" w:hAnsiTheme="minorHAnsi"/>
        </w:rPr>
        <w:t>12</w:t>
      </w:r>
      <w:r w:rsidR="00EE3594" w:rsidRPr="00096FF8">
        <w:rPr>
          <w:rFonts w:asciiTheme="minorHAnsi" w:hAnsiTheme="minorHAnsi"/>
        </w:rPr>
        <w:t>/2015)</w:t>
      </w:r>
      <w:r w:rsidR="00EF1EFF" w:rsidRPr="00096FF8">
        <w:rPr>
          <w:rFonts w:asciiTheme="minorHAnsi" w:hAnsiTheme="minorHAnsi" w:cs="Arial"/>
          <w:szCs w:val="24"/>
        </w:rPr>
        <w:t>.</w:t>
      </w:r>
    </w:p>
    <w:p w14:paraId="0162CC9E" w14:textId="77777777" w:rsidR="00457D19" w:rsidRPr="00096FF8" w:rsidRDefault="00457D19" w:rsidP="00457D19">
      <w:pPr>
        <w:spacing w:line="480" w:lineRule="auto"/>
        <w:rPr>
          <w:rFonts w:asciiTheme="minorHAnsi" w:hAnsiTheme="minorHAnsi" w:cs="Arial"/>
          <w:szCs w:val="24"/>
        </w:rPr>
      </w:pPr>
    </w:p>
    <w:p w14:paraId="1890ADA8" w14:textId="77777777" w:rsidR="00457D19" w:rsidRPr="00096FF8" w:rsidRDefault="00457D19" w:rsidP="00457D19">
      <w:pPr>
        <w:spacing w:line="480" w:lineRule="auto"/>
        <w:rPr>
          <w:rFonts w:asciiTheme="minorHAnsi" w:hAnsiTheme="minorHAnsi" w:cs="Arial"/>
          <w:szCs w:val="24"/>
        </w:rPr>
      </w:pPr>
      <w:r w:rsidRPr="00096FF8">
        <w:rPr>
          <w:rFonts w:asciiTheme="minorHAnsi" w:hAnsiTheme="minorHAnsi" w:cs="Arial"/>
          <w:szCs w:val="24"/>
        </w:rPr>
        <w:t xml:space="preserve">Department of Health (2010b). </w:t>
      </w:r>
      <w:r w:rsidRPr="00096FF8">
        <w:rPr>
          <w:rFonts w:asciiTheme="minorHAnsi" w:hAnsiTheme="minorHAnsi" w:cs="Arial"/>
          <w:i/>
          <w:szCs w:val="24"/>
        </w:rPr>
        <w:t>Practical approaches to safeguarding and personalisation.</w:t>
      </w:r>
      <w:r w:rsidRPr="00096FF8">
        <w:rPr>
          <w:rFonts w:asciiTheme="minorHAnsi" w:hAnsiTheme="minorHAnsi" w:cs="Arial"/>
          <w:szCs w:val="24"/>
        </w:rPr>
        <w:t xml:space="preserve"> London: DH. Retrieved from: http://www.thinklocalactpersonal.org.uk/Browse/ThinkLocalActPersonal/?parent=8463&amp;child=8676  (Accessed 23/04/2015).</w:t>
      </w:r>
    </w:p>
    <w:p w14:paraId="07CD9039" w14:textId="28CE5335" w:rsidR="00997CDC" w:rsidRPr="00096FF8" w:rsidRDefault="00997CDC" w:rsidP="00490617">
      <w:pPr>
        <w:spacing w:line="480" w:lineRule="auto"/>
        <w:rPr>
          <w:rFonts w:asciiTheme="minorHAnsi" w:hAnsiTheme="minorHAnsi"/>
        </w:rPr>
      </w:pPr>
      <w:r w:rsidRPr="00096FF8">
        <w:rPr>
          <w:rFonts w:asciiTheme="minorHAnsi" w:hAnsiTheme="minorHAnsi"/>
        </w:rPr>
        <w:t>Dunn, M., Holland, A.J. and Clare, I.C.H. (2009)</w:t>
      </w:r>
      <w:r w:rsidR="00201208" w:rsidRPr="00096FF8">
        <w:rPr>
          <w:rFonts w:asciiTheme="minorHAnsi" w:hAnsiTheme="minorHAnsi"/>
        </w:rPr>
        <w:t xml:space="preserve">. </w:t>
      </w:r>
      <w:r w:rsidRPr="00096FF8">
        <w:rPr>
          <w:rFonts w:asciiTheme="minorHAnsi" w:hAnsiTheme="minorHAnsi"/>
        </w:rPr>
        <w:t>The duty to safeguard adults from abuse</w:t>
      </w:r>
      <w:r w:rsidR="00201208" w:rsidRPr="00096FF8">
        <w:rPr>
          <w:rFonts w:asciiTheme="minorHAnsi" w:hAnsiTheme="minorHAnsi"/>
        </w:rPr>
        <w:t>.</w:t>
      </w:r>
      <w:r w:rsidRPr="00096FF8">
        <w:rPr>
          <w:rFonts w:asciiTheme="minorHAnsi" w:hAnsiTheme="minorHAnsi"/>
        </w:rPr>
        <w:t xml:space="preserve"> </w:t>
      </w:r>
      <w:r w:rsidRPr="00096FF8">
        <w:rPr>
          <w:rFonts w:asciiTheme="minorHAnsi" w:hAnsiTheme="minorHAnsi"/>
          <w:i/>
        </w:rPr>
        <w:t>Psychiatry</w:t>
      </w:r>
      <w:r w:rsidRPr="00096FF8">
        <w:rPr>
          <w:rFonts w:asciiTheme="minorHAnsi" w:hAnsiTheme="minorHAnsi"/>
        </w:rPr>
        <w:t>, 8(12)</w:t>
      </w:r>
      <w:r w:rsidR="00201208" w:rsidRPr="00096FF8">
        <w:rPr>
          <w:rFonts w:asciiTheme="minorHAnsi" w:hAnsiTheme="minorHAnsi"/>
        </w:rPr>
        <w:t>,</w:t>
      </w:r>
      <w:r w:rsidRPr="00096FF8">
        <w:rPr>
          <w:rFonts w:asciiTheme="minorHAnsi" w:hAnsiTheme="minorHAnsi"/>
        </w:rPr>
        <w:t xml:space="preserve"> 484–486.</w:t>
      </w:r>
      <w:r w:rsidR="00EE3594" w:rsidRPr="00096FF8">
        <w:rPr>
          <w:rFonts w:asciiTheme="minorHAnsi" w:hAnsiTheme="minorHAnsi"/>
        </w:rPr>
        <w:t xml:space="preserve"> </w:t>
      </w:r>
      <w:r w:rsidR="001D3189" w:rsidRPr="00096FF8">
        <w:rPr>
          <w:rFonts w:asciiTheme="minorHAnsi" w:hAnsiTheme="minorHAnsi"/>
        </w:rPr>
        <w:t>doi</w:t>
      </w:r>
      <w:r w:rsidR="00EE3594" w:rsidRPr="00096FF8">
        <w:rPr>
          <w:rFonts w:asciiTheme="minorHAnsi" w:hAnsiTheme="minorHAnsi"/>
        </w:rPr>
        <w:t>:10.1016/j.mppsy.2009.09.010.</w:t>
      </w:r>
    </w:p>
    <w:p w14:paraId="742285CA" w14:textId="77777777" w:rsidR="00997CDC" w:rsidRPr="00096FF8" w:rsidRDefault="00997CDC" w:rsidP="00490617">
      <w:pPr>
        <w:spacing w:line="480" w:lineRule="auto"/>
        <w:rPr>
          <w:rStyle w:val="Strong"/>
          <w:rFonts w:asciiTheme="minorHAnsi" w:hAnsiTheme="minorHAnsi" w:cs="Arial"/>
          <w:b w:val="0"/>
          <w:szCs w:val="24"/>
        </w:rPr>
      </w:pPr>
    </w:p>
    <w:p w14:paraId="72476700" w14:textId="296E4338" w:rsidR="00EE3594" w:rsidRPr="00096FF8" w:rsidRDefault="00F73458" w:rsidP="00490617">
      <w:pPr>
        <w:spacing w:line="480" w:lineRule="auto"/>
        <w:rPr>
          <w:rStyle w:val="Strong"/>
          <w:rFonts w:asciiTheme="minorHAnsi" w:hAnsiTheme="minorHAnsi" w:cs="Arial"/>
          <w:b w:val="0"/>
          <w:szCs w:val="24"/>
        </w:rPr>
      </w:pPr>
      <w:r w:rsidRPr="00096FF8">
        <w:rPr>
          <w:rStyle w:val="Strong"/>
          <w:rFonts w:asciiTheme="minorHAnsi" w:hAnsiTheme="minorHAnsi" w:cs="Arial"/>
          <w:b w:val="0"/>
          <w:szCs w:val="24"/>
        </w:rPr>
        <w:t>Ellis, K. (2007)</w:t>
      </w:r>
      <w:r w:rsidR="00201208" w:rsidRPr="00096FF8">
        <w:rPr>
          <w:rStyle w:val="Strong"/>
          <w:rFonts w:asciiTheme="minorHAnsi" w:hAnsiTheme="minorHAnsi" w:cs="Arial"/>
          <w:b w:val="0"/>
          <w:szCs w:val="24"/>
        </w:rPr>
        <w:t>.</w:t>
      </w:r>
      <w:r w:rsidRPr="00096FF8">
        <w:rPr>
          <w:rStyle w:val="Strong"/>
          <w:rFonts w:asciiTheme="minorHAnsi" w:hAnsiTheme="minorHAnsi" w:cs="Arial"/>
          <w:b w:val="0"/>
          <w:szCs w:val="24"/>
        </w:rPr>
        <w:t xml:space="preserve"> Direct Payments and Social Work Practice: The Significance of ‘Street-Level Bureaucracy’ in Determining Eligibility</w:t>
      </w:r>
      <w:r w:rsidR="00201208" w:rsidRPr="00096FF8">
        <w:rPr>
          <w:rStyle w:val="Strong"/>
          <w:rFonts w:asciiTheme="minorHAnsi" w:hAnsiTheme="minorHAnsi" w:cs="Arial"/>
          <w:b w:val="0"/>
          <w:szCs w:val="24"/>
        </w:rPr>
        <w:t>.</w:t>
      </w:r>
      <w:r w:rsidRPr="00096FF8">
        <w:rPr>
          <w:rStyle w:val="Strong"/>
          <w:rFonts w:asciiTheme="minorHAnsi" w:hAnsiTheme="minorHAnsi" w:cs="Arial"/>
          <w:b w:val="0"/>
          <w:szCs w:val="24"/>
        </w:rPr>
        <w:t xml:space="preserve"> </w:t>
      </w:r>
      <w:r w:rsidRPr="00096FF8">
        <w:rPr>
          <w:rStyle w:val="Strong"/>
          <w:rFonts w:asciiTheme="minorHAnsi" w:hAnsiTheme="minorHAnsi" w:cs="Arial"/>
          <w:b w:val="0"/>
          <w:i/>
          <w:szCs w:val="24"/>
        </w:rPr>
        <w:t>British Journal of Social Work</w:t>
      </w:r>
      <w:r w:rsidR="00257763" w:rsidRPr="00096FF8">
        <w:rPr>
          <w:rStyle w:val="Strong"/>
          <w:rFonts w:asciiTheme="minorHAnsi" w:hAnsiTheme="minorHAnsi" w:cs="Arial"/>
          <w:b w:val="0"/>
          <w:i/>
          <w:szCs w:val="24"/>
        </w:rPr>
        <w:t>,</w:t>
      </w:r>
      <w:r w:rsidRPr="00096FF8">
        <w:rPr>
          <w:rStyle w:val="Strong"/>
          <w:rFonts w:asciiTheme="minorHAnsi" w:hAnsiTheme="minorHAnsi" w:cs="Arial"/>
          <w:b w:val="0"/>
          <w:szCs w:val="24"/>
        </w:rPr>
        <w:t xml:space="preserve"> 37(3), 405–422.</w:t>
      </w:r>
      <w:r w:rsidR="00EE3594" w:rsidRPr="00096FF8">
        <w:rPr>
          <w:rStyle w:val="Strong"/>
          <w:rFonts w:asciiTheme="minorHAnsi" w:hAnsiTheme="minorHAnsi" w:cs="Arial"/>
          <w:b w:val="0"/>
          <w:szCs w:val="24"/>
        </w:rPr>
        <w:t xml:space="preserve"> </w:t>
      </w:r>
    </w:p>
    <w:p w14:paraId="6B73813A" w14:textId="0E5AD9AB" w:rsidR="00F73458" w:rsidRPr="00096FF8" w:rsidRDefault="001D3189" w:rsidP="00490617">
      <w:pPr>
        <w:spacing w:line="480" w:lineRule="auto"/>
        <w:rPr>
          <w:rStyle w:val="Strong"/>
          <w:rFonts w:asciiTheme="minorHAnsi" w:hAnsiTheme="minorHAnsi" w:cs="Arial"/>
          <w:b w:val="0"/>
          <w:i/>
          <w:szCs w:val="24"/>
        </w:rPr>
      </w:pPr>
      <w:r w:rsidRPr="00096FF8">
        <w:rPr>
          <w:rStyle w:val="Strong"/>
          <w:rFonts w:asciiTheme="minorHAnsi" w:hAnsiTheme="minorHAnsi" w:cs="Arial"/>
          <w:b w:val="0"/>
          <w:szCs w:val="24"/>
        </w:rPr>
        <w:t>doi</w:t>
      </w:r>
      <w:r w:rsidR="00EE3594" w:rsidRPr="00096FF8">
        <w:rPr>
          <w:rStyle w:val="Strong"/>
          <w:rFonts w:asciiTheme="minorHAnsi" w:hAnsiTheme="minorHAnsi" w:cs="Arial"/>
          <w:b w:val="0"/>
          <w:szCs w:val="24"/>
        </w:rPr>
        <w:t>: 10.1093/bjsw/bcm013.</w:t>
      </w:r>
    </w:p>
    <w:p w14:paraId="49318F2C" w14:textId="77777777" w:rsidR="00F73458" w:rsidRPr="00096FF8" w:rsidRDefault="00F73458" w:rsidP="00490617">
      <w:pPr>
        <w:spacing w:line="480" w:lineRule="auto"/>
        <w:rPr>
          <w:rStyle w:val="Strong"/>
          <w:rFonts w:asciiTheme="minorHAnsi" w:hAnsiTheme="minorHAnsi" w:cs="Arial"/>
          <w:b w:val="0"/>
          <w:szCs w:val="24"/>
        </w:rPr>
      </w:pPr>
    </w:p>
    <w:p w14:paraId="7F9D1E70" w14:textId="77777777" w:rsidR="00E87F0F" w:rsidRPr="00096FF8" w:rsidRDefault="00E87F0F" w:rsidP="00E87F0F">
      <w:pPr>
        <w:spacing w:line="480" w:lineRule="auto"/>
        <w:rPr>
          <w:rFonts w:asciiTheme="minorHAnsi" w:hAnsiTheme="minorHAnsi"/>
        </w:rPr>
      </w:pPr>
      <w:r w:rsidRPr="00096FF8">
        <w:rPr>
          <w:rStyle w:val="Strong"/>
          <w:rFonts w:asciiTheme="minorHAnsi" w:hAnsiTheme="minorHAnsi" w:cs="Arial"/>
          <w:b w:val="0"/>
          <w:szCs w:val="24"/>
        </w:rPr>
        <w:t xml:space="preserve">Ferguson, I. (2007). </w:t>
      </w:r>
      <w:r w:rsidRPr="00096FF8">
        <w:rPr>
          <w:rFonts w:asciiTheme="minorHAnsi" w:hAnsiTheme="minorHAnsi"/>
        </w:rPr>
        <w:t xml:space="preserve">Increasing User Choice or Privatizing Risk? The Antinomies of Personalization. </w:t>
      </w:r>
      <w:r w:rsidRPr="00096FF8">
        <w:rPr>
          <w:rFonts w:asciiTheme="minorHAnsi" w:hAnsiTheme="minorHAnsi"/>
          <w:i/>
        </w:rPr>
        <w:t>British Journal of Social Work</w:t>
      </w:r>
      <w:r w:rsidRPr="00096FF8">
        <w:rPr>
          <w:rFonts w:asciiTheme="minorHAnsi" w:hAnsiTheme="minorHAnsi"/>
        </w:rPr>
        <w:t>, 37(3), 387-403. doi: 10.1093/bjsw/bcm016.</w:t>
      </w:r>
    </w:p>
    <w:p w14:paraId="49A59F28" w14:textId="77777777" w:rsidR="00E87F0F" w:rsidRPr="00096FF8" w:rsidRDefault="00E87F0F" w:rsidP="00E87F0F">
      <w:pPr>
        <w:spacing w:line="480" w:lineRule="auto"/>
        <w:rPr>
          <w:rFonts w:asciiTheme="minorHAnsi" w:hAnsiTheme="minorHAnsi" w:cs="Arial"/>
          <w:szCs w:val="24"/>
          <w:lang w:eastAsia="en-US"/>
        </w:rPr>
      </w:pPr>
    </w:p>
    <w:p w14:paraId="71D78DBB" w14:textId="77777777" w:rsidR="00E87F0F" w:rsidRPr="00096FF8" w:rsidRDefault="00E87F0F" w:rsidP="00E87F0F">
      <w:pPr>
        <w:spacing w:line="480" w:lineRule="auto"/>
        <w:rPr>
          <w:rFonts w:asciiTheme="minorHAnsi" w:hAnsiTheme="minorHAnsi" w:cs="Arial"/>
          <w:szCs w:val="24"/>
          <w:lang w:eastAsia="en-US"/>
        </w:rPr>
      </w:pPr>
      <w:r w:rsidRPr="00096FF8">
        <w:rPr>
          <w:rFonts w:asciiTheme="minorHAnsi" w:hAnsiTheme="minorHAnsi" w:cs="Arial"/>
          <w:szCs w:val="24"/>
          <w:lang w:eastAsia="en-US"/>
        </w:rPr>
        <w:t xml:space="preserve">Ferguson, I. (2012). Personalisation, social justice and social work: a reply to Simon Duffy. </w:t>
      </w:r>
      <w:r w:rsidRPr="00096FF8">
        <w:rPr>
          <w:rFonts w:asciiTheme="minorHAnsi" w:hAnsiTheme="minorHAnsi" w:cs="Arial"/>
          <w:i/>
          <w:szCs w:val="24"/>
          <w:lang w:eastAsia="en-US"/>
        </w:rPr>
        <w:t>Journal of Social Work Practice,</w:t>
      </w:r>
      <w:r w:rsidRPr="00096FF8">
        <w:rPr>
          <w:rFonts w:asciiTheme="minorHAnsi" w:hAnsiTheme="minorHAnsi" w:cs="Arial"/>
          <w:szCs w:val="24"/>
          <w:lang w:eastAsia="en-US"/>
        </w:rPr>
        <w:t xml:space="preserve"> 26(1), 55-73, doi: 10.1080/02650533.2011.623771.</w:t>
      </w:r>
    </w:p>
    <w:p w14:paraId="756534B8" w14:textId="77777777" w:rsidR="00E87F0F" w:rsidRPr="00096FF8" w:rsidRDefault="00E87F0F" w:rsidP="00E87F0F">
      <w:pPr>
        <w:spacing w:line="480" w:lineRule="auto"/>
        <w:rPr>
          <w:rFonts w:asciiTheme="minorHAnsi" w:hAnsiTheme="minorHAnsi" w:cs="Arial"/>
          <w:szCs w:val="24"/>
          <w:lang w:eastAsia="en-US"/>
        </w:rPr>
      </w:pPr>
    </w:p>
    <w:p w14:paraId="0D4E63A1" w14:textId="4E5D3E8D" w:rsidR="00310E8F" w:rsidRPr="00096FF8" w:rsidRDefault="007639DA" w:rsidP="00490617">
      <w:pPr>
        <w:spacing w:line="480" w:lineRule="auto"/>
        <w:rPr>
          <w:rStyle w:val="Strong"/>
          <w:rFonts w:asciiTheme="minorHAnsi" w:hAnsiTheme="minorHAnsi" w:cs="Arial"/>
          <w:b w:val="0"/>
          <w:i/>
          <w:szCs w:val="24"/>
        </w:rPr>
      </w:pPr>
      <w:r w:rsidRPr="00096FF8">
        <w:rPr>
          <w:rStyle w:val="Strong"/>
          <w:rFonts w:asciiTheme="minorHAnsi" w:hAnsiTheme="minorHAnsi" w:cs="Arial"/>
          <w:b w:val="0"/>
          <w:szCs w:val="24"/>
        </w:rPr>
        <w:t>Fernandez, J-L</w:t>
      </w:r>
      <w:r w:rsidR="007A2D7C" w:rsidRPr="00096FF8">
        <w:rPr>
          <w:rStyle w:val="Strong"/>
          <w:rFonts w:asciiTheme="minorHAnsi" w:hAnsiTheme="minorHAnsi" w:cs="Arial"/>
          <w:b w:val="0"/>
          <w:szCs w:val="24"/>
        </w:rPr>
        <w:t>.</w:t>
      </w:r>
      <w:r w:rsidR="00310E8F" w:rsidRPr="00096FF8">
        <w:rPr>
          <w:rStyle w:val="Strong"/>
          <w:rFonts w:asciiTheme="minorHAnsi" w:hAnsiTheme="minorHAnsi" w:cs="Arial"/>
          <w:b w:val="0"/>
          <w:szCs w:val="24"/>
        </w:rPr>
        <w:t>, Snell, T. and Wistow, G. (2013)</w:t>
      </w:r>
      <w:r w:rsidR="00201208" w:rsidRPr="00096FF8">
        <w:rPr>
          <w:rStyle w:val="Strong"/>
          <w:rFonts w:asciiTheme="minorHAnsi" w:hAnsiTheme="minorHAnsi" w:cs="Arial"/>
          <w:b w:val="0"/>
          <w:szCs w:val="24"/>
        </w:rPr>
        <w:t>.</w:t>
      </w:r>
      <w:r w:rsidR="00310E8F" w:rsidRPr="00096FF8">
        <w:rPr>
          <w:rStyle w:val="Strong"/>
          <w:rFonts w:asciiTheme="minorHAnsi" w:hAnsiTheme="minorHAnsi" w:cs="Arial"/>
          <w:b w:val="0"/>
          <w:szCs w:val="24"/>
        </w:rPr>
        <w:t xml:space="preserve"> </w:t>
      </w:r>
      <w:r w:rsidRPr="00096FF8">
        <w:rPr>
          <w:rStyle w:val="Strong"/>
          <w:rFonts w:asciiTheme="minorHAnsi" w:hAnsiTheme="minorHAnsi" w:cs="Arial"/>
          <w:b w:val="0"/>
          <w:i/>
          <w:szCs w:val="24"/>
        </w:rPr>
        <w:t>Changes in the Patterns of Social Care Provision in England: 2005/6 to 2012/13</w:t>
      </w:r>
      <w:r w:rsidR="00310E8F" w:rsidRPr="00096FF8">
        <w:rPr>
          <w:rStyle w:val="Strong"/>
          <w:rFonts w:asciiTheme="minorHAnsi" w:hAnsiTheme="minorHAnsi" w:cs="Arial"/>
          <w:b w:val="0"/>
          <w:i/>
          <w:szCs w:val="24"/>
        </w:rPr>
        <w:t>, Personal Social Services Research Unit</w:t>
      </w:r>
      <w:r w:rsidR="00257763" w:rsidRPr="00096FF8">
        <w:rPr>
          <w:rStyle w:val="Strong"/>
          <w:rFonts w:asciiTheme="minorHAnsi" w:hAnsiTheme="minorHAnsi" w:cs="Arial"/>
          <w:b w:val="0"/>
          <w:i/>
          <w:szCs w:val="24"/>
        </w:rPr>
        <w:t>,</w:t>
      </w:r>
    </w:p>
    <w:p w14:paraId="1350C665" w14:textId="3D8CA36D" w:rsidR="007639DA" w:rsidRPr="00096FF8" w:rsidRDefault="00310E8F" w:rsidP="00490617">
      <w:pPr>
        <w:spacing w:line="480" w:lineRule="auto"/>
        <w:rPr>
          <w:rStyle w:val="Strong"/>
          <w:rFonts w:asciiTheme="minorHAnsi" w:hAnsiTheme="minorHAnsi" w:cs="Arial"/>
          <w:b w:val="0"/>
          <w:szCs w:val="24"/>
        </w:rPr>
      </w:pPr>
      <w:r w:rsidRPr="00096FF8">
        <w:rPr>
          <w:rStyle w:val="Strong"/>
          <w:rFonts w:asciiTheme="minorHAnsi" w:hAnsiTheme="minorHAnsi" w:cs="Arial"/>
          <w:b w:val="0"/>
          <w:i/>
          <w:szCs w:val="24"/>
        </w:rPr>
        <w:t>PSSRU Discussion Paper 2867</w:t>
      </w:r>
      <w:r w:rsidR="000F0172" w:rsidRPr="00096FF8">
        <w:rPr>
          <w:rStyle w:val="Strong"/>
          <w:rFonts w:asciiTheme="minorHAnsi" w:hAnsiTheme="minorHAnsi" w:cs="Arial"/>
          <w:b w:val="0"/>
          <w:i/>
          <w:szCs w:val="24"/>
        </w:rPr>
        <w:t xml:space="preserve">. </w:t>
      </w:r>
      <w:r w:rsidRPr="00096FF8">
        <w:rPr>
          <w:rStyle w:val="Strong"/>
          <w:rFonts w:asciiTheme="minorHAnsi" w:hAnsiTheme="minorHAnsi" w:cs="Arial"/>
          <w:b w:val="0"/>
          <w:szCs w:val="24"/>
        </w:rPr>
        <w:t>London, PSSR</w:t>
      </w:r>
      <w:r w:rsidR="00201208" w:rsidRPr="00096FF8">
        <w:rPr>
          <w:rStyle w:val="Strong"/>
          <w:rFonts w:asciiTheme="minorHAnsi" w:hAnsiTheme="minorHAnsi" w:cs="Arial"/>
          <w:b w:val="0"/>
          <w:szCs w:val="24"/>
        </w:rPr>
        <w:t>U</w:t>
      </w:r>
      <w:r w:rsidRPr="00096FF8">
        <w:rPr>
          <w:rStyle w:val="Strong"/>
          <w:rFonts w:asciiTheme="minorHAnsi" w:hAnsiTheme="minorHAnsi" w:cs="Arial"/>
          <w:b w:val="0"/>
          <w:szCs w:val="24"/>
        </w:rPr>
        <w:t xml:space="preserve">. </w:t>
      </w:r>
      <w:r w:rsidR="00F76399" w:rsidRPr="00096FF8">
        <w:rPr>
          <w:rStyle w:val="Strong"/>
          <w:rFonts w:asciiTheme="minorHAnsi" w:hAnsiTheme="minorHAnsi" w:cs="Arial"/>
          <w:b w:val="0"/>
          <w:szCs w:val="24"/>
        </w:rPr>
        <w:t>Retrieved from</w:t>
      </w:r>
      <w:r w:rsidRPr="00096FF8">
        <w:rPr>
          <w:rStyle w:val="Strong"/>
          <w:rFonts w:asciiTheme="minorHAnsi" w:hAnsiTheme="minorHAnsi" w:cs="Arial"/>
          <w:b w:val="0"/>
          <w:szCs w:val="24"/>
        </w:rPr>
        <w:t xml:space="preserve">: </w:t>
      </w:r>
      <w:hyperlink r:id="rId21" w:history="1">
        <w:r w:rsidRPr="00096FF8">
          <w:rPr>
            <w:rStyle w:val="Hyperlink"/>
            <w:rFonts w:asciiTheme="minorHAnsi" w:hAnsiTheme="minorHAnsi" w:cs="Arial"/>
            <w:szCs w:val="24"/>
          </w:rPr>
          <w:t>http://eprints.lse.ac.uk/56111/</w:t>
        </w:r>
      </w:hyperlink>
      <w:r w:rsidRPr="00096FF8">
        <w:rPr>
          <w:rStyle w:val="Strong"/>
          <w:rFonts w:asciiTheme="minorHAnsi" w:hAnsiTheme="minorHAnsi" w:cs="Arial"/>
          <w:b w:val="0"/>
          <w:szCs w:val="24"/>
        </w:rPr>
        <w:t xml:space="preserve"> (</w:t>
      </w:r>
      <w:r w:rsidR="00F76399" w:rsidRPr="00096FF8">
        <w:rPr>
          <w:rStyle w:val="Strong"/>
          <w:rFonts w:asciiTheme="minorHAnsi" w:hAnsiTheme="minorHAnsi" w:cs="Arial"/>
          <w:b w:val="0"/>
          <w:szCs w:val="24"/>
        </w:rPr>
        <w:t>Accessed</w:t>
      </w:r>
      <w:r w:rsidRPr="00096FF8">
        <w:rPr>
          <w:rStyle w:val="Strong"/>
          <w:rFonts w:asciiTheme="minorHAnsi" w:hAnsiTheme="minorHAnsi" w:cs="Arial"/>
          <w:b w:val="0"/>
          <w:szCs w:val="24"/>
        </w:rPr>
        <w:t xml:space="preserve">, </w:t>
      </w:r>
      <w:r w:rsidR="00257763" w:rsidRPr="00096FF8">
        <w:rPr>
          <w:rStyle w:val="Strong"/>
          <w:rFonts w:asciiTheme="minorHAnsi" w:hAnsiTheme="minorHAnsi" w:cs="Arial"/>
          <w:b w:val="0"/>
          <w:szCs w:val="24"/>
        </w:rPr>
        <w:t>14</w:t>
      </w:r>
      <w:r w:rsidR="00EE3594" w:rsidRPr="00096FF8">
        <w:rPr>
          <w:rStyle w:val="Strong"/>
          <w:rFonts w:asciiTheme="minorHAnsi" w:hAnsiTheme="minorHAnsi" w:cs="Arial"/>
          <w:b w:val="0"/>
          <w:szCs w:val="24"/>
        </w:rPr>
        <w:t>/</w:t>
      </w:r>
      <w:r w:rsidR="00257763" w:rsidRPr="00096FF8">
        <w:rPr>
          <w:rStyle w:val="Strong"/>
          <w:rFonts w:asciiTheme="minorHAnsi" w:hAnsiTheme="minorHAnsi" w:cs="Arial"/>
          <w:b w:val="0"/>
          <w:szCs w:val="24"/>
        </w:rPr>
        <w:t>12</w:t>
      </w:r>
      <w:r w:rsidR="00EE3594" w:rsidRPr="00096FF8">
        <w:rPr>
          <w:rStyle w:val="Strong"/>
          <w:rFonts w:asciiTheme="minorHAnsi" w:hAnsiTheme="minorHAnsi" w:cs="Arial"/>
          <w:b w:val="0"/>
          <w:szCs w:val="24"/>
        </w:rPr>
        <w:t>/2015)</w:t>
      </w:r>
      <w:r w:rsidRPr="00096FF8">
        <w:rPr>
          <w:rStyle w:val="Strong"/>
          <w:rFonts w:asciiTheme="minorHAnsi" w:hAnsiTheme="minorHAnsi" w:cs="Arial"/>
          <w:b w:val="0"/>
          <w:szCs w:val="24"/>
        </w:rPr>
        <w:t>.</w:t>
      </w:r>
    </w:p>
    <w:p w14:paraId="1CD7DF4B" w14:textId="77777777" w:rsidR="007639DA" w:rsidRPr="00096FF8" w:rsidRDefault="007639DA" w:rsidP="00490617">
      <w:pPr>
        <w:spacing w:line="480" w:lineRule="auto"/>
        <w:rPr>
          <w:rStyle w:val="Strong"/>
          <w:rFonts w:asciiTheme="minorHAnsi" w:hAnsiTheme="minorHAnsi" w:cs="Arial"/>
          <w:b w:val="0"/>
          <w:szCs w:val="24"/>
        </w:rPr>
      </w:pPr>
    </w:p>
    <w:p w14:paraId="550011D7" w14:textId="5FA4033F" w:rsidR="00F73458" w:rsidRPr="00096FF8" w:rsidRDefault="00F73458" w:rsidP="00490617">
      <w:pPr>
        <w:spacing w:line="480" w:lineRule="auto"/>
        <w:rPr>
          <w:rFonts w:asciiTheme="minorHAnsi" w:hAnsiTheme="minorHAnsi" w:cs="Arial"/>
          <w:i/>
          <w:szCs w:val="24"/>
          <w:lang w:eastAsia="en-US"/>
        </w:rPr>
      </w:pPr>
      <w:r w:rsidRPr="00096FF8">
        <w:rPr>
          <w:rFonts w:asciiTheme="minorHAnsi" w:hAnsiTheme="minorHAnsi" w:cs="Arial"/>
          <w:szCs w:val="24"/>
          <w:lang w:eastAsia="en-US"/>
        </w:rPr>
        <w:t>Flynn, M. (2009)</w:t>
      </w:r>
      <w:r w:rsidR="00201208" w:rsidRPr="00096FF8">
        <w:rPr>
          <w:rFonts w:asciiTheme="minorHAnsi" w:hAnsiTheme="minorHAnsi" w:cs="Arial"/>
          <w:szCs w:val="24"/>
          <w:lang w:eastAsia="en-US"/>
        </w:rPr>
        <w:t>.</w:t>
      </w:r>
      <w:r w:rsidRPr="00096FF8">
        <w:rPr>
          <w:rFonts w:asciiTheme="minorHAnsi" w:hAnsiTheme="minorHAnsi" w:cs="Arial"/>
          <w:szCs w:val="24"/>
          <w:lang w:eastAsia="en-US"/>
        </w:rPr>
        <w:t xml:space="preserve"> </w:t>
      </w:r>
      <w:r w:rsidRPr="00096FF8">
        <w:rPr>
          <w:rFonts w:asciiTheme="minorHAnsi" w:hAnsiTheme="minorHAnsi" w:cs="Arial"/>
          <w:i/>
          <w:szCs w:val="24"/>
          <w:lang w:eastAsia="en-US"/>
        </w:rPr>
        <w:t>The successes achieved and barriers encountered in delivering the</w:t>
      </w:r>
    </w:p>
    <w:p w14:paraId="7EB94E60" w14:textId="6DEA1314" w:rsidR="00F73458" w:rsidRPr="00096FF8" w:rsidRDefault="00F73458" w:rsidP="00490617">
      <w:pPr>
        <w:spacing w:line="480" w:lineRule="auto"/>
        <w:rPr>
          <w:rFonts w:asciiTheme="minorHAnsi" w:hAnsiTheme="minorHAnsi" w:cs="Arial"/>
          <w:szCs w:val="24"/>
          <w:lang w:eastAsia="en-US"/>
        </w:rPr>
      </w:pPr>
      <w:r w:rsidRPr="00096FF8">
        <w:rPr>
          <w:rFonts w:asciiTheme="minorHAnsi" w:hAnsiTheme="minorHAnsi" w:cs="Arial"/>
          <w:i/>
          <w:szCs w:val="24"/>
          <w:lang w:eastAsia="en-US"/>
        </w:rPr>
        <w:lastRenderedPageBreak/>
        <w:t>Steven Hoskin Serious Case Review action plans</w:t>
      </w:r>
      <w:r w:rsidR="00201208" w:rsidRPr="00096FF8">
        <w:rPr>
          <w:rFonts w:asciiTheme="minorHAnsi" w:hAnsiTheme="minorHAnsi" w:cs="Arial"/>
          <w:i/>
          <w:szCs w:val="24"/>
          <w:lang w:eastAsia="en-US"/>
        </w:rPr>
        <w:t>.</w:t>
      </w:r>
      <w:r w:rsidRPr="00096FF8">
        <w:rPr>
          <w:rFonts w:asciiTheme="minorHAnsi" w:hAnsiTheme="minorHAnsi" w:cs="Arial"/>
          <w:i/>
          <w:szCs w:val="24"/>
          <w:lang w:eastAsia="en-US"/>
        </w:rPr>
        <w:t xml:space="preserve"> </w:t>
      </w:r>
      <w:r w:rsidR="00D97FC1" w:rsidRPr="00096FF8">
        <w:rPr>
          <w:rFonts w:asciiTheme="minorHAnsi" w:hAnsiTheme="minorHAnsi" w:cs="Arial"/>
          <w:szCs w:val="24"/>
          <w:lang w:eastAsia="en-US"/>
        </w:rPr>
        <w:t>Plymouth</w:t>
      </w:r>
      <w:r w:rsidRPr="00096FF8">
        <w:rPr>
          <w:rFonts w:asciiTheme="minorHAnsi" w:hAnsiTheme="minorHAnsi" w:cs="Arial"/>
          <w:szCs w:val="24"/>
          <w:lang w:eastAsia="en-US"/>
        </w:rPr>
        <w:t xml:space="preserve">: Cornwall County Council. </w:t>
      </w:r>
      <w:r w:rsidR="00F76399" w:rsidRPr="00096FF8">
        <w:rPr>
          <w:rFonts w:asciiTheme="minorHAnsi" w:hAnsiTheme="minorHAnsi" w:cs="Arial"/>
          <w:szCs w:val="24"/>
          <w:lang w:eastAsia="en-US"/>
        </w:rPr>
        <w:t>Retrieved from</w:t>
      </w:r>
      <w:r w:rsidRPr="00096FF8">
        <w:rPr>
          <w:rFonts w:asciiTheme="minorHAnsi" w:hAnsiTheme="minorHAnsi" w:cs="Arial"/>
          <w:szCs w:val="24"/>
          <w:lang w:eastAsia="en-US"/>
        </w:rPr>
        <w:t xml:space="preserve"> </w:t>
      </w:r>
      <w:hyperlink r:id="rId22" w:history="1">
        <w:r w:rsidRPr="00096FF8">
          <w:rPr>
            <w:rStyle w:val="Hyperlink"/>
            <w:rFonts w:asciiTheme="minorHAnsi" w:hAnsiTheme="minorHAnsi" w:cs="Arial"/>
            <w:szCs w:val="24"/>
            <w:lang w:eastAsia="en-US"/>
          </w:rPr>
          <w:t>http://www.cornwall.gov.uk/media/3630286/The-successes-achieved-and-barriers-encountered-in-delivering-the-SH-SCR-action-plans-Feb-2009.pdf</w:t>
        </w:r>
      </w:hyperlink>
      <w:r w:rsidRPr="00096FF8">
        <w:rPr>
          <w:rFonts w:asciiTheme="minorHAnsi" w:hAnsiTheme="minorHAnsi" w:cs="Arial"/>
          <w:szCs w:val="24"/>
          <w:lang w:eastAsia="en-US"/>
        </w:rPr>
        <w:t xml:space="preserve"> (</w:t>
      </w:r>
      <w:r w:rsidR="00F76399" w:rsidRPr="00096FF8">
        <w:rPr>
          <w:rFonts w:asciiTheme="minorHAnsi" w:hAnsiTheme="minorHAnsi" w:cs="Arial"/>
          <w:szCs w:val="24"/>
          <w:lang w:eastAsia="en-US"/>
        </w:rPr>
        <w:t>Accessed</w:t>
      </w:r>
      <w:r w:rsidRPr="00096FF8">
        <w:rPr>
          <w:rFonts w:asciiTheme="minorHAnsi" w:hAnsiTheme="minorHAnsi" w:cs="Arial"/>
          <w:szCs w:val="24"/>
          <w:lang w:eastAsia="en-US"/>
        </w:rPr>
        <w:t xml:space="preserve"> </w:t>
      </w:r>
      <w:r w:rsidR="00257763" w:rsidRPr="00096FF8">
        <w:rPr>
          <w:rFonts w:asciiTheme="minorHAnsi" w:hAnsiTheme="minorHAnsi" w:cs="Arial"/>
          <w:szCs w:val="24"/>
          <w:lang w:eastAsia="en-US"/>
        </w:rPr>
        <w:t>14</w:t>
      </w:r>
      <w:r w:rsidR="00CA6556" w:rsidRPr="00096FF8">
        <w:rPr>
          <w:rFonts w:asciiTheme="minorHAnsi" w:hAnsiTheme="minorHAnsi" w:cs="Arial"/>
          <w:szCs w:val="24"/>
          <w:lang w:eastAsia="en-US"/>
        </w:rPr>
        <w:t>/</w:t>
      </w:r>
      <w:r w:rsidR="00257763" w:rsidRPr="00096FF8">
        <w:rPr>
          <w:rFonts w:asciiTheme="minorHAnsi" w:hAnsiTheme="minorHAnsi" w:cs="Arial"/>
          <w:szCs w:val="24"/>
          <w:lang w:eastAsia="en-US"/>
        </w:rPr>
        <w:t>12</w:t>
      </w:r>
      <w:r w:rsidR="00CA6556" w:rsidRPr="00096FF8">
        <w:rPr>
          <w:rFonts w:asciiTheme="minorHAnsi" w:hAnsiTheme="minorHAnsi" w:cs="Arial"/>
          <w:szCs w:val="24"/>
          <w:lang w:eastAsia="en-US"/>
        </w:rPr>
        <w:t>/2015</w:t>
      </w:r>
      <w:r w:rsidR="00AE0E97" w:rsidRPr="00096FF8">
        <w:rPr>
          <w:rFonts w:asciiTheme="minorHAnsi" w:hAnsiTheme="minorHAnsi" w:cs="Arial"/>
          <w:szCs w:val="24"/>
          <w:lang w:eastAsia="en-US"/>
        </w:rPr>
        <w:t>)</w:t>
      </w:r>
      <w:r w:rsidR="00EF1EFF" w:rsidRPr="00096FF8">
        <w:rPr>
          <w:rFonts w:asciiTheme="minorHAnsi" w:hAnsiTheme="minorHAnsi" w:cs="Arial"/>
          <w:szCs w:val="24"/>
          <w:lang w:eastAsia="en-US"/>
        </w:rPr>
        <w:t>.</w:t>
      </w:r>
    </w:p>
    <w:p w14:paraId="2600C0F2" w14:textId="77777777" w:rsidR="00F73458" w:rsidRPr="00096FF8" w:rsidRDefault="00F73458" w:rsidP="00490617">
      <w:pPr>
        <w:spacing w:line="480" w:lineRule="auto"/>
        <w:rPr>
          <w:rFonts w:asciiTheme="minorHAnsi" w:hAnsiTheme="minorHAnsi" w:cs="Arial"/>
          <w:szCs w:val="24"/>
          <w:lang w:eastAsia="en-US"/>
        </w:rPr>
      </w:pPr>
    </w:p>
    <w:p w14:paraId="05F6D85D" w14:textId="4E449E89" w:rsidR="00936D6C" w:rsidRPr="00096FF8" w:rsidRDefault="00936D6C" w:rsidP="00490617">
      <w:pPr>
        <w:spacing w:line="480" w:lineRule="auto"/>
        <w:rPr>
          <w:rFonts w:asciiTheme="minorHAnsi" w:hAnsiTheme="minorHAnsi" w:cs="Arial"/>
          <w:szCs w:val="24"/>
          <w:lang w:eastAsia="en-US"/>
        </w:rPr>
      </w:pPr>
      <w:r w:rsidRPr="00096FF8">
        <w:rPr>
          <w:rFonts w:asciiTheme="minorHAnsi" w:hAnsiTheme="minorHAnsi" w:cs="Arial"/>
          <w:szCs w:val="24"/>
          <w:lang w:eastAsia="en-US"/>
        </w:rPr>
        <w:t>Gale, N., Health, G. Cameron, E., Rashid, S. and Redwood, S. (2013)</w:t>
      </w:r>
      <w:r w:rsidR="00201208" w:rsidRPr="00096FF8">
        <w:rPr>
          <w:rFonts w:asciiTheme="minorHAnsi" w:hAnsiTheme="minorHAnsi" w:cs="Arial"/>
          <w:szCs w:val="24"/>
          <w:lang w:eastAsia="en-US"/>
        </w:rPr>
        <w:t xml:space="preserve">. </w:t>
      </w:r>
      <w:r w:rsidRPr="00096FF8">
        <w:rPr>
          <w:rFonts w:asciiTheme="minorHAnsi" w:hAnsiTheme="minorHAnsi" w:cs="Arial"/>
          <w:szCs w:val="24"/>
          <w:lang w:eastAsia="en-US"/>
        </w:rPr>
        <w:t xml:space="preserve">Using the framework method for the analysis of qualitative data in multi-disciplinary health </w:t>
      </w:r>
      <w:r w:rsidR="00201208" w:rsidRPr="00096FF8">
        <w:rPr>
          <w:rFonts w:asciiTheme="minorHAnsi" w:hAnsiTheme="minorHAnsi" w:cs="Arial"/>
          <w:szCs w:val="24"/>
          <w:lang w:eastAsia="en-US"/>
        </w:rPr>
        <w:t>research.</w:t>
      </w:r>
      <w:r w:rsidRPr="00096FF8">
        <w:rPr>
          <w:rFonts w:asciiTheme="minorHAnsi" w:hAnsiTheme="minorHAnsi" w:cs="Arial"/>
          <w:i/>
          <w:szCs w:val="24"/>
          <w:lang w:eastAsia="en-US"/>
        </w:rPr>
        <w:t xml:space="preserve"> BMC Medical Research Methodology</w:t>
      </w:r>
      <w:r w:rsidR="00201208" w:rsidRPr="00096FF8">
        <w:rPr>
          <w:rFonts w:asciiTheme="minorHAnsi" w:hAnsiTheme="minorHAnsi" w:cs="Arial"/>
          <w:i/>
          <w:szCs w:val="24"/>
          <w:lang w:eastAsia="en-US"/>
        </w:rPr>
        <w:t>,</w:t>
      </w:r>
      <w:r w:rsidRPr="00096FF8">
        <w:rPr>
          <w:rFonts w:asciiTheme="minorHAnsi" w:hAnsiTheme="minorHAnsi" w:cs="Arial"/>
          <w:szCs w:val="24"/>
          <w:lang w:eastAsia="en-US"/>
        </w:rPr>
        <w:t xml:space="preserve"> 13(117)</w:t>
      </w:r>
      <w:r w:rsidR="00257763" w:rsidRPr="00096FF8">
        <w:rPr>
          <w:rFonts w:asciiTheme="minorHAnsi" w:hAnsiTheme="minorHAnsi" w:cs="Arial"/>
          <w:szCs w:val="24"/>
          <w:lang w:eastAsia="en-US"/>
        </w:rPr>
        <w:t>,</w:t>
      </w:r>
      <w:r w:rsidRPr="00096FF8">
        <w:rPr>
          <w:rFonts w:asciiTheme="minorHAnsi" w:hAnsiTheme="minorHAnsi" w:cs="Arial"/>
          <w:szCs w:val="24"/>
          <w:lang w:eastAsia="en-US"/>
        </w:rPr>
        <w:t xml:space="preserve"> 8pp. </w:t>
      </w:r>
      <w:r w:rsidR="00F76399" w:rsidRPr="00096FF8">
        <w:rPr>
          <w:rFonts w:asciiTheme="minorHAnsi" w:hAnsiTheme="minorHAnsi" w:cs="Arial"/>
          <w:szCs w:val="24"/>
          <w:lang w:eastAsia="en-US"/>
        </w:rPr>
        <w:t>Retrieved from</w:t>
      </w:r>
      <w:r w:rsidRPr="00096FF8">
        <w:rPr>
          <w:rFonts w:asciiTheme="minorHAnsi" w:hAnsiTheme="minorHAnsi" w:cs="Arial"/>
          <w:szCs w:val="24"/>
          <w:lang w:eastAsia="en-US"/>
        </w:rPr>
        <w:t xml:space="preserve"> </w:t>
      </w:r>
      <w:hyperlink r:id="rId23" w:history="1">
        <w:r w:rsidRPr="00096FF8">
          <w:rPr>
            <w:rStyle w:val="Hyperlink"/>
            <w:rFonts w:asciiTheme="minorHAnsi" w:hAnsiTheme="minorHAnsi" w:cs="Arial"/>
            <w:szCs w:val="24"/>
            <w:lang w:eastAsia="en-US"/>
          </w:rPr>
          <w:t>http://www.biomedcentral.com/content/pdf/1471-2288-13-117.pdf</w:t>
        </w:r>
      </w:hyperlink>
      <w:r w:rsidR="00257763" w:rsidRPr="00096FF8">
        <w:rPr>
          <w:rFonts w:asciiTheme="minorHAnsi" w:hAnsiTheme="minorHAnsi" w:cs="Arial"/>
          <w:szCs w:val="24"/>
          <w:lang w:eastAsia="en-US"/>
        </w:rPr>
        <w:t xml:space="preserve"> </w:t>
      </w:r>
      <w:r w:rsidRPr="00096FF8">
        <w:rPr>
          <w:rFonts w:asciiTheme="minorHAnsi" w:hAnsiTheme="minorHAnsi" w:cs="Arial"/>
          <w:szCs w:val="24"/>
          <w:lang w:eastAsia="en-US"/>
        </w:rPr>
        <w:t xml:space="preserve">(Accessed </w:t>
      </w:r>
      <w:r w:rsidR="00257763" w:rsidRPr="00096FF8">
        <w:rPr>
          <w:rFonts w:asciiTheme="minorHAnsi" w:hAnsiTheme="minorHAnsi" w:cs="Arial"/>
          <w:szCs w:val="24"/>
          <w:lang w:eastAsia="en-US"/>
        </w:rPr>
        <w:t>14</w:t>
      </w:r>
      <w:r w:rsidR="00AE0E97" w:rsidRPr="00096FF8">
        <w:rPr>
          <w:rFonts w:asciiTheme="minorHAnsi" w:hAnsiTheme="minorHAnsi" w:cs="Arial"/>
          <w:szCs w:val="24"/>
          <w:lang w:eastAsia="en-US"/>
        </w:rPr>
        <w:t>/</w:t>
      </w:r>
      <w:r w:rsidR="00257763" w:rsidRPr="00096FF8">
        <w:rPr>
          <w:rFonts w:asciiTheme="minorHAnsi" w:hAnsiTheme="minorHAnsi" w:cs="Arial"/>
          <w:szCs w:val="24"/>
          <w:lang w:eastAsia="en-US"/>
        </w:rPr>
        <w:t>12</w:t>
      </w:r>
      <w:r w:rsidRPr="00096FF8">
        <w:rPr>
          <w:rFonts w:asciiTheme="minorHAnsi" w:hAnsiTheme="minorHAnsi" w:cs="Arial"/>
          <w:szCs w:val="24"/>
          <w:lang w:eastAsia="en-US"/>
        </w:rPr>
        <w:t>/2015)</w:t>
      </w:r>
      <w:r w:rsidR="00AE0E97" w:rsidRPr="00096FF8">
        <w:rPr>
          <w:rFonts w:asciiTheme="minorHAnsi" w:hAnsiTheme="minorHAnsi" w:cs="Arial"/>
          <w:szCs w:val="24"/>
          <w:lang w:eastAsia="en-US"/>
        </w:rPr>
        <w:t>.</w:t>
      </w:r>
    </w:p>
    <w:p w14:paraId="69D71018" w14:textId="77777777" w:rsidR="00936D6C" w:rsidRPr="00096FF8" w:rsidRDefault="00936D6C" w:rsidP="00490617">
      <w:pPr>
        <w:spacing w:line="480" w:lineRule="auto"/>
        <w:rPr>
          <w:rFonts w:asciiTheme="minorHAnsi" w:hAnsiTheme="minorHAnsi" w:cs="Arial"/>
          <w:szCs w:val="24"/>
          <w:lang w:eastAsia="en-US"/>
        </w:rPr>
      </w:pPr>
    </w:p>
    <w:p w14:paraId="7A915E47" w14:textId="3982C597" w:rsidR="00313570" w:rsidRPr="00096FF8" w:rsidRDefault="00313570" w:rsidP="00490617">
      <w:pPr>
        <w:spacing w:line="480" w:lineRule="auto"/>
        <w:rPr>
          <w:rFonts w:asciiTheme="minorHAnsi" w:hAnsiTheme="minorHAnsi" w:cs="Arial"/>
          <w:szCs w:val="24"/>
          <w:lang w:eastAsia="en-US"/>
        </w:rPr>
      </w:pPr>
      <w:r w:rsidRPr="00096FF8">
        <w:rPr>
          <w:rFonts w:asciiTheme="minorHAnsi" w:hAnsiTheme="minorHAnsi" w:cs="Arial"/>
          <w:szCs w:val="24"/>
          <w:lang w:eastAsia="en-US"/>
        </w:rPr>
        <w:t>Glendinning, C. (2008)</w:t>
      </w:r>
      <w:r w:rsidR="00201208" w:rsidRPr="00096FF8">
        <w:rPr>
          <w:rFonts w:asciiTheme="minorHAnsi" w:hAnsiTheme="minorHAnsi" w:cs="Arial"/>
          <w:szCs w:val="24"/>
          <w:lang w:eastAsia="en-US"/>
        </w:rPr>
        <w:t xml:space="preserve">. </w:t>
      </w:r>
      <w:r w:rsidRPr="00096FF8">
        <w:rPr>
          <w:rFonts w:asciiTheme="minorHAnsi" w:hAnsiTheme="minorHAnsi" w:cs="Arial"/>
          <w:szCs w:val="24"/>
          <w:lang w:eastAsia="en-US"/>
        </w:rPr>
        <w:t>Increasing Choice and Control for Older and Disabled People: A Critical Review of New Developments in England</w:t>
      </w:r>
      <w:r w:rsidR="00201208" w:rsidRPr="00096FF8">
        <w:rPr>
          <w:rFonts w:asciiTheme="minorHAnsi" w:hAnsiTheme="minorHAnsi" w:cs="Arial"/>
          <w:szCs w:val="24"/>
          <w:lang w:eastAsia="en-US"/>
        </w:rPr>
        <w:t>.</w:t>
      </w:r>
      <w:r w:rsidRPr="00096FF8">
        <w:rPr>
          <w:rFonts w:asciiTheme="minorHAnsi" w:hAnsiTheme="minorHAnsi" w:cs="Arial"/>
          <w:szCs w:val="24"/>
          <w:lang w:eastAsia="en-US"/>
        </w:rPr>
        <w:t xml:space="preserve"> </w:t>
      </w:r>
      <w:r w:rsidRPr="00096FF8">
        <w:rPr>
          <w:rFonts w:asciiTheme="minorHAnsi" w:hAnsiTheme="minorHAnsi" w:cs="Arial"/>
          <w:i/>
          <w:szCs w:val="24"/>
          <w:lang w:eastAsia="en-US"/>
        </w:rPr>
        <w:t xml:space="preserve">Social Policy and Administration, </w:t>
      </w:r>
      <w:r w:rsidRPr="00096FF8">
        <w:rPr>
          <w:rFonts w:asciiTheme="minorHAnsi" w:hAnsiTheme="minorHAnsi" w:cs="Arial"/>
          <w:szCs w:val="24"/>
          <w:lang w:eastAsia="en-US"/>
        </w:rPr>
        <w:t>42(5)</w:t>
      </w:r>
      <w:r w:rsidR="00201208" w:rsidRPr="00096FF8">
        <w:rPr>
          <w:rFonts w:asciiTheme="minorHAnsi" w:hAnsiTheme="minorHAnsi" w:cs="Arial"/>
          <w:szCs w:val="24"/>
          <w:lang w:eastAsia="en-US"/>
        </w:rPr>
        <w:t>,</w:t>
      </w:r>
      <w:r w:rsidRPr="00096FF8">
        <w:rPr>
          <w:rFonts w:asciiTheme="minorHAnsi" w:hAnsiTheme="minorHAnsi" w:cs="Arial"/>
          <w:szCs w:val="24"/>
          <w:lang w:eastAsia="en-US"/>
        </w:rPr>
        <w:t xml:space="preserve"> 451-469.</w:t>
      </w:r>
      <w:r w:rsidR="00AE0E97" w:rsidRPr="00096FF8">
        <w:rPr>
          <w:rFonts w:asciiTheme="minorHAnsi" w:hAnsiTheme="minorHAnsi" w:cs="Arial"/>
          <w:szCs w:val="24"/>
          <w:lang w:eastAsia="en-US"/>
        </w:rPr>
        <w:t xml:space="preserve"> </w:t>
      </w:r>
      <w:r w:rsidR="001D3189" w:rsidRPr="00096FF8">
        <w:rPr>
          <w:rFonts w:asciiTheme="minorHAnsi" w:hAnsiTheme="minorHAnsi" w:cs="Arial"/>
          <w:szCs w:val="24"/>
          <w:lang w:eastAsia="en-US"/>
        </w:rPr>
        <w:t>doi</w:t>
      </w:r>
      <w:r w:rsidR="00AE0E97" w:rsidRPr="00096FF8">
        <w:rPr>
          <w:rFonts w:asciiTheme="minorHAnsi" w:hAnsiTheme="minorHAnsi" w:cs="Arial"/>
          <w:szCs w:val="24"/>
          <w:lang w:eastAsia="en-US"/>
        </w:rPr>
        <w:t>: 10.1111/j.1467-9515.2008.00617.x</w:t>
      </w:r>
    </w:p>
    <w:p w14:paraId="35DAC9C5" w14:textId="77777777" w:rsidR="000D2FAE" w:rsidRPr="00096FF8" w:rsidRDefault="000D2FAE" w:rsidP="00490617">
      <w:pPr>
        <w:spacing w:line="480" w:lineRule="auto"/>
        <w:rPr>
          <w:rFonts w:asciiTheme="minorHAnsi" w:hAnsiTheme="minorHAnsi" w:cs="Arial"/>
          <w:szCs w:val="24"/>
          <w:lang w:eastAsia="en-US"/>
        </w:rPr>
      </w:pPr>
    </w:p>
    <w:p w14:paraId="66AD30F3" w14:textId="38C0D976" w:rsidR="004332B6" w:rsidRPr="00096FF8" w:rsidRDefault="004332B6" w:rsidP="00490617">
      <w:pPr>
        <w:spacing w:line="480" w:lineRule="auto"/>
        <w:rPr>
          <w:rFonts w:asciiTheme="minorHAnsi" w:hAnsiTheme="minorHAnsi" w:cs="Arial"/>
          <w:szCs w:val="24"/>
          <w:lang w:eastAsia="en-US"/>
        </w:rPr>
      </w:pPr>
      <w:r w:rsidRPr="00096FF8">
        <w:rPr>
          <w:rFonts w:asciiTheme="minorHAnsi" w:hAnsiTheme="minorHAnsi" w:cs="Arial"/>
          <w:szCs w:val="24"/>
          <w:lang w:eastAsia="en-US"/>
        </w:rPr>
        <w:t xml:space="preserve">Hunter, S., Manthorpe, J., Ridley, J., Cornes, M. and Rosengard, A. (2012). When self‐directed support meets adult support and protection: findings from the evaluation of the SDS test sites in Scotland. </w:t>
      </w:r>
      <w:r w:rsidRPr="00096FF8">
        <w:rPr>
          <w:rFonts w:asciiTheme="minorHAnsi" w:hAnsiTheme="minorHAnsi" w:cs="Arial"/>
          <w:i/>
          <w:szCs w:val="24"/>
          <w:lang w:eastAsia="en-US"/>
        </w:rPr>
        <w:t xml:space="preserve">Journal of Adult Protection. </w:t>
      </w:r>
      <w:r w:rsidRPr="00096FF8">
        <w:rPr>
          <w:rFonts w:asciiTheme="minorHAnsi" w:hAnsiTheme="minorHAnsi" w:cs="Arial"/>
          <w:szCs w:val="24"/>
          <w:lang w:eastAsia="en-US"/>
        </w:rPr>
        <w:t>14(4)</w:t>
      </w:r>
      <w:r w:rsidR="00201208" w:rsidRPr="00096FF8">
        <w:rPr>
          <w:rFonts w:asciiTheme="minorHAnsi" w:hAnsiTheme="minorHAnsi" w:cs="Arial"/>
          <w:szCs w:val="24"/>
          <w:lang w:eastAsia="en-US"/>
        </w:rPr>
        <w:t>,</w:t>
      </w:r>
      <w:r w:rsidRPr="00096FF8">
        <w:rPr>
          <w:rFonts w:asciiTheme="minorHAnsi" w:hAnsiTheme="minorHAnsi" w:cs="Arial"/>
          <w:szCs w:val="24"/>
          <w:lang w:eastAsia="en-US"/>
        </w:rPr>
        <w:t xml:space="preserve"> 205-215. </w:t>
      </w:r>
      <w:hyperlink r:id="rId24" w:history="1">
        <w:r w:rsidRPr="00096FF8">
          <w:rPr>
            <w:rStyle w:val="Hyperlink"/>
            <w:rFonts w:asciiTheme="minorHAnsi" w:hAnsiTheme="minorHAnsi" w:cs="Arial"/>
            <w:szCs w:val="24"/>
            <w:lang w:eastAsia="en-US"/>
          </w:rPr>
          <w:t>http://dx.doi.org/10.1108/14668201211256717</w:t>
        </w:r>
      </w:hyperlink>
      <w:r w:rsidRPr="00096FF8">
        <w:rPr>
          <w:rFonts w:asciiTheme="minorHAnsi" w:hAnsiTheme="minorHAnsi" w:cs="Arial"/>
          <w:szCs w:val="24"/>
          <w:lang w:eastAsia="en-US"/>
        </w:rPr>
        <w:t xml:space="preserve"> </w:t>
      </w:r>
    </w:p>
    <w:p w14:paraId="1D3BD29D" w14:textId="77777777" w:rsidR="004332B6" w:rsidRPr="00096FF8" w:rsidRDefault="004332B6" w:rsidP="00490617">
      <w:pPr>
        <w:spacing w:line="480" w:lineRule="auto"/>
        <w:rPr>
          <w:rFonts w:asciiTheme="minorHAnsi" w:hAnsiTheme="minorHAnsi" w:cs="Arial"/>
          <w:szCs w:val="24"/>
          <w:lang w:eastAsia="en-US"/>
        </w:rPr>
      </w:pPr>
    </w:p>
    <w:p w14:paraId="51935610" w14:textId="664ABF9B" w:rsidR="00AE0E97" w:rsidRPr="00096FF8" w:rsidRDefault="00F6429B" w:rsidP="00490617">
      <w:pPr>
        <w:spacing w:line="480" w:lineRule="auto"/>
        <w:rPr>
          <w:rFonts w:asciiTheme="minorHAnsi" w:hAnsiTheme="minorHAnsi"/>
          <w:szCs w:val="24"/>
        </w:rPr>
      </w:pPr>
      <w:r w:rsidRPr="00096FF8">
        <w:rPr>
          <w:rFonts w:asciiTheme="minorHAnsi" w:hAnsiTheme="minorHAnsi" w:cs="Arial"/>
          <w:szCs w:val="24"/>
        </w:rPr>
        <w:t>James, A.N. (2008)</w:t>
      </w:r>
      <w:r w:rsidR="00201208" w:rsidRPr="00096FF8">
        <w:rPr>
          <w:rFonts w:asciiTheme="minorHAnsi" w:hAnsiTheme="minorHAnsi" w:cs="Arial"/>
          <w:szCs w:val="24"/>
        </w:rPr>
        <w:t>.</w:t>
      </w:r>
      <w:r w:rsidRPr="00096FF8">
        <w:rPr>
          <w:rFonts w:asciiTheme="minorHAnsi" w:hAnsiTheme="minorHAnsi" w:cs="Arial"/>
          <w:szCs w:val="24"/>
        </w:rPr>
        <w:t xml:space="preserve"> A critical consideration of the cash for care approach and its implications for social services in Wales</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Journal of Adult Protection</w:t>
      </w:r>
      <w:r w:rsidR="00201208" w:rsidRPr="00096FF8">
        <w:rPr>
          <w:rFonts w:asciiTheme="minorHAnsi" w:hAnsiTheme="minorHAnsi" w:cs="Arial"/>
          <w:i/>
          <w:szCs w:val="24"/>
        </w:rPr>
        <w:t>,</w:t>
      </w:r>
      <w:r w:rsidRPr="00096FF8">
        <w:rPr>
          <w:rFonts w:asciiTheme="minorHAnsi" w:hAnsiTheme="minorHAnsi" w:cs="Arial"/>
          <w:szCs w:val="24"/>
        </w:rPr>
        <w:t xml:space="preserve"> 10</w:t>
      </w:r>
      <w:r w:rsidRPr="00096FF8">
        <w:rPr>
          <w:rFonts w:asciiTheme="minorHAnsi" w:hAnsiTheme="minorHAnsi"/>
          <w:szCs w:val="24"/>
        </w:rPr>
        <w:t>(3)</w:t>
      </w:r>
      <w:r w:rsidR="00201208" w:rsidRPr="00096FF8">
        <w:rPr>
          <w:rFonts w:asciiTheme="minorHAnsi" w:hAnsiTheme="minorHAnsi"/>
          <w:szCs w:val="24"/>
        </w:rPr>
        <w:t>,</w:t>
      </w:r>
      <w:r w:rsidRPr="00096FF8">
        <w:rPr>
          <w:rFonts w:asciiTheme="minorHAnsi" w:hAnsiTheme="minorHAnsi"/>
          <w:szCs w:val="24"/>
        </w:rPr>
        <w:t xml:space="preserve"> 23-34.</w:t>
      </w:r>
      <w:r w:rsidR="00AE0E97" w:rsidRPr="00096FF8">
        <w:rPr>
          <w:rFonts w:asciiTheme="minorHAnsi" w:hAnsiTheme="minorHAnsi"/>
          <w:szCs w:val="24"/>
        </w:rPr>
        <w:t xml:space="preserve"> </w:t>
      </w:r>
    </w:p>
    <w:p w14:paraId="388A74F9" w14:textId="5CA5889B" w:rsidR="00F6429B" w:rsidRPr="00096FF8" w:rsidRDefault="001D3189" w:rsidP="00490617">
      <w:pPr>
        <w:spacing w:line="480" w:lineRule="auto"/>
        <w:rPr>
          <w:rFonts w:asciiTheme="minorHAnsi" w:hAnsiTheme="minorHAnsi"/>
          <w:szCs w:val="24"/>
        </w:rPr>
      </w:pPr>
      <w:r w:rsidRPr="00096FF8">
        <w:rPr>
          <w:rFonts w:asciiTheme="minorHAnsi" w:hAnsiTheme="minorHAnsi"/>
          <w:szCs w:val="24"/>
        </w:rPr>
        <w:t>doi</w:t>
      </w:r>
      <w:r w:rsidR="00AE0E97" w:rsidRPr="00096FF8">
        <w:rPr>
          <w:rFonts w:asciiTheme="minorHAnsi" w:hAnsiTheme="minorHAnsi"/>
          <w:szCs w:val="24"/>
        </w:rPr>
        <w:t xml:space="preserve">: </w:t>
      </w:r>
      <w:hyperlink r:id="rId25" w:history="1">
        <w:r w:rsidR="00AE0E97" w:rsidRPr="00096FF8">
          <w:rPr>
            <w:rStyle w:val="Hyperlink"/>
            <w:rFonts w:asciiTheme="minorHAnsi" w:hAnsiTheme="minorHAnsi"/>
            <w:szCs w:val="24"/>
          </w:rPr>
          <w:t>http://dx.doi.org/10.1108/14668203200800017</w:t>
        </w:r>
      </w:hyperlink>
      <w:r w:rsidR="00AE0E97" w:rsidRPr="00096FF8">
        <w:rPr>
          <w:rFonts w:asciiTheme="minorHAnsi" w:hAnsiTheme="minorHAnsi"/>
          <w:szCs w:val="24"/>
        </w:rPr>
        <w:t xml:space="preserve">. </w:t>
      </w:r>
    </w:p>
    <w:p w14:paraId="32B64AC7" w14:textId="77777777" w:rsidR="00F6429B" w:rsidRPr="00096FF8" w:rsidRDefault="00F6429B" w:rsidP="00490617">
      <w:pPr>
        <w:spacing w:line="480" w:lineRule="auto"/>
        <w:rPr>
          <w:rFonts w:asciiTheme="minorHAnsi" w:hAnsiTheme="minorHAnsi"/>
          <w:szCs w:val="24"/>
        </w:rPr>
      </w:pPr>
    </w:p>
    <w:p w14:paraId="3E89698E" w14:textId="55768058" w:rsidR="00F6429B" w:rsidRPr="00096FF8" w:rsidRDefault="00F6429B" w:rsidP="00490617">
      <w:pPr>
        <w:spacing w:line="480" w:lineRule="auto"/>
        <w:rPr>
          <w:rFonts w:asciiTheme="minorHAnsi" w:hAnsiTheme="minorHAnsi"/>
          <w:szCs w:val="24"/>
        </w:rPr>
      </w:pPr>
      <w:r w:rsidRPr="00096FF8">
        <w:rPr>
          <w:rFonts w:asciiTheme="minorHAnsi" w:hAnsiTheme="minorHAnsi"/>
          <w:szCs w:val="24"/>
        </w:rPr>
        <w:lastRenderedPageBreak/>
        <w:t>Jupp, K. (2008)</w:t>
      </w:r>
      <w:r w:rsidR="00201208" w:rsidRPr="00096FF8">
        <w:rPr>
          <w:rFonts w:asciiTheme="minorHAnsi" w:hAnsiTheme="minorHAnsi"/>
          <w:szCs w:val="24"/>
        </w:rPr>
        <w:t>.</w:t>
      </w:r>
      <w:r w:rsidRPr="00096FF8">
        <w:rPr>
          <w:rFonts w:asciiTheme="minorHAnsi" w:hAnsiTheme="minorHAnsi"/>
          <w:szCs w:val="24"/>
        </w:rPr>
        <w:t xml:space="preserve"> Broadening horizons</w:t>
      </w:r>
      <w:r w:rsidR="00201208" w:rsidRPr="00096FF8">
        <w:rPr>
          <w:rFonts w:asciiTheme="minorHAnsi" w:hAnsiTheme="minorHAnsi"/>
          <w:szCs w:val="24"/>
        </w:rPr>
        <w:t>.</w:t>
      </w:r>
      <w:r w:rsidRPr="00096FF8">
        <w:rPr>
          <w:rFonts w:asciiTheme="minorHAnsi" w:hAnsiTheme="minorHAnsi"/>
          <w:szCs w:val="24"/>
        </w:rPr>
        <w:t xml:space="preserve"> </w:t>
      </w:r>
      <w:r w:rsidRPr="00096FF8">
        <w:rPr>
          <w:rFonts w:asciiTheme="minorHAnsi" w:hAnsiTheme="minorHAnsi"/>
          <w:i/>
          <w:szCs w:val="24"/>
        </w:rPr>
        <w:t>Learning Disability Today</w:t>
      </w:r>
      <w:r w:rsidRPr="00096FF8">
        <w:rPr>
          <w:rFonts w:asciiTheme="minorHAnsi" w:hAnsiTheme="minorHAnsi"/>
          <w:szCs w:val="24"/>
        </w:rPr>
        <w:t>, September pp 28-29.</w:t>
      </w:r>
      <w:r w:rsidR="00CD310C" w:rsidRPr="00096FF8">
        <w:rPr>
          <w:rFonts w:asciiTheme="minorHAnsi" w:hAnsiTheme="minorHAnsi"/>
          <w:szCs w:val="24"/>
        </w:rPr>
        <w:t xml:space="preserve">  No web address or </w:t>
      </w:r>
      <w:r w:rsidR="001D3189" w:rsidRPr="00096FF8">
        <w:rPr>
          <w:rFonts w:asciiTheme="minorHAnsi" w:hAnsiTheme="minorHAnsi"/>
          <w:szCs w:val="24"/>
        </w:rPr>
        <w:t>doi</w:t>
      </w:r>
      <w:r w:rsidR="00CD310C" w:rsidRPr="00096FF8">
        <w:rPr>
          <w:rFonts w:asciiTheme="minorHAnsi" w:hAnsiTheme="minorHAnsi"/>
          <w:szCs w:val="24"/>
        </w:rPr>
        <w:t xml:space="preserve"> available.</w:t>
      </w:r>
    </w:p>
    <w:p w14:paraId="38A34467" w14:textId="77777777" w:rsidR="00F6429B" w:rsidRPr="00096FF8" w:rsidRDefault="00F6429B" w:rsidP="00490617">
      <w:pPr>
        <w:spacing w:line="480" w:lineRule="auto"/>
        <w:rPr>
          <w:rFonts w:asciiTheme="minorHAnsi" w:hAnsiTheme="minorHAnsi"/>
          <w:szCs w:val="24"/>
        </w:rPr>
      </w:pPr>
    </w:p>
    <w:p w14:paraId="6A83F8C2" w14:textId="3E26883C" w:rsidR="00522F95" w:rsidRPr="00096FF8" w:rsidRDefault="00522F95" w:rsidP="00490617">
      <w:pPr>
        <w:spacing w:line="480" w:lineRule="auto"/>
        <w:rPr>
          <w:rFonts w:asciiTheme="minorHAnsi" w:hAnsiTheme="minorHAnsi"/>
        </w:rPr>
      </w:pPr>
      <w:r w:rsidRPr="00096FF8">
        <w:rPr>
          <w:rFonts w:asciiTheme="minorHAnsi" w:hAnsiTheme="minorHAnsi"/>
        </w:rPr>
        <w:t xml:space="preserve">Laybourne, A. </w:t>
      </w:r>
      <w:r w:rsidR="009008DB" w:rsidRPr="00096FF8">
        <w:rPr>
          <w:rFonts w:asciiTheme="minorHAnsi" w:hAnsiTheme="minorHAnsi"/>
        </w:rPr>
        <w:t xml:space="preserve">Jepson, M., Williams, T., Robotham, D., Chylarova, E. and Williams, V. </w:t>
      </w:r>
      <w:r w:rsidRPr="00096FF8">
        <w:rPr>
          <w:rFonts w:asciiTheme="minorHAnsi" w:hAnsiTheme="minorHAnsi"/>
        </w:rPr>
        <w:t>(2014 Advance Access)</w:t>
      </w:r>
      <w:r w:rsidR="00201208" w:rsidRPr="00096FF8">
        <w:rPr>
          <w:rFonts w:asciiTheme="minorHAnsi" w:hAnsiTheme="minorHAnsi"/>
        </w:rPr>
        <w:t>.</w:t>
      </w:r>
      <w:r w:rsidRPr="00096FF8">
        <w:rPr>
          <w:rFonts w:asciiTheme="minorHAnsi" w:hAnsiTheme="minorHAnsi"/>
        </w:rPr>
        <w:t xml:space="preserve"> Beginning to explore the experience of managing a direct payment for someone with dementia: The perspectives of suitable people and adult social care practitioners</w:t>
      </w:r>
      <w:r w:rsidR="00201208" w:rsidRPr="00096FF8">
        <w:rPr>
          <w:rFonts w:asciiTheme="minorHAnsi" w:hAnsiTheme="minorHAnsi"/>
        </w:rPr>
        <w:t>.</w:t>
      </w:r>
      <w:r w:rsidRPr="00096FF8">
        <w:rPr>
          <w:rFonts w:asciiTheme="minorHAnsi" w:hAnsiTheme="minorHAnsi"/>
        </w:rPr>
        <w:t xml:space="preserve"> </w:t>
      </w:r>
      <w:r w:rsidRPr="00096FF8">
        <w:rPr>
          <w:rFonts w:asciiTheme="minorHAnsi" w:hAnsiTheme="minorHAnsi"/>
          <w:i/>
        </w:rPr>
        <w:t>Dementia</w:t>
      </w:r>
      <w:r w:rsidR="00201208" w:rsidRPr="00096FF8">
        <w:rPr>
          <w:rFonts w:asciiTheme="minorHAnsi" w:hAnsiTheme="minorHAnsi"/>
          <w:i/>
        </w:rPr>
        <w:t>,</w:t>
      </w:r>
      <w:r w:rsidR="009A4850" w:rsidRPr="00096FF8">
        <w:rPr>
          <w:rFonts w:asciiTheme="minorHAnsi" w:hAnsiTheme="minorHAnsi"/>
          <w:i/>
        </w:rPr>
        <w:t xml:space="preserve"> </w:t>
      </w:r>
      <w:r w:rsidR="001D3189" w:rsidRPr="00096FF8">
        <w:rPr>
          <w:rFonts w:asciiTheme="minorHAnsi" w:hAnsiTheme="minorHAnsi"/>
        </w:rPr>
        <w:t>doi</w:t>
      </w:r>
      <w:r w:rsidRPr="00096FF8">
        <w:rPr>
          <w:rFonts w:asciiTheme="minorHAnsi" w:hAnsiTheme="minorHAnsi"/>
        </w:rPr>
        <w:t xml:space="preserve">: 10.1177/1471301214553037. </w:t>
      </w:r>
    </w:p>
    <w:p w14:paraId="63EB2668" w14:textId="77777777" w:rsidR="00522F95" w:rsidRPr="00096FF8" w:rsidRDefault="00522F95" w:rsidP="00490617">
      <w:pPr>
        <w:spacing w:line="480" w:lineRule="auto"/>
        <w:rPr>
          <w:rFonts w:asciiTheme="minorHAnsi" w:hAnsiTheme="minorHAnsi"/>
          <w:szCs w:val="24"/>
        </w:rPr>
      </w:pPr>
    </w:p>
    <w:p w14:paraId="4F2D4E41" w14:textId="67453E96" w:rsidR="00F6429B" w:rsidRPr="00096FF8" w:rsidRDefault="00F6429B" w:rsidP="00490617">
      <w:pPr>
        <w:spacing w:line="480" w:lineRule="auto"/>
        <w:rPr>
          <w:rFonts w:asciiTheme="minorHAnsi" w:hAnsiTheme="minorHAnsi" w:cs="Arial"/>
          <w:szCs w:val="24"/>
        </w:rPr>
      </w:pPr>
      <w:r w:rsidRPr="00096FF8">
        <w:rPr>
          <w:rFonts w:asciiTheme="minorHAnsi" w:hAnsiTheme="minorHAnsi"/>
          <w:szCs w:val="24"/>
        </w:rPr>
        <w:t>Leece, J. (20</w:t>
      </w:r>
      <w:r w:rsidR="00C101CE" w:rsidRPr="00096FF8">
        <w:rPr>
          <w:rFonts w:asciiTheme="minorHAnsi" w:hAnsiTheme="minorHAnsi"/>
          <w:szCs w:val="24"/>
        </w:rPr>
        <w:t>10</w:t>
      </w:r>
      <w:r w:rsidRPr="00096FF8">
        <w:rPr>
          <w:rFonts w:asciiTheme="minorHAnsi" w:hAnsiTheme="minorHAnsi"/>
          <w:szCs w:val="24"/>
        </w:rPr>
        <w:t>)</w:t>
      </w:r>
      <w:r w:rsidR="00201208" w:rsidRPr="00096FF8">
        <w:rPr>
          <w:rFonts w:asciiTheme="minorHAnsi" w:hAnsiTheme="minorHAnsi"/>
          <w:szCs w:val="24"/>
        </w:rPr>
        <w:t xml:space="preserve">. </w:t>
      </w:r>
      <w:r w:rsidRPr="00096FF8">
        <w:rPr>
          <w:rFonts w:asciiTheme="minorHAnsi" w:hAnsiTheme="minorHAnsi"/>
          <w:szCs w:val="24"/>
        </w:rPr>
        <w:t xml:space="preserve">Paying the piper and calling the tune: power and the direct payment </w:t>
      </w:r>
      <w:r w:rsidRPr="00096FF8">
        <w:rPr>
          <w:rFonts w:asciiTheme="minorHAnsi" w:hAnsiTheme="minorHAnsi" w:cs="Arial"/>
          <w:szCs w:val="24"/>
        </w:rPr>
        <w:t>relationship</w:t>
      </w:r>
      <w:r w:rsidR="00201208"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Arial"/>
          <w:i/>
          <w:szCs w:val="24"/>
        </w:rPr>
        <w:t>British Journal of Social Work</w:t>
      </w:r>
      <w:r w:rsidRPr="00096FF8">
        <w:rPr>
          <w:rFonts w:asciiTheme="minorHAnsi" w:hAnsiTheme="minorHAnsi" w:cs="Arial"/>
          <w:szCs w:val="24"/>
        </w:rPr>
        <w:t xml:space="preserve">, </w:t>
      </w:r>
      <w:r w:rsidR="00D50FCE" w:rsidRPr="00096FF8">
        <w:rPr>
          <w:rFonts w:asciiTheme="minorHAnsi" w:hAnsiTheme="minorHAnsi" w:cs="Arial"/>
          <w:szCs w:val="24"/>
        </w:rPr>
        <w:t>40(1)</w:t>
      </w:r>
      <w:r w:rsidR="00201208" w:rsidRPr="00096FF8">
        <w:rPr>
          <w:rFonts w:asciiTheme="minorHAnsi" w:hAnsiTheme="minorHAnsi" w:cs="Arial"/>
          <w:szCs w:val="24"/>
        </w:rPr>
        <w:t>,</w:t>
      </w:r>
      <w:r w:rsidR="00D50FCE" w:rsidRPr="00096FF8">
        <w:rPr>
          <w:rFonts w:asciiTheme="minorHAnsi" w:hAnsiTheme="minorHAnsi" w:cs="Arial"/>
          <w:szCs w:val="24"/>
        </w:rPr>
        <w:t xml:space="preserve"> 188-206</w:t>
      </w:r>
      <w:r w:rsidR="00201208" w:rsidRPr="00096FF8">
        <w:rPr>
          <w:rFonts w:asciiTheme="minorHAnsi" w:hAnsiTheme="minorHAnsi" w:cs="Arial"/>
          <w:szCs w:val="24"/>
        </w:rPr>
        <w:t>.</w:t>
      </w:r>
      <w:r w:rsidR="00CD310C" w:rsidRPr="00096FF8">
        <w:rPr>
          <w:rFonts w:asciiTheme="minorHAnsi" w:hAnsiTheme="minorHAnsi" w:cs="Arial"/>
          <w:szCs w:val="24"/>
        </w:rPr>
        <w:t xml:space="preserve"> </w:t>
      </w:r>
      <w:r w:rsidR="001D3189" w:rsidRPr="00096FF8">
        <w:rPr>
          <w:rFonts w:asciiTheme="minorHAnsi" w:hAnsiTheme="minorHAnsi" w:cs="Arial"/>
          <w:szCs w:val="24"/>
        </w:rPr>
        <w:t>doi</w:t>
      </w:r>
      <w:r w:rsidR="00CD310C" w:rsidRPr="00096FF8">
        <w:rPr>
          <w:rFonts w:asciiTheme="minorHAnsi" w:hAnsiTheme="minorHAnsi" w:cs="Arial"/>
          <w:szCs w:val="24"/>
        </w:rPr>
        <w:t>: 10.1093/bjsw/bcn085.</w:t>
      </w:r>
    </w:p>
    <w:p w14:paraId="181FF1BA" w14:textId="77777777" w:rsidR="00F6429B" w:rsidRPr="00096FF8" w:rsidRDefault="00F6429B" w:rsidP="00490617">
      <w:pPr>
        <w:spacing w:line="480" w:lineRule="auto"/>
        <w:rPr>
          <w:rFonts w:asciiTheme="minorHAnsi" w:hAnsiTheme="minorHAnsi"/>
          <w:szCs w:val="24"/>
        </w:rPr>
      </w:pPr>
    </w:p>
    <w:p w14:paraId="3E2CBFBB" w14:textId="5850E6AA" w:rsidR="00CD310C" w:rsidRPr="00096FF8" w:rsidRDefault="00FF48DF" w:rsidP="00490617">
      <w:pPr>
        <w:spacing w:line="480" w:lineRule="auto"/>
        <w:rPr>
          <w:rFonts w:asciiTheme="minorHAnsi" w:hAnsiTheme="minorHAnsi"/>
          <w:szCs w:val="24"/>
        </w:rPr>
      </w:pPr>
      <w:r w:rsidRPr="00096FF8">
        <w:rPr>
          <w:rFonts w:asciiTheme="minorHAnsi" w:hAnsiTheme="minorHAnsi"/>
          <w:szCs w:val="24"/>
        </w:rPr>
        <w:t>Leece, J. and Leece, D. (2011)</w:t>
      </w:r>
      <w:r w:rsidR="00201208" w:rsidRPr="00096FF8">
        <w:rPr>
          <w:rFonts w:asciiTheme="minorHAnsi" w:hAnsiTheme="minorHAnsi"/>
          <w:szCs w:val="24"/>
        </w:rPr>
        <w:t>.</w:t>
      </w:r>
      <w:r w:rsidRPr="00096FF8">
        <w:rPr>
          <w:rFonts w:asciiTheme="minorHAnsi" w:hAnsiTheme="minorHAnsi"/>
          <w:szCs w:val="24"/>
        </w:rPr>
        <w:t xml:space="preserve"> Personalisation: Perceptions of the Role of Social Work in a World of Brokers and Budgets</w:t>
      </w:r>
      <w:r w:rsidR="00201208" w:rsidRPr="00096FF8">
        <w:rPr>
          <w:rFonts w:asciiTheme="minorHAnsi" w:hAnsiTheme="minorHAnsi"/>
          <w:szCs w:val="24"/>
        </w:rPr>
        <w:t>.</w:t>
      </w:r>
      <w:r w:rsidRPr="00096FF8">
        <w:rPr>
          <w:rFonts w:asciiTheme="minorHAnsi" w:hAnsiTheme="minorHAnsi"/>
          <w:szCs w:val="24"/>
        </w:rPr>
        <w:t xml:space="preserve"> </w:t>
      </w:r>
      <w:r w:rsidRPr="00096FF8">
        <w:rPr>
          <w:rFonts w:asciiTheme="minorHAnsi" w:hAnsiTheme="minorHAnsi"/>
          <w:i/>
          <w:szCs w:val="24"/>
        </w:rPr>
        <w:t>British Journal of Social Work</w:t>
      </w:r>
      <w:r w:rsidRPr="00096FF8">
        <w:rPr>
          <w:rFonts w:asciiTheme="minorHAnsi" w:hAnsiTheme="minorHAnsi"/>
          <w:szCs w:val="24"/>
        </w:rPr>
        <w:t>, 41(</w:t>
      </w:r>
      <w:r w:rsidR="00D50FCE" w:rsidRPr="00096FF8">
        <w:rPr>
          <w:rFonts w:asciiTheme="minorHAnsi" w:hAnsiTheme="minorHAnsi"/>
          <w:szCs w:val="24"/>
        </w:rPr>
        <w:t>2</w:t>
      </w:r>
      <w:r w:rsidRPr="00096FF8">
        <w:rPr>
          <w:rFonts w:asciiTheme="minorHAnsi" w:hAnsiTheme="minorHAnsi"/>
          <w:szCs w:val="24"/>
        </w:rPr>
        <w:t>)</w:t>
      </w:r>
      <w:r w:rsidR="00201208" w:rsidRPr="00096FF8">
        <w:rPr>
          <w:rFonts w:asciiTheme="minorHAnsi" w:hAnsiTheme="minorHAnsi"/>
          <w:szCs w:val="24"/>
        </w:rPr>
        <w:t>,</w:t>
      </w:r>
      <w:r w:rsidRPr="00096FF8">
        <w:rPr>
          <w:rFonts w:asciiTheme="minorHAnsi" w:hAnsiTheme="minorHAnsi"/>
          <w:szCs w:val="24"/>
        </w:rPr>
        <w:t xml:space="preserve"> 204–223.</w:t>
      </w:r>
      <w:r w:rsidR="00CD310C" w:rsidRPr="00096FF8">
        <w:rPr>
          <w:rFonts w:asciiTheme="minorHAnsi" w:hAnsiTheme="minorHAnsi"/>
          <w:szCs w:val="24"/>
        </w:rPr>
        <w:t xml:space="preserve"> </w:t>
      </w:r>
    </w:p>
    <w:p w14:paraId="1C892572" w14:textId="667EE3B2" w:rsidR="00FF48DF" w:rsidRPr="00096FF8" w:rsidRDefault="001D3189" w:rsidP="00490617">
      <w:pPr>
        <w:spacing w:line="480" w:lineRule="auto"/>
        <w:rPr>
          <w:rFonts w:asciiTheme="minorHAnsi" w:hAnsiTheme="minorHAnsi"/>
          <w:i/>
          <w:szCs w:val="24"/>
        </w:rPr>
      </w:pPr>
      <w:r w:rsidRPr="00096FF8">
        <w:rPr>
          <w:rFonts w:asciiTheme="minorHAnsi" w:hAnsiTheme="minorHAnsi"/>
          <w:szCs w:val="24"/>
        </w:rPr>
        <w:t>doi</w:t>
      </w:r>
      <w:r w:rsidR="00CD310C" w:rsidRPr="00096FF8">
        <w:rPr>
          <w:rFonts w:asciiTheme="minorHAnsi" w:hAnsiTheme="minorHAnsi"/>
          <w:szCs w:val="24"/>
        </w:rPr>
        <w:t>: 10.1093/bjsw/bcq087.</w:t>
      </w:r>
    </w:p>
    <w:p w14:paraId="546E34B8" w14:textId="77777777" w:rsidR="00FF48DF" w:rsidRPr="00096FF8" w:rsidRDefault="00FF48DF" w:rsidP="00490617">
      <w:pPr>
        <w:spacing w:line="480" w:lineRule="auto"/>
        <w:rPr>
          <w:rFonts w:asciiTheme="minorHAnsi" w:hAnsiTheme="minorHAnsi"/>
          <w:szCs w:val="24"/>
        </w:rPr>
      </w:pPr>
    </w:p>
    <w:p w14:paraId="22E95A6D" w14:textId="2CF21063" w:rsidR="0065343B" w:rsidRPr="00096FF8" w:rsidRDefault="0065343B" w:rsidP="00490617">
      <w:pPr>
        <w:spacing w:line="480" w:lineRule="auto"/>
        <w:rPr>
          <w:rFonts w:asciiTheme="minorHAnsi" w:hAnsiTheme="minorHAnsi"/>
          <w:szCs w:val="24"/>
        </w:rPr>
      </w:pPr>
      <w:r w:rsidRPr="00096FF8">
        <w:rPr>
          <w:rFonts w:asciiTheme="minorHAnsi" w:hAnsiTheme="minorHAnsi"/>
          <w:szCs w:val="24"/>
        </w:rPr>
        <w:t>Lewis, J. and West, A. (2014)</w:t>
      </w:r>
      <w:r w:rsidR="00201208" w:rsidRPr="00096FF8">
        <w:rPr>
          <w:rFonts w:asciiTheme="minorHAnsi" w:hAnsiTheme="minorHAnsi"/>
          <w:szCs w:val="24"/>
        </w:rPr>
        <w:t xml:space="preserve">. </w:t>
      </w:r>
      <w:r w:rsidRPr="00096FF8">
        <w:rPr>
          <w:rFonts w:asciiTheme="minorHAnsi" w:hAnsiTheme="minorHAnsi"/>
          <w:szCs w:val="24"/>
        </w:rPr>
        <w:t xml:space="preserve">Re-Shaping Social Care Services for Older People in England: Policy Development and the Problem of Achieving “Good Care”. </w:t>
      </w:r>
      <w:r w:rsidRPr="00096FF8">
        <w:rPr>
          <w:rFonts w:asciiTheme="minorHAnsi" w:hAnsiTheme="minorHAnsi"/>
          <w:i/>
          <w:szCs w:val="24"/>
        </w:rPr>
        <w:t>Journal of Social Policy</w:t>
      </w:r>
      <w:r w:rsidRPr="00096FF8">
        <w:rPr>
          <w:rFonts w:asciiTheme="minorHAnsi" w:hAnsiTheme="minorHAnsi"/>
          <w:szCs w:val="24"/>
        </w:rPr>
        <w:t>, 43(1)</w:t>
      </w:r>
      <w:r w:rsidR="00201208" w:rsidRPr="00096FF8">
        <w:rPr>
          <w:rFonts w:asciiTheme="minorHAnsi" w:hAnsiTheme="minorHAnsi"/>
          <w:szCs w:val="24"/>
        </w:rPr>
        <w:t>,</w:t>
      </w:r>
      <w:r w:rsidRPr="00096FF8">
        <w:rPr>
          <w:rFonts w:asciiTheme="minorHAnsi" w:hAnsiTheme="minorHAnsi"/>
          <w:szCs w:val="24"/>
        </w:rPr>
        <w:t xml:space="preserve"> 1-18. </w:t>
      </w:r>
      <w:r w:rsidR="001D3189" w:rsidRPr="00096FF8">
        <w:rPr>
          <w:rFonts w:asciiTheme="minorHAnsi" w:hAnsiTheme="minorHAnsi"/>
          <w:szCs w:val="24"/>
        </w:rPr>
        <w:t>doi</w:t>
      </w:r>
      <w:r w:rsidR="00CD310C" w:rsidRPr="00096FF8">
        <w:rPr>
          <w:rFonts w:asciiTheme="minorHAnsi" w:hAnsiTheme="minorHAnsi"/>
          <w:szCs w:val="24"/>
        </w:rPr>
        <w:t xml:space="preserve">: </w:t>
      </w:r>
      <w:hyperlink r:id="rId26" w:history="1">
        <w:r w:rsidR="00CD310C" w:rsidRPr="00096FF8">
          <w:rPr>
            <w:rStyle w:val="Hyperlink"/>
            <w:rFonts w:asciiTheme="minorHAnsi" w:hAnsiTheme="minorHAnsi"/>
            <w:szCs w:val="24"/>
          </w:rPr>
          <w:t>http://dx.doi.org/10.1017/S0047279413000561</w:t>
        </w:r>
      </w:hyperlink>
      <w:r w:rsidR="00CD310C" w:rsidRPr="00096FF8">
        <w:rPr>
          <w:rFonts w:asciiTheme="minorHAnsi" w:hAnsiTheme="minorHAnsi"/>
          <w:szCs w:val="24"/>
        </w:rPr>
        <w:t xml:space="preserve">. </w:t>
      </w:r>
    </w:p>
    <w:p w14:paraId="3F3ADE7E" w14:textId="77777777" w:rsidR="00E87F0F" w:rsidRPr="00096FF8" w:rsidRDefault="00E87F0F" w:rsidP="00490617">
      <w:pPr>
        <w:spacing w:line="480" w:lineRule="auto"/>
        <w:rPr>
          <w:rFonts w:asciiTheme="minorHAnsi" w:hAnsiTheme="minorHAnsi"/>
          <w:szCs w:val="24"/>
        </w:rPr>
      </w:pPr>
    </w:p>
    <w:p w14:paraId="65BCFB4C" w14:textId="713874D0" w:rsidR="008E7497" w:rsidRPr="00096FF8" w:rsidRDefault="008E7497" w:rsidP="008E7497">
      <w:pPr>
        <w:spacing w:line="480" w:lineRule="auto"/>
        <w:rPr>
          <w:rFonts w:asciiTheme="minorHAnsi" w:hAnsiTheme="minorHAnsi"/>
          <w:szCs w:val="24"/>
        </w:rPr>
      </w:pPr>
      <w:r w:rsidRPr="00096FF8">
        <w:rPr>
          <w:rFonts w:asciiTheme="minorHAnsi" w:hAnsiTheme="minorHAnsi"/>
          <w:szCs w:val="24"/>
        </w:rPr>
        <w:t>Lloyd, L (2010). The Individual in Social Care: The Ethics of Care and the ‘Personalisation Agenda’ in Services for Older People in England</w:t>
      </w:r>
      <w:r w:rsidR="002550D5" w:rsidRPr="00096FF8">
        <w:rPr>
          <w:rFonts w:asciiTheme="minorHAnsi" w:hAnsiTheme="minorHAnsi"/>
          <w:szCs w:val="24"/>
        </w:rPr>
        <w:t>.</w:t>
      </w:r>
      <w:r w:rsidRPr="00096FF8">
        <w:rPr>
          <w:rFonts w:asciiTheme="minorHAnsi" w:hAnsiTheme="minorHAnsi"/>
          <w:szCs w:val="24"/>
        </w:rPr>
        <w:t xml:space="preserve"> </w:t>
      </w:r>
      <w:r w:rsidRPr="00461DF3">
        <w:rPr>
          <w:rFonts w:asciiTheme="minorHAnsi" w:hAnsiTheme="minorHAnsi"/>
          <w:i/>
          <w:szCs w:val="24"/>
        </w:rPr>
        <w:t>Ethics and Social Welfare</w:t>
      </w:r>
      <w:r w:rsidRPr="00096FF8">
        <w:rPr>
          <w:rFonts w:asciiTheme="minorHAnsi" w:hAnsiTheme="minorHAnsi"/>
          <w:szCs w:val="24"/>
        </w:rPr>
        <w:t>, 4</w:t>
      </w:r>
      <w:r w:rsidR="002550D5" w:rsidRPr="00096FF8">
        <w:rPr>
          <w:rFonts w:asciiTheme="minorHAnsi" w:hAnsiTheme="minorHAnsi"/>
          <w:szCs w:val="24"/>
        </w:rPr>
        <w:t>(</w:t>
      </w:r>
      <w:r w:rsidRPr="00096FF8">
        <w:rPr>
          <w:rFonts w:asciiTheme="minorHAnsi" w:hAnsiTheme="minorHAnsi"/>
          <w:szCs w:val="24"/>
        </w:rPr>
        <w:t>2</w:t>
      </w:r>
      <w:r w:rsidR="002550D5" w:rsidRPr="00096FF8">
        <w:rPr>
          <w:rFonts w:asciiTheme="minorHAnsi" w:hAnsiTheme="minorHAnsi"/>
          <w:szCs w:val="24"/>
        </w:rPr>
        <w:t>)</w:t>
      </w:r>
      <w:r w:rsidRPr="00096FF8">
        <w:rPr>
          <w:rFonts w:asciiTheme="minorHAnsi" w:hAnsiTheme="minorHAnsi"/>
          <w:szCs w:val="24"/>
        </w:rPr>
        <w:t>,</w:t>
      </w:r>
    </w:p>
    <w:p w14:paraId="77F602AC" w14:textId="1DE63AA3" w:rsidR="008E7497" w:rsidRPr="00096FF8" w:rsidRDefault="008E7497" w:rsidP="008E7497">
      <w:pPr>
        <w:spacing w:line="480" w:lineRule="auto"/>
        <w:rPr>
          <w:rFonts w:asciiTheme="minorHAnsi" w:hAnsiTheme="minorHAnsi"/>
          <w:szCs w:val="24"/>
        </w:rPr>
      </w:pPr>
      <w:r w:rsidRPr="00096FF8">
        <w:rPr>
          <w:rFonts w:asciiTheme="minorHAnsi" w:hAnsiTheme="minorHAnsi"/>
          <w:szCs w:val="24"/>
        </w:rPr>
        <w:t>188-200, DOI: 10.1080/17496535.2010.484262</w:t>
      </w:r>
      <w:r w:rsidR="002550D5" w:rsidRPr="00096FF8">
        <w:rPr>
          <w:rFonts w:asciiTheme="minorHAnsi" w:hAnsiTheme="minorHAnsi"/>
          <w:szCs w:val="24"/>
        </w:rPr>
        <w:t>.</w:t>
      </w:r>
    </w:p>
    <w:p w14:paraId="55C69DB6" w14:textId="77777777" w:rsidR="00ED62C1" w:rsidRDefault="00ED62C1" w:rsidP="00490617">
      <w:pPr>
        <w:spacing w:line="480" w:lineRule="auto"/>
        <w:rPr>
          <w:rFonts w:asciiTheme="minorHAnsi" w:hAnsiTheme="minorHAnsi" w:cs="Bliss-Regular"/>
          <w:szCs w:val="24"/>
        </w:rPr>
      </w:pPr>
    </w:p>
    <w:p w14:paraId="19B5B9CF" w14:textId="616BCA52" w:rsidR="00DE0A17" w:rsidRPr="00461DF3" w:rsidRDefault="00DE0A17" w:rsidP="00DE0A17">
      <w:pPr>
        <w:spacing w:line="480" w:lineRule="auto"/>
        <w:rPr>
          <w:rFonts w:asciiTheme="minorHAnsi" w:hAnsiTheme="minorHAnsi" w:cs="Bliss-Regular"/>
          <w:szCs w:val="24"/>
        </w:rPr>
      </w:pPr>
      <w:r>
        <w:rPr>
          <w:rFonts w:asciiTheme="minorHAnsi" w:hAnsiTheme="minorHAnsi" w:cs="Bliss-Regular"/>
          <w:szCs w:val="24"/>
        </w:rPr>
        <w:lastRenderedPageBreak/>
        <w:t xml:space="preserve">Lymbery, M. (2014). </w:t>
      </w:r>
      <w:r w:rsidRPr="00DE0A17">
        <w:rPr>
          <w:rFonts w:asciiTheme="minorHAnsi" w:hAnsiTheme="minorHAnsi" w:cs="Bliss-Regular"/>
          <w:szCs w:val="24"/>
        </w:rPr>
        <w:t>Understanding personalisation: Implications for social work</w:t>
      </w:r>
      <w:r>
        <w:rPr>
          <w:rFonts w:asciiTheme="minorHAnsi" w:hAnsiTheme="minorHAnsi" w:cs="Bliss-Regular"/>
          <w:szCs w:val="24"/>
        </w:rPr>
        <w:t xml:space="preserve">. </w:t>
      </w:r>
      <w:r>
        <w:rPr>
          <w:rFonts w:asciiTheme="minorHAnsi" w:hAnsiTheme="minorHAnsi" w:cs="Bliss-Regular"/>
          <w:i/>
          <w:szCs w:val="24"/>
        </w:rPr>
        <w:t xml:space="preserve">Journal of Social Work. </w:t>
      </w:r>
      <w:r w:rsidRPr="006B2F2C">
        <w:rPr>
          <w:rFonts w:asciiTheme="minorHAnsi" w:hAnsiTheme="minorHAnsi" w:cs="Bliss-Regular"/>
          <w:szCs w:val="24"/>
        </w:rPr>
        <w:t>14</w:t>
      </w:r>
      <w:r>
        <w:rPr>
          <w:rFonts w:asciiTheme="minorHAnsi" w:hAnsiTheme="minorHAnsi" w:cs="Bliss-Regular"/>
          <w:szCs w:val="24"/>
        </w:rPr>
        <w:t>(</w:t>
      </w:r>
      <w:r w:rsidRPr="006B2F2C">
        <w:rPr>
          <w:rFonts w:asciiTheme="minorHAnsi" w:hAnsiTheme="minorHAnsi" w:cs="Bliss-Regular"/>
          <w:szCs w:val="24"/>
        </w:rPr>
        <w:t>3</w:t>
      </w:r>
      <w:r>
        <w:rPr>
          <w:rFonts w:asciiTheme="minorHAnsi" w:hAnsiTheme="minorHAnsi" w:cs="Bliss-Regular"/>
          <w:szCs w:val="24"/>
        </w:rPr>
        <w:t>),</w:t>
      </w:r>
      <w:r w:rsidRPr="006B2F2C">
        <w:rPr>
          <w:rFonts w:asciiTheme="minorHAnsi" w:hAnsiTheme="minorHAnsi" w:cs="Bliss-Regular"/>
          <w:szCs w:val="24"/>
        </w:rPr>
        <w:t xml:space="preserve"> 295-312</w:t>
      </w:r>
      <w:r>
        <w:rPr>
          <w:rFonts w:asciiTheme="minorHAnsi" w:hAnsiTheme="minorHAnsi" w:cs="Bliss-Regular"/>
          <w:szCs w:val="24"/>
        </w:rPr>
        <w:t xml:space="preserve">. </w:t>
      </w:r>
      <w:r w:rsidRPr="00461DF3">
        <w:rPr>
          <w:rFonts w:asciiTheme="minorHAnsi" w:hAnsiTheme="minorHAnsi" w:cs="Bliss-Regular"/>
          <w:szCs w:val="24"/>
        </w:rPr>
        <w:t>doi: 10.1177/1468017313477326</w:t>
      </w:r>
    </w:p>
    <w:p w14:paraId="0682168C" w14:textId="77777777" w:rsidR="00DE0A17" w:rsidRDefault="00DE0A17" w:rsidP="00490617">
      <w:pPr>
        <w:spacing w:line="480" w:lineRule="auto"/>
        <w:rPr>
          <w:rFonts w:asciiTheme="minorHAnsi" w:hAnsiTheme="minorHAnsi" w:cs="Bliss-Regular"/>
          <w:szCs w:val="24"/>
        </w:rPr>
      </w:pPr>
    </w:p>
    <w:p w14:paraId="3355D469" w14:textId="7C44CB20" w:rsidR="00F6429B" w:rsidRPr="00096FF8" w:rsidRDefault="00F6429B" w:rsidP="00490617">
      <w:pPr>
        <w:spacing w:line="480" w:lineRule="auto"/>
        <w:rPr>
          <w:rFonts w:asciiTheme="minorHAnsi" w:hAnsiTheme="minorHAnsi" w:cs="Bliss-Regular"/>
          <w:szCs w:val="24"/>
        </w:rPr>
      </w:pPr>
      <w:r w:rsidRPr="00096FF8">
        <w:rPr>
          <w:rFonts w:asciiTheme="minorHAnsi" w:hAnsiTheme="minorHAnsi" w:cs="Bliss-Regular"/>
          <w:szCs w:val="24"/>
        </w:rPr>
        <w:t>Manthorpe, J., Martineau, S., Ridley, J., Cornes, M., Rosengard, A. and Hunter, S. (2014)</w:t>
      </w:r>
      <w:r w:rsidR="00201208" w:rsidRPr="00096FF8">
        <w:rPr>
          <w:rFonts w:asciiTheme="minorHAnsi" w:hAnsiTheme="minorHAnsi" w:cs="Bliss-Regular"/>
          <w:szCs w:val="24"/>
        </w:rPr>
        <w:t>.</w:t>
      </w:r>
      <w:r w:rsidRPr="00096FF8">
        <w:rPr>
          <w:rFonts w:asciiTheme="minorHAnsi" w:hAnsiTheme="minorHAnsi" w:cs="Bliss-Regular"/>
          <w:szCs w:val="24"/>
        </w:rPr>
        <w:t xml:space="preserve"> Embarking on self-directed support in Scotland: a focused scoping review of the literature</w:t>
      </w:r>
      <w:r w:rsidR="00201208" w:rsidRPr="00096FF8">
        <w:rPr>
          <w:rFonts w:asciiTheme="minorHAnsi" w:hAnsiTheme="minorHAnsi" w:cs="Bliss-Regular"/>
          <w:szCs w:val="24"/>
        </w:rPr>
        <w:t>.</w:t>
      </w:r>
      <w:r w:rsidRPr="00096FF8">
        <w:rPr>
          <w:rFonts w:asciiTheme="minorHAnsi" w:hAnsiTheme="minorHAnsi" w:cs="Bliss-Regular"/>
          <w:szCs w:val="24"/>
        </w:rPr>
        <w:t xml:space="preserve"> E</w:t>
      </w:r>
      <w:r w:rsidRPr="00096FF8">
        <w:rPr>
          <w:rFonts w:asciiTheme="minorHAnsi" w:hAnsiTheme="minorHAnsi" w:cs="Bliss-Regular"/>
          <w:i/>
          <w:szCs w:val="24"/>
        </w:rPr>
        <w:t>uropean Journal of Social Work</w:t>
      </w:r>
      <w:r w:rsidRPr="00096FF8">
        <w:rPr>
          <w:rFonts w:asciiTheme="minorHAnsi" w:hAnsiTheme="minorHAnsi" w:cs="Bliss-Regular"/>
          <w:szCs w:val="24"/>
        </w:rPr>
        <w:t xml:space="preserve">, </w:t>
      </w:r>
      <w:r w:rsidR="00201208" w:rsidRPr="00096FF8">
        <w:rPr>
          <w:rFonts w:asciiTheme="minorHAnsi" w:hAnsiTheme="minorHAnsi" w:cs="Bliss-Regular"/>
          <w:szCs w:val="24"/>
        </w:rPr>
        <w:t>18(1), 36-50.</w:t>
      </w:r>
      <w:r w:rsidRPr="00096FF8">
        <w:rPr>
          <w:rFonts w:asciiTheme="minorHAnsi" w:hAnsiTheme="minorHAnsi" w:cs="Bliss-Regular"/>
          <w:szCs w:val="24"/>
        </w:rPr>
        <w:t xml:space="preserve">  </w:t>
      </w:r>
    </w:p>
    <w:p w14:paraId="7EC28EBE" w14:textId="5D6B6EF2" w:rsidR="00F6429B" w:rsidRPr="00096FF8" w:rsidRDefault="001D3189" w:rsidP="00490617">
      <w:pPr>
        <w:spacing w:line="480" w:lineRule="auto"/>
        <w:rPr>
          <w:rFonts w:asciiTheme="minorHAnsi" w:hAnsiTheme="minorHAnsi" w:cs="Bliss-Regular"/>
          <w:szCs w:val="24"/>
        </w:rPr>
      </w:pPr>
      <w:r w:rsidRPr="00096FF8">
        <w:rPr>
          <w:rFonts w:asciiTheme="minorHAnsi" w:hAnsiTheme="minorHAnsi" w:cs="Bliss-Regular"/>
          <w:szCs w:val="24"/>
        </w:rPr>
        <w:t>doi</w:t>
      </w:r>
      <w:r w:rsidR="00F6429B" w:rsidRPr="00096FF8">
        <w:rPr>
          <w:rFonts w:asciiTheme="minorHAnsi" w:hAnsiTheme="minorHAnsi" w:cs="Bliss-Regular"/>
          <w:szCs w:val="24"/>
        </w:rPr>
        <w:t>: 10.1080/13691457.2014.885883</w:t>
      </w:r>
    </w:p>
    <w:p w14:paraId="08EAFD9F" w14:textId="77777777" w:rsidR="00F6429B" w:rsidRPr="00096FF8" w:rsidRDefault="00F6429B" w:rsidP="00490617">
      <w:pPr>
        <w:spacing w:line="480" w:lineRule="auto"/>
        <w:rPr>
          <w:rFonts w:asciiTheme="minorHAnsi" w:hAnsiTheme="minorHAnsi" w:cs="Bliss-Regular"/>
          <w:szCs w:val="24"/>
        </w:rPr>
      </w:pPr>
    </w:p>
    <w:p w14:paraId="3A107422" w14:textId="634FFD4F" w:rsidR="00253355" w:rsidRPr="00096FF8" w:rsidRDefault="00253355" w:rsidP="00490617">
      <w:pPr>
        <w:spacing w:line="480" w:lineRule="auto"/>
        <w:rPr>
          <w:rFonts w:asciiTheme="minorHAnsi" w:hAnsiTheme="minorHAnsi" w:cs="Bliss-Regular"/>
          <w:szCs w:val="24"/>
        </w:rPr>
      </w:pPr>
      <w:r w:rsidRPr="00096FF8">
        <w:rPr>
          <w:rFonts w:asciiTheme="minorHAnsi" w:hAnsiTheme="minorHAnsi" w:cs="Bliss-Regular"/>
          <w:szCs w:val="24"/>
        </w:rPr>
        <w:t>Manthorpe, J. and Samsi, K. (2013)</w:t>
      </w:r>
      <w:r w:rsidR="003065D7" w:rsidRPr="00096FF8">
        <w:rPr>
          <w:rFonts w:asciiTheme="minorHAnsi" w:hAnsiTheme="minorHAnsi" w:cs="Bliss-Regular"/>
          <w:szCs w:val="24"/>
        </w:rPr>
        <w:t>.“</w:t>
      </w:r>
      <w:r w:rsidRPr="00096FF8">
        <w:rPr>
          <w:rFonts w:asciiTheme="minorHAnsi" w:hAnsiTheme="minorHAnsi" w:cs="Bliss-Regular"/>
          <w:szCs w:val="24"/>
        </w:rPr>
        <w:t>Inherently Risky?”: Personal Budgets for People with Dementia and the Risks of Financial Abuse: Findings from an Interview-Based Study with Adult Safeguarding Coordinators</w:t>
      </w:r>
      <w:r w:rsidR="003065D7"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Regular"/>
          <w:i/>
          <w:szCs w:val="24"/>
        </w:rPr>
        <w:t>British Journal of Social Work,</w:t>
      </w:r>
      <w:r w:rsidRPr="00096FF8">
        <w:rPr>
          <w:rFonts w:asciiTheme="minorHAnsi" w:hAnsiTheme="minorHAnsi" w:cs="Bliss-Regular"/>
          <w:szCs w:val="24"/>
        </w:rPr>
        <w:t xml:space="preserve"> 43(5)</w:t>
      </w:r>
      <w:r w:rsidR="003065D7" w:rsidRPr="00096FF8">
        <w:rPr>
          <w:rFonts w:asciiTheme="minorHAnsi" w:hAnsiTheme="minorHAnsi" w:cs="Bliss-Regular"/>
          <w:szCs w:val="24"/>
        </w:rPr>
        <w:t>,</w:t>
      </w:r>
      <w:r w:rsidRPr="00096FF8">
        <w:rPr>
          <w:rFonts w:asciiTheme="minorHAnsi" w:hAnsiTheme="minorHAnsi" w:cs="Bliss-Regular"/>
          <w:szCs w:val="24"/>
        </w:rPr>
        <w:t xml:space="preserve"> 889-903.</w:t>
      </w:r>
    </w:p>
    <w:p w14:paraId="1918CEE9" w14:textId="7D8C109A" w:rsidR="00CD310C" w:rsidRDefault="001D3189" w:rsidP="00490617">
      <w:pPr>
        <w:spacing w:line="480" w:lineRule="auto"/>
        <w:rPr>
          <w:rFonts w:asciiTheme="minorHAnsi" w:hAnsiTheme="minorHAnsi" w:cs="Bliss-Regular"/>
          <w:szCs w:val="24"/>
        </w:rPr>
      </w:pPr>
      <w:r w:rsidRPr="00096FF8">
        <w:rPr>
          <w:rFonts w:asciiTheme="minorHAnsi" w:hAnsiTheme="minorHAnsi" w:cs="Bliss-Regular"/>
          <w:szCs w:val="24"/>
        </w:rPr>
        <w:t>doi</w:t>
      </w:r>
      <w:r w:rsidR="00CD310C" w:rsidRPr="00096FF8">
        <w:rPr>
          <w:rFonts w:asciiTheme="minorHAnsi" w:hAnsiTheme="minorHAnsi" w:cs="Bliss-Regular"/>
          <w:szCs w:val="24"/>
        </w:rPr>
        <w:t>: 10.1093/bjsw/bcs023.</w:t>
      </w:r>
    </w:p>
    <w:p w14:paraId="3D280B3C" w14:textId="77777777" w:rsidR="00DE0A17" w:rsidRPr="00096FF8" w:rsidRDefault="00DE0A17" w:rsidP="00490617">
      <w:pPr>
        <w:spacing w:line="480" w:lineRule="auto"/>
        <w:rPr>
          <w:rFonts w:asciiTheme="minorHAnsi" w:hAnsiTheme="minorHAnsi" w:cs="Bliss-Regular"/>
          <w:szCs w:val="24"/>
        </w:rPr>
      </w:pPr>
    </w:p>
    <w:p w14:paraId="24441F1C" w14:textId="4178B206" w:rsidR="00253355" w:rsidRPr="00096FF8" w:rsidRDefault="00DE0A17" w:rsidP="00490617">
      <w:pPr>
        <w:spacing w:line="480" w:lineRule="auto"/>
        <w:rPr>
          <w:rFonts w:asciiTheme="minorHAnsi" w:hAnsiTheme="minorHAnsi" w:cs="Bliss-Regular"/>
          <w:szCs w:val="24"/>
        </w:rPr>
      </w:pPr>
      <w:r w:rsidRPr="00DE0A17">
        <w:rPr>
          <w:rFonts w:asciiTheme="minorHAnsi" w:hAnsiTheme="minorHAnsi" w:cs="Bliss-Regular"/>
          <w:szCs w:val="24"/>
        </w:rPr>
        <w:t>Manthorpe, J., Stevens, M., Rapaport, J., Challis, D., Jacobs, S., Netten, A., Jones, K., Knapp, M., Wilberforce, M. &amp; Glendinning, C. (2011)</w:t>
      </w:r>
      <w:r>
        <w:rPr>
          <w:rFonts w:asciiTheme="minorHAnsi" w:hAnsiTheme="minorHAnsi" w:cs="Bliss-Regular"/>
          <w:szCs w:val="24"/>
        </w:rPr>
        <w:t>.</w:t>
      </w:r>
      <w:r w:rsidRPr="00DE0A17">
        <w:rPr>
          <w:rFonts w:asciiTheme="minorHAnsi" w:hAnsiTheme="minorHAnsi" w:cs="Bliss-Regular"/>
          <w:szCs w:val="24"/>
        </w:rPr>
        <w:t xml:space="preserve"> Individual budgets and adult safeguarding: Parallel or converging tracks? Further findings from the evaluation of the Individual Budget pilots</w:t>
      </w:r>
      <w:r>
        <w:rPr>
          <w:rFonts w:asciiTheme="minorHAnsi" w:hAnsiTheme="minorHAnsi" w:cs="Bliss-Regular"/>
          <w:szCs w:val="24"/>
        </w:rPr>
        <w:t>.</w:t>
      </w:r>
      <w:r w:rsidRPr="00DE0A17">
        <w:rPr>
          <w:rFonts w:asciiTheme="minorHAnsi" w:hAnsiTheme="minorHAnsi" w:cs="Bliss-Regular"/>
          <w:szCs w:val="24"/>
        </w:rPr>
        <w:t xml:space="preserve"> </w:t>
      </w:r>
      <w:r w:rsidRPr="00461DF3">
        <w:rPr>
          <w:rFonts w:asciiTheme="minorHAnsi" w:hAnsiTheme="minorHAnsi" w:cs="Bliss-Regular"/>
          <w:i/>
          <w:szCs w:val="24"/>
        </w:rPr>
        <w:t>Journal of Social Work</w:t>
      </w:r>
      <w:r>
        <w:rPr>
          <w:rFonts w:asciiTheme="minorHAnsi" w:hAnsiTheme="minorHAnsi" w:cs="Bliss-Regular"/>
          <w:szCs w:val="24"/>
        </w:rPr>
        <w:t>.</w:t>
      </w:r>
      <w:r w:rsidRPr="00DE0A17">
        <w:rPr>
          <w:rFonts w:asciiTheme="minorHAnsi" w:hAnsiTheme="minorHAnsi" w:cs="Bliss-Regular"/>
          <w:szCs w:val="24"/>
        </w:rPr>
        <w:t xml:space="preserve"> 11(4): 422-438.</w:t>
      </w:r>
      <w:r>
        <w:rPr>
          <w:rFonts w:asciiTheme="minorHAnsi" w:hAnsiTheme="minorHAnsi" w:cs="Bliss-Regular"/>
          <w:szCs w:val="24"/>
        </w:rPr>
        <w:t xml:space="preserve"> </w:t>
      </w:r>
      <w:r w:rsidRPr="00DE0A17">
        <w:rPr>
          <w:rFonts w:asciiTheme="minorHAnsi" w:hAnsiTheme="minorHAnsi" w:cs="Bliss-Regular"/>
          <w:szCs w:val="24"/>
        </w:rPr>
        <w:t>10.1177/1468017310379452</w:t>
      </w:r>
    </w:p>
    <w:p w14:paraId="4443C45A" w14:textId="77777777" w:rsidR="00DE0A17" w:rsidRDefault="00DE0A17" w:rsidP="00490617">
      <w:pPr>
        <w:spacing w:line="480" w:lineRule="auto"/>
        <w:rPr>
          <w:rFonts w:asciiTheme="minorHAnsi" w:hAnsiTheme="minorHAnsi"/>
          <w:color w:val="000000"/>
        </w:rPr>
      </w:pPr>
    </w:p>
    <w:p w14:paraId="761B7F5D" w14:textId="0165EA39" w:rsidR="00CD310C" w:rsidRPr="00096FF8" w:rsidRDefault="00F6429B" w:rsidP="00490617">
      <w:pPr>
        <w:spacing w:line="480" w:lineRule="auto"/>
        <w:rPr>
          <w:rFonts w:asciiTheme="minorHAnsi" w:hAnsiTheme="minorHAnsi"/>
        </w:rPr>
      </w:pPr>
      <w:r w:rsidRPr="00096FF8">
        <w:rPr>
          <w:rFonts w:asciiTheme="minorHAnsi" w:hAnsiTheme="minorHAnsi"/>
          <w:color w:val="000000"/>
        </w:rPr>
        <w:t xml:space="preserve">Manthorpe, J., Stevens, M., Rapaport, J., Harris, J., Jacobs, S., Challis, D., Netten, A., Knapp, M., Wilberforce, M. </w:t>
      </w:r>
      <w:r w:rsidR="00E87F0F" w:rsidRPr="00096FF8">
        <w:rPr>
          <w:rFonts w:asciiTheme="minorHAnsi" w:hAnsiTheme="minorHAnsi"/>
          <w:color w:val="000000"/>
        </w:rPr>
        <w:t>a</w:t>
      </w:r>
      <w:r w:rsidRPr="00096FF8">
        <w:rPr>
          <w:rFonts w:asciiTheme="minorHAnsi" w:hAnsiTheme="minorHAnsi"/>
          <w:color w:val="000000"/>
        </w:rPr>
        <w:t>nd Glendinning, C. (2009)</w:t>
      </w:r>
      <w:r w:rsidR="00CD310C" w:rsidRPr="00096FF8">
        <w:rPr>
          <w:rFonts w:asciiTheme="minorHAnsi" w:hAnsiTheme="minorHAnsi"/>
          <w:color w:val="000000"/>
        </w:rPr>
        <w:t>.</w:t>
      </w:r>
      <w:r w:rsidRPr="00096FF8">
        <w:rPr>
          <w:rFonts w:asciiTheme="minorHAnsi" w:hAnsiTheme="minorHAnsi"/>
          <w:color w:val="000000"/>
        </w:rPr>
        <w:t xml:space="preserve"> Safeguarding and System Change: Early Perceptions of the Implications for Adult Protection Services of the English Individual Budgets Pilots—A Qualitative Study</w:t>
      </w:r>
      <w:r w:rsidR="003065D7" w:rsidRPr="00096FF8">
        <w:rPr>
          <w:rFonts w:asciiTheme="minorHAnsi" w:hAnsiTheme="minorHAnsi"/>
          <w:color w:val="000000"/>
        </w:rPr>
        <w:t>.</w:t>
      </w:r>
      <w:r w:rsidRPr="00096FF8">
        <w:rPr>
          <w:rFonts w:asciiTheme="minorHAnsi" w:hAnsiTheme="minorHAnsi"/>
          <w:i/>
          <w:color w:val="000000"/>
        </w:rPr>
        <w:t xml:space="preserve"> British Journal of Social Work</w:t>
      </w:r>
      <w:r w:rsidRPr="00096FF8">
        <w:rPr>
          <w:rFonts w:asciiTheme="minorHAnsi" w:hAnsiTheme="minorHAnsi"/>
          <w:color w:val="000000"/>
        </w:rPr>
        <w:t xml:space="preserve">, </w:t>
      </w:r>
      <w:r w:rsidRPr="00096FF8">
        <w:rPr>
          <w:rFonts w:asciiTheme="minorHAnsi" w:hAnsiTheme="minorHAnsi"/>
        </w:rPr>
        <w:t>39(8)</w:t>
      </w:r>
      <w:r w:rsidR="003065D7" w:rsidRPr="00096FF8">
        <w:rPr>
          <w:rFonts w:asciiTheme="minorHAnsi" w:hAnsiTheme="minorHAnsi"/>
        </w:rPr>
        <w:t>,</w:t>
      </w:r>
      <w:r w:rsidRPr="00096FF8">
        <w:rPr>
          <w:rFonts w:asciiTheme="minorHAnsi" w:hAnsiTheme="minorHAnsi"/>
        </w:rPr>
        <w:t xml:space="preserve"> 1465-1480</w:t>
      </w:r>
      <w:r w:rsidR="00CD310C" w:rsidRPr="00096FF8">
        <w:rPr>
          <w:rFonts w:asciiTheme="minorHAnsi" w:hAnsiTheme="minorHAnsi"/>
        </w:rPr>
        <w:t xml:space="preserve">. </w:t>
      </w:r>
    </w:p>
    <w:p w14:paraId="5BB43AAF" w14:textId="3DD72D00" w:rsidR="00F6429B" w:rsidRPr="00096FF8" w:rsidRDefault="001D3189" w:rsidP="00490617">
      <w:pPr>
        <w:spacing w:line="480" w:lineRule="auto"/>
        <w:rPr>
          <w:rFonts w:asciiTheme="minorHAnsi" w:hAnsiTheme="minorHAnsi"/>
          <w:color w:val="000000"/>
        </w:rPr>
      </w:pPr>
      <w:r w:rsidRPr="00096FF8">
        <w:rPr>
          <w:rFonts w:asciiTheme="minorHAnsi" w:hAnsiTheme="minorHAnsi"/>
        </w:rPr>
        <w:t>doi</w:t>
      </w:r>
      <w:r w:rsidR="00CD310C" w:rsidRPr="00096FF8">
        <w:rPr>
          <w:rFonts w:asciiTheme="minorHAnsi" w:hAnsiTheme="minorHAnsi"/>
        </w:rPr>
        <w:t>: 10.1093/bjsw/bcn028.</w:t>
      </w:r>
    </w:p>
    <w:p w14:paraId="2C3C409D" w14:textId="77777777" w:rsidR="00F6429B" w:rsidRDefault="00F6429B" w:rsidP="00490617">
      <w:pPr>
        <w:spacing w:line="480" w:lineRule="auto"/>
        <w:rPr>
          <w:rFonts w:asciiTheme="minorHAnsi" w:hAnsiTheme="minorHAnsi"/>
          <w:szCs w:val="24"/>
        </w:rPr>
      </w:pPr>
    </w:p>
    <w:p w14:paraId="7DE723F4" w14:textId="570F139A" w:rsidR="009B3107" w:rsidRPr="009B3107" w:rsidRDefault="009B3107" w:rsidP="009B3107">
      <w:pPr>
        <w:spacing w:line="480" w:lineRule="auto"/>
        <w:rPr>
          <w:rFonts w:asciiTheme="minorHAnsi" w:hAnsiTheme="minorHAnsi"/>
          <w:szCs w:val="24"/>
        </w:rPr>
      </w:pPr>
      <w:r w:rsidRPr="009B3107">
        <w:rPr>
          <w:rFonts w:asciiTheme="minorHAnsi" w:hAnsiTheme="minorHAnsi"/>
          <w:szCs w:val="24"/>
        </w:rPr>
        <w:lastRenderedPageBreak/>
        <w:t>Manthorpe, J., Stevens, M., Samsi, K., Aspinal, F.,Woolham, J., Hussein, S., Ismail, M. and Baxter, K. (2015)</w:t>
      </w:r>
      <w:r>
        <w:rPr>
          <w:rFonts w:asciiTheme="minorHAnsi" w:hAnsiTheme="minorHAnsi"/>
          <w:szCs w:val="24"/>
        </w:rPr>
        <w:t xml:space="preserve">. </w:t>
      </w:r>
      <w:r w:rsidRPr="009B3107">
        <w:rPr>
          <w:rFonts w:asciiTheme="minorHAnsi" w:hAnsiTheme="minorHAnsi"/>
          <w:szCs w:val="24"/>
        </w:rPr>
        <w:t>Did anyone notice the transformation of adult social care? An analysis of Safeguarding Adult Board Annual Reports</w:t>
      </w:r>
      <w:r>
        <w:rPr>
          <w:rFonts w:asciiTheme="minorHAnsi" w:hAnsiTheme="minorHAnsi"/>
          <w:szCs w:val="24"/>
        </w:rPr>
        <w:t>.</w:t>
      </w:r>
      <w:r w:rsidRPr="009B3107">
        <w:rPr>
          <w:rFonts w:asciiTheme="minorHAnsi" w:hAnsiTheme="minorHAnsi"/>
          <w:szCs w:val="24"/>
        </w:rPr>
        <w:t xml:space="preserve"> </w:t>
      </w:r>
      <w:r w:rsidRPr="00461DF3">
        <w:rPr>
          <w:rFonts w:asciiTheme="minorHAnsi" w:hAnsiTheme="minorHAnsi"/>
          <w:i/>
          <w:szCs w:val="24"/>
        </w:rPr>
        <w:t>The Journal of Adult Protection</w:t>
      </w:r>
      <w:r>
        <w:rPr>
          <w:rFonts w:asciiTheme="minorHAnsi" w:hAnsiTheme="minorHAnsi"/>
          <w:szCs w:val="24"/>
        </w:rPr>
        <w:t>.</w:t>
      </w:r>
      <w:r w:rsidRPr="009B3107">
        <w:rPr>
          <w:rFonts w:asciiTheme="minorHAnsi" w:hAnsiTheme="minorHAnsi"/>
          <w:szCs w:val="24"/>
        </w:rPr>
        <w:t xml:space="preserve"> 17(1) 19 – 30.</w:t>
      </w:r>
    </w:p>
    <w:p w14:paraId="5B990911" w14:textId="275B4213" w:rsidR="009B3107" w:rsidRDefault="009B3107" w:rsidP="009B3107">
      <w:pPr>
        <w:spacing w:line="480" w:lineRule="auto"/>
        <w:rPr>
          <w:rFonts w:asciiTheme="minorHAnsi" w:hAnsiTheme="minorHAnsi"/>
          <w:szCs w:val="24"/>
        </w:rPr>
      </w:pPr>
      <w:r w:rsidRPr="009B3107">
        <w:rPr>
          <w:rFonts w:asciiTheme="minorHAnsi" w:hAnsiTheme="minorHAnsi"/>
          <w:szCs w:val="24"/>
        </w:rPr>
        <w:t>http://dx.doi.org/10.1108/JAP-03-2014-0011</w:t>
      </w:r>
    </w:p>
    <w:p w14:paraId="18FDAA0B" w14:textId="77777777" w:rsidR="009B3107" w:rsidRPr="00096FF8" w:rsidRDefault="009B3107" w:rsidP="00490617">
      <w:pPr>
        <w:spacing w:line="480" w:lineRule="auto"/>
        <w:rPr>
          <w:rFonts w:asciiTheme="minorHAnsi" w:hAnsiTheme="minorHAnsi"/>
          <w:szCs w:val="24"/>
        </w:rPr>
      </w:pPr>
    </w:p>
    <w:p w14:paraId="7D914F2C" w14:textId="02E63DDC" w:rsidR="009D6EF1" w:rsidRPr="00096FF8" w:rsidRDefault="009D6EF1" w:rsidP="00490617">
      <w:pPr>
        <w:spacing w:line="480" w:lineRule="auto"/>
        <w:rPr>
          <w:rFonts w:asciiTheme="minorHAnsi" w:hAnsiTheme="minorHAnsi"/>
          <w:szCs w:val="24"/>
        </w:rPr>
      </w:pPr>
      <w:r w:rsidRPr="00096FF8">
        <w:rPr>
          <w:rFonts w:asciiTheme="minorHAnsi" w:hAnsiTheme="minorHAnsi"/>
          <w:szCs w:val="24"/>
        </w:rPr>
        <w:t>Needham, C. (2010)</w:t>
      </w:r>
      <w:r w:rsidR="003065D7" w:rsidRPr="00096FF8">
        <w:rPr>
          <w:rFonts w:asciiTheme="minorHAnsi" w:hAnsiTheme="minorHAnsi"/>
          <w:szCs w:val="24"/>
        </w:rPr>
        <w:t>.</w:t>
      </w:r>
      <w:r w:rsidRPr="00096FF8">
        <w:rPr>
          <w:rFonts w:asciiTheme="minorHAnsi" w:hAnsiTheme="minorHAnsi"/>
          <w:szCs w:val="24"/>
        </w:rPr>
        <w:t xml:space="preserve"> ‘Debate: Personalized public services—a new state/citizen contract?</w:t>
      </w:r>
      <w:r w:rsidR="003065D7" w:rsidRPr="00096FF8">
        <w:rPr>
          <w:rFonts w:asciiTheme="minorHAnsi" w:hAnsiTheme="minorHAnsi"/>
          <w:szCs w:val="24"/>
        </w:rPr>
        <w:t>.</w:t>
      </w:r>
      <w:r w:rsidRPr="00096FF8">
        <w:rPr>
          <w:rFonts w:asciiTheme="minorHAnsi" w:hAnsiTheme="minorHAnsi"/>
          <w:szCs w:val="24"/>
        </w:rPr>
        <w:t xml:space="preserve"> </w:t>
      </w:r>
      <w:r w:rsidRPr="00096FF8">
        <w:rPr>
          <w:rFonts w:asciiTheme="minorHAnsi" w:hAnsiTheme="minorHAnsi"/>
          <w:i/>
          <w:szCs w:val="24"/>
        </w:rPr>
        <w:t>Public Money and Management</w:t>
      </w:r>
      <w:r w:rsidRPr="00096FF8">
        <w:rPr>
          <w:rFonts w:asciiTheme="minorHAnsi" w:hAnsiTheme="minorHAnsi"/>
          <w:szCs w:val="24"/>
        </w:rPr>
        <w:t>, 30(3)</w:t>
      </w:r>
      <w:r w:rsidR="003065D7" w:rsidRPr="00096FF8">
        <w:rPr>
          <w:rFonts w:asciiTheme="minorHAnsi" w:hAnsiTheme="minorHAnsi"/>
          <w:szCs w:val="24"/>
        </w:rPr>
        <w:t>,</w:t>
      </w:r>
      <w:r w:rsidRPr="00096FF8">
        <w:rPr>
          <w:rFonts w:asciiTheme="minorHAnsi" w:hAnsiTheme="minorHAnsi"/>
          <w:szCs w:val="24"/>
        </w:rPr>
        <w:t xml:space="preserve"> 135-142.</w:t>
      </w:r>
      <w:r w:rsidR="00CD310C" w:rsidRPr="00096FF8">
        <w:rPr>
          <w:rFonts w:asciiTheme="minorHAnsi" w:hAnsiTheme="minorHAnsi"/>
          <w:szCs w:val="24"/>
        </w:rPr>
        <w:t xml:space="preserve"> </w:t>
      </w:r>
      <w:r w:rsidR="001D3189" w:rsidRPr="00096FF8">
        <w:rPr>
          <w:rFonts w:asciiTheme="minorHAnsi" w:hAnsiTheme="minorHAnsi"/>
          <w:szCs w:val="24"/>
        </w:rPr>
        <w:t>doi</w:t>
      </w:r>
      <w:r w:rsidR="00CD310C" w:rsidRPr="00096FF8">
        <w:rPr>
          <w:rFonts w:asciiTheme="minorHAnsi" w:hAnsiTheme="minorHAnsi"/>
          <w:szCs w:val="24"/>
        </w:rPr>
        <w:t xml:space="preserve">:10.1080/09540961003794246. </w:t>
      </w:r>
    </w:p>
    <w:p w14:paraId="4A9747AA" w14:textId="77777777" w:rsidR="009D6EF1" w:rsidRPr="00096FF8" w:rsidRDefault="009D6EF1" w:rsidP="00490617">
      <w:pPr>
        <w:spacing w:line="480" w:lineRule="auto"/>
        <w:rPr>
          <w:rFonts w:asciiTheme="minorHAnsi" w:hAnsiTheme="minorHAnsi"/>
          <w:szCs w:val="24"/>
        </w:rPr>
      </w:pPr>
    </w:p>
    <w:p w14:paraId="28A52830" w14:textId="3C88C486" w:rsidR="007C757C" w:rsidRPr="00096FF8" w:rsidRDefault="007C757C" w:rsidP="00490617">
      <w:pPr>
        <w:spacing w:line="480" w:lineRule="auto"/>
        <w:rPr>
          <w:rFonts w:asciiTheme="minorHAnsi" w:hAnsiTheme="minorHAnsi"/>
          <w:szCs w:val="24"/>
        </w:rPr>
      </w:pPr>
      <w:r w:rsidRPr="00096FF8">
        <w:rPr>
          <w:rFonts w:asciiTheme="minorHAnsi" w:hAnsiTheme="minorHAnsi"/>
          <w:szCs w:val="24"/>
        </w:rPr>
        <w:t>Netten, A., Jones, K., Knapp, M., Fernandez, J-L., Challis, D., Glendinning, C., Jacobs, S.,  Manthorpe, J., Moran, N., S</w:t>
      </w:r>
      <w:r w:rsidR="003065D7" w:rsidRPr="00096FF8">
        <w:rPr>
          <w:rFonts w:asciiTheme="minorHAnsi" w:hAnsiTheme="minorHAnsi"/>
          <w:szCs w:val="24"/>
        </w:rPr>
        <w:t>tevens, M., and Wilberforce, M.</w:t>
      </w:r>
      <w:r w:rsidRPr="00096FF8">
        <w:rPr>
          <w:rFonts w:asciiTheme="minorHAnsi" w:hAnsiTheme="minorHAnsi"/>
          <w:szCs w:val="24"/>
        </w:rPr>
        <w:t xml:space="preserve">  (2012)</w:t>
      </w:r>
      <w:r w:rsidR="003065D7" w:rsidRPr="00096FF8">
        <w:rPr>
          <w:rFonts w:asciiTheme="minorHAnsi" w:hAnsiTheme="minorHAnsi"/>
          <w:szCs w:val="24"/>
        </w:rPr>
        <w:t>.</w:t>
      </w:r>
      <w:r w:rsidRPr="00096FF8">
        <w:rPr>
          <w:rFonts w:asciiTheme="minorHAnsi" w:hAnsiTheme="minorHAnsi"/>
          <w:szCs w:val="24"/>
        </w:rPr>
        <w:t xml:space="preserve"> Personalisation through Individual Budgets: Does it Work and for Whom? </w:t>
      </w:r>
      <w:r w:rsidRPr="00096FF8">
        <w:rPr>
          <w:rFonts w:asciiTheme="minorHAnsi" w:hAnsiTheme="minorHAnsi"/>
          <w:i/>
          <w:szCs w:val="24"/>
        </w:rPr>
        <w:t>British Journal of Social Work</w:t>
      </w:r>
      <w:r w:rsidR="003065D7" w:rsidRPr="00096FF8">
        <w:rPr>
          <w:rFonts w:asciiTheme="minorHAnsi" w:hAnsiTheme="minorHAnsi"/>
          <w:szCs w:val="24"/>
        </w:rPr>
        <w:t>,</w:t>
      </w:r>
      <w:r w:rsidRPr="00096FF8">
        <w:rPr>
          <w:rFonts w:asciiTheme="minorHAnsi" w:hAnsiTheme="minorHAnsi"/>
          <w:szCs w:val="24"/>
        </w:rPr>
        <w:t xml:space="preserve"> 42</w:t>
      </w:r>
      <w:r w:rsidR="003065D7" w:rsidRPr="00096FF8">
        <w:rPr>
          <w:rFonts w:asciiTheme="minorHAnsi" w:hAnsiTheme="minorHAnsi"/>
          <w:szCs w:val="24"/>
        </w:rPr>
        <w:t>(8),</w:t>
      </w:r>
      <w:r w:rsidRPr="00096FF8">
        <w:rPr>
          <w:rFonts w:asciiTheme="minorHAnsi" w:hAnsiTheme="minorHAnsi"/>
          <w:szCs w:val="24"/>
        </w:rPr>
        <w:t xml:space="preserve"> 1556 -1573 doi:10.1093/bjsw/bcr159. </w:t>
      </w:r>
    </w:p>
    <w:p w14:paraId="630394B3" w14:textId="77777777" w:rsidR="007C757C" w:rsidRPr="00096FF8" w:rsidRDefault="007C757C" w:rsidP="00490617">
      <w:pPr>
        <w:spacing w:line="480" w:lineRule="auto"/>
        <w:rPr>
          <w:rFonts w:asciiTheme="minorHAnsi" w:hAnsiTheme="minorHAnsi"/>
          <w:szCs w:val="24"/>
        </w:rPr>
      </w:pPr>
    </w:p>
    <w:p w14:paraId="13DDFA48" w14:textId="586EF658" w:rsidR="00B21898" w:rsidRPr="00461DF3" w:rsidRDefault="00B21898" w:rsidP="00011D84">
      <w:pPr>
        <w:spacing w:line="480" w:lineRule="auto"/>
        <w:rPr>
          <w:rFonts w:asciiTheme="minorHAnsi" w:hAnsiTheme="minorHAnsi"/>
          <w:i/>
          <w:szCs w:val="24"/>
        </w:rPr>
      </w:pPr>
      <w:r w:rsidRPr="00096FF8">
        <w:rPr>
          <w:rFonts w:asciiTheme="minorHAnsi" w:hAnsiTheme="minorHAnsi"/>
        </w:rPr>
        <w:t>Parton,</w:t>
      </w:r>
      <w:r w:rsidR="00011D84" w:rsidRPr="00096FF8">
        <w:rPr>
          <w:rFonts w:asciiTheme="minorHAnsi" w:hAnsiTheme="minorHAnsi"/>
        </w:rPr>
        <w:t xml:space="preserve"> N.</w:t>
      </w:r>
      <w:r w:rsidRPr="00096FF8">
        <w:rPr>
          <w:rFonts w:asciiTheme="minorHAnsi" w:hAnsiTheme="minorHAnsi"/>
        </w:rPr>
        <w:t xml:space="preserve"> </w:t>
      </w:r>
      <w:r w:rsidR="00011D84" w:rsidRPr="00096FF8">
        <w:rPr>
          <w:rFonts w:asciiTheme="minorHAnsi" w:hAnsiTheme="minorHAnsi"/>
        </w:rPr>
        <w:t>(</w:t>
      </w:r>
      <w:r w:rsidRPr="00096FF8">
        <w:rPr>
          <w:rFonts w:asciiTheme="minorHAnsi" w:hAnsiTheme="minorHAnsi"/>
        </w:rPr>
        <w:t>2000</w:t>
      </w:r>
      <w:r w:rsidR="00011D84" w:rsidRPr="00096FF8">
        <w:rPr>
          <w:rFonts w:asciiTheme="minorHAnsi" w:hAnsiTheme="minorHAnsi"/>
        </w:rPr>
        <w:t xml:space="preserve">). Some thoughts on the relationship between theory and practice in and for social work. </w:t>
      </w:r>
      <w:r w:rsidR="00011D84" w:rsidRPr="00096FF8">
        <w:rPr>
          <w:rFonts w:asciiTheme="minorHAnsi" w:hAnsiTheme="minorHAnsi"/>
          <w:i/>
        </w:rPr>
        <w:t>British Journal of Social Work, 30 (4): 449-463. doi: 10.1093/bjsw/30.4.449.</w:t>
      </w:r>
    </w:p>
    <w:p w14:paraId="525B4E77" w14:textId="77777777" w:rsidR="00B21898" w:rsidRPr="00096FF8" w:rsidRDefault="00B21898" w:rsidP="00490617">
      <w:pPr>
        <w:spacing w:line="480" w:lineRule="auto"/>
        <w:rPr>
          <w:rFonts w:asciiTheme="minorHAnsi" w:hAnsiTheme="minorHAnsi"/>
          <w:szCs w:val="24"/>
        </w:rPr>
      </w:pPr>
    </w:p>
    <w:p w14:paraId="067D87D8" w14:textId="6ECA25D2" w:rsidR="00F6429B" w:rsidRPr="00096FF8" w:rsidRDefault="00F6429B" w:rsidP="00490617">
      <w:pPr>
        <w:spacing w:line="480" w:lineRule="auto"/>
        <w:rPr>
          <w:rFonts w:asciiTheme="minorHAnsi" w:hAnsiTheme="minorHAnsi"/>
          <w:szCs w:val="24"/>
        </w:rPr>
      </w:pPr>
      <w:r w:rsidRPr="00096FF8">
        <w:rPr>
          <w:rFonts w:asciiTheme="minorHAnsi" w:hAnsiTheme="minorHAnsi"/>
          <w:szCs w:val="24"/>
        </w:rPr>
        <w:t>Poll, C., Duffy, S., Hatton, C., Sanderson, H. and Routledge, M. (2005)</w:t>
      </w:r>
      <w:r w:rsidR="003065D7" w:rsidRPr="00096FF8">
        <w:rPr>
          <w:rFonts w:asciiTheme="minorHAnsi" w:hAnsiTheme="minorHAnsi"/>
          <w:szCs w:val="24"/>
        </w:rPr>
        <w:t>.</w:t>
      </w:r>
      <w:r w:rsidRPr="00096FF8">
        <w:rPr>
          <w:rFonts w:asciiTheme="minorHAnsi" w:hAnsiTheme="minorHAnsi"/>
          <w:szCs w:val="24"/>
        </w:rPr>
        <w:t xml:space="preserve"> </w:t>
      </w:r>
      <w:r w:rsidRPr="00096FF8">
        <w:rPr>
          <w:rFonts w:asciiTheme="minorHAnsi" w:hAnsiTheme="minorHAnsi"/>
          <w:i/>
          <w:szCs w:val="24"/>
        </w:rPr>
        <w:t>A report on in Control’s first phase 2003-2005</w:t>
      </w:r>
      <w:r w:rsidR="003065D7" w:rsidRPr="00096FF8">
        <w:rPr>
          <w:rFonts w:asciiTheme="minorHAnsi" w:hAnsiTheme="minorHAnsi"/>
          <w:i/>
          <w:szCs w:val="24"/>
        </w:rPr>
        <w:t>.</w:t>
      </w:r>
      <w:r w:rsidRPr="00096FF8">
        <w:rPr>
          <w:rFonts w:asciiTheme="minorHAnsi" w:hAnsiTheme="minorHAnsi"/>
          <w:szCs w:val="24"/>
        </w:rPr>
        <w:t xml:space="preserve"> London</w:t>
      </w:r>
      <w:r w:rsidR="001A2F40" w:rsidRPr="00096FF8">
        <w:rPr>
          <w:rFonts w:asciiTheme="minorHAnsi" w:hAnsiTheme="minorHAnsi"/>
          <w:szCs w:val="24"/>
        </w:rPr>
        <w:t>: I</w:t>
      </w:r>
      <w:r w:rsidRPr="00096FF8">
        <w:rPr>
          <w:rFonts w:asciiTheme="minorHAnsi" w:hAnsiTheme="minorHAnsi"/>
          <w:szCs w:val="24"/>
        </w:rPr>
        <w:t>n Control.</w:t>
      </w:r>
      <w:r w:rsidR="00571004" w:rsidRPr="00096FF8">
        <w:rPr>
          <w:rFonts w:asciiTheme="minorHAnsi" w:hAnsiTheme="minorHAnsi"/>
          <w:szCs w:val="24"/>
        </w:rPr>
        <w:t xml:space="preserve"> </w:t>
      </w:r>
      <w:r w:rsidR="00F76399" w:rsidRPr="00096FF8">
        <w:rPr>
          <w:rFonts w:asciiTheme="minorHAnsi" w:hAnsiTheme="minorHAnsi"/>
          <w:szCs w:val="24"/>
        </w:rPr>
        <w:t>Retrieved from</w:t>
      </w:r>
      <w:r w:rsidR="00571004" w:rsidRPr="00096FF8">
        <w:rPr>
          <w:rFonts w:asciiTheme="minorHAnsi" w:hAnsiTheme="minorHAnsi"/>
          <w:szCs w:val="24"/>
        </w:rPr>
        <w:t xml:space="preserve">: </w:t>
      </w:r>
      <w:hyperlink r:id="rId27" w:history="1">
        <w:r w:rsidR="00571004" w:rsidRPr="00096FF8">
          <w:rPr>
            <w:rStyle w:val="Hyperlink"/>
            <w:rFonts w:asciiTheme="minorHAnsi" w:hAnsiTheme="minorHAnsi"/>
            <w:szCs w:val="24"/>
          </w:rPr>
          <w:t>http://www.in-control.org.uk/media/55724/in%20control%20first%20phase%20report%202003-2005.pdf</w:t>
        </w:r>
      </w:hyperlink>
      <w:r w:rsidR="00571004" w:rsidRPr="00096FF8">
        <w:rPr>
          <w:rFonts w:asciiTheme="minorHAnsi" w:hAnsiTheme="minorHAnsi"/>
          <w:szCs w:val="24"/>
        </w:rPr>
        <w:t xml:space="preserve"> (Accessed 23/04/2015).</w:t>
      </w:r>
    </w:p>
    <w:p w14:paraId="18D118AD" w14:textId="77777777" w:rsidR="00F6429B" w:rsidRPr="00096FF8" w:rsidRDefault="00F6429B" w:rsidP="00490617">
      <w:pPr>
        <w:spacing w:line="480" w:lineRule="auto"/>
        <w:rPr>
          <w:rFonts w:asciiTheme="minorHAnsi" w:hAnsiTheme="minorHAnsi"/>
          <w:szCs w:val="24"/>
        </w:rPr>
      </w:pPr>
    </w:p>
    <w:p w14:paraId="28AC68F6" w14:textId="4D942DD7" w:rsidR="00522F95" w:rsidRPr="00096FF8" w:rsidRDefault="00522F95" w:rsidP="00490617">
      <w:pPr>
        <w:spacing w:line="480" w:lineRule="auto"/>
        <w:rPr>
          <w:rFonts w:asciiTheme="minorHAnsi" w:hAnsiTheme="minorHAnsi"/>
        </w:rPr>
      </w:pPr>
      <w:r w:rsidRPr="00096FF8">
        <w:rPr>
          <w:rFonts w:asciiTheme="minorHAnsi" w:hAnsiTheme="minorHAnsi"/>
        </w:rPr>
        <w:t>Rabiee, P., Glendinning, C. and Baxter, K. (2013)</w:t>
      </w:r>
      <w:r w:rsidR="003065D7" w:rsidRPr="00096FF8">
        <w:rPr>
          <w:rFonts w:asciiTheme="minorHAnsi" w:hAnsiTheme="minorHAnsi"/>
        </w:rPr>
        <w:t>.</w:t>
      </w:r>
      <w:r w:rsidRPr="00096FF8">
        <w:rPr>
          <w:rFonts w:asciiTheme="minorHAnsi" w:hAnsiTheme="minorHAnsi"/>
        </w:rPr>
        <w:t xml:space="preserve"> </w:t>
      </w:r>
      <w:r w:rsidR="00912FBC" w:rsidRPr="00096FF8">
        <w:rPr>
          <w:rFonts w:asciiTheme="minorHAnsi" w:hAnsiTheme="minorHAnsi"/>
          <w:i/>
        </w:rPr>
        <w:t>How far do managed personal budgets offer choice and control for older people using home care services?</w:t>
      </w:r>
      <w:r w:rsidRPr="00096FF8">
        <w:rPr>
          <w:rFonts w:asciiTheme="minorHAnsi" w:hAnsiTheme="minorHAnsi"/>
        </w:rPr>
        <w:t xml:space="preserve"> SSCR Research Findings, </w:t>
      </w:r>
      <w:r w:rsidRPr="00096FF8">
        <w:rPr>
          <w:rFonts w:asciiTheme="minorHAnsi" w:hAnsiTheme="minorHAnsi"/>
        </w:rPr>
        <w:lastRenderedPageBreak/>
        <w:t xml:space="preserve">NIHR, School for Social Care Research, London. </w:t>
      </w:r>
      <w:r w:rsidR="00F76399" w:rsidRPr="00096FF8">
        <w:rPr>
          <w:rFonts w:asciiTheme="minorHAnsi" w:hAnsiTheme="minorHAnsi"/>
        </w:rPr>
        <w:t>Retrieved from</w:t>
      </w:r>
      <w:r w:rsidRPr="00096FF8">
        <w:rPr>
          <w:rFonts w:asciiTheme="minorHAnsi" w:hAnsiTheme="minorHAnsi"/>
        </w:rPr>
        <w:t xml:space="preserve">: </w:t>
      </w:r>
      <w:hyperlink r:id="rId28" w:history="1">
        <w:r w:rsidRPr="00096FF8">
          <w:rPr>
            <w:rStyle w:val="Hyperlink"/>
            <w:rFonts w:asciiTheme="minorHAnsi" w:hAnsiTheme="minorHAnsi"/>
          </w:rPr>
          <w:t>http://php.york.ac.uk/inst/spru/pubs/2645/</w:t>
        </w:r>
      </w:hyperlink>
      <w:r w:rsidRPr="00096FF8">
        <w:rPr>
          <w:rFonts w:asciiTheme="minorHAnsi" w:hAnsiTheme="minorHAnsi"/>
        </w:rPr>
        <w:t xml:space="preserve"> (Accessed </w:t>
      </w:r>
      <w:r w:rsidR="00011D84" w:rsidRPr="00096FF8">
        <w:rPr>
          <w:rFonts w:asciiTheme="minorHAnsi" w:hAnsiTheme="minorHAnsi"/>
        </w:rPr>
        <w:t>14</w:t>
      </w:r>
      <w:r w:rsidR="00571004" w:rsidRPr="00096FF8">
        <w:rPr>
          <w:rFonts w:asciiTheme="minorHAnsi" w:hAnsiTheme="minorHAnsi"/>
        </w:rPr>
        <w:t>/</w:t>
      </w:r>
      <w:r w:rsidR="00011D84" w:rsidRPr="00096FF8">
        <w:rPr>
          <w:rFonts w:asciiTheme="minorHAnsi" w:hAnsiTheme="minorHAnsi"/>
        </w:rPr>
        <w:t>12</w:t>
      </w:r>
      <w:r w:rsidRPr="00096FF8">
        <w:rPr>
          <w:rFonts w:asciiTheme="minorHAnsi" w:hAnsiTheme="minorHAnsi"/>
        </w:rPr>
        <w:t>/2015)</w:t>
      </w:r>
      <w:r w:rsidR="00011D84" w:rsidRPr="00096FF8">
        <w:rPr>
          <w:rFonts w:asciiTheme="minorHAnsi" w:hAnsiTheme="minorHAnsi"/>
        </w:rPr>
        <w:t>.</w:t>
      </w:r>
    </w:p>
    <w:p w14:paraId="79435D1C" w14:textId="77777777" w:rsidR="00522F95" w:rsidRPr="00096FF8" w:rsidRDefault="00522F95" w:rsidP="00490617">
      <w:pPr>
        <w:spacing w:line="480" w:lineRule="auto"/>
        <w:rPr>
          <w:rFonts w:asciiTheme="minorHAnsi" w:hAnsiTheme="minorHAnsi"/>
          <w:szCs w:val="24"/>
        </w:rPr>
      </w:pPr>
    </w:p>
    <w:p w14:paraId="285800C5" w14:textId="737244D9" w:rsidR="00F6429B" w:rsidRPr="00096FF8" w:rsidRDefault="00F6429B" w:rsidP="00490617">
      <w:pPr>
        <w:autoSpaceDE w:val="0"/>
        <w:autoSpaceDN w:val="0"/>
        <w:adjustRightInd w:val="0"/>
        <w:spacing w:line="480" w:lineRule="auto"/>
        <w:rPr>
          <w:rFonts w:asciiTheme="minorHAnsi" w:hAnsiTheme="minorHAnsi" w:cs="Bliss-Italic"/>
          <w:i/>
          <w:iCs/>
          <w:szCs w:val="24"/>
        </w:rPr>
      </w:pPr>
      <w:r w:rsidRPr="00096FF8">
        <w:rPr>
          <w:rFonts w:asciiTheme="minorHAnsi" w:hAnsiTheme="minorHAnsi" w:cs="Bliss-Regular"/>
          <w:szCs w:val="24"/>
        </w:rPr>
        <w:t>Richards, P. and Ogilvie, K. (2010)</w:t>
      </w:r>
      <w:r w:rsidR="00EA43FC"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Italic"/>
          <w:i/>
          <w:iCs/>
          <w:szCs w:val="24"/>
        </w:rPr>
        <w:t>South West Region: A safeguarding and</w:t>
      </w:r>
    </w:p>
    <w:p w14:paraId="43B50BC1" w14:textId="2F18875A" w:rsidR="0020384A" w:rsidRPr="00096FF8" w:rsidRDefault="00F6429B"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Bliss-Italic"/>
          <w:i/>
          <w:iCs/>
          <w:szCs w:val="24"/>
        </w:rPr>
        <w:t>personalisation framework February 2010</w:t>
      </w:r>
      <w:r w:rsidR="00EA43FC" w:rsidRPr="00096FF8">
        <w:rPr>
          <w:rFonts w:asciiTheme="minorHAnsi" w:hAnsiTheme="minorHAnsi" w:cs="Bliss-Italic"/>
          <w:i/>
          <w:iCs/>
          <w:szCs w:val="24"/>
        </w:rPr>
        <w:t>.</w:t>
      </w:r>
      <w:r w:rsidRPr="00096FF8">
        <w:rPr>
          <w:rFonts w:asciiTheme="minorHAnsi" w:hAnsiTheme="minorHAnsi" w:cs="Bliss-Regular"/>
          <w:szCs w:val="24"/>
        </w:rPr>
        <w:t xml:space="preserve"> </w:t>
      </w:r>
      <w:r w:rsidR="00011D84" w:rsidRPr="00096FF8">
        <w:rPr>
          <w:rFonts w:asciiTheme="minorHAnsi" w:hAnsiTheme="minorHAnsi" w:cs="Bliss-Regular"/>
          <w:szCs w:val="24"/>
        </w:rPr>
        <w:t xml:space="preserve">Plymouth: </w:t>
      </w:r>
      <w:r w:rsidRPr="00096FF8">
        <w:rPr>
          <w:rFonts w:asciiTheme="minorHAnsi" w:hAnsiTheme="minorHAnsi" w:cs="Bliss-Regular"/>
          <w:szCs w:val="24"/>
        </w:rPr>
        <w:t>ADASS/South West Regional Improvement and Efficiency Agency</w:t>
      </w:r>
      <w:r w:rsidR="00F76399" w:rsidRPr="00096FF8">
        <w:rPr>
          <w:rFonts w:asciiTheme="minorHAnsi" w:hAnsiTheme="minorHAnsi" w:cs="Bliss-Regular"/>
          <w:szCs w:val="24"/>
        </w:rPr>
        <w:t xml:space="preserve">. Retrieved from: </w:t>
      </w:r>
      <w:hyperlink r:id="rId29" w:history="1">
        <w:r w:rsidR="00F76399" w:rsidRPr="00096FF8">
          <w:rPr>
            <w:rStyle w:val="Hyperlink"/>
            <w:rFonts w:asciiTheme="minorHAnsi" w:hAnsiTheme="minorHAnsi" w:cs="Bliss-Regular"/>
            <w:szCs w:val="24"/>
          </w:rPr>
          <w:t>http://plysab.proceduresonline.com/pdfs/sp_framework.pdf</w:t>
        </w:r>
      </w:hyperlink>
      <w:r w:rsidR="00F76399" w:rsidRPr="00096FF8">
        <w:rPr>
          <w:rFonts w:asciiTheme="minorHAnsi" w:hAnsiTheme="minorHAnsi" w:cs="Bliss-Regular"/>
          <w:szCs w:val="24"/>
        </w:rPr>
        <w:t xml:space="preserve"> (Accessed 14/12/2015)</w:t>
      </w:r>
    </w:p>
    <w:p w14:paraId="6ED7CACF" w14:textId="77777777" w:rsidR="00F76399" w:rsidRPr="00096FF8" w:rsidRDefault="00F76399" w:rsidP="00490617">
      <w:pPr>
        <w:autoSpaceDE w:val="0"/>
        <w:autoSpaceDN w:val="0"/>
        <w:adjustRightInd w:val="0"/>
        <w:spacing w:line="480" w:lineRule="auto"/>
        <w:rPr>
          <w:rFonts w:asciiTheme="minorHAnsi" w:hAnsiTheme="minorHAnsi" w:cs="Bliss-Regular"/>
          <w:szCs w:val="24"/>
        </w:rPr>
      </w:pPr>
    </w:p>
    <w:p w14:paraId="2994F30D" w14:textId="5B0D5CF6" w:rsidR="00011D84" w:rsidRPr="00096FF8" w:rsidRDefault="00917B71" w:rsidP="00917B71">
      <w:pPr>
        <w:autoSpaceDE w:val="0"/>
        <w:autoSpaceDN w:val="0"/>
        <w:adjustRightInd w:val="0"/>
        <w:spacing w:line="480" w:lineRule="auto"/>
        <w:rPr>
          <w:rFonts w:asciiTheme="minorHAnsi" w:hAnsiTheme="minorHAnsi" w:cs="Bliss-Regular"/>
          <w:szCs w:val="24"/>
        </w:rPr>
      </w:pPr>
      <w:r w:rsidRPr="00096FF8">
        <w:rPr>
          <w:rFonts w:asciiTheme="minorHAnsi" w:hAnsiTheme="minorHAnsi"/>
        </w:rPr>
        <w:t xml:space="preserve">Roulstone, A. and Morgan, H. (2009). Neo-Liberal Individualism or Self-Directed Support: Are We All Speaking the Same Language on Modernising Adult Social Care?. </w:t>
      </w:r>
      <w:r w:rsidRPr="00461DF3">
        <w:rPr>
          <w:rFonts w:asciiTheme="minorHAnsi" w:hAnsiTheme="minorHAnsi"/>
          <w:i/>
        </w:rPr>
        <w:t>Social Policy and Society</w:t>
      </w:r>
      <w:r w:rsidRPr="00096FF8">
        <w:rPr>
          <w:rFonts w:asciiTheme="minorHAnsi" w:hAnsiTheme="minorHAnsi"/>
        </w:rPr>
        <w:t>, 8</w:t>
      </w:r>
      <w:r w:rsidR="00011D84" w:rsidRPr="00096FF8">
        <w:rPr>
          <w:rFonts w:asciiTheme="minorHAnsi" w:hAnsiTheme="minorHAnsi"/>
        </w:rPr>
        <w:t>(3)</w:t>
      </w:r>
      <w:r w:rsidRPr="00096FF8">
        <w:rPr>
          <w:rFonts w:asciiTheme="minorHAnsi" w:hAnsiTheme="minorHAnsi"/>
        </w:rPr>
        <w:t xml:space="preserve">, 333-345. </w:t>
      </w:r>
      <w:r w:rsidR="00011D84" w:rsidRPr="00096FF8">
        <w:rPr>
          <w:rFonts w:asciiTheme="minorHAnsi" w:hAnsiTheme="minorHAnsi"/>
        </w:rPr>
        <w:t xml:space="preserve">doi: </w:t>
      </w:r>
      <w:hyperlink r:id="rId30" w:history="1">
        <w:r w:rsidR="00011D84" w:rsidRPr="00096FF8">
          <w:rPr>
            <w:rStyle w:val="Hyperlink"/>
            <w:rFonts w:asciiTheme="minorHAnsi" w:hAnsiTheme="minorHAnsi"/>
          </w:rPr>
          <w:t>http://dx.doi.org/10.1017/S1474746409004886</w:t>
        </w:r>
      </w:hyperlink>
      <w:r w:rsidR="00011D84" w:rsidRPr="00096FF8">
        <w:rPr>
          <w:rFonts w:asciiTheme="minorHAnsi" w:hAnsiTheme="minorHAnsi"/>
        </w:rPr>
        <w:t>.</w:t>
      </w:r>
    </w:p>
    <w:p w14:paraId="4DFF4554" w14:textId="77777777" w:rsidR="000F0E69" w:rsidRPr="00096FF8" w:rsidRDefault="000F0E69" w:rsidP="00490617">
      <w:pPr>
        <w:autoSpaceDE w:val="0"/>
        <w:autoSpaceDN w:val="0"/>
        <w:adjustRightInd w:val="0"/>
        <w:spacing w:line="480" w:lineRule="auto"/>
        <w:rPr>
          <w:rFonts w:asciiTheme="minorHAnsi" w:hAnsiTheme="minorHAnsi" w:cs="Bliss-Regular"/>
          <w:szCs w:val="24"/>
        </w:rPr>
      </w:pPr>
    </w:p>
    <w:p w14:paraId="67EF733F" w14:textId="501FEB8B" w:rsidR="00F6429B" w:rsidRPr="00096FF8" w:rsidRDefault="000D6F1A"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Bliss-Regular"/>
          <w:szCs w:val="24"/>
        </w:rPr>
        <w:t>Sadan, E. (2004)</w:t>
      </w:r>
      <w:r w:rsidR="00011D84"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Regular"/>
          <w:i/>
          <w:szCs w:val="24"/>
        </w:rPr>
        <w:t>Empowerment and Community Planning</w:t>
      </w:r>
      <w:r w:rsidR="00EA43FC" w:rsidRPr="00096FF8">
        <w:rPr>
          <w:rFonts w:asciiTheme="minorHAnsi" w:hAnsiTheme="minorHAnsi" w:cs="Bliss-Regular"/>
          <w:i/>
          <w:szCs w:val="24"/>
        </w:rPr>
        <w:t>.</w:t>
      </w:r>
      <w:r w:rsidRPr="00096FF8">
        <w:rPr>
          <w:rFonts w:asciiTheme="minorHAnsi" w:hAnsiTheme="minorHAnsi" w:cs="Bliss-Regular"/>
          <w:i/>
          <w:szCs w:val="24"/>
        </w:rPr>
        <w:t xml:space="preserve"> </w:t>
      </w:r>
      <w:r w:rsidRPr="00096FF8">
        <w:rPr>
          <w:rFonts w:asciiTheme="minorHAnsi" w:hAnsiTheme="minorHAnsi" w:cs="Bliss-Regular"/>
          <w:szCs w:val="24"/>
        </w:rPr>
        <w:t xml:space="preserve"> E-book edition. </w:t>
      </w:r>
      <w:r w:rsidR="00F76399" w:rsidRPr="00096FF8">
        <w:rPr>
          <w:rFonts w:asciiTheme="minorHAnsi" w:hAnsiTheme="minorHAnsi" w:cs="Bliss-Regular"/>
          <w:szCs w:val="24"/>
        </w:rPr>
        <w:t>Retrieved from</w:t>
      </w:r>
      <w:r w:rsidRPr="00096FF8">
        <w:rPr>
          <w:rFonts w:asciiTheme="minorHAnsi" w:hAnsiTheme="minorHAnsi" w:cs="Bliss-Regular"/>
          <w:szCs w:val="24"/>
        </w:rPr>
        <w:t>:</w:t>
      </w:r>
      <w:r w:rsidR="0020384A" w:rsidRPr="00096FF8">
        <w:rPr>
          <w:rFonts w:asciiTheme="minorHAnsi" w:hAnsiTheme="minorHAnsi" w:cs="Bliss-Regular"/>
          <w:szCs w:val="24"/>
        </w:rPr>
        <w:t xml:space="preserve"> </w:t>
      </w:r>
      <w:hyperlink r:id="rId31" w:history="1">
        <w:r w:rsidR="0020384A" w:rsidRPr="00096FF8">
          <w:rPr>
            <w:rStyle w:val="Hyperlink"/>
            <w:rFonts w:asciiTheme="minorHAnsi" w:hAnsiTheme="minorHAnsi" w:cs="Bliss-Regular"/>
            <w:szCs w:val="24"/>
          </w:rPr>
          <w:t>http://www.mpow.org/elisheva_sadan_empowerment.pdf</w:t>
        </w:r>
      </w:hyperlink>
      <w:r w:rsidR="0020384A" w:rsidRPr="00096FF8">
        <w:rPr>
          <w:rFonts w:asciiTheme="minorHAnsi" w:hAnsiTheme="minorHAnsi" w:cs="Bliss-Regular"/>
          <w:szCs w:val="24"/>
        </w:rPr>
        <w:t xml:space="preserve"> (Accessed </w:t>
      </w:r>
      <w:r w:rsidR="00011D84" w:rsidRPr="00096FF8">
        <w:rPr>
          <w:rFonts w:asciiTheme="minorHAnsi" w:hAnsiTheme="minorHAnsi" w:cs="Bliss-Regular"/>
          <w:szCs w:val="24"/>
        </w:rPr>
        <w:t>14</w:t>
      </w:r>
      <w:r w:rsidR="0020384A" w:rsidRPr="00096FF8">
        <w:rPr>
          <w:rFonts w:asciiTheme="minorHAnsi" w:hAnsiTheme="minorHAnsi" w:cs="Bliss-Regular"/>
          <w:szCs w:val="24"/>
        </w:rPr>
        <w:t>/</w:t>
      </w:r>
      <w:r w:rsidR="00011D84" w:rsidRPr="00096FF8">
        <w:rPr>
          <w:rFonts w:asciiTheme="minorHAnsi" w:hAnsiTheme="minorHAnsi" w:cs="Bliss-Regular"/>
          <w:szCs w:val="24"/>
        </w:rPr>
        <w:t>12</w:t>
      </w:r>
      <w:r w:rsidR="0020384A" w:rsidRPr="00096FF8">
        <w:rPr>
          <w:rFonts w:asciiTheme="minorHAnsi" w:hAnsiTheme="minorHAnsi" w:cs="Bliss-Regular"/>
          <w:szCs w:val="24"/>
        </w:rPr>
        <w:t>/2015)</w:t>
      </w:r>
      <w:r w:rsidRPr="00096FF8">
        <w:rPr>
          <w:rFonts w:asciiTheme="minorHAnsi" w:hAnsiTheme="minorHAnsi" w:cs="Bliss-Regular"/>
          <w:szCs w:val="24"/>
        </w:rPr>
        <w:t xml:space="preserve"> </w:t>
      </w:r>
    </w:p>
    <w:p w14:paraId="6FF3D76F" w14:textId="77777777" w:rsidR="0020384A" w:rsidRPr="00096FF8" w:rsidRDefault="0020384A" w:rsidP="00490617">
      <w:pPr>
        <w:autoSpaceDE w:val="0"/>
        <w:autoSpaceDN w:val="0"/>
        <w:adjustRightInd w:val="0"/>
        <w:spacing w:line="480" w:lineRule="auto"/>
        <w:rPr>
          <w:rFonts w:asciiTheme="minorHAnsi" w:hAnsiTheme="minorHAnsi" w:cs="Arial"/>
          <w:szCs w:val="24"/>
        </w:rPr>
      </w:pPr>
    </w:p>
    <w:p w14:paraId="17C4E2BA" w14:textId="45E64056" w:rsidR="00F6429B" w:rsidRPr="00096FF8" w:rsidRDefault="00F6429B"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Arial"/>
          <w:szCs w:val="24"/>
        </w:rPr>
        <w:t>Schwehr, B. (2010)</w:t>
      </w:r>
      <w:r w:rsidR="00EA43FC" w:rsidRPr="00096FF8">
        <w:rPr>
          <w:rFonts w:asciiTheme="minorHAnsi" w:hAnsiTheme="minorHAnsi" w:cs="Arial"/>
          <w:szCs w:val="24"/>
        </w:rPr>
        <w:t xml:space="preserve">. </w:t>
      </w:r>
      <w:r w:rsidRPr="00096FF8">
        <w:rPr>
          <w:rFonts w:asciiTheme="minorHAnsi" w:hAnsiTheme="minorHAnsi" w:cs="Bliss-Regular"/>
          <w:szCs w:val="24"/>
        </w:rPr>
        <w:t>S</w:t>
      </w:r>
      <w:r w:rsidRPr="00096FF8">
        <w:rPr>
          <w:rFonts w:asciiTheme="minorHAnsi" w:hAnsiTheme="minorHAnsi" w:cs="Arial"/>
          <w:szCs w:val="24"/>
        </w:rPr>
        <w:t>afeguarding and personalisation</w:t>
      </w:r>
      <w:r w:rsidR="00EA43FC" w:rsidRPr="00096FF8">
        <w:rPr>
          <w:rFonts w:asciiTheme="minorHAnsi" w:hAnsiTheme="minorHAnsi" w:cs="Arial"/>
          <w:szCs w:val="24"/>
        </w:rPr>
        <w:t>.</w:t>
      </w:r>
      <w:r w:rsidRPr="00096FF8">
        <w:rPr>
          <w:rFonts w:asciiTheme="minorHAnsi" w:hAnsiTheme="minorHAnsi" w:cs="Bliss-Regular"/>
          <w:szCs w:val="24"/>
        </w:rPr>
        <w:t xml:space="preserve"> </w:t>
      </w:r>
      <w:r w:rsidRPr="00096FF8">
        <w:rPr>
          <w:rFonts w:asciiTheme="minorHAnsi" w:hAnsiTheme="minorHAnsi" w:cs="Bliss-Italic"/>
          <w:i/>
          <w:iCs/>
          <w:szCs w:val="24"/>
        </w:rPr>
        <w:t>Journal of Adult Protection</w:t>
      </w:r>
      <w:r w:rsidRPr="00096FF8">
        <w:rPr>
          <w:rFonts w:asciiTheme="minorHAnsi" w:hAnsiTheme="minorHAnsi" w:cs="Bliss-Regular"/>
          <w:szCs w:val="24"/>
        </w:rPr>
        <w:t>, 12</w:t>
      </w:r>
      <w:r w:rsidRPr="00096FF8">
        <w:rPr>
          <w:rFonts w:asciiTheme="minorHAnsi" w:hAnsiTheme="minorHAnsi" w:cs="Arial"/>
          <w:szCs w:val="24"/>
        </w:rPr>
        <w:t>(2)</w:t>
      </w:r>
      <w:r w:rsidR="00EA43FC"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Bliss-Regular"/>
          <w:szCs w:val="24"/>
        </w:rPr>
        <w:t>43–50.</w:t>
      </w:r>
      <w:r w:rsidR="00651991" w:rsidRPr="00096FF8">
        <w:rPr>
          <w:rFonts w:asciiTheme="minorHAnsi" w:hAnsiTheme="minorHAnsi" w:cs="Bliss-Regular"/>
          <w:szCs w:val="24"/>
        </w:rPr>
        <w:t xml:space="preserve"> </w:t>
      </w:r>
      <w:r w:rsidR="00011D84" w:rsidRPr="00096FF8">
        <w:rPr>
          <w:rFonts w:asciiTheme="minorHAnsi" w:hAnsiTheme="minorHAnsi" w:cs="Bliss-Regular"/>
          <w:szCs w:val="24"/>
        </w:rPr>
        <w:t>doi</w:t>
      </w:r>
      <w:r w:rsidR="00651991" w:rsidRPr="00096FF8">
        <w:rPr>
          <w:rFonts w:asciiTheme="minorHAnsi" w:hAnsiTheme="minorHAnsi" w:cs="Bliss-Regular"/>
          <w:szCs w:val="24"/>
        </w:rPr>
        <w:t xml:space="preserve"> </w:t>
      </w:r>
      <w:hyperlink r:id="rId32" w:history="1">
        <w:r w:rsidR="002A470F" w:rsidRPr="00096FF8">
          <w:rPr>
            <w:rStyle w:val="Hyperlink"/>
            <w:rFonts w:asciiTheme="minorHAnsi" w:hAnsiTheme="minorHAnsi" w:cs="Bliss-Regular"/>
            <w:szCs w:val="24"/>
          </w:rPr>
          <w:t>http://dx.doi.org/10.5042/jap.2010.0295</w:t>
        </w:r>
      </w:hyperlink>
      <w:r w:rsidR="00651991" w:rsidRPr="00096FF8">
        <w:rPr>
          <w:rFonts w:asciiTheme="minorHAnsi" w:hAnsiTheme="minorHAnsi" w:cs="Bliss-Regular"/>
          <w:szCs w:val="24"/>
        </w:rPr>
        <w:t>.</w:t>
      </w:r>
    </w:p>
    <w:p w14:paraId="7D0F9F5B" w14:textId="77777777" w:rsidR="002A470F" w:rsidRPr="00096FF8" w:rsidRDefault="002A470F" w:rsidP="00490617">
      <w:pPr>
        <w:autoSpaceDE w:val="0"/>
        <w:autoSpaceDN w:val="0"/>
        <w:adjustRightInd w:val="0"/>
        <w:spacing w:line="480" w:lineRule="auto"/>
        <w:rPr>
          <w:rFonts w:asciiTheme="minorHAnsi" w:hAnsiTheme="minorHAnsi" w:cs="Bliss-Regular"/>
          <w:szCs w:val="24"/>
        </w:rPr>
      </w:pPr>
    </w:p>
    <w:p w14:paraId="7F4E61EC" w14:textId="77777777" w:rsidR="002A470F" w:rsidRPr="00096FF8" w:rsidRDefault="002A470F" w:rsidP="002A470F">
      <w:pPr>
        <w:spacing w:line="480" w:lineRule="auto"/>
        <w:rPr>
          <w:rFonts w:asciiTheme="minorHAnsi" w:hAnsiTheme="minorHAnsi" w:cs="Bliss-Regular"/>
          <w:szCs w:val="24"/>
        </w:rPr>
      </w:pPr>
      <w:r w:rsidRPr="00096FF8">
        <w:rPr>
          <w:rFonts w:asciiTheme="minorHAnsi" w:hAnsiTheme="minorHAnsi" w:cs="Bliss-Regular"/>
          <w:szCs w:val="24"/>
        </w:rPr>
        <w:t xml:space="preserve">SCIE (2010). </w:t>
      </w:r>
      <w:r w:rsidRPr="00096FF8">
        <w:rPr>
          <w:rFonts w:asciiTheme="minorHAnsi" w:hAnsiTheme="minorHAnsi" w:cs="Bliss-Regular"/>
          <w:i/>
          <w:szCs w:val="24"/>
        </w:rPr>
        <w:t xml:space="preserve">At a glance 33: Personalisation briefing: Personalisation and mental capacity. </w:t>
      </w:r>
      <w:r w:rsidRPr="00096FF8">
        <w:rPr>
          <w:rFonts w:asciiTheme="minorHAnsi" w:hAnsiTheme="minorHAnsi" w:cs="Bliss-Regular"/>
          <w:szCs w:val="24"/>
        </w:rPr>
        <w:t xml:space="preserve">London: Social Care Institute for Excellence. Retrieved from: </w:t>
      </w:r>
      <w:hyperlink r:id="rId33" w:history="1">
        <w:r w:rsidRPr="00096FF8">
          <w:rPr>
            <w:rStyle w:val="Hyperlink"/>
            <w:rFonts w:asciiTheme="minorHAnsi" w:hAnsiTheme="minorHAnsi" w:cs="Bliss-Regular"/>
            <w:szCs w:val="24"/>
          </w:rPr>
          <w:t>http://www.scie.org.uk/publications/ataglance/ataglance33.asp</w:t>
        </w:r>
      </w:hyperlink>
      <w:r w:rsidRPr="00096FF8">
        <w:rPr>
          <w:rFonts w:asciiTheme="minorHAnsi" w:hAnsiTheme="minorHAnsi" w:cs="Bliss-Regular"/>
          <w:szCs w:val="24"/>
        </w:rPr>
        <w:t xml:space="preserve"> (Accessed 14/12/2015).</w:t>
      </w:r>
    </w:p>
    <w:p w14:paraId="560E57E2" w14:textId="77777777" w:rsidR="002A470F" w:rsidRPr="00096FF8" w:rsidRDefault="002A470F" w:rsidP="00490617">
      <w:pPr>
        <w:autoSpaceDE w:val="0"/>
        <w:autoSpaceDN w:val="0"/>
        <w:adjustRightInd w:val="0"/>
        <w:spacing w:line="480" w:lineRule="auto"/>
        <w:rPr>
          <w:rFonts w:asciiTheme="minorHAnsi" w:hAnsiTheme="minorHAnsi" w:cs="Bliss-Regular"/>
          <w:szCs w:val="24"/>
        </w:rPr>
      </w:pPr>
    </w:p>
    <w:p w14:paraId="00B19833" w14:textId="1A10BFDA" w:rsidR="00651991" w:rsidRPr="00096FF8" w:rsidRDefault="000A4AB5"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Bliss-Regular"/>
          <w:szCs w:val="24"/>
        </w:rPr>
        <w:t>Scourfield, P. (2007)</w:t>
      </w:r>
      <w:r w:rsidR="00EA43FC" w:rsidRPr="00096FF8">
        <w:rPr>
          <w:rFonts w:asciiTheme="minorHAnsi" w:hAnsiTheme="minorHAnsi" w:cs="Bliss-Regular"/>
          <w:szCs w:val="24"/>
        </w:rPr>
        <w:t xml:space="preserve">. </w:t>
      </w:r>
      <w:r w:rsidRPr="00096FF8">
        <w:rPr>
          <w:rFonts w:asciiTheme="minorHAnsi" w:hAnsiTheme="minorHAnsi" w:cs="Bliss-Regular"/>
          <w:szCs w:val="24"/>
        </w:rPr>
        <w:t>Social Care and the Modern Citizen: Client, Consumer, Service User, Manager and Entrepreneur</w:t>
      </w:r>
      <w:r w:rsidR="00EA43FC"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Regular"/>
          <w:i/>
          <w:szCs w:val="24"/>
        </w:rPr>
        <w:t>British Journal of Social Work</w:t>
      </w:r>
      <w:r w:rsidR="00014F1C" w:rsidRPr="00096FF8">
        <w:rPr>
          <w:rFonts w:asciiTheme="minorHAnsi" w:hAnsiTheme="minorHAnsi" w:cs="Bliss-Regular"/>
          <w:i/>
          <w:szCs w:val="24"/>
        </w:rPr>
        <w:t>,</w:t>
      </w:r>
      <w:r w:rsidRPr="00096FF8">
        <w:rPr>
          <w:rFonts w:asciiTheme="minorHAnsi" w:hAnsiTheme="minorHAnsi" w:cs="Bliss-Regular"/>
          <w:szCs w:val="24"/>
        </w:rPr>
        <w:t xml:space="preserve"> 37(</w:t>
      </w:r>
      <w:r w:rsidR="00D50FCE" w:rsidRPr="00096FF8">
        <w:rPr>
          <w:rFonts w:asciiTheme="minorHAnsi" w:hAnsiTheme="minorHAnsi" w:cs="Bliss-Regular"/>
          <w:szCs w:val="24"/>
        </w:rPr>
        <w:t>1</w:t>
      </w:r>
      <w:r w:rsidRPr="00096FF8">
        <w:rPr>
          <w:rFonts w:asciiTheme="minorHAnsi" w:hAnsiTheme="minorHAnsi" w:cs="Bliss-Regular"/>
          <w:szCs w:val="24"/>
        </w:rPr>
        <w:t>), 107–122</w:t>
      </w:r>
      <w:r w:rsidR="008F1EC8" w:rsidRPr="00096FF8">
        <w:rPr>
          <w:rFonts w:asciiTheme="minorHAnsi" w:hAnsiTheme="minorHAnsi" w:cs="Bliss-Regular"/>
          <w:szCs w:val="24"/>
        </w:rPr>
        <w:t>.</w:t>
      </w:r>
    </w:p>
    <w:p w14:paraId="215273EE" w14:textId="2D3EF1FE" w:rsidR="000A4AB5" w:rsidRPr="00096FF8" w:rsidRDefault="001D3189" w:rsidP="00490617">
      <w:pPr>
        <w:autoSpaceDE w:val="0"/>
        <w:autoSpaceDN w:val="0"/>
        <w:adjustRightInd w:val="0"/>
        <w:spacing w:line="480" w:lineRule="auto"/>
        <w:rPr>
          <w:rFonts w:asciiTheme="minorHAnsi" w:hAnsiTheme="minorHAnsi" w:cs="Bliss-Regular"/>
          <w:i/>
          <w:szCs w:val="24"/>
        </w:rPr>
      </w:pPr>
      <w:r w:rsidRPr="00096FF8">
        <w:rPr>
          <w:rFonts w:asciiTheme="minorHAnsi" w:hAnsiTheme="minorHAnsi" w:cs="Bliss-Regular"/>
          <w:szCs w:val="24"/>
        </w:rPr>
        <w:lastRenderedPageBreak/>
        <w:t>doi</w:t>
      </w:r>
      <w:r w:rsidR="00651991" w:rsidRPr="00096FF8">
        <w:rPr>
          <w:rFonts w:asciiTheme="minorHAnsi" w:hAnsiTheme="minorHAnsi" w:cs="Bliss-Regular"/>
          <w:szCs w:val="24"/>
        </w:rPr>
        <w:t>: 10.1093/bjsw/bch346.</w:t>
      </w:r>
    </w:p>
    <w:p w14:paraId="7CD27C0C" w14:textId="77777777" w:rsidR="002A470F" w:rsidRPr="00096FF8" w:rsidRDefault="002A470F" w:rsidP="00490617">
      <w:pPr>
        <w:spacing w:line="480" w:lineRule="auto"/>
        <w:rPr>
          <w:rFonts w:asciiTheme="minorHAnsi" w:hAnsiTheme="minorHAnsi" w:cs="Bliss-Regular"/>
          <w:szCs w:val="24"/>
        </w:rPr>
      </w:pPr>
    </w:p>
    <w:p w14:paraId="2C2C3CDB" w14:textId="0E3E9283" w:rsidR="004C59CD" w:rsidRPr="00096FF8" w:rsidRDefault="004C59CD" w:rsidP="00490617">
      <w:pPr>
        <w:spacing w:line="480" w:lineRule="auto"/>
        <w:rPr>
          <w:rFonts w:asciiTheme="minorHAnsi" w:hAnsiTheme="minorHAnsi" w:cs="Bliss-Regular"/>
          <w:szCs w:val="24"/>
        </w:rPr>
      </w:pPr>
      <w:r w:rsidRPr="00096FF8">
        <w:rPr>
          <w:rFonts w:asciiTheme="minorHAnsi" w:hAnsiTheme="minorHAnsi" w:cs="Bliss-Regular"/>
          <w:szCs w:val="24"/>
        </w:rPr>
        <w:t>Slasberg, C. Beresford, P. (2015). Building on the original strengths</w:t>
      </w:r>
      <w:r w:rsidR="00014F1C" w:rsidRPr="00096FF8">
        <w:rPr>
          <w:rFonts w:asciiTheme="minorHAnsi" w:hAnsiTheme="minorHAnsi" w:cs="Bliss-Regular"/>
          <w:szCs w:val="24"/>
        </w:rPr>
        <w:t xml:space="preserve"> </w:t>
      </w:r>
      <w:r w:rsidRPr="00096FF8">
        <w:rPr>
          <w:rFonts w:asciiTheme="minorHAnsi" w:hAnsiTheme="minorHAnsi" w:cs="Bliss-Regular"/>
          <w:szCs w:val="24"/>
        </w:rPr>
        <w:t xml:space="preserve">of direct payments to create a better future for social care. </w:t>
      </w:r>
      <w:r w:rsidRPr="00096FF8">
        <w:rPr>
          <w:rFonts w:asciiTheme="minorHAnsi" w:hAnsiTheme="minorHAnsi" w:cs="Bliss-Regular"/>
          <w:i/>
          <w:szCs w:val="24"/>
        </w:rPr>
        <w:t>Disability &amp; Society</w:t>
      </w:r>
      <w:r w:rsidRPr="00096FF8">
        <w:rPr>
          <w:rFonts w:asciiTheme="minorHAnsi" w:hAnsiTheme="minorHAnsi" w:cs="Bliss-Regular"/>
          <w:szCs w:val="24"/>
        </w:rPr>
        <w:t xml:space="preserve">, </w:t>
      </w:r>
      <w:r w:rsidR="00EA43FC" w:rsidRPr="00096FF8">
        <w:rPr>
          <w:rFonts w:asciiTheme="minorHAnsi" w:hAnsiTheme="minorHAnsi" w:cs="Bliss-Regular"/>
          <w:szCs w:val="24"/>
        </w:rPr>
        <w:t xml:space="preserve">30(3), 479-483. </w:t>
      </w:r>
      <w:r w:rsidR="001D3189" w:rsidRPr="00096FF8">
        <w:rPr>
          <w:rFonts w:asciiTheme="minorHAnsi" w:hAnsiTheme="minorHAnsi" w:cs="Bliss-Regular"/>
          <w:szCs w:val="24"/>
        </w:rPr>
        <w:t>doi</w:t>
      </w:r>
      <w:r w:rsidRPr="00096FF8">
        <w:rPr>
          <w:rFonts w:asciiTheme="minorHAnsi" w:hAnsiTheme="minorHAnsi" w:cs="Bliss-Regular"/>
          <w:szCs w:val="24"/>
        </w:rPr>
        <w:t>:</w:t>
      </w:r>
      <w:r w:rsidR="00651991" w:rsidRPr="00096FF8">
        <w:rPr>
          <w:rFonts w:asciiTheme="minorHAnsi" w:hAnsiTheme="minorHAnsi" w:cs="Bliss-Regular"/>
          <w:szCs w:val="24"/>
        </w:rPr>
        <w:t xml:space="preserve"> </w:t>
      </w:r>
      <w:r w:rsidRPr="00096FF8">
        <w:rPr>
          <w:rFonts w:asciiTheme="minorHAnsi" w:hAnsiTheme="minorHAnsi" w:cs="Bliss-Regular"/>
          <w:szCs w:val="24"/>
        </w:rPr>
        <w:t>10.1080/09687599.2015.1007672</w:t>
      </w:r>
      <w:r w:rsidR="00651991" w:rsidRPr="00096FF8">
        <w:rPr>
          <w:rFonts w:asciiTheme="minorHAnsi" w:hAnsiTheme="minorHAnsi" w:cs="Bliss-Regular"/>
          <w:szCs w:val="24"/>
        </w:rPr>
        <w:t>.</w:t>
      </w:r>
    </w:p>
    <w:p w14:paraId="38276856" w14:textId="77777777" w:rsidR="004C59CD" w:rsidRPr="00096FF8" w:rsidRDefault="004C59CD" w:rsidP="00490617">
      <w:pPr>
        <w:spacing w:line="480" w:lineRule="auto"/>
        <w:rPr>
          <w:rFonts w:asciiTheme="minorHAnsi" w:hAnsiTheme="minorHAnsi" w:cs="Bliss-Regular"/>
          <w:szCs w:val="24"/>
        </w:rPr>
      </w:pPr>
    </w:p>
    <w:p w14:paraId="29014CA0" w14:textId="10068FFB" w:rsidR="000D6F1A" w:rsidRDefault="000D6F1A" w:rsidP="00490617">
      <w:pPr>
        <w:spacing w:line="480" w:lineRule="auto"/>
        <w:rPr>
          <w:rFonts w:asciiTheme="minorHAnsi" w:hAnsiTheme="minorHAnsi"/>
        </w:rPr>
      </w:pPr>
      <w:r w:rsidRPr="00096FF8">
        <w:rPr>
          <w:rFonts w:asciiTheme="minorHAnsi" w:hAnsiTheme="minorHAnsi"/>
        </w:rPr>
        <w:t>Stevens, M., Glendinning, C., Jacobs, S., Moran, N., Challis, D., Manthorpe, J., Fernández, J-L., Jones, K., Knapp, M., Netten, A., Wilberforce, M. (2011)</w:t>
      </w:r>
      <w:r w:rsidR="00EA43FC" w:rsidRPr="00096FF8">
        <w:rPr>
          <w:rFonts w:asciiTheme="minorHAnsi" w:hAnsiTheme="minorHAnsi"/>
        </w:rPr>
        <w:t xml:space="preserve">. </w:t>
      </w:r>
      <w:r w:rsidRPr="00096FF8">
        <w:rPr>
          <w:rFonts w:asciiTheme="minorHAnsi" w:hAnsiTheme="minorHAnsi"/>
        </w:rPr>
        <w:t>Assessing the role of increasing choice in English social care services</w:t>
      </w:r>
      <w:r w:rsidR="00EA43FC" w:rsidRPr="00096FF8">
        <w:rPr>
          <w:rFonts w:asciiTheme="minorHAnsi" w:hAnsiTheme="minorHAnsi"/>
        </w:rPr>
        <w:t>.</w:t>
      </w:r>
      <w:r w:rsidRPr="00096FF8">
        <w:rPr>
          <w:rFonts w:asciiTheme="minorHAnsi" w:hAnsiTheme="minorHAnsi"/>
        </w:rPr>
        <w:t xml:space="preserve"> </w:t>
      </w:r>
      <w:r w:rsidRPr="00096FF8">
        <w:rPr>
          <w:rFonts w:asciiTheme="minorHAnsi" w:hAnsiTheme="minorHAnsi"/>
          <w:i/>
          <w:iCs/>
        </w:rPr>
        <w:t>Journal of Social Policy</w:t>
      </w:r>
      <w:r w:rsidR="00EA43FC" w:rsidRPr="00096FF8">
        <w:rPr>
          <w:rFonts w:asciiTheme="minorHAnsi" w:hAnsiTheme="minorHAnsi"/>
          <w:i/>
          <w:iCs/>
        </w:rPr>
        <w:t>,</w:t>
      </w:r>
      <w:r w:rsidRPr="00096FF8">
        <w:rPr>
          <w:rFonts w:asciiTheme="minorHAnsi" w:hAnsiTheme="minorHAnsi"/>
          <w:i/>
          <w:iCs/>
        </w:rPr>
        <w:t xml:space="preserve"> </w:t>
      </w:r>
      <w:r w:rsidRPr="00096FF8">
        <w:rPr>
          <w:rFonts w:asciiTheme="minorHAnsi" w:hAnsiTheme="minorHAnsi"/>
        </w:rPr>
        <w:t xml:space="preserve">40(2), 257–274. </w:t>
      </w:r>
      <w:r w:rsidR="001D3189" w:rsidRPr="00096FF8">
        <w:rPr>
          <w:rFonts w:asciiTheme="minorHAnsi" w:hAnsiTheme="minorHAnsi"/>
        </w:rPr>
        <w:t>doi</w:t>
      </w:r>
      <w:r w:rsidRPr="00096FF8">
        <w:rPr>
          <w:rFonts w:asciiTheme="minorHAnsi" w:hAnsiTheme="minorHAnsi"/>
        </w:rPr>
        <w:t>:10.1017/S004727941000111</w:t>
      </w:r>
    </w:p>
    <w:p w14:paraId="41EB8DA0" w14:textId="77777777" w:rsidR="00253754" w:rsidRPr="00096FF8" w:rsidRDefault="00253754" w:rsidP="00490617">
      <w:pPr>
        <w:spacing w:line="480" w:lineRule="auto"/>
        <w:rPr>
          <w:rFonts w:asciiTheme="minorHAnsi" w:hAnsiTheme="minorHAnsi" w:cs="Bliss-Regular"/>
          <w:szCs w:val="24"/>
        </w:rPr>
      </w:pPr>
    </w:p>
    <w:p w14:paraId="31E556DD" w14:textId="291AEA5C" w:rsidR="000D6F1A" w:rsidRDefault="00253754" w:rsidP="00490617">
      <w:pPr>
        <w:spacing w:line="480" w:lineRule="auto"/>
        <w:rPr>
          <w:rFonts w:asciiTheme="minorHAnsi" w:hAnsiTheme="minorHAnsi" w:cs="Bliss-Regular"/>
          <w:szCs w:val="24"/>
        </w:rPr>
      </w:pPr>
      <w:r w:rsidRPr="00253754">
        <w:rPr>
          <w:rFonts w:asciiTheme="minorHAnsi" w:hAnsiTheme="minorHAnsi" w:cs="Bliss-Regular"/>
          <w:szCs w:val="24"/>
        </w:rPr>
        <w:t xml:space="preserve">Stevens, M., Manthorpe, J., Hussein, S., Ismail, M., Woolham, J., Samsi, K., Baxter, K. &amp; Aspinal, F. (2014) 'Risk, Safeguarding and Personal Budgets: exploring relationships and identifying good practice', London: NIHR School for Social Care Research. Available from: </w:t>
      </w:r>
      <w:hyperlink r:id="rId34" w:history="1">
        <w:r w:rsidRPr="008012D8">
          <w:rPr>
            <w:rStyle w:val="Hyperlink"/>
            <w:rFonts w:asciiTheme="minorHAnsi" w:hAnsiTheme="minorHAnsi" w:cs="Bliss-Regular"/>
            <w:szCs w:val="24"/>
          </w:rPr>
          <w:t>http://www.kcl.ac.uk/sspp/policy-institute/scwru/pubs/2014/reports/Stevens-et-al-2014-Risk-Research-Findings.pdf</w:t>
        </w:r>
      </w:hyperlink>
      <w:r>
        <w:rPr>
          <w:rFonts w:asciiTheme="minorHAnsi" w:hAnsiTheme="minorHAnsi" w:cs="Bliss-Regular"/>
          <w:szCs w:val="24"/>
        </w:rPr>
        <w:t xml:space="preserve"> </w:t>
      </w:r>
      <w:r w:rsidRPr="00253754">
        <w:rPr>
          <w:rFonts w:asciiTheme="minorHAnsi" w:hAnsiTheme="minorHAnsi" w:cs="Bliss-Regular"/>
          <w:szCs w:val="24"/>
        </w:rPr>
        <w:t xml:space="preserve"> (Accessed </w:t>
      </w:r>
      <w:r>
        <w:rPr>
          <w:rFonts w:asciiTheme="minorHAnsi" w:hAnsiTheme="minorHAnsi" w:cs="Bliss-Regular"/>
          <w:szCs w:val="24"/>
        </w:rPr>
        <w:t>01</w:t>
      </w:r>
      <w:r w:rsidRPr="00253754">
        <w:rPr>
          <w:rFonts w:asciiTheme="minorHAnsi" w:hAnsiTheme="minorHAnsi" w:cs="Bliss-Regular"/>
          <w:szCs w:val="24"/>
        </w:rPr>
        <w:t>/</w:t>
      </w:r>
      <w:r>
        <w:rPr>
          <w:rFonts w:asciiTheme="minorHAnsi" w:hAnsiTheme="minorHAnsi" w:cs="Bliss-Regular"/>
          <w:szCs w:val="24"/>
        </w:rPr>
        <w:t>03</w:t>
      </w:r>
      <w:r w:rsidRPr="00253754">
        <w:rPr>
          <w:rFonts w:asciiTheme="minorHAnsi" w:hAnsiTheme="minorHAnsi" w:cs="Bliss-Regular"/>
          <w:szCs w:val="24"/>
        </w:rPr>
        <w:t>/201</w:t>
      </w:r>
      <w:r>
        <w:rPr>
          <w:rFonts w:asciiTheme="minorHAnsi" w:hAnsiTheme="minorHAnsi" w:cs="Bliss-Regular"/>
          <w:szCs w:val="24"/>
        </w:rPr>
        <w:t>6</w:t>
      </w:r>
      <w:r w:rsidRPr="00253754">
        <w:rPr>
          <w:rFonts w:asciiTheme="minorHAnsi" w:hAnsiTheme="minorHAnsi" w:cs="Bliss-Regular"/>
          <w:szCs w:val="24"/>
        </w:rPr>
        <w:t>).</w:t>
      </w:r>
    </w:p>
    <w:p w14:paraId="2D010ADC" w14:textId="77777777" w:rsidR="00253754" w:rsidRPr="00096FF8" w:rsidRDefault="00253754" w:rsidP="00490617">
      <w:pPr>
        <w:spacing w:line="480" w:lineRule="auto"/>
        <w:rPr>
          <w:rFonts w:asciiTheme="minorHAnsi" w:hAnsiTheme="minorHAnsi" w:cs="Bliss-Regular"/>
          <w:szCs w:val="24"/>
        </w:rPr>
      </w:pPr>
    </w:p>
    <w:p w14:paraId="05149DA0" w14:textId="16BCE612" w:rsidR="001D3189" w:rsidRPr="00096FF8" w:rsidRDefault="00B21898" w:rsidP="00014F1C">
      <w:pPr>
        <w:spacing w:line="480" w:lineRule="auto"/>
        <w:rPr>
          <w:rFonts w:asciiTheme="minorHAnsi" w:hAnsiTheme="minorHAnsi"/>
        </w:rPr>
      </w:pPr>
      <w:r w:rsidRPr="00096FF8">
        <w:rPr>
          <w:rFonts w:asciiTheme="minorHAnsi" w:hAnsiTheme="minorHAnsi"/>
        </w:rPr>
        <w:t xml:space="preserve">Stevenson, </w:t>
      </w:r>
      <w:r w:rsidR="001D3189" w:rsidRPr="00096FF8">
        <w:rPr>
          <w:rFonts w:asciiTheme="minorHAnsi" w:hAnsiTheme="minorHAnsi"/>
        </w:rPr>
        <w:t>O. (</w:t>
      </w:r>
      <w:r w:rsidRPr="00096FF8">
        <w:rPr>
          <w:rFonts w:asciiTheme="minorHAnsi" w:hAnsiTheme="minorHAnsi"/>
        </w:rPr>
        <w:t>1993).</w:t>
      </w:r>
      <w:r w:rsidR="00014F1C" w:rsidRPr="00096FF8">
        <w:rPr>
          <w:rFonts w:asciiTheme="minorHAnsi" w:hAnsiTheme="minorHAnsi"/>
        </w:rPr>
        <w:t xml:space="preserve">  Informal Social Care and its Implications for Formal Care. </w:t>
      </w:r>
      <w:r w:rsidR="001D3189" w:rsidRPr="00096FF8">
        <w:rPr>
          <w:rFonts w:asciiTheme="minorHAnsi" w:hAnsiTheme="minorHAnsi"/>
        </w:rPr>
        <w:t xml:space="preserve">In Hobman D (Ed.), </w:t>
      </w:r>
      <w:r w:rsidR="001D3189" w:rsidRPr="00461DF3">
        <w:rPr>
          <w:rFonts w:asciiTheme="minorHAnsi" w:hAnsiTheme="minorHAnsi"/>
          <w:i/>
        </w:rPr>
        <w:t>Uniting generations</w:t>
      </w:r>
      <w:r w:rsidR="001D3189" w:rsidRPr="00096FF8">
        <w:rPr>
          <w:rFonts w:asciiTheme="minorHAnsi" w:hAnsiTheme="minorHAnsi"/>
        </w:rPr>
        <w:t>. (pp 69 – 83). London: Age Concern. Retrieved from:</w:t>
      </w:r>
    </w:p>
    <w:p w14:paraId="74649EB2" w14:textId="7F635A02" w:rsidR="00B21898" w:rsidRPr="00096FF8" w:rsidRDefault="00531C47" w:rsidP="00014F1C">
      <w:pPr>
        <w:spacing w:line="480" w:lineRule="auto"/>
        <w:rPr>
          <w:rFonts w:asciiTheme="minorHAnsi" w:hAnsiTheme="minorHAnsi" w:cs="Bliss-Regular"/>
          <w:szCs w:val="24"/>
        </w:rPr>
      </w:pPr>
      <w:hyperlink r:id="rId35" w:history="1">
        <w:r w:rsidR="00014F1C" w:rsidRPr="00096FF8">
          <w:rPr>
            <w:rStyle w:val="Hyperlink"/>
            <w:rFonts w:asciiTheme="minorHAnsi" w:hAnsiTheme="minorHAnsi"/>
          </w:rPr>
          <w:t>http://static1.1.sqspcdn.com/static/f/280263/4016350/1251808272527/Informal+Social+Care+and+its+Implications+for+Form</w:t>
        </w:r>
      </w:hyperlink>
      <w:r w:rsidR="00014F1C" w:rsidRPr="00096FF8">
        <w:rPr>
          <w:rFonts w:asciiTheme="minorHAnsi" w:hAnsiTheme="minorHAnsi"/>
        </w:rPr>
        <w:t xml:space="preserve"> </w:t>
      </w:r>
      <w:r w:rsidR="001D3189" w:rsidRPr="00096FF8">
        <w:rPr>
          <w:rFonts w:asciiTheme="minorHAnsi" w:hAnsiTheme="minorHAnsi"/>
        </w:rPr>
        <w:t>(Accessed 14/12/2015).</w:t>
      </w:r>
    </w:p>
    <w:p w14:paraId="53290874" w14:textId="77777777" w:rsidR="00B21898" w:rsidRPr="00096FF8" w:rsidRDefault="00B21898" w:rsidP="00490617">
      <w:pPr>
        <w:spacing w:line="480" w:lineRule="auto"/>
        <w:rPr>
          <w:rFonts w:asciiTheme="minorHAnsi" w:hAnsiTheme="minorHAnsi" w:cs="Bliss-Regular"/>
          <w:szCs w:val="24"/>
        </w:rPr>
      </w:pPr>
    </w:p>
    <w:p w14:paraId="1D2AEDA1" w14:textId="62365467" w:rsidR="00F6429B" w:rsidRPr="00096FF8" w:rsidRDefault="00F6429B" w:rsidP="00490617">
      <w:pPr>
        <w:spacing w:line="480" w:lineRule="auto"/>
        <w:rPr>
          <w:rFonts w:asciiTheme="minorHAnsi" w:hAnsiTheme="minorHAnsi" w:cs="Bliss-Regular"/>
          <w:szCs w:val="24"/>
        </w:rPr>
      </w:pPr>
      <w:r w:rsidRPr="00096FF8">
        <w:rPr>
          <w:rFonts w:asciiTheme="minorHAnsi" w:hAnsiTheme="minorHAnsi" w:cs="Bliss-Regular"/>
          <w:szCs w:val="24"/>
        </w:rPr>
        <w:lastRenderedPageBreak/>
        <w:t>Tyson, A. (2010)</w:t>
      </w:r>
      <w:r w:rsidR="00EA43FC" w:rsidRPr="00096FF8">
        <w:rPr>
          <w:rFonts w:asciiTheme="minorHAnsi" w:hAnsiTheme="minorHAnsi" w:cs="Bliss-Regular"/>
          <w:szCs w:val="24"/>
        </w:rPr>
        <w:t>.</w:t>
      </w:r>
      <w:r w:rsidRPr="00096FF8">
        <w:rPr>
          <w:rFonts w:asciiTheme="minorHAnsi" w:hAnsiTheme="minorHAnsi" w:cs="Bliss-Italic"/>
          <w:i/>
          <w:iCs/>
          <w:szCs w:val="24"/>
        </w:rPr>
        <w:t xml:space="preserve"> Self-directed support in Hartlepool 2006–2009</w:t>
      </w:r>
      <w:r w:rsidR="00EA43FC" w:rsidRPr="00096FF8">
        <w:rPr>
          <w:rFonts w:asciiTheme="minorHAnsi" w:hAnsiTheme="minorHAnsi" w:cs="Bliss-Italic"/>
          <w:i/>
          <w:iCs/>
          <w:szCs w:val="24"/>
        </w:rPr>
        <w:t>.</w:t>
      </w:r>
      <w:r w:rsidRPr="00096FF8">
        <w:rPr>
          <w:rFonts w:asciiTheme="minorHAnsi" w:hAnsiTheme="minorHAnsi" w:cs="Bliss-Regular"/>
          <w:szCs w:val="24"/>
        </w:rPr>
        <w:t xml:space="preserve"> Hartlepool: In </w:t>
      </w:r>
      <w:r w:rsidRPr="00096FF8">
        <w:rPr>
          <w:rFonts w:asciiTheme="minorHAnsi" w:hAnsiTheme="minorHAnsi" w:cs="Arial"/>
          <w:szCs w:val="24"/>
        </w:rPr>
        <w:t>Control.</w:t>
      </w:r>
      <w:r w:rsidR="00073F29" w:rsidRPr="00096FF8">
        <w:rPr>
          <w:rFonts w:asciiTheme="minorHAnsi" w:hAnsiTheme="minorHAnsi" w:cs="Arial"/>
          <w:szCs w:val="24"/>
        </w:rPr>
        <w:t xml:space="preserve"> </w:t>
      </w:r>
      <w:r w:rsidR="00F76399" w:rsidRPr="00096FF8">
        <w:rPr>
          <w:rFonts w:asciiTheme="minorHAnsi" w:hAnsiTheme="minorHAnsi" w:cs="Arial"/>
          <w:szCs w:val="24"/>
        </w:rPr>
        <w:t>Retrieved from</w:t>
      </w:r>
      <w:r w:rsidR="00073F29" w:rsidRPr="00096FF8">
        <w:rPr>
          <w:rFonts w:asciiTheme="minorHAnsi" w:hAnsiTheme="minorHAnsi" w:cs="Arial"/>
          <w:szCs w:val="24"/>
        </w:rPr>
        <w:t xml:space="preserve">: </w:t>
      </w:r>
      <w:hyperlink r:id="rId36" w:history="1">
        <w:r w:rsidR="00073F29" w:rsidRPr="00096FF8">
          <w:rPr>
            <w:rStyle w:val="Hyperlink"/>
            <w:rFonts w:asciiTheme="minorHAnsi" w:hAnsiTheme="minorHAnsi" w:cs="Arial"/>
            <w:szCs w:val="24"/>
          </w:rPr>
          <w:t>http://www.in-control.org.uk/media/35712/self-directed%20support%20in%20hartlepool%202006-2009.pdf</w:t>
        </w:r>
      </w:hyperlink>
      <w:r w:rsidR="00073F29" w:rsidRPr="00096FF8">
        <w:rPr>
          <w:rFonts w:asciiTheme="minorHAnsi" w:hAnsiTheme="minorHAnsi" w:cs="Arial"/>
          <w:szCs w:val="24"/>
        </w:rPr>
        <w:t xml:space="preserve"> (Accessed </w:t>
      </w:r>
      <w:r w:rsidR="001D3189" w:rsidRPr="00096FF8">
        <w:rPr>
          <w:rFonts w:asciiTheme="minorHAnsi" w:hAnsiTheme="minorHAnsi" w:cs="Arial"/>
          <w:szCs w:val="24"/>
        </w:rPr>
        <w:t>14</w:t>
      </w:r>
      <w:r w:rsidR="00073F29" w:rsidRPr="00096FF8">
        <w:rPr>
          <w:rFonts w:asciiTheme="minorHAnsi" w:hAnsiTheme="minorHAnsi" w:cs="Arial"/>
          <w:szCs w:val="24"/>
        </w:rPr>
        <w:t>/</w:t>
      </w:r>
      <w:r w:rsidR="001D3189" w:rsidRPr="00096FF8">
        <w:rPr>
          <w:rFonts w:asciiTheme="minorHAnsi" w:hAnsiTheme="minorHAnsi" w:cs="Arial"/>
          <w:szCs w:val="24"/>
        </w:rPr>
        <w:t>12</w:t>
      </w:r>
      <w:r w:rsidR="00073F29" w:rsidRPr="00096FF8">
        <w:rPr>
          <w:rFonts w:asciiTheme="minorHAnsi" w:hAnsiTheme="minorHAnsi" w:cs="Arial"/>
          <w:szCs w:val="24"/>
        </w:rPr>
        <w:t>/2015).</w:t>
      </w:r>
    </w:p>
    <w:p w14:paraId="12EB0445" w14:textId="77777777" w:rsidR="00F6429B" w:rsidRPr="00096FF8" w:rsidRDefault="00F6429B" w:rsidP="00490617">
      <w:pPr>
        <w:autoSpaceDE w:val="0"/>
        <w:autoSpaceDN w:val="0"/>
        <w:adjustRightInd w:val="0"/>
        <w:spacing w:line="480" w:lineRule="auto"/>
        <w:rPr>
          <w:rFonts w:asciiTheme="minorHAnsi" w:hAnsiTheme="minorHAnsi" w:cs="Bliss-Regular"/>
          <w:szCs w:val="24"/>
        </w:rPr>
      </w:pPr>
    </w:p>
    <w:p w14:paraId="5D0F892E" w14:textId="5950DFB0" w:rsidR="00F6429B" w:rsidRPr="00096FF8" w:rsidRDefault="00F6429B"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Arial"/>
          <w:szCs w:val="24"/>
        </w:rPr>
        <w:t>Warin, B. (2010)</w:t>
      </w:r>
      <w:r w:rsidR="00EA43FC" w:rsidRPr="00096FF8">
        <w:rPr>
          <w:rFonts w:asciiTheme="minorHAnsi" w:hAnsiTheme="minorHAnsi" w:cs="Arial"/>
          <w:szCs w:val="24"/>
        </w:rPr>
        <w:t>.</w:t>
      </w:r>
      <w:r w:rsidRPr="00096FF8">
        <w:rPr>
          <w:rFonts w:asciiTheme="minorHAnsi" w:hAnsiTheme="minorHAnsi" w:cs="Arial"/>
          <w:szCs w:val="24"/>
        </w:rPr>
        <w:t xml:space="preserve"> </w:t>
      </w:r>
      <w:r w:rsidRPr="00096FF8">
        <w:rPr>
          <w:rFonts w:asciiTheme="minorHAnsi" w:hAnsiTheme="minorHAnsi" w:cs="Bliss-Regular"/>
          <w:szCs w:val="24"/>
        </w:rPr>
        <w:t>Safeguarding adults in Cornwall</w:t>
      </w:r>
      <w:r w:rsidR="009056F0"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Italic"/>
          <w:i/>
          <w:iCs/>
          <w:szCs w:val="24"/>
        </w:rPr>
        <w:t>Journal of Adult Protection</w:t>
      </w:r>
      <w:r w:rsidRPr="00096FF8">
        <w:rPr>
          <w:rFonts w:asciiTheme="minorHAnsi" w:hAnsiTheme="minorHAnsi" w:cs="Bliss-Regular"/>
          <w:szCs w:val="24"/>
        </w:rPr>
        <w:t>, 12</w:t>
      </w:r>
      <w:r w:rsidRPr="00096FF8">
        <w:rPr>
          <w:rFonts w:asciiTheme="minorHAnsi" w:hAnsiTheme="minorHAnsi" w:cs="Arial"/>
          <w:szCs w:val="24"/>
        </w:rPr>
        <w:t>(2)</w:t>
      </w:r>
      <w:r w:rsidR="009056F0" w:rsidRPr="00096FF8">
        <w:rPr>
          <w:rFonts w:asciiTheme="minorHAnsi" w:hAnsiTheme="minorHAnsi" w:cs="Arial"/>
          <w:szCs w:val="24"/>
        </w:rPr>
        <w:t>,</w:t>
      </w:r>
      <w:r w:rsidRPr="00096FF8">
        <w:rPr>
          <w:rFonts w:asciiTheme="minorHAnsi" w:hAnsiTheme="minorHAnsi" w:cs="Bliss-Regular"/>
          <w:szCs w:val="24"/>
        </w:rPr>
        <w:t xml:space="preserve"> 39–42.</w:t>
      </w:r>
      <w:r w:rsidR="00420A17" w:rsidRPr="00096FF8">
        <w:rPr>
          <w:rFonts w:asciiTheme="minorHAnsi" w:hAnsiTheme="minorHAnsi" w:cs="Bliss-Regular"/>
          <w:szCs w:val="24"/>
        </w:rPr>
        <w:t xml:space="preserve"> </w:t>
      </w:r>
      <w:r w:rsidR="001D3189" w:rsidRPr="00096FF8">
        <w:rPr>
          <w:rFonts w:asciiTheme="minorHAnsi" w:hAnsiTheme="minorHAnsi" w:cs="Bliss-Regular"/>
          <w:szCs w:val="24"/>
        </w:rPr>
        <w:t>doi</w:t>
      </w:r>
      <w:r w:rsidR="00420A17" w:rsidRPr="00096FF8">
        <w:rPr>
          <w:rFonts w:asciiTheme="minorHAnsi" w:hAnsiTheme="minorHAnsi" w:cs="Bliss-Regular"/>
          <w:szCs w:val="24"/>
        </w:rPr>
        <w:t>: http://dx.doi.org/10.5042/jap.2010.0294</w:t>
      </w:r>
    </w:p>
    <w:p w14:paraId="380E99CE" w14:textId="77777777" w:rsidR="00F6429B" w:rsidRPr="00096FF8" w:rsidRDefault="00F6429B" w:rsidP="00490617">
      <w:pPr>
        <w:autoSpaceDE w:val="0"/>
        <w:autoSpaceDN w:val="0"/>
        <w:adjustRightInd w:val="0"/>
        <w:spacing w:line="480" w:lineRule="auto"/>
        <w:rPr>
          <w:rFonts w:asciiTheme="minorHAnsi" w:hAnsiTheme="minorHAnsi" w:cs="Bliss-Regular"/>
          <w:szCs w:val="24"/>
        </w:rPr>
      </w:pPr>
    </w:p>
    <w:p w14:paraId="232F437D" w14:textId="270A0976" w:rsidR="00375CDE" w:rsidRPr="00096FF8" w:rsidRDefault="00375CDE"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Bliss-Regular"/>
          <w:szCs w:val="24"/>
        </w:rPr>
        <w:t>Weinberg, M. (2014)</w:t>
      </w:r>
      <w:r w:rsidR="009056F0" w:rsidRPr="00096FF8">
        <w:rPr>
          <w:rFonts w:asciiTheme="minorHAnsi" w:hAnsiTheme="minorHAnsi" w:cs="Bliss-Regular"/>
          <w:szCs w:val="24"/>
        </w:rPr>
        <w:t xml:space="preserve">. </w:t>
      </w:r>
      <w:r w:rsidRPr="00096FF8">
        <w:rPr>
          <w:rFonts w:asciiTheme="minorHAnsi" w:hAnsiTheme="minorHAnsi" w:cs="Bliss-Regular"/>
          <w:szCs w:val="24"/>
        </w:rPr>
        <w:t>Working in the spaces between care and control</w:t>
      </w:r>
      <w:r w:rsidR="009056F0" w:rsidRPr="00096FF8">
        <w:rPr>
          <w:rFonts w:asciiTheme="minorHAnsi" w:hAnsiTheme="minorHAnsi" w:cs="Bliss-Regular"/>
          <w:szCs w:val="24"/>
        </w:rPr>
        <w:t>.</w:t>
      </w:r>
      <w:r w:rsidRPr="00096FF8">
        <w:rPr>
          <w:rFonts w:asciiTheme="minorHAnsi" w:hAnsiTheme="minorHAnsi" w:cs="Bliss-Regular"/>
          <w:szCs w:val="24"/>
        </w:rPr>
        <w:t xml:space="preserve"> </w:t>
      </w:r>
      <w:r w:rsidR="009056F0" w:rsidRPr="00096FF8">
        <w:rPr>
          <w:rFonts w:asciiTheme="minorHAnsi" w:hAnsiTheme="minorHAnsi" w:cs="Bliss-Regular"/>
          <w:szCs w:val="24"/>
        </w:rPr>
        <w:t>I</w:t>
      </w:r>
      <w:r w:rsidRPr="00096FF8">
        <w:rPr>
          <w:rFonts w:asciiTheme="minorHAnsi" w:hAnsiTheme="minorHAnsi" w:cs="Bliss-Regular"/>
          <w:szCs w:val="24"/>
        </w:rPr>
        <w:t>n Banks, S. (</w:t>
      </w:r>
      <w:r w:rsidR="009056F0" w:rsidRPr="00096FF8">
        <w:rPr>
          <w:rFonts w:asciiTheme="minorHAnsi" w:hAnsiTheme="minorHAnsi" w:cs="Bliss-Regular"/>
          <w:szCs w:val="24"/>
        </w:rPr>
        <w:t>E</w:t>
      </w:r>
      <w:r w:rsidRPr="00096FF8">
        <w:rPr>
          <w:rFonts w:asciiTheme="minorHAnsi" w:hAnsiTheme="minorHAnsi" w:cs="Bliss-Regular"/>
          <w:szCs w:val="24"/>
        </w:rPr>
        <w:t>d</w:t>
      </w:r>
      <w:r w:rsidR="00D97FC1" w:rsidRPr="00096FF8">
        <w:rPr>
          <w:rFonts w:asciiTheme="minorHAnsi" w:hAnsiTheme="minorHAnsi" w:cs="Bliss-Regular"/>
          <w:szCs w:val="24"/>
        </w:rPr>
        <w:t>.</w:t>
      </w:r>
      <w:r w:rsidRPr="00096FF8">
        <w:rPr>
          <w:rFonts w:asciiTheme="minorHAnsi" w:hAnsiTheme="minorHAnsi" w:cs="Bliss-Regular"/>
          <w:szCs w:val="24"/>
        </w:rPr>
        <w:t>)</w:t>
      </w:r>
      <w:r w:rsidR="009056F0"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Regular"/>
          <w:i/>
          <w:szCs w:val="24"/>
        </w:rPr>
        <w:t xml:space="preserve">Ethics, </w:t>
      </w:r>
      <w:r w:rsidRPr="00096FF8">
        <w:rPr>
          <w:rFonts w:asciiTheme="minorHAnsi" w:hAnsiTheme="minorHAnsi" w:cs="Bliss-Regular"/>
          <w:szCs w:val="24"/>
        </w:rPr>
        <w:t xml:space="preserve"> Bristol: University of Bristol</w:t>
      </w:r>
      <w:r w:rsidR="00420A17" w:rsidRPr="00096FF8">
        <w:rPr>
          <w:rFonts w:asciiTheme="minorHAnsi" w:hAnsiTheme="minorHAnsi" w:cs="Bliss-Regular"/>
          <w:szCs w:val="24"/>
        </w:rPr>
        <w:t>.</w:t>
      </w:r>
    </w:p>
    <w:p w14:paraId="673CC91B" w14:textId="77777777" w:rsidR="00375CDE" w:rsidRPr="00096FF8" w:rsidRDefault="00375CDE" w:rsidP="00490617">
      <w:pPr>
        <w:autoSpaceDE w:val="0"/>
        <w:autoSpaceDN w:val="0"/>
        <w:adjustRightInd w:val="0"/>
        <w:spacing w:line="480" w:lineRule="auto"/>
        <w:rPr>
          <w:rFonts w:asciiTheme="minorHAnsi" w:hAnsiTheme="minorHAnsi" w:cs="Bliss-Regular"/>
          <w:szCs w:val="24"/>
        </w:rPr>
      </w:pPr>
    </w:p>
    <w:p w14:paraId="21FC0194" w14:textId="25D7DFC6" w:rsidR="00F6429B" w:rsidRPr="00096FF8" w:rsidRDefault="00F6429B" w:rsidP="00490617">
      <w:pPr>
        <w:autoSpaceDE w:val="0"/>
        <w:autoSpaceDN w:val="0"/>
        <w:adjustRightInd w:val="0"/>
        <w:spacing w:line="480" w:lineRule="auto"/>
        <w:rPr>
          <w:rFonts w:asciiTheme="minorHAnsi" w:hAnsiTheme="minorHAnsi" w:cs="Bliss-Regular"/>
          <w:szCs w:val="24"/>
        </w:rPr>
      </w:pPr>
      <w:r w:rsidRPr="00096FF8">
        <w:rPr>
          <w:rFonts w:asciiTheme="minorHAnsi" w:hAnsiTheme="minorHAnsi" w:cs="Bliss-Regular"/>
          <w:szCs w:val="24"/>
        </w:rPr>
        <w:t>Williams, C. (2010)</w:t>
      </w:r>
      <w:r w:rsidR="009056F0" w:rsidRPr="00096FF8">
        <w:rPr>
          <w:rFonts w:asciiTheme="minorHAnsi" w:hAnsiTheme="minorHAnsi" w:cs="Bliss-Regular"/>
          <w:szCs w:val="24"/>
        </w:rPr>
        <w:t>.</w:t>
      </w:r>
      <w:r w:rsidRPr="00096FF8">
        <w:rPr>
          <w:rFonts w:asciiTheme="minorHAnsi" w:hAnsiTheme="minorHAnsi" w:cs="Bliss-Regular"/>
          <w:szCs w:val="24"/>
        </w:rPr>
        <w:t xml:space="preserve"> </w:t>
      </w:r>
      <w:r w:rsidRPr="00096FF8">
        <w:rPr>
          <w:rFonts w:asciiTheme="minorHAnsi" w:hAnsiTheme="minorHAnsi" w:cs="Bliss-Italic"/>
          <w:i/>
          <w:iCs/>
          <w:szCs w:val="24"/>
        </w:rPr>
        <w:t>Adult safeguarding scrutiny guide</w:t>
      </w:r>
      <w:r w:rsidR="009056F0" w:rsidRPr="00096FF8">
        <w:rPr>
          <w:rFonts w:asciiTheme="minorHAnsi" w:hAnsiTheme="minorHAnsi" w:cs="Bliss-Italic"/>
          <w:i/>
          <w:iCs/>
          <w:szCs w:val="24"/>
        </w:rPr>
        <w:t>.</w:t>
      </w:r>
      <w:r w:rsidRPr="00096FF8">
        <w:rPr>
          <w:rFonts w:asciiTheme="minorHAnsi" w:hAnsiTheme="minorHAnsi" w:cs="Bliss-Regular"/>
          <w:szCs w:val="24"/>
        </w:rPr>
        <w:t xml:space="preserve"> London: IDeA.</w:t>
      </w:r>
      <w:r w:rsidR="00420A17" w:rsidRPr="00096FF8">
        <w:rPr>
          <w:rFonts w:asciiTheme="minorHAnsi" w:hAnsiTheme="minorHAnsi" w:cs="Bliss-Regular"/>
          <w:szCs w:val="24"/>
        </w:rPr>
        <w:t xml:space="preserve"> </w:t>
      </w:r>
      <w:r w:rsidR="00F76399" w:rsidRPr="00096FF8">
        <w:rPr>
          <w:rFonts w:asciiTheme="minorHAnsi" w:hAnsiTheme="minorHAnsi" w:cs="Bliss-Regular"/>
          <w:szCs w:val="24"/>
        </w:rPr>
        <w:t>Retrieved from</w:t>
      </w:r>
      <w:r w:rsidR="00420A17" w:rsidRPr="00096FF8">
        <w:rPr>
          <w:rFonts w:asciiTheme="minorHAnsi" w:hAnsiTheme="minorHAnsi" w:cs="Bliss-Regular"/>
          <w:szCs w:val="24"/>
        </w:rPr>
        <w:t xml:space="preserve">: </w:t>
      </w:r>
      <w:hyperlink r:id="rId37" w:history="1">
        <w:r w:rsidR="00420A17" w:rsidRPr="00096FF8">
          <w:rPr>
            <w:rStyle w:val="Hyperlink"/>
            <w:rFonts w:asciiTheme="minorHAnsi" w:hAnsiTheme="minorHAnsi" w:cs="Bliss-Regular"/>
            <w:szCs w:val="24"/>
          </w:rPr>
          <w:t>http://www.idea.gov.uk/idk/aio/19170842</w:t>
        </w:r>
      </w:hyperlink>
      <w:r w:rsidR="00420A17" w:rsidRPr="00096FF8">
        <w:rPr>
          <w:rFonts w:asciiTheme="minorHAnsi" w:hAnsiTheme="minorHAnsi" w:cs="Bliss-Regular"/>
          <w:szCs w:val="24"/>
        </w:rPr>
        <w:t xml:space="preserve"> (Accessed </w:t>
      </w:r>
      <w:r w:rsidR="001D3189" w:rsidRPr="00096FF8">
        <w:rPr>
          <w:rFonts w:asciiTheme="minorHAnsi" w:hAnsiTheme="minorHAnsi" w:cs="Bliss-Regular"/>
          <w:szCs w:val="24"/>
        </w:rPr>
        <w:t>14</w:t>
      </w:r>
      <w:r w:rsidR="00420A17" w:rsidRPr="00096FF8">
        <w:rPr>
          <w:rFonts w:asciiTheme="minorHAnsi" w:hAnsiTheme="minorHAnsi" w:cs="Bliss-Regular"/>
          <w:szCs w:val="24"/>
        </w:rPr>
        <w:t>/</w:t>
      </w:r>
      <w:r w:rsidR="001D3189" w:rsidRPr="00096FF8">
        <w:rPr>
          <w:rFonts w:asciiTheme="minorHAnsi" w:hAnsiTheme="minorHAnsi" w:cs="Bliss-Regular"/>
          <w:szCs w:val="24"/>
        </w:rPr>
        <w:t>12</w:t>
      </w:r>
      <w:r w:rsidR="00420A17" w:rsidRPr="00096FF8">
        <w:rPr>
          <w:rFonts w:asciiTheme="minorHAnsi" w:hAnsiTheme="minorHAnsi" w:cs="Bliss-Regular"/>
          <w:szCs w:val="24"/>
        </w:rPr>
        <w:t xml:space="preserve">/2015). </w:t>
      </w:r>
    </w:p>
    <w:p w14:paraId="5BD54C67" w14:textId="77777777" w:rsidR="00D03E93" w:rsidRPr="00096FF8" w:rsidRDefault="00D03E93" w:rsidP="00490617">
      <w:pPr>
        <w:spacing w:line="480" w:lineRule="auto"/>
        <w:rPr>
          <w:rFonts w:asciiTheme="minorHAnsi" w:hAnsiTheme="minorHAnsi"/>
          <w:lang w:eastAsia="en-US"/>
        </w:rPr>
      </w:pPr>
    </w:p>
    <w:p w14:paraId="56A0367A" w14:textId="3B06BE17" w:rsidR="00285295" w:rsidRPr="00096FF8" w:rsidRDefault="00C803C2" w:rsidP="00490617">
      <w:pPr>
        <w:spacing w:line="480" w:lineRule="auto"/>
        <w:rPr>
          <w:rFonts w:asciiTheme="minorHAnsi" w:hAnsiTheme="minorHAnsi"/>
          <w:i/>
        </w:rPr>
      </w:pPr>
      <w:r w:rsidRPr="00096FF8">
        <w:rPr>
          <w:rFonts w:asciiTheme="minorHAnsi" w:hAnsiTheme="minorHAnsi"/>
        </w:rPr>
        <w:t>Woolham, J, Daly, G, Steils, N, and Ritters, K,</w:t>
      </w:r>
      <w:r w:rsidR="001D3189" w:rsidRPr="00096FF8">
        <w:rPr>
          <w:rFonts w:asciiTheme="minorHAnsi" w:hAnsiTheme="minorHAnsi"/>
        </w:rPr>
        <w:t xml:space="preserve"> </w:t>
      </w:r>
      <w:r w:rsidRPr="00096FF8">
        <w:rPr>
          <w:rFonts w:asciiTheme="minorHAnsi" w:hAnsiTheme="minorHAnsi"/>
        </w:rPr>
        <w:t>(</w:t>
      </w:r>
      <w:r w:rsidR="001D3189" w:rsidRPr="00096FF8">
        <w:rPr>
          <w:rFonts w:asciiTheme="minorHAnsi" w:hAnsiTheme="minorHAnsi"/>
        </w:rPr>
        <w:t>2015</w:t>
      </w:r>
      <w:r w:rsidRPr="00096FF8">
        <w:rPr>
          <w:rFonts w:asciiTheme="minorHAnsi" w:hAnsiTheme="minorHAnsi"/>
        </w:rPr>
        <w:t>)</w:t>
      </w:r>
      <w:r w:rsidR="009056F0" w:rsidRPr="00096FF8">
        <w:rPr>
          <w:rFonts w:asciiTheme="minorHAnsi" w:hAnsiTheme="minorHAnsi"/>
        </w:rPr>
        <w:t>.</w:t>
      </w:r>
      <w:r w:rsidRPr="00096FF8">
        <w:rPr>
          <w:rFonts w:asciiTheme="minorHAnsi" w:hAnsiTheme="minorHAnsi"/>
        </w:rPr>
        <w:t xml:space="preserve"> </w:t>
      </w:r>
      <w:r w:rsidR="009056F0" w:rsidRPr="00096FF8">
        <w:rPr>
          <w:rFonts w:asciiTheme="minorHAnsi" w:hAnsiTheme="minorHAnsi"/>
        </w:rPr>
        <w:t>T</w:t>
      </w:r>
      <w:r w:rsidRPr="00096FF8">
        <w:rPr>
          <w:rFonts w:asciiTheme="minorHAnsi" w:hAnsiTheme="minorHAnsi"/>
        </w:rPr>
        <w:t>he evolution of person-centred care to personalised care, personal budgets and direct payments in England: some implications for older users of social care services</w:t>
      </w:r>
      <w:r w:rsidRPr="00096FF8">
        <w:rPr>
          <w:rFonts w:asciiTheme="minorHAnsi" w:hAnsiTheme="minorHAnsi"/>
          <w:i/>
        </w:rPr>
        <w:t>. Sociologia e Politiche Sociali</w:t>
      </w:r>
      <w:r w:rsidR="001D3189" w:rsidRPr="00096FF8">
        <w:rPr>
          <w:rFonts w:asciiTheme="minorHAnsi" w:hAnsiTheme="minorHAnsi"/>
          <w:i/>
        </w:rPr>
        <w:t>, 18(1), 145-162. doi: 10.3280 / SP2015-001008.</w:t>
      </w:r>
    </w:p>
    <w:sectPr w:rsidR="00285295" w:rsidRPr="00096FF8" w:rsidSect="00DC2AE3">
      <w:footerReference w:type="default" r:id="rId3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919813" w15:done="0"/>
  <w15:commentEx w15:paraId="4E8E775E" w15:done="0"/>
  <w15:commentEx w15:paraId="05229443" w15:done="0"/>
  <w15:commentEx w15:paraId="7E5F03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C79BA" w14:textId="77777777" w:rsidR="003F32B3" w:rsidRDefault="003F32B3" w:rsidP="006E3B64">
      <w:r>
        <w:separator/>
      </w:r>
    </w:p>
  </w:endnote>
  <w:endnote w:type="continuationSeparator" w:id="0">
    <w:p w14:paraId="31434DA5" w14:textId="77777777" w:rsidR="003F32B3" w:rsidRDefault="003F32B3" w:rsidP="006E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liss-Regular">
    <w:panose1 w:val="00000000000000000000"/>
    <w:charset w:val="00"/>
    <w:family w:val="swiss"/>
    <w:notTrueType/>
    <w:pitch w:val="default"/>
    <w:sig w:usb0="00000003" w:usb1="00000000" w:usb2="00000000" w:usb3="00000000" w:csb0="00000001" w:csb1="00000000"/>
  </w:font>
  <w:font w:name="Blis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825707510"/>
      <w:docPartObj>
        <w:docPartGallery w:val="Page Numbers (Bottom of Page)"/>
        <w:docPartUnique/>
      </w:docPartObj>
    </w:sdtPr>
    <w:sdtEndPr>
      <w:rPr>
        <w:noProof/>
      </w:rPr>
    </w:sdtEndPr>
    <w:sdtContent>
      <w:p w14:paraId="3F86B3C4" w14:textId="77777777" w:rsidR="00DF71FD" w:rsidRDefault="00DF71FD">
        <w:pPr>
          <w:pStyle w:val="Footer"/>
          <w:jc w:val="center"/>
        </w:pPr>
        <w:r>
          <w:fldChar w:fldCharType="begin"/>
        </w:r>
        <w:r>
          <w:instrText xml:space="preserve"> PAGE   \* MERGEFORMAT </w:instrText>
        </w:r>
        <w:r>
          <w:fldChar w:fldCharType="separate"/>
        </w:r>
        <w:r w:rsidR="00531C47">
          <w:rPr>
            <w:noProof/>
          </w:rPr>
          <w:t>1</w:t>
        </w:r>
        <w:r>
          <w:rPr>
            <w:noProof/>
          </w:rPr>
          <w:fldChar w:fldCharType="end"/>
        </w:r>
      </w:p>
    </w:sdtContent>
  </w:sdt>
  <w:p w14:paraId="2DAB4F54" w14:textId="77777777" w:rsidR="00DF71FD" w:rsidRDefault="00DF7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9A820" w14:textId="77777777" w:rsidR="003F32B3" w:rsidRDefault="003F32B3" w:rsidP="006E3B64">
      <w:r>
        <w:separator/>
      </w:r>
    </w:p>
  </w:footnote>
  <w:footnote w:type="continuationSeparator" w:id="0">
    <w:p w14:paraId="43449286" w14:textId="77777777" w:rsidR="003F32B3" w:rsidRDefault="003F32B3" w:rsidP="006E3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160"/>
    <w:multiLevelType w:val="hybridMultilevel"/>
    <w:tmpl w:val="E3640B5A"/>
    <w:lvl w:ilvl="0" w:tplc="07AA59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D1D52"/>
    <w:multiLevelType w:val="hybridMultilevel"/>
    <w:tmpl w:val="110C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343852"/>
    <w:multiLevelType w:val="hybridMultilevel"/>
    <w:tmpl w:val="A2900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964DCC"/>
    <w:multiLevelType w:val="hybridMultilevel"/>
    <w:tmpl w:val="9AC4B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F15463"/>
    <w:multiLevelType w:val="hybridMultilevel"/>
    <w:tmpl w:val="68F60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F95163"/>
    <w:multiLevelType w:val="hybridMultilevel"/>
    <w:tmpl w:val="84ECF0D0"/>
    <w:lvl w:ilvl="0" w:tplc="F9C2362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0626A21"/>
    <w:multiLevelType w:val="hybridMultilevel"/>
    <w:tmpl w:val="949A4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660CA"/>
    <w:multiLevelType w:val="hybridMultilevel"/>
    <w:tmpl w:val="B02E5F62"/>
    <w:lvl w:ilvl="0" w:tplc="8DE4111C">
      <w:start w:val="1"/>
      <w:numFmt w:val="bullet"/>
      <w:pStyle w:val="Normal11p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480479E3"/>
    <w:multiLevelType w:val="hybridMultilevel"/>
    <w:tmpl w:val="689EEB3C"/>
    <w:lvl w:ilvl="0" w:tplc="47865594">
      <w:start w:val="2"/>
      <w:numFmt w:val="decimalZero"/>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nsid w:val="513C210E"/>
    <w:multiLevelType w:val="hybridMultilevel"/>
    <w:tmpl w:val="D75A2124"/>
    <w:lvl w:ilvl="0" w:tplc="0809000F">
      <w:start w:val="1"/>
      <w:numFmt w:val="decimal"/>
      <w:lvlText w:val="%1."/>
      <w:lvlJc w:val="left"/>
      <w:pPr>
        <w:ind w:left="360" w:hanging="360"/>
      </w:pPr>
      <w:rPr>
        <w:rFonts w:hint="default"/>
      </w:rPr>
    </w:lvl>
    <w:lvl w:ilvl="1" w:tplc="1A36E9F4">
      <w:start w:val="1"/>
      <w:numFmt w:val="bullet"/>
      <w:lvlText w:val="o"/>
      <w:lvlJc w:val="left"/>
      <w:pPr>
        <w:ind w:left="360" w:hanging="360"/>
      </w:pPr>
      <w:rPr>
        <w:rFonts w:ascii="Courier New" w:hAnsi="Courier New" w:hint="default"/>
      </w:rPr>
    </w:lvl>
    <w:lvl w:ilvl="2" w:tplc="217A9CCC">
      <w:start w:val="1"/>
      <w:numFmt w:val="bullet"/>
      <w:lvlText w:val=""/>
      <w:lvlJc w:val="left"/>
      <w:pPr>
        <w:ind w:left="720" w:hanging="360"/>
      </w:pPr>
      <w:rPr>
        <w:rFonts w:ascii="Wingdings" w:hAnsi="Wingdings" w:hint="default"/>
      </w:rPr>
    </w:lvl>
    <w:lvl w:ilvl="3" w:tplc="A816F6FA">
      <w:start w:val="1"/>
      <w:numFmt w:val="bullet"/>
      <w:lvlText w:val=""/>
      <w:lvlJc w:val="left"/>
      <w:pPr>
        <w:ind w:left="1080" w:hanging="360"/>
      </w:pPr>
      <w:rPr>
        <w:rFonts w:ascii="Symbol" w:hAnsi="Symbol" w:hint="default"/>
      </w:rPr>
    </w:lvl>
    <w:lvl w:ilvl="4" w:tplc="84542D0A">
      <w:start w:val="2"/>
      <w:numFmt w:val="decimalZero"/>
      <w:lvlText w:val="%5"/>
      <w:lvlJc w:val="left"/>
      <w:pPr>
        <w:ind w:left="3240" w:hanging="360"/>
      </w:pPr>
      <w:rPr>
        <w:rFon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2886C22"/>
    <w:multiLevelType w:val="hybridMultilevel"/>
    <w:tmpl w:val="63201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B616F2F"/>
    <w:multiLevelType w:val="hybridMultilevel"/>
    <w:tmpl w:val="E716F198"/>
    <w:lvl w:ilvl="0" w:tplc="D6A413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2883A8A"/>
    <w:multiLevelType w:val="hybridMultilevel"/>
    <w:tmpl w:val="600ACE4E"/>
    <w:lvl w:ilvl="0" w:tplc="08090001">
      <w:start w:val="1"/>
      <w:numFmt w:val="bullet"/>
      <w:lvlText w:val=""/>
      <w:lvlJc w:val="left"/>
      <w:pPr>
        <w:ind w:left="360" w:hanging="360"/>
      </w:pPr>
      <w:rPr>
        <w:rFonts w:ascii="Symbol" w:hAnsi="Symbol" w:hint="default"/>
      </w:rPr>
    </w:lvl>
    <w:lvl w:ilvl="1" w:tplc="BEE85140">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B031D8D"/>
    <w:multiLevelType w:val="hybridMultilevel"/>
    <w:tmpl w:val="DEB2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2"/>
  </w:num>
  <w:num w:numId="5">
    <w:abstractNumId w:val="2"/>
  </w:num>
  <w:num w:numId="6">
    <w:abstractNumId w:val="0"/>
  </w:num>
  <w:num w:numId="7">
    <w:abstractNumId w:val="10"/>
  </w:num>
  <w:num w:numId="8">
    <w:abstractNumId w:val="6"/>
  </w:num>
  <w:num w:numId="9">
    <w:abstractNumId w:val="3"/>
  </w:num>
  <w:num w:numId="10">
    <w:abstractNumId w:val="9"/>
  </w:num>
  <w:num w:numId="11">
    <w:abstractNumId w:val="8"/>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B0"/>
    <w:rsid w:val="00001571"/>
    <w:rsid w:val="00005543"/>
    <w:rsid w:val="000058A5"/>
    <w:rsid w:val="00006DAD"/>
    <w:rsid w:val="00011222"/>
    <w:rsid w:val="00011D84"/>
    <w:rsid w:val="00014F1C"/>
    <w:rsid w:val="000155C0"/>
    <w:rsid w:val="00016378"/>
    <w:rsid w:val="00017A61"/>
    <w:rsid w:val="00021A78"/>
    <w:rsid w:val="00025D35"/>
    <w:rsid w:val="000342C4"/>
    <w:rsid w:val="00035903"/>
    <w:rsid w:val="00045622"/>
    <w:rsid w:val="00047F04"/>
    <w:rsid w:val="00054012"/>
    <w:rsid w:val="00066A79"/>
    <w:rsid w:val="00066C4B"/>
    <w:rsid w:val="00073F29"/>
    <w:rsid w:val="000743C8"/>
    <w:rsid w:val="00075E22"/>
    <w:rsid w:val="00076AC0"/>
    <w:rsid w:val="0008254B"/>
    <w:rsid w:val="000827C2"/>
    <w:rsid w:val="0008286C"/>
    <w:rsid w:val="000845F5"/>
    <w:rsid w:val="000857AA"/>
    <w:rsid w:val="00092C9F"/>
    <w:rsid w:val="00096FF8"/>
    <w:rsid w:val="000A0E2B"/>
    <w:rsid w:val="000A128F"/>
    <w:rsid w:val="000A29CE"/>
    <w:rsid w:val="000A41B9"/>
    <w:rsid w:val="000A4AB5"/>
    <w:rsid w:val="000B2341"/>
    <w:rsid w:val="000B4097"/>
    <w:rsid w:val="000D0C8A"/>
    <w:rsid w:val="000D1521"/>
    <w:rsid w:val="000D2FAE"/>
    <w:rsid w:val="000D6F1A"/>
    <w:rsid w:val="000E5497"/>
    <w:rsid w:val="000E5A33"/>
    <w:rsid w:val="000E6944"/>
    <w:rsid w:val="000E7E9C"/>
    <w:rsid w:val="000E7EAF"/>
    <w:rsid w:val="000F0172"/>
    <w:rsid w:val="000F0E69"/>
    <w:rsid w:val="000F46EC"/>
    <w:rsid w:val="000F6DC6"/>
    <w:rsid w:val="00110F98"/>
    <w:rsid w:val="00115340"/>
    <w:rsid w:val="00116800"/>
    <w:rsid w:val="0012027F"/>
    <w:rsid w:val="001216F3"/>
    <w:rsid w:val="00124564"/>
    <w:rsid w:val="00132FF6"/>
    <w:rsid w:val="001340EE"/>
    <w:rsid w:val="00137BED"/>
    <w:rsid w:val="00140D4D"/>
    <w:rsid w:val="00142672"/>
    <w:rsid w:val="00142957"/>
    <w:rsid w:val="00142EB9"/>
    <w:rsid w:val="00157184"/>
    <w:rsid w:val="00163E26"/>
    <w:rsid w:val="00166774"/>
    <w:rsid w:val="00166890"/>
    <w:rsid w:val="0016786C"/>
    <w:rsid w:val="00167D89"/>
    <w:rsid w:val="00173C07"/>
    <w:rsid w:val="001749B7"/>
    <w:rsid w:val="00183F27"/>
    <w:rsid w:val="00193C04"/>
    <w:rsid w:val="001962F8"/>
    <w:rsid w:val="00196CB4"/>
    <w:rsid w:val="001A023F"/>
    <w:rsid w:val="001A2F40"/>
    <w:rsid w:val="001A4FB3"/>
    <w:rsid w:val="001A5754"/>
    <w:rsid w:val="001A6222"/>
    <w:rsid w:val="001B120A"/>
    <w:rsid w:val="001B54DD"/>
    <w:rsid w:val="001C02B1"/>
    <w:rsid w:val="001C1969"/>
    <w:rsid w:val="001C1B9A"/>
    <w:rsid w:val="001C2DDF"/>
    <w:rsid w:val="001C3107"/>
    <w:rsid w:val="001C5705"/>
    <w:rsid w:val="001C5D06"/>
    <w:rsid w:val="001C7AEF"/>
    <w:rsid w:val="001D046C"/>
    <w:rsid w:val="001D1DF0"/>
    <w:rsid w:val="001D3189"/>
    <w:rsid w:val="001D48F8"/>
    <w:rsid w:val="001E3181"/>
    <w:rsid w:val="001F1152"/>
    <w:rsid w:val="002009B6"/>
    <w:rsid w:val="00201208"/>
    <w:rsid w:val="00201EE7"/>
    <w:rsid w:val="0020384A"/>
    <w:rsid w:val="00214ACC"/>
    <w:rsid w:val="002153A8"/>
    <w:rsid w:val="00217C01"/>
    <w:rsid w:val="0023201E"/>
    <w:rsid w:val="00241592"/>
    <w:rsid w:val="00244E86"/>
    <w:rsid w:val="00247799"/>
    <w:rsid w:val="002500D8"/>
    <w:rsid w:val="00252299"/>
    <w:rsid w:val="00253355"/>
    <w:rsid w:val="00253754"/>
    <w:rsid w:val="002550D5"/>
    <w:rsid w:val="00257763"/>
    <w:rsid w:val="00257CF6"/>
    <w:rsid w:val="00260906"/>
    <w:rsid w:val="002617B1"/>
    <w:rsid w:val="00276B44"/>
    <w:rsid w:val="00280843"/>
    <w:rsid w:val="00280CCE"/>
    <w:rsid w:val="00285295"/>
    <w:rsid w:val="00290064"/>
    <w:rsid w:val="00292010"/>
    <w:rsid w:val="00293ACC"/>
    <w:rsid w:val="002A3B58"/>
    <w:rsid w:val="002A470F"/>
    <w:rsid w:val="002B048C"/>
    <w:rsid w:val="002B1C26"/>
    <w:rsid w:val="002B40C0"/>
    <w:rsid w:val="002B4571"/>
    <w:rsid w:val="002C0F00"/>
    <w:rsid w:val="002C2362"/>
    <w:rsid w:val="002C78BD"/>
    <w:rsid w:val="002D5A19"/>
    <w:rsid w:val="002E13D6"/>
    <w:rsid w:val="002E68A0"/>
    <w:rsid w:val="002E6C40"/>
    <w:rsid w:val="002E7ED1"/>
    <w:rsid w:val="00300E1A"/>
    <w:rsid w:val="003018BA"/>
    <w:rsid w:val="00302A0D"/>
    <w:rsid w:val="00302A58"/>
    <w:rsid w:val="003065D7"/>
    <w:rsid w:val="00310E8F"/>
    <w:rsid w:val="00313570"/>
    <w:rsid w:val="00313D9C"/>
    <w:rsid w:val="00314382"/>
    <w:rsid w:val="00322EDB"/>
    <w:rsid w:val="00323148"/>
    <w:rsid w:val="00326559"/>
    <w:rsid w:val="00337922"/>
    <w:rsid w:val="00345DD5"/>
    <w:rsid w:val="003460A5"/>
    <w:rsid w:val="00346230"/>
    <w:rsid w:val="00346365"/>
    <w:rsid w:val="003508E7"/>
    <w:rsid w:val="00351D17"/>
    <w:rsid w:val="00360D28"/>
    <w:rsid w:val="00371EE7"/>
    <w:rsid w:val="00375CDE"/>
    <w:rsid w:val="00384B79"/>
    <w:rsid w:val="00385406"/>
    <w:rsid w:val="0038790D"/>
    <w:rsid w:val="003963EC"/>
    <w:rsid w:val="0039720B"/>
    <w:rsid w:val="00397AFA"/>
    <w:rsid w:val="003A3650"/>
    <w:rsid w:val="003A6303"/>
    <w:rsid w:val="003C07F0"/>
    <w:rsid w:val="003C480A"/>
    <w:rsid w:val="003C796A"/>
    <w:rsid w:val="003F0AF2"/>
    <w:rsid w:val="003F32B3"/>
    <w:rsid w:val="003F3D0D"/>
    <w:rsid w:val="003F447E"/>
    <w:rsid w:val="003F4CBC"/>
    <w:rsid w:val="00402080"/>
    <w:rsid w:val="004072C4"/>
    <w:rsid w:val="004106EB"/>
    <w:rsid w:val="00411D7A"/>
    <w:rsid w:val="004171BC"/>
    <w:rsid w:val="004208CF"/>
    <w:rsid w:val="00420A17"/>
    <w:rsid w:val="004210DB"/>
    <w:rsid w:val="00421339"/>
    <w:rsid w:val="0042157D"/>
    <w:rsid w:val="004215A4"/>
    <w:rsid w:val="004258EE"/>
    <w:rsid w:val="00430556"/>
    <w:rsid w:val="00432482"/>
    <w:rsid w:val="004332B6"/>
    <w:rsid w:val="00436475"/>
    <w:rsid w:val="00436D05"/>
    <w:rsid w:val="00443107"/>
    <w:rsid w:val="0044354A"/>
    <w:rsid w:val="004476CC"/>
    <w:rsid w:val="004530ED"/>
    <w:rsid w:val="00457D19"/>
    <w:rsid w:val="00461DF3"/>
    <w:rsid w:val="00470337"/>
    <w:rsid w:val="00471F3B"/>
    <w:rsid w:val="0047553B"/>
    <w:rsid w:val="00481C2E"/>
    <w:rsid w:val="00483C84"/>
    <w:rsid w:val="00490617"/>
    <w:rsid w:val="00494277"/>
    <w:rsid w:val="00494FA9"/>
    <w:rsid w:val="004A19B5"/>
    <w:rsid w:val="004A4353"/>
    <w:rsid w:val="004B01D1"/>
    <w:rsid w:val="004B16BE"/>
    <w:rsid w:val="004C054B"/>
    <w:rsid w:val="004C1B4B"/>
    <w:rsid w:val="004C253B"/>
    <w:rsid w:val="004C2E95"/>
    <w:rsid w:val="004C36A1"/>
    <w:rsid w:val="004C59CD"/>
    <w:rsid w:val="004D0635"/>
    <w:rsid w:val="004D2FE3"/>
    <w:rsid w:val="004D30E5"/>
    <w:rsid w:val="004E335F"/>
    <w:rsid w:val="004E57D5"/>
    <w:rsid w:val="004E5EB3"/>
    <w:rsid w:val="004E64BD"/>
    <w:rsid w:val="004F1AC7"/>
    <w:rsid w:val="004F36DB"/>
    <w:rsid w:val="004F4159"/>
    <w:rsid w:val="004F6DD2"/>
    <w:rsid w:val="004F73DC"/>
    <w:rsid w:val="00501FFD"/>
    <w:rsid w:val="005043EA"/>
    <w:rsid w:val="005055AB"/>
    <w:rsid w:val="00507492"/>
    <w:rsid w:val="00507C4F"/>
    <w:rsid w:val="005120ED"/>
    <w:rsid w:val="00517A26"/>
    <w:rsid w:val="0052012F"/>
    <w:rsid w:val="00522F95"/>
    <w:rsid w:val="00527B33"/>
    <w:rsid w:val="00531C47"/>
    <w:rsid w:val="00534D69"/>
    <w:rsid w:val="0053660F"/>
    <w:rsid w:val="0053737E"/>
    <w:rsid w:val="00537820"/>
    <w:rsid w:val="00540303"/>
    <w:rsid w:val="00540D5A"/>
    <w:rsid w:val="00541317"/>
    <w:rsid w:val="00547441"/>
    <w:rsid w:val="005500D6"/>
    <w:rsid w:val="00552E55"/>
    <w:rsid w:val="00554165"/>
    <w:rsid w:val="00564A6D"/>
    <w:rsid w:val="00565091"/>
    <w:rsid w:val="005651F8"/>
    <w:rsid w:val="00565255"/>
    <w:rsid w:val="00571004"/>
    <w:rsid w:val="00580BB0"/>
    <w:rsid w:val="00580CF0"/>
    <w:rsid w:val="00581E19"/>
    <w:rsid w:val="00585DF7"/>
    <w:rsid w:val="00586A1D"/>
    <w:rsid w:val="005A03C1"/>
    <w:rsid w:val="005A5297"/>
    <w:rsid w:val="005B1F06"/>
    <w:rsid w:val="005B38EE"/>
    <w:rsid w:val="005B41A0"/>
    <w:rsid w:val="005C3A8C"/>
    <w:rsid w:val="005C66AB"/>
    <w:rsid w:val="005D1015"/>
    <w:rsid w:val="005E0E04"/>
    <w:rsid w:val="005E22AE"/>
    <w:rsid w:val="005E67C4"/>
    <w:rsid w:val="005F2670"/>
    <w:rsid w:val="005F4E39"/>
    <w:rsid w:val="005F62C3"/>
    <w:rsid w:val="005F7051"/>
    <w:rsid w:val="005F7E26"/>
    <w:rsid w:val="006050D1"/>
    <w:rsid w:val="006059FB"/>
    <w:rsid w:val="00606D07"/>
    <w:rsid w:val="00607CEE"/>
    <w:rsid w:val="00616538"/>
    <w:rsid w:val="00616B33"/>
    <w:rsid w:val="006171F0"/>
    <w:rsid w:val="00620719"/>
    <w:rsid w:val="00621FA4"/>
    <w:rsid w:val="0062297E"/>
    <w:rsid w:val="00624C1F"/>
    <w:rsid w:val="00636380"/>
    <w:rsid w:val="006365D8"/>
    <w:rsid w:val="00640625"/>
    <w:rsid w:val="0064772B"/>
    <w:rsid w:val="00651991"/>
    <w:rsid w:val="0065343B"/>
    <w:rsid w:val="00653B2C"/>
    <w:rsid w:val="00660023"/>
    <w:rsid w:val="00661A04"/>
    <w:rsid w:val="006652AE"/>
    <w:rsid w:val="0066568C"/>
    <w:rsid w:val="00666461"/>
    <w:rsid w:val="00673DF9"/>
    <w:rsid w:val="00674156"/>
    <w:rsid w:val="006770E1"/>
    <w:rsid w:val="006815B9"/>
    <w:rsid w:val="00681D2E"/>
    <w:rsid w:val="006865DB"/>
    <w:rsid w:val="00686B01"/>
    <w:rsid w:val="006A125E"/>
    <w:rsid w:val="006A3B74"/>
    <w:rsid w:val="006A4C6C"/>
    <w:rsid w:val="006A7CA5"/>
    <w:rsid w:val="006B3AD1"/>
    <w:rsid w:val="006B4E39"/>
    <w:rsid w:val="006B59A4"/>
    <w:rsid w:val="006C7201"/>
    <w:rsid w:val="006D3F59"/>
    <w:rsid w:val="006D54A2"/>
    <w:rsid w:val="006D7B81"/>
    <w:rsid w:val="006E002D"/>
    <w:rsid w:val="006E3B64"/>
    <w:rsid w:val="006E6EC1"/>
    <w:rsid w:val="006F6330"/>
    <w:rsid w:val="006F6841"/>
    <w:rsid w:val="006F74EE"/>
    <w:rsid w:val="006F7694"/>
    <w:rsid w:val="0070525C"/>
    <w:rsid w:val="00705823"/>
    <w:rsid w:val="00705FF3"/>
    <w:rsid w:val="0074064A"/>
    <w:rsid w:val="007406A5"/>
    <w:rsid w:val="0075088A"/>
    <w:rsid w:val="007541EC"/>
    <w:rsid w:val="0075575F"/>
    <w:rsid w:val="007600FC"/>
    <w:rsid w:val="00761112"/>
    <w:rsid w:val="007639DA"/>
    <w:rsid w:val="007706BB"/>
    <w:rsid w:val="00774109"/>
    <w:rsid w:val="00775DE5"/>
    <w:rsid w:val="00781B05"/>
    <w:rsid w:val="00783BC2"/>
    <w:rsid w:val="00790294"/>
    <w:rsid w:val="007A2D7C"/>
    <w:rsid w:val="007A4809"/>
    <w:rsid w:val="007A5DB8"/>
    <w:rsid w:val="007A6358"/>
    <w:rsid w:val="007B367F"/>
    <w:rsid w:val="007B4560"/>
    <w:rsid w:val="007B7220"/>
    <w:rsid w:val="007B7B7A"/>
    <w:rsid w:val="007C1ACC"/>
    <w:rsid w:val="007C2C61"/>
    <w:rsid w:val="007C3BA8"/>
    <w:rsid w:val="007C757C"/>
    <w:rsid w:val="007C7FAA"/>
    <w:rsid w:val="007D2D05"/>
    <w:rsid w:val="007D5C0D"/>
    <w:rsid w:val="007E4298"/>
    <w:rsid w:val="007F7D6A"/>
    <w:rsid w:val="0082087E"/>
    <w:rsid w:val="008211CE"/>
    <w:rsid w:val="00823D1E"/>
    <w:rsid w:val="0083553E"/>
    <w:rsid w:val="00835AF7"/>
    <w:rsid w:val="008416CE"/>
    <w:rsid w:val="0084380D"/>
    <w:rsid w:val="00847F54"/>
    <w:rsid w:val="0085083B"/>
    <w:rsid w:val="00857BA0"/>
    <w:rsid w:val="0086043F"/>
    <w:rsid w:val="00861042"/>
    <w:rsid w:val="008664C1"/>
    <w:rsid w:val="00866DA0"/>
    <w:rsid w:val="00870237"/>
    <w:rsid w:val="00876196"/>
    <w:rsid w:val="00876A0D"/>
    <w:rsid w:val="008812DD"/>
    <w:rsid w:val="008830FC"/>
    <w:rsid w:val="008914B2"/>
    <w:rsid w:val="00891615"/>
    <w:rsid w:val="0089658B"/>
    <w:rsid w:val="008A0D3A"/>
    <w:rsid w:val="008B255C"/>
    <w:rsid w:val="008C4EF2"/>
    <w:rsid w:val="008C6B6B"/>
    <w:rsid w:val="008D3CEE"/>
    <w:rsid w:val="008D45CA"/>
    <w:rsid w:val="008D55F3"/>
    <w:rsid w:val="008D5CE6"/>
    <w:rsid w:val="008E33DB"/>
    <w:rsid w:val="008E7497"/>
    <w:rsid w:val="008F1C41"/>
    <w:rsid w:val="008F1EC8"/>
    <w:rsid w:val="008F5342"/>
    <w:rsid w:val="009008DB"/>
    <w:rsid w:val="00902074"/>
    <w:rsid w:val="009056F0"/>
    <w:rsid w:val="00912FBC"/>
    <w:rsid w:val="00917B71"/>
    <w:rsid w:val="00922B96"/>
    <w:rsid w:val="009230E5"/>
    <w:rsid w:val="00927749"/>
    <w:rsid w:val="00930032"/>
    <w:rsid w:val="00930358"/>
    <w:rsid w:val="00931134"/>
    <w:rsid w:val="00936D6C"/>
    <w:rsid w:val="0094441F"/>
    <w:rsid w:val="00945558"/>
    <w:rsid w:val="0095712C"/>
    <w:rsid w:val="00966424"/>
    <w:rsid w:val="009666F3"/>
    <w:rsid w:val="0097310E"/>
    <w:rsid w:val="00983609"/>
    <w:rsid w:val="00995430"/>
    <w:rsid w:val="00996CF8"/>
    <w:rsid w:val="00997CDC"/>
    <w:rsid w:val="009A1253"/>
    <w:rsid w:val="009A2139"/>
    <w:rsid w:val="009A2B0A"/>
    <w:rsid w:val="009A2D4E"/>
    <w:rsid w:val="009A4850"/>
    <w:rsid w:val="009B3107"/>
    <w:rsid w:val="009B4580"/>
    <w:rsid w:val="009B6000"/>
    <w:rsid w:val="009B65AB"/>
    <w:rsid w:val="009C3442"/>
    <w:rsid w:val="009C466D"/>
    <w:rsid w:val="009D3EBC"/>
    <w:rsid w:val="009D6C6B"/>
    <w:rsid w:val="009D6EF1"/>
    <w:rsid w:val="009E4A1F"/>
    <w:rsid w:val="009E67B1"/>
    <w:rsid w:val="009F05F2"/>
    <w:rsid w:val="009F2EB3"/>
    <w:rsid w:val="009F36AA"/>
    <w:rsid w:val="009F4D6D"/>
    <w:rsid w:val="009F585A"/>
    <w:rsid w:val="009F7D7E"/>
    <w:rsid w:val="009F7E26"/>
    <w:rsid w:val="00A03C30"/>
    <w:rsid w:val="00A15D07"/>
    <w:rsid w:val="00A16DBA"/>
    <w:rsid w:val="00A16FCF"/>
    <w:rsid w:val="00A40771"/>
    <w:rsid w:val="00A42FCE"/>
    <w:rsid w:val="00A45B33"/>
    <w:rsid w:val="00A51E79"/>
    <w:rsid w:val="00A5480A"/>
    <w:rsid w:val="00A6512B"/>
    <w:rsid w:val="00A652EF"/>
    <w:rsid w:val="00A66A3A"/>
    <w:rsid w:val="00A70279"/>
    <w:rsid w:val="00A7141A"/>
    <w:rsid w:val="00A824A2"/>
    <w:rsid w:val="00A97BD0"/>
    <w:rsid w:val="00AA032A"/>
    <w:rsid w:val="00AA5721"/>
    <w:rsid w:val="00AB3CC5"/>
    <w:rsid w:val="00AC3B0C"/>
    <w:rsid w:val="00AD16A1"/>
    <w:rsid w:val="00AD3652"/>
    <w:rsid w:val="00AE0E97"/>
    <w:rsid w:val="00AE526E"/>
    <w:rsid w:val="00AE5CE8"/>
    <w:rsid w:val="00AE7EA6"/>
    <w:rsid w:val="00AF19ED"/>
    <w:rsid w:val="00AF5C4E"/>
    <w:rsid w:val="00B074CA"/>
    <w:rsid w:val="00B21898"/>
    <w:rsid w:val="00B33939"/>
    <w:rsid w:val="00B42470"/>
    <w:rsid w:val="00B42EDA"/>
    <w:rsid w:val="00B447C3"/>
    <w:rsid w:val="00B47369"/>
    <w:rsid w:val="00B50678"/>
    <w:rsid w:val="00B511D1"/>
    <w:rsid w:val="00B52B48"/>
    <w:rsid w:val="00B52D0D"/>
    <w:rsid w:val="00B5648D"/>
    <w:rsid w:val="00B6375A"/>
    <w:rsid w:val="00B63BFC"/>
    <w:rsid w:val="00B67464"/>
    <w:rsid w:val="00B74A1A"/>
    <w:rsid w:val="00B760F8"/>
    <w:rsid w:val="00B773D3"/>
    <w:rsid w:val="00B81398"/>
    <w:rsid w:val="00B829C3"/>
    <w:rsid w:val="00B82EDB"/>
    <w:rsid w:val="00B90308"/>
    <w:rsid w:val="00B90DD1"/>
    <w:rsid w:val="00B928CC"/>
    <w:rsid w:val="00B9527E"/>
    <w:rsid w:val="00BA5DD1"/>
    <w:rsid w:val="00BA72BE"/>
    <w:rsid w:val="00BA7EBB"/>
    <w:rsid w:val="00BB2032"/>
    <w:rsid w:val="00BB471F"/>
    <w:rsid w:val="00BB7826"/>
    <w:rsid w:val="00BC2DE0"/>
    <w:rsid w:val="00BD2CA6"/>
    <w:rsid w:val="00BD4CFF"/>
    <w:rsid w:val="00BD7D4B"/>
    <w:rsid w:val="00BE0177"/>
    <w:rsid w:val="00BE322C"/>
    <w:rsid w:val="00BF082E"/>
    <w:rsid w:val="00BF3795"/>
    <w:rsid w:val="00BF3A96"/>
    <w:rsid w:val="00BF496E"/>
    <w:rsid w:val="00BF530D"/>
    <w:rsid w:val="00C043D7"/>
    <w:rsid w:val="00C05A42"/>
    <w:rsid w:val="00C05E17"/>
    <w:rsid w:val="00C101B2"/>
    <w:rsid w:val="00C101CE"/>
    <w:rsid w:val="00C20165"/>
    <w:rsid w:val="00C27F83"/>
    <w:rsid w:val="00C34888"/>
    <w:rsid w:val="00C37935"/>
    <w:rsid w:val="00C46A54"/>
    <w:rsid w:val="00C47F8E"/>
    <w:rsid w:val="00C51547"/>
    <w:rsid w:val="00C5738E"/>
    <w:rsid w:val="00C628A6"/>
    <w:rsid w:val="00C63B9B"/>
    <w:rsid w:val="00C70701"/>
    <w:rsid w:val="00C73AD5"/>
    <w:rsid w:val="00C803C2"/>
    <w:rsid w:val="00C8691F"/>
    <w:rsid w:val="00C94754"/>
    <w:rsid w:val="00C96471"/>
    <w:rsid w:val="00CA094C"/>
    <w:rsid w:val="00CA19E5"/>
    <w:rsid w:val="00CA6556"/>
    <w:rsid w:val="00CA6A34"/>
    <w:rsid w:val="00CA7D92"/>
    <w:rsid w:val="00CA7E7E"/>
    <w:rsid w:val="00CB2522"/>
    <w:rsid w:val="00CB7C16"/>
    <w:rsid w:val="00CC26AC"/>
    <w:rsid w:val="00CC3796"/>
    <w:rsid w:val="00CD310C"/>
    <w:rsid w:val="00CD4F27"/>
    <w:rsid w:val="00CD55F7"/>
    <w:rsid w:val="00CE7E83"/>
    <w:rsid w:val="00CF29D4"/>
    <w:rsid w:val="00CF33BA"/>
    <w:rsid w:val="00CF5800"/>
    <w:rsid w:val="00CF69AA"/>
    <w:rsid w:val="00D038AF"/>
    <w:rsid w:val="00D03E93"/>
    <w:rsid w:val="00D04C30"/>
    <w:rsid w:val="00D14027"/>
    <w:rsid w:val="00D159B6"/>
    <w:rsid w:val="00D15AAC"/>
    <w:rsid w:val="00D22DE3"/>
    <w:rsid w:val="00D2723A"/>
    <w:rsid w:val="00D37160"/>
    <w:rsid w:val="00D40A8C"/>
    <w:rsid w:val="00D4108F"/>
    <w:rsid w:val="00D41892"/>
    <w:rsid w:val="00D505F7"/>
    <w:rsid w:val="00D50FCE"/>
    <w:rsid w:val="00D53E3A"/>
    <w:rsid w:val="00D62A91"/>
    <w:rsid w:val="00D65FD6"/>
    <w:rsid w:val="00D66E50"/>
    <w:rsid w:val="00D72F17"/>
    <w:rsid w:val="00D83BAD"/>
    <w:rsid w:val="00D962A5"/>
    <w:rsid w:val="00D96F16"/>
    <w:rsid w:val="00D97FC1"/>
    <w:rsid w:val="00DA000A"/>
    <w:rsid w:val="00DA2AEC"/>
    <w:rsid w:val="00DA3382"/>
    <w:rsid w:val="00DA3D5F"/>
    <w:rsid w:val="00DA48B3"/>
    <w:rsid w:val="00DB5363"/>
    <w:rsid w:val="00DB6AD7"/>
    <w:rsid w:val="00DB6E47"/>
    <w:rsid w:val="00DC23D9"/>
    <w:rsid w:val="00DC2AE3"/>
    <w:rsid w:val="00DC4C6D"/>
    <w:rsid w:val="00DC57C0"/>
    <w:rsid w:val="00DD1E82"/>
    <w:rsid w:val="00DD4724"/>
    <w:rsid w:val="00DD5AEB"/>
    <w:rsid w:val="00DE0682"/>
    <w:rsid w:val="00DE0A17"/>
    <w:rsid w:val="00DE39D8"/>
    <w:rsid w:val="00DE652D"/>
    <w:rsid w:val="00DE7CDA"/>
    <w:rsid w:val="00DF0018"/>
    <w:rsid w:val="00DF27C4"/>
    <w:rsid w:val="00DF3784"/>
    <w:rsid w:val="00DF4291"/>
    <w:rsid w:val="00DF4CF8"/>
    <w:rsid w:val="00DF71FD"/>
    <w:rsid w:val="00E0040D"/>
    <w:rsid w:val="00E076B7"/>
    <w:rsid w:val="00E11E4C"/>
    <w:rsid w:val="00E12505"/>
    <w:rsid w:val="00E13E4E"/>
    <w:rsid w:val="00E15815"/>
    <w:rsid w:val="00E2044D"/>
    <w:rsid w:val="00E21A4F"/>
    <w:rsid w:val="00E228D5"/>
    <w:rsid w:val="00E31E16"/>
    <w:rsid w:val="00E321AB"/>
    <w:rsid w:val="00E321BD"/>
    <w:rsid w:val="00E33997"/>
    <w:rsid w:val="00E33C31"/>
    <w:rsid w:val="00E34A28"/>
    <w:rsid w:val="00E42140"/>
    <w:rsid w:val="00E53295"/>
    <w:rsid w:val="00E60F45"/>
    <w:rsid w:val="00E6129C"/>
    <w:rsid w:val="00E7009D"/>
    <w:rsid w:val="00E7168D"/>
    <w:rsid w:val="00E85CAC"/>
    <w:rsid w:val="00E86ED1"/>
    <w:rsid w:val="00E8725B"/>
    <w:rsid w:val="00E874CC"/>
    <w:rsid w:val="00E87F0F"/>
    <w:rsid w:val="00E91D46"/>
    <w:rsid w:val="00E91EDE"/>
    <w:rsid w:val="00E92CF0"/>
    <w:rsid w:val="00E935B9"/>
    <w:rsid w:val="00E95840"/>
    <w:rsid w:val="00E96207"/>
    <w:rsid w:val="00E97E73"/>
    <w:rsid w:val="00EA22C3"/>
    <w:rsid w:val="00EA43FC"/>
    <w:rsid w:val="00EA68BB"/>
    <w:rsid w:val="00EC44D5"/>
    <w:rsid w:val="00EC5736"/>
    <w:rsid w:val="00EC79EC"/>
    <w:rsid w:val="00ED0627"/>
    <w:rsid w:val="00ED5F86"/>
    <w:rsid w:val="00ED62C1"/>
    <w:rsid w:val="00ED7F09"/>
    <w:rsid w:val="00EE05A7"/>
    <w:rsid w:val="00EE3594"/>
    <w:rsid w:val="00EE6060"/>
    <w:rsid w:val="00EF1EFF"/>
    <w:rsid w:val="00EF475E"/>
    <w:rsid w:val="00F01D42"/>
    <w:rsid w:val="00F122DB"/>
    <w:rsid w:val="00F17DFF"/>
    <w:rsid w:val="00F20090"/>
    <w:rsid w:val="00F2647B"/>
    <w:rsid w:val="00F26D5F"/>
    <w:rsid w:val="00F27493"/>
    <w:rsid w:val="00F3084D"/>
    <w:rsid w:val="00F454F4"/>
    <w:rsid w:val="00F5145E"/>
    <w:rsid w:val="00F53C3D"/>
    <w:rsid w:val="00F543DD"/>
    <w:rsid w:val="00F6429B"/>
    <w:rsid w:val="00F7249E"/>
    <w:rsid w:val="00F73458"/>
    <w:rsid w:val="00F76399"/>
    <w:rsid w:val="00F80DF0"/>
    <w:rsid w:val="00F84705"/>
    <w:rsid w:val="00FA3359"/>
    <w:rsid w:val="00FA49BD"/>
    <w:rsid w:val="00FB6836"/>
    <w:rsid w:val="00FB7F7E"/>
    <w:rsid w:val="00FC1ABB"/>
    <w:rsid w:val="00FC33F6"/>
    <w:rsid w:val="00FD1573"/>
    <w:rsid w:val="00FD76E8"/>
    <w:rsid w:val="00FE14AE"/>
    <w:rsid w:val="00FE1506"/>
    <w:rsid w:val="00FE16E6"/>
    <w:rsid w:val="00FE6A02"/>
    <w:rsid w:val="00FF0501"/>
    <w:rsid w:val="00FF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F3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B0"/>
    <w:pPr>
      <w:spacing w:after="0" w:line="240" w:lineRule="auto"/>
    </w:pPr>
    <w:rPr>
      <w:rFonts w:ascii="Calibri" w:hAnsi="Calibri" w:cs="Times New Roman"/>
      <w:sz w:val="24"/>
      <w:szCs w:val="20"/>
      <w:lang w:eastAsia="en-GB"/>
    </w:rPr>
  </w:style>
  <w:style w:type="paragraph" w:styleId="Heading1">
    <w:name w:val="heading 1"/>
    <w:basedOn w:val="Normal"/>
    <w:next w:val="Normal"/>
    <w:link w:val="Heading1Char"/>
    <w:uiPriority w:val="9"/>
    <w:qFormat/>
    <w:rsid w:val="00996CF8"/>
    <w:pPr>
      <w:keepNext/>
      <w:keepLines/>
      <w:spacing w:before="480"/>
      <w:outlineLvl w:val="0"/>
    </w:pPr>
    <w:rPr>
      <w:rFonts w:eastAsiaTheme="majorEastAsia" w:cstheme="majorBidi"/>
      <w:b/>
      <w:bCs/>
      <w:color w:val="0091C3"/>
      <w:sz w:val="32"/>
      <w:szCs w:val="28"/>
    </w:rPr>
  </w:style>
  <w:style w:type="paragraph" w:styleId="Heading2">
    <w:name w:val="heading 2"/>
    <w:basedOn w:val="Normal"/>
    <w:next w:val="Normal"/>
    <w:link w:val="Heading2Char"/>
    <w:uiPriority w:val="9"/>
    <w:unhideWhenUsed/>
    <w:qFormat/>
    <w:rsid w:val="00996CF8"/>
    <w:pPr>
      <w:keepNext/>
      <w:keepLines/>
      <w:spacing w:before="200"/>
      <w:outlineLvl w:val="1"/>
    </w:pPr>
    <w:rPr>
      <w:rFonts w:eastAsiaTheme="majorEastAsia" w:cstheme="majorBidi"/>
      <w:b/>
      <w:bCs/>
      <w:i/>
      <w:color w:val="0091C3"/>
      <w:sz w:val="26"/>
      <w:szCs w:val="26"/>
    </w:rPr>
  </w:style>
  <w:style w:type="paragraph" w:styleId="Heading3">
    <w:name w:val="heading 3"/>
    <w:basedOn w:val="Normal"/>
    <w:next w:val="Normal"/>
    <w:link w:val="Heading3Char"/>
    <w:uiPriority w:val="9"/>
    <w:unhideWhenUsed/>
    <w:qFormat/>
    <w:rsid w:val="00173C07"/>
    <w:pPr>
      <w:keepNext/>
      <w:keepLines/>
      <w:spacing w:before="200"/>
      <w:outlineLvl w:val="2"/>
    </w:pPr>
    <w:rPr>
      <w:rFonts w:eastAsiaTheme="majorEastAsia" w:cstheme="majorBidi"/>
      <w:b/>
      <w:bCs/>
      <w:color w:val="0091C3"/>
    </w:rPr>
  </w:style>
  <w:style w:type="paragraph" w:styleId="Heading4">
    <w:name w:val="heading 4"/>
    <w:basedOn w:val="Normal"/>
    <w:next w:val="Normal"/>
    <w:link w:val="Heading4Char"/>
    <w:uiPriority w:val="9"/>
    <w:unhideWhenUsed/>
    <w:qFormat/>
    <w:rsid w:val="00470337"/>
    <w:pPr>
      <w:keepNext/>
      <w:keepLines/>
      <w:spacing w:before="200"/>
      <w:outlineLvl w:val="3"/>
    </w:pPr>
    <w:rPr>
      <w:rFonts w:eastAsiaTheme="majorEastAsia" w:cstheme="majorBidi"/>
      <w:b/>
      <w:bCs/>
      <w:i/>
      <w:iCs/>
      <w:color w:val="0091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3C07"/>
    <w:rPr>
      <w:rFonts w:ascii="Calibri" w:eastAsiaTheme="majorEastAsia" w:hAnsi="Calibri" w:cstheme="majorBidi"/>
      <w:b/>
      <w:bCs/>
      <w:color w:val="0091C3"/>
      <w:sz w:val="24"/>
      <w:szCs w:val="20"/>
      <w:lang w:eastAsia="en-GB"/>
    </w:rPr>
  </w:style>
  <w:style w:type="character" w:customStyle="1" w:styleId="Heading1Char">
    <w:name w:val="Heading 1 Char"/>
    <w:basedOn w:val="DefaultParagraphFont"/>
    <w:link w:val="Heading1"/>
    <w:uiPriority w:val="9"/>
    <w:rsid w:val="00996CF8"/>
    <w:rPr>
      <w:rFonts w:ascii="Calibri" w:eastAsiaTheme="majorEastAsia" w:hAnsi="Calibri" w:cstheme="majorBidi"/>
      <w:b/>
      <w:bCs/>
      <w:color w:val="0091C3"/>
      <w:sz w:val="32"/>
      <w:szCs w:val="28"/>
    </w:rPr>
  </w:style>
  <w:style w:type="character" w:customStyle="1" w:styleId="Heading2Char">
    <w:name w:val="Heading 2 Char"/>
    <w:basedOn w:val="DefaultParagraphFont"/>
    <w:link w:val="Heading2"/>
    <w:uiPriority w:val="9"/>
    <w:rsid w:val="00996CF8"/>
    <w:rPr>
      <w:rFonts w:ascii="Calibri" w:eastAsiaTheme="majorEastAsia" w:hAnsi="Calibri" w:cstheme="majorBidi"/>
      <w:b/>
      <w:bCs/>
      <w:i/>
      <w:color w:val="0091C3"/>
      <w:sz w:val="26"/>
      <w:szCs w:val="26"/>
    </w:rPr>
  </w:style>
  <w:style w:type="paragraph" w:customStyle="1" w:styleId="MediumGrid1-Accent21">
    <w:name w:val="Medium Grid 1 - Accent 21"/>
    <w:basedOn w:val="Normal"/>
    <w:uiPriority w:val="34"/>
    <w:qFormat/>
    <w:rsid w:val="006F74EE"/>
    <w:pPr>
      <w:spacing w:before="120" w:after="120"/>
      <w:ind w:left="720"/>
      <w:contextualSpacing/>
    </w:pPr>
    <w:rPr>
      <w:rFonts w:eastAsia="Calibri"/>
      <w:szCs w:val="22"/>
    </w:rPr>
  </w:style>
  <w:style w:type="paragraph" w:customStyle="1" w:styleId="QuoteLabel">
    <w:name w:val="Quote Label"/>
    <w:basedOn w:val="Quote"/>
    <w:next w:val="Normal"/>
    <w:qFormat/>
    <w:rsid w:val="00DD4724"/>
    <w:pPr>
      <w:jc w:val="right"/>
    </w:pPr>
  </w:style>
  <w:style w:type="paragraph" w:styleId="Quote">
    <w:name w:val="Quote"/>
    <w:basedOn w:val="Normal"/>
    <w:next w:val="QuoteLabel"/>
    <w:link w:val="QuoteChar"/>
    <w:uiPriority w:val="29"/>
    <w:qFormat/>
    <w:rsid w:val="00DD4724"/>
    <w:pPr>
      <w:ind w:left="720" w:right="720"/>
    </w:pPr>
    <w:rPr>
      <w:i/>
      <w:iCs/>
      <w:color w:val="000000" w:themeColor="text1"/>
    </w:rPr>
  </w:style>
  <w:style w:type="character" w:customStyle="1" w:styleId="QuoteChar">
    <w:name w:val="Quote Char"/>
    <w:basedOn w:val="DefaultParagraphFont"/>
    <w:link w:val="Quote"/>
    <w:uiPriority w:val="29"/>
    <w:rsid w:val="00DD4724"/>
    <w:rPr>
      <w:rFonts w:cs="Times New Roman"/>
      <w:i/>
      <w:iCs/>
      <w:color w:val="000000" w:themeColor="text1"/>
      <w:sz w:val="24"/>
      <w:szCs w:val="20"/>
    </w:rPr>
  </w:style>
  <w:style w:type="paragraph" w:styleId="CommentText">
    <w:name w:val="annotation text"/>
    <w:basedOn w:val="Normal"/>
    <w:link w:val="CommentTextChar"/>
    <w:uiPriority w:val="99"/>
    <w:unhideWhenUsed/>
    <w:rsid w:val="001A4FB3"/>
  </w:style>
  <w:style w:type="character" w:customStyle="1" w:styleId="CommentTextChar">
    <w:name w:val="Comment Text Char"/>
    <w:basedOn w:val="DefaultParagraphFont"/>
    <w:link w:val="CommentText"/>
    <w:uiPriority w:val="99"/>
    <w:rsid w:val="001A4FB3"/>
    <w:rPr>
      <w:rFonts w:cs="Tahoma"/>
      <w:sz w:val="24"/>
      <w:szCs w:val="20"/>
    </w:rPr>
  </w:style>
  <w:style w:type="character" w:customStyle="1" w:styleId="Heading4Char">
    <w:name w:val="Heading 4 Char"/>
    <w:basedOn w:val="DefaultParagraphFont"/>
    <w:link w:val="Heading4"/>
    <w:uiPriority w:val="9"/>
    <w:rsid w:val="00470337"/>
    <w:rPr>
      <w:rFonts w:eastAsiaTheme="majorEastAsia" w:cstheme="majorBidi"/>
      <w:b/>
      <w:bCs/>
      <w:i/>
      <w:iCs/>
      <w:color w:val="0091C3"/>
      <w:sz w:val="24"/>
      <w:szCs w:val="24"/>
      <w:lang w:eastAsia="en-GB"/>
    </w:rPr>
  </w:style>
  <w:style w:type="character" w:styleId="Hyperlink">
    <w:name w:val="Hyperlink"/>
    <w:basedOn w:val="DefaultParagraphFont"/>
    <w:rsid w:val="00D03E93"/>
    <w:rPr>
      <w:color w:val="0000FF"/>
      <w:u w:val="single"/>
    </w:rPr>
  </w:style>
  <w:style w:type="character" w:styleId="Strong">
    <w:name w:val="Strong"/>
    <w:basedOn w:val="DefaultParagraphFont"/>
    <w:qFormat/>
    <w:rsid w:val="00D03E93"/>
    <w:rPr>
      <w:b/>
      <w:bCs/>
    </w:rPr>
  </w:style>
  <w:style w:type="paragraph" w:customStyle="1" w:styleId="Normal11pt">
    <w:name w:val="Normal + 11 pt"/>
    <w:basedOn w:val="Normal"/>
    <w:rsid w:val="00D03E93"/>
    <w:pPr>
      <w:numPr>
        <w:numId w:val="2"/>
      </w:numPr>
    </w:pPr>
  </w:style>
  <w:style w:type="character" w:styleId="FollowedHyperlink">
    <w:name w:val="FollowedHyperlink"/>
    <w:basedOn w:val="DefaultParagraphFont"/>
    <w:uiPriority w:val="99"/>
    <w:semiHidden/>
    <w:unhideWhenUsed/>
    <w:rsid w:val="00585DF7"/>
    <w:rPr>
      <w:color w:val="800080" w:themeColor="followedHyperlink"/>
      <w:u w:val="single"/>
    </w:rPr>
  </w:style>
  <w:style w:type="paragraph" w:styleId="ListParagraph">
    <w:name w:val="List Paragraph"/>
    <w:basedOn w:val="Normal"/>
    <w:uiPriority w:val="34"/>
    <w:qFormat/>
    <w:rsid w:val="00A6512B"/>
    <w:pPr>
      <w:ind w:left="720"/>
      <w:contextualSpacing/>
    </w:pPr>
  </w:style>
  <w:style w:type="paragraph" w:customStyle="1" w:styleId="Normal0">
    <w:name w:val="[Normal]"/>
    <w:uiPriority w:val="99"/>
    <w:rsid w:val="00402080"/>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E3B64"/>
    <w:pPr>
      <w:tabs>
        <w:tab w:val="center" w:pos="4513"/>
        <w:tab w:val="right" w:pos="9026"/>
      </w:tabs>
    </w:pPr>
  </w:style>
  <w:style w:type="character" w:customStyle="1" w:styleId="HeaderChar">
    <w:name w:val="Header Char"/>
    <w:basedOn w:val="DefaultParagraphFont"/>
    <w:link w:val="Header"/>
    <w:uiPriority w:val="99"/>
    <w:rsid w:val="006E3B64"/>
    <w:rPr>
      <w:rFonts w:ascii="Calibri" w:hAnsi="Calibri" w:cs="Times New Roman"/>
      <w:sz w:val="24"/>
      <w:szCs w:val="20"/>
      <w:lang w:eastAsia="en-GB"/>
    </w:rPr>
  </w:style>
  <w:style w:type="paragraph" w:styleId="Footer">
    <w:name w:val="footer"/>
    <w:basedOn w:val="Normal"/>
    <w:link w:val="FooterChar"/>
    <w:uiPriority w:val="99"/>
    <w:unhideWhenUsed/>
    <w:rsid w:val="006E3B64"/>
    <w:pPr>
      <w:tabs>
        <w:tab w:val="center" w:pos="4513"/>
        <w:tab w:val="right" w:pos="9026"/>
      </w:tabs>
    </w:pPr>
  </w:style>
  <w:style w:type="character" w:customStyle="1" w:styleId="FooterChar">
    <w:name w:val="Footer Char"/>
    <w:basedOn w:val="DefaultParagraphFont"/>
    <w:link w:val="Footer"/>
    <w:uiPriority w:val="99"/>
    <w:rsid w:val="006E3B64"/>
    <w:rPr>
      <w:rFonts w:ascii="Calibri" w:hAnsi="Calibri" w:cs="Times New Roman"/>
      <w:sz w:val="24"/>
      <w:szCs w:val="20"/>
      <w:lang w:eastAsia="en-GB"/>
    </w:rPr>
  </w:style>
  <w:style w:type="paragraph" w:styleId="BalloonText">
    <w:name w:val="Balloon Text"/>
    <w:basedOn w:val="Normal"/>
    <w:link w:val="BalloonTextChar"/>
    <w:uiPriority w:val="99"/>
    <w:semiHidden/>
    <w:unhideWhenUsed/>
    <w:rsid w:val="006E3B64"/>
    <w:rPr>
      <w:rFonts w:ascii="Tahoma" w:hAnsi="Tahoma" w:cs="Tahoma"/>
      <w:sz w:val="16"/>
      <w:szCs w:val="16"/>
    </w:rPr>
  </w:style>
  <w:style w:type="character" w:customStyle="1" w:styleId="BalloonTextChar">
    <w:name w:val="Balloon Text Char"/>
    <w:basedOn w:val="DefaultParagraphFont"/>
    <w:link w:val="BalloonText"/>
    <w:uiPriority w:val="99"/>
    <w:semiHidden/>
    <w:rsid w:val="006E3B64"/>
    <w:rPr>
      <w:rFonts w:ascii="Tahoma" w:hAnsi="Tahoma" w:cs="Tahoma"/>
      <w:sz w:val="16"/>
      <w:szCs w:val="16"/>
      <w:lang w:eastAsia="en-GB"/>
    </w:rPr>
  </w:style>
  <w:style w:type="character" w:styleId="CommentReference">
    <w:name w:val="annotation reference"/>
    <w:basedOn w:val="DefaultParagraphFont"/>
    <w:uiPriority w:val="99"/>
    <w:semiHidden/>
    <w:unhideWhenUsed/>
    <w:rsid w:val="0070525C"/>
    <w:rPr>
      <w:sz w:val="16"/>
      <w:szCs w:val="16"/>
    </w:rPr>
  </w:style>
  <w:style w:type="paragraph" w:styleId="CommentSubject">
    <w:name w:val="annotation subject"/>
    <w:basedOn w:val="CommentText"/>
    <w:next w:val="CommentText"/>
    <w:link w:val="CommentSubjectChar"/>
    <w:uiPriority w:val="99"/>
    <w:semiHidden/>
    <w:unhideWhenUsed/>
    <w:rsid w:val="0070525C"/>
    <w:rPr>
      <w:b/>
      <w:bCs/>
      <w:sz w:val="20"/>
    </w:rPr>
  </w:style>
  <w:style w:type="character" w:customStyle="1" w:styleId="CommentSubjectChar">
    <w:name w:val="Comment Subject Char"/>
    <w:basedOn w:val="CommentTextChar"/>
    <w:link w:val="CommentSubject"/>
    <w:uiPriority w:val="99"/>
    <w:semiHidden/>
    <w:rsid w:val="0070525C"/>
    <w:rPr>
      <w:rFonts w:ascii="Calibri" w:hAnsi="Calibri" w:cs="Times New Roman"/>
      <w:b/>
      <w:bCs/>
      <w:sz w:val="20"/>
      <w:szCs w:val="20"/>
      <w:lang w:eastAsia="en-GB"/>
    </w:rPr>
  </w:style>
  <w:style w:type="paragraph" w:styleId="Revision">
    <w:name w:val="Revision"/>
    <w:hidden/>
    <w:uiPriority w:val="99"/>
    <w:semiHidden/>
    <w:rsid w:val="00CC3796"/>
    <w:pPr>
      <w:spacing w:after="0" w:line="240" w:lineRule="auto"/>
    </w:pPr>
    <w:rPr>
      <w:rFonts w:ascii="Calibri" w:hAnsi="Calibri" w:cs="Times New Roman"/>
      <w:sz w:val="24"/>
      <w:szCs w:val="20"/>
      <w:lang w:eastAsia="en-GB"/>
    </w:rPr>
  </w:style>
  <w:style w:type="paragraph" w:styleId="DocumentMap">
    <w:name w:val="Document Map"/>
    <w:basedOn w:val="Normal"/>
    <w:link w:val="DocumentMapChar"/>
    <w:uiPriority w:val="99"/>
    <w:semiHidden/>
    <w:unhideWhenUsed/>
    <w:rsid w:val="00AC3B0C"/>
    <w:rPr>
      <w:rFonts w:ascii="Tahoma" w:hAnsi="Tahoma" w:cs="Tahoma"/>
      <w:sz w:val="16"/>
      <w:szCs w:val="16"/>
    </w:rPr>
  </w:style>
  <w:style w:type="character" w:customStyle="1" w:styleId="DocumentMapChar">
    <w:name w:val="Document Map Char"/>
    <w:basedOn w:val="DefaultParagraphFont"/>
    <w:link w:val="DocumentMap"/>
    <w:uiPriority w:val="99"/>
    <w:semiHidden/>
    <w:rsid w:val="00AC3B0C"/>
    <w:rPr>
      <w:rFonts w:ascii="Tahoma" w:hAnsi="Tahoma" w:cs="Tahoma"/>
      <w:sz w:val="16"/>
      <w:szCs w:val="16"/>
      <w:lang w:eastAsia="en-GB"/>
    </w:rPr>
  </w:style>
  <w:style w:type="table" w:styleId="TableGrid">
    <w:name w:val="Table Grid"/>
    <w:basedOn w:val="TableNormal"/>
    <w:uiPriority w:val="59"/>
    <w:rsid w:val="008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B0"/>
    <w:pPr>
      <w:spacing w:after="0" w:line="240" w:lineRule="auto"/>
    </w:pPr>
    <w:rPr>
      <w:rFonts w:ascii="Calibri" w:hAnsi="Calibri" w:cs="Times New Roman"/>
      <w:sz w:val="24"/>
      <w:szCs w:val="20"/>
      <w:lang w:eastAsia="en-GB"/>
    </w:rPr>
  </w:style>
  <w:style w:type="paragraph" w:styleId="Heading1">
    <w:name w:val="heading 1"/>
    <w:basedOn w:val="Normal"/>
    <w:next w:val="Normal"/>
    <w:link w:val="Heading1Char"/>
    <w:uiPriority w:val="9"/>
    <w:qFormat/>
    <w:rsid w:val="00996CF8"/>
    <w:pPr>
      <w:keepNext/>
      <w:keepLines/>
      <w:spacing w:before="480"/>
      <w:outlineLvl w:val="0"/>
    </w:pPr>
    <w:rPr>
      <w:rFonts w:eastAsiaTheme="majorEastAsia" w:cstheme="majorBidi"/>
      <w:b/>
      <w:bCs/>
      <w:color w:val="0091C3"/>
      <w:sz w:val="32"/>
      <w:szCs w:val="28"/>
    </w:rPr>
  </w:style>
  <w:style w:type="paragraph" w:styleId="Heading2">
    <w:name w:val="heading 2"/>
    <w:basedOn w:val="Normal"/>
    <w:next w:val="Normal"/>
    <w:link w:val="Heading2Char"/>
    <w:uiPriority w:val="9"/>
    <w:unhideWhenUsed/>
    <w:qFormat/>
    <w:rsid w:val="00996CF8"/>
    <w:pPr>
      <w:keepNext/>
      <w:keepLines/>
      <w:spacing w:before="200"/>
      <w:outlineLvl w:val="1"/>
    </w:pPr>
    <w:rPr>
      <w:rFonts w:eastAsiaTheme="majorEastAsia" w:cstheme="majorBidi"/>
      <w:b/>
      <w:bCs/>
      <w:i/>
      <w:color w:val="0091C3"/>
      <w:sz w:val="26"/>
      <w:szCs w:val="26"/>
    </w:rPr>
  </w:style>
  <w:style w:type="paragraph" w:styleId="Heading3">
    <w:name w:val="heading 3"/>
    <w:basedOn w:val="Normal"/>
    <w:next w:val="Normal"/>
    <w:link w:val="Heading3Char"/>
    <w:uiPriority w:val="9"/>
    <w:unhideWhenUsed/>
    <w:qFormat/>
    <w:rsid w:val="00173C07"/>
    <w:pPr>
      <w:keepNext/>
      <w:keepLines/>
      <w:spacing w:before="200"/>
      <w:outlineLvl w:val="2"/>
    </w:pPr>
    <w:rPr>
      <w:rFonts w:eastAsiaTheme="majorEastAsia" w:cstheme="majorBidi"/>
      <w:b/>
      <w:bCs/>
      <w:color w:val="0091C3"/>
    </w:rPr>
  </w:style>
  <w:style w:type="paragraph" w:styleId="Heading4">
    <w:name w:val="heading 4"/>
    <w:basedOn w:val="Normal"/>
    <w:next w:val="Normal"/>
    <w:link w:val="Heading4Char"/>
    <w:uiPriority w:val="9"/>
    <w:unhideWhenUsed/>
    <w:qFormat/>
    <w:rsid w:val="00470337"/>
    <w:pPr>
      <w:keepNext/>
      <w:keepLines/>
      <w:spacing w:before="200"/>
      <w:outlineLvl w:val="3"/>
    </w:pPr>
    <w:rPr>
      <w:rFonts w:eastAsiaTheme="majorEastAsia" w:cstheme="majorBidi"/>
      <w:b/>
      <w:bCs/>
      <w:i/>
      <w:iCs/>
      <w:color w:val="0091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3C07"/>
    <w:rPr>
      <w:rFonts w:ascii="Calibri" w:eastAsiaTheme="majorEastAsia" w:hAnsi="Calibri" w:cstheme="majorBidi"/>
      <w:b/>
      <w:bCs/>
      <w:color w:val="0091C3"/>
      <w:sz w:val="24"/>
      <w:szCs w:val="20"/>
      <w:lang w:eastAsia="en-GB"/>
    </w:rPr>
  </w:style>
  <w:style w:type="character" w:customStyle="1" w:styleId="Heading1Char">
    <w:name w:val="Heading 1 Char"/>
    <w:basedOn w:val="DefaultParagraphFont"/>
    <w:link w:val="Heading1"/>
    <w:uiPriority w:val="9"/>
    <w:rsid w:val="00996CF8"/>
    <w:rPr>
      <w:rFonts w:ascii="Calibri" w:eastAsiaTheme="majorEastAsia" w:hAnsi="Calibri" w:cstheme="majorBidi"/>
      <w:b/>
      <w:bCs/>
      <w:color w:val="0091C3"/>
      <w:sz w:val="32"/>
      <w:szCs w:val="28"/>
    </w:rPr>
  </w:style>
  <w:style w:type="character" w:customStyle="1" w:styleId="Heading2Char">
    <w:name w:val="Heading 2 Char"/>
    <w:basedOn w:val="DefaultParagraphFont"/>
    <w:link w:val="Heading2"/>
    <w:uiPriority w:val="9"/>
    <w:rsid w:val="00996CF8"/>
    <w:rPr>
      <w:rFonts w:ascii="Calibri" w:eastAsiaTheme="majorEastAsia" w:hAnsi="Calibri" w:cstheme="majorBidi"/>
      <w:b/>
      <w:bCs/>
      <w:i/>
      <w:color w:val="0091C3"/>
      <w:sz w:val="26"/>
      <w:szCs w:val="26"/>
    </w:rPr>
  </w:style>
  <w:style w:type="paragraph" w:customStyle="1" w:styleId="MediumGrid1-Accent21">
    <w:name w:val="Medium Grid 1 - Accent 21"/>
    <w:basedOn w:val="Normal"/>
    <w:uiPriority w:val="34"/>
    <w:qFormat/>
    <w:rsid w:val="006F74EE"/>
    <w:pPr>
      <w:spacing w:before="120" w:after="120"/>
      <w:ind w:left="720"/>
      <w:contextualSpacing/>
    </w:pPr>
    <w:rPr>
      <w:rFonts w:eastAsia="Calibri"/>
      <w:szCs w:val="22"/>
    </w:rPr>
  </w:style>
  <w:style w:type="paragraph" w:customStyle="1" w:styleId="QuoteLabel">
    <w:name w:val="Quote Label"/>
    <w:basedOn w:val="Quote"/>
    <w:next w:val="Normal"/>
    <w:qFormat/>
    <w:rsid w:val="00DD4724"/>
    <w:pPr>
      <w:jc w:val="right"/>
    </w:pPr>
  </w:style>
  <w:style w:type="paragraph" w:styleId="Quote">
    <w:name w:val="Quote"/>
    <w:basedOn w:val="Normal"/>
    <w:next w:val="QuoteLabel"/>
    <w:link w:val="QuoteChar"/>
    <w:uiPriority w:val="29"/>
    <w:qFormat/>
    <w:rsid w:val="00DD4724"/>
    <w:pPr>
      <w:ind w:left="720" w:right="720"/>
    </w:pPr>
    <w:rPr>
      <w:i/>
      <w:iCs/>
      <w:color w:val="000000" w:themeColor="text1"/>
    </w:rPr>
  </w:style>
  <w:style w:type="character" w:customStyle="1" w:styleId="QuoteChar">
    <w:name w:val="Quote Char"/>
    <w:basedOn w:val="DefaultParagraphFont"/>
    <w:link w:val="Quote"/>
    <w:uiPriority w:val="29"/>
    <w:rsid w:val="00DD4724"/>
    <w:rPr>
      <w:rFonts w:cs="Times New Roman"/>
      <w:i/>
      <w:iCs/>
      <w:color w:val="000000" w:themeColor="text1"/>
      <w:sz w:val="24"/>
      <w:szCs w:val="20"/>
    </w:rPr>
  </w:style>
  <w:style w:type="paragraph" w:styleId="CommentText">
    <w:name w:val="annotation text"/>
    <w:basedOn w:val="Normal"/>
    <w:link w:val="CommentTextChar"/>
    <w:uiPriority w:val="99"/>
    <w:unhideWhenUsed/>
    <w:rsid w:val="001A4FB3"/>
  </w:style>
  <w:style w:type="character" w:customStyle="1" w:styleId="CommentTextChar">
    <w:name w:val="Comment Text Char"/>
    <w:basedOn w:val="DefaultParagraphFont"/>
    <w:link w:val="CommentText"/>
    <w:uiPriority w:val="99"/>
    <w:rsid w:val="001A4FB3"/>
    <w:rPr>
      <w:rFonts w:cs="Tahoma"/>
      <w:sz w:val="24"/>
      <w:szCs w:val="20"/>
    </w:rPr>
  </w:style>
  <w:style w:type="character" w:customStyle="1" w:styleId="Heading4Char">
    <w:name w:val="Heading 4 Char"/>
    <w:basedOn w:val="DefaultParagraphFont"/>
    <w:link w:val="Heading4"/>
    <w:uiPriority w:val="9"/>
    <w:rsid w:val="00470337"/>
    <w:rPr>
      <w:rFonts w:eastAsiaTheme="majorEastAsia" w:cstheme="majorBidi"/>
      <w:b/>
      <w:bCs/>
      <w:i/>
      <w:iCs/>
      <w:color w:val="0091C3"/>
      <w:sz w:val="24"/>
      <w:szCs w:val="24"/>
      <w:lang w:eastAsia="en-GB"/>
    </w:rPr>
  </w:style>
  <w:style w:type="character" w:styleId="Hyperlink">
    <w:name w:val="Hyperlink"/>
    <w:basedOn w:val="DefaultParagraphFont"/>
    <w:rsid w:val="00D03E93"/>
    <w:rPr>
      <w:color w:val="0000FF"/>
      <w:u w:val="single"/>
    </w:rPr>
  </w:style>
  <w:style w:type="character" w:styleId="Strong">
    <w:name w:val="Strong"/>
    <w:basedOn w:val="DefaultParagraphFont"/>
    <w:qFormat/>
    <w:rsid w:val="00D03E93"/>
    <w:rPr>
      <w:b/>
      <w:bCs/>
    </w:rPr>
  </w:style>
  <w:style w:type="paragraph" w:customStyle="1" w:styleId="Normal11pt">
    <w:name w:val="Normal + 11 pt"/>
    <w:basedOn w:val="Normal"/>
    <w:rsid w:val="00D03E93"/>
    <w:pPr>
      <w:numPr>
        <w:numId w:val="2"/>
      </w:numPr>
    </w:pPr>
  </w:style>
  <w:style w:type="character" w:styleId="FollowedHyperlink">
    <w:name w:val="FollowedHyperlink"/>
    <w:basedOn w:val="DefaultParagraphFont"/>
    <w:uiPriority w:val="99"/>
    <w:semiHidden/>
    <w:unhideWhenUsed/>
    <w:rsid w:val="00585DF7"/>
    <w:rPr>
      <w:color w:val="800080" w:themeColor="followedHyperlink"/>
      <w:u w:val="single"/>
    </w:rPr>
  </w:style>
  <w:style w:type="paragraph" w:styleId="ListParagraph">
    <w:name w:val="List Paragraph"/>
    <w:basedOn w:val="Normal"/>
    <w:uiPriority w:val="34"/>
    <w:qFormat/>
    <w:rsid w:val="00A6512B"/>
    <w:pPr>
      <w:ind w:left="720"/>
      <w:contextualSpacing/>
    </w:pPr>
  </w:style>
  <w:style w:type="paragraph" w:customStyle="1" w:styleId="Normal0">
    <w:name w:val="[Normal]"/>
    <w:uiPriority w:val="99"/>
    <w:rsid w:val="00402080"/>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6E3B64"/>
    <w:pPr>
      <w:tabs>
        <w:tab w:val="center" w:pos="4513"/>
        <w:tab w:val="right" w:pos="9026"/>
      </w:tabs>
    </w:pPr>
  </w:style>
  <w:style w:type="character" w:customStyle="1" w:styleId="HeaderChar">
    <w:name w:val="Header Char"/>
    <w:basedOn w:val="DefaultParagraphFont"/>
    <w:link w:val="Header"/>
    <w:uiPriority w:val="99"/>
    <w:rsid w:val="006E3B64"/>
    <w:rPr>
      <w:rFonts w:ascii="Calibri" w:hAnsi="Calibri" w:cs="Times New Roman"/>
      <w:sz w:val="24"/>
      <w:szCs w:val="20"/>
      <w:lang w:eastAsia="en-GB"/>
    </w:rPr>
  </w:style>
  <w:style w:type="paragraph" w:styleId="Footer">
    <w:name w:val="footer"/>
    <w:basedOn w:val="Normal"/>
    <w:link w:val="FooterChar"/>
    <w:uiPriority w:val="99"/>
    <w:unhideWhenUsed/>
    <w:rsid w:val="006E3B64"/>
    <w:pPr>
      <w:tabs>
        <w:tab w:val="center" w:pos="4513"/>
        <w:tab w:val="right" w:pos="9026"/>
      </w:tabs>
    </w:pPr>
  </w:style>
  <w:style w:type="character" w:customStyle="1" w:styleId="FooterChar">
    <w:name w:val="Footer Char"/>
    <w:basedOn w:val="DefaultParagraphFont"/>
    <w:link w:val="Footer"/>
    <w:uiPriority w:val="99"/>
    <w:rsid w:val="006E3B64"/>
    <w:rPr>
      <w:rFonts w:ascii="Calibri" w:hAnsi="Calibri" w:cs="Times New Roman"/>
      <w:sz w:val="24"/>
      <w:szCs w:val="20"/>
      <w:lang w:eastAsia="en-GB"/>
    </w:rPr>
  </w:style>
  <w:style w:type="paragraph" w:styleId="BalloonText">
    <w:name w:val="Balloon Text"/>
    <w:basedOn w:val="Normal"/>
    <w:link w:val="BalloonTextChar"/>
    <w:uiPriority w:val="99"/>
    <w:semiHidden/>
    <w:unhideWhenUsed/>
    <w:rsid w:val="006E3B64"/>
    <w:rPr>
      <w:rFonts w:ascii="Tahoma" w:hAnsi="Tahoma" w:cs="Tahoma"/>
      <w:sz w:val="16"/>
      <w:szCs w:val="16"/>
    </w:rPr>
  </w:style>
  <w:style w:type="character" w:customStyle="1" w:styleId="BalloonTextChar">
    <w:name w:val="Balloon Text Char"/>
    <w:basedOn w:val="DefaultParagraphFont"/>
    <w:link w:val="BalloonText"/>
    <w:uiPriority w:val="99"/>
    <w:semiHidden/>
    <w:rsid w:val="006E3B64"/>
    <w:rPr>
      <w:rFonts w:ascii="Tahoma" w:hAnsi="Tahoma" w:cs="Tahoma"/>
      <w:sz w:val="16"/>
      <w:szCs w:val="16"/>
      <w:lang w:eastAsia="en-GB"/>
    </w:rPr>
  </w:style>
  <w:style w:type="character" w:styleId="CommentReference">
    <w:name w:val="annotation reference"/>
    <w:basedOn w:val="DefaultParagraphFont"/>
    <w:uiPriority w:val="99"/>
    <w:semiHidden/>
    <w:unhideWhenUsed/>
    <w:rsid w:val="0070525C"/>
    <w:rPr>
      <w:sz w:val="16"/>
      <w:szCs w:val="16"/>
    </w:rPr>
  </w:style>
  <w:style w:type="paragraph" w:styleId="CommentSubject">
    <w:name w:val="annotation subject"/>
    <w:basedOn w:val="CommentText"/>
    <w:next w:val="CommentText"/>
    <w:link w:val="CommentSubjectChar"/>
    <w:uiPriority w:val="99"/>
    <w:semiHidden/>
    <w:unhideWhenUsed/>
    <w:rsid w:val="0070525C"/>
    <w:rPr>
      <w:b/>
      <w:bCs/>
      <w:sz w:val="20"/>
    </w:rPr>
  </w:style>
  <w:style w:type="character" w:customStyle="1" w:styleId="CommentSubjectChar">
    <w:name w:val="Comment Subject Char"/>
    <w:basedOn w:val="CommentTextChar"/>
    <w:link w:val="CommentSubject"/>
    <w:uiPriority w:val="99"/>
    <w:semiHidden/>
    <w:rsid w:val="0070525C"/>
    <w:rPr>
      <w:rFonts w:ascii="Calibri" w:hAnsi="Calibri" w:cs="Times New Roman"/>
      <w:b/>
      <w:bCs/>
      <w:sz w:val="20"/>
      <w:szCs w:val="20"/>
      <w:lang w:eastAsia="en-GB"/>
    </w:rPr>
  </w:style>
  <w:style w:type="paragraph" w:styleId="Revision">
    <w:name w:val="Revision"/>
    <w:hidden/>
    <w:uiPriority w:val="99"/>
    <w:semiHidden/>
    <w:rsid w:val="00CC3796"/>
    <w:pPr>
      <w:spacing w:after="0" w:line="240" w:lineRule="auto"/>
    </w:pPr>
    <w:rPr>
      <w:rFonts w:ascii="Calibri" w:hAnsi="Calibri" w:cs="Times New Roman"/>
      <w:sz w:val="24"/>
      <w:szCs w:val="20"/>
      <w:lang w:eastAsia="en-GB"/>
    </w:rPr>
  </w:style>
  <w:style w:type="paragraph" w:styleId="DocumentMap">
    <w:name w:val="Document Map"/>
    <w:basedOn w:val="Normal"/>
    <w:link w:val="DocumentMapChar"/>
    <w:uiPriority w:val="99"/>
    <w:semiHidden/>
    <w:unhideWhenUsed/>
    <w:rsid w:val="00AC3B0C"/>
    <w:rPr>
      <w:rFonts w:ascii="Tahoma" w:hAnsi="Tahoma" w:cs="Tahoma"/>
      <w:sz w:val="16"/>
      <w:szCs w:val="16"/>
    </w:rPr>
  </w:style>
  <w:style w:type="character" w:customStyle="1" w:styleId="DocumentMapChar">
    <w:name w:val="Document Map Char"/>
    <w:basedOn w:val="DefaultParagraphFont"/>
    <w:link w:val="DocumentMap"/>
    <w:uiPriority w:val="99"/>
    <w:semiHidden/>
    <w:rsid w:val="00AC3B0C"/>
    <w:rPr>
      <w:rFonts w:ascii="Tahoma" w:hAnsi="Tahoma" w:cs="Tahoma"/>
      <w:sz w:val="16"/>
      <w:szCs w:val="16"/>
      <w:lang w:eastAsia="en-GB"/>
    </w:rPr>
  </w:style>
  <w:style w:type="table" w:styleId="TableGrid">
    <w:name w:val="Table Grid"/>
    <w:basedOn w:val="TableNormal"/>
    <w:uiPriority w:val="59"/>
    <w:rsid w:val="008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69724">
      <w:bodyDiv w:val="1"/>
      <w:marLeft w:val="0"/>
      <w:marRight w:val="0"/>
      <w:marTop w:val="0"/>
      <w:marBottom w:val="0"/>
      <w:divBdr>
        <w:top w:val="none" w:sz="0" w:space="0" w:color="auto"/>
        <w:left w:val="none" w:sz="0" w:space="0" w:color="auto"/>
        <w:bottom w:val="none" w:sz="0" w:space="0" w:color="auto"/>
        <w:right w:val="none" w:sz="0" w:space="0" w:color="auto"/>
      </w:divBdr>
    </w:div>
    <w:div w:id="1545025151">
      <w:bodyDiv w:val="1"/>
      <w:marLeft w:val="0"/>
      <w:marRight w:val="0"/>
      <w:marTop w:val="0"/>
      <w:marBottom w:val="0"/>
      <w:divBdr>
        <w:top w:val="none" w:sz="0" w:space="0" w:color="auto"/>
        <w:left w:val="none" w:sz="0" w:space="0" w:color="auto"/>
        <w:bottom w:val="none" w:sz="0" w:space="0" w:color="auto"/>
        <w:right w:val="none" w:sz="0" w:space="0" w:color="auto"/>
      </w:divBdr>
    </w:div>
    <w:div w:id="1574700759">
      <w:bodyDiv w:val="1"/>
      <w:marLeft w:val="0"/>
      <w:marRight w:val="0"/>
      <w:marTop w:val="0"/>
      <w:marBottom w:val="0"/>
      <w:divBdr>
        <w:top w:val="none" w:sz="0" w:space="0" w:color="auto"/>
        <w:left w:val="none" w:sz="0" w:space="0" w:color="auto"/>
        <w:bottom w:val="none" w:sz="0" w:space="0" w:color="auto"/>
        <w:right w:val="none" w:sz="0" w:space="0" w:color="auto"/>
      </w:divBdr>
      <w:divsChild>
        <w:div w:id="897789477">
          <w:marLeft w:val="0"/>
          <w:marRight w:val="0"/>
          <w:marTop w:val="0"/>
          <w:marBottom w:val="0"/>
          <w:divBdr>
            <w:top w:val="single" w:sz="2" w:space="0" w:color="2E2E2E"/>
            <w:left w:val="single" w:sz="2" w:space="0" w:color="2E2E2E"/>
            <w:bottom w:val="single" w:sz="2" w:space="0" w:color="2E2E2E"/>
            <w:right w:val="single" w:sz="2" w:space="0" w:color="2E2E2E"/>
          </w:divBdr>
          <w:divsChild>
            <w:div w:id="1276979124">
              <w:marLeft w:val="0"/>
              <w:marRight w:val="0"/>
              <w:marTop w:val="0"/>
              <w:marBottom w:val="0"/>
              <w:divBdr>
                <w:top w:val="single" w:sz="6" w:space="0" w:color="C9C9C9"/>
                <w:left w:val="none" w:sz="0" w:space="0" w:color="auto"/>
                <w:bottom w:val="none" w:sz="0" w:space="0" w:color="auto"/>
                <w:right w:val="none" w:sz="0" w:space="0" w:color="auto"/>
              </w:divBdr>
              <w:divsChild>
                <w:div w:id="1525747124">
                  <w:marLeft w:val="0"/>
                  <w:marRight w:val="0"/>
                  <w:marTop w:val="0"/>
                  <w:marBottom w:val="0"/>
                  <w:divBdr>
                    <w:top w:val="none" w:sz="0" w:space="0" w:color="auto"/>
                    <w:left w:val="none" w:sz="0" w:space="0" w:color="auto"/>
                    <w:bottom w:val="none" w:sz="0" w:space="0" w:color="auto"/>
                    <w:right w:val="none" w:sz="0" w:space="0" w:color="auto"/>
                  </w:divBdr>
                  <w:divsChild>
                    <w:div w:id="1237787789">
                      <w:marLeft w:val="0"/>
                      <w:marRight w:val="0"/>
                      <w:marTop w:val="0"/>
                      <w:marBottom w:val="0"/>
                      <w:divBdr>
                        <w:top w:val="none" w:sz="0" w:space="0" w:color="auto"/>
                        <w:left w:val="none" w:sz="0" w:space="0" w:color="auto"/>
                        <w:bottom w:val="none" w:sz="0" w:space="0" w:color="auto"/>
                        <w:right w:val="none" w:sz="0" w:space="0" w:color="auto"/>
                      </w:divBdr>
                      <w:divsChild>
                        <w:div w:id="14868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98">
      <w:bodyDiv w:val="1"/>
      <w:marLeft w:val="0"/>
      <w:marRight w:val="0"/>
      <w:marTop w:val="0"/>
      <w:marBottom w:val="0"/>
      <w:divBdr>
        <w:top w:val="none" w:sz="0" w:space="0" w:color="auto"/>
        <w:left w:val="none" w:sz="0" w:space="0" w:color="auto"/>
        <w:bottom w:val="none" w:sz="0" w:space="0" w:color="auto"/>
        <w:right w:val="none" w:sz="0" w:space="0" w:color="auto"/>
      </w:divBdr>
    </w:div>
    <w:div w:id="192329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suu.com/mindcharity/docs/om167/6" TargetMode="External"/><Relationship Id="rId18" Type="http://schemas.openxmlformats.org/officeDocument/2006/relationships/hyperlink" Target="http://ssrg.org.uk/wp-content/uploads/2012/01/Daly.pdf" TargetMode="External"/><Relationship Id="rId26" Type="http://schemas.openxmlformats.org/officeDocument/2006/relationships/hyperlink" Target="http://dx.doi.org/10.1017/S004727941300056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prints.lse.ac.uk/56111/" TargetMode="External"/><Relationship Id="rId34" Type="http://schemas.openxmlformats.org/officeDocument/2006/relationships/hyperlink" Target="http://www.kcl.ac.uk/sspp/policy-institute/scwru/pubs/2014/reports/Stevens-et-al-2014-Risk-Research-Findings.pdf" TargetMode="External"/><Relationship Id="rId7" Type="http://schemas.openxmlformats.org/officeDocument/2006/relationships/footnotes" Target="footnotes.xml"/><Relationship Id="rId12" Type="http://schemas.openxmlformats.org/officeDocument/2006/relationships/hyperlink" Target="http://dx.doi.org/10.1108/14668203200800016" TargetMode="External"/><Relationship Id="rId17" Type="http://schemas.openxmlformats.org/officeDocument/2006/relationships/hyperlink" Target="http://dx.doi.org/10.1017/S1474746407004198" TargetMode="External"/><Relationship Id="rId25" Type="http://schemas.openxmlformats.org/officeDocument/2006/relationships/hyperlink" Target="http://dx.doi.org/10.1108/14668203200800017" TargetMode="External"/><Relationship Id="rId33" Type="http://schemas.openxmlformats.org/officeDocument/2006/relationships/hyperlink" Target="http://www.scie.org.uk/publications/ataglance/ataglance33.as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org.uk/publications/guides/guide47/files/guide47.pdf" TargetMode="External"/><Relationship Id="rId20" Type="http://schemas.openxmlformats.org/officeDocument/2006/relationships/hyperlink" Target="https://www.gov.uk/government/publications/lac-dh-2010-7-the-vision-for-adult-social-care-and-supporting-documents" TargetMode="External"/><Relationship Id="rId29" Type="http://schemas.openxmlformats.org/officeDocument/2006/relationships/hyperlink" Target="http://plysab.proceduresonline.com/pdfs/sp_framework.pdf"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ss.org.uk/uploadedFiles/adass_content/policy_networks/personalisation/policy_network_reports/ADASSPersonalisationSurveyReport03102014.pdf" TargetMode="External"/><Relationship Id="rId24" Type="http://schemas.openxmlformats.org/officeDocument/2006/relationships/hyperlink" Target="http://dx.doi.org/10.1108/14668201211256717" TargetMode="External"/><Relationship Id="rId32" Type="http://schemas.openxmlformats.org/officeDocument/2006/relationships/hyperlink" Target="http://dx.doi.org/10.5042/jap.2010.0295" TargetMode="External"/><Relationship Id="rId37" Type="http://schemas.openxmlformats.org/officeDocument/2006/relationships/hyperlink" Target="http://www.idea.gov.uk/idk/aio/1917084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uk/ukpga/2014/23/contents/enacted/data.htm" TargetMode="External"/><Relationship Id="rId23" Type="http://schemas.openxmlformats.org/officeDocument/2006/relationships/hyperlink" Target="http://www.biomedcentral.com/content/pdf/1471-2288-13-117.pdf" TargetMode="External"/><Relationship Id="rId28" Type="http://schemas.openxmlformats.org/officeDocument/2006/relationships/hyperlink" Target="http://php.york.ac.uk/inst/spru/pubs/2645/" TargetMode="External"/><Relationship Id="rId36" Type="http://schemas.openxmlformats.org/officeDocument/2006/relationships/hyperlink" Target="http://www.in-control.org.uk/media/35712/self-directed%20support%20in%20hartlepool%202006-2009.pdf" TargetMode="External"/><Relationship Id="rId10" Type="http://schemas.openxmlformats.org/officeDocument/2006/relationships/hyperlink" Target="http://panet.org.uk/wp-content/uploads/2011/08/Employment-Aspects-of-Direct-PaymentsReport.pdf" TargetMode="External"/><Relationship Id="rId19" Type="http://schemas.openxmlformats.org/officeDocument/2006/relationships/hyperlink" Target="http://webarchive.nationalarchives.gov.uk/+/www.dh.gov.uk/en/publicationsandstatistics/lettersandcirculars/localauthoritycirculars/dh_081934" TargetMode="External"/><Relationship Id="rId31" Type="http://schemas.openxmlformats.org/officeDocument/2006/relationships/hyperlink" Target="http://www.mpow.org/elisheva_sadan_empowerment.pdf" TargetMode="External"/><Relationship Id="rId4" Type="http://schemas.microsoft.com/office/2007/relationships/stylesWithEffects" Target="stylesWithEffects.xml"/><Relationship Id="rId9" Type="http://schemas.openxmlformats.org/officeDocument/2006/relationships/hyperlink" Target="mailto:martin.stevens@kcl.ac.uk" TargetMode="External"/><Relationship Id="rId14" Type="http://schemas.openxmlformats.org/officeDocument/2006/relationships/hyperlink" Target="https://dspace.stir.ac.uk/bitstream/1893/7346/1/BowesReport.pdf" TargetMode="External"/><Relationship Id="rId22" Type="http://schemas.openxmlformats.org/officeDocument/2006/relationships/hyperlink" Target="http://www.cornwall.gov.uk/media/3630286/The-successes-achieved-and-barriers-encountered-in-delivering-the-SH-SCR-action-plans-Feb-2009.pdf" TargetMode="External"/><Relationship Id="rId27" Type="http://schemas.openxmlformats.org/officeDocument/2006/relationships/hyperlink" Target="http://www.in-control.org.uk/media/55724/in%20control%20first%20phase%20report%202003-2005.pdf" TargetMode="External"/><Relationship Id="rId30" Type="http://schemas.openxmlformats.org/officeDocument/2006/relationships/hyperlink" Target="http://dx.doi.org/10.1017/S1474746409004886" TargetMode="External"/><Relationship Id="rId35" Type="http://schemas.openxmlformats.org/officeDocument/2006/relationships/hyperlink" Target="http://static1.1.sqspcdn.com/static/f/280263/4016350/1251808272527/Informal+Social+Care+and+its+Implications+fo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40EA-759B-4C98-803C-B66C3905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9214</Words>
  <Characters>52526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61617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Stevens</dc:creator>
  <cp:lastModifiedBy>Fiona Aspinal</cp:lastModifiedBy>
  <cp:revision>2</cp:revision>
  <cp:lastPrinted>2014-10-08T09:31:00Z</cp:lastPrinted>
  <dcterms:created xsi:type="dcterms:W3CDTF">2016-06-13T11:15:00Z</dcterms:created>
  <dcterms:modified xsi:type="dcterms:W3CDTF">2016-06-13T11:15:00Z</dcterms:modified>
</cp:coreProperties>
</file>