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sz w:val="24"/>
          <w:szCs w:val="24"/>
          <w:lang w:val="en-GB" w:eastAsia="zh-CN" w:bidi="he-IL"/>
        </w:rPr>
        <w:id w:val="-1804378707"/>
        <w:docPartObj>
          <w:docPartGallery w:val="Cover Pages"/>
          <w:docPartUnique/>
        </w:docPartObj>
      </w:sdtPr>
      <w:sdtEndPr>
        <w:rPr>
          <w:rFonts w:asciiTheme="minorHAnsi" w:eastAsiaTheme="minorHAnsi" w:hAnsiTheme="minorHAnsi" w:cs="Times New Roman"/>
          <w:b/>
          <w:caps w:val="0"/>
          <w:sz w:val="28"/>
          <w:szCs w:val="28"/>
        </w:rPr>
      </w:sdtEndPr>
      <w:sdtContent>
        <w:tbl>
          <w:tblPr>
            <w:tblW w:w="5000" w:type="pct"/>
            <w:jc w:val="center"/>
            <w:tblLook w:val="04A0" w:firstRow="1" w:lastRow="0" w:firstColumn="1" w:lastColumn="0" w:noHBand="0" w:noVBand="1"/>
          </w:tblPr>
          <w:tblGrid>
            <w:gridCol w:w="8522"/>
          </w:tblGrid>
          <w:tr w:rsidR="00E8586F" w14:paraId="682B2205" w14:textId="77777777">
            <w:trPr>
              <w:trHeight w:val="2880"/>
              <w:jc w:val="center"/>
            </w:trPr>
            <w:tc>
              <w:tcPr>
                <w:tcW w:w="5000" w:type="pct"/>
              </w:tcPr>
              <w:p w14:paraId="7252A905" w14:textId="7BD0BB4E" w:rsidR="00E8586F" w:rsidRDefault="00362239" w:rsidP="00362239">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Final Acc</w:t>
                </w:r>
                <w:bookmarkStart w:id="0" w:name="_GoBack"/>
                <w:bookmarkEnd w:id="0"/>
                <w:r>
                  <w:rPr>
                    <w:rFonts w:asciiTheme="majorHAnsi" w:eastAsiaTheme="majorEastAsia" w:hAnsiTheme="majorHAnsi" w:cstheme="majorBidi"/>
                    <w:caps/>
                  </w:rPr>
                  <w:t>epted Version</w:t>
                </w:r>
                <w:r w:rsidR="00E8586F">
                  <w:rPr>
                    <w:rFonts w:asciiTheme="majorHAnsi" w:eastAsiaTheme="majorEastAsia" w:hAnsiTheme="majorHAnsi" w:cstheme="majorBidi"/>
                    <w:caps/>
                  </w:rPr>
                  <w:t xml:space="preserve"> FOR Narrative inquiry</w:t>
                </w:r>
              </w:p>
            </w:tc>
          </w:tr>
          <w:tr w:rsidR="00E8586F" w14:paraId="76C6A30A" w14:textId="77777777" w:rsidTr="00EF15EA">
            <w:trPr>
              <w:trHeight w:val="1440"/>
              <w:jc w:val="center"/>
            </w:trPr>
            <w:sdt>
              <w:sdtPr>
                <w:rPr>
                  <w:rFonts w:eastAsiaTheme="majorEastAsia" w:cstheme="majorBidi"/>
                  <w:b/>
                  <w:bCs/>
                  <w:color w:val="000000" w:themeColor="text1"/>
                  <w:kern w:val="24"/>
                  <w:sz w:val="28"/>
                  <w:szCs w:val="28"/>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14:paraId="59C507BC" w14:textId="77777777" w:rsidR="00E8586F" w:rsidRDefault="005B7804" w:rsidP="00EF15EA">
                    <w:pPr>
                      <w:pStyle w:val="NoSpacing"/>
                      <w:jc w:val="center"/>
                      <w:rPr>
                        <w:rFonts w:asciiTheme="majorHAnsi" w:eastAsiaTheme="majorEastAsia" w:hAnsiTheme="majorHAnsi" w:cstheme="majorBidi"/>
                        <w:sz w:val="80"/>
                        <w:szCs w:val="80"/>
                      </w:rPr>
                    </w:pPr>
                    <w:r w:rsidRPr="00FF288E">
                      <w:rPr>
                        <w:rFonts w:eastAsiaTheme="majorEastAsia" w:cstheme="majorBidi"/>
                        <w:b/>
                        <w:bCs/>
                        <w:color w:val="000000" w:themeColor="text1"/>
                        <w:kern w:val="24"/>
                        <w:sz w:val="28"/>
                        <w:szCs w:val="28"/>
                      </w:rPr>
                      <w:t>‘I sort of did stuff to him’: A case study of tellability and taboo in young people’s talk about sex</w:t>
                    </w:r>
                  </w:p>
                </w:tc>
              </w:sdtContent>
            </w:sdt>
          </w:tr>
          <w:tr w:rsidR="00E8586F" w14:paraId="1CBD344D" w14:textId="77777777" w:rsidTr="00EF15EA">
            <w:trPr>
              <w:trHeight w:val="720"/>
              <w:jc w:val="center"/>
            </w:trPr>
            <w:sdt>
              <w:sdtPr>
                <w:rPr>
                  <w:rFonts w:asciiTheme="majorHAnsi" w:eastAsiaTheme="majorEastAsia" w:hAnsiTheme="majorHAnsi" w:cstheme="majorBidi"/>
                  <w:sz w:val="24"/>
                  <w:szCs w:val="24"/>
                </w:rPr>
                <w:alias w:val="Subtitle"/>
                <w:id w:val="15524255"/>
                <w:showingPlcHd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vAlign w:val="center"/>
                  </w:tcPr>
                  <w:p w14:paraId="3D69BE7A" w14:textId="77777777" w:rsidR="00E8586F" w:rsidRDefault="00E8586F" w:rsidP="00EF15EA">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24"/>
                        <w:szCs w:val="24"/>
                      </w:rPr>
                      <w:t xml:space="preserve">     </w:t>
                    </w:r>
                  </w:p>
                </w:tc>
              </w:sdtContent>
            </w:sdt>
          </w:tr>
          <w:tr w:rsidR="00E8586F" w14:paraId="19255C5B" w14:textId="77777777">
            <w:trPr>
              <w:trHeight w:val="360"/>
              <w:jc w:val="center"/>
            </w:trPr>
            <w:tc>
              <w:tcPr>
                <w:tcW w:w="5000" w:type="pct"/>
                <w:vAlign w:val="center"/>
              </w:tcPr>
              <w:p w14:paraId="218C299E" w14:textId="77777777" w:rsidR="00E8586F" w:rsidRDefault="00E8586F">
                <w:pPr>
                  <w:pStyle w:val="NoSpacing"/>
                  <w:jc w:val="center"/>
                </w:pPr>
              </w:p>
            </w:tc>
          </w:tr>
          <w:tr w:rsidR="00E8586F" w14:paraId="5552E0F2" w14:textId="77777777">
            <w:trPr>
              <w:trHeight w:val="360"/>
              <w:jc w:val="center"/>
            </w:trPr>
            <w:sdt>
              <w:sdtPr>
                <w:rPr>
                  <w:rFonts w:eastAsiaTheme="majorEastAsia" w:cstheme="majorBidi"/>
                  <w:b/>
                  <w:bCs/>
                  <w:color w:val="000000" w:themeColor="text1"/>
                  <w:kern w:val="24"/>
                  <w:sz w:val="24"/>
                  <w:szCs w:val="24"/>
                  <w:lang w:eastAsia="zh-CN" w:bidi="he-IL"/>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14:paraId="4954CD40" w14:textId="77777777" w:rsidR="00E8586F" w:rsidRDefault="00E8586F" w:rsidP="00EF15EA">
                    <w:pPr>
                      <w:pStyle w:val="NoSpacing"/>
                      <w:jc w:val="center"/>
                      <w:rPr>
                        <w:b/>
                        <w:bCs/>
                      </w:rPr>
                    </w:pPr>
                    <w:r>
                      <w:rPr>
                        <w:rFonts w:eastAsiaTheme="majorEastAsia" w:cstheme="majorBidi"/>
                        <w:b/>
                        <w:bCs/>
                        <w:color w:val="000000" w:themeColor="text1"/>
                        <w:kern w:val="24"/>
                        <w:sz w:val="24"/>
                        <w:szCs w:val="24"/>
                        <w:lang w:val="en-GB" w:eastAsia="zh-CN" w:bidi="he-IL"/>
                      </w:rPr>
                      <w:t>Clare Jackson</w:t>
                    </w:r>
                  </w:p>
                </w:tc>
              </w:sdtContent>
            </w:sdt>
          </w:tr>
          <w:tr w:rsidR="00E8586F" w14:paraId="175BDD46" w14:textId="77777777">
            <w:trPr>
              <w:trHeight w:val="360"/>
              <w:jc w:val="center"/>
            </w:trPr>
            <w:tc>
              <w:tcPr>
                <w:tcW w:w="5000" w:type="pct"/>
                <w:vAlign w:val="center"/>
              </w:tcPr>
              <w:p w14:paraId="011C82F7" w14:textId="308F713F" w:rsidR="00E8586F" w:rsidRDefault="00E8586F" w:rsidP="00EF15EA">
                <w:pPr>
                  <w:pStyle w:val="NoSpacing"/>
                  <w:jc w:val="center"/>
                  <w:rPr>
                    <w:rFonts w:eastAsiaTheme="majorEastAsia" w:cstheme="majorBidi"/>
                    <w:bCs/>
                    <w:color w:val="000000" w:themeColor="text1"/>
                    <w:kern w:val="24"/>
                    <w:sz w:val="24"/>
                    <w:szCs w:val="24"/>
                    <w:lang w:val="en-GB" w:eastAsia="zh-CN" w:bidi="he-IL"/>
                  </w:rPr>
                </w:pPr>
                <w:r w:rsidRPr="003A1FB3">
                  <w:rPr>
                    <w:rFonts w:eastAsiaTheme="majorEastAsia" w:cstheme="majorBidi"/>
                    <w:b/>
                    <w:bCs/>
                    <w:color w:val="000000" w:themeColor="text1"/>
                    <w:kern w:val="24"/>
                    <w:sz w:val="24"/>
                    <w:szCs w:val="24"/>
                    <w:lang w:eastAsia="zh-CN" w:bidi="he-IL"/>
                  </w:rPr>
                  <w:t>Tel:</w:t>
                </w:r>
                <w:r>
                  <w:rPr>
                    <w:rFonts w:eastAsiaTheme="majorEastAsia" w:cstheme="majorBidi"/>
                    <w:bCs/>
                    <w:color w:val="000000" w:themeColor="text1"/>
                    <w:kern w:val="24"/>
                    <w:sz w:val="24"/>
                    <w:szCs w:val="24"/>
                    <w:lang w:eastAsia="zh-CN" w:bidi="he-IL"/>
                  </w:rPr>
                  <w:t xml:space="preserve"> </w:t>
                </w:r>
                <w:r w:rsidRPr="003A1FB3">
                  <w:rPr>
                    <w:rFonts w:eastAsiaTheme="majorEastAsia" w:cstheme="majorBidi"/>
                    <w:bCs/>
                    <w:color w:val="000000" w:themeColor="text1"/>
                    <w:kern w:val="24"/>
                    <w:sz w:val="24"/>
                    <w:szCs w:val="24"/>
                    <w:lang w:val="en-GB" w:eastAsia="zh-CN" w:bidi="he-IL"/>
                  </w:rPr>
                  <w:t>+441904  323579</w:t>
                </w:r>
                <w:r>
                  <w:rPr>
                    <w:rFonts w:eastAsiaTheme="majorEastAsia" w:cstheme="majorBidi"/>
                    <w:bCs/>
                    <w:color w:val="000000" w:themeColor="text1"/>
                    <w:kern w:val="24"/>
                    <w:sz w:val="24"/>
                    <w:szCs w:val="24"/>
                    <w:lang w:val="en-GB" w:eastAsia="zh-CN" w:bidi="he-IL"/>
                  </w:rPr>
                  <w:t xml:space="preserve">   </w:t>
                </w:r>
                <w:r w:rsidRPr="003A1FB3">
                  <w:rPr>
                    <w:rFonts w:eastAsiaTheme="majorEastAsia" w:cstheme="majorBidi"/>
                    <w:b/>
                    <w:bCs/>
                    <w:color w:val="000000" w:themeColor="text1"/>
                    <w:kern w:val="24"/>
                    <w:sz w:val="24"/>
                    <w:szCs w:val="24"/>
                    <w:lang w:val="en-GB" w:eastAsia="zh-CN" w:bidi="he-IL"/>
                  </w:rPr>
                  <w:t>Email:</w:t>
                </w:r>
                <w:r>
                  <w:rPr>
                    <w:rFonts w:eastAsiaTheme="majorEastAsia" w:cstheme="majorBidi"/>
                    <w:bCs/>
                    <w:color w:val="000000" w:themeColor="text1"/>
                    <w:kern w:val="24"/>
                    <w:sz w:val="24"/>
                    <w:szCs w:val="24"/>
                    <w:lang w:val="en-GB" w:eastAsia="zh-CN" w:bidi="he-IL"/>
                  </w:rPr>
                  <w:t xml:space="preserve"> </w:t>
                </w:r>
                <w:hyperlink r:id="rId9" w:history="1">
                  <w:r w:rsidR="00D67984" w:rsidRPr="00513A0C">
                    <w:rPr>
                      <w:rStyle w:val="Hyperlink"/>
                      <w:rFonts w:eastAsiaTheme="majorEastAsia" w:cstheme="majorBidi"/>
                      <w:bCs/>
                      <w:kern w:val="24"/>
                      <w:sz w:val="24"/>
                      <w:szCs w:val="24"/>
                      <w:lang w:val="en-GB" w:eastAsia="zh-CN" w:bidi="he-IL"/>
                    </w:rPr>
                    <w:t>clare.jackson@york.ac.uk</w:t>
                  </w:r>
                </w:hyperlink>
              </w:p>
              <w:p w14:paraId="678C95CE" w14:textId="77777777" w:rsidR="00D67984" w:rsidRPr="003A1FB3" w:rsidRDefault="00D67984" w:rsidP="00EF15EA">
                <w:pPr>
                  <w:pStyle w:val="NoSpacing"/>
                  <w:jc w:val="center"/>
                  <w:rPr>
                    <w:rFonts w:eastAsiaTheme="majorEastAsia" w:cstheme="majorBidi"/>
                    <w:bCs/>
                    <w:color w:val="000000" w:themeColor="text1"/>
                    <w:kern w:val="24"/>
                    <w:sz w:val="24"/>
                    <w:szCs w:val="24"/>
                    <w:lang w:eastAsia="zh-CN" w:bidi="he-IL"/>
                  </w:rPr>
                </w:pPr>
              </w:p>
            </w:tc>
          </w:tr>
          <w:tr w:rsidR="00E8586F" w14:paraId="3B15D7E8" w14:textId="77777777">
            <w:trPr>
              <w:trHeight w:val="360"/>
              <w:jc w:val="center"/>
            </w:trPr>
            <w:tc>
              <w:tcPr>
                <w:tcW w:w="5000" w:type="pct"/>
                <w:vAlign w:val="center"/>
              </w:tcPr>
              <w:p w14:paraId="30EDADB7" w14:textId="0F572FC8" w:rsidR="00E8586F" w:rsidRDefault="00D67984">
                <w:pPr>
                  <w:pStyle w:val="NoSpacing"/>
                  <w:jc w:val="center"/>
                  <w:rPr>
                    <w:b/>
                    <w:bCs/>
                  </w:rPr>
                </w:pPr>
                <w:r>
                  <w:rPr>
                    <w:b/>
                    <w:bCs/>
                  </w:rPr>
                  <w:t>Originally Submitted 12</w:t>
                </w:r>
                <w:r w:rsidRPr="00D67984">
                  <w:rPr>
                    <w:b/>
                    <w:bCs/>
                    <w:vertAlign w:val="superscript"/>
                  </w:rPr>
                  <w:t>th</w:t>
                </w:r>
                <w:r>
                  <w:rPr>
                    <w:b/>
                    <w:bCs/>
                  </w:rPr>
                  <w:t xml:space="preserve"> June 2015</w:t>
                </w:r>
              </w:p>
              <w:p w14:paraId="27FD79F6" w14:textId="6240C377" w:rsidR="00D67984" w:rsidRDefault="00D67984">
                <w:pPr>
                  <w:pStyle w:val="NoSpacing"/>
                  <w:jc w:val="center"/>
                  <w:rPr>
                    <w:b/>
                    <w:bCs/>
                  </w:rPr>
                </w:pPr>
                <w:r>
                  <w:rPr>
                    <w:b/>
                    <w:bCs/>
                  </w:rPr>
                  <w:t xml:space="preserve">Revised version submitted </w:t>
                </w:r>
                <w:r w:rsidR="00F25EB1">
                  <w:rPr>
                    <w:b/>
                    <w:bCs/>
                  </w:rPr>
                  <w:t>10</w:t>
                </w:r>
                <w:r w:rsidRPr="00D67984">
                  <w:rPr>
                    <w:b/>
                    <w:bCs/>
                    <w:vertAlign w:val="superscript"/>
                  </w:rPr>
                  <w:t>th</w:t>
                </w:r>
                <w:r>
                  <w:rPr>
                    <w:b/>
                    <w:bCs/>
                  </w:rPr>
                  <w:t xml:space="preserve"> March, 2016</w:t>
                </w:r>
              </w:p>
              <w:p w14:paraId="292E01A6" w14:textId="77777777" w:rsidR="00E8586F" w:rsidRDefault="00E8586F">
                <w:pPr>
                  <w:pStyle w:val="NoSpacing"/>
                  <w:jc w:val="center"/>
                  <w:rPr>
                    <w:b/>
                    <w:bCs/>
                  </w:rPr>
                </w:pPr>
              </w:p>
              <w:p w14:paraId="650211AC" w14:textId="77777777" w:rsidR="00E8586F" w:rsidRDefault="00E8586F">
                <w:pPr>
                  <w:pStyle w:val="NoSpacing"/>
                  <w:jc w:val="center"/>
                  <w:rPr>
                    <w:b/>
                    <w:bCs/>
                  </w:rPr>
                </w:pPr>
                <w:r>
                  <w:rPr>
                    <w:b/>
                    <w:bCs/>
                  </w:rPr>
                  <w:t>Department of Sociology</w:t>
                </w:r>
                <w:r>
                  <w:rPr>
                    <w:b/>
                    <w:bCs/>
                  </w:rPr>
                  <w:br/>
                  <w:t>University of York</w:t>
                </w:r>
                <w:r>
                  <w:rPr>
                    <w:b/>
                    <w:bCs/>
                  </w:rPr>
                  <w:br/>
                  <w:t>Heslington</w:t>
                </w:r>
                <w:r>
                  <w:rPr>
                    <w:b/>
                    <w:bCs/>
                  </w:rPr>
                  <w:br/>
                  <w:t>York</w:t>
                </w:r>
                <w:r>
                  <w:rPr>
                    <w:b/>
                    <w:bCs/>
                  </w:rPr>
                  <w:br/>
                  <w:t>United Kingdom</w:t>
                </w:r>
                <w:r>
                  <w:rPr>
                    <w:b/>
                    <w:bCs/>
                  </w:rPr>
                  <w:br/>
                  <w:t>YO10 5DD</w:t>
                </w:r>
              </w:p>
              <w:p w14:paraId="1B6CE18E" w14:textId="77777777" w:rsidR="00E8586F" w:rsidRDefault="00E8586F">
                <w:pPr>
                  <w:pStyle w:val="NoSpacing"/>
                  <w:jc w:val="center"/>
                  <w:rPr>
                    <w:b/>
                    <w:bCs/>
                  </w:rPr>
                </w:pPr>
              </w:p>
            </w:tc>
          </w:tr>
        </w:tbl>
        <w:p w14:paraId="5008B885" w14:textId="77777777" w:rsidR="00E8586F" w:rsidRDefault="00E8586F"/>
        <w:p w14:paraId="799BACF7" w14:textId="77777777" w:rsidR="00E8586F" w:rsidRDefault="00E8586F"/>
        <w:tbl>
          <w:tblPr>
            <w:tblpPr w:leftFromText="187" w:rightFromText="187" w:horzAnchor="margin" w:tblpXSpec="center" w:tblpYSpec="bottom"/>
            <w:tblW w:w="5000" w:type="pct"/>
            <w:tblLook w:val="04A0" w:firstRow="1" w:lastRow="0" w:firstColumn="1" w:lastColumn="0" w:noHBand="0" w:noVBand="1"/>
          </w:tblPr>
          <w:tblGrid>
            <w:gridCol w:w="8522"/>
          </w:tblGrid>
          <w:tr w:rsidR="00E8586F" w14:paraId="25238FA9" w14:textId="77777777">
            <w:tc>
              <w:tcPr>
                <w:tcW w:w="5000" w:type="pct"/>
              </w:tcPr>
              <w:p w14:paraId="64477A16" w14:textId="77777777" w:rsidR="00E8586F" w:rsidRDefault="00E8586F" w:rsidP="00EF15EA">
                <w:pPr>
                  <w:pStyle w:val="NoSpacing"/>
                </w:pPr>
              </w:p>
            </w:tc>
          </w:tr>
        </w:tbl>
        <w:p w14:paraId="604B0EEC" w14:textId="77777777" w:rsidR="00E8586F" w:rsidRDefault="00E8586F"/>
        <w:p w14:paraId="3A886D58" w14:textId="77777777" w:rsidR="00E8586F" w:rsidRDefault="00E8586F">
          <w:pPr>
            <w:rPr>
              <w:rFonts w:asciiTheme="minorHAnsi" w:hAnsiTheme="minorHAnsi"/>
              <w:b/>
              <w:sz w:val="28"/>
              <w:szCs w:val="28"/>
            </w:rPr>
          </w:pPr>
          <w:r>
            <w:rPr>
              <w:rFonts w:asciiTheme="minorHAnsi" w:hAnsiTheme="minorHAnsi"/>
              <w:b/>
              <w:sz w:val="28"/>
              <w:szCs w:val="28"/>
            </w:rPr>
            <w:br w:type="page"/>
          </w:r>
        </w:p>
      </w:sdtContent>
    </w:sdt>
    <w:p w14:paraId="1ED79B3E" w14:textId="77777777" w:rsidR="00E8586F" w:rsidRDefault="00E8586F">
      <w:pPr>
        <w:rPr>
          <w:rFonts w:asciiTheme="minorHAnsi" w:hAnsiTheme="minorHAnsi"/>
          <w:b/>
        </w:rPr>
      </w:pPr>
      <w:r w:rsidRPr="00831B8C">
        <w:rPr>
          <w:rFonts w:asciiTheme="minorHAnsi" w:hAnsiTheme="minorHAnsi"/>
          <w:b/>
        </w:rPr>
        <w:lastRenderedPageBreak/>
        <w:t>Abstract</w:t>
      </w:r>
    </w:p>
    <w:p w14:paraId="506B5DEF" w14:textId="77777777" w:rsidR="00E8586F" w:rsidRDefault="00E8586F">
      <w:pPr>
        <w:rPr>
          <w:rFonts w:asciiTheme="minorHAnsi" w:hAnsiTheme="minorHAnsi"/>
          <w:b/>
        </w:rPr>
      </w:pPr>
    </w:p>
    <w:p w14:paraId="41FF6D72" w14:textId="77777777" w:rsidR="00E8586F" w:rsidRDefault="009F0D9C" w:rsidP="009F0D9C">
      <w:pPr>
        <w:spacing w:line="480" w:lineRule="auto"/>
        <w:rPr>
          <w:rFonts w:asciiTheme="minorHAnsi" w:hAnsiTheme="minorHAnsi"/>
          <w:b/>
        </w:rPr>
      </w:pPr>
      <w:r w:rsidRPr="009F0D9C">
        <w:rPr>
          <w:rFonts w:asciiTheme="minorHAnsi" w:hAnsiTheme="minorHAnsi"/>
        </w:rPr>
        <w:t xml:space="preserve">This article presents a conversation analytic examination of a telephone call in which a teenage girl updates her friend about developments in a relationship.  The telling is in three phases, from initial reluctance, through first kiss to first sexual contact.  Drawing on the notion of lower and upper bounded </w:t>
      </w:r>
      <w:proofErr w:type="spellStart"/>
      <w:r w:rsidRPr="009F0D9C">
        <w:rPr>
          <w:rFonts w:asciiTheme="minorHAnsi" w:hAnsiTheme="minorHAnsi"/>
        </w:rPr>
        <w:t>tellability</w:t>
      </w:r>
      <w:proofErr w:type="spellEnd"/>
      <w:r w:rsidRPr="009F0D9C">
        <w:rPr>
          <w:rFonts w:asciiTheme="minorHAnsi" w:hAnsiTheme="minorHAnsi"/>
        </w:rPr>
        <w:t xml:space="preserve">, I analyse the talk for what is constructed as </w:t>
      </w:r>
      <w:proofErr w:type="spellStart"/>
      <w:r w:rsidRPr="009F0D9C">
        <w:rPr>
          <w:rFonts w:asciiTheme="minorHAnsi" w:hAnsiTheme="minorHAnsi"/>
        </w:rPr>
        <w:t>tellable</w:t>
      </w:r>
      <w:proofErr w:type="spellEnd"/>
      <w:r w:rsidRPr="009F0D9C">
        <w:rPr>
          <w:rFonts w:asciiTheme="minorHAnsi" w:hAnsiTheme="minorHAnsi"/>
        </w:rPr>
        <w:t xml:space="preserve"> and as taboo.  Eminently </w:t>
      </w:r>
      <w:proofErr w:type="spellStart"/>
      <w:r w:rsidRPr="009F0D9C">
        <w:rPr>
          <w:rFonts w:asciiTheme="minorHAnsi" w:hAnsiTheme="minorHAnsi"/>
        </w:rPr>
        <w:t>tellable</w:t>
      </w:r>
      <w:proofErr w:type="spellEnd"/>
      <w:r w:rsidRPr="009F0D9C">
        <w:rPr>
          <w:rFonts w:asciiTheme="minorHAnsi" w:hAnsiTheme="minorHAnsi"/>
        </w:rPr>
        <w:t>, the kiss is a directly named activity, details are sought, and it is assessed in a delighted way.  In contrast, the sexual activity is not named and instead is referred to as 'stuff'.  The details of 'stuff' are not pursued, and the activity is assessed with (playful) disapproval.  The telling speaks to normative gendered sexual expectations for teenage girls in the UK.  In talking about personal experience of sexual conduct but without talking in any detail, these speakers position themselves as morally respectable.</w:t>
      </w:r>
    </w:p>
    <w:p w14:paraId="7F167D29" w14:textId="77777777" w:rsidR="00E8586F" w:rsidRDefault="00E8586F">
      <w:pPr>
        <w:rPr>
          <w:rFonts w:asciiTheme="minorHAnsi" w:hAnsiTheme="minorHAnsi"/>
          <w:b/>
        </w:rPr>
      </w:pPr>
      <w:r>
        <w:rPr>
          <w:rFonts w:asciiTheme="minorHAnsi" w:hAnsiTheme="minorHAnsi"/>
          <w:b/>
        </w:rPr>
        <w:t xml:space="preserve">Keywords </w:t>
      </w:r>
      <w:r>
        <w:rPr>
          <w:rFonts w:asciiTheme="minorHAnsi" w:hAnsiTheme="minorHAnsi"/>
          <w:b/>
        </w:rPr>
        <w:br/>
      </w:r>
      <w:r>
        <w:rPr>
          <w:rFonts w:asciiTheme="minorHAnsi" w:hAnsiTheme="minorHAnsi"/>
        </w:rPr>
        <w:t>Conversation analysis, teenage s</w:t>
      </w:r>
      <w:r w:rsidRPr="00A60033">
        <w:rPr>
          <w:rFonts w:asciiTheme="minorHAnsi" w:hAnsiTheme="minorHAnsi"/>
        </w:rPr>
        <w:t xml:space="preserve">exuality, </w:t>
      </w:r>
      <w:r>
        <w:rPr>
          <w:rFonts w:asciiTheme="minorHAnsi" w:hAnsiTheme="minorHAnsi"/>
        </w:rPr>
        <w:t>storytelling, t</w:t>
      </w:r>
      <w:r w:rsidRPr="00A60033">
        <w:rPr>
          <w:rFonts w:asciiTheme="minorHAnsi" w:hAnsiTheme="minorHAnsi"/>
        </w:rPr>
        <w:t>ellability</w:t>
      </w:r>
    </w:p>
    <w:p w14:paraId="1CCC8A6E" w14:textId="77777777" w:rsidR="00E8586F" w:rsidRDefault="00E8586F">
      <w:pPr>
        <w:rPr>
          <w:rFonts w:asciiTheme="minorHAnsi" w:hAnsiTheme="minorHAnsi"/>
          <w:b/>
        </w:rPr>
      </w:pPr>
    </w:p>
    <w:p w14:paraId="6DE74D3D" w14:textId="77777777" w:rsidR="00E8586F" w:rsidRDefault="00E8586F">
      <w:pPr>
        <w:rPr>
          <w:rFonts w:asciiTheme="minorHAnsi" w:hAnsiTheme="minorHAnsi"/>
          <w:b/>
        </w:rPr>
      </w:pPr>
    </w:p>
    <w:p w14:paraId="5D8B0E9A" w14:textId="77777777" w:rsidR="00E8586F" w:rsidRDefault="00E8586F">
      <w:pPr>
        <w:rPr>
          <w:rFonts w:asciiTheme="minorHAnsi" w:hAnsiTheme="minorHAnsi"/>
          <w:b/>
        </w:rPr>
      </w:pPr>
    </w:p>
    <w:p w14:paraId="3ABC0416" w14:textId="77777777" w:rsidR="00E8586F" w:rsidRDefault="00E8586F">
      <w:pPr>
        <w:rPr>
          <w:rFonts w:asciiTheme="minorHAnsi" w:hAnsiTheme="minorHAnsi"/>
          <w:b/>
        </w:rPr>
      </w:pPr>
    </w:p>
    <w:p w14:paraId="59F5872C" w14:textId="77777777" w:rsidR="005B7804" w:rsidRPr="005B7804" w:rsidRDefault="00E8586F" w:rsidP="005B7804">
      <w:pPr>
        <w:pStyle w:val="ListParagraph"/>
        <w:numPr>
          <w:ilvl w:val="0"/>
          <w:numId w:val="1"/>
        </w:numPr>
        <w:rPr>
          <w:rFonts w:asciiTheme="minorHAnsi" w:hAnsiTheme="minorHAnsi"/>
          <w:b/>
        </w:rPr>
      </w:pPr>
      <w:r w:rsidRPr="005B7804">
        <w:rPr>
          <w:rFonts w:asciiTheme="minorHAnsi" w:hAnsiTheme="minorHAnsi"/>
          <w:b/>
        </w:rPr>
        <w:t>Introduction</w:t>
      </w:r>
    </w:p>
    <w:p w14:paraId="3B4F9241" w14:textId="77777777" w:rsidR="005B7804" w:rsidRPr="005B7804" w:rsidRDefault="005B7804" w:rsidP="005B7804">
      <w:pPr>
        <w:rPr>
          <w:rFonts w:asciiTheme="minorHAnsi" w:hAnsiTheme="minorHAnsi"/>
          <w:b/>
        </w:rPr>
      </w:pPr>
    </w:p>
    <w:p w14:paraId="76AA9755" w14:textId="77777777" w:rsidR="00E8586F" w:rsidRPr="004E2197" w:rsidRDefault="00E8586F" w:rsidP="00EF15EA">
      <w:pPr>
        <w:spacing w:line="480" w:lineRule="auto"/>
        <w:rPr>
          <w:rFonts w:asciiTheme="minorHAnsi" w:hAnsiTheme="minorHAnsi"/>
        </w:rPr>
      </w:pPr>
      <w:r>
        <w:rPr>
          <w:rFonts w:asciiTheme="minorHAnsi" w:hAnsiTheme="minorHAnsi"/>
        </w:rPr>
        <w:t>Teenagers</w:t>
      </w:r>
      <w:r w:rsidRPr="004E2197">
        <w:rPr>
          <w:rFonts w:asciiTheme="minorHAnsi" w:hAnsiTheme="minorHAnsi"/>
        </w:rPr>
        <w:t xml:space="preserve"> inhabit and reproduce in their talk a social world that is full of tensions between propriety and impropriety, passivity and empowerment, and reason and emotion.  Public, political and academic discourse is typically replete with anxieties about the moral, affective and physical risks of teenage sexual conduct </w:t>
      </w:r>
      <w:r w:rsidRPr="004E2197">
        <w:rPr>
          <w:rFonts w:asciiTheme="minorHAnsi" w:hAnsiTheme="minorHAnsi"/>
          <w:noProof/>
        </w:rPr>
        <w:t>(Angelides, 2012; Egan, 2013; Egan &amp; Hawkes, 2012; Elliott, 2010; Renold &amp; Ringrose, 2011; Schalet, 2011)</w:t>
      </w:r>
      <w:r w:rsidRPr="004E2197">
        <w:rPr>
          <w:rFonts w:asciiTheme="minorHAnsi" w:hAnsiTheme="minorHAnsi"/>
        </w:rPr>
        <w:t xml:space="preserve">.   Young people are variously positioned within these discourses as prematurely driven by biological or cultural factors towards sexual risk-taking, disease, pregnancy and gendered double-standards, leading to passionately argued  </w:t>
      </w:r>
      <w:r w:rsidRPr="004E2197">
        <w:rPr>
          <w:rFonts w:asciiTheme="minorHAnsi" w:hAnsiTheme="minorHAnsi"/>
        </w:rPr>
        <w:lastRenderedPageBreak/>
        <w:t xml:space="preserve">(protectionist) debates and heartfelt anxieties about how they should (not) be instructed in sexual matters </w:t>
      </w:r>
      <w:r w:rsidRPr="004E2197">
        <w:rPr>
          <w:rFonts w:asciiTheme="minorHAnsi" w:hAnsiTheme="minorHAnsi"/>
          <w:noProof/>
        </w:rPr>
        <w:t>(Egan &amp; Hawkes, 2008; Hirst, 2013)</w:t>
      </w:r>
      <w:r w:rsidRPr="004E2197">
        <w:rPr>
          <w:rFonts w:asciiTheme="minorHAnsi" w:hAnsiTheme="minorHAnsi"/>
        </w:rPr>
        <w:t xml:space="preserve">.   </w:t>
      </w:r>
    </w:p>
    <w:p w14:paraId="097CA246" w14:textId="77777777" w:rsidR="00E8586F" w:rsidRDefault="00E8586F" w:rsidP="00EF1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Calibri" w:eastAsia="ヒラギノ角ゴ Pro W3" w:hAnsi="Calibri"/>
          <w:color w:val="000000"/>
          <w:lang w:val="en-US" w:eastAsia="en-US" w:bidi="ar-SA"/>
        </w:rPr>
      </w:pPr>
    </w:p>
    <w:p w14:paraId="0D6A1DCA" w14:textId="2F43A0AC" w:rsidR="00E8586F" w:rsidRDefault="00E8586F" w:rsidP="00EF1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Calibri" w:eastAsia="ヒラギノ角ゴ Pro W3" w:hAnsi="Calibri"/>
          <w:color w:val="000000"/>
          <w:lang w:val="en-US" w:eastAsia="en-US" w:bidi="ar-SA"/>
        </w:rPr>
      </w:pPr>
      <w:r w:rsidRPr="004E2197">
        <w:rPr>
          <w:rFonts w:ascii="Calibri" w:eastAsia="ヒラギノ角ゴ Pro W3" w:hAnsi="Calibri"/>
          <w:color w:val="000000"/>
          <w:lang w:val="en-US" w:eastAsia="en-US" w:bidi="ar-SA"/>
        </w:rPr>
        <w:t xml:space="preserve">A major approach to understanding young people’s sexual knowledge, practices and subjectivities has been through use of qualitative talking methodologies </w:t>
      </w:r>
      <w:r w:rsidRPr="004E2197">
        <w:rPr>
          <w:rFonts w:ascii="Calibri" w:eastAsia="ヒラギノ角ゴ Pro W3" w:hAnsi="Calibri"/>
          <w:noProof/>
          <w:color w:val="000000"/>
          <w:lang w:val="en-US" w:eastAsia="en-US" w:bidi="ar-SA"/>
        </w:rPr>
        <w:t>(Tolman, Hirschman, &amp; Impett, 2005)</w:t>
      </w:r>
      <w:r w:rsidRPr="004E2197">
        <w:rPr>
          <w:rFonts w:ascii="Calibri" w:eastAsia="ヒラギノ角ゴ Pro W3" w:hAnsi="Calibri"/>
          <w:color w:val="000000"/>
          <w:lang w:val="en-US" w:eastAsia="en-US" w:bidi="ar-SA"/>
        </w:rPr>
        <w:t xml:space="preserve">; inviting young people – often girls – to discuss relevant topics in interviews and focus groups </w:t>
      </w:r>
      <w:r w:rsidRPr="004E2197">
        <w:rPr>
          <w:rFonts w:ascii="Calibri" w:eastAsia="ヒラギノ角ゴ Pro W3" w:hAnsi="Calibri"/>
          <w:noProof/>
          <w:color w:val="000000"/>
          <w:lang w:val="en-US" w:eastAsia="en-US" w:bidi="ar-SA"/>
        </w:rPr>
        <w:t>(Allen, 2003; Gilmore, Delamater, &amp; Wagstaff, 1996; Hirst, 2004, 2013; Jackson, 1982; Lees, 1986; Martin, 1996; Phillips, 2000; Renold &amp; Ringrose, 2008; Ringrose &amp; Renold, 2012; Tolman, 1994, 2002; Tolman, Spencer, Rosen‐Reynoso, &amp; Porche, 2003)</w:t>
      </w:r>
      <w:r w:rsidRPr="004E2197">
        <w:rPr>
          <w:rFonts w:ascii="Calibri" w:eastAsia="ヒラギノ角ゴ Pro W3" w:hAnsi="Calibri"/>
          <w:color w:val="000000"/>
          <w:lang w:val="en-US" w:eastAsia="en-US" w:bidi="ar-SA"/>
        </w:rPr>
        <w:t xml:space="preserve">.  These studies are important for informing a critical understanding of diverse populations of young people’s perspectives on negotiating and managing their sexual lives </w:t>
      </w:r>
      <w:r w:rsidRPr="004E2197">
        <w:rPr>
          <w:rFonts w:ascii="Calibri" w:eastAsia="ヒラギノ角ゴ Pro W3" w:hAnsi="Calibri"/>
          <w:noProof/>
          <w:color w:val="000000"/>
          <w:lang w:val="en-US" w:eastAsia="en-US" w:bidi="ar-SA"/>
        </w:rPr>
        <w:t>(Crawford &amp; Popp, 2003; Tolman et al., 2005)</w:t>
      </w:r>
      <w:r w:rsidRPr="004E2197">
        <w:rPr>
          <w:rFonts w:ascii="Calibri" w:eastAsia="ヒラギノ角ゴ Pro W3" w:hAnsi="Calibri"/>
          <w:color w:val="000000"/>
          <w:lang w:val="en-US" w:eastAsia="en-US" w:bidi="ar-SA"/>
        </w:rPr>
        <w:t xml:space="preserve">.  They also provide much needed space for the voices </w:t>
      </w:r>
      <w:proofErr w:type="gramStart"/>
      <w:r w:rsidRPr="004E2197">
        <w:rPr>
          <w:rFonts w:ascii="Calibri" w:eastAsia="ヒラギノ角ゴ Pro W3" w:hAnsi="Calibri"/>
          <w:color w:val="000000"/>
          <w:lang w:val="en-US" w:eastAsia="en-US" w:bidi="ar-SA"/>
        </w:rPr>
        <w:t>of  girls</w:t>
      </w:r>
      <w:proofErr w:type="gramEnd"/>
      <w:r w:rsidRPr="004E2197">
        <w:rPr>
          <w:rFonts w:ascii="Calibri" w:eastAsia="ヒラギノ角ゴ Pro W3" w:hAnsi="Calibri"/>
          <w:color w:val="000000"/>
          <w:lang w:val="en-US" w:eastAsia="en-US" w:bidi="ar-SA"/>
        </w:rPr>
        <w:t xml:space="preserve"> and young women in social research </w:t>
      </w:r>
      <w:r w:rsidRPr="004E2197">
        <w:rPr>
          <w:rFonts w:ascii="Calibri" w:eastAsia="ヒラギノ角ゴ Pro W3" w:hAnsi="Calibri"/>
          <w:noProof/>
          <w:color w:val="000000"/>
          <w:lang w:val="en-US" w:eastAsia="en-US" w:bidi="ar-SA"/>
        </w:rPr>
        <w:t>(Gilligan, 1982)</w:t>
      </w:r>
      <w:r w:rsidRPr="004E2197">
        <w:rPr>
          <w:rFonts w:ascii="Calibri" w:eastAsia="ヒラギノ角ゴ Pro W3" w:hAnsi="Calibri"/>
          <w:color w:val="000000"/>
          <w:lang w:val="en-US" w:eastAsia="en-US" w:bidi="ar-SA"/>
        </w:rPr>
        <w:t xml:space="preserve"> and, increasingly, those of boys and young men </w:t>
      </w:r>
      <w:r w:rsidR="00CF53D3">
        <w:rPr>
          <w:rFonts w:ascii="Calibri" w:eastAsia="ヒラギノ角ゴ Pro W3" w:hAnsi="Calibri"/>
          <w:noProof/>
          <w:color w:val="000000"/>
          <w:lang w:val="en-US" w:eastAsia="en-US" w:bidi="ar-SA"/>
        </w:rPr>
        <w:t>(Morrison et al., 2015</w:t>
      </w:r>
      <w:r w:rsidRPr="004E2197">
        <w:rPr>
          <w:rFonts w:ascii="Calibri" w:eastAsia="ヒラギノ角ゴ Pro W3" w:hAnsi="Calibri"/>
          <w:noProof/>
          <w:color w:val="000000"/>
          <w:lang w:val="en-US" w:eastAsia="en-US" w:bidi="ar-SA"/>
        </w:rPr>
        <w:t>)</w:t>
      </w:r>
      <w:r w:rsidRPr="004E2197">
        <w:rPr>
          <w:rFonts w:ascii="Calibri" w:eastAsia="ヒラギノ角ゴ Pro W3" w:hAnsi="Calibri"/>
          <w:color w:val="000000"/>
          <w:lang w:val="en-US" w:eastAsia="en-US" w:bidi="ar-SA"/>
        </w:rPr>
        <w:t xml:space="preserve">.  </w:t>
      </w:r>
    </w:p>
    <w:p w14:paraId="3B05975D" w14:textId="77777777" w:rsidR="00E8586F" w:rsidRDefault="00E8586F" w:rsidP="00EF1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Calibri" w:eastAsia="ヒラギノ角ゴ Pro W3" w:hAnsi="Calibri"/>
          <w:color w:val="000000"/>
          <w:lang w:val="en-US" w:eastAsia="en-US" w:bidi="ar-SA"/>
        </w:rPr>
      </w:pPr>
    </w:p>
    <w:p w14:paraId="608CA17A" w14:textId="77777777" w:rsidR="00E8586F" w:rsidRPr="004E2197" w:rsidRDefault="00E8586F" w:rsidP="00EF1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Calibri" w:eastAsia="ヒラギノ角ゴ Pro W3" w:hAnsi="Calibri"/>
          <w:color w:val="000000"/>
          <w:lang w:val="en-US" w:eastAsia="en-US" w:bidi="ar-SA"/>
        </w:rPr>
      </w:pPr>
      <w:r w:rsidRPr="004E2197">
        <w:rPr>
          <w:rFonts w:ascii="Calibri" w:eastAsia="ヒラギノ角ゴ Pro W3" w:hAnsi="Calibri"/>
          <w:color w:val="000000"/>
          <w:lang w:val="en-US" w:eastAsia="en-US" w:bidi="ar-SA"/>
        </w:rPr>
        <w:t xml:space="preserve">However, from a conversation analytic perspective, gathering data by directly interviewing participants risks researchers (inadvertently) producing findings through their active engagement in the process </w:t>
      </w:r>
      <w:r w:rsidRPr="004E2197">
        <w:rPr>
          <w:rFonts w:ascii="Calibri" w:eastAsia="ヒラギノ角ゴ Pro W3" w:hAnsi="Calibri"/>
          <w:noProof/>
          <w:color w:val="000000"/>
          <w:lang w:val="en-US" w:eastAsia="en-US" w:bidi="ar-SA"/>
        </w:rPr>
        <w:t>(Potter &amp; Hepburn, 2005, 2007. See also DeFina, 2009</w:t>
      </w:r>
      <w:r w:rsidR="00140CCD">
        <w:rPr>
          <w:rFonts w:ascii="Calibri" w:eastAsia="ヒラギノ角ゴ Pro W3" w:hAnsi="Calibri"/>
          <w:noProof/>
          <w:color w:val="000000"/>
          <w:lang w:val="en-US" w:eastAsia="en-US" w:bidi="ar-SA"/>
        </w:rPr>
        <w:t xml:space="preserve">; </w:t>
      </w:r>
      <w:r>
        <w:rPr>
          <w:rFonts w:ascii="Calibri" w:eastAsia="ヒラギノ角ゴ Pro W3" w:hAnsi="Calibri"/>
          <w:noProof/>
          <w:color w:val="000000"/>
          <w:lang w:val="en-US" w:eastAsia="en-US" w:bidi="ar-SA"/>
        </w:rPr>
        <w:t>Mishler, 1986</w:t>
      </w:r>
      <w:r w:rsidRPr="004E2197">
        <w:rPr>
          <w:rFonts w:ascii="Calibri" w:eastAsia="ヒラギノ角ゴ Pro W3" w:hAnsi="Calibri"/>
          <w:noProof/>
          <w:color w:val="000000"/>
          <w:lang w:val="en-US" w:eastAsia="en-US" w:bidi="ar-SA"/>
        </w:rPr>
        <w:t>)</w:t>
      </w:r>
      <w:r w:rsidRPr="004E2197">
        <w:rPr>
          <w:rFonts w:ascii="Calibri" w:eastAsia="ヒラギノ角ゴ Pro W3" w:hAnsi="Calibri"/>
          <w:color w:val="000000"/>
          <w:lang w:val="en-US" w:eastAsia="en-US" w:bidi="ar-SA"/>
        </w:rPr>
        <w:t xml:space="preserve">.  Research interviews and focus groups are a form of social practice in their own right in which there are normative and contextualised roles (interviewer and interviewee), and associated obligatory frameworks (which </w:t>
      </w:r>
      <w:r w:rsidRPr="004E2197">
        <w:rPr>
          <w:rFonts w:ascii="Calibri" w:eastAsia="ヒラギノ角ゴ Pro W3" w:hAnsi="Calibri"/>
          <w:color w:val="000000"/>
          <w:lang w:val="en-US" w:eastAsia="en-US" w:bidi="ar-SA"/>
        </w:rPr>
        <w:lastRenderedPageBreak/>
        <w:t>has particular relevance when adult interviewers talk to young people).</w:t>
      </w:r>
      <w:r>
        <w:rPr>
          <w:rStyle w:val="FootnoteReference"/>
          <w:rFonts w:ascii="Calibri" w:eastAsia="ヒラギノ角ゴ Pro W3" w:hAnsi="Calibri"/>
          <w:color w:val="000000"/>
          <w:lang w:val="en-US" w:eastAsia="en-US" w:bidi="ar-SA"/>
        </w:rPr>
        <w:footnoteReference w:id="1"/>
      </w:r>
      <w:r w:rsidRPr="004E2197">
        <w:rPr>
          <w:rFonts w:ascii="Calibri" w:eastAsia="ヒラギノ角ゴ Pro W3" w:hAnsi="Calibri"/>
          <w:color w:val="000000"/>
          <w:lang w:val="en-US" w:eastAsia="en-US" w:bidi="ar-SA"/>
        </w:rPr>
        <w:t xml:space="preserve">  There seems a pressing case to research how people actually talk to each other about their sexual conduct </w:t>
      </w:r>
      <w:r w:rsidRPr="004E2197">
        <w:rPr>
          <w:rFonts w:ascii="Calibri" w:eastAsia="ヒラギノ角ゴ Pro W3" w:hAnsi="Calibri"/>
          <w:noProof/>
          <w:color w:val="000000"/>
          <w:lang w:val="en-US" w:eastAsia="en-US" w:bidi="ar-SA"/>
        </w:rPr>
        <w:t>(Kitzinger, 2006)</w:t>
      </w:r>
      <w:r w:rsidRPr="004E2197">
        <w:rPr>
          <w:rFonts w:ascii="Calibri" w:eastAsia="ヒラギノ角ゴ Pro W3" w:hAnsi="Calibri"/>
          <w:color w:val="000000"/>
          <w:lang w:val="en-US" w:eastAsia="en-US" w:bidi="ar-SA"/>
        </w:rPr>
        <w:t xml:space="preserve">. There is an apparent lack of research on everyday talk about sex, and as a result, we lack understanding of the mundane language of </w:t>
      </w:r>
      <w:r>
        <w:rPr>
          <w:rFonts w:ascii="Calibri" w:eastAsia="ヒラギノ角ゴ Pro W3" w:hAnsi="Calibri"/>
          <w:color w:val="000000"/>
          <w:lang w:val="en-US" w:eastAsia="en-US" w:bidi="ar-SA"/>
        </w:rPr>
        <w:t xml:space="preserve">(talk about) </w:t>
      </w:r>
      <w:r w:rsidRPr="004E2197">
        <w:rPr>
          <w:rFonts w:ascii="Calibri" w:eastAsia="ヒラギノ角ゴ Pro W3" w:hAnsi="Calibri"/>
          <w:color w:val="000000"/>
          <w:lang w:val="en-US" w:eastAsia="en-US" w:bidi="ar-SA"/>
        </w:rPr>
        <w:t xml:space="preserve">sex even for adults.   </w:t>
      </w:r>
    </w:p>
    <w:p w14:paraId="0E1BA53B" w14:textId="77777777" w:rsidR="00E8586F" w:rsidRPr="004E2197" w:rsidRDefault="00E8586F" w:rsidP="00EF15EA">
      <w:pPr>
        <w:spacing w:line="480" w:lineRule="auto"/>
        <w:rPr>
          <w:rFonts w:asciiTheme="minorHAnsi" w:hAnsiTheme="minorHAnsi"/>
          <w:lang w:val="en-US"/>
        </w:rPr>
      </w:pPr>
    </w:p>
    <w:p w14:paraId="559E8F17" w14:textId="77777777" w:rsidR="00E8586F" w:rsidRPr="004E2197" w:rsidRDefault="00E8586F" w:rsidP="00EF15EA">
      <w:pPr>
        <w:spacing w:line="480" w:lineRule="auto"/>
        <w:rPr>
          <w:rFonts w:asciiTheme="minorHAnsi" w:hAnsiTheme="minorHAnsi"/>
          <w:lang w:val="en-US"/>
        </w:rPr>
      </w:pPr>
      <w:r w:rsidRPr="004E2197">
        <w:rPr>
          <w:rFonts w:asciiTheme="minorHAnsi" w:hAnsiTheme="minorHAnsi"/>
          <w:lang w:val="en-US"/>
        </w:rPr>
        <w:t xml:space="preserve">There is a small but significant conversation analytically informed literature on the ways that sexuality is indexed in talk </w:t>
      </w:r>
      <w:r w:rsidRPr="004E2197">
        <w:rPr>
          <w:rFonts w:asciiTheme="minorHAnsi" w:hAnsiTheme="minorHAnsi"/>
          <w:noProof/>
          <w:lang w:val="en-US"/>
        </w:rPr>
        <w:t>(Kitzinger, 2000, 2005a, 2005b, 2006; Land &amp; Kitzinger, 2005; Rendle-Short, 2005; Wilkinson &amp; Kitzinger, 2003)</w:t>
      </w:r>
      <w:r w:rsidRPr="004E2197">
        <w:rPr>
          <w:rFonts w:asciiTheme="minorHAnsi" w:hAnsiTheme="minorHAnsi"/>
          <w:lang w:val="en-US"/>
        </w:rPr>
        <w:t>. Much of this research focuses on the ways in which heterosexuality is taken-for-granted in social life.  Speakers regularly (and unintendedly) produce their sexuality in talk by using recogniseably gendered names and pro-terms when referring to their partners.</w:t>
      </w:r>
      <w:r w:rsidRPr="004E2197">
        <w:rPr>
          <w:rFonts w:asciiTheme="minorHAnsi" w:hAnsiTheme="minorHAnsi"/>
          <w:vertAlign w:val="superscript"/>
          <w:lang w:val="en-US"/>
        </w:rPr>
        <w:t xml:space="preserve"> </w:t>
      </w:r>
      <w:r w:rsidRPr="00FD2582">
        <w:rPr>
          <w:vertAlign w:val="superscript"/>
          <w:lang w:val="en-US"/>
        </w:rPr>
        <w:footnoteReference w:id="2"/>
      </w:r>
      <w:r w:rsidRPr="004E2197">
        <w:rPr>
          <w:rFonts w:asciiTheme="minorHAnsi" w:hAnsiTheme="minorHAnsi"/>
          <w:lang w:val="en-US"/>
        </w:rPr>
        <w:t xml:space="preserve"> When opposite-sex partners are referred to, the progressivity of ongoing action is unaffected.  In contrast, when lesbian or gay identities are indexed in the same way, recipients regularly orient to sexuality, making it relevant even when the overall action is in no way contingent on it. In talk, then, heterosexuality is normative and homosexuality is marked. </w:t>
      </w:r>
    </w:p>
    <w:p w14:paraId="3EE44A36" w14:textId="77777777" w:rsidR="00E8586F" w:rsidRPr="004E2197" w:rsidRDefault="00E8586F" w:rsidP="00EF15EA">
      <w:pPr>
        <w:spacing w:line="480" w:lineRule="auto"/>
        <w:rPr>
          <w:rFonts w:asciiTheme="minorHAnsi" w:hAnsiTheme="minorHAnsi"/>
          <w:lang w:val="en-US"/>
        </w:rPr>
      </w:pPr>
    </w:p>
    <w:p w14:paraId="56FFBFD3" w14:textId="02A063E2" w:rsidR="00E8586F" w:rsidRPr="004E2197" w:rsidRDefault="00E8586F" w:rsidP="00EF15EA">
      <w:pPr>
        <w:spacing w:line="480" w:lineRule="auto"/>
        <w:rPr>
          <w:rFonts w:asciiTheme="minorHAnsi" w:hAnsiTheme="minorHAnsi"/>
          <w:lang w:val="en-US"/>
        </w:rPr>
      </w:pPr>
      <w:r w:rsidRPr="004E2197">
        <w:rPr>
          <w:rFonts w:asciiTheme="minorHAnsi" w:hAnsiTheme="minorHAnsi"/>
          <w:lang w:val="en-US"/>
        </w:rPr>
        <w:t xml:space="preserve">In focusing on the unintended consequences of person reference, these studies have ‘gone beyond’ the data to demonstrate the normative backdrop to interaction.  This </w:t>
      </w:r>
      <w:r w:rsidRPr="004E2197">
        <w:rPr>
          <w:rFonts w:asciiTheme="minorHAnsi" w:hAnsiTheme="minorHAnsi"/>
          <w:lang w:val="en-US"/>
        </w:rPr>
        <w:lastRenderedPageBreak/>
        <w:t>fits with the feminist conversation analytic method most notably</w:t>
      </w:r>
      <w:r w:rsidR="00E765C2">
        <w:rPr>
          <w:rFonts w:asciiTheme="minorHAnsi" w:hAnsiTheme="minorHAnsi"/>
          <w:lang w:val="en-US"/>
        </w:rPr>
        <w:t xml:space="preserve"> described</w:t>
      </w:r>
      <w:r w:rsidRPr="004E2197">
        <w:rPr>
          <w:rFonts w:asciiTheme="minorHAnsi" w:hAnsiTheme="minorHAnsi"/>
          <w:lang w:val="en-US"/>
        </w:rPr>
        <w:t xml:space="preserve"> by Kitzinger (2000).  The feminist application of CA is variously contended </w:t>
      </w:r>
      <w:r w:rsidRPr="004E2197">
        <w:rPr>
          <w:rFonts w:asciiTheme="minorHAnsi" w:hAnsiTheme="minorHAnsi"/>
          <w:noProof/>
          <w:lang w:val="en-US"/>
        </w:rPr>
        <w:t>(Schegloff, 2009; Whelan, 2012; Wowk, 2007)</w:t>
      </w:r>
      <w:r w:rsidRPr="004E2197">
        <w:rPr>
          <w:rFonts w:asciiTheme="minorHAnsi" w:hAnsiTheme="minorHAnsi"/>
          <w:lang w:val="en-US"/>
        </w:rPr>
        <w:t xml:space="preserve"> but has generated a body of findings that take seriously the mundane ways in which gender and sexuality are (re)produced in social life (</w:t>
      </w:r>
      <w:r w:rsidRPr="004E2197">
        <w:rPr>
          <w:rFonts w:asciiTheme="minorHAnsi" w:hAnsiTheme="minorHAnsi"/>
          <w:noProof/>
          <w:lang w:val="en-US"/>
        </w:rPr>
        <w:t>Speer &amp; Stokoe, 2011; Wilkinson &amp; Kitzinger, 2014)</w:t>
      </w:r>
      <w:r w:rsidRPr="004E2197">
        <w:rPr>
          <w:rFonts w:asciiTheme="minorHAnsi" w:hAnsiTheme="minorHAnsi"/>
          <w:lang w:val="en-US"/>
        </w:rPr>
        <w:t>.</w:t>
      </w:r>
      <w:r>
        <w:rPr>
          <w:rFonts w:asciiTheme="minorHAnsi" w:hAnsiTheme="minorHAnsi"/>
          <w:lang w:val="en-US"/>
        </w:rPr>
        <w:t xml:space="preserve">  </w:t>
      </w:r>
    </w:p>
    <w:p w14:paraId="2C6EE310" w14:textId="77777777" w:rsidR="00E8586F" w:rsidRDefault="00E8586F">
      <w:pPr>
        <w:rPr>
          <w:rFonts w:asciiTheme="minorHAnsi" w:hAnsiTheme="minorHAnsi"/>
          <w:b/>
        </w:rPr>
      </w:pPr>
    </w:p>
    <w:p w14:paraId="35099562" w14:textId="36B09FA0" w:rsidR="00E8586F" w:rsidRDefault="00E8586F" w:rsidP="00EF15EA">
      <w:pPr>
        <w:spacing w:line="480" w:lineRule="auto"/>
        <w:rPr>
          <w:rFonts w:asciiTheme="minorHAnsi" w:hAnsiTheme="minorHAnsi"/>
        </w:rPr>
      </w:pPr>
      <w:r w:rsidRPr="0045227F">
        <w:rPr>
          <w:rFonts w:asciiTheme="minorHAnsi" w:hAnsiTheme="minorHAnsi"/>
        </w:rPr>
        <w:t>This paper</w:t>
      </w:r>
      <w:r>
        <w:rPr>
          <w:rFonts w:asciiTheme="minorHAnsi" w:hAnsiTheme="minorHAnsi"/>
        </w:rPr>
        <w:t xml:space="preserve"> uses conversation analysis (CA)</w:t>
      </w:r>
      <w:r w:rsidRPr="0045227F">
        <w:rPr>
          <w:rFonts w:asciiTheme="minorHAnsi" w:hAnsiTheme="minorHAnsi"/>
        </w:rPr>
        <w:t xml:space="preserve"> </w:t>
      </w:r>
      <w:r>
        <w:rPr>
          <w:rFonts w:asciiTheme="minorHAnsi" w:hAnsiTheme="minorHAnsi"/>
        </w:rPr>
        <w:t xml:space="preserve">to analyse a single call in which fifteen year old Mary, in conversation with her friend Katie, describes the circumstances of a first sexual experience with her new boyfriend. In keeping with a feminist application of CA, I analyse the story for both its fine-grained form and content; taking seriously both the way the telling unfolds interactionally </w:t>
      </w:r>
      <w:r w:rsidRPr="00A873A5">
        <w:rPr>
          <w:rFonts w:asciiTheme="minorHAnsi" w:hAnsiTheme="minorHAnsi"/>
          <w:i/>
        </w:rPr>
        <w:t xml:space="preserve">and </w:t>
      </w:r>
      <w:r>
        <w:rPr>
          <w:rFonts w:asciiTheme="minorHAnsi" w:hAnsiTheme="minorHAnsi"/>
        </w:rPr>
        <w:t xml:space="preserve">what the story is </w:t>
      </w:r>
      <w:r w:rsidRPr="00A873A5">
        <w:rPr>
          <w:rFonts w:asciiTheme="minorHAnsi" w:hAnsiTheme="minorHAnsi"/>
          <w:i/>
        </w:rPr>
        <w:t>about</w:t>
      </w:r>
      <w:r>
        <w:rPr>
          <w:rFonts w:asciiTheme="minorHAnsi" w:hAnsiTheme="minorHAnsi"/>
          <w:i/>
        </w:rPr>
        <w:t xml:space="preserve"> </w:t>
      </w:r>
      <w:r w:rsidRPr="005C3C76">
        <w:rPr>
          <w:rFonts w:asciiTheme="minorHAnsi" w:hAnsiTheme="minorHAnsi"/>
        </w:rPr>
        <w:t xml:space="preserve">(for a related approach see </w:t>
      </w:r>
      <w:r w:rsidRPr="00140CCD">
        <w:rPr>
          <w:rFonts w:asciiTheme="minorHAnsi" w:hAnsiTheme="minorHAnsi"/>
          <w:noProof/>
        </w:rPr>
        <w:t>De Fina &amp; Georgakopoulou, 2008)</w:t>
      </w:r>
      <w:r>
        <w:rPr>
          <w:rFonts w:asciiTheme="minorHAnsi" w:hAnsiTheme="minorHAnsi"/>
        </w:rPr>
        <w:t xml:space="preserve">.  At the heart of this analysis is a </w:t>
      </w:r>
      <w:r w:rsidR="000A0305">
        <w:rPr>
          <w:rFonts w:asciiTheme="minorHAnsi" w:hAnsiTheme="minorHAnsi"/>
        </w:rPr>
        <w:t>naturalistic</w:t>
      </w:r>
      <w:r>
        <w:rPr>
          <w:rFonts w:asciiTheme="minorHAnsi" w:hAnsiTheme="minorHAnsi"/>
        </w:rPr>
        <w:t xml:space="preserve"> narrative of the temporal development of a teenage relationship from reported initial resistance through the first kiss to first sexual contact.   The story arises in a naturally occurring context – a telephone call between friends - and, unusually for research on young people’s sexuality, the topic is not researcher-led.   Instead, the story is elicited</w:t>
      </w:r>
      <w:r w:rsidR="00A40BA1">
        <w:rPr>
          <w:rFonts w:asciiTheme="minorHAnsi" w:hAnsiTheme="minorHAnsi"/>
        </w:rPr>
        <w:t xml:space="preserve"> in</w:t>
      </w:r>
      <w:r w:rsidR="00D949E6">
        <w:rPr>
          <w:rFonts w:asciiTheme="minorHAnsi" w:hAnsiTheme="minorHAnsi"/>
        </w:rPr>
        <w:t>teractionally</w:t>
      </w:r>
      <w:r>
        <w:rPr>
          <w:rFonts w:asciiTheme="minorHAnsi" w:hAnsiTheme="minorHAnsi"/>
        </w:rPr>
        <w:t xml:space="preserve"> in the form of a request for ‘the craic’ by Mary’s co-conversationalist, in part, as an enactment of friendship; demonstrating both knowledge of Mary’s life and the assumptive rights to enquire (which are accepted).</w:t>
      </w:r>
      <w:r>
        <w:rPr>
          <w:rStyle w:val="FootnoteReference"/>
          <w:rFonts w:asciiTheme="minorHAnsi" w:hAnsiTheme="minorHAnsi"/>
        </w:rPr>
        <w:footnoteReference w:id="3"/>
      </w:r>
      <w:r>
        <w:rPr>
          <w:rFonts w:asciiTheme="minorHAnsi" w:hAnsiTheme="minorHAnsi"/>
        </w:rPr>
        <w:t xml:space="preserve">  The story that follows details a number of events that eventually culminate in the cautiously delivered punchline that Mary has done ‘stuff’ to her new boyfriend.  She does not specify what ‘stuff’ she did, and her recipient does not pursue the specifics.  This contrasts with the way in which a first kiss is spoken of and </w:t>
      </w:r>
      <w:r>
        <w:rPr>
          <w:rFonts w:asciiTheme="minorHAnsi" w:hAnsiTheme="minorHAnsi"/>
        </w:rPr>
        <w:lastRenderedPageBreak/>
        <w:t>responded to; in celebratory ways that attest to the appropriateness of talk about kissing.  For these participants, kissing is a reportable and pursuable topic, sex is not.  In other words, kissing is tellable and sex is taboo.</w:t>
      </w:r>
    </w:p>
    <w:p w14:paraId="4BB4AFC3" w14:textId="77777777" w:rsidR="00E8586F" w:rsidRDefault="00E8586F" w:rsidP="00EF15EA">
      <w:pPr>
        <w:spacing w:line="480" w:lineRule="auto"/>
        <w:rPr>
          <w:rFonts w:asciiTheme="minorHAnsi" w:hAnsiTheme="minorHAnsi"/>
        </w:rPr>
      </w:pPr>
    </w:p>
    <w:p w14:paraId="6DC7998A" w14:textId="77777777" w:rsidR="00E8586F" w:rsidRPr="00A60A22" w:rsidRDefault="00E8586F" w:rsidP="00EF15EA">
      <w:pPr>
        <w:spacing w:line="480" w:lineRule="auto"/>
        <w:rPr>
          <w:rFonts w:asciiTheme="minorHAnsi" w:hAnsiTheme="minorHAnsi"/>
        </w:rPr>
      </w:pPr>
      <w:r w:rsidRPr="00A60A22">
        <w:rPr>
          <w:rFonts w:asciiTheme="minorHAnsi" w:hAnsiTheme="minorHAnsi"/>
        </w:rPr>
        <w:t xml:space="preserve">The conversation analytic notion of tellability comes from </w:t>
      </w:r>
      <w:r>
        <w:rPr>
          <w:rFonts w:asciiTheme="minorHAnsi" w:hAnsiTheme="minorHAnsi"/>
          <w:noProof/>
        </w:rPr>
        <w:t>Sacks (1992)</w:t>
      </w:r>
      <w:r w:rsidRPr="00A60A22">
        <w:rPr>
          <w:rFonts w:asciiTheme="minorHAnsi" w:hAnsiTheme="minorHAnsi"/>
        </w:rPr>
        <w:t>, in which he notices that</w:t>
      </w:r>
      <w:r>
        <w:rPr>
          <w:rFonts w:asciiTheme="minorHAnsi" w:hAnsiTheme="minorHAnsi"/>
        </w:rPr>
        <w:t xml:space="preserve"> would-be storytellers </w:t>
      </w:r>
      <w:r w:rsidRPr="00AC3817">
        <w:rPr>
          <w:rFonts w:asciiTheme="minorHAnsi" w:hAnsiTheme="minorHAnsi"/>
        </w:rPr>
        <w:t xml:space="preserve">make clear their credentials for telling </w:t>
      </w:r>
      <w:r w:rsidRPr="00AC3817">
        <w:rPr>
          <w:rFonts w:asciiTheme="minorHAnsi" w:hAnsiTheme="minorHAnsi"/>
          <w:i/>
        </w:rPr>
        <w:t xml:space="preserve">this </w:t>
      </w:r>
      <w:r w:rsidRPr="00AC3817">
        <w:rPr>
          <w:rFonts w:asciiTheme="minorHAnsi" w:hAnsiTheme="minorHAnsi"/>
        </w:rPr>
        <w:t xml:space="preserve">story to </w:t>
      </w:r>
      <w:r w:rsidRPr="00AC3817">
        <w:rPr>
          <w:rFonts w:asciiTheme="minorHAnsi" w:hAnsiTheme="minorHAnsi"/>
          <w:i/>
        </w:rPr>
        <w:t>this</w:t>
      </w:r>
      <w:r w:rsidRPr="00AC3817">
        <w:rPr>
          <w:rFonts w:asciiTheme="minorHAnsi" w:hAnsiTheme="minorHAnsi"/>
        </w:rPr>
        <w:t xml:space="preserve"> recipient </w:t>
      </w:r>
      <w:r w:rsidRPr="00AC3817">
        <w:rPr>
          <w:rFonts w:asciiTheme="minorHAnsi" w:hAnsiTheme="minorHAnsi"/>
          <w:i/>
        </w:rPr>
        <w:t>now</w:t>
      </w:r>
      <w:r w:rsidRPr="00A60A22">
        <w:rPr>
          <w:rFonts w:asciiTheme="minorHAnsi" w:hAnsiTheme="minorHAnsi"/>
        </w:rPr>
        <w:t xml:space="preserve"> in order to resolve the various contingencies </w:t>
      </w:r>
      <w:r>
        <w:rPr>
          <w:rFonts w:asciiTheme="minorHAnsi" w:hAnsiTheme="minorHAnsi"/>
        </w:rPr>
        <w:t xml:space="preserve">they </w:t>
      </w:r>
      <w:r w:rsidRPr="00A60A22">
        <w:rPr>
          <w:rFonts w:asciiTheme="minorHAnsi" w:hAnsiTheme="minorHAnsi"/>
        </w:rPr>
        <w:t xml:space="preserve">face (e.g. gaining and retaining the floor across several turns).  That is, tellability is not an abstract property of a story, such that any story can be told to anyone at any point. Instead, tellability is actively and locally managed in situated interaction </w:t>
      </w:r>
      <w:r w:rsidRPr="00A60A22">
        <w:rPr>
          <w:rFonts w:asciiTheme="minorHAnsi" w:hAnsiTheme="minorHAnsi"/>
          <w:i/>
        </w:rPr>
        <w:t>between</w:t>
      </w:r>
      <w:r w:rsidRPr="00A60A22">
        <w:rPr>
          <w:rFonts w:asciiTheme="minorHAnsi" w:hAnsiTheme="minorHAnsi"/>
        </w:rPr>
        <w:t xml:space="preserve"> people (Mandelbaum, 2013; Stokoe &amp; Edwards, 2006), and a bid for tellability on any given occasion might be rejected/heckled </w:t>
      </w:r>
      <w:r>
        <w:rPr>
          <w:rFonts w:asciiTheme="minorHAnsi" w:hAnsiTheme="minorHAnsi"/>
          <w:noProof/>
        </w:rPr>
        <w:t>(Goodwin, 1986; Sacks, 1974)</w:t>
      </w:r>
      <w:r w:rsidRPr="00A60A22">
        <w:rPr>
          <w:rFonts w:asciiTheme="minorHAnsi" w:hAnsiTheme="minorHAnsi"/>
        </w:rPr>
        <w:t xml:space="preserve">. </w:t>
      </w:r>
      <w:r>
        <w:rPr>
          <w:rFonts w:asciiTheme="minorHAnsi" w:hAnsiTheme="minorHAnsi"/>
        </w:rPr>
        <w:t>A</w:t>
      </w:r>
      <w:r w:rsidRPr="00A60A22">
        <w:rPr>
          <w:rFonts w:asciiTheme="minorHAnsi" w:hAnsiTheme="minorHAnsi"/>
        </w:rPr>
        <w:t>s Norrick (2005) puts it, the story</w:t>
      </w:r>
      <w:r>
        <w:rPr>
          <w:rFonts w:asciiTheme="minorHAnsi" w:hAnsiTheme="minorHAnsi"/>
        </w:rPr>
        <w:t xml:space="preserve"> might</w:t>
      </w:r>
      <w:r w:rsidRPr="00A60A22">
        <w:rPr>
          <w:rFonts w:asciiTheme="minorHAnsi" w:hAnsiTheme="minorHAnsi"/>
        </w:rPr>
        <w:t xml:space="preserve"> interactionally fail to reach a lower threshold bounding of tellability (p.337).  This can happen for various reasons, but can be due to a lack of (local) interest or newsworthiness; the ‘so what’ factor (Labov &amp; Fanshel, 1977).</w:t>
      </w:r>
      <w:r w:rsidRPr="00A60A22">
        <w:rPr>
          <w:rFonts w:asciiTheme="minorHAnsi" w:hAnsiTheme="minorHAnsi"/>
          <w:vertAlign w:val="superscript"/>
        </w:rPr>
        <w:footnoteReference w:id="4"/>
      </w:r>
    </w:p>
    <w:p w14:paraId="1D5A2AD6" w14:textId="77777777" w:rsidR="00E8586F" w:rsidRPr="00A60A22" w:rsidRDefault="00E8586F" w:rsidP="00EF15EA">
      <w:pPr>
        <w:spacing w:line="480" w:lineRule="auto"/>
        <w:rPr>
          <w:rFonts w:asciiTheme="minorHAnsi" w:hAnsiTheme="minorHAnsi"/>
        </w:rPr>
      </w:pPr>
    </w:p>
    <w:p w14:paraId="272A1635" w14:textId="77777777" w:rsidR="00E8586F" w:rsidRPr="00A60A22" w:rsidRDefault="00E8586F" w:rsidP="00EF15EA">
      <w:pPr>
        <w:spacing w:line="480" w:lineRule="auto"/>
        <w:rPr>
          <w:rFonts w:asciiTheme="minorHAnsi" w:hAnsiTheme="minorHAnsi"/>
        </w:rPr>
      </w:pPr>
      <w:r>
        <w:rPr>
          <w:rFonts w:asciiTheme="minorHAnsi" w:hAnsiTheme="minorHAnsi"/>
        </w:rPr>
        <w:t>Norrick (</w:t>
      </w:r>
      <w:r w:rsidRPr="00A60A22">
        <w:rPr>
          <w:rFonts w:asciiTheme="minorHAnsi" w:hAnsiTheme="minorHAnsi"/>
        </w:rPr>
        <w:t xml:space="preserve">2000, 2005) extends the notion of tellability to include an upper threshold </w:t>
      </w:r>
      <w:r>
        <w:rPr>
          <w:rFonts w:asciiTheme="minorHAnsi" w:hAnsiTheme="minorHAnsi"/>
        </w:rPr>
        <w:t xml:space="preserve">of appropriateness or propriety </w:t>
      </w:r>
      <w:r w:rsidRPr="00A60A22">
        <w:rPr>
          <w:rFonts w:asciiTheme="minorHAnsi" w:hAnsiTheme="minorHAnsi"/>
        </w:rPr>
        <w:t xml:space="preserve">(see also </w:t>
      </w:r>
      <w:r>
        <w:rPr>
          <w:rFonts w:asciiTheme="minorHAnsi" w:hAnsiTheme="minorHAnsi"/>
          <w:noProof/>
        </w:rPr>
        <w:t>Ochs and Capps, 2001)</w:t>
      </w:r>
      <w:r w:rsidRPr="00A60A22">
        <w:rPr>
          <w:rFonts w:asciiTheme="minorHAnsi" w:hAnsiTheme="minorHAnsi"/>
        </w:rPr>
        <w:t xml:space="preserve">.  Stories </w:t>
      </w:r>
      <w:r>
        <w:rPr>
          <w:rFonts w:asciiTheme="minorHAnsi" w:hAnsiTheme="minorHAnsi"/>
        </w:rPr>
        <w:t xml:space="preserve">can </w:t>
      </w:r>
      <w:r w:rsidRPr="00A60A22">
        <w:rPr>
          <w:rFonts w:asciiTheme="minorHAnsi" w:hAnsiTheme="minorHAnsi"/>
        </w:rPr>
        <w:t xml:space="preserve">transgress the locally constituted bounds of acceptability (e.g. </w:t>
      </w:r>
      <w:r>
        <w:rPr>
          <w:rFonts w:asciiTheme="minorHAnsi" w:hAnsiTheme="minorHAnsi"/>
        </w:rPr>
        <w:t>are too</w:t>
      </w:r>
      <w:r w:rsidRPr="00A60A22">
        <w:rPr>
          <w:rFonts w:asciiTheme="minorHAnsi" w:hAnsiTheme="minorHAnsi"/>
        </w:rPr>
        <w:t xml:space="preserve"> gory or intimate) </w:t>
      </w:r>
      <w:r>
        <w:rPr>
          <w:rFonts w:asciiTheme="minorHAnsi" w:hAnsiTheme="minorHAnsi"/>
        </w:rPr>
        <w:t xml:space="preserve">and their telling </w:t>
      </w:r>
      <w:r w:rsidRPr="00A60A22">
        <w:rPr>
          <w:rFonts w:asciiTheme="minorHAnsi" w:hAnsiTheme="minorHAnsi"/>
        </w:rPr>
        <w:t>risk</w:t>
      </w:r>
      <w:r>
        <w:rPr>
          <w:rFonts w:asciiTheme="minorHAnsi" w:hAnsiTheme="minorHAnsi"/>
        </w:rPr>
        <w:t>s</w:t>
      </w:r>
      <w:r w:rsidRPr="00A60A22">
        <w:rPr>
          <w:rFonts w:asciiTheme="minorHAnsi" w:hAnsiTheme="minorHAnsi"/>
        </w:rPr>
        <w:t xml:space="preserve"> loss of face</w:t>
      </w:r>
      <w:r>
        <w:rPr>
          <w:rFonts w:asciiTheme="minorHAnsi" w:hAnsiTheme="minorHAnsi"/>
        </w:rPr>
        <w:t xml:space="preserve"> </w:t>
      </w:r>
      <w:r>
        <w:rPr>
          <w:rFonts w:asciiTheme="minorHAnsi" w:hAnsiTheme="minorHAnsi"/>
          <w:noProof/>
        </w:rPr>
        <w:t>(Goffman, 1967)</w:t>
      </w:r>
      <w:r w:rsidRPr="00A60A22">
        <w:rPr>
          <w:rFonts w:asciiTheme="minorHAnsi" w:hAnsiTheme="minorHAnsi"/>
        </w:rPr>
        <w:t xml:space="preserve"> for both teller and recipient(s).   The teller risks sanction for </w:t>
      </w:r>
      <w:r>
        <w:rPr>
          <w:rFonts w:asciiTheme="minorHAnsi" w:hAnsiTheme="minorHAnsi"/>
        </w:rPr>
        <w:t>neglecting contextual decency</w:t>
      </w:r>
      <w:r w:rsidRPr="00A60A22">
        <w:rPr>
          <w:rFonts w:asciiTheme="minorHAnsi" w:hAnsiTheme="minorHAnsi"/>
        </w:rPr>
        <w:t xml:space="preserve"> and the recipient could be embarrassed by the implication they might be a willing recipient </w:t>
      </w:r>
      <w:r w:rsidRPr="00A60A22">
        <w:rPr>
          <w:rFonts w:asciiTheme="minorHAnsi" w:hAnsiTheme="minorHAnsi"/>
        </w:rPr>
        <w:lastRenderedPageBreak/>
        <w:t xml:space="preserve">of such a story </w:t>
      </w:r>
      <w:r>
        <w:rPr>
          <w:rFonts w:asciiTheme="minorHAnsi" w:hAnsiTheme="minorHAnsi"/>
          <w:noProof/>
        </w:rPr>
        <w:t>(Jefferson, Sacks, &amp; Schegloff, 1987)</w:t>
      </w:r>
      <w:r w:rsidRPr="00A60A22">
        <w:rPr>
          <w:rFonts w:asciiTheme="minorHAnsi" w:hAnsiTheme="minorHAnsi"/>
        </w:rPr>
        <w:t xml:space="preserve">.   </w:t>
      </w:r>
      <w:r>
        <w:rPr>
          <w:rFonts w:asciiTheme="minorHAnsi" w:hAnsiTheme="minorHAnsi"/>
        </w:rPr>
        <w:t>Prospective</w:t>
      </w:r>
      <w:r w:rsidRPr="00A60A22">
        <w:rPr>
          <w:rFonts w:asciiTheme="minorHAnsi" w:hAnsiTheme="minorHAnsi"/>
        </w:rPr>
        <w:t xml:space="preserve"> </w:t>
      </w:r>
      <w:r>
        <w:rPr>
          <w:rFonts w:asciiTheme="minorHAnsi" w:hAnsiTheme="minorHAnsi"/>
        </w:rPr>
        <w:t>story tellers</w:t>
      </w:r>
      <w:r w:rsidRPr="00A60A22">
        <w:rPr>
          <w:rFonts w:asciiTheme="minorHAnsi" w:hAnsiTheme="minorHAnsi"/>
        </w:rPr>
        <w:t xml:space="preserve">, then, </w:t>
      </w:r>
      <w:r>
        <w:rPr>
          <w:rFonts w:asciiTheme="minorHAnsi" w:hAnsiTheme="minorHAnsi"/>
        </w:rPr>
        <w:t xml:space="preserve">should </w:t>
      </w:r>
      <w:r w:rsidRPr="00A60A22">
        <w:rPr>
          <w:rFonts w:asciiTheme="minorHAnsi" w:hAnsiTheme="minorHAnsi"/>
        </w:rPr>
        <w:t xml:space="preserve">negotiate both lower and upper boundaries of tellability </w:t>
      </w:r>
      <w:r>
        <w:rPr>
          <w:rFonts w:asciiTheme="minorHAnsi" w:hAnsiTheme="minorHAnsi"/>
        </w:rPr>
        <w:t>and select</w:t>
      </w:r>
      <w:r w:rsidRPr="00A60A22">
        <w:rPr>
          <w:rFonts w:asciiTheme="minorHAnsi" w:hAnsiTheme="minorHAnsi"/>
        </w:rPr>
        <w:t xml:space="preserve"> what to tell, to whom, how to tell </w:t>
      </w:r>
      <w:r>
        <w:rPr>
          <w:rFonts w:asciiTheme="minorHAnsi" w:hAnsiTheme="minorHAnsi"/>
        </w:rPr>
        <w:t xml:space="preserve">it and in what amount of detail (see also </w:t>
      </w:r>
      <w:r>
        <w:rPr>
          <w:rFonts w:asciiTheme="minorHAnsi" w:hAnsiTheme="minorHAnsi"/>
          <w:noProof/>
        </w:rPr>
        <w:t>Bamberg, 1997)</w:t>
      </w:r>
      <w:r>
        <w:rPr>
          <w:rFonts w:asciiTheme="minorHAnsi" w:hAnsiTheme="minorHAnsi"/>
        </w:rPr>
        <w:t>.</w:t>
      </w:r>
    </w:p>
    <w:p w14:paraId="14A2A727" w14:textId="77777777" w:rsidR="00E8586F" w:rsidRPr="00A60A22" w:rsidRDefault="00E8586F" w:rsidP="00EF15EA">
      <w:pPr>
        <w:spacing w:line="480" w:lineRule="auto"/>
        <w:rPr>
          <w:rFonts w:asciiTheme="minorHAnsi" w:hAnsiTheme="minorHAnsi"/>
        </w:rPr>
      </w:pPr>
    </w:p>
    <w:p w14:paraId="3EF349FA" w14:textId="036C2206" w:rsidR="00E8586F" w:rsidRDefault="00E8586F" w:rsidP="00EF15EA">
      <w:pPr>
        <w:spacing w:line="480" w:lineRule="auto"/>
        <w:rPr>
          <w:rFonts w:asciiTheme="minorHAnsi" w:hAnsiTheme="minorHAnsi"/>
        </w:rPr>
      </w:pPr>
      <w:r w:rsidRPr="00A60A22">
        <w:rPr>
          <w:rFonts w:asciiTheme="minorHAnsi" w:hAnsiTheme="minorHAnsi"/>
        </w:rPr>
        <w:t xml:space="preserve">As noted, the grounds for both thresholds of tellability are locally contextual.  </w:t>
      </w:r>
      <w:r>
        <w:rPr>
          <w:rFonts w:asciiTheme="minorHAnsi" w:hAnsiTheme="minorHAnsi"/>
        </w:rPr>
        <w:t>So</w:t>
      </w:r>
      <w:r w:rsidRPr="00A60A22">
        <w:rPr>
          <w:rFonts w:asciiTheme="minorHAnsi" w:hAnsiTheme="minorHAnsi"/>
        </w:rPr>
        <w:t xml:space="preserve"> what is </w:t>
      </w:r>
      <w:r>
        <w:rPr>
          <w:rFonts w:asciiTheme="minorHAnsi" w:hAnsiTheme="minorHAnsi"/>
        </w:rPr>
        <w:t xml:space="preserve">both </w:t>
      </w:r>
      <w:r w:rsidRPr="00A60A22">
        <w:rPr>
          <w:rFonts w:asciiTheme="minorHAnsi" w:hAnsiTheme="minorHAnsi"/>
        </w:rPr>
        <w:t>noteworthy and within the bounds of propriety is not a property of the story itself but rather is contingent on the relationships between present company</w:t>
      </w:r>
      <w:r>
        <w:rPr>
          <w:rFonts w:asciiTheme="minorHAnsi" w:hAnsiTheme="minorHAnsi"/>
        </w:rPr>
        <w:t>,</w:t>
      </w:r>
      <w:r w:rsidRPr="00A60A22">
        <w:rPr>
          <w:rFonts w:asciiTheme="minorHAnsi" w:hAnsiTheme="minorHAnsi"/>
        </w:rPr>
        <w:t xml:space="preserve"> the privacy of the setting and constituted standards of acceptability (Norrick, 2005).   Thus</w:t>
      </w:r>
      <w:r w:rsidR="00511752">
        <w:rPr>
          <w:rFonts w:asciiTheme="minorHAnsi" w:hAnsiTheme="minorHAnsi"/>
        </w:rPr>
        <w:t>,</w:t>
      </w:r>
      <w:r w:rsidRPr="00A60A22">
        <w:rPr>
          <w:rFonts w:asciiTheme="minorHAnsi" w:hAnsiTheme="minorHAnsi"/>
        </w:rPr>
        <w:t xml:space="preserve"> what is in both senses tellable is grounded in</w:t>
      </w:r>
      <w:r>
        <w:rPr>
          <w:rFonts w:asciiTheme="minorHAnsi" w:hAnsiTheme="minorHAnsi"/>
        </w:rPr>
        <w:t xml:space="preserve"> the</w:t>
      </w:r>
      <w:r w:rsidRPr="00A60A22">
        <w:rPr>
          <w:rFonts w:asciiTheme="minorHAnsi" w:hAnsiTheme="minorHAnsi"/>
        </w:rPr>
        <w:t xml:space="preserve"> immediate conversational context and yet constitutes something of the broader normative context that </w:t>
      </w:r>
      <w:r w:rsidR="00E63444" w:rsidRPr="00A60A22">
        <w:rPr>
          <w:rFonts w:asciiTheme="minorHAnsi" w:hAnsiTheme="minorHAnsi"/>
        </w:rPr>
        <w:t>interlocutors</w:t>
      </w:r>
      <w:r w:rsidRPr="00A60A22">
        <w:rPr>
          <w:rFonts w:asciiTheme="minorHAnsi" w:hAnsiTheme="minorHAnsi"/>
        </w:rPr>
        <w:t xml:space="preserve"> inhabit (</w:t>
      </w:r>
      <w:r>
        <w:rPr>
          <w:rFonts w:asciiTheme="minorHAnsi" w:hAnsiTheme="minorHAnsi"/>
          <w:noProof/>
        </w:rPr>
        <w:t>De Fina, 2008; De Fina &amp; Georgakopoulou, 2008</w:t>
      </w:r>
      <w:r w:rsidR="00140CCD">
        <w:rPr>
          <w:rFonts w:asciiTheme="minorHAnsi" w:hAnsiTheme="minorHAnsi"/>
          <w:noProof/>
        </w:rPr>
        <w:t xml:space="preserve">; </w:t>
      </w:r>
      <w:r w:rsidRPr="00A60A22">
        <w:rPr>
          <w:rFonts w:asciiTheme="minorHAnsi" w:hAnsiTheme="minorHAnsi"/>
        </w:rPr>
        <w:t>Karatsu, 2012</w:t>
      </w:r>
      <w:r>
        <w:rPr>
          <w:rFonts w:asciiTheme="minorHAnsi" w:hAnsiTheme="minorHAnsi"/>
        </w:rPr>
        <w:t>; Woods and Wooffitt, 2014</w:t>
      </w:r>
      <w:r w:rsidRPr="00A60A22">
        <w:rPr>
          <w:rFonts w:asciiTheme="minorHAnsi" w:hAnsiTheme="minorHAnsi"/>
        </w:rPr>
        <w:t xml:space="preserve">).  The intricacy of interrelationships between self, social and cultural factors are evident in all talk-in-interaction, but storytelling, together with the notions of upper and lower bounded tellability, provide particularly </w:t>
      </w:r>
      <w:r>
        <w:rPr>
          <w:rFonts w:asciiTheme="minorHAnsi" w:hAnsiTheme="minorHAnsi"/>
        </w:rPr>
        <w:t xml:space="preserve">a </w:t>
      </w:r>
      <w:r w:rsidRPr="00A60A22">
        <w:rPr>
          <w:rFonts w:asciiTheme="minorHAnsi" w:hAnsiTheme="minorHAnsi"/>
        </w:rPr>
        <w:t>rich source of identities and culture in action</w:t>
      </w:r>
      <w:r>
        <w:rPr>
          <w:rFonts w:asciiTheme="minorHAnsi" w:hAnsiTheme="minorHAnsi"/>
        </w:rPr>
        <w:t xml:space="preserve"> </w:t>
      </w:r>
      <w:r>
        <w:rPr>
          <w:rFonts w:asciiTheme="minorHAnsi" w:hAnsiTheme="minorHAnsi"/>
          <w:noProof/>
        </w:rPr>
        <w:t>(McAdams, 2006)</w:t>
      </w:r>
      <w:r w:rsidRPr="00A60A22">
        <w:rPr>
          <w:rFonts w:asciiTheme="minorHAnsi" w:hAnsiTheme="minorHAnsi"/>
        </w:rPr>
        <w:t xml:space="preserve">.   </w:t>
      </w:r>
      <w:r>
        <w:rPr>
          <w:rFonts w:asciiTheme="minorHAnsi" w:hAnsiTheme="minorHAnsi"/>
        </w:rPr>
        <w:t>The cultural relevancies of storytelling brings us to the focal data for the current paper; a story of teenage sexuality.</w:t>
      </w:r>
    </w:p>
    <w:p w14:paraId="1669C840" w14:textId="77777777" w:rsidR="00E8586F" w:rsidRDefault="00E8586F" w:rsidP="00EF15EA">
      <w:pPr>
        <w:spacing w:line="480" w:lineRule="auto"/>
        <w:rPr>
          <w:rFonts w:asciiTheme="minorHAnsi" w:hAnsiTheme="minorHAnsi"/>
          <w:lang w:val="en-US"/>
        </w:rPr>
      </w:pPr>
    </w:p>
    <w:p w14:paraId="7333FD37" w14:textId="77777777" w:rsidR="00E8586F" w:rsidRDefault="00E8586F" w:rsidP="00EF15EA">
      <w:pPr>
        <w:spacing w:line="480" w:lineRule="auto"/>
        <w:rPr>
          <w:rFonts w:asciiTheme="minorHAnsi" w:hAnsiTheme="minorHAnsi"/>
        </w:rPr>
      </w:pPr>
      <w:r w:rsidDel="006C0201">
        <w:rPr>
          <w:rFonts w:asciiTheme="minorHAnsi" w:hAnsiTheme="minorHAnsi"/>
        </w:rPr>
        <w:t xml:space="preserve"> </w:t>
      </w:r>
      <w:r>
        <w:rPr>
          <w:rFonts w:asciiTheme="minorHAnsi" w:hAnsiTheme="minorHAnsi"/>
        </w:rPr>
        <w:t xml:space="preserve">As illustration of the applicability of CA to illuminating social and political contexts constructed through talk, I analyse what is in effect a storytelling about one young woman’s account of her relationship with a new partner from its beginnings through to first sexual contact.  I focus particularly on the notion of tellability for what it suggests about the contextualised orientations to propriety and impropriety. </w:t>
      </w:r>
    </w:p>
    <w:p w14:paraId="2C860923" w14:textId="77777777" w:rsidR="00071162" w:rsidRDefault="00071162" w:rsidP="00EF15EA">
      <w:pPr>
        <w:spacing w:line="480" w:lineRule="auto"/>
        <w:rPr>
          <w:rFonts w:asciiTheme="minorHAnsi" w:hAnsiTheme="minorHAnsi"/>
        </w:rPr>
      </w:pPr>
    </w:p>
    <w:p w14:paraId="2D195BC2" w14:textId="77777777" w:rsidR="00E8586F" w:rsidRDefault="00E8586F">
      <w:pPr>
        <w:rPr>
          <w:rFonts w:asciiTheme="minorHAnsi" w:hAnsiTheme="minorHAnsi"/>
        </w:rPr>
      </w:pPr>
    </w:p>
    <w:p w14:paraId="40E1E55D" w14:textId="77777777" w:rsidR="00E8586F" w:rsidRPr="00042636" w:rsidRDefault="00E8586F" w:rsidP="00EF15EA">
      <w:pPr>
        <w:pStyle w:val="ListParagraph"/>
        <w:numPr>
          <w:ilvl w:val="1"/>
          <w:numId w:val="6"/>
        </w:numPr>
        <w:ind w:left="426" w:hanging="426"/>
        <w:rPr>
          <w:rFonts w:asciiTheme="minorHAnsi" w:hAnsiTheme="minorHAnsi"/>
          <w:b/>
          <w:i/>
        </w:rPr>
      </w:pPr>
      <w:r>
        <w:rPr>
          <w:rFonts w:asciiTheme="minorHAnsi" w:hAnsiTheme="minorHAnsi"/>
          <w:b/>
          <w:i/>
        </w:rPr>
        <w:t xml:space="preserve">Focal </w:t>
      </w:r>
      <w:r w:rsidRPr="00042636">
        <w:rPr>
          <w:rFonts w:asciiTheme="minorHAnsi" w:hAnsiTheme="minorHAnsi"/>
          <w:b/>
          <w:i/>
        </w:rPr>
        <w:t>Data</w:t>
      </w:r>
    </w:p>
    <w:p w14:paraId="3528E9FE" w14:textId="77777777" w:rsidR="00E8586F" w:rsidRDefault="00E8586F">
      <w:pPr>
        <w:rPr>
          <w:rFonts w:asciiTheme="minorHAnsi" w:hAnsiTheme="minorHAnsi"/>
        </w:rPr>
      </w:pPr>
    </w:p>
    <w:p w14:paraId="5EA4B80B" w14:textId="540E1501" w:rsidR="00511752" w:rsidRPr="002A7821" w:rsidRDefault="00E8586F" w:rsidP="002A7821">
      <w:pPr>
        <w:pStyle w:val="NormalWeb"/>
        <w:spacing w:line="480" w:lineRule="auto"/>
        <w:rPr>
          <w:rFonts w:asciiTheme="minorHAnsi" w:hAnsiTheme="minorHAnsi"/>
        </w:rPr>
      </w:pPr>
      <w:r w:rsidRPr="002A7821">
        <w:rPr>
          <w:rFonts w:asciiTheme="minorHAnsi" w:hAnsiTheme="minorHAnsi"/>
        </w:rPr>
        <w:t xml:space="preserve">The </w:t>
      </w:r>
      <w:r w:rsidR="002343EF" w:rsidRPr="002A7821">
        <w:rPr>
          <w:rFonts w:asciiTheme="minorHAnsi" w:hAnsiTheme="minorHAnsi"/>
        </w:rPr>
        <w:t>data</w:t>
      </w:r>
      <w:r w:rsidRPr="002A7821">
        <w:rPr>
          <w:rFonts w:asciiTheme="minorHAnsi" w:hAnsiTheme="minorHAnsi"/>
        </w:rPr>
        <w:t xml:space="preserve"> examined here is taken from </w:t>
      </w:r>
      <w:r w:rsidR="002343EF" w:rsidRPr="002A7821">
        <w:rPr>
          <w:rFonts w:asciiTheme="minorHAnsi" w:hAnsiTheme="minorHAnsi"/>
        </w:rPr>
        <w:t xml:space="preserve">the author’s UK-based </w:t>
      </w:r>
      <w:r w:rsidR="00A324B7" w:rsidRPr="002A7821">
        <w:rPr>
          <w:rFonts w:asciiTheme="minorHAnsi" w:hAnsiTheme="minorHAnsi"/>
        </w:rPr>
        <w:t>corpus of</w:t>
      </w:r>
      <w:r w:rsidR="002343EF" w:rsidRPr="002A7821">
        <w:rPr>
          <w:rFonts w:asciiTheme="minorHAnsi" w:hAnsiTheme="minorHAnsi"/>
        </w:rPr>
        <w:t xml:space="preserve"> 70</w:t>
      </w:r>
      <w:r w:rsidR="00522441" w:rsidRPr="002A7821">
        <w:rPr>
          <w:rFonts w:asciiTheme="minorHAnsi" w:hAnsiTheme="minorHAnsi"/>
        </w:rPr>
        <w:t>+</w:t>
      </w:r>
      <w:r w:rsidR="002343EF" w:rsidRPr="002A7821">
        <w:rPr>
          <w:rFonts w:asciiTheme="minorHAnsi" w:hAnsiTheme="minorHAnsi"/>
        </w:rPr>
        <w:t xml:space="preserve"> naturally-occurring </w:t>
      </w:r>
      <w:r w:rsidRPr="002A7821">
        <w:rPr>
          <w:rFonts w:asciiTheme="minorHAnsi" w:hAnsiTheme="minorHAnsi"/>
        </w:rPr>
        <w:t>telephone call</w:t>
      </w:r>
      <w:r w:rsidR="00A324B7" w:rsidRPr="002A7821">
        <w:rPr>
          <w:rFonts w:asciiTheme="minorHAnsi" w:hAnsiTheme="minorHAnsi"/>
        </w:rPr>
        <w:t xml:space="preserve">s made or received by </w:t>
      </w:r>
      <w:r w:rsidR="002343EF" w:rsidRPr="002A7821">
        <w:rPr>
          <w:rFonts w:asciiTheme="minorHAnsi" w:hAnsiTheme="minorHAnsi"/>
        </w:rPr>
        <w:t>pre-teen and teenaged girls</w:t>
      </w:r>
      <w:r w:rsidR="00522441" w:rsidRPr="002A7821">
        <w:rPr>
          <w:rFonts w:asciiTheme="minorHAnsi" w:hAnsiTheme="minorHAnsi"/>
        </w:rPr>
        <w:t>. Recor</w:t>
      </w:r>
      <w:r w:rsidR="0077482C" w:rsidRPr="002A7821">
        <w:rPr>
          <w:rFonts w:asciiTheme="minorHAnsi" w:hAnsiTheme="minorHAnsi"/>
        </w:rPr>
        <w:t>ding devices were provided and</w:t>
      </w:r>
      <w:r w:rsidR="00522441" w:rsidRPr="002A7821">
        <w:rPr>
          <w:rFonts w:asciiTheme="minorHAnsi" w:hAnsiTheme="minorHAnsi"/>
        </w:rPr>
        <w:t xml:space="preserve"> girls </w:t>
      </w:r>
      <w:r w:rsidR="00567FC3" w:rsidRPr="002A7821">
        <w:rPr>
          <w:rFonts w:asciiTheme="minorHAnsi" w:hAnsiTheme="minorHAnsi"/>
        </w:rPr>
        <w:t>consented</w:t>
      </w:r>
      <w:r w:rsidR="00522441" w:rsidRPr="002A7821">
        <w:rPr>
          <w:rFonts w:asciiTheme="minorHAnsi" w:hAnsiTheme="minorHAnsi"/>
        </w:rPr>
        <w:t xml:space="preserve"> to record calls they made or received in the course of their usual activities.</w:t>
      </w:r>
      <w:r w:rsidR="00567FC3" w:rsidRPr="002A7821">
        <w:rPr>
          <w:rStyle w:val="FootnoteReference"/>
          <w:rFonts w:asciiTheme="minorHAnsi" w:hAnsiTheme="minorHAnsi"/>
        </w:rPr>
        <w:footnoteReference w:id="5"/>
      </w:r>
      <w:r w:rsidR="00511752" w:rsidRPr="002A7821">
        <w:rPr>
          <w:rFonts w:asciiTheme="minorHAnsi" w:hAnsiTheme="minorHAnsi"/>
        </w:rPr>
        <w:t xml:space="preserve"> Hence, they were not asked to produce any particular kind of conve</w:t>
      </w:r>
      <w:r w:rsidR="0081537B" w:rsidRPr="002A7821">
        <w:rPr>
          <w:rFonts w:asciiTheme="minorHAnsi" w:hAnsiTheme="minorHAnsi"/>
        </w:rPr>
        <w:t xml:space="preserve">rsation for the purposes of </w:t>
      </w:r>
      <w:r w:rsidR="00511752" w:rsidRPr="002A7821">
        <w:rPr>
          <w:rFonts w:asciiTheme="minorHAnsi" w:hAnsiTheme="minorHAnsi"/>
        </w:rPr>
        <w:t xml:space="preserve">research but rather to simply record (with permission) the telephone conversations in which they happened to participate. </w:t>
      </w:r>
      <w:r w:rsidR="00522441" w:rsidRPr="002A7821">
        <w:rPr>
          <w:rFonts w:asciiTheme="minorHAnsi" w:hAnsiTheme="minorHAnsi"/>
        </w:rPr>
        <w:t xml:space="preserve"> </w:t>
      </w:r>
      <w:r w:rsidR="00511752" w:rsidRPr="002A7821">
        <w:rPr>
          <w:rFonts w:asciiTheme="minorHAnsi" w:hAnsiTheme="minorHAnsi"/>
        </w:rPr>
        <w:t xml:space="preserve"> </w:t>
      </w:r>
      <w:r w:rsidR="00DB2D03" w:rsidRPr="002A7821">
        <w:rPr>
          <w:rFonts w:asciiTheme="minorHAnsi" w:hAnsiTheme="minorHAnsi"/>
        </w:rPr>
        <w:t xml:space="preserve">All interlocutors in the corpus were aware </w:t>
      </w:r>
      <w:r w:rsidR="00E23D5E">
        <w:rPr>
          <w:rFonts w:asciiTheme="minorHAnsi" w:hAnsiTheme="minorHAnsi"/>
        </w:rPr>
        <w:t xml:space="preserve">of </w:t>
      </w:r>
      <w:r w:rsidR="00DB2D03" w:rsidRPr="002A7821">
        <w:rPr>
          <w:rFonts w:asciiTheme="minorHAnsi" w:hAnsiTheme="minorHAnsi"/>
        </w:rPr>
        <w:t>being recorded and that the recordings would be analysed for research purposes.  This might raise concern, based on the ‘observer’s paradox’ (</w:t>
      </w:r>
      <w:proofErr w:type="spellStart"/>
      <w:r w:rsidR="00DB2D03" w:rsidRPr="002A7821">
        <w:rPr>
          <w:rFonts w:asciiTheme="minorHAnsi" w:hAnsiTheme="minorHAnsi"/>
        </w:rPr>
        <w:t>Labov</w:t>
      </w:r>
      <w:proofErr w:type="spellEnd"/>
      <w:r w:rsidR="00DB2D03" w:rsidRPr="002A7821">
        <w:rPr>
          <w:rFonts w:asciiTheme="minorHAnsi" w:hAnsiTheme="minorHAnsi"/>
        </w:rPr>
        <w:t xml:space="preserve">, 1972), that knowingly recorded talk is less than ‘natural’ (e.g. </w:t>
      </w:r>
      <w:r w:rsidR="007449FE" w:rsidRPr="002A7821">
        <w:rPr>
          <w:rFonts w:asciiTheme="minorHAnsi" w:hAnsiTheme="minorHAnsi"/>
        </w:rPr>
        <w:t xml:space="preserve">Griffin, 2007; </w:t>
      </w:r>
      <w:r w:rsidR="00DB2D03" w:rsidRPr="002A7821">
        <w:rPr>
          <w:rFonts w:asciiTheme="minorHAnsi" w:hAnsiTheme="minorHAnsi"/>
        </w:rPr>
        <w:t>Hammersley, 2003).</w:t>
      </w:r>
      <w:r w:rsidR="0025530E" w:rsidRPr="002A7821">
        <w:rPr>
          <w:rFonts w:asciiTheme="minorHAnsi" w:hAnsiTheme="minorHAnsi"/>
        </w:rPr>
        <w:t xml:space="preserve">  </w:t>
      </w:r>
      <w:r w:rsidR="00D519DD" w:rsidRPr="002A7821">
        <w:rPr>
          <w:rFonts w:asciiTheme="minorHAnsi" w:hAnsiTheme="minorHAnsi"/>
        </w:rPr>
        <w:t xml:space="preserve">One assumption underlying this concern is that speakers might censor themselves in ways that analysts cannot conceivably access.  Whilst this is a </w:t>
      </w:r>
      <w:r w:rsidR="007449FE" w:rsidRPr="002A7821">
        <w:rPr>
          <w:rFonts w:asciiTheme="minorHAnsi" w:hAnsiTheme="minorHAnsi"/>
        </w:rPr>
        <w:t>challenging possibility</w:t>
      </w:r>
      <w:r w:rsidR="002D6695" w:rsidRPr="002A7821">
        <w:rPr>
          <w:rFonts w:asciiTheme="minorHAnsi" w:hAnsiTheme="minorHAnsi"/>
        </w:rPr>
        <w:t xml:space="preserve">, the matter is often open to empirical investigation through, for example, </w:t>
      </w:r>
      <w:proofErr w:type="spellStart"/>
      <w:r w:rsidR="002D6695" w:rsidRPr="002A7821">
        <w:rPr>
          <w:rFonts w:asciiTheme="minorHAnsi" w:hAnsiTheme="minorHAnsi"/>
        </w:rPr>
        <w:t>analysing</w:t>
      </w:r>
      <w:proofErr w:type="spellEnd"/>
      <w:r w:rsidR="002D6695" w:rsidRPr="002A7821">
        <w:rPr>
          <w:rFonts w:asciiTheme="minorHAnsi" w:hAnsiTheme="minorHAnsi"/>
        </w:rPr>
        <w:t xml:space="preserve"> participants’ demonstrable orientations to being recorded (</w:t>
      </w:r>
      <w:r w:rsidR="00190771">
        <w:rPr>
          <w:rFonts w:asciiTheme="minorHAnsi" w:hAnsiTheme="minorHAnsi" w:cs="Arial"/>
        </w:rPr>
        <w:t xml:space="preserve">Heath, </w:t>
      </w:r>
      <w:proofErr w:type="spellStart"/>
      <w:r w:rsidR="00190771">
        <w:rPr>
          <w:rFonts w:asciiTheme="minorHAnsi" w:hAnsiTheme="minorHAnsi" w:cs="Arial"/>
        </w:rPr>
        <w:t>Hindmarsh</w:t>
      </w:r>
      <w:proofErr w:type="spellEnd"/>
      <w:r w:rsidR="00190771">
        <w:rPr>
          <w:rFonts w:asciiTheme="minorHAnsi" w:hAnsiTheme="minorHAnsi" w:cs="Arial"/>
        </w:rPr>
        <w:t xml:space="preserve"> and Luff, 2010</w:t>
      </w:r>
      <w:r w:rsidR="002A7821">
        <w:rPr>
          <w:rFonts w:asciiTheme="minorHAnsi" w:hAnsiTheme="minorHAnsi" w:cs="Arial"/>
        </w:rPr>
        <w:t xml:space="preserve">; </w:t>
      </w:r>
      <w:r w:rsidR="002D6695" w:rsidRPr="002A7821">
        <w:rPr>
          <w:rFonts w:asciiTheme="minorHAnsi" w:hAnsiTheme="minorHAnsi"/>
        </w:rPr>
        <w:t xml:space="preserve">Speer and </w:t>
      </w:r>
      <w:proofErr w:type="spellStart"/>
      <w:r w:rsidR="002D6695" w:rsidRPr="002A7821">
        <w:rPr>
          <w:rFonts w:asciiTheme="minorHAnsi" w:hAnsiTheme="minorHAnsi"/>
        </w:rPr>
        <w:t>Hutchby</w:t>
      </w:r>
      <w:proofErr w:type="spellEnd"/>
      <w:r w:rsidR="002D6695" w:rsidRPr="002A7821">
        <w:rPr>
          <w:rFonts w:asciiTheme="minorHAnsi" w:hAnsiTheme="minorHAnsi"/>
        </w:rPr>
        <w:t>, 2003).</w:t>
      </w:r>
      <w:r w:rsidR="00190771">
        <w:rPr>
          <w:rFonts w:asciiTheme="minorHAnsi" w:hAnsiTheme="minorHAnsi"/>
        </w:rPr>
        <w:t xml:space="preserve">  These orientations are occasionally present in the corpus, but do not appear in the particular call under analysis in this paper.</w:t>
      </w:r>
      <w:r w:rsidR="002D6695" w:rsidRPr="002A7821">
        <w:rPr>
          <w:rFonts w:asciiTheme="minorHAnsi" w:hAnsiTheme="minorHAnsi"/>
        </w:rPr>
        <w:t xml:space="preserve">  </w:t>
      </w:r>
      <w:r w:rsidR="00EF15EA" w:rsidRPr="002A7821">
        <w:rPr>
          <w:rFonts w:asciiTheme="minorHAnsi" w:hAnsiTheme="minorHAnsi"/>
        </w:rPr>
        <w:t xml:space="preserve">The </w:t>
      </w:r>
      <w:r w:rsidR="001A23D1" w:rsidRPr="002A7821">
        <w:rPr>
          <w:rFonts w:asciiTheme="minorHAnsi" w:hAnsiTheme="minorHAnsi"/>
        </w:rPr>
        <w:t xml:space="preserve">activities, </w:t>
      </w:r>
      <w:r w:rsidR="0081537B" w:rsidRPr="002A7821">
        <w:rPr>
          <w:rFonts w:asciiTheme="minorHAnsi" w:hAnsiTheme="minorHAnsi"/>
        </w:rPr>
        <w:t>content and direction of conversations</w:t>
      </w:r>
      <w:r w:rsidR="002D6695" w:rsidRPr="002A7821">
        <w:rPr>
          <w:rFonts w:asciiTheme="minorHAnsi" w:hAnsiTheme="minorHAnsi"/>
        </w:rPr>
        <w:t xml:space="preserve"> in the corpus</w:t>
      </w:r>
      <w:r w:rsidR="0081537B" w:rsidRPr="002A7821">
        <w:rPr>
          <w:rFonts w:asciiTheme="minorHAnsi" w:hAnsiTheme="minorHAnsi"/>
        </w:rPr>
        <w:t xml:space="preserve"> were</w:t>
      </w:r>
      <w:r w:rsidR="00E23D5E">
        <w:rPr>
          <w:rFonts w:asciiTheme="minorHAnsi" w:hAnsiTheme="minorHAnsi"/>
        </w:rPr>
        <w:t xml:space="preserve"> </w:t>
      </w:r>
      <w:r w:rsidR="0081537B" w:rsidRPr="002A7821">
        <w:rPr>
          <w:rFonts w:asciiTheme="minorHAnsi" w:hAnsiTheme="minorHAnsi"/>
        </w:rPr>
        <w:t xml:space="preserve">unsolicited, </w:t>
      </w:r>
      <w:r w:rsidR="00567FC3" w:rsidRPr="002A7821">
        <w:rPr>
          <w:rFonts w:asciiTheme="minorHAnsi" w:hAnsiTheme="minorHAnsi"/>
        </w:rPr>
        <w:t>(Lynch, 2002</w:t>
      </w:r>
      <w:r w:rsidR="00276E47" w:rsidRPr="002A7821">
        <w:rPr>
          <w:rFonts w:asciiTheme="minorHAnsi" w:hAnsiTheme="minorHAnsi"/>
        </w:rPr>
        <w:t>; Sacks, 1984</w:t>
      </w:r>
      <w:r w:rsidR="00567FC3" w:rsidRPr="002A7821">
        <w:rPr>
          <w:rFonts w:asciiTheme="minorHAnsi" w:hAnsiTheme="minorHAnsi"/>
        </w:rPr>
        <w:t>)</w:t>
      </w:r>
      <w:r w:rsidR="002F41B0" w:rsidRPr="002A7821">
        <w:rPr>
          <w:rFonts w:asciiTheme="minorHAnsi" w:hAnsiTheme="minorHAnsi"/>
        </w:rPr>
        <w:t xml:space="preserve"> </w:t>
      </w:r>
      <w:r w:rsidR="000D2FD7" w:rsidRPr="002A7821">
        <w:rPr>
          <w:rFonts w:asciiTheme="minorHAnsi" w:hAnsiTheme="minorHAnsi"/>
        </w:rPr>
        <w:t>and pass the conceptual ‘dead scientist test’ proposed by Potter (2002) to distinguish between researcher-generated data and ‘data’ that would have occurred whether or not a researcher was present</w:t>
      </w:r>
      <w:r w:rsidR="0081537B" w:rsidRPr="002A7821">
        <w:rPr>
          <w:rFonts w:asciiTheme="minorHAnsi" w:hAnsiTheme="minorHAnsi"/>
        </w:rPr>
        <w:t xml:space="preserve">. </w:t>
      </w:r>
      <w:r w:rsidR="00190771">
        <w:rPr>
          <w:rFonts w:asciiTheme="minorHAnsi" w:hAnsiTheme="minorHAnsi"/>
        </w:rPr>
        <w:t>T</w:t>
      </w:r>
      <w:r w:rsidR="00190771" w:rsidRPr="002A7821">
        <w:rPr>
          <w:rFonts w:asciiTheme="minorHAnsi" w:hAnsiTheme="minorHAnsi"/>
        </w:rPr>
        <w:t xml:space="preserve">o this extent, </w:t>
      </w:r>
      <w:r w:rsidR="00190771">
        <w:rPr>
          <w:rFonts w:asciiTheme="minorHAnsi" w:hAnsiTheme="minorHAnsi"/>
        </w:rPr>
        <w:t xml:space="preserve">the data are </w:t>
      </w:r>
      <w:r w:rsidR="00190771" w:rsidRPr="002A7821">
        <w:rPr>
          <w:rFonts w:asciiTheme="minorHAnsi" w:hAnsiTheme="minorHAnsi"/>
        </w:rPr>
        <w:t>naturally-occurring</w:t>
      </w:r>
      <w:r w:rsidR="00190771">
        <w:rPr>
          <w:rFonts w:asciiTheme="minorHAnsi" w:hAnsiTheme="minorHAnsi"/>
        </w:rPr>
        <w:t>.</w:t>
      </w:r>
    </w:p>
    <w:p w14:paraId="4A71932A" w14:textId="77777777" w:rsidR="00511752" w:rsidRDefault="00511752" w:rsidP="00EF15EA">
      <w:pPr>
        <w:spacing w:line="480" w:lineRule="auto"/>
        <w:rPr>
          <w:rFonts w:asciiTheme="minorHAnsi" w:hAnsiTheme="minorHAnsi"/>
        </w:rPr>
      </w:pPr>
    </w:p>
    <w:p w14:paraId="7DA57A81" w14:textId="0A9DDF23" w:rsidR="00E8586F" w:rsidRDefault="0077482C" w:rsidP="00EF15EA">
      <w:pPr>
        <w:spacing w:line="480" w:lineRule="auto"/>
        <w:rPr>
          <w:rFonts w:asciiTheme="minorHAnsi" w:hAnsiTheme="minorHAnsi"/>
        </w:rPr>
      </w:pPr>
      <w:r>
        <w:rPr>
          <w:rFonts w:asciiTheme="minorHAnsi" w:hAnsiTheme="minorHAnsi"/>
        </w:rPr>
        <w:t>The</w:t>
      </w:r>
      <w:r w:rsidR="004162BA">
        <w:rPr>
          <w:rFonts w:asciiTheme="minorHAnsi" w:hAnsiTheme="minorHAnsi"/>
        </w:rPr>
        <w:t xml:space="preserve"> particular</w:t>
      </w:r>
      <w:r w:rsidR="002343EF">
        <w:rPr>
          <w:rFonts w:asciiTheme="minorHAnsi" w:hAnsiTheme="minorHAnsi"/>
        </w:rPr>
        <w:t xml:space="preserve"> call</w:t>
      </w:r>
      <w:r>
        <w:rPr>
          <w:rFonts w:asciiTheme="minorHAnsi" w:hAnsiTheme="minorHAnsi"/>
        </w:rPr>
        <w:t xml:space="preserve"> analysed here occurs </w:t>
      </w:r>
      <w:r w:rsidR="00E8586F" w:rsidRPr="00FD2582">
        <w:rPr>
          <w:rFonts w:asciiTheme="minorHAnsi" w:hAnsiTheme="minorHAnsi"/>
        </w:rPr>
        <w:t>betwe</w:t>
      </w:r>
      <w:r>
        <w:rPr>
          <w:rFonts w:asciiTheme="minorHAnsi" w:hAnsiTheme="minorHAnsi"/>
        </w:rPr>
        <w:t xml:space="preserve">en two fifteen-year-old girls, </w:t>
      </w:r>
      <w:r w:rsidR="004162BA">
        <w:rPr>
          <w:rFonts w:asciiTheme="minorHAnsi" w:hAnsiTheme="minorHAnsi"/>
        </w:rPr>
        <w:t xml:space="preserve">anonymised as </w:t>
      </w:r>
      <w:r w:rsidR="00E8586F">
        <w:rPr>
          <w:rFonts w:asciiTheme="minorHAnsi" w:hAnsiTheme="minorHAnsi"/>
        </w:rPr>
        <w:t>Katie</w:t>
      </w:r>
      <w:r w:rsidR="00E8586F" w:rsidRPr="00FD2582">
        <w:rPr>
          <w:rFonts w:asciiTheme="minorHAnsi" w:hAnsiTheme="minorHAnsi"/>
        </w:rPr>
        <w:t xml:space="preserve"> and Mary</w:t>
      </w:r>
      <w:r w:rsidR="00E765C2">
        <w:rPr>
          <w:rFonts w:asciiTheme="minorHAnsi" w:hAnsiTheme="minorHAnsi"/>
        </w:rPr>
        <w:t xml:space="preserve">, </w:t>
      </w:r>
      <w:r>
        <w:rPr>
          <w:rFonts w:asciiTheme="minorHAnsi" w:hAnsiTheme="minorHAnsi"/>
        </w:rPr>
        <w:t xml:space="preserve">during a school summer vacation, </w:t>
      </w:r>
      <w:r w:rsidR="00C000B5">
        <w:rPr>
          <w:rFonts w:asciiTheme="minorHAnsi" w:hAnsiTheme="minorHAnsi"/>
        </w:rPr>
        <w:t xml:space="preserve">after a period of not seeing </w:t>
      </w:r>
      <w:r w:rsidR="005C3C59">
        <w:rPr>
          <w:rFonts w:asciiTheme="minorHAnsi" w:hAnsiTheme="minorHAnsi"/>
        </w:rPr>
        <w:t>each other for a while</w:t>
      </w:r>
      <w:r w:rsidR="00C000B5">
        <w:rPr>
          <w:rFonts w:asciiTheme="minorHAnsi" w:hAnsiTheme="minorHAnsi"/>
        </w:rPr>
        <w:t xml:space="preserve"> (due to their respective family holidays)</w:t>
      </w:r>
      <w:r>
        <w:rPr>
          <w:rFonts w:asciiTheme="minorHAnsi" w:hAnsiTheme="minorHAnsi"/>
        </w:rPr>
        <w:t xml:space="preserve">.  </w:t>
      </w:r>
      <w:r w:rsidR="00E8586F" w:rsidRPr="00FD2582">
        <w:rPr>
          <w:rFonts w:asciiTheme="minorHAnsi" w:hAnsiTheme="minorHAnsi"/>
        </w:rPr>
        <w:t>They are good friends and</w:t>
      </w:r>
      <w:r w:rsidR="00C000B5">
        <w:rPr>
          <w:rFonts w:asciiTheme="minorHAnsi" w:hAnsiTheme="minorHAnsi"/>
        </w:rPr>
        <w:t xml:space="preserve"> the </w:t>
      </w:r>
      <w:r w:rsidR="00845888">
        <w:rPr>
          <w:rFonts w:asciiTheme="minorHAnsi" w:hAnsiTheme="minorHAnsi"/>
        </w:rPr>
        <w:t>call</w:t>
      </w:r>
      <w:r w:rsidR="00C000B5">
        <w:rPr>
          <w:rFonts w:asciiTheme="minorHAnsi" w:hAnsiTheme="minorHAnsi"/>
        </w:rPr>
        <w:t xml:space="preserve"> </w:t>
      </w:r>
      <w:r>
        <w:rPr>
          <w:rFonts w:asciiTheme="minorHAnsi" w:hAnsiTheme="minorHAnsi"/>
        </w:rPr>
        <w:t>essentially</w:t>
      </w:r>
      <w:r w:rsidR="00C000B5">
        <w:rPr>
          <w:rFonts w:asciiTheme="minorHAnsi" w:hAnsiTheme="minorHAnsi"/>
        </w:rPr>
        <w:t xml:space="preserve"> serves </w:t>
      </w:r>
      <w:r w:rsidR="00E765C2">
        <w:rPr>
          <w:rFonts w:asciiTheme="minorHAnsi" w:hAnsiTheme="minorHAnsi"/>
        </w:rPr>
        <w:t>as a</w:t>
      </w:r>
      <w:r w:rsidR="00C000B5">
        <w:rPr>
          <w:rFonts w:asciiTheme="minorHAnsi" w:hAnsiTheme="minorHAnsi"/>
        </w:rPr>
        <w:t xml:space="preserve"> catch </w:t>
      </w:r>
      <w:r>
        <w:rPr>
          <w:rFonts w:asciiTheme="minorHAnsi" w:hAnsiTheme="minorHAnsi"/>
        </w:rPr>
        <w:t xml:space="preserve">up </w:t>
      </w:r>
      <w:r w:rsidR="005C3C59">
        <w:rPr>
          <w:rFonts w:asciiTheme="minorHAnsi" w:hAnsiTheme="minorHAnsi"/>
        </w:rPr>
        <w:t>on recent events</w:t>
      </w:r>
      <w:r w:rsidR="00C000B5">
        <w:rPr>
          <w:rFonts w:asciiTheme="minorHAnsi" w:hAnsiTheme="minorHAnsi"/>
        </w:rPr>
        <w:t xml:space="preserve"> in their lives</w:t>
      </w:r>
      <w:r w:rsidR="005C3C59">
        <w:rPr>
          <w:rFonts w:asciiTheme="minorHAnsi" w:hAnsiTheme="minorHAnsi"/>
        </w:rPr>
        <w:t>.  B</w:t>
      </w:r>
      <w:r w:rsidR="00E8586F" w:rsidRPr="00FD2582">
        <w:rPr>
          <w:rFonts w:asciiTheme="minorHAnsi" w:hAnsiTheme="minorHAnsi"/>
        </w:rPr>
        <w:t>oth</w:t>
      </w:r>
      <w:r w:rsidR="005C3C59">
        <w:rPr>
          <w:rFonts w:asciiTheme="minorHAnsi" w:hAnsiTheme="minorHAnsi"/>
        </w:rPr>
        <w:t xml:space="preserve"> girls</w:t>
      </w:r>
      <w:r w:rsidR="00E8586F" w:rsidRPr="00FD2582">
        <w:rPr>
          <w:rFonts w:asciiTheme="minorHAnsi" w:hAnsiTheme="minorHAnsi"/>
        </w:rPr>
        <w:t xml:space="preserve"> have </w:t>
      </w:r>
      <w:r w:rsidR="00C000B5">
        <w:rPr>
          <w:rFonts w:asciiTheme="minorHAnsi" w:hAnsiTheme="minorHAnsi"/>
        </w:rPr>
        <w:t xml:space="preserve">relatively </w:t>
      </w:r>
      <w:r w:rsidR="00E8586F" w:rsidRPr="00FD2582">
        <w:rPr>
          <w:rFonts w:asciiTheme="minorHAnsi" w:hAnsiTheme="minorHAnsi"/>
        </w:rPr>
        <w:t xml:space="preserve">new boyfriends.  </w:t>
      </w:r>
      <w:r w:rsidR="00E8586F">
        <w:rPr>
          <w:rFonts w:asciiTheme="minorHAnsi" w:hAnsiTheme="minorHAnsi"/>
        </w:rPr>
        <w:t>Katie</w:t>
      </w:r>
      <w:r w:rsidR="00E8586F" w:rsidRPr="00FD2582">
        <w:rPr>
          <w:rFonts w:asciiTheme="minorHAnsi" w:hAnsiTheme="minorHAnsi"/>
        </w:rPr>
        <w:t xml:space="preserve"> is with Davie, and things are going well.  Mary has recently come out of a relationship with Adam but is now with John. </w:t>
      </w:r>
      <w:r w:rsidR="00E8586F">
        <w:rPr>
          <w:rFonts w:asciiTheme="minorHAnsi" w:hAnsiTheme="minorHAnsi"/>
        </w:rPr>
        <w:t>Katie</w:t>
      </w:r>
      <w:r w:rsidR="00E8586F" w:rsidRPr="00FD2582">
        <w:rPr>
          <w:rFonts w:asciiTheme="minorHAnsi" w:hAnsiTheme="minorHAnsi"/>
        </w:rPr>
        <w:t xml:space="preserve"> knew that John was interested in Mary but has not heard about </w:t>
      </w:r>
      <w:r w:rsidR="005C3C59">
        <w:rPr>
          <w:rFonts w:asciiTheme="minorHAnsi" w:hAnsiTheme="minorHAnsi"/>
        </w:rPr>
        <w:t xml:space="preserve">the </w:t>
      </w:r>
      <w:r w:rsidR="005C3C59" w:rsidRPr="00FD2582">
        <w:rPr>
          <w:rFonts w:asciiTheme="minorHAnsi" w:hAnsiTheme="minorHAnsi"/>
        </w:rPr>
        <w:t>latest</w:t>
      </w:r>
      <w:r w:rsidR="00E8586F" w:rsidRPr="00FD2582">
        <w:rPr>
          <w:rFonts w:asciiTheme="minorHAnsi" w:hAnsiTheme="minorHAnsi"/>
        </w:rPr>
        <w:t xml:space="preserve"> developments between them. </w:t>
      </w:r>
      <w:r w:rsidR="00511752">
        <w:rPr>
          <w:rFonts w:asciiTheme="minorHAnsi" w:hAnsiTheme="minorHAnsi"/>
        </w:rPr>
        <w:t xml:space="preserve"> M</w:t>
      </w:r>
      <w:r w:rsidR="00E765C2">
        <w:rPr>
          <w:rFonts w:asciiTheme="minorHAnsi" w:hAnsiTheme="minorHAnsi"/>
        </w:rPr>
        <w:t>uch</w:t>
      </w:r>
      <w:r w:rsidR="00511752">
        <w:rPr>
          <w:rFonts w:asciiTheme="minorHAnsi" w:hAnsiTheme="minorHAnsi"/>
        </w:rPr>
        <w:t xml:space="preserve"> of the conversation </w:t>
      </w:r>
      <w:r w:rsidR="00E765C2">
        <w:rPr>
          <w:rFonts w:asciiTheme="minorHAnsi" w:hAnsiTheme="minorHAnsi"/>
        </w:rPr>
        <w:t>consists of</w:t>
      </w:r>
      <w:r w:rsidR="00511752">
        <w:rPr>
          <w:rFonts w:asciiTheme="minorHAnsi" w:hAnsiTheme="minorHAnsi"/>
        </w:rPr>
        <w:t xml:space="preserve"> discussion of these relationships.</w:t>
      </w:r>
      <w:r w:rsidR="005C3C59">
        <w:rPr>
          <w:rFonts w:asciiTheme="minorHAnsi" w:hAnsiTheme="minorHAnsi"/>
        </w:rPr>
        <w:t xml:space="preserve"> </w:t>
      </w:r>
      <w:r w:rsidR="00E8586F" w:rsidRPr="00FD2582">
        <w:rPr>
          <w:rFonts w:asciiTheme="minorHAnsi" w:hAnsiTheme="minorHAnsi"/>
        </w:rPr>
        <w:t>The extract</w:t>
      </w:r>
      <w:r w:rsidR="00E8586F">
        <w:rPr>
          <w:rFonts w:asciiTheme="minorHAnsi" w:hAnsiTheme="minorHAnsi"/>
        </w:rPr>
        <w:t>s</w:t>
      </w:r>
      <w:r w:rsidR="00E8586F" w:rsidRPr="00FD2582">
        <w:rPr>
          <w:rFonts w:asciiTheme="minorHAnsi" w:hAnsiTheme="minorHAnsi"/>
        </w:rPr>
        <w:t xml:space="preserve"> presented </w:t>
      </w:r>
      <w:r w:rsidR="00845888">
        <w:rPr>
          <w:rFonts w:asciiTheme="minorHAnsi" w:hAnsiTheme="minorHAnsi"/>
        </w:rPr>
        <w:t>below</w:t>
      </w:r>
      <w:r w:rsidR="00E8586F" w:rsidRPr="00FD2582">
        <w:rPr>
          <w:rFonts w:asciiTheme="minorHAnsi" w:hAnsiTheme="minorHAnsi"/>
        </w:rPr>
        <w:t xml:space="preserve"> </w:t>
      </w:r>
      <w:r w:rsidR="00E8586F">
        <w:rPr>
          <w:rFonts w:asciiTheme="minorHAnsi" w:hAnsiTheme="minorHAnsi"/>
        </w:rPr>
        <w:t>are taken from a longer fragment that, at 199 lines</w:t>
      </w:r>
      <w:r w:rsidR="000F1114">
        <w:rPr>
          <w:rFonts w:asciiTheme="minorHAnsi" w:hAnsiTheme="minorHAnsi"/>
        </w:rPr>
        <w:t xml:space="preserve"> (some three minutes of talk)</w:t>
      </w:r>
      <w:r w:rsidR="00E8586F">
        <w:rPr>
          <w:rFonts w:asciiTheme="minorHAnsi" w:hAnsiTheme="minorHAnsi"/>
        </w:rPr>
        <w:t xml:space="preserve">, is too long to analyse fully </w:t>
      </w:r>
      <w:r w:rsidR="000F1114">
        <w:rPr>
          <w:rFonts w:asciiTheme="minorHAnsi" w:hAnsiTheme="minorHAnsi"/>
        </w:rPr>
        <w:t>here. C</w:t>
      </w:r>
      <w:r w:rsidR="00E8586F" w:rsidRPr="00FD2582">
        <w:rPr>
          <w:rFonts w:asciiTheme="minorHAnsi" w:hAnsiTheme="minorHAnsi"/>
        </w:rPr>
        <w:t xml:space="preserve">onsequently, </w:t>
      </w:r>
      <w:r w:rsidR="00E8586F">
        <w:rPr>
          <w:rFonts w:asciiTheme="minorHAnsi" w:hAnsiTheme="minorHAnsi"/>
        </w:rPr>
        <w:t xml:space="preserve">I focus my analysis around </w:t>
      </w:r>
      <w:r w:rsidR="00110FC5">
        <w:rPr>
          <w:rFonts w:asciiTheme="minorHAnsi" w:hAnsiTheme="minorHAnsi"/>
        </w:rPr>
        <w:t>four</w:t>
      </w:r>
      <w:r w:rsidR="00E8586F">
        <w:rPr>
          <w:rFonts w:asciiTheme="minorHAnsi" w:hAnsiTheme="minorHAnsi"/>
        </w:rPr>
        <w:t xml:space="preserve"> extracts that illustrate the construction of what is tellable for these teenage speakers.</w:t>
      </w:r>
    </w:p>
    <w:p w14:paraId="5059A0C5" w14:textId="77777777" w:rsidR="00E8586F" w:rsidRDefault="00E8586F" w:rsidP="00EF15EA">
      <w:pPr>
        <w:spacing w:line="480" w:lineRule="auto"/>
        <w:rPr>
          <w:rFonts w:asciiTheme="minorHAnsi" w:hAnsiTheme="minorHAnsi"/>
        </w:rPr>
      </w:pPr>
    </w:p>
    <w:p w14:paraId="197993CA" w14:textId="77777777" w:rsidR="00E8586F" w:rsidRPr="002926CB" w:rsidRDefault="00E8586F" w:rsidP="00EF15EA">
      <w:pPr>
        <w:pStyle w:val="ListParagraph"/>
        <w:numPr>
          <w:ilvl w:val="0"/>
          <w:numId w:val="7"/>
        </w:numPr>
        <w:spacing w:line="480" w:lineRule="auto"/>
        <w:rPr>
          <w:rFonts w:asciiTheme="minorHAnsi" w:hAnsiTheme="minorHAnsi"/>
          <w:b/>
        </w:rPr>
      </w:pPr>
      <w:r w:rsidRPr="002926CB">
        <w:rPr>
          <w:rFonts w:asciiTheme="minorHAnsi" w:hAnsiTheme="minorHAnsi"/>
          <w:b/>
        </w:rPr>
        <w:t>Findings</w:t>
      </w:r>
    </w:p>
    <w:p w14:paraId="68276746" w14:textId="7C889C7D" w:rsidR="00E8586F" w:rsidRDefault="00E8586F" w:rsidP="00EF15EA">
      <w:pPr>
        <w:spacing w:line="480" w:lineRule="auto"/>
        <w:rPr>
          <w:rFonts w:ascii="Calibri" w:hAnsi="Calibri"/>
        </w:rPr>
      </w:pPr>
      <w:r w:rsidRPr="002D0460">
        <w:rPr>
          <w:rFonts w:asciiTheme="minorHAnsi" w:hAnsiTheme="minorHAnsi"/>
        </w:rPr>
        <w:t>The ‘news’ that</w:t>
      </w:r>
      <w:r>
        <w:rPr>
          <w:rFonts w:asciiTheme="minorHAnsi" w:hAnsiTheme="minorHAnsi"/>
        </w:rPr>
        <w:t xml:space="preserve"> Mary’s relationship with John has </w:t>
      </w:r>
      <w:r w:rsidR="003B5123">
        <w:rPr>
          <w:rFonts w:asciiTheme="minorHAnsi" w:hAnsiTheme="minorHAnsi"/>
        </w:rPr>
        <w:t>become</w:t>
      </w:r>
      <w:r>
        <w:rPr>
          <w:rFonts w:asciiTheme="minorHAnsi" w:hAnsiTheme="minorHAnsi"/>
        </w:rPr>
        <w:t xml:space="preserve"> sexual is not treated as straightforwardly tellable; it is not blurted out in one announcement.  Rather </w:t>
      </w:r>
      <w:r w:rsidR="00752BE9">
        <w:rPr>
          <w:rFonts w:asciiTheme="minorHAnsi" w:hAnsiTheme="minorHAnsi"/>
        </w:rPr>
        <w:t>it is carefully constructed over</w:t>
      </w:r>
      <w:r>
        <w:rPr>
          <w:rFonts w:asciiTheme="minorHAnsi" w:hAnsiTheme="minorHAnsi"/>
        </w:rPr>
        <w:t xml:space="preserve"> a series of turns t</w:t>
      </w:r>
      <w:r w:rsidR="00273A9C">
        <w:rPr>
          <w:rFonts w:asciiTheme="minorHAnsi" w:hAnsiTheme="minorHAnsi"/>
        </w:rPr>
        <w:t>hat</w:t>
      </w:r>
      <w:r w:rsidR="00752BE9">
        <w:rPr>
          <w:rFonts w:asciiTheme="minorHAnsi" w:hAnsiTheme="minorHAnsi"/>
        </w:rPr>
        <w:t>, through the specific temporal ordering of events (</w:t>
      </w:r>
      <w:proofErr w:type="spellStart"/>
      <w:r w:rsidR="00752BE9">
        <w:rPr>
          <w:rFonts w:asciiTheme="minorHAnsi" w:hAnsiTheme="minorHAnsi"/>
        </w:rPr>
        <w:t>Labov</w:t>
      </w:r>
      <w:proofErr w:type="spellEnd"/>
      <w:r w:rsidR="00752BE9">
        <w:rPr>
          <w:rFonts w:asciiTheme="minorHAnsi" w:hAnsiTheme="minorHAnsi"/>
        </w:rPr>
        <w:t xml:space="preserve"> and </w:t>
      </w:r>
      <w:proofErr w:type="spellStart"/>
      <w:r w:rsidR="00752BE9">
        <w:rPr>
          <w:rFonts w:asciiTheme="minorHAnsi" w:hAnsiTheme="minorHAnsi"/>
        </w:rPr>
        <w:t>Waletzky</w:t>
      </w:r>
      <w:proofErr w:type="spellEnd"/>
      <w:r w:rsidR="00752BE9">
        <w:rPr>
          <w:rFonts w:asciiTheme="minorHAnsi" w:hAnsiTheme="minorHAnsi"/>
        </w:rPr>
        <w:t>, 1967),</w:t>
      </w:r>
      <w:r w:rsidR="003B5123">
        <w:rPr>
          <w:rFonts w:asciiTheme="minorHAnsi" w:hAnsiTheme="minorHAnsi"/>
        </w:rPr>
        <w:t xml:space="preserve"> positions sexual contact as</w:t>
      </w:r>
      <w:r w:rsidR="00752BE9">
        <w:rPr>
          <w:rFonts w:asciiTheme="minorHAnsi" w:hAnsiTheme="minorHAnsi"/>
        </w:rPr>
        <w:t xml:space="preserve"> both</w:t>
      </w:r>
      <w:r w:rsidR="003B5123">
        <w:rPr>
          <w:rFonts w:asciiTheme="minorHAnsi" w:hAnsiTheme="minorHAnsi"/>
        </w:rPr>
        <w:t xml:space="preserve"> </w:t>
      </w:r>
      <w:r w:rsidR="00752BE9">
        <w:rPr>
          <w:rFonts w:asciiTheme="minorHAnsi" w:hAnsiTheme="minorHAnsi"/>
        </w:rPr>
        <w:t xml:space="preserve">reasonable and respectable. </w:t>
      </w:r>
      <w:r>
        <w:rPr>
          <w:rFonts w:asciiTheme="minorHAnsi" w:hAnsiTheme="minorHAnsi"/>
        </w:rPr>
        <w:t>However, the fact there is something to tell is taken for granted at the beginning of the call, when Katie asks Mary for the ‘craic’ immediately following the greetings.</w:t>
      </w:r>
      <w:r>
        <w:rPr>
          <w:rStyle w:val="FootnoteReference"/>
          <w:rFonts w:asciiTheme="minorHAnsi" w:hAnsiTheme="minorHAnsi"/>
        </w:rPr>
        <w:footnoteReference w:id="6"/>
      </w:r>
      <w:r>
        <w:rPr>
          <w:rFonts w:asciiTheme="minorHAnsi" w:hAnsiTheme="minorHAnsi"/>
        </w:rPr>
        <w:t xml:space="preserve"> </w:t>
      </w:r>
      <w:r>
        <w:rPr>
          <w:rFonts w:ascii="Calibri" w:hAnsi="Calibri"/>
        </w:rPr>
        <w:t xml:space="preserve"> </w:t>
      </w:r>
    </w:p>
    <w:p w14:paraId="4AB1DFCA" w14:textId="77777777" w:rsidR="00E8586F" w:rsidRDefault="00E8586F" w:rsidP="00EF15EA">
      <w:pPr>
        <w:spacing w:line="480" w:lineRule="auto"/>
        <w:rPr>
          <w:rFonts w:ascii="Calibri" w:hAnsi="Calibri"/>
        </w:rPr>
      </w:pPr>
    </w:p>
    <w:p w14:paraId="24E32FC9" w14:textId="77777777" w:rsidR="00E8586F" w:rsidRPr="00316F6B" w:rsidRDefault="00E8586F" w:rsidP="00EF15EA">
      <w:pPr>
        <w:spacing w:line="480" w:lineRule="auto"/>
        <w:rPr>
          <w:rFonts w:ascii="Calibri" w:hAnsi="Calibri"/>
          <w:b/>
        </w:rPr>
      </w:pPr>
      <w:r w:rsidRPr="00316F6B">
        <w:rPr>
          <w:rFonts w:ascii="Calibri" w:hAnsi="Calibri"/>
          <w:b/>
        </w:rPr>
        <w:lastRenderedPageBreak/>
        <w:t>Extract 1: [CTS33</w:t>
      </w:r>
      <w:r w:rsidR="00E63444" w:rsidRPr="00316F6B">
        <w:rPr>
          <w:rFonts w:ascii="Calibri" w:hAnsi="Calibri"/>
          <w:b/>
        </w:rPr>
        <w:t>]</w:t>
      </w:r>
      <w:r w:rsidR="00E63444">
        <w:rPr>
          <w:rFonts w:ascii="Calibri" w:hAnsi="Calibri"/>
          <w:b/>
        </w:rPr>
        <w:t xml:space="preserve"> Telling</w:t>
      </w:r>
      <w:r>
        <w:rPr>
          <w:rFonts w:ascii="Calibri" w:hAnsi="Calibri"/>
          <w:b/>
        </w:rPr>
        <w:t xml:space="preserve"> Alibi</w:t>
      </w:r>
    </w:p>
    <w:p w14:paraId="3AACFEF9" w14:textId="77777777" w:rsidR="00E8586F" w:rsidRDefault="00E8586F" w:rsidP="00EF15EA">
      <w:pPr>
        <w:jc w:val="both"/>
        <w:rPr>
          <w:rFonts w:ascii="Courier New" w:hAnsi="Courier New"/>
          <w:sz w:val="20"/>
        </w:rPr>
      </w:pPr>
      <w:r>
        <w:rPr>
          <w:rFonts w:ascii="Courier New" w:hAnsi="Courier New"/>
          <w:sz w:val="20"/>
        </w:rPr>
        <w:t>01  Mar:    Hello?</w:t>
      </w:r>
    </w:p>
    <w:p w14:paraId="19BE5ED7" w14:textId="77777777" w:rsidR="00E8586F" w:rsidRDefault="00E8586F" w:rsidP="00EF15EA">
      <w:pPr>
        <w:jc w:val="both"/>
        <w:rPr>
          <w:rFonts w:ascii="Courier New" w:hAnsi="Courier New"/>
          <w:sz w:val="20"/>
        </w:rPr>
      </w:pPr>
      <w:r>
        <w:rPr>
          <w:rFonts w:ascii="Courier New" w:hAnsi="Courier New"/>
          <w:sz w:val="20"/>
        </w:rPr>
        <w:t>02  Kat:    .hh Hiya Mary</w:t>
      </w:r>
    </w:p>
    <w:p w14:paraId="3749236A" w14:textId="77777777" w:rsidR="00E8586F" w:rsidRDefault="00E8586F" w:rsidP="00EF15EA">
      <w:pPr>
        <w:jc w:val="both"/>
        <w:rPr>
          <w:rFonts w:ascii="Courier New" w:hAnsi="Courier New"/>
          <w:sz w:val="20"/>
        </w:rPr>
      </w:pPr>
      <w:r>
        <w:rPr>
          <w:rFonts w:ascii="Courier New" w:hAnsi="Courier New"/>
          <w:sz w:val="20"/>
        </w:rPr>
        <w:t>03  Mar:    Hi:::</w:t>
      </w:r>
    </w:p>
    <w:p w14:paraId="0BE07406" w14:textId="77777777" w:rsidR="00E8586F" w:rsidRDefault="00E8586F" w:rsidP="00EF15EA">
      <w:pPr>
        <w:jc w:val="both"/>
        <w:rPr>
          <w:rFonts w:ascii="Courier New" w:hAnsi="Courier New"/>
          <w:sz w:val="20"/>
        </w:rPr>
      </w:pPr>
      <w:r>
        <w:rPr>
          <w:rFonts w:ascii="Courier New" w:hAnsi="Courier New"/>
          <w:sz w:val="20"/>
        </w:rPr>
        <w:t>04  Kat:    .hh Hello:. Can you tell me the craic now.</w:t>
      </w:r>
    </w:p>
    <w:p w14:paraId="3CCFCDD7" w14:textId="77777777" w:rsidR="00E8586F" w:rsidRDefault="00E8586F" w:rsidP="00EF15EA">
      <w:pPr>
        <w:jc w:val="both"/>
        <w:rPr>
          <w:rFonts w:ascii="Courier New" w:hAnsi="Courier New"/>
          <w:sz w:val="20"/>
        </w:rPr>
      </w:pPr>
      <w:r>
        <w:rPr>
          <w:rFonts w:ascii="Courier New" w:hAnsi="Courier New"/>
          <w:sz w:val="20"/>
        </w:rPr>
        <w:t>05          (.)</w:t>
      </w:r>
    </w:p>
    <w:p w14:paraId="0B188BC6" w14:textId="77777777" w:rsidR="00E8586F" w:rsidRDefault="00E8586F" w:rsidP="00EF15EA">
      <w:pPr>
        <w:jc w:val="both"/>
        <w:rPr>
          <w:rFonts w:ascii="Courier New" w:hAnsi="Courier New"/>
          <w:sz w:val="20"/>
        </w:rPr>
      </w:pPr>
      <w:r>
        <w:rPr>
          <w:rFonts w:ascii="Courier New" w:hAnsi="Courier New"/>
          <w:sz w:val="20"/>
        </w:rPr>
        <w:t xml:space="preserve">06  Mat:    Uhm Yeah I can. But uh got a really really cheeky </w:t>
      </w:r>
    </w:p>
    <w:p w14:paraId="47B6D62A" w14:textId="77777777" w:rsidR="00E8586F" w:rsidRDefault="00E8586F" w:rsidP="00EF15EA">
      <w:pPr>
        <w:jc w:val="both"/>
        <w:rPr>
          <w:rFonts w:ascii="Courier New" w:hAnsi="Courier New"/>
          <w:sz w:val="20"/>
        </w:rPr>
      </w:pPr>
      <w:r>
        <w:rPr>
          <w:rFonts w:ascii="Courier New" w:hAnsi="Courier New"/>
          <w:sz w:val="20"/>
        </w:rPr>
        <w:t>07          favour to ask you.</w:t>
      </w:r>
    </w:p>
    <w:p w14:paraId="4C42DBAE" w14:textId="77777777" w:rsidR="00E8586F" w:rsidRDefault="00E8586F" w:rsidP="00EF15EA">
      <w:pPr>
        <w:jc w:val="both"/>
        <w:rPr>
          <w:rFonts w:ascii="Courier New" w:hAnsi="Courier New"/>
          <w:sz w:val="20"/>
        </w:rPr>
      </w:pPr>
      <w:r>
        <w:rPr>
          <w:rFonts w:ascii="Courier New" w:hAnsi="Courier New"/>
          <w:sz w:val="20"/>
        </w:rPr>
        <w:t>08  Kat:    Oh: go on. Go on.</w:t>
      </w:r>
    </w:p>
    <w:p w14:paraId="3BF2748F" w14:textId="77777777" w:rsidR="00E8586F" w:rsidRDefault="00E8586F" w:rsidP="00EF15EA">
      <w:pPr>
        <w:jc w:val="both"/>
        <w:rPr>
          <w:rFonts w:ascii="Courier New" w:hAnsi="Courier New"/>
          <w:sz w:val="20"/>
        </w:rPr>
      </w:pPr>
      <w:r>
        <w:rPr>
          <w:rFonts w:ascii="Courier New" w:hAnsi="Courier New"/>
          <w:sz w:val="20"/>
        </w:rPr>
        <w:t>09  Mar:    Uhm (0.3) I’m going to a ◦party◦ tonight right</w:t>
      </w:r>
    </w:p>
    <w:p w14:paraId="5F6E5D53" w14:textId="77777777" w:rsidR="00E8586F" w:rsidRDefault="00E8586F" w:rsidP="00EF15EA">
      <w:pPr>
        <w:jc w:val="both"/>
        <w:rPr>
          <w:rFonts w:ascii="Courier New" w:hAnsi="Courier New"/>
          <w:sz w:val="20"/>
        </w:rPr>
      </w:pPr>
      <w:r>
        <w:rPr>
          <w:rFonts w:ascii="Courier New" w:hAnsi="Courier New"/>
          <w:sz w:val="20"/>
        </w:rPr>
        <w:t>10  Kat:    Yea::h?</w:t>
      </w:r>
    </w:p>
    <w:p w14:paraId="27FF2F04" w14:textId="77777777" w:rsidR="00E8586F" w:rsidRDefault="00E8586F" w:rsidP="00EF15EA">
      <w:pPr>
        <w:jc w:val="both"/>
        <w:rPr>
          <w:rFonts w:ascii="Courier New" w:hAnsi="Courier New"/>
          <w:sz w:val="20"/>
        </w:rPr>
      </w:pPr>
      <w:r>
        <w:rPr>
          <w:rFonts w:ascii="Courier New" w:hAnsi="Courier New"/>
          <w:sz w:val="20"/>
        </w:rPr>
        <w:t xml:space="preserve">11  Mar:    ◦John’s invited me but◦ </w:t>
      </w:r>
    </w:p>
    <w:p w14:paraId="03BB7B95" w14:textId="77777777" w:rsidR="00E8586F" w:rsidRDefault="00E8586F" w:rsidP="00EF15EA">
      <w:pPr>
        <w:jc w:val="both"/>
        <w:rPr>
          <w:rFonts w:ascii="Courier New" w:hAnsi="Courier New"/>
          <w:sz w:val="20"/>
        </w:rPr>
      </w:pPr>
      <w:r>
        <w:rPr>
          <w:rFonts w:ascii="Courier New" w:hAnsi="Courier New"/>
          <w:sz w:val="20"/>
        </w:rPr>
        <w:t>12          (1.2 )</w:t>
      </w:r>
    </w:p>
    <w:p w14:paraId="4A80AF69" w14:textId="77777777" w:rsidR="00E8586F" w:rsidRDefault="00E8586F" w:rsidP="00EF15EA">
      <w:pPr>
        <w:jc w:val="both"/>
        <w:rPr>
          <w:rFonts w:ascii="Courier New" w:hAnsi="Courier New"/>
          <w:sz w:val="20"/>
        </w:rPr>
      </w:pPr>
      <w:r>
        <w:rPr>
          <w:rFonts w:ascii="Courier New" w:hAnsi="Courier New"/>
          <w:sz w:val="20"/>
        </w:rPr>
        <w:t>13  Mar:    ◦But uhm (0.9) sorry</w:t>
      </w:r>
    </w:p>
    <w:p w14:paraId="45D63665" w14:textId="77777777" w:rsidR="00E8586F" w:rsidRDefault="00E8586F" w:rsidP="00EF15EA">
      <w:pPr>
        <w:jc w:val="both"/>
        <w:rPr>
          <w:rFonts w:ascii="Courier New" w:hAnsi="Courier New"/>
          <w:sz w:val="20"/>
        </w:rPr>
      </w:pPr>
      <w:r>
        <w:rPr>
          <w:rFonts w:ascii="Courier New" w:hAnsi="Courier New"/>
          <w:sz w:val="20"/>
        </w:rPr>
        <w:t>14          (0.3)</w:t>
      </w:r>
    </w:p>
    <w:p w14:paraId="45F1A612" w14:textId="77777777" w:rsidR="00E8586F" w:rsidRDefault="00E8586F" w:rsidP="00EF15EA">
      <w:pPr>
        <w:jc w:val="both"/>
        <w:rPr>
          <w:rFonts w:ascii="Courier New" w:hAnsi="Courier New"/>
          <w:sz w:val="20"/>
        </w:rPr>
      </w:pPr>
      <w:r>
        <w:rPr>
          <w:rFonts w:ascii="Courier New" w:hAnsi="Courier New"/>
          <w:sz w:val="20"/>
        </w:rPr>
        <w:t>15  Kat:    Huh huh huh huh .hhhh</w:t>
      </w:r>
    </w:p>
    <w:p w14:paraId="627CD129" w14:textId="77777777" w:rsidR="00E8586F" w:rsidRDefault="00E8586F" w:rsidP="00EF15EA">
      <w:pPr>
        <w:jc w:val="both"/>
        <w:rPr>
          <w:rFonts w:ascii="Courier New" w:hAnsi="Courier New"/>
          <w:sz w:val="20"/>
        </w:rPr>
      </w:pPr>
      <w:r>
        <w:rPr>
          <w:rFonts w:ascii="Courier New" w:hAnsi="Courier New"/>
          <w:sz w:val="20"/>
        </w:rPr>
        <w:t>16  Mar:    H(h)m</w:t>
      </w:r>
    </w:p>
    <w:p w14:paraId="6970FCD1" w14:textId="77777777" w:rsidR="00E8586F" w:rsidRDefault="00E8586F" w:rsidP="00EF15EA">
      <w:pPr>
        <w:jc w:val="both"/>
        <w:rPr>
          <w:rFonts w:ascii="Courier New" w:hAnsi="Courier New"/>
          <w:sz w:val="20"/>
        </w:rPr>
      </w:pPr>
      <w:r>
        <w:rPr>
          <w:rFonts w:ascii="Courier New" w:hAnsi="Courier New"/>
          <w:sz w:val="20"/>
        </w:rPr>
        <w:t>17          (2.9)</w:t>
      </w:r>
    </w:p>
    <w:p w14:paraId="2E9FBF7C" w14:textId="77777777" w:rsidR="00E8586F" w:rsidRDefault="00E8586F" w:rsidP="00EF15EA">
      <w:pPr>
        <w:jc w:val="both"/>
        <w:rPr>
          <w:rFonts w:ascii="Courier New" w:hAnsi="Courier New"/>
          <w:sz w:val="20"/>
        </w:rPr>
      </w:pPr>
      <w:r>
        <w:rPr>
          <w:rFonts w:ascii="Courier New" w:hAnsi="Courier New"/>
          <w:sz w:val="20"/>
        </w:rPr>
        <w:t>18  Mar:    But uhm: (0.6)like my mum wouldn’t let me go if</w:t>
      </w:r>
    </w:p>
    <w:p w14:paraId="4181BE8E" w14:textId="77777777" w:rsidR="00E8586F" w:rsidRDefault="00E8586F" w:rsidP="00EF15EA">
      <w:pPr>
        <w:jc w:val="both"/>
        <w:rPr>
          <w:rFonts w:ascii="Courier New" w:hAnsi="Courier New"/>
          <w:sz w:val="20"/>
        </w:rPr>
      </w:pPr>
      <w:r>
        <w:rPr>
          <w:rFonts w:ascii="Courier New" w:hAnsi="Courier New"/>
          <w:sz w:val="20"/>
        </w:rPr>
        <w:t>19          I just said I was going with John, so I s- I said</w:t>
      </w:r>
    </w:p>
    <w:p w14:paraId="29782481" w14:textId="77777777" w:rsidR="00E8586F" w:rsidRDefault="00E8586F" w:rsidP="00EF15EA">
      <w:pPr>
        <w:jc w:val="both"/>
        <w:rPr>
          <w:rFonts w:ascii="Courier New" w:hAnsi="Courier New"/>
          <w:sz w:val="20"/>
        </w:rPr>
      </w:pPr>
      <w:r>
        <w:rPr>
          <w:rFonts w:ascii="Courier New" w:hAnsi="Courier New"/>
          <w:sz w:val="20"/>
        </w:rPr>
        <w:t>20          that I’m sleeping at yours.=Is that alright.</w:t>
      </w:r>
    </w:p>
    <w:p w14:paraId="011D3751" w14:textId="77777777" w:rsidR="00E8586F" w:rsidRDefault="00E8586F" w:rsidP="00EF15EA">
      <w:pPr>
        <w:jc w:val="both"/>
        <w:rPr>
          <w:rFonts w:ascii="Courier New" w:hAnsi="Courier New"/>
          <w:sz w:val="20"/>
        </w:rPr>
      </w:pPr>
      <w:r>
        <w:rPr>
          <w:rFonts w:ascii="Courier New" w:hAnsi="Courier New"/>
          <w:sz w:val="20"/>
        </w:rPr>
        <w:t>21          (.)</w:t>
      </w:r>
    </w:p>
    <w:p w14:paraId="58DFD8B8" w14:textId="77777777" w:rsidR="00E8586F" w:rsidRDefault="00E8586F" w:rsidP="00EF15EA">
      <w:pPr>
        <w:jc w:val="both"/>
        <w:rPr>
          <w:rFonts w:ascii="Courier New" w:hAnsi="Courier New"/>
          <w:sz w:val="20"/>
        </w:rPr>
      </w:pPr>
      <w:r>
        <w:rPr>
          <w:rFonts w:ascii="Courier New" w:hAnsi="Courier New"/>
          <w:sz w:val="20"/>
        </w:rPr>
        <w:t>22  Kat:    Yeah. It’s fine.</w:t>
      </w:r>
    </w:p>
    <w:p w14:paraId="1E89F0D3" w14:textId="77777777" w:rsidR="00E8586F" w:rsidRDefault="00E8586F" w:rsidP="00EF15EA">
      <w:pPr>
        <w:spacing w:line="480" w:lineRule="auto"/>
        <w:rPr>
          <w:rFonts w:ascii="Calibri" w:hAnsi="Calibri"/>
        </w:rPr>
      </w:pPr>
    </w:p>
    <w:p w14:paraId="2CE895C3" w14:textId="2B416433" w:rsidR="00E8586F" w:rsidRDefault="00E8586F" w:rsidP="00EF15EA">
      <w:pPr>
        <w:spacing w:line="480" w:lineRule="auto"/>
        <w:rPr>
          <w:rFonts w:ascii="Calibri" w:hAnsi="Calibri"/>
        </w:rPr>
      </w:pPr>
      <w:r>
        <w:rPr>
          <w:rFonts w:ascii="Calibri" w:hAnsi="Calibri"/>
        </w:rPr>
        <w:t xml:space="preserve">Mary agrees to the telling (line 6) but delays the actual granting of this request with a request of her own, which she characterises as a ‘really really cheeky favour’ (lines 6-7).  It turns out that Mary is going to a party that evening, against her mother’s wishes, and has (already) told her mother, untruthfully, that she is staying at Katie’s house (lines 18-20).  Mary is subsequently checking that Katie is willing to go along with this alibi. There is much that might be said about this extract in terms of what it conveys about negotiating and managing familial and friendship obligations, but maintaining a focus on </w:t>
      </w:r>
      <w:proofErr w:type="spellStart"/>
      <w:r>
        <w:rPr>
          <w:rFonts w:ascii="Calibri" w:hAnsi="Calibri"/>
        </w:rPr>
        <w:t>tellability</w:t>
      </w:r>
      <w:proofErr w:type="spellEnd"/>
      <w:r>
        <w:rPr>
          <w:rFonts w:ascii="Calibri" w:hAnsi="Calibri"/>
        </w:rPr>
        <w:t xml:space="preserve">, it is interesting to note that Mary’s request for an alibi already contains within it an implicit  telling of the ‘craic’ that Katie earlier wanted to know.  Mary embeds the news that her relationship with John is now (potentially) sexual when she asks her friend for an alibi that will permit her to spend the night with him (lines 11 and 18-20).  So, although not yet delivered </w:t>
      </w:r>
      <w:r w:rsidRPr="000F1114">
        <w:rPr>
          <w:rFonts w:ascii="Calibri Italic" w:hAnsi="Calibri Italic"/>
          <w:i/>
        </w:rPr>
        <w:t>as</w:t>
      </w:r>
      <w:r>
        <w:rPr>
          <w:rFonts w:ascii="Calibri" w:hAnsi="Calibri"/>
        </w:rPr>
        <w:t xml:space="preserve"> news, </w:t>
      </w:r>
      <w:r>
        <w:rPr>
          <w:rFonts w:ascii="Calibri" w:hAnsi="Calibri"/>
        </w:rPr>
        <w:lastRenderedPageBreak/>
        <w:t xml:space="preserve">Katie is now </w:t>
      </w:r>
      <w:r w:rsidR="000F1114">
        <w:rPr>
          <w:rFonts w:ascii="Calibri" w:hAnsi="Calibri"/>
        </w:rPr>
        <w:t>‘</w:t>
      </w:r>
      <w:r>
        <w:rPr>
          <w:rFonts w:ascii="Calibri Italic" w:hAnsi="Calibri Italic"/>
        </w:rPr>
        <w:t>in-the-know</w:t>
      </w:r>
      <w:r w:rsidR="000F1114">
        <w:rPr>
          <w:rFonts w:ascii="Calibri Italic" w:hAnsi="Calibri Italic"/>
        </w:rPr>
        <w:t>’</w:t>
      </w:r>
      <w:r>
        <w:rPr>
          <w:rFonts w:ascii="Calibri" w:hAnsi="Calibri"/>
        </w:rPr>
        <w:t xml:space="preserve"> about how far things have potentially progressed between Mary and John.  Yet, Katie does not respond to the ‘news’ aspect of Mary’s request.  </w:t>
      </w:r>
    </w:p>
    <w:p w14:paraId="71C61BC6" w14:textId="77777777" w:rsidR="00E8586F" w:rsidRDefault="00E8586F" w:rsidP="00EF15EA">
      <w:pPr>
        <w:spacing w:line="480" w:lineRule="auto"/>
        <w:rPr>
          <w:rFonts w:ascii="Calibri" w:hAnsi="Calibri"/>
        </w:rPr>
      </w:pPr>
    </w:p>
    <w:p w14:paraId="58247523" w14:textId="602CA1AA" w:rsidR="00E8586F" w:rsidRDefault="00E8586F" w:rsidP="00EF15EA">
      <w:pPr>
        <w:spacing w:line="480" w:lineRule="auto"/>
        <w:rPr>
          <w:rFonts w:ascii="Calibri" w:hAnsi="Calibri"/>
        </w:rPr>
      </w:pPr>
      <w:r>
        <w:rPr>
          <w:rFonts w:ascii="Calibri" w:hAnsi="Calibri"/>
        </w:rPr>
        <w:t xml:space="preserve">Doing the telling without doing it </w:t>
      </w:r>
      <w:r w:rsidRPr="000F1114">
        <w:rPr>
          <w:rFonts w:ascii="Calibri Italic" w:hAnsi="Calibri Italic"/>
          <w:i/>
        </w:rPr>
        <w:t>as</w:t>
      </w:r>
      <w:r>
        <w:rPr>
          <w:rFonts w:ascii="Calibri Italic" w:hAnsi="Calibri Italic"/>
        </w:rPr>
        <w:t xml:space="preserve"> </w:t>
      </w:r>
      <w:r>
        <w:rPr>
          <w:rFonts w:ascii="Calibri" w:hAnsi="Calibri"/>
        </w:rPr>
        <w:t xml:space="preserve">a telling, and, therefore, without setting up a conditionally relevant response from a recipient, might appear to be rather odd.  However, there are related interactional phenomena.  For example, </w:t>
      </w:r>
      <w:r>
        <w:rPr>
          <w:rFonts w:ascii="Calibri" w:hAnsi="Calibri"/>
          <w:noProof/>
        </w:rPr>
        <w:t>Kitzinger (2000)</w:t>
      </w:r>
      <w:r>
        <w:rPr>
          <w:rFonts w:ascii="Calibri" w:hAnsi="Calibri"/>
        </w:rPr>
        <w:t xml:space="preserve"> shows instances where speakers ‘come-out’ as being lesbian without provoking the oft-cited (e.g. see </w:t>
      </w:r>
      <w:r>
        <w:rPr>
          <w:rFonts w:ascii="Calibri" w:hAnsi="Calibri"/>
          <w:noProof/>
        </w:rPr>
        <w:t xml:space="preserve">Broad, 2011 </w:t>
      </w:r>
      <w:r>
        <w:rPr>
          <w:rFonts w:ascii="Calibri" w:hAnsi="Calibri"/>
        </w:rPr>
        <w:t xml:space="preserve">and </w:t>
      </w:r>
      <w:r>
        <w:rPr>
          <w:rFonts w:ascii="Calibri" w:hAnsi="Calibri"/>
          <w:noProof/>
        </w:rPr>
        <w:t>Harris, 2013</w:t>
      </w:r>
      <w:r>
        <w:rPr>
          <w:rFonts w:ascii="Calibri" w:hAnsi="Calibri"/>
        </w:rPr>
        <w:t>) expected negative or positive reaction from recipients.  Kitzinger noticed in her data, speakers were coming out almost parenthetically, in the ‘protected’ space in the middle of a compound t</w:t>
      </w:r>
      <w:r w:rsidR="007B52F7">
        <w:rPr>
          <w:rFonts w:ascii="Calibri" w:hAnsi="Calibri"/>
        </w:rPr>
        <w:t>urn construction</w:t>
      </w:r>
      <w:r w:rsidR="00D76535">
        <w:rPr>
          <w:rFonts w:ascii="Calibri" w:hAnsi="Calibri"/>
        </w:rPr>
        <w:t xml:space="preserve"> unit </w:t>
      </w:r>
      <w:r>
        <w:rPr>
          <w:rFonts w:ascii="Calibri" w:hAnsi="Calibri"/>
        </w:rPr>
        <w:t xml:space="preserve">(i.e. multi-component units such as </w:t>
      </w:r>
      <w:r w:rsidRPr="00403CFF">
        <w:rPr>
          <w:rFonts w:ascii="Calibri" w:hAnsi="Calibri"/>
          <w:i/>
        </w:rPr>
        <w:t>if-then</w:t>
      </w:r>
      <w:r>
        <w:rPr>
          <w:rFonts w:ascii="Calibri" w:hAnsi="Calibri"/>
        </w:rPr>
        <w:t xml:space="preserve"> statements – see </w:t>
      </w:r>
      <w:r>
        <w:rPr>
          <w:rFonts w:ascii="Calibri" w:hAnsi="Calibri"/>
          <w:noProof/>
        </w:rPr>
        <w:t>(Lerner, 1996)</w:t>
      </w:r>
      <w:r>
        <w:rPr>
          <w:rFonts w:ascii="Calibri" w:hAnsi="Calibri"/>
        </w:rPr>
        <w:t>) and in this way, were dampening the space for recipients to respond.</w:t>
      </w:r>
      <w:r w:rsidR="00D76535">
        <w:rPr>
          <w:rStyle w:val="FootnoteReference"/>
          <w:rFonts w:ascii="Calibri" w:hAnsi="Calibri"/>
        </w:rPr>
        <w:footnoteReference w:id="7"/>
      </w:r>
    </w:p>
    <w:p w14:paraId="09AEA373" w14:textId="77777777" w:rsidR="00E8586F" w:rsidRDefault="00E8586F" w:rsidP="00EF15EA">
      <w:pPr>
        <w:spacing w:line="480" w:lineRule="auto"/>
        <w:rPr>
          <w:rFonts w:ascii="Calibri" w:hAnsi="Calibri"/>
        </w:rPr>
      </w:pPr>
    </w:p>
    <w:p w14:paraId="0BC11D31" w14:textId="0D699008" w:rsidR="00E8586F" w:rsidRDefault="00E8586F" w:rsidP="00EF15EA">
      <w:pPr>
        <w:spacing w:line="480" w:lineRule="auto"/>
        <w:rPr>
          <w:rFonts w:asciiTheme="minorHAnsi" w:hAnsiTheme="minorHAnsi"/>
        </w:rPr>
      </w:pPr>
      <w:r>
        <w:rPr>
          <w:rFonts w:ascii="Calibri" w:hAnsi="Calibri"/>
        </w:rPr>
        <w:t xml:space="preserve">Although relying on a different set of interactional resources, there are resonances here between managing a coming-out without it being news, and what Mary does in embedding a telling in a request sequence.  Mary reveals that her relationship with John has progressed to a (potentially) sexual stage, without making this the focal part of the action in which she is engaged.  This ‘news’ is neither presented nor responded to as such because it is embedded within a sequence that sets up different contingencies for </w:t>
      </w:r>
      <w:r w:rsidR="00856104">
        <w:rPr>
          <w:rFonts w:ascii="Calibri" w:hAnsi="Calibri"/>
        </w:rPr>
        <w:t xml:space="preserve">participants.  Yet, the news </w:t>
      </w:r>
      <w:r>
        <w:rPr>
          <w:rFonts w:ascii="Calibri" w:hAnsi="Calibri"/>
        </w:rPr>
        <w:t xml:space="preserve">that Katie seeks at the start of the call is clearly evident. </w:t>
      </w:r>
    </w:p>
    <w:p w14:paraId="0A898CF0" w14:textId="77777777" w:rsidR="00E8586F" w:rsidRDefault="00E8586F" w:rsidP="00EF15EA">
      <w:pPr>
        <w:spacing w:line="480" w:lineRule="auto"/>
        <w:rPr>
          <w:rFonts w:asciiTheme="minorHAnsi" w:hAnsiTheme="minorHAnsi"/>
        </w:rPr>
      </w:pPr>
    </w:p>
    <w:p w14:paraId="59F08623" w14:textId="77777777" w:rsidR="00E8586F" w:rsidRDefault="00E8586F" w:rsidP="00EF15EA">
      <w:pPr>
        <w:spacing w:line="480" w:lineRule="auto"/>
        <w:rPr>
          <w:rFonts w:ascii="Calibri" w:hAnsi="Calibri"/>
        </w:rPr>
      </w:pPr>
      <w:r>
        <w:rPr>
          <w:rFonts w:ascii="Calibri" w:hAnsi="Calibri"/>
        </w:rPr>
        <w:lastRenderedPageBreak/>
        <w:t xml:space="preserve">We might ask why Mary opts to delay a telling, only to do it under the auspices of another action.  What are the interactional gains for Mary in doing this? One line of argument is that Mary is hypothetically testing the waters, trying to gauge her friend’s likely response before giving her a full account.  In support of this argument, we can turn to </w:t>
      </w:r>
      <w:r>
        <w:rPr>
          <w:rFonts w:ascii="Calibri" w:hAnsi="Calibri"/>
          <w:noProof/>
        </w:rPr>
        <w:t>Drew and Walker’s (2009)</w:t>
      </w:r>
      <w:r>
        <w:rPr>
          <w:rFonts w:ascii="Calibri" w:hAnsi="Calibri"/>
        </w:rPr>
        <w:t xml:space="preserve"> analysis of the introduction of complaints into conversations.  They note that complaints (about third parties) tend only to be ‘put on record’ in interaction after cautious efforts to secure alignment from a recipient.  One interactional payoff is that conversationalists negotiate and maintain affiliation.</w:t>
      </w:r>
      <w:r>
        <w:rPr>
          <w:rStyle w:val="FootnoteReference1"/>
          <w:rFonts w:ascii="Calibri" w:hAnsi="Calibri"/>
        </w:rPr>
        <w:footnoteReference w:id="8"/>
      </w:r>
    </w:p>
    <w:p w14:paraId="7B56DA55" w14:textId="77777777" w:rsidR="00E8586F" w:rsidRDefault="00E8586F" w:rsidP="00EF15EA">
      <w:pPr>
        <w:spacing w:line="480" w:lineRule="auto"/>
        <w:rPr>
          <w:rFonts w:ascii="Calibri" w:hAnsi="Calibri"/>
        </w:rPr>
      </w:pPr>
    </w:p>
    <w:p w14:paraId="4E02E51D" w14:textId="77777777" w:rsidR="00E8586F" w:rsidRDefault="00E8586F" w:rsidP="00EF15EA">
      <w:pPr>
        <w:spacing w:line="480" w:lineRule="auto"/>
        <w:rPr>
          <w:rFonts w:ascii="Calibri" w:hAnsi="Calibri"/>
        </w:rPr>
      </w:pPr>
      <w:r>
        <w:rPr>
          <w:rFonts w:ascii="Calibri" w:hAnsi="Calibri"/>
        </w:rPr>
        <w:t>Drew and Walker’s analysis relates to the domain of complaints against third parties but it is a small step to see that the same kind of interactional work might be involved in other sorts of delicate social actions.  In the focal data for this paper, in revealing a (potentially) sexual relationship with her new boyfriend, fifteen-year-old Mary might well have reason to secure alignment before putting her story on record.  One interactional payoff, then, is that Mary is enabled to judge from Katie’s response, whether or not she is warranted to tell the story more explicitly.  As it turns out, Katie simply grants Mary’s request, therefore providing some evidence for Mary that Katie is not demonstrating any resistance or moral judgement about what is happening, and that, therefore, Mary can indeed proceed with her story.</w:t>
      </w:r>
    </w:p>
    <w:p w14:paraId="601C7BA6" w14:textId="77777777" w:rsidR="00E8586F" w:rsidRDefault="00E8586F" w:rsidP="00EF15EA">
      <w:pPr>
        <w:spacing w:line="480" w:lineRule="auto"/>
        <w:rPr>
          <w:rFonts w:ascii="Calibri" w:hAnsi="Calibri"/>
        </w:rPr>
      </w:pPr>
    </w:p>
    <w:p w14:paraId="3FC081A5" w14:textId="77777777" w:rsidR="00E8586F" w:rsidRDefault="00E8586F" w:rsidP="00EF15EA">
      <w:pPr>
        <w:spacing w:line="480" w:lineRule="auto"/>
        <w:rPr>
          <w:rFonts w:ascii="Calibri" w:hAnsi="Calibri"/>
        </w:rPr>
      </w:pPr>
      <w:r>
        <w:rPr>
          <w:rFonts w:ascii="Calibri" w:hAnsi="Calibri"/>
        </w:rPr>
        <w:t xml:space="preserve">As the story develops, Mary tells of a first kiss.  Again, she does not blurt this </w:t>
      </w:r>
      <w:r w:rsidR="00E63444">
        <w:rPr>
          <w:rFonts w:ascii="Calibri" w:hAnsi="Calibri"/>
        </w:rPr>
        <w:t>out;</w:t>
      </w:r>
      <w:r>
        <w:rPr>
          <w:rFonts w:ascii="Calibri" w:hAnsi="Calibri"/>
        </w:rPr>
        <w:t xml:space="preserve"> instead it is launched in a way that it is </w:t>
      </w:r>
      <w:r w:rsidRPr="00C061A0">
        <w:rPr>
          <w:rFonts w:ascii="Calibri" w:hAnsi="Calibri"/>
        </w:rPr>
        <w:t xml:space="preserve">akin to instances of what </w:t>
      </w:r>
      <w:r>
        <w:rPr>
          <w:rFonts w:ascii="Calibri" w:hAnsi="Calibri"/>
          <w:noProof/>
        </w:rPr>
        <w:t>Jefferson (1984)</w:t>
      </w:r>
      <w:r>
        <w:rPr>
          <w:rFonts w:ascii="Calibri" w:hAnsi="Calibri"/>
        </w:rPr>
        <w:t xml:space="preserve"> </w:t>
      </w:r>
      <w:r>
        <w:rPr>
          <w:rFonts w:ascii="Calibri" w:hAnsi="Calibri"/>
        </w:rPr>
        <w:lastRenderedPageBreak/>
        <w:t>calls stepwise transition, using</w:t>
      </w:r>
      <w:r w:rsidRPr="00C061A0">
        <w:rPr>
          <w:rFonts w:ascii="Calibri" w:hAnsi="Calibri"/>
        </w:rPr>
        <w:t xml:space="preserve"> a current topic as a bridge into something new. Mary </w:t>
      </w:r>
      <w:r>
        <w:rPr>
          <w:rFonts w:ascii="Calibri" w:hAnsi="Calibri"/>
        </w:rPr>
        <w:t xml:space="preserve">is talking about her concerns about a third-party – Jenny – whom, we assume relevantly features because of some prior romantic connection to John, and Mary speculates that Jenny is </w:t>
      </w:r>
      <w:r w:rsidRPr="00C061A0">
        <w:rPr>
          <w:rFonts w:ascii="Calibri" w:hAnsi="Calibri"/>
        </w:rPr>
        <w:t xml:space="preserve">under the impression that nothing has actually happened </w:t>
      </w:r>
      <w:r>
        <w:rPr>
          <w:rFonts w:ascii="Calibri" w:hAnsi="Calibri"/>
        </w:rPr>
        <w:t>b</w:t>
      </w:r>
      <w:r w:rsidRPr="00C061A0">
        <w:rPr>
          <w:rFonts w:ascii="Calibri" w:hAnsi="Calibri"/>
        </w:rPr>
        <w:t>etween Mary and John (lines 144-146).</w:t>
      </w:r>
      <w:r w:rsidRPr="00C061A0">
        <w:rPr>
          <w:rFonts w:ascii="Calibri" w:hAnsi="Calibri"/>
          <w:vertAlign w:val="superscript"/>
        </w:rPr>
        <w:footnoteReference w:id="9"/>
      </w:r>
      <w:r w:rsidRPr="00C061A0">
        <w:rPr>
          <w:rFonts w:ascii="Calibri" w:hAnsi="Calibri"/>
        </w:rPr>
        <w:t xml:space="preserve"> The key news, however, is that, in contrast to whatever </w:t>
      </w:r>
      <w:r>
        <w:rPr>
          <w:rFonts w:ascii="Calibri" w:hAnsi="Calibri"/>
        </w:rPr>
        <w:t xml:space="preserve">Jenny </w:t>
      </w:r>
      <w:r w:rsidRPr="00C061A0">
        <w:rPr>
          <w:rFonts w:ascii="Calibri" w:hAnsi="Calibri"/>
        </w:rPr>
        <w:t xml:space="preserve">understands, something actually has happened (line 145).  </w:t>
      </w:r>
    </w:p>
    <w:p w14:paraId="573A77D3" w14:textId="77777777" w:rsidR="00E8586F" w:rsidRDefault="00E8586F" w:rsidP="00EF15EA">
      <w:pPr>
        <w:spacing w:line="480" w:lineRule="auto"/>
        <w:rPr>
          <w:rFonts w:ascii="Calibri" w:hAnsi="Calibri"/>
        </w:rPr>
      </w:pPr>
    </w:p>
    <w:p w14:paraId="7913AE2B" w14:textId="77777777" w:rsidR="00E8586F" w:rsidRPr="00316F6B" w:rsidRDefault="00E8586F" w:rsidP="00EF15EA">
      <w:pPr>
        <w:jc w:val="both"/>
        <w:rPr>
          <w:rFonts w:ascii="Calibri" w:eastAsia="ヒラギノ角ゴ Pro W3" w:hAnsi="Calibri"/>
          <w:b/>
          <w:color w:val="000000"/>
          <w:lang w:eastAsia="en-US" w:bidi="ar-SA"/>
        </w:rPr>
      </w:pPr>
      <w:r w:rsidRPr="00316F6B">
        <w:rPr>
          <w:rFonts w:ascii="Calibri" w:eastAsia="ヒラギノ角ゴ Pro W3" w:hAnsi="Calibri"/>
          <w:b/>
          <w:color w:val="000000"/>
          <w:lang w:eastAsia="en-US" w:bidi="ar-SA"/>
        </w:rPr>
        <w:t>Extract 2: [CTS33] … except it has happened.</w:t>
      </w:r>
    </w:p>
    <w:p w14:paraId="030DA3A2" w14:textId="77777777" w:rsidR="00E8586F" w:rsidRDefault="00E8586F" w:rsidP="00EF15EA">
      <w:pPr>
        <w:jc w:val="both"/>
        <w:rPr>
          <w:rFonts w:ascii="Courier New" w:eastAsia="ヒラギノ角ゴ Pro W3" w:hAnsi="Courier New"/>
          <w:color w:val="000000"/>
          <w:sz w:val="20"/>
          <w:lang w:eastAsia="en-US" w:bidi="ar-SA"/>
        </w:rPr>
      </w:pPr>
    </w:p>
    <w:p w14:paraId="3D4B22A4" w14:textId="77777777" w:rsidR="00E8586F" w:rsidRPr="001E1AAC" w:rsidRDefault="00E8586F" w:rsidP="00EF15EA">
      <w:pPr>
        <w:jc w:val="both"/>
        <w:rPr>
          <w:rFonts w:ascii="Courier New" w:eastAsia="ヒラギノ角ゴ Pro W3" w:hAnsi="Courier New"/>
          <w:color w:val="000000"/>
          <w:sz w:val="20"/>
          <w:lang w:eastAsia="en-US" w:bidi="ar-SA"/>
        </w:rPr>
      </w:pPr>
      <w:r w:rsidRPr="001E1AAC">
        <w:rPr>
          <w:rFonts w:ascii="Courier New" w:eastAsia="ヒラギノ角ゴ Pro W3" w:hAnsi="Courier New"/>
          <w:color w:val="000000"/>
          <w:sz w:val="20"/>
          <w:lang w:eastAsia="en-US" w:bidi="ar-SA"/>
        </w:rPr>
        <w:t>142          (.)</w:t>
      </w:r>
    </w:p>
    <w:p w14:paraId="067CCE8B" w14:textId="77777777" w:rsidR="00E8586F" w:rsidRPr="001E1AAC" w:rsidRDefault="00E8586F" w:rsidP="00EF15EA">
      <w:pPr>
        <w:jc w:val="both"/>
        <w:rPr>
          <w:rFonts w:ascii="Courier New" w:eastAsia="ヒラギノ角ゴ Pro W3" w:hAnsi="Courier New"/>
          <w:color w:val="000000"/>
          <w:sz w:val="20"/>
          <w:lang w:eastAsia="en-US" w:bidi="ar-SA"/>
        </w:rPr>
      </w:pPr>
      <w:r w:rsidRPr="001E1AAC">
        <w:rPr>
          <w:rFonts w:ascii="Courier New" w:eastAsia="ヒラギノ角ゴ Pro W3" w:hAnsi="Courier New"/>
          <w:color w:val="000000"/>
          <w:sz w:val="20"/>
          <w:lang w:eastAsia="en-US" w:bidi="ar-SA"/>
        </w:rPr>
        <w:t>143  Ka</w:t>
      </w:r>
      <w:r>
        <w:rPr>
          <w:rFonts w:ascii="Courier New" w:eastAsia="ヒラギノ角ゴ Pro W3" w:hAnsi="Courier New"/>
          <w:color w:val="000000"/>
          <w:sz w:val="20"/>
          <w:lang w:eastAsia="en-US" w:bidi="ar-SA"/>
        </w:rPr>
        <w:t>t</w:t>
      </w:r>
      <w:r w:rsidRPr="001E1AAC">
        <w:rPr>
          <w:rFonts w:ascii="Courier New" w:eastAsia="ヒラギノ角ゴ Pro W3" w:hAnsi="Courier New"/>
          <w:color w:val="000000"/>
          <w:sz w:val="20"/>
          <w:lang w:eastAsia="en-US" w:bidi="ar-SA"/>
        </w:rPr>
        <w:t>:    Yea::h</w:t>
      </w:r>
    </w:p>
    <w:p w14:paraId="7D0C5042" w14:textId="77777777" w:rsidR="00E8586F" w:rsidRPr="001E1AAC" w:rsidRDefault="00E8586F" w:rsidP="00EF15EA">
      <w:pPr>
        <w:jc w:val="both"/>
        <w:rPr>
          <w:rFonts w:ascii="Courier New" w:eastAsia="ヒラギノ角ゴ Pro W3" w:hAnsi="Courier New"/>
          <w:color w:val="000000"/>
          <w:sz w:val="20"/>
          <w:lang w:eastAsia="en-US" w:bidi="ar-SA"/>
        </w:rPr>
      </w:pPr>
      <w:r w:rsidRPr="001E1AAC">
        <w:rPr>
          <w:rFonts w:ascii="Courier New" w:eastAsia="ヒラギノ角ゴ Pro W3" w:hAnsi="Courier New"/>
          <w:color w:val="000000"/>
          <w:sz w:val="20"/>
          <w:lang w:eastAsia="en-US" w:bidi="ar-SA"/>
        </w:rPr>
        <w:t>144  Mar:    (</w:t>
      </w:r>
      <w:r w:rsidRPr="003667A7">
        <w:rPr>
          <w:rFonts w:ascii="Courier New" w:eastAsia="ヒラギノ角ゴ Pro W3" w:hAnsi="Courier New"/>
          <w:b/>
          <w:color w:val="000000"/>
          <w:sz w:val="20"/>
          <w:lang w:eastAsia="en-US" w:bidi="ar-SA"/>
        </w:rPr>
        <w:t>Because the) (      ) said nothing’s actually</w:t>
      </w:r>
    </w:p>
    <w:p w14:paraId="5C6FE2CB" w14:textId="77777777" w:rsidR="00E8586F" w:rsidRPr="001E1AAC" w:rsidRDefault="00E8586F" w:rsidP="00EF15EA">
      <w:pPr>
        <w:jc w:val="both"/>
        <w:rPr>
          <w:rFonts w:ascii="Courier New" w:eastAsia="ヒラギノ角ゴ Pro W3" w:hAnsi="Courier New"/>
          <w:color w:val="000000"/>
          <w:sz w:val="20"/>
          <w:lang w:eastAsia="en-US" w:bidi="ar-SA"/>
        </w:rPr>
      </w:pPr>
      <w:r w:rsidRPr="001E1AAC">
        <w:rPr>
          <w:rFonts w:ascii="Courier New" w:eastAsia="ヒラギノ角ゴ Pro W3" w:hAnsi="Courier New"/>
          <w:color w:val="000000"/>
          <w:sz w:val="20"/>
          <w:lang w:eastAsia="en-US" w:bidi="ar-SA"/>
        </w:rPr>
        <w:t xml:space="preserve">145          </w:t>
      </w:r>
      <w:r w:rsidRPr="003667A7">
        <w:rPr>
          <w:rFonts w:ascii="Courier New" w:eastAsia="ヒラギノ角ゴ Pro W3" w:hAnsi="Courier New"/>
          <w:b/>
          <w:color w:val="000000"/>
          <w:sz w:val="20"/>
          <w:lang w:eastAsia="en-US" w:bidi="ar-SA"/>
        </w:rPr>
        <w:t>happened except that it has happened.</w:t>
      </w:r>
      <w:r>
        <w:rPr>
          <w:rFonts w:ascii="Courier New" w:eastAsia="ヒラギノ角ゴ Pro W3" w:hAnsi="Courier New"/>
          <w:color w:val="000000"/>
          <w:sz w:val="20"/>
          <w:lang w:eastAsia="en-US" w:bidi="ar-SA"/>
        </w:rPr>
        <w:t xml:space="preserve"> </w:t>
      </w:r>
      <w:r w:rsidRPr="003667A7">
        <w:rPr>
          <w:rFonts w:ascii="Courier New" w:eastAsia="ヒラギノ角ゴ Pro W3" w:hAnsi="Courier New"/>
          <w:b/>
          <w:color w:val="000000"/>
          <w:sz w:val="20"/>
          <w:lang w:eastAsia="en-US" w:bidi="ar-SA"/>
        </w:rPr>
        <w:t>&lt;But</w:t>
      </w:r>
    </w:p>
    <w:p w14:paraId="4B5C7876" w14:textId="77777777" w:rsidR="00E8586F" w:rsidRPr="001E1AAC" w:rsidRDefault="00E8586F" w:rsidP="00EF15EA">
      <w:pPr>
        <w:jc w:val="both"/>
        <w:rPr>
          <w:rFonts w:ascii="Courier New" w:eastAsia="ヒラギノ角ゴ Pro W3" w:hAnsi="Courier New"/>
          <w:color w:val="000000"/>
          <w:sz w:val="20"/>
          <w:lang w:eastAsia="en-US" w:bidi="ar-SA"/>
        </w:rPr>
      </w:pPr>
      <w:r w:rsidRPr="001E1AAC">
        <w:rPr>
          <w:rFonts w:ascii="Courier New" w:eastAsia="ヒラギノ角ゴ Pro W3" w:hAnsi="Courier New"/>
          <w:color w:val="000000"/>
          <w:sz w:val="20"/>
          <w:lang w:eastAsia="en-US" w:bidi="ar-SA"/>
        </w:rPr>
        <w:t xml:space="preserve">146          </w:t>
      </w:r>
      <w:r w:rsidRPr="003667A7">
        <w:rPr>
          <w:rFonts w:ascii="Courier New" w:eastAsia="ヒラギノ角ゴ Pro W3" w:hAnsi="Courier New"/>
          <w:b/>
          <w:color w:val="000000"/>
          <w:sz w:val="20"/>
          <w:lang w:eastAsia="en-US" w:bidi="ar-SA"/>
        </w:rPr>
        <w:t>she probably didn’t know</w:t>
      </w:r>
      <w:r w:rsidRPr="001E1AAC">
        <w:rPr>
          <w:rFonts w:ascii="Courier New" w:eastAsia="ヒラギノ角ゴ Pro W3" w:hAnsi="Courier New"/>
          <w:color w:val="000000"/>
          <w:sz w:val="20"/>
          <w:lang w:eastAsia="en-US" w:bidi="ar-SA"/>
        </w:rPr>
        <w:t>. Huh</w:t>
      </w:r>
    </w:p>
    <w:p w14:paraId="3586243B" w14:textId="77777777" w:rsidR="00E8586F" w:rsidRPr="001E1AAC" w:rsidRDefault="00E8586F" w:rsidP="00EF15EA">
      <w:pPr>
        <w:jc w:val="both"/>
        <w:rPr>
          <w:rFonts w:ascii="Courier New" w:eastAsia="ヒラギノ角ゴ Pro W3" w:hAnsi="Courier New"/>
          <w:color w:val="000000"/>
          <w:sz w:val="20"/>
          <w:lang w:eastAsia="en-US" w:bidi="ar-SA"/>
        </w:rPr>
      </w:pPr>
      <w:r w:rsidRPr="001E1AAC">
        <w:rPr>
          <w:rFonts w:ascii="Courier New" w:eastAsia="ヒラギノ角ゴ Pro W3" w:hAnsi="Courier New"/>
          <w:color w:val="000000"/>
          <w:sz w:val="20"/>
          <w:lang w:eastAsia="en-US" w:bidi="ar-SA"/>
        </w:rPr>
        <w:t>147  Ka</w:t>
      </w:r>
      <w:r>
        <w:rPr>
          <w:rFonts w:ascii="Courier New" w:eastAsia="ヒラギノ角ゴ Pro W3" w:hAnsi="Courier New"/>
          <w:color w:val="000000"/>
          <w:sz w:val="20"/>
          <w:lang w:eastAsia="en-US" w:bidi="ar-SA"/>
        </w:rPr>
        <w:t>t</w:t>
      </w:r>
      <w:r w:rsidRPr="001E1AAC">
        <w:rPr>
          <w:rFonts w:ascii="Courier New" w:eastAsia="ヒラギノ角ゴ Pro W3" w:hAnsi="Courier New"/>
          <w:color w:val="000000"/>
          <w:sz w:val="20"/>
          <w:lang w:eastAsia="en-US" w:bidi="ar-SA"/>
        </w:rPr>
        <w:t>:    Ooh:: ↑↑Tell me,</w:t>
      </w:r>
    </w:p>
    <w:p w14:paraId="7628AB58" w14:textId="77777777" w:rsidR="00E8586F" w:rsidRDefault="00E8586F" w:rsidP="00EF15EA">
      <w:pPr>
        <w:spacing w:line="480" w:lineRule="auto"/>
        <w:rPr>
          <w:rFonts w:ascii="Calibri" w:hAnsi="Calibri"/>
        </w:rPr>
      </w:pPr>
    </w:p>
    <w:p w14:paraId="11424CDA" w14:textId="77777777" w:rsidR="00E8586F" w:rsidRDefault="00E8586F" w:rsidP="00EF15EA">
      <w:pPr>
        <w:spacing w:line="480" w:lineRule="auto"/>
        <w:rPr>
          <w:rFonts w:ascii="Calibri" w:hAnsi="Calibri"/>
        </w:rPr>
      </w:pPr>
      <w:r w:rsidRPr="00C061A0">
        <w:rPr>
          <w:rFonts w:ascii="Calibri" w:hAnsi="Calibri"/>
        </w:rPr>
        <w:t>There is a sense in which this ‘news’ is, as it were, cautiously dangled for K</w:t>
      </w:r>
      <w:r>
        <w:rPr>
          <w:rFonts w:ascii="Calibri" w:hAnsi="Calibri"/>
        </w:rPr>
        <w:t>atie</w:t>
      </w:r>
      <w:r w:rsidRPr="00C061A0">
        <w:rPr>
          <w:rFonts w:ascii="Calibri" w:hAnsi="Calibri"/>
        </w:rPr>
        <w:t xml:space="preserve"> to take up or not</w:t>
      </w:r>
      <w:r>
        <w:rPr>
          <w:rFonts w:ascii="Calibri" w:hAnsi="Calibri"/>
        </w:rPr>
        <w:t>.</w:t>
      </w:r>
      <w:r w:rsidRPr="00C061A0">
        <w:rPr>
          <w:rFonts w:ascii="Calibri" w:hAnsi="Calibri"/>
        </w:rPr>
        <w:t xml:space="preserve"> However, again, the news is not delivered </w:t>
      </w:r>
      <w:r w:rsidRPr="00644945">
        <w:rPr>
          <w:rFonts w:ascii="Calibri" w:hAnsi="Calibri"/>
          <w:i/>
        </w:rPr>
        <w:t>as</w:t>
      </w:r>
      <w:r w:rsidRPr="00C061A0">
        <w:rPr>
          <w:rFonts w:ascii="Calibri" w:hAnsi="Calibri"/>
        </w:rPr>
        <w:t xml:space="preserve"> news.</w:t>
      </w:r>
      <w:r w:rsidRPr="00C061A0">
        <w:rPr>
          <w:rFonts w:ascii="Calibri" w:hAnsi="Calibri"/>
          <w:vertAlign w:val="superscript"/>
        </w:rPr>
        <w:footnoteReference w:id="10"/>
      </w:r>
      <w:r w:rsidRPr="00C061A0">
        <w:rPr>
          <w:rFonts w:ascii="Calibri" w:hAnsi="Calibri"/>
        </w:rPr>
        <w:t xml:space="preserve">  </w:t>
      </w:r>
      <w:r>
        <w:rPr>
          <w:rFonts w:ascii="Calibri" w:hAnsi="Calibri"/>
        </w:rPr>
        <w:t>A</w:t>
      </w:r>
      <w:r w:rsidRPr="00C061A0">
        <w:rPr>
          <w:rFonts w:ascii="Calibri" w:hAnsi="Calibri"/>
        </w:rPr>
        <w:t>s it happens, this time, K</w:t>
      </w:r>
      <w:r>
        <w:rPr>
          <w:rFonts w:ascii="Calibri" w:hAnsi="Calibri"/>
        </w:rPr>
        <w:t>atie</w:t>
      </w:r>
      <w:r w:rsidRPr="00C061A0">
        <w:rPr>
          <w:rFonts w:ascii="Calibri" w:hAnsi="Calibri"/>
        </w:rPr>
        <w:t xml:space="preserve"> does </w:t>
      </w:r>
      <w:r>
        <w:rPr>
          <w:rFonts w:ascii="Calibri" w:hAnsi="Calibri"/>
        </w:rPr>
        <w:t>respond to</w:t>
      </w:r>
      <w:r w:rsidRPr="00C061A0">
        <w:rPr>
          <w:rFonts w:ascii="Calibri" w:hAnsi="Calibri"/>
        </w:rPr>
        <w:t xml:space="preserve"> the newsworthiness of Mary’s turn</w:t>
      </w:r>
      <w:r>
        <w:rPr>
          <w:rFonts w:ascii="Calibri" w:hAnsi="Calibri"/>
        </w:rPr>
        <w:t>. Katie</w:t>
      </w:r>
      <w:r w:rsidRPr="00C061A0">
        <w:rPr>
          <w:rFonts w:ascii="Calibri" w:hAnsi="Calibri"/>
        </w:rPr>
        <w:t xml:space="preserve"> does not respond to the immediately prior talk about </w:t>
      </w:r>
      <w:r>
        <w:rPr>
          <w:rFonts w:ascii="Calibri" w:hAnsi="Calibri"/>
        </w:rPr>
        <w:t>Jenny</w:t>
      </w:r>
      <w:r w:rsidRPr="00C061A0">
        <w:rPr>
          <w:rFonts w:ascii="Calibri" w:hAnsi="Calibri"/>
        </w:rPr>
        <w:t xml:space="preserve">.  Instead, she treats the embedded information (i.e. that something has happened between Mary and John) as newsworthy and invites Mary to tell more (line 147). </w:t>
      </w:r>
      <w:r>
        <w:rPr>
          <w:rFonts w:ascii="Calibri" w:hAnsi="Calibri"/>
        </w:rPr>
        <w:t xml:space="preserve"> </w:t>
      </w:r>
      <w:r w:rsidRPr="00C061A0">
        <w:rPr>
          <w:rFonts w:ascii="Calibri" w:hAnsi="Calibri"/>
        </w:rPr>
        <w:t xml:space="preserve">Mary then sets the scene for what turns out to be the story of a first kiss.  Mary was at John’s house the day before she went on a family holiday (lines 149-150) </w:t>
      </w:r>
      <w:r>
        <w:rPr>
          <w:rFonts w:ascii="Calibri" w:hAnsi="Calibri"/>
        </w:rPr>
        <w:t>perhaps</w:t>
      </w:r>
      <w:r w:rsidRPr="00C061A0">
        <w:rPr>
          <w:rFonts w:ascii="Calibri" w:hAnsi="Calibri"/>
        </w:rPr>
        <w:t xml:space="preserve"> provid</w:t>
      </w:r>
      <w:r>
        <w:rPr>
          <w:rFonts w:ascii="Calibri" w:hAnsi="Calibri"/>
        </w:rPr>
        <w:t>ing</w:t>
      </w:r>
      <w:r w:rsidRPr="00C061A0">
        <w:rPr>
          <w:rFonts w:ascii="Calibri" w:hAnsi="Calibri"/>
        </w:rPr>
        <w:t xml:space="preserve"> </w:t>
      </w:r>
      <w:r>
        <w:rPr>
          <w:rFonts w:ascii="Calibri" w:hAnsi="Calibri"/>
        </w:rPr>
        <w:t>an acceptable</w:t>
      </w:r>
      <w:r w:rsidRPr="00C061A0">
        <w:rPr>
          <w:rFonts w:ascii="Calibri" w:hAnsi="Calibri"/>
        </w:rPr>
        <w:t xml:space="preserve"> platform to launch a kiss. </w:t>
      </w:r>
    </w:p>
    <w:p w14:paraId="378B00AB" w14:textId="77777777" w:rsidR="00E8586F" w:rsidRDefault="00E8586F" w:rsidP="00EF15EA">
      <w:pPr>
        <w:spacing w:line="480" w:lineRule="auto"/>
        <w:rPr>
          <w:rFonts w:ascii="Calibri" w:hAnsi="Calibri"/>
        </w:rPr>
      </w:pPr>
    </w:p>
    <w:p w14:paraId="6AA55FCF" w14:textId="77777777" w:rsidR="00E8586F" w:rsidRPr="00316F6B" w:rsidRDefault="00E8586F" w:rsidP="00EF15EA">
      <w:pPr>
        <w:spacing w:line="480" w:lineRule="auto"/>
        <w:rPr>
          <w:rFonts w:ascii="Calibri" w:hAnsi="Calibri"/>
          <w:b/>
        </w:rPr>
      </w:pPr>
      <w:r w:rsidRPr="00316F6B">
        <w:rPr>
          <w:rFonts w:ascii="Calibri" w:hAnsi="Calibri"/>
          <w:b/>
        </w:rPr>
        <w:t>Extract 3: [CTS33] And we kissed.</w:t>
      </w:r>
    </w:p>
    <w:p w14:paraId="6559712C" w14:textId="77777777" w:rsidR="00E8586F" w:rsidRPr="001E1AAC" w:rsidRDefault="00E8586F" w:rsidP="00EF15EA">
      <w:pPr>
        <w:jc w:val="both"/>
        <w:rPr>
          <w:rFonts w:ascii="Courier New" w:eastAsia="ヒラギノ角ゴ Pro W3" w:hAnsi="Courier New"/>
          <w:color w:val="000000"/>
          <w:sz w:val="20"/>
          <w:lang w:eastAsia="en-US" w:bidi="ar-SA"/>
        </w:rPr>
      </w:pPr>
      <w:r w:rsidRPr="001E1AAC">
        <w:rPr>
          <w:rFonts w:ascii="Courier New" w:eastAsia="ヒラギノ角ゴ Pro W3" w:hAnsi="Courier New"/>
          <w:color w:val="000000"/>
          <w:sz w:val="20"/>
          <w:lang w:eastAsia="en-US" w:bidi="ar-SA"/>
        </w:rPr>
        <w:lastRenderedPageBreak/>
        <w:t>147  Ka</w:t>
      </w:r>
      <w:r>
        <w:rPr>
          <w:rFonts w:ascii="Courier New" w:eastAsia="ヒラギノ角ゴ Pro W3" w:hAnsi="Courier New"/>
          <w:color w:val="000000"/>
          <w:sz w:val="20"/>
          <w:lang w:eastAsia="en-US" w:bidi="ar-SA"/>
        </w:rPr>
        <w:t>t</w:t>
      </w:r>
      <w:r w:rsidRPr="001E1AAC">
        <w:rPr>
          <w:rFonts w:ascii="Courier New" w:eastAsia="ヒラギノ角ゴ Pro W3" w:hAnsi="Courier New"/>
          <w:color w:val="000000"/>
          <w:sz w:val="20"/>
          <w:lang w:eastAsia="en-US" w:bidi="ar-SA"/>
        </w:rPr>
        <w:t>:    Ooh:: ↑↑Tell me,</w:t>
      </w:r>
    </w:p>
    <w:p w14:paraId="3357912F" w14:textId="77777777" w:rsidR="00E8586F" w:rsidRPr="001E1AAC" w:rsidRDefault="00E8586F" w:rsidP="00EF15EA">
      <w:pPr>
        <w:jc w:val="both"/>
        <w:rPr>
          <w:rFonts w:ascii="Courier New" w:eastAsia="ヒラギノ角ゴ Pro W3" w:hAnsi="Courier New"/>
          <w:color w:val="000000"/>
          <w:sz w:val="20"/>
          <w:lang w:eastAsia="en-US" w:bidi="ar-SA"/>
        </w:rPr>
      </w:pPr>
      <w:r w:rsidRPr="001E1AAC">
        <w:rPr>
          <w:rFonts w:ascii="Courier New" w:eastAsia="ヒラギノ角ゴ Pro W3" w:hAnsi="Courier New"/>
          <w:color w:val="000000"/>
          <w:sz w:val="20"/>
          <w:lang w:eastAsia="en-US" w:bidi="ar-SA"/>
        </w:rPr>
        <w:t>148          (.)</w:t>
      </w:r>
    </w:p>
    <w:p w14:paraId="416976A4" w14:textId="77777777" w:rsidR="00E8586F" w:rsidRPr="001E1AAC" w:rsidRDefault="00E8586F" w:rsidP="00EF15EA">
      <w:pPr>
        <w:jc w:val="both"/>
        <w:rPr>
          <w:rFonts w:ascii="Courier New" w:eastAsia="ヒラギノ角ゴ Pro W3" w:hAnsi="Courier New"/>
          <w:color w:val="000000"/>
          <w:sz w:val="20"/>
          <w:lang w:eastAsia="en-US" w:bidi="ar-SA"/>
        </w:rPr>
      </w:pPr>
      <w:r w:rsidRPr="001E1AAC">
        <w:rPr>
          <w:rFonts w:ascii="Courier New" w:eastAsia="ヒラギノ角ゴ Pro W3" w:hAnsi="Courier New"/>
          <w:color w:val="000000"/>
          <w:sz w:val="20"/>
          <w:lang w:eastAsia="en-US" w:bidi="ar-SA"/>
        </w:rPr>
        <w:t>149  Mar:    Well er:m (0.7) I was at his house</w:t>
      </w:r>
    </w:p>
    <w:p w14:paraId="05F93EC2" w14:textId="77777777" w:rsidR="00E8586F" w:rsidRPr="001E1AAC" w:rsidRDefault="00E8586F" w:rsidP="00EF15EA">
      <w:pPr>
        <w:jc w:val="both"/>
        <w:rPr>
          <w:rFonts w:ascii="Courier New" w:eastAsia="ヒラギノ角ゴ Pro W3" w:hAnsi="Courier New"/>
          <w:color w:val="000000"/>
          <w:sz w:val="20"/>
          <w:lang w:eastAsia="en-US" w:bidi="ar-SA"/>
        </w:rPr>
      </w:pPr>
      <w:r w:rsidRPr="001E1AAC">
        <w:rPr>
          <w:rFonts w:ascii="Courier New" w:eastAsia="ヒラギノ角ゴ Pro W3" w:hAnsi="Courier New"/>
          <w:color w:val="000000"/>
          <w:sz w:val="20"/>
          <w:lang w:eastAsia="en-US" w:bidi="ar-SA"/>
        </w:rPr>
        <w:t xml:space="preserve">150          the day before I went to Wales </w:t>
      </w:r>
    </w:p>
    <w:p w14:paraId="45E94F66" w14:textId="77777777" w:rsidR="00E8586F" w:rsidRPr="003667A7" w:rsidRDefault="00E8586F" w:rsidP="00EF15EA">
      <w:pPr>
        <w:jc w:val="both"/>
        <w:rPr>
          <w:rFonts w:ascii="Courier New" w:eastAsia="ヒラギノ角ゴ Pro W3" w:hAnsi="Courier New"/>
          <w:b/>
          <w:color w:val="000000"/>
          <w:sz w:val="20"/>
          <w:lang w:eastAsia="en-US" w:bidi="ar-SA"/>
        </w:rPr>
      </w:pPr>
      <w:r w:rsidRPr="001E1AAC">
        <w:rPr>
          <w:rFonts w:ascii="Courier New" w:eastAsia="ヒラギノ角ゴ Pro W3" w:hAnsi="Courier New"/>
          <w:color w:val="000000"/>
          <w:sz w:val="20"/>
          <w:lang w:eastAsia="en-US" w:bidi="ar-SA"/>
        </w:rPr>
        <w:t xml:space="preserve">151          </w:t>
      </w:r>
      <w:r w:rsidRPr="003667A7">
        <w:rPr>
          <w:rFonts w:ascii="Courier New" w:eastAsia="ヒラギノ角ゴ Pro W3" w:hAnsi="Courier New"/>
          <w:b/>
          <w:color w:val="000000"/>
          <w:sz w:val="20"/>
          <w:lang w:eastAsia="en-US" w:bidi="ar-SA"/>
        </w:rPr>
        <w:t>˚and we kissed˚</w:t>
      </w:r>
    </w:p>
    <w:p w14:paraId="2297DB5E" w14:textId="77777777" w:rsidR="00E8586F" w:rsidRPr="001E1AAC" w:rsidRDefault="00E8586F" w:rsidP="00EF15EA">
      <w:pPr>
        <w:jc w:val="both"/>
        <w:rPr>
          <w:rFonts w:ascii="Courier New" w:eastAsia="ヒラギノ角ゴ Pro W3" w:hAnsi="Courier New"/>
          <w:color w:val="000000"/>
          <w:sz w:val="20"/>
          <w:lang w:eastAsia="en-US" w:bidi="ar-SA"/>
        </w:rPr>
      </w:pPr>
      <w:r w:rsidRPr="001E1AAC">
        <w:rPr>
          <w:rFonts w:ascii="Courier New" w:eastAsia="ヒラギノ角ゴ Pro W3" w:hAnsi="Courier New"/>
          <w:color w:val="000000"/>
          <w:sz w:val="20"/>
          <w:lang w:eastAsia="en-US" w:bidi="ar-SA"/>
        </w:rPr>
        <w:t>152          (1.0)</w:t>
      </w:r>
    </w:p>
    <w:p w14:paraId="36C75A6C" w14:textId="77777777" w:rsidR="00E8586F" w:rsidRPr="001E1AAC" w:rsidRDefault="00E8586F" w:rsidP="00EF15EA">
      <w:pPr>
        <w:jc w:val="both"/>
        <w:rPr>
          <w:rFonts w:ascii="Courier New" w:eastAsia="ヒラギノ角ゴ Pro W3" w:hAnsi="Courier New"/>
          <w:color w:val="000000"/>
          <w:sz w:val="20"/>
          <w:lang w:eastAsia="en-US" w:bidi="ar-SA"/>
        </w:rPr>
      </w:pPr>
      <w:r w:rsidRPr="001E1AAC">
        <w:rPr>
          <w:rFonts w:ascii="Courier New" w:eastAsia="ヒラギノ角ゴ Pro W3" w:hAnsi="Courier New"/>
          <w:color w:val="000000"/>
          <w:sz w:val="20"/>
          <w:lang w:eastAsia="en-US" w:bidi="ar-SA"/>
        </w:rPr>
        <w:t>153  Ka</w:t>
      </w:r>
      <w:r>
        <w:rPr>
          <w:rFonts w:ascii="Courier New" w:eastAsia="ヒラギノ角ゴ Pro W3" w:hAnsi="Courier New"/>
          <w:color w:val="000000"/>
          <w:sz w:val="20"/>
          <w:lang w:eastAsia="en-US" w:bidi="ar-SA"/>
        </w:rPr>
        <w:t>t</w:t>
      </w:r>
      <w:r w:rsidRPr="001E1AAC">
        <w:rPr>
          <w:rFonts w:ascii="Courier New" w:eastAsia="ヒラギノ角ゴ Pro W3" w:hAnsi="Courier New"/>
          <w:color w:val="000000"/>
          <w:sz w:val="20"/>
          <w:lang w:eastAsia="en-US" w:bidi="ar-SA"/>
        </w:rPr>
        <w:t>:    Aw was it good.</w:t>
      </w:r>
    </w:p>
    <w:p w14:paraId="18E4C0B2" w14:textId="77777777" w:rsidR="00E8586F" w:rsidRPr="001E1AAC" w:rsidRDefault="00E8586F" w:rsidP="00EF15EA">
      <w:pPr>
        <w:jc w:val="both"/>
        <w:rPr>
          <w:rFonts w:ascii="Courier New" w:eastAsia="ヒラギノ角ゴ Pro W3" w:hAnsi="Courier New"/>
          <w:color w:val="000000"/>
          <w:sz w:val="20"/>
          <w:lang w:eastAsia="en-US" w:bidi="ar-SA"/>
        </w:rPr>
      </w:pPr>
      <w:r w:rsidRPr="001E1AAC">
        <w:rPr>
          <w:rFonts w:ascii="Courier New" w:eastAsia="ヒラギノ角ゴ Pro W3" w:hAnsi="Courier New"/>
          <w:color w:val="000000"/>
          <w:sz w:val="20"/>
          <w:lang w:eastAsia="en-US" w:bidi="ar-SA"/>
        </w:rPr>
        <w:t>154          (.)</w:t>
      </w:r>
    </w:p>
    <w:p w14:paraId="1AC12FE1" w14:textId="77777777" w:rsidR="00E8586F" w:rsidRPr="001E1AAC" w:rsidRDefault="00E8586F" w:rsidP="00EF15EA">
      <w:pPr>
        <w:jc w:val="both"/>
        <w:rPr>
          <w:rFonts w:ascii="Courier New" w:eastAsia="ヒラギノ角ゴ Pro W3" w:hAnsi="Courier New"/>
          <w:color w:val="000000"/>
          <w:sz w:val="20"/>
          <w:lang w:eastAsia="en-US" w:bidi="ar-SA"/>
        </w:rPr>
      </w:pPr>
      <w:r w:rsidRPr="001E1AAC">
        <w:rPr>
          <w:rFonts w:ascii="Courier New" w:eastAsia="ヒラギノ角ゴ Pro W3" w:hAnsi="Courier New"/>
          <w:color w:val="000000"/>
          <w:sz w:val="20"/>
          <w:lang w:eastAsia="en-US" w:bidi="ar-SA"/>
        </w:rPr>
        <w:t>155  Mar:    &lt;Yea::h. It was lov:ley:&gt;</w:t>
      </w:r>
    </w:p>
    <w:p w14:paraId="00567B99" w14:textId="77777777" w:rsidR="00E8586F" w:rsidRPr="001E1AAC" w:rsidRDefault="00E8586F" w:rsidP="00EF15EA">
      <w:pPr>
        <w:jc w:val="both"/>
        <w:rPr>
          <w:rFonts w:ascii="Courier New" w:eastAsia="ヒラギノ角ゴ Pro W3" w:hAnsi="Courier New"/>
          <w:color w:val="000000"/>
          <w:sz w:val="20"/>
          <w:lang w:eastAsia="en-US" w:bidi="ar-SA"/>
        </w:rPr>
      </w:pPr>
      <w:r w:rsidRPr="001E1AAC">
        <w:rPr>
          <w:rFonts w:ascii="Courier New" w:eastAsia="ヒラギノ角ゴ Pro W3" w:hAnsi="Courier New"/>
          <w:color w:val="000000"/>
          <w:sz w:val="20"/>
          <w:lang w:eastAsia="en-US" w:bidi="ar-SA"/>
        </w:rPr>
        <w:t>156          (.)</w:t>
      </w:r>
    </w:p>
    <w:p w14:paraId="10D03A2F" w14:textId="77777777" w:rsidR="00E8586F" w:rsidRPr="001E1AAC" w:rsidRDefault="00E8586F" w:rsidP="00EF15EA">
      <w:pPr>
        <w:jc w:val="both"/>
        <w:rPr>
          <w:rFonts w:ascii="Courier New" w:eastAsia="ヒラギノ角ゴ Pro W3" w:hAnsi="Courier New"/>
          <w:color w:val="000000"/>
          <w:sz w:val="20"/>
          <w:lang w:eastAsia="en-US" w:bidi="ar-SA"/>
        </w:rPr>
      </w:pPr>
      <w:r w:rsidRPr="001E1AAC">
        <w:rPr>
          <w:rFonts w:ascii="Courier New" w:eastAsia="ヒラギノ角ゴ Pro W3" w:hAnsi="Courier New"/>
          <w:color w:val="000000"/>
          <w:sz w:val="20"/>
          <w:lang w:eastAsia="en-US" w:bidi="ar-SA"/>
        </w:rPr>
        <w:t>157  Ka</w:t>
      </w:r>
      <w:r>
        <w:rPr>
          <w:rFonts w:ascii="Courier New" w:eastAsia="ヒラギノ角ゴ Pro W3" w:hAnsi="Courier New"/>
          <w:color w:val="000000"/>
          <w:sz w:val="20"/>
          <w:lang w:eastAsia="en-US" w:bidi="ar-SA"/>
        </w:rPr>
        <w:t>t</w:t>
      </w:r>
      <w:r w:rsidRPr="001E1AAC">
        <w:rPr>
          <w:rFonts w:ascii="Courier New" w:eastAsia="ヒラギノ角ゴ Pro W3" w:hAnsi="Courier New"/>
          <w:color w:val="000000"/>
          <w:sz w:val="20"/>
          <w:lang w:eastAsia="en-US" w:bidi="ar-SA"/>
        </w:rPr>
        <w:t>:    Ah:::::[::::::::  ]</w:t>
      </w:r>
    </w:p>
    <w:p w14:paraId="1F54C6E3" w14:textId="77777777" w:rsidR="00E8586F" w:rsidRPr="001E1AAC" w:rsidRDefault="00E8586F" w:rsidP="00EF15EA">
      <w:pPr>
        <w:jc w:val="both"/>
        <w:rPr>
          <w:rFonts w:ascii="Courier New" w:eastAsia="ヒラギノ角ゴ Pro W3" w:hAnsi="Courier New"/>
          <w:color w:val="000000"/>
          <w:sz w:val="20"/>
          <w:lang w:eastAsia="en-US" w:bidi="ar-SA"/>
        </w:rPr>
      </w:pPr>
      <w:r w:rsidRPr="001E1AAC">
        <w:rPr>
          <w:rFonts w:ascii="Courier New" w:eastAsia="ヒラギノ角ゴ Pro W3" w:hAnsi="Courier New"/>
          <w:color w:val="000000"/>
          <w:sz w:val="20"/>
          <w:lang w:eastAsia="en-US" w:bidi="ar-SA"/>
        </w:rPr>
        <w:t>158  Mar:           [It was all] like (0.8) Oh it</w:t>
      </w:r>
    </w:p>
    <w:p w14:paraId="125EC1F3" w14:textId="77777777" w:rsidR="00E8586F" w:rsidRPr="001E1AAC" w:rsidRDefault="00E8586F" w:rsidP="00EF15EA">
      <w:pPr>
        <w:jc w:val="both"/>
        <w:rPr>
          <w:rFonts w:ascii="Courier New" w:eastAsia="ヒラギノ角ゴ Pro W3" w:hAnsi="Courier New"/>
          <w:color w:val="000000"/>
          <w:sz w:val="20"/>
          <w:lang w:eastAsia="en-US" w:bidi="ar-SA"/>
        </w:rPr>
      </w:pPr>
      <w:r w:rsidRPr="001E1AAC">
        <w:rPr>
          <w:rFonts w:ascii="Courier New" w:eastAsia="ヒラギノ角ゴ Pro W3" w:hAnsi="Courier New"/>
          <w:color w:val="000000"/>
          <w:sz w:val="20"/>
          <w:lang w:eastAsia="en-US" w:bidi="ar-SA"/>
        </w:rPr>
        <w:t>159          was all the kind of fireworks</w:t>
      </w:r>
    </w:p>
    <w:p w14:paraId="584337E8" w14:textId="77777777" w:rsidR="00E8586F" w:rsidRPr="001E1AAC" w:rsidRDefault="00E8586F" w:rsidP="00EF15EA">
      <w:pPr>
        <w:jc w:val="both"/>
        <w:rPr>
          <w:rFonts w:ascii="Courier New" w:eastAsia="ヒラギノ角ゴ Pro W3" w:hAnsi="Courier New"/>
          <w:color w:val="000000"/>
          <w:sz w:val="20"/>
          <w:lang w:eastAsia="en-US" w:bidi="ar-SA"/>
        </w:rPr>
      </w:pPr>
      <w:r w:rsidRPr="001E1AAC">
        <w:rPr>
          <w:rFonts w:ascii="Courier New" w:eastAsia="ヒラギノ角ゴ Pro W3" w:hAnsi="Courier New"/>
          <w:color w:val="000000"/>
          <w:sz w:val="20"/>
          <w:lang w:eastAsia="en-US" w:bidi="ar-SA"/>
        </w:rPr>
        <w:t>160          tingly feeling one</w:t>
      </w:r>
    </w:p>
    <w:p w14:paraId="25C494B4" w14:textId="77777777" w:rsidR="00E8586F" w:rsidRPr="001E1AAC" w:rsidRDefault="00E8586F" w:rsidP="00EF15EA">
      <w:pPr>
        <w:jc w:val="both"/>
        <w:rPr>
          <w:rFonts w:ascii="Courier New" w:eastAsia="ヒラギノ角ゴ Pro W3" w:hAnsi="Courier New"/>
          <w:color w:val="000000"/>
          <w:sz w:val="20"/>
          <w:lang w:eastAsia="en-US" w:bidi="ar-SA"/>
        </w:rPr>
      </w:pPr>
      <w:r w:rsidRPr="001E1AAC">
        <w:rPr>
          <w:rFonts w:ascii="Courier New" w:eastAsia="ヒラギノ角ゴ Pro W3" w:hAnsi="Courier New"/>
          <w:color w:val="000000"/>
          <w:sz w:val="20"/>
          <w:lang w:eastAsia="en-US" w:bidi="ar-SA"/>
        </w:rPr>
        <w:t>161          (0.7)</w:t>
      </w:r>
    </w:p>
    <w:p w14:paraId="01897391" w14:textId="77777777" w:rsidR="00E8586F" w:rsidRPr="001E1AAC" w:rsidRDefault="00E8586F" w:rsidP="00EF15EA">
      <w:pPr>
        <w:jc w:val="both"/>
        <w:rPr>
          <w:rFonts w:ascii="Courier New" w:eastAsia="ヒラギノ角ゴ Pro W3" w:hAnsi="Courier New"/>
          <w:color w:val="000000"/>
          <w:sz w:val="20"/>
          <w:lang w:eastAsia="en-US" w:bidi="ar-SA"/>
        </w:rPr>
      </w:pPr>
      <w:r w:rsidRPr="001E1AAC">
        <w:rPr>
          <w:rFonts w:ascii="Courier New" w:eastAsia="ヒラギノ角ゴ Pro W3" w:hAnsi="Courier New"/>
          <w:color w:val="000000"/>
          <w:sz w:val="20"/>
          <w:lang w:eastAsia="en-US" w:bidi="ar-SA"/>
        </w:rPr>
        <w:t>162  Ka</w:t>
      </w:r>
      <w:r>
        <w:rPr>
          <w:rFonts w:ascii="Courier New" w:eastAsia="ヒラギノ角ゴ Pro W3" w:hAnsi="Courier New"/>
          <w:color w:val="000000"/>
          <w:sz w:val="20"/>
          <w:lang w:eastAsia="en-US" w:bidi="ar-SA"/>
        </w:rPr>
        <w:t>t</w:t>
      </w:r>
      <w:r w:rsidRPr="001E1AAC">
        <w:rPr>
          <w:rFonts w:ascii="Courier New" w:eastAsia="ヒラギノ角ゴ Pro W3" w:hAnsi="Courier New"/>
          <w:color w:val="000000"/>
          <w:sz w:val="20"/>
          <w:lang w:eastAsia="en-US" w:bidi="ar-SA"/>
        </w:rPr>
        <w:t>:    ↑↑↑Aw mpt That’s so cute.</w:t>
      </w:r>
    </w:p>
    <w:p w14:paraId="112341AB" w14:textId="77777777" w:rsidR="00E8586F" w:rsidRDefault="00E8586F" w:rsidP="00EF15EA">
      <w:pPr>
        <w:jc w:val="both"/>
        <w:rPr>
          <w:rFonts w:ascii="Courier New" w:eastAsia="ヒラギノ角ゴ Pro W3" w:hAnsi="Courier New"/>
          <w:color w:val="000000"/>
          <w:sz w:val="20"/>
          <w:lang w:eastAsia="en-US" w:bidi="ar-SA"/>
        </w:rPr>
      </w:pPr>
      <w:proofErr w:type="gramStart"/>
      <w:r w:rsidRPr="001E1AAC">
        <w:rPr>
          <w:rFonts w:ascii="Courier New" w:eastAsia="ヒラギノ角ゴ Pro W3" w:hAnsi="Courier New"/>
          <w:color w:val="000000"/>
          <w:sz w:val="20"/>
          <w:lang w:eastAsia="en-US" w:bidi="ar-SA"/>
        </w:rPr>
        <w:t>163  Mar</w:t>
      </w:r>
      <w:proofErr w:type="gramEnd"/>
      <w:r w:rsidRPr="001E1AAC">
        <w:rPr>
          <w:rFonts w:ascii="Courier New" w:eastAsia="ヒラギノ角ゴ Pro W3" w:hAnsi="Courier New"/>
          <w:color w:val="000000"/>
          <w:sz w:val="20"/>
          <w:lang w:eastAsia="en-US" w:bidi="ar-SA"/>
        </w:rPr>
        <w:t>:    Oh: I was so happy.</w:t>
      </w:r>
    </w:p>
    <w:p w14:paraId="5F7D59E4" w14:textId="60716C9C" w:rsidR="003773BA" w:rsidRDefault="003773BA" w:rsidP="003773BA">
      <w:pPr>
        <w:spacing w:line="360" w:lineRule="auto"/>
        <w:jc w:val="both"/>
        <w:rPr>
          <w:rFonts w:ascii="Courier New" w:hAnsi="Courier New"/>
          <w:sz w:val="20"/>
        </w:rPr>
      </w:pPr>
      <w:r>
        <w:rPr>
          <w:rFonts w:ascii="Courier New" w:hAnsi="Courier New"/>
          <w:sz w:val="20"/>
        </w:rPr>
        <w:t>164          (0.3)</w:t>
      </w:r>
    </w:p>
    <w:p w14:paraId="54C3BA43" w14:textId="77777777" w:rsidR="003773BA" w:rsidRPr="001E1AAC" w:rsidRDefault="003773BA" w:rsidP="00EF15EA">
      <w:pPr>
        <w:jc w:val="both"/>
        <w:rPr>
          <w:rFonts w:ascii="Courier New" w:eastAsia="ヒラギノ角ゴ Pro W3" w:hAnsi="Courier New"/>
          <w:color w:val="000000"/>
          <w:sz w:val="20"/>
          <w:lang w:eastAsia="en-US" w:bidi="ar-SA"/>
        </w:rPr>
      </w:pPr>
    </w:p>
    <w:p w14:paraId="109AF53F" w14:textId="77777777" w:rsidR="00E8586F" w:rsidRPr="00C061A0" w:rsidRDefault="00E8586F" w:rsidP="00EF15EA">
      <w:pPr>
        <w:spacing w:line="480" w:lineRule="auto"/>
        <w:rPr>
          <w:rFonts w:ascii="Calibri" w:hAnsi="Calibri"/>
        </w:rPr>
      </w:pPr>
    </w:p>
    <w:p w14:paraId="23BF32BD" w14:textId="3EAFAB39" w:rsidR="00E8586F" w:rsidRPr="00C061A0" w:rsidRDefault="00E8586F" w:rsidP="00EF15EA">
      <w:pPr>
        <w:spacing w:line="480" w:lineRule="auto"/>
        <w:rPr>
          <w:rFonts w:ascii="Calibri" w:hAnsi="Calibri"/>
        </w:rPr>
      </w:pPr>
      <w:r>
        <w:rPr>
          <w:rFonts w:ascii="Calibri" w:hAnsi="Calibri"/>
        </w:rPr>
        <w:t>The</w:t>
      </w:r>
      <w:r w:rsidRPr="00C061A0">
        <w:rPr>
          <w:rFonts w:ascii="Calibri" w:hAnsi="Calibri"/>
        </w:rPr>
        <w:t xml:space="preserve"> </w:t>
      </w:r>
      <w:r>
        <w:rPr>
          <w:rFonts w:ascii="Calibri" w:hAnsi="Calibri"/>
        </w:rPr>
        <w:t>kiss</w:t>
      </w:r>
      <w:r w:rsidRPr="00C061A0">
        <w:rPr>
          <w:rFonts w:ascii="Calibri" w:hAnsi="Calibri"/>
        </w:rPr>
        <w:t xml:space="preserve"> is reported</w:t>
      </w:r>
      <w:r w:rsidR="00856104">
        <w:rPr>
          <w:rFonts w:ascii="Calibri" w:hAnsi="Calibri"/>
        </w:rPr>
        <w:t xml:space="preserve"> in slightly hushed tones</w:t>
      </w:r>
      <w:r w:rsidRPr="00C061A0">
        <w:rPr>
          <w:rFonts w:ascii="Calibri" w:hAnsi="Calibri"/>
        </w:rPr>
        <w:t xml:space="preserve"> as a joint activity; not something that he did to her, or that she did to him.  They were both active in this kiss.  Somewhat delayed (perhaps indicating an expectation of more to come), </w:t>
      </w:r>
      <w:r>
        <w:rPr>
          <w:rFonts w:ascii="Calibri" w:hAnsi="Calibri"/>
        </w:rPr>
        <w:t>Katie</w:t>
      </w:r>
      <w:r w:rsidRPr="00C061A0">
        <w:rPr>
          <w:rFonts w:ascii="Calibri" w:hAnsi="Calibri"/>
        </w:rPr>
        <w:t xml:space="preserve"> produces a response token (line 153) that might be best characterised as denoting ‘cuteness’  and follows this with an interrogative – ‘was it good’  - which is built to prefer, and gets, a yes </w:t>
      </w:r>
      <w:r>
        <w:rPr>
          <w:rFonts w:ascii="Calibri" w:hAnsi="Calibri"/>
          <w:noProof/>
        </w:rPr>
        <w:t>(Raymond, 2003)</w:t>
      </w:r>
      <w:r w:rsidRPr="00C061A0">
        <w:rPr>
          <w:rFonts w:ascii="Calibri" w:hAnsi="Calibri"/>
        </w:rPr>
        <w:t>.</w:t>
      </w:r>
      <w:r>
        <w:rPr>
          <w:rFonts w:ascii="Calibri" w:hAnsi="Calibri"/>
        </w:rPr>
        <w:t xml:space="preserve">  The fact that the question is formulated in this way displays Katie’s entitlement to ask about the nature of the kiss, which Mary accepts.</w:t>
      </w:r>
      <w:r w:rsidRPr="00C061A0">
        <w:rPr>
          <w:rFonts w:ascii="Calibri" w:hAnsi="Calibri"/>
        </w:rPr>
        <w:t xml:space="preserve">  In fact, </w:t>
      </w:r>
      <w:r>
        <w:rPr>
          <w:rFonts w:ascii="Calibri" w:hAnsi="Calibri"/>
        </w:rPr>
        <w:t>Mary responds with</w:t>
      </w:r>
      <w:r w:rsidR="00856104">
        <w:rPr>
          <w:rFonts w:ascii="Calibri" w:hAnsi="Calibri"/>
        </w:rPr>
        <w:t xml:space="preserve"> ‘yea::h’ (line 155), </w:t>
      </w:r>
      <w:r w:rsidRPr="00C061A0">
        <w:rPr>
          <w:rFonts w:ascii="Calibri" w:hAnsi="Calibri"/>
        </w:rPr>
        <w:t xml:space="preserve">delivered somewhat </w:t>
      </w:r>
      <w:r w:rsidR="00856104">
        <w:rPr>
          <w:rFonts w:ascii="Calibri" w:hAnsi="Calibri"/>
        </w:rPr>
        <w:t>‘</w:t>
      </w:r>
      <w:r w:rsidRPr="00C061A0">
        <w:rPr>
          <w:rFonts w:ascii="Calibri" w:hAnsi="Calibri"/>
        </w:rPr>
        <w:t>dreamily</w:t>
      </w:r>
      <w:r w:rsidR="00856104">
        <w:rPr>
          <w:rFonts w:ascii="Calibri" w:hAnsi="Calibri"/>
        </w:rPr>
        <w:t>’</w:t>
      </w:r>
      <w:r w:rsidRPr="00C061A0">
        <w:rPr>
          <w:rFonts w:ascii="Calibri" w:hAnsi="Calibri"/>
        </w:rPr>
        <w:t xml:space="preserve"> (slow and stretched), and is culturally fitted to a romantic context.</w:t>
      </w:r>
      <w:r>
        <w:rPr>
          <w:rStyle w:val="FootnoteReference"/>
          <w:rFonts w:ascii="Calibri" w:hAnsi="Calibri"/>
        </w:rPr>
        <w:footnoteReference w:id="11"/>
      </w:r>
      <w:r w:rsidRPr="00C061A0">
        <w:rPr>
          <w:rFonts w:ascii="Calibri" w:hAnsi="Calibri"/>
        </w:rPr>
        <w:t xml:space="preserve">  </w:t>
      </w:r>
    </w:p>
    <w:p w14:paraId="790A4B5F" w14:textId="77777777" w:rsidR="00E8586F" w:rsidRPr="00C061A0" w:rsidRDefault="00E8586F" w:rsidP="00EF15EA">
      <w:pPr>
        <w:spacing w:line="480" w:lineRule="auto"/>
        <w:rPr>
          <w:rFonts w:ascii="Calibri" w:hAnsi="Calibri"/>
        </w:rPr>
      </w:pPr>
    </w:p>
    <w:p w14:paraId="1AFA6161" w14:textId="77777777" w:rsidR="00E8586F" w:rsidRDefault="00E8586F" w:rsidP="00EF15EA">
      <w:pPr>
        <w:spacing w:line="480" w:lineRule="auto"/>
        <w:rPr>
          <w:rFonts w:ascii="Calibri" w:hAnsi="Calibri"/>
        </w:rPr>
      </w:pPr>
      <w:r>
        <w:rPr>
          <w:rFonts w:ascii="Calibri" w:hAnsi="Calibri"/>
        </w:rPr>
        <w:t xml:space="preserve">The romantic context is continued when Mary categorises the kiss as a ‘fireworks tingly feeling one’ (line 160) that made her ‘so happy’ (line 163) thereby drawing </w:t>
      </w:r>
      <w:r>
        <w:rPr>
          <w:rFonts w:ascii="Calibri" w:hAnsi="Calibri"/>
        </w:rPr>
        <w:lastRenderedPageBreak/>
        <w:t xml:space="preserve">heavily on cultural images of what perfect (romantic) kisses </w:t>
      </w:r>
      <w:r>
        <w:rPr>
          <w:rFonts w:ascii="Calibri Italic" w:hAnsi="Calibri Italic"/>
        </w:rPr>
        <w:t>should</w:t>
      </w:r>
      <w:r>
        <w:rPr>
          <w:rFonts w:ascii="Calibri" w:hAnsi="Calibri"/>
        </w:rPr>
        <w:t xml:space="preserve"> feel like.</w:t>
      </w:r>
      <w:r>
        <w:rPr>
          <w:rStyle w:val="FootnoteReference1"/>
          <w:rFonts w:ascii="Calibri" w:hAnsi="Calibri"/>
        </w:rPr>
        <w:footnoteReference w:id="12"/>
      </w:r>
      <w:r>
        <w:rPr>
          <w:rFonts w:ascii="Calibri" w:hAnsi="Calibri"/>
        </w:rPr>
        <w:t xml:space="preserve">  In response, Katie produces an even more emphatic display of delightedness with a high-pitched ‘aw’ and a verbal assessment ‘so cute’ (line 162).</w:t>
      </w:r>
    </w:p>
    <w:p w14:paraId="12768AA7" w14:textId="77777777" w:rsidR="00E8586F" w:rsidRDefault="00E8586F" w:rsidP="00EF15EA">
      <w:pPr>
        <w:spacing w:line="480" w:lineRule="auto"/>
        <w:rPr>
          <w:rFonts w:ascii="Calibri" w:hAnsi="Calibri"/>
        </w:rPr>
      </w:pPr>
    </w:p>
    <w:p w14:paraId="68B1D5EC" w14:textId="77777777" w:rsidR="00E8586F" w:rsidRDefault="00E8586F" w:rsidP="00EF15EA">
      <w:pPr>
        <w:spacing w:line="480" w:lineRule="auto"/>
        <w:rPr>
          <w:rFonts w:ascii="Calibri" w:hAnsi="Calibri"/>
        </w:rPr>
      </w:pPr>
      <w:r>
        <w:rPr>
          <w:rFonts w:ascii="Calibri" w:hAnsi="Calibri"/>
        </w:rPr>
        <w:t xml:space="preserve">Kisses are treated here as an appropriately tellable activity.  That is, although there is some marked delicacy in the </w:t>
      </w:r>
      <w:r>
        <w:rPr>
          <w:rFonts w:ascii="Calibri Italic" w:hAnsi="Calibri Italic"/>
        </w:rPr>
        <w:t>sotto</w:t>
      </w:r>
      <w:r>
        <w:rPr>
          <w:rFonts w:ascii="Calibri" w:hAnsi="Calibri"/>
        </w:rPr>
        <w:t xml:space="preserve"> </w:t>
      </w:r>
      <w:r>
        <w:rPr>
          <w:rFonts w:ascii="Calibri Italic" w:hAnsi="Calibri Italic"/>
        </w:rPr>
        <w:t>voce</w:t>
      </w:r>
      <w:r>
        <w:rPr>
          <w:rFonts w:ascii="Calibri" w:hAnsi="Calibri"/>
        </w:rPr>
        <w:t xml:space="preserve"> delivery of the news that Mary and John kissed, there is no disapproval in the sequence.  Indeed, Katie’s responses are repeatedly positive and strongly aligning.  Nor is there any resistance on Mary’s part to Katie’s repetitive ‘cute’ responses/assessments. Clearly, there is a physicality to her description – that it was tingly and like fireworks – but the potential sexual nature of the kiss is somewhat submerged under romantic imagery.  It is notable that the kiss reportedly makes Mary ‘happy’ as opposed to ‘turned-on’ or aroused. The ‘appropriateness’ of the kiss, as revealed in its tell-ability and comment-ability, contrasts with the next stage of the story, which is a description of progression of the relationship to some form of sexual contact.</w:t>
      </w:r>
    </w:p>
    <w:p w14:paraId="0968B3DA" w14:textId="77777777" w:rsidR="00E8586F" w:rsidRDefault="00E8586F" w:rsidP="00EF15EA">
      <w:pPr>
        <w:spacing w:line="480" w:lineRule="auto"/>
        <w:rPr>
          <w:rFonts w:ascii="Cambria Bold" w:hAnsi="Cambria Bold"/>
        </w:rPr>
      </w:pPr>
    </w:p>
    <w:p w14:paraId="10C86201" w14:textId="77777777" w:rsidR="00E8586F" w:rsidRDefault="00E8586F" w:rsidP="00EF15EA">
      <w:pPr>
        <w:spacing w:line="480" w:lineRule="auto"/>
        <w:rPr>
          <w:rFonts w:ascii="Cambria Bold" w:hAnsi="Cambria Bold"/>
        </w:rPr>
      </w:pPr>
      <w:r>
        <w:rPr>
          <w:rFonts w:ascii="Cambria Bold" w:hAnsi="Cambria Bold"/>
        </w:rPr>
        <w:t>Extract 4:  [CTS33] Did stuff</w:t>
      </w:r>
    </w:p>
    <w:p w14:paraId="72646F7E" w14:textId="77777777" w:rsidR="00E8586F" w:rsidRDefault="00E8586F" w:rsidP="00EF15EA">
      <w:pPr>
        <w:rPr>
          <w:rFonts w:ascii="Courier New" w:hAnsi="Courier New"/>
          <w:sz w:val="20"/>
        </w:rPr>
      </w:pPr>
      <w:r>
        <w:rPr>
          <w:rFonts w:ascii="Courier New" w:hAnsi="Courier New"/>
          <w:sz w:val="20"/>
        </w:rPr>
        <w:t>165  Mar:    And then (1.0) And then I went away and</w:t>
      </w:r>
    </w:p>
    <w:p w14:paraId="12161848" w14:textId="77777777" w:rsidR="00E8586F" w:rsidRDefault="00E8586F" w:rsidP="00EF15EA">
      <w:pPr>
        <w:rPr>
          <w:rFonts w:ascii="Courier New" w:hAnsi="Courier New"/>
          <w:sz w:val="20"/>
        </w:rPr>
      </w:pPr>
      <w:r>
        <w:rPr>
          <w:rFonts w:ascii="Courier New" w:hAnsi="Courier New"/>
          <w:sz w:val="20"/>
        </w:rPr>
        <w:t>166          I was texting him loads. And then I</w:t>
      </w:r>
    </w:p>
    <w:p w14:paraId="74AE3E05" w14:textId="77777777" w:rsidR="00E8586F" w:rsidRDefault="00E8586F" w:rsidP="00EF15EA">
      <w:pPr>
        <w:rPr>
          <w:rFonts w:ascii="Courier New" w:hAnsi="Courier New"/>
          <w:sz w:val="20"/>
        </w:rPr>
      </w:pPr>
      <w:r>
        <w:rPr>
          <w:rFonts w:ascii="Courier New" w:hAnsi="Courier New"/>
          <w:sz w:val="20"/>
        </w:rPr>
        <w:t>167          came back. .hhh And we’d sort of</w:t>
      </w:r>
    </w:p>
    <w:p w14:paraId="5B8E4B0A" w14:textId="77777777" w:rsidR="00E8586F" w:rsidRDefault="00E8586F" w:rsidP="00EF15EA">
      <w:pPr>
        <w:rPr>
          <w:rFonts w:ascii="Courier New" w:hAnsi="Courier New"/>
          <w:sz w:val="20"/>
        </w:rPr>
      </w:pPr>
      <w:r>
        <w:rPr>
          <w:rFonts w:ascii="Courier New" w:hAnsi="Courier New"/>
          <w:sz w:val="20"/>
        </w:rPr>
        <w:t xml:space="preserve">168          talked about it. </w:t>
      </w:r>
    </w:p>
    <w:p w14:paraId="7CE196F8" w14:textId="77777777" w:rsidR="00E8586F" w:rsidRDefault="00E8586F" w:rsidP="00EF15EA">
      <w:pPr>
        <w:rPr>
          <w:rFonts w:ascii="Courier New" w:hAnsi="Courier New"/>
          <w:sz w:val="20"/>
        </w:rPr>
      </w:pPr>
      <w:r>
        <w:rPr>
          <w:rFonts w:ascii="Courier New" w:hAnsi="Courier New"/>
          <w:sz w:val="20"/>
        </w:rPr>
        <w:t>169          (0.5)</w:t>
      </w:r>
    </w:p>
    <w:p w14:paraId="7569AE36" w14:textId="77777777" w:rsidR="00E8586F" w:rsidRDefault="00E8586F" w:rsidP="00EF15EA">
      <w:pPr>
        <w:rPr>
          <w:rFonts w:ascii="Courier New" w:hAnsi="Courier New"/>
          <w:sz w:val="20"/>
        </w:rPr>
      </w:pPr>
      <w:r>
        <w:rPr>
          <w:rFonts w:ascii="Courier New" w:hAnsi="Courier New"/>
          <w:sz w:val="20"/>
        </w:rPr>
        <w:t>170  Kar:    Yeah[::</w:t>
      </w:r>
    </w:p>
    <w:p w14:paraId="724D5336" w14:textId="77777777" w:rsidR="00E8586F" w:rsidRDefault="00E8586F" w:rsidP="00EF15EA">
      <w:pPr>
        <w:rPr>
          <w:rFonts w:ascii="Courier New" w:hAnsi="Courier New"/>
          <w:sz w:val="20"/>
        </w:rPr>
      </w:pPr>
      <w:r>
        <w:rPr>
          <w:rFonts w:ascii="Courier New" w:hAnsi="Courier New"/>
          <w:sz w:val="20"/>
        </w:rPr>
        <w:t xml:space="preserve">171  Mar:        [( ) like. And then (0.9) I was </w:t>
      </w:r>
    </w:p>
    <w:p w14:paraId="1B7E39BA" w14:textId="77777777" w:rsidR="00E8586F" w:rsidRDefault="00E8586F" w:rsidP="00EF15EA">
      <w:pPr>
        <w:rPr>
          <w:rFonts w:ascii="Cambria" w:hAnsi="Cambria"/>
        </w:rPr>
      </w:pPr>
      <w:r>
        <w:rPr>
          <w:rFonts w:ascii="Courier New" w:hAnsi="Courier New"/>
          <w:sz w:val="20"/>
        </w:rPr>
        <w:t>172          a little naughty hhhhhhhhh</w:t>
      </w:r>
    </w:p>
    <w:p w14:paraId="547958D4" w14:textId="77777777" w:rsidR="00E8586F" w:rsidRDefault="00E8586F" w:rsidP="00EF15EA">
      <w:pPr>
        <w:rPr>
          <w:rFonts w:ascii="Courier New" w:hAnsi="Courier New"/>
          <w:sz w:val="20"/>
        </w:rPr>
      </w:pPr>
      <w:r>
        <w:rPr>
          <w:rFonts w:ascii="Courier New" w:hAnsi="Courier New"/>
          <w:sz w:val="20"/>
        </w:rPr>
        <w:t>173  Kar:    Wh(h)at d(h)id you do::.</w:t>
      </w:r>
    </w:p>
    <w:p w14:paraId="4E51A910" w14:textId="77777777" w:rsidR="00E8586F" w:rsidRDefault="00E8586F" w:rsidP="00EF15EA">
      <w:pPr>
        <w:rPr>
          <w:rFonts w:ascii="Courier New" w:hAnsi="Courier New"/>
          <w:sz w:val="20"/>
        </w:rPr>
      </w:pPr>
      <w:r>
        <w:rPr>
          <w:rFonts w:ascii="Courier New" w:hAnsi="Courier New"/>
          <w:sz w:val="20"/>
        </w:rPr>
        <w:t>174          (.)</w:t>
      </w:r>
    </w:p>
    <w:p w14:paraId="2DCFA1CE" w14:textId="77777777" w:rsidR="00E8586F" w:rsidRDefault="00E8586F" w:rsidP="00EF15EA">
      <w:pPr>
        <w:rPr>
          <w:rFonts w:ascii="Courier New" w:hAnsi="Courier New"/>
          <w:sz w:val="20"/>
        </w:rPr>
      </w:pPr>
      <w:r>
        <w:rPr>
          <w:rFonts w:ascii="Courier New" w:hAnsi="Courier New"/>
          <w:sz w:val="20"/>
        </w:rPr>
        <w:t xml:space="preserve">175  Mar:    Erm well I tol- I don’t know why </w:t>
      </w:r>
    </w:p>
    <w:p w14:paraId="117F3142" w14:textId="77777777" w:rsidR="00E8586F" w:rsidRDefault="00E8586F" w:rsidP="00EF15EA">
      <w:pPr>
        <w:rPr>
          <w:rFonts w:ascii="Courier New" w:hAnsi="Courier New"/>
          <w:sz w:val="20"/>
        </w:rPr>
      </w:pPr>
      <w:r>
        <w:rPr>
          <w:rFonts w:ascii="Courier New" w:hAnsi="Courier New"/>
          <w:sz w:val="20"/>
        </w:rPr>
        <w:t>176          but I told him I was on my period.</w:t>
      </w:r>
    </w:p>
    <w:p w14:paraId="57916726" w14:textId="77777777" w:rsidR="00E8586F" w:rsidRDefault="00E8586F" w:rsidP="00EF15EA">
      <w:pPr>
        <w:rPr>
          <w:rFonts w:ascii="Courier New" w:hAnsi="Courier New"/>
          <w:sz w:val="20"/>
        </w:rPr>
      </w:pPr>
      <w:r>
        <w:rPr>
          <w:rFonts w:ascii="Courier New" w:hAnsi="Courier New"/>
          <w:sz w:val="20"/>
        </w:rPr>
        <w:t>177          (0.5)</w:t>
      </w:r>
    </w:p>
    <w:p w14:paraId="002F0329" w14:textId="77777777" w:rsidR="00E8586F" w:rsidRDefault="00E8586F" w:rsidP="00EF15EA">
      <w:pPr>
        <w:rPr>
          <w:rFonts w:ascii="Courier New" w:hAnsi="Courier New"/>
          <w:sz w:val="20"/>
        </w:rPr>
      </w:pPr>
      <w:r>
        <w:rPr>
          <w:rFonts w:ascii="Courier New" w:hAnsi="Courier New"/>
          <w:sz w:val="20"/>
        </w:rPr>
        <w:lastRenderedPageBreak/>
        <w:t xml:space="preserve">178  Mar:    I think that was like kind of </w:t>
      </w:r>
    </w:p>
    <w:p w14:paraId="2698F405" w14:textId="77777777" w:rsidR="00E8586F" w:rsidRDefault="00E8586F" w:rsidP="00EF15EA">
      <w:pPr>
        <w:rPr>
          <w:rFonts w:ascii="Courier New" w:hAnsi="Courier New"/>
          <w:sz w:val="20"/>
        </w:rPr>
      </w:pPr>
      <w:r>
        <w:rPr>
          <w:rFonts w:ascii="Courier New" w:hAnsi="Courier New"/>
          <w:sz w:val="20"/>
        </w:rPr>
        <w:t>179          like a barrier thing wasn’t it.</w:t>
      </w:r>
    </w:p>
    <w:p w14:paraId="54D6192A" w14:textId="77777777" w:rsidR="00E8586F" w:rsidRDefault="00E8586F" w:rsidP="00EF15EA">
      <w:pPr>
        <w:rPr>
          <w:rFonts w:ascii="Courier New" w:hAnsi="Courier New"/>
          <w:sz w:val="20"/>
        </w:rPr>
      </w:pPr>
      <w:r>
        <w:rPr>
          <w:rFonts w:ascii="Courier New" w:hAnsi="Courier New"/>
          <w:sz w:val="20"/>
        </w:rPr>
        <w:t>180  Kar:    Oh right. [Yeah.</w:t>
      </w:r>
    </w:p>
    <w:p w14:paraId="34905512" w14:textId="77777777" w:rsidR="00E8586F" w:rsidRDefault="00E8586F" w:rsidP="00EF15EA">
      <w:pPr>
        <w:rPr>
          <w:rFonts w:ascii="Courier New" w:hAnsi="Courier New"/>
          <w:sz w:val="20"/>
        </w:rPr>
      </w:pPr>
      <w:r>
        <w:rPr>
          <w:rFonts w:ascii="Courier New" w:hAnsi="Courier New"/>
          <w:sz w:val="20"/>
        </w:rPr>
        <w:t>181  Mar:               [Because you don’t</w:t>
      </w:r>
    </w:p>
    <w:p w14:paraId="201C7433" w14:textId="77777777" w:rsidR="00E8586F" w:rsidRDefault="00E8586F" w:rsidP="00EF15EA">
      <w:pPr>
        <w:rPr>
          <w:rFonts w:ascii="Courier New" w:hAnsi="Courier New"/>
          <w:sz w:val="20"/>
        </w:rPr>
      </w:pPr>
      <w:r>
        <w:rPr>
          <w:rFonts w:ascii="Courier New" w:hAnsi="Courier New"/>
          <w:sz w:val="20"/>
        </w:rPr>
        <w:t>182          want to rush into anything. So</w:t>
      </w:r>
    </w:p>
    <w:p w14:paraId="7EA28823" w14:textId="77777777" w:rsidR="00E8586F" w:rsidRDefault="00E8586F" w:rsidP="00EF15EA">
      <w:pPr>
        <w:rPr>
          <w:rFonts w:ascii="Courier New" w:hAnsi="Courier New"/>
          <w:sz w:val="20"/>
        </w:rPr>
      </w:pPr>
      <w:r>
        <w:rPr>
          <w:rFonts w:ascii="Courier New" w:hAnsi="Courier New"/>
          <w:sz w:val="20"/>
        </w:rPr>
        <w:t>183          I told him I was on my period but</w:t>
      </w:r>
    </w:p>
    <w:p w14:paraId="3C4DAF16" w14:textId="77777777" w:rsidR="00E8586F" w:rsidRDefault="00E8586F" w:rsidP="00EF15EA">
      <w:pPr>
        <w:rPr>
          <w:rFonts w:ascii="Courier New" w:hAnsi="Courier New"/>
          <w:sz w:val="20"/>
        </w:rPr>
      </w:pPr>
      <w:r>
        <w:rPr>
          <w:rFonts w:ascii="Courier New" w:hAnsi="Courier New"/>
          <w:sz w:val="20"/>
        </w:rPr>
        <w:t xml:space="preserve">184          like I sort of ˚ did stuff to </w:t>
      </w:r>
    </w:p>
    <w:p w14:paraId="0B42A8F3" w14:textId="77777777" w:rsidR="00E8586F" w:rsidRDefault="00E8586F" w:rsidP="00EF15EA">
      <w:pPr>
        <w:rPr>
          <w:rFonts w:ascii="Courier New" w:hAnsi="Courier New"/>
          <w:sz w:val="20"/>
        </w:rPr>
      </w:pPr>
      <w:r>
        <w:rPr>
          <w:rFonts w:ascii="Courier New" w:hAnsi="Courier New"/>
          <w:sz w:val="20"/>
        </w:rPr>
        <w:t>185          him.˚</w:t>
      </w:r>
    </w:p>
    <w:p w14:paraId="17583078" w14:textId="77777777" w:rsidR="00E8586F" w:rsidRDefault="00E8586F" w:rsidP="00EF15EA">
      <w:pPr>
        <w:rPr>
          <w:rFonts w:ascii="Courier New" w:hAnsi="Courier New"/>
          <w:sz w:val="20"/>
        </w:rPr>
      </w:pPr>
      <w:r>
        <w:rPr>
          <w:rFonts w:ascii="Courier New" w:hAnsi="Courier New"/>
          <w:sz w:val="20"/>
        </w:rPr>
        <w:t>186         (0.9)</w:t>
      </w:r>
    </w:p>
    <w:p w14:paraId="2D483C4B" w14:textId="77777777" w:rsidR="00E8586F" w:rsidRDefault="00E8586F" w:rsidP="00EF15EA">
      <w:pPr>
        <w:rPr>
          <w:rFonts w:ascii="Courier New" w:hAnsi="Courier New"/>
          <w:sz w:val="20"/>
        </w:rPr>
      </w:pPr>
      <w:r>
        <w:rPr>
          <w:rFonts w:ascii="Courier New" w:hAnsi="Courier New"/>
          <w:sz w:val="20"/>
        </w:rPr>
        <w:t>187  Kar:    Tch tch tch [Mary.</w:t>
      </w:r>
    </w:p>
    <w:p w14:paraId="473DD4C6" w14:textId="77777777" w:rsidR="00E8586F" w:rsidRDefault="00E8586F" w:rsidP="00EF15EA">
      <w:pPr>
        <w:rPr>
          <w:rFonts w:ascii="Courier New" w:hAnsi="Courier New"/>
          <w:sz w:val="20"/>
        </w:rPr>
      </w:pPr>
      <w:r>
        <w:rPr>
          <w:rFonts w:ascii="Courier New" w:hAnsi="Courier New"/>
          <w:sz w:val="20"/>
        </w:rPr>
        <w:t>188  Mar:                [Hum hm</w:t>
      </w:r>
    </w:p>
    <w:p w14:paraId="2A188D5E" w14:textId="77777777" w:rsidR="00E8586F" w:rsidRDefault="00E8586F" w:rsidP="00EF15EA">
      <w:pPr>
        <w:rPr>
          <w:rFonts w:ascii="Courier New" w:hAnsi="Courier New"/>
          <w:sz w:val="20"/>
        </w:rPr>
      </w:pPr>
      <w:r>
        <w:rPr>
          <w:rFonts w:ascii="Courier New" w:hAnsi="Courier New"/>
          <w:sz w:val="20"/>
        </w:rPr>
        <w:t>189          (0.7)</w:t>
      </w:r>
    </w:p>
    <w:p w14:paraId="0AF41609" w14:textId="77777777" w:rsidR="00E8586F" w:rsidRDefault="00E8586F" w:rsidP="00EF15EA">
      <w:pPr>
        <w:rPr>
          <w:rFonts w:ascii="Courier New" w:hAnsi="Courier New"/>
          <w:sz w:val="20"/>
        </w:rPr>
      </w:pPr>
      <w:r>
        <w:rPr>
          <w:rFonts w:ascii="Courier New" w:hAnsi="Courier New"/>
          <w:sz w:val="20"/>
        </w:rPr>
        <w:t>190  Mar:    But I don’t know it didn’t feel</w:t>
      </w:r>
    </w:p>
    <w:p w14:paraId="50FE044D" w14:textId="77777777" w:rsidR="00E8586F" w:rsidRDefault="00E8586F" w:rsidP="00EF15EA">
      <w:pPr>
        <w:rPr>
          <w:rFonts w:ascii="Courier New" w:hAnsi="Courier New"/>
          <w:sz w:val="20"/>
        </w:rPr>
      </w:pPr>
      <w:r>
        <w:rPr>
          <w:rFonts w:ascii="Courier New" w:hAnsi="Courier New"/>
          <w:sz w:val="20"/>
        </w:rPr>
        <w:t>191          like wrong or anything.</w:t>
      </w:r>
    </w:p>
    <w:p w14:paraId="3BF7DE2E" w14:textId="77777777" w:rsidR="00E8586F" w:rsidRDefault="00E8586F" w:rsidP="00EF15EA">
      <w:pPr>
        <w:rPr>
          <w:rFonts w:ascii="Courier New" w:hAnsi="Courier New"/>
          <w:sz w:val="20"/>
        </w:rPr>
      </w:pPr>
      <w:r>
        <w:rPr>
          <w:rFonts w:ascii="Courier New" w:hAnsi="Courier New"/>
          <w:sz w:val="20"/>
        </w:rPr>
        <w:t>192          (0.9)</w:t>
      </w:r>
    </w:p>
    <w:p w14:paraId="2F136D3E" w14:textId="77777777" w:rsidR="00E8586F" w:rsidRDefault="00E8586F" w:rsidP="00EF15EA">
      <w:pPr>
        <w:rPr>
          <w:rFonts w:ascii="Courier New" w:hAnsi="Courier New"/>
          <w:sz w:val="20"/>
        </w:rPr>
      </w:pPr>
      <w:r>
        <w:rPr>
          <w:rFonts w:ascii="Courier New" w:hAnsi="Courier New"/>
          <w:sz w:val="20"/>
        </w:rPr>
        <w:t xml:space="preserve">193  Kar:    It’s good I think. </w:t>
      </w:r>
    </w:p>
    <w:p w14:paraId="1752B7E5" w14:textId="77777777" w:rsidR="00E8586F" w:rsidRDefault="00E8586F" w:rsidP="00EF15EA">
      <w:pPr>
        <w:rPr>
          <w:rFonts w:ascii="Courier New" w:hAnsi="Courier New"/>
          <w:sz w:val="20"/>
        </w:rPr>
      </w:pPr>
      <w:r>
        <w:rPr>
          <w:rFonts w:ascii="Courier New" w:hAnsi="Courier New"/>
          <w:sz w:val="20"/>
        </w:rPr>
        <w:t>194          (.)</w:t>
      </w:r>
    </w:p>
    <w:p w14:paraId="5B6593E5" w14:textId="77777777" w:rsidR="00E8586F" w:rsidRDefault="00E8586F" w:rsidP="00EF15EA">
      <w:pPr>
        <w:rPr>
          <w:rFonts w:ascii="Courier New" w:hAnsi="Courier New"/>
          <w:sz w:val="20"/>
        </w:rPr>
      </w:pPr>
      <w:r>
        <w:rPr>
          <w:rFonts w:ascii="Courier New" w:hAnsi="Courier New"/>
          <w:sz w:val="20"/>
        </w:rPr>
        <w:t>195  Kar:    I think you make a good couple.</w:t>
      </w:r>
    </w:p>
    <w:p w14:paraId="62E7B1E0" w14:textId="77777777" w:rsidR="00E8586F" w:rsidRDefault="00E8586F" w:rsidP="00EF15EA">
      <w:pPr>
        <w:rPr>
          <w:rFonts w:ascii="Courier New" w:hAnsi="Courier New"/>
          <w:sz w:val="20"/>
        </w:rPr>
      </w:pPr>
      <w:r>
        <w:rPr>
          <w:rFonts w:ascii="Courier New" w:hAnsi="Courier New"/>
          <w:sz w:val="20"/>
        </w:rPr>
        <w:t>196  Mar:    Yeah. That’s what everyone says.</w:t>
      </w:r>
    </w:p>
    <w:p w14:paraId="6D9FB79D" w14:textId="77777777" w:rsidR="00E8586F" w:rsidRDefault="00E8586F" w:rsidP="00EF15EA">
      <w:pPr>
        <w:rPr>
          <w:rFonts w:ascii="Courier New" w:hAnsi="Courier New"/>
          <w:sz w:val="20"/>
        </w:rPr>
      </w:pPr>
      <w:r>
        <w:rPr>
          <w:rFonts w:ascii="Courier New" w:hAnsi="Courier New"/>
          <w:sz w:val="20"/>
        </w:rPr>
        <w:t xml:space="preserve">197          &lt;I mean we went on a really nice </w:t>
      </w:r>
    </w:p>
    <w:p w14:paraId="2353E8B0" w14:textId="77777777" w:rsidR="00E8586F" w:rsidRDefault="00E8586F" w:rsidP="00EF15EA">
      <w:pPr>
        <w:rPr>
          <w:rFonts w:ascii="Courier New" w:hAnsi="Courier New"/>
          <w:sz w:val="20"/>
        </w:rPr>
      </w:pPr>
      <w:r>
        <w:rPr>
          <w:rFonts w:ascii="Courier New" w:hAnsi="Courier New"/>
          <w:sz w:val="20"/>
        </w:rPr>
        <w:t>198          walk last night right.</w:t>
      </w:r>
    </w:p>
    <w:p w14:paraId="65127C14" w14:textId="77777777" w:rsidR="00E8586F" w:rsidRDefault="00E8586F" w:rsidP="00EF15EA">
      <w:pPr>
        <w:rPr>
          <w:rFonts w:ascii="Courier New" w:hAnsi="Courier New"/>
          <w:sz w:val="20"/>
        </w:rPr>
      </w:pPr>
      <w:r>
        <w:rPr>
          <w:rFonts w:ascii="Courier New" w:hAnsi="Courier New"/>
          <w:sz w:val="20"/>
        </w:rPr>
        <w:t>199  Kar:    ((Sniffs))</w:t>
      </w:r>
    </w:p>
    <w:p w14:paraId="112F0ACC" w14:textId="77777777" w:rsidR="00E8586F" w:rsidRDefault="00E8586F" w:rsidP="00EF15EA">
      <w:pPr>
        <w:spacing w:line="480" w:lineRule="auto"/>
        <w:rPr>
          <w:rFonts w:ascii="Cambria" w:hAnsi="Cambria"/>
        </w:rPr>
      </w:pPr>
    </w:p>
    <w:p w14:paraId="72317BBD" w14:textId="247E40B2" w:rsidR="003A358A" w:rsidRDefault="007357A9" w:rsidP="001C42AE">
      <w:pPr>
        <w:spacing w:line="480" w:lineRule="auto"/>
        <w:rPr>
          <w:rFonts w:ascii="Calibri" w:hAnsi="Calibri"/>
        </w:rPr>
      </w:pPr>
      <w:r>
        <w:rPr>
          <w:rFonts w:ascii="Calibri" w:hAnsi="Calibri"/>
        </w:rPr>
        <w:t xml:space="preserve">It is possible that Mary first alludes </w:t>
      </w:r>
      <w:r w:rsidR="00E8586F">
        <w:rPr>
          <w:rFonts w:ascii="Calibri" w:hAnsi="Calibri"/>
        </w:rPr>
        <w:t xml:space="preserve">to sexual activity through </w:t>
      </w:r>
      <w:r w:rsidR="00B228E2">
        <w:rPr>
          <w:rFonts w:ascii="Calibri" w:hAnsi="Calibri"/>
        </w:rPr>
        <w:t>a</w:t>
      </w:r>
      <w:r>
        <w:rPr>
          <w:rFonts w:ascii="Calibri" w:hAnsi="Calibri"/>
        </w:rPr>
        <w:t xml:space="preserve"> </w:t>
      </w:r>
      <w:r w:rsidR="00E8586F">
        <w:rPr>
          <w:rFonts w:ascii="Calibri" w:hAnsi="Calibri"/>
        </w:rPr>
        <w:t xml:space="preserve">non-serious assessment of her own conduct; ‘I was a little naughty’ (line 171-172).  The non-serious nature of the negative self-assessment is achieved in two ways:  first, through the selection of the modifier ‘a little’, which downplays the significance of the act; second, through use of ‘naughty’ as a description.  Naughty has childish connotations and might suggest mischief or minor transgression rather than serious wrongdoing.  Of course, in this environment, ‘naughty’ might also have sexual connotations because of its common use in sexual contexts </w:t>
      </w:r>
      <w:r w:rsidR="00E8586F">
        <w:rPr>
          <w:rFonts w:ascii="Calibri" w:hAnsi="Calibri"/>
          <w:noProof/>
        </w:rPr>
        <w:t>(Aral &amp; Manhart, 2009)</w:t>
      </w:r>
      <w:r w:rsidR="00E8586F">
        <w:rPr>
          <w:rFonts w:ascii="Calibri" w:hAnsi="Calibri"/>
        </w:rPr>
        <w:t xml:space="preserve">.  In this sense, ‘I was a little naughty’ </w:t>
      </w:r>
      <w:r w:rsidR="002058EA">
        <w:rPr>
          <w:rFonts w:ascii="Calibri" w:hAnsi="Calibri"/>
        </w:rPr>
        <w:t>could allude</w:t>
      </w:r>
      <w:r w:rsidR="00E8586F">
        <w:rPr>
          <w:rFonts w:ascii="Calibri" w:hAnsi="Calibri"/>
        </w:rPr>
        <w:t xml:space="preserve"> to (limited) sexual activity without bragging about it. </w:t>
      </w:r>
      <w:r>
        <w:rPr>
          <w:rFonts w:ascii="Calibri" w:hAnsi="Calibri"/>
        </w:rPr>
        <w:t xml:space="preserve"> There is an alternative analysis of ‘naughty’</w:t>
      </w:r>
      <w:r w:rsidR="002058EA">
        <w:rPr>
          <w:rFonts w:ascii="Calibri" w:hAnsi="Calibri"/>
        </w:rPr>
        <w:t xml:space="preserve">, however, </w:t>
      </w:r>
      <w:r w:rsidR="003A358A">
        <w:rPr>
          <w:rFonts w:ascii="Calibri" w:hAnsi="Calibri"/>
        </w:rPr>
        <w:t>because what happens next is the report of a l</w:t>
      </w:r>
      <w:r w:rsidR="000222C7">
        <w:rPr>
          <w:rFonts w:ascii="Calibri" w:hAnsi="Calibri"/>
        </w:rPr>
        <w:t xml:space="preserve">ie that Mary told John.  It is </w:t>
      </w:r>
      <w:r w:rsidR="003A358A">
        <w:rPr>
          <w:rFonts w:ascii="Calibri" w:hAnsi="Calibri"/>
        </w:rPr>
        <w:t>possible</w:t>
      </w:r>
      <w:r w:rsidR="000222C7">
        <w:rPr>
          <w:rFonts w:ascii="Calibri" w:hAnsi="Calibri"/>
        </w:rPr>
        <w:t>, therefore,</w:t>
      </w:r>
      <w:r w:rsidR="003A358A">
        <w:rPr>
          <w:rFonts w:ascii="Calibri" w:hAnsi="Calibri"/>
        </w:rPr>
        <w:t xml:space="preserve"> that ‘a little naughty’ could refer to her having been deceitful.</w:t>
      </w:r>
    </w:p>
    <w:p w14:paraId="6F64FECA" w14:textId="77777777" w:rsidR="003A358A" w:rsidRDefault="003A358A" w:rsidP="001C42AE">
      <w:pPr>
        <w:spacing w:line="480" w:lineRule="auto"/>
        <w:rPr>
          <w:rFonts w:ascii="Calibri" w:hAnsi="Calibri"/>
        </w:rPr>
      </w:pPr>
    </w:p>
    <w:p w14:paraId="108F726A" w14:textId="1EE50374" w:rsidR="003A358A" w:rsidRDefault="003A358A" w:rsidP="001C42AE">
      <w:pPr>
        <w:spacing w:line="480" w:lineRule="auto"/>
        <w:rPr>
          <w:rFonts w:ascii="Calibri" w:hAnsi="Calibri"/>
        </w:rPr>
      </w:pPr>
      <w:r>
        <w:rPr>
          <w:rFonts w:ascii="Calibri" w:hAnsi="Calibri"/>
        </w:rPr>
        <w:lastRenderedPageBreak/>
        <w:t xml:space="preserve">If, as analysts, we find it difficult to distinguish the action that Mary </w:t>
      </w:r>
      <w:r w:rsidR="000222C7">
        <w:rPr>
          <w:rFonts w:ascii="Calibri" w:hAnsi="Calibri"/>
        </w:rPr>
        <w:t>accomplishes</w:t>
      </w:r>
      <w:r>
        <w:rPr>
          <w:rFonts w:ascii="Calibri" w:hAnsi="Calibri"/>
        </w:rPr>
        <w:t xml:space="preserve"> with ‘a little naughty’ it might well be that her recipient is in the same predicament.  What we do know (from the design of the next turn) is that Karen treats ‘little naughty’ as something that Mary </w:t>
      </w:r>
      <w:r w:rsidRPr="001C42AE">
        <w:rPr>
          <w:rFonts w:ascii="Calibri Italic" w:hAnsi="Calibri Italic"/>
        </w:rPr>
        <w:t>did</w:t>
      </w:r>
      <w:r>
        <w:rPr>
          <w:rFonts w:ascii="Calibri Italic" w:hAnsi="Calibri Italic"/>
        </w:rPr>
        <w:t xml:space="preserve"> </w:t>
      </w:r>
      <w:r>
        <w:rPr>
          <w:rFonts w:ascii="Calibri" w:hAnsi="Calibri"/>
        </w:rPr>
        <w:t xml:space="preserve">rather than something she </w:t>
      </w:r>
      <w:r w:rsidRPr="001C42AE">
        <w:rPr>
          <w:rFonts w:ascii="Calibri Italic" w:hAnsi="Calibri Italic"/>
        </w:rPr>
        <w:t>said</w:t>
      </w:r>
      <w:r>
        <w:rPr>
          <w:rFonts w:ascii="Calibri" w:hAnsi="Calibri"/>
        </w:rPr>
        <w:t xml:space="preserve">.  Karen’s laughter also nicely aligns with the non-serious nature of whatever it is that Mary is heading for.  We also know that, by now, the understanding that Mary and John have progressed to a sexual stage in their relationship is hanging in the air. </w:t>
      </w:r>
    </w:p>
    <w:p w14:paraId="54BDED6E" w14:textId="573F97F0" w:rsidR="00E8586F" w:rsidRDefault="00E8586F" w:rsidP="00EF15EA">
      <w:pPr>
        <w:spacing w:line="480" w:lineRule="auto"/>
        <w:rPr>
          <w:rFonts w:ascii="Calibri" w:hAnsi="Calibri"/>
        </w:rPr>
      </w:pPr>
    </w:p>
    <w:p w14:paraId="154A6D14" w14:textId="77777777" w:rsidR="00E8586F" w:rsidRDefault="00E8586F" w:rsidP="00EF15EA">
      <w:pPr>
        <w:spacing w:line="480" w:lineRule="auto"/>
        <w:rPr>
          <w:rFonts w:ascii="Calibri" w:hAnsi="Calibri"/>
        </w:rPr>
      </w:pPr>
    </w:p>
    <w:p w14:paraId="6347631E" w14:textId="77777777" w:rsidR="00E8586F" w:rsidRDefault="00E8586F" w:rsidP="00EF15EA">
      <w:pPr>
        <w:spacing w:line="480" w:lineRule="auto"/>
        <w:rPr>
          <w:rFonts w:ascii="Calibri" w:hAnsi="Calibri"/>
        </w:rPr>
      </w:pPr>
      <w:r>
        <w:rPr>
          <w:rFonts w:ascii="Calibri" w:hAnsi="Calibri"/>
        </w:rPr>
        <w:t xml:space="preserve">If ‘little naughty’ is a mild sexual reference, we should note that the report of sexual activity is alluded to rather than done directly.  We can compare this with the more direct report of the kiss, where the activity is named.  Note that, again, in contrast to the kiss (where ‘we’ is used), the reference to self - ‘I’ - makes of this activity something that Mary did to John; it is not ‘we were a little naughty’.  This continues the sense of limited sexual contact – they did not have full sexual-intercourse.  </w:t>
      </w:r>
    </w:p>
    <w:p w14:paraId="44B26158" w14:textId="77777777" w:rsidR="00E8586F" w:rsidRDefault="00E8586F" w:rsidP="00EF15EA">
      <w:pPr>
        <w:spacing w:line="480" w:lineRule="auto"/>
        <w:rPr>
          <w:rFonts w:ascii="Calibri" w:hAnsi="Calibri"/>
        </w:rPr>
      </w:pPr>
    </w:p>
    <w:p w14:paraId="0A4D58F2" w14:textId="77777777" w:rsidR="00E8586F" w:rsidRDefault="00E8586F" w:rsidP="00EF15EA">
      <w:pPr>
        <w:spacing w:line="480" w:lineRule="auto"/>
        <w:rPr>
          <w:rFonts w:ascii="Calibri" w:hAnsi="Calibri"/>
        </w:rPr>
      </w:pPr>
      <w:r>
        <w:rPr>
          <w:rFonts w:ascii="Calibri" w:hAnsi="Calibri"/>
        </w:rPr>
        <w:t xml:space="preserve">We should also note the different sequential positions in which reports of the kiss and the possible allusion to sex occur.  The report of the kiss is a (possible) upshot of a telling, whereas ‘I was a little naughty’ is hearable as a story-preface making Katie’s ‘what did you do’ the go-ahead to do the telling; so together these turns act as a mini presequence within an ongoing telling </w:t>
      </w:r>
      <w:r>
        <w:rPr>
          <w:rFonts w:ascii="Calibri" w:hAnsi="Calibri"/>
          <w:noProof/>
        </w:rPr>
        <w:t>(Schegloff, 2007)</w:t>
      </w:r>
      <w:r>
        <w:rPr>
          <w:rFonts w:ascii="Calibri" w:hAnsi="Calibri"/>
        </w:rPr>
        <w:t xml:space="preserve">. </w:t>
      </w:r>
    </w:p>
    <w:p w14:paraId="5459E593" w14:textId="77777777" w:rsidR="00E8586F" w:rsidRDefault="00E8586F" w:rsidP="00EF15EA">
      <w:pPr>
        <w:spacing w:line="480" w:lineRule="auto"/>
        <w:rPr>
          <w:rFonts w:ascii="Calibri" w:hAnsi="Calibri"/>
        </w:rPr>
      </w:pPr>
    </w:p>
    <w:p w14:paraId="17C911F2" w14:textId="7BA83807" w:rsidR="00E8586F" w:rsidRDefault="00E8586F" w:rsidP="00EF15EA">
      <w:pPr>
        <w:spacing w:line="480" w:lineRule="auto"/>
        <w:rPr>
          <w:rFonts w:ascii="Calibri" w:hAnsi="Calibri"/>
          <w:sz w:val="20"/>
        </w:rPr>
      </w:pPr>
      <w:r>
        <w:rPr>
          <w:rFonts w:ascii="Calibri" w:hAnsi="Calibri"/>
        </w:rPr>
        <w:t xml:space="preserve">Mary begins this (final) part of the story (line 175) with a well-prefaced response to Katie’s ‘what did you do’.  As </w:t>
      </w:r>
      <w:r>
        <w:rPr>
          <w:rFonts w:ascii="Calibri" w:hAnsi="Calibri"/>
          <w:noProof/>
        </w:rPr>
        <w:t>Schegloff and Lerner (2009)</w:t>
      </w:r>
      <w:r>
        <w:rPr>
          <w:rFonts w:ascii="Calibri" w:hAnsi="Calibri"/>
        </w:rPr>
        <w:t xml:space="preserve"> report, well-prefaced </w:t>
      </w:r>
      <w:r>
        <w:rPr>
          <w:rFonts w:ascii="Calibri" w:hAnsi="Calibri"/>
        </w:rPr>
        <w:lastRenderedPageBreak/>
        <w:t xml:space="preserve">responses to </w:t>
      </w:r>
      <w:r w:rsidRPr="0097373E">
        <w:rPr>
          <w:rFonts w:ascii="Calibri" w:hAnsi="Calibri"/>
          <w:i/>
        </w:rPr>
        <w:t>wh</w:t>
      </w:r>
      <w:r>
        <w:rPr>
          <w:rFonts w:ascii="Calibri" w:hAnsi="Calibri"/>
        </w:rPr>
        <w:t xml:space="preserve">-questions indicate that answers will not be straightforward (see also </w:t>
      </w:r>
      <w:r>
        <w:rPr>
          <w:rFonts w:ascii="Calibri" w:hAnsi="Calibri"/>
          <w:noProof/>
        </w:rPr>
        <w:t>Heritage, 2013)</w:t>
      </w:r>
      <w:r>
        <w:rPr>
          <w:rFonts w:ascii="Calibri" w:hAnsi="Calibri"/>
        </w:rPr>
        <w:t xml:space="preserve">. Indeed, Mary’s response does not simply describe the sexual activity to which she has previously alluded.  Instead, she begins by starting to report something she had told John but then halts this to insert ‘I don’t know why’ before restarting the turn.   Analyses of ‘I don’t know’ (IDK) have generally considered their use sequentially as part of responsive turns </w:t>
      </w:r>
      <w:r>
        <w:rPr>
          <w:rFonts w:ascii="Calibri" w:hAnsi="Calibri"/>
          <w:noProof/>
        </w:rPr>
        <w:t>(Drew, 1992; Hutchby, 2002; Tsui, 1991)</w:t>
      </w:r>
      <w:r>
        <w:rPr>
          <w:rFonts w:ascii="Calibri" w:hAnsi="Calibri"/>
        </w:rPr>
        <w:t xml:space="preserve">, where they are found to accomplish a range of actions including and beyond claims to insufficient knowledge.  Mary’s IDK appears not to be responsive because, as noted above, Katie’s ‘question’ – ‘what did you do’ - is a go-ahead in a presequence. In this sense, Mary’s IDK is closer to those analysed by </w:t>
      </w:r>
      <w:r>
        <w:rPr>
          <w:rFonts w:ascii="Calibri" w:hAnsi="Calibri"/>
          <w:noProof/>
        </w:rPr>
        <w:t>Weatherall (2011)</w:t>
      </w:r>
      <w:r>
        <w:rPr>
          <w:rFonts w:ascii="Calibri" w:hAnsi="Calibri"/>
        </w:rPr>
        <w:t xml:space="preserve"> which was a collection of IDKs appearing as the initial tcu in a multi-unit turn at talk.  Weatherall sho</w:t>
      </w:r>
      <w:r w:rsidR="00471E58">
        <w:rPr>
          <w:rFonts w:ascii="Calibri" w:hAnsi="Calibri"/>
        </w:rPr>
        <w:t>wed that these IDKs are forward-</w:t>
      </w:r>
      <w:r>
        <w:rPr>
          <w:rFonts w:ascii="Calibri" w:hAnsi="Calibri"/>
        </w:rPr>
        <w:t xml:space="preserve">looking (or preliminary) and act to downgrade the speakers’ epistemic commitment </w:t>
      </w:r>
      <w:r>
        <w:rPr>
          <w:rFonts w:ascii="Calibri" w:hAnsi="Calibri"/>
          <w:noProof/>
        </w:rPr>
        <w:t>(Heritage, 2012)</w:t>
      </w:r>
      <w:r>
        <w:rPr>
          <w:rFonts w:ascii="Calibri" w:hAnsi="Calibri"/>
        </w:rPr>
        <w:t xml:space="preserve"> to the next tcu in the turn.   Mary’s use of IDK is sufficiently important for her to halt the progressivity of the turn</w:t>
      </w:r>
      <w:r w:rsidR="00471E58">
        <w:rPr>
          <w:rFonts w:ascii="Calibri" w:hAnsi="Calibri"/>
        </w:rPr>
        <w:t>-so-f</w:t>
      </w:r>
      <w:r>
        <w:rPr>
          <w:rFonts w:ascii="Calibri" w:hAnsi="Calibri"/>
        </w:rPr>
        <w:t xml:space="preserve">ar in order to insert it.  Accepting that this IDK is preliminary rather than responsive, and drawing on Weatherall’s analyses, it marks whatever comes </w:t>
      </w:r>
      <w:r w:rsidR="00E63444">
        <w:rPr>
          <w:rFonts w:ascii="Calibri" w:hAnsi="Calibri"/>
        </w:rPr>
        <w:t>next -</w:t>
      </w:r>
      <w:r>
        <w:rPr>
          <w:rFonts w:ascii="Calibri" w:hAnsi="Calibri"/>
        </w:rPr>
        <w:t xml:space="preserve"> whatever she told John – as something to which she was not fully committed. In the context of this story, the lack of ‘commitment’ seems additionally to suggest that whatever Mary said to John, it had not been premeditated. What John was told turns out to be an inability account (line 183); Mary was on her period.  </w:t>
      </w:r>
      <w:r>
        <w:rPr>
          <w:rFonts w:ascii="Calibri Bold" w:hAnsi="Calibri Bold"/>
          <w:sz w:val="22"/>
        </w:rPr>
        <w:t xml:space="preserve">      </w:t>
      </w:r>
    </w:p>
    <w:p w14:paraId="17C226B7" w14:textId="77777777" w:rsidR="00E8586F" w:rsidRDefault="00E8586F" w:rsidP="00EF15EA">
      <w:pPr>
        <w:spacing w:line="480" w:lineRule="auto"/>
        <w:rPr>
          <w:rFonts w:ascii="Calibri" w:hAnsi="Calibri"/>
        </w:rPr>
      </w:pPr>
    </w:p>
    <w:p w14:paraId="0E53FDFF" w14:textId="77777777" w:rsidR="00E8586F" w:rsidRDefault="00E8586F" w:rsidP="00EF15EA">
      <w:pPr>
        <w:spacing w:line="480" w:lineRule="auto"/>
        <w:rPr>
          <w:rFonts w:ascii="Calibri" w:hAnsi="Calibri"/>
        </w:rPr>
      </w:pPr>
      <w:r>
        <w:rPr>
          <w:rFonts w:ascii="Calibri" w:hAnsi="Calibri"/>
        </w:rPr>
        <w:t xml:space="preserve">Menstruation is a culturally acceptable way to turn down unwanted sexual penetration/intercourse </w:t>
      </w:r>
      <w:r>
        <w:rPr>
          <w:rFonts w:ascii="Calibri" w:hAnsi="Calibri"/>
          <w:noProof/>
        </w:rPr>
        <w:t>(Kitzinger &amp; Frith, 1999)</w:t>
      </w:r>
      <w:r>
        <w:rPr>
          <w:rFonts w:ascii="Calibri" w:hAnsi="Calibri"/>
        </w:rPr>
        <w:t xml:space="preserve">.  It appears then that the insertion of ‘I don’t know why’ renders the period ‘untrue’.  That is, Mary ‘knows’ why she told </w:t>
      </w:r>
      <w:r>
        <w:rPr>
          <w:rFonts w:ascii="Calibri" w:hAnsi="Calibri"/>
        </w:rPr>
        <w:lastRenderedPageBreak/>
        <w:t xml:space="preserve">John she was on a period (indeed, she explicates her reasons more fully in the turns that follow) but the downgraded commitment to what she told him suggest her action was to spontaneously limit sexual activity in the moment rather than because she actually was menstruating.  </w:t>
      </w:r>
    </w:p>
    <w:p w14:paraId="4743C600" w14:textId="77777777" w:rsidR="00E8586F" w:rsidRDefault="00E8586F" w:rsidP="00EF15EA">
      <w:pPr>
        <w:spacing w:line="480" w:lineRule="auto"/>
        <w:rPr>
          <w:rFonts w:ascii="Calibri" w:hAnsi="Calibri"/>
        </w:rPr>
      </w:pPr>
    </w:p>
    <w:p w14:paraId="0E0FC7D8" w14:textId="77777777" w:rsidR="00E8586F" w:rsidRDefault="00E8586F" w:rsidP="00EF15EA">
      <w:pPr>
        <w:spacing w:line="480" w:lineRule="auto"/>
        <w:rPr>
          <w:rFonts w:ascii="Calibri" w:hAnsi="Calibri"/>
        </w:rPr>
      </w:pPr>
      <w:r>
        <w:rPr>
          <w:rFonts w:ascii="Calibri" w:hAnsi="Calibri"/>
        </w:rPr>
        <w:t>So the (fabricated) period acts as a barrier to intercourse and next Mary deals with why she needed a barrier – because she didn’t want to rush into anything (line 181/182). However, this is not done as something personal to Mary but rather as a generic norm – the ‘you’ in this turn is a generic you, perhaps referring to all teenage girls, or all respectable teenage girls?  The reference to ‘anything’ – as in ‘don’t want to rush into ‘anything’ is presumably another allusion to sex – this time, full sexual intercourse because it is this that is being prevented by the period.  Not wanting to rush, might be fitted for either stage of relationship or for stage of life.  That is, either not wanting to pursue a sexual connection too early in a particular relationship or too early in life.</w:t>
      </w:r>
    </w:p>
    <w:p w14:paraId="0E7254C8" w14:textId="77777777" w:rsidR="00E8586F" w:rsidRDefault="00E8586F" w:rsidP="00EF15EA">
      <w:pPr>
        <w:spacing w:line="480" w:lineRule="auto"/>
        <w:rPr>
          <w:rFonts w:ascii="Calibri" w:hAnsi="Calibri"/>
        </w:rPr>
      </w:pPr>
    </w:p>
    <w:p w14:paraId="532B2FAE" w14:textId="77777777" w:rsidR="00E8586F" w:rsidRDefault="00E8586F" w:rsidP="00EF15EA">
      <w:pPr>
        <w:spacing w:line="480" w:lineRule="auto"/>
        <w:rPr>
          <w:rFonts w:ascii="Calibri" w:hAnsi="Calibri"/>
        </w:rPr>
      </w:pPr>
      <w:r>
        <w:rPr>
          <w:rFonts w:ascii="Calibri" w:hAnsi="Calibri"/>
        </w:rPr>
        <w:t xml:space="preserve">So, using a menstruating body as an account, Mary draws on a culturally available reasoning for preventing unwanted intercourse. However, this does not stop her in engaging in any sexual activity because, as she puts it, she ‘sort of did stuff’ to John (line 184). Here, then is another allusion to sexual activity.  The verb ‘stuff’ could refer to almost any conduct, but is hearable, from the topical context, as performance of some form of act on his genitals.  The news that Mary ‘did stuff’ is delivered with a notable drop in volume, which conveys a sense of the telling being delicate, and is mitigated with ‘sort of’. </w:t>
      </w:r>
    </w:p>
    <w:p w14:paraId="3AD11ACD" w14:textId="77777777" w:rsidR="00E8586F" w:rsidRDefault="00E8586F" w:rsidP="00EF15EA">
      <w:pPr>
        <w:spacing w:line="480" w:lineRule="auto"/>
        <w:rPr>
          <w:rFonts w:ascii="Calibri" w:hAnsi="Calibri"/>
        </w:rPr>
      </w:pPr>
    </w:p>
    <w:p w14:paraId="02FDF63B" w14:textId="77777777" w:rsidR="00E8586F" w:rsidRDefault="00E8586F" w:rsidP="00EF15EA">
      <w:pPr>
        <w:spacing w:line="480" w:lineRule="auto"/>
        <w:rPr>
          <w:rFonts w:ascii="Calibri" w:hAnsi="Calibri"/>
        </w:rPr>
      </w:pPr>
      <w:r>
        <w:rPr>
          <w:rFonts w:ascii="Calibri" w:hAnsi="Calibri"/>
        </w:rPr>
        <w:t xml:space="preserve">So, here is the punch line to the story that Katie elicited from Mary at the start of the call.  The ‘craic’ is that Mary’s relationship has progressed from an initial expression of interest through to a romantic first kiss to a stage where she is willing to engage in some form of sexual conduct for his pleasure but is (or, at least, was) not yet ready to have full intercourse with him.  </w:t>
      </w:r>
    </w:p>
    <w:p w14:paraId="63DBDB0C" w14:textId="77777777" w:rsidR="00E8586F" w:rsidRDefault="00E8586F" w:rsidP="00EF15EA">
      <w:pPr>
        <w:spacing w:line="480" w:lineRule="auto"/>
        <w:rPr>
          <w:rFonts w:ascii="Calibri" w:hAnsi="Calibri"/>
        </w:rPr>
      </w:pPr>
    </w:p>
    <w:p w14:paraId="046F3C3F" w14:textId="77777777" w:rsidR="00E8586F" w:rsidRDefault="00E8586F" w:rsidP="00EF15EA">
      <w:pPr>
        <w:spacing w:line="480" w:lineRule="auto"/>
        <w:rPr>
          <w:rFonts w:ascii="Calibri" w:hAnsi="Calibri"/>
        </w:rPr>
      </w:pPr>
      <w:r>
        <w:rPr>
          <w:rFonts w:ascii="Calibri" w:hAnsi="Calibri"/>
        </w:rPr>
        <w:t xml:space="preserve">As the recipient of this story, a response is now due from Katie.  What follows, however, is a relatively long gap possibly signalling some trouble ahead. It might be that this silence helps to construct a sense of (faux) disapproval, which Katie produces next (line 187) in the form of a repeated non-lexical sound – recognisable as ‘tuts’ - and the use of the address term ‘Mary’.  The second of these things (i.e. the address term) is the more straightforwardly analysable: A post-positioned address term in a two-party interaction (i.e. where speaker selection is not an issue - see </w:t>
      </w:r>
      <w:r>
        <w:rPr>
          <w:rFonts w:ascii="Calibri" w:hAnsi="Calibri"/>
          <w:noProof/>
        </w:rPr>
        <w:t>Lerner, 2003</w:t>
      </w:r>
      <w:r>
        <w:rPr>
          <w:rFonts w:ascii="Calibri" w:hAnsi="Calibri"/>
        </w:rPr>
        <w:t xml:space="preserve">) tends to strengthen whatever stance is conveyed in the turn-so-far </w:t>
      </w:r>
      <w:r>
        <w:rPr>
          <w:rFonts w:ascii="Calibri" w:hAnsi="Calibri"/>
          <w:noProof/>
        </w:rPr>
        <w:t>(Clayman, 2010)</w:t>
      </w:r>
      <w:r>
        <w:rPr>
          <w:rFonts w:ascii="Calibri" w:hAnsi="Calibri"/>
        </w:rPr>
        <w:t xml:space="preserve">. In the present case, Katie’s display of (faux) disapproval is underlined by her use of Mary’s name at the end of the turn. </w:t>
      </w:r>
    </w:p>
    <w:p w14:paraId="3A67020C" w14:textId="77777777" w:rsidR="00E8586F" w:rsidRDefault="00E8586F" w:rsidP="00EF15EA">
      <w:pPr>
        <w:spacing w:line="480" w:lineRule="auto"/>
        <w:rPr>
          <w:rFonts w:ascii="Calibri" w:hAnsi="Calibri"/>
        </w:rPr>
      </w:pPr>
    </w:p>
    <w:p w14:paraId="1CC652F0" w14:textId="14BFCD6A" w:rsidR="00E8586F" w:rsidRDefault="00E8586F" w:rsidP="00EF15EA">
      <w:pPr>
        <w:spacing w:line="480" w:lineRule="auto"/>
        <w:rPr>
          <w:rFonts w:ascii="Calibri" w:hAnsi="Calibri"/>
        </w:rPr>
      </w:pPr>
      <w:r>
        <w:rPr>
          <w:rFonts w:ascii="Calibri" w:hAnsi="Calibri"/>
        </w:rPr>
        <w:t xml:space="preserve">The repeated tongue-clicks (in effect, ‘tut, tut, tut’) are less straightforward. In comparison to many other languages, English is not generally regarded as having a linguistic ‘click’ component </w:t>
      </w:r>
      <w:r>
        <w:rPr>
          <w:rFonts w:ascii="Calibri" w:hAnsi="Calibri"/>
          <w:noProof/>
        </w:rPr>
        <w:t>(Wright, 2011)</w:t>
      </w:r>
      <w:r>
        <w:rPr>
          <w:rFonts w:ascii="Calibri" w:hAnsi="Calibri"/>
        </w:rPr>
        <w:t xml:space="preserve">.  However, it is not difficult to find examples of clicks in English interaction, particularly the more commonly denoted ‘tut’ </w:t>
      </w:r>
      <w:r>
        <w:rPr>
          <w:rFonts w:ascii="Calibri" w:hAnsi="Calibri"/>
          <w:noProof/>
        </w:rPr>
        <w:t>(Ogden, 2013)</w:t>
      </w:r>
      <w:r>
        <w:rPr>
          <w:rFonts w:ascii="Calibri" w:hAnsi="Calibri"/>
        </w:rPr>
        <w:t xml:space="preserve">; a non-lexical object often associated with marking a negative stance </w:t>
      </w:r>
      <w:r>
        <w:rPr>
          <w:rFonts w:ascii="Calibri" w:hAnsi="Calibri"/>
          <w:noProof/>
        </w:rPr>
        <w:t>(Reber, 2012)</w:t>
      </w:r>
      <w:r>
        <w:rPr>
          <w:rFonts w:ascii="Calibri" w:hAnsi="Calibri"/>
        </w:rPr>
        <w:t xml:space="preserve">.   Ogden (2013) shows empirical evidence for this negative </w:t>
      </w:r>
      <w:r>
        <w:rPr>
          <w:rFonts w:ascii="Calibri" w:hAnsi="Calibri"/>
        </w:rPr>
        <w:lastRenderedPageBreak/>
        <w:t xml:space="preserve">stance (amongst other things) but notes that this meaning is not inherent in the clicks themselves but can be inferred from the longer stretch of talk in which they are embedded.  In our extract, we can note that the repeated tongue-clicks occur in a place where a response to a story is due from a recipient, and certainly seems to function as an assessment of sorts.  If we remember that the story-preface in this case was ‘I was a little naughty’ the disapproving stance possibly implied with the tuts appears fitted to and aligned with ‘naughtiness’ (see </w:t>
      </w:r>
      <w:r>
        <w:rPr>
          <w:rFonts w:ascii="Calibri" w:hAnsi="Calibri"/>
          <w:noProof/>
        </w:rPr>
        <w:t>Stivers, 2008)</w:t>
      </w:r>
      <w:r>
        <w:rPr>
          <w:rFonts w:ascii="Calibri" w:hAnsi="Calibri"/>
        </w:rPr>
        <w:t xml:space="preserve">.  There is possible evidence that the disapproval is good-humoured rather than serious.  My sense of this arises from the three-part repetition.  We might speculate that whereas one tut appears to convey a negative stance, three tuts is more gentle, playful or even teasing by virtue of its staged and crafted nature. This is speculative though, and </w:t>
      </w:r>
      <w:r w:rsidR="00471E58">
        <w:rPr>
          <w:rFonts w:ascii="Calibri" w:hAnsi="Calibri"/>
        </w:rPr>
        <w:t>requires</w:t>
      </w:r>
      <w:r>
        <w:rPr>
          <w:rFonts w:ascii="Calibri" w:hAnsi="Calibri"/>
        </w:rPr>
        <w:t xml:space="preserve"> more empirical work grounded in other similar instances.  Treating the three tuts as akin to a tease, we might note that Mary’s post-expansion response - that what she did, ‘didn’t feel wrong’ can be characterised as ‘po-faced’ </w:t>
      </w:r>
      <w:r>
        <w:rPr>
          <w:rFonts w:ascii="Calibri" w:hAnsi="Calibri"/>
          <w:noProof/>
        </w:rPr>
        <w:t>(Drew, 1987)</w:t>
      </w:r>
      <w:r>
        <w:rPr>
          <w:rFonts w:ascii="Calibri" w:hAnsi="Calibri"/>
        </w:rPr>
        <w:t>.   In response, Katie affiliates with Mary by upgrading ‘not wrong’ to ‘good’, hence recasting the ‘tuts’ as non-serious.</w:t>
      </w:r>
    </w:p>
    <w:p w14:paraId="5A672096" w14:textId="77777777" w:rsidR="00A726BA" w:rsidRDefault="00A726BA" w:rsidP="00EF15EA">
      <w:pPr>
        <w:spacing w:line="480" w:lineRule="auto"/>
        <w:rPr>
          <w:rFonts w:ascii="Calibri" w:hAnsi="Calibri"/>
        </w:rPr>
      </w:pPr>
    </w:p>
    <w:p w14:paraId="415A099C" w14:textId="4E005781" w:rsidR="00A726BA" w:rsidRDefault="00A726BA" w:rsidP="00EF15EA">
      <w:pPr>
        <w:spacing w:line="480" w:lineRule="auto"/>
        <w:rPr>
          <w:rFonts w:ascii="Calibri" w:hAnsi="Calibri"/>
        </w:rPr>
      </w:pPr>
      <w:r>
        <w:rPr>
          <w:rFonts w:ascii="Calibri" w:hAnsi="Calibri"/>
        </w:rPr>
        <w:t xml:space="preserve">After this, the talk about relationships continues in ways that shore up Mary and John’s newly accepted status as a </w:t>
      </w:r>
      <w:r w:rsidR="00980AB8">
        <w:rPr>
          <w:rFonts w:ascii="Calibri" w:hAnsi="Calibri"/>
        </w:rPr>
        <w:t>‘</w:t>
      </w:r>
      <w:r>
        <w:rPr>
          <w:rFonts w:ascii="Calibri" w:hAnsi="Calibri"/>
        </w:rPr>
        <w:t>couple</w:t>
      </w:r>
      <w:r w:rsidR="00980AB8">
        <w:rPr>
          <w:rFonts w:ascii="Calibri" w:hAnsi="Calibri"/>
        </w:rPr>
        <w:t>’</w:t>
      </w:r>
      <w:r>
        <w:rPr>
          <w:rFonts w:ascii="Calibri" w:hAnsi="Calibri"/>
        </w:rPr>
        <w:t xml:space="preserve"> who engage in other couple-like activities like going for ‘really nice’ walks (line 197-8) and hence moves out of talk about sexual conduct.</w:t>
      </w:r>
    </w:p>
    <w:p w14:paraId="7F688D16" w14:textId="77777777" w:rsidR="00E8586F" w:rsidRDefault="00E8586F" w:rsidP="00EF15EA">
      <w:pPr>
        <w:spacing w:line="480" w:lineRule="auto"/>
        <w:rPr>
          <w:rFonts w:ascii="Calibri" w:hAnsi="Calibri"/>
        </w:rPr>
      </w:pPr>
    </w:p>
    <w:p w14:paraId="477A80B5" w14:textId="0AE53EE4" w:rsidR="00E8586F" w:rsidRPr="00A437CC" w:rsidRDefault="00E8586F" w:rsidP="00A437CC">
      <w:pPr>
        <w:pStyle w:val="Heading21"/>
        <w:numPr>
          <w:ilvl w:val="0"/>
          <w:numId w:val="7"/>
        </w:numPr>
        <w:spacing w:line="480" w:lineRule="auto"/>
      </w:pPr>
      <w:bookmarkStart w:id="1" w:name="_TOC255772"/>
      <w:bookmarkStart w:id="2" w:name="_TOC272545"/>
      <w:bookmarkEnd w:id="1"/>
      <w:bookmarkEnd w:id="2"/>
      <w:r w:rsidRPr="00A437CC">
        <w:rPr>
          <w:rFonts w:ascii="Calibri Bold" w:hAnsi="Calibri Bold"/>
        </w:rPr>
        <w:lastRenderedPageBreak/>
        <w:t xml:space="preserve">Discussion:  </w:t>
      </w:r>
      <w:r w:rsidR="00AA47A2">
        <w:rPr>
          <w:rFonts w:ascii="Calibri Bold" w:hAnsi="Calibri Bold"/>
        </w:rPr>
        <w:t>Achieving respectability by talking without n</w:t>
      </w:r>
      <w:r w:rsidRPr="00A437CC">
        <w:rPr>
          <w:rFonts w:ascii="Calibri Bold" w:hAnsi="Calibri Bold"/>
        </w:rPr>
        <w:t>aming</w:t>
      </w:r>
    </w:p>
    <w:p w14:paraId="50C38170" w14:textId="17B0D946" w:rsidR="00544FAF" w:rsidRDefault="00AA47A2" w:rsidP="00EF15EA">
      <w:pPr>
        <w:spacing w:line="480" w:lineRule="auto"/>
        <w:rPr>
          <w:rFonts w:ascii="Calibri" w:hAnsi="Calibri"/>
        </w:rPr>
      </w:pPr>
      <w:r>
        <w:rPr>
          <w:rFonts w:ascii="Calibri" w:hAnsi="Calibri"/>
        </w:rPr>
        <w:t>A pragmatic competency of social interaction is the contingent</w:t>
      </w:r>
      <w:r w:rsidR="00E8586F">
        <w:rPr>
          <w:rFonts w:ascii="Calibri" w:hAnsi="Calibri"/>
        </w:rPr>
        <w:t xml:space="preserve"> partition</w:t>
      </w:r>
      <w:r>
        <w:rPr>
          <w:rFonts w:ascii="Calibri" w:hAnsi="Calibri"/>
        </w:rPr>
        <w:t>ing of topics</w:t>
      </w:r>
      <w:r w:rsidR="005759CD">
        <w:rPr>
          <w:rFonts w:ascii="Calibri" w:hAnsi="Calibri"/>
        </w:rPr>
        <w:t xml:space="preserve"> </w:t>
      </w:r>
      <w:r w:rsidR="00E8586F">
        <w:rPr>
          <w:rFonts w:ascii="Calibri" w:hAnsi="Calibri"/>
        </w:rPr>
        <w:t xml:space="preserve">into ones that are ‘safe’ and ones that are ‘unspeakable’.  </w:t>
      </w:r>
      <w:r>
        <w:rPr>
          <w:rFonts w:ascii="Calibri" w:hAnsi="Calibri"/>
        </w:rPr>
        <w:t xml:space="preserve">As </w:t>
      </w:r>
      <w:r w:rsidR="005759CD">
        <w:rPr>
          <w:rFonts w:ascii="Calibri" w:hAnsi="Calibri"/>
        </w:rPr>
        <w:t>we have s</w:t>
      </w:r>
      <w:r>
        <w:rPr>
          <w:rFonts w:ascii="Calibri" w:hAnsi="Calibri"/>
        </w:rPr>
        <w:t xml:space="preserve">een, for Mary and Katie, one unspeakable is </w:t>
      </w:r>
      <w:r w:rsidR="005759CD">
        <w:rPr>
          <w:rFonts w:ascii="Calibri" w:hAnsi="Calibri"/>
        </w:rPr>
        <w:t>the</w:t>
      </w:r>
      <w:r w:rsidR="00E8586F">
        <w:rPr>
          <w:rFonts w:ascii="Calibri" w:hAnsi="Calibri"/>
        </w:rPr>
        <w:t xml:space="preserve"> </w:t>
      </w:r>
      <w:r>
        <w:rPr>
          <w:rFonts w:ascii="Calibri" w:hAnsi="Calibri"/>
        </w:rPr>
        <w:t xml:space="preserve">embodied detail of sexual conduct. </w:t>
      </w:r>
      <w:r w:rsidR="00E8586F">
        <w:rPr>
          <w:rFonts w:ascii="Calibri" w:hAnsi="Calibri"/>
        </w:rPr>
        <w:t xml:space="preserve">Yet, ‘unspeakable’ is too strong, because these things </w:t>
      </w:r>
      <w:r w:rsidR="00E8586F">
        <w:rPr>
          <w:rFonts w:ascii="Calibri Italic" w:hAnsi="Calibri Italic"/>
        </w:rPr>
        <w:t>do</w:t>
      </w:r>
      <w:r w:rsidR="00E8586F">
        <w:rPr>
          <w:rFonts w:ascii="Calibri" w:hAnsi="Calibri"/>
        </w:rPr>
        <w:t xml:space="preserve"> get spoken about, but </w:t>
      </w:r>
      <w:r w:rsidR="005759CD">
        <w:rPr>
          <w:rFonts w:ascii="Calibri" w:hAnsi="Calibri"/>
        </w:rPr>
        <w:t>in ways that</w:t>
      </w:r>
      <w:r w:rsidR="00E8586F">
        <w:rPr>
          <w:rFonts w:ascii="Calibri" w:hAnsi="Calibri"/>
        </w:rPr>
        <w:t xml:space="preserve"> display their special, taboo status (Jefferson </w:t>
      </w:r>
      <w:r w:rsidR="00E8586F" w:rsidRPr="00A31B60">
        <w:rPr>
          <w:rFonts w:ascii="Calibri" w:hAnsi="Calibri"/>
          <w:i/>
        </w:rPr>
        <w:t>et al.,</w:t>
      </w:r>
      <w:r w:rsidR="00E8586F">
        <w:rPr>
          <w:rFonts w:ascii="Calibri" w:hAnsi="Calibri"/>
        </w:rPr>
        <w:t xml:space="preserve"> 1987; Norrick, 2005).  One </w:t>
      </w:r>
      <w:r>
        <w:rPr>
          <w:rFonts w:ascii="Calibri" w:hAnsi="Calibri"/>
        </w:rPr>
        <w:t>resource for producing a thing</w:t>
      </w:r>
      <w:r w:rsidR="00E8586F">
        <w:rPr>
          <w:rFonts w:ascii="Calibri" w:hAnsi="Calibri"/>
        </w:rPr>
        <w:t xml:space="preserve"> </w:t>
      </w:r>
      <w:r w:rsidR="005759CD">
        <w:rPr>
          <w:rFonts w:ascii="Calibri" w:hAnsi="Calibri"/>
        </w:rPr>
        <w:t xml:space="preserve">as unspeakable whilst </w:t>
      </w:r>
      <w:r>
        <w:rPr>
          <w:rFonts w:ascii="Calibri" w:hAnsi="Calibri"/>
        </w:rPr>
        <w:t>actually speaking about it</w:t>
      </w:r>
      <w:r w:rsidR="00E8586F">
        <w:rPr>
          <w:rFonts w:ascii="Calibri" w:hAnsi="Calibri"/>
        </w:rPr>
        <w:t xml:space="preserve"> is to withhold naming it overtly. </w:t>
      </w:r>
      <w:r w:rsidR="00544FAF">
        <w:rPr>
          <w:rFonts w:ascii="Calibri" w:hAnsi="Calibri"/>
        </w:rPr>
        <w:t xml:space="preserve">We see for example, that </w:t>
      </w:r>
      <w:r w:rsidR="00E8586F">
        <w:rPr>
          <w:rFonts w:ascii="Calibri" w:hAnsi="Calibri"/>
        </w:rPr>
        <w:t xml:space="preserve">Mary </w:t>
      </w:r>
      <w:r w:rsidR="00544FAF">
        <w:rPr>
          <w:rFonts w:ascii="Calibri" w:hAnsi="Calibri"/>
        </w:rPr>
        <w:t>refers obliquely</w:t>
      </w:r>
      <w:r w:rsidR="00E8586F">
        <w:rPr>
          <w:rFonts w:ascii="Calibri" w:hAnsi="Calibri"/>
        </w:rPr>
        <w:t xml:space="preserve"> to her own genitals when she talks of her period being </w:t>
      </w:r>
      <w:r w:rsidR="00544FAF">
        <w:rPr>
          <w:rFonts w:ascii="Calibri" w:hAnsi="Calibri"/>
        </w:rPr>
        <w:t>‘</w:t>
      </w:r>
      <w:r w:rsidR="00E8586F">
        <w:rPr>
          <w:rFonts w:ascii="Calibri" w:hAnsi="Calibri"/>
        </w:rPr>
        <w:t>a barrier</w:t>
      </w:r>
      <w:r w:rsidR="00544FAF">
        <w:rPr>
          <w:rFonts w:ascii="Calibri" w:hAnsi="Calibri"/>
        </w:rPr>
        <w:t>’</w:t>
      </w:r>
      <w:r w:rsidR="00E8586F">
        <w:rPr>
          <w:rFonts w:ascii="Calibri" w:hAnsi="Calibri"/>
        </w:rPr>
        <w:t>; a barrier to what not being overtly expressed.</w:t>
      </w:r>
      <w:r w:rsidR="00544FAF">
        <w:rPr>
          <w:rFonts w:ascii="Calibri" w:hAnsi="Calibri"/>
        </w:rPr>
        <w:t xml:space="preserve">  </w:t>
      </w:r>
      <w:r w:rsidR="0019104D">
        <w:rPr>
          <w:rFonts w:ascii="Calibri" w:hAnsi="Calibri"/>
        </w:rPr>
        <w:t>Importantly, w</w:t>
      </w:r>
      <w:r w:rsidR="00E8586F">
        <w:rPr>
          <w:rFonts w:ascii="Calibri" w:hAnsi="Calibri"/>
        </w:rPr>
        <w:t>e can</w:t>
      </w:r>
      <w:r w:rsidR="00F817A1">
        <w:rPr>
          <w:rFonts w:ascii="Calibri" w:hAnsi="Calibri"/>
        </w:rPr>
        <w:t xml:space="preserve"> also</w:t>
      </w:r>
      <w:r w:rsidR="00E8586F">
        <w:rPr>
          <w:rFonts w:ascii="Calibri" w:hAnsi="Calibri"/>
        </w:rPr>
        <w:t xml:space="preserve"> notice that, although the </w:t>
      </w:r>
      <w:r w:rsidR="00471E58">
        <w:rPr>
          <w:rFonts w:ascii="Calibri" w:hAnsi="Calibri"/>
        </w:rPr>
        <w:t>upshot of</w:t>
      </w:r>
      <w:r w:rsidR="00E8586F">
        <w:rPr>
          <w:rFonts w:ascii="Calibri" w:hAnsi="Calibri"/>
        </w:rPr>
        <w:t xml:space="preserve"> Mary’s story</w:t>
      </w:r>
      <w:r w:rsidR="00471E58">
        <w:rPr>
          <w:rFonts w:ascii="Calibri" w:hAnsi="Calibri"/>
        </w:rPr>
        <w:t xml:space="preserve"> is reported sexual activity</w:t>
      </w:r>
      <w:r w:rsidR="00E8586F">
        <w:rPr>
          <w:rFonts w:ascii="Calibri" w:hAnsi="Calibri"/>
        </w:rPr>
        <w:t>, it</w:t>
      </w:r>
      <w:r w:rsidR="00F817A1">
        <w:rPr>
          <w:rFonts w:ascii="Calibri" w:hAnsi="Calibri"/>
        </w:rPr>
        <w:t xml:space="preserve"> too</w:t>
      </w:r>
      <w:r w:rsidR="00E8586F">
        <w:rPr>
          <w:rFonts w:ascii="Calibri" w:hAnsi="Calibri"/>
        </w:rPr>
        <w:t xml:space="preserve"> is never overtly named.  Rather, the sexual activity is alluded to through phrases such as ‘I was a little naughty’ and ‘I did stuff to him’.  Whilst, arguably, there is a hint of sexuality in the selection of ‘naughty’ and the description of </w:t>
      </w:r>
      <w:r w:rsidR="00E8586F" w:rsidRPr="00544FAF">
        <w:rPr>
          <w:rFonts w:ascii="Calibri" w:hAnsi="Calibri"/>
          <w:i/>
        </w:rPr>
        <w:t>doing</w:t>
      </w:r>
      <w:r w:rsidR="00E8586F">
        <w:rPr>
          <w:rFonts w:ascii="Calibri" w:hAnsi="Calibri"/>
        </w:rPr>
        <w:t xml:space="preserve"> stuff </w:t>
      </w:r>
      <w:r w:rsidR="00E8586F">
        <w:rPr>
          <w:rFonts w:ascii="Calibri Italic" w:hAnsi="Calibri Italic"/>
        </w:rPr>
        <w:t>to</w:t>
      </w:r>
      <w:r w:rsidR="00E8586F">
        <w:rPr>
          <w:rFonts w:ascii="Calibri" w:hAnsi="Calibri"/>
        </w:rPr>
        <w:t xml:space="preserve"> a hearably male partner, out of context, these phrases might refer to almost any activity.  </w:t>
      </w:r>
    </w:p>
    <w:p w14:paraId="5C0F944C" w14:textId="77777777" w:rsidR="00544FAF" w:rsidRDefault="00544FAF" w:rsidP="00EF15EA">
      <w:pPr>
        <w:spacing w:line="480" w:lineRule="auto"/>
        <w:rPr>
          <w:rFonts w:ascii="Calibri" w:hAnsi="Calibri"/>
        </w:rPr>
      </w:pPr>
    </w:p>
    <w:p w14:paraId="3F4CBB6D" w14:textId="7EE19E4A" w:rsidR="00E8586F" w:rsidRDefault="00E8586F" w:rsidP="00EF15EA">
      <w:pPr>
        <w:spacing w:line="480" w:lineRule="auto"/>
        <w:rPr>
          <w:rFonts w:ascii="Calibri" w:hAnsi="Calibri"/>
        </w:rPr>
      </w:pPr>
      <w:r>
        <w:rPr>
          <w:rFonts w:ascii="Calibri" w:hAnsi="Calibri"/>
        </w:rPr>
        <w:t xml:space="preserve">This allusive treatment of sexual conduct contrasts with the description of John and Mary’s first kiss.  The kiss is referred to overtly, albeit in slightly hushed tones.  It appears that, between these speakers, the act of kissing is at least </w:t>
      </w:r>
      <w:r w:rsidR="00544FAF">
        <w:rPr>
          <w:rFonts w:ascii="Calibri" w:hAnsi="Calibri"/>
        </w:rPr>
        <w:t xml:space="preserve">openly </w:t>
      </w:r>
      <w:r>
        <w:rPr>
          <w:rFonts w:ascii="Calibri" w:hAnsi="Calibri"/>
        </w:rPr>
        <w:t>mentionable, if not entirely without delicacy.  Once mentioned, there is a fairly full and unabashed</w:t>
      </w:r>
      <w:r w:rsidR="00D349B9">
        <w:rPr>
          <w:rFonts w:ascii="Calibri" w:hAnsi="Calibri"/>
        </w:rPr>
        <w:t xml:space="preserve"> pursuit and</w:t>
      </w:r>
      <w:r>
        <w:rPr>
          <w:rFonts w:ascii="Calibri" w:hAnsi="Calibri"/>
        </w:rPr>
        <w:t xml:space="preserve"> description of how the kiss felt for Mary.</w:t>
      </w:r>
      <w:r w:rsidR="00544FAF">
        <w:rPr>
          <w:rFonts w:ascii="Calibri" w:hAnsi="Calibri"/>
        </w:rPr>
        <w:t xml:space="preserve">  </w:t>
      </w:r>
      <w:r>
        <w:rPr>
          <w:rFonts w:ascii="Calibri" w:hAnsi="Calibri"/>
        </w:rPr>
        <w:t xml:space="preserve">The recipient’s responses to news about the kiss and sexual activity are also contrastive.  Katie treats the kiss as something to be celebrated, interrogated and assessed.  We can see this in the high-pitched ‘aw’s, the direct question of whether it was good, and </w:t>
      </w:r>
      <w:r>
        <w:rPr>
          <w:rFonts w:ascii="Calibri" w:hAnsi="Calibri"/>
        </w:rPr>
        <w:lastRenderedPageBreak/>
        <w:t xml:space="preserve">the positive assessment of the whole thing as ‘cute’.  In contrast, in immediate response to news that Mary had sexual contact with John, Katie produces the repeated tongue-clicks (plus address term).  Although there is a sense of playfulness, there is not an equivalent sense of celebration, and no questioning of how it had felt.  If we can treat the tongue-clicks as an assessment of some kind, then, although (arguably) playful, it lacks the positivity of ‘cute’. </w:t>
      </w:r>
    </w:p>
    <w:p w14:paraId="7DBF1AD6" w14:textId="77777777" w:rsidR="00E8586F" w:rsidRDefault="00E8586F" w:rsidP="00EF15EA">
      <w:pPr>
        <w:spacing w:line="480" w:lineRule="auto"/>
        <w:rPr>
          <w:rFonts w:ascii="Calibri" w:hAnsi="Calibri"/>
        </w:rPr>
      </w:pPr>
    </w:p>
    <w:p w14:paraId="27758692" w14:textId="77777777" w:rsidR="00E8586F" w:rsidRDefault="00E8586F" w:rsidP="00EF15EA">
      <w:pPr>
        <w:spacing w:line="480" w:lineRule="auto"/>
        <w:rPr>
          <w:rFonts w:ascii="Calibri" w:hAnsi="Calibri"/>
        </w:rPr>
      </w:pPr>
      <w:r>
        <w:rPr>
          <w:rFonts w:ascii="Calibri" w:hAnsi="Calibri"/>
        </w:rPr>
        <w:t xml:space="preserve">So, kissing and sex are co-constructed in this extract in different ways.  For these speakers, kissing is a mentionable, pursuable topic, but sex is not.  The two activities in are positioned in different categories: the former is ‘allowable’ (even celebratory), the latter is ‘taboo’ (and occasions playful disapproval, fitted with a sense of naughtiness in the local story-preface). </w:t>
      </w:r>
    </w:p>
    <w:p w14:paraId="62B84835" w14:textId="77777777" w:rsidR="00E8586F" w:rsidRDefault="00E8586F" w:rsidP="00EF15EA">
      <w:pPr>
        <w:spacing w:line="480" w:lineRule="auto"/>
        <w:rPr>
          <w:rFonts w:ascii="Calibri" w:hAnsi="Calibri"/>
        </w:rPr>
      </w:pPr>
    </w:p>
    <w:p w14:paraId="54A1D4B4" w14:textId="15D27136" w:rsidR="00F817A1" w:rsidRDefault="00E8586F" w:rsidP="00F817A1">
      <w:pPr>
        <w:spacing w:line="480" w:lineRule="auto"/>
        <w:rPr>
          <w:rFonts w:ascii="Calibri" w:hAnsi="Calibri"/>
        </w:rPr>
      </w:pPr>
      <w:r>
        <w:rPr>
          <w:rFonts w:ascii="Calibri" w:hAnsi="Calibri"/>
        </w:rPr>
        <w:t xml:space="preserve">These contrastive constructions </w:t>
      </w:r>
      <w:r w:rsidR="008215CF">
        <w:rPr>
          <w:rFonts w:ascii="Calibri" w:hAnsi="Calibri"/>
        </w:rPr>
        <w:t>connect to the</w:t>
      </w:r>
      <w:r>
        <w:rPr>
          <w:rFonts w:ascii="Calibri" w:hAnsi="Calibri"/>
        </w:rPr>
        <w:t xml:space="preserve"> stage-of-life of these speakers</w:t>
      </w:r>
      <w:r w:rsidR="008215CF">
        <w:rPr>
          <w:rFonts w:ascii="Calibri" w:hAnsi="Calibri"/>
        </w:rPr>
        <w:t xml:space="preserve"> </w:t>
      </w:r>
      <w:r>
        <w:rPr>
          <w:rFonts w:ascii="Calibri" w:hAnsi="Calibri"/>
        </w:rPr>
        <w:t xml:space="preserve">(as well as the different sequential environments in which talk about them occurs).  As two-fifteen year old girls, </w:t>
      </w:r>
      <w:r w:rsidR="00471E58">
        <w:rPr>
          <w:rFonts w:ascii="Calibri" w:hAnsi="Calibri"/>
        </w:rPr>
        <w:t xml:space="preserve">it is likely (though </w:t>
      </w:r>
      <w:r>
        <w:rPr>
          <w:rFonts w:ascii="Calibri" w:hAnsi="Calibri"/>
        </w:rPr>
        <w:t>presumptuous) that their re</w:t>
      </w:r>
      <w:r w:rsidR="00471E58">
        <w:rPr>
          <w:rFonts w:ascii="Calibri" w:hAnsi="Calibri"/>
        </w:rPr>
        <w:t>spective sexual lives (</w:t>
      </w:r>
      <w:r>
        <w:rPr>
          <w:rFonts w:ascii="Calibri" w:hAnsi="Calibri"/>
        </w:rPr>
        <w:t xml:space="preserve">with partners) are only just beginning. </w:t>
      </w:r>
      <w:r w:rsidR="008215CF">
        <w:rPr>
          <w:rFonts w:ascii="Calibri" w:hAnsi="Calibri"/>
        </w:rPr>
        <w:t xml:space="preserve"> </w:t>
      </w:r>
      <w:bookmarkStart w:id="3" w:name="_TOC278848"/>
      <w:bookmarkStart w:id="4" w:name="_TOC300450"/>
      <w:bookmarkEnd w:id="3"/>
      <w:bookmarkEnd w:id="4"/>
      <w:r w:rsidR="00D41952">
        <w:rPr>
          <w:rFonts w:ascii="Calibri" w:hAnsi="Calibri"/>
        </w:rPr>
        <w:t>As teenage girls, the</w:t>
      </w:r>
      <w:r w:rsidR="008215CF">
        <w:rPr>
          <w:rFonts w:ascii="Calibri" w:hAnsi="Calibri"/>
        </w:rPr>
        <w:t>y</w:t>
      </w:r>
      <w:r w:rsidR="00D41952">
        <w:rPr>
          <w:rFonts w:ascii="Calibri" w:hAnsi="Calibri"/>
        </w:rPr>
        <w:t xml:space="preserve"> variously and complexly</w:t>
      </w:r>
      <w:r w:rsidR="00C64137">
        <w:rPr>
          <w:rFonts w:ascii="Calibri" w:hAnsi="Calibri"/>
        </w:rPr>
        <w:t xml:space="preserve"> inhabit </w:t>
      </w:r>
      <w:r w:rsidR="00434660">
        <w:rPr>
          <w:rFonts w:ascii="Calibri" w:hAnsi="Calibri"/>
        </w:rPr>
        <w:t xml:space="preserve">disputed </w:t>
      </w:r>
      <w:r w:rsidR="00C64137">
        <w:rPr>
          <w:rFonts w:ascii="Calibri" w:hAnsi="Calibri"/>
        </w:rPr>
        <w:t>social space</w:t>
      </w:r>
      <w:r w:rsidR="00442CEA">
        <w:rPr>
          <w:rFonts w:ascii="Calibri" w:hAnsi="Calibri"/>
        </w:rPr>
        <w:t>s</w:t>
      </w:r>
      <w:r w:rsidR="00C64137">
        <w:rPr>
          <w:rFonts w:ascii="Calibri" w:hAnsi="Calibri"/>
        </w:rPr>
        <w:t xml:space="preserve"> vis-à-vis their sexuality.</w:t>
      </w:r>
      <w:r w:rsidR="00442CEA">
        <w:rPr>
          <w:rFonts w:ascii="Calibri" w:hAnsi="Calibri"/>
        </w:rPr>
        <w:t xml:space="preserve"> </w:t>
      </w:r>
      <w:r w:rsidR="00544391">
        <w:rPr>
          <w:rFonts w:ascii="Calibri" w:hAnsi="Calibri"/>
        </w:rPr>
        <w:t>T</w:t>
      </w:r>
      <w:r w:rsidR="00F52610">
        <w:rPr>
          <w:rFonts w:ascii="Calibri" w:hAnsi="Calibri"/>
        </w:rPr>
        <w:t>h</w:t>
      </w:r>
      <w:r w:rsidR="00471E58">
        <w:rPr>
          <w:rFonts w:ascii="Calibri" w:hAnsi="Calibri"/>
        </w:rPr>
        <w:t>rough their</w:t>
      </w:r>
      <w:r w:rsidR="00F52610">
        <w:rPr>
          <w:rFonts w:ascii="Calibri" w:hAnsi="Calibri"/>
        </w:rPr>
        <w:t xml:space="preserve"> </w:t>
      </w:r>
      <w:r w:rsidR="00544391">
        <w:rPr>
          <w:rFonts w:ascii="Calibri" w:hAnsi="Calibri"/>
        </w:rPr>
        <w:t xml:space="preserve">locally </w:t>
      </w:r>
      <w:r w:rsidR="00F52610">
        <w:rPr>
          <w:rFonts w:ascii="Calibri" w:hAnsi="Calibri"/>
        </w:rPr>
        <w:t>co-produced identities as friends</w:t>
      </w:r>
      <w:r w:rsidR="008215CF">
        <w:rPr>
          <w:rFonts w:ascii="Calibri" w:hAnsi="Calibri"/>
        </w:rPr>
        <w:t>,</w:t>
      </w:r>
      <w:r w:rsidR="00F52610">
        <w:rPr>
          <w:rFonts w:ascii="Calibri" w:hAnsi="Calibri"/>
        </w:rPr>
        <w:t xml:space="preserve"> who are</w:t>
      </w:r>
      <w:r w:rsidR="00255866">
        <w:rPr>
          <w:rFonts w:ascii="Calibri" w:hAnsi="Calibri"/>
        </w:rPr>
        <w:t xml:space="preserve"> beginning to negotiate and manage</w:t>
      </w:r>
      <w:r w:rsidR="00F52610">
        <w:rPr>
          <w:rFonts w:ascii="Calibri" w:hAnsi="Calibri"/>
        </w:rPr>
        <w:t xml:space="preserve"> heterosexual relations, they</w:t>
      </w:r>
      <w:r w:rsidR="00255866">
        <w:rPr>
          <w:rFonts w:ascii="Calibri" w:hAnsi="Calibri"/>
        </w:rPr>
        <w:t xml:space="preserve"> organise their talk about sex in ways that attend to their</w:t>
      </w:r>
      <w:r w:rsidR="00434660">
        <w:rPr>
          <w:rFonts w:ascii="Calibri" w:hAnsi="Calibri"/>
        </w:rPr>
        <w:t xml:space="preserve"> </w:t>
      </w:r>
      <w:r w:rsidR="008215CF">
        <w:rPr>
          <w:rFonts w:ascii="Calibri" w:hAnsi="Calibri"/>
        </w:rPr>
        <w:t>(contested)</w:t>
      </w:r>
      <w:r w:rsidR="00255866">
        <w:rPr>
          <w:rFonts w:ascii="Calibri" w:hAnsi="Calibri"/>
        </w:rPr>
        <w:t xml:space="preserve"> moral </w:t>
      </w:r>
      <w:r w:rsidR="00434660">
        <w:rPr>
          <w:rFonts w:ascii="Calibri" w:hAnsi="Calibri"/>
        </w:rPr>
        <w:t>accountability.</w:t>
      </w:r>
      <w:r w:rsidR="004B5CF2">
        <w:rPr>
          <w:rFonts w:ascii="Calibri" w:hAnsi="Calibri"/>
        </w:rPr>
        <w:t xml:space="preserve"> </w:t>
      </w:r>
      <w:r w:rsidR="002312F7">
        <w:rPr>
          <w:rFonts w:ascii="Calibri" w:hAnsi="Calibri"/>
        </w:rPr>
        <w:t xml:space="preserve">The cautiously </w:t>
      </w:r>
      <w:r w:rsidR="004B5CF2">
        <w:rPr>
          <w:rFonts w:ascii="Calibri" w:hAnsi="Calibri"/>
        </w:rPr>
        <w:t>built telling</w:t>
      </w:r>
      <w:r w:rsidR="002312F7">
        <w:rPr>
          <w:rFonts w:ascii="Calibri" w:hAnsi="Calibri"/>
        </w:rPr>
        <w:t xml:space="preserve"> and the particular ordering of events from initial resistance and reasoned </w:t>
      </w:r>
      <w:r w:rsidR="00267956">
        <w:rPr>
          <w:rFonts w:ascii="Calibri" w:hAnsi="Calibri"/>
        </w:rPr>
        <w:t>acceptance of the relationship</w:t>
      </w:r>
      <w:r w:rsidR="002312F7">
        <w:rPr>
          <w:rFonts w:ascii="Calibri" w:hAnsi="Calibri"/>
        </w:rPr>
        <w:t>, through first kiss to (limited) sexual contact reproduce cultural understandings of young women as properly con</w:t>
      </w:r>
      <w:r w:rsidR="00B64462">
        <w:rPr>
          <w:rFonts w:ascii="Calibri" w:hAnsi="Calibri"/>
        </w:rPr>
        <w:t xml:space="preserve">cerned with their reputations. </w:t>
      </w:r>
      <w:r w:rsidR="009D45E2">
        <w:rPr>
          <w:rFonts w:ascii="Calibri" w:hAnsi="Calibri"/>
        </w:rPr>
        <w:t xml:space="preserve"> </w:t>
      </w:r>
      <w:r w:rsidR="00267956">
        <w:rPr>
          <w:rFonts w:ascii="Calibri" w:hAnsi="Calibri"/>
        </w:rPr>
        <w:lastRenderedPageBreak/>
        <w:t xml:space="preserve">However, </w:t>
      </w:r>
      <w:r w:rsidR="00B64462">
        <w:rPr>
          <w:rFonts w:ascii="Calibri" w:hAnsi="Calibri"/>
        </w:rPr>
        <w:t xml:space="preserve">a </w:t>
      </w:r>
      <w:r w:rsidR="00267956">
        <w:rPr>
          <w:rFonts w:ascii="Calibri" w:hAnsi="Calibri"/>
        </w:rPr>
        <w:t xml:space="preserve">normative </w:t>
      </w:r>
      <w:r w:rsidR="00B64462">
        <w:rPr>
          <w:rFonts w:ascii="Calibri" w:hAnsi="Calibri"/>
        </w:rPr>
        <w:t xml:space="preserve">concern with moral respectability and the </w:t>
      </w:r>
      <w:r w:rsidR="00F817A1">
        <w:rPr>
          <w:rFonts w:ascii="Calibri" w:hAnsi="Calibri"/>
        </w:rPr>
        <w:t xml:space="preserve">special </w:t>
      </w:r>
      <w:r w:rsidR="00B64462">
        <w:rPr>
          <w:rFonts w:ascii="Calibri" w:hAnsi="Calibri"/>
        </w:rPr>
        <w:t xml:space="preserve">or unspeakable </w:t>
      </w:r>
      <w:r w:rsidR="00F817A1">
        <w:rPr>
          <w:rFonts w:ascii="Calibri" w:hAnsi="Calibri"/>
        </w:rPr>
        <w:t xml:space="preserve">status </w:t>
      </w:r>
      <w:r w:rsidR="00B64462">
        <w:rPr>
          <w:rFonts w:ascii="Calibri" w:hAnsi="Calibri"/>
        </w:rPr>
        <w:t>of a topic do</w:t>
      </w:r>
      <w:r w:rsidR="00F817A1">
        <w:rPr>
          <w:rFonts w:ascii="Calibri" w:hAnsi="Calibri"/>
        </w:rPr>
        <w:t xml:space="preserve"> not necessarily precede the interactional environment in which </w:t>
      </w:r>
      <w:r w:rsidR="00B64462">
        <w:rPr>
          <w:rFonts w:ascii="Calibri" w:hAnsi="Calibri"/>
        </w:rPr>
        <w:t>they emerge</w:t>
      </w:r>
      <w:r w:rsidR="00F817A1">
        <w:rPr>
          <w:rFonts w:ascii="Calibri" w:hAnsi="Calibri"/>
        </w:rPr>
        <w:t>.  It is more that the</w:t>
      </w:r>
      <w:r w:rsidR="00B64462">
        <w:rPr>
          <w:rFonts w:ascii="Calibri" w:hAnsi="Calibri"/>
        </w:rPr>
        <w:t xml:space="preserve">se emerge in and are </w:t>
      </w:r>
      <w:r w:rsidR="00F817A1">
        <w:rPr>
          <w:rFonts w:ascii="Calibri Italic" w:hAnsi="Calibri Italic"/>
        </w:rPr>
        <w:t>locally</w:t>
      </w:r>
      <w:r w:rsidR="00F817A1">
        <w:rPr>
          <w:rFonts w:ascii="Calibri" w:hAnsi="Calibri"/>
        </w:rPr>
        <w:t xml:space="preserve"> constructed </w:t>
      </w:r>
      <w:r w:rsidR="00B64462">
        <w:rPr>
          <w:rFonts w:ascii="Calibri" w:hAnsi="Calibri"/>
        </w:rPr>
        <w:t xml:space="preserve">in the </w:t>
      </w:r>
      <w:r w:rsidR="00F817A1">
        <w:rPr>
          <w:rFonts w:ascii="Calibri" w:hAnsi="Calibri"/>
        </w:rPr>
        <w:t>progressive moment-by-moment unfolding of interaction</w:t>
      </w:r>
      <w:r w:rsidR="00B64462">
        <w:rPr>
          <w:rFonts w:ascii="Calibri" w:hAnsi="Calibri"/>
        </w:rPr>
        <w:t xml:space="preserve"> between participants.  I</w:t>
      </w:r>
      <w:r w:rsidR="00F817A1">
        <w:rPr>
          <w:rFonts w:ascii="Calibri" w:hAnsi="Calibri"/>
        </w:rPr>
        <w:t xml:space="preserve">t is not that something </w:t>
      </w:r>
      <w:r w:rsidR="00F817A1" w:rsidRPr="005759CD">
        <w:rPr>
          <w:rFonts w:ascii="Calibri Italic" w:hAnsi="Calibri Italic"/>
          <w:i/>
        </w:rPr>
        <w:t>is</w:t>
      </w:r>
      <w:r w:rsidR="00F817A1">
        <w:rPr>
          <w:rFonts w:ascii="Calibri Italic" w:hAnsi="Calibri Italic"/>
        </w:rPr>
        <w:t xml:space="preserve"> </w:t>
      </w:r>
      <w:r w:rsidR="00F817A1">
        <w:rPr>
          <w:rFonts w:ascii="Calibri" w:hAnsi="Calibri"/>
        </w:rPr>
        <w:t xml:space="preserve">unspeakable, but rather that it is </w:t>
      </w:r>
      <w:r w:rsidR="00F817A1" w:rsidRPr="005759CD">
        <w:rPr>
          <w:rFonts w:ascii="Calibri Italic" w:hAnsi="Calibri Italic"/>
          <w:i/>
        </w:rPr>
        <w:t>produced</w:t>
      </w:r>
      <w:r w:rsidR="00F817A1" w:rsidRPr="005759CD">
        <w:rPr>
          <w:rFonts w:ascii="Calibri" w:hAnsi="Calibri"/>
          <w:i/>
        </w:rPr>
        <w:t xml:space="preserve"> </w:t>
      </w:r>
      <w:r w:rsidR="00F817A1" w:rsidRPr="005759CD">
        <w:rPr>
          <w:rFonts w:ascii="Calibri Italic" w:hAnsi="Calibri Italic"/>
          <w:i/>
        </w:rPr>
        <w:t>as</w:t>
      </w:r>
      <w:r w:rsidR="00F817A1">
        <w:rPr>
          <w:rFonts w:ascii="Calibri" w:hAnsi="Calibri"/>
        </w:rPr>
        <w:t xml:space="preserve"> unspeakable.  </w:t>
      </w:r>
      <w:r w:rsidR="00B64462">
        <w:rPr>
          <w:rFonts w:ascii="Calibri" w:hAnsi="Calibri"/>
        </w:rPr>
        <w:t xml:space="preserve">Perhaps ironically, </w:t>
      </w:r>
      <w:r w:rsidR="00F817A1">
        <w:rPr>
          <w:rFonts w:ascii="Calibri" w:hAnsi="Calibri"/>
        </w:rPr>
        <w:t>the unmentionable is</w:t>
      </w:r>
      <w:r w:rsidR="00B64462">
        <w:rPr>
          <w:rFonts w:ascii="Calibri" w:hAnsi="Calibri"/>
        </w:rPr>
        <w:t xml:space="preserve"> an accomplishment and is</w:t>
      </w:r>
      <w:r w:rsidR="00F817A1">
        <w:rPr>
          <w:rFonts w:ascii="Calibri" w:hAnsi="Calibri"/>
        </w:rPr>
        <w:t xml:space="preserve"> achieved in how it is (not) spoken of.</w:t>
      </w:r>
      <w:r w:rsidR="00F817A1">
        <w:rPr>
          <w:rFonts w:ascii="Calibri" w:hAnsi="Calibri"/>
          <w:vertAlign w:val="superscript"/>
        </w:rPr>
        <w:footnoteReference w:id="13"/>
      </w:r>
      <w:r w:rsidR="00F817A1">
        <w:rPr>
          <w:rFonts w:ascii="Calibri" w:hAnsi="Calibri"/>
        </w:rPr>
        <w:t xml:space="preserve">  </w:t>
      </w:r>
      <w:r w:rsidR="00B64462">
        <w:rPr>
          <w:rFonts w:ascii="Calibri" w:hAnsi="Calibri"/>
        </w:rPr>
        <w:t xml:space="preserve"> </w:t>
      </w:r>
    </w:p>
    <w:p w14:paraId="52FFAA34" w14:textId="77777777" w:rsidR="00E8586F" w:rsidRDefault="00E8586F" w:rsidP="00EF15EA">
      <w:pPr>
        <w:pStyle w:val="Heading21"/>
        <w:spacing w:line="480" w:lineRule="auto"/>
        <w:rPr>
          <w:rFonts w:ascii="Calibri Bold" w:hAnsi="Calibri Bold"/>
          <w:b w:val="0"/>
        </w:rPr>
      </w:pPr>
    </w:p>
    <w:p w14:paraId="35317797" w14:textId="30BB0805" w:rsidR="00E8586F" w:rsidRDefault="00E8586F" w:rsidP="00EF15EA">
      <w:pPr>
        <w:pStyle w:val="Body"/>
        <w:spacing w:line="480" w:lineRule="auto"/>
        <w:rPr>
          <w:rFonts w:ascii="Calibri" w:hAnsi="Calibri"/>
        </w:rPr>
      </w:pPr>
      <w:r>
        <w:rPr>
          <w:rFonts w:ascii="Calibri" w:hAnsi="Calibri"/>
        </w:rPr>
        <w:t xml:space="preserve">This paper has shown the application of conversation analysis to a single extract, in which gender and sexuality are interactionally relevant. The paper contributes to the literature on gender and language by focussing on talk about sex that occurs in a naturalistic context.  The conversation is </w:t>
      </w:r>
      <w:r w:rsidR="009147E2">
        <w:rPr>
          <w:rFonts w:ascii="Calibri" w:hAnsi="Calibri"/>
        </w:rPr>
        <w:t>conducted</w:t>
      </w:r>
      <w:r>
        <w:rPr>
          <w:rFonts w:ascii="Calibri" w:hAnsi="Calibri"/>
        </w:rPr>
        <w:t xml:space="preserve"> by and for the participants (albeit with a recording device).  The originality of the work lies, in part, in its contrast to much previous work that has relied on accounts of sex solicited by researchers in surveys, interviews and focus groups. </w:t>
      </w:r>
      <w:r w:rsidRPr="00E557A1">
        <w:rPr>
          <w:rFonts w:ascii="Calibri" w:hAnsi="Calibri"/>
          <w:lang w:val="en-GB"/>
        </w:rPr>
        <w:t xml:space="preserve">This paper develops a conversation analytic argument for analysing naturalistic data, not as a replacement for more conventional researcher-led studies but as part of a broader project (Speer, 2012) to understand young people’s sexual lives.  CA illuminates how young people organise their own talk about sex for each other, and can offer insights into what this reveals about their social and political positioning.  </w:t>
      </w:r>
    </w:p>
    <w:p w14:paraId="45C5A882" w14:textId="77777777" w:rsidR="00E8586F" w:rsidRDefault="00E8586F" w:rsidP="00EF15EA">
      <w:pPr>
        <w:pStyle w:val="Body"/>
        <w:spacing w:line="480" w:lineRule="auto"/>
        <w:rPr>
          <w:rFonts w:ascii="Calibri" w:hAnsi="Calibri"/>
        </w:rPr>
      </w:pPr>
    </w:p>
    <w:p w14:paraId="4ADE5619" w14:textId="77777777" w:rsidR="00E8586F" w:rsidRDefault="00E8586F" w:rsidP="00EF15EA">
      <w:pPr>
        <w:pStyle w:val="Body"/>
        <w:spacing w:line="480" w:lineRule="auto"/>
        <w:rPr>
          <w:rFonts w:ascii="Calibri" w:hAnsi="Calibri"/>
        </w:rPr>
      </w:pPr>
      <w:r>
        <w:rPr>
          <w:rFonts w:ascii="Calibri" w:hAnsi="Calibri"/>
        </w:rPr>
        <w:lastRenderedPageBreak/>
        <w:t xml:space="preserve">One of the advantages of naturalistic data is that it permits us to analyse how sex as a topic is introduced and managed in (this) interaction.  The ‘special’ status of sex is also reproduced in this data extract.  Sex is not discussed straightforwardly.  Instead, it is constructed as taboo in the ways that it is introduced and referred to only in vague, unelaborated terms.  We have seen that this contrasts markedly with the description of the first kiss, which is eminently an ‘appropriate’ topic.  The taboo nature of talk about sex is connected to its moral status - in </w:t>
      </w:r>
      <w:r>
        <w:rPr>
          <w:rFonts w:ascii="Calibri Italic" w:hAnsi="Calibri Italic"/>
        </w:rPr>
        <w:t>not</w:t>
      </w:r>
      <w:r>
        <w:rPr>
          <w:rFonts w:ascii="Calibri" w:hAnsi="Calibri"/>
        </w:rPr>
        <w:t xml:space="preserve"> being descriptive, Mary (and Katie) tacitly manage being ‘good’.</w:t>
      </w:r>
    </w:p>
    <w:p w14:paraId="4E99D2E0" w14:textId="77777777" w:rsidR="00E8586F" w:rsidRDefault="00E8586F" w:rsidP="00EF15EA">
      <w:pPr>
        <w:pStyle w:val="Body"/>
        <w:spacing w:line="480" w:lineRule="auto"/>
        <w:rPr>
          <w:rFonts w:ascii="Calibri" w:hAnsi="Calibri"/>
        </w:rPr>
      </w:pPr>
    </w:p>
    <w:p w14:paraId="7E3BB463" w14:textId="05F3AAD4" w:rsidR="00E8586F" w:rsidRDefault="00E8586F" w:rsidP="00EF15EA">
      <w:pPr>
        <w:pStyle w:val="Body"/>
        <w:spacing w:line="480" w:lineRule="auto"/>
        <w:rPr>
          <w:rFonts w:ascii="Calibri" w:hAnsi="Calibri"/>
        </w:rPr>
      </w:pPr>
      <w:r w:rsidRPr="00192297">
        <w:rPr>
          <w:rFonts w:ascii="Calibri" w:hAnsi="Calibri"/>
          <w:b/>
        </w:rPr>
        <w:t>Acknowledgements:</w:t>
      </w:r>
      <w:r>
        <w:rPr>
          <w:rFonts w:ascii="Calibri" w:hAnsi="Calibri"/>
        </w:rPr>
        <w:t xml:space="preserve">  I am grateful to my colleagues in the Department of Sociology, University of York, whose analytic insights have contributed significantly to the development of this paper.  Special thanks to </w:t>
      </w:r>
      <w:r w:rsidR="007D42CA">
        <w:rPr>
          <w:rFonts w:ascii="Calibri" w:hAnsi="Calibri"/>
        </w:rPr>
        <w:t xml:space="preserve">Kelly </w:t>
      </w:r>
      <w:proofErr w:type="spellStart"/>
      <w:r w:rsidR="007D42CA">
        <w:rPr>
          <w:rFonts w:ascii="Calibri" w:hAnsi="Calibri"/>
        </w:rPr>
        <w:t>Benneworth</w:t>
      </w:r>
      <w:proofErr w:type="spellEnd"/>
      <w:r w:rsidR="007D42CA">
        <w:rPr>
          <w:rFonts w:ascii="Calibri" w:hAnsi="Calibri"/>
        </w:rPr>
        <w:t xml:space="preserve">-Gray, </w:t>
      </w:r>
      <w:r>
        <w:rPr>
          <w:rFonts w:ascii="Calibri" w:hAnsi="Calibri"/>
        </w:rPr>
        <w:t xml:space="preserve">Paul Drew, Danielle Jones, </w:t>
      </w:r>
      <w:proofErr w:type="spellStart"/>
      <w:r>
        <w:rPr>
          <w:rFonts w:ascii="Calibri" w:hAnsi="Calibri"/>
        </w:rPr>
        <w:t>Merran</w:t>
      </w:r>
      <w:proofErr w:type="spellEnd"/>
      <w:r>
        <w:rPr>
          <w:rFonts w:ascii="Calibri" w:hAnsi="Calibri"/>
        </w:rPr>
        <w:t xml:space="preserve"> </w:t>
      </w:r>
      <w:proofErr w:type="spellStart"/>
      <w:r>
        <w:rPr>
          <w:rFonts w:ascii="Calibri" w:hAnsi="Calibri"/>
        </w:rPr>
        <w:t>Toerien</w:t>
      </w:r>
      <w:proofErr w:type="spellEnd"/>
      <w:r>
        <w:rPr>
          <w:rFonts w:ascii="Calibri" w:hAnsi="Calibri"/>
        </w:rPr>
        <w:t xml:space="preserve">, </w:t>
      </w:r>
      <w:r w:rsidR="00E870B4">
        <w:rPr>
          <w:rFonts w:ascii="Calibri" w:hAnsi="Calibri"/>
        </w:rPr>
        <w:t xml:space="preserve">and </w:t>
      </w:r>
      <w:r>
        <w:rPr>
          <w:rFonts w:ascii="Calibri" w:hAnsi="Calibri"/>
        </w:rPr>
        <w:t xml:space="preserve">Robin </w:t>
      </w:r>
      <w:proofErr w:type="spellStart"/>
      <w:r>
        <w:rPr>
          <w:rFonts w:ascii="Calibri" w:hAnsi="Calibri"/>
        </w:rPr>
        <w:t>Wooffitt</w:t>
      </w:r>
      <w:proofErr w:type="spellEnd"/>
      <w:r w:rsidR="00E870B4">
        <w:rPr>
          <w:rFonts w:ascii="Calibri" w:hAnsi="Calibri"/>
        </w:rPr>
        <w:t xml:space="preserve">.  Thanks also to the two anonymous reviewers for their </w:t>
      </w:r>
      <w:r w:rsidR="004D5705">
        <w:rPr>
          <w:rFonts w:ascii="Calibri" w:hAnsi="Calibri"/>
        </w:rPr>
        <w:t xml:space="preserve">valued </w:t>
      </w:r>
      <w:r w:rsidR="00E870B4">
        <w:rPr>
          <w:rFonts w:ascii="Calibri" w:hAnsi="Calibri"/>
        </w:rPr>
        <w:t>comments</w:t>
      </w:r>
      <w:r>
        <w:rPr>
          <w:rFonts w:ascii="Calibri" w:hAnsi="Calibri"/>
        </w:rPr>
        <w:t>. All errors are, of course, my own.</w:t>
      </w:r>
    </w:p>
    <w:p w14:paraId="53843213" w14:textId="77777777" w:rsidR="00E8586F" w:rsidRDefault="00E8586F" w:rsidP="00EF15EA">
      <w:pPr>
        <w:pStyle w:val="Body"/>
        <w:spacing w:line="480" w:lineRule="auto"/>
        <w:rPr>
          <w:rFonts w:asciiTheme="minorHAnsi" w:hAnsiTheme="minorHAnsi"/>
        </w:rPr>
      </w:pPr>
    </w:p>
    <w:p w14:paraId="1181E357" w14:textId="77777777" w:rsidR="00E8586F" w:rsidRPr="009444B0" w:rsidRDefault="00E8586F">
      <w:pPr>
        <w:rPr>
          <w:rFonts w:asciiTheme="minorHAnsi" w:hAnsiTheme="minorHAnsi"/>
          <w:b/>
        </w:rPr>
      </w:pPr>
      <w:r w:rsidRPr="009444B0">
        <w:rPr>
          <w:rFonts w:asciiTheme="minorHAnsi" w:hAnsiTheme="minorHAnsi"/>
          <w:b/>
        </w:rPr>
        <w:t>References</w:t>
      </w:r>
    </w:p>
    <w:p w14:paraId="3EFB2B51" w14:textId="77777777" w:rsidR="00E8586F" w:rsidRPr="00093B2A" w:rsidRDefault="00E8586F" w:rsidP="00EF15EA">
      <w:pPr>
        <w:pStyle w:val="EndNoteBibliography"/>
        <w:ind w:left="720" w:hanging="720"/>
        <w:rPr>
          <w:rFonts w:asciiTheme="minorHAnsi" w:hAnsiTheme="minorHAnsi"/>
        </w:rPr>
      </w:pPr>
      <w:r w:rsidRPr="00093B2A">
        <w:rPr>
          <w:rFonts w:asciiTheme="minorHAnsi" w:hAnsiTheme="minorHAnsi"/>
        </w:rPr>
        <w:t xml:space="preserve">Allen, L. (2003). Girls want sex, boys want love: Resisting dominant discourses of (hetero) sexuality. </w:t>
      </w:r>
      <w:r w:rsidRPr="00093B2A">
        <w:rPr>
          <w:rFonts w:asciiTheme="minorHAnsi" w:hAnsiTheme="minorHAnsi"/>
          <w:i/>
        </w:rPr>
        <w:t>Sexualities, 6</w:t>
      </w:r>
      <w:r w:rsidRPr="00093B2A">
        <w:rPr>
          <w:rFonts w:asciiTheme="minorHAnsi" w:hAnsiTheme="minorHAnsi"/>
        </w:rPr>
        <w:t xml:space="preserve">(2), 215-236. </w:t>
      </w:r>
    </w:p>
    <w:p w14:paraId="44B98A6F" w14:textId="77777777" w:rsidR="00E8586F" w:rsidRPr="00093B2A" w:rsidRDefault="00E8586F" w:rsidP="00EF15EA">
      <w:pPr>
        <w:pStyle w:val="EndNoteBibliography"/>
        <w:ind w:left="720" w:hanging="720"/>
        <w:rPr>
          <w:rFonts w:asciiTheme="minorHAnsi" w:hAnsiTheme="minorHAnsi"/>
        </w:rPr>
      </w:pPr>
      <w:r w:rsidRPr="00093B2A">
        <w:rPr>
          <w:rFonts w:asciiTheme="minorHAnsi" w:hAnsiTheme="minorHAnsi"/>
        </w:rPr>
        <w:t xml:space="preserve">Angelides, S. (2012). The ‘Second Sexual Revolution’, Moral Panic, and the Evasion of Teenage Sexual Subjectivity. </w:t>
      </w:r>
      <w:r w:rsidRPr="00093B2A">
        <w:rPr>
          <w:rFonts w:asciiTheme="minorHAnsi" w:hAnsiTheme="minorHAnsi"/>
          <w:i/>
        </w:rPr>
        <w:t>Women's History Review, 21</w:t>
      </w:r>
      <w:r w:rsidRPr="00093B2A">
        <w:rPr>
          <w:rFonts w:asciiTheme="minorHAnsi" w:hAnsiTheme="minorHAnsi"/>
        </w:rPr>
        <w:t xml:space="preserve">(5), 831-847. </w:t>
      </w:r>
    </w:p>
    <w:p w14:paraId="1D008D28" w14:textId="77777777" w:rsidR="00E8586F" w:rsidRPr="00093B2A" w:rsidRDefault="00E8586F" w:rsidP="00EF15EA">
      <w:pPr>
        <w:pStyle w:val="EndNoteBibliography"/>
        <w:ind w:left="720" w:hanging="720"/>
        <w:rPr>
          <w:rFonts w:asciiTheme="minorHAnsi" w:hAnsiTheme="minorHAnsi"/>
        </w:rPr>
      </w:pPr>
      <w:r w:rsidRPr="00093B2A">
        <w:rPr>
          <w:rFonts w:asciiTheme="minorHAnsi" w:hAnsiTheme="minorHAnsi"/>
        </w:rPr>
        <w:t xml:space="preserve">Aral, S. O., &amp; Manhart, L. E. (2009). “Someone naughty for tonight”: sex partner recruitment venues and associated STI risk. </w:t>
      </w:r>
      <w:r w:rsidRPr="00093B2A">
        <w:rPr>
          <w:rFonts w:asciiTheme="minorHAnsi" w:hAnsiTheme="minorHAnsi"/>
          <w:i/>
        </w:rPr>
        <w:t>Sexually transmitted infections, 85</w:t>
      </w:r>
      <w:r w:rsidRPr="00093B2A">
        <w:rPr>
          <w:rFonts w:asciiTheme="minorHAnsi" w:hAnsiTheme="minorHAnsi"/>
        </w:rPr>
        <w:t xml:space="preserve">(4), 239-240. </w:t>
      </w:r>
    </w:p>
    <w:p w14:paraId="3934004A" w14:textId="77777777" w:rsidR="00140CCD" w:rsidRPr="00093B2A" w:rsidRDefault="00140CCD" w:rsidP="00EF15EA">
      <w:pPr>
        <w:pStyle w:val="EndNoteBibliography"/>
        <w:ind w:left="720" w:hanging="720"/>
        <w:rPr>
          <w:rFonts w:asciiTheme="minorHAnsi" w:hAnsiTheme="minorHAnsi"/>
        </w:rPr>
      </w:pPr>
      <w:bookmarkStart w:id="5" w:name="_ENREF_2"/>
      <w:r w:rsidRPr="00093B2A">
        <w:rPr>
          <w:rFonts w:asciiTheme="minorHAnsi" w:hAnsiTheme="minorHAnsi"/>
        </w:rPr>
        <w:t xml:space="preserve">Bamberg, M. G. (1997). Positioning between structure and performance. </w:t>
      </w:r>
      <w:r w:rsidRPr="00093B2A">
        <w:rPr>
          <w:rFonts w:asciiTheme="minorHAnsi" w:hAnsiTheme="minorHAnsi"/>
          <w:i/>
        </w:rPr>
        <w:t>Journal of narrative and life history, 7</w:t>
      </w:r>
      <w:r w:rsidRPr="00093B2A">
        <w:rPr>
          <w:rFonts w:asciiTheme="minorHAnsi" w:hAnsiTheme="minorHAnsi"/>
        </w:rPr>
        <w:t xml:space="preserve">(1-4), 335-342. </w:t>
      </w:r>
      <w:bookmarkEnd w:id="5"/>
    </w:p>
    <w:p w14:paraId="1AFBD8AC" w14:textId="77777777" w:rsidR="00E8586F" w:rsidRPr="00093B2A" w:rsidRDefault="00E8586F" w:rsidP="00EF15EA">
      <w:pPr>
        <w:pStyle w:val="EndNoteBibliography"/>
        <w:ind w:left="720" w:hanging="720"/>
        <w:rPr>
          <w:rFonts w:asciiTheme="minorHAnsi" w:hAnsiTheme="minorHAnsi"/>
        </w:rPr>
      </w:pPr>
      <w:r w:rsidRPr="00093B2A">
        <w:rPr>
          <w:rFonts w:asciiTheme="minorHAnsi" w:hAnsiTheme="minorHAnsi"/>
        </w:rPr>
        <w:t xml:space="preserve">Billig, M. (2006). A psychoanalytic discursive psychology: From consciousness to unconsciousness. </w:t>
      </w:r>
      <w:r w:rsidRPr="00093B2A">
        <w:rPr>
          <w:rFonts w:asciiTheme="minorHAnsi" w:hAnsiTheme="minorHAnsi"/>
          <w:i/>
        </w:rPr>
        <w:t>Discourse studies, 8</w:t>
      </w:r>
      <w:r w:rsidRPr="00093B2A">
        <w:rPr>
          <w:rFonts w:asciiTheme="minorHAnsi" w:hAnsiTheme="minorHAnsi"/>
        </w:rPr>
        <w:t xml:space="preserve">(1), 17-24. </w:t>
      </w:r>
    </w:p>
    <w:p w14:paraId="22F3E621" w14:textId="77777777" w:rsidR="00E8586F" w:rsidRPr="00093B2A" w:rsidRDefault="00E8586F" w:rsidP="00EF15EA">
      <w:pPr>
        <w:pStyle w:val="EndNoteBibliography"/>
        <w:ind w:left="720" w:hanging="720"/>
        <w:rPr>
          <w:rFonts w:asciiTheme="minorHAnsi" w:hAnsiTheme="minorHAnsi"/>
        </w:rPr>
      </w:pPr>
      <w:r w:rsidRPr="00093B2A">
        <w:rPr>
          <w:rFonts w:asciiTheme="minorHAnsi" w:hAnsiTheme="minorHAnsi"/>
        </w:rPr>
        <w:t xml:space="preserve">Broad, K. (2011). Coming out for Parents, Families and Friends of Lesbians and Gays: From support group grieving to love advocacy. </w:t>
      </w:r>
      <w:r w:rsidRPr="00093B2A">
        <w:rPr>
          <w:rFonts w:asciiTheme="minorHAnsi" w:hAnsiTheme="minorHAnsi"/>
          <w:i/>
        </w:rPr>
        <w:t>Sexualities, 14</w:t>
      </w:r>
      <w:r w:rsidRPr="00093B2A">
        <w:rPr>
          <w:rFonts w:asciiTheme="minorHAnsi" w:hAnsiTheme="minorHAnsi"/>
        </w:rPr>
        <w:t xml:space="preserve">(4), 399-415. </w:t>
      </w:r>
    </w:p>
    <w:p w14:paraId="01D0375D" w14:textId="77777777" w:rsidR="00E8586F" w:rsidRPr="00093B2A" w:rsidRDefault="00E8586F" w:rsidP="00EF15EA">
      <w:pPr>
        <w:pStyle w:val="EndNoteBibliography"/>
        <w:ind w:left="720" w:hanging="720"/>
        <w:rPr>
          <w:rFonts w:asciiTheme="minorHAnsi" w:hAnsiTheme="minorHAnsi"/>
        </w:rPr>
      </w:pPr>
      <w:r w:rsidRPr="00093B2A">
        <w:rPr>
          <w:rFonts w:asciiTheme="minorHAnsi" w:hAnsiTheme="minorHAnsi"/>
        </w:rPr>
        <w:t xml:space="preserve">Clayman, S. (2010). Address terms in the service of other actions: The case of news interview talk. </w:t>
      </w:r>
      <w:r w:rsidRPr="00093B2A">
        <w:rPr>
          <w:rFonts w:asciiTheme="minorHAnsi" w:hAnsiTheme="minorHAnsi"/>
          <w:i/>
        </w:rPr>
        <w:t>Discourse &amp; Communication, 4</w:t>
      </w:r>
      <w:r w:rsidRPr="00093B2A">
        <w:rPr>
          <w:rFonts w:asciiTheme="minorHAnsi" w:hAnsiTheme="minorHAnsi"/>
        </w:rPr>
        <w:t xml:space="preserve">(2), 161-183. </w:t>
      </w:r>
    </w:p>
    <w:p w14:paraId="2BE8A72E" w14:textId="77777777" w:rsidR="00E8586F" w:rsidRPr="00093B2A" w:rsidRDefault="00E8586F" w:rsidP="00EF15EA">
      <w:pPr>
        <w:pStyle w:val="EndNoteBibliography"/>
        <w:ind w:left="720" w:hanging="720"/>
        <w:rPr>
          <w:rFonts w:asciiTheme="minorHAnsi" w:hAnsiTheme="minorHAnsi"/>
        </w:rPr>
      </w:pPr>
      <w:r w:rsidRPr="00093B2A">
        <w:rPr>
          <w:rFonts w:asciiTheme="minorHAnsi" w:hAnsiTheme="minorHAnsi"/>
        </w:rPr>
        <w:lastRenderedPageBreak/>
        <w:t xml:space="preserve">Crawford, M., &amp; Popp, D. (2003). Sexual double standards: A review and methodological critique of two decades of research. </w:t>
      </w:r>
      <w:r w:rsidRPr="00093B2A">
        <w:rPr>
          <w:rFonts w:asciiTheme="minorHAnsi" w:hAnsiTheme="minorHAnsi"/>
          <w:i/>
        </w:rPr>
        <w:t>Journal of Sex Research, 40</w:t>
      </w:r>
      <w:r w:rsidRPr="00093B2A">
        <w:rPr>
          <w:rFonts w:asciiTheme="minorHAnsi" w:hAnsiTheme="minorHAnsi"/>
        </w:rPr>
        <w:t xml:space="preserve">(1), 13-26. </w:t>
      </w:r>
    </w:p>
    <w:p w14:paraId="176252A1" w14:textId="77777777" w:rsidR="00140CCD" w:rsidRPr="00093B2A" w:rsidRDefault="00140CCD" w:rsidP="00EF15EA">
      <w:pPr>
        <w:pStyle w:val="EndNoteBibliography"/>
        <w:ind w:left="720" w:hanging="720"/>
        <w:rPr>
          <w:rFonts w:asciiTheme="minorHAnsi" w:hAnsiTheme="minorHAnsi"/>
        </w:rPr>
      </w:pPr>
      <w:bookmarkStart w:id="6" w:name="_ENREF_5"/>
      <w:r w:rsidRPr="00093B2A">
        <w:rPr>
          <w:rFonts w:asciiTheme="minorHAnsi" w:hAnsiTheme="minorHAnsi"/>
        </w:rPr>
        <w:t xml:space="preserve">De Fina, A. (2008). Who tells which story and why? Micro and macro contexts in narrative. </w:t>
      </w:r>
      <w:r w:rsidRPr="00093B2A">
        <w:rPr>
          <w:rFonts w:asciiTheme="minorHAnsi" w:hAnsiTheme="minorHAnsi"/>
          <w:i/>
        </w:rPr>
        <w:t>Text &amp; Talk-An Interdisciplinary Journal of Language, Discourse Communication Studies, 28</w:t>
      </w:r>
      <w:r w:rsidRPr="00093B2A">
        <w:rPr>
          <w:rFonts w:asciiTheme="minorHAnsi" w:hAnsiTheme="minorHAnsi"/>
        </w:rPr>
        <w:t xml:space="preserve">(3), 421-442. </w:t>
      </w:r>
      <w:bookmarkEnd w:id="6"/>
    </w:p>
    <w:p w14:paraId="32089679" w14:textId="77777777" w:rsidR="00E8586F" w:rsidRPr="00093B2A" w:rsidRDefault="00E8586F" w:rsidP="00EF15EA">
      <w:pPr>
        <w:pStyle w:val="EndNoteBibliography"/>
        <w:ind w:left="720" w:hanging="720"/>
        <w:rPr>
          <w:rFonts w:asciiTheme="minorHAnsi" w:hAnsiTheme="minorHAnsi"/>
        </w:rPr>
      </w:pPr>
      <w:r w:rsidRPr="00093B2A">
        <w:rPr>
          <w:rFonts w:asciiTheme="minorHAnsi" w:hAnsiTheme="minorHAnsi"/>
        </w:rPr>
        <w:t>De Fina, A. (2009). Narratives in interview—The case of accounts: For an interactional approach to narrative genres. </w:t>
      </w:r>
      <w:r w:rsidRPr="00093B2A">
        <w:rPr>
          <w:rFonts w:asciiTheme="minorHAnsi" w:hAnsiTheme="minorHAnsi"/>
          <w:i/>
          <w:iCs/>
        </w:rPr>
        <w:t>Narrative Inquiry</w:t>
      </w:r>
      <w:r w:rsidRPr="00093B2A">
        <w:rPr>
          <w:rFonts w:asciiTheme="minorHAnsi" w:hAnsiTheme="minorHAnsi"/>
        </w:rPr>
        <w:t>, </w:t>
      </w:r>
      <w:r w:rsidRPr="00093B2A">
        <w:rPr>
          <w:rFonts w:asciiTheme="minorHAnsi" w:hAnsiTheme="minorHAnsi"/>
          <w:i/>
          <w:iCs/>
        </w:rPr>
        <w:t>19</w:t>
      </w:r>
      <w:r w:rsidRPr="00093B2A">
        <w:rPr>
          <w:rFonts w:asciiTheme="minorHAnsi" w:hAnsiTheme="minorHAnsi"/>
        </w:rPr>
        <w:t>(2), 233-258.</w:t>
      </w:r>
    </w:p>
    <w:p w14:paraId="0E816B57" w14:textId="77777777" w:rsidR="00140CCD" w:rsidRPr="00093B2A" w:rsidRDefault="00140CCD" w:rsidP="00140CCD">
      <w:pPr>
        <w:pStyle w:val="EndNoteBibliography"/>
        <w:ind w:left="720" w:hanging="720"/>
        <w:rPr>
          <w:rFonts w:asciiTheme="minorHAnsi" w:hAnsiTheme="minorHAnsi"/>
        </w:rPr>
      </w:pPr>
      <w:bookmarkStart w:id="7" w:name="_ENREF_6"/>
      <w:r w:rsidRPr="00093B2A">
        <w:rPr>
          <w:rFonts w:asciiTheme="minorHAnsi" w:hAnsiTheme="minorHAnsi"/>
        </w:rPr>
        <w:t xml:space="preserve">De Fina, A., &amp; Georgakopoulou, A. (2008). Analysing narratives as practices. </w:t>
      </w:r>
      <w:r w:rsidRPr="00093B2A">
        <w:rPr>
          <w:rFonts w:asciiTheme="minorHAnsi" w:hAnsiTheme="minorHAnsi"/>
          <w:i/>
        </w:rPr>
        <w:t>Qualitative Research, 8</w:t>
      </w:r>
      <w:r w:rsidRPr="00093B2A">
        <w:rPr>
          <w:rFonts w:asciiTheme="minorHAnsi" w:hAnsiTheme="minorHAnsi"/>
        </w:rPr>
        <w:t xml:space="preserve">(3), 379-387. </w:t>
      </w:r>
      <w:bookmarkEnd w:id="7"/>
    </w:p>
    <w:p w14:paraId="15FF91BE" w14:textId="77777777" w:rsidR="00E8586F" w:rsidRPr="00093B2A" w:rsidRDefault="00E8586F" w:rsidP="00EF15EA">
      <w:pPr>
        <w:pStyle w:val="EndNoteBibliography"/>
        <w:ind w:left="720" w:hanging="720"/>
        <w:rPr>
          <w:rFonts w:asciiTheme="minorHAnsi" w:hAnsiTheme="minorHAnsi"/>
        </w:rPr>
      </w:pPr>
      <w:r w:rsidRPr="00093B2A">
        <w:rPr>
          <w:rFonts w:asciiTheme="minorHAnsi" w:hAnsiTheme="minorHAnsi"/>
        </w:rPr>
        <w:t>Drew, P. (1987)</w:t>
      </w:r>
      <w:r w:rsidR="00506568" w:rsidRPr="00093B2A">
        <w:rPr>
          <w:rFonts w:asciiTheme="minorHAnsi" w:hAnsiTheme="minorHAnsi"/>
        </w:rPr>
        <w:t>. Po-faced receipts of teases. </w:t>
      </w:r>
      <w:r w:rsidRPr="00093B2A">
        <w:rPr>
          <w:rFonts w:asciiTheme="minorHAnsi" w:hAnsiTheme="minorHAnsi"/>
        </w:rPr>
        <w:t xml:space="preserve"> </w:t>
      </w:r>
      <w:r w:rsidRPr="00093B2A">
        <w:rPr>
          <w:rFonts w:asciiTheme="minorHAnsi" w:hAnsiTheme="minorHAnsi"/>
          <w:i/>
        </w:rPr>
        <w:t>Linguistics, 25</w:t>
      </w:r>
      <w:r w:rsidRPr="00093B2A">
        <w:rPr>
          <w:rFonts w:asciiTheme="minorHAnsi" w:hAnsiTheme="minorHAnsi"/>
        </w:rPr>
        <w:t xml:space="preserve">(1), 219-253. </w:t>
      </w:r>
    </w:p>
    <w:p w14:paraId="0886F527" w14:textId="77777777" w:rsidR="00E8586F" w:rsidRPr="00093B2A" w:rsidRDefault="00E8586F" w:rsidP="00EF15EA">
      <w:pPr>
        <w:pStyle w:val="EndNoteBibliography"/>
        <w:ind w:left="720" w:hanging="720"/>
        <w:rPr>
          <w:rFonts w:asciiTheme="minorHAnsi" w:hAnsiTheme="minorHAnsi"/>
        </w:rPr>
      </w:pPr>
      <w:r w:rsidRPr="00093B2A">
        <w:rPr>
          <w:rFonts w:asciiTheme="minorHAnsi" w:hAnsiTheme="minorHAnsi"/>
        </w:rPr>
        <w:t xml:space="preserve">Drew, P. (1992). Contested evidence in courtroom cross-examination: The case of a trial for rape. In P. Drew &amp; J. Heritage (Eds.), </w:t>
      </w:r>
      <w:r w:rsidRPr="00093B2A">
        <w:rPr>
          <w:rFonts w:asciiTheme="minorHAnsi" w:hAnsiTheme="minorHAnsi"/>
          <w:i/>
        </w:rPr>
        <w:t xml:space="preserve">Talk at work: Interaction in institutional settings </w:t>
      </w:r>
      <w:r w:rsidRPr="00093B2A">
        <w:rPr>
          <w:rFonts w:asciiTheme="minorHAnsi" w:hAnsiTheme="minorHAnsi"/>
        </w:rPr>
        <w:t>(pp. 470-520). Cambridge: Cambridge University Press.</w:t>
      </w:r>
    </w:p>
    <w:p w14:paraId="3C778573" w14:textId="77777777" w:rsidR="00E8586F" w:rsidRPr="00093B2A" w:rsidRDefault="00E8586F" w:rsidP="00EF15EA">
      <w:pPr>
        <w:pStyle w:val="EndNoteBibliography"/>
        <w:ind w:left="720" w:hanging="720"/>
        <w:rPr>
          <w:rFonts w:asciiTheme="minorHAnsi" w:hAnsiTheme="minorHAnsi"/>
        </w:rPr>
      </w:pPr>
      <w:r w:rsidRPr="00093B2A">
        <w:rPr>
          <w:rFonts w:asciiTheme="minorHAnsi" w:hAnsiTheme="minorHAnsi"/>
        </w:rPr>
        <w:t>Drew, P., &amp; Walker, T. (2009). Going too far</w:t>
      </w:r>
      <w:r w:rsidR="00506568" w:rsidRPr="00093B2A">
        <w:rPr>
          <w:rFonts w:asciiTheme="minorHAnsi" w:hAnsiTheme="minorHAnsi"/>
        </w:rPr>
        <w:t xml:space="preserve">: </w:t>
      </w:r>
      <w:r w:rsidRPr="00093B2A">
        <w:rPr>
          <w:rFonts w:asciiTheme="minorHAnsi" w:hAnsiTheme="minorHAnsi"/>
        </w:rPr>
        <w:t xml:space="preserve">Complaining, escalating and disaffiliation. </w:t>
      </w:r>
      <w:r w:rsidRPr="00093B2A">
        <w:rPr>
          <w:rFonts w:asciiTheme="minorHAnsi" w:hAnsiTheme="minorHAnsi"/>
          <w:i/>
        </w:rPr>
        <w:t>Journal of Pragmatics, 41</w:t>
      </w:r>
      <w:r w:rsidRPr="00093B2A">
        <w:rPr>
          <w:rFonts w:asciiTheme="minorHAnsi" w:hAnsiTheme="minorHAnsi"/>
        </w:rPr>
        <w:t xml:space="preserve">(12), 2400-2414. </w:t>
      </w:r>
    </w:p>
    <w:p w14:paraId="50477407" w14:textId="77777777" w:rsidR="00E8586F" w:rsidRPr="00093B2A" w:rsidRDefault="00E8586F" w:rsidP="00EF15EA">
      <w:pPr>
        <w:pStyle w:val="EndNoteBibliography"/>
        <w:ind w:left="720" w:hanging="720"/>
        <w:rPr>
          <w:rFonts w:asciiTheme="minorHAnsi" w:hAnsiTheme="minorHAnsi"/>
        </w:rPr>
      </w:pPr>
      <w:r w:rsidRPr="00093B2A">
        <w:rPr>
          <w:rFonts w:asciiTheme="minorHAnsi" w:hAnsiTheme="minorHAnsi"/>
        </w:rPr>
        <w:t xml:space="preserve">Egan, R. D. (2013). </w:t>
      </w:r>
      <w:r w:rsidRPr="00093B2A">
        <w:rPr>
          <w:rFonts w:asciiTheme="minorHAnsi" w:hAnsiTheme="minorHAnsi"/>
          <w:i/>
        </w:rPr>
        <w:t>Becoming sexual: a critical appraisal of the sexualization of girls</w:t>
      </w:r>
      <w:r w:rsidRPr="00093B2A">
        <w:rPr>
          <w:rFonts w:asciiTheme="minorHAnsi" w:hAnsiTheme="minorHAnsi"/>
        </w:rPr>
        <w:t>: John Wiley &amp; Sons.</w:t>
      </w:r>
    </w:p>
    <w:p w14:paraId="603B15EB" w14:textId="77777777" w:rsidR="00E8586F" w:rsidRPr="00093B2A" w:rsidRDefault="00E8586F" w:rsidP="00EF15EA">
      <w:pPr>
        <w:pStyle w:val="EndNoteBibliography"/>
        <w:ind w:left="720" w:hanging="720"/>
        <w:rPr>
          <w:rFonts w:asciiTheme="minorHAnsi" w:hAnsiTheme="minorHAnsi"/>
        </w:rPr>
      </w:pPr>
      <w:r w:rsidRPr="00093B2A">
        <w:rPr>
          <w:rFonts w:asciiTheme="minorHAnsi" w:hAnsiTheme="minorHAnsi"/>
        </w:rPr>
        <w:t xml:space="preserve">Egan, R. D., &amp; Hawkes, G. L. (2008). Endangered girls and incendiary objects: Unpacking the discourse on sexualization. </w:t>
      </w:r>
      <w:r w:rsidRPr="00093B2A">
        <w:rPr>
          <w:rFonts w:asciiTheme="minorHAnsi" w:hAnsiTheme="minorHAnsi"/>
          <w:i/>
        </w:rPr>
        <w:t>Sexuality &amp; culture, 12</w:t>
      </w:r>
      <w:r w:rsidRPr="00093B2A">
        <w:rPr>
          <w:rFonts w:asciiTheme="minorHAnsi" w:hAnsiTheme="minorHAnsi"/>
        </w:rPr>
        <w:t xml:space="preserve">(4), 291-311. </w:t>
      </w:r>
    </w:p>
    <w:p w14:paraId="55C4CF5B" w14:textId="77777777" w:rsidR="00E8586F" w:rsidRPr="00093B2A" w:rsidRDefault="00E8586F" w:rsidP="00EF15EA">
      <w:pPr>
        <w:pStyle w:val="EndNoteBibliography"/>
        <w:ind w:left="720" w:hanging="720"/>
        <w:rPr>
          <w:rFonts w:asciiTheme="minorHAnsi" w:hAnsiTheme="minorHAnsi"/>
        </w:rPr>
      </w:pPr>
      <w:bookmarkStart w:id="8" w:name="_ENREF_14"/>
      <w:r w:rsidRPr="00093B2A">
        <w:rPr>
          <w:rFonts w:asciiTheme="minorHAnsi" w:hAnsiTheme="minorHAnsi"/>
        </w:rPr>
        <w:t xml:space="preserve">Egan, R. D., &amp; Hawkes, G. L. (2012). Sexuality, youth and the perils of endangered innocence: how history can help us get past the panic. </w:t>
      </w:r>
      <w:r w:rsidRPr="00093B2A">
        <w:rPr>
          <w:rFonts w:asciiTheme="minorHAnsi" w:hAnsiTheme="minorHAnsi"/>
          <w:i/>
        </w:rPr>
        <w:t>Gender and Education, 24</w:t>
      </w:r>
      <w:r w:rsidRPr="00093B2A">
        <w:rPr>
          <w:rFonts w:asciiTheme="minorHAnsi" w:hAnsiTheme="minorHAnsi"/>
        </w:rPr>
        <w:t xml:space="preserve">(3), 269-284. </w:t>
      </w:r>
      <w:bookmarkEnd w:id="8"/>
    </w:p>
    <w:p w14:paraId="7A53C0FA" w14:textId="77777777" w:rsidR="00E8586F" w:rsidRPr="00093B2A" w:rsidRDefault="00E8586F" w:rsidP="00EF15EA">
      <w:pPr>
        <w:pStyle w:val="EndNoteBibliography"/>
        <w:ind w:left="720" w:hanging="720"/>
        <w:rPr>
          <w:rFonts w:asciiTheme="minorHAnsi" w:hAnsiTheme="minorHAnsi"/>
        </w:rPr>
      </w:pPr>
      <w:bookmarkStart w:id="9" w:name="_ENREF_15"/>
      <w:r w:rsidRPr="00093B2A">
        <w:rPr>
          <w:rFonts w:asciiTheme="minorHAnsi" w:hAnsiTheme="minorHAnsi"/>
        </w:rPr>
        <w:t xml:space="preserve">Elliott, S. (2010). Parents' constructions of teen sexuality: Sex panics, contradictory discourses, and social inequality. </w:t>
      </w:r>
      <w:r w:rsidRPr="00093B2A">
        <w:rPr>
          <w:rFonts w:asciiTheme="minorHAnsi" w:hAnsiTheme="minorHAnsi"/>
          <w:i/>
        </w:rPr>
        <w:t>Symbolic Interaction, 33</w:t>
      </w:r>
      <w:r w:rsidRPr="00093B2A">
        <w:rPr>
          <w:rFonts w:asciiTheme="minorHAnsi" w:hAnsiTheme="minorHAnsi"/>
        </w:rPr>
        <w:t xml:space="preserve">(2), 191-212. </w:t>
      </w:r>
      <w:bookmarkEnd w:id="9"/>
    </w:p>
    <w:p w14:paraId="7A1F3EBD" w14:textId="3D42139B" w:rsidR="00E8586F" w:rsidRPr="00093B2A" w:rsidRDefault="00E8586F" w:rsidP="00EF15EA">
      <w:pPr>
        <w:pStyle w:val="EndNoteBibliography"/>
        <w:ind w:left="720" w:hanging="720"/>
        <w:rPr>
          <w:rFonts w:asciiTheme="minorHAnsi" w:hAnsiTheme="minorHAnsi"/>
        </w:rPr>
      </w:pPr>
      <w:bookmarkStart w:id="10" w:name="_ENREF_16"/>
      <w:r w:rsidRPr="00093B2A">
        <w:rPr>
          <w:rFonts w:asciiTheme="minorHAnsi" w:hAnsiTheme="minorHAnsi"/>
        </w:rPr>
        <w:t xml:space="preserve">Gilligan, C. (1982). </w:t>
      </w:r>
      <w:r w:rsidRPr="00093B2A">
        <w:rPr>
          <w:rFonts w:asciiTheme="minorHAnsi" w:hAnsiTheme="minorHAnsi"/>
          <w:i/>
        </w:rPr>
        <w:t>In a different voice</w:t>
      </w:r>
      <w:r w:rsidR="00CF53D3">
        <w:rPr>
          <w:rFonts w:asciiTheme="minorHAnsi" w:hAnsiTheme="minorHAnsi"/>
        </w:rPr>
        <w:t>.</w:t>
      </w:r>
      <w:r w:rsidRPr="00093B2A">
        <w:rPr>
          <w:rFonts w:asciiTheme="minorHAnsi" w:hAnsiTheme="minorHAnsi"/>
        </w:rPr>
        <w:t xml:space="preserve"> Harvard University Press.</w:t>
      </w:r>
      <w:bookmarkEnd w:id="10"/>
    </w:p>
    <w:p w14:paraId="1BB6C5AF" w14:textId="77777777" w:rsidR="00E8586F" w:rsidRPr="00093B2A" w:rsidRDefault="00E8586F" w:rsidP="00EF15EA">
      <w:pPr>
        <w:pStyle w:val="EndNoteBibliography"/>
        <w:ind w:left="720" w:hanging="720"/>
        <w:rPr>
          <w:rFonts w:asciiTheme="minorHAnsi" w:hAnsiTheme="minorHAnsi"/>
        </w:rPr>
      </w:pPr>
      <w:bookmarkStart w:id="11" w:name="_ENREF_17"/>
      <w:r w:rsidRPr="00093B2A">
        <w:rPr>
          <w:rFonts w:asciiTheme="minorHAnsi" w:hAnsiTheme="minorHAnsi"/>
        </w:rPr>
        <w:t xml:space="preserve">Gilmore, S., Delamater, J., &amp; Wagstaff, D. (1996). Sexual decision making by inner city black adolescent males: A focus group study. </w:t>
      </w:r>
      <w:r w:rsidRPr="00093B2A">
        <w:rPr>
          <w:rFonts w:asciiTheme="minorHAnsi" w:hAnsiTheme="minorHAnsi"/>
          <w:i/>
        </w:rPr>
        <w:t>Journal of Sex Research, 33</w:t>
      </w:r>
      <w:r w:rsidRPr="00093B2A">
        <w:rPr>
          <w:rFonts w:asciiTheme="minorHAnsi" w:hAnsiTheme="minorHAnsi"/>
        </w:rPr>
        <w:t xml:space="preserve">(4), 363-371. </w:t>
      </w:r>
      <w:bookmarkEnd w:id="11"/>
    </w:p>
    <w:p w14:paraId="4DCA8924" w14:textId="77777777" w:rsidR="00140CCD" w:rsidRPr="00093B2A" w:rsidRDefault="00140CCD" w:rsidP="00140CCD">
      <w:pPr>
        <w:pStyle w:val="EndNoteBibliography"/>
        <w:ind w:left="720" w:hanging="720"/>
        <w:rPr>
          <w:rFonts w:asciiTheme="minorHAnsi" w:hAnsiTheme="minorHAnsi"/>
        </w:rPr>
      </w:pPr>
      <w:bookmarkStart w:id="12" w:name="_ENREF_7"/>
      <w:r w:rsidRPr="00093B2A">
        <w:rPr>
          <w:rFonts w:asciiTheme="minorHAnsi" w:hAnsiTheme="minorHAnsi"/>
        </w:rPr>
        <w:t xml:space="preserve">Goffman, E. (1967). </w:t>
      </w:r>
      <w:r w:rsidRPr="00093B2A">
        <w:rPr>
          <w:rFonts w:asciiTheme="minorHAnsi" w:hAnsiTheme="minorHAnsi"/>
          <w:i/>
        </w:rPr>
        <w:t>Interaction ritual: Essays in face-to-face behavior</w:t>
      </w:r>
      <w:bookmarkEnd w:id="12"/>
      <w:r w:rsidR="00506568" w:rsidRPr="00093B2A">
        <w:rPr>
          <w:rFonts w:asciiTheme="minorHAnsi" w:hAnsiTheme="minorHAnsi"/>
        </w:rPr>
        <w:t>. London: Aldine</w:t>
      </w:r>
    </w:p>
    <w:p w14:paraId="6DFBF740" w14:textId="77777777" w:rsidR="00E8586F" w:rsidRPr="00093B2A" w:rsidRDefault="00E8586F" w:rsidP="00EF15EA">
      <w:pPr>
        <w:pStyle w:val="EndNoteBibliography"/>
        <w:ind w:left="720" w:hanging="720"/>
        <w:rPr>
          <w:rFonts w:asciiTheme="minorHAnsi" w:hAnsiTheme="minorHAnsi"/>
        </w:rPr>
      </w:pPr>
      <w:bookmarkStart w:id="13" w:name="_ENREF_18"/>
      <w:r w:rsidRPr="00093B2A">
        <w:rPr>
          <w:rFonts w:asciiTheme="minorHAnsi" w:hAnsiTheme="minorHAnsi"/>
        </w:rPr>
        <w:t xml:space="preserve">Goodwin, C. (1986). Audience diversity, participation and interpretation. </w:t>
      </w:r>
      <w:r w:rsidRPr="00093B2A">
        <w:rPr>
          <w:rFonts w:asciiTheme="minorHAnsi" w:hAnsiTheme="minorHAnsi"/>
          <w:i/>
        </w:rPr>
        <w:t>Text, 6</w:t>
      </w:r>
      <w:r w:rsidRPr="00093B2A">
        <w:rPr>
          <w:rFonts w:asciiTheme="minorHAnsi" w:hAnsiTheme="minorHAnsi"/>
        </w:rPr>
        <w:t xml:space="preserve">(3), 283-316. </w:t>
      </w:r>
      <w:bookmarkEnd w:id="13"/>
    </w:p>
    <w:p w14:paraId="17C1E0FF" w14:textId="5CD1D7B9" w:rsidR="007C0D0E" w:rsidRPr="00093B2A" w:rsidRDefault="007C0D0E" w:rsidP="00EF15EA">
      <w:pPr>
        <w:pStyle w:val="EndNoteBibliography"/>
        <w:ind w:left="720" w:hanging="720"/>
        <w:rPr>
          <w:rFonts w:asciiTheme="minorHAnsi" w:hAnsiTheme="minorHAnsi"/>
        </w:rPr>
      </w:pPr>
      <w:r w:rsidRPr="00093B2A">
        <w:rPr>
          <w:rFonts w:asciiTheme="minorHAnsi" w:hAnsiTheme="minorHAnsi" w:cs="Arial"/>
          <w:color w:val="1A1A1A"/>
          <w:lang w:val="en-US" w:eastAsia="en-US" w:bidi="ar-SA"/>
        </w:rPr>
        <w:t xml:space="preserve">Griffin, C., 2007. Being dead and being there research interviews, sharing hand cream and the preference for analysing naturally occurring data'. </w:t>
      </w:r>
      <w:r w:rsidRPr="00093B2A">
        <w:rPr>
          <w:rFonts w:asciiTheme="minorHAnsi" w:hAnsiTheme="minorHAnsi" w:cs="Arial"/>
          <w:i/>
          <w:iCs/>
          <w:color w:val="1A1A1A"/>
          <w:lang w:val="en-US" w:eastAsia="en-US" w:bidi="ar-SA"/>
        </w:rPr>
        <w:t>Discourse Studies</w:t>
      </w:r>
      <w:r w:rsidRPr="00093B2A">
        <w:rPr>
          <w:rFonts w:asciiTheme="minorHAnsi" w:hAnsiTheme="minorHAnsi" w:cs="Arial"/>
          <w:color w:val="1A1A1A"/>
          <w:lang w:val="en-US" w:eastAsia="en-US" w:bidi="ar-SA"/>
        </w:rPr>
        <w:t xml:space="preserve">, </w:t>
      </w:r>
      <w:r w:rsidRPr="00093B2A">
        <w:rPr>
          <w:rFonts w:asciiTheme="minorHAnsi" w:hAnsiTheme="minorHAnsi" w:cs="Arial"/>
          <w:i/>
          <w:iCs/>
          <w:color w:val="1A1A1A"/>
          <w:lang w:val="en-US" w:eastAsia="en-US" w:bidi="ar-SA"/>
        </w:rPr>
        <w:t>9</w:t>
      </w:r>
      <w:r w:rsidR="00CF53D3">
        <w:rPr>
          <w:rFonts w:asciiTheme="minorHAnsi" w:hAnsiTheme="minorHAnsi" w:cs="Arial"/>
          <w:color w:val="1A1A1A"/>
          <w:lang w:val="en-US" w:eastAsia="en-US" w:bidi="ar-SA"/>
        </w:rPr>
        <w:t xml:space="preserve">(2), </w:t>
      </w:r>
      <w:r w:rsidRPr="00093B2A">
        <w:rPr>
          <w:rFonts w:asciiTheme="minorHAnsi" w:hAnsiTheme="minorHAnsi" w:cs="Arial"/>
          <w:color w:val="1A1A1A"/>
          <w:lang w:val="en-US" w:eastAsia="en-US" w:bidi="ar-SA"/>
        </w:rPr>
        <w:t>246-269.</w:t>
      </w:r>
    </w:p>
    <w:p w14:paraId="189C1391" w14:textId="77777777" w:rsidR="007E6150" w:rsidRPr="00093B2A" w:rsidRDefault="007E6150" w:rsidP="00093B2A">
      <w:pPr>
        <w:ind w:left="709" w:hanging="709"/>
        <w:rPr>
          <w:rFonts w:asciiTheme="minorHAnsi" w:hAnsiTheme="minorHAnsi"/>
        </w:rPr>
      </w:pPr>
      <w:r w:rsidRPr="00093B2A">
        <w:rPr>
          <w:rFonts w:asciiTheme="minorHAnsi" w:hAnsiTheme="minorHAnsi"/>
        </w:rPr>
        <w:t xml:space="preserve">Hammersley, M. (2003). Analytics are no substitute for methodology: A response to Speer and </w:t>
      </w:r>
      <w:proofErr w:type="spellStart"/>
      <w:r w:rsidRPr="00093B2A">
        <w:rPr>
          <w:rFonts w:asciiTheme="minorHAnsi" w:hAnsiTheme="minorHAnsi"/>
        </w:rPr>
        <w:t>Hutchby</w:t>
      </w:r>
      <w:proofErr w:type="spellEnd"/>
      <w:r w:rsidRPr="00093B2A">
        <w:rPr>
          <w:rFonts w:asciiTheme="minorHAnsi" w:hAnsiTheme="minorHAnsi"/>
        </w:rPr>
        <w:t xml:space="preserve">. </w:t>
      </w:r>
      <w:r w:rsidRPr="00093B2A">
        <w:rPr>
          <w:rFonts w:asciiTheme="minorHAnsi" w:hAnsiTheme="minorHAnsi"/>
          <w:i/>
        </w:rPr>
        <w:t>Sociology</w:t>
      </w:r>
      <w:r w:rsidRPr="00093B2A">
        <w:rPr>
          <w:rFonts w:asciiTheme="minorHAnsi" w:hAnsiTheme="minorHAnsi"/>
        </w:rPr>
        <w:t>, 37, 339–52.</w:t>
      </w:r>
    </w:p>
    <w:p w14:paraId="5C24B2AA" w14:textId="77777777" w:rsidR="00093B2A" w:rsidRPr="00093B2A" w:rsidRDefault="00190771" w:rsidP="00093B2A">
      <w:pPr>
        <w:ind w:left="709" w:hanging="709"/>
        <w:rPr>
          <w:rFonts w:asciiTheme="minorHAnsi" w:hAnsiTheme="minorHAnsi"/>
        </w:rPr>
      </w:pPr>
      <w:r w:rsidRPr="00093B2A">
        <w:rPr>
          <w:rFonts w:asciiTheme="minorHAnsi" w:hAnsiTheme="minorHAnsi"/>
        </w:rPr>
        <w:t xml:space="preserve">Heath, C., </w:t>
      </w:r>
      <w:proofErr w:type="spellStart"/>
      <w:r w:rsidRPr="00093B2A">
        <w:rPr>
          <w:rFonts w:asciiTheme="minorHAnsi" w:hAnsiTheme="minorHAnsi"/>
        </w:rPr>
        <w:t>Hindmarsh</w:t>
      </w:r>
      <w:proofErr w:type="spellEnd"/>
      <w:r w:rsidRPr="00093B2A">
        <w:rPr>
          <w:rFonts w:asciiTheme="minorHAnsi" w:hAnsiTheme="minorHAnsi"/>
        </w:rPr>
        <w:t xml:space="preserve">, J., and Luff, P. (2010) </w:t>
      </w:r>
      <w:r w:rsidRPr="00093B2A">
        <w:rPr>
          <w:rFonts w:asciiTheme="minorHAnsi" w:hAnsiTheme="minorHAnsi"/>
          <w:i/>
        </w:rPr>
        <w:t>Video in qualitative research: Analysing social interaction in everyday life.</w:t>
      </w:r>
      <w:r w:rsidRPr="00093B2A">
        <w:rPr>
          <w:rFonts w:asciiTheme="minorHAnsi" w:hAnsiTheme="minorHAnsi"/>
        </w:rPr>
        <w:t xml:space="preserve"> London: Sage. </w:t>
      </w:r>
      <w:bookmarkStart w:id="14" w:name="_ENREF_19"/>
    </w:p>
    <w:p w14:paraId="764955E5" w14:textId="25D15874" w:rsidR="00E8586F" w:rsidRPr="00093B2A" w:rsidRDefault="00E8586F" w:rsidP="00093B2A">
      <w:pPr>
        <w:ind w:left="709" w:hanging="709"/>
        <w:rPr>
          <w:rFonts w:asciiTheme="minorHAnsi" w:hAnsiTheme="minorHAnsi"/>
        </w:rPr>
      </w:pPr>
      <w:r w:rsidRPr="00093B2A">
        <w:rPr>
          <w:rFonts w:asciiTheme="minorHAnsi" w:hAnsiTheme="minorHAnsi"/>
        </w:rPr>
        <w:t xml:space="preserve">Harris, M. B. (2013). </w:t>
      </w:r>
      <w:r w:rsidRPr="00093B2A">
        <w:rPr>
          <w:rFonts w:asciiTheme="minorHAnsi" w:hAnsiTheme="minorHAnsi"/>
          <w:i/>
        </w:rPr>
        <w:t>School experiences of gay and lesbian youth: The invisible minority</w:t>
      </w:r>
      <w:r w:rsidR="00CF53D3">
        <w:rPr>
          <w:rFonts w:asciiTheme="minorHAnsi" w:hAnsiTheme="minorHAnsi"/>
        </w:rPr>
        <w:t xml:space="preserve">. London: </w:t>
      </w:r>
      <w:r w:rsidRPr="00093B2A">
        <w:rPr>
          <w:rFonts w:asciiTheme="minorHAnsi" w:hAnsiTheme="minorHAnsi"/>
        </w:rPr>
        <w:t>Routledge.</w:t>
      </w:r>
      <w:bookmarkEnd w:id="14"/>
    </w:p>
    <w:p w14:paraId="767137EF" w14:textId="77777777" w:rsidR="00E8586F" w:rsidRPr="00093B2A" w:rsidRDefault="00E8586F" w:rsidP="00EF15EA">
      <w:pPr>
        <w:pStyle w:val="EndNoteBibliography"/>
        <w:ind w:left="720" w:hanging="720"/>
        <w:rPr>
          <w:rFonts w:asciiTheme="minorHAnsi" w:hAnsiTheme="minorHAnsi"/>
        </w:rPr>
      </w:pPr>
      <w:bookmarkStart w:id="15" w:name="_ENREF_20"/>
      <w:r w:rsidRPr="00093B2A">
        <w:rPr>
          <w:rFonts w:asciiTheme="minorHAnsi" w:hAnsiTheme="minorHAnsi"/>
        </w:rPr>
        <w:t xml:space="preserve">Heritage, J. (2012). The epistemic engine: Sequence organization and territories of knowledge. </w:t>
      </w:r>
      <w:r w:rsidRPr="00093B2A">
        <w:rPr>
          <w:rFonts w:asciiTheme="minorHAnsi" w:hAnsiTheme="minorHAnsi"/>
          <w:i/>
        </w:rPr>
        <w:t>Research on Language &amp; Social Interaction, 45</w:t>
      </w:r>
      <w:r w:rsidRPr="00093B2A">
        <w:rPr>
          <w:rFonts w:asciiTheme="minorHAnsi" w:hAnsiTheme="minorHAnsi"/>
        </w:rPr>
        <w:t xml:space="preserve">(1), 30-52. </w:t>
      </w:r>
      <w:bookmarkEnd w:id="15"/>
    </w:p>
    <w:p w14:paraId="707BD4DE" w14:textId="77777777" w:rsidR="00140CCD" w:rsidRPr="00093B2A" w:rsidRDefault="00140CCD" w:rsidP="00EF15EA">
      <w:pPr>
        <w:pStyle w:val="EndNoteBibliography"/>
        <w:ind w:left="720" w:hanging="720"/>
        <w:rPr>
          <w:rFonts w:asciiTheme="minorHAnsi" w:hAnsiTheme="minorHAnsi"/>
        </w:rPr>
      </w:pPr>
      <w:r w:rsidRPr="00093B2A">
        <w:rPr>
          <w:rFonts w:asciiTheme="minorHAnsi" w:hAnsiTheme="minorHAnsi"/>
        </w:rPr>
        <w:t xml:space="preserve">Heritage, J. (2013). Turn-initial position and some of its occupants. </w:t>
      </w:r>
      <w:r w:rsidRPr="00093B2A">
        <w:rPr>
          <w:rFonts w:asciiTheme="minorHAnsi" w:hAnsiTheme="minorHAnsi"/>
          <w:i/>
        </w:rPr>
        <w:t>Journal of Pragmatics, 57</w:t>
      </w:r>
      <w:r w:rsidRPr="00093B2A">
        <w:rPr>
          <w:rFonts w:asciiTheme="minorHAnsi" w:hAnsiTheme="minorHAnsi"/>
        </w:rPr>
        <w:t>, 331-337</w:t>
      </w:r>
    </w:p>
    <w:p w14:paraId="59A22B07" w14:textId="77777777" w:rsidR="00E8586F" w:rsidRPr="00093B2A" w:rsidRDefault="00E8586F" w:rsidP="00EF15EA">
      <w:pPr>
        <w:pStyle w:val="EndNoteBibliography"/>
        <w:ind w:left="720" w:hanging="720"/>
        <w:rPr>
          <w:rFonts w:asciiTheme="minorHAnsi" w:hAnsiTheme="minorHAnsi"/>
        </w:rPr>
      </w:pPr>
      <w:bookmarkStart w:id="16" w:name="_ENREF_21"/>
      <w:r w:rsidRPr="00093B2A">
        <w:rPr>
          <w:rFonts w:asciiTheme="minorHAnsi" w:hAnsiTheme="minorHAnsi"/>
        </w:rPr>
        <w:lastRenderedPageBreak/>
        <w:t xml:space="preserve">Hirst, J. (2004). Researching young people's sexuality and learning about sex: experience, need, and sex and relationship education. </w:t>
      </w:r>
      <w:r w:rsidRPr="00093B2A">
        <w:rPr>
          <w:rFonts w:asciiTheme="minorHAnsi" w:hAnsiTheme="minorHAnsi"/>
          <w:i/>
        </w:rPr>
        <w:t>Culture, health &amp; sexuality, 6</w:t>
      </w:r>
      <w:r w:rsidRPr="00093B2A">
        <w:rPr>
          <w:rFonts w:asciiTheme="minorHAnsi" w:hAnsiTheme="minorHAnsi"/>
        </w:rPr>
        <w:t xml:space="preserve">(2), 115-129. </w:t>
      </w:r>
      <w:bookmarkEnd w:id="16"/>
    </w:p>
    <w:p w14:paraId="3D59986A" w14:textId="77777777" w:rsidR="00E8586F" w:rsidRPr="00093B2A" w:rsidRDefault="00E8586F" w:rsidP="00EF15EA">
      <w:pPr>
        <w:pStyle w:val="EndNoteBibliography"/>
        <w:ind w:left="720" w:hanging="720"/>
        <w:rPr>
          <w:rFonts w:asciiTheme="minorHAnsi" w:hAnsiTheme="minorHAnsi"/>
        </w:rPr>
      </w:pPr>
      <w:bookmarkStart w:id="17" w:name="_ENREF_22"/>
      <w:r w:rsidRPr="00093B2A">
        <w:rPr>
          <w:rFonts w:asciiTheme="minorHAnsi" w:hAnsiTheme="minorHAnsi"/>
        </w:rPr>
        <w:t xml:space="preserve">Hirst, J. (2013). ‘It's got to be about enjoying yourself’: young people, sexual pleasure, and sex and relationships education. </w:t>
      </w:r>
      <w:r w:rsidRPr="00093B2A">
        <w:rPr>
          <w:rFonts w:asciiTheme="minorHAnsi" w:hAnsiTheme="minorHAnsi"/>
          <w:i/>
        </w:rPr>
        <w:t>Sex Education, 13</w:t>
      </w:r>
      <w:r w:rsidRPr="00093B2A">
        <w:rPr>
          <w:rFonts w:asciiTheme="minorHAnsi" w:hAnsiTheme="minorHAnsi"/>
        </w:rPr>
        <w:t xml:space="preserve">(4), 423-436. </w:t>
      </w:r>
      <w:bookmarkEnd w:id="17"/>
    </w:p>
    <w:p w14:paraId="3138F16D" w14:textId="77777777" w:rsidR="00E8586F" w:rsidRPr="00093B2A" w:rsidRDefault="00E8586F" w:rsidP="00EF15EA">
      <w:pPr>
        <w:pStyle w:val="EndNoteBibliography"/>
        <w:ind w:left="720" w:hanging="720"/>
        <w:rPr>
          <w:rFonts w:asciiTheme="minorHAnsi" w:hAnsiTheme="minorHAnsi"/>
        </w:rPr>
      </w:pPr>
      <w:bookmarkStart w:id="18" w:name="_ENREF_23"/>
      <w:r w:rsidRPr="00093B2A">
        <w:rPr>
          <w:rFonts w:asciiTheme="minorHAnsi" w:hAnsiTheme="minorHAnsi"/>
        </w:rPr>
        <w:t xml:space="preserve">Hutchby, I. (2002). Resisting the incitement to talk in child counselling: aspects of the utteranceI don't know'. </w:t>
      </w:r>
      <w:r w:rsidRPr="00093B2A">
        <w:rPr>
          <w:rFonts w:asciiTheme="minorHAnsi" w:hAnsiTheme="minorHAnsi"/>
          <w:i/>
        </w:rPr>
        <w:t>Discourse studies, 4</w:t>
      </w:r>
      <w:r w:rsidRPr="00093B2A">
        <w:rPr>
          <w:rFonts w:asciiTheme="minorHAnsi" w:hAnsiTheme="minorHAnsi"/>
        </w:rPr>
        <w:t xml:space="preserve">(2), 147-168. </w:t>
      </w:r>
      <w:bookmarkEnd w:id="18"/>
    </w:p>
    <w:p w14:paraId="7092B10C" w14:textId="77777777" w:rsidR="00E8586F" w:rsidRPr="00093B2A" w:rsidRDefault="00E8586F" w:rsidP="00EF15EA">
      <w:pPr>
        <w:pStyle w:val="EndNoteBibliography"/>
        <w:ind w:left="720" w:hanging="720"/>
        <w:rPr>
          <w:rFonts w:asciiTheme="minorHAnsi" w:hAnsiTheme="minorHAnsi"/>
        </w:rPr>
      </w:pPr>
      <w:bookmarkStart w:id="19" w:name="_ENREF_24"/>
      <w:r w:rsidRPr="00093B2A">
        <w:rPr>
          <w:rFonts w:asciiTheme="minorHAnsi" w:hAnsiTheme="minorHAnsi"/>
        </w:rPr>
        <w:t xml:space="preserve">Jackson, S. (1982). </w:t>
      </w:r>
      <w:r w:rsidRPr="00093B2A">
        <w:rPr>
          <w:rFonts w:asciiTheme="minorHAnsi" w:hAnsiTheme="minorHAnsi"/>
          <w:i/>
        </w:rPr>
        <w:t>Childhood and sexuality</w:t>
      </w:r>
      <w:r w:rsidRPr="00093B2A">
        <w:rPr>
          <w:rFonts w:asciiTheme="minorHAnsi" w:hAnsiTheme="minorHAnsi"/>
        </w:rPr>
        <w:t>.</w:t>
      </w:r>
      <w:r w:rsidR="00347FE6" w:rsidRPr="00093B2A">
        <w:rPr>
          <w:rFonts w:asciiTheme="minorHAnsi" w:hAnsiTheme="minorHAnsi"/>
        </w:rPr>
        <w:t xml:space="preserve"> Oxford: Blackwell</w:t>
      </w:r>
      <w:r w:rsidRPr="00093B2A">
        <w:rPr>
          <w:rFonts w:asciiTheme="minorHAnsi" w:hAnsiTheme="minorHAnsi"/>
        </w:rPr>
        <w:t xml:space="preserve"> </w:t>
      </w:r>
      <w:bookmarkEnd w:id="19"/>
    </w:p>
    <w:p w14:paraId="469EFA04" w14:textId="77777777" w:rsidR="00E8586F" w:rsidRPr="00093B2A" w:rsidRDefault="00E8586F" w:rsidP="00EF15EA">
      <w:pPr>
        <w:pStyle w:val="EndNoteBibliography"/>
        <w:ind w:left="720" w:hanging="720"/>
        <w:rPr>
          <w:rFonts w:asciiTheme="minorHAnsi" w:hAnsiTheme="minorHAnsi"/>
        </w:rPr>
      </w:pPr>
      <w:bookmarkStart w:id="20" w:name="_ENREF_25"/>
      <w:r w:rsidRPr="00093B2A">
        <w:rPr>
          <w:rFonts w:asciiTheme="minorHAnsi" w:hAnsiTheme="minorHAnsi"/>
        </w:rPr>
        <w:t xml:space="preserve">Jefferson, G. (1984). Stepwise transition from talk about a trouble to inappropriately next-positioned matters. In J. M. Atkinson &amp; J. Heritage (Eds.), </w:t>
      </w:r>
      <w:r w:rsidRPr="00093B2A">
        <w:rPr>
          <w:rFonts w:asciiTheme="minorHAnsi" w:hAnsiTheme="minorHAnsi"/>
          <w:i/>
        </w:rPr>
        <w:t>Structures of Social Action: Studies in Conversation Analysis</w:t>
      </w:r>
      <w:r w:rsidRPr="00093B2A">
        <w:rPr>
          <w:rFonts w:asciiTheme="minorHAnsi" w:hAnsiTheme="minorHAnsi"/>
        </w:rPr>
        <w:t xml:space="preserve"> (pp. 191-222). Cambridge: Cambridge University Press.</w:t>
      </w:r>
      <w:bookmarkEnd w:id="20"/>
    </w:p>
    <w:p w14:paraId="5BEA5194" w14:textId="77777777" w:rsidR="00E8586F" w:rsidRPr="00093B2A" w:rsidRDefault="00E8586F" w:rsidP="00EF15EA">
      <w:pPr>
        <w:pStyle w:val="EndNoteBibliography"/>
        <w:ind w:left="720" w:hanging="720"/>
        <w:rPr>
          <w:rFonts w:asciiTheme="minorHAnsi" w:hAnsiTheme="minorHAnsi"/>
        </w:rPr>
      </w:pPr>
      <w:bookmarkStart w:id="21" w:name="_ENREF_26"/>
      <w:r w:rsidRPr="00093B2A">
        <w:rPr>
          <w:rFonts w:asciiTheme="minorHAnsi" w:hAnsiTheme="minorHAnsi"/>
        </w:rPr>
        <w:t xml:space="preserve">Jefferson, G., Sacks, H., &amp; Schegloff, E. A. (1987). Notes on laughter in the pursuit of intimacy. In G. Button &amp; J. R. E. Lee (Eds.), </w:t>
      </w:r>
      <w:r w:rsidRPr="00093B2A">
        <w:rPr>
          <w:rFonts w:asciiTheme="minorHAnsi" w:hAnsiTheme="minorHAnsi"/>
          <w:i/>
        </w:rPr>
        <w:t>Talk and Social Organisation</w:t>
      </w:r>
      <w:r w:rsidRPr="00093B2A">
        <w:rPr>
          <w:rFonts w:asciiTheme="minorHAnsi" w:hAnsiTheme="minorHAnsi"/>
        </w:rPr>
        <w:t xml:space="preserve"> (pp. 152-205). Clevedon: Multilingual Matters.</w:t>
      </w:r>
      <w:bookmarkEnd w:id="21"/>
    </w:p>
    <w:p w14:paraId="47488AB5" w14:textId="55664279" w:rsidR="00E8586F" w:rsidRPr="00093B2A" w:rsidRDefault="00E8586F" w:rsidP="00EF15EA">
      <w:pPr>
        <w:pStyle w:val="EndNoteBibliography"/>
        <w:ind w:left="720" w:hanging="720"/>
        <w:rPr>
          <w:rFonts w:asciiTheme="minorHAnsi" w:hAnsiTheme="minorHAnsi"/>
        </w:rPr>
      </w:pPr>
      <w:bookmarkStart w:id="22" w:name="_ENREF_27"/>
      <w:r w:rsidRPr="00093B2A">
        <w:rPr>
          <w:rFonts w:asciiTheme="minorHAnsi" w:hAnsiTheme="minorHAnsi"/>
        </w:rPr>
        <w:t xml:space="preserve">Karatsu, M. (2012). </w:t>
      </w:r>
      <w:r w:rsidRPr="00093B2A">
        <w:rPr>
          <w:rFonts w:asciiTheme="minorHAnsi" w:hAnsiTheme="minorHAnsi"/>
          <w:i/>
        </w:rPr>
        <w:t>Conversational storytelling among Japanese women : conversational circumstances, social circumstances and tellability of stories</w:t>
      </w:r>
      <w:r w:rsidR="00CF53D3">
        <w:rPr>
          <w:rFonts w:asciiTheme="minorHAnsi" w:hAnsiTheme="minorHAnsi"/>
        </w:rPr>
        <w:t xml:space="preserve">. </w:t>
      </w:r>
      <w:r w:rsidRPr="00093B2A">
        <w:rPr>
          <w:rFonts w:asciiTheme="minorHAnsi" w:hAnsiTheme="minorHAnsi"/>
        </w:rPr>
        <w:t>Philadelphia: John Benjamins Pub. Co.</w:t>
      </w:r>
      <w:bookmarkEnd w:id="22"/>
    </w:p>
    <w:p w14:paraId="44FE29D4" w14:textId="77777777" w:rsidR="00E8586F" w:rsidRPr="00093B2A" w:rsidRDefault="00E8586F" w:rsidP="00EF15EA">
      <w:pPr>
        <w:pStyle w:val="EndNoteBibliography"/>
        <w:ind w:left="720" w:hanging="720"/>
        <w:rPr>
          <w:rFonts w:asciiTheme="minorHAnsi" w:hAnsiTheme="minorHAnsi"/>
        </w:rPr>
      </w:pPr>
      <w:bookmarkStart w:id="23" w:name="_ENREF_28"/>
      <w:r w:rsidRPr="00093B2A">
        <w:rPr>
          <w:rFonts w:asciiTheme="minorHAnsi" w:hAnsiTheme="minorHAnsi"/>
        </w:rPr>
        <w:t xml:space="preserve">Kitzinger, C. (2000). Doing feminist conversation analysis. </w:t>
      </w:r>
      <w:r w:rsidRPr="00093B2A">
        <w:rPr>
          <w:rFonts w:asciiTheme="minorHAnsi" w:hAnsiTheme="minorHAnsi"/>
          <w:i/>
        </w:rPr>
        <w:t>Feminism &amp; Psychology, 10</w:t>
      </w:r>
      <w:r w:rsidRPr="00093B2A">
        <w:rPr>
          <w:rFonts w:asciiTheme="minorHAnsi" w:hAnsiTheme="minorHAnsi"/>
        </w:rPr>
        <w:t xml:space="preserve">(2), 163-193. </w:t>
      </w:r>
      <w:bookmarkEnd w:id="23"/>
    </w:p>
    <w:p w14:paraId="65978F51" w14:textId="77777777" w:rsidR="00E8586F" w:rsidRPr="00093B2A" w:rsidRDefault="00E8586F" w:rsidP="00EF15EA">
      <w:pPr>
        <w:pStyle w:val="EndNoteBibliography"/>
        <w:ind w:left="720" w:hanging="720"/>
        <w:rPr>
          <w:rFonts w:asciiTheme="minorHAnsi" w:hAnsiTheme="minorHAnsi"/>
        </w:rPr>
      </w:pPr>
      <w:bookmarkStart w:id="24" w:name="_ENREF_29"/>
      <w:r w:rsidRPr="00093B2A">
        <w:rPr>
          <w:rFonts w:asciiTheme="minorHAnsi" w:hAnsiTheme="minorHAnsi"/>
        </w:rPr>
        <w:t xml:space="preserve">Kitzinger, C. (2005a). Heteronormativity in action: Reproducing the heterosexual nuclear family in after-hours medical calls. </w:t>
      </w:r>
      <w:r w:rsidRPr="00093B2A">
        <w:rPr>
          <w:rFonts w:asciiTheme="minorHAnsi" w:hAnsiTheme="minorHAnsi"/>
          <w:i/>
        </w:rPr>
        <w:t>Social Problems, 52</w:t>
      </w:r>
      <w:r w:rsidRPr="00093B2A">
        <w:rPr>
          <w:rFonts w:asciiTheme="minorHAnsi" w:hAnsiTheme="minorHAnsi"/>
        </w:rPr>
        <w:t xml:space="preserve">(4), 477-498. </w:t>
      </w:r>
      <w:bookmarkEnd w:id="24"/>
    </w:p>
    <w:p w14:paraId="02620673" w14:textId="77777777" w:rsidR="00E8586F" w:rsidRPr="00093B2A" w:rsidRDefault="00E8586F" w:rsidP="00EF15EA">
      <w:pPr>
        <w:pStyle w:val="EndNoteBibliography"/>
        <w:ind w:left="720" w:hanging="720"/>
        <w:rPr>
          <w:rFonts w:asciiTheme="minorHAnsi" w:hAnsiTheme="minorHAnsi"/>
        </w:rPr>
      </w:pPr>
      <w:bookmarkStart w:id="25" w:name="_ENREF_30"/>
      <w:r w:rsidRPr="00093B2A">
        <w:rPr>
          <w:rFonts w:asciiTheme="minorHAnsi" w:hAnsiTheme="minorHAnsi"/>
        </w:rPr>
        <w:t xml:space="preserve">Kitzinger, C. (2005b). " Speaking as a Heterosexual":(How) Does Sexuality Matter for Talk-in-Interaction? </w:t>
      </w:r>
      <w:r w:rsidRPr="00093B2A">
        <w:rPr>
          <w:rFonts w:asciiTheme="minorHAnsi" w:hAnsiTheme="minorHAnsi"/>
          <w:i/>
        </w:rPr>
        <w:t>Research on Language and Social Interaction, 38</w:t>
      </w:r>
      <w:r w:rsidRPr="00093B2A">
        <w:rPr>
          <w:rFonts w:asciiTheme="minorHAnsi" w:hAnsiTheme="minorHAnsi"/>
        </w:rPr>
        <w:t xml:space="preserve">(3), 221-265. </w:t>
      </w:r>
      <w:bookmarkEnd w:id="25"/>
    </w:p>
    <w:p w14:paraId="059E0C19" w14:textId="77777777" w:rsidR="00E8586F" w:rsidRPr="00093B2A" w:rsidRDefault="00E8586F" w:rsidP="00EF15EA">
      <w:pPr>
        <w:pStyle w:val="EndNoteBibliography"/>
        <w:ind w:left="720" w:hanging="720"/>
        <w:rPr>
          <w:rFonts w:asciiTheme="minorHAnsi" w:hAnsiTheme="minorHAnsi"/>
        </w:rPr>
      </w:pPr>
      <w:bookmarkStart w:id="26" w:name="_ENREF_31"/>
      <w:r w:rsidRPr="00093B2A">
        <w:rPr>
          <w:rFonts w:asciiTheme="minorHAnsi" w:hAnsiTheme="minorHAnsi"/>
        </w:rPr>
        <w:t xml:space="preserve">Kitzinger, C. (2006). Talking sex and gender. In P. Drew, G. Raymond &amp; D. Weinberg (Eds.), </w:t>
      </w:r>
      <w:r w:rsidRPr="00093B2A">
        <w:rPr>
          <w:rFonts w:asciiTheme="minorHAnsi" w:hAnsiTheme="minorHAnsi"/>
          <w:i/>
        </w:rPr>
        <w:t>Talk and interaction in social research methods</w:t>
      </w:r>
      <w:r w:rsidRPr="00093B2A">
        <w:rPr>
          <w:rFonts w:asciiTheme="minorHAnsi" w:hAnsiTheme="minorHAnsi"/>
        </w:rPr>
        <w:t>. London: Sage.</w:t>
      </w:r>
      <w:bookmarkEnd w:id="26"/>
    </w:p>
    <w:p w14:paraId="1B42D5E8" w14:textId="77777777" w:rsidR="00E8586F" w:rsidRPr="00093B2A" w:rsidRDefault="00E8586F" w:rsidP="00EF15EA">
      <w:pPr>
        <w:pStyle w:val="EndNoteBibliography"/>
        <w:ind w:left="720" w:hanging="720"/>
        <w:rPr>
          <w:rFonts w:asciiTheme="minorHAnsi" w:hAnsiTheme="minorHAnsi"/>
        </w:rPr>
      </w:pPr>
      <w:bookmarkStart w:id="27" w:name="_ENREF_32"/>
      <w:r w:rsidRPr="00093B2A">
        <w:rPr>
          <w:rFonts w:asciiTheme="minorHAnsi" w:hAnsiTheme="minorHAnsi"/>
        </w:rPr>
        <w:t xml:space="preserve">Kitzinger, C., &amp; Frith, H. (1999). Just say no? The use of conversation analysis in developing a feminist perspective on sexual refusal. </w:t>
      </w:r>
      <w:r w:rsidRPr="00093B2A">
        <w:rPr>
          <w:rFonts w:asciiTheme="minorHAnsi" w:hAnsiTheme="minorHAnsi"/>
          <w:i/>
        </w:rPr>
        <w:t>Discourse &amp; Society, 10</w:t>
      </w:r>
      <w:r w:rsidRPr="00093B2A">
        <w:rPr>
          <w:rFonts w:asciiTheme="minorHAnsi" w:hAnsiTheme="minorHAnsi"/>
        </w:rPr>
        <w:t xml:space="preserve">(3), 293-316. </w:t>
      </w:r>
      <w:bookmarkEnd w:id="27"/>
    </w:p>
    <w:p w14:paraId="31CDE2B5" w14:textId="01F7E735" w:rsidR="00E1094F" w:rsidRPr="00093B2A" w:rsidRDefault="00E1094F" w:rsidP="00093B2A">
      <w:pPr>
        <w:ind w:left="709" w:hanging="709"/>
        <w:rPr>
          <w:rFonts w:asciiTheme="minorHAnsi" w:eastAsia="Times New Roman" w:hAnsiTheme="minorHAnsi"/>
          <w:lang w:eastAsia="en-US" w:bidi="ar-SA"/>
        </w:rPr>
      </w:pPr>
      <w:proofErr w:type="spellStart"/>
      <w:r w:rsidRPr="00093B2A">
        <w:rPr>
          <w:rFonts w:asciiTheme="minorHAnsi" w:eastAsia="Times New Roman" w:hAnsiTheme="minorHAnsi"/>
          <w:lang w:eastAsia="en-US" w:bidi="ar-SA"/>
        </w:rPr>
        <w:t>Labov</w:t>
      </w:r>
      <w:proofErr w:type="spellEnd"/>
      <w:r w:rsidRPr="00093B2A">
        <w:rPr>
          <w:rFonts w:asciiTheme="minorHAnsi" w:eastAsia="Times New Roman" w:hAnsiTheme="minorHAnsi"/>
          <w:lang w:eastAsia="en-US" w:bidi="ar-SA"/>
        </w:rPr>
        <w:t xml:space="preserve"> W (1972) Some principles of linguistic methodology. </w:t>
      </w:r>
      <w:r w:rsidRPr="00CF53D3">
        <w:rPr>
          <w:rFonts w:asciiTheme="minorHAnsi" w:eastAsia="Times New Roman" w:hAnsiTheme="minorHAnsi"/>
          <w:i/>
          <w:lang w:eastAsia="en-US" w:bidi="ar-SA"/>
        </w:rPr>
        <w:t>Language in Society</w:t>
      </w:r>
      <w:r w:rsidR="00CF53D3">
        <w:rPr>
          <w:rFonts w:asciiTheme="minorHAnsi" w:eastAsia="Times New Roman" w:hAnsiTheme="minorHAnsi"/>
          <w:lang w:eastAsia="en-US" w:bidi="ar-SA"/>
        </w:rPr>
        <w:t>, 1(1),</w:t>
      </w:r>
      <w:r w:rsidRPr="00093B2A">
        <w:rPr>
          <w:rFonts w:asciiTheme="minorHAnsi" w:eastAsia="Times New Roman" w:hAnsiTheme="minorHAnsi"/>
          <w:lang w:eastAsia="en-US" w:bidi="ar-SA"/>
        </w:rPr>
        <w:t xml:space="preserve"> 97–120.</w:t>
      </w:r>
    </w:p>
    <w:p w14:paraId="417A9320" w14:textId="010B03EE" w:rsidR="00E1094F" w:rsidRPr="00093B2A" w:rsidRDefault="00273A9C" w:rsidP="00093B2A">
      <w:pPr>
        <w:ind w:left="709" w:hanging="709"/>
        <w:rPr>
          <w:rFonts w:asciiTheme="minorHAnsi" w:hAnsiTheme="minorHAnsi"/>
        </w:rPr>
      </w:pPr>
      <w:proofErr w:type="spellStart"/>
      <w:r w:rsidRPr="00093B2A">
        <w:rPr>
          <w:rFonts w:asciiTheme="minorHAnsi" w:eastAsia="Times New Roman" w:hAnsiTheme="minorHAnsi"/>
          <w:lang w:val="en-US" w:eastAsia="en-US" w:bidi="ar-SA"/>
        </w:rPr>
        <w:t>Labov</w:t>
      </w:r>
      <w:proofErr w:type="spellEnd"/>
      <w:r w:rsidRPr="00093B2A">
        <w:rPr>
          <w:rFonts w:asciiTheme="minorHAnsi" w:eastAsia="Times New Roman" w:hAnsiTheme="minorHAnsi"/>
          <w:lang w:val="en-US" w:eastAsia="en-US" w:bidi="ar-SA"/>
        </w:rPr>
        <w:t xml:space="preserve">, W., &amp; </w:t>
      </w:r>
      <w:proofErr w:type="spellStart"/>
      <w:r w:rsidRPr="00093B2A">
        <w:rPr>
          <w:rFonts w:asciiTheme="minorHAnsi" w:eastAsia="Times New Roman" w:hAnsiTheme="minorHAnsi"/>
          <w:lang w:val="en-US" w:eastAsia="en-US" w:bidi="ar-SA"/>
        </w:rPr>
        <w:t>Waletsky</w:t>
      </w:r>
      <w:proofErr w:type="spellEnd"/>
      <w:r w:rsidRPr="00093B2A">
        <w:rPr>
          <w:rFonts w:asciiTheme="minorHAnsi" w:eastAsia="Times New Roman" w:hAnsiTheme="minorHAnsi"/>
          <w:lang w:val="en-US" w:eastAsia="en-US" w:bidi="ar-SA"/>
        </w:rPr>
        <w:t xml:space="preserve">, J. (1967). Narrative analysis: Oral versions of personal experience. </w:t>
      </w:r>
      <w:r w:rsidRPr="00093B2A">
        <w:rPr>
          <w:rFonts w:asciiTheme="minorHAnsi" w:eastAsia="Times New Roman" w:hAnsiTheme="minorHAnsi"/>
          <w:i/>
          <w:iCs/>
          <w:lang w:val="en-US" w:eastAsia="en-US" w:bidi="ar-SA"/>
        </w:rPr>
        <w:t>Journal of Narrative Analysis and Life History</w:t>
      </w:r>
      <w:r w:rsidRPr="00093B2A">
        <w:rPr>
          <w:rFonts w:asciiTheme="minorHAnsi" w:eastAsia="Times New Roman" w:hAnsiTheme="minorHAnsi"/>
          <w:lang w:val="en-US" w:eastAsia="en-US" w:bidi="ar-SA"/>
        </w:rPr>
        <w:t xml:space="preserve">, </w:t>
      </w:r>
      <w:r w:rsidRPr="00093B2A">
        <w:rPr>
          <w:rFonts w:asciiTheme="minorHAnsi" w:eastAsia="Times New Roman" w:hAnsiTheme="minorHAnsi"/>
          <w:i/>
          <w:iCs/>
          <w:lang w:val="en-US" w:eastAsia="en-US" w:bidi="ar-SA"/>
        </w:rPr>
        <w:t>7</w:t>
      </w:r>
      <w:r w:rsidRPr="00093B2A">
        <w:rPr>
          <w:rFonts w:asciiTheme="minorHAnsi" w:eastAsia="Times New Roman" w:hAnsiTheme="minorHAnsi"/>
          <w:lang w:val="en-US" w:eastAsia="en-US" w:bidi="ar-SA"/>
        </w:rPr>
        <w:t xml:space="preserve">, 3–38. </w:t>
      </w:r>
    </w:p>
    <w:p w14:paraId="6E14DFF0" w14:textId="77777777" w:rsidR="00E8586F" w:rsidRPr="00093B2A" w:rsidRDefault="00E8586F" w:rsidP="00EF15EA">
      <w:pPr>
        <w:pStyle w:val="EndNoteBibliography"/>
        <w:ind w:left="720" w:hanging="720"/>
        <w:rPr>
          <w:rFonts w:asciiTheme="minorHAnsi" w:hAnsiTheme="minorHAnsi"/>
        </w:rPr>
      </w:pPr>
      <w:bookmarkStart w:id="28" w:name="_ENREF_33"/>
      <w:r w:rsidRPr="00093B2A">
        <w:rPr>
          <w:rFonts w:asciiTheme="minorHAnsi" w:hAnsiTheme="minorHAnsi"/>
        </w:rPr>
        <w:t xml:space="preserve">Labov, W., &amp; Fanshel, D. (1977). </w:t>
      </w:r>
      <w:r w:rsidRPr="00093B2A">
        <w:rPr>
          <w:rFonts w:asciiTheme="minorHAnsi" w:hAnsiTheme="minorHAnsi"/>
          <w:i/>
        </w:rPr>
        <w:t>Therapeutic discourse.</w:t>
      </w:r>
      <w:r w:rsidRPr="00093B2A">
        <w:rPr>
          <w:rFonts w:asciiTheme="minorHAnsi" w:hAnsiTheme="minorHAnsi"/>
        </w:rPr>
        <w:t xml:space="preserve"> New York: Academic Press.</w:t>
      </w:r>
      <w:bookmarkEnd w:id="28"/>
    </w:p>
    <w:p w14:paraId="31DFF3C3" w14:textId="77777777" w:rsidR="00E8586F" w:rsidRPr="00093B2A" w:rsidRDefault="00E8586F" w:rsidP="00EF15EA">
      <w:pPr>
        <w:pStyle w:val="EndNoteBibliography"/>
        <w:ind w:left="720" w:hanging="720"/>
        <w:rPr>
          <w:rFonts w:asciiTheme="minorHAnsi" w:hAnsiTheme="minorHAnsi"/>
        </w:rPr>
      </w:pPr>
      <w:bookmarkStart w:id="29" w:name="_ENREF_34"/>
      <w:r w:rsidRPr="00093B2A">
        <w:rPr>
          <w:rFonts w:asciiTheme="minorHAnsi" w:hAnsiTheme="minorHAnsi"/>
        </w:rPr>
        <w:t xml:space="preserve">Land, V., &amp; Kitzinger, C. (2005). Speaking as a lesbian: Correcting the heterosexist presumption. </w:t>
      </w:r>
      <w:r w:rsidRPr="00093B2A">
        <w:rPr>
          <w:rFonts w:asciiTheme="minorHAnsi" w:hAnsiTheme="minorHAnsi"/>
          <w:i/>
        </w:rPr>
        <w:t>Research on Language and Social Interaction, 38</w:t>
      </w:r>
      <w:r w:rsidRPr="00093B2A">
        <w:rPr>
          <w:rFonts w:asciiTheme="minorHAnsi" w:hAnsiTheme="minorHAnsi"/>
        </w:rPr>
        <w:t xml:space="preserve">(4), 371-416. </w:t>
      </w:r>
      <w:bookmarkEnd w:id="29"/>
    </w:p>
    <w:p w14:paraId="77973B8E" w14:textId="72BAC58D" w:rsidR="00E8586F" w:rsidRPr="00093B2A" w:rsidRDefault="00E8586F" w:rsidP="00EF15EA">
      <w:pPr>
        <w:pStyle w:val="EndNoteBibliography"/>
        <w:ind w:left="720" w:hanging="720"/>
        <w:rPr>
          <w:rFonts w:asciiTheme="minorHAnsi" w:hAnsiTheme="minorHAnsi"/>
        </w:rPr>
      </w:pPr>
      <w:bookmarkStart w:id="30" w:name="_ENREF_35"/>
      <w:r w:rsidRPr="00093B2A">
        <w:rPr>
          <w:rFonts w:asciiTheme="minorHAnsi" w:hAnsiTheme="minorHAnsi"/>
        </w:rPr>
        <w:t xml:space="preserve">Lees, S. (1986). </w:t>
      </w:r>
      <w:r w:rsidRPr="00093B2A">
        <w:rPr>
          <w:rFonts w:asciiTheme="minorHAnsi" w:hAnsiTheme="minorHAnsi"/>
          <w:i/>
        </w:rPr>
        <w:t>Losing out: Sexuality and adolescent girls</w:t>
      </w:r>
      <w:r w:rsidR="00CF53D3">
        <w:rPr>
          <w:rFonts w:asciiTheme="minorHAnsi" w:hAnsiTheme="minorHAnsi"/>
        </w:rPr>
        <w:t>. London:</w:t>
      </w:r>
      <w:r w:rsidRPr="00093B2A">
        <w:rPr>
          <w:rFonts w:asciiTheme="minorHAnsi" w:hAnsiTheme="minorHAnsi"/>
        </w:rPr>
        <w:t xml:space="preserve"> Hutchinson</w:t>
      </w:r>
      <w:r w:rsidR="00CF53D3">
        <w:rPr>
          <w:rFonts w:asciiTheme="minorHAnsi" w:hAnsiTheme="minorHAnsi"/>
        </w:rPr>
        <w:t>.</w:t>
      </w:r>
      <w:r w:rsidRPr="00093B2A">
        <w:rPr>
          <w:rFonts w:asciiTheme="minorHAnsi" w:hAnsiTheme="minorHAnsi"/>
        </w:rPr>
        <w:t xml:space="preserve"> </w:t>
      </w:r>
      <w:bookmarkEnd w:id="30"/>
    </w:p>
    <w:p w14:paraId="7FD4ADDE" w14:textId="77777777" w:rsidR="00140CCD" w:rsidRPr="00093B2A" w:rsidRDefault="00140CCD" w:rsidP="00140CCD">
      <w:pPr>
        <w:pStyle w:val="EndNoteBibliography"/>
        <w:ind w:left="720" w:hanging="720"/>
        <w:rPr>
          <w:rFonts w:asciiTheme="minorHAnsi" w:hAnsiTheme="minorHAnsi"/>
        </w:rPr>
      </w:pPr>
      <w:bookmarkStart w:id="31" w:name="_ENREF_9"/>
      <w:r w:rsidRPr="00093B2A">
        <w:rPr>
          <w:rFonts w:asciiTheme="minorHAnsi" w:hAnsiTheme="minorHAnsi"/>
        </w:rPr>
        <w:t xml:space="preserve">Lerner, G. H. (1996). On the" semi-permeable" character of grammatical units in conversation: Conditional entry into the turn space of another speaker. </w:t>
      </w:r>
      <w:r w:rsidRPr="00093B2A">
        <w:rPr>
          <w:rFonts w:asciiTheme="minorHAnsi" w:hAnsiTheme="minorHAnsi"/>
          <w:i/>
        </w:rPr>
        <w:t>Studies in interactional sociolinguistics, 13</w:t>
      </w:r>
      <w:r w:rsidRPr="00093B2A">
        <w:rPr>
          <w:rFonts w:asciiTheme="minorHAnsi" w:hAnsiTheme="minorHAnsi"/>
        </w:rPr>
        <w:t xml:space="preserve">, 238-276. </w:t>
      </w:r>
      <w:bookmarkEnd w:id="31"/>
    </w:p>
    <w:p w14:paraId="1D1F2472" w14:textId="77777777" w:rsidR="00E8586F" w:rsidRPr="00093B2A" w:rsidRDefault="00E8586F" w:rsidP="00EF15EA">
      <w:pPr>
        <w:pStyle w:val="EndNoteBibliography"/>
        <w:ind w:left="720" w:hanging="720"/>
        <w:rPr>
          <w:rFonts w:asciiTheme="minorHAnsi" w:hAnsiTheme="minorHAnsi"/>
        </w:rPr>
      </w:pPr>
      <w:bookmarkStart w:id="32" w:name="_ENREF_36"/>
      <w:r w:rsidRPr="00093B2A">
        <w:rPr>
          <w:rFonts w:asciiTheme="minorHAnsi" w:hAnsiTheme="minorHAnsi"/>
        </w:rPr>
        <w:t xml:space="preserve">Lerner, G. H. (2003). Selecting next speaker: The context-sensitive operation of a context-free organization. </w:t>
      </w:r>
      <w:r w:rsidRPr="00093B2A">
        <w:rPr>
          <w:rFonts w:asciiTheme="minorHAnsi" w:hAnsiTheme="minorHAnsi"/>
          <w:i/>
        </w:rPr>
        <w:t>Language in Society, 32</w:t>
      </w:r>
      <w:r w:rsidRPr="00093B2A">
        <w:rPr>
          <w:rFonts w:asciiTheme="minorHAnsi" w:hAnsiTheme="minorHAnsi"/>
        </w:rPr>
        <w:t xml:space="preserve">(02), 177-201. </w:t>
      </w:r>
      <w:bookmarkEnd w:id="32"/>
    </w:p>
    <w:p w14:paraId="3C995218" w14:textId="1407ECD1" w:rsidR="00567FC3" w:rsidRPr="00093B2A" w:rsidRDefault="00567FC3" w:rsidP="00093B2A">
      <w:pPr>
        <w:ind w:left="709" w:hanging="709"/>
        <w:rPr>
          <w:rFonts w:asciiTheme="minorHAnsi" w:hAnsiTheme="minorHAnsi"/>
        </w:rPr>
      </w:pPr>
      <w:r w:rsidRPr="00093B2A">
        <w:rPr>
          <w:rFonts w:asciiTheme="minorHAnsi" w:eastAsia="Times New Roman" w:hAnsiTheme="minorHAnsi"/>
          <w:lang w:eastAsia="en-US" w:bidi="ar-SA"/>
        </w:rPr>
        <w:t xml:space="preserve">Lynch, M. </w:t>
      </w:r>
      <w:r w:rsidR="00093B2A">
        <w:rPr>
          <w:rFonts w:asciiTheme="minorHAnsi" w:eastAsia="Times New Roman" w:hAnsiTheme="minorHAnsi"/>
          <w:lang w:eastAsia="en-US" w:bidi="ar-SA"/>
        </w:rPr>
        <w:t>(</w:t>
      </w:r>
      <w:r w:rsidRPr="00093B2A">
        <w:rPr>
          <w:rFonts w:asciiTheme="minorHAnsi" w:eastAsia="Times New Roman" w:hAnsiTheme="minorHAnsi"/>
          <w:lang w:eastAsia="en-US" w:bidi="ar-SA"/>
        </w:rPr>
        <w:t>2002</w:t>
      </w:r>
      <w:r w:rsidR="00093B2A">
        <w:rPr>
          <w:rFonts w:asciiTheme="minorHAnsi" w:eastAsia="Times New Roman" w:hAnsiTheme="minorHAnsi"/>
          <w:lang w:eastAsia="en-US" w:bidi="ar-SA"/>
        </w:rPr>
        <w:t>).</w:t>
      </w:r>
      <w:r w:rsidRPr="00093B2A">
        <w:rPr>
          <w:rFonts w:asciiTheme="minorHAnsi" w:eastAsia="Times New Roman" w:hAnsiTheme="minorHAnsi"/>
          <w:lang w:eastAsia="en-US" w:bidi="ar-SA"/>
        </w:rPr>
        <w:t xml:space="preserve"> From naturally occurring data to naturally organized ordinary activities: comment on Speer. </w:t>
      </w:r>
      <w:r w:rsidRPr="00093B2A">
        <w:rPr>
          <w:rFonts w:asciiTheme="minorHAnsi" w:eastAsia="Times New Roman" w:hAnsiTheme="minorHAnsi"/>
          <w:i/>
          <w:lang w:eastAsia="en-US" w:bidi="ar-SA"/>
        </w:rPr>
        <w:t>Discourse Studies</w:t>
      </w:r>
      <w:r w:rsidRPr="00093B2A">
        <w:rPr>
          <w:rFonts w:asciiTheme="minorHAnsi" w:eastAsia="Times New Roman" w:hAnsiTheme="minorHAnsi"/>
          <w:lang w:eastAsia="en-US" w:bidi="ar-SA"/>
        </w:rPr>
        <w:t>, 4, 4: 531-537</w:t>
      </w:r>
    </w:p>
    <w:p w14:paraId="4EC5FA90" w14:textId="7B3F68C0" w:rsidR="00E8586F" w:rsidRPr="00093B2A" w:rsidRDefault="00E8586F" w:rsidP="00EF15EA">
      <w:pPr>
        <w:pStyle w:val="EndNoteBibliography"/>
        <w:ind w:left="720" w:hanging="720"/>
        <w:rPr>
          <w:rFonts w:asciiTheme="minorHAnsi" w:hAnsiTheme="minorHAnsi"/>
        </w:rPr>
      </w:pPr>
      <w:bookmarkStart w:id="33" w:name="_ENREF_37"/>
      <w:r w:rsidRPr="00093B2A">
        <w:rPr>
          <w:rFonts w:asciiTheme="minorHAnsi" w:hAnsiTheme="minorHAnsi"/>
        </w:rPr>
        <w:lastRenderedPageBreak/>
        <w:t xml:space="preserve">Mandelbaum, J. (2013). Storytelling in conversation. </w:t>
      </w:r>
      <w:bookmarkEnd w:id="33"/>
      <w:r w:rsidR="00347FE6" w:rsidRPr="00093B2A">
        <w:rPr>
          <w:rFonts w:asciiTheme="minorHAnsi" w:hAnsiTheme="minorHAnsi"/>
        </w:rPr>
        <w:t>In Si</w:t>
      </w:r>
      <w:r w:rsidR="00CF53D3">
        <w:rPr>
          <w:rFonts w:asciiTheme="minorHAnsi" w:hAnsiTheme="minorHAnsi"/>
        </w:rPr>
        <w:t>dnell, Jack and Tanya Stivers (E</w:t>
      </w:r>
      <w:r w:rsidR="00347FE6" w:rsidRPr="00093B2A">
        <w:rPr>
          <w:rFonts w:asciiTheme="minorHAnsi" w:hAnsiTheme="minorHAnsi"/>
        </w:rPr>
        <w:t xml:space="preserve">ds.) </w:t>
      </w:r>
      <w:r w:rsidR="00347FE6" w:rsidRPr="00093B2A">
        <w:rPr>
          <w:rFonts w:asciiTheme="minorHAnsi" w:hAnsiTheme="minorHAnsi"/>
          <w:i/>
        </w:rPr>
        <w:t>The handbook of conversation analysis,</w:t>
      </w:r>
      <w:r w:rsidR="00347FE6" w:rsidRPr="00093B2A">
        <w:rPr>
          <w:rFonts w:asciiTheme="minorHAnsi" w:hAnsiTheme="minorHAnsi"/>
        </w:rPr>
        <w:t xml:space="preserve"> 492–507. </w:t>
      </w:r>
      <w:r w:rsidR="006129DD" w:rsidRPr="00093B2A">
        <w:rPr>
          <w:rFonts w:asciiTheme="minorHAnsi" w:hAnsiTheme="minorHAnsi"/>
        </w:rPr>
        <w:t xml:space="preserve">Chichester: </w:t>
      </w:r>
      <w:r w:rsidR="00347FE6" w:rsidRPr="00093B2A">
        <w:rPr>
          <w:rFonts w:asciiTheme="minorHAnsi" w:hAnsiTheme="minorHAnsi"/>
        </w:rPr>
        <w:t>John</w:t>
      </w:r>
      <w:r w:rsidR="006129DD" w:rsidRPr="00093B2A">
        <w:rPr>
          <w:rFonts w:asciiTheme="minorHAnsi" w:hAnsiTheme="minorHAnsi"/>
        </w:rPr>
        <w:t xml:space="preserve"> Wiley &amp; Sons, Ltd </w:t>
      </w:r>
    </w:p>
    <w:p w14:paraId="1C2A354A" w14:textId="4F42B033" w:rsidR="00E8586F" w:rsidRPr="00093B2A" w:rsidRDefault="00E8586F" w:rsidP="00EF15EA">
      <w:pPr>
        <w:pStyle w:val="EndNoteBibliography"/>
        <w:ind w:left="720" w:hanging="720"/>
        <w:rPr>
          <w:rFonts w:asciiTheme="minorHAnsi" w:hAnsiTheme="minorHAnsi"/>
        </w:rPr>
      </w:pPr>
      <w:bookmarkStart w:id="34" w:name="_ENREF_38"/>
      <w:r w:rsidRPr="00093B2A">
        <w:rPr>
          <w:rFonts w:asciiTheme="minorHAnsi" w:hAnsiTheme="minorHAnsi"/>
        </w:rPr>
        <w:t xml:space="preserve">Martin, K. A. (1996). </w:t>
      </w:r>
      <w:r w:rsidRPr="00093B2A">
        <w:rPr>
          <w:rFonts w:asciiTheme="minorHAnsi" w:hAnsiTheme="minorHAnsi"/>
          <w:i/>
        </w:rPr>
        <w:t>Puberty, sexuality, and the self: Boys and girls at adolescence</w:t>
      </w:r>
      <w:r w:rsidR="00CF53D3">
        <w:rPr>
          <w:rFonts w:asciiTheme="minorHAnsi" w:hAnsiTheme="minorHAnsi"/>
        </w:rPr>
        <w:t>.</w:t>
      </w:r>
      <w:r w:rsidRPr="00093B2A">
        <w:rPr>
          <w:rFonts w:asciiTheme="minorHAnsi" w:hAnsiTheme="minorHAnsi"/>
        </w:rPr>
        <w:t xml:space="preserve"> </w:t>
      </w:r>
      <w:r w:rsidR="00CF53D3">
        <w:rPr>
          <w:rFonts w:asciiTheme="minorHAnsi" w:hAnsiTheme="minorHAnsi"/>
        </w:rPr>
        <w:t xml:space="preserve">London: </w:t>
      </w:r>
      <w:r w:rsidRPr="00093B2A">
        <w:rPr>
          <w:rFonts w:asciiTheme="minorHAnsi" w:hAnsiTheme="minorHAnsi"/>
        </w:rPr>
        <w:t>Psychology Press.</w:t>
      </w:r>
      <w:bookmarkEnd w:id="34"/>
    </w:p>
    <w:p w14:paraId="1A4B1C98" w14:textId="77777777" w:rsidR="00140CCD" w:rsidRPr="00093B2A" w:rsidRDefault="00140CCD" w:rsidP="00140CCD">
      <w:pPr>
        <w:pStyle w:val="EndNoteBibliography"/>
        <w:ind w:left="720" w:hanging="720"/>
        <w:rPr>
          <w:rFonts w:asciiTheme="minorHAnsi" w:hAnsiTheme="minorHAnsi"/>
        </w:rPr>
      </w:pPr>
      <w:bookmarkStart w:id="35" w:name="_ENREF_10"/>
      <w:r w:rsidRPr="00093B2A">
        <w:rPr>
          <w:rFonts w:asciiTheme="minorHAnsi" w:hAnsiTheme="minorHAnsi"/>
        </w:rPr>
        <w:t xml:space="preserve">McAdams, D. P. (2006). The Problem of Narrative Coherence. </w:t>
      </w:r>
      <w:r w:rsidRPr="00093B2A">
        <w:rPr>
          <w:rFonts w:asciiTheme="minorHAnsi" w:hAnsiTheme="minorHAnsi"/>
          <w:i/>
        </w:rPr>
        <w:t>Journal of Constructivist Psychology, 19</w:t>
      </w:r>
      <w:r w:rsidRPr="00093B2A">
        <w:rPr>
          <w:rFonts w:asciiTheme="minorHAnsi" w:hAnsiTheme="minorHAnsi"/>
        </w:rPr>
        <w:t xml:space="preserve">(2), 109-125. </w:t>
      </w:r>
      <w:bookmarkEnd w:id="35"/>
    </w:p>
    <w:p w14:paraId="4E94BC59" w14:textId="77777777" w:rsidR="00140CCD" w:rsidRPr="00093B2A" w:rsidRDefault="00140CCD" w:rsidP="00140CCD">
      <w:pPr>
        <w:pStyle w:val="EndNoteBibliography"/>
        <w:ind w:left="720" w:hanging="720"/>
        <w:rPr>
          <w:rFonts w:asciiTheme="minorHAnsi" w:hAnsiTheme="minorHAnsi"/>
        </w:rPr>
      </w:pPr>
      <w:bookmarkStart w:id="36" w:name="_ENREF_11"/>
      <w:r w:rsidRPr="00093B2A">
        <w:rPr>
          <w:rFonts w:asciiTheme="minorHAnsi" w:hAnsiTheme="minorHAnsi"/>
        </w:rPr>
        <w:t>Mishler, E. G. (1986). The a</w:t>
      </w:r>
      <w:r w:rsidR="006129DD" w:rsidRPr="00093B2A">
        <w:rPr>
          <w:rFonts w:asciiTheme="minorHAnsi" w:hAnsiTheme="minorHAnsi"/>
        </w:rPr>
        <w:t>nalysis of interview-narratives. In</w:t>
      </w:r>
      <w:r w:rsidRPr="00093B2A">
        <w:rPr>
          <w:rFonts w:asciiTheme="minorHAnsi" w:hAnsiTheme="minorHAnsi"/>
        </w:rPr>
        <w:t xml:space="preserve"> TR Sarbin (Ed.), </w:t>
      </w:r>
      <w:r w:rsidRPr="00093B2A">
        <w:rPr>
          <w:rFonts w:asciiTheme="minorHAnsi" w:hAnsiTheme="minorHAnsi"/>
          <w:i/>
        </w:rPr>
        <w:t>Narrative psychology: The storied nature of human conduct</w:t>
      </w:r>
      <w:r w:rsidR="006129DD" w:rsidRPr="00093B2A">
        <w:rPr>
          <w:rFonts w:asciiTheme="minorHAnsi" w:hAnsiTheme="minorHAnsi"/>
          <w:i/>
        </w:rPr>
        <w:t xml:space="preserve">, </w:t>
      </w:r>
      <w:r w:rsidR="006129DD" w:rsidRPr="00093B2A">
        <w:rPr>
          <w:rFonts w:asciiTheme="minorHAnsi" w:hAnsiTheme="minorHAnsi"/>
        </w:rPr>
        <w:t>233-255</w:t>
      </w:r>
      <w:r w:rsidRPr="00093B2A">
        <w:rPr>
          <w:rFonts w:asciiTheme="minorHAnsi" w:hAnsiTheme="minorHAnsi"/>
        </w:rPr>
        <w:t>.</w:t>
      </w:r>
      <w:bookmarkEnd w:id="36"/>
      <w:r w:rsidR="006129DD" w:rsidRPr="00093B2A">
        <w:rPr>
          <w:rFonts w:asciiTheme="minorHAnsi" w:hAnsiTheme="minorHAnsi"/>
        </w:rPr>
        <w:t xml:space="preserve"> New York: Praeger</w:t>
      </w:r>
    </w:p>
    <w:p w14:paraId="62001EC2" w14:textId="375B923C" w:rsidR="00CF53D3" w:rsidRPr="00CF53D3" w:rsidRDefault="00E8586F" w:rsidP="00CF53D3">
      <w:pPr>
        <w:ind w:left="709" w:hanging="709"/>
        <w:rPr>
          <w:rFonts w:ascii="Times" w:eastAsia="Times New Roman" w:hAnsi="Times"/>
          <w:sz w:val="20"/>
          <w:szCs w:val="20"/>
          <w:lang w:eastAsia="en-US" w:bidi="ar-SA"/>
        </w:rPr>
      </w:pPr>
      <w:bookmarkStart w:id="37" w:name="_ENREF_39"/>
      <w:r w:rsidRPr="00093B2A">
        <w:rPr>
          <w:rFonts w:asciiTheme="minorHAnsi" w:hAnsiTheme="minorHAnsi"/>
        </w:rPr>
        <w:t>Morrison, D. M., Masters, N. T., Wells, E. A., Casey, E., Be</w:t>
      </w:r>
      <w:r w:rsidR="00CF53D3">
        <w:rPr>
          <w:rFonts w:asciiTheme="minorHAnsi" w:hAnsiTheme="minorHAnsi"/>
        </w:rPr>
        <w:t>adnell, B., &amp; Hoppe, M. J. (2015</w:t>
      </w:r>
      <w:r w:rsidRPr="00093B2A">
        <w:rPr>
          <w:rFonts w:asciiTheme="minorHAnsi" w:hAnsiTheme="minorHAnsi"/>
        </w:rPr>
        <w:t xml:space="preserve">). “He Enjoys Giving Her Pleasure”: Diversity and Complexity in Young Men’s Sexual Scripts. </w:t>
      </w:r>
      <w:r w:rsidRPr="00093B2A">
        <w:rPr>
          <w:rFonts w:asciiTheme="minorHAnsi" w:hAnsiTheme="minorHAnsi"/>
          <w:i/>
        </w:rPr>
        <w:t xml:space="preserve">Archives of sexual </w:t>
      </w:r>
      <w:r w:rsidR="00CF53D3" w:rsidRPr="00CF53D3">
        <w:rPr>
          <w:rFonts w:asciiTheme="minorHAnsi" w:hAnsiTheme="minorHAnsi"/>
          <w:i/>
        </w:rPr>
        <w:t>behaviour</w:t>
      </w:r>
      <w:r w:rsidR="00CF53D3" w:rsidRPr="00CF53D3">
        <w:rPr>
          <w:rFonts w:asciiTheme="minorHAnsi" w:hAnsiTheme="minorHAnsi"/>
        </w:rPr>
        <w:t xml:space="preserve">, </w:t>
      </w:r>
      <w:r w:rsidR="00CF53D3">
        <w:rPr>
          <w:rFonts w:asciiTheme="minorHAnsi" w:eastAsia="Times New Roman" w:hAnsiTheme="minorHAnsi" w:cs="Arial"/>
          <w:color w:val="000000"/>
          <w:shd w:val="clear" w:color="auto" w:fill="FFFFFF"/>
          <w:lang w:eastAsia="en-US" w:bidi="ar-SA"/>
        </w:rPr>
        <w:t xml:space="preserve">44(3), </w:t>
      </w:r>
      <w:r w:rsidR="00CF53D3" w:rsidRPr="00CF53D3">
        <w:rPr>
          <w:rFonts w:asciiTheme="minorHAnsi" w:eastAsia="Times New Roman" w:hAnsiTheme="minorHAnsi" w:cs="Arial"/>
          <w:color w:val="000000"/>
          <w:shd w:val="clear" w:color="auto" w:fill="FFFFFF"/>
          <w:lang w:eastAsia="en-US" w:bidi="ar-SA"/>
        </w:rPr>
        <w:t>655-68</w:t>
      </w:r>
    </w:p>
    <w:p w14:paraId="1DE86309" w14:textId="405CFD7E" w:rsidR="00E8586F" w:rsidRPr="00093B2A" w:rsidRDefault="00E8586F" w:rsidP="00EF15EA">
      <w:pPr>
        <w:pStyle w:val="EndNoteBibliography"/>
        <w:ind w:left="720" w:hanging="720"/>
        <w:rPr>
          <w:rFonts w:asciiTheme="minorHAnsi" w:hAnsiTheme="minorHAnsi"/>
        </w:rPr>
      </w:pPr>
      <w:bookmarkStart w:id="38" w:name="_ENREF_40"/>
      <w:bookmarkEnd w:id="37"/>
      <w:r w:rsidRPr="00093B2A">
        <w:rPr>
          <w:rFonts w:asciiTheme="minorHAnsi" w:hAnsiTheme="minorHAnsi"/>
        </w:rPr>
        <w:t xml:space="preserve">Norrick, N. (2000). </w:t>
      </w:r>
      <w:r w:rsidRPr="00093B2A">
        <w:rPr>
          <w:rFonts w:asciiTheme="minorHAnsi" w:hAnsiTheme="minorHAnsi"/>
          <w:i/>
        </w:rPr>
        <w:t>Conversational narrative: Storytelling in everyday talk</w:t>
      </w:r>
      <w:r w:rsidR="008A2083">
        <w:rPr>
          <w:rFonts w:asciiTheme="minorHAnsi" w:hAnsiTheme="minorHAnsi"/>
        </w:rPr>
        <w:t>.</w:t>
      </w:r>
      <w:r w:rsidRPr="00093B2A">
        <w:rPr>
          <w:rFonts w:asciiTheme="minorHAnsi" w:hAnsiTheme="minorHAnsi"/>
        </w:rPr>
        <w:t xml:space="preserve"> John Benjamins Publishing.</w:t>
      </w:r>
      <w:bookmarkEnd w:id="38"/>
    </w:p>
    <w:p w14:paraId="772C17AC" w14:textId="77777777" w:rsidR="00E8586F" w:rsidRPr="00093B2A" w:rsidRDefault="00E8586F" w:rsidP="00EF15EA">
      <w:pPr>
        <w:pStyle w:val="EndNoteBibliography"/>
        <w:ind w:left="720" w:hanging="720"/>
        <w:rPr>
          <w:rFonts w:asciiTheme="minorHAnsi" w:hAnsiTheme="minorHAnsi"/>
        </w:rPr>
      </w:pPr>
      <w:bookmarkStart w:id="39" w:name="_ENREF_41"/>
      <w:r w:rsidRPr="00093B2A">
        <w:rPr>
          <w:rFonts w:asciiTheme="minorHAnsi" w:hAnsiTheme="minorHAnsi"/>
        </w:rPr>
        <w:t xml:space="preserve">Norrick, N. (2005). The dark side of tellability. </w:t>
      </w:r>
      <w:r w:rsidRPr="00093B2A">
        <w:rPr>
          <w:rFonts w:asciiTheme="minorHAnsi" w:hAnsiTheme="minorHAnsi"/>
          <w:i/>
        </w:rPr>
        <w:t>Narrative Inquiry, 15</w:t>
      </w:r>
      <w:r w:rsidRPr="00093B2A">
        <w:rPr>
          <w:rFonts w:asciiTheme="minorHAnsi" w:hAnsiTheme="minorHAnsi"/>
        </w:rPr>
        <w:t xml:space="preserve">(2), 323-343. </w:t>
      </w:r>
      <w:bookmarkEnd w:id="39"/>
    </w:p>
    <w:p w14:paraId="719525A8" w14:textId="77777777" w:rsidR="00E8586F" w:rsidRPr="00093B2A" w:rsidRDefault="00E8586F" w:rsidP="00EF15EA">
      <w:pPr>
        <w:pStyle w:val="EndNoteBibliography"/>
        <w:ind w:left="720" w:hanging="720"/>
        <w:rPr>
          <w:rFonts w:asciiTheme="minorHAnsi" w:hAnsiTheme="minorHAnsi"/>
        </w:rPr>
      </w:pPr>
      <w:bookmarkStart w:id="40" w:name="_ENREF_42"/>
      <w:r w:rsidRPr="00093B2A">
        <w:rPr>
          <w:rFonts w:asciiTheme="minorHAnsi" w:hAnsiTheme="minorHAnsi"/>
        </w:rPr>
        <w:t xml:space="preserve">Ochs, E., &amp; Capps, L. (2001). </w:t>
      </w:r>
      <w:r w:rsidRPr="00093B2A">
        <w:rPr>
          <w:rFonts w:asciiTheme="minorHAnsi" w:hAnsiTheme="minorHAnsi"/>
          <w:i/>
        </w:rPr>
        <w:t>Living narrative: Creating lives in everyday storytelling</w:t>
      </w:r>
      <w:r w:rsidRPr="00093B2A">
        <w:rPr>
          <w:rFonts w:asciiTheme="minorHAnsi" w:hAnsiTheme="minorHAnsi"/>
        </w:rPr>
        <w:t>. Cambridge, MA: Harvard University Press.</w:t>
      </w:r>
      <w:bookmarkEnd w:id="40"/>
    </w:p>
    <w:p w14:paraId="01D287C2" w14:textId="77777777" w:rsidR="00E8586F" w:rsidRPr="00093B2A" w:rsidRDefault="00E8586F" w:rsidP="00EF15EA">
      <w:pPr>
        <w:pStyle w:val="EndNoteBibliography"/>
        <w:ind w:left="720" w:hanging="720"/>
        <w:rPr>
          <w:rFonts w:asciiTheme="minorHAnsi" w:hAnsiTheme="minorHAnsi"/>
        </w:rPr>
      </w:pPr>
      <w:bookmarkStart w:id="41" w:name="_ENREF_43"/>
      <w:r w:rsidRPr="00093B2A">
        <w:rPr>
          <w:rFonts w:asciiTheme="minorHAnsi" w:hAnsiTheme="minorHAnsi"/>
        </w:rPr>
        <w:t xml:space="preserve">Ogden, R. (2013). Clicks and percussives in English conversation. </w:t>
      </w:r>
      <w:r w:rsidRPr="00093B2A">
        <w:rPr>
          <w:rFonts w:asciiTheme="minorHAnsi" w:hAnsiTheme="minorHAnsi"/>
          <w:i/>
        </w:rPr>
        <w:t>Journal of the International Phonetic Association, 43</w:t>
      </w:r>
      <w:r w:rsidRPr="00093B2A">
        <w:rPr>
          <w:rFonts w:asciiTheme="minorHAnsi" w:hAnsiTheme="minorHAnsi"/>
        </w:rPr>
        <w:t xml:space="preserve">(3), 299-320. </w:t>
      </w:r>
      <w:bookmarkEnd w:id="41"/>
    </w:p>
    <w:p w14:paraId="04AEDC58" w14:textId="1CDD1C5C" w:rsidR="00E8586F" w:rsidRPr="00093B2A" w:rsidRDefault="00E8586F" w:rsidP="00EF15EA">
      <w:pPr>
        <w:pStyle w:val="EndNoteBibliography"/>
        <w:ind w:left="720" w:hanging="720"/>
        <w:rPr>
          <w:rFonts w:asciiTheme="minorHAnsi" w:hAnsiTheme="minorHAnsi"/>
        </w:rPr>
      </w:pPr>
      <w:bookmarkStart w:id="42" w:name="_ENREF_44"/>
      <w:r w:rsidRPr="00093B2A">
        <w:rPr>
          <w:rFonts w:asciiTheme="minorHAnsi" w:hAnsiTheme="minorHAnsi"/>
        </w:rPr>
        <w:t xml:space="preserve">Phillips, L. M. (2000). </w:t>
      </w:r>
      <w:r w:rsidRPr="00093B2A">
        <w:rPr>
          <w:rFonts w:asciiTheme="minorHAnsi" w:hAnsiTheme="minorHAnsi"/>
          <w:i/>
        </w:rPr>
        <w:t>Flirting with danger: Young women's reflections on sexuality and domination</w:t>
      </w:r>
      <w:r w:rsidR="008A2083">
        <w:rPr>
          <w:rFonts w:asciiTheme="minorHAnsi" w:hAnsiTheme="minorHAnsi"/>
        </w:rPr>
        <w:t>.</w:t>
      </w:r>
      <w:r w:rsidRPr="00093B2A">
        <w:rPr>
          <w:rFonts w:asciiTheme="minorHAnsi" w:hAnsiTheme="minorHAnsi"/>
        </w:rPr>
        <w:t xml:space="preserve"> NYU Press.</w:t>
      </w:r>
      <w:bookmarkEnd w:id="42"/>
    </w:p>
    <w:p w14:paraId="38F97445" w14:textId="388906AC" w:rsidR="000D2FD7" w:rsidRPr="00093B2A" w:rsidRDefault="000D2FD7" w:rsidP="00093B2A">
      <w:pPr>
        <w:rPr>
          <w:rFonts w:asciiTheme="minorHAnsi" w:hAnsiTheme="minorHAnsi"/>
        </w:rPr>
      </w:pPr>
      <w:r w:rsidRPr="00093B2A">
        <w:rPr>
          <w:rFonts w:asciiTheme="minorHAnsi" w:hAnsiTheme="minorHAnsi"/>
        </w:rPr>
        <w:t xml:space="preserve">Potter, J. (2002) ‘Two Kinds of Natural’, </w:t>
      </w:r>
      <w:r w:rsidRPr="00093B2A">
        <w:rPr>
          <w:rFonts w:asciiTheme="minorHAnsi" w:hAnsiTheme="minorHAnsi"/>
          <w:i/>
        </w:rPr>
        <w:t>Discourse Studies</w:t>
      </w:r>
      <w:r w:rsidR="008A2083">
        <w:rPr>
          <w:rFonts w:asciiTheme="minorHAnsi" w:hAnsiTheme="minorHAnsi"/>
        </w:rPr>
        <w:t xml:space="preserve">, 4, </w:t>
      </w:r>
      <w:r w:rsidRPr="00093B2A">
        <w:rPr>
          <w:rFonts w:asciiTheme="minorHAnsi" w:hAnsiTheme="minorHAnsi"/>
        </w:rPr>
        <w:t>539–42.</w:t>
      </w:r>
    </w:p>
    <w:p w14:paraId="4347DEA8" w14:textId="77777777" w:rsidR="00E8586F" w:rsidRPr="00093B2A" w:rsidRDefault="00E8586F" w:rsidP="00EF15EA">
      <w:pPr>
        <w:pStyle w:val="EndNoteBibliography"/>
        <w:ind w:left="720" w:hanging="720"/>
        <w:rPr>
          <w:rFonts w:asciiTheme="minorHAnsi" w:hAnsiTheme="minorHAnsi"/>
        </w:rPr>
      </w:pPr>
      <w:bookmarkStart w:id="43" w:name="_ENREF_45"/>
      <w:r w:rsidRPr="00093B2A">
        <w:rPr>
          <w:rFonts w:asciiTheme="minorHAnsi" w:hAnsiTheme="minorHAnsi"/>
        </w:rPr>
        <w:t xml:space="preserve">Potter, J., &amp; Hepburn, A. (2005). Qualitative interviews in psychology: Problems and possibilities. </w:t>
      </w:r>
      <w:r w:rsidRPr="00093B2A">
        <w:rPr>
          <w:rFonts w:asciiTheme="minorHAnsi" w:hAnsiTheme="minorHAnsi"/>
          <w:i/>
        </w:rPr>
        <w:t>Qualitative research in Psychology, 2</w:t>
      </w:r>
      <w:r w:rsidRPr="00093B2A">
        <w:rPr>
          <w:rFonts w:asciiTheme="minorHAnsi" w:hAnsiTheme="minorHAnsi"/>
        </w:rPr>
        <w:t xml:space="preserve">(4), 281-307. </w:t>
      </w:r>
      <w:bookmarkEnd w:id="43"/>
    </w:p>
    <w:p w14:paraId="3735B6D4" w14:textId="77777777" w:rsidR="00E8586F" w:rsidRPr="00093B2A" w:rsidRDefault="00E8586F" w:rsidP="00EF15EA">
      <w:pPr>
        <w:pStyle w:val="EndNoteBibliography"/>
        <w:ind w:left="720" w:hanging="720"/>
        <w:rPr>
          <w:rFonts w:asciiTheme="minorHAnsi" w:hAnsiTheme="minorHAnsi"/>
        </w:rPr>
      </w:pPr>
      <w:bookmarkStart w:id="44" w:name="_ENREF_46"/>
      <w:r w:rsidRPr="00093B2A">
        <w:rPr>
          <w:rFonts w:asciiTheme="minorHAnsi" w:hAnsiTheme="minorHAnsi"/>
        </w:rPr>
        <w:t xml:space="preserve">Potter, J., &amp; Hepburn, A. (2007). Life is out there a comment on Griffin. </w:t>
      </w:r>
      <w:r w:rsidRPr="00093B2A">
        <w:rPr>
          <w:rFonts w:asciiTheme="minorHAnsi" w:hAnsiTheme="minorHAnsi"/>
          <w:i/>
        </w:rPr>
        <w:t>Discourse studies, 9</w:t>
      </w:r>
      <w:r w:rsidRPr="00093B2A">
        <w:rPr>
          <w:rFonts w:asciiTheme="minorHAnsi" w:hAnsiTheme="minorHAnsi"/>
        </w:rPr>
        <w:t xml:space="preserve">(2), 276-282. </w:t>
      </w:r>
      <w:bookmarkEnd w:id="44"/>
    </w:p>
    <w:p w14:paraId="22B3AB79" w14:textId="3C7A6597" w:rsidR="00E8586F" w:rsidRPr="00093B2A" w:rsidRDefault="00E8586F" w:rsidP="00EF15EA">
      <w:pPr>
        <w:pStyle w:val="EndNoteBibliography"/>
        <w:ind w:left="720" w:hanging="720"/>
        <w:rPr>
          <w:rFonts w:asciiTheme="minorHAnsi" w:hAnsiTheme="minorHAnsi"/>
        </w:rPr>
      </w:pPr>
      <w:bookmarkStart w:id="45" w:name="_ENREF_47"/>
      <w:r w:rsidRPr="00093B2A">
        <w:rPr>
          <w:rFonts w:asciiTheme="minorHAnsi" w:hAnsiTheme="minorHAnsi"/>
        </w:rPr>
        <w:t xml:space="preserve">Raymond, G. (2003). Grammar and social organization: Yes/no interrogatives and the structure of responding. </w:t>
      </w:r>
      <w:r w:rsidRPr="00093B2A">
        <w:rPr>
          <w:rFonts w:asciiTheme="minorHAnsi" w:hAnsiTheme="minorHAnsi"/>
          <w:i/>
        </w:rPr>
        <w:t>American sociological review</w:t>
      </w:r>
      <w:r w:rsidRPr="00093B2A">
        <w:rPr>
          <w:rFonts w:asciiTheme="minorHAnsi" w:hAnsiTheme="minorHAnsi"/>
        </w:rPr>
        <w:t>,</w:t>
      </w:r>
      <w:r w:rsidR="008A2083">
        <w:rPr>
          <w:rFonts w:asciiTheme="minorHAnsi" w:hAnsiTheme="minorHAnsi"/>
        </w:rPr>
        <w:t xml:space="preserve"> 68(6),</w:t>
      </w:r>
      <w:r w:rsidRPr="00093B2A">
        <w:rPr>
          <w:rFonts w:asciiTheme="minorHAnsi" w:hAnsiTheme="minorHAnsi"/>
        </w:rPr>
        <w:t xml:space="preserve"> 939-967. </w:t>
      </w:r>
      <w:bookmarkEnd w:id="45"/>
    </w:p>
    <w:p w14:paraId="61C60D3B" w14:textId="77777777" w:rsidR="00E8586F" w:rsidRPr="00093B2A" w:rsidRDefault="00E8586F" w:rsidP="00EF15EA">
      <w:pPr>
        <w:pStyle w:val="EndNoteBibliography"/>
        <w:ind w:left="720" w:hanging="720"/>
        <w:rPr>
          <w:rFonts w:asciiTheme="minorHAnsi" w:hAnsiTheme="minorHAnsi"/>
        </w:rPr>
      </w:pPr>
      <w:bookmarkStart w:id="46" w:name="_ENREF_48"/>
      <w:r w:rsidRPr="00093B2A">
        <w:rPr>
          <w:rFonts w:asciiTheme="minorHAnsi" w:hAnsiTheme="minorHAnsi"/>
        </w:rPr>
        <w:t xml:space="preserve">Reber, E. (2012). </w:t>
      </w:r>
      <w:r w:rsidRPr="00093B2A">
        <w:rPr>
          <w:rFonts w:asciiTheme="minorHAnsi" w:hAnsiTheme="minorHAnsi"/>
          <w:i/>
        </w:rPr>
        <w:t>Affectivity in interaction : sound objects in English</w:t>
      </w:r>
      <w:r w:rsidRPr="00093B2A">
        <w:rPr>
          <w:rFonts w:asciiTheme="minorHAnsi" w:hAnsiTheme="minorHAnsi"/>
        </w:rPr>
        <w:t>. Amsterdam ; Philadelphia: John Benjamins Pub. Co.</w:t>
      </w:r>
      <w:bookmarkEnd w:id="46"/>
    </w:p>
    <w:p w14:paraId="05F68D31" w14:textId="77777777" w:rsidR="00E8586F" w:rsidRPr="00093B2A" w:rsidRDefault="00E8586F" w:rsidP="00EF15EA">
      <w:pPr>
        <w:pStyle w:val="EndNoteBibliography"/>
        <w:ind w:left="720" w:hanging="720"/>
        <w:rPr>
          <w:rFonts w:asciiTheme="minorHAnsi" w:hAnsiTheme="minorHAnsi"/>
        </w:rPr>
      </w:pPr>
      <w:bookmarkStart w:id="47" w:name="_ENREF_49"/>
      <w:r w:rsidRPr="00093B2A">
        <w:rPr>
          <w:rFonts w:asciiTheme="minorHAnsi" w:hAnsiTheme="minorHAnsi"/>
        </w:rPr>
        <w:t xml:space="preserve">Rendle-Short, J. (2005). ‘I’ve got a paper-shuffler for a husband’: indexing sexuality on talk-back radio. </w:t>
      </w:r>
      <w:r w:rsidRPr="00093B2A">
        <w:rPr>
          <w:rFonts w:asciiTheme="minorHAnsi" w:hAnsiTheme="minorHAnsi"/>
          <w:i/>
        </w:rPr>
        <w:t>Discourse &amp; Society, 16</w:t>
      </w:r>
      <w:r w:rsidRPr="00093B2A">
        <w:rPr>
          <w:rFonts w:asciiTheme="minorHAnsi" w:hAnsiTheme="minorHAnsi"/>
        </w:rPr>
        <w:t xml:space="preserve">(4), 561-578. </w:t>
      </w:r>
      <w:bookmarkEnd w:id="47"/>
    </w:p>
    <w:p w14:paraId="5E9354D6" w14:textId="77777777" w:rsidR="00E8586F" w:rsidRPr="00093B2A" w:rsidRDefault="00E8586F" w:rsidP="00EF15EA">
      <w:pPr>
        <w:pStyle w:val="EndNoteBibliography"/>
        <w:ind w:left="720" w:hanging="720"/>
        <w:rPr>
          <w:rFonts w:asciiTheme="minorHAnsi" w:hAnsiTheme="minorHAnsi"/>
        </w:rPr>
      </w:pPr>
      <w:bookmarkStart w:id="48" w:name="_ENREF_50"/>
      <w:r w:rsidRPr="00093B2A">
        <w:rPr>
          <w:rFonts w:asciiTheme="minorHAnsi" w:hAnsiTheme="minorHAnsi"/>
        </w:rPr>
        <w:t xml:space="preserve">Renold, E., &amp; Ringrose, J. (2008). Regulation and rupture Mapping tween and teenage girls' resistance to the heterosexual matrix. </w:t>
      </w:r>
      <w:r w:rsidRPr="00093B2A">
        <w:rPr>
          <w:rFonts w:asciiTheme="minorHAnsi" w:hAnsiTheme="minorHAnsi"/>
          <w:i/>
        </w:rPr>
        <w:t>Feminist Theory, 9</w:t>
      </w:r>
      <w:r w:rsidRPr="00093B2A">
        <w:rPr>
          <w:rFonts w:asciiTheme="minorHAnsi" w:hAnsiTheme="minorHAnsi"/>
        </w:rPr>
        <w:t xml:space="preserve">(3), 313-338. </w:t>
      </w:r>
      <w:bookmarkEnd w:id="48"/>
    </w:p>
    <w:p w14:paraId="552A6CE2" w14:textId="77777777" w:rsidR="00E8586F" w:rsidRPr="00093B2A" w:rsidRDefault="00E8586F" w:rsidP="00EF15EA">
      <w:pPr>
        <w:pStyle w:val="EndNoteBibliography"/>
        <w:ind w:left="720" w:hanging="720"/>
        <w:rPr>
          <w:rFonts w:asciiTheme="minorHAnsi" w:hAnsiTheme="minorHAnsi"/>
        </w:rPr>
      </w:pPr>
      <w:bookmarkStart w:id="49" w:name="_ENREF_51"/>
      <w:r w:rsidRPr="00093B2A">
        <w:rPr>
          <w:rFonts w:asciiTheme="minorHAnsi" w:hAnsiTheme="minorHAnsi"/>
        </w:rPr>
        <w:t xml:space="preserve">Renold, E., &amp; Ringrose, J. (2011). Schizoid subjectivities? Re-theorizing teen girls’ sexual cultures in an era of ‘sexualization’. </w:t>
      </w:r>
      <w:r w:rsidRPr="00093B2A">
        <w:rPr>
          <w:rFonts w:asciiTheme="minorHAnsi" w:hAnsiTheme="minorHAnsi"/>
          <w:i/>
        </w:rPr>
        <w:t>Journal of Sociology, 47</w:t>
      </w:r>
      <w:r w:rsidRPr="00093B2A">
        <w:rPr>
          <w:rFonts w:asciiTheme="minorHAnsi" w:hAnsiTheme="minorHAnsi"/>
        </w:rPr>
        <w:t xml:space="preserve">(4), 389-409. </w:t>
      </w:r>
      <w:bookmarkEnd w:id="49"/>
    </w:p>
    <w:p w14:paraId="579FFD75" w14:textId="77777777" w:rsidR="00E8586F" w:rsidRPr="00093B2A" w:rsidRDefault="00E8586F" w:rsidP="00EF15EA">
      <w:pPr>
        <w:pStyle w:val="EndNoteBibliography"/>
        <w:ind w:left="720" w:hanging="720"/>
        <w:rPr>
          <w:rFonts w:asciiTheme="minorHAnsi" w:hAnsiTheme="minorHAnsi"/>
        </w:rPr>
      </w:pPr>
      <w:bookmarkStart w:id="50" w:name="_ENREF_52"/>
      <w:r w:rsidRPr="00093B2A">
        <w:rPr>
          <w:rFonts w:asciiTheme="minorHAnsi" w:hAnsiTheme="minorHAnsi"/>
        </w:rPr>
        <w:t xml:space="preserve">Ringrose, J., &amp; Renold, E. (2012). Slut-shaming, girl power and ‘sexualisation’: thinking through the politics of the international SlutWalks with teen girls. </w:t>
      </w:r>
      <w:r w:rsidRPr="00093B2A">
        <w:rPr>
          <w:rFonts w:asciiTheme="minorHAnsi" w:hAnsiTheme="minorHAnsi"/>
          <w:i/>
        </w:rPr>
        <w:t>Gender and Education, 24</w:t>
      </w:r>
      <w:r w:rsidRPr="00093B2A">
        <w:rPr>
          <w:rFonts w:asciiTheme="minorHAnsi" w:hAnsiTheme="minorHAnsi"/>
        </w:rPr>
        <w:t xml:space="preserve">(3), 333-343. </w:t>
      </w:r>
      <w:bookmarkEnd w:id="50"/>
    </w:p>
    <w:p w14:paraId="0B98FC3F" w14:textId="30B09015" w:rsidR="00276E47" w:rsidRPr="00EA715D" w:rsidRDefault="00E8586F" w:rsidP="00EA715D">
      <w:pPr>
        <w:ind w:left="709" w:hanging="709"/>
        <w:rPr>
          <w:rFonts w:asciiTheme="minorHAnsi" w:eastAsia="Times New Roman" w:hAnsiTheme="minorHAnsi"/>
          <w:lang w:eastAsia="en-US" w:bidi="ar-SA"/>
        </w:rPr>
      </w:pPr>
      <w:bookmarkStart w:id="51" w:name="_ENREF_53"/>
      <w:r w:rsidRPr="00EA715D">
        <w:rPr>
          <w:rFonts w:asciiTheme="minorHAnsi" w:hAnsiTheme="minorHAnsi"/>
        </w:rPr>
        <w:t xml:space="preserve">Sacks, H. (1974). An analysis of the course of a joke's telling in conversation. </w:t>
      </w:r>
      <w:r w:rsidR="00EA715D" w:rsidRPr="00EA715D">
        <w:rPr>
          <w:rFonts w:asciiTheme="minorHAnsi" w:hAnsiTheme="minorHAnsi"/>
        </w:rPr>
        <w:t xml:space="preserve">In R. Bauman and J.F. </w:t>
      </w:r>
      <w:proofErr w:type="spellStart"/>
      <w:r w:rsidR="00EA715D" w:rsidRPr="00EA715D">
        <w:rPr>
          <w:rFonts w:asciiTheme="minorHAnsi" w:hAnsiTheme="minorHAnsi"/>
        </w:rPr>
        <w:t>Sherzer</w:t>
      </w:r>
      <w:proofErr w:type="spellEnd"/>
      <w:r w:rsidR="00EA715D" w:rsidRPr="00EA715D">
        <w:rPr>
          <w:rFonts w:asciiTheme="minorHAnsi" w:hAnsiTheme="minorHAnsi"/>
        </w:rPr>
        <w:t xml:space="preserve"> (eds.), </w:t>
      </w:r>
      <w:r w:rsidRPr="00EA715D">
        <w:rPr>
          <w:rFonts w:asciiTheme="minorHAnsi" w:hAnsiTheme="minorHAnsi"/>
          <w:i/>
        </w:rPr>
        <w:t>Explorations in the Ethnography of Speaking</w:t>
      </w:r>
      <w:r w:rsidR="00EA715D" w:rsidRPr="00EA715D">
        <w:rPr>
          <w:rFonts w:asciiTheme="minorHAnsi" w:hAnsiTheme="minorHAnsi"/>
        </w:rPr>
        <w:t xml:space="preserve">. </w:t>
      </w:r>
      <w:r w:rsidR="00EA715D">
        <w:rPr>
          <w:rFonts w:asciiTheme="minorHAnsi" w:eastAsia="Times New Roman" w:hAnsiTheme="minorHAnsi"/>
          <w:color w:val="252525"/>
          <w:shd w:val="clear" w:color="auto" w:fill="FFFFFF"/>
          <w:lang w:eastAsia="en-US" w:bidi="ar-SA"/>
        </w:rPr>
        <w:t xml:space="preserve">Cambridge: </w:t>
      </w:r>
      <w:r w:rsidR="00EA715D" w:rsidRPr="00EA715D">
        <w:rPr>
          <w:rFonts w:asciiTheme="minorHAnsi" w:eastAsia="Times New Roman" w:hAnsiTheme="minorHAnsi"/>
          <w:color w:val="252525"/>
          <w:shd w:val="clear" w:color="auto" w:fill="FFFFFF"/>
          <w:lang w:eastAsia="en-US" w:bidi="ar-SA"/>
        </w:rPr>
        <w:t>Cambridge University Press, pp.</w:t>
      </w:r>
      <w:r w:rsidR="00EA715D" w:rsidRPr="00EA715D">
        <w:rPr>
          <w:rFonts w:asciiTheme="minorHAnsi" w:eastAsia="Times New Roman" w:hAnsiTheme="minorHAnsi"/>
          <w:lang w:eastAsia="en-US" w:bidi="ar-SA"/>
        </w:rPr>
        <w:t xml:space="preserve"> </w:t>
      </w:r>
      <w:r w:rsidRPr="00EA715D">
        <w:rPr>
          <w:rFonts w:asciiTheme="minorHAnsi" w:hAnsiTheme="minorHAnsi"/>
        </w:rPr>
        <w:t>337</w:t>
      </w:r>
      <w:r w:rsidR="00EA715D" w:rsidRPr="00EA715D">
        <w:rPr>
          <w:rFonts w:asciiTheme="minorHAnsi" w:hAnsiTheme="minorHAnsi"/>
        </w:rPr>
        <w:t>-</w:t>
      </w:r>
      <w:r w:rsidRPr="00EA715D">
        <w:rPr>
          <w:rFonts w:asciiTheme="minorHAnsi" w:hAnsiTheme="minorHAnsi"/>
        </w:rPr>
        <w:t>353.</w:t>
      </w:r>
    </w:p>
    <w:p w14:paraId="2FCB45CD" w14:textId="2FD83C97" w:rsidR="00E8586F" w:rsidRPr="00093B2A" w:rsidRDefault="00EA715D" w:rsidP="00EA715D">
      <w:pPr>
        <w:ind w:left="709" w:hanging="709"/>
        <w:rPr>
          <w:rFonts w:asciiTheme="minorHAnsi" w:hAnsiTheme="minorHAnsi"/>
        </w:rPr>
      </w:pPr>
      <w:r>
        <w:rPr>
          <w:rFonts w:asciiTheme="minorHAnsi" w:eastAsia="Times New Roman" w:hAnsiTheme="minorHAnsi"/>
          <w:lang w:eastAsia="en-US" w:bidi="ar-SA"/>
        </w:rPr>
        <w:lastRenderedPageBreak/>
        <w:t>Sacks, H. (1984) Notes on Methodology. I</w:t>
      </w:r>
      <w:r w:rsidR="00276E47" w:rsidRPr="00093B2A">
        <w:rPr>
          <w:rFonts w:asciiTheme="minorHAnsi" w:eastAsia="Times New Roman" w:hAnsiTheme="minorHAnsi"/>
          <w:lang w:eastAsia="en-US" w:bidi="ar-SA"/>
        </w:rPr>
        <w:t xml:space="preserve">n J.M. Atkinson and J. Heritage (Eds.). </w:t>
      </w:r>
      <w:r w:rsidR="00276E47" w:rsidRPr="00EA715D">
        <w:rPr>
          <w:rFonts w:asciiTheme="minorHAnsi" w:eastAsia="Times New Roman" w:hAnsiTheme="minorHAnsi"/>
          <w:i/>
          <w:lang w:eastAsia="en-US" w:bidi="ar-SA"/>
        </w:rPr>
        <w:t>Structures of Social Action: Studies in Conversation Analysis</w:t>
      </w:r>
      <w:r w:rsidR="00276E47" w:rsidRPr="00093B2A">
        <w:rPr>
          <w:rFonts w:asciiTheme="minorHAnsi" w:eastAsia="Times New Roman" w:hAnsiTheme="minorHAnsi"/>
          <w:lang w:eastAsia="en-US" w:bidi="ar-SA"/>
        </w:rPr>
        <w:t>. Cambri</w:t>
      </w:r>
      <w:r>
        <w:rPr>
          <w:rFonts w:asciiTheme="minorHAnsi" w:eastAsia="Times New Roman" w:hAnsiTheme="minorHAnsi"/>
          <w:lang w:eastAsia="en-US" w:bidi="ar-SA"/>
        </w:rPr>
        <w:t>dge: Cambridge University Press,</w:t>
      </w:r>
      <w:r w:rsidR="00E8586F" w:rsidRPr="00093B2A">
        <w:rPr>
          <w:rFonts w:asciiTheme="minorHAnsi" w:hAnsiTheme="minorHAnsi"/>
        </w:rPr>
        <w:t xml:space="preserve"> </w:t>
      </w:r>
      <w:bookmarkEnd w:id="51"/>
      <w:r>
        <w:rPr>
          <w:rFonts w:asciiTheme="minorHAnsi" w:eastAsia="Times New Roman" w:hAnsiTheme="minorHAnsi"/>
          <w:lang w:eastAsia="en-US" w:bidi="ar-SA"/>
        </w:rPr>
        <w:t>pp. 21–7</w:t>
      </w:r>
    </w:p>
    <w:p w14:paraId="24418A36" w14:textId="2F77232C" w:rsidR="00E8586F" w:rsidRPr="00093B2A" w:rsidRDefault="00E8586F" w:rsidP="00EF15EA">
      <w:pPr>
        <w:pStyle w:val="EndNoteBibliography"/>
        <w:ind w:left="720" w:hanging="720"/>
        <w:rPr>
          <w:rFonts w:asciiTheme="minorHAnsi" w:hAnsiTheme="minorHAnsi"/>
        </w:rPr>
      </w:pPr>
      <w:bookmarkStart w:id="52" w:name="_ENREF_54"/>
      <w:r w:rsidRPr="00093B2A">
        <w:rPr>
          <w:rFonts w:asciiTheme="minorHAnsi" w:hAnsiTheme="minorHAnsi"/>
        </w:rPr>
        <w:t xml:space="preserve">Sacks, H. (1992). </w:t>
      </w:r>
      <w:r w:rsidRPr="00093B2A">
        <w:rPr>
          <w:rFonts w:asciiTheme="minorHAnsi" w:hAnsiTheme="minorHAnsi"/>
          <w:i/>
        </w:rPr>
        <w:t xml:space="preserve">Lectures on conversation </w:t>
      </w:r>
      <w:r w:rsidR="00EA715D">
        <w:rPr>
          <w:rFonts w:asciiTheme="minorHAnsi" w:hAnsiTheme="minorHAnsi"/>
        </w:rPr>
        <w:t>(Vols</w:t>
      </w:r>
      <w:r w:rsidRPr="00093B2A">
        <w:rPr>
          <w:rFonts w:asciiTheme="minorHAnsi" w:hAnsiTheme="minorHAnsi"/>
        </w:rPr>
        <w:t xml:space="preserve"> 1 &amp; 2). Oxford: Blackwell.</w:t>
      </w:r>
      <w:bookmarkEnd w:id="52"/>
    </w:p>
    <w:p w14:paraId="1D8401B5" w14:textId="09574E24" w:rsidR="00D76535" w:rsidRPr="00093B2A" w:rsidRDefault="00D76535" w:rsidP="00EF15EA">
      <w:pPr>
        <w:pStyle w:val="EndNoteBibliography"/>
        <w:ind w:left="720" w:hanging="720"/>
        <w:rPr>
          <w:rFonts w:asciiTheme="minorHAnsi" w:hAnsiTheme="minorHAnsi"/>
        </w:rPr>
      </w:pPr>
      <w:r w:rsidRPr="00093B2A">
        <w:rPr>
          <w:rFonts w:asciiTheme="minorHAnsi" w:hAnsiTheme="minorHAnsi" w:cs="Arial"/>
          <w:color w:val="1A1A1A"/>
          <w:lang w:val="en-US" w:eastAsia="en-US" w:bidi="ar-SA"/>
        </w:rPr>
        <w:t xml:space="preserve">Sacks, H., Schegloff, E.A. and Jefferson, G., 1974. A simplest systematics for the organization of turn-taking for conversation. </w:t>
      </w:r>
      <w:r w:rsidRPr="00093B2A">
        <w:rPr>
          <w:rFonts w:asciiTheme="minorHAnsi" w:hAnsiTheme="minorHAnsi" w:cs="Arial"/>
          <w:i/>
          <w:iCs/>
          <w:color w:val="1A1A1A"/>
          <w:lang w:val="en-US" w:eastAsia="en-US" w:bidi="ar-SA"/>
        </w:rPr>
        <w:t>Language</w:t>
      </w:r>
      <w:r w:rsidRPr="00093B2A">
        <w:rPr>
          <w:rFonts w:asciiTheme="minorHAnsi" w:hAnsiTheme="minorHAnsi" w:cs="Arial"/>
          <w:color w:val="1A1A1A"/>
          <w:lang w:val="en-US" w:eastAsia="en-US" w:bidi="ar-SA"/>
        </w:rPr>
        <w:t>,</w:t>
      </w:r>
      <w:r w:rsidR="00EA715D">
        <w:rPr>
          <w:rFonts w:asciiTheme="minorHAnsi" w:hAnsiTheme="minorHAnsi" w:cs="Arial"/>
          <w:color w:val="1A1A1A"/>
          <w:lang w:val="en-US" w:eastAsia="en-US" w:bidi="ar-SA"/>
        </w:rPr>
        <w:t xml:space="preserve"> 50(4), </w:t>
      </w:r>
      <w:r w:rsidRPr="00093B2A">
        <w:rPr>
          <w:rFonts w:asciiTheme="minorHAnsi" w:hAnsiTheme="minorHAnsi" w:cs="Arial"/>
          <w:color w:val="1A1A1A"/>
          <w:lang w:val="en-US" w:eastAsia="en-US" w:bidi="ar-SA"/>
        </w:rPr>
        <w:t>696-735.</w:t>
      </w:r>
    </w:p>
    <w:p w14:paraId="01601110" w14:textId="77777777" w:rsidR="00E8586F" w:rsidRPr="00093B2A" w:rsidRDefault="00E8586F" w:rsidP="00EF15EA">
      <w:pPr>
        <w:pStyle w:val="EndNoteBibliography"/>
        <w:ind w:left="720" w:hanging="720"/>
        <w:rPr>
          <w:rFonts w:asciiTheme="minorHAnsi" w:hAnsiTheme="minorHAnsi"/>
        </w:rPr>
      </w:pPr>
      <w:bookmarkStart w:id="53" w:name="_ENREF_55"/>
      <w:r w:rsidRPr="00093B2A">
        <w:rPr>
          <w:rFonts w:asciiTheme="minorHAnsi" w:hAnsiTheme="minorHAnsi"/>
        </w:rPr>
        <w:t xml:space="preserve">Schalet, A. T. (2011). </w:t>
      </w:r>
      <w:r w:rsidRPr="00093B2A">
        <w:rPr>
          <w:rFonts w:asciiTheme="minorHAnsi" w:hAnsiTheme="minorHAnsi"/>
          <w:i/>
        </w:rPr>
        <w:t>Not under my roof: Parents, teens, and the culture of sex</w:t>
      </w:r>
      <w:r w:rsidRPr="00093B2A">
        <w:rPr>
          <w:rFonts w:asciiTheme="minorHAnsi" w:hAnsiTheme="minorHAnsi"/>
        </w:rPr>
        <w:t>: University of Chicago Press.</w:t>
      </w:r>
      <w:bookmarkEnd w:id="53"/>
    </w:p>
    <w:p w14:paraId="5D7B4550" w14:textId="77777777" w:rsidR="00E8586F" w:rsidRPr="00093B2A" w:rsidRDefault="00E8586F" w:rsidP="00EF15EA">
      <w:pPr>
        <w:pStyle w:val="EndNoteBibliography"/>
        <w:ind w:left="720" w:hanging="720"/>
        <w:rPr>
          <w:rFonts w:asciiTheme="minorHAnsi" w:hAnsiTheme="minorHAnsi"/>
        </w:rPr>
      </w:pPr>
      <w:bookmarkStart w:id="54" w:name="_ENREF_56"/>
      <w:r w:rsidRPr="00093B2A">
        <w:rPr>
          <w:rFonts w:asciiTheme="minorHAnsi" w:hAnsiTheme="minorHAnsi"/>
        </w:rPr>
        <w:t xml:space="preserve">Scharff, C. (2010). Silencing Differences: The ‘Unspoken’Dimensions of ‘Speaking for Others’. </w:t>
      </w:r>
      <w:r w:rsidRPr="00093B2A">
        <w:rPr>
          <w:rFonts w:asciiTheme="minorHAnsi" w:hAnsiTheme="minorHAnsi"/>
          <w:i/>
        </w:rPr>
        <w:t>Secrecy and Silence in the Research Process. Feminist Reflections. London and New York: Routledge</w:t>
      </w:r>
      <w:r w:rsidRPr="00093B2A">
        <w:rPr>
          <w:rFonts w:asciiTheme="minorHAnsi" w:hAnsiTheme="minorHAnsi"/>
        </w:rPr>
        <w:t xml:space="preserve">, 83-95. </w:t>
      </w:r>
      <w:bookmarkEnd w:id="54"/>
    </w:p>
    <w:p w14:paraId="5D1EF83C" w14:textId="1F1BD018" w:rsidR="00E8586F" w:rsidRPr="00093B2A" w:rsidRDefault="00E8586F" w:rsidP="00EF15EA">
      <w:pPr>
        <w:pStyle w:val="EndNoteBibliography"/>
        <w:ind w:left="720" w:hanging="720"/>
        <w:rPr>
          <w:rFonts w:asciiTheme="minorHAnsi" w:hAnsiTheme="minorHAnsi"/>
        </w:rPr>
      </w:pPr>
      <w:bookmarkStart w:id="55" w:name="_ENREF_57"/>
      <w:r w:rsidRPr="00093B2A">
        <w:rPr>
          <w:rFonts w:asciiTheme="minorHAnsi" w:hAnsiTheme="minorHAnsi"/>
        </w:rPr>
        <w:t>Schegloff, E. A. (1968). Sequen</w:t>
      </w:r>
      <w:r w:rsidR="00276E47" w:rsidRPr="00093B2A">
        <w:rPr>
          <w:rFonts w:asciiTheme="minorHAnsi" w:hAnsiTheme="minorHAnsi"/>
        </w:rPr>
        <w:t>cing in conversational openings</w:t>
      </w:r>
      <w:r w:rsidRPr="00093B2A">
        <w:rPr>
          <w:rFonts w:asciiTheme="minorHAnsi" w:hAnsiTheme="minorHAnsi"/>
        </w:rPr>
        <w:t xml:space="preserve">. </w:t>
      </w:r>
      <w:r w:rsidR="00EA715D">
        <w:rPr>
          <w:rFonts w:asciiTheme="minorHAnsi" w:hAnsiTheme="minorHAnsi"/>
          <w:i/>
        </w:rPr>
        <w:t>American A</w:t>
      </w:r>
      <w:r w:rsidRPr="00093B2A">
        <w:rPr>
          <w:rFonts w:asciiTheme="minorHAnsi" w:hAnsiTheme="minorHAnsi"/>
          <w:i/>
        </w:rPr>
        <w:t>nthropologist, 70</w:t>
      </w:r>
      <w:r w:rsidRPr="00093B2A">
        <w:rPr>
          <w:rFonts w:asciiTheme="minorHAnsi" w:hAnsiTheme="minorHAnsi"/>
        </w:rPr>
        <w:t xml:space="preserve">(6), 1075-1095. </w:t>
      </w:r>
      <w:bookmarkEnd w:id="55"/>
    </w:p>
    <w:p w14:paraId="082609DD" w14:textId="77777777" w:rsidR="00140CCD" w:rsidRPr="00093B2A" w:rsidRDefault="00140CCD" w:rsidP="00140CCD">
      <w:pPr>
        <w:pStyle w:val="EndNoteBibliography"/>
        <w:ind w:left="720" w:hanging="720"/>
        <w:rPr>
          <w:rFonts w:asciiTheme="minorHAnsi" w:hAnsiTheme="minorHAnsi"/>
        </w:rPr>
      </w:pPr>
      <w:bookmarkStart w:id="56" w:name="_ENREF_12"/>
      <w:r w:rsidRPr="00093B2A">
        <w:rPr>
          <w:rFonts w:asciiTheme="minorHAnsi" w:hAnsiTheme="minorHAnsi"/>
        </w:rPr>
        <w:t xml:space="preserve">Schegloff, E. A. (2007). </w:t>
      </w:r>
      <w:r w:rsidRPr="00093B2A">
        <w:rPr>
          <w:rFonts w:asciiTheme="minorHAnsi" w:hAnsiTheme="minorHAnsi"/>
          <w:i/>
        </w:rPr>
        <w:t>Sequence organization in interaction: A primer in conversation analysis</w:t>
      </w:r>
      <w:r w:rsidRPr="00093B2A">
        <w:rPr>
          <w:rFonts w:asciiTheme="minorHAnsi" w:hAnsiTheme="minorHAnsi"/>
        </w:rPr>
        <w:t xml:space="preserve"> (Vol. 1).</w:t>
      </w:r>
      <w:bookmarkEnd w:id="56"/>
      <w:r w:rsidR="006129DD" w:rsidRPr="00093B2A">
        <w:rPr>
          <w:rFonts w:asciiTheme="minorHAnsi" w:hAnsiTheme="minorHAnsi"/>
        </w:rPr>
        <w:t xml:space="preserve"> Cambridge University Press</w:t>
      </w:r>
    </w:p>
    <w:p w14:paraId="365524A0" w14:textId="77777777" w:rsidR="00E8586F" w:rsidRPr="00093B2A" w:rsidRDefault="00E8586F" w:rsidP="00EF15EA">
      <w:pPr>
        <w:pStyle w:val="EndNoteBibliography"/>
        <w:ind w:left="720" w:hanging="720"/>
        <w:rPr>
          <w:rFonts w:asciiTheme="minorHAnsi" w:hAnsiTheme="minorHAnsi"/>
        </w:rPr>
      </w:pPr>
      <w:bookmarkStart w:id="57" w:name="_ENREF_58"/>
      <w:r w:rsidRPr="00093B2A">
        <w:rPr>
          <w:rFonts w:asciiTheme="minorHAnsi" w:hAnsiTheme="minorHAnsi"/>
        </w:rPr>
        <w:t xml:space="preserve">Schegloff, E. A. (2009). One perspective on conversation analysis: Comparative perspectives. </w:t>
      </w:r>
      <w:r w:rsidRPr="00093B2A">
        <w:rPr>
          <w:rFonts w:asciiTheme="minorHAnsi" w:hAnsiTheme="minorHAnsi"/>
          <w:i/>
        </w:rPr>
        <w:t>Conversation analysis: Comparative perspectives, 27</w:t>
      </w:r>
      <w:r w:rsidRPr="00093B2A">
        <w:rPr>
          <w:rFonts w:asciiTheme="minorHAnsi" w:hAnsiTheme="minorHAnsi"/>
        </w:rPr>
        <w:t xml:space="preserve">, 357. </w:t>
      </w:r>
      <w:bookmarkEnd w:id="57"/>
    </w:p>
    <w:p w14:paraId="7B6AD095" w14:textId="77777777" w:rsidR="00E8586F" w:rsidRPr="00093B2A" w:rsidRDefault="00E8586F" w:rsidP="00EF15EA">
      <w:pPr>
        <w:pStyle w:val="EndNoteBibliography"/>
        <w:ind w:left="720" w:hanging="720"/>
        <w:rPr>
          <w:rFonts w:asciiTheme="minorHAnsi" w:hAnsiTheme="minorHAnsi"/>
        </w:rPr>
      </w:pPr>
      <w:bookmarkStart w:id="58" w:name="_ENREF_59"/>
      <w:r w:rsidRPr="00093B2A">
        <w:rPr>
          <w:rFonts w:asciiTheme="minorHAnsi" w:hAnsiTheme="minorHAnsi"/>
        </w:rPr>
        <w:t xml:space="preserve">Speer, S. A. (2012). Feminist conversation analysis: who needs it? </w:t>
      </w:r>
      <w:r w:rsidRPr="00093B2A">
        <w:rPr>
          <w:rFonts w:asciiTheme="minorHAnsi" w:hAnsiTheme="minorHAnsi"/>
          <w:i/>
        </w:rPr>
        <w:t>Qualitative research in Psychology, 9</w:t>
      </w:r>
      <w:r w:rsidRPr="00093B2A">
        <w:rPr>
          <w:rFonts w:asciiTheme="minorHAnsi" w:hAnsiTheme="minorHAnsi"/>
        </w:rPr>
        <w:t xml:space="preserve">(4), 292-297. </w:t>
      </w:r>
      <w:bookmarkEnd w:id="58"/>
    </w:p>
    <w:p w14:paraId="06928A4F" w14:textId="0143B51D" w:rsidR="007C0D0E" w:rsidRPr="00093B2A" w:rsidRDefault="007C0D0E" w:rsidP="00093B2A">
      <w:pPr>
        <w:ind w:left="709" w:hanging="709"/>
        <w:rPr>
          <w:rFonts w:asciiTheme="minorHAnsi" w:hAnsiTheme="minorHAnsi"/>
        </w:rPr>
      </w:pPr>
      <w:r w:rsidRPr="00093B2A">
        <w:rPr>
          <w:rFonts w:asciiTheme="minorHAnsi" w:hAnsiTheme="minorHAnsi"/>
        </w:rPr>
        <w:t xml:space="preserve">Speer, S.A. and </w:t>
      </w:r>
      <w:proofErr w:type="spellStart"/>
      <w:r w:rsidRPr="00093B2A">
        <w:rPr>
          <w:rFonts w:asciiTheme="minorHAnsi" w:hAnsiTheme="minorHAnsi"/>
        </w:rPr>
        <w:t>Hutchby</w:t>
      </w:r>
      <w:proofErr w:type="spellEnd"/>
      <w:r w:rsidRPr="00093B2A">
        <w:rPr>
          <w:rFonts w:asciiTheme="minorHAnsi" w:hAnsiTheme="minorHAnsi"/>
        </w:rPr>
        <w:t xml:space="preserve">, I. (2003) ‘From Ethics to Analytics: Aspects of Participants’ Orientations to the Presence and Relevance of Recording Devices’, </w:t>
      </w:r>
      <w:r w:rsidRPr="00093B2A">
        <w:rPr>
          <w:rFonts w:asciiTheme="minorHAnsi" w:hAnsiTheme="minorHAnsi"/>
          <w:i/>
        </w:rPr>
        <w:t xml:space="preserve">Sociology </w:t>
      </w:r>
      <w:r w:rsidR="00EA715D">
        <w:rPr>
          <w:rFonts w:asciiTheme="minorHAnsi" w:hAnsiTheme="minorHAnsi"/>
        </w:rPr>
        <w:t xml:space="preserve">37, </w:t>
      </w:r>
      <w:r w:rsidRPr="00093B2A">
        <w:rPr>
          <w:rFonts w:asciiTheme="minorHAnsi" w:hAnsiTheme="minorHAnsi"/>
        </w:rPr>
        <w:t>315–37.</w:t>
      </w:r>
    </w:p>
    <w:p w14:paraId="4BD0E8C0" w14:textId="77777777" w:rsidR="00140CCD" w:rsidRPr="00093B2A" w:rsidRDefault="00140CCD" w:rsidP="00EF15EA">
      <w:pPr>
        <w:pStyle w:val="EndNoteBibliography"/>
        <w:ind w:left="720" w:hanging="720"/>
        <w:rPr>
          <w:rFonts w:asciiTheme="minorHAnsi" w:hAnsiTheme="minorHAnsi"/>
        </w:rPr>
      </w:pPr>
      <w:bookmarkStart w:id="59" w:name="_ENREF_13"/>
      <w:r w:rsidRPr="00093B2A">
        <w:rPr>
          <w:rFonts w:asciiTheme="minorHAnsi" w:hAnsiTheme="minorHAnsi"/>
        </w:rPr>
        <w:t xml:space="preserve">Schegloff, E. A., &amp; Lerner, G. H. (2009). Beginning to respond: Well-prefaced responses to wh-questions. </w:t>
      </w:r>
      <w:r w:rsidRPr="00093B2A">
        <w:rPr>
          <w:rFonts w:asciiTheme="minorHAnsi" w:hAnsiTheme="minorHAnsi"/>
          <w:i/>
        </w:rPr>
        <w:t>Research on Language and Social Interaction, 42</w:t>
      </w:r>
      <w:r w:rsidRPr="00093B2A">
        <w:rPr>
          <w:rFonts w:asciiTheme="minorHAnsi" w:hAnsiTheme="minorHAnsi"/>
        </w:rPr>
        <w:t xml:space="preserve">(2), 91-115. </w:t>
      </w:r>
      <w:bookmarkEnd w:id="59"/>
    </w:p>
    <w:p w14:paraId="287DFB12" w14:textId="77777777" w:rsidR="00E8586F" w:rsidRPr="00093B2A" w:rsidRDefault="00E8586F" w:rsidP="00EF15EA">
      <w:pPr>
        <w:pStyle w:val="EndNoteBibliography"/>
        <w:ind w:left="720" w:hanging="720"/>
        <w:rPr>
          <w:rFonts w:asciiTheme="minorHAnsi" w:hAnsiTheme="minorHAnsi"/>
        </w:rPr>
      </w:pPr>
      <w:bookmarkStart w:id="60" w:name="_ENREF_60"/>
      <w:r w:rsidRPr="00093B2A">
        <w:rPr>
          <w:rFonts w:asciiTheme="minorHAnsi" w:hAnsiTheme="minorHAnsi"/>
        </w:rPr>
        <w:t xml:space="preserve">Speer, S. A., &amp; Stokoe, E. (2011). </w:t>
      </w:r>
      <w:r w:rsidRPr="00093B2A">
        <w:rPr>
          <w:rFonts w:asciiTheme="minorHAnsi" w:hAnsiTheme="minorHAnsi"/>
          <w:i/>
        </w:rPr>
        <w:t>Conversation and gender</w:t>
      </w:r>
      <w:r w:rsidR="006129DD" w:rsidRPr="00093B2A">
        <w:rPr>
          <w:rFonts w:asciiTheme="minorHAnsi" w:hAnsiTheme="minorHAnsi"/>
        </w:rPr>
        <w:t>.</w:t>
      </w:r>
      <w:r w:rsidRPr="00093B2A">
        <w:rPr>
          <w:rFonts w:asciiTheme="minorHAnsi" w:hAnsiTheme="minorHAnsi"/>
        </w:rPr>
        <w:t xml:space="preserve"> Cambridge University Press.</w:t>
      </w:r>
      <w:bookmarkEnd w:id="60"/>
    </w:p>
    <w:p w14:paraId="0415BBE8" w14:textId="0020E320" w:rsidR="00E8586F" w:rsidRPr="00093B2A" w:rsidRDefault="00E8586F" w:rsidP="00EF15EA">
      <w:pPr>
        <w:pStyle w:val="EndNoteBibliography"/>
        <w:ind w:left="720" w:hanging="720"/>
        <w:rPr>
          <w:rFonts w:asciiTheme="minorHAnsi" w:hAnsiTheme="minorHAnsi"/>
        </w:rPr>
      </w:pPr>
      <w:bookmarkStart w:id="61" w:name="_ENREF_61"/>
      <w:r w:rsidRPr="00093B2A">
        <w:rPr>
          <w:rFonts w:asciiTheme="minorHAnsi" w:hAnsiTheme="minorHAnsi"/>
        </w:rPr>
        <w:t xml:space="preserve">Stivers, T. (2008). Stance, alignment, and affiliation during storytelling: When nodding is a token of affiliation. </w:t>
      </w:r>
      <w:r w:rsidRPr="00093B2A">
        <w:rPr>
          <w:rFonts w:asciiTheme="minorHAnsi" w:hAnsiTheme="minorHAnsi"/>
          <w:i/>
        </w:rPr>
        <w:t xml:space="preserve">Research on </w:t>
      </w:r>
      <w:r w:rsidR="00EA715D">
        <w:rPr>
          <w:rFonts w:asciiTheme="minorHAnsi" w:hAnsiTheme="minorHAnsi"/>
          <w:i/>
        </w:rPr>
        <w:t>Language and social interaction</w:t>
      </w:r>
      <w:r w:rsidRPr="00093B2A">
        <w:rPr>
          <w:rFonts w:asciiTheme="minorHAnsi" w:hAnsiTheme="minorHAnsi"/>
          <w:i/>
        </w:rPr>
        <w:t>, 41</w:t>
      </w:r>
      <w:r w:rsidRPr="00093B2A">
        <w:rPr>
          <w:rFonts w:asciiTheme="minorHAnsi" w:hAnsiTheme="minorHAnsi"/>
        </w:rPr>
        <w:t xml:space="preserve">(1), 31-57. </w:t>
      </w:r>
      <w:bookmarkEnd w:id="61"/>
    </w:p>
    <w:p w14:paraId="50D66901" w14:textId="77777777" w:rsidR="00E8586F" w:rsidRPr="00093B2A" w:rsidRDefault="00E8586F" w:rsidP="00EF15EA">
      <w:pPr>
        <w:pStyle w:val="EndNoteBibliography"/>
        <w:ind w:left="720" w:hanging="720"/>
        <w:rPr>
          <w:rFonts w:asciiTheme="minorHAnsi" w:hAnsiTheme="minorHAnsi"/>
        </w:rPr>
      </w:pPr>
      <w:bookmarkStart w:id="62" w:name="_ENREF_62"/>
      <w:r w:rsidRPr="00093B2A">
        <w:rPr>
          <w:rFonts w:asciiTheme="minorHAnsi" w:hAnsiTheme="minorHAnsi"/>
        </w:rPr>
        <w:t xml:space="preserve">Stokoe, E. H., &amp; Edwards, D. (2006). Story formulations in talk-in-interaction. </w:t>
      </w:r>
      <w:r w:rsidRPr="00093B2A">
        <w:rPr>
          <w:rFonts w:asciiTheme="minorHAnsi" w:hAnsiTheme="minorHAnsi"/>
          <w:i/>
        </w:rPr>
        <w:t>Narrative Inquiry, 16</w:t>
      </w:r>
      <w:r w:rsidRPr="00093B2A">
        <w:rPr>
          <w:rFonts w:asciiTheme="minorHAnsi" w:hAnsiTheme="minorHAnsi"/>
        </w:rPr>
        <w:t xml:space="preserve">(1), 56-65. </w:t>
      </w:r>
      <w:bookmarkEnd w:id="62"/>
    </w:p>
    <w:p w14:paraId="4C872E45" w14:textId="77777777" w:rsidR="00E8586F" w:rsidRPr="00093B2A" w:rsidRDefault="00E8586F" w:rsidP="00EF15EA">
      <w:pPr>
        <w:pStyle w:val="EndNoteBibliography"/>
        <w:ind w:left="720" w:hanging="720"/>
        <w:rPr>
          <w:rFonts w:asciiTheme="minorHAnsi" w:hAnsiTheme="minorHAnsi"/>
        </w:rPr>
      </w:pPr>
      <w:bookmarkStart w:id="63" w:name="_ENREF_63"/>
      <w:r w:rsidRPr="00093B2A">
        <w:rPr>
          <w:rFonts w:asciiTheme="minorHAnsi" w:hAnsiTheme="minorHAnsi"/>
        </w:rPr>
        <w:t xml:space="preserve">Tolman, D. L. (1994). </w:t>
      </w:r>
      <w:r w:rsidR="006129DD" w:rsidRPr="00093B2A">
        <w:rPr>
          <w:rFonts w:asciiTheme="minorHAnsi" w:hAnsiTheme="minorHAnsi"/>
        </w:rPr>
        <w:t>Doing Desire:</w:t>
      </w:r>
      <w:r w:rsidRPr="00093B2A">
        <w:rPr>
          <w:rFonts w:asciiTheme="minorHAnsi" w:hAnsiTheme="minorHAnsi"/>
        </w:rPr>
        <w:t xml:space="preserve"> Adolescent Girls' Struggles for/with Sexuality. </w:t>
      </w:r>
      <w:r w:rsidRPr="00093B2A">
        <w:rPr>
          <w:rFonts w:asciiTheme="minorHAnsi" w:hAnsiTheme="minorHAnsi"/>
          <w:i/>
        </w:rPr>
        <w:t>Gender &amp; Society, 8</w:t>
      </w:r>
      <w:r w:rsidRPr="00093B2A">
        <w:rPr>
          <w:rFonts w:asciiTheme="minorHAnsi" w:hAnsiTheme="minorHAnsi"/>
        </w:rPr>
        <w:t xml:space="preserve">(3), 324-342. </w:t>
      </w:r>
      <w:bookmarkEnd w:id="63"/>
    </w:p>
    <w:p w14:paraId="7906DDE9" w14:textId="77777777" w:rsidR="00E8586F" w:rsidRPr="00093B2A" w:rsidRDefault="00E8586F" w:rsidP="00EF15EA">
      <w:pPr>
        <w:pStyle w:val="EndNoteBibliography"/>
        <w:ind w:left="720" w:hanging="720"/>
        <w:rPr>
          <w:rFonts w:asciiTheme="minorHAnsi" w:hAnsiTheme="minorHAnsi"/>
        </w:rPr>
      </w:pPr>
      <w:bookmarkStart w:id="64" w:name="_ENREF_64"/>
      <w:r w:rsidRPr="00093B2A">
        <w:rPr>
          <w:rFonts w:asciiTheme="minorHAnsi" w:hAnsiTheme="minorHAnsi"/>
        </w:rPr>
        <w:t xml:space="preserve">Tolman, D. L. (2002). </w:t>
      </w:r>
      <w:r w:rsidRPr="00093B2A">
        <w:rPr>
          <w:rFonts w:asciiTheme="minorHAnsi" w:hAnsiTheme="minorHAnsi"/>
          <w:i/>
        </w:rPr>
        <w:t>Dilemmas of Desire: Teenage Girls Talk about Sexuality</w:t>
      </w:r>
      <w:r w:rsidRPr="00093B2A">
        <w:rPr>
          <w:rFonts w:asciiTheme="minorHAnsi" w:hAnsiTheme="minorHAnsi"/>
        </w:rPr>
        <w:t>. Cambridge, MA: Harvard University Press.</w:t>
      </w:r>
      <w:bookmarkEnd w:id="64"/>
    </w:p>
    <w:p w14:paraId="177C337A" w14:textId="77777777" w:rsidR="00E8586F" w:rsidRPr="00093B2A" w:rsidRDefault="00E8586F" w:rsidP="00EF15EA">
      <w:pPr>
        <w:pStyle w:val="EndNoteBibliography"/>
        <w:ind w:left="720" w:hanging="720"/>
        <w:rPr>
          <w:rFonts w:asciiTheme="minorHAnsi" w:hAnsiTheme="minorHAnsi"/>
        </w:rPr>
      </w:pPr>
      <w:bookmarkStart w:id="65" w:name="_ENREF_65"/>
      <w:r w:rsidRPr="00093B2A">
        <w:rPr>
          <w:rFonts w:asciiTheme="minorHAnsi" w:hAnsiTheme="minorHAnsi"/>
        </w:rPr>
        <w:t xml:space="preserve">Tolman, D. L., Hirschman, C., &amp; Impett, E. A. (2005). There is more to the story: The place of qualitative research on female adolescent sexuality in policy making. </w:t>
      </w:r>
      <w:r w:rsidRPr="00093B2A">
        <w:rPr>
          <w:rFonts w:asciiTheme="minorHAnsi" w:hAnsiTheme="minorHAnsi"/>
          <w:i/>
        </w:rPr>
        <w:t>Sexuality Research &amp; Social Policy, 2</w:t>
      </w:r>
      <w:r w:rsidRPr="00093B2A">
        <w:rPr>
          <w:rFonts w:asciiTheme="minorHAnsi" w:hAnsiTheme="minorHAnsi"/>
        </w:rPr>
        <w:t xml:space="preserve">(4), 4-17. </w:t>
      </w:r>
      <w:bookmarkEnd w:id="65"/>
    </w:p>
    <w:p w14:paraId="12CF7E4E" w14:textId="77777777" w:rsidR="00E8586F" w:rsidRPr="00093B2A" w:rsidRDefault="00E8586F" w:rsidP="00EF15EA">
      <w:pPr>
        <w:pStyle w:val="EndNoteBibliography"/>
        <w:ind w:left="720" w:hanging="720"/>
        <w:rPr>
          <w:rFonts w:asciiTheme="minorHAnsi" w:hAnsiTheme="minorHAnsi"/>
        </w:rPr>
      </w:pPr>
      <w:bookmarkStart w:id="66" w:name="_ENREF_66"/>
      <w:r w:rsidRPr="00093B2A">
        <w:rPr>
          <w:rFonts w:asciiTheme="minorHAnsi" w:hAnsiTheme="minorHAnsi"/>
        </w:rPr>
        <w:t>Tolman, D. L., Spencer, R., Rosen</w:t>
      </w:r>
      <w:r w:rsidRPr="00093B2A">
        <w:rPr>
          <w:rFonts w:asciiTheme="minorHAnsi" w:hAnsiTheme="minorHAnsi" w:cs="Cambria Math"/>
        </w:rPr>
        <w:t>‐</w:t>
      </w:r>
      <w:r w:rsidRPr="00093B2A">
        <w:rPr>
          <w:rFonts w:asciiTheme="minorHAnsi" w:hAnsiTheme="minorHAnsi"/>
        </w:rPr>
        <w:t xml:space="preserve">Reynoso, M., &amp; Porche, M. V. (2003). Sowing the seeds of violence in heterosexual relationships: Early adolescents narrate compulsory heterosexuality. </w:t>
      </w:r>
      <w:r w:rsidRPr="00093B2A">
        <w:rPr>
          <w:rFonts w:asciiTheme="minorHAnsi" w:hAnsiTheme="minorHAnsi"/>
          <w:i/>
        </w:rPr>
        <w:t>Journal of Social Issues, 59</w:t>
      </w:r>
      <w:r w:rsidRPr="00093B2A">
        <w:rPr>
          <w:rFonts w:asciiTheme="minorHAnsi" w:hAnsiTheme="minorHAnsi"/>
        </w:rPr>
        <w:t xml:space="preserve">(1), 159-178. </w:t>
      </w:r>
      <w:bookmarkEnd w:id="66"/>
    </w:p>
    <w:p w14:paraId="3D2D258B" w14:textId="77777777" w:rsidR="00E8586F" w:rsidRPr="00093B2A" w:rsidRDefault="00E8586F" w:rsidP="00EF15EA">
      <w:pPr>
        <w:pStyle w:val="EndNoteBibliography"/>
        <w:ind w:left="720" w:hanging="720"/>
        <w:rPr>
          <w:rFonts w:asciiTheme="minorHAnsi" w:hAnsiTheme="minorHAnsi"/>
        </w:rPr>
      </w:pPr>
      <w:bookmarkStart w:id="67" w:name="_ENREF_67"/>
      <w:r w:rsidRPr="00093B2A">
        <w:rPr>
          <w:rFonts w:asciiTheme="minorHAnsi" w:hAnsiTheme="minorHAnsi"/>
        </w:rPr>
        <w:t xml:space="preserve">Tsui, A. (1991). The pragmatic functions of I don’t know. </w:t>
      </w:r>
      <w:r w:rsidRPr="00093B2A">
        <w:rPr>
          <w:rFonts w:asciiTheme="minorHAnsi" w:hAnsiTheme="minorHAnsi"/>
          <w:i/>
        </w:rPr>
        <w:t>Text-Interdisciplinary Journal for the Study of Discourse, 11</w:t>
      </w:r>
      <w:r w:rsidRPr="00093B2A">
        <w:rPr>
          <w:rFonts w:asciiTheme="minorHAnsi" w:hAnsiTheme="minorHAnsi"/>
        </w:rPr>
        <w:t xml:space="preserve">(4), 607-622. </w:t>
      </w:r>
      <w:bookmarkEnd w:id="67"/>
    </w:p>
    <w:p w14:paraId="0806099C" w14:textId="77777777" w:rsidR="00E8586F" w:rsidRPr="00093B2A" w:rsidRDefault="00E8586F" w:rsidP="00EF15EA">
      <w:pPr>
        <w:pStyle w:val="EndNoteBibliography"/>
        <w:ind w:left="720" w:hanging="720"/>
        <w:rPr>
          <w:rFonts w:asciiTheme="minorHAnsi" w:hAnsiTheme="minorHAnsi"/>
        </w:rPr>
      </w:pPr>
      <w:bookmarkStart w:id="68" w:name="_ENREF_68"/>
      <w:r w:rsidRPr="00093B2A">
        <w:rPr>
          <w:rFonts w:asciiTheme="minorHAnsi" w:hAnsiTheme="minorHAnsi"/>
        </w:rPr>
        <w:t xml:space="preserve">Weatherall, A. (2011). I don't know as a Prepositioned Epistemic Hedge. </w:t>
      </w:r>
      <w:r w:rsidRPr="00093B2A">
        <w:rPr>
          <w:rFonts w:asciiTheme="minorHAnsi" w:hAnsiTheme="minorHAnsi"/>
          <w:i/>
        </w:rPr>
        <w:t>Research on Language &amp; Social Interaction, 44</w:t>
      </w:r>
      <w:r w:rsidRPr="00093B2A">
        <w:rPr>
          <w:rFonts w:asciiTheme="minorHAnsi" w:hAnsiTheme="minorHAnsi"/>
        </w:rPr>
        <w:t xml:space="preserve">(4), 317-337. </w:t>
      </w:r>
      <w:bookmarkEnd w:id="68"/>
    </w:p>
    <w:p w14:paraId="6AAB5D6B" w14:textId="77777777" w:rsidR="00E8586F" w:rsidRPr="00093B2A" w:rsidRDefault="00E8586F" w:rsidP="00EF15EA">
      <w:pPr>
        <w:pStyle w:val="EndNoteBibliography"/>
        <w:ind w:left="720" w:hanging="720"/>
        <w:rPr>
          <w:rFonts w:asciiTheme="minorHAnsi" w:hAnsiTheme="minorHAnsi"/>
        </w:rPr>
      </w:pPr>
      <w:bookmarkStart w:id="69" w:name="_ENREF_69"/>
      <w:r w:rsidRPr="00093B2A">
        <w:rPr>
          <w:rFonts w:asciiTheme="minorHAnsi" w:hAnsiTheme="minorHAnsi"/>
        </w:rPr>
        <w:lastRenderedPageBreak/>
        <w:t xml:space="preserve">Whelan, P. (2012). Oxymoronic and Sociologically Monstrous? 1 Feminist Conversation Analysis. </w:t>
      </w:r>
      <w:r w:rsidRPr="00093B2A">
        <w:rPr>
          <w:rFonts w:asciiTheme="minorHAnsi" w:hAnsiTheme="minorHAnsi"/>
          <w:i/>
        </w:rPr>
        <w:t>Qualitative research in Psychology, 9</w:t>
      </w:r>
      <w:r w:rsidRPr="00093B2A">
        <w:rPr>
          <w:rFonts w:asciiTheme="minorHAnsi" w:hAnsiTheme="minorHAnsi"/>
        </w:rPr>
        <w:t xml:space="preserve">(4), 279-291. </w:t>
      </w:r>
      <w:bookmarkEnd w:id="69"/>
    </w:p>
    <w:p w14:paraId="6C84C514" w14:textId="6FF01102" w:rsidR="00983E34" w:rsidRPr="00983E34" w:rsidRDefault="00983E34" w:rsidP="00983E34">
      <w:pPr>
        <w:ind w:left="709" w:hanging="709"/>
        <w:rPr>
          <w:rFonts w:asciiTheme="minorHAnsi" w:eastAsia="Times New Roman" w:hAnsiTheme="minorHAnsi"/>
          <w:lang w:eastAsia="en-US" w:bidi="ar-SA"/>
        </w:rPr>
      </w:pPr>
      <w:bookmarkStart w:id="70" w:name="_ENREF_71"/>
      <w:r w:rsidRPr="00983E34">
        <w:rPr>
          <w:rFonts w:asciiTheme="minorHAnsi" w:eastAsia="Times New Roman" w:hAnsiTheme="minorHAnsi"/>
          <w:lang w:eastAsia="en-US" w:bidi="ar-SA"/>
        </w:rPr>
        <w:t xml:space="preserve">Wilkinson, S., &amp; Kitzinger, C. (2003). Constructing identities: A feminist conversation analytic approach to positioning in action. In R. </w:t>
      </w:r>
      <w:proofErr w:type="spellStart"/>
      <w:r w:rsidRPr="00983E34">
        <w:rPr>
          <w:rFonts w:asciiTheme="minorHAnsi" w:eastAsia="Times New Roman" w:hAnsiTheme="minorHAnsi"/>
          <w:lang w:eastAsia="en-US" w:bidi="ar-SA"/>
        </w:rPr>
        <w:t>Harré</w:t>
      </w:r>
      <w:proofErr w:type="spellEnd"/>
      <w:r w:rsidRPr="00983E34">
        <w:rPr>
          <w:rFonts w:asciiTheme="minorHAnsi" w:eastAsia="Times New Roman" w:hAnsiTheme="minorHAnsi"/>
          <w:lang w:eastAsia="en-US" w:bidi="ar-SA"/>
        </w:rPr>
        <w:t xml:space="preserve"> &amp; F. </w:t>
      </w:r>
      <w:proofErr w:type="spellStart"/>
      <w:r w:rsidRPr="00983E34">
        <w:rPr>
          <w:rFonts w:asciiTheme="minorHAnsi" w:eastAsia="Times New Roman" w:hAnsiTheme="minorHAnsi"/>
          <w:lang w:eastAsia="en-US" w:bidi="ar-SA"/>
        </w:rPr>
        <w:t>Moghaddam</w:t>
      </w:r>
      <w:proofErr w:type="spellEnd"/>
      <w:r w:rsidRPr="00983E34">
        <w:rPr>
          <w:rFonts w:asciiTheme="minorHAnsi" w:eastAsia="Times New Roman" w:hAnsiTheme="minorHAnsi"/>
          <w:lang w:eastAsia="en-US" w:bidi="ar-SA"/>
        </w:rPr>
        <w:t xml:space="preserve"> (Eds.), </w:t>
      </w:r>
      <w:r w:rsidRPr="00983E34">
        <w:rPr>
          <w:rFonts w:asciiTheme="minorHAnsi" w:eastAsia="Times New Roman" w:hAnsiTheme="minorHAnsi"/>
          <w:i/>
          <w:lang w:eastAsia="en-US" w:bidi="ar-SA"/>
        </w:rPr>
        <w:t>The self and others: Positioning individuals and groups in personal, political, and cultural contexts</w:t>
      </w:r>
      <w:r>
        <w:rPr>
          <w:rFonts w:asciiTheme="minorHAnsi" w:eastAsia="Times New Roman" w:hAnsiTheme="minorHAnsi"/>
          <w:lang w:eastAsia="en-US" w:bidi="ar-SA"/>
        </w:rPr>
        <w:t xml:space="preserve">. Westport, CT: </w:t>
      </w:r>
      <w:proofErr w:type="spellStart"/>
      <w:r>
        <w:rPr>
          <w:rFonts w:asciiTheme="minorHAnsi" w:eastAsia="Times New Roman" w:hAnsiTheme="minorHAnsi"/>
          <w:lang w:eastAsia="en-US" w:bidi="ar-SA"/>
        </w:rPr>
        <w:t>Praeger</w:t>
      </w:r>
      <w:proofErr w:type="spellEnd"/>
      <w:r>
        <w:rPr>
          <w:rFonts w:asciiTheme="minorHAnsi" w:eastAsia="Times New Roman" w:hAnsiTheme="minorHAnsi"/>
          <w:lang w:eastAsia="en-US" w:bidi="ar-SA"/>
        </w:rPr>
        <w:t>, pp. 157–180</w:t>
      </w:r>
      <w:r w:rsidRPr="00983E34">
        <w:rPr>
          <w:rFonts w:asciiTheme="minorHAnsi" w:eastAsia="Times New Roman" w:hAnsiTheme="minorHAnsi"/>
          <w:lang w:eastAsia="en-US" w:bidi="ar-SA"/>
        </w:rPr>
        <w:t>.</w:t>
      </w:r>
    </w:p>
    <w:bookmarkEnd w:id="70"/>
    <w:p w14:paraId="07818820" w14:textId="020A0615" w:rsidR="00983E34" w:rsidRPr="00983E34" w:rsidRDefault="00983E34" w:rsidP="00983E34">
      <w:pPr>
        <w:ind w:left="709" w:hanging="709"/>
        <w:rPr>
          <w:rFonts w:asciiTheme="minorHAnsi" w:eastAsia="Times New Roman" w:hAnsiTheme="minorHAnsi"/>
          <w:lang w:eastAsia="en-US" w:bidi="ar-SA"/>
        </w:rPr>
      </w:pPr>
      <w:r w:rsidRPr="00983E34">
        <w:rPr>
          <w:rFonts w:asciiTheme="minorHAnsi" w:eastAsia="Times New Roman" w:hAnsiTheme="minorHAnsi"/>
          <w:lang w:eastAsia="en-US" w:bidi="ar-SA"/>
        </w:rPr>
        <w:t xml:space="preserve">Wilkinson, S., &amp; Kitzinger, C. (2014). Conversation analysis in language and gender studies. In S. </w:t>
      </w:r>
      <w:proofErr w:type="spellStart"/>
      <w:r w:rsidRPr="00983E34">
        <w:rPr>
          <w:rFonts w:asciiTheme="minorHAnsi" w:eastAsia="Times New Roman" w:hAnsiTheme="minorHAnsi"/>
          <w:lang w:eastAsia="en-US" w:bidi="ar-SA"/>
        </w:rPr>
        <w:t>Erlich</w:t>
      </w:r>
      <w:proofErr w:type="spellEnd"/>
      <w:r w:rsidRPr="00983E34">
        <w:rPr>
          <w:rFonts w:asciiTheme="minorHAnsi" w:eastAsia="Times New Roman" w:hAnsiTheme="minorHAnsi"/>
          <w:lang w:eastAsia="en-US" w:bidi="ar-SA"/>
        </w:rPr>
        <w:t xml:space="preserve">, M. </w:t>
      </w:r>
      <w:proofErr w:type="spellStart"/>
      <w:r w:rsidRPr="00983E34">
        <w:rPr>
          <w:rFonts w:asciiTheme="minorHAnsi" w:eastAsia="Times New Roman" w:hAnsiTheme="minorHAnsi"/>
          <w:lang w:eastAsia="en-US" w:bidi="ar-SA"/>
        </w:rPr>
        <w:t>Meyerhoff</w:t>
      </w:r>
      <w:proofErr w:type="spellEnd"/>
      <w:r w:rsidRPr="00983E34">
        <w:rPr>
          <w:rFonts w:asciiTheme="minorHAnsi" w:eastAsia="Times New Roman" w:hAnsiTheme="minorHAnsi"/>
          <w:lang w:eastAsia="en-US" w:bidi="ar-SA"/>
        </w:rPr>
        <w:t xml:space="preserve">, &amp; J. Holmes (Eds.), </w:t>
      </w:r>
      <w:r w:rsidRPr="00983E34">
        <w:rPr>
          <w:rFonts w:asciiTheme="minorHAnsi" w:eastAsia="Times New Roman" w:hAnsiTheme="minorHAnsi"/>
          <w:i/>
          <w:lang w:eastAsia="en-US" w:bidi="ar-SA"/>
        </w:rPr>
        <w:t>The handbook of language, gender and sexuality</w:t>
      </w:r>
      <w:r>
        <w:rPr>
          <w:rFonts w:asciiTheme="minorHAnsi" w:eastAsia="Times New Roman" w:hAnsiTheme="minorHAnsi"/>
          <w:lang w:eastAsia="en-US" w:bidi="ar-SA"/>
        </w:rPr>
        <w:t xml:space="preserve"> (2nd ed.). Oxford, UK: Wiley Blackwell, </w:t>
      </w:r>
      <w:r w:rsidRPr="00983E34">
        <w:rPr>
          <w:rFonts w:asciiTheme="minorHAnsi" w:eastAsia="Times New Roman" w:hAnsiTheme="minorHAnsi"/>
          <w:lang w:eastAsia="en-US" w:bidi="ar-SA"/>
        </w:rPr>
        <w:t>pp. 41–160</w:t>
      </w:r>
    </w:p>
    <w:p w14:paraId="477B84E6" w14:textId="77777777" w:rsidR="00E8586F" w:rsidRPr="00093B2A" w:rsidRDefault="00E8586F" w:rsidP="00EF15EA">
      <w:pPr>
        <w:pStyle w:val="EndNoteBibliography"/>
        <w:ind w:left="720" w:hanging="720"/>
        <w:rPr>
          <w:rFonts w:asciiTheme="minorHAnsi" w:hAnsiTheme="minorHAnsi"/>
        </w:rPr>
      </w:pPr>
      <w:r w:rsidRPr="00093B2A">
        <w:rPr>
          <w:rFonts w:asciiTheme="minorHAnsi" w:hAnsiTheme="minorHAnsi" w:cs="Arial"/>
          <w:color w:val="222222"/>
          <w:shd w:val="clear" w:color="auto" w:fill="FFFFFF"/>
        </w:rPr>
        <w:t>Woods, C., &amp; Wooffitt, R. (2014). Telling the moment: Seeing a UFO.</w:t>
      </w:r>
      <w:r w:rsidRPr="00093B2A">
        <w:rPr>
          <w:rStyle w:val="apple-converted-space"/>
          <w:rFonts w:asciiTheme="minorHAnsi" w:hAnsiTheme="minorHAnsi" w:cs="Arial"/>
          <w:color w:val="222222"/>
          <w:shd w:val="clear" w:color="auto" w:fill="FFFFFF"/>
        </w:rPr>
        <w:t> </w:t>
      </w:r>
      <w:r w:rsidRPr="00093B2A">
        <w:rPr>
          <w:rFonts w:asciiTheme="minorHAnsi" w:hAnsiTheme="minorHAnsi" w:cs="Arial"/>
          <w:i/>
          <w:iCs/>
          <w:color w:val="222222"/>
          <w:shd w:val="clear" w:color="auto" w:fill="FFFFFF"/>
        </w:rPr>
        <w:t>Narrative Inquiry</w:t>
      </w:r>
      <w:r w:rsidRPr="00093B2A">
        <w:rPr>
          <w:rFonts w:asciiTheme="minorHAnsi" w:hAnsiTheme="minorHAnsi" w:cs="Arial"/>
          <w:color w:val="222222"/>
          <w:shd w:val="clear" w:color="auto" w:fill="FFFFFF"/>
        </w:rPr>
        <w:t>,</w:t>
      </w:r>
      <w:r w:rsidRPr="00093B2A">
        <w:rPr>
          <w:rStyle w:val="apple-converted-space"/>
          <w:rFonts w:asciiTheme="minorHAnsi" w:hAnsiTheme="minorHAnsi" w:cs="Arial"/>
          <w:color w:val="222222"/>
          <w:shd w:val="clear" w:color="auto" w:fill="FFFFFF"/>
        </w:rPr>
        <w:t> </w:t>
      </w:r>
      <w:r w:rsidRPr="00093B2A">
        <w:rPr>
          <w:rFonts w:asciiTheme="minorHAnsi" w:hAnsiTheme="minorHAnsi" w:cs="Arial"/>
          <w:i/>
          <w:iCs/>
          <w:color w:val="222222"/>
          <w:shd w:val="clear" w:color="auto" w:fill="FFFFFF"/>
        </w:rPr>
        <w:t>24</w:t>
      </w:r>
      <w:r w:rsidRPr="00093B2A">
        <w:rPr>
          <w:rFonts w:asciiTheme="minorHAnsi" w:hAnsiTheme="minorHAnsi" w:cs="Arial"/>
          <w:color w:val="222222"/>
          <w:shd w:val="clear" w:color="auto" w:fill="FFFFFF"/>
        </w:rPr>
        <w:t>(2), 239-258.</w:t>
      </w:r>
    </w:p>
    <w:p w14:paraId="68A654C0" w14:textId="77777777" w:rsidR="00E8586F" w:rsidRPr="00093B2A" w:rsidRDefault="00E8586F" w:rsidP="00EF15EA">
      <w:pPr>
        <w:pStyle w:val="EndNoteBibliography"/>
        <w:ind w:left="720" w:hanging="720"/>
        <w:rPr>
          <w:rFonts w:asciiTheme="minorHAnsi" w:hAnsiTheme="minorHAnsi"/>
        </w:rPr>
      </w:pPr>
      <w:bookmarkStart w:id="71" w:name="_ENREF_72"/>
      <w:r w:rsidRPr="00093B2A">
        <w:rPr>
          <w:rFonts w:asciiTheme="minorHAnsi" w:hAnsiTheme="minorHAnsi"/>
        </w:rPr>
        <w:t xml:space="preserve">Wowk, M. T. (2007). Kitzinger’s feminist conversation analysis: Critical observations. </w:t>
      </w:r>
      <w:r w:rsidRPr="00093B2A">
        <w:rPr>
          <w:rFonts w:asciiTheme="minorHAnsi" w:hAnsiTheme="minorHAnsi"/>
          <w:i/>
        </w:rPr>
        <w:t>Human Studies, 30</w:t>
      </w:r>
      <w:r w:rsidRPr="00093B2A">
        <w:rPr>
          <w:rFonts w:asciiTheme="minorHAnsi" w:hAnsiTheme="minorHAnsi"/>
        </w:rPr>
        <w:t xml:space="preserve">(2), 131-155. </w:t>
      </w:r>
      <w:bookmarkEnd w:id="71"/>
    </w:p>
    <w:p w14:paraId="500E4ADA" w14:textId="77777777" w:rsidR="00E8586F" w:rsidRPr="00093B2A" w:rsidRDefault="00E8586F" w:rsidP="00EF15EA">
      <w:pPr>
        <w:pStyle w:val="EndNoteBibliography"/>
        <w:ind w:left="720" w:hanging="720"/>
        <w:rPr>
          <w:rFonts w:asciiTheme="minorHAnsi" w:hAnsiTheme="minorHAnsi"/>
        </w:rPr>
      </w:pPr>
      <w:bookmarkStart w:id="72" w:name="_ENREF_73"/>
      <w:r w:rsidRPr="00093B2A">
        <w:rPr>
          <w:rFonts w:asciiTheme="minorHAnsi" w:hAnsiTheme="minorHAnsi"/>
        </w:rPr>
        <w:t xml:space="preserve">Wright, M. (2011). On clicks in English talk-in-interaction.  </w:t>
      </w:r>
      <w:r w:rsidRPr="00093B2A">
        <w:rPr>
          <w:rFonts w:asciiTheme="minorHAnsi" w:hAnsiTheme="minorHAnsi"/>
          <w:i/>
        </w:rPr>
        <w:t>Journal of the International Phonetic Association, 41</w:t>
      </w:r>
      <w:r w:rsidRPr="00093B2A">
        <w:rPr>
          <w:rFonts w:asciiTheme="minorHAnsi" w:hAnsiTheme="minorHAnsi"/>
        </w:rPr>
        <w:t xml:space="preserve">(2), 207-229. </w:t>
      </w:r>
      <w:bookmarkEnd w:id="72"/>
    </w:p>
    <w:p w14:paraId="4F5A65C3" w14:textId="77777777" w:rsidR="00E8586F" w:rsidRDefault="00E8586F" w:rsidP="00EF15EA">
      <w:pPr>
        <w:pStyle w:val="EndNoteBibliography"/>
        <w:ind w:left="720" w:hanging="720"/>
        <w:rPr>
          <w:rFonts w:asciiTheme="minorHAnsi" w:hAnsiTheme="minorHAnsi"/>
          <w:b/>
        </w:rPr>
      </w:pPr>
    </w:p>
    <w:p w14:paraId="59FEB823" w14:textId="77777777" w:rsidR="00E8586F" w:rsidRDefault="00E8586F"/>
    <w:p w14:paraId="1BEB0FCD" w14:textId="77777777" w:rsidR="00E8586F" w:rsidRDefault="00E8586F"/>
    <w:p w14:paraId="23C9F355" w14:textId="77777777" w:rsidR="00E8586F" w:rsidRPr="003E0BCF" w:rsidRDefault="00E8586F" w:rsidP="00EF15EA">
      <w:pPr>
        <w:pStyle w:val="EndNoteBibliography"/>
        <w:ind w:left="720" w:hanging="720"/>
      </w:pPr>
      <w:bookmarkStart w:id="73" w:name="_ENREF_1"/>
      <w:r w:rsidRPr="003E0BCF">
        <w:t>.</w:t>
      </w:r>
      <w:bookmarkEnd w:id="73"/>
    </w:p>
    <w:p w14:paraId="1588BEC7" w14:textId="77777777" w:rsidR="00E8586F" w:rsidRPr="003E0BCF" w:rsidRDefault="00E8586F" w:rsidP="00EF15EA">
      <w:pPr>
        <w:pStyle w:val="EndNoteBibliography"/>
        <w:ind w:left="720" w:hanging="720"/>
      </w:pPr>
      <w:bookmarkStart w:id="74" w:name="_ENREF_8"/>
      <w:r w:rsidRPr="003E0BCF">
        <w:t xml:space="preserve">. </w:t>
      </w:r>
      <w:bookmarkEnd w:id="74"/>
    </w:p>
    <w:p w14:paraId="3A0B82EE" w14:textId="77777777" w:rsidR="00E8586F" w:rsidRDefault="00E8586F"/>
    <w:p w14:paraId="66AAA57F" w14:textId="77777777" w:rsidR="000852AB" w:rsidRDefault="000852AB"/>
    <w:sectPr w:rsidR="000852AB" w:rsidSect="00EF15EA">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4A7C8" w14:textId="77777777" w:rsidR="007F0B65" w:rsidRDefault="007F0B65" w:rsidP="00E8586F">
      <w:r>
        <w:separator/>
      </w:r>
    </w:p>
  </w:endnote>
  <w:endnote w:type="continuationSeparator" w:id="0">
    <w:p w14:paraId="7FF26E5F" w14:textId="77777777" w:rsidR="007F0B65" w:rsidRDefault="007F0B65" w:rsidP="00E85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w:panose1 w:val="020B0502020104020203"/>
    <w:charset w:val="00"/>
    <w:family w:val="auto"/>
    <w:pitch w:val="variable"/>
    <w:sig w:usb0="80000267" w:usb1="00000000" w:usb2="00000000" w:usb3="00000000" w:csb0="000001F7"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ヒラギノ角ゴ Pro W3">
    <w:charset w:val="80"/>
    <w:family w:val="auto"/>
    <w:pitch w:val="variable"/>
    <w:sig w:usb0="E00002FF" w:usb1="7AC7FFFF" w:usb2="00000012" w:usb3="00000000" w:csb0="0002000D" w:csb1="00000000"/>
  </w:font>
  <w:font w:name="Calibri Bold">
    <w:altName w:val="Calibri"/>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Italic">
    <w:altName w:val="Calibri"/>
    <w:charset w:val="00"/>
    <w:family w:val="auto"/>
    <w:pitch w:val="variable"/>
    <w:sig w:usb0="E10002FF" w:usb1="4000ACFF" w:usb2="00000009" w:usb3="00000000" w:csb0="0000019F" w:csb1="00000000"/>
  </w:font>
  <w:font w:name="Cambria Bold">
    <w:altName w:val="Cambria"/>
    <w:charset w:val="00"/>
    <w:family w:val="auto"/>
    <w:pitch w:val="variable"/>
    <w:sig w:usb0="E00002FF" w:usb1="4000045F" w:usb2="00000000" w:usb3="00000000" w:csb0="0000019F" w:csb1="00000000"/>
  </w:font>
  <w:font w:name="Times">
    <w:panose1 w:val="020005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320392"/>
      <w:docPartObj>
        <w:docPartGallery w:val="Page Numbers (Bottom of Page)"/>
        <w:docPartUnique/>
      </w:docPartObj>
    </w:sdtPr>
    <w:sdtEndPr>
      <w:rPr>
        <w:noProof/>
      </w:rPr>
    </w:sdtEndPr>
    <w:sdtContent>
      <w:p w14:paraId="5F58ADEA" w14:textId="77777777" w:rsidR="00EA715D" w:rsidRDefault="00EA715D">
        <w:pPr>
          <w:pStyle w:val="Footer"/>
          <w:jc w:val="right"/>
        </w:pPr>
        <w:r>
          <w:fldChar w:fldCharType="begin"/>
        </w:r>
        <w:r>
          <w:instrText xml:space="preserve"> PAGE   \* MERGEFORMAT </w:instrText>
        </w:r>
        <w:r>
          <w:fldChar w:fldCharType="separate"/>
        </w:r>
        <w:r w:rsidR="00362239">
          <w:rPr>
            <w:noProof/>
          </w:rPr>
          <w:t>1</w:t>
        </w:r>
        <w:r>
          <w:rPr>
            <w:noProof/>
          </w:rPr>
          <w:fldChar w:fldCharType="end"/>
        </w:r>
      </w:p>
    </w:sdtContent>
  </w:sdt>
  <w:p w14:paraId="6814D2AE" w14:textId="77777777" w:rsidR="00EA715D" w:rsidRDefault="00EA715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D6AE9" w14:textId="77777777" w:rsidR="007F0B65" w:rsidRDefault="007F0B65" w:rsidP="00E8586F">
      <w:r>
        <w:separator/>
      </w:r>
    </w:p>
  </w:footnote>
  <w:footnote w:type="continuationSeparator" w:id="0">
    <w:p w14:paraId="2E328D38" w14:textId="77777777" w:rsidR="007F0B65" w:rsidRDefault="007F0B65" w:rsidP="00E8586F">
      <w:r>
        <w:continuationSeparator/>
      </w:r>
    </w:p>
  </w:footnote>
  <w:footnote w:id="1">
    <w:p w14:paraId="3C779EFD" w14:textId="77777777" w:rsidR="00EA715D" w:rsidRPr="00C06B50" w:rsidRDefault="00EA715D" w:rsidP="00EF15EA">
      <w:pPr>
        <w:pStyle w:val="FootnoteText"/>
        <w:rPr>
          <w:rFonts w:asciiTheme="minorHAnsi" w:hAnsiTheme="minorHAnsi"/>
        </w:rPr>
      </w:pPr>
      <w:r w:rsidRPr="00C06B50">
        <w:rPr>
          <w:rStyle w:val="FootnoteReference"/>
          <w:rFonts w:asciiTheme="minorHAnsi" w:hAnsiTheme="minorHAnsi"/>
        </w:rPr>
        <w:footnoteRef/>
      </w:r>
      <w:r w:rsidRPr="00C06B50">
        <w:rPr>
          <w:rFonts w:asciiTheme="minorHAnsi" w:hAnsiTheme="minorHAnsi"/>
        </w:rPr>
        <w:t xml:space="preserve"> Not that this is a new argument for feminist researchers, who have long struggled with dilemmas of this kind; how to minimise power relations and avoid speaking for participants </w:t>
      </w:r>
      <w:r w:rsidRPr="00C06B50">
        <w:rPr>
          <w:rFonts w:asciiTheme="minorHAnsi" w:hAnsiTheme="minorHAnsi"/>
          <w:noProof/>
        </w:rPr>
        <w:t>(Scharff, 2010)</w:t>
      </w:r>
      <w:r w:rsidRPr="00C06B50">
        <w:rPr>
          <w:rFonts w:asciiTheme="minorHAnsi" w:hAnsiTheme="minorHAnsi"/>
        </w:rPr>
        <w:t>.  The point here is that interviews and focus groups are inevitably interactional and bear analysing in these terms.</w:t>
      </w:r>
    </w:p>
  </w:footnote>
  <w:footnote w:id="2">
    <w:p w14:paraId="541B2BE9" w14:textId="77777777" w:rsidR="00EA715D" w:rsidRPr="000F6963" w:rsidRDefault="00EA715D" w:rsidP="00EF15EA">
      <w:pPr>
        <w:rPr>
          <w:rFonts w:asciiTheme="minorHAnsi" w:eastAsia="Times New Roman" w:hAnsiTheme="minorHAnsi"/>
          <w:sz w:val="20"/>
          <w:szCs w:val="20"/>
          <w:lang w:eastAsia="en-GB" w:bidi="x-none"/>
        </w:rPr>
      </w:pPr>
      <w:r w:rsidRPr="00C06B50">
        <w:rPr>
          <w:rFonts w:asciiTheme="minorHAnsi" w:hAnsiTheme="minorHAnsi"/>
          <w:sz w:val="20"/>
          <w:szCs w:val="20"/>
        </w:rPr>
        <w:footnoteRef/>
      </w:r>
      <w:r w:rsidRPr="00C06B50">
        <w:rPr>
          <w:rFonts w:asciiTheme="minorHAnsi" w:hAnsiTheme="minorHAnsi"/>
          <w:sz w:val="20"/>
          <w:szCs w:val="20"/>
        </w:rPr>
        <w:t xml:space="preserve"> Note that CA is not concerned with the internal and private desires of speakers, recipients and referents.  Instead, the focus is on the publicly displayed sexual identities produced in talk.  As </w:t>
      </w:r>
      <w:r>
        <w:rPr>
          <w:rFonts w:asciiTheme="minorHAnsi" w:hAnsiTheme="minorHAnsi"/>
          <w:noProof/>
          <w:sz w:val="20"/>
          <w:szCs w:val="20"/>
        </w:rPr>
        <w:t>Kitzinger (2005b)</w:t>
      </w:r>
      <w:r w:rsidRPr="00C06B50">
        <w:rPr>
          <w:rFonts w:asciiTheme="minorHAnsi" w:hAnsiTheme="minorHAnsi"/>
          <w:sz w:val="20"/>
          <w:szCs w:val="20"/>
        </w:rPr>
        <w:t xml:space="preserve"> observes, publicly displayed identities are ‘insistently heterosexual’ (p.222).</w:t>
      </w:r>
    </w:p>
  </w:footnote>
  <w:footnote w:id="3">
    <w:p w14:paraId="31707CA9" w14:textId="77777777" w:rsidR="00EA715D" w:rsidRDefault="00EA715D">
      <w:pPr>
        <w:pStyle w:val="FootnoteText"/>
      </w:pPr>
      <w:r>
        <w:rPr>
          <w:rStyle w:val="FootnoteReference"/>
        </w:rPr>
        <w:footnoteRef/>
      </w:r>
      <w:r w:rsidRPr="002D0460">
        <w:rPr>
          <w:rFonts w:asciiTheme="minorHAnsi" w:hAnsiTheme="minorHAnsi"/>
        </w:rPr>
        <w:t xml:space="preserve"> ‘Craic’ is a Gaelic word with no direct translation in English but is generally used to mean something along the lines of ‘news’ in a positive or entertaining sense</w:t>
      </w:r>
      <w:r>
        <w:rPr>
          <w:rFonts w:asciiTheme="minorHAnsi" w:hAnsiTheme="minorHAnsi"/>
        </w:rPr>
        <w:t>.</w:t>
      </w:r>
    </w:p>
  </w:footnote>
  <w:footnote w:id="4">
    <w:p w14:paraId="436B3244" w14:textId="77777777" w:rsidR="00EA715D" w:rsidRPr="00C06B50" w:rsidRDefault="00EA715D" w:rsidP="00EF15EA">
      <w:pPr>
        <w:pStyle w:val="FootnoteText"/>
        <w:rPr>
          <w:rFonts w:asciiTheme="minorHAnsi" w:hAnsiTheme="minorHAnsi"/>
        </w:rPr>
      </w:pPr>
      <w:r w:rsidRPr="00C06B50">
        <w:rPr>
          <w:rStyle w:val="FootnoteReference"/>
          <w:rFonts w:asciiTheme="minorHAnsi" w:hAnsiTheme="minorHAnsi"/>
        </w:rPr>
        <w:footnoteRef/>
      </w:r>
      <w:r w:rsidRPr="00C06B50">
        <w:rPr>
          <w:rFonts w:asciiTheme="minorHAnsi" w:hAnsiTheme="minorHAnsi"/>
        </w:rPr>
        <w:t xml:space="preserve"> Norrick (2005) provides evidence that not all stories get told on basis of their newsworthiness.  For example, speakers might tell a known-in-common story in order to reminisce. </w:t>
      </w:r>
    </w:p>
  </w:footnote>
  <w:footnote w:id="5">
    <w:p w14:paraId="6397BC1F" w14:textId="201D303C" w:rsidR="00EA715D" w:rsidRPr="00567FC3" w:rsidRDefault="00EA715D">
      <w:pPr>
        <w:pStyle w:val="FootnoteText"/>
        <w:rPr>
          <w:lang w:val="en-US"/>
        </w:rPr>
      </w:pPr>
      <w:r>
        <w:rPr>
          <w:rStyle w:val="FootnoteReference"/>
        </w:rPr>
        <w:footnoteRef/>
      </w:r>
      <w:r>
        <w:t xml:space="preserve"> For girls under the age of 16, </w:t>
      </w:r>
      <w:r>
        <w:rPr>
          <w:lang w:val="en-US"/>
        </w:rPr>
        <w:t>additional consent was sought from a parent.</w:t>
      </w:r>
    </w:p>
  </w:footnote>
  <w:footnote w:id="6">
    <w:p w14:paraId="02743080" w14:textId="77777777" w:rsidR="00EA715D" w:rsidRDefault="00EA715D">
      <w:pPr>
        <w:pStyle w:val="FootnoteText"/>
      </w:pPr>
      <w:r>
        <w:rPr>
          <w:rStyle w:val="FootnoteReference"/>
        </w:rPr>
        <w:footnoteRef/>
      </w:r>
      <w:r>
        <w:t xml:space="preserve"> </w:t>
      </w:r>
      <w:r w:rsidRPr="00C06B50">
        <w:rPr>
          <w:rFonts w:asciiTheme="minorHAnsi" w:hAnsiTheme="minorHAnsi"/>
        </w:rPr>
        <w:t>As Katie is the caller, it seems that asking for the craic is the reason for call.</w:t>
      </w:r>
      <w:r>
        <w:rPr>
          <w:rFonts w:asciiTheme="minorHAnsi" w:hAnsiTheme="minorHAnsi"/>
        </w:rPr>
        <w:t xml:space="preserve">  Note that the call opening diverges from the canonical pattern </w:t>
      </w:r>
      <w:r>
        <w:rPr>
          <w:rFonts w:asciiTheme="minorHAnsi" w:hAnsiTheme="minorHAnsi"/>
          <w:noProof/>
        </w:rPr>
        <w:t>(Schegloff, 1968)</w:t>
      </w:r>
      <w:r>
        <w:rPr>
          <w:rFonts w:asciiTheme="minorHAnsi" w:hAnsiTheme="minorHAnsi"/>
        </w:rPr>
        <w:t xml:space="preserve"> and gets to business straight away.  </w:t>
      </w:r>
    </w:p>
  </w:footnote>
  <w:footnote w:id="7">
    <w:p w14:paraId="2B42EEB8" w14:textId="602501DC" w:rsidR="00EA715D" w:rsidRDefault="00EA715D">
      <w:pPr>
        <w:pStyle w:val="FootnoteText"/>
      </w:pPr>
      <w:r>
        <w:rPr>
          <w:rStyle w:val="FootnoteReference"/>
        </w:rPr>
        <w:footnoteRef/>
      </w:r>
      <w:r>
        <w:t xml:space="preserve"> A turn construction unit (or </w:t>
      </w:r>
      <w:proofErr w:type="spellStart"/>
      <w:r>
        <w:t>tcu</w:t>
      </w:r>
      <w:proofErr w:type="spellEnd"/>
      <w:r>
        <w:t xml:space="preserve">) is the conversation analytic term for the segments of talk that comprise a speaker’s turn in interaction (Sacks, </w:t>
      </w:r>
      <w:proofErr w:type="spellStart"/>
      <w:r>
        <w:t>Schegloff</w:t>
      </w:r>
      <w:proofErr w:type="spellEnd"/>
      <w:r>
        <w:t xml:space="preserve"> and Jefferson, 1974).</w:t>
      </w:r>
    </w:p>
  </w:footnote>
  <w:footnote w:id="8">
    <w:p w14:paraId="3E755127" w14:textId="77777777" w:rsidR="00EA715D" w:rsidRPr="00C06B50" w:rsidRDefault="00EA715D" w:rsidP="00EF15EA">
      <w:pPr>
        <w:pStyle w:val="FootnoteCalibri"/>
        <w:rPr>
          <w:rFonts w:ascii="Times New Roman" w:eastAsia="Times New Roman" w:hAnsi="Times New Roman"/>
          <w:color w:val="auto"/>
          <w:vertAlign w:val="baseline"/>
          <w:lang w:val="en-GB" w:bidi="x-none"/>
        </w:rPr>
      </w:pPr>
      <w:r w:rsidRPr="00C06B50">
        <w:rPr>
          <w:rStyle w:val="FootnoteReference1"/>
          <w:sz w:val="20"/>
          <w:vertAlign w:val="baseline"/>
        </w:rPr>
        <w:footnoteRef/>
      </w:r>
      <w:r w:rsidRPr="00C06B50">
        <w:rPr>
          <w:vertAlign w:val="baseline"/>
        </w:rPr>
        <w:t xml:space="preserve"> However, as Drew and Walker (2009) show, the goals of affiliation and alignment are not always achieved.</w:t>
      </w:r>
    </w:p>
  </w:footnote>
  <w:footnote w:id="9">
    <w:p w14:paraId="35B716EB" w14:textId="77777777" w:rsidR="00EA715D" w:rsidRPr="005E0680" w:rsidRDefault="00EA715D" w:rsidP="00EF15EA">
      <w:pPr>
        <w:pStyle w:val="FootnoteCalibri"/>
        <w:rPr>
          <w:rFonts w:ascii="Times New Roman" w:eastAsia="Times New Roman" w:hAnsi="Times New Roman"/>
          <w:color w:val="auto"/>
          <w:vertAlign w:val="baseline"/>
          <w:lang w:val="en-GB" w:bidi="x-none"/>
        </w:rPr>
      </w:pPr>
      <w:r w:rsidRPr="00C06B50">
        <w:rPr>
          <w:rStyle w:val="FootnoteReference1"/>
          <w:sz w:val="20"/>
          <w:vertAlign w:val="baseline"/>
        </w:rPr>
        <w:footnoteRef/>
      </w:r>
      <w:r w:rsidRPr="00C06B50">
        <w:rPr>
          <w:vertAlign w:val="baseline"/>
        </w:rPr>
        <w:t xml:space="preserve"> Unfortunately, inaudible data at this point makes it difficult to hear whether Jenny’s understanding about the status of John and Mary’s relationship results from deception or withholding information.</w:t>
      </w:r>
      <w:r w:rsidRPr="005E0680">
        <w:rPr>
          <w:vertAlign w:val="baseline"/>
        </w:rPr>
        <w:t xml:space="preserve"> </w:t>
      </w:r>
    </w:p>
  </w:footnote>
  <w:footnote w:id="10">
    <w:p w14:paraId="4BF7065E" w14:textId="77777777" w:rsidR="00EA715D" w:rsidRDefault="00EA715D" w:rsidP="00EF15EA">
      <w:pPr>
        <w:pStyle w:val="FootnoteCalibri"/>
      </w:pPr>
    </w:p>
  </w:footnote>
  <w:footnote w:id="11">
    <w:p w14:paraId="5EBC2B8C" w14:textId="77777777" w:rsidR="00EA715D" w:rsidRPr="00C06B50" w:rsidRDefault="00EA715D">
      <w:pPr>
        <w:pStyle w:val="FootnoteText"/>
        <w:rPr>
          <w:rFonts w:asciiTheme="minorHAnsi" w:hAnsiTheme="minorHAnsi"/>
        </w:rPr>
      </w:pPr>
      <w:r w:rsidRPr="00C06B50">
        <w:rPr>
          <w:rStyle w:val="FootnoteReference"/>
          <w:rFonts w:asciiTheme="minorHAnsi" w:hAnsiTheme="minorHAnsi"/>
        </w:rPr>
        <w:footnoteRef/>
      </w:r>
      <w:r w:rsidRPr="00C06B50">
        <w:rPr>
          <w:rFonts w:asciiTheme="minorHAnsi" w:hAnsiTheme="minorHAnsi"/>
        </w:rPr>
        <w:t xml:space="preserve"> Indeed a short ‘yes’ would be wrong here because it could </w:t>
      </w:r>
      <w:r>
        <w:rPr>
          <w:rFonts w:asciiTheme="minorHAnsi" w:hAnsiTheme="minorHAnsi"/>
        </w:rPr>
        <w:t>convey</w:t>
      </w:r>
      <w:r w:rsidRPr="00C06B50">
        <w:rPr>
          <w:rFonts w:asciiTheme="minorHAnsi" w:hAnsiTheme="minorHAnsi"/>
        </w:rPr>
        <w:t xml:space="preserve"> pithiness</w:t>
      </w:r>
      <w:r>
        <w:rPr>
          <w:rFonts w:asciiTheme="minorHAnsi" w:hAnsiTheme="minorHAnsi"/>
        </w:rPr>
        <w:t>, denoting Mary’s stance on Katie’s</w:t>
      </w:r>
      <w:r w:rsidRPr="00C06B50">
        <w:rPr>
          <w:rFonts w:asciiTheme="minorHAnsi" w:hAnsiTheme="minorHAnsi"/>
        </w:rPr>
        <w:t xml:space="preserve">  rights to ask.</w:t>
      </w:r>
    </w:p>
  </w:footnote>
  <w:footnote w:id="12">
    <w:p w14:paraId="73DF8D2C" w14:textId="77777777" w:rsidR="00EA715D" w:rsidRDefault="00EA715D" w:rsidP="00EF15EA">
      <w:pPr>
        <w:pStyle w:val="FootnoteCalibri"/>
        <w:rPr>
          <w:rFonts w:ascii="Times New Roman" w:eastAsia="Times New Roman" w:hAnsi="Times New Roman"/>
          <w:color w:val="auto"/>
          <w:vertAlign w:val="baseline"/>
          <w:lang w:val="en-GB" w:bidi="x-none"/>
        </w:rPr>
      </w:pPr>
      <w:r w:rsidRPr="00C06B50">
        <w:rPr>
          <w:rStyle w:val="FootnoteReference1"/>
          <w:rFonts w:asciiTheme="minorHAnsi" w:hAnsiTheme="minorHAnsi"/>
          <w:sz w:val="20"/>
        </w:rPr>
        <w:footnoteRef/>
      </w:r>
      <w:r w:rsidRPr="00C06B50">
        <w:rPr>
          <w:rFonts w:asciiTheme="minorHAnsi" w:hAnsiTheme="minorHAnsi"/>
        </w:rPr>
        <w:t xml:space="preserve"> </w:t>
      </w:r>
      <w:r w:rsidRPr="00C06B50">
        <w:rPr>
          <w:rFonts w:asciiTheme="minorHAnsi" w:hAnsiTheme="minorHAnsi"/>
          <w:vertAlign w:val="baseline"/>
        </w:rPr>
        <w:t xml:space="preserve">Fireworks are a common Hollywood movie representation of the excitement and high emotion of a first kiss between lovers.  For example, in the 1998 film Meet Joe Black, </w:t>
      </w:r>
      <w:r>
        <w:rPr>
          <w:rFonts w:asciiTheme="minorHAnsi" w:hAnsiTheme="minorHAnsi"/>
          <w:vertAlign w:val="baseline"/>
        </w:rPr>
        <w:t xml:space="preserve">in </w:t>
      </w:r>
      <w:r w:rsidRPr="00C06B50">
        <w:rPr>
          <w:rFonts w:asciiTheme="minorHAnsi" w:hAnsiTheme="minorHAnsi"/>
          <w:vertAlign w:val="baseline"/>
        </w:rPr>
        <w:t xml:space="preserve">the scene </w:t>
      </w:r>
      <w:r>
        <w:rPr>
          <w:rFonts w:asciiTheme="minorHAnsi" w:hAnsiTheme="minorHAnsi"/>
          <w:vertAlign w:val="baseline"/>
        </w:rPr>
        <w:t xml:space="preserve">where actors </w:t>
      </w:r>
      <w:r w:rsidRPr="00C06B50">
        <w:rPr>
          <w:rFonts w:asciiTheme="minorHAnsi" w:hAnsiTheme="minorHAnsi"/>
          <w:vertAlign w:val="baseline"/>
        </w:rPr>
        <w:t>Brad Pitt and Claire Forlani first kiss, the sky is filled with a spectacular firework display.</w:t>
      </w:r>
      <w:r w:rsidRPr="00C06B50">
        <w:rPr>
          <w:vertAlign w:val="baseline"/>
        </w:rPr>
        <w:t xml:space="preserve"> </w:t>
      </w:r>
    </w:p>
  </w:footnote>
  <w:footnote w:id="13">
    <w:p w14:paraId="5F69DA26" w14:textId="77777777" w:rsidR="00EA715D" w:rsidRPr="00C06B50" w:rsidRDefault="00EA715D" w:rsidP="00F817A1">
      <w:pPr>
        <w:pStyle w:val="FootnoteCalibri"/>
        <w:rPr>
          <w:rFonts w:ascii="Times New Roman" w:eastAsia="Times New Roman" w:hAnsi="Times New Roman"/>
          <w:color w:val="auto"/>
          <w:vertAlign w:val="baseline"/>
          <w:lang w:val="en-GB" w:bidi="x-none"/>
        </w:rPr>
      </w:pPr>
      <w:r w:rsidRPr="00C06B50">
        <w:rPr>
          <w:vertAlign w:val="baseline"/>
        </w:rPr>
        <w:footnoteRef/>
      </w:r>
      <w:r w:rsidRPr="00C06B50">
        <w:rPr>
          <w:vertAlign w:val="baseline"/>
        </w:rPr>
        <w:t xml:space="preserve"> A similar argument is developed by </w:t>
      </w:r>
      <w:r>
        <w:rPr>
          <w:noProof/>
          <w:vertAlign w:val="baseline"/>
        </w:rPr>
        <w:t>(Billig (2006))</w:t>
      </w:r>
      <w:r>
        <w:rPr>
          <w:vertAlign w:val="baseline"/>
        </w:rPr>
        <w:t xml:space="preserve"> </w:t>
      </w:r>
      <w:r w:rsidRPr="00C06B50">
        <w:rPr>
          <w:vertAlign w:val="baseline"/>
        </w:rPr>
        <w:t xml:space="preserve">in which he argues that talk is repressive as well as expressive, and urges analysts to examine what is not said as well as what is said.  </w:t>
      </w:r>
      <w:proofErr w:type="spellStart"/>
      <w:r w:rsidRPr="00C06B50">
        <w:rPr>
          <w:vertAlign w:val="baseline"/>
        </w:rPr>
        <w:t>Billig</w:t>
      </w:r>
      <w:proofErr w:type="spellEnd"/>
      <w:r w:rsidRPr="00C06B50">
        <w:rPr>
          <w:vertAlign w:val="baseline"/>
        </w:rPr>
        <w:t xml:space="preserve"> develops his argument as a method for exploring the in</w:t>
      </w:r>
      <w:r>
        <w:rPr>
          <w:vertAlign w:val="baseline"/>
        </w:rPr>
        <w:t xml:space="preserve">teractional </w:t>
      </w:r>
      <w:proofErr w:type="spellStart"/>
      <w:r>
        <w:rPr>
          <w:vertAlign w:val="baseline"/>
        </w:rPr>
        <w:t>realisation</w:t>
      </w:r>
      <w:proofErr w:type="spellEnd"/>
      <w:r>
        <w:rPr>
          <w:vertAlign w:val="baseline"/>
        </w:rPr>
        <w:t xml:space="preserve"> of the </w:t>
      </w:r>
      <w:r w:rsidRPr="00C06B50">
        <w:rPr>
          <w:vertAlign w:val="baseline"/>
        </w:rPr>
        <w:t xml:space="preserve">psychoanalytic concept of repression.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54D55"/>
    <w:multiLevelType w:val="hybridMultilevel"/>
    <w:tmpl w:val="EE002500"/>
    <w:lvl w:ilvl="0" w:tplc="C166DECC">
      <w:start w:val="1"/>
      <w:numFmt w:val="bullet"/>
      <w:lvlText w:val="•"/>
      <w:lvlJc w:val="left"/>
      <w:pPr>
        <w:tabs>
          <w:tab w:val="num" w:pos="720"/>
        </w:tabs>
        <w:ind w:left="720" w:hanging="360"/>
      </w:pPr>
      <w:rPr>
        <w:rFonts w:ascii="Gill Sans" w:hAnsi="Gill Sans" w:hint="default"/>
      </w:rPr>
    </w:lvl>
    <w:lvl w:ilvl="1" w:tplc="C7768F18">
      <w:start w:val="1"/>
      <w:numFmt w:val="bullet"/>
      <w:lvlText w:val="•"/>
      <w:lvlJc w:val="left"/>
      <w:pPr>
        <w:tabs>
          <w:tab w:val="num" w:pos="1440"/>
        </w:tabs>
        <w:ind w:left="1440" w:hanging="360"/>
      </w:pPr>
      <w:rPr>
        <w:rFonts w:ascii="Gill Sans" w:hAnsi="Gill Sans" w:hint="default"/>
      </w:rPr>
    </w:lvl>
    <w:lvl w:ilvl="2" w:tplc="1E16A6DE" w:tentative="1">
      <w:start w:val="1"/>
      <w:numFmt w:val="bullet"/>
      <w:lvlText w:val="•"/>
      <w:lvlJc w:val="left"/>
      <w:pPr>
        <w:tabs>
          <w:tab w:val="num" w:pos="2160"/>
        </w:tabs>
        <w:ind w:left="2160" w:hanging="360"/>
      </w:pPr>
      <w:rPr>
        <w:rFonts w:ascii="Gill Sans" w:hAnsi="Gill Sans" w:hint="default"/>
      </w:rPr>
    </w:lvl>
    <w:lvl w:ilvl="3" w:tplc="07BC1966" w:tentative="1">
      <w:start w:val="1"/>
      <w:numFmt w:val="bullet"/>
      <w:lvlText w:val="•"/>
      <w:lvlJc w:val="left"/>
      <w:pPr>
        <w:tabs>
          <w:tab w:val="num" w:pos="2880"/>
        </w:tabs>
        <w:ind w:left="2880" w:hanging="360"/>
      </w:pPr>
      <w:rPr>
        <w:rFonts w:ascii="Gill Sans" w:hAnsi="Gill Sans" w:hint="default"/>
      </w:rPr>
    </w:lvl>
    <w:lvl w:ilvl="4" w:tplc="E2B0263A" w:tentative="1">
      <w:start w:val="1"/>
      <w:numFmt w:val="bullet"/>
      <w:lvlText w:val="•"/>
      <w:lvlJc w:val="left"/>
      <w:pPr>
        <w:tabs>
          <w:tab w:val="num" w:pos="3600"/>
        </w:tabs>
        <w:ind w:left="3600" w:hanging="360"/>
      </w:pPr>
      <w:rPr>
        <w:rFonts w:ascii="Gill Sans" w:hAnsi="Gill Sans" w:hint="default"/>
      </w:rPr>
    </w:lvl>
    <w:lvl w:ilvl="5" w:tplc="D1E01CD4" w:tentative="1">
      <w:start w:val="1"/>
      <w:numFmt w:val="bullet"/>
      <w:lvlText w:val="•"/>
      <w:lvlJc w:val="left"/>
      <w:pPr>
        <w:tabs>
          <w:tab w:val="num" w:pos="4320"/>
        </w:tabs>
        <w:ind w:left="4320" w:hanging="360"/>
      </w:pPr>
      <w:rPr>
        <w:rFonts w:ascii="Gill Sans" w:hAnsi="Gill Sans" w:hint="default"/>
      </w:rPr>
    </w:lvl>
    <w:lvl w:ilvl="6" w:tplc="5D7A78F2" w:tentative="1">
      <w:start w:val="1"/>
      <w:numFmt w:val="bullet"/>
      <w:lvlText w:val="•"/>
      <w:lvlJc w:val="left"/>
      <w:pPr>
        <w:tabs>
          <w:tab w:val="num" w:pos="5040"/>
        </w:tabs>
        <w:ind w:left="5040" w:hanging="360"/>
      </w:pPr>
      <w:rPr>
        <w:rFonts w:ascii="Gill Sans" w:hAnsi="Gill Sans" w:hint="default"/>
      </w:rPr>
    </w:lvl>
    <w:lvl w:ilvl="7" w:tplc="3A2ACCEA" w:tentative="1">
      <w:start w:val="1"/>
      <w:numFmt w:val="bullet"/>
      <w:lvlText w:val="•"/>
      <w:lvlJc w:val="left"/>
      <w:pPr>
        <w:tabs>
          <w:tab w:val="num" w:pos="5760"/>
        </w:tabs>
        <w:ind w:left="5760" w:hanging="360"/>
      </w:pPr>
      <w:rPr>
        <w:rFonts w:ascii="Gill Sans" w:hAnsi="Gill Sans" w:hint="default"/>
      </w:rPr>
    </w:lvl>
    <w:lvl w:ilvl="8" w:tplc="E3D8666E" w:tentative="1">
      <w:start w:val="1"/>
      <w:numFmt w:val="bullet"/>
      <w:lvlText w:val="•"/>
      <w:lvlJc w:val="left"/>
      <w:pPr>
        <w:tabs>
          <w:tab w:val="num" w:pos="6480"/>
        </w:tabs>
        <w:ind w:left="6480" w:hanging="360"/>
      </w:pPr>
      <w:rPr>
        <w:rFonts w:ascii="Gill Sans" w:hAnsi="Gill Sans" w:hint="default"/>
      </w:rPr>
    </w:lvl>
  </w:abstractNum>
  <w:abstractNum w:abstractNumId="1">
    <w:nsid w:val="32011909"/>
    <w:multiLevelType w:val="hybridMultilevel"/>
    <w:tmpl w:val="64801EB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CFD6596"/>
    <w:multiLevelType w:val="hybridMultilevel"/>
    <w:tmpl w:val="E812786E"/>
    <w:lvl w:ilvl="0" w:tplc="87EC0C2E">
      <w:start w:val="1"/>
      <w:numFmt w:val="bullet"/>
      <w:lvlText w:val="•"/>
      <w:lvlJc w:val="left"/>
      <w:pPr>
        <w:tabs>
          <w:tab w:val="num" w:pos="720"/>
        </w:tabs>
        <w:ind w:left="720" w:hanging="360"/>
      </w:pPr>
      <w:rPr>
        <w:rFonts w:ascii="Gill Sans" w:hAnsi="Gill Sans" w:hint="default"/>
      </w:rPr>
    </w:lvl>
    <w:lvl w:ilvl="1" w:tplc="87DA51DE">
      <w:start w:val="1"/>
      <w:numFmt w:val="bullet"/>
      <w:lvlText w:val="•"/>
      <w:lvlJc w:val="left"/>
      <w:pPr>
        <w:tabs>
          <w:tab w:val="num" w:pos="1440"/>
        </w:tabs>
        <w:ind w:left="1440" w:hanging="360"/>
      </w:pPr>
      <w:rPr>
        <w:rFonts w:ascii="Gill Sans" w:hAnsi="Gill Sans" w:hint="default"/>
      </w:rPr>
    </w:lvl>
    <w:lvl w:ilvl="2" w:tplc="427034D4">
      <w:start w:val="1428"/>
      <w:numFmt w:val="bullet"/>
      <w:lvlText w:val="•"/>
      <w:lvlJc w:val="left"/>
      <w:pPr>
        <w:tabs>
          <w:tab w:val="num" w:pos="2160"/>
        </w:tabs>
        <w:ind w:left="2160" w:hanging="360"/>
      </w:pPr>
      <w:rPr>
        <w:rFonts w:ascii="Gill Sans" w:hAnsi="Gill Sans" w:hint="default"/>
      </w:rPr>
    </w:lvl>
    <w:lvl w:ilvl="3" w:tplc="24D2E0C0">
      <w:start w:val="1428"/>
      <w:numFmt w:val="bullet"/>
      <w:lvlText w:val="•"/>
      <w:lvlJc w:val="left"/>
      <w:pPr>
        <w:tabs>
          <w:tab w:val="num" w:pos="2880"/>
        </w:tabs>
        <w:ind w:left="2880" w:hanging="360"/>
      </w:pPr>
      <w:rPr>
        <w:rFonts w:ascii="Gill Sans" w:hAnsi="Gill Sans" w:hint="default"/>
      </w:rPr>
    </w:lvl>
    <w:lvl w:ilvl="4" w:tplc="C3622B40" w:tentative="1">
      <w:start w:val="1"/>
      <w:numFmt w:val="bullet"/>
      <w:lvlText w:val="•"/>
      <w:lvlJc w:val="left"/>
      <w:pPr>
        <w:tabs>
          <w:tab w:val="num" w:pos="3600"/>
        </w:tabs>
        <w:ind w:left="3600" w:hanging="360"/>
      </w:pPr>
      <w:rPr>
        <w:rFonts w:ascii="Gill Sans" w:hAnsi="Gill Sans" w:hint="default"/>
      </w:rPr>
    </w:lvl>
    <w:lvl w:ilvl="5" w:tplc="A4D64F90" w:tentative="1">
      <w:start w:val="1"/>
      <w:numFmt w:val="bullet"/>
      <w:lvlText w:val="•"/>
      <w:lvlJc w:val="left"/>
      <w:pPr>
        <w:tabs>
          <w:tab w:val="num" w:pos="4320"/>
        </w:tabs>
        <w:ind w:left="4320" w:hanging="360"/>
      </w:pPr>
      <w:rPr>
        <w:rFonts w:ascii="Gill Sans" w:hAnsi="Gill Sans" w:hint="default"/>
      </w:rPr>
    </w:lvl>
    <w:lvl w:ilvl="6" w:tplc="B23C160E" w:tentative="1">
      <w:start w:val="1"/>
      <w:numFmt w:val="bullet"/>
      <w:lvlText w:val="•"/>
      <w:lvlJc w:val="left"/>
      <w:pPr>
        <w:tabs>
          <w:tab w:val="num" w:pos="5040"/>
        </w:tabs>
        <w:ind w:left="5040" w:hanging="360"/>
      </w:pPr>
      <w:rPr>
        <w:rFonts w:ascii="Gill Sans" w:hAnsi="Gill Sans" w:hint="default"/>
      </w:rPr>
    </w:lvl>
    <w:lvl w:ilvl="7" w:tplc="61EADF90" w:tentative="1">
      <w:start w:val="1"/>
      <w:numFmt w:val="bullet"/>
      <w:lvlText w:val="•"/>
      <w:lvlJc w:val="left"/>
      <w:pPr>
        <w:tabs>
          <w:tab w:val="num" w:pos="5760"/>
        </w:tabs>
        <w:ind w:left="5760" w:hanging="360"/>
      </w:pPr>
      <w:rPr>
        <w:rFonts w:ascii="Gill Sans" w:hAnsi="Gill Sans" w:hint="default"/>
      </w:rPr>
    </w:lvl>
    <w:lvl w:ilvl="8" w:tplc="494E9786" w:tentative="1">
      <w:start w:val="1"/>
      <w:numFmt w:val="bullet"/>
      <w:lvlText w:val="•"/>
      <w:lvlJc w:val="left"/>
      <w:pPr>
        <w:tabs>
          <w:tab w:val="num" w:pos="6480"/>
        </w:tabs>
        <w:ind w:left="6480" w:hanging="360"/>
      </w:pPr>
      <w:rPr>
        <w:rFonts w:ascii="Gill Sans" w:hAnsi="Gill Sans" w:hint="default"/>
      </w:rPr>
    </w:lvl>
  </w:abstractNum>
  <w:abstractNum w:abstractNumId="3">
    <w:nsid w:val="4F1A5945"/>
    <w:multiLevelType w:val="multilevel"/>
    <w:tmpl w:val="DE38CB9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51840A52"/>
    <w:multiLevelType w:val="hybridMultilevel"/>
    <w:tmpl w:val="218E86B4"/>
    <w:lvl w:ilvl="0" w:tplc="2356FD48">
      <w:start w:val="1"/>
      <w:numFmt w:val="bullet"/>
      <w:lvlText w:val="•"/>
      <w:lvlJc w:val="left"/>
      <w:pPr>
        <w:tabs>
          <w:tab w:val="num" w:pos="720"/>
        </w:tabs>
        <w:ind w:left="720" w:hanging="360"/>
      </w:pPr>
      <w:rPr>
        <w:rFonts w:ascii="Gill Sans" w:hAnsi="Gill Sans" w:hint="default"/>
      </w:rPr>
    </w:lvl>
    <w:lvl w:ilvl="1" w:tplc="58C8779C" w:tentative="1">
      <w:start w:val="1"/>
      <w:numFmt w:val="bullet"/>
      <w:lvlText w:val="•"/>
      <w:lvlJc w:val="left"/>
      <w:pPr>
        <w:tabs>
          <w:tab w:val="num" w:pos="1440"/>
        </w:tabs>
        <w:ind w:left="1440" w:hanging="360"/>
      </w:pPr>
      <w:rPr>
        <w:rFonts w:ascii="Gill Sans" w:hAnsi="Gill Sans" w:hint="default"/>
      </w:rPr>
    </w:lvl>
    <w:lvl w:ilvl="2" w:tplc="2EB08184" w:tentative="1">
      <w:start w:val="1"/>
      <w:numFmt w:val="bullet"/>
      <w:lvlText w:val="•"/>
      <w:lvlJc w:val="left"/>
      <w:pPr>
        <w:tabs>
          <w:tab w:val="num" w:pos="2160"/>
        </w:tabs>
        <w:ind w:left="2160" w:hanging="360"/>
      </w:pPr>
      <w:rPr>
        <w:rFonts w:ascii="Gill Sans" w:hAnsi="Gill Sans" w:hint="default"/>
      </w:rPr>
    </w:lvl>
    <w:lvl w:ilvl="3" w:tplc="3CAC26DC" w:tentative="1">
      <w:start w:val="1"/>
      <w:numFmt w:val="bullet"/>
      <w:lvlText w:val="•"/>
      <w:lvlJc w:val="left"/>
      <w:pPr>
        <w:tabs>
          <w:tab w:val="num" w:pos="2880"/>
        </w:tabs>
        <w:ind w:left="2880" w:hanging="360"/>
      </w:pPr>
      <w:rPr>
        <w:rFonts w:ascii="Gill Sans" w:hAnsi="Gill Sans" w:hint="default"/>
      </w:rPr>
    </w:lvl>
    <w:lvl w:ilvl="4" w:tplc="4D008B98" w:tentative="1">
      <w:start w:val="1"/>
      <w:numFmt w:val="bullet"/>
      <w:lvlText w:val="•"/>
      <w:lvlJc w:val="left"/>
      <w:pPr>
        <w:tabs>
          <w:tab w:val="num" w:pos="3600"/>
        </w:tabs>
        <w:ind w:left="3600" w:hanging="360"/>
      </w:pPr>
      <w:rPr>
        <w:rFonts w:ascii="Gill Sans" w:hAnsi="Gill Sans" w:hint="default"/>
      </w:rPr>
    </w:lvl>
    <w:lvl w:ilvl="5" w:tplc="D994956A" w:tentative="1">
      <w:start w:val="1"/>
      <w:numFmt w:val="bullet"/>
      <w:lvlText w:val="•"/>
      <w:lvlJc w:val="left"/>
      <w:pPr>
        <w:tabs>
          <w:tab w:val="num" w:pos="4320"/>
        </w:tabs>
        <w:ind w:left="4320" w:hanging="360"/>
      </w:pPr>
      <w:rPr>
        <w:rFonts w:ascii="Gill Sans" w:hAnsi="Gill Sans" w:hint="default"/>
      </w:rPr>
    </w:lvl>
    <w:lvl w:ilvl="6" w:tplc="6F4C2764" w:tentative="1">
      <w:start w:val="1"/>
      <w:numFmt w:val="bullet"/>
      <w:lvlText w:val="•"/>
      <w:lvlJc w:val="left"/>
      <w:pPr>
        <w:tabs>
          <w:tab w:val="num" w:pos="5040"/>
        </w:tabs>
        <w:ind w:left="5040" w:hanging="360"/>
      </w:pPr>
      <w:rPr>
        <w:rFonts w:ascii="Gill Sans" w:hAnsi="Gill Sans" w:hint="default"/>
      </w:rPr>
    </w:lvl>
    <w:lvl w:ilvl="7" w:tplc="70D63916" w:tentative="1">
      <w:start w:val="1"/>
      <w:numFmt w:val="bullet"/>
      <w:lvlText w:val="•"/>
      <w:lvlJc w:val="left"/>
      <w:pPr>
        <w:tabs>
          <w:tab w:val="num" w:pos="5760"/>
        </w:tabs>
        <w:ind w:left="5760" w:hanging="360"/>
      </w:pPr>
      <w:rPr>
        <w:rFonts w:ascii="Gill Sans" w:hAnsi="Gill Sans" w:hint="default"/>
      </w:rPr>
    </w:lvl>
    <w:lvl w:ilvl="8" w:tplc="5F329AE6" w:tentative="1">
      <w:start w:val="1"/>
      <w:numFmt w:val="bullet"/>
      <w:lvlText w:val="•"/>
      <w:lvlJc w:val="left"/>
      <w:pPr>
        <w:tabs>
          <w:tab w:val="num" w:pos="6480"/>
        </w:tabs>
        <w:ind w:left="6480" w:hanging="360"/>
      </w:pPr>
      <w:rPr>
        <w:rFonts w:ascii="Gill Sans" w:hAnsi="Gill Sans" w:hint="default"/>
      </w:rPr>
    </w:lvl>
  </w:abstractNum>
  <w:abstractNum w:abstractNumId="5">
    <w:nsid w:val="73B1161C"/>
    <w:multiLevelType w:val="multilevel"/>
    <w:tmpl w:val="3DDC894E"/>
    <w:lvl w:ilvl="0">
      <w:start w:val="1"/>
      <w:numFmt w:val="decimal"/>
      <w:lvlText w:val="%1."/>
      <w:lvlJc w:val="left"/>
      <w:pPr>
        <w:ind w:left="720" w:hanging="360"/>
      </w:pPr>
      <w:rPr>
        <w:rFonts w:hint="default"/>
        <w:b/>
        <w:color w:val="auto"/>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79E33DA7"/>
    <w:multiLevelType w:val="hybridMultilevel"/>
    <w:tmpl w:val="BF7461BA"/>
    <w:lvl w:ilvl="0" w:tplc="AB3EE3CE">
      <w:start w:val="1"/>
      <w:numFmt w:val="bullet"/>
      <w:lvlText w:val="•"/>
      <w:lvlJc w:val="left"/>
      <w:pPr>
        <w:tabs>
          <w:tab w:val="num" w:pos="720"/>
        </w:tabs>
        <w:ind w:left="720" w:hanging="360"/>
      </w:pPr>
      <w:rPr>
        <w:rFonts w:ascii="Gill Sans" w:hAnsi="Gill Sans" w:hint="default"/>
      </w:rPr>
    </w:lvl>
    <w:lvl w:ilvl="1" w:tplc="FCB69D06" w:tentative="1">
      <w:start w:val="1"/>
      <w:numFmt w:val="bullet"/>
      <w:lvlText w:val="•"/>
      <w:lvlJc w:val="left"/>
      <w:pPr>
        <w:tabs>
          <w:tab w:val="num" w:pos="1440"/>
        </w:tabs>
        <w:ind w:left="1440" w:hanging="360"/>
      </w:pPr>
      <w:rPr>
        <w:rFonts w:ascii="Gill Sans" w:hAnsi="Gill Sans" w:hint="default"/>
      </w:rPr>
    </w:lvl>
    <w:lvl w:ilvl="2" w:tplc="86F6F206" w:tentative="1">
      <w:start w:val="1"/>
      <w:numFmt w:val="bullet"/>
      <w:lvlText w:val="•"/>
      <w:lvlJc w:val="left"/>
      <w:pPr>
        <w:tabs>
          <w:tab w:val="num" w:pos="2160"/>
        </w:tabs>
        <w:ind w:left="2160" w:hanging="360"/>
      </w:pPr>
      <w:rPr>
        <w:rFonts w:ascii="Gill Sans" w:hAnsi="Gill Sans" w:hint="default"/>
      </w:rPr>
    </w:lvl>
    <w:lvl w:ilvl="3" w:tplc="5E961EBE" w:tentative="1">
      <w:start w:val="1"/>
      <w:numFmt w:val="bullet"/>
      <w:lvlText w:val="•"/>
      <w:lvlJc w:val="left"/>
      <w:pPr>
        <w:tabs>
          <w:tab w:val="num" w:pos="2880"/>
        </w:tabs>
        <w:ind w:left="2880" w:hanging="360"/>
      </w:pPr>
      <w:rPr>
        <w:rFonts w:ascii="Gill Sans" w:hAnsi="Gill Sans" w:hint="default"/>
      </w:rPr>
    </w:lvl>
    <w:lvl w:ilvl="4" w:tplc="C07843DC" w:tentative="1">
      <w:start w:val="1"/>
      <w:numFmt w:val="bullet"/>
      <w:lvlText w:val="•"/>
      <w:lvlJc w:val="left"/>
      <w:pPr>
        <w:tabs>
          <w:tab w:val="num" w:pos="3600"/>
        </w:tabs>
        <w:ind w:left="3600" w:hanging="360"/>
      </w:pPr>
      <w:rPr>
        <w:rFonts w:ascii="Gill Sans" w:hAnsi="Gill Sans" w:hint="default"/>
      </w:rPr>
    </w:lvl>
    <w:lvl w:ilvl="5" w:tplc="B08EC15E" w:tentative="1">
      <w:start w:val="1"/>
      <w:numFmt w:val="bullet"/>
      <w:lvlText w:val="•"/>
      <w:lvlJc w:val="left"/>
      <w:pPr>
        <w:tabs>
          <w:tab w:val="num" w:pos="4320"/>
        </w:tabs>
        <w:ind w:left="4320" w:hanging="360"/>
      </w:pPr>
      <w:rPr>
        <w:rFonts w:ascii="Gill Sans" w:hAnsi="Gill Sans" w:hint="default"/>
      </w:rPr>
    </w:lvl>
    <w:lvl w:ilvl="6" w:tplc="AB2EAC68" w:tentative="1">
      <w:start w:val="1"/>
      <w:numFmt w:val="bullet"/>
      <w:lvlText w:val="•"/>
      <w:lvlJc w:val="left"/>
      <w:pPr>
        <w:tabs>
          <w:tab w:val="num" w:pos="5040"/>
        </w:tabs>
        <w:ind w:left="5040" w:hanging="360"/>
      </w:pPr>
      <w:rPr>
        <w:rFonts w:ascii="Gill Sans" w:hAnsi="Gill Sans" w:hint="default"/>
      </w:rPr>
    </w:lvl>
    <w:lvl w:ilvl="7" w:tplc="B9D6E83E" w:tentative="1">
      <w:start w:val="1"/>
      <w:numFmt w:val="bullet"/>
      <w:lvlText w:val="•"/>
      <w:lvlJc w:val="left"/>
      <w:pPr>
        <w:tabs>
          <w:tab w:val="num" w:pos="5760"/>
        </w:tabs>
        <w:ind w:left="5760" w:hanging="360"/>
      </w:pPr>
      <w:rPr>
        <w:rFonts w:ascii="Gill Sans" w:hAnsi="Gill Sans" w:hint="default"/>
      </w:rPr>
    </w:lvl>
    <w:lvl w:ilvl="8" w:tplc="4B5C5E4E" w:tentative="1">
      <w:start w:val="1"/>
      <w:numFmt w:val="bullet"/>
      <w:lvlText w:val="•"/>
      <w:lvlJc w:val="left"/>
      <w:pPr>
        <w:tabs>
          <w:tab w:val="num" w:pos="6480"/>
        </w:tabs>
        <w:ind w:left="6480" w:hanging="360"/>
      </w:pPr>
      <w:rPr>
        <w:rFonts w:ascii="Gill Sans" w:hAnsi="Gill Sans" w:hint="default"/>
      </w:rPr>
    </w:lvl>
  </w:abstractNum>
  <w:num w:numId="1">
    <w:abstractNumId w:val="5"/>
  </w:num>
  <w:num w:numId="2">
    <w:abstractNumId w:val="2"/>
  </w:num>
  <w:num w:numId="3">
    <w:abstractNumId w:val="4"/>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E8586F"/>
    <w:rsid w:val="0000511D"/>
    <w:rsid w:val="00013708"/>
    <w:rsid w:val="00015E83"/>
    <w:rsid w:val="000160C9"/>
    <w:rsid w:val="00016636"/>
    <w:rsid w:val="000222C7"/>
    <w:rsid w:val="00024941"/>
    <w:rsid w:val="00026041"/>
    <w:rsid w:val="0002778A"/>
    <w:rsid w:val="00031762"/>
    <w:rsid w:val="00034D77"/>
    <w:rsid w:val="00035DAF"/>
    <w:rsid w:val="00037B87"/>
    <w:rsid w:val="00041DB9"/>
    <w:rsid w:val="00041FD8"/>
    <w:rsid w:val="00042760"/>
    <w:rsid w:val="00046248"/>
    <w:rsid w:val="000476B9"/>
    <w:rsid w:val="00047E5D"/>
    <w:rsid w:val="0005089B"/>
    <w:rsid w:val="00053F9B"/>
    <w:rsid w:val="00057127"/>
    <w:rsid w:val="000625C9"/>
    <w:rsid w:val="00062647"/>
    <w:rsid w:val="00062A0C"/>
    <w:rsid w:val="000652B7"/>
    <w:rsid w:val="00066E7C"/>
    <w:rsid w:val="00067337"/>
    <w:rsid w:val="00070D26"/>
    <w:rsid w:val="00071162"/>
    <w:rsid w:val="0007164E"/>
    <w:rsid w:val="000751E5"/>
    <w:rsid w:val="000822B4"/>
    <w:rsid w:val="000852AB"/>
    <w:rsid w:val="000857FF"/>
    <w:rsid w:val="00085AC3"/>
    <w:rsid w:val="00093B2A"/>
    <w:rsid w:val="000A0305"/>
    <w:rsid w:val="000A03D0"/>
    <w:rsid w:val="000A1066"/>
    <w:rsid w:val="000A3DD1"/>
    <w:rsid w:val="000A3EA1"/>
    <w:rsid w:val="000A610F"/>
    <w:rsid w:val="000A6C0C"/>
    <w:rsid w:val="000A7BED"/>
    <w:rsid w:val="000B31D1"/>
    <w:rsid w:val="000B4A5C"/>
    <w:rsid w:val="000B551B"/>
    <w:rsid w:val="000B62AA"/>
    <w:rsid w:val="000B6C8B"/>
    <w:rsid w:val="000C33B5"/>
    <w:rsid w:val="000C712A"/>
    <w:rsid w:val="000C789E"/>
    <w:rsid w:val="000D2086"/>
    <w:rsid w:val="000D2FD7"/>
    <w:rsid w:val="000D5509"/>
    <w:rsid w:val="000E132D"/>
    <w:rsid w:val="000E2BC2"/>
    <w:rsid w:val="000E3BD7"/>
    <w:rsid w:val="000E47C7"/>
    <w:rsid w:val="000E4ED7"/>
    <w:rsid w:val="000F0542"/>
    <w:rsid w:val="000F0B67"/>
    <w:rsid w:val="000F1114"/>
    <w:rsid w:val="000F51CF"/>
    <w:rsid w:val="001023C8"/>
    <w:rsid w:val="00102F23"/>
    <w:rsid w:val="00104567"/>
    <w:rsid w:val="00110056"/>
    <w:rsid w:val="0011040E"/>
    <w:rsid w:val="00110FC5"/>
    <w:rsid w:val="00114F9D"/>
    <w:rsid w:val="00122288"/>
    <w:rsid w:val="0012330A"/>
    <w:rsid w:val="00123FA8"/>
    <w:rsid w:val="00132FB3"/>
    <w:rsid w:val="001334B3"/>
    <w:rsid w:val="00137832"/>
    <w:rsid w:val="00140903"/>
    <w:rsid w:val="00140CCD"/>
    <w:rsid w:val="00153A29"/>
    <w:rsid w:val="001545DC"/>
    <w:rsid w:val="001546C8"/>
    <w:rsid w:val="00161A1D"/>
    <w:rsid w:val="00162A4C"/>
    <w:rsid w:val="0016480A"/>
    <w:rsid w:val="001655EB"/>
    <w:rsid w:val="00173C37"/>
    <w:rsid w:val="00173DE0"/>
    <w:rsid w:val="001767C8"/>
    <w:rsid w:val="001801FD"/>
    <w:rsid w:val="0018029B"/>
    <w:rsid w:val="00180D8D"/>
    <w:rsid w:val="001813E4"/>
    <w:rsid w:val="00186E98"/>
    <w:rsid w:val="00190771"/>
    <w:rsid w:val="0019104D"/>
    <w:rsid w:val="00192297"/>
    <w:rsid w:val="00193D07"/>
    <w:rsid w:val="00196B39"/>
    <w:rsid w:val="001A23D1"/>
    <w:rsid w:val="001A253D"/>
    <w:rsid w:val="001A4100"/>
    <w:rsid w:val="001B39E8"/>
    <w:rsid w:val="001C42AE"/>
    <w:rsid w:val="001C4AD9"/>
    <w:rsid w:val="001E2F2C"/>
    <w:rsid w:val="001E44CB"/>
    <w:rsid w:val="001E4CC8"/>
    <w:rsid w:val="001E68C8"/>
    <w:rsid w:val="001E7AF5"/>
    <w:rsid w:val="001E7F35"/>
    <w:rsid w:val="001F19B0"/>
    <w:rsid w:val="001F218C"/>
    <w:rsid w:val="001F329A"/>
    <w:rsid w:val="001F731A"/>
    <w:rsid w:val="002000E0"/>
    <w:rsid w:val="00203A90"/>
    <w:rsid w:val="002058EA"/>
    <w:rsid w:val="00211A86"/>
    <w:rsid w:val="002127B6"/>
    <w:rsid w:val="00216C77"/>
    <w:rsid w:val="002200FC"/>
    <w:rsid w:val="00221947"/>
    <w:rsid w:val="0022399E"/>
    <w:rsid w:val="00224709"/>
    <w:rsid w:val="00226CCA"/>
    <w:rsid w:val="002312F7"/>
    <w:rsid w:val="002327C5"/>
    <w:rsid w:val="002343EF"/>
    <w:rsid w:val="00250E7F"/>
    <w:rsid w:val="00254B56"/>
    <w:rsid w:val="0025530E"/>
    <w:rsid w:val="00255866"/>
    <w:rsid w:val="0025712C"/>
    <w:rsid w:val="002629ED"/>
    <w:rsid w:val="0026448E"/>
    <w:rsid w:val="00265389"/>
    <w:rsid w:val="00267956"/>
    <w:rsid w:val="00267B51"/>
    <w:rsid w:val="0027091F"/>
    <w:rsid w:val="00273A9C"/>
    <w:rsid w:val="0027595D"/>
    <w:rsid w:val="00276584"/>
    <w:rsid w:val="00276E47"/>
    <w:rsid w:val="002836C4"/>
    <w:rsid w:val="00294C06"/>
    <w:rsid w:val="002A158E"/>
    <w:rsid w:val="002A5039"/>
    <w:rsid w:val="002A70F5"/>
    <w:rsid w:val="002A7821"/>
    <w:rsid w:val="002B04D2"/>
    <w:rsid w:val="002B1C86"/>
    <w:rsid w:val="002B30E2"/>
    <w:rsid w:val="002B7E59"/>
    <w:rsid w:val="002C3E99"/>
    <w:rsid w:val="002C4871"/>
    <w:rsid w:val="002D0C35"/>
    <w:rsid w:val="002D3774"/>
    <w:rsid w:val="002D3882"/>
    <w:rsid w:val="002D6695"/>
    <w:rsid w:val="002E67A9"/>
    <w:rsid w:val="002E6813"/>
    <w:rsid w:val="002F0756"/>
    <w:rsid w:val="002F13F1"/>
    <w:rsid w:val="002F2BA0"/>
    <w:rsid w:val="002F41B0"/>
    <w:rsid w:val="002F630F"/>
    <w:rsid w:val="002F738D"/>
    <w:rsid w:val="003006EB"/>
    <w:rsid w:val="00322835"/>
    <w:rsid w:val="003253A5"/>
    <w:rsid w:val="00327A69"/>
    <w:rsid w:val="00334FD0"/>
    <w:rsid w:val="00347FE6"/>
    <w:rsid w:val="00351EDD"/>
    <w:rsid w:val="00354470"/>
    <w:rsid w:val="003549DF"/>
    <w:rsid w:val="00357612"/>
    <w:rsid w:val="00362239"/>
    <w:rsid w:val="00362FDA"/>
    <w:rsid w:val="003652C7"/>
    <w:rsid w:val="00365EC3"/>
    <w:rsid w:val="00366CB9"/>
    <w:rsid w:val="003723EF"/>
    <w:rsid w:val="00374B33"/>
    <w:rsid w:val="0037511A"/>
    <w:rsid w:val="00375B3B"/>
    <w:rsid w:val="00376B0F"/>
    <w:rsid w:val="003773BA"/>
    <w:rsid w:val="00377899"/>
    <w:rsid w:val="003778FC"/>
    <w:rsid w:val="00383492"/>
    <w:rsid w:val="00384ADC"/>
    <w:rsid w:val="00384CA5"/>
    <w:rsid w:val="003867CB"/>
    <w:rsid w:val="0039099B"/>
    <w:rsid w:val="00390A35"/>
    <w:rsid w:val="00391F4F"/>
    <w:rsid w:val="00394398"/>
    <w:rsid w:val="003A0581"/>
    <w:rsid w:val="003A0768"/>
    <w:rsid w:val="003A2978"/>
    <w:rsid w:val="003A358A"/>
    <w:rsid w:val="003B0837"/>
    <w:rsid w:val="003B3F0C"/>
    <w:rsid w:val="003B5123"/>
    <w:rsid w:val="003B5663"/>
    <w:rsid w:val="003C0285"/>
    <w:rsid w:val="003C0621"/>
    <w:rsid w:val="003C0EA5"/>
    <w:rsid w:val="003C1024"/>
    <w:rsid w:val="003C22CF"/>
    <w:rsid w:val="003C4B81"/>
    <w:rsid w:val="003D3CD6"/>
    <w:rsid w:val="003D72B2"/>
    <w:rsid w:val="003E1178"/>
    <w:rsid w:val="003E1E54"/>
    <w:rsid w:val="003F3B79"/>
    <w:rsid w:val="003F520A"/>
    <w:rsid w:val="003F66F5"/>
    <w:rsid w:val="00401B6F"/>
    <w:rsid w:val="0040540B"/>
    <w:rsid w:val="004162BA"/>
    <w:rsid w:val="00421EF4"/>
    <w:rsid w:val="0042760B"/>
    <w:rsid w:val="0042797C"/>
    <w:rsid w:val="0043196F"/>
    <w:rsid w:val="00434660"/>
    <w:rsid w:val="004366D8"/>
    <w:rsid w:val="00442CEA"/>
    <w:rsid w:val="0045064E"/>
    <w:rsid w:val="0045456D"/>
    <w:rsid w:val="00461A6F"/>
    <w:rsid w:val="0046558A"/>
    <w:rsid w:val="00471E58"/>
    <w:rsid w:val="00471F89"/>
    <w:rsid w:val="0047473B"/>
    <w:rsid w:val="00482C46"/>
    <w:rsid w:val="00487F9E"/>
    <w:rsid w:val="00490980"/>
    <w:rsid w:val="00491C3E"/>
    <w:rsid w:val="004951F7"/>
    <w:rsid w:val="004A24CD"/>
    <w:rsid w:val="004A6E7C"/>
    <w:rsid w:val="004B0F6A"/>
    <w:rsid w:val="004B3040"/>
    <w:rsid w:val="004B5CF2"/>
    <w:rsid w:val="004B7533"/>
    <w:rsid w:val="004C2526"/>
    <w:rsid w:val="004D15E3"/>
    <w:rsid w:val="004D1807"/>
    <w:rsid w:val="004D5705"/>
    <w:rsid w:val="004E01F3"/>
    <w:rsid w:val="004E11BC"/>
    <w:rsid w:val="004E4A3D"/>
    <w:rsid w:val="004F11C2"/>
    <w:rsid w:val="004F15DD"/>
    <w:rsid w:val="004F76BE"/>
    <w:rsid w:val="00500B2C"/>
    <w:rsid w:val="00500EDE"/>
    <w:rsid w:val="00505943"/>
    <w:rsid w:val="00506568"/>
    <w:rsid w:val="00506CC6"/>
    <w:rsid w:val="00510CE3"/>
    <w:rsid w:val="00511752"/>
    <w:rsid w:val="00512CEB"/>
    <w:rsid w:val="00522441"/>
    <w:rsid w:val="00524A35"/>
    <w:rsid w:val="00531097"/>
    <w:rsid w:val="00536338"/>
    <w:rsid w:val="00540218"/>
    <w:rsid w:val="00542C91"/>
    <w:rsid w:val="00544391"/>
    <w:rsid w:val="00544A07"/>
    <w:rsid w:val="00544FAF"/>
    <w:rsid w:val="00545AC7"/>
    <w:rsid w:val="00551ED9"/>
    <w:rsid w:val="0055658B"/>
    <w:rsid w:val="00562120"/>
    <w:rsid w:val="0056745F"/>
    <w:rsid w:val="00567FC3"/>
    <w:rsid w:val="00572C53"/>
    <w:rsid w:val="005750F5"/>
    <w:rsid w:val="005759CD"/>
    <w:rsid w:val="00575E79"/>
    <w:rsid w:val="00582413"/>
    <w:rsid w:val="00582F7F"/>
    <w:rsid w:val="00584494"/>
    <w:rsid w:val="00590745"/>
    <w:rsid w:val="00590B64"/>
    <w:rsid w:val="00590EDC"/>
    <w:rsid w:val="00592A6B"/>
    <w:rsid w:val="005A2163"/>
    <w:rsid w:val="005A25AA"/>
    <w:rsid w:val="005A602F"/>
    <w:rsid w:val="005B1B41"/>
    <w:rsid w:val="005B37A1"/>
    <w:rsid w:val="005B535A"/>
    <w:rsid w:val="005B5B8E"/>
    <w:rsid w:val="005B7393"/>
    <w:rsid w:val="005B7804"/>
    <w:rsid w:val="005C2CF1"/>
    <w:rsid w:val="005C3C59"/>
    <w:rsid w:val="005C62D3"/>
    <w:rsid w:val="005C635F"/>
    <w:rsid w:val="005D398D"/>
    <w:rsid w:val="005D6143"/>
    <w:rsid w:val="005D697A"/>
    <w:rsid w:val="005E13B2"/>
    <w:rsid w:val="005E2C17"/>
    <w:rsid w:val="005E307A"/>
    <w:rsid w:val="005E3766"/>
    <w:rsid w:val="005E573E"/>
    <w:rsid w:val="005E787D"/>
    <w:rsid w:val="005F094E"/>
    <w:rsid w:val="005F354E"/>
    <w:rsid w:val="006033FA"/>
    <w:rsid w:val="00607FEB"/>
    <w:rsid w:val="00611739"/>
    <w:rsid w:val="00611FAB"/>
    <w:rsid w:val="00612428"/>
    <w:rsid w:val="00612955"/>
    <w:rsid w:val="006129DD"/>
    <w:rsid w:val="00620808"/>
    <w:rsid w:val="00624DA9"/>
    <w:rsid w:val="006253EF"/>
    <w:rsid w:val="00630A0A"/>
    <w:rsid w:val="00634BF7"/>
    <w:rsid w:val="00635994"/>
    <w:rsid w:val="00640B5F"/>
    <w:rsid w:val="006417FF"/>
    <w:rsid w:val="006459DE"/>
    <w:rsid w:val="006463B0"/>
    <w:rsid w:val="00651AD1"/>
    <w:rsid w:val="006611D7"/>
    <w:rsid w:val="00662169"/>
    <w:rsid w:val="00667993"/>
    <w:rsid w:val="006703D0"/>
    <w:rsid w:val="0067740D"/>
    <w:rsid w:val="00681F14"/>
    <w:rsid w:val="00682CBA"/>
    <w:rsid w:val="00685077"/>
    <w:rsid w:val="00686908"/>
    <w:rsid w:val="00690ABD"/>
    <w:rsid w:val="0069199C"/>
    <w:rsid w:val="0069439F"/>
    <w:rsid w:val="0069461C"/>
    <w:rsid w:val="006A0AD1"/>
    <w:rsid w:val="006A69ED"/>
    <w:rsid w:val="006A7E21"/>
    <w:rsid w:val="006B34ED"/>
    <w:rsid w:val="006B4B33"/>
    <w:rsid w:val="006B6A9B"/>
    <w:rsid w:val="006B7FCE"/>
    <w:rsid w:val="006D0189"/>
    <w:rsid w:val="006D08D5"/>
    <w:rsid w:val="006D17C3"/>
    <w:rsid w:val="006D42AF"/>
    <w:rsid w:val="006D5900"/>
    <w:rsid w:val="006D7ADE"/>
    <w:rsid w:val="006E04EE"/>
    <w:rsid w:val="006E2F67"/>
    <w:rsid w:val="006E725B"/>
    <w:rsid w:val="006E7737"/>
    <w:rsid w:val="006F118B"/>
    <w:rsid w:val="006F1CF9"/>
    <w:rsid w:val="006F5C2F"/>
    <w:rsid w:val="007022E7"/>
    <w:rsid w:val="00704176"/>
    <w:rsid w:val="00704C36"/>
    <w:rsid w:val="00706822"/>
    <w:rsid w:val="00706EFE"/>
    <w:rsid w:val="0071147C"/>
    <w:rsid w:val="00731F5C"/>
    <w:rsid w:val="00732E24"/>
    <w:rsid w:val="007331F9"/>
    <w:rsid w:val="007357A9"/>
    <w:rsid w:val="007449FE"/>
    <w:rsid w:val="00745235"/>
    <w:rsid w:val="00752BE9"/>
    <w:rsid w:val="00753D0D"/>
    <w:rsid w:val="0076039A"/>
    <w:rsid w:val="007608BD"/>
    <w:rsid w:val="007656BC"/>
    <w:rsid w:val="00770DA5"/>
    <w:rsid w:val="0077482C"/>
    <w:rsid w:val="007815EE"/>
    <w:rsid w:val="00791B59"/>
    <w:rsid w:val="007928AD"/>
    <w:rsid w:val="00792ABC"/>
    <w:rsid w:val="00793108"/>
    <w:rsid w:val="00793687"/>
    <w:rsid w:val="00793845"/>
    <w:rsid w:val="007A4D57"/>
    <w:rsid w:val="007B2AC0"/>
    <w:rsid w:val="007B320D"/>
    <w:rsid w:val="007B3420"/>
    <w:rsid w:val="007B5149"/>
    <w:rsid w:val="007B52F7"/>
    <w:rsid w:val="007B667F"/>
    <w:rsid w:val="007C0D0E"/>
    <w:rsid w:val="007C0F3D"/>
    <w:rsid w:val="007C338A"/>
    <w:rsid w:val="007C4A0C"/>
    <w:rsid w:val="007C4DC0"/>
    <w:rsid w:val="007C7544"/>
    <w:rsid w:val="007D0352"/>
    <w:rsid w:val="007D2FD9"/>
    <w:rsid w:val="007D42CA"/>
    <w:rsid w:val="007D4D37"/>
    <w:rsid w:val="007E6150"/>
    <w:rsid w:val="007F01F7"/>
    <w:rsid w:val="007F0B65"/>
    <w:rsid w:val="007F6974"/>
    <w:rsid w:val="00800025"/>
    <w:rsid w:val="008024A9"/>
    <w:rsid w:val="00805911"/>
    <w:rsid w:val="008060EA"/>
    <w:rsid w:val="00811DE0"/>
    <w:rsid w:val="0081537B"/>
    <w:rsid w:val="00815FD3"/>
    <w:rsid w:val="008215CF"/>
    <w:rsid w:val="00821A2A"/>
    <w:rsid w:val="0082451D"/>
    <w:rsid w:val="00824E79"/>
    <w:rsid w:val="00833A92"/>
    <w:rsid w:val="0083562E"/>
    <w:rsid w:val="00836540"/>
    <w:rsid w:val="00836A6E"/>
    <w:rsid w:val="0083717A"/>
    <w:rsid w:val="00837F9F"/>
    <w:rsid w:val="00840279"/>
    <w:rsid w:val="0084084E"/>
    <w:rsid w:val="00842ADF"/>
    <w:rsid w:val="00843616"/>
    <w:rsid w:val="008445AB"/>
    <w:rsid w:val="00844674"/>
    <w:rsid w:val="00845888"/>
    <w:rsid w:val="008468D9"/>
    <w:rsid w:val="00851C78"/>
    <w:rsid w:val="00856018"/>
    <w:rsid w:val="00856104"/>
    <w:rsid w:val="008574D3"/>
    <w:rsid w:val="0086380C"/>
    <w:rsid w:val="00873394"/>
    <w:rsid w:val="0087540B"/>
    <w:rsid w:val="00875C37"/>
    <w:rsid w:val="008826D8"/>
    <w:rsid w:val="008A1C49"/>
    <w:rsid w:val="008A2083"/>
    <w:rsid w:val="008A4427"/>
    <w:rsid w:val="008B7C5A"/>
    <w:rsid w:val="008C0A78"/>
    <w:rsid w:val="008C0AA4"/>
    <w:rsid w:val="008C4DD7"/>
    <w:rsid w:val="008D1C5A"/>
    <w:rsid w:val="008E04F5"/>
    <w:rsid w:val="008E71ED"/>
    <w:rsid w:val="008F08AF"/>
    <w:rsid w:val="008F2EB6"/>
    <w:rsid w:val="008F53F8"/>
    <w:rsid w:val="008F6173"/>
    <w:rsid w:val="0091102C"/>
    <w:rsid w:val="009129C7"/>
    <w:rsid w:val="009142DE"/>
    <w:rsid w:val="009147E2"/>
    <w:rsid w:val="009156C4"/>
    <w:rsid w:val="00916442"/>
    <w:rsid w:val="009214CB"/>
    <w:rsid w:val="0092342A"/>
    <w:rsid w:val="00926443"/>
    <w:rsid w:val="00927056"/>
    <w:rsid w:val="00927E82"/>
    <w:rsid w:val="0093059C"/>
    <w:rsid w:val="00930A3C"/>
    <w:rsid w:val="009344B2"/>
    <w:rsid w:val="009347B4"/>
    <w:rsid w:val="00934CF8"/>
    <w:rsid w:val="00941ED6"/>
    <w:rsid w:val="0094532F"/>
    <w:rsid w:val="00946D66"/>
    <w:rsid w:val="009513D8"/>
    <w:rsid w:val="0095503B"/>
    <w:rsid w:val="00955892"/>
    <w:rsid w:val="00955C6A"/>
    <w:rsid w:val="0095655C"/>
    <w:rsid w:val="00957E38"/>
    <w:rsid w:val="00970036"/>
    <w:rsid w:val="009721E0"/>
    <w:rsid w:val="00974C2F"/>
    <w:rsid w:val="00974E08"/>
    <w:rsid w:val="00974EF2"/>
    <w:rsid w:val="00980AB8"/>
    <w:rsid w:val="00980CDF"/>
    <w:rsid w:val="00980F9C"/>
    <w:rsid w:val="009814C0"/>
    <w:rsid w:val="00982628"/>
    <w:rsid w:val="00983B1E"/>
    <w:rsid w:val="00983E34"/>
    <w:rsid w:val="00991224"/>
    <w:rsid w:val="009A047B"/>
    <w:rsid w:val="009A2F93"/>
    <w:rsid w:val="009A6693"/>
    <w:rsid w:val="009B23CA"/>
    <w:rsid w:val="009B25BC"/>
    <w:rsid w:val="009B35F2"/>
    <w:rsid w:val="009B3D7F"/>
    <w:rsid w:val="009C1E4A"/>
    <w:rsid w:val="009C2AF2"/>
    <w:rsid w:val="009C3578"/>
    <w:rsid w:val="009C6DA6"/>
    <w:rsid w:val="009D13BD"/>
    <w:rsid w:val="009D45E2"/>
    <w:rsid w:val="009D4E5D"/>
    <w:rsid w:val="009E6BDC"/>
    <w:rsid w:val="009F0D9C"/>
    <w:rsid w:val="009F10BC"/>
    <w:rsid w:val="009F37FF"/>
    <w:rsid w:val="009F3D89"/>
    <w:rsid w:val="009F41BD"/>
    <w:rsid w:val="009F4327"/>
    <w:rsid w:val="009F4344"/>
    <w:rsid w:val="00A06E46"/>
    <w:rsid w:val="00A0754C"/>
    <w:rsid w:val="00A154E8"/>
    <w:rsid w:val="00A15CF1"/>
    <w:rsid w:val="00A2043E"/>
    <w:rsid w:val="00A20ADF"/>
    <w:rsid w:val="00A21D87"/>
    <w:rsid w:val="00A24564"/>
    <w:rsid w:val="00A30105"/>
    <w:rsid w:val="00A3048F"/>
    <w:rsid w:val="00A324B7"/>
    <w:rsid w:val="00A3378B"/>
    <w:rsid w:val="00A40BA1"/>
    <w:rsid w:val="00A40F26"/>
    <w:rsid w:val="00A437CC"/>
    <w:rsid w:val="00A43D1B"/>
    <w:rsid w:val="00A45DF7"/>
    <w:rsid w:val="00A471EB"/>
    <w:rsid w:val="00A47A1F"/>
    <w:rsid w:val="00A5490B"/>
    <w:rsid w:val="00A5634E"/>
    <w:rsid w:val="00A57E4C"/>
    <w:rsid w:val="00A62223"/>
    <w:rsid w:val="00A67870"/>
    <w:rsid w:val="00A722AE"/>
    <w:rsid w:val="00A726BA"/>
    <w:rsid w:val="00A73B1C"/>
    <w:rsid w:val="00A81569"/>
    <w:rsid w:val="00A833B7"/>
    <w:rsid w:val="00A90506"/>
    <w:rsid w:val="00A9214E"/>
    <w:rsid w:val="00A93471"/>
    <w:rsid w:val="00A94080"/>
    <w:rsid w:val="00A95895"/>
    <w:rsid w:val="00AA0A73"/>
    <w:rsid w:val="00AA1761"/>
    <w:rsid w:val="00AA47A2"/>
    <w:rsid w:val="00AB0A90"/>
    <w:rsid w:val="00AB3B96"/>
    <w:rsid w:val="00AC0230"/>
    <w:rsid w:val="00AC3CF9"/>
    <w:rsid w:val="00AC5068"/>
    <w:rsid w:val="00AC53B6"/>
    <w:rsid w:val="00AC75DC"/>
    <w:rsid w:val="00AD0415"/>
    <w:rsid w:val="00AD329D"/>
    <w:rsid w:val="00AD373A"/>
    <w:rsid w:val="00AE35E4"/>
    <w:rsid w:val="00AF0ED4"/>
    <w:rsid w:val="00AF46A6"/>
    <w:rsid w:val="00AF54CE"/>
    <w:rsid w:val="00AF7EC9"/>
    <w:rsid w:val="00B0003F"/>
    <w:rsid w:val="00B03E69"/>
    <w:rsid w:val="00B060D1"/>
    <w:rsid w:val="00B12E88"/>
    <w:rsid w:val="00B14854"/>
    <w:rsid w:val="00B1496F"/>
    <w:rsid w:val="00B21547"/>
    <w:rsid w:val="00B228E2"/>
    <w:rsid w:val="00B31DAF"/>
    <w:rsid w:val="00B32FBB"/>
    <w:rsid w:val="00B45659"/>
    <w:rsid w:val="00B516D1"/>
    <w:rsid w:val="00B53741"/>
    <w:rsid w:val="00B55177"/>
    <w:rsid w:val="00B5564F"/>
    <w:rsid w:val="00B56F57"/>
    <w:rsid w:val="00B62910"/>
    <w:rsid w:val="00B64462"/>
    <w:rsid w:val="00B64CAA"/>
    <w:rsid w:val="00B73444"/>
    <w:rsid w:val="00B74731"/>
    <w:rsid w:val="00B810B6"/>
    <w:rsid w:val="00B84971"/>
    <w:rsid w:val="00B865D0"/>
    <w:rsid w:val="00B87A25"/>
    <w:rsid w:val="00B91AC0"/>
    <w:rsid w:val="00B94ADF"/>
    <w:rsid w:val="00B956FC"/>
    <w:rsid w:val="00B970F8"/>
    <w:rsid w:val="00BA4898"/>
    <w:rsid w:val="00BB0E3B"/>
    <w:rsid w:val="00BB143F"/>
    <w:rsid w:val="00BB48D7"/>
    <w:rsid w:val="00BB7493"/>
    <w:rsid w:val="00BC026F"/>
    <w:rsid w:val="00BC30AC"/>
    <w:rsid w:val="00BC4260"/>
    <w:rsid w:val="00BD32AA"/>
    <w:rsid w:val="00BD3DB6"/>
    <w:rsid w:val="00BD4019"/>
    <w:rsid w:val="00BD4206"/>
    <w:rsid w:val="00BD4226"/>
    <w:rsid w:val="00BD71B9"/>
    <w:rsid w:val="00BD7399"/>
    <w:rsid w:val="00BE0105"/>
    <w:rsid w:val="00BE1AD8"/>
    <w:rsid w:val="00BE35C3"/>
    <w:rsid w:val="00BE70DE"/>
    <w:rsid w:val="00BF23D2"/>
    <w:rsid w:val="00BF35D8"/>
    <w:rsid w:val="00BF40C4"/>
    <w:rsid w:val="00C000B5"/>
    <w:rsid w:val="00C02940"/>
    <w:rsid w:val="00C0750F"/>
    <w:rsid w:val="00C11A16"/>
    <w:rsid w:val="00C12160"/>
    <w:rsid w:val="00C12A39"/>
    <w:rsid w:val="00C14544"/>
    <w:rsid w:val="00C23971"/>
    <w:rsid w:val="00C24166"/>
    <w:rsid w:val="00C300B6"/>
    <w:rsid w:val="00C36EA0"/>
    <w:rsid w:val="00C40FE9"/>
    <w:rsid w:val="00C4410F"/>
    <w:rsid w:val="00C50126"/>
    <w:rsid w:val="00C51DD8"/>
    <w:rsid w:val="00C527DC"/>
    <w:rsid w:val="00C53922"/>
    <w:rsid w:val="00C5443B"/>
    <w:rsid w:val="00C56807"/>
    <w:rsid w:val="00C615CC"/>
    <w:rsid w:val="00C64137"/>
    <w:rsid w:val="00C77A20"/>
    <w:rsid w:val="00C80EBD"/>
    <w:rsid w:val="00C93A3B"/>
    <w:rsid w:val="00C93AEA"/>
    <w:rsid w:val="00C95163"/>
    <w:rsid w:val="00C962A2"/>
    <w:rsid w:val="00C96B12"/>
    <w:rsid w:val="00CB1724"/>
    <w:rsid w:val="00CB278F"/>
    <w:rsid w:val="00CC0E1B"/>
    <w:rsid w:val="00CC3F84"/>
    <w:rsid w:val="00CC5C87"/>
    <w:rsid w:val="00CC5F06"/>
    <w:rsid w:val="00CC795A"/>
    <w:rsid w:val="00CE410D"/>
    <w:rsid w:val="00CE50A8"/>
    <w:rsid w:val="00CE68C1"/>
    <w:rsid w:val="00CF16F7"/>
    <w:rsid w:val="00CF2E52"/>
    <w:rsid w:val="00CF53D3"/>
    <w:rsid w:val="00D048DB"/>
    <w:rsid w:val="00D05A3E"/>
    <w:rsid w:val="00D10214"/>
    <w:rsid w:val="00D16E30"/>
    <w:rsid w:val="00D2112B"/>
    <w:rsid w:val="00D235B6"/>
    <w:rsid w:val="00D24701"/>
    <w:rsid w:val="00D2480E"/>
    <w:rsid w:val="00D25B16"/>
    <w:rsid w:val="00D25F5F"/>
    <w:rsid w:val="00D2771C"/>
    <w:rsid w:val="00D349B9"/>
    <w:rsid w:val="00D36AF9"/>
    <w:rsid w:val="00D41678"/>
    <w:rsid w:val="00D41952"/>
    <w:rsid w:val="00D46A32"/>
    <w:rsid w:val="00D46AAD"/>
    <w:rsid w:val="00D50D24"/>
    <w:rsid w:val="00D512F9"/>
    <w:rsid w:val="00D519DD"/>
    <w:rsid w:val="00D53120"/>
    <w:rsid w:val="00D63773"/>
    <w:rsid w:val="00D6412C"/>
    <w:rsid w:val="00D66FDF"/>
    <w:rsid w:val="00D67186"/>
    <w:rsid w:val="00D67984"/>
    <w:rsid w:val="00D71AE1"/>
    <w:rsid w:val="00D76535"/>
    <w:rsid w:val="00D77E29"/>
    <w:rsid w:val="00D77EE0"/>
    <w:rsid w:val="00D831EA"/>
    <w:rsid w:val="00D85C5D"/>
    <w:rsid w:val="00D923B2"/>
    <w:rsid w:val="00D9338D"/>
    <w:rsid w:val="00D93C06"/>
    <w:rsid w:val="00D949E6"/>
    <w:rsid w:val="00DA11B4"/>
    <w:rsid w:val="00DA4F65"/>
    <w:rsid w:val="00DA6439"/>
    <w:rsid w:val="00DA6A86"/>
    <w:rsid w:val="00DB1591"/>
    <w:rsid w:val="00DB26E9"/>
    <w:rsid w:val="00DB2D03"/>
    <w:rsid w:val="00DB4425"/>
    <w:rsid w:val="00DB6677"/>
    <w:rsid w:val="00DC2F66"/>
    <w:rsid w:val="00DD4972"/>
    <w:rsid w:val="00DD61DB"/>
    <w:rsid w:val="00DE24E5"/>
    <w:rsid w:val="00DE39CC"/>
    <w:rsid w:val="00DF007A"/>
    <w:rsid w:val="00DF3DAB"/>
    <w:rsid w:val="00E04985"/>
    <w:rsid w:val="00E1094F"/>
    <w:rsid w:val="00E10B8C"/>
    <w:rsid w:val="00E1589E"/>
    <w:rsid w:val="00E176C6"/>
    <w:rsid w:val="00E17B41"/>
    <w:rsid w:val="00E21F74"/>
    <w:rsid w:val="00E22673"/>
    <w:rsid w:val="00E23D5E"/>
    <w:rsid w:val="00E241C1"/>
    <w:rsid w:val="00E2596D"/>
    <w:rsid w:val="00E324FE"/>
    <w:rsid w:val="00E3709E"/>
    <w:rsid w:val="00E3744A"/>
    <w:rsid w:val="00E47A06"/>
    <w:rsid w:val="00E51FB2"/>
    <w:rsid w:val="00E52544"/>
    <w:rsid w:val="00E54AF3"/>
    <w:rsid w:val="00E60367"/>
    <w:rsid w:val="00E606D7"/>
    <w:rsid w:val="00E63444"/>
    <w:rsid w:val="00E65037"/>
    <w:rsid w:val="00E66B6E"/>
    <w:rsid w:val="00E70EA7"/>
    <w:rsid w:val="00E7104D"/>
    <w:rsid w:val="00E71FDB"/>
    <w:rsid w:val="00E73793"/>
    <w:rsid w:val="00E73D20"/>
    <w:rsid w:val="00E740DD"/>
    <w:rsid w:val="00E7591A"/>
    <w:rsid w:val="00E765C2"/>
    <w:rsid w:val="00E76DB2"/>
    <w:rsid w:val="00E8586F"/>
    <w:rsid w:val="00E870B4"/>
    <w:rsid w:val="00E87B8D"/>
    <w:rsid w:val="00E93FB0"/>
    <w:rsid w:val="00EA54A7"/>
    <w:rsid w:val="00EA715D"/>
    <w:rsid w:val="00EB1A10"/>
    <w:rsid w:val="00EB2D03"/>
    <w:rsid w:val="00EB3684"/>
    <w:rsid w:val="00EC4C97"/>
    <w:rsid w:val="00ED1250"/>
    <w:rsid w:val="00ED5397"/>
    <w:rsid w:val="00ED5F82"/>
    <w:rsid w:val="00ED60BD"/>
    <w:rsid w:val="00ED6BC2"/>
    <w:rsid w:val="00EE53D9"/>
    <w:rsid w:val="00EE544C"/>
    <w:rsid w:val="00EE5835"/>
    <w:rsid w:val="00EE7086"/>
    <w:rsid w:val="00EF15EA"/>
    <w:rsid w:val="00EF6D43"/>
    <w:rsid w:val="00EF6FD2"/>
    <w:rsid w:val="00F015F9"/>
    <w:rsid w:val="00F06146"/>
    <w:rsid w:val="00F120C4"/>
    <w:rsid w:val="00F126C3"/>
    <w:rsid w:val="00F14DA3"/>
    <w:rsid w:val="00F25765"/>
    <w:rsid w:val="00F25EB1"/>
    <w:rsid w:val="00F26CD9"/>
    <w:rsid w:val="00F27C85"/>
    <w:rsid w:val="00F34C74"/>
    <w:rsid w:val="00F40953"/>
    <w:rsid w:val="00F4797E"/>
    <w:rsid w:val="00F52610"/>
    <w:rsid w:val="00F61D09"/>
    <w:rsid w:val="00F707CF"/>
    <w:rsid w:val="00F71556"/>
    <w:rsid w:val="00F7288F"/>
    <w:rsid w:val="00F757A0"/>
    <w:rsid w:val="00F817A1"/>
    <w:rsid w:val="00F91CA3"/>
    <w:rsid w:val="00F92805"/>
    <w:rsid w:val="00F9375A"/>
    <w:rsid w:val="00F93B42"/>
    <w:rsid w:val="00FA3DC9"/>
    <w:rsid w:val="00FA3E7B"/>
    <w:rsid w:val="00FA58BF"/>
    <w:rsid w:val="00FA6156"/>
    <w:rsid w:val="00FA675F"/>
    <w:rsid w:val="00FB09B2"/>
    <w:rsid w:val="00FB1A2A"/>
    <w:rsid w:val="00FB1FBA"/>
    <w:rsid w:val="00FB338C"/>
    <w:rsid w:val="00FB39EF"/>
    <w:rsid w:val="00FB6337"/>
    <w:rsid w:val="00FB6A76"/>
    <w:rsid w:val="00FB6B0D"/>
    <w:rsid w:val="00FC43E7"/>
    <w:rsid w:val="00FC4A2E"/>
    <w:rsid w:val="00FC5EF6"/>
    <w:rsid w:val="00FC72EB"/>
    <w:rsid w:val="00FC7B41"/>
    <w:rsid w:val="00FE3AE3"/>
    <w:rsid w:val="00FF05E9"/>
    <w:rsid w:val="00FF30DC"/>
    <w:rsid w:val="00FF76C6"/>
    <w:rsid w:val="00FF7D1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59A61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8586F"/>
    <w:rPr>
      <w:sz w:val="24"/>
      <w:szCs w:val="24"/>
      <w:lang w:eastAsia="zh-CN"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8586F"/>
    <w:rPr>
      <w:color w:val="0000FF" w:themeColor="hyperlink"/>
      <w:u w:val="single"/>
    </w:rPr>
  </w:style>
  <w:style w:type="paragraph" w:styleId="NoSpacing">
    <w:name w:val="No Spacing"/>
    <w:link w:val="NoSpacingChar"/>
    <w:uiPriority w:val="1"/>
    <w:qFormat/>
    <w:rsid w:val="00E8586F"/>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E8586F"/>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rsid w:val="00E8586F"/>
    <w:rPr>
      <w:rFonts w:ascii="Tahoma" w:hAnsi="Tahoma" w:cs="Tahoma"/>
      <w:sz w:val="16"/>
      <w:szCs w:val="16"/>
    </w:rPr>
  </w:style>
  <w:style w:type="character" w:customStyle="1" w:styleId="BalloonTextChar">
    <w:name w:val="Balloon Text Char"/>
    <w:basedOn w:val="DefaultParagraphFont"/>
    <w:link w:val="BalloonText"/>
    <w:rsid w:val="00E8586F"/>
    <w:rPr>
      <w:rFonts w:ascii="Tahoma" w:hAnsi="Tahoma" w:cs="Tahoma"/>
      <w:sz w:val="16"/>
      <w:szCs w:val="16"/>
      <w:lang w:eastAsia="zh-CN" w:bidi="he-IL"/>
    </w:rPr>
  </w:style>
  <w:style w:type="paragraph" w:styleId="Header">
    <w:name w:val="header"/>
    <w:basedOn w:val="Normal"/>
    <w:link w:val="HeaderChar"/>
    <w:rsid w:val="00E8586F"/>
    <w:pPr>
      <w:tabs>
        <w:tab w:val="center" w:pos="4513"/>
        <w:tab w:val="right" w:pos="9026"/>
      </w:tabs>
    </w:pPr>
  </w:style>
  <w:style w:type="character" w:customStyle="1" w:styleId="HeaderChar">
    <w:name w:val="Header Char"/>
    <w:basedOn w:val="DefaultParagraphFont"/>
    <w:link w:val="Header"/>
    <w:rsid w:val="00E8586F"/>
    <w:rPr>
      <w:sz w:val="24"/>
      <w:szCs w:val="24"/>
      <w:lang w:eastAsia="zh-CN" w:bidi="he-IL"/>
    </w:rPr>
  </w:style>
  <w:style w:type="paragraph" w:styleId="Footer">
    <w:name w:val="footer"/>
    <w:basedOn w:val="Normal"/>
    <w:link w:val="FooterChar"/>
    <w:uiPriority w:val="99"/>
    <w:rsid w:val="00E8586F"/>
    <w:pPr>
      <w:tabs>
        <w:tab w:val="center" w:pos="4513"/>
        <w:tab w:val="right" w:pos="9026"/>
      </w:tabs>
    </w:pPr>
  </w:style>
  <w:style w:type="character" w:customStyle="1" w:styleId="FooterChar">
    <w:name w:val="Footer Char"/>
    <w:basedOn w:val="DefaultParagraphFont"/>
    <w:link w:val="Footer"/>
    <w:uiPriority w:val="99"/>
    <w:rsid w:val="00E8586F"/>
    <w:rPr>
      <w:sz w:val="24"/>
      <w:szCs w:val="24"/>
      <w:lang w:eastAsia="zh-CN" w:bidi="he-IL"/>
    </w:rPr>
  </w:style>
  <w:style w:type="paragraph" w:customStyle="1" w:styleId="EndNoteBibliographyTitle">
    <w:name w:val="EndNote Bibliography Title"/>
    <w:basedOn w:val="Normal"/>
    <w:link w:val="EndNoteBibliographyTitleChar"/>
    <w:rsid w:val="00E8586F"/>
    <w:pPr>
      <w:jc w:val="center"/>
    </w:pPr>
    <w:rPr>
      <w:noProof/>
    </w:rPr>
  </w:style>
  <w:style w:type="character" w:customStyle="1" w:styleId="EndNoteBibliographyTitleChar">
    <w:name w:val="EndNote Bibliography Title Char"/>
    <w:basedOn w:val="DefaultParagraphFont"/>
    <w:link w:val="EndNoteBibliographyTitle"/>
    <w:rsid w:val="00E8586F"/>
    <w:rPr>
      <w:noProof/>
      <w:sz w:val="24"/>
      <w:szCs w:val="24"/>
      <w:lang w:eastAsia="zh-CN" w:bidi="he-IL"/>
    </w:rPr>
  </w:style>
  <w:style w:type="paragraph" w:customStyle="1" w:styleId="EndNoteBibliography">
    <w:name w:val="EndNote Bibliography"/>
    <w:basedOn w:val="Normal"/>
    <w:link w:val="EndNoteBibliographyChar"/>
    <w:rsid w:val="00E8586F"/>
    <w:rPr>
      <w:noProof/>
    </w:rPr>
  </w:style>
  <w:style w:type="character" w:customStyle="1" w:styleId="EndNoteBibliographyChar">
    <w:name w:val="EndNote Bibliography Char"/>
    <w:basedOn w:val="DefaultParagraphFont"/>
    <w:link w:val="EndNoteBibliography"/>
    <w:rsid w:val="00E8586F"/>
    <w:rPr>
      <w:noProof/>
      <w:sz w:val="24"/>
      <w:szCs w:val="24"/>
      <w:lang w:eastAsia="zh-CN" w:bidi="he-IL"/>
    </w:rPr>
  </w:style>
  <w:style w:type="paragraph" w:styleId="FootnoteText">
    <w:name w:val="footnote text"/>
    <w:basedOn w:val="Normal"/>
    <w:link w:val="FootnoteTextChar"/>
    <w:rsid w:val="00E8586F"/>
    <w:rPr>
      <w:sz w:val="20"/>
      <w:szCs w:val="20"/>
    </w:rPr>
  </w:style>
  <w:style w:type="character" w:customStyle="1" w:styleId="FootnoteTextChar">
    <w:name w:val="Footnote Text Char"/>
    <w:basedOn w:val="DefaultParagraphFont"/>
    <w:link w:val="FootnoteText"/>
    <w:rsid w:val="00E8586F"/>
    <w:rPr>
      <w:lang w:eastAsia="zh-CN" w:bidi="he-IL"/>
    </w:rPr>
  </w:style>
  <w:style w:type="character" w:styleId="FootnoteReference">
    <w:name w:val="footnote reference"/>
    <w:basedOn w:val="DefaultParagraphFont"/>
    <w:rsid w:val="00E8586F"/>
    <w:rPr>
      <w:vertAlign w:val="superscript"/>
    </w:rPr>
  </w:style>
  <w:style w:type="paragraph" w:styleId="ListParagraph">
    <w:name w:val="List Paragraph"/>
    <w:basedOn w:val="Normal"/>
    <w:uiPriority w:val="34"/>
    <w:qFormat/>
    <w:rsid w:val="00E8586F"/>
    <w:pPr>
      <w:ind w:left="720"/>
      <w:contextualSpacing/>
    </w:pPr>
  </w:style>
  <w:style w:type="paragraph" w:styleId="EndnoteText">
    <w:name w:val="endnote text"/>
    <w:basedOn w:val="Normal"/>
    <w:link w:val="EndnoteTextChar"/>
    <w:rsid w:val="00E8586F"/>
    <w:rPr>
      <w:sz w:val="20"/>
      <w:szCs w:val="20"/>
    </w:rPr>
  </w:style>
  <w:style w:type="character" w:customStyle="1" w:styleId="EndnoteTextChar">
    <w:name w:val="Endnote Text Char"/>
    <w:basedOn w:val="DefaultParagraphFont"/>
    <w:link w:val="EndnoteText"/>
    <w:rsid w:val="00E8586F"/>
    <w:rPr>
      <w:lang w:eastAsia="zh-CN" w:bidi="he-IL"/>
    </w:rPr>
  </w:style>
  <w:style w:type="character" w:styleId="EndnoteReference">
    <w:name w:val="endnote reference"/>
    <w:basedOn w:val="DefaultParagraphFont"/>
    <w:rsid w:val="00E8586F"/>
    <w:rPr>
      <w:vertAlign w:val="superscript"/>
    </w:rPr>
  </w:style>
  <w:style w:type="paragraph" w:customStyle="1" w:styleId="Heading21">
    <w:name w:val="Heading 21"/>
    <w:next w:val="Body"/>
    <w:qFormat/>
    <w:rsid w:val="00E8586F"/>
    <w:pPr>
      <w:keepNext/>
      <w:outlineLvl w:val="1"/>
    </w:pPr>
    <w:rPr>
      <w:rFonts w:ascii="Helvetica" w:eastAsia="ヒラギノ角ゴ Pro W3" w:hAnsi="Helvetica"/>
      <w:b/>
      <w:color w:val="000000"/>
      <w:sz w:val="24"/>
      <w:lang w:val="en-US" w:eastAsia="en-GB"/>
    </w:rPr>
  </w:style>
  <w:style w:type="paragraph" w:customStyle="1" w:styleId="Body">
    <w:name w:val="Body"/>
    <w:rsid w:val="00E8586F"/>
    <w:rPr>
      <w:rFonts w:ascii="Helvetica" w:eastAsia="ヒラギノ角ゴ Pro W3" w:hAnsi="Helvetica"/>
      <w:color w:val="000000"/>
      <w:sz w:val="24"/>
      <w:lang w:val="en-US" w:eastAsia="en-GB"/>
    </w:rPr>
  </w:style>
  <w:style w:type="paragraph" w:customStyle="1" w:styleId="Heading31">
    <w:name w:val="Heading 31"/>
    <w:next w:val="Normal"/>
    <w:rsid w:val="00E8586F"/>
    <w:pPr>
      <w:keepNext/>
      <w:spacing w:before="360" w:after="180"/>
      <w:outlineLvl w:val="2"/>
    </w:pPr>
    <w:rPr>
      <w:rFonts w:ascii="Calibri Bold" w:eastAsia="ヒラギノ角ゴ Pro W3" w:hAnsi="Calibri Bold"/>
      <w:color w:val="000000"/>
      <w:sz w:val="24"/>
      <w:lang w:eastAsia="en-GB"/>
    </w:rPr>
  </w:style>
  <w:style w:type="paragraph" w:customStyle="1" w:styleId="FootnoteCalibri">
    <w:name w:val="Footnote Calibri"/>
    <w:rsid w:val="00E8586F"/>
    <w:rPr>
      <w:rFonts w:ascii="Calibri" w:eastAsia="ヒラギノ角ゴ Pro W3" w:hAnsi="Calibri"/>
      <w:color w:val="000000"/>
      <w:vertAlign w:val="superscript"/>
      <w:lang w:val="en-US" w:eastAsia="en-GB"/>
    </w:rPr>
  </w:style>
  <w:style w:type="character" w:customStyle="1" w:styleId="FootnoteReference1">
    <w:name w:val="Footnote Reference1"/>
    <w:rsid w:val="00E8586F"/>
    <w:rPr>
      <w:color w:val="000000"/>
      <w:sz w:val="24"/>
      <w:vertAlign w:val="superscript"/>
    </w:rPr>
  </w:style>
  <w:style w:type="paragraph" w:customStyle="1" w:styleId="Transcript">
    <w:name w:val="Transcript"/>
    <w:rsid w:val="00E8586F"/>
    <w:pPr>
      <w:widowControl w:val="0"/>
      <w:suppressAutoHyphens/>
    </w:pPr>
    <w:rPr>
      <w:rFonts w:ascii="Courier New" w:eastAsia="ヒラギノ角ゴ Pro W3" w:hAnsi="Courier New"/>
      <w:color w:val="000000"/>
      <w:lang w:eastAsia="en-GB"/>
    </w:rPr>
  </w:style>
  <w:style w:type="character" w:styleId="CommentReference">
    <w:name w:val="annotation reference"/>
    <w:basedOn w:val="DefaultParagraphFont"/>
    <w:rsid w:val="00E8586F"/>
    <w:rPr>
      <w:sz w:val="18"/>
      <w:szCs w:val="18"/>
    </w:rPr>
  </w:style>
  <w:style w:type="paragraph" w:styleId="CommentText">
    <w:name w:val="annotation text"/>
    <w:basedOn w:val="Normal"/>
    <w:link w:val="CommentTextChar"/>
    <w:rsid w:val="00E8586F"/>
  </w:style>
  <w:style w:type="character" w:customStyle="1" w:styleId="CommentTextChar">
    <w:name w:val="Comment Text Char"/>
    <w:basedOn w:val="DefaultParagraphFont"/>
    <w:link w:val="CommentText"/>
    <w:rsid w:val="00E8586F"/>
    <w:rPr>
      <w:sz w:val="24"/>
      <w:szCs w:val="24"/>
      <w:lang w:eastAsia="zh-CN" w:bidi="he-IL"/>
    </w:rPr>
  </w:style>
  <w:style w:type="paragraph" w:styleId="CommentSubject">
    <w:name w:val="annotation subject"/>
    <w:basedOn w:val="CommentText"/>
    <w:next w:val="CommentText"/>
    <w:link w:val="CommentSubjectChar"/>
    <w:rsid w:val="00E8586F"/>
    <w:rPr>
      <w:b/>
      <w:bCs/>
    </w:rPr>
  </w:style>
  <w:style w:type="character" w:customStyle="1" w:styleId="CommentSubjectChar">
    <w:name w:val="Comment Subject Char"/>
    <w:basedOn w:val="CommentTextChar"/>
    <w:link w:val="CommentSubject"/>
    <w:rsid w:val="00E8586F"/>
    <w:rPr>
      <w:b/>
      <w:bCs/>
      <w:sz w:val="24"/>
      <w:szCs w:val="24"/>
      <w:lang w:eastAsia="zh-CN" w:bidi="he-IL"/>
    </w:rPr>
  </w:style>
  <w:style w:type="character" w:customStyle="1" w:styleId="apple-converted-space">
    <w:name w:val="apple-converted-space"/>
    <w:basedOn w:val="DefaultParagraphFont"/>
    <w:rsid w:val="00E8586F"/>
  </w:style>
  <w:style w:type="paragraph" w:styleId="NormalWeb">
    <w:name w:val="Normal (Web)"/>
    <w:basedOn w:val="Normal"/>
    <w:uiPriority w:val="99"/>
    <w:unhideWhenUsed/>
    <w:rsid w:val="000D2FD7"/>
    <w:pPr>
      <w:spacing w:before="100" w:beforeAutospacing="1" w:after="100" w:afterAutospacing="1"/>
    </w:pPr>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9785">
      <w:bodyDiv w:val="1"/>
      <w:marLeft w:val="0"/>
      <w:marRight w:val="0"/>
      <w:marTop w:val="0"/>
      <w:marBottom w:val="0"/>
      <w:divBdr>
        <w:top w:val="none" w:sz="0" w:space="0" w:color="auto"/>
        <w:left w:val="none" w:sz="0" w:space="0" w:color="auto"/>
        <w:bottom w:val="none" w:sz="0" w:space="0" w:color="auto"/>
        <w:right w:val="none" w:sz="0" w:space="0" w:color="auto"/>
      </w:divBdr>
    </w:div>
    <w:div w:id="433984856">
      <w:bodyDiv w:val="1"/>
      <w:marLeft w:val="0"/>
      <w:marRight w:val="0"/>
      <w:marTop w:val="0"/>
      <w:marBottom w:val="0"/>
      <w:divBdr>
        <w:top w:val="none" w:sz="0" w:space="0" w:color="auto"/>
        <w:left w:val="none" w:sz="0" w:space="0" w:color="auto"/>
        <w:bottom w:val="none" w:sz="0" w:space="0" w:color="auto"/>
        <w:right w:val="none" w:sz="0" w:space="0" w:color="auto"/>
      </w:divBdr>
      <w:divsChild>
        <w:div w:id="1904022350">
          <w:marLeft w:val="0"/>
          <w:marRight w:val="0"/>
          <w:marTop w:val="0"/>
          <w:marBottom w:val="0"/>
          <w:divBdr>
            <w:top w:val="none" w:sz="0" w:space="0" w:color="auto"/>
            <w:left w:val="none" w:sz="0" w:space="0" w:color="auto"/>
            <w:bottom w:val="none" w:sz="0" w:space="0" w:color="auto"/>
            <w:right w:val="none" w:sz="0" w:space="0" w:color="auto"/>
          </w:divBdr>
          <w:divsChild>
            <w:div w:id="416678758">
              <w:marLeft w:val="0"/>
              <w:marRight w:val="0"/>
              <w:marTop w:val="0"/>
              <w:marBottom w:val="0"/>
              <w:divBdr>
                <w:top w:val="none" w:sz="0" w:space="0" w:color="auto"/>
                <w:left w:val="none" w:sz="0" w:space="0" w:color="auto"/>
                <w:bottom w:val="none" w:sz="0" w:space="0" w:color="auto"/>
                <w:right w:val="none" w:sz="0" w:space="0" w:color="auto"/>
              </w:divBdr>
              <w:divsChild>
                <w:div w:id="21174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2722">
      <w:bodyDiv w:val="1"/>
      <w:marLeft w:val="0"/>
      <w:marRight w:val="0"/>
      <w:marTop w:val="0"/>
      <w:marBottom w:val="0"/>
      <w:divBdr>
        <w:top w:val="none" w:sz="0" w:space="0" w:color="auto"/>
        <w:left w:val="none" w:sz="0" w:space="0" w:color="auto"/>
        <w:bottom w:val="none" w:sz="0" w:space="0" w:color="auto"/>
        <w:right w:val="none" w:sz="0" w:space="0" w:color="auto"/>
      </w:divBdr>
    </w:div>
    <w:div w:id="1117257801">
      <w:bodyDiv w:val="1"/>
      <w:marLeft w:val="0"/>
      <w:marRight w:val="0"/>
      <w:marTop w:val="0"/>
      <w:marBottom w:val="0"/>
      <w:divBdr>
        <w:top w:val="none" w:sz="0" w:space="0" w:color="auto"/>
        <w:left w:val="none" w:sz="0" w:space="0" w:color="auto"/>
        <w:bottom w:val="none" w:sz="0" w:space="0" w:color="auto"/>
        <w:right w:val="none" w:sz="0" w:space="0" w:color="auto"/>
      </w:divBdr>
    </w:div>
    <w:div w:id="1134719680">
      <w:bodyDiv w:val="1"/>
      <w:marLeft w:val="0"/>
      <w:marRight w:val="0"/>
      <w:marTop w:val="0"/>
      <w:marBottom w:val="0"/>
      <w:divBdr>
        <w:top w:val="none" w:sz="0" w:space="0" w:color="auto"/>
        <w:left w:val="none" w:sz="0" w:space="0" w:color="auto"/>
        <w:bottom w:val="none" w:sz="0" w:space="0" w:color="auto"/>
        <w:right w:val="none" w:sz="0" w:space="0" w:color="auto"/>
      </w:divBdr>
    </w:div>
    <w:div w:id="1204636192">
      <w:bodyDiv w:val="1"/>
      <w:marLeft w:val="0"/>
      <w:marRight w:val="0"/>
      <w:marTop w:val="0"/>
      <w:marBottom w:val="0"/>
      <w:divBdr>
        <w:top w:val="none" w:sz="0" w:space="0" w:color="auto"/>
        <w:left w:val="none" w:sz="0" w:space="0" w:color="auto"/>
        <w:bottom w:val="none" w:sz="0" w:space="0" w:color="auto"/>
        <w:right w:val="none" w:sz="0" w:space="0" w:color="auto"/>
      </w:divBdr>
      <w:divsChild>
        <w:div w:id="583418456">
          <w:marLeft w:val="0"/>
          <w:marRight w:val="0"/>
          <w:marTop w:val="0"/>
          <w:marBottom w:val="0"/>
          <w:divBdr>
            <w:top w:val="none" w:sz="0" w:space="0" w:color="auto"/>
            <w:left w:val="none" w:sz="0" w:space="0" w:color="auto"/>
            <w:bottom w:val="none" w:sz="0" w:space="0" w:color="auto"/>
            <w:right w:val="none" w:sz="0" w:space="0" w:color="auto"/>
          </w:divBdr>
          <w:divsChild>
            <w:div w:id="600842343">
              <w:marLeft w:val="0"/>
              <w:marRight w:val="0"/>
              <w:marTop w:val="0"/>
              <w:marBottom w:val="0"/>
              <w:divBdr>
                <w:top w:val="none" w:sz="0" w:space="0" w:color="auto"/>
                <w:left w:val="none" w:sz="0" w:space="0" w:color="auto"/>
                <w:bottom w:val="none" w:sz="0" w:space="0" w:color="auto"/>
                <w:right w:val="none" w:sz="0" w:space="0" w:color="auto"/>
              </w:divBdr>
              <w:divsChild>
                <w:div w:id="3965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09852">
      <w:bodyDiv w:val="1"/>
      <w:marLeft w:val="0"/>
      <w:marRight w:val="0"/>
      <w:marTop w:val="0"/>
      <w:marBottom w:val="0"/>
      <w:divBdr>
        <w:top w:val="none" w:sz="0" w:space="0" w:color="auto"/>
        <w:left w:val="none" w:sz="0" w:space="0" w:color="auto"/>
        <w:bottom w:val="none" w:sz="0" w:space="0" w:color="auto"/>
        <w:right w:val="none" w:sz="0" w:space="0" w:color="auto"/>
      </w:divBdr>
      <w:divsChild>
        <w:div w:id="955985318">
          <w:marLeft w:val="0"/>
          <w:marRight w:val="0"/>
          <w:marTop w:val="0"/>
          <w:marBottom w:val="0"/>
          <w:divBdr>
            <w:top w:val="none" w:sz="0" w:space="0" w:color="auto"/>
            <w:left w:val="none" w:sz="0" w:space="0" w:color="auto"/>
            <w:bottom w:val="none" w:sz="0" w:space="0" w:color="auto"/>
            <w:right w:val="none" w:sz="0" w:space="0" w:color="auto"/>
          </w:divBdr>
          <w:divsChild>
            <w:div w:id="1418483219">
              <w:marLeft w:val="0"/>
              <w:marRight w:val="0"/>
              <w:marTop w:val="0"/>
              <w:marBottom w:val="0"/>
              <w:divBdr>
                <w:top w:val="none" w:sz="0" w:space="0" w:color="auto"/>
                <w:left w:val="none" w:sz="0" w:space="0" w:color="auto"/>
                <w:bottom w:val="none" w:sz="0" w:space="0" w:color="auto"/>
                <w:right w:val="none" w:sz="0" w:space="0" w:color="auto"/>
              </w:divBdr>
              <w:divsChild>
                <w:div w:id="6810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830948">
      <w:bodyDiv w:val="1"/>
      <w:marLeft w:val="0"/>
      <w:marRight w:val="0"/>
      <w:marTop w:val="0"/>
      <w:marBottom w:val="0"/>
      <w:divBdr>
        <w:top w:val="none" w:sz="0" w:space="0" w:color="auto"/>
        <w:left w:val="none" w:sz="0" w:space="0" w:color="auto"/>
        <w:bottom w:val="none" w:sz="0" w:space="0" w:color="auto"/>
        <w:right w:val="none" w:sz="0" w:space="0" w:color="auto"/>
      </w:divBdr>
    </w:div>
    <w:div w:id="1733969176">
      <w:bodyDiv w:val="1"/>
      <w:marLeft w:val="0"/>
      <w:marRight w:val="0"/>
      <w:marTop w:val="0"/>
      <w:marBottom w:val="0"/>
      <w:divBdr>
        <w:top w:val="none" w:sz="0" w:space="0" w:color="auto"/>
        <w:left w:val="none" w:sz="0" w:space="0" w:color="auto"/>
        <w:bottom w:val="none" w:sz="0" w:space="0" w:color="auto"/>
        <w:right w:val="none" w:sz="0" w:space="0" w:color="auto"/>
      </w:divBdr>
    </w:div>
    <w:div w:id="1749419662">
      <w:bodyDiv w:val="1"/>
      <w:marLeft w:val="0"/>
      <w:marRight w:val="0"/>
      <w:marTop w:val="0"/>
      <w:marBottom w:val="0"/>
      <w:divBdr>
        <w:top w:val="none" w:sz="0" w:space="0" w:color="auto"/>
        <w:left w:val="none" w:sz="0" w:space="0" w:color="auto"/>
        <w:bottom w:val="none" w:sz="0" w:space="0" w:color="auto"/>
        <w:right w:val="none" w:sz="0" w:space="0" w:color="auto"/>
      </w:divBdr>
    </w:div>
    <w:div w:id="1759906976">
      <w:bodyDiv w:val="1"/>
      <w:marLeft w:val="0"/>
      <w:marRight w:val="0"/>
      <w:marTop w:val="0"/>
      <w:marBottom w:val="0"/>
      <w:divBdr>
        <w:top w:val="none" w:sz="0" w:space="0" w:color="auto"/>
        <w:left w:val="none" w:sz="0" w:space="0" w:color="auto"/>
        <w:bottom w:val="none" w:sz="0" w:space="0" w:color="auto"/>
        <w:right w:val="none" w:sz="0" w:space="0" w:color="auto"/>
      </w:divBdr>
    </w:div>
    <w:div w:id="1804230069">
      <w:bodyDiv w:val="1"/>
      <w:marLeft w:val="0"/>
      <w:marRight w:val="0"/>
      <w:marTop w:val="0"/>
      <w:marBottom w:val="0"/>
      <w:divBdr>
        <w:top w:val="none" w:sz="0" w:space="0" w:color="auto"/>
        <w:left w:val="none" w:sz="0" w:space="0" w:color="auto"/>
        <w:bottom w:val="none" w:sz="0" w:space="0" w:color="auto"/>
        <w:right w:val="none" w:sz="0" w:space="0" w:color="auto"/>
      </w:divBdr>
    </w:div>
    <w:div w:id="1842425436">
      <w:bodyDiv w:val="1"/>
      <w:marLeft w:val="0"/>
      <w:marRight w:val="0"/>
      <w:marTop w:val="0"/>
      <w:marBottom w:val="0"/>
      <w:divBdr>
        <w:top w:val="none" w:sz="0" w:space="0" w:color="auto"/>
        <w:left w:val="none" w:sz="0" w:space="0" w:color="auto"/>
        <w:bottom w:val="none" w:sz="0" w:space="0" w:color="auto"/>
        <w:right w:val="none" w:sz="0" w:space="0" w:color="auto"/>
      </w:divBdr>
      <w:divsChild>
        <w:div w:id="1936353137">
          <w:marLeft w:val="0"/>
          <w:marRight w:val="0"/>
          <w:marTop w:val="0"/>
          <w:marBottom w:val="0"/>
          <w:divBdr>
            <w:top w:val="none" w:sz="0" w:space="0" w:color="auto"/>
            <w:left w:val="none" w:sz="0" w:space="0" w:color="auto"/>
            <w:bottom w:val="none" w:sz="0" w:space="0" w:color="auto"/>
            <w:right w:val="none" w:sz="0" w:space="0" w:color="auto"/>
          </w:divBdr>
          <w:divsChild>
            <w:div w:id="351953006">
              <w:marLeft w:val="0"/>
              <w:marRight w:val="0"/>
              <w:marTop w:val="0"/>
              <w:marBottom w:val="0"/>
              <w:divBdr>
                <w:top w:val="none" w:sz="0" w:space="0" w:color="auto"/>
                <w:left w:val="none" w:sz="0" w:space="0" w:color="auto"/>
                <w:bottom w:val="none" w:sz="0" w:space="0" w:color="auto"/>
                <w:right w:val="none" w:sz="0" w:space="0" w:color="auto"/>
              </w:divBdr>
              <w:divsChild>
                <w:div w:id="7249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4977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lare.jackson@york.ac.uk" TargetMode="Externa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2015-12-06T00:00:00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E578E5-0EDC-C940-AA1B-D0A10462E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C:\Windows\system32\Normal</Template>
  <TotalTime>1</TotalTime>
  <Pages>30</Pages>
  <Words>7984</Words>
  <Characters>45514</Characters>
  <Application>Microsoft Macintosh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‘I sort of did stuff to him’: A case study of tellability and taboo in young people’s talk about sex</vt:lpstr>
    </vt:vector>
  </TitlesOfParts>
  <Company>The University of York</Company>
  <LinksUpToDate>false</LinksUpToDate>
  <CharactersWithSpaces>53392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sort of did stuff to him’: A case study of tellability and taboo in young people’s talk about sex</dc:title>
  <dc:creator>Clare Jackson</dc:creator>
  <cp:lastModifiedBy>Clare Jackson</cp:lastModifiedBy>
  <cp:revision>2</cp:revision>
  <dcterms:created xsi:type="dcterms:W3CDTF">2016-10-10T11:37:00Z</dcterms:created>
  <dcterms:modified xsi:type="dcterms:W3CDTF">2016-10-10T11:37:00Z</dcterms:modified>
</cp:coreProperties>
</file>