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7C6B" w14:textId="77777777" w:rsidR="006930C4" w:rsidRDefault="006930C4" w:rsidP="00782A03">
      <w:pPr>
        <w:spacing w:line="360" w:lineRule="auto"/>
        <w:rPr>
          <w:rFonts w:ascii="Times New Roman" w:hAnsi="Times New Roman" w:cs="Times New Roman"/>
          <w:b/>
          <w:bCs/>
          <w:sz w:val="24"/>
          <w:szCs w:val="24"/>
        </w:rPr>
      </w:pPr>
    </w:p>
    <w:p w14:paraId="3D6EC486" w14:textId="77777777" w:rsidR="006930C4" w:rsidRPr="006930C4" w:rsidRDefault="006930C4" w:rsidP="006930C4">
      <w:pPr>
        <w:spacing w:after="0" w:line="240" w:lineRule="auto"/>
        <w:jc w:val="center"/>
        <w:rPr>
          <w:rFonts w:ascii="Times New Roman" w:hAnsi="Times New Roman" w:cs="Times New Roman"/>
          <w:b/>
          <w:bCs/>
          <w:sz w:val="28"/>
          <w:szCs w:val="28"/>
        </w:rPr>
      </w:pPr>
      <w:r w:rsidRPr="006930C4">
        <w:rPr>
          <w:rFonts w:ascii="Times New Roman" w:hAnsi="Times New Roman" w:cs="Times New Roman"/>
          <w:b/>
          <w:bCs/>
          <w:sz w:val="28"/>
          <w:szCs w:val="28"/>
        </w:rPr>
        <w:t>Children’s Hospitals in the British NHS:</w:t>
      </w:r>
    </w:p>
    <w:p w14:paraId="5D76273D" w14:textId="77777777" w:rsidR="006930C4" w:rsidRPr="006930C4" w:rsidRDefault="006930C4" w:rsidP="006930C4">
      <w:pPr>
        <w:spacing w:after="0" w:line="240" w:lineRule="auto"/>
        <w:jc w:val="center"/>
        <w:rPr>
          <w:rFonts w:ascii="Times New Roman" w:hAnsi="Times New Roman" w:cs="Times New Roman"/>
          <w:b/>
          <w:bCs/>
          <w:sz w:val="28"/>
          <w:szCs w:val="28"/>
        </w:rPr>
      </w:pPr>
      <w:r w:rsidRPr="006930C4">
        <w:rPr>
          <w:rFonts w:ascii="Times New Roman" w:hAnsi="Times New Roman" w:cs="Times New Roman"/>
          <w:b/>
          <w:bCs/>
          <w:sz w:val="28"/>
          <w:szCs w:val="28"/>
        </w:rPr>
        <w:t>Commercial and international considerations</w:t>
      </w:r>
    </w:p>
    <w:p w14:paraId="5F767356" w14:textId="77777777" w:rsidR="006930C4" w:rsidRDefault="006930C4" w:rsidP="006930C4">
      <w:pPr>
        <w:spacing w:after="0" w:line="240" w:lineRule="auto"/>
        <w:jc w:val="center"/>
        <w:rPr>
          <w:rFonts w:ascii="Times New Roman" w:hAnsi="Times New Roman" w:cs="Times New Roman"/>
          <w:b/>
          <w:bCs/>
          <w:sz w:val="28"/>
          <w:szCs w:val="28"/>
        </w:rPr>
      </w:pPr>
    </w:p>
    <w:p w14:paraId="72404373" w14:textId="77777777" w:rsidR="006930C4" w:rsidRDefault="006930C4" w:rsidP="006930C4">
      <w:pPr>
        <w:spacing w:after="0" w:line="240" w:lineRule="auto"/>
        <w:jc w:val="center"/>
        <w:rPr>
          <w:rFonts w:ascii="Times New Roman" w:hAnsi="Times New Roman" w:cs="Times New Roman"/>
          <w:b/>
          <w:bCs/>
          <w:sz w:val="28"/>
          <w:szCs w:val="28"/>
        </w:rPr>
      </w:pPr>
      <w:r w:rsidRPr="006930C4">
        <w:rPr>
          <w:rFonts w:ascii="Times New Roman" w:hAnsi="Times New Roman" w:cs="Times New Roman"/>
          <w:b/>
          <w:bCs/>
          <w:sz w:val="28"/>
          <w:szCs w:val="28"/>
        </w:rPr>
        <w:t>Neil Lunt</w:t>
      </w:r>
      <w:r w:rsidRPr="006930C4">
        <w:rPr>
          <w:rFonts w:ascii="Times New Roman" w:hAnsi="Times New Roman" w:cs="Times New Roman"/>
          <w:b/>
          <w:bCs/>
          <w:sz w:val="28"/>
          <w:szCs w:val="28"/>
        </w:rPr>
        <w:t xml:space="preserve"> (University of York)</w:t>
      </w:r>
      <w:r w:rsidRPr="006930C4">
        <w:rPr>
          <w:rFonts w:ascii="Times New Roman" w:hAnsi="Times New Roman" w:cs="Times New Roman"/>
          <w:b/>
          <w:bCs/>
          <w:sz w:val="28"/>
          <w:szCs w:val="28"/>
        </w:rPr>
        <w:t xml:space="preserve"> </w:t>
      </w:r>
    </w:p>
    <w:p w14:paraId="7FE549ED" w14:textId="001F06F1" w:rsidR="006930C4" w:rsidRPr="006930C4" w:rsidRDefault="006930C4" w:rsidP="006930C4">
      <w:pPr>
        <w:spacing w:after="0" w:line="240" w:lineRule="auto"/>
        <w:jc w:val="center"/>
        <w:rPr>
          <w:rFonts w:ascii="Times New Roman" w:hAnsi="Times New Roman" w:cs="Times New Roman"/>
          <w:b/>
          <w:bCs/>
          <w:sz w:val="28"/>
          <w:szCs w:val="28"/>
        </w:rPr>
      </w:pPr>
      <w:r w:rsidRPr="006930C4">
        <w:rPr>
          <w:rFonts w:ascii="Times New Roman" w:hAnsi="Times New Roman" w:cs="Times New Roman"/>
          <w:b/>
          <w:bCs/>
          <w:sz w:val="28"/>
          <w:szCs w:val="28"/>
        </w:rPr>
        <w:t>Mark Exworthy</w:t>
      </w:r>
      <w:r w:rsidRPr="006930C4">
        <w:rPr>
          <w:rFonts w:ascii="Times New Roman" w:hAnsi="Times New Roman" w:cs="Times New Roman"/>
          <w:b/>
          <w:bCs/>
          <w:sz w:val="28"/>
          <w:szCs w:val="28"/>
        </w:rPr>
        <w:t xml:space="preserve"> (University of Birmingham)</w:t>
      </w:r>
    </w:p>
    <w:p w14:paraId="68B592F6" w14:textId="77777777" w:rsidR="006930C4" w:rsidRDefault="006930C4" w:rsidP="00782A03">
      <w:pPr>
        <w:spacing w:line="360" w:lineRule="auto"/>
        <w:rPr>
          <w:rFonts w:ascii="Times New Roman" w:hAnsi="Times New Roman" w:cs="Times New Roman"/>
          <w:b/>
          <w:bCs/>
          <w:sz w:val="24"/>
          <w:szCs w:val="24"/>
        </w:rPr>
      </w:pPr>
    </w:p>
    <w:p w14:paraId="104B8D0C" w14:textId="77777777" w:rsidR="006930C4" w:rsidRDefault="006930C4" w:rsidP="00782A03">
      <w:pPr>
        <w:spacing w:line="360" w:lineRule="auto"/>
        <w:rPr>
          <w:rFonts w:ascii="Times New Roman" w:hAnsi="Times New Roman" w:cs="Times New Roman"/>
          <w:b/>
          <w:bCs/>
          <w:sz w:val="24"/>
          <w:szCs w:val="24"/>
        </w:rPr>
      </w:pPr>
    </w:p>
    <w:p w14:paraId="4DE591AE" w14:textId="18D3CC26" w:rsidR="00782A03" w:rsidRPr="00782A03" w:rsidRDefault="00782A03" w:rsidP="00782A03">
      <w:pPr>
        <w:spacing w:line="360" w:lineRule="auto"/>
        <w:rPr>
          <w:rFonts w:ascii="Times New Roman" w:hAnsi="Times New Roman" w:cs="Times New Roman"/>
          <w:b/>
          <w:bCs/>
          <w:sz w:val="24"/>
          <w:szCs w:val="24"/>
        </w:rPr>
      </w:pPr>
      <w:r w:rsidRPr="00782A03">
        <w:rPr>
          <w:rFonts w:ascii="Times New Roman" w:hAnsi="Times New Roman" w:cs="Times New Roman"/>
          <w:b/>
          <w:bCs/>
          <w:sz w:val="24"/>
          <w:szCs w:val="24"/>
        </w:rPr>
        <w:t>Abstract</w:t>
      </w:r>
    </w:p>
    <w:p w14:paraId="18291618" w14:textId="77777777" w:rsidR="00782A03" w:rsidRPr="000E59A0" w:rsidRDefault="00782A03" w:rsidP="00782A03">
      <w:pPr>
        <w:spacing w:line="360" w:lineRule="auto"/>
        <w:rPr>
          <w:rFonts w:ascii="Times New Roman" w:hAnsi="Times New Roman" w:cs="Times New Roman"/>
          <w:sz w:val="24"/>
          <w:szCs w:val="24"/>
        </w:rPr>
      </w:pPr>
      <w:r w:rsidRPr="000E59A0">
        <w:rPr>
          <w:rFonts w:ascii="Times New Roman" w:hAnsi="Times New Roman" w:cs="Times New Roman"/>
          <w:sz w:val="24"/>
          <w:szCs w:val="24"/>
        </w:rPr>
        <w:t xml:space="preserve">Patient mobility is a complex phenomenon, involving both outward and inward flows, and treatments that are more and less complex and where choice may be driven by quality and availability rather than solely cost. Public health systems in high- and middle-income countries are facing increasing financial pressures given population ageing, a rapid rise in chronic and non-communicable diseases and fiscal restraint. In this context, the intersection of patient mobility and commodification of care provides opportunities for generating additional revenue, particularly for hospitals with a reputation for clinical excellence and innovation.  </w:t>
      </w:r>
    </w:p>
    <w:p w14:paraId="7B4154AE" w14:textId="77777777" w:rsidR="00782A03" w:rsidRPr="000E59A0" w:rsidRDefault="00782A03" w:rsidP="00782A03">
      <w:pPr>
        <w:spacing w:line="360" w:lineRule="auto"/>
        <w:rPr>
          <w:rFonts w:ascii="Times New Roman" w:hAnsi="Times New Roman" w:cs="Times New Roman"/>
          <w:sz w:val="24"/>
          <w:szCs w:val="24"/>
        </w:rPr>
      </w:pPr>
    </w:p>
    <w:p w14:paraId="145A9FBC" w14:textId="77777777" w:rsidR="00782A03" w:rsidRPr="000E59A0" w:rsidRDefault="00782A03" w:rsidP="00782A03">
      <w:pPr>
        <w:spacing w:line="360" w:lineRule="auto"/>
        <w:rPr>
          <w:rFonts w:ascii="Times New Roman" w:hAnsi="Times New Roman" w:cs="Times New Roman"/>
          <w:sz w:val="24"/>
          <w:szCs w:val="24"/>
        </w:rPr>
      </w:pPr>
      <w:r w:rsidRPr="000E59A0">
        <w:rPr>
          <w:rFonts w:ascii="Times New Roman" w:hAnsi="Times New Roman" w:cs="Times New Roman"/>
          <w:sz w:val="24"/>
          <w:szCs w:val="24"/>
        </w:rPr>
        <w:t xml:space="preserve">The National Health Service is often seen as an iconic public service in the UK, with primarily state funding and state provision of services. Over the past few decades, however, successive governments have introduced more market-style relations and commercialism in the NHS under new public management and more recently, public sector entrepreneurialism.  Whereas historically there has been ambivalence around private activity, international patients and joint ventures are identified as a possible route to lessening pressure on NHS resources. Specialist NHS hospitals treat inward medical travellers with complex tertiary procedures (including paediatrics, and heart surgery), and maternity services and ophthalmic surgery.  </w:t>
      </w:r>
    </w:p>
    <w:p w14:paraId="73AEA0F9" w14:textId="77777777" w:rsidR="00782A03" w:rsidRPr="000E59A0" w:rsidRDefault="00782A03" w:rsidP="00782A03">
      <w:pPr>
        <w:spacing w:line="360" w:lineRule="auto"/>
        <w:rPr>
          <w:rFonts w:ascii="Times New Roman" w:hAnsi="Times New Roman" w:cs="Times New Roman"/>
          <w:sz w:val="24"/>
          <w:szCs w:val="24"/>
        </w:rPr>
      </w:pPr>
    </w:p>
    <w:p w14:paraId="0D625AB5" w14:textId="36A53095" w:rsidR="00782A03" w:rsidRDefault="00782A03" w:rsidP="00782A03">
      <w:pPr>
        <w:spacing w:line="360" w:lineRule="auto"/>
        <w:rPr>
          <w:rFonts w:ascii="Times New Roman" w:hAnsi="Times New Roman" w:cs="Times New Roman"/>
          <w:sz w:val="24"/>
          <w:szCs w:val="24"/>
        </w:rPr>
      </w:pPr>
      <w:r w:rsidRPr="000E59A0">
        <w:rPr>
          <w:rFonts w:ascii="Times New Roman" w:hAnsi="Times New Roman" w:cs="Times New Roman"/>
          <w:sz w:val="24"/>
          <w:szCs w:val="24"/>
        </w:rPr>
        <w:t xml:space="preserve">In this paper, we present documentary research on the case-study of Great Ormond Street Hospital (GOSH), a specialist NHS children’s hospital in London which has a tradition of treating patients travelling from outside the UK.  We review the practices around commercialisation in relation to children’s services to offer a novel analysis on specialist </w:t>
      </w:r>
      <w:r w:rsidRPr="000E59A0">
        <w:rPr>
          <w:rFonts w:ascii="Times New Roman" w:hAnsi="Times New Roman" w:cs="Times New Roman"/>
          <w:sz w:val="24"/>
          <w:szCs w:val="24"/>
        </w:rPr>
        <w:lastRenderedPageBreak/>
        <w:t>children’s services. In so doing we expand academic and policy debates around commercialisation in public health systems and provide theoretical insights drawing on Karl Polanyi’s “double movement” to helps explain the apparent paradox whereby commercial income is increasingly justified by NHS organisations because of an apparent need to support NHS services</w:t>
      </w:r>
      <w:r>
        <w:rPr>
          <w:rFonts w:ascii="Times New Roman" w:hAnsi="Times New Roman" w:cs="Times New Roman"/>
          <w:sz w:val="24"/>
          <w:szCs w:val="24"/>
        </w:rPr>
        <w:t>.</w:t>
      </w:r>
    </w:p>
    <w:p w14:paraId="34E43F31" w14:textId="109215FF" w:rsidR="00BC6223" w:rsidRPr="008E4844" w:rsidRDefault="00E7567E" w:rsidP="00F55491">
      <w:pPr>
        <w:spacing w:before="100" w:beforeAutospacing="1" w:after="100" w:afterAutospacing="1" w:line="360" w:lineRule="auto"/>
        <w:rPr>
          <w:rFonts w:ascii="Times New Roman" w:hAnsi="Times New Roman" w:cs="Times New Roman"/>
          <w:b/>
          <w:bCs/>
          <w:sz w:val="24"/>
          <w:szCs w:val="24"/>
        </w:rPr>
      </w:pPr>
      <w:r w:rsidRPr="008E4844">
        <w:rPr>
          <w:rFonts w:ascii="Times New Roman" w:hAnsi="Times New Roman" w:cs="Times New Roman"/>
          <w:b/>
          <w:bCs/>
          <w:sz w:val="24"/>
          <w:szCs w:val="24"/>
        </w:rPr>
        <w:t>Introduction</w:t>
      </w:r>
      <w:r w:rsidR="00F07E8B" w:rsidRPr="008E4844">
        <w:rPr>
          <w:rFonts w:ascii="Times New Roman" w:hAnsi="Times New Roman" w:cs="Times New Roman"/>
          <w:b/>
          <w:bCs/>
          <w:sz w:val="24"/>
          <w:szCs w:val="24"/>
        </w:rPr>
        <w:t xml:space="preserve"> </w:t>
      </w:r>
    </w:p>
    <w:p w14:paraId="04D431FC" w14:textId="41D5AB5C" w:rsidR="00014D82" w:rsidRPr="008E4844" w:rsidRDefault="007779D5" w:rsidP="00014D82">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International p</w:t>
      </w:r>
      <w:r w:rsidR="00014D82" w:rsidRPr="008E4844">
        <w:rPr>
          <w:rFonts w:ascii="Times New Roman" w:hAnsi="Times New Roman" w:cs="Times New Roman"/>
          <w:sz w:val="24"/>
          <w:szCs w:val="24"/>
        </w:rPr>
        <w:t>atient mobility is a complex phenomenon, involving both outward and inward flows, and treatments that are more and less complex and where choice may be driven by quality and availability rather than solely cost (Exworthy and Peckham 2006; Lunt et al</w:t>
      </w:r>
      <w:r w:rsidR="00BC5FEC" w:rsidRPr="008E4844">
        <w:rPr>
          <w:rFonts w:ascii="Times New Roman" w:hAnsi="Times New Roman" w:cs="Times New Roman"/>
          <w:sz w:val="24"/>
          <w:szCs w:val="24"/>
        </w:rPr>
        <w:t>.</w:t>
      </w:r>
      <w:r w:rsidR="00014D82" w:rsidRPr="008E4844">
        <w:rPr>
          <w:rFonts w:ascii="Times New Roman" w:hAnsi="Times New Roman" w:cs="Times New Roman"/>
          <w:sz w:val="24"/>
          <w:szCs w:val="24"/>
        </w:rPr>
        <w:t xml:space="preserve"> 2014).  </w:t>
      </w:r>
      <w:proofErr w:type="gramStart"/>
      <w:r w:rsidR="00014D82" w:rsidRPr="008E4844">
        <w:rPr>
          <w:rFonts w:ascii="Times New Roman" w:hAnsi="Times New Roman" w:cs="Times New Roman"/>
          <w:sz w:val="24"/>
          <w:szCs w:val="24"/>
        </w:rPr>
        <w:t>Public</w:t>
      </w:r>
      <w:r w:rsidR="003E08A4">
        <w:rPr>
          <w:rFonts w:ascii="Times New Roman" w:hAnsi="Times New Roman" w:cs="Times New Roman"/>
          <w:sz w:val="24"/>
          <w:szCs w:val="24"/>
        </w:rPr>
        <w:t>ly-funded</w:t>
      </w:r>
      <w:proofErr w:type="gramEnd"/>
      <w:r w:rsidR="00014D82" w:rsidRPr="008E4844">
        <w:rPr>
          <w:rFonts w:ascii="Times New Roman" w:hAnsi="Times New Roman" w:cs="Times New Roman"/>
          <w:sz w:val="24"/>
          <w:szCs w:val="24"/>
        </w:rPr>
        <w:t xml:space="preserve"> health</w:t>
      </w:r>
      <w:r w:rsidR="003E08A4">
        <w:rPr>
          <w:rFonts w:ascii="Times New Roman" w:hAnsi="Times New Roman" w:cs="Times New Roman"/>
          <w:sz w:val="24"/>
          <w:szCs w:val="24"/>
        </w:rPr>
        <w:t xml:space="preserve"> care</w:t>
      </w:r>
      <w:r w:rsidR="00014D82" w:rsidRPr="008E4844">
        <w:rPr>
          <w:rFonts w:ascii="Times New Roman" w:hAnsi="Times New Roman" w:cs="Times New Roman"/>
          <w:sz w:val="24"/>
          <w:szCs w:val="24"/>
        </w:rPr>
        <w:t xml:space="preserve"> systems in high- and middle-income countries are facing increasing financial pressures given population ageing, a rapid rise in chronic and non-communicable diseases and fiscal restraint. In this context, the intersection of patient mobility and commodification of care provides opportunities for generating additional revenue, particularly for hospitals with a reputation for clinical excellence and innovation.</w:t>
      </w:r>
      <w:r w:rsidR="00F101DE">
        <w:rPr>
          <w:rFonts w:ascii="Times New Roman" w:hAnsi="Times New Roman" w:cs="Times New Roman"/>
          <w:sz w:val="24"/>
          <w:szCs w:val="24"/>
        </w:rPr>
        <w:t xml:space="preserve">  </w:t>
      </w:r>
      <w:r w:rsidR="00F101DE" w:rsidRPr="00F101DE">
        <w:rPr>
          <w:rFonts w:ascii="Times New Roman" w:hAnsi="Times New Roman" w:cs="Times New Roman"/>
          <w:sz w:val="24"/>
          <w:szCs w:val="24"/>
        </w:rPr>
        <w:t>Outward medical travel from the UK generates media and professional interest, notably around the complications, risks and lack of information (Davis 2024; MacPhee 2024).</w:t>
      </w:r>
      <w:r w:rsidR="00F101DE">
        <w:rPr>
          <w:rFonts w:ascii="Times New Roman" w:hAnsi="Times New Roman" w:cs="Times New Roman"/>
          <w:sz w:val="24"/>
          <w:szCs w:val="24"/>
        </w:rPr>
        <w:t xml:space="preserve">  However, there has been relatively little academic focus on patient flows into the UK for treatment by private and public providers. </w:t>
      </w:r>
    </w:p>
    <w:p w14:paraId="632DECAA" w14:textId="5BDA2181" w:rsidR="00014D82" w:rsidRPr="008E4844" w:rsidRDefault="009942D6"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The National Health Service (NHS) is often seen as an iconic public service in the UK, </w:t>
      </w:r>
      <w:r w:rsidR="001C1128" w:rsidRPr="008E4844">
        <w:rPr>
          <w:rFonts w:ascii="Times New Roman" w:hAnsi="Times New Roman" w:cs="Times New Roman"/>
          <w:sz w:val="24"/>
          <w:szCs w:val="24"/>
        </w:rPr>
        <w:t>with</w:t>
      </w:r>
      <w:r w:rsidRPr="008E4844">
        <w:rPr>
          <w:rFonts w:ascii="Times New Roman" w:hAnsi="Times New Roman" w:cs="Times New Roman"/>
          <w:sz w:val="24"/>
          <w:szCs w:val="24"/>
        </w:rPr>
        <w:t xml:space="preserve"> </w:t>
      </w:r>
      <w:r w:rsidR="00EC6377" w:rsidRPr="008E4844">
        <w:rPr>
          <w:rFonts w:ascii="Times New Roman" w:hAnsi="Times New Roman" w:cs="Times New Roman"/>
          <w:sz w:val="24"/>
          <w:szCs w:val="24"/>
        </w:rPr>
        <w:t xml:space="preserve">primarily </w:t>
      </w:r>
      <w:r w:rsidRPr="008E4844">
        <w:rPr>
          <w:rFonts w:ascii="Times New Roman" w:hAnsi="Times New Roman" w:cs="Times New Roman"/>
          <w:sz w:val="24"/>
          <w:szCs w:val="24"/>
        </w:rPr>
        <w:t xml:space="preserve">state funding and state provision of services (Klein 2013). Over the past few decades, however, successive governments have introduced more market-style relations and commercialism in </w:t>
      </w:r>
      <w:r w:rsidR="00F32860" w:rsidRPr="008E4844">
        <w:rPr>
          <w:rFonts w:ascii="Times New Roman" w:hAnsi="Times New Roman" w:cs="Times New Roman"/>
          <w:sz w:val="24"/>
          <w:szCs w:val="24"/>
        </w:rPr>
        <w:t xml:space="preserve">the NHS under </w:t>
      </w:r>
      <w:r w:rsidRPr="008E4844">
        <w:rPr>
          <w:rFonts w:ascii="Times New Roman" w:hAnsi="Times New Roman" w:cs="Times New Roman"/>
          <w:sz w:val="24"/>
          <w:szCs w:val="24"/>
        </w:rPr>
        <w:t>new public management and more recently, public sector entrepreneurialism (Boyett 1996;</w:t>
      </w:r>
      <w:r w:rsidR="00C91BDA" w:rsidRPr="008E4844">
        <w:rPr>
          <w:rFonts w:ascii="Times New Roman" w:hAnsi="Times New Roman" w:cs="Times New Roman"/>
          <w:sz w:val="24"/>
          <w:szCs w:val="24"/>
        </w:rPr>
        <w:t xml:space="preserve"> Currie et al</w:t>
      </w:r>
      <w:r w:rsidR="00BC5FEC" w:rsidRPr="008E4844">
        <w:rPr>
          <w:rFonts w:ascii="Times New Roman" w:hAnsi="Times New Roman" w:cs="Times New Roman"/>
          <w:sz w:val="24"/>
          <w:szCs w:val="24"/>
        </w:rPr>
        <w:t>.</w:t>
      </w:r>
      <w:r w:rsidR="00C91BDA" w:rsidRPr="008E4844">
        <w:rPr>
          <w:rFonts w:ascii="Times New Roman" w:hAnsi="Times New Roman" w:cs="Times New Roman"/>
          <w:sz w:val="24"/>
          <w:szCs w:val="24"/>
        </w:rPr>
        <w:t xml:space="preserve"> 2008</w:t>
      </w:r>
      <w:r w:rsidRPr="008E4844">
        <w:rPr>
          <w:rFonts w:ascii="Times New Roman" w:hAnsi="Times New Roman" w:cs="Times New Roman"/>
          <w:sz w:val="24"/>
          <w:szCs w:val="24"/>
        </w:rPr>
        <w:t xml:space="preserve">). Commodification of health </w:t>
      </w:r>
      <w:r w:rsidR="00014D82" w:rsidRPr="008E4844">
        <w:rPr>
          <w:rFonts w:ascii="Times New Roman" w:hAnsi="Times New Roman" w:cs="Times New Roman"/>
          <w:sz w:val="24"/>
          <w:szCs w:val="24"/>
        </w:rPr>
        <w:t xml:space="preserve">care </w:t>
      </w:r>
      <w:r w:rsidRPr="008E4844">
        <w:rPr>
          <w:rFonts w:ascii="Times New Roman" w:hAnsi="Times New Roman" w:cs="Times New Roman"/>
          <w:sz w:val="24"/>
          <w:szCs w:val="24"/>
        </w:rPr>
        <w:t>involves objects that can be traded - private patients’ facilities, treatments for international patients and the development of joint ventures and trading entities.</w:t>
      </w:r>
      <w:r w:rsidR="00F222DE" w:rsidRPr="008E4844">
        <w:rPr>
          <w:rFonts w:ascii="Times New Roman" w:hAnsi="Times New Roman" w:cs="Times New Roman"/>
          <w:sz w:val="24"/>
          <w:szCs w:val="24"/>
        </w:rPr>
        <w:t xml:space="preserve">  Where</w:t>
      </w:r>
      <w:r w:rsidR="00EB2E06" w:rsidRPr="008E4844">
        <w:rPr>
          <w:rFonts w:ascii="Times New Roman" w:hAnsi="Times New Roman" w:cs="Times New Roman"/>
          <w:sz w:val="24"/>
          <w:szCs w:val="24"/>
        </w:rPr>
        <w:t>as</w:t>
      </w:r>
      <w:r w:rsidR="00F222DE" w:rsidRPr="008E4844">
        <w:rPr>
          <w:rFonts w:ascii="Times New Roman" w:hAnsi="Times New Roman" w:cs="Times New Roman"/>
          <w:sz w:val="24"/>
          <w:szCs w:val="24"/>
        </w:rPr>
        <w:t xml:space="preserve"> historical</w:t>
      </w:r>
      <w:r w:rsidR="00FD057A" w:rsidRPr="008E4844">
        <w:rPr>
          <w:rFonts w:ascii="Times New Roman" w:hAnsi="Times New Roman" w:cs="Times New Roman"/>
          <w:sz w:val="24"/>
          <w:szCs w:val="24"/>
        </w:rPr>
        <w:t>ly</w:t>
      </w:r>
      <w:r w:rsidR="00F222DE" w:rsidRPr="008E4844">
        <w:rPr>
          <w:rFonts w:ascii="Times New Roman" w:hAnsi="Times New Roman" w:cs="Times New Roman"/>
          <w:sz w:val="24"/>
          <w:szCs w:val="24"/>
        </w:rPr>
        <w:t xml:space="preserve"> </w:t>
      </w:r>
      <w:r w:rsidR="00FD057A" w:rsidRPr="008E4844">
        <w:rPr>
          <w:rFonts w:ascii="Times New Roman" w:hAnsi="Times New Roman" w:cs="Times New Roman"/>
          <w:sz w:val="24"/>
          <w:szCs w:val="24"/>
        </w:rPr>
        <w:t xml:space="preserve">there has been </w:t>
      </w:r>
      <w:r w:rsidR="00F222DE" w:rsidRPr="008E4844">
        <w:rPr>
          <w:rFonts w:ascii="Times New Roman" w:hAnsi="Times New Roman" w:cs="Times New Roman"/>
          <w:sz w:val="24"/>
          <w:szCs w:val="24"/>
        </w:rPr>
        <w:t>ambivalence</w:t>
      </w:r>
      <w:r w:rsidR="00FD057A" w:rsidRPr="008E4844">
        <w:rPr>
          <w:rFonts w:ascii="Times New Roman" w:hAnsi="Times New Roman" w:cs="Times New Roman"/>
          <w:sz w:val="24"/>
          <w:szCs w:val="24"/>
        </w:rPr>
        <w:t xml:space="preserve"> around </w:t>
      </w:r>
      <w:r w:rsidR="00F222DE" w:rsidRPr="008E4844">
        <w:rPr>
          <w:rFonts w:ascii="Times New Roman" w:hAnsi="Times New Roman" w:cs="Times New Roman"/>
          <w:sz w:val="24"/>
          <w:szCs w:val="24"/>
        </w:rPr>
        <w:t>private activity</w:t>
      </w:r>
      <w:r w:rsidR="00EB2E06" w:rsidRPr="008E4844">
        <w:rPr>
          <w:rFonts w:ascii="Times New Roman" w:hAnsi="Times New Roman" w:cs="Times New Roman"/>
          <w:sz w:val="24"/>
          <w:szCs w:val="24"/>
        </w:rPr>
        <w:t>,</w:t>
      </w:r>
      <w:r w:rsidR="00F222DE" w:rsidRPr="008E4844">
        <w:rPr>
          <w:rFonts w:ascii="Times New Roman" w:hAnsi="Times New Roman" w:cs="Times New Roman"/>
          <w:sz w:val="24"/>
          <w:szCs w:val="24"/>
        </w:rPr>
        <w:t xml:space="preserve"> international patients </w:t>
      </w:r>
      <w:r w:rsidR="00915A6B" w:rsidRPr="008E4844">
        <w:rPr>
          <w:rFonts w:ascii="Times New Roman" w:hAnsi="Times New Roman" w:cs="Times New Roman"/>
          <w:sz w:val="24"/>
          <w:szCs w:val="24"/>
        </w:rPr>
        <w:t xml:space="preserve">and joint ventures </w:t>
      </w:r>
      <w:r w:rsidR="00F222DE" w:rsidRPr="008E4844">
        <w:rPr>
          <w:rFonts w:ascii="Times New Roman" w:hAnsi="Times New Roman" w:cs="Times New Roman"/>
          <w:sz w:val="24"/>
          <w:szCs w:val="24"/>
        </w:rPr>
        <w:t xml:space="preserve">are </w:t>
      </w:r>
      <w:r w:rsidR="00EB2E06" w:rsidRPr="008E4844">
        <w:rPr>
          <w:rFonts w:ascii="Times New Roman" w:hAnsi="Times New Roman" w:cs="Times New Roman"/>
          <w:sz w:val="24"/>
          <w:szCs w:val="24"/>
        </w:rPr>
        <w:t>identified</w:t>
      </w:r>
      <w:r w:rsidR="00F222DE" w:rsidRPr="008E4844">
        <w:rPr>
          <w:rFonts w:ascii="Times New Roman" w:hAnsi="Times New Roman" w:cs="Times New Roman"/>
          <w:sz w:val="24"/>
          <w:szCs w:val="24"/>
        </w:rPr>
        <w:t xml:space="preserve"> as a possible route to lessening pressure on NHS resources</w:t>
      </w:r>
      <w:r w:rsidR="00157350" w:rsidRPr="008E4844">
        <w:rPr>
          <w:rFonts w:ascii="Times New Roman" w:hAnsi="Times New Roman" w:cs="Times New Roman"/>
          <w:sz w:val="24"/>
          <w:szCs w:val="24"/>
        </w:rPr>
        <w:t xml:space="preserve"> (NHS England 2019)</w:t>
      </w:r>
      <w:r w:rsidR="00F222DE" w:rsidRPr="008E4844">
        <w:rPr>
          <w:rFonts w:ascii="Times New Roman" w:hAnsi="Times New Roman" w:cs="Times New Roman"/>
          <w:sz w:val="24"/>
          <w:szCs w:val="24"/>
        </w:rPr>
        <w:t>.</w:t>
      </w:r>
      <w:r w:rsidR="00A56816" w:rsidRPr="008E4844">
        <w:rPr>
          <w:rFonts w:ascii="Times New Roman" w:hAnsi="Times New Roman" w:cs="Times New Roman"/>
          <w:sz w:val="24"/>
          <w:szCs w:val="24"/>
        </w:rPr>
        <w:t xml:space="preserve">  </w:t>
      </w:r>
    </w:p>
    <w:p w14:paraId="7B6CCE8D" w14:textId="3D1BB2C0" w:rsidR="00014D82" w:rsidRPr="008E4844" w:rsidRDefault="00014D82" w:rsidP="00014D82">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The receptive organisational and political context in the UK (and especially England) has fostered recent policy and economic developments that have accelerated commodification (Lunt et al</w:t>
      </w:r>
      <w:r w:rsidR="00BC5FEC" w:rsidRPr="008E4844">
        <w:rPr>
          <w:rFonts w:ascii="Times New Roman" w:hAnsi="Times New Roman" w:cs="Times New Roman"/>
          <w:sz w:val="24"/>
          <w:szCs w:val="24"/>
        </w:rPr>
        <w:t>.</w:t>
      </w:r>
      <w:r w:rsidRPr="008E4844">
        <w:rPr>
          <w:rFonts w:ascii="Times New Roman" w:hAnsi="Times New Roman" w:cs="Times New Roman"/>
          <w:sz w:val="24"/>
          <w:szCs w:val="24"/>
        </w:rPr>
        <w:t xml:space="preserve"> 2015). Commodification has become apparent across English NHS organisations, </w:t>
      </w:r>
      <w:r w:rsidRPr="008E4844">
        <w:rPr>
          <w:rFonts w:ascii="Times New Roman" w:hAnsi="Times New Roman" w:cs="Times New Roman"/>
          <w:sz w:val="24"/>
          <w:szCs w:val="24"/>
        </w:rPr>
        <w:lastRenderedPageBreak/>
        <w:t>especially in community health, mental health and specialist health care organisations</w:t>
      </w:r>
      <w:r w:rsidR="002D5185">
        <w:rPr>
          <w:rFonts w:ascii="Times New Roman" w:hAnsi="Times New Roman" w:cs="Times New Roman"/>
          <w:sz w:val="24"/>
          <w:szCs w:val="24"/>
        </w:rPr>
        <w:t xml:space="preserve"> (such as specialist or single specialty hospitals)</w:t>
      </w:r>
      <w:r w:rsidRPr="008E4844">
        <w:rPr>
          <w:rFonts w:ascii="Times New Roman" w:hAnsi="Times New Roman" w:cs="Times New Roman"/>
          <w:sz w:val="24"/>
          <w:szCs w:val="24"/>
        </w:rPr>
        <w:t xml:space="preserve">. Exworthy and Lafond (2020) calculated that 14.7% of the income of specialist health care organisations </w:t>
      </w:r>
      <w:r w:rsidR="008E4844" w:rsidRPr="008E4844">
        <w:rPr>
          <w:rFonts w:ascii="Times New Roman" w:hAnsi="Times New Roman" w:cs="Times New Roman"/>
          <w:sz w:val="24"/>
          <w:szCs w:val="24"/>
        </w:rPr>
        <w:t xml:space="preserve">such as children’s hospitals </w:t>
      </w:r>
      <w:r w:rsidRPr="008E4844">
        <w:rPr>
          <w:rFonts w:ascii="Times New Roman" w:hAnsi="Times New Roman" w:cs="Times New Roman"/>
          <w:sz w:val="24"/>
          <w:szCs w:val="24"/>
        </w:rPr>
        <w:t>were derived from non-NHS source</w:t>
      </w:r>
      <w:r w:rsidR="00437EA0">
        <w:rPr>
          <w:rFonts w:ascii="Times New Roman" w:hAnsi="Times New Roman" w:cs="Times New Roman"/>
          <w:sz w:val="24"/>
          <w:szCs w:val="24"/>
        </w:rPr>
        <w:t>s</w:t>
      </w:r>
      <w:r w:rsidRPr="008E4844">
        <w:rPr>
          <w:rFonts w:ascii="Times New Roman" w:hAnsi="Times New Roman" w:cs="Times New Roman"/>
          <w:sz w:val="24"/>
          <w:szCs w:val="24"/>
        </w:rPr>
        <w:t xml:space="preserve"> (20</w:t>
      </w:r>
      <w:r w:rsidR="00157350" w:rsidRPr="008E4844">
        <w:rPr>
          <w:rFonts w:ascii="Times New Roman" w:hAnsi="Times New Roman" w:cs="Times New Roman"/>
          <w:sz w:val="24"/>
          <w:szCs w:val="24"/>
        </w:rPr>
        <w:t>1</w:t>
      </w:r>
      <w:r w:rsidRPr="008E4844">
        <w:rPr>
          <w:rFonts w:ascii="Times New Roman" w:hAnsi="Times New Roman" w:cs="Times New Roman"/>
          <w:sz w:val="24"/>
          <w:szCs w:val="24"/>
        </w:rPr>
        <w:t xml:space="preserve">5-16), comprising income from private patients, training, research and development (among others). (This is above the NHS average of 9.2%). Such specialist organisations might be seen as exceptional category for commercial activities as they care for </w:t>
      </w:r>
      <w:r w:rsidR="002E4937">
        <w:rPr>
          <w:rFonts w:ascii="Times New Roman" w:hAnsi="Times New Roman" w:cs="Times New Roman"/>
          <w:sz w:val="24"/>
          <w:szCs w:val="24"/>
        </w:rPr>
        <w:t xml:space="preserve">distinct </w:t>
      </w:r>
      <w:r w:rsidRPr="008E4844">
        <w:rPr>
          <w:rFonts w:ascii="Times New Roman" w:hAnsi="Times New Roman" w:cs="Times New Roman"/>
          <w:sz w:val="24"/>
          <w:szCs w:val="24"/>
        </w:rPr>
        <w:t xml:space="preserve">patient groups and are unlike the traditional in-patient (adult) population of most NHS providers. However, their distinctiveness lies in their specialised treatments (often for rare conditions) and for groups (such as children) who are seen as especially vulnerable. </w:t>
      </w:r>
    </w:p>
    <w:p w14:paraId="719F89B7" w14:textId="6318EB1C" w:rsidR="008E4844" w:rsidRPr="008E4844" w:rsidRDefault="005529F2"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S</w:t>
      </w:r>
      <w:r w:rsidR="002674F6" w:rsidRPr="008E4844">
        <w:rPr>
          <w:rFonts w:ascii="Times New Roman" w:hAnsi="Times New Roman" w:cs="Times New Roman"/>
          <w:sz w:val="24"/>
          <w:szCs w:val="24"/>
        </w:rPr>
        <w:t xml:space="preserve">pecialist </w:t>
      </w:r>
      <w:r w:rsidRPr="008E4844">
        <w:rPr>
          <w:rFonts w:ascii="Times New Roman" w:hAnsi="Times New Roman" w:cs="Times New Roman"/>
          <w:sz w:val="24"/>
          <w:szCs w:val="24"/>
        </w:rPr>
        <w:t xml:space="preserve">NHS </w:t>
      </w:r>
      <w:r w:rsidR="002674F6" w:rsidRPr="008E4844">
        <w:rPr>
          <w:rFonts w:ascii="Times New Roman" w:hAnsi="Times New Roman" w:cs="Times New Roman"/>
          <w:sz w:val="24"/>
          <w:szCs w:val="24"/>
        </w:rPr>
        <w:t xml:space="preserve">hospitals </w:t>
      </w:r>
      <w:r w:rsidRPr="008E4844">
        <w:rPr>
          <w:rFonts w:ascii="Times New Roman" w:hAnsi="Times New Roman" w:cs="Times New Roman"/>
          <w:sz w:val="24"/>
          <w:szCs w:val="24"/>
        </w:rPr>
        <w:t>t</w:t>
      </w:r>
      <w:r w:rsidR="00915A6B" w:rsidRPr="008E4844">
        <w:rPr>
          <w:rFonts w:ascii="Times New Roman" w:hAnsi="Times New Roman" w:cs="Times New Roman"/>
          <w:sz w:val="24"/>
          <w:szCs w:val="24"/>
        </w:rPr>
        <w:t>r</w:t>
      </w:r>
      <w:r w:rsidRPr="008E4844">
        <w:rPr>
          <w:rFonts w:ascii="Times New Roman" w:hAnsi="Times New Roman" w:cs="Times New Roman"/>
          <w:sz w:val="24"/>
          <w:szCs w:val="24"/>
        </w:rPr>
        <w:t>eat</w:t>
      </w:r>
      <w:r w:rsidR="00B73897">
        <w:rPr>
          <w:rFonts w:ascii="Times New Roman" w:hAnsi="Times New Roman" w:cs="Times New Roman"/>
          <w:sz w:val="24"/>
          <w:szCs w:val="24"/>
        </w:rPr>
        <w:t>,</w:t>
      </w:r>
      <w:r w:rsidRPr="008E4844">
        <w:rPr>
          <w:rFonts w:ascii="Times New Roman" w:hAnsi="Times New Roman" w:cs="Times New Roman"/>
          <w:sz w:val="24"/>
          <w:szCs w:val="24"/>
        </w:rPr>
        <w:t xml:space="preserve"> </w:t>
      </w:r>
      <w:r w:rsidR="00B73897">
        <w:rPr>
          <w:rFonts w:ascii="Times New Roman" w:hAnsi="Times New Roman" w:cs="Times New Roman"/>
          <w:sz w:val="24"/>
          <w:szCs w:val="24"/>
        </w:rPr>
        <w:t xml:space="preserve">among others, </w:t>
      </w:r>
      <w:r w:rsidRPr="008E4844">
        <w:rPr>
          <w:rFonts w:ascii="Times New Roman" w:hAnsi="Times New Roman" w:cs="Times New Roman"/>
          <w:sz w:val="24"/>
          <w:szCs w:val="24"/>
        </w:rPr>
        <w:t>inward medical travellers</w:t>
      </w:r>
      <w:r w:rsidR="00B73897">
        <w:rPr>
          <w:rFonts w:ascii="Times New Roman" w:hAnsi="Times New Roman" w:cs="Times New Roman"/>
          <w:sz w:val="24"/>
          <w:szCs w:val="24"/>
        </w:rPr>
        <w:t xml:space="preserve"> </w:t>
      </w:r>
      <w:r w:rsidR="00EB137A" w:rsidRPr="008E4844">
        <w:rPr>
          <w:rFonts w:ascii="Times New Roman" w:hAnsi="Times New Roman" w:cs="Times New Roman"/>
          <w:sz w:val="24"/>
          <w:szCs w:val="24"/>
        </w:rPr>
        <w:t xml:space="preserve">with </w:t>
      </w:r>
      <w:r w:rsidR="006369D8" w:rsidRPr="008E4844">
        <w:rPr>
          <w:rFonts w:ascii="Times New Roman" w:hAnsi="Times New Roman" w:cs="Times New Roman"/>
          <w:sz w:val="24"/>
          <w:szCs w:val="24"/>
        </w:rPr>
        <w:t xml:space="preserve">complex tertiary procedures (including paediatrics, and heart surgery), </w:t>
      </w:r>
      <w:proofErr w:type="gramStart"/>
      <w:r w:rsidR="002D5185">
        <w:rPr>
          <w:rFonts w:ascii="Times New Roman" w:hAnsi="Times New Roman" w:cs="Times New Roman"/>
          <w:sz w:val="24"/>
          <w:szCs w:val="24"/>
        </w:rPr>
        <w:t xml:space="preserve">oncology, </w:t>
      </w:r>
      <w:r w:rsidR="006369D8" w:rsidRPr="008E4844">
        <w:rPr>
          <w:rFonts w:ascii="Times New Roman" w:hAnsi="Times New Roman" w:cs="Times New Roman"/>
          <w:sz w:val="24"/>
          <w:szCs w:val="24"/>
        </w:rPr>
        <w:t xml:space="preserve"> maternity</w:t>
      </w:r>
      <w:proofErr w:type="gramEnd"/>
      <w:r w:rsidR="006369D8" w:rsidRPr="008E4844">
        <w:rPr>
          <w:rFonts w:ascii="Times New Roman" w:hAnsi="Times New Roman" w:cs="Times New Roman"/>
          <w:sz w:val="24"/>
          <w:szCs w:val="24"/>
        </w:rPr>
        <w:t xml:space="preserve"> services and ophthalmic surgery.  Treatments are </w:t>
      </w:r>
      <w:r w:rsidR="000A175B" w:rsidRPr="008E4844">
        <w:rPr>
          <w:rFonts w:ascii="Times New Roman" w:hAnsi="Times New Roman" w:cs="Times New Roman"/>
          <w:sz w:val="24"/>
          <w:szCs w:val="24"/>
        </w:rPr>
        <w:t xml:space="preserve">also </w:t>
      </w:r>
      <w:r w:rsidR="006369D8" w:rsidRPr="008E4844">
        <w:rPr>
          <w:rFonts w:ascii="Times New Roman" w:hAnsi="Times New Roman" w:cs="Times New Roman"/>
          <w:sz w:val="24"/>
          <w:szCs w:val="24"/>
        </w:rPr>
        <w:t xml:space="preserve">outpatient admission, day surgery, as well as overnight stays and lengthier hospitalisation.  </w:t>
      </w:r>
      <w:r w:rsidR="00691881" w:rsidRPr="008E4844">
        <w:rPr>
          <w:rFonts w:ascii="Times New Roman" w:hAnsi="Times New Roman" w:cs="Times New Roman"/>
          <w:sz w:val="24"/>
          <w:szCs w:val="24"/>
        </w:rPr>
        <w:t>S</w:t>
      </w:r>
      <w:r w:rsidR="00810CF6" w:rsidRPr="008E4844">
        <w:rPr>
          <w:rFonts w:ascii="Times New Roman" w:hAnsi="Times New Roman" w:cs="Times New Roman"/>
          <w:sz w:val="24"/>
          <w:szCs w:val="24"/>
        </w:rPr>
        <w:t xml:space="preserve">pecialist </w:t>
      </w:r>
      <w:r w:rsidR="006369D8" w:rsidRPr="008E4844">
        <w:rPr>
          <w:rFonts w:ascii="Times New Roman" w:hAnsi="Times New Roman" w:cs="Times New Roman"/>
          <w:sz w:val="24"/>
          <w:szCs w:val="24"/>
        </w:rPr>
        <w:t>children’s</w:t>
      </w:r>
      <w:r w:rsidR="00A267ED" w:rsidRPr="008E4844">
        <w:rPr>
          <w:rFonts w:ascii="Times New Roman" w:hAnsi="Times New Roman" w:cs="Times New Roman"/>
          <w:sz w:val="24"/>
          <w:szCs w:val="24"/>
        </w:rPr>
        <w:t xml:space="preserve"> hospitals</w:t>
      </w:r>
      <w:r w:rsidR="00281EDA" w:rsidRPr="008E4844">
        <w:rPr>
          <w:rFonts w:ascii="Times New Roman" w:hAnsi="Times New Roman" w:cs="Times New Roman"/>
          <w:sz w:val="24"/>
          <w:szCs w:val="24"/>
        </w:rPr>
        <w:t xml:space="preserve"> </w:t>
      </w:r>
      <w:r w:rsidR="00691881" w:rsidRPr="008E4844">
        <w:rPr>
          <w:rFonts w:ascii="Times New Roman" w:hAnsi="Times New Roman" w:cs="Times New Roman"/>
          <w:sz w:val="24"/>
          <w:szCs w:val="24"/>
        </w:rPr>
        <w:t xml:space="preserve">globally </w:t>
      </w:r>
      <w:r w:rsidR="00377D6C" w:rsidRPr="008E4844">
        <w:rPr>
          <w:rFonts w:ascii="Times New Roman" w:hAnsi="Times New Roman" w:cs="Times New Roman"/>
          <w:sz w:val="24"/>
          <w:szCs w:val="24"/>
        </w:rPr>
        <w:t>(</w:t>
      </w:r>
      <w:r w:rsidR="006A1A2A" w:rsidRPr="008E4844">
        <w:rPr>
          <w:rFonts w:ascii="Times New Roman" w:hAnsi="Times New Roman" w:cs="Times New Roman"/>
          <w:sz w:val="24"/>
          <w:szCs w:val="24"/>
        </w:rPr>
        <w:t xml:space="preserve">including those in </w:t>
      </w:r>
      <w:r w:rsidR="00377D6C" w:rsidRPr="008E4844">
        <w:rPr>
          <w:rFonts w:ascii="Times New Roman" w:hAnsi="Times New Roman" w:cs="Times New Roman"/>
          <w:sz w:val="24"/>
          <w:szCs w:val="24"/>
        </w:rPr>
        <w:t xml:space="preserve">North America, </w:t>
      </w:r>
      <w:r w:rsidR="006A1A2A" w:rsidRPr="008E4844">
        <w:rPr>
          <w:rFonts w:ascii="Times New Roman" w:hAnsi="Times New Roman" w:cs="Times New Roman"/>
          <w:sz w:val="24"/>
          <w:szCs w:val="24"/>
        </w:rPr>
        <w:t xml:space="preserve">Europe, </w:t>
      </w:r>
      <w:r w:rsidR="00534B72" w:rsidRPr="008E4844">
        <w:rPr>
          <w:rFonts w:ascii="Times New Roman" w:hAnsi="Times New Roman" w:cs="Times New Roman"/>
          <w:sz w:val="24"/>
          <w:szCs w:val="24"/>
        </w:rPr>
        <w:t xml:space="preserve">and </w:t>
      </w:r>
      <w:r w:rsidR="00377D6C" w:rsidRPr="008E4844">
        <w:rPr>
          <w:rFonts w:ascii="Times New Roman" w:hAnsi="Times New Roman" w:cs="Times New Roman"/>
          <w:sz w:val="24"/>
          <w:szCs w:val="24"/>
        </w:rPr>
        <w:t xml:space="preserve">Australia) </w:t>
      </w:r>
      <w:r w:rsidR="00014D82" w:rsidRPr="008E4844">
        <w:rPr>
          <w:rFonts w:ascii="Times New Roman" w:hAnsi="Times New Roman" w:cs="Times New Roman"/>
          <w:sz w:val="24"/>
          <w:szCs w:val="24"/>
        </w:rPr>
        <w:t xml:space="preserve">often treat patients from outside their jurisdictions; this is no different for some specialist NHS providers. Indeed, notwithstanding the complexity of international mobility for child patients, the willingness (of parents or guardians) to travel for children’s health care is much higher than other, adult patients (Exworthy and Peckham 2006).  </w:t>
      </w:r>
    </w:p>
    <w:p w14:paraId="7D60C2A5" w14:textId="24002A87" w:rsidR="00335896" w:rsidRPr="008E4844" w:rsidRDefault="00014D82"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In this paper, we present documentary research on the case-study of Great Ormond Street Hospital (GOSH), a specialist NHS children’s hospital in London which has a tradition of treating patients travelling from outside the UK.  </w:t>
      </w:r>
      <w:r w:rsidR="00534B72" w:rsidRPr="008E4844">
        <w:rPr>
          <w:rFonts w:ascii="Times New Roman" w:hAnsi="Times New Roman" w:cs="Times New Roman"/>
          <w:sz w:val="24"/>
          <w:szCs w:val="24"/>
        </w:rPr>
        <w:t xml:space="preserve">We review the practices around commercialisation in relation to </w:t>
      </w:r>
      <w:r w:rsidR="008E4844" w:rsidRPr="008E4844">
        <w:rPr>
          <w:rFonts w:ascii="Times New Roman" w:hAnsi="Times New Roman" w:cs="Times New Roman"/>
          <w:sz w:val="24"/>
          <w:szCs w:val="24"/>
        </w:rPr>
        <w:t>children’s</w:t>
      </w:r>
      <w:r w:rsidR="00534B72" w:rsidRPr="008E4844">
        <w:rPr>
          <w:rFonts w:ascii="Times New Roman" w:hAnsi="Times New Roman" w:cs="Times New Roman"/>
          <w:sz w:val="24"/>
          <w:szCs w:val="24"/>
        </w:rPr>
        <w:t xml:space="preserve"> services</w:t>
      </w:r>
      <w:r w:rsidR="008E4844" w:rsidRPr="008E4844">
        <w:rPr>
          <w:rFonts w:ascii="Times New Roman" w:hAnsi="Times New Roman" w:cs="Times New Roman"/>
          <w:sz w:val="24"/>
          <w:szCs w:val="24"/>
        </w:rPr>
        <w:t xml:space="preserve"> to offer a novel analysis on specialist children’s services and </w:t>
      </w:r>
      <w:r w:rsidR="00437EA0">
        <w:rPr>
          <w:rFonts w:ascii="Times New Roman" w:hAnsi="Times New Roman" w:cs="Times New Roman"/>
          <w:sz w:val="24"/>
          <w:szCs w:val="24"/>
        </w:rPr>
        <w:t xml:space="preserve">expand </w:t>
      </w:r>
      <w:r w:rsidR="008E4844" w:rsidRPr="008E4844">
        <w:rPr>
          <w:rFonts w:ascii="Times New Roman" w:hAnsi="Times New Roman" w:cs="Times New Roman"/>
          <w:sz w:val="24"/>
          <w:szCs w:val="24"/>
        </w:rPr>
        <w:t xml:space="preserve">academic and policy debates around commercialisation in public health systems. </w:t>
      </w:r>
      <w:r w:rsidR="00157350" w:rsidRPr="008E4844">
        <w:rPr>
          <w:rFonts w:ascii="Times New Roman" w:hAnsi="Times New Roman" w:cs="Times New Roman"/>
          <w:sz w:val="24"/>
          <w:szCs w:val="24"/>
        </w:rPr>
        <w:t xml:space="preserve"> </w:t>
      </w:r>
      <w:r w:rsidR="00C7767C" w:rsidRPr="008E4844">
        <w:rPr>
          <w:rFonts w:ascii="Times New Roman" w:hAnsi="Times New Roman" w:cs="Times New Roman"/>
          <w:sz w:val="24"/>
          <w:szCs w:val="24"/>
        </w:rPr>
        <w:t>The paper is organised as follows. First, we describe the health policy context in England which has shaped the transition in the NHS</w:t>
      </w:r>
      <w:r w:rsidR="00A267ED" w:rsidRPr="008E4844">
        <w:rPr>
          <w:rFonts w:ascii="Times New Roman" w:hAnsi="Times New Roman" w:cs="Times New Roman"/>
          <w:sz w:val="24"/>
          <w:szCs w:val="24"/>
        </w:rPr>
        <w:t xml:space="preserve"> to greater commercialisation and commodification</w:t>
      </w:r>
      <w:r w:rsidR="00C7767C" w:rsidRPr="008E4844">
        <w:rPr>
          <w:rFonts w:ascii="Times New Roman" w:hAnsi="Times New Roman" w:cs="Times New Roman"/>
          <w:sz w:val="24"/>
          <w:szCs w:val="24"/>
        </w:rPr>
        <w:t xml:space="preserve">.  </w:t>
      </w:r>
      <w:r w:rsidR="00F07E8B" w:rsidRPr="008E4844">
        <w:rPr>
          <w:rFonts w:ascii="Times New Roman" w:hAnsi="Times New Roman" w:cs="Times New Roman"/>
          <w:sz w:val="24"/>
          <w:szCs w:val="24"/>
        </w:rPr>
        <w:t>Second</w:t>
      </w:r>
      <w:r w:rsidR="00C7767C" w:rsidRPr="008E4844">
        <w:rPr>
          <w:rFonts w:ascii="Times New Roman" w:hAnsi="Times New Roman" w:cs="Times New Roman"/>
          <w:sz w:val="24"/>
          <w:szCs w:val="24"/>
        </w:rPr>
        <w:t>, we focus our analysis o</w:t>
      </w:r>
      <w:r w:rsidR="00534B72" w:rsidRPr="008E4844">
        <w:rPr>
          <w:rFonts w:ascii="Times New Roman" w:hAnsi="Times New Roman" w:cs="Times New Roman"/>
          <w:sz w:val="24"/>
          <w:szCs w:val="24"/>
        </w:rPr>
        <w:t>n</w:t>
      </w:r>
      <w:r w:rsidR="00C7767C" w:rsidRPr="008E4844">
        <w:rPr>
          <w:rFonts w:ascii="Times New Roman" w:hAnsi="Times New Roman" w:cs="Times New Roman"/>
          <w:sz w:val="24"/>
          <w:szCs w:val="24"/>
        </w:rPr>
        <w:t xml:space="preserve"> the commercial </w:t>
      </w:r>
      <w:r w:rsidR="00DE299E" w:rsidRPr="008E4844">
        <w:rPr>
          <w:rFonts w:ascii="Times New Roman" w:hAnsi="Times New Roman" w:cs="Times New Roman"/>
          <w:sz w:val="24"/>
          <w:szCs w:val="24"/>
        </w:rPr>
        <w:t xml:space="preserve">activity </w:t>
      </w:r>
      <w:r w:rsidR="00C7767C" w:rsidRPr="008E4844">
        <w:rPr>
          <w:rFonts w:ascii="Times New Roman" w:hAnsi="Times New Roman" w:cs="Times New Roman"/>
          <w:sz w:val="24"/>
          <w:szCs w:val="24"/>
        </w:rPr>
        <w:t xml:space="preserve">of </w:t>
      </w:r>
      <w:r w:rsidR="00DE299E" w:rsidRPr="008E4844">
        <w:rPr>
          <w:rFonts w:ascii="Times New Roman" w:hAnsi="Times New Roman" w:cs="Times New Roman"/>
          <w:sz w:val="24"/>
          <w:szCs w:val="24"/>
        </w:rPr>
        <w:t xml:space="preserve">GOSH </w:t>
      </w:r>
      <w:r w:rsidR="00C7767C" w:rsidRPr="008E4844">
        <w:rPr>
          <w:rFonts w:ascii="Times New Roman" w:hAnsi="Times New Roman" w:cs="Times New Roman"/>
          <w:sz w:val="24"/>
          <w:szCs w:val="24"/>
        </w:rPr>
        <w:t>us</w:t>
      </w:r>
      <w:r w:rsidR="00A267ED" w:rsidRPr="008E4844">
        <w:rPr>
          <w:rFonts w:ascii="Times New Roman" w:hAnsi="Times New Roman" w:cs="Times New Roman"/>
          <w:sz w:val="24"/>
          <w:szCs w:val="24"/>
        </w:rPr>
        <w:t>ing</w:t>
      </w:r>
      <w:r w:rsidR="00C7767C" w:rsidRPr="008E4844">
        <w:rPr>
          <w:rFonts w:ascii="Times New Roman" w:hAnsi="Times New Roman" w:cs="Times New Roman"/>
          <w:sz w:val="24"/>
          <w:szCs w:val="24"/>
        </w:rPr>
        <w:t xml:space="preserve"> their documentation to demonstrate the extent of recent and planned changes. Finally, we consider this empirical evidence in the light of </w:t>
      </w:r>
      <w:r w:rsidR="002D7C16" w:rsidRPr="008E4844">
        <w:rPr>
          <w:rFonts w:ascii="Times New Roman" w:hAnsi="Times New Roman" w:cs="Times New Roman"/>
          <w:sz w:val="24"/>
          <w:szCs w:val="24"/>
        </w:rPr>
        <w:t xml:space="preserve">pressure on the NHS and </w:t>
      </w:r>
      <w:r w:rsidR="00C7767C" w:rsidRPr="008E4844">
        <w:rPr>
          <w:rFonts w:ascii="Times New Roman" w:hAnsi="Times New Roman" w:cs="Times New Roman"/>
          <w:sz w:val="24"/>
          <w:szCs w:val="24"/>
        </w:rPr>
        <w:t>debates about the extent and direction of entrepreneurialism in the NHS</w:t>
      </w:r>
      <w:r w:rsidR="002D7C16" w:rsidRPr="008E4844">
        <w:rPr>
          <w:rFonts w:ascii="Times New Roman" w:hAnsi="Times New Roman" w:cs="Times New Roman"/>
          <w:sz w:val="24"/>
          <w:szCs w:val="24"/>
        </w:rPr>
        <w:t xml:space="preserve"> and implications for public services.</w:t>
      </w:r>
      <w:r w:rsidR="00794A7F" w:rsidRPr="008E4844">
        <w:rPr>
          <w:rFonts w:ascii="Times New Roman" w:hAnsi="Times New Roman" w:cs="Times New Roman"/>
          <w:sz w:val="24"/>
          <w:szCs w:val="24"/>
        </w:rPr>
        <w:t xml:space="preserve">  </w:t>
      </w:r>
      <w:r w:rsidR="002D7C16" w:rsidRPr="008E4844">
        <w:rPr>
          <w:rFonts w:ascii="Times New Roman" w:hAnsi="Times New Roman" w:cs="Times New Roman"/>
          <w:sz w:val="24"/>
          <w:szCs w:val="24"/>
        </w:rPr>
        <w:t xml:space="preserve">  </w:t>
      </w:r>
    </w:p>
    <w:p w14:paraId="2D8B6F25" w14:textId="77777777" w:rsidR="00014D82" w:rsidRPr="008E4844" w:rsidRDefault="00014D82" w:rsidP="00615E9D">
      <w:pPr>
        <w:spacing w:before="100" w:beforeAutospacing="1" w:after="100" w:afterAutospacing="1" w:line="360" w:lineRule="auto"/>
        <w:rPr>
          <w:rFonts w:ascii="Times New Roman" w:hAnsi="Times New Roman" w:cs="Times New Roman"/>
          <w:sz w:val="24"/>
          <w:szCs w:val="24"/>
        </w:rPr>
      </w:pPr>
    </w:p>
    <w:p w14:paraId="04183559" w14:textId="5D1559AA" w:rsidR="00335896" w:rsidRPr="008E4844" w:rsidRDefault="00844A35" w:rsidP="00615E9D">
      <w:pPr>
        <w:spacing w:before="100" w:beforeAutospacing="1" w:after="100" w:afterAutospacing="1" w:line="360" w:lineRule="auto"/>
        <w:rPr>
          <w:rFonts w:ascii="Times New Roman" w:hAnsi="Times New Roman" w:cs="Times New Roman"/>
          <w:b/>
          <w:sz w:val="24"/>
          <w:szCs w:val="24"/>
        </w:rPr>
      </w:pPr>
      <w:r w:rsidRPr="008E4844">
        <w:rPr>
          <w:rFonts w:ascii="Times New Roman" w:hAnsi="Times New Roman" w:cs="Times New Roman"/>
          <w:b/>
          <w:sz w:val="24"/>
          <w:szCs w:val="24"/>
        </w:rPr>
        <w:lastRenderedPageBreak/>
        <w:t>International patient activity past and present</w:t>
      </w:r>
    </w:p>
    <w:p w14:paraId="29AB8BC9" w14:textId="02962420" w:rsidR="00E157EB" w:rsidRPr="008E4844" w:rsidRDefault="00014D82"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Despite the ambiguous place of private activity in the NHS historically, there has been significant international patient treatment within the public health ecosystem, and this accelerated after the 1970s </w:t>
      </w:r>
      <w:r w:rsidR="00437EA0" w:rsidRPr="008E4844">
        <w:rPr>
          <w:rFonts w:ascii="Times New Roman" w:hAnsi="Times New Roman" w:cs="Times New Roman"/>
          <w:sz w:val="24"/>
          <w:szCs w:val="24"/>
        </w:rPr>
        <w:t>because of</w:t>
      </w:r>
      <w:r w:rsidRPr="008E4844">
        <w:rPr>
          <w:rFonts w:ascii="Times New Roman" w:hAnsi="Times New Roman" w:cs="Times New Roman"/>
          <w:sz w:val="24"/>
          <w:szCs w:val="24"/>
        </w:rPr>
        <w:t xml:space="preserve"> increased Gulf state wealth. The Kuwait embassy in the UK supported up to </w:t>
      </w:r>
      <w:r w:rsidR="00B76300" w:rsidRPr="008E4844">
        <w:rPr>
          <w:rFonts w:ascii="Times New Roman" w:hAnsi="Times New Roman" w:cs="Times New Roman"/>
          <w:sz w:val="24"/>
          <w:szCs w:val="24"/>
        </w:rPr>
        <w:t>1000 patients annually</w:t>
      </w:r>
      <w:r w:rsidR="00A7294A" w:rsidRPr="008E4844">
        <w:rPr>
          <w:rFonts w:ascii="Times New Roman" w:hAnsi="Times New Roman" w:cs="Times New Roman"/>
          <w:sz w:val="24"/>
          <w:szCs w:val="24"/>
        </w:rPr>
        <w:t xml:space="preserve">, whilst </w:t>
      </w:r>
      <w:r w:rsidR="00B76300" w:rsidRPr="008E4844">
        <w:rPr>
          <w:rFonts w:ascii="Times New Roman" w:hAnsi="Times New Roman" w:cs="Times New Roman"/>
          <w:sz w:val="24"/>
          <w:szCs w:val="24"/>
        </w:rPr>
        <w:t xml:space="preserve">2000 </w:t>
      </w:r>
      <w:r w:rsidR="00E91064" w:rsidRPr="008E4844">
        <w:rPr>
          <w:rFonts w:ascii="Times New Roman" w:hAnsi="Times New Roman" w:cs="Times New Roman"/>
          <w:sz w:val="24"/>
          <w:szCs w:val="24"/>
        </w:rPr>
        <w:t xml:space="preserve">Qatari </w:t>
      </w:r>
      <w:r w:rsidR="00B76300" w:rsidRPr="008E4844">
        <w:rPr>
          <w:rFonts w:ascii="Times New Roman" w:hAnsi="Times New Roman" w:cs="Times New Roman"/>
          <w:sz w:val="24"/>
          <w:szCs w:val="24"/>
        </w:rPr>
        <w:t xml:space="preserve">patients </w:t>
      </w:r>
      <w:r w:rsidR="00E91064" w:rsidRPr="008E4844">
        <w:rPr>
          <w:rFonts w:ascii="Times New Roman" w:hAnsi="Times New Roman" w:cs="Times New Roman"/>
          <w:sz w:val="24"/>
          <w:szCs w:val="24"/>
        </w:rPr>
        <w:t xml:space="preserve">were treated </w:t>
      </w:r>
      <w:r w:rsidR="00B76300" w:rsidRPr="008E4844">
        <w:rPr>
          <w:rFonts w:ascii="Times New Roman" w:hAnsi="Times New Roman" w:cs="Times New Roman"/>
          <w:sz w:val="24"/>
          <w:szCs w:val="24"/>
        </w:rPr>
        <w:t xml:space="preserve">each year </w:t>
      </w:r>
      <w:r w:rsidR="00E91064" w:rsidRPr="008E4844">
        <w:rPr>
          <w:rFonts w:ascii="Times New Roman" w:hAnsi="Times New Roman" w:cs="Times New Roman"/>
          <w:sz w:val="24"/>
          <w:szCs w:val="24"/>
        </w:rPr>
        <w:t xml:space="preserve">in </w:t>
      </w:r>
      <w:r w:rsidR="00B76300" w:rsidRPr="008E4844">
        <w:rPr>
          <w:rFonts w:ascii="Times New Roman" w:hAnsi="Times New Roman" w:cs="Times New Roman"/>
          <w:sz w:val="24"/>
          <w:szCs w:val="24"/>
        </w:rPr>
        <w:t xml:space="preserve">the UK (Raynor 1986).  The 1980s saw competition among Britain, France and Germany for </w:t>
      </w:r>
      <w:r w:rsidR="00B4748A" w:rsidRPr="008E4844">
        <w:rPr>
          <w:rFonts w:ascii="Times New Roman" w:hAnsi="Times New Roman" w:cs="Times New Roman"/>
          <w:sz w:val="24"/>
          <w:szCs w:val="24"/>
        </w:rPr>
        <w:t xml:space="preserve">these </w:t>
      </w:r>
      <w:r w:rsidR="00437EA0" w:rsidRPr="008E4844">
        <w:rPr>
          <w:rFonts w:ascii="Times New Roman" w:hAnsi="Times New Roman" w:cs="Times New Roman"/>
          <w:sz w:val="24"/>
          <w:szCs w:val="24"/>
        </w:rPr>
        <w:t>Middle Eastern</w:t>
      </w:r>
      <w:r w:rsidR="005E2006" w:rsidRPr="008E4844">
        <w:rPr>
          <w:rFonts w:ascii="Times New Roman" w:hAnsi="Times New Roman" w:cs="Times New Roman"/>
          <w:sz w:val="24"/>
          <w:szCs w:val="24"/>
        </w:rPr>
        <w:t xml:space="preserve"> patients</w:t>
      </w:r>
      <w:r w:rsidR="00B76300" w:rsidRPr="008E4844">
        <w:rPr>
          <w:rFonts w:ascii="Times New Roman" w:hAnsi="Times New Roman" w:cs="Times New Roman"/>
          <w:sz w:val="24"/>
          <w:szCs w:val="24"/>
        </w:rPr>
        <w:t xml:space="preserve"> (</w:t>
      </w:r>
      <w:r w:rsidR="0020151E" w:rsidRPr="008E4844">
        <w:rPr>
          <w:rFonts w:ascii="Times New Roman" w:hAnsi="Times New Roman" w:cs="Times New Roman"/>
          <w:sz w:val="24"/>
          <w:szCs w:val="24"/>
        </w:rPr>
        <w:t>Anon</w:t>
      </w:r>
      <w:r w:rsidR="00B76300" w:rsidRPr="008E4844">
        <w:rPr>
          <w:rFonts w:ascii="Times New Roman" w:hAnsi="Times New Roman" w:cs="Times New Roman"/>
          <w:sz w:val="24"/>
          <w:szCs w:val="24"/>
        </w:rPr>
        <w:t xml:space="preserve"> 1991)</w:t>
      </w:r>
      <w:r w:rsidR="00B4748A" w:rsidRPr="008E4844">
        <w:rPr>
          <w:rFonts w:ascii="Times New Roman" w:hAnsi="Times New Roman" w:cs="Times New Roman"/>
          <w:sz w:val="24"/>
          <w:szCs w:val="24"/>
        </w:rPr>
        <w:t xml:space="preserve">, and </w:t>
      </w:r>
      <w:r w:rsidR="00E91064" w:rsidRPr="008E4844">
        <w:rPr>
          <w:rFonts w:ascii="Times New Roman" w:hAnsi="Times New Roman" w:cs="Times New Roman"/>
          <w:sz w:val="24"/>
          <w:szCs w:val="24"/>
        </w:rPr>
        <w:t xml:space="preserve">this intensified </w:t>
      </w:r>
      <w:r w:rsidR="00B76300" w:rsidRPr="008E4844">
        <w:rPr>
          <w:rFonts w:ascii="Times New Roman" w:hAnsi="Times New Roman" w:cs="Times New Roman"/>
          <w:sz w:val="24"/>
          <w:szCs w:val="24"/>
        </w:rPr>
        <w:t xml:space="preserve">during economic downturns </w:t>
      </w:r>
      <w:r w:rsidR="001F3EED" w:rsidRPr="008E4844">
        <w:rPr>
          <w:rFonts w:ascii="Times New Roman" w:hAnsi="Times New Roman" w:cs="Times New Roman"/>
          <w:sz w:val="24"/>
          <w:szCs w:val="24"/>
        </w:rPr>
        <w:t>from the late</w:t>
      </w:r>
      <w:r w:rsidR="006808DA" w:rsidRPr="008E4844">
        <w:rPr>
          <w:rFonts w:ascii="Times New Roman" w:hAnsi="Times New Roman" w:cs="Times New Roman"/>
          <w:sz w:val="24"/>
          <w:szCs w:val="24"/>
        </w:rPr>
        <w:t xml:space="preserve"> </w:t>
      </w:r>
      <w:r w:rsidR="00B76300" w:rsidRPr="008E4844">
        <w:rPr>
          <w:rFonts w:ascii="Times New Roman" w:hAnsi="Times New Roman" w:cs="Times New Roman"/>
          <w:sz w:val="24"/>
          <w:szCs w:val="24"/>
        </w:rPr>
        <w:t xml:space="preserve">1980s </w:t>
      </w:r>
      <w:r w:rsidR="006808DA" w:rsidRPr="008E4844">
        <w:rPr>
          <w:rFonts w:ascii="Times New Roman" w:hAnsi="Times New Roman" w:cs="Times New Roman"/>
          <w:sz w:val="24"/>
          <w:szCs w:val="24"/>
        </w:rPr>
        <w:t xml:space="preserve">with domestic </w:t>
      </w:r>
      <w:r w:rsidR="00B76300" w:rsidRPr="008E4844">
        <w:rPr>
          <w:rFonts w:ascii="Times New Roman" w:hAnsi="Times New Roman" w:cs="Times New Roman"/>
          <w:sz w:val="24"/>
          <w:szCs w:val="24"/>
        </w:rPr>
        <w:t xml:space="preserve">private activity squeezed and </w:t>
      </w:r>
      <w:r w:rsidR="0098166D" w:rsidRPr="008E4844">
        <w:rPr>
          <w:rFonts w:ascii="Times New Roman" w:hAnsi="Times New Roman" w:cs="Times New Roman"/>
          <w:sz w:val="24"/>
          <w:szCs w:val="24"/>
        </w:rPr>
        <w:t xml:space="preserve">the </w:t>
      </w:r>
      <w:r w:rsidR="00B76300" w:rsidRPr="008E4844">
        <w:rPr>
          <w:rFonts w:ascii="Times New Roman" w:hAnsi="Times New Roman" w:cs="Times New Roman"/>
          <w:sz w:val="24"/>
          <w:szCs w:val="24"/>
        </w:rPr>
        <w:t xml:space="preserve">public sector </w:t>
      </w:r>
      <w:r w:rsidR="00534B72" w:rsidRPr="008E4844">
        <w:rPr>
          <w:rFonts w:ascii="Times New Roman" w:hAnsi="Times New Roman" w:cs="Times New Roman"/>
          <w:sz w:val="24"/>
          <w:szCs w:val="24"/>
        </w:rPr>
        <w:t>undergoing significant</w:t>
      </w:r>
      <w:r w:rsidR="0098166D" w:rsidRPr="008E4844">
        <w:rPr>
          <w:rFonts w:ascii="Times New Roman" w:hAnsi="Times New Roman" w:cs="Times New Roman"/>
          <w:sz w:val="24"/>
          <w:szCs w:val="24"/>
        </w:rPr>
        <w:t xml:space="preserve"> </w:t>
      </w:r>
      <w:r w:rsidR="00B76300" w:rsidRPr="008E4844">
        <w:rPr>
          <w:rFonts w:ascii="Times New Roman" w:hAnsi="Times New Roman" w:cs="Times New Roman"/>
          <w:sz w:val="24"/>
          <w:szCs w:val="24"/>
        </w:rPr>
        <w:t xml:space="preserve">retrenchment.  </w:t>
      </w:r>
    </w:p>
    <w:p w14:paraId="228BD076" w14:textId="39800DE7" w:rsidR="009942D6" w:rsidRPr="008E4844" w:rsidRDefault="00602AF7"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Such </w:t>
      </w:r>
      <w:r w:rsidR="00335896" w:rsidRPr="008E4844">
        <w:rPr>
          <w:rFonts w:ascii="Times New Roman" w:hAnsi="Times New Roman" w:cs="Times New Roman"/>
          <w:sz w:val="24"/>
          <w:szCs w:val="24"/>
        </w:rPr>
        <w:t>international patients a</w:t>
      </w:r>
      <w:r w:rsidRPr="008E4844">
        <w:rPr>
          <w:rFonts w:ascii="Times New Roman" w:hAnsi="Times New Roman" w:cs="Times New Roman"/>
          <w:sz w:val="24"/>
          <w:szCs w:val="24"/>
        </w:rPr>
        <w:t>re treated a</w:t>
      </w:r>
      <w:r w:rsidR="00335896" w:rsidRPr="008E4844">
        <w:rPr>
          <w:rFonts w:ascii="Times New Roman" w:hAnsi="Times New Roman" w:cs="Times New Roman"/>
          <w:sz w:val="24"/>
          <w:szCs w:val="24"/>
        </w:rPr>
        <w:t>s booked and planned admissions within NHS facilities</w:t>
      </w:r>
      <w:r w:rsidR="00C02265" w:rsidRPr="008E4844">
        <w:rPr>
          <w:rFonts w:ascii="Times New Roman" w:hAnsi="Times New Roman" w:cs="Times New Roman"/>
          <w:sz w:val="24"/>
          <w:szCs w:val="24"/>
        </w:rPr>
        <w:t>,</w:t>
      </w:r>
      <w:r w:rsidR="00335896" w:rsidRPr="008E4844">
        <w:rPr>
          <w:rFonts w:ascii="Times New Roman" w:hAnsi="Times New Roman" w:cs="Times New Roman"/>
          <w:sz w:val="24"/>
          <w:szCs w:val="24"/>
        </w:rPr>
        <w:t xml:space="preserve"> </w:t>
      </w:r>
      <w:r w:rsidR="00157350" w:rsidRPr="008E4844">
        <w:rPr>
          <w:rFonts w:ascii="Times New Roman" w:hAnsi="Times New Roman" w:cs="Times New Roman"/>
          <w:sz w:val="24"/>
          <w:szCs w:val="24"/>
        </w:rPr>
        <w:t xml:space="preserve">primarily these are </w:t>
      </w:r>
      <w:r w:rsidR="00335896" w:rsidRPr="008E4844">
        <w:rPr>
          <w:rFonts w:ascii="Times New Roman" w:hAnsi="Times New Roman" w:cs="Times New Roman"/>
          <w:sz w:val="24"/>
          <w:szCs w:val="24"/>
        </w:rPr>
        <w:t xml:space="preserve">pre-paid or through </w:t>
      </w:r>
      <w:r w:rsidR="00822EAE" w:rsidRPr="008E4844">
        <w:rPr>
          <w:rFonts w:ascii="Times New Roman" w:hAnsi="Times New Roman" w:cs="Times New Roman"/>
          <w:sz w:val="24"/>
          <w:szCs w:val="24"/>
        </w:rPr>
        <w:t xml:space="preserve">Government </w:t>
      </w:r>
      <w:r w:rsidR="00335896" w:rsidRPr="008E4844">
        <w:rPr>
          <w:rFonts w:ascii="Times New Roman" w:hAnsi="Times New Roman" w:cs="Times New Roman"/>
          <w:sz w:val="24"/>
          <w:szCs w:val="24"/>
        </w:rPr>
        <w:t>or insurer</w:t>
      </w:r>
      <w:r w:rsidR="00014D82" w:rsidRPr="008E4844">
        <w:rPr>
          <w:rFonts w:ascii="Times New Roman" w:hAnsi="Times New Roman" w:cs="Times New Roman"/>
          <w:sz w:val="24"/>
          <w:szCs w:val="24"/>
        </w:rPr>
        <w:t>’s</w:t>
      </w:r>
      <w:r w:rsidR="00335896" w:rsidRPr="008E4844">
        <w:rPr>
          <w:rFonts w:ascii="Times New Roman" w:hAnsi="Times New Roman" w:cs="Times New Roman"/>
          <w:sz w:val="24"/>
          <w:szCs w:val="24"/>
        </w:rPr>
        <w:t xml:space="preserve"> ‘Letter of Guarantee’.  </w:t>
      </w:r>
      <w:r w:rsidR="00AC5699" w:rsidRPr="008E4844">
        <w:rPr>
          <w:rFonts w:ascii="Times New Roman" w:hAnsi="Times New Roman" w:cs="Times New Roman"/>
          <w:sz w:val="24"/>
          <w:szCs w:val="24"/>
        </w:rPr>
        <w:t>Most international patient treatment</w:t>
      </w:r>
      <w:r w:rsidR="00822EAE" w:rsidRPr="008E4844">
        <w:rPr>
          <w:rFonts w:ascii="Times New Roman" w:hAnsi="Times New Roman" w:cs="Times New Roman"/>
          <w:sz w:val="24"/>
          <w:szCs w:val="24"/>
        </w:rPr>
        <w:t>s</w:t>
      </w:r>
      <w:r w:rsidR="00AC5699" w:rsidRPr="008E4844">
        <w:rPr>
          <w:rFonts w:ascii="Times New Roman" w:hAnsi="Times New Roman" w:cs="Times New Roman"/>
          <w:sz w:val="24"/>
          <w:szCs w:val="24"/>
        </w:rPr>
        <w:t xml:space="preserve"> are organised by Embassies and national </w:t>
      </w:r>
      <w:r w:rsidR="00CF0C26" w:rsidRPr="008E4844">
        <w:rPr>
          <w:rFonts w:ascii="Times New Roman" w:hAnsi="Times New Roman" w:cs="Times New Roman"/>
          <w:sz w:val="24"/>
          <w:szCs w:val="24"/>
        </w:rPr>
        <w:t>Ministries and purchasers.</w:t>
      </w:r>
      <w:r w:rsidR="002373CE" w:rsidRPr="008E4844">
        <w:rPr>
          <w:rFonts w:ascii="Times New Roman" w:hAnsi="Times New Roman" w:cs="Times New Roman"/>
          <w:sz w:val="24"/>
          <w:szCs w:val="24"/>
        </w:rPr>
        <w:t xml:space="preserve">   </w:t>
      </w:r>
      <w:r w:rsidR="00335896" w:rsidRPr="008E4844">
        <w:rPr>
          <w:rFonts w:ascii="Times New Roman" w:hAnsi="Times New Roman" w:cs="Times New Roman"/>
          <w:sz w:val="24"/>
          <w:szCs w:val="24"/>
        </w:rPr>
        <w:t>Within specialist NHS facilities, private services</w:t>
      </w:r>
      <w:r w:rsidR="002373CE" w:rsidRPr="008E4844">
        <w:rPr>
          <w:rFonts w:ascii="Times New Roman" w:hAnsi="Times New Roman" w:cs="Times New Roman"/>
          <w:sz w:val="24"/>
          <w:szCs w:val="24"/>
        </w:rPr>
        <w:t xml:space="preserve"> may be </w:t>
      </w:r>
      <w:r w:rsidR="00335896" w:rsidRPr="008E4844">
        <w:rPr>
          <w:rFonts w:ascii="Times New Roman" w:hAnsi="Times New Roman" w:cs="Times New Roman"/>
          <w:sz w:val="24"/>
          <w:szCs w:val="24"/>
        </w:rPr>
        <w:t>offered within both integrated and standalone facilities.  Integrated facilities co-locat</w:t>
      </w:r>
      <w:r w:rsidR="00E7408F" w:rsidRPr="008E4844">
        <w:rPr>
          <w:rFonts w:ascii="Times New Roman" w:hAnsi="Times New Roman" w:cs="Times New Roman"/>
          <w:sz w:val="24"/>
          <w:szCs w:val="24"/>
        </w:rPr>
        <w:t>e</w:t>
      </w:r>
      <w:r w:rsidR="00AC5699" w:rsidRPr="008E4844">
        <w:rPr>
          <w:rFonts w:ascii="Times New Roman" w:hAnsi="Times New Roman" w:cs="Times New Roman"/>
          <w:sz w:val="24"/>
          <w:szCs w:val="24"/>
        </w:rPr>
        <w:t xml:space="preserve"> </w:t>
      </w:r>
      <w:r w:rsidR="00335896" w:rsidRPr="008E4844">
        <w:rPr>
          <w:rFonts w:ascii="Times New Roman" w:hAnsi="Times New Roman" w:cs="Times New Roman"/>
          <w:sz w:val="24"/>
          <w:szCs w:val="24"/>
        </w:rPr>
        <w:t>activities</w:t>
      </w:r>
      <w:r w:rsidR="00E7408F" w:rsidRPr="008E4844">
        <w:rPr>
          <w:rFonts w:ascii="Times New Roman" w:hAnsi="Times New Roman" w:cs="Times New Roman"/>
          <w:sz w:val="24"/>
          <w:szCs w:val="24"/>
        </w:rPr>
        <w:t>, there</w:t>
      </w:r>
      <w:r w:rsidR="003C205F" w:rsidRPr="008E4844">
        <w:rPr>
          <w:rFonts w:ascii="Times New Roman" w:hAnsi="Times New Roman" w:cs="Times New Roman"/>
          <w:sz w:val="24"/>
          <w:szCs w:val="24"/>
        </w:rPr>
        <w:t xml:space="preserve">by </w:t>
      </w:r>
      <w:r w:rsidR="00AC5699" w:rsidRPr="008E4844">
        <w:rPr>
          <w:rFonts w:ascii="Times New Roman" w:hAnsi="Times New Roman" w:cs="Times New Roman"/>
          <w:sz w:val="24"/>
          <w:szCs w:val="24"/>
        </w:rPr>
        <w:t>ensur</w:t>
      </w:r>
      <w:r w:rsidR="003C205F" w:rsidRPr="008E4844">
        <w:rPr>
          <w:rFonts w:ascii="Times New Roman" w:hAnsi="Times New Roman" w:cs="Times New Roman"/>
          <w:sz w:val="24"/>
          <w:szCs w:val="24"/>
        </w:rPr>
        <w:t>ing</w:t>
      </w:r>
      <w:r w:rsidR="00AC5699" w:rsidRPr="008E4844">
        <w:rPr>
          <w:rFonts w:ascii="Times New Roman" w:hAnsi="Times New Roman" w:cs="Times New Roman"/>
          <w:sz w:val="24"/>
          <w:szCs w:val="24"/>
        </w:rPr>
        <w:t xml:space="preserve"> </w:t>
      </w:r>
      <w:r w:rsidR="00335896" w:rsidRPr="008E4844">
        <w:rPr>
          <w:rFonts w:ascii="Times New Roman" w:hAnsi="Times New Roman" w:cs="Times New Roman"/>
          <w:sz w:val="24"/>
          <w:szCs w:val="24"/>
        </w:rPr>
        <w:t>intensive care units and specialist supports</w:t>
      </w:r>
      <w:r w:rsidR="00AC5699" w:rsidRPr="008E4844">
        <w:rPr>
          <w:rFonts w:ascii="Times New Roman" w:hAnsi="Times New Roman" w:cs="Times New Roman"/>
          <w:sz w:val="24"/>
          <w:szCs w:val="24"/>
        </w:rPr>
        <w:t xml:space="preserve"> are</w:t>
      </w:r>
      <w:r w:rsidR="00014D82" w:rsidRPr="008E4844">
        <w:rPr>
          <w:rFonts w:ascii="Times New Roman" w:hAnsi="Times New Roman" w:cs="Times New Roman"/>
          <w:sz w:val="24"/>
          <w:szCs w:val="24"/>
        </w:rPr>
        <w:t xml:space="preserve"> available</w:t>
      </w:r>
      <w:r w:rsidR="00335896" w:rsidRPr="008E4844">
        <w:rPr>
          <w:rFonts w:ascii="Times New Roman" w:hAnsi="Times New Roman" w:cs="Times New Roman"/>
          <w:sz w:val="24"/>
          <w:szCs w:val="24"/>
        </w:rPr>
        <w:t xml:space="preserve">.  </w:t>
      </w:r>
      <w:r w:rsidR="00AC5699" w:rsidRPr="008E4844">
        <w:rPr>
          <w:rFonts w:ascii="Times New Roman" w:hAnsi="Times New Roman" w:cs="Times New Roman"/>
          <w:sz w:val="24"/>
          <w:szCs w:val="24"/>
        </w:rPr>
        <w:t xml:space="preserve">Alternatively, </w:t>
      </w:r>
      <w:r w:rsidR="00335896" w:rsidRPr="008E4844">
        <w:rPr>
          <w:rFonts w:ascii="Times New Roman" w:hAnsi="Times New Roman" w:cs="Times New Roman"/>
          <w:sz w:val="24"/>
          <w:szCs w:val="24"/>
        </w:rPr>
        <w:t xml:space="preserve">treatments </w:t>
      </w:r>
      <w:r w:rsidR="00AC5699" w:rsidRPr="008E4844">
        <w:rPr>
          <w:rFonts w:ascii="Times New Roman" w:hAnsi="Times New Roman" w:cs="Times New Roman"/>
          <w:sz w:val="24"/>
          <w:szCs w:val="24"/>
        </w:rPr>
        <w:t xml:space="preserve">may </w:t>
      </w:r>
      <w:r w:rsidR="00335896" w:rsidRPr="008E4844">
        <w:rPr>
          <w:rFonts w:ascii="Times New Roman" w:hAnsi="Times New Roman" w:cs="Times New Roman"/>
          <w:sz w:val="24"/>
          <w:szCs w:val="24"/>
        </w:rPr>
        <w:t>have dedicated facilities with private operating theatre</w:t>
      </w:r>
      <w:r w:rsidR="003C205F" w:rsidRPr="008E4844">
        <w:rPr>
          <w:rFonts w:ascii="Times New Roman" w:hAnsi="Times New Roman" w:cs="Times New Roman"/>
          <w:sz w:val="24"/>
          <w:szCs w:val="24"/>
        </w:rPr>
        <w:t>/treatments</w:t>
      </w:r>
      <w:r w:rsidR="00335896" w:rsidRPr="008E4844">
        <w:rPr>
          <w:rFonts w:ascii="Times New Roman" w:hAnsi="Times New Roman" w:cs="Times New Roman"/>
          <w:sz w:val="24"/>
          <w:szCs w:val="24"/>
        </w:rPr>
        <w:t xml:space="preserve"> space and ward facilities.  </w:t>
      </w:r>
    </w:p>
    <w:p w14:paraId="22B95C19" w14:textId="4CBBBFDA" w:rsidR="0018707C" w:rsidRPr="008E4844" w:rsidRDefault="007254E7"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From 1991 </w:t>
      </w:r>
      <w:r w:rsidR="00017270" w:rsidRPr="008E4844">
        <w:rPr>
          <w:rFonts w:ascii="Times New Roman" w:hAnsi="Times New Roman" w:cs="Times New Roman"/>
          <w:sz w:val="24"/>
          <w:szCs w:val="24"/>
        </w:rPr>
        <w:t>NHS</w:t>
      </w:r>
      <w:r w:rsidRPr="008E4844">
        <w:rPr>
          <w:rFonts w:ascii="Times New Roman" w:hAnsi="Times New Roman" w:cs="Times New Roman"/>
          <w:sz w:val="24"/>
          <w:szCs w:val="24"/>
        </w:rPr>
        <w:t xml:space="preserve"> reforms </w:t>
      </w:r>
      <w:r w:rsidR="00017270" w:rsidRPr="008E4844">
        <w:rPr>
          <w:rFonts w:ascii="Times New Roman" w:hAnsi="Times New Roman" w:cs="Times New Roman"/>
          <w:sz w:val="24"/>
          <w:szCs w:val="24"/>
        </w:rPr>
        <w:t>introduced competitive elements in its operation and disaggregated organisations (such as health authorities) into self-governing organisations called NHS Trusts. From the mid-2000s, some of these Trusts evolved into Foundation Trusts (FTs) with greater managerial and financial autonomy (Exworthy et al</w:t>
      </w:r>
      <w:r w:rsidR="00BC5FEC" w:rsidRPr="008E4844">
        <w:rPr>
          <w:rFonts w:ascii="Times New Roman" w:hAnsi="Times New Roman" w:cs="Times New Roman"/>
          <w:sz w:val="24"/>
          <w:szCs w:val="24"/>
        </w:rPr>
        <w:t>.</w:t>
      </w:r>
      <w:r w:rsidR="00017270" w:rsidRPr="008E4844">
        <w:rPr>
          <w:rFonts w:ascii="Times New Roman" w:hAnsi="Times New Roman" w:cs="Times New Roman"/>
          <w:sz w:val="24"/>
          <w:szCs w:val="24"/>
        </w:rPr>
        <w:t xml:space="preserve"> 2011).  </w:t>
      </w:r>
      <w:r w:rsidR="0098043A" w:rsidRPr="0098043A">
        <w:rPr>
          <w:rFonts w:ascii="Times New Roman" w:hAnsi="Times New Roman" w:cs="Times New Roman"/>
          <w:sz w:val="24"/>
          <w:szCs w:val="24"/>
        </w:rPr>
        <w:t>Foundation trusts</w:t>
      </w:r>
      <w:r w:rsidR="008805CB">
        <w:rPr>
          <w:rFonts w:ascii="Times New Roman" w:hAnsi="Times New Roman" w:cs="Times New Roman"/>
          <w:sz w:val="24"/>
          <w:szCs w:val="24"/>
        </w:rPr>
        <w:t>’</w:t>
      </w:r>
      <w:r w:rsidR="0098043A" w:rsidRPr="0098043A">
        <w:rPr>
          <w:rFonts w:ascii="Times New Roman" w:hAnsi="Times New Roman" w:cs="Times New Roman"/>
          <w:sz w:val="24"/>
          <w:szCs w:val="24"/>
        </w:rPr>
        <w:t xml:space="preserve"> greater autonomy includes the ability to borrow commercially and generate surpluses to reinvest back into patient care (</w:t>
      </w:r>
      <w:r w:rsidR="00B73897">
        <w:rPr>
          <w:rFonts w:ascii="Times New Roman" w:hAnsi="Times New Roman" w:cs="Times New Roman"/>
          <w:sz w:val="24"/>
          <w:szCs w:val="24"/>
        </w:rPr>
        <w:t xml:space="preserve">Exworthy et al. 2008; </w:t>
      </w:r>
      <w:r w:rsidR="0098043A" w:rsidRPr="0098043A">
        <w:rPr>
          <w:rFonts w:ascii="Times New Roman" w:hAnsi="Times New Roman" w:cs="Times New Roman"/>
          <w:sz w:val="24"/>
          <w:szCs w:val="24"/>
        </w:rPr>
        <w:t xml:space="preserve">Powell </w:t>
      </w:r>
      <w:r w:rsidR="00F94216">
        <w:rPr>
          <w:rFonts w:ascii="Times New Roman" w:hAnsi="Times New Roman" w:cs="Times New Roman"/>
          <w:sz w:val="24"/>
          <w:szCs w:val="24"/>
        </w:rPr>
        <w:t xml:space="preserve">and Harker </w:t>
      </w:r>
      <w:r w:rsidR="0098043A" w:rsidRPr="0098043A">
        <w:rPr>
          <w:rFonts w:ascii="Times New Roman" w:hAnsi="Times New Roman" w:cs="Times New Roman"/>
          <w:sz w:val="24"/>
          <w:szCs w:val="24"/>
        </w:rPr>
        <w:t>2023)</w:t>
      </w:r>
      <w:r w:rsidR="0098043A">
        <w:rPr>
          <w:rFonts w:ascii="Times New Roman" w:hAnsi="Times New Roman" w:cs="Times New Roman"/>
          <w:sz w:val="24"/>
          <w:szCs w:val="24"/>
        </w:rPr>
        <w:t xml:space="preserve">.  </w:t>
      </w:r>
      <w:r w:rsidR="00017270" w:rsidRPr="008E4844">
        <w:rPr>
          <w:rFonts w:ascii="Times New Roman" w:hAnsi="Times New Roman" w:cs="Times New Roman"/>
          <w:color w:val="000000"/>
          <w:sz w:val="24"/>
          <w:szCs w:val="24"/>
        </w:rPr>
        <w:t xml:space="preserve">A HM Treasury Document (2002) sought to encourage </w:t>
      </w:r>
      <w:r w:rsidR="00017270" w:rsidRPr="008E4844">
        <w:rPr>
          <w:rFonts w:ascii="Times New Roman" w:hAnsi="Times New Roman" w:cs="Times New Roman"/>
          <w:sz w:val="24"/>
          <w:szCs w:val="24"/>
        </w:rPr>
        <w:t>Government departments, agencies and public bodies (including NHS</w:t>
      </w:r>
      <w:r w:rsidRPr="008E4844">
        <w:rPr>
          <w:rFonts w:ascii="Times New Roman" w:hAnsi="Times New Roman" w:cs="Times New Roman"/>
          <w:sz w:val="24"/>
          <w:szCs w:val="24"/>
        </w:rPr>
        <w:t xml:space="preserve"> ones</w:t>
      </w:r>
      <w:r w:rsidR="00017270" w:rsidRPr="008E4844">
        <w:rPr>
          <w:rFonts w:ascii="Times New Roman" w:hAnsi="Times New Roman" w:cs="Times New Roman"/>
          <w:sz w:val="24"/>
          <w:szCs w:val="24"/>
        </w:rPr>
        <w:t xml:space="preserve">) to better utilise their physical and non-physical assets by engaging in commercial services based on them, where appropriate.  </w:t>
      </w:r>
      <w:r w:rsidR="00F543D3" w:rsidRPr="008E4844">
        <w:rPr>
          <w:rFonts w:ascii="Times New Roman" w:hAnsi="Times New Roman" w:cs="Times New Roman"/>
          <w:sz w:val="24"/>
          <w:szCs w:val="24"/>
        </w:rPr>
        <w:t>The Health and Social Care Act (HSCA)</w:t>
      </w:r>
      <w:r w:rsidR="00296BF2">
        <w:rPr>
          <w:rFonts w:ascii="Times New Roman" w:hAnsi="Times New Roman" w:cs="Times New Roman"/>
          <w:sz w:val="24"/>
          <w:szCs w:val="24"/>
        </w:rPr>
        <w:t xml:space="preserve"> </w:t>
      </w:r>
      <w:r w:rsidR="00F543D3" w:rsidRPr="008E4844">
        <w:rPr>
          <w:rFonts w:ascii="Times New Roman" w:hAnsi="Times New Roman" w:cs="Times New Roman"/>
          <w:sz w:val="24"/>
          <w:szCs w:val="24"/>
        </w:rPr>
        <w:t>(2012) intensified earlier</w:t>
      </w:r>
      <w:r w:rsidR="00CF0C26" w:rsidRPr="008E4844">
        <w:rPr>
          <w:rFonts w:ascii="Times New Roman" w:hAnsi="Times New Roman" w:cs="Times New Roman"/>
          <w:sz w:val="24"/>
          <w:szCs w:val="24"/>
        </w:rPr>
        <w:t xml:space="preserve"> moves </w:t>
      </w:r>
      <w:r w:rsidR="00F543D3" w:rsidRPr="008E4844">
        <w:rPr>
          <w:rFonts w:ascii="Times New Roman" w:hAnsi="Times New Roman" w:cs="Times New Roman"/>
          <w:sz w:val="24"/>
          <w:szCs w:val="24"/>
        </w:rPr>
        <w:t>towards</w:t>
      </w:r>
      <w:r w:rsidR="00C7021A" w:rsidRPr="008E4844">
        <w:rPr>
          <w:rFonts w:ascii="Times New Roman" w:hAnsi="Times New Roman" w:cs="Times New Roman"/>
          <w:sz w:val="24"/>
          <w:szCs w:val="24"/>
        </w:rPr>
        <w:t xml:space="preserve"> commercialisation</w:t>
      </w:r>
      <w:r w:rsidR="003C205F" w:rsidRPr="008E4844">
        <w:rPr>
          <w:rFonts w:ascii="Times New Roman" w:hAnsi="Times New Roman" w:cs="Times New Roman"/>
          <w:sz w:val="24"/>
          <w:szCs w:val="24"/>
        </w:rPr>
        <w:t>, s</w:t>
      </w:r>
      <w:r w:rsidR="00F543D3" w:rsidRPr="008E4844">
        <w:rPr>
          <w:rFonts w:ascii="Times New Roman" w:hAnsi="Times New Roman" w:cs="Times New Roman"/>
          <w:sz w:val="24"/>
          <w:szCs w:val="24"/>
        </w:rPr>
        <w:t>pecifically</w:t>
      </w:r>
      <w:r w:rsidR="003C205F" w:rsidRPr="008E4844">
        <w:rPr>
          <w:rFonts w:ascii="Times New Roman" w:hAnsi="Times New Roman" w:cs="Times New Roman"/>
          <w:sz w:val="24"/>
          <w:szCs w:val="24"/>
        </w:rPr>
        <w:t xml:space="preserve"> </w:t>
      </w:r>
      <w:r w:rsidR="00F543D3" w:rsidRPr="008E4844">
        <w:rPr>
          <w:rFonts w:ascii="Times New Roman" w:hAnsi="Times New Roman" w:cs="Times New Roman"/>
          <w:sz w:val="24"/>
          <w:szCs w:val="24"/>
        </w:rPr>
        <w:t>creat</w:t>
      </w:r>
      <w:r w:rsidR="003C205F" w:rsidRPr="008E4844">
        <w:rPr>
          <w:rFonts w:ascii="Times New Roman" w:hAnsi="Times New Roman" w:cs="Times New Roman"/>
          <w:sz w:val="24"/>
          <w:szCs w:val="24"/>
        </w:rPr>
        <w:t>ing</w:t>
      </w:r>
      <w:r w:rsidR="00F543D3" w:rsidRPr="008E4844">
        <w:rPr>
          <w:rFonts w:ascii="Times New Roman" w:hAnsi="Times New Roman" w:cs="Times New Roman"/>
          <w:sz w:val="24"/>
          <w:szCs w:val="24"/>
        </w:rPr>
        <w:t xml:space="preserve"> opportunity for </w:t>
      </w:r>
      <w:r w:rsidR="00CF0C26" w:rsidRPr="008E4844">
        <w:rPr>
          <w:rFonts w:ascii="Times New Roman" w:hAnsi="Times New Roman" w:cs="Times New Roman"/>
          <w:sz w:val="24"/>
          <w:szCs w:val="24"/>
        </w:rPr>
        <w:t xml:space="preserve">Trusts </w:t>
      </w:r>
      <w:r w:rsidR="00F543D3" w:rsidRPr="008E4844">
        <w:rPr>
          <w:rFonts w:ascii="Times New Roman" w:hAnsi="Times New Roman" w:cs="Times New Roman"/>
          <w:sz w:val="24"/>
          <w:szCs w:val="24"/>
        </w:rPr>
        <w:t>to increase their commercial income</w:t>
      </w:r>
      <w:r w:rsidR="00D716F7" w:rsidRPr="008E4844">
        <w:rPr>
          <w:rFonts w:ascii="Times New Roman" w:hAnsi="Times New Roman" w:cs="Times New Roman"/>
          <w:sz w:val="24"/>
          <w:szCs w:val="24"/>
        </w:rPr>
        <w:t xml:space="preserve"> and introduced a “wider definition” of non-NHS income (FTN 2014).</w:t>
      </w:r>
      <w:r w:rsidR="00263D9C" w:rsidRPr="008E4844">
        <w:rPr>
          <w:rFonts w:ascii="Times New Roman" w:hAnsi="Times New Roman" w:cs="Times New Roman"/>
          <w:sz w:val="24"/>
          <w:szCs w:val="24"/>
        </w:rPr>
        <w:t xml:space="preserve">  Clinical services (</w:t>
      </w:r>
      <w:proofErr w:type="spellStart"/>
      <w:r w:rsidR="00263D9C" w:rsidRPr="008E4844">
        <w:rPr>
          <w:rFonts w:ascii="Times New Roman" w:hAnsi="Times New Roman" w:cs="Times New Roman"/>
          <w:i/>
          <w:sz w:val="24"/>
          <w:szCs w:val="24"/>
        </w:rPr>
        <w:t>eg</w:t>
      </w:r>
      <w:r w:rsidR="00263D9C" w:rsidRPr="008E4844">
        <w:rPr>
          <w:rFonts w:ascii="Times New Roman" w:hAnsi="Times New Roman" w:cs="Times New Roman"/>
          <w:sz w:val="24"/>
          <w:szCs w:val="24"/>
        </w:rPr>
        <w:t>.</w:t>
      </w:r>
      <w:proofErr w:type="spellEnd"/>
      <w:r w:rsidR="00263D9C" w:rsidRPr="008E4844">
        <w:rPr>
          <w:rFonts w:ascii="Times New Roman" w:hAnsi="Times New Roman" w:cs="Times New Roman"/>
          <w:sz w:val="24"/>
          <w:szCs w:val="24"/>
        </w:rPr>
        <w:t xml:space="preserve"> private patient units, international medical patients) are one commercial activity</w:t>
      </w:r>
      <w:r w:rsidR="00C7021A" w:rsidRPr="008E4844">
        <w:rPr>
          <w:rFonts w:ascii="Times New Roman" w:hAnsi="Times New Roman" w:cs="Times New Roman"/>
          <w:sz w:val="24"/>
          <w:szCs w:val="24"/>
        </w:rPr>
        <w:t xml:space="preserve"> but </w:t>
      </w:r>
      <w:r w:rsidR="00CF0C26" w:rsidRPr="008E4844">
        <w:rPr>
          <w:rFonts w:ascii="Times New Roman" w:hAnsi="Times New Roman" w:cs="Times New Roman"/>
          <w:sz w:val="24"/>
          <w:szCs w:val="24"/>
        </w:rPr>
        <w:t xml:space="preserve">income may </w:t>
      </w:r>
      <w:r w:rsidR="00263D9C" w:rsidRPr="008E4844">
        <w:rPr>
          <w:rFonts w:ascii="Times New Roman" w:hAnsi="Times New Roman" w:cs="Times New Roman"/>
          <w:sz w:val="24"/>
          <w:szCs w:val="24"/>
        </w:rPr>
        <w:t xml:space="preserve">also </w:t>
      </w:r>
      <w:r w:rsidR="00CF0C26" w:rsidRPr="008E4844">
        <w:rPr>
          <w:rFonts w:ascii="Times New Roman" w:hAnsi="Times New Roman" w:cs="Times New Roman"/>
          <w:sz w:val="24"/>
          <w:szCs w:val="24"/>
        </w:rPr>
        <w:t>come from</w:t>
      </w:r>
      <w:r w:rsidR="00263D9C" w:rsidRPr="008E4844">
        <w:rPr>
          <w:rFonts w:ascii="Times New Roman" w:hAnsi="Times New Roman" w:cs="Times New Roman"/>
          <w:sz w:val="24"/>
          <w:szCs w:val="24"/>
        </w:rPr>
        <w:t xml:space="preserve"> commercial</w:t>
      </w:r>
      <w:r w:rsidR="00F543D3" w:rsidRPr="008E4844">
        <w:rPr>
          <w:rFonts w:ascii="Times New Roman" w:hAnsi="Times New Roman" w:cs="Times New Roman"/>
          <w:sz w:val="24"/>
          <w:szCs w:val="24"/>
        </w:rPr>
        <w:t xml:space="preserve"> partnerships (</w:t>
      </w:r>
      <w:proofErr w:type="spellStart"/>
      <w:r w:rsidR="00F543D3" w:rsidRPr="008E4844">
        <w:rPr>
          <w:rFonts w:ascii="Times New Roman" w:hAnsi="Times New Roman" w:cs="Times New Roman"/>
          <w:i/>
          <w:sz w:val="24"/>
          <w:szCs w:val="24"/>
        </w:rPr>
        <w:t>eg</w:t>
      </w:r>
      <w:r w:rsidR="00F543D3" w:rsidRPr="008E4844">
        <w:rPr>
          <w:rFonts w:ascii="Times New Roman" w:hAnsi="Times New Roman" w:cs="Times New Roman"/>
          <w:sz w:val="24"/>
          <w:szCs w:val="24"/>
        </w:rPr>
        <w:t>.</w:t>
      </w:r>
      <w:proofErr w:type="spellEnd"/>
      <w:r w:rsidR="00F543D3" w:rsidRPr="008E4844">
        <w:rPr>
          <w:rFonts w:ascii="Times New Roman" w:hAnsi="Times New Roman" w:cs="Times New Roman"/>
          <w:sz w:val="24"/>
          <w:szCs w:val="24"/>
        </w:rPr>
        <w:t xml:space="preserve"> collaboration with pharmaceutical businesses,</w:t>
      </w:r>
      <w:r w:rsidR="00790E2C" w:rsidRPr="008E4844">
        <w:rPr>
          <w:rFonts w:ascii="Times New Roman" w:hAnsi="Times New Roman" w:cs="Times New Roman"/>
          <w:sz w:val="24"/>
          <w:szCs w:val="24"/>
        </w:rPr>
        <w:t xml:space="preserve"> IP agreement</w:t>
      </w:r>
      <w:r w:rsidR="00CF0C26" w:rsidRPr="008E4844">
        <w:rPr>
          <w:rFonts w:ascii="Times New Roman" w:hAnsi="Times New Roman" w:cs="Times New Roman"/>
          <w:sz w:val="24"/>
          <w:szCs w:val="24"/>
        </w:rPr>
        <w:t>s</w:t>
      </w:r>
      <w:r w:rsidR="00F543D3" w:rsidRPr="008E4844">
        <w:rPr>
          <w:rFonts w:ascii="Times New Roman" w:hAnsi="Times New Roman" w:cs="Times New Roman"/>
          <w:sz w:val="24"/>
          <w:szCs w:val="24"/>
        </w:rPr>
        <w:t xml:space="preserve">), </w:t>
      </w:r>
      <w:r w:rsidR="00263D9C" w:rsidRPr="008E4844">
        <w:rPr>
          <w:rFonts w:ascii="Times New Roman" w:hAnsi="Times New Roman" w:cs="Times New Roman"/>
          <w:sz w:val="24"/>
          <w:szCs w:val="24"/>
        </w:rPr>
        <w:t xml:space="preserve">and </w:t>
      </w:r>
      <w:r w:rsidR="00F543D3" w:rsidRPr="008E4844">
        <w:rPr>
          <w:rFonts w:ascii="Times New Roman" w:hAnsi="Times New Roman" w:cs="Times New Roman"/>
          <w:sz w:val="24"/>
          <w:szCs w:val="24"/>
        </w:rPr>
        <w:t>commercial ventures (</w:t>
      </w:r>
      <w:proofErr w:type="spellStart"/>
      <w:r w:rsidR="00F543D3" w:rsidRPr="008E4844">
        <w:rPr>
          <w:rFonts w:ascii="Times New Roman" w:hAnsi="Times New Roman" w:cs="Times New Roman"/>
          <w:i/>
          <w:sz w:val="24"/>
          <w:szCs w:val="24"/>
        </w:rPr>
        <w:t>eg</w:t>
      </w:r>
      <w:r w:rsidR="00F543D3" w:rsidRPr="008E4844">
        <w:rPr>
          <w:rFonts w:ascii="Times New Roman" w:hAnsi="Times New Roman" w:cs="Times New Roman"/>
          <w:sz w:val="24"/>
          <w:szCs w:val="24"/>
        </w:rPr>
        <w:t>.</w:t>
      </w:r>
      <w:proofErr w:type="spellEnd"/>
      <w:r w:rsidR="00F543D3" w:rsidRPr="008E4844">
        <w:rPr>
          <w:rFonts w:ascii="Times New Roman" w:hAnsi="Times New Roman" w:cs="Times New Roman"/>
          <w:sz w:val="24"/>
          <w:szCs w:val="24"/>
        </w:rPr>
        <w:t xml:space="preserve"> wholly owned enterprises, clinical trials) (FTN 2014; Lunt </w:t>
      </w:r>
      <w:r w:rsidR="00F543D3" w:rsidRPr="008E4844">
        <w:rPr>
          <w:rFonts w:ascii="Times New Roman" w:hAnsi="Times New Roman" w:cs="Times New Roman"/>
          <w:iCs/>
          <w:sz w:val="24"/>
          <w:szCs w:val="24"/>
        </w:rPr>
        <w:t xml:space="preserve">et </w:t>
      </w:r>
      <w:r w:rsidR="00F543D3" w:rsidRPr="008E4844">
        <w:rPr>
          <w:rFonts w:ascii="Times New Roman" w:hAnsi="Times New Roman" w:cs="Times New Roman"/>
          <w:iCs/>
          <w:sz w:val="24"/>
          <w:szCs w:val="24"/>
        </w:rPr>
        <w:lastRenderedPageBreak/>
        <w:t>al</w:t>
      </w:r>
      <w:r w:rsidR="00BC5FEC" w:rsidRPr="008E4844">
        <w:rPr>
          <w:rFonts w:ascii="Times New Roman" w:hAnsi="Times New Roman" w:cs="Times New Roman"/>
          <w:sz w:val="24"/>
          <w:szCs w:val="24"/>
        </w:rPr>
        <w:t>.</w:t>
      </w:r>
      <w:r w:rsidR="00F543D3" w:rsidRPr="008E4844">
        <w:rPr>
          <w:rFonts w:ascii="Times New Roman" w:hAnsi="Times New Roman" w:cs="Times New Roman"/>
          <w:sz w:val="24"/>
          <w:szCs w:val="24"/>
        </w:rPr>
        <w:t xml:space="preserve"> 2015). </w:t>
      </w:r>
      <w:r w:rsidR="00D82E85" w:rsidRPr="008E4844">
        <w:rPr>
          <w:rFonts w:ascii="Times New Roman" w:hAnsi="Times New Roman" w:cs="Times New Roman"/>
          <w:sz w:val="24"/>
          <w:szCs w:val="24"/>
        </w:rPr>
        <w:t xml:space="preserve">  </w:t>
      </w:r>
      <w:r w:rsidR="00F543D3" w:rsidRPr="008E4844">
        <w:rPr>
          <w:rFonts w:ascii="Times New Roman" w:eastAsia="Times New Roman" w:hAnsi="Times New Roman" w:cs="Times New Roman"/>
          <w:sz w:val="24"/>
          <w:szCs w:val="24"/>
          <w:lang w:eastAsia="en-GB"/>
        </w:rPr>
        <w:t>Government had previously</w:t>
      </w:r>
      <w:r w:rsidR="003C205F" w:rsidRPr="008E4844">
        <w:rPr>
          <w:rFonts w:ascii="Times New Roman" w:eastAsia="Times New Roman" w:hAnsi="Times New Roman" w:cs="Times New Roman"/>
          <w:sz w:val="24"/>
          <w:szCs w:val="24"/>
          <w:lang w:eastAsia="en-GB"/>
        </w:rPr>
        <w:t xml:space="preserve"> determined </w:t>
      </w:r>
      <w:r w:rsidR="00F543D3" w:rsidRPr="008E4844">
        <w:rPr>
          <w:rFonts w:ascii="Times New Roman" w:eastAsia="Times New Roman" w:hAnsi="Times New Roman" w:cs="Times New Roman"/>
          <w:sz w:val="24"/>
          <w:szCs w:val="24"/>
          <w:lang w:eastAsia="en-GB"/>
        </w:rPr>
        <w:t xml:space="preserve">how much non-NHS income </w:t>
      </w:r>
      <w:r w:rsidRPr="008E4844">
        <w:rPr>
          <w:rFonts w:ascii="Times New Roman" w:eastAsia="Times New Roman" w:hAnsi="Times New Roman" w:cs="Times New Roman"/>
          <w:sz w:val="24"/>
          <w:szCs w:val="24"/>
          <w:lang w:eastAsia="en-GB"/>
        </w:rPr>
        <w:t xml:space="preserve">FT </w:t>
      </w:r>
      <w:r w:rsidR="00F543D3" w:rsidRPr="008E4844">
        <w:rPr>
          <w:rFonts w:ascii="Times New Roman" w:eastAsia="Times New Roman" w:hAnsi="Times New Roman" w:cs="Times New Roman"/>
          <w:sz w:val="24"/>
          <w:szCs w:val="24"/>
          <w:lang w:eastAsia="en-GB"/>
        </w:rPr>
        <w:t>organisations could earn</w:t>
      </w:r>
      <w:r w:rsidR="00790E2C" w:rsidRPr="008E4844">
        <w:rPr>
          <w:rFonts w:ascii="Times New Roman" w:eastAsia="Times New Roman" w:hAnsi="Times New Roman" w:cs="Times New Roman"/>
          <w:sz w:val="24"/>
          <w:szCs w:val="24"/>
          <w:lang w:eastAsia="en-GB"/>
        </w:rPr>
        <w:t>,</w:t>
      </w:r>
      <w:r w:rsidR="00F543D3" w:rsidRPr="008E4844">
        <w:rPr>
          <w:rFonts w:ascii="Times New Roman" w:eastAsia="Times New Roman" w:hAnsi="Times New Roman" w:cs="Times New Roman"/>
          <w:sz w:val="24"/>
          <w:szCs w:val="24"/>
          <w:lang w:eastAsia="en-GB"/>
        </w:rPr>
        <w:t xml:space="preserve"> </w:t>
      </w:r>
      <w:r w:rsidR="00790E2C" w:rsidRPr="008E4844">
        <w:rPr>
          <w:rFonts w:ascii="Times New Roman" w:eastAsia="Times New Roman" w:hAnsi="Times New Roman" w:cs="Times New Roman"/>
          <w:sz w:val="24"/>
          <w:szCs w:val="24"/>
          <w:lang w:eastAsia="en-GB"/>
        </w:rPr>
        <w:t xml:space="preserve">typically </w:t>
      </w:r>
      <w:r w:rsidR="00F543D3" w:rsidRPr="008E4844">
        <w:rPr>
          <w:rFonts w:ascii="Times New Roman" w:eastAsia="Times New Roman" w:hAnsi="Times New Roman" w:cs="Times New Roman"/>
          <w:sz w:val="24"/>
          <w:szCs w:val="24"/>
          <w:lang w:eastAsia="en-GB"/>
        </w:rPr>
        <w:t xml:space="preserve">less than one per cent of their income (FTN 2012). </w:t>
      </w:r>
      <w:r w:rsidR="00265C92" w:rsidRPr="008E4844">
        <w:rPr>
          <w:rFonts w:ascii="Times New Roman" w:eastAsia="Times New Roman" w:hAnsi="Times New Roman" w:cs="Times New Roman"/>
          <w:sz w:val="24"/>
          <w:szCs w:val="24"/>
          <w:lang w:eastAsia="en-GB"/>
        </w:rPr>
        <w:t xml:space="preserve">Under the </w:t>
      </w:r>
      <w:r w:rsidR="00296BF2">
        <w:rPr>
          <w:rFonts w:ascii="Times New Roman" w:eastAsia="Times New Roman" w:hAnsi="Times New Roman" w:cs="Times New Roman"/>
          <w:sz w:val="24"/>
          <w:szCs w:val="24"/>
          <w:lang w:eastAsia="en-GB"/>
        </w:rPr>
        <w:t xml:space="preserve">2012 </w:t>
      </w:r>
      <w:r w:rsidR="00265C92" w:rsidRPr="008E4844">
        <w:rPr>
          <w:rFonts w:ascii="Times New Roman" w:eastAsia="Times New Roman" w:hAnsi="Times New Roman" w:cs="Times New Roman"/>
          <w:sz w:val="24"/>
          <w:szCs w:val="24"/>
          <w:lang w:eastAsia="en-GB"/>
        </w:rPr>
        <w:t>HSCA</w:t>
      </w:r>
      <w:r w:rsidR="00014D82" w:rsidRPr="008E4844">
        <w:rPr>
          <w:rFonts w:ascii="Times New Roman" w:eastAsia="Times New Roman" w:hAnsi="Times New Roman" w:cs="Times New Roman"/>
          <w:sz w:val="24"/>
          <w:szCs w:val="24"/>
          <w:lang w:eastAsia="en-GB"/>
        </w:rPr>
        <w:t>,</w:t>
      </w:r>
      <w:r w:rsidR="00265C92" w:rsidRPr="008E4844">
        <w:rPr>
          <w:rFonts w:ascii="Times New Roman" w:eastAsia="Times New Roman" w:hAnsi="Times New Roman" w:cs="Times New Roman"/>
          <w:sz w:val="24"/>
          <w:szCs w:val="24"/>
          <w:lang w:eastAsia="en-GB"/>
        </w:rPr>
        <w:t xml:space="preserve"> </w:t>
      </w:r>
      <w:r w:rsidR="00F543D3" w:rsidRPr="008E4844">
        <w:rPr>
          <w:rFonts w:ascii="Times New Roman" w:eastAsia="Times New Roman" w:hAnsi="Times New Roman" w:cs="Times New Roman"/>
          <w:sz w:val="24"/>
          <w:szCs w:val="24"/>
          <w:lang w:eastAsia="en-GB"/>
        </w:rPr>
        <w:t>s</w:t>
      </w:r>
      <w:r w:rsidR="00F543D3" w:rsidRPr="008E4844">
        <w:rPr>
          <w:rFonts w:ascii="Times New Roman" w:hAnsi="Times New Roman" w:cs="Times New Roman"/>
          <w:sz w:val="24"/>
          <w:szCs w:val="24"/>
        </w:rPr>
        <w:t xml:space="preserve">uch income </w:t>
      </w:r>
      <w:r w:rsidRPr="008E4844">
        <w:rPr>
          <w:rFonts w:ascii="Times New Roman" w:hAnsi="Times New Roman" w:cs="Times New Roman"/>
          <w:sz w:val="24"/>
          <w:szCs w:val="24"/>
        </w:rPr>
        <w:t xml:space="preserve">simply </w:t>
      </w:r>
      <w:r w:rsidR="00F543D3" w:rsidRPr="008E4844">
        <w:rPr>
          <w:rFonts w:ascii="Times New Roman" w:hAnsi="Times New Roman" w:cs="Times New Roman"/>
          <w:sz w:val="24"/>
          <w:szCs w:val="24"/>
        </w:rPr>
        <w:t>had to be the minority of overall income.</w:t>
      </w:r>
      <w:r w:rsidR="0098043A">
        <w:rPr>
          <w:rStyle w:val="EndnoteReference"/>
          <w:rFonts w:ascii="Times New Roman" w:hAnsi="Times New Roman" w:cs="Times New Roman"/>
          <w:sz w:val="24"/>
          <w:szCs w:val="24"/>
        </w:rPr>
        <w:endnoteReference w:id="1"/>
      </w:r>
      <w:r w:rsidR="00F543D3" w:rsidRPr="008E4844">
        <w:rPr>
          <w:rFonts w:ascii="Times New Roman" w:hAnsi="Times New Roman" w:cs="Times New Roman"/>
          <w:sz w:val="24"/>
          <w:szCs w:val="24"/>
        </w:rPr>
        <w:t xml:space="preserve"> This limit ensured that public/state sources of income remained the majority and sought to negate claims that the NHS would be ‘privatised.’  </w:t>
      </w:r>
    </w:p>
    <w:p w14:paraId="111D0A69" w14:textId="2EF45ABD" w:rsidR="00B76300" w:rsidRPr="008E4844" w:rsidRDefault="00B76300"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NHS finances have been deteriorating since the late 2000s</w:t>
      </w:r>
      <w:r w:rsidR="003600F0" w:rsidRPr="008E4844">
        <w:rPr>
          <w:rFonts w:ascii="Times New Roman" w:hAnsi="Times New Roman" w:cs="Times New Roman"/>
          <w:sz w:val="24"/>
          <w:szCs w:val="24"/>
        </w:rPr>
        <w:t xml:space="preserve"> and </w:t>
      </w:r>
      <w:r w:rsidR="0068703F" w:rsidRPr="008E4844">
        <w:rPr>
          <w:rFonts w:ascii="Times New Roman" w:hAnsi="Times New Roman" w:cs="Times New Roman"/>
          <w:sz w:val="24"/>
          <w:szCs w:val="24"/>
        </w:rPr>
        <w:t>t</w:t>
      </w:r>
      <w:r w:rsidRPr="008E4844">
        <w:rPr>
          <w:rFonts w:ascii="Times New Roman" w:hAnsi="Times New Roman" w:cs="Times New Roman"/>
          <w:sz w:val="24"/>
          <w:szCs w:val="24"/>
        </w:rPr>
        <w:t xml:space="preserve">he impact of the pandemic and restrained public sector spending means the NHS continues to </w:t>
      </w:r>
      <w:r w:rsidR="0068703F" w:rsidRPr="008E4844">
        <w:rPr>
          <w:rFonts w:ascii="Times New Roman" w:hAnsi="Times New Roman" w:cs="Times New Roman"/>
          <w:sz w:val="24"/>
          <w:szCs w:val="24"/>
        </w:rPr>
        <w:t xml:space="preserve">pursue </w:t>
      </w:r>
      <w:r w:rsidRPr="008E4844">
        <w:rPr>
          <w:rFonts w:ascii="Times New Roman" w:hAnsi="Times New Roman" w:cs="Times New Roman"/>
          <w:sz w:val="24"/>
          <w:szCs w:val="24"/>
        </w:rPr>
        <w:t xml:space="preserve">productivity gains </w:t>
      </w:r>
      <w:r w:rsidR="0068703F" w:rsidRPr="008E4844">
        <w:rPr>
          <w:rFonts w:ascii="Times New Roman" w:hAnsi="Times New Roman" w:cs="Times New Roman"/>
          <w:sz w:val="24"/>
          <w:szCs w:val="24"/>
        </w:rPr>
        <w:t xml:space="preserve">for </w:t>
      </w:r>
      <w:r w:rsidRPr="008E4844">
        <w:rPr>
          <w:rFonts w:ascii="Times New Roman" w:hAnsi="Times New Roman" w:cs="Times New Roman"/>
          <w:sz w:val="24"/>
          <w:szCs w:val="24"/>
        </w:rPr>
        <w:t>further reinvestment. Trusts have been facing the prospect of actual reductions or minimal growth in their budgets for some time and for the foreseeable future</w:t>
      </w:r>
      <w:r w:rsidR="004610F2" w:rsidRPr="008E4844">
        <w:rPr>
          <w:rFonts w:ascii="Times New Roman" w:hAnsi="Times New Roman" w:cs="Times New Roman"/>
          <w:sz w:val="24"/>
          <w:szCs w:val="24"/>
        </w:rPr>
        <w:t xml:space="preserve"> (Charlesworth et al</w:t>
      </w:r>
      <w:r w:rsidR="00BC5FEC" w:rsidRPr="008E4844">
        <w:rPr>
          <w:rFonts w:ascii="Times New Roman" w:hAnsi="Times New Roman" w:cs="Times New Roman"/>
          <w:sz w:val="24"/>
          <w:szCs w:val="24"/>
        </w:rPr>
        <w:t>.</w:t>
      </w:r>
      <w:r w:rsidR="004610F2" w:rsidRPr="008E4844">
        <w:rPr>
          <w:rFonts w:ascii="Times New Roman" w:hAnsi="Times New Roman" w:cs="Times New Roman"/>
          <w:sz w:val="24"/>
          <w:szCs w:val="24"/>
        </w:rPr>
        <w:t xml:space="preserve"> 2023</w:t>
      </w:r>
      <w:r w:rsidR="000F1029" w:rsidRPr="008E4844">
        <w:rPr>
          <w:rFonts w:ascii="Times New Roman" w:hAnsi="Times New Roman" w:cs="Times New Roman"/>
          <w:sz w:val="24"/>
          <w:szCs w:val="24"/>
        </w:rPr>
        <w:t xml:space="preserve">; Warner and </w:t>
      </w:r>
      <w:proofErr w:type="spellStart"/>
      <w:r w:rsidR="000F1029" w:rsidRPr="008E4844">
        <w:rPr>
          <w:rFonts w:ascii="Times New Roman" w:hAnsi="Times New Roman" w:cs="Times New Roman"/>
          <w:sz w:val="24"/>
          <w:szCs w:val="24"/>
        </w:rPr>
        <w:t>Zaranko</w:t>
      </w:r>
      <w:proofErr w:type="spellEnd"/>
      <w:r w:rsidR="000F1029" w:rsidRPr="008E4844">
        <w:rPr>
          <w:rFonts w:ascii="Times New Roman" w:hAnsi="Times New Roman" w:cs="Times New Roman"/>
          <w:sz w:val="24"/>
          <w:szCs w:val="24"/>
        </w:rPr>
        <w:t xml:space="preserve"> 2022; </w:t>
      </w:r>
      <w:proofErr w:type="spellStart"/>
      <w:r w:rsidR="000F1029" w:rsidRPr="008E4844">
        <w:rPr>
          <w:rFonts w:ascii="Times New Roman" w:hAnsi="Times New Roman" w:cs="Times New Roman"/>
          <w:sz w:val="24"/>
          <w:szCs w:val="24"/>
        </w:rPr>
        <w:t>Anandaciva</w:t>
      </w:r>
      <w:proofErr w:type="spellEnd"/>
      <w:r w:rsidR="000F1029" w:rsidRPr="008E4844">
        <w:rPr>
          <w:rFonts w:ascii="Times New Roman" w:hAnsi="Times New Roman" w:cs="Times New Roman"/>
          <w:sz w:val="24"/>
          <w:szCs w:val="24"/>
        </w:rPr>
        <w:t xml:space="preserve"> 2024</w:t>
      </w:r>
      <w:r w:rsidR="004610F2" w:rsidRPr="008E4844">
        <w:rPr>
          <w:rFonts w:ascii="Times New Roman" w:hAnsi="Times New Roman" w:cs="Times New Roman"/>
          <w:sz w:val="24"/>
          <w:szCs w:val="24"/>
        </w:rPr>
        <w:t>)</w:t>
      </w:r>
      <w:r w:rsidRPr="008E4844">
        <w:rPr>
          <w:rFonts w:ascii="Times New Roman" w:hAnsi="Times New Roman" w:cs="Times New Roman"/>
          <w:sz w:val="24"/>
          <w:szCs w:val="24"/>
        </w:rPr>
        <w:t xml:space="preserve">. In response, all Trusts must continue to make cost savings and/or increase additional income streams. </w:t>
      </w:r>
      <w:r w:rsidR="006D46AD" w:rsidRPr="008E4844">
        <w:rPr>
          <w:rFonts w:ascii="Times New Roman" w:hAnsi="Times New Roman" w:cs="Times New Roman"/>
          <w:sz w:val="24"/>
          <w:szCs w:val="24"/>
        </w:rPr>
        <w:t xml:space="preserve"> </w:t>
      </w:r>
      <w:r w:rsidR="004451FD" w:rsidRPr="008E4844">
        <w:rPr>
          <w:rFonts w:ascii="Times New Roman" w:hAnsi="Times New Roman" w:cs="Times New Roman"/>
          <w:sz w:val="24"/>
          <w:szCs w:val="24"/>
        </w:rPr>
        <w:t>The 2024 Spring Budget introduced the productivity plan</w:t>
      </w:r>
      <w:r w:rsidR="000959E8" w:rsidRPr="008E4844">
        <w:rPr>
          <w:rFonts w:ascii="Times New Roman" w:hAnsi="Times New Roman" w:cs="Times New Roman"/>
          <w:sz w:val="24"/>
          <w:szCs w:val="24"/>
        </w:rPr>
        <w:t xml:space="preserve"> which</w:t>
      </w:r>
      <w:r w:rsidR="006D46AD" w:rsidRPr="008E4844">
        <w:rPr>
          <w:rFonts w:ascii="Times New Roman" w:hAnsi="Times New Roman" w:cs="Times New Roman"/>
          <w:sz w:val="24"/>
          <w:szCs w:val="24"/>
        </w:rPr>
        <w:t xml:space="preserve">, along with the </w:t>
      </w:r>
      <w:r w:rsidR="00261653" w:rsidRPr="008E4844">
        <w:rPr>
          <w:rFonts w:ascii="Times New Roman" w:hAnsi="Times New Roman" w:cs="Times New Roman"/>
          <w:sz w:val="24"/>
          <w:szCs w:val="24"/>
        </w:rPr>
        <w:t xml:space="preserve">NHS </w:t>
      </w:r>
      <w:r w:rsidR="006D46AD" w:rsidRPr="008E4844">
        <w:rPr>
          <w:rFonts w:ascii="Times New Roman" w:hAnsi="Times New Roman" w:cs="Times New Roman"/>
          <w:sz w:val="24"/>
          <w:szCs w:val="24"/>
        </w:rPr>
        <w:t>Long Term Workforce Plan</w:t>
      </w:r>
      <w:r w:rsidR="00265C92" w:rsidRPr="008E4844">
        <w:rPr>
          <w:rFonts w:ascii="Times New Roman" w:hAnsi="Times New Roman" w:cs="Times New Roman"/>
          <w:sz w:val="24"/>
          <w:szCs w:val="24"/>
        </w:rPr>
        <w:t xml:space="preserve"> (NHS England, 20</w:t>
      </w:r>
      <w:r w:rsidR="0067458D" w:rsidRPr="008E4844">
        <w:rPr>
          <w:rFonts w:ascii="Times New Roman" w:hAnsi="Times New Roman" w:cs="Times New Roman"/>
          <w:sz w:val="24"/>
          <w:szCs w:val="24"/>
        </w:rPr>
        <w:t>1</w:t>
      </w:r>
      <w:r w:rsidR="00265C92" w:rsidRPr="008E4844">
        <w:rPr>
          <w:rFonts w:ascii="Times New Roman" w:hAnsi="Times New Roman" w:cs="Times New Roman"/>
          <w:sz w:val="24"/>
          <w:szCs w:val="24"/>
        </w:rPr>
        <w:t>9)</w:t>
      </w:r>
      <w:r w:rsidR="006D46AD" w:rsidRPr="008E4844">
        <w:rPr>
          <w:rFonts w:ascii="Times New Roman" w:hAnsi="Times New Roman" w:cs="Times New Roman"/>
          <w:sz w:val="24"/>
          <w:szCs w:val="24"/>
        </w:rPr>
        <w:t>, aim</w:t>
      </w:r>
      <w:r w:rsidR="000959E8" w:rsidRPr="008E4844">
        <w:rPr>
          <w:rFonts w:ascii="Times New Roman" w:hAnsi="Times New Roman" w:cs="Times New Roman"/>
          <w:sz w:val="24"/>
          <w:szCs w:val="24"/>
        </w:rPr>
        <w:t>s</w:t>
      </w:r>
      <w:r w:rsidR="006D46AD" w:rsidRPr="008E4844">
        <w:rPr>
          <w:rFonts w:ascii="Times New Roman" w:hAnsi="Times New Roman" w:cs="Times New Roman"/>
          <w:sz w:val="24"/>
          <w:szCs w:val="24"/>
        </w:rPr>
        <w:t xml:space="preserve"> to </w:t>
      </w:r>
      <w:r w:rsidR="004451FD" w:rsidRPr="008E4844">
        <w:rPr>
          <w:rFonts w:ascii="Times New Roman" w:hAnsi="Times New Roman" w:cs="Times New Roman"/>
          <w:sz w:val="24"/>
          <w:szCs w:val="24"/>
        </w:rPr>
        <w:t xml:space="preserve">boost </w:t>
      </w:r>
      <w:r w:rsidR="006D46AD" w:rsidRPr="008E4844">
        <w:rPr>
          <w:rFonts w:ascii="Times New Roman" w:hAnsi="Times New Roman" w:cs="Times New Roman"/>
          <w:sz w:val="24"/>
          <w:szCs w:val="24"/>
        </w:rPr>
        <w:t>productivity by 2% per year.</w:t>
      </w:r>
      <w:r w:rsidR="00157350" w:rsidRPr="008E4844">
        <w:rPr>
          <w:sz w:val="24"/>
          <w:szCs w:val="24"/>
        </w:rPr>
        <w:t xml:space="preserve"> </w:t>
      </w:r>
    </w:p>
    <w:p w14:paraId="6EFABBE0" w14:textId="4A86B0C7" w:rsidR="003735BE" w:rsidRPr="008E4844" w:rsidRDefault="00B76300" w:rsidP="00615E9D">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GB"/>
        </w:rPr>
      </w:pPr>
      <w:r w:rsidRPr="008E4844">
        <w:rPr>
          <w:rFonts w:ascii="Times New Roman" w:eastAsia="Times New Roman" w:hAnsi="Times New Roman" w:cs="Times New Roman"/>
          <w:color w:val="000000"/>
          <w:sz w:val="24"/>
          <w:szCs w:val="24"/>
          <w:lang w:eastAsia="en-GB"/>
        </w:rPr>
        <w:t xml:space="preserve">The NHS Long Term Plan (2019) </w:t>
      </w:r>
      <w:r w:rsidR="002F3496" w:rsidRPr="008E4844">
        <w:rPr>
          <w:rFonts w:ascii="Times New Roman" w:eastAsia="Times New Roman" w:hAnsi="Times New Roman" w:cs="Times New Roman"/>
          <w:color w:val="000000"/>
          <w:sz w:val="24"/>
          <w:szCs w:val="24"/>
          <w:lang w:eastAsia="en-GB"/>
        </w:rPr>
        <w:t xml:space="preserve">also </w:t>
      </w:r>
      <w:r w:rsidRPr="008E4844">
        <w:rPr>
          <w:rFonts w:ascii="Times New Roman" w:eastAsia="Times New Roman" w:hAnsi="Times New Roman" w:cs="Times New Roman"/>
          <w:color w:val="000000"/>
          <w:sz w:val="24"/>
          <w:szCs w:val="24"/>
          <w:lang w:eastAsia="en-GB"/>
        </w:rPr>
        <w:t xml:space="preserve">argued that (commercial) innovations in the NHS could be exported, with the aid of central agencies. </w:t>
      </w:r>
      <w:r w:rsidR="00157350" w:rsidRPr="008E4844">
        <w:rPr>
          <w:rFonts w:ascii="Times New Roman" w:hAnsi="Times New Roman" w:cs="Times New Roman"/>
          <w:sz w:val="24"/>
          <w:szCs w:val="24"/>
        </w:rPr>
        <w:t xml:space="preserve">Following the </w:t>
      </w:r>
      <w:r w:rsidR="00437EA0">
        <w:rPr>
          <w:rFonts w:ascii="Times New Roman" w:hAnsi="Times New Roman" w:cs="Times New Roman"/>
          <w:sz w:val="24"/>
          <w:szCs w:val="24"/>
        </w:rPr>
        <w:t>C</w:t>
      </w:r>
      <w:r w:rsidR="00157350" w:rsidRPr="008E4844">
        <w:rPr>
          <w:rFonts w:ascii="Times New Roman" w:hAnsi="Times New Roman" w:cs="Times New Roman"/>
          <w:sz w:val="24"/>
          <w:szCs w:val="24"/>
        </w:rPr>
        <w:t xml:space="preserve">ovid-19 pandemic (and </w:t>
      </w:r>
      <w:r w:rsidR="00296BF2" w:rsidRPr="008E4844">
        <w:rPr>
          <w:rFonts w:ascii="Times New Roman" w:hAnsi="Times New Roman" w:cs="Times New Roman"/>
          <w:sz w:val="24"/>
          <w:szCs w:val="24"/>
        </w:rPr>
        <w:t>because of</w:t>
      </w:r>
      <w:r w:rsidR="00157350" w:rsidRPr="008E4844">
        <w:rPr>
          <w:rFonts w:ascii="Times New Roman" w:hAnsi="Times New Roman" w:cs="Times New Roman"/>
          <w:sz w:val="24"/>
          <w:szCs w:val="24"/>
        </w:rPr>
        <w:t xml:space="preserve"> its financial consequences for the public finances), NHS England (NHS 2022) expects</w:t>
      </w:r>
      <w:r w:rsidR="00157350" w:rsidRPr="008E4844">
        <w:rPr>
          <w:rFonts w:ascii="Times New Roman" w:eastAsia="Times New Roman" w:hAnsi="Times New Roman" w:cs="Times New Roman"/>
          <w:color w:val="000000"/>
          <w:sz w:val="24"/>
          <w:szCs w:val="24"/>
          <w:lang w:eastAsia="en-GB"/>
        </w:rPr>
        <w:t xml:space="preserve"> </w:t>
      </w:r>
      <w:r w:rsidRPr="008E4844">
        <w:rPr>
          <w:rFonts w:ascii="Times New Roman" w:eastAsia="Times New Roman" w:hAnsi="Times New Roman" w:cs="Times New Roman"/>
          <w:color w:val="000000"/>
          <w:sz w:val="24"/>
          <w:szCs w:val="24"/>
          <w:lang w:eastAsia="en-GB"/>
        </w:rPr>
        <w:t xml:space="preserve">Trusts ‘to actively explore and develop opportunities to recover and, where appropriate, grow their external (non-NHS) income. Whilst continuing the focus and priority on core NHS service delivery, it is expected that the NHS will return to working towards securing the benchmarked potential for commercial income growth, overseas visitor cost recovery and private patient services’ (NHS 2022, para 151). </w:t>
      </w:r>
    </w:p>
    <w:p w14:paraId="3DCCE7D4" w14:textId="60808C80" w:rsidR="00D82E85" w:rsidRPr="008E4844" w:rsidRDefault="00611217" w:rsidP="00615E9D">
      <w:pPr>
        <w:shd w:val="clear" w:color="auto" w:fill="FFFFFF"/>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GB"/>
        </w:rPr>
      </w:pPr>
      <w:r w:rsidRPr="008E4844">
        <w:rPr>
          <w:rFonts w:ascii="Times New Roman" w:eastAsia="Times New Roman" w:hAnsi="Times New Roman" w:cs="Times New Roman"/>
          <w:color w:val="000000"/>
          <w:sz w:val="24"/>
          <w:szCs w:val="24"/>
          <w:lang w:eastAsia="en-GB"/>
        </w:rPr>
        <w:t>A</w:t>
      </w:r>
      <w:r w:rsidR="00B76300" w:rsidRPr="008E4844">
        <w:rPr>
          <w:rFonts w:ascii="Times New Roman" w:eastAsia="Times New Roman" w:hAnsi="Times New Roman" w:cs="Times New Roman"/>
          <w:color w:val="000000"/>
          <w:sz w:val="24"/>
          <w:szCs w:val="24"/>
          <w:lang w:eastAsia="en-GB"/>
        </w:rPr>
        <w:t xml:space="preserve">cknowledging the complexity and political sensitivity of international commercial activity, it is </w:t>
      </w:r>
      <w:r w:rsidR="00637DAC" w:rsidRPr="008E4844">
        <w:rPr>
          <w:rFonts w:ascii="Times New Roman" w:eastAsia="Times New Roman" w:hAnsi="Times New Roman" w:cs="Times New Roman"/>
          <w:color w:val="000000"/>
          <w:sz w:val="24"/>
          <w:szCs w:val="24"/>
          <w:lang w:eastAsia="en-GB"/>
        </w:rPr>
        <w:t xml:space="preserve">seen </w:t>
      </w:r>
      <w:r w:rsidR="00B76300" w:rsidRPr="008E4844">
        <w:rPr>
          <w:rFonts w:ascii="Times New Roman" w:eastAsia="Times New Roman" w:hAnsi="Times New Roman" w:cs="Times New Roman"/>
          <w:color w:val="000000"/>
          <w:sz w:val="24"/>
          <w:szCs w:val="24"/>
          <w:lang w:eastAsia="en-GB"/>
        </w:rPr>
        <w:t xml:space="preserve">as </w:t>
      </w:r>
      <w:r w:rsidR="00637DAC" w:rsidRPr="008E4844">
        <w:rPr>
          <w:rFonts w:ascii="Times New Roman" w:eastAsia="Times New Roman" w:hAnsi="Times New Roman" w:cs="Times New Roman"/>
          <w:color w:val="000000"/>
          <w:sz w:val="24"/>
          <w:szCs w:val="24"/>
          <w:lang w:eastAsia="en-GB"/>
        </w:rPr>
        <w:t xml:space="preserve">an </w:t>
      </w:r>
      <w:r w:rsidR="00B76300" w:rsidRPr="008E4844">
        <w:rPr>
          <w:rFonts w:ascii="Times New Roman" w:eastAsia="Times New Roman" w:hAnsi="Times New Roman" w:cs="Times New Roman"/>
          <w:color w:val="000000"/>
          <w:sz w:val="24"/>
          <w:szCs w:val="24"/>
          <w:lang w:eastAsia="en-GB"/>
        </w:rPr>
        <w:t xml:space="preserve">opportunity to improve NHS services in ways that include revenue, reputation, research and funding, recruitment and retention, </w:t>
      </w:r>
      <w:r w:rsidR="007254E7" w:rsidRPr="008E4844">
        <w:rPr>
          <w:rFonts w:ascii="Times New Roman" w:eastAsia="Times New Roman" w:hAnsi="Times New Roman" w:cs="Times New Roman"/>
          <w:color w:val="000000"/>
          <w:sz w:val="24"/>
          <w:szCs w:val="24"/>
          <w:lang w:eastAsia="en-GB"/>
        </w:rPr>
        <w:t xml:space="preserve">and </w:t>
      </w:r>
      <w:r w:rsidR="00B76300" w:rsidRPr="008E4844">
        <w:rPr>
          <w:rFonts w:ascii="Times New Roman" w:eastAsia="Times New Roman" w:hAnsi="Times New Roman" w:cs="Times New Roman"/>
          <w:color w:val="000000"/>
          <w:sz w:val="24"/>
          <w:szCs w:val="24"/>
          <w:lang w:eastAsia="en-GB"/>
        </w:rPr>
        <w:t>reach (NHS Confederation 2021, 4-5).</w:t>
      </w:r>
      <w:r w:rsidR="008639C8" w:rsidRPr="008E4844">
        <w:rPr>
          <w:rFonts w:ascii="Times New Roman" w:eastAsia="Times New Roman" w:hAnsi="Times New Roman" w:cs="Times New Roman"/>
          <w:color w:val="000000"/>
          <w:sz w:val="24"/>
          <w:szCs w:val="24"/>
          <w:lang w:eastAsia="en-GB"/>
        </w:rPr>
        <w:t xml:space="preserve">  </w:t>
      </w:r>
      <w:r w:rsidR="00A243DA" w:rsidRPr="008E4844">
        <w:rPr>
          <w:rFonts w:ascii="Times New Roman" w:hAnsi="Times New Roman" w:cs="Times New Roman"/>
          <w:sz w:val="24"/>
          <w:szCs w:val="24"/>
        </w:rPr>
        <w:t>G</w:t>
      </w:r>
      <w:r w:rsidR="00231AA8" w:rsidRPr="008E4844">
        <w:rPr>
          <w:rFonts w:ascii="Times New Roman" w:hAnsi="Times New Roman" w:cs="Times New Roman"/>
          <w:sz w:val="24"/>
          <w:szCs w:val="24"/>
        </w:rPr>
        <w:t>overnance</w:t>
      </w:r>
      <w:r w:rsidR="00490B0E" w:rsidRPr="008E4844">
        <w:rPr>
          <w:rFonts w:ascii="Times New Roman" w:hAnsi="Times New Roman" w:cs="Times New Roman"/>
          <w:sz w:val="24"/>
          <w:szCs w:val="24"/>
        </w:rPr>
        <w:t xml:space="preserve"> </w:t>
      </w:r>
      <w:r w:rsidR="00F756A5" w:rsidRPr="008E4844">
        <w:rPr>
          <w:rFonts w:ascii="Times New Roman" w:hAnsi="Times New Roman" w:cs="Times New Roman"/>
          <w:sz w:val="24"/>
          <w:szCs w:val="24"/>
        </w:rPr>
        <w:t xml:space="preserve">of </w:t>
      </w:r>
      <w:r w:rsidR="00231AA8" w:rsidRPr="008E4844">
        <w:rPr>
          <w:rFonts w:ascii="Times New Roman" w:hAnsi="Times New Roman" w:cs="Times New Roman"/>
          <w:sz w:val="24"/>
          <w:szCs w:val="24"/>
        </w:rPr>
        <w:t>international income</w:t>
      </w:r>
      <w:r w:rsidR="0067458D" w:rsidRPr="008E4844">
        <w:rPr>
          <w:rFonts w:ascii="Times New Roman" w:eastAsia="Times New Roman" w:hAnsi="Times New Roman" w:cs="Times New Roman"/>
          <w:sz w:val="24"/>
          <w:szCs w:val="24"/>
        </w:rPr>
        <w:t xml:space="preserve"> require</w:t>
      </w:r>
      <w:r w:rsidR="00637DAC" w:rsidRPr="008E4844">
        <w:rPr>
          <w:rFonts w:ascii="Times New Roman" w:eastAsia="Times New Roman" w:hAnsi="Times New Roman" w:cs="Times New Roman"/>
          <w:sz w:val="24"/>
          <w:szCs w:val="24"/>
        </w:rPr>
        <w:t xml:space="preserve"> </w:t>
      </w:r>
      <w:r w:rsidR="008E51A2" w:rsidRPr="008E4844">
        <w:rPr>
          <w:rFonts w:ascii="Times New Roman" w:eastAsia="Times New Roman" w:hAnsi="Times New Roman" w:cs="Times New Roman"/>
          <w:sz w:val="24"/>
          <w:szCs w:val="24"/>
        </w:rPr>
        <w:t xml:space="preserve">that </w:t>
      </w:r>
      <w:r w:rsidR="008639C8" w:rsidRPr="008E4844">
        <w:rPr>
          <w:rFonts w:ascii="Times New Roman" w:eastAsia="Times New Roman" w:hAnsi="Times New Roman" w:cs="Times New Roman"/>
          <w:sz w:val="24"/>
          <w:szCs w:val="24"/>
        </w:rPr>
        <w:t xml:space="preserve">Trust </w:t>
      </w:r>
      <w:r w:rsidR="00231AA8" w:rsidRPr="008E4844">
        <w:rPr>
          <w:rFonts w:ascii="Times New Roman" w:eastAsia="Times New Roman" w:hAnsi="Times New Roman" w:cs="Times New Roman"/>
          <w:sz w:val="24"/>
          <w:szCs w:val="24"/>
        </w:rPr>
        <w:t>Annual Reports</w:t>
      </w:r>
      <w:r w:rsidR="00637DAC" w:rsidRPr="008E4844">
        <w:rPr>
          <w:rFonts w:ascii="Times New Roman" w:eastAsia="Times New Roman" w:hAnsi="Times New Roman" w:cs="Times New Roman"/>
          <w:sz w:val="24"/>
          <w:szCs w:val="24"/>
        </w:rPr>
        <w:t xml:space="preserve"> </w:t>
      </w:r>
      <w:r w:rsidR="00231AA8" w:rsidRPr="008E4844">
        <w:rPr>
          <w:rFonts w:ascii="Times New Roman" w:eastAsia="Times New Roman" w:hAnsi="Times New Roman" w:cs="Times New Roman"/>
          <w:sz w:val="24"/>
          <w:szCs w:val="24"/>
        </w:rPr>
        <w:t xml:space="preserve">detail the impact of such </w:t>
      </w:r>
      <w:r w:rsidR="00490B0E" w:rsidRPr="008E4844">
        <w:rPr>
          <w:rFonts w:ascii="Times New Roman" w:eastAsia="Times New Roman" w:hAnsi="Times New Roman" w:cs="Times New Roman"/>
          <w:sz w:val="24"/>
          <w:szCs w:val="24"/>
        </w:rPr>
        <w:t xml:space="preserve">commercial </w:t>
      </w:r>
      <w:r w:rsidR="00231AA8" w:rsidRPr="008E4844">
        <w:rPr>
          <w:rFonts w:ascii="Times New Roman" w:eastAsia="Times New Roman" w:hAnsi="Times New Roman" w:cs="Times New Roman"/>
          <w:sz w:val="24"/>
          <w:szCs w:val="24"/>
        </w:rPr>
        <w:t>income for its core business</w:t>
      </w:r>
      <w:r w:rsidR="00231AA8" w:rsidRPr="008E4844">
        <w:rPr>
          <w:rFonts w:ascii="Times New Roman" w:hAnsi="Times New Roman" w:cs="Times New Roman"/>
          <w:sz w:val="24"/>
          <w:szCs w:val="24"/>
        </w:rPr>
        <w:t xml:space="preserve"> (DH 2011) </w:t>
      </w:r>
      <w:r w:rsidR="00231AA8" w:rsidRPr="008E4844">
        <w:rPr>
          <w:rFonts w:ascii="Times New Roman" w:eastAsia="Times New Roman" w:hAnsi="Times New Roman" w:cs="Times New Roman"/>
          <w:sz w:val="24"/>
          <w:szCs w:val="24"/>
        </w:rPr>
        <w:t xml:space="preserve">and increases of 5% or more in private sector income require board level </w:t>
      </w:r>
      <w:r w:rsidR="008639C8" w:rsidRPr="008E4844">
        <w:rPr>
          <w:rFonts w:ascii="Times New Roman" w:eastAsia="Times New Roman" w:hAnsi="Times New Roman" w:cs="Times New Roman"/>
          <w:sz w:val="24"/>
          <w:szCs w:val="24"/>
        </w:rPr>
        <w:t xml:space="preserve">approval </w:t>
      </w:r>
      <w:r w:rsidR="00231AA8" w:rsidRPr="008E4844">
        <w:rPr>
          <w:rFonts w:ascii="Times New Roman" w:eastAsia="Times New Roman" w:hAnsi="Times New Roman" w:cs="Times New Roman"/>
          <w:sz w:val="24"/>
          <w:szCs w:val="24"/>
        </w:rPr>
        <w:t xml:space="preserve">(DH 2011). </w:t>
      </w:r>
    </w:p>
    <w:p w14:paraId="488A0DA9" w14:textId="77777777" w:rsidR="006848DD" w:rsidRDefault="006848DD" w:rsidP="00615E9D">
      <w:pPr>
        <w:autoSpaceDE w:val="0"/>
        <w:autoSpaceDN w:val="0"/>
        <w:adjustRightInd w:val="0"/>
        <w:spacing w:before="100" w:beforeAutospacing="1" w:after="100" w:afterAutospacing="1" w:line="360" w:lineRule="auto"/>
        <w:rPr>
          <w:rFonts w:ascii="Times New Roman" w:eastAsia="Times New Roman" w:hAnsi="Times New Roman" w:cs="Times New Roman"/>
          <w:b/>
          <w:bCs/>
          <w:i/>
          <w:iCs/>
          <w:color w:val="000000"/>
          <w:sz w:val="24"/>
          <w:szCs w:val="24"/>
          <w:lang w:eastAsia="en-GB"/>
        </w:rPr>
      </w:pPr>
    </w:p>
    <w:p w14:paraId="34610E3F" w14:textId="77777777" w:rsidR="006848DD" w:rsidRDefault="006848DD" w:rsidP="00615E9D">
      <w:pPr>
        <w:autoSpaceDE w:val="0"/>
        <w:autoSpaceDN w:val="0"/>
        <w:adjustRightInd w:val="0"/>
        <w:spacing w:before="100" w:beforeAutospacing="1" w:after="100" w:afterAutospacing="1" w:line="360" w:lineRule="auto"/>
        <w:rPr>
          <w:rFonts w:ascii="Times New Roman" w:eastAsia="Times New Roman" w:hAnsi="Times New Roman" w:cs="Times New Roman"/>
          <w:b/>
          <w:bCs/>
          <w:i/>
          <w:iCs/>
          <w:color w:val="000000"/>
          <w:sz w:val="24"/>
          <w:szCs w:val="24"/>
          <w:lang w:eastAsia="en-GB"/>
        </w:rPr>
      </w:pPr>
    </w:p>
    <w:p w14:paraId="22731E63" w14:textId="0C04EF68" w:rsidR="00F756A5" w:rsidRPr="008E4844" w:rsidRDefault="00F756A5" w:rsidP="00615E9D">
      <w:pPr>
        <w:autoSpaceDE w:val="0"/>
        <w:autoSpaceDN w:val="0"/>
        <w:adjustRightInd w:val="0"/>
        <w:spacing w:before="100" w:beforeAutospacing="1" w:after="100" w:afterAutospacing="1" w:line="360" w:lineRule="auto"/>
        <w:rPr>
          <w:rFonts w:ascii="Times New Roman" w:eastAsia="Times New Roman" w:hAnsi="Times New Roman" w:cs="Times New Roman"/>
          <w:b/>
          <w:bCs/>
          <w:i/>
          <w:iCs/>
          <w:color w:val="000000"/>
          <w:sz w:val="24"/>
          <w:szCs w:val="24"/>
          <w:lang w:eastAsia="en-GB"/>
        </w:rPr>
      </w:pPr>
      <w:r w:rsidRPr="008E4844">
        <w:rPr>
          <w:rFonts w:ascii="Times New Roman" w:eastAsia="Times New Roman" w:hAnsi="Times New Roman" w:cs="Times New Roman"/>
          <w:b/>
          <w:bCs/>
          <w:i/>
          <w:iCs/>
          <w:color w:val="000000"/>
          <w:sz w:val="24"/>
          <w:szCs w:val="24"/>
          <w:lang w:eastAsia="en-GB"/>
        </w:rPr>
        <w:lastRenderedPageBreak/>
        <w:t>The case of GOSH</w:t>
      </w:r>
    </w:p>
    <w:p w14:paraId="597FE1CF" w14:textId="6B62DF54" w:rsidR="00874754" w:rsidRPr="00F94216" w:rsidRDefault="00B73897" w:rsidP="00615E9D">
      <w:pPr>
        <w:autoSpaceDE w:val="0"/>
        <w:autoSpaceDN w:val="0"/>
        <w:adjustRightInd w:val="0"/>
        <w:spacing w:before="100" w:beforeAutospacing="1" w:after="100" w:afterAutospacing="1"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GOSH is a prime example of a children’s hospital engaged in international patient activity, as illustrated by earlier research (Exworthy et al. 2024).  </w:t>
      </w:r>
      <w:r w:rsidR="006673F2" w:rsidRPr="008E4844">
        <w:rPr>
          <w:rFonts w:ascii="Times New Roman" w:eastAsia="Times New Roman" w:hAnsi="Times New Roman" w:cs="Times New Roman"/>
          <w:color w:val="000000"/>
          <w:sz w:val="24"/>
          <w:szCs w:val="24"/>
          <w:lang w:eastAsia="en-GB"/>
        </w:rPr>
        <w:t xml:space="preserve">Engaging in international </w:t>
      </w:r>
      <w:r w:rsidR="00E80FC7" w:rsidRPr="008E4844">
        <w:rPr>
          <w:rFonts w:ascii="Times New Roman" w:eastAsia="Times New Roman" w:hAnsi="Times New Roman" w:cs="Times New Roman"/>
          <w:color w:val="000000"/>
          <w:sz w:val="24"/>
          <w:szCs w:val="24"/>
          <w:lang w:eastAsia="en-GB"/>
        </w:rPr>
        <w:t xml:space="preserve">patient activities requires </w:t>
      </w:r>
      <w:r w:rsidR="00D71F92" w:rsidRPr="008E4844">
        <w:rPr>
          <w:rFonts w:ascii="Times New Roman" w:eastAsia="Times New Roman" w:hAnsi="Times New Roman" w:cs="Times New Roman"/>
          <w:i/>
          <w:iCs/>
          <w:color w:val="000000"/>
          <w:sz w:val="24"/>
          <w:szCs w:val="24"/>
          <w:lang w:eastAsia="en-GB"/>
        </w:rPr>
        <w:t>capability</w:t>
      </w:r>
      <w:r w:rsidR="00A17F1C" w:rsidRPr="008E4844">
        <w:rPr>
          <w:rFonts w:ascii="Times New Roman" w:eastAsia="Times New Roman" w:hAnsi="Times New Roman" w:cs="Times New Roman"/>
          <w:color w:val="000000"/>
          <w:sz w:val="24"/>
          <w:szCs w:val="24"/>
          <w:lang w:eastAsia="en-GB"/>
        </w:rPr>
        <w:t xml:space="preserve"> (</w:t>
      </w:r>
      <w:r w:rsidR="006848DD">
        <w:rPr>
          <w:rFonts w:ascii="Times New Roman" w:eastAsia="Times New Roman" w:hAnsi="Times New Roman" w:cs="Times New Roman"/>
          <w:color w:val="000000"/>
          <w:sz w:val="24"/>
          <w:szCs w:val="24"/>
          <w:lang w:eastAsia="en-GB"/>
        </w:rPr>
        <w:t xml:space="preserve">acknowledged </w:t>
      </w:r>
      <w:r w:rsidR="006971B5" w:rsidRPr="008E4844">
        <w:rPr>
          <w:rFonts w:ascii="Times New Roman" w:eastAsia="Times New Roman" w:hAnsi="Times New Roman" w:cs="Times New Roman"/>
          <w:color w:val="000000"/>
          <w:sz w:val="24"/>
          <w:szCs w:val="24"/>
          <w:lang w:eastAsia="en-GB"/>
        </w:rPr>
        <w:t>expertise and reputation)</w:t>
      </w:r>
      <w:r w:rsidR="00D71F92" w:rsidRPr="008E4844">
        <w:rPr>
          <w:rFonts w:ascii="Times New Roman" w:eastAsia="Times New Roman" w:hAnsi="Times New Roman" w:cs="Times New Roman"/>
          <w:color w:val="000000"/>
          <w:sz w:val="24"/>
          <w:szCs w:val="24"/>
          <w:lang w:eastAsia="en-GB"/>
        </w:rPr>
        <w:t xml:space="preserve">, </w:t>
      </w:r>
      <w:r w:rsidR="00D71F92" w:rsidRPr="008E4844">
        <w:rPr>
          <w:rFonts w:ascii="Times New Roman" w:eastAsia="Times New Roman" w:hAnsi="Times New Roman" w:cs="Times New Roman"/>
          <w:i/>
          <w:iCs/>
          <w:color w:val="000000"/>
          <w:sz w:val="24"/>
          <w:szCs w:val="24"/>
          <w:lang w:eastAsia="en-GB"/>
        </w:rPr>
        <w:t>opportunity</w:t>
      </w:r>
      <w:r w:rsidR="006971B5" w:rsidRPr="008E4844">
        <w:rPr>
          <w:rFonts w:ascii="Times New Roman" w:eastAsia="Times New Roman" w:hAnsi="Times New Roman" w:cs="Times New Roman"/>
          <w:color w:val="000000"/>
          <w:sz w:val="24"/>
          <w:szCs w:val="24"/>
          <w:lang w:eastAsia="en-GB"/>
        </w:rPr>
        <w:t xml:space="preserve"> (</w:t>
      </w:r>
      <w:r w:rsidR="00760C70" w:rsidRPr="008E4844">
        <w:rPr>
          <w:rFonts w:ascii="Times New Roman" w:eastAsia="Times New Roman" w:hAnsi="Times New Roman" w:cs="Times New Roman"/>
          <w:color w:val="000000"/>
          <w:sz w:val="24"/>
          <w:szCs w:val="24"/>
          <w:lang w:eastAsia="en-GB"/>
        </w:rPr>
        <w:t xml:space="preserve">removal of </w:t>
      </w:r>
      <w:r w:rsidR="006971B5" w:rsidRPr="008E4844">
        <w:rPr>
          <w:rFonts w:ascii="Times New Roman" w:eastAsia="Times New Roman" w:hAnsi="Times New Roman" w:cs="Times New Roman"/>
          <w:color w:val="000000"/>
          <w:sz w:val="24"/>
          <w:szCs w:val="24"/>
          <w:lang w:eastAsia="en-GB"/>
        </w:rPr>
        <w:t>external constraints</w:t>
      </w:r>
      <w:r w:rsidR="00760C70" w:rsidRPr="008E4844">
        <w:rPr>
          <w:rFonts w:ascii="Times New Roman" w:eastAsia="Times New Roman" w:hAnsi="Times New Roman" w:cs="Times New Roman"/>
          <w:color w:val="000000"/>
          <w:sz w:val="24"/>
          <w:szCs w:val="24"/>
          <w:lang w:eastAsia="en-GB"/>
        </w:rPr>
        <w:t xml:space="preserve"> </w:t>
      </w:r>
      <w:r w:rsidR="006971B5" w:rsidRPr="008E4844">
        <w:rPr>
          <w:rFonts w:ascii="Times New Roman" w:eastAsia="Times New Roman" w:hAnsi="Times New Roman" w:cs="Times New Roman"/>
          <w:color w:val="000000"/>
          <w:sz w:val="24"/>
          <w:szCs w:val="24"/>
          <w:lang w:eastAsia="en-GB"/>
        </w:rPr>
        <w:t>and</w:t>
      </w:r>
      <w:r w:rsidR="00760C70" w:rsidRPr="008E4844">
        <w:rPr>
          <w:rFonts w:ascii="Times New Roman" w:eastAsia="Times New Roman" w:hAnsi="Times New Roman" w:cs="Times New Roman"/>
          <w:color w:val="000000"/>
          <w:sz w:val="24"/>
          <w:szCs w:val="24"/>
          <w:lang w:eastAsia="en-GB"/>
        </w:rPr>
        <w:t xml:space="preserve"> positive</w:t>
      </w:r>
      <w:r w:rsidR="006971B5" w:rsidRPr="008E4844">
        <w:rPr>
          <w:rFonts w:ascii="Times New Roman" w:eastAsia="Times New Roman" w:hAnsi="Times New Roman" w:cs="Times New Roman"/>
          <w:color w:val="000000"/>
          <w:sz w:val="24"/>
          <w:szCs w:val="24"/>
          <w:lang w:eastAsia="en-GB"/>
        </w:rPr>
        <w:t xml:space="preserve"> </w:t>
      </w:r>
      <w:r w:rsidR="005E463A" w:rsidRPr="008E4844">
        <w:rPr>
          <w:rFonts w:ascii="Times New Roman" w:eastAsia="Times New Roman" w:hAnsi="Times New Roman" w:cs="Times New Roman"/>
          <w:color w:val="000000"/>
          <w:sz w:val="24"/>
          <w:szCs w:val="24"/>
          <w:lang w:eastAsia="en-GB"/>
        </w:rPr>
        <w:t>encouragement)</w:t>
      </w:r>
      <w:r w:rsidR="00D71F92" w:rsidRPr="008E4844">
        <w:rPr>
          <w:rFonts w:ascii="Times New Roman" w:eastAsia="Times New Roman" w:hAnsi="Times New Roman" w:cs="Times New Roman"/>
          <w:color w:val="000000"/>
          <w:sz w:val="24"/>
          <w:szCs w:val="24"/>
          <w:lang w:eastAsia="en-GB"/>
        </w:rPr>
        <w:t xml:space="preserve"> and </w:t>
      </w:r>
      <w:r w:rsidR="00D71F92" w:rsidRPr="008E4844">
        <w:rPr>
          <w:rFonts w:ascii="Times New Roman" w:eastAsia="Times New Roman" w:hAnsi="Times New Roman" w:cs="Times New Roman"/>
          <w:i/>
          <w:iCs/>
          <w:color w:val="000000"/>
          <w:sz w:val="24"/>
          <w:szCs w:val="24"/>
          <w:lang w:eastAsia="en-GB"/>
        </w:rPr>
        <w:t>motivation</w:t>
      </w:r>
      <w:r w:rsidR="005E463A" w:rsidRPr="008E4844">
        <w:rPr>
          <w:rFonts w:ascii="Times New Roman" w:eastAsia="Times New Roman" w:hAnsi="Times New Roman" w:cs="Times New Roman"/>
          <w:color w:val="000000"/>
          <w:sz w:val="24"/>
          <w:szCs w:val="24"/>
          <w:lang w:eastAsia="en-GB"/>
        </w:rPr>
        <w:t xml:space="preserve"> (</w:t>
      </w:r>
      <w:r w:rsidR="00760C70" w:rsidRPr="008E4844">
        <w:rPr>
          <w:rFonts w:ascii="Times New Roman" w:eastAsia="Times New Roman" w:hAnsi="Times New Roman" w:cs="Times New Roman"/>
          <w:color w:val="000000"/>
          <w:sz w:val="24"/>
          <w:szCs w:val="24"/>
          <w:lang w:eastAsia="en-GB"/>
        </w:rPr>
        <w:t xml:space="preserve">institutional </w:t>
      </w:r>
      <w:r w:rsidR="005E463A" w:rsidRPr="008E4844">
        <w:rPr>
          <w:rFonts w:ascii="Times New Roman" w:eastAsia="Times New Roman" w:hAnsi="Times New Roman" w:cs="Times New Roman"/>
          <w:color w:val="000000"/>
          <w:sz w:val="24"/>
          <w:szCs w:val="24"/>
          <w:lang w:eastAsia="en-GB"/>
        </w:rPr>
        <w:t>interest in</w:t>
      </w:r>
      <w:r w:rsidR="00490B0E" w:rsidRPr="008E4844">
        <w:rPr>
          <w:rFonts w:ascii="Times New Roman" w:eastAsia="Times New Roman" w:hAnsi="Times New Roman" w:cs="Times New Roman"/>
          <w:color w:val="000000"/>
          <w:sz w:val="24"/>
          <w:szCs w:val="24"/>
          <w:lang w:eastAsia="en-GB"/>
        </w:rPr>
        <w:t>,</w:t>
      </w:r>
      <w:r w:rsidR="008E51A2" w:rsidRPr="008E4844">
        <w:rPr>
          <w:rFonts w:ascii="Times New Roman" w:eastAsia="Times New Roman" w:hAnsi="Times New Roman" w:cs="Times New Roman"/>
          <w:color w:val="000000"/>
          <w:sz w:val="24"/>
          <w:szCs w:val="24"/>
          <w:lang w:eastAsia="en-GB"/>
        </w:rPr>
        <w:t xml:space="preserve"> and arrangements for</w:t>
      </w:r>
      <w:r w:rsidR="00490B0E" w:rsidRPr="008E4844">
        <w:rPr>
          <w:rFonts w:ascii="Times New Roman" w:eastAsia="Times New Roman" w:hAnsi="Times New Roman" w:cs="Times New Roman"/>
          <w:color w:val="000000"/>
          <w:sz w:val="24"/>
          <w:szCs w:val="24"/>
          <w:lang w:eastAsia="en-GB"/>
        </w:rPr>
        <w:t>,</w:t>
      </w:r>
      <w:r w:rsidR="005E463A" w:rsidRPr="008E4844">
        <w:rPr>
          <w:rFonts w:ascii="Times New Roman" w:eastAsia="Times New Roman" w:hAnsi="Times New Roman" w:cs="Times New Roman"/>
          <w:color w:val="000000"/>
          <w:sz w:val="24"/>
          <w:szCs w:val="24"/>
          <w:lang w:eastAsia="en-GB"/>
        </w:rPr>
        <w:t xml:space="preserve"> raising additional income)</w:t>
      </w:r>
      <w:r w:rsidR="00D71F92" w:rsidRPr="008E4844">
        <w:rPr>
          <w:rFonts w:ascii="Times New Roman" w:eastAsia="Times New Roman" w:hAnsi="Times New Roman" w:cs="Times New Roman"/>
          <w:color w:val="000000"/>
          <w:sz w:val="24"/>
          <w:szCs w:val="24"/>
          <w:lang w:eastAsia="en-GB"/>
        </w:rPr>
        <w:t>.</w:t>
      </w:r>
      <w:r w:rsidR="005E463A" w:rsidRPr="008E4844">
        <w:rPr>
          <w:rFonts w:ascii="Times New Roman" w:eastAsia="Times New Roman" w:hAnsi="Times New Roman" w:cs="Times New Roman"/>
          <w:color w:val="000000"/>
          <w:sz w:val="24"/>
          <w:szCs w:val="24"/>
          <w:lang w:eastAsia="en-GB"/>
        </w:rPr>
        <w:t xml:space="preserve">  </w:t>
      </w:r>
      <w:r w:rsidR="003578B3" w:rsidRPr="008E4844">
        <w:rPr>
          <w:rFonts w:ascii="Times New Roman" w:eastAsia="Times New Roman" w:hAnsi="Times New Roman" w:cs="Times New Roman"/>
          <w:color w:val="000000"/>
          <w:sz w:val="24"/>
          <w:szCs w:val="24"/>
          <w:lang w:eastAsia="en-GB"/>
        </w:rPr>
        <w:t>T</w:t>
      </w:r>
      <w:r w:rsidR="002D58F7" w:rsidRPr="008E4844">
        <w:rPr>
          <w:rFonts w:ascii="Times New Roman" w:eastAsia="Times New Roman" w:hAnsi="Times New Roman" w:cs="Times New Roman"/>
          <w:color w:val="000000"/>
          <w:sz w:val="24"/>
          <w:szCs w:val="24"/>
          <w:lang w:eastAsia="en-GB"/>
        </w:rPr>
        <w:t>hese</w:t>
      </w:r>
      <w:r w:rsidR="008B4C75" w:rsidRPr="008E4844">
        <w:rPr>
          <w:rFonts w:ascii="Times New Roman" w:eastAsia="Times New Roman" w:hAnsi="Times New Roman" w:cs="Times New Roman"/>
          <w:color w:val="000000"/>
          <w:sz w:val="24"/>
          <w:szCs w:val="24"/>
          <w:lang w:eastAsia="en-GB"/>
        </w:rPr>
        <w:t xml:space="preserve"> are</w:t>
      </w:r>
      <w:r w:rsidR="002D58F7" w:rsidRPr="008E4844">
        <w:rPr>
          <w:rFonts w:ascii="Times New Roman" w:eastAsia="Times New Roman" w:hAnsi="Times New Roman" w:cs="Times New Roman"/>
          <w:color w:val="000000"/>
          <w:sz w:val="24"/>
          <w:szCs w:val="24"/>
          <w:lang w:eastAsia="en-GB"/>
        </w:rPr>
        <w:t xml:space="preserve"> evidenced </w:t>
      </w:r>
      <w:r w:rsidR="00E82E39" w:rsidRPr="008E4844">
        <w:rPr>
          <w:rFonts w:ascii="Times New Roman" w:eastAsia="Times New Roman" w:hAnsi="Times New Roman" w:cs="Times New Roman"/>
          <w:color w:val="000000"/>
          <w:sz w:val="24"/>
          <w:szCs w:val="24"/>
          <w:lang w:eastAsia="en-GB"/>
        </w:rPr>
        <w:t>throug</w:t>
      </w:r>
      <w:r w:rsidR="003578B3" w:rsidRPr="008E4844">
        <w:rPr>
          <w:rFonts w:ascii="Times New Roman" w:eastAsia="Times New Roman" w:hAnsi="Times New Roman" w:cs="Times New Roman"/>
          <w:color w:val="000000"/>
          <w:sz w:val="24"/>
          <w:szCs w:val="24"/>
          <w:lang w:eastAsia="en-GB"/>
        </w:rPr>
        <w:t>h our</w:t>
      </w:r>
      <w:r w:rsidR="00DC13D5" w:rsidRPr="008E4844">
        <w:rPr>
          <w:rFonts w:ascii="Times New Roman" w:eastAsia="Times New Roman" w:hAnsi="Times New Roman" w:cs="Times New Roman"/>
          <w:color w:val="000000"/>
          <w:sz w:val="24"/>
          <w:szCs w:val="24"/>
          <w:lang w:eastAsia="en-GB"/>
        </w:rPr>
        <w:t xml:space="preserve"> case study of </w:t>
      </w:r>
      <w:r w:rsidR="008E4844" w:rsidRPr="008E4844">
        <w:rPr>
          <w:rFonts w:ascii="Times New Roman" w:hAnsi="Times New Roman" w:cs="Times New Roman"/>
          <w:iCs/>
          <w:sz w:val="24"/>
          <w:szCs w:val="24"/>
        </w:rPr>
        <w:t xml:space="preserve">GOSH </w:t>
      </w:r>
      <w:r w:rsidR="00DC13D5" w:rsidRPr="008E4844">
        <w:rPr>
          <w:rFonts w:ascii="Times New Roman" w:hAnsi="Times New Roman" w:cs="Times New Roman"/>
          <w:sz w:val="24"/>
          <w:szCs w:val="24"/>
        </w:rPr>
        <w:t xml:space="preserve">which </w:t>
      </w:r>
      <w:r w:rsidR="003A5993" w:rsidRPr="008E4844">
        <w:rPr>
          <w:rFonts w:ascii="Times New Roman" w:hAnsi="Times New Roman" w:cs="Times New Roman"/>
          <w:sz w:val="24"/>
          <w:szCs w:val="24"/>
        </w:rPr>
        <w:t xml:space="preserve">employs over </w:t>
      </w:r>
      <w:r w:rsidR="00DC13D5" w:rsidRPr="008E4844">
        <w:rPr>
          <w:rFonts w:ascii="Times New Roman" w:hAnsi="Times New Roman" w:cs="Times New Roman"/>
          <w:sz w:val="24"/>
          <w:szCs w:val="24"/>
        </w:rPr>
        <w:t>5</w:t>
      </w:r>
      <w:r w:rsidR="003A5993" w:rsidRPr="008E4844">
        <w:rPr>
          <w:rFonts w:ascii="Times New Roman" w:hAnsi="Times New Roman" w:cs="Times New Roman"/>
          <w:sz w:val="24"/>
          <w:szCs w:val="24"/>
        </w:rPr>
        <w:t>,3</w:t>
      </w:r>
      <w:r w:rsidR="00DC13D5" w:rsidRPr="008E4844">
        <w:rPr>
          <w:rFonts w:ascii="Times New Roman" w:hAnsi="Times New Roman" w:cs="Times New Roman"/>
          <w:sz w:val="24"/>
          <w:szCs w:val="24"/>
        </w:rPr>
        <w:t>5</w:t>
      </w:r>
      <w:r w:rsidR="003A5993" w:rsidRPr="008E4844">
        <w:rPr>
          <w:rFonts w:ascii="Times New Roman" w:hAnsi="Times New Roman" w:cs="Times New Roman"/>
          <w:sz w:val="24"/>
          <w:szCs w:val="24"/>
        </w:rPr>
        <w:t>0 staff and has an operating income of £5</w:t>
      </w:r>
      <w:r w:rsidR="008B4C75" w:rsidRPr="008E4844">
        <w:rPr>
          <w:rFonts w:ascii="Times New Roman" w:hAnsi="Times New Roman" w:cs="Times New Roman"/>
          <w:sz w:val="24"/>
          <w:szCs w:val="24"/>
        </w:rPr>
        <w:t>60</w:t>
      </w:r>
      <w:r w:rsidR="003A5993" w:rsidRPr="008E4844">
        <w:rPr>
          <w:rFonts w:ascii="Times New Roman" w:hAnsi="Times New Roman" w:cs="Times New Roman"/>
          <w:sz w:val="24"/>
          <w:szCs w:val="24"/>
        </w:rPr>
        <w:t>m</w:t>
      </w:r>
      <w:r w:rsidR="00E17ADE" w:rsidRPr="008E4844">
        <w:rPr>
          <w:rFonts w:ascii="Times New Roman" w:hAnsi="Times New Roman" w:cs="Times New Roman"/>
          <w:sz w:val="24"/>
          <w:szCs w:val="24"/>
        </w:rPr>
        <w:t>illion</w:t>
      </w:r>
      <w:r w:rsidR="003A5993" w:rsidRPr="008E4844">
        <w:rPr>
          <w:rFonts w:ascii="Times New Roman" w:hAnsi="Times New Roman" w:cs="Times New Roman"/>
          <w:sz w:val="24"/>
          <w:szCs w:val="24"/>
        </w:rPr>
        <w:t xml:space="preserve"> (</w:t>
      </w:r>
      <w:bookmarkStart w:id="0" w:name="_Hlk181268072"/>
      <w:r w:rsidR="003A5993" w:rsidRPr="008E4844">
        <w:rPr>
          <w:rFonts w:ascii="Times New Roman" w:hAnsi="Times New Roman" w:cs="Times New Roman"/>
          <w:sz w:val="24"/>
          <w:szCs w:val="24"/>
        </w:rPr>
        <w:t>Annual reports and accounts 202</w:t>
      </w:r>
      <w:r w:rsidR="008B4C75" w:rsidRPr="008E4844">
        <w:rPr>
          <w:rFonts w:ascii="Times New Roman" w:hAnsi="Times New Roman" w:cs="Times New Roman"/>
          <w:sz w:val="24"/>
          <w:szCs w:val="24"/>
        </w:rPr>
        <w:t>2</w:t>
      </w:r>
      <w:r w:rsidR="003A5993" w:rsidRPr="008E4844">
        <w:rPr>
          <w:rFonts w:ascii="Times New Roman" w:hAnsi="Times New Roman" w:cs="Times New Roman"/>
          <w:sz w:val="24"/>
          <w:szCs w:val="24"/>
        </w:rPr>
        <w:t>-2</w:t>
      </w:r>
      <w:r w:rsidR="008B4C75" w:rsidRPr="008E4844">
        <w:rPr>
          <w:rFonts w:ascii="Times New Roman" w:hAnsi="Times New Roman" w:cs="Times New Roman"/>
          <w:sz w:val="24"/>
          <w:szCs w:val="24"/>
        </w:rPr>
        <w:t>3</w:t>
      </w:r>
      <w:bookmarkEnd w:id="0"/>
      <w:r w:rsidR="003A5993" w:rsidRPr="008E4844">
        <w:rPr>
          <w:rFonts w:ascii="Times New Roman" w:hAnsi="Times New Roman" w:cs="Times New Roman"/>
          <w:sz w:val="24"/>
          <w:szCs w:val="24"/>
        </w:rPr>
        <w:t>). The hospital has 53 dedicated private beds</w:t>
      </w:r>
      <w:r w:rsidR="008B4C75" w:rsidRPr="008E4844">
        <w:rPr>
          <w:rFonts w:ascii="Times New Roman" w:hAnsi="Times New Roman" w:cs="Times New Roman"/>
          <w:sz w:val="24"/>
          <w:szCs w:val="24"/>
        </w:rPr>
        <w:t xml:space="preserve"> across three wards</w:t>
      </w:r>
      <w:r w:rsidR="003A5993" w:rsidRPr="008E4844">
        <w:rPr>
          <w:rFonts w:ascii="Times New Roman" w:hAnsi="Times New Roman" w:cs="Times New Roman"/>
          <w:sz w:val="24"/>
          <w:szCs w:val="24"/>
        </w:rPr>
        <w:t>, and its International and Private Care directorate includes 2</w:t>
      </w:r>
      <w:r w:rsidR="008B4C75" w:rsidRPr="008E4844">
        <w:rPr>
          <w:rFonts w:ascii="Times New Roman" w:hAnsi="Times New Roman" w:cs="Times New Roman"/>
          <w:sz w:val="24"/>
          <w:szCs w:val="24"/>
        </w:rPr>
        <w:t>21</w:t>
      </w:r>
      <w:r w:rsidR="003A5993" w:rsidRPr="008E4844">
        <w:rPr>
          <w:rFonts w:ascii="Times New Roman" w:hAnsi="Times New Roman" w:cs="Times New Roman"/>
          <w:sz w:val="24"/>
          <w:szCs w:val="24"/>
        </w:rPr>
        <w:t xml:space="preserve"> clinical and non-clinical staff.</w:t>
      </w:r>
      <w:r w:rsidR="00874754" w:rsidRPr="008E4844">
        <w:rPr>
          <w:rFonts w:ascii="Times New Roman" w:hAnsi="Times New Roman" w:cs="Times New Roman"/>
          <w:sz w:val="24"/>
          <w:szCs w:val="24"/>
        </w:rPr>
        <w:t xml:space="preserve">  GOSH </w:t>
      </w:r>
      <w:r w:rsidR="007254E7" w:rsidRPr="008E4844">
        <w:rPr>
          <w:rFonts w:ascii="Times New Roman" w:hAnsi="Times New Roman" w:cs="Times New Roman"/>
          <w:sz w:val="24"/>
          <w:szCs w:val="24"/>
        </w:rPr>
        <w:t>is an iconic children</w:t>
      </w:r>
      <w:r w:rsidR="00AC4B9B">
        <w:rPr>
          <w:rFonts w:ascii="Times New Roman" w:hAnsi="Times New Roman" w:cs="Times New Roman"/>
          <w:sz w:val="24"/>
          <w:szCs w:val="24"/>
        </w:rPr>
        <w:t>’s</w:t>
      </w:r>
      <w:r w:rsidR="007254E7" w:rsidRPr="008E4844">
        <w:rPr>
          <w:rFonts w:ascii="Times New Roman" w:hAnsi="Times New Roman" w:cs="Times New Roman"/>
          <w:sz w:val="24"/>
          <w:szCs w:val="24"/>
        </w:rPr>
        <w:t xml:space="preserve"> hospital and NHS institution.  It </w:t>
      </w:r>
      <w:r w:rsidR="002D1004" w:rsidRPr="008E4844">
        <w:rPr>
          <w:rFonts w:ascii="Times New Roman" w:hAnsi="Times New Roman" w:cs="Times New Roman"/>
          <w:sz w:val="24"/>
          <w:szCs w:val="24"/>
        </w:rPr>
        <w:t>was featured in the London Summer Olympics</w:t>
      </w:r>
      <w:r w:rsidR="006848DD">
        <w:rPr>
          <w:rFonts w:ascii="Times New Roman" w:hAnsi="Times New Roman" w:cs="Times New Roman"/>
          <w:sz w:val="24"/>
          <w:szCs w:val="24"/>
        </w:rPr>
        <w:t xml:space="preserve">’ </w:t>
      </w:r>
      <w:r w:rsidR="006848DD" w:rsidRPr="006848DD">
        <w:rPr>
          <w:rFonts w:ascii="Times New Roman" w:hAnsi="Times New Roman" w:cs="Times New Roman"/>
          <w:sz w:val="24"/>
          <w:szCs w:val="24"/>
        </w:rPr>
        <w:t>opening ceremony</w:t>
      </w:r>
      <w:r w:rsidR="007254E7" w:rsidRPr="008E4844">
        <w:rPr>
          <w:rFonts w:ascii="Times New Roman" w:hAnsi="Times New Roman" w:cs="Times New Roman"/>
          <w:sz w:val="24"/>
          <w:szCs w:val="24"/>
        </w:rPr>
        <w:t>, a performance</w:t>
      </w:r>
      <w:r w:rsidR="002D1004" w:rsidRPr="008E4844">
        <w:rPr>
          <w:rFonts w:ascii="Times New Roman" w:hAnsi="Times New Roman" w:cs="Times New Roman"/>
          <w:sz w:val="24"/>
          <w:szCs w:val="24"/>
        </w:rPr>
        <w:t xml:space="preserve"> which heavily ‘mythologised the foundation of the NHS’ (Baker</w:t>
      </w:r>
      <w:r w:rsidR="00437EA0">
        <w:rPr>
          <w:rFonts w:ascii="Times New Roman" w:hAnsi="Times New Roman" w:cs="Times New Roman"/>
          <w:sz w:val="24"/>
          <w:szCs w:val="24"/>
        </w:rPr>
        <w:t xml:space="preserve"> </w:t>
      </w:r>
      <w:r w:rsidR="002D1004" w:rsidRPr="008E4844">
        <w:rPr>
          <w:rFonts w:ascii="Times New Roman" w:hAnsi="Times New Roman" w:cs="Times New Roman"/>
          <w:sz w:val="24"/>
          <w:szCs w:val="24"/>
        </w:rPr>
        <w:t>2014, 415</w:t>
      </w:r>
      <w:r w:rsidR="00874754" w:rsidRPr="008E4844">
        <w:rPr>
          <w:rFonts w:ascii="Times New Roman" w:hAnsi="Times New Roman" w:cs="Times New Roman"/>
          <w:sz w:val="24"/>
          <w:szCs w:val="24"/>
        </w:rPr>
        <w:t xml:space="preserve">). </w:t>
      </w:r>
      <w:r w:rsidR="002D1004" w:rsidRPr="008E4844">
        <w:rPr>
          <w:rFonts w:ascii="Times New Roman" w:hAnsi="Times New Roman" w:cs="Times New Roman"/>
          <w:sz w:val="24"/>
          <w:szCs w:val="24"/>
        </w:rPr>
        <w:t xml:space="preserve">The </w:t>
      </w:r>
      <w:r w:rsidR="007254E7" w:rsidRPr="008E4844">
        <w:rPr>
          <w:rFonts w:ascii="Times New Roman" w:hAnsi="Times New Roman" w:cs="Times New Roman"/>
          <w:sz w:val="24"/>
          <w:szCs w:val="24"/>
        </w:rPr>
        <w:t>narrative was one of</w:t>
      </w:r>
      <w:r w:rsidR="002D1004" w:rsidRPr="008E4844">
        <w:rPr>
          <w:rFonts w:ascii="Times New Roman" w:hAnsi="Times New Roman" w:cs="Times New Roman"/>
          <w:sz w:val="24"/>
          <w:szCs w:val="24"/>
        </w:rPr>
        <w:t xml:space="preserve">: </w:t>
      </w:r>
    </w:p>
    <w:p w14:paraId="57CFE164" w14:textId="3E9AF5A6" w:rsidR="00874754" w:rsidRPr="008E4844" w:rsidRDefault="007254E7" w:rsidP="00874754">
      <w:pPr>
        <w:autoSpaceDE w:val="0"/>
        <w:autoSpaceDN w:val="0"/>
        <w:adjustRightInd w:val="0"/>
        <w:spacing w:before="100" w:beforeAutospacing="1" w:after="100" w:afterAutospacing="1" w:line="360" w:lineRule="auto"/>
        <w:ind w:left="720"/>
        <w:rPr>
          <w:rFonts w:ascii="Times New Roman" w:hAnsi="Times New Roman" w:cs="Times New Roman"/>
          <w:i/>
          <w:sz w:val="24"/>
          <w:szCs w:val="24"/>
        </w:rPr>
      </w:pPr>
      <w:r w:rsidRPr="008E4844">
        <w:rPr>
          <w:rFonts w:ascii="Times New Roman" w:hAnsi="Times New Roman" w:cs="Times New Roman"/>
          <w:iCs/>
          <w:sz w:val="24"/>
          <w:szCs w:val="24"/>
        </w:rPr>
        <w:t>“</w:t>
      </w:r>
      <w:proofErr w:type="gramStart"/>
      <w:r w:rsidR="00874754" w:rsidRPr="008E4844">
        <w:rPr>
          <w:rFonts w:ascii="Times New Roman" w:hAnsi="Times New Roman" w:cs="Times New Roman"/>
          <w:iCs/>
          <w:sz w:val="24"/>
          <w:szCs w:val="24"/>
        </w:rPr>
        <w:t>praising</w:t>
      </w:r>
      <w:proofErr w:type="gramEnd"/>
      <w:r w:rsidR="00874754" w:rsidRPr="008E4844">
        <w:rPr>
          <w:rFonts w:ascii="Times New Roman" w:hAnsi="Times New Roman" w:cs="Times New Roman"/>
          <w:iCs/>
          <w:sz w:val="24"/>
          <w:szCs w:val="24"/>
        </w:rPr>
        <w:t xml:space="preserve"> the solidarity of the Welfare State by choosing a very emblematic NHS hospital—Great Ormond Street Hospital Children's Charity or GOSH—thus apparently emphasizing the caring and disinterested quality of the institution</w:t>
      </w:r>
      <w:r w:rsidRPr="008E4844">
        <w:rPr>
          <w:rFonts w:ascii="Times New Roman" w:hAnsi="Times New Roman" w:cs="Times New Roman"/>
          <w:iCs/>
          <w:sz w:val="24"/>
          <w:szCs w:val="24"/>
        </w:rPr>
        <w:t>”</w:t>
      </w:r>
      <w:r w:rsidR="00874754" w:rsidRPr="008E4844">
        <w:rPr>
          <w:rFonts w:ascii="Times New Roman" w:hAnsi="Times New Roman" w:cs="Times New Roman"/>
          <w:i/>
          <w:sz w:val="24"/>
          <w:szCs w:val="24"/>
        </w:rPr>
        <w:t xml:space="preserve"> </w:t>
      </w:r>
      <w:r w:rsidR="00874754" w:rsidRPr="008E4844">
        <w:rPr>
          <w:rFonts w:ascii="Times New Roman" w:hAnsi="Times New Roman" w:cs="Times New Roman"/>
          <w:iCs/>
          <w:sz w:val="24"/>
          <w:szCs w:val="24"/>
        </w:rPr>
        <w:t>(Lambert-</w:t>
      </w:r>
      <w:proofErr w:type="spellStart"/>
      <w:r w:rsidR="00874754" w:rsidRPr="008E4844">
        <w:rPr>
          <w:rFonts w:ascii="Times New Roman" w:hAnsi="Times New Roman" w:cs="Times New Roman"/>
          <w:iCs/>
          <w:sz w:val="24"/>
          <w:szCs w:val="24"/>
        </w:rPr>
        <w:t>Charbonnie</w:t>
      </w:r>
      <w:proofErr w:type="spellEnd"/>
      <w:r w:rsidR="00874754" w:rsidRPr="008E4844">
        <w:rPr>
          <w:rFonts w:ascii="Times New Roman" w:hAnsi="Times New Roman" w:cs="Times New Roman"/>
          <w:iCs/>
          <w:sz w:val="24"/>
          <w:szCs w:val="24"/>
        </w:rPr>
        <w:t xml:space="preserve"> 2018)</w:t>
      </w:r>
      <w:r w:rsidR="002D1004" w:rsidRPr="008E4844">
        <w:rPr>
          <w:rFonts w:ascii="Times New Roman" w:hAnsi="Times New Roman" w:cs="Times New Roman"/>
          <w:iCs/>
          <w:sz w:val="24"/>
          <w:szCs w:val="24"/>
        </w:rPr>
        <w:t>.</w:t>
      </w:r>
    </w:p>
    <w:p w14:paraId="69162B53" w14:textId="53290823" w:rsidR="00322D5D" w:rsidRDefault="00A86021"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During 2023</w:t>
      </w:r>
      <w:r w:rsidR="00E437B2" w:rsidRPr="008E4844">
        <w:rPr>
          <w:rFonts w:ascii="Times New Roman" w:hAnsi="Times New Roman" w:cs="Times New Roman"/>
          <w:sz w:val="24"/>
          <w:szCs w:val="24"/>
        </w:rPr>
        <w:t>-</w:t>
      </w:r>
      <w:r w:rsidRPr="008E4844">
        <w:rPr>
          <w:rFonts w:ascii="Times New Roman" w:hAnsi="Times New Roman" w:cs="Times New Roman"/>
          <w:sz w:val="24"/>
          <w:szCs w:val="24"/>
        </w:rPr>
        <w:t xml:space="preserve">24 </w:t>
      </w:r>
      <w:r w:rsidR="003578B3" w:rsidRPr="008E4844">
        <w:rPr>
          <w:rFonts w:ascii="Times New Roman" w:hAnsi="Times New Roman" w:cs="Times New Roman"/>
          <w:sz w:val="24"/>
          <w:szCs w:val="24"/>
        </w:rPr>
        <w:t xml:space="preserve">GOSH </w:t>
      </w:r>
      <w:r w:rsidR="0059302F" w:rsidRPr="008E4844">
        <w:rPr>
          <w:rFonts w:ascii="Times New Roman" w:hAnsi="Times New Roman" w:cs="Times New Roman"/>
          <w:sz w:val="24"/>
          <w:szCs w:val="24"/>
        </w:rPr>
        <w:t xml:space="preserve">generated </w:t>
      </w:r>
      <w:r w:rsidRPr="008E4844">
        <w:rPr>
          <w:rFonts w:ascii="Times New Roman" w:hAnsi="Times New Roman" w:cs="Times New Roman"/>
          <w:sz w:val="24"/>
          <w:szCs w:val="24"/>
        </w:rPr>
        <w:t xml:space="preserve">its highest ever income from private patients, with a 44 per cent rise </w:t>
      </w:r>
      <w:r w:rsidR="00F756A5" w:rsidRPr="008E4844">
        <w:rPr>
          <w:rFonts w:ascii="Times New Roman" w:hAnsi="Times New Roman" w:cs="Times New Roman"/>
          <w:sz w:val="24"/>
          <w:szCs w:val="24"/>
        </w:rPr>
        <w:t xml:space="preserve">on the previous </w:t>
      </w:r>
      <w:r w:rsidR="00A265F8" w:rsidRPr="008E4844">
        <w:rPr>
          <w:rFonts w:ascii="Times New Roman" w:hAnsi="Times New Roman" w:cs="Times New Roman"/>
          <w:sz w:val="24"/>
          <w:szCs w:val="24"/>
        </w:rPr>
        <w:t xml:space="preserve">with income now at </w:t>
      </w:r>
      <w:r w:rsidRPr="008E4844">
        <w:rPr>
          <w:rFonts w:ascii="Times New Roman" w:hAnsi="Times New Roman" w:cs="Times New Roman"/>
          <w:sz w:val="24"/>
          <w:szCs w:val="24"/>
        </w:rPr>
        <w:t>£78.9m</w:t>
      </w:r>
      <w:r w:rsidR="00157350" w:rsidRPr="008E4844">
        <w:rPr>
          <w:rFonts w:ascii="Times New Roman" w:hAnsi="Times New Roman" w:cs="Times New Roman"/>
          <w:sz w:val="24"/>
          <w:szCs w:val="24"/>
        </w:rPr>
        <w:t xml:space="preserve"> (Clover 2024)</w:t>
      </w:r>
      <w:r w:rsidRPr="008E4844">
        <w:rPr>
          <w:rFonts w:ascii="Times New Roman" w:hAnsi="Times New Roman" w:cs="Times New Roman"/>
          <w:sz w:val="24"/>
          <w:szCs w:val="24"/>
        </w:rPr>
        <w:t>.</w:t>
      </w:r>
      <w:r w:rsidR="00656F13"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The 2023-24 private income was triple </w:t>
      </w:r>
      <w:r w:rsidR="00656F13" w:rsidRPr="008E4844">
        <w:rPr>
          <w:rFonts w:ascii="Times New Roman" w:hAnsi="Times New Roman" w:cs="Times New Roman"/>
          <w:sz w:val="24"/>
          <w:szCs w:val="24"/>
        </w:rPr>
        <w:t xml:space="preserve">that recorded </w:t>
      </w:r>
      <w:r w:rsidRPr="008E4844">
        <w:rPr>
          <w:rFonts w:ascii="Times New Roman" w:hAnsi="Times New Roman" w:cs="Times New Roman"/>
          <w:sz w:val="24"/>
          <w:szCs w:val="24"/>
        </w:rPr>
        <w:t xml:space="preserve">2010-11, </w:t>
      </w:r>
      <w:r w:rsidR="00656F13" w:rsidRPr="008E4844">
        <w:rPr>
          <w:rFonts w:ascii="Times New Roman" w:hAnsi="Times New Roman" w:cs="Times New Roman"/>
          <w:sz w:val="24"/>
          <w:szCs w:val="24"/>
        </w:rPr>
        <w:t>and</w:t>
      </w:r>
      <w:r w:rsidRPr="008E4844">
        <w:rPr>
          <w:rFonts w:ascii="Times New Roman" w:hAnsi="Times New Roman" w:cs="Times New Roman"/>
          <w:sz w:val="24"/>
          <w:szCs w:val="24"/>
        </w:rPr>
        <w:t xml:space="preserve"> a higher proportion of overall income</w:t>
      </w:r>
      <w:r w:rsidR="00E17ADE" w:rsidRPr="008E4844">
        <w:rPr>
          <w:rFonts w:ascii="Times New Roman" w:hAnsi="Times New Roman" w:cs="Times New Roman"/>
          <w:sz w:val="24"/>
          <w:szCs w:val="24"/>
        </w:rPr>
        <w:t xml:space="preserve"> compared with the earlier period</w:t>
      </w:r>
      <w:r w:rsidR="007254E7" w:rsidRPr="008E4844">
        <w:rPr>
          <w:rFonts w:ascii="Times New Roman" w:hAnsi="Times New Roman" w:cs="Times New Roman"/>
          <w:sz w:val="24"/>
          <w:szCs w:val="24"/>
        </w:rPr>
        <w:t xml:space="preserve"> (Clover 2024)</w:t>
      </w:r>
      <w:r w:rsidRPr="008E4844">
        <w:rPr>
          <w:rFonts w:ascii="Times New Roman" w:hAnsi="Times New Roman" w:cs="Times New Roman"/>
          <w:sz w:val="24"/>
          <w:szCs w:val="24"/>
        </w:rPr>
        <w:t xml:space="preserve">.  </w:t>
      </w:r>
      <w:r w:rsidR="00F63471" w:rsidRPr="008E4844">
        <w:rPr>
          <w:rFonts w:ascii="Times New Roman" w:hAnsi="Times New Roman" w:cs="Times New Roman"/>
          <w:sz w:val="24"/>
          <w:szCs w:val="24"/>
        </w:rPr>
        <w:t xml:space="preserve">This amount </w:t>
      </w:r>
      <w:r w:rsidR="003578B3" w:rsidRPr="008E4844">
        <w:rPr>
          <w:rFonts w:ascii="Times New Roman" w:hAnsi="Times New Roman" w:cs="Times New Roman"/>
          <w:sz w:val="24"/>
          <w:szCs w:val="24"/>
        </w:rPr>
        <w:t>refers</w:t>
      </w:r>
      <w:r w:rsidR="00F63471" w:rsidRPr="008E4844">
        <w:rPr>
          <w:rFonts w:ascii="Times New Roman" w:hAnsi="Times New Roman" w:cs="Times New Roman"/>
          <w:sz w:val="24"/>
          <w:szCs w:val="24"/>
        </w:rPr>
        <w:t xml:space="preserve"> solely </w:t>
      </w:r>
      <w:r w:rsidR="003578B3" w:rsidRPr="008E4844">
        <w:rPr>
          <w:rFonts w:ascii="Times New Roman" w:hAnsi="Times New Roman" w:cs="Times New Roman"/>
          <w:sz w:val="24"/>
          <w:szCs w:val="24"/>
        </w:rPr>
        <w:t>to</w:t>
      </w:r>
      <w:r w:rsidR="00F63471" w:rsidRPr="008E4844">
        <w:rPr>
          <w:rFonts w:ascii="Times New Roman" w:hAnsi="Times New Roman" w:cs="Times New Roman"/>
          <w:sz w:val="24"/>
          <w:szCs w:val="24"/>
        </w:rPr>
        <w:t xml:space="preserve"> </w:t>
      </w:r>
      <w:r w:rsidR="00CA2330" w:rsidRPr="008E4844">
        <w:rPr>
          <w:rFonts w:ascii="Times New Roman" w:hAnsi="Times New Roman" w:cs="Times New Roman"/>
          <w:sz w:val="24"/>
          <w:szCs w:val="24"/>
        </w:rPr>
        <w:t>consultants</w:t>
      </w:r>
      <w:r w:rsidR="00F63471" w:rsidRPr="008E4844">
        <w:rPr>
          <w:rFonts w:ascii="Times New Roman" w:hAnsi="Times New Roman" w:cs="Times New Roman"/>
          <w:sz w:val="24"/>
          <w:szCs w:val="24"/>
        </w:rPr>
        <w:t xml:space="preserve"> that undertake private patient services </w:t>
      </w:r>
      <w:r w:rsidR="00541C04" w:rsidRPr="008E4844">
        <w:rPr>
          <w:rFonts w:ascii="Times New Roman" w:hAnsi="Times New Roman" w:cs="Times New Roman"/>
          <w:sz w:val="24"/>
          <w:szCs w:val="24"/>
        </w:rPr>
        <w:t xml:space="preserve">as part of their NHS activities, consultants may also bill </w:t>
      </w:r>
      <w:r w:rsidR="00F63471" w:rsidRPr="008E4844">
        <w:rPr>
          <w:rFonts w:ascii="Times New Roman" w:hAnsi="Times New Roman" w:cs="Times New Roman"/>
          <w:sz w:val="24"/>
          <w:szCs w:val="24"/>
        </w:rPr>
        <w:t>their private patients directly</w:t>
      </w:r>
      <w:r w:rsidR="00541C04" w:rsidRPr="008E4844">
        <w:rPr>
          <w:rFonts w:ascii="Times New Roman" w:hAnsi="Times New Roman" w:cs="Times New Roman"/>
          <w:sz w:val="24"/>
          <w:szCs w:val="24"/>
        </w:rPr>
        <w:t xml:space="preserve"> using a Trust-provided </w:t>
      </w:r>
      <w:r w:rsidR="00F63471" w:rsidRPr="008E4844">
        <w:rPr>
          <w:rFonts w:ascii="Times New Roman" w:hAnsi="Times New Roman" w:cs="Times New Roman"/>
          <w:sz w:val="24"/>
          <w:szCs w:val="24"/>
        </w:rPr>
        <w:t xml:space="preserve">billing </w:t>
      </w:r>
      <w:r w:rsidR="00322D5D" w:rsidRPr="008E4844">
        <w:rPr>
          <w:rFonts w:ascii="Times New Roman" w:hAnsi="Times New Roman" w:cs="Times New Roman"/>
          <w:sz w:val="24"/>
          <w:szCs w:val="24"/>
        </w:rPr>
        <w:t>service,</w:t>
      </w:r>
      <w:r w:rsidR="00F63471" w:rsidRPr="008E4844">
        <w:rPr>
          <w:rFonts w:ascii="Times New Roman" w:hAnsi="Times New Roman" w:cs="Times New Roman"/>
          <w:sz w:val="24"/>
          <w:szCs w:val="24"/>
        </w:rPr>
        <w:t xml:space="preserve"> </w:t>
      </w:r>
      <w:r w:rsidR="00541C04" w:rsidRPr="008E4844">
        <w:rPr>
          <w:rFonts w:ascii="Times New Roman" w:hAnsi="Times New Roman" w:cs="Times New Roman"/>
          <w:sz w:val="24"/>
          <w:szCs w:val="24"/>
        </w:rPr>
        <w:t xml:space="preserve">but this is separate from the amount </w:t>
      </w:r>
      <w:r w:rsidR="00F63471" w:rsidRPr="008E4844">
        <w:rPr>
          <w:rFonts w:ascii="Times New Roman" w:hAnsi="Times New Roman" w:cs="Times New Roman"/>
          <w:sz w:val="24"/>
          <w:szCs w:val="24"/>
        </w:rPr>
        <w:t>in the Annual Accounts</w:t>
      </w:r>
      <w:r w:rsidR="00541C04" w:rsidRPr="008E4844">
        <w:rPr>
          <w:rFonts w:ascii="Times New Roman" w:hAnsi="Times New Roman" w:cs="Times New Roman"/>
          <w:sz w:val="24"/>
          <w:szCs w:val="24"/>
        </w:rPr>
        <w:t xml:space="preserve"> (</w:t>
      </w:r>
      <w:bookmarkStart w:id="1" w:name="_Hlk181268135"/>
      <w:r w:rsidR="00C4153A" w:rsidRPr="008E4844">
        <w:rPr>
          <w:rFonts w:ascii="Times New Roman" w:hAnsi="Times New Roman" w:cs="Times New Roman"/>
          <w:sz w:val="24"/>
          <w:szCs w:val="24"/>
        </w:rPr>
        <w:t xml:space="preserve">GOSH </w:t>
      </w:r>
      <w:r w:rsidR="00541C04" w:rsidRPr="008E4844">
        <w:rPr>
          <w:rFonts w:ascii="Times New Roman" w:hAnsi="Times New Roman" w:cs="Times New Roman"/>
          <w:sz w:val="24"/>
          <w:szCs w:val="24"/>
        </w:rPr>
        <w:t xml:space="preserve">FOI request, </w:t>
      </w:r>
      <w:r w:rsidR="00F63471" w:rsidRPr="008E4844">
        <w:rPr>
          <w:rFonts w:ascii="Times New Roman" w:hAnsi="Times New Roman" w:cs="Times New Roman"/>
          <w:sz w:val="24"/>
          <w:szCs w:val="24"/>
        </w:rPr>
        <w:t>23 October 2019</w:t>
      </w:r>
      <w:r w:rsidR="00541C04" w:rsidRPr="008E4844">
        <w:rPr>
          <w:rFonts w:ascii="Times New Roman" w:hAnsi="Times New Roman" w:cs="Times New Roman"/>
          <w:sz w:val="24"/>
          <w:szCs w:val="24"/>
        </w:rPr>
        <w:t xml:space="preserve">, </w:t>
      </w:r>
      <w:r w:rsidR="00F63471" w:rsidRPr="008E4844">
        <w:rPr>
          <w:rFonts w:ascii="Times New Roman" w:hAnsi="Times New Roman" w:cs="Times New Roman"/>
          <w:sz w:val="24"/>
          <w:szCs w:val="24"/>
        </w:rPr>
        <w:t>FOIRQ5420</w:t>
      </w:r>
      <w:bookmarkEnd w:id="1"/>
      <w:r w:rsidR="00541C04" w:rsidRPr="008E4844">
        <w:rPr>
          <w:rFonts w:ascii="Times New Roman" w:hAnsi="Times New Roman" w:cs="Times New Roman"/>
          <w:sz w:val="24"/>
          <w:szCs w:val="24"/>
        </w:rPr>
        <w:t xml:space="preserve">).  </w:t>
      </w:r>
      <w:r w:rsidR="00E90F5A" w:rsidRPr="008E4844">
        <w:rPr>
          <w:rFonts w:ascii="Times New Roman" w:hAnsi="Times New Roman" w:cs="Times New Roman"/>
          <w:sz w:val="24"/>
          <w:szCs w:val="24"/>
        </w:rPr>
        <w:t>In 2019</w:t>
      </w:r>
      <w:r w:rsidR="007254E7" w:rsidRPr="008E4844">
        <w:rPr>
          <w:rFonts w:ascii="Times New Roman" w:hAnsi="Times New Roman" w:cs="Times New Roman"/>
          <w:sz w:val="24"/>
          <w:szCs w:val="24"/>
        </w:rPr>
        <w:t>-</w:t>
      </w:r>
      <w:r w:rsidR="00E90F5A" w:rsidRPr="008E4844">
        <w:rPr>
          <w:rFonts w:ascii="Times New Roman" w:hAnsi="Times New Roman" w:cs="Times New Roman"/>
          <w:sz w:val="24"/>
          <w:szCs w:val="24"/>
        </w:rPr>
        <w:t xml:space="preserve">20 </w:t>
      </w:r>
      <w:r w:rsidR="00E17ADE" w:rsidRPr="008E4844">
        <w:rPr>
          <w:rFonts w:ascii="Times New Roman" w:hAnsi="Times New Roman" w:cs="Times New Roman"/>
          <w:sz w:val="24"/>
          <w:szCs w:val="24"/>
        </w:rPr>
        <w:t xml:space="preserve">the caseload of </w:t>
      </w:r>
      <w:r w:rsidR="00E90F5A" w:rsidRPr="008E4844">
        <w:rPr>
          <w:rFonts w:ascii="Times New Roman" w:hAnsi="Times New Roman" w:cs="Times New Roman"/>
          <w:sz w:val="24"/>
          <w:szCs w:val="24"/>
        </w:rPr>
        <w:t xml:space="preserve">international and private patients </w:t>
      </w:r>
      <w:r w:rsidR="00E17ADE" w:rsidRPr="008E4844">
        <w:rPr>
          <w:rFonts w:ascii="Times New Roman" w:hAnsi="Times New Roman" w:cs="Times New Roman"/>
          <w:sz w:val="24"/>
          <w:szCs w:val="24"/>
        </w:rPr>
        <w:t xml:space="preserve">was </w:t>
      </w:r>
      <w:r w:rsidR="00E90F5A" w:rsidRPr="008E4844">
        <w:rPr>
          <w:rFonts w:ascii="Times New Roman" w:hAnsi="Times New Roman" w:cs="Times New Roman"/>
          <w:sz w:val="24"/>
          <w:szCs w:val="24"/>
        </w:rPr>
        <w:t>5,742 children from 107 different countries (1,114 inpatients; 16,482 outpatients) treated at the hospital.</w:t>
      </w:r>
      <w:r w:rsidR="00541C04" w:rsidRPr="008E4844">
        <w:rPr>
          <w:rFonts w:ascii="Times New Roman" w:hAnsi="Times New Roman" w:cs="Times New Roman"/>
          <w:sz w:val="24"/>
          <w:szCs w:val="24"/>
        </w:rPr>
        <w:t xml:space="preserve">  </w:t>
      </w:r>
    </w:p>
    <w:p w14:paraId="736B2F14" w14:textId="5548623F" w:rsidR="006848DD" w:rsidRDefault="006848DD" w:rsidP="006848D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As a Foundation Trust, GOSH is </w:t>
      </w:r>
      <w:r w:rsidRPr="006848DD">
        <w:rPr>
          <w:rFonts w:ascii="Times New Roman" w:hAnsi="Times New Roman" w:cs="Times New Roman"/>
          <w:sz w:val="24"/>
          <w:szCs w:val="24"/>
        </w:rPr>
        <w:t xml:space="preserve">required to publish annual reports and accounts that detail the year’s operations (including business model and governance arrangements) and performance.  </w:t>
      </w:r>
      <w:r>
        <w:rPr>
          <w:rFonts w:ascii="Times New Roman" w:hAnsi="Times New Roman" w:cs="Times New Roman"/>
          <w:sz w:val="24"/>
          <w:szCs w:val="24"/>
        </w:rPr>
        <w:t>All F</w:t>
      </w:r>
      <w:r w:rsidR="00296BF2">
        <w:rPr>
          <w:rFonts w:ascii="Times New Roman" w:hAnsi="Times New Roman" w:cs="Times New Roman"/>
          <w:sz w:val="24"/>
          <w:szCs w:val="24"/>
        </w:rPr>
        <w:t>oundation Trust</w:t>
      </w:r>
      <w:r>
        <w:rPr>
          <w:rFonts w:ascii="Times New Roman" w:hAnsi="Times New Roman" w:cs="Times New Roman"/>
          <w:sz w:val="24"/>
          <w:szCs w:val="24"/>
        </w:rPr>
        <w:t xml:space="preserve"> </w:t>
      </w:r>
      <w:r w:rsidR="00296BF2">
        <w:rPr>
          <w:rFonts w:ascii="Times New Roman" w:hAnsi="Times New Roman" w:cs="Times New Roman"/>
          <w:sz w:val="24"/>
          <w:szCs w:val="24"/>
        </w:rPr>
        <w:t>a</w:t>
      </w:r>
      <w:r w:rsidRPr="006848DD">
        <w:rPr>
          <w:rFonts w:ascii="Times New Roman" w:hAnsi="Times New Roman" w:cs="Times New Roman"/>
          <w:sz w:val="24"/>
          <w:szCs w:val="24"/>
        </w:rPr>
        <w:t xml:space="preserve">nnual </w:t>
      </w:r>
      <w:r w:rsidR="00296BF2">
        <w:rPr>
          <w:rFonts w:ascii="Times New Roman" w:hAnsi="Times New Roman" w:cs="Times New Roman"/>
          <w:sz w:val="24"/>
          <w:szCs w:val="24"/>
        </w:rPr>
        <w:t>r</w:t>
      </w:r>
      <w:r w:rsidRPr="006848DD">
        <w:rPr>
          <w:rFonts w:ascii="Times New Roman" w:hAnsi="Times New Roman" w:cs="Times New Roman"/>
          <w:sz w:val="24"/>
          <w:szCs w:val="24"/>
        </w:rPr>
        <w:t>eport</w:t>
      </w:r>
      <w:r>
        <w:rPr>
          <w:rFonts w:ascii="Times New Roman" w:hAnsi="Times New Roman" w:cs="Times New Roman"/>
          <w:sz w:val="24"/>
          <w:szCs w:val="24"/>
        </w:rPr>
        <w:t>s</w:t>
      </w:r>
      <w:r w:rsidRPr="006848DD">
        <w:rPr>
          <w:rFonts w:ascii="Times New Roman" w:hAnsi="Times New Roman" w:cs="Times New Roman"/>
          <w:sz w:val="24"/>
          <w:szCs w:val="24"/>
        </w:rPr>
        <w:t xml:space="preserve"> and </w:t>
      </w:r>
      <w:r w:rsidR="00296BF2">
        <w:rPr>
          <w:rFonts w:ascii="Times New Roman" w:hAnsi="Times New Roman" w:cs="Times New Roman"/>
          <w:sz w:val="24"/>
          <w:szCs w:val="24"/>
        </w:rPr>
        <w:t>a</w:t>
      </w:r>
      <w:r w:rsidRPr="006848DD">
        <w:rPr>
          <w:rFonts w:ascii="Times New Roman" w:hAnsi="Times New Roman" w:cs="Times New Roman"/>
          <w:sz w:val="24"/>
          <w:szCs w:val="24"/>
        </w:rPr>
        <w:t xml:space="preserve">ccounts are presented to the House of Commons in a parliamentary session </w:t>
      </w:r>
      <w:r>
        <w:rPr>
          <w:rFonts w:ascii="Times New Roman" w:hAnsi="Times New Roman" w:cs="Times New Roman"/>
          <w:sz w:val="24"/>
          <w:szCs w:val="24"/>
        </w:rPr>
        <w:t>(</w:t>
      </w:r>
      <w:r w:rsidRPr="006848DD">
        <w:rPr>
          <w:rFonts w:ascii="Times New Roman" w:hAnsi="Times New Roman" w:cs="Times New Roman"/>
          <w:sz w:val="24"/>
          <w:szCs w:val="24"/>
        </w:rPr>
        <w:t>NHS Providers</w:t>
      </w:r>
      <w:r w:rsidR="00EF5776">
        <w:rPr>
          <w:rFonts w:ascii="Times New Roman" w:hAnsi="Times New Roman" w:cs="Times New Roman"/>
          <w:sz w:val="24"/>
          <w:szCs w:val="24"/>
        </w:rPr>
        <w:t xml:space="preserve"> </w:t>
      </w:r>
      <w:r w:rsidRPr="006848DD">
        <w:rPr>
          <w:rFonts w:ascii="Times New Roman" w:hAnsi="Times New Roman" w:cs="Times New Roman"/>
          <w:sz w:val="24"/>
          <w:szCs w:val="24"/>
        </w:rPr>
        <w:t>2020)</w:t>
      </w:r>
      <w:r>
        <w:rPr>
          <w:rFonts w:ascii="Times New Roman" w:hAnsi="Times New Roman" w:cs="Times New Roman"/>
          <w:sz w:val="24"/>
          <w:szCs w:val="24"/>
        </w:rPr>
        <w:t>.</w:t>
      </w:r>
    </w:p>
    <w:p w14:paraId="53B43E69" w14:textId="69CA6639" w:rsidR="00EF5776" w:rsidRPr="00296BF2" w:rsidRDefault="006848DD" w:rsidP="00EF5776">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345C30">
        <w:rPr>
          <w:rFonts w:ascii="Times New Roman" w:hAnsi="Times New Roman" w:cs="Times New Roman"/>
          <w:sz w:val="24"/>
          <w:szCs w:val="24"/>
        </w:rPr>
        <w:lastRenderedPageBreak/>
        <w:t>The annual report is primarily a narrative document</w:t>
      </w:r>
      <w:r w:rsidR="00345C30" w:rsidRPr="00345C30">
        <w:rPr>
          <w:rFonts w:ascii="Times New Roman" w:hAnsi="Times New Roman" w:cs="Times New Roman"/>
          <w:sz w:val="24"/>
          <w:szCs w:val="24"/>
        </w:rPr>
        <w:t>, providing</w:t>
      </w:r>
      <w:r w:rsidRPr="00345C30">
        <w:rPr>
          <w:rFonts w:ascii="Times New Roman" w:hAnsi="Times New Roman" w:cs="Times New Roman"/>
          <w:sz w:val="24"/>
          <w:szCs w:val="24"/>
        </w:rPr>
        <w:t xml:space="preserve"> an account of the </w:t>
      </w:r>
      <w:r w:rsidR="00296BF2">
        <w:rPr>
          <w:rFonts w:ascii="Times New Roman" w:hAnsi="Times New Roman" w:cs="Times New Roman"/>
          <w:sz w:val="24"/>
          <w:szCs w:val="24"/>
        </w:rPr>
        <w:t>Trust’s</w:t>
      </w:r>
      <w:r w:rsidRPr="00345C30">
        <w:rPr>
          <w:rFonts w:ascii="Times New Roman" w:hAnsi="Times New Roman" w:cs="Times New Roman"/>
          <w:sz w:val="24"/>
          <w:szCs w:val="24"/>
        </w:rPr>
        <w:t xml:space="preserve"> activities and performance over the last financial year.</w:t>
      </w:r>
      <w:r w:rsidR="00345C30" w:rsidRPr="00345C30">
        <w:rPr>
          <w:rFonts w:ascii="Times New Roman" w:hAnsi="Times New Roman" w:cs="Times New Roman"/>
        </w:rPr>
        <w:t xml:space="preserve">  It is </w:t>
      </w:r>
      <w:r w:rsidR="00345C30" w:rsidRPr="00345C30">
        <w:rPr>
          <w:rFonts w:ascii="Times New Roman" w:hAnsi="Times New Roman" w:cs="Times New Roman"/>
          <w:sz w:val="24"/>
          <w:szCs w:val="24"/>
        </w:rPr>
        <w:t xml:space="preserve">an opportunity </w:t>
      </w:r>
      <w:r w:rsidR="004C08EC">
        <w:rPr>
          <w:rFonts w:ascii="Times New Roman" w:hAnsi="Times New Roman" w:cs="Times New Roman"/>
          <w:sz w:val="24"/>
          <w:szCs w:val="24"/>
        </w:rPr>
        <w:t xml:space="preserve">to </w:t>
      </w:r>
      <w:r w:rsidR="00345C30">
        <w:rPr>
          <w:rFonts w:ascii="Times New Roman" w:hAnsi="Times New Roman" w:cs="Times New Roman"/>
          <w:sz w:val="24"/>
          <w:szCs w:val="24"/>
        </w:rPr>
        <w:t xml:space="preserve">overview </w:t>
      </w:r>
      <w:r w:rsidR="00345C30" w:rsidRPr="00345C30">
        <w:rPr>
          <w:rFonts w:ascii="Times New Roman" w:hAnsi="Times New Roman" w:cs="Times New Roman"/>
          <w:sz w:val="24"/>
          <w:szCs w:val="24"/>
        </w:rPr>
        <w:t xml:space="preserve">its achievements </w:t>
      </w:r>
      <w:r w:rsidR="00345C30">
        <w:rPr>
          <w:rFonts w:ascii="Times New Roman" w:hAnsi="Times New Roman" w:cs="Times New Roman"/>
          <w:sz w:val="24"/>
          <w:szCs w:val="24"/>
        </w:rPr>
        <w:t xml:space="preserve">across </w:t>
      </w:r>
      <w:r w:rsidR="00345C30" w:rsidRPr="00345C30">
        <w:rPr>
          <w:rFonts w:ascii="Times New Roman" w:hAnsi="Times New Roman" w:cs="Times New Roman"/>
          <w:sz w:val="24"/>
          <w:szCs w:val="24"/>
        </w:rPr>
        <w:t xml:space="preserve">the year and </w:t>
      </w:r>
      <w:r w:rsidR="00345C30">
        <w:rPr>
          <w:rFonts w:ascii="Times New Roman" w:hAnsi="Times New Roman" w:cs="Times New Roman"/>
          <w:sz w:val="24"/>
          <w:szCs w:val="24"/>
        </w:rPr>
        <w:t xml:space="preserve">identify </w:t>
      </w:r>
      <w:r w:rsidR="00345C30" w:rsidRPr="00345C30">
        <w:rPr>
          <w:rFonts w:ascii="Times New Roman" w:hAnsi="Times New Roman" w:cs="Times New Roman"/>
          <w:sz w:val="24"/>
          <w:szCs w:val="24"/>
        </w:rPr>
        <w:t>the challenges ahead</w:t>
      </w:r>
      <w:r w:rsidR="00345C30">
        <w:rPr>
          <w:rFonts w:ascii="Times New Roman" w:hAnsi="Times New Roman" w:cs="Times New Roman"/>
          <w:sz w:val="24"/>
          <w:szCs w:val="24"/>
        </w:rPr>
        <w:t xml:space="preserve">. </w:t>
      </w:r>
      <w:r w:rsidRPr="006848DD">
        <w:rPr>
          <w:rFonts w:ascii="Times New Roman" w:hAnsi="Times New Roman" w:cs="Times New Roman"/>
          <w:sz w:val="24"/>
          <w:szCs w:val="24"/>
        </w:rPr>
        <w:t>The annual accounts</w:t>
      </w:r>
      <w:r w:rsidR="00345C30">
        <w:rPr>
          <w:rFonts w:ascii="Times New Roman" w:hAnsi="Times New Roman" w:cs="Times New Roman"/>
          <w:sz w:val="24"/>
          <w:szCs w:val="24"/>
        </w:rPr>
        <w:t xml:space="preserve"> include </w:t>
      </w:r>
      <w:r w:rsidRPr="006848DD">
        <w:rPr>
          <w:rFonts w:ascii="Times New Roman" w:hAnsi="Times New Roman" w:cs="Times New Roman"/>
          <w:sz w:val="24"/>
          <w:szCs w:val="24"/>
        </w:rPr>
        <w:t>statement</w:t>
      </w:r>
      <w:r w:rsidR="00345C30">
        <w:rPr>
          <w:rFonts w:ascii="Times New Roman" w:hAnsi="Times New Roman" w:cs="Times New Roman"/>
          <w:sz w:val="24"/>
          <w:szCs w:val="24"/>
        </w:rPr>
        <w:t>s</w:t>
      </w:r>
      <w:r w:rsidRPr="006848DD">
        <w:rPr>
          <w:rFonts w:ascii="Times New Roman" w:hAnsi="Times New Roman" w:cs="Times New Roman"/>
          <w:sz w:val="24"/>
          <w:szCs w:val="24"/>
        </w:rPr>
        <w:t xml:space="preserve"> </w:t>
      </w:r>
      <w:r w:rsidR="00345C30">
        <w:rPr>
          <w:rFonts w:ascii="Times New Roman" w:hAnsi="Times New Roman" w:cs="Times New Roman"/>
          <w:sz w:val="24"/>
          <w:szCs w:val="24"/>
        </w:rPr>
        <w:t xml:space="preserve">on </w:t>
      </w:r>
      <w:r w:rsidRPr="006848DD">
        <w:rPr>
          <w:rFonts w:ascii="Times New Roman" w:hAnsi="Times New Roman" w:cs="Times New Roman"/>
          <w:sz w:val="24"/>
          <w:szCs w:val="24"/>
        </w:rPr>
        <w:t>comprehensive income</w:t>
      </w:r>
      <w:r w:rsidR="00345C30">
        <w:rPr>
          <w:rFonts w:ascii="Times New Roman" w:hAnsi="Times New Roman" w:cs="Times New Roman"/>
          <w:sz w:val="24"/>
          <w:szCs w:val="24"/>
        </w:rPr>
        <w:t xml:space="preserve">, </w:t>
      </w:r>
      <w:r w:rsidRPr="006848DD">
        <w:rPr>
          <w:rFonts w:ascii="Times New Roman" w:hAnsi="Times New Roman" w:cs="Times New Roman"/>
          <w:sz w:val="24"/>
          <w:szCs w:val="24"/>
        </w:rPr>
        <w:t>financial position</w:t>
      </w:r>
      <w:r w:rsidR="00345C30">
        <w:rPr>
          <w:rFonts w:ascii="Times New Roman" w:hAnsi="Times New Roman" w:cs="Times New Roman"/>
          <w:sz w:val="24"/>
          <w:szCs w:val="24"/>
        </w:rPr>
        <w:t xml:space="preserve"> and </w:t>
      </w:r>
      <w:r w:rsidRPr="006848DD">
        <w:rPr>
          <w:rFonts w:ascii="Times New Roman" w:hAnsi="Times New Roman" w:cs="Times New Roman"/>
          <w:sz w:val="24"/>
          <w:szCs w:val="24"/>
        </w:rPr>
        <w:t>cash flows</w:t>
      </w:r>
      <w:r w:rsidR="00345C30" w:rsidRPr="00345C30">
        <w:rPr>
          <w:rFonts w:ascii="Times New Roman" w:hAnsi="Times New Roman" w:cs="Times New Roman"/>
          <w:sz w:val="24"/>
          <w:szCs w:val="24"/>
        </w:rPr>
        <w:t xml:space="preserve"> </w:t>
      </w:r>
      <w:r w:rsidR="00345C30">
        <w:rPr>
          <w:rFonts w:ascii="Times New Roman" w:hAnsi="Times New Roman" w:cs="Times New Roman"/>
          <w:sz w:val="24"/>
          <w:szCs w:val="24"/>
        </w:rPr>
        <w:t>(</w:t>
      </w:r>
      <w:r w:rsidR="00345C30" w:rsidRPr="006848DD">
        <w:rPr>
          <w:rFonts w:ascii="Times New Roman" w:hAnsi="Times New Roman" w:cs="Times New Roman"/>
          <w:sz w:val="24"/>
          <w:szCs w:val="24"/>
        </w:rPr>
        <w:t>HMFA</w:t>
      </w:r>
      <w:r w:rsidR="00345C30">
        <w:rPr>
          <w:rFonts w:ascii="Times New Roman" w:hAnsi="Times New Roman" w:cs="Times New Roman"/>
          <w:sz w:val="24"/>
          <w:szCs w:val="24"/>
        </w:rPr>
        <w:t xml:space="preserve"> 2024).</w:t>
      </w:r>
      <w:r w:rsidR="00EF5776">
        <w:rPr>
          <w:rFonts w:ascii="Times New Roman" w:hAnsi="Times New Roman" w:cs="Times New Roman"/>
          <w:sz w:val="24"/>
          <w:szCs w:val="24"/>
        </w:rPr>
        <w:t xml:space="preserve">  </w:t>
      </w:r>
      <w:r w:rsidR="00F131AB">
        <w:rPr>
          <w:rFonts w:ascii="Times New Roman" w:hAnsi="Times New Roman" w:cs="Times New Roman"/>
          <w:sz w:val="24"/>
          <w:szCs w:val="24"/>
        </w:rPr>
        <w:t xml:space="preserve">Foundation Trusts also produce strategic plans </w:t>
      </w:r>
      <w:r w:rsidR="00AC4B9B">
        <w:rPr>
          <w:rFonts w:ascii="Times New Roman" w:hAnsi="Times New Roman" w:cs="Times New Roman"/>
          <w:sz w:val="24"/>
          <w:szCs w:val="24"/>
        </w:rPr>
        <w:t xml:space="preserve">for </w:t>
      </w:r>
      <w:r w:rsidR="00F131AB">
        <w:rPr>
          <w:rFonts w:ascii="Times New Roman" w:hAnsi="Times New Roman" w:cs="Times New Roman"/>
          <w:sz w:val="24"/>
          <w:szCs w:val="24"/>
        </w:rPr>
        <w:t>a five-year period</w:t>
      </w:r>
      <w:r w:rsidR="00EF5776">
        <w:rPr>
          <w:rFonts w:ascii="Times New Roman" w:hAnsi="Times New Roman" w:cs="Times New Roman"/>
          <w:sz w:val="24"/>
          <w:szCs w:val="24"/>
        </w:rPr>
        <w:t xml:space="preserve">, </w:t>
      </w:r>
      <w:r w:rsidR="00296BF2">
        <w:rPr>
          <w:rFonts w:ascii="Times New Roman" w:hAnsi="Times New Roman" w:cs="Times New Roman"/>
          <w:sz w:val="24"/>
          <w:szCs w:val="24"/>
        </w:rPr>
        <w:t>written</w:t>
      </w:r>
      <w:r w:rsidR="00EF5776">
        <w:rPr>
          <w:rFonts w:ascii="Times New Roman" w:hAnsi="Times New Roman" w:cs="Times New Roman"/>
          <w:sz w:val="24"/>
          <w:szCs w:val="24"/>
        </w:rPr>
        <w:t xml:space="preserve"> by the </w:t>
      </w:r>
      <w:r w:rsidR="00EF5776" w:rsidRPr="00AE2D97">
        <w:rPr>
          <w:rFonts w:ascii="Times New Roman" w:hAnsi="Times New Roman" w:cs="Times New Roman"/>
          <w:sz w:val="24"/>
          <w:szCs w:val="24"/>
        </w:rPr>
        <w:t xml:space="preserve">board of directors </w:t>
      </w:r>
      <w:r w:rsidR="00EF5776">
        <w:rPr>
          <w:rFonts w:ascii="Times New Roman" w:hAnsi="Times New Roman" w:cs="Times New Roman"/>
          <w:sz w:val="24"/>
          <w:szCs w:val="24"/>
        </w:rPr>
        <w:t>in consultation with patient</w:t>
      </w:r>
      <w:r w:rsidR="00AC4B9B">
        <w:rPr>
          <w:rFonts w:ascii="Times New Roman" w:hAnsi="Times New Roman" w:cs="Times New Roman"/>
          <w:sz w:val="24"/>
          <w:szCs w:val="24"/>
        </w:rPr>
        <w:t>s</w:t>
      </w:r>
      <w:r w:rsidR="00EF5776">
        <w:rPr>
          <w:rFonts w:ascii="Times New Roman" w:hAnsi="Times New Roman" w:cs="Times New Roman"/>
          <w:sz w:val="24"/>
          <w:szCs w:val="24"/>
        </w:rPr>
        <w:t xml:space="preserve">, staff and public.  </w:t>
      </w:r>
      <w:r w:rsidR="00296BF2">
        <w:rPr>
          <w:rFonts w:ascii="Times New Roman" w:hAnsi="Times New Roman" w:cs="Times New Roman"/>
          <w:sz w:val="24"/>
          <w:szCs w:val="24"/>
        </w:rPr>
        <w:t xml:space="preserve">Such strategic </w:t>
      </w:r>
      <w:r w:rsidR="00EF5776">
        <w:rPr>
          <w:rFonts w:ascii="Times New Roman" w:hAnsi="Times New Roman" w:cs="Times New Roman"/>
          <w:sz w:val="24"/>
          <w:szCs w:val="24"/>
        </w:rPr>
        <w:t xml:space="preserve">documents </w:t>
      </w:r>
      <w:r w:rsidR="00296BF2">
        <w:rPr>
          <w:rFonts w:ascii="Times New Roman" w:hAnsi="Times New Roman" w:cs="Times New Roman"/>
          <w:sz w:val="24"/>
          <w:szCs w:val="24"/>
        </w:rPr>
        <w:t xml:space="preserve">focus on </w:t>
      </w:r>
      <w:r w:rsidR="00EF5776">
        <w:rPr>
          <w:rFonts w:ascii="Times New Roman" w:hAnsi="Times New Roman" w:cs="Times New Roman"/>
          <w:sz w:val="24"/>
          <w:szCs w:val="24"/>
        </w:rPr>
        <w:t>v</w:t>
      </w:r>
      <w:r w:rsidR="00EF5776" w:rsidRPr="00EF5776">
        <w:rPr>
          <w:rFonts w:ascii="Times New Roman" w:hAnsi="Times New Roman" w:cs="Times New Roman"/>
          <w:sz w:val="24"/>
          <w:szCs w:val="24"/>
        </w:rPr>
        <w:t xml:space="preserve">ision </w:t>
      </w:r>
      <w:r w:rsidR="00EF5776">
        <w:rPr>
          <w:rFonts w:ascii="Times New Roman" w:hAnsi="Times New Roman" w:cs="Times New Roman"/>
          <w:sz w:val="24"/>
          <w:szCs w:val="24"/>
        </w:rPr>
        <w:t>and</w:t>
      </w:r>
      <w:r w:rsidR="00EF5776" w:rsidRPr="00EF5776">
        <w:rPr>
          <w:rFonts w:ascii="Times New Roman" w:hAnsi="Times New Roman" w:cs="Times New Roman"/>
          <w:sz w:val="24"/>
          <w:szCs w:val="24"/>
        </w:rPr>
        <w:t xml:space="preserve"> mission</w:t>
      </w:r>
      <w:r w:rsidR="00EF5776">
        <w:rPr>
          <w:rFonts w:ascii="Times New Roman" w:hAnsi="Times New Roman" w:cs="Times New Roman"/>
          <w:sz w:val="24"/>
          <w:szCs w:val="24"/>
        </w:rPr>
        <w:t xml:space="preserve">, </w:t>
      </w:r>
      <w:r w:rsidR="00EF5776" w:rsidRPr="00EF5776">
        <w:rPr>
          <w:rFonts w:ascii="Times New Roman" w:hAnsi="Times New Roman" w:cs="Times New Roman"/>
          <w:sz w:val="24"/>
          <w:szCs w:val="24"/>
        </w:rPr>
        <w:t>values</w:t>
      </w:r>
      <w:r w:rsidR="00EF5776">
        <w:rPr>
          <w:rFonts w:ascii="Times New Roman" w:hAnsi="Times New Roman" w:cs="Times New Roman"/>
          <w:sz w:val="24"/>
          <w:szCs w:val="24"/>
        </w:rPr>
        <w:t xml:space="preserve">, and the planning that will help achieve overall objectives.  These documents </w:t>
      </w:r>
      <w:r w:rsidR="00AC4B9B">
        <w:rPr>
          <w:rFonts w:ascii="Times New Roman" w:hAnsi="Times New Roman" w:cs="Times New Roman"/>
          <w:sz w:val="24"/>
          <w:szCs w:val="24"/>
        </w:rPr>
        <w:t xml:space="preserve">are </w:t>
      </w:r>
      <w:r w:rsidR="00EF5776">
        <w:rPr>
          <w:rFonts w:ascii="Times New Roman" w:hAnsi="Times New Roman" w:cs="Times New Roman"/>
          <w:sz w:val="24"/>
          <w:szCs w:val="24"/>
        </w:rPr>
        <w:t xml:space="preserve">made publicly available by Foundation Trusts. </w:t>
      </w:r>
      <w:r w:rsidR="00831686" w:rsidRPr="008E4844">
        <w:rPr>
          <w:rFonts w:ascii="Times New Roman" w:hAnsi="Times New Roman" w:cs="Times New Roman"/>
          <w:sz w:val="24"/>
          <w:szCs w:val="24"/>
        </w:rPr>
        <w:t xml:space="preserve">We collated </w:t>
      </w:r>
      <w:r w:rsidR="00EF5776">
        <w:rPr>
          <w:rFonts w:ascii="Times New Roman" w:hAnsi="Times New Roman" w:cs="Times New Roman"/>
          <w:sz w:val="24"/>
          <w:szCs w:val="24"/>
        </w:rPr>
        <w:t xml:space="preserve">these </w:t>
      </w:r>
      <w:r w:rsidR="00831686" w:rsidRPr="008E4844">
        <w:rPr>
          <w:rFonts w:ascii="Times New Roman" w:hAnsi="Times New Roman" w:cs="Times New Roman"/>
          <w:sz w:val="24"/>
          <w:szCs w:val="24"/>
        </w:rPr>
        <w:t xml:space="preserve">documents from the Trust and conducted a content analysis of documentation, from 2014 and 2024. </w:t>
      </w:r>
      <w:r w:rsidR="006E3ECC">
        <w:rPr>
          <w:rFonts w:ascii="Times New Roman" w:hAnsi="Times New Roman" w:cs="Times New Roman"/>
          <w:sz w:val="24"/>
          <w:szCs w:val="24"/>
        </w:rPr>
        <w:t xml:space="preserve"> </w:t>
      </w:r>
      <w:r w:rsidR="006E3ECC" w:rsidRPr="006E3ECC">
        <w:rPr>
          <w:rFonts w:ascii="Times New Roman" w:hAnsi="Times New Roman" w:cs="Times New Roman"/>
          <w:sz w:val="24"/>
          <w:szCs w:val="24"/>
        </w:rPr>
        <w:t>This study did not involve human participants but focussed on organisational strategy and practice. It did not include Patient and Public Involvement within its research design.</w:t>
      </w:r>
      <w:r w:rsidR="006E3ECC">
        <w:rPr>
          <w:rFonts w:ascii="Times New Roman" w:hAnsi="Times New Roman" w:cs="Times New Roman"/>
          <w:sz w:val="24"/>
          <w:szCs w:val="24"/>
        </w:rPr>
        <w:t xml:space="preserve">  </w:t>
      </w:r>
      <w:r w:rsidR="00831686" w:rsidRPr="008E4844">
        <w:rPr>
          <w:rFonts w:ascii="Times New Roman" w:hAnsi="Times New Roman" w:cs="Times New Roman"/>
          <w:sz w:val="24"/>
          <w:szCs w:val="24"/>
        </w:rPr>
        <w:t>Data were obtained from (but not restricted to) documents relating to the Trust commercial strategies such as strategic plans, annual reports and accounts, and operational plans</w:t>
      </w:r>
      <w:r w:rsidR="00296BF2">
        <w:rPr>
          <w:rFonts w:ascii="Times New Roman" w:hAnsi="Times New Roman" w:cs="Times New Roman"/>
          <w:sz w:val="24"/>
          <w:szCs w:val="24"/>
        </w:rPr>
        <w:t xml:space="preserve"> (see Table 1)</w:t>
      </w:r>
      <w:r w:rsidR="00831686" w:rsidRPr="008E4844">
        <w:rPr>
          <w:rFonts w:ascii="Times New Roman" w:hAnsi="Times New Roman" w:cs="Times New Roman"/>
          <w:sz w:val="24"/>
          <w:szCs w:val="24"/>
        </w:rPr>
        <w:t xml:space="preserve">. Our findings were therefore shaped by our criteria for selecting potential documents and the availability of online documents. However, like other public bodies, NHS organisations increasingly publish material online (Gorsky 2015). Inevitably, some documents (especially those </w:t>
      </w:r>
      <w:proofErr w:type="gramStart"/>
      <w:r w:rsidR="00831686" w:rsidRPr="008E4844">
        <w:rPr>
          <w:rFonts w:ascii="Times New Roman" w:hAnsi="Times New Roman" w:cs="Times New Roman"/>
          <w:sz w:val="24"/>
          <w:szCs w:val="24"/>
        </w:rPr>
        <w:t>commercially-confidential</w:t>
      </w:r>
      <w:proofErr w:type="gramEnd"/>
      <w:r w:rsidR="00831686" w:rsidRPr="008E4844">
        <w:rPr>
          <w:rFonts w:ascii="Times New Roman" w:hAnsi="Times New Roman" w:cs="Times New Roman"/>
          <w:sz w:val="24"/>
          <w:szCs w:val="24"/>
        </w:rPr>
        <w:t xml:space="preserve"> and older documents) are not online and all documents reflect the authorship of senior managers (with their institutional and personal agendas)</w:t>
      </w:r>
      <w:r w:rsidR="00EF5776">
        <w:rPr>
          <w:rFonts w:ascii="Times New Roman" w:hAnsi="Times New Roman" w:cs="Times New Roman"/>
          <w:sz w:val="24"/>
          <w:szCs w:val="24"/>
        </w:rPr>
        <w:t xml:space="preserve"> </w:t>
      </w:r>
      <w:r w:rsidR="00831686" w:rsidRPr="008E4844">
        <w:rPr>
          <w:rFonts w:ascii="Times New Roman" w:hAnsi="Times New Roman" w:cs="Times New Roman"/>
          <w:sz w:val="24"/>
          <w:szCs w:val="24"/>
        </w:rPr>
        <w:t>(Bryman 2012; Gorsky and Mold 2020; Shaw et al</w:t>
      </w:r>
      <w:r w:rsidR="00BC5FEC" w:rsidRPr="008E4844">
        <w:rPr>
          <w:rFonts w:ascii="Times New Roman" w:hAnsi="Times New Roman" w:cs="Times New Roman"/>
          <w:sz w:val="24"/>
          <w:szCs w:val="24"/>
        </w:rPr>
        <w:t>.</w:t>
      </w:r>
      <w:r w:rsidR="00831686" w:rsidRPr="008E4844">
        <w:rPr>
          <w:rFonts w:ascii="Times New Roman" w:hAnsi="Times New Roman" w:cs="Times New Roman"/>
          <w:sz w:val="24"/>
          <w:szCs w:val="24"/>
        </w:rPr>
        <w:t xml:space="preserve"> 2004).</w:t>
      </w:r>
      <w:r w:rsidR="00EF5776">
        <w:t xml:space="preserve">  </w:t>
      </w:r>
      <w:r w:rsidR="00296BF2" w:rsidRPr="00F94216">
        <w:rPr>
          <w:rFonts w:ascii="Times New Roman" w:hAnsi="Times New Roman" w:cs="Times New Roman"/>
          <w:sz w:val="24"/>
          <w:szCs w:val="24"/>
        </w:rPr>
        <w:t xml:space="preserve">The </w:t>
      </w:r>
      <w:r w:rsidR="00296BF2">
        <w:rPr>
          <w:rFonts w:ascii="Times New Roman" w:hAnsi="Times New Roman" w:cs="Times New Roman"/>
          <w:sz w:val="24"/>
          <w:szCs w:val="24"/>
        </w:rPr>
        <w:t>p</w:t>
      </w:r>
      <w:r w:rsidR="00EF5776" w:rsidRPr="00296BF2">
        <w:rPr>
          <w:rFonts w:ascii="Times New Roman" w:hAnsi="Times New Roman" w:cs="Times New Roman"/>
          <w:sz w:val="24"/>
          <w:szCs w:val="24"/>
        </w:rPr>
        <w:t>revious regulato</w:t>
      </w:r>
      <w:r w:rsidR="00296BF2" w:rsidRPr="00296BF2">
        <w:rPr>
          <w:rFonts w:ascii="Times New Roman" w:hAnsi="Times New Roman" w:cs="Times New Roman"/>
          <w:sz w:val="24"/>
          <w:szCs w:val="24"/>
        </w:rPr>
        <w:t>ry bod</w:t>
      </w:r>
      <w:r w:rsidR="00296BF2">
        <w:rPr>
          <w:rFonts w:ascii="Times New Roman" w:hAnsi="Times New Roman" w:cs="Times New Roman"/>
          <w:sz w:val="24"/>
          <w:szCs w:val="24"/>
        </w:rPr>
        <w:t>y</w:t>
      </w:r>
      <w:r w:rsidR="00EF5776" w:rsidRPr="00296BF2">
        <w:rPr>
          <w:rFonts w:ascii="Times New Roman" w:hAnsi="Times New Roman" w:cs="Times New Roman"/>
          <w:sz w:val="24"/>
          <w:szCs w:val="24"/>
        </w:rPr>
        <w:t>, Monitor,</w:t>
      </w:r>
      <w:r w:rsidR="00296BF2">
        <w:rPr>
          <w:rFonts w:ascii="Times New Roman" w:hAnsi="Times New Roman" w:cs="Times New Roman"/>
          <w:sz w:val="24"/>
          <w:szCs w:val="24"/>
        </w:rPr>
        <w:t xml:space="preserve"> </w:t>
      </w:r>
      <w:r w:rsidR="00EF5776" w:rsidRPr="00296BF2">
        <w:rPr>
          <w:rFonts w:ascii="Times New Roman" w:hAnsi="Times New Roman" w:cs="Times New Roman"/>
          <w:sz w:val="24"/>
          <w:szCs w:val="24"/>
        </w:rPr>
        <w:t xml:space="preserve">criticised the </w:t>
      </w:r>
      <w:r w:rsidR="00296BF2">
        <w:rPr>
          <w:rFonts w:ascii="Times New Roman" w:hAnsi="Times New Roman" w:cs="Times New Roman"/>
          <w:sz w:val="24"/>
          <w:szCs w:val="24"/>
        </w:rPr>
        <w:t xml:space="preserve">existing </w:t>
      </w:r>
      <w:r w:rsidR="00EF5776" w:rsidRPr="00296BF2">
        <w:rPr>
          <w:rFonts w:ascii="Times New Roman" w:hAnsi="Times New Roman" w:cs="Times New Roman"/>
          <w:sz w:val="24"/>
          <w:szCs w:val="24"/>
        </w:rPr>
        <w:t xml:space="preserve">quality of strategic and operational planning </w:t>
      </w:r>
      <w:r w:rsidR="00296BF2">
        <w:rPr>
          <w:rFonts w:ascii="Times New Roman" w:hAnsi="Times New Roman" w:cs="Times New Roman"/>
          <w:sz w:val="24"/>
          <w:szCs w:val="24"/>
        </w:rPr>
        <w:t xml:space="preserve">activity </w:t>
      </w:r>
      <w:r w:rsidR="00AC4B9B">
        <w:rPr>
          <w:rFonts w:ascii="Times New Roman" w:hAnsi="Times New Roman" w:cs="Times New Roman"/>
          <w:sz w:val="24"/>
          <w:szCs w:val="24"/>
        </w:rPr>
        <w:t xml:space="preserve">by Foundation Trusts </w:t>
      </w:r>
      <w:r w:rsidR="00EF5776" w:rsidRPr="00296BF2">
        <w:rPr>
          <w:rFonts w:ascii="Times New Roman" w:hAnsi="Times New Roman" w:cs="Times New Roman"/>
          <w:sz w:val="24"/>
          <w:szCs w:val="24"/>
        </w:rPr>
        <w:t>and established stronger guidance and tools to inform</w:t>
      </w:r>
      <w:r w:rsidR="00296BF2">
        <w:rPr>
          <w:rFonts w:ascii="Times New Roman" w:hAnsi="Times New Roman" w:cs="Times New Roman"/>
          <w:sz w:val="24"/>
          <w:szCs w:val="24"/>
        </w:rPr>
        <w:t xml:space="preserve"> process and reporting</w:t>
      </w:r>
      <w:r w:rsidR="00EF5776" w:rsidRPr="00296BF2">
        <w:rPr>
          <w:rFonts w:ascii="Times New Roman" w:hAnsi="Times New Roman" w:cs="Times New Roman"/>
          <w:sz w:val="24"/>
          <w:szCs w:val="24"/>
        </w:rPr>
        <w:t xml:space="preserve"> (Monitor 2013).</w:t>
      </w:r>
    </w:p>
    <w:p w14:paraId="7202056F" w14:textId="2CFE67EE" w:rsidR="00EF5776" w:rsidRDefault="00AC4B9B" w:rsidP="00EF5776">
      <w:pPr>
        <w:autoSpaceDE w:val="0"/>
        <w:autoSpaceDN w:val="0"/>
        <w:adjustRightInd w:val="0"/>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Whilst these </w:t>
      </w:r>
      <w:r w:rsidR="00EF5776">
        <w:rPr>
          <w:rFonts w:ascii="Times New Roman" w:hAnsi="Times New Roman" w:cs="Times New Roman"/>
          <w:sz w:val="24"/>
          <w:szCs w:val="24"/>
        </w:rPr>
        <w:t xml:space="preserve">documents </w:t>
      </w:r>
      <w:r>
        <w:rPr>
          <w:rFonts w:ascii="Times New Roman" w:hAnsi="Times New Roman" w:cs="Times New Roman"/>
          <w:sz w:val="24"/>
          <w:szCs w:val="24"/>
        </w:rPr>
        <w:t>are</w:t>
      </w:r>
      <w:r w:rsidR="00EF483B">
        <w:rPr>
          <w:rFonts w:ascii="Times New Roman" w:hAnsi="Times New Roman" w:cs="Times New Roman"/>
          <w:sz w:val="24"/>
          <w:szCs w:val="24"/>
        </w:rPr>
        <w:t xml:space="preserve"> </w:t>
      </w:r>
      <w:r w:rsidR="00EF5776">
        <w:rPr>
          <w:rFonts w:ascii="Times New Roman" w:hAnsi="Times New Roman" w:cs="Times New Roman"/>
          <w:sz w:val="24"/>
          <w:szCs w:val="24"/>
        </w:rPr>
        <w:t xml:space="preserve">produced </w:t>
      </w:r>
      <w:r w:rsidR="00296BF2">
        <w:rPr>
          <w:rFonts w:ascii="Times New Roman" w:hAnsi="Times New Roman" w:cs="Times New Roman"/>
          <w:sz w:val="24"/>
          <w:szCs w:val="24"/>
        </w:rPr>
        <w:t xml:space="preserve">relatively </w:t>
      </w:r>
      <w:r w:rsidR="00EF5776">
        <w:rPr>
          <w:rFonts w:ascii="Times New Roman" w:hAnsi="Times New Roman" w:cs="Times New Roman"/>
          <w:sz w:val="24"/>
          <w:szCs w:val="24"/>
        </w:rPr>
        <w:t xml:space="preserve">routinely by </w:t>
      </w:r>
      <w:r>
        <w:rPr>
          <w:rFonts w:ascii="Times New Roman" w:hAnsi="Times New Roman" w:cs="Times New Roman"/>
          <w:sz w:val="24"/>
          <w:szCs w:val="24"/>
        </w:rPr>
        <w:t>large Foundation Trusts and</w:t>
      </w:r>
      <w:r w:rsidR="00296BF2">
        <w:rPr>
          <w:rFonts w:ascii="Times New Roman" w:hAnsi="Times New Roman" w:cs="Times New Roman"/>
          <w:sz w:val="24"/>
          <w:szCs w:val="24"/>
        </w:rPr>
        <w:t xml:space="preserve"> contain some uniform</w:t>
      </w:r>
      <w:r>
        <w:rPr>
          <w:rFonts w:ascii="Times New Roman" w:hAnsi="Times New Roman" w:cs="Times New Roman"/>
          <w:sz w:val="24"/>
          <w:szCs w:val="24"/>
        </w:rPr>
        <w:t xml:space="preserve"> reporting</w:t>
      </w:r>
      <w:r w:rsidR="00296BF2">
        <w:rPr>
          <w:rFonts w:ascii="Times New Roman" w:hAnsi="Times New Roman" w:cs="Times New Roman"/>
          <w:sz w:val="24"/>
          <w:szCs w:val="24"/>
        </w:rPr>
        <w:t xml:space="preserve"> </w:t>
      </w:r>
      <w:r>
        <w:rPr>
          <w:rFonts w:ascii="Times New Roman" w:hAnsi="Times New Roman" w:cs="Times New Roman"/>
          <w:sz w:val="24"/>
          <w:szCs w:val="24"/>
        </w:rPr>
        <w:t xml:space="preserve">there are </w:t>
      </w:r>
      <w:r w:rsidR="00296BF2">
        <w:rPr>
          <w:rFonts w:ascii="Times New Roman" w:hAnsi="Times New Roman" w:cs="Times New Roman"/>
          <w:sz w:val="24"/>
          <w:szCs w:val="24"/>
        </w:rPr>
        <w:t xml:space="preserve">also </w:t>
      </w:r>
      <w:r w:rsidR="00EF483B">
        <w:rPr>
          <w:rFonts w:ascii="Times New Roman" w:hAnsi="Times New Roman" w:cs="Times New Roman"/>
          <w:sz w:val="24"/>
          <w:szCs w:val="24"/>
        </w:rPr>
        <w:t>difference</w:t>
      </w:r>
      <w:r w:rsidR="00ED2F41">
        <w:rPr>
          <w:rFonts w:ascii="Times New Roman" w:hAnsi="Times New Roman" w:cs="Times New Roman"/>
          <w:sz w:val="24"/>
          <w:szCs w:val="24"/>
        </w:rPr>
        <w:t>s</w:t>
      </w:r>
      <w:r w:rsidR="00EF483B">
        <w:rPr>
          <w:rFonts w:ascii="Times New Roman" w:hAnsi="Times New Roman" w:cs="Times New Roman"/>
          <w:sz w:val="24"/>
          <w:szCs w:val="24"/>
        </w:rPr>
        <w:t xml:space="preserve"> </w:t>
      </w:r>
      <w:r w:rsidR="00ED2F41">
        <w:rPr>
          <w:rFonts w:ascii="Times New Roman" w:hAnsi="Times New Roman" w:cs="Times New Roman"/>
          <w:sz w:val="24"/>
          <w:szCs w:val="24"/>
        </w:rPr>
        <w:t xml:space="preserve">and nuances </w:t>
      </w:r>
      <w:r w:rsidR="004C08EC">
        <w:rPr>
          <w:rFonts w:ascii="Times New Roman" w:hAnsi="Times New Roman" w:cs="Times New Roman"/>
          <w:sz w:val="24"/>
          <w:szCs w:val="24"/>
        </w:rPr>
        <w:t>for</w:t>
      </w:r>
      <w:r w:rsidR="00ED2F41">
        <w:rPr>
          <w:rFonts w:ascii="Times New Roman" w:hAnsi="Times New Roman" w:cs="Times New Roman"/>
          <w:sz w:val="24"/>
          <w:szCs w:val="24"/>
        </w:rPr>
        <w:t xml:space="preserve"> each Foundation Trusts</w:t>
      </w:r>
      <w:r w:rsidR="00EF483B">
        <w:rPr>
          <w:rFonts w:ascii="Times New Roman" w:hAnsi="Times New Roman" w:cs="Times New Roman"/>
          <w:sz w:val="24"/>
          <w:szCs w:val="24"/>
        </w:rPr>
        <w:t xml:space="preserve">.  </w:t>
      </w:r>
      <w:r>
        <w:rPr>
          <w:rFonts w:ascii="Times New Roman" w:hAnsi="Times New Roman" w:cs="Times New Roman"/>
          <w:sz w:val="24"/>
          <w:szCs w:val="24"/>
        </w:rPr>
        <w:t xml:space="preserve">Documents </w:t>
      </w:r>
      <w:r w:rsidR="00EF483B">
        <w:rPr>
          <w:rFonts w:ascii="Times New Roman" w:hAnsi="Times New Roman" w:cs="Times New Roman"/>
          <w:sz w:val="24"/>
          <w:szCs w:val="24"/>
        </w:rPr>
        <w:t>trac</w:t>
      </w:r>
      <w:r w:rsidR="00ED2F41">
        <w:rPr>
          <w:rFonts w:ascii="Times New Roman" w:hAnsi="Times New Roman" w:cs="Times New Roman"/>
          <w:sz w:val="24"/>
          <w:szCs w:val="24"/>
        </w:rPr>
        <w:t>e</w:t>
      </w:r>
      <w:r w:rsidR="00EF483B">
        <w:rPr>
          <w:rFonts w:ascii="Times New Roman" w:hAnsi="Times New Roman" w:cs="Times New Roman"/>
          <w:sz w:val="24"/>
          <w:szCs w:val="24"/>
        </w:rPr>
        <w:t xml:space="preserve"> emergent commercial </w:t>
      </w:r>
      <w:proofErr w:type="gramStart"/>
      <w:r w:rsidR="00EF483B">
        <w:rPr>
          <w:rFonts w:ascii="Times New Roman" w:hAnsi="Times New Roman" w:cs="Times New Roman"/>
          <w:sz w:val="24"/>
          <w:szCs w:val="24"/>
        </w:rPr>
        <w:t>thinking, and</w:t>
      </w:r>
      <w:proofErr w:type="gramEnd"/>
      <w:r w:rsidR="00EF483B">
        <w:rPr>
          <w:rFonts w:ascii="Times New Roman" w:hAnsi="Times New Roman" w:cs="Times New Roman"/>
          <w:sz w:val="24"/>
          <w:szCs w:val="24"/>
        </w:rPr>
        <w:t xml:space="preserve"> </w:t>
      </w:r>
      <w:r w:rsidR="00ED2F41">
        <w:rPr>
          <w:rFonts w:ascii="Times New Roman" w:hAnsi="Times New Roman" w:cs="Times New Roman"/>
          <w:sz w:val="24"/>
          <w:szCs w:val="24"/>
        </w:rPr>
        <w:t xml:space="preserve">illustrate </w:t>
      </w:r>
      <w:r w:rsidR="00EF483B">
        <w:rPr>
          <w:rFonts w:ascii="Times New Roman" w:hAnsi="Times New Roman" w:cs="Times New Roman"/>
          <w:sz w:val="24"/>
          <w:szCs w:val="24"/>
        </w:rPr>
        <w:t xml:space="preserve">how it is realised </w:t>
      </w:r>
      <w:r>
        <w:rPr>
          <w:rFonts w:ascii="Times New Roman" w:hAnsi="Times New Roman" w:cs="Times New Roman"/>
          <w:sz w:val="24"/>
          <w:szCs w:val="24"/>
        </w:rPr>
        <w:t>in a concrete manner through</w:t>
      </w:r>
      <w:r w:rsidR="00EF483B">
        <w:rPr>
          <w:rFonts w:ascii="Times New Roman" w:hAnsi="Times New Roman" w:cs="Times New Roman"/>
          <w:sz w:val="24"/>
          <w:szCs w:val="24"/>
        </w:rPr>
        <w:t xml:space="preserve"> organisational decisions, roles and practices.  For example, another Foundation Trust</w:t>
      </w:r>
      <w:r w:rsidR="00ED2F41">
        <w:rPr>
          <w:rFonts w:ascii="Times New Roman" w:hAnsi="Times New Roman" w:cs="Times New Roman"/>
          <w:sz w:val="24"/>
          <w:szCs w:val="24"/>
        </w:rPr>
        <w:t>,</w:t>
      </w:r>
      <w:r w:rsidR="00EF483B">
        <w:rPr>
          <w:rFonts w:ascii="Times New Roman" w:hAnsi="Times New Roman" w:cs="Times New Roman"/>
          <w:sz w:val="24"/>
          <w:szCs w:val="24"/>
        </w:rPr>
        <w:t xml:space="preserve"> Moorfields, sought to realise commercial income from overseas ventures and </w:t>
      </w:r>
      <w:r w:rsidR="00ED2F41">
        <w:rPr>
          <w:rFonts w:ascii="Times New Roman" w:hAnsi="Times New Roman" w:cs="Times New Roman"/>
          <w:sz w:val="24"/>
          <w:szCs w:val="24"/>
        </w:rPr>
        <w:t>its</w:t>
      </w:r>
      <w:r w:rsidR="00EF483B" w:rsidRPr="00EF483B">
        <w:rPr>
          <w:rFonts w:ascii="Times New Roman" w:hAnsi="Times New Roman" w:cs="Times New Roman"/>
          <w:sz w:val="24"/>
          <w:szCs w:val="24"/>
        </w:rPr>
        <w:t xml:space="preserve"> Dubai and Abu Dhabi </w:t>
      </w:r>
      <w:r w:rsidR="00ED2F41">
        <w:rPr>
          <w:rFonts w:ascii="Times New Roman" w:hAnsi="Times New Roman" w:cs="Times New Roman"/>
          <w:sz w:val="24"/>
          <w:szCs w:val="24"/>
        </w:rPr>
        <w:t xml:space="preserve">activities </w:t>
      </w:r>
      <w:r w:rsidR="00EF483B" w:rsidRPr="00EF483B">
        <w:rPr>
          <w:rFonts w:ascii="Times New Roman" w:hAnsi="Times New Roman" w:cs="Times New Roman"/>
          <w:sz w:val="24"/>
          <w:szCs w:val="24"/>
        </w:rPr>
        <w:t xml:space="preserve">are </w:t>
      </w:r>
      <w:r w:rsidR="00ED2F41">
        <w:rPr>
          <w:rFonts w:ascii="Times New Roman" w:hAnsi="Times New Roman" w:cs="Times New Roman"/>
          <w:sz w:val="24"/>
          <w:szCs w:val="24"/>
        </w:rPr>
        <w:t xml:space="preserve">thus </w:t>
      </w:r>
      <w:r w:rsidR="00EF483B">
        <w:rPr>
          <w:rFonts w:ascii="Times New Roman" w:hAnsi="Times New Roman" w:cs="Times New Roman"/>
          <w:sz w:val="24"/>
          <w:szCs w:val="24"/>
        </w:rPr>
        <w:t xml:space="preserve">discussed </w:t>
      </w:r>
      <w:r w:rsidR="00EF483B" w:rsidRPr="00EF483B">
        <w:rPr>
          <w:rFonts w:ascii="Times New Roman" w:hAnsi="Times New Roman" w:cs="Times New Roman"/>
          <w:sz w:val="24"/>
          <w:szCs w:val="24"/>
        </w:rPr>
        <w:t xml:space="preserve">in </w:t>
      </w:r>
      <w:r w:rsidR="00ED2F41">
        <w:rPr>
          <w:rFonts w:ascii="Times New Roman" w:hAnsi="Times New Roman" w:cs="Times New Roman"/>
          <w:sz w:val="24"/>
          <w:szCs w:val="24"/>
        </w:rPr>
        <w:t>its</w:t>
      </w:r>
      <w:r w:rsidR="00EF483B" w:rsidRPr="00EF483B">
        <w:rPr>
          <w:rFonts w:ascii="Times New Roman" w:hAnsi="Times New Roman" w:cs="Times New Roman"/>
          <w:sz w:val="24"/>
          <w:szCs w:val="24"/>
        </w:rPr>
        <w:t xml:space="preserve"> 2018/19 annual report and accounts</w:t>
      </w:r>
      <w:r>
        <w:rPr>
          <w:rFonts w:ascii="Times New Roman" w:hAnsi="Times New Roman" w:cs="Times New Roman"/>
          <w:sz w:val="24"/>
          <w:szCs w:val="24"/>
        </w:rPr>
        <w:t>,</w:t>
      </w:r>
      <w:r w:rsidR="00EF483B" w:rsidRPr="00EF483B">
        <w:rPr>
          <w:rFonts w:ascii="Times New Roman" w:hAnsi="Times New Roman" w:cs="Times New Roman"/>
          <w:sz w:val="24"/>
          <w:szCs w:val="24"/>
        </w:rPr>
        <w:t xml:space="preserve"> both in the overview of performance as part of the chief executive’s statement</w:t>
      </w:r>
      <w:r w:rsidR="00EF483B">
        <w:rPr>
          <w:rFonts w:ascii="Times New Roman" w:hAnsi="Times New Roman" w:cs="Times New Roman"/>
          <w:sz w:val="24"/>
          <w:szCs w:val="24"/>
        </w:rPr>
        <w:t xml:space="preserve">.  </w:t>
      </w:r>
      <w:r w:rsidR="00EF483B" w:rsidRPr="00EF483B">
        <w:rPr>
          <w:rFonts w:ascii="Times New Roman" w:hAnsi="Times New Roman" w:cs="Times New Roman"/>
          <w:sz w:val="24"/>
          <w:szCs w:val="24"/>
        </w:rPr>
        <w:t>Th</w:t>
      </w:r>
      <w:r w:rsidR="00EF483B">
        <w:rPr>
          <w:rFonts w:ascii="Times New Roman" w:hAnsi="Times New Roman" w:cs="Times New Roman"/>
          <w:sz w:val="24"/>
          <w:szCs w:val="24"/>
        </w:rPr>
        <w:t xml:space="preserve">ere is </w:t>
      </w:r>
      <w:r w:rsidR="00EF483B" w:rsidRPr="00EF483B">
        <w:rPr>
          <w:rFonts w:ascii="Times New Roman" w:hAnsi="Times New Roman" w:cs="Times New Roman"/>
          <w:sz w:val="24"/>
          <w:szCs w:val="24"/>
        </w:rPr>
        <w:t>narrative analysis of its investment in</w:t>
      </w:r>
      <w:r w:rsidR="00EF483B">
        <w:rPr>
          <w:rFonts w:ascii="Times New Roman" w:hAnsi="Times New Roman" w:cs="Times New Roman"/>
          <w:sz w:val="24"/>
          <w:szCs w:val="24"/>
        </w:rPr>
        <w:t xml:space="preserve"> overseas</w:t>
      </w:r>
      <w:r w:rsidR="00EF483B" w:rsidRPr="00EF483B">
        <w:rPr>
          <w:rFonts w:ascii="Times New Roman" w:hAnsi="Times New Roman" w:cs="Times New Roman"/>
          <w:sz w:val="24"/>
          <w:szCs w:val="24"/>
        </w:rPr>
        <w:t xml:space="preserve"> facilities and equipment, contractual arrangements, </w:t>
      </w:r>
      <w:r w:rsidR="00EF483B">
        <w:rPr>
          <w:rFonts w:ascii="Times New Roman" w:hAnsi="Times New Roman" w:cs="Times New Roman"/>
          <w:sz w:val="24"/>
          <w:szCs w:val="24"/>
        </w:rPr>
        <w:t xml:space="preserve">as well as </w:t>
      </w:r>
      <w:r w:rsidR="00EF483B" w:rsidRPr="00EF483B">
        <w:rPr>
          <w:rFonts w:ascii="Times New Roman" w:hAnsi="Times New Roman" w:cs="Times New Roman"/>
          <w:sz w:val="24"/>
          <w:szCs w:val="24"/>
        </w:rPr>
        <w:t>research activities and partnerships</w:t>
      </w:r>
      <w:r w:rsidR="00EF483B">
        <w:rPr>
          <w:rFonts w:ascii="Times New Roman" w:hAnsi="Times New Roman" w:cs="Times New Roman"/>
          <w:sz w:val="24"/>
          <w:szCs w:val="24"/>
        </w:rPr>
        <w:t xml:space="preserve"> integral to the initiative (</w:t>
      </w:r>
      <w:r w:rsidR="00101D22">
        <w:rPr>
          <w:rFonts w:ascii="Times New Roman" w:hAnsi="Times New Roman" w:cs="Times New Roman"/>
          <w:sz w:val="24"/>
          <w:szCs w:val="24"/>
        </w:rPr>
        <w:t>HMFA 2024)</w:t>
      </w:r>
      <w:r w:rsidR="00EF483B" w:rsidRPr="00EF483B">
        <w:rPr>
          <w:rFonts w:ascii="Times New Roman" w:hAnsi="Times New Roman" w:cs="Times New Roman"/>
          <w:sz w:val="24"/>
          <w:szCs w:val="24"/>
        </w:rPr>
        <w:t>.</w:t>
      </w:r>
    </w:p>
    <w:p w14:paraId="6868E305" w14:textId="0D2FC9FF" w:rsidR="00101D22" w:rsidRDefault="00831686" w:rsidP="003735BE">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lastRenderedPageBreak/>
        <w:t xml:space="preserve"> In future research, documentary data could usefully be complemented by observation of board and strategy meetings and by interviews with key staff (and perhaps patients). Access to primary data collection sources may, however, be difficult. </w:t>
      </w:r>
    </w:p>
    <w:p w14:paraId="6961EC22" w14:textId="4A9CBAFB" w:rsidR="00101D22" w:rsidRPr="008E4844" w:rsidRDefault="00101D22" w:rsidP="00101D22">
      <w:pPr>
        <w:autoSpaceDE w:val="0"/>
        <w:autoSpaceDN w:val="0"/>
        <w:adjustRightInd w:val="0"/>
        <w:spacing w:before="100" w:beforeAutospacing="1" w:after="100" w:afterAutospacing="1"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reports, strategies and plans </w:t>
      </w:r>
      <w:r w:rsidR="00ED2F41">
        <w:rPr>
          <w:rFonts w:ascii="Times New Roman" w:eastAsia="Times New Roman" w:hAnsi="Times New Roman" w:cs="Times New Roman"/>
          <w:color w:val="000000"/>
          <w:sz w:val="24"/>
          <w:szCs w:val="24"/>
          <w:lang w:eastAsia="en-GB"/>
        </w:rPr>
        <w:t xml:space="preserve">for GOSH </w:t>
      </w:r>
      <w:r>
        <w:rPr>
          <w:rFonts w:ascii="Times New Roman" w:eastAsia="Times New Roman" w:hAnsi="Times New Roman" w:cs="Times New Roman"/>
          <w:color w:val="000000"/>
          <w:sz w:val="24"/>
          <w:szCs w:val="24"/>
          <w:lang w:eastAsia="en-GB"/>
        </w:rPr>
        <w:t xml:space="preserve">were </w:t>
      </w:r>
      <w:r w:rsidRPr="00101D22">
        <w:rPr>
          <w:rFonts w:ascii="Times New Roman" w:eastAsia="Times New Roman" w:hAnsi="Times New Roman" w:cs="Times New Roman"/>
          <w:color w:val="000000"/>
          <w:sz w:val="24"/>
          <w:szCs w:val="24"/>
          <w:lang w:eastAsia="en-GB"/>
        </w:rPr>
        <w:t>primarily analysed</w:t>
      </w:r>
      <w:r w:rsidR="00F94216">
        <w:rPr>
          <w:rFonts w:ascii="Times New Roman" w:eastAsia="Times New Roman" w:hAnsi="Times New Roman" w:cs="Times New Roman"/>
          <w:color w:val="000000"/>
          <w:sz w:val="24"/>
          <w:szCs w:val="24"/>
          <w:lang w:eastAsia="en-GB"/>
        </w:rPr>
        <w:t xml:space="preserve"> drawing on</w:t>
      </w:r>
      <w:r w:rsidRPr="00101D22">
        <w:rPr>
          <w:rFonts w:ascii="Times New Roman" w:eastAsia="Times New Roman" w:hAnsi="Times New Roman" w:cs="Times New Roman"/>
          <w:color w:val="000000"/>
          <w:sz w:val="24"/>
          <w:szCs w:val="24"/>
          <w:lang w:eastAsia="en-GB"/>
        </w:rPr>
        <w:t xml:space="preserve"> the six-stage thematic analysis approach advocated by Braun and Clarke (2006). </w:t>
      </w:r>
      <w:r w:rsidR="00ED2F41">
        <w:rPr>
          <w:rFonts w:ascii="Times New Roman" w:eastAsia="Times New Roman" w:hAnsi="Times New Roman" w:cs="Times New Roman"/>
          <w:color w:val="000000"/>
          <w:sz w:val="24"/>
          <w:szCs w:val="24"/>
          <w:lang w:eastAsia="en-GB"/>
        </w:rPr>
        <w:t>Documents also included GOSH marketing statements and supporting information (</w:t>
      </w:r>
      <w:r w:rsidR="00ED2F41" w:rsidRPr="00F94216">
        <w:rPr>
          <w:rFonts w:ascii="Times New Roman" w:eastAsia="Times New Roman" w:hAnsi="Times New Roman" w:cs="Times New Roman"/>
          <w:i/>
          <w:iCs/>
          <w:color w:val="000000"/>
          <w:sz w:val="24"/>
          <w:szCs w:val="24"/>
          <w:lang w:eastAsia="en-GB"/>
        </w:rPr>
        <w:t>e.g.</w:t>
      </w:r>
      <w:r w:rsidR="00ED2F41">
        <w:rPr>
          <w:rFonts w:ascii="Times New Roman" w:eastAsia="Times New Roman" w:hAnsi="Times New Roman" w:cs="Times New Roman"/>
          <w:color w:val="000000"/>
          <w:sz w:val="24"/>
          <w:szCs w:val="24"/>
          <w:lang w:eastAsia="en-GB"/>
        </w:rPr>
        <w:t xml:space="preserve"> available on its website). </w:t>
      </w:r>
      <w:r>
        <w:rPr>
          <w:rFonts w:ascii="Times New Roman" w:eastAsia="Times New Roman" w:hAnsi="Times New Roman" w:cs="Times New Roman"/>
          <w:color w:val="000000"/>
          <w:sz w:val="24"/>
          <w:szCs w:val="24"/>
          <w:lang w:eastAsia="en-GB"/>
        </w:rPr>
        <w:t>We familiarized ourselves with the documents (including context, audience and meaning)</w:t>
      </w:r>
      <w:r w:rsidR="008805CB">
        <w:rPr>
          <w:rFonts w:ascii="Times New Roman" w:eastAsia="Times New Roman" w:hAnsi="Times New Roman" w:cs="Times New Roman"/>
          <w:color w:val="000000"/>
          <w:sz w:val="24"/>
          <w:szCs w:val="24"/>
          <w:lang w:eastAsia="en-GB"/>
        </w:rPr>
        <w:t>, coded sections of documents and then generated potential theme</w:t>
      </w:r>
      <w:r w:rsidR="00ED2F41">
        <w:rPr>
          <w:rFonts w:ascii="Times New Roman" w:eastAsia="Times New Roman" w:hAnsi="Times New Roman" w:cs="Times New Roman"/>
          <w:color w:val="000000"/>
          <w:sz w:val="24"/>
          <w:szCs w:val="24"/>
          <w:lang w:eastAsia="en-GB"/>
        </w:rPr>
        <w:t>s</w:t>
      </w:r>
      <w:r w:rsidR="008805CB">
        <w:rPr>
          <w:rFonts w:ascii="Times New Roman" w:eastAsia="Times New Roman" w:hAnsi="Times New Roman" w:cs="Times New Roman"/>
          <w:color w:val="000000"/>
          <w:sz w:val="24"/>
          <w:szCs w:val="24"/>
          <w:lang w:eastAsia="en-GB"/>
        </w:rPr>
        <w:t xml:space="preserve">.  Following </w:t>
      </w:r>
      <w:r w:rsidR="00ED2F41">
        <w:rPr>
          <w:rFonts w:ascii="Times New Roman" w:eastAsia="Times New Roman" w:hAnsi="Times New Roman" w:cs="Times New Roman"/>
          <w:color w:val="000000"/>
          <w:sz w:val="24"/>
          <w:szCs w:val="24"/>
          <w:lang w:eastAsia="en-GB"/>
        </w:rPr>
        <w:t xml:space="preserve">a </w:t>
      </w:r>
      <w:r w:rsidR="008805CB">
        <w:rPr>
          <w:rFonts w:ascii="Times New Roman" w:eastAsia="Times New Roman" w:hAnsi="Times New Roman" w:cs="Times New Roman"/>
          <w:color w:val="000000"/>
          <w:sz w:val="24"/>
          <w:szCs w:val="24"/>
          <w:lang w:eastAsia="en-GB"/>
        </w:rPr>
        <w:t xml:space="preserve">review of themes, consolidation and labelling, we completed the analysis using narrative statements drawn from the reports to illustrate themes wherever possible </w:t>
      </w:r>
      <w:r w:rsidRPr="00101D22">
        <w:rPr>
          <w:rFonts w:ascii="Times New Roman" w:eastAsia="Times New Roman" w:hAnsi="Times New Roman" w:cs="Times New Roman"/>
          <w:color w:val="000000"/>
          <w:sz w:val="24"/>
          <w:szCs w:val="24"/>
          <w:lang w:eastAsia="en-GB"/>
        </w:rPr>
        <w:t>(Braun and Clarke 2006).</w:t>
      </w:r>
      <w:r w:rsidR="008805CB">
        <w:rPr>
          <w:rFonts w:ascii="Times New Roman" w:eastAsia="Times New Roman" w:hAnsi="Times New Roman" w:cs="Times New Roman"/>
          <w:color w:val="000000"/>
          <w:sz w:val="24"/>
          <w:szCs w:val="24"/>
          <w:lang w:eastAsia="en-GB"/>
        </w:rPr>
        <w:t xml:space="preserve">  </w:t>
      </w:r>
      <w:r w:rsidR="00ED2F41">
        <w:rPr>
          <w:rFonts w:ascii="Times New Roman" w:eastAsia="Times New Roman" w:hAnsi="Times New Roman" w:cs="Times New Roman"/>
          <w:color w:val="000000"/>
          <w:sz w:val="24"/>
          <w:szCs w:val="24"/>
          <w:lang w:eastAsia="en-GB"/>
        </w:rPr>
        <w:t>Given this process</w:t>
      </w:r>
      <w:r w:rsidR="008805CB">
        <w:rPr>
          <w:rFonts w:ascii="Times New Roman" w:eastAsia="Times New Roman" w:hAnsi="Times New Roman" w:cs="Times New Roman"/>
          <w:color w:val="000000"/>
          <w:sz w:val="24"/>
          <w:szCs w:val="24"/>
          <w:lang w:eastAsia="en-GB"/>
        </w:rPr>
        <w:t>, t</w:t>
      </w:r>
      <w:r w:rsidRPr="00101D22">
        <w:rPr>
          <w:rFonts w:ascii="Times New Roman" w:eastAsia="Times New Roman" w:hAnsi="Times New Roman" w:cs="Times New Roman"/>
          <w:color w:val="000000"/>
          <w:sz w:val="24"/>
          <w:szCs w:val="24"/>
          <w:lang w:eastAsia="en-GB"/>
        </w:rPr>
        <w:t xml:space="preserve">hemes were identified in an inductive (data-driven) manner and were firmly grounded in the </w:t>
      </w:r>
      <w:r w:rsidR="008805CB">
        <w:rPr>
          <w:rFonts w:ascii="Times New Roman" w:eastAsia="Times New Roman" w:hAnsi="Times New Roman" w:cs="Times New Roman"/>
          <w:color w:val="000000"/>
          <w:sz w:val="24"/>
          <w:szCs w:val="24"/>
          <w:lang w:eastAsia="en-GB"/>
        </w:rPr>
        <w:t xml:space="preserve">documents. Throughout analysis we </w:t>
      </w:r>
      <w:r w:rsidR="00AC4B9B">
        <w:rPr>
          <w:rFonts w:ascii="Times New Roman" w:eastAsia="Times New Roman" w:hAnsi="Times New Roman" w:cs="Times New Roman"/>
          <w:color w:val="000000"/>
          <w:sz w:val="24"/>
          <w:szCs w:val="24"/>
          <w:lang w:eastAsia="en-GB"/>
        </w:rPr>
        <w:t xml:space="preserve">remained alert </w:t>
      </w:r>
      <w:r w:rsidR="00ED2F41">
        <w:rPr>
          <w:rFonts w:ascii="Times New Roman" w:eastAsia="Times New Roman" w:hAnsi="Times New Roman" w:cs="Times New Roman"/>
          <w:color w:val="000000"/>
          <w:sz w:val="24"/>
          <w:szCs w:val="24"/>
          <w:lang w:eastAsia="en-GB"/>
        </w:rPr>
        <w:t>to the</w:t>
      </w:r>
      <w:r w:rsidR="00AC4B9B">
        <w:rPr>
          <w:rFonts w:ascii="Times New Roman" w:eastAsia="Times New Roman" w:hAnsi="Times New Roman" w:cs="Times New Roman"/>
          <w:color w:val="000000"/>
          <w:sz w:val="24"/>
          <w:szCs w:val="24"/>
          <w:lang w:eastAsia="en-GB"/>
        </w:rPr>
        <w:t xml:space="preserve"> range of </w:t>
      </w:r>
      <w:r w:rsidR="008805CB">
        <w:rPr>
          <w:rFonts w:ascii="Times New Roman" w:eastAsia="Times New Roman" w:hAnsi="Times New Roman" w:cs="Times New Roman"/>
          <w:color w:val="000000"/>
          <w:sz w:val="24"/>
          <w:szCs w:val="24"/>
          <w:lang w:eastAsia="en-GB"/>
        </w:rPr>
        <w:t>contribution</w:t>
      </w:r>
      <w:r w:rsidR="00ED2F41">
        <w:rPr>
          <w:rFonts w:ascii="Times New Roman" w:eastAsia="Times New Roman" w:hAnsi="Times New Roman" w:cs="Times New Roman"/>
          <w:color w:val="000000"/>
          <w:sz w:val="24"/>
          <w:szCs w:val="24"/>
          <w:lang w:eastAsia="en-GB"/>
        </w:rPr>
        <w:t>s</w:t>
      </w:r>
      <w:r w:rsidR="008805CB">
        <w:rPr>
          <w:rFonts w:ascii="Times New Roman" w:eastAsia="Times New Roman" w:hAnsi="Times New Roman" w:cs="Times New Roman"/>
          <w:color w:val="000000"/>
          <w:sz w:val="24"/>
          <w:szCs w:val="24"/>
          <w:lang w:eastAsia="en-GB"/>
        </w:rPr>
        <w:t xml:space="preserve"> qualitative inquir</w:t>
      </w:r>
      <w:r w:rsidR="00AC4B9B">
        <w:rPr>
          <w:rFonts w:ascii="Times New Roman" w:eastAsia="Times New Roman" w:hAnsi="Times New Roman" w:cs="Times New Roman"/>
          <w:color w:val="000000"/>
          <w:sz w:val="24"/>
          <w:szCs w:val="24"/>
          <w:lang w:eastAsia="en-GB"/>
        </w:rPr>
        <w:t>y offer</w:t>
      </w:r>
      <w:r w:rsidR="008805CB">
        <w:rPr>
          <w:rFonts w:ascii="Times New Roman" w:eastAsia="Times New Roman" w:hAnsi="Times New Roman" w:cs="Times New Roman"/>
          <w:color w:val="000000"/>
          <w:sz w:val="24"/>
          <w:szCs w:val="24"/>
          <w:lang w:eastAsia="en-GB"/>
        </w:rPr>
        <w:t xml:space="preserve">, including </w:t>
      </w:r>
      <w:r w:rsidRPr="00101D22">
        <w:rPr>
          <w:rFonts w:ascii="Times New Roman" w:eastAsia="Times New Roman" w:hAnsi="Times New Roman" w:cs="Times New Roman"/>
          <w:color w:val="000000"/>
          <w:sz w:val="24"/>
          <w:szCs w:val="24"/>
          <w:lang w:eastAsia="en-GB"/>
        </w:rPr>
        <w:t>conceptual definitions, typologies</w:t>
      </w:r>
      <w:r w:rsidR="00ED2F41">
        <w:rPr>
          <w:rFonts w:ascii="Times New Roman" w:eastAsia="Times New Roman" w:hAnsi="Times New Roman" w:cs="Times New Roman"/>
          <w:color w:val="000000"/>
          <w:sz w:val="24"/>
          <w:szCs w:val="24"/>
          <w:lang w:eastAsia="en-GB"/>
        </w:rPr>
        <w:t xml:space="preserve"> and</w:t>
      </w:r>
      <w:r w:rsidRPr="00101D22">
        <w:rPr>
          <w:rFonts w:ascii="Times New Roman" w:eastAsia="Times New Roman" w:hAnsi="Times New Roman" w:cs="Times New Roman"/>
          <w:color w:val="000000"/>
          <w:sz w:val="24"/>
          <w:szCs w:val="24"/>
          <w:lang w:eastAsia="en-GB"/>
        </w:rPr>
        <w:t xml:space="preserve"> classifications, </w:t>
      </w:r>
      <w:r w:rsidR="00ED2F41">
        <w:rPr>
          <w:rFonts w:ascii="Times New Roman" w:eastAsia="Times New Roman" w:hAnsi="Times New Roman" w:cs="Times New Roman"/>
          <w:color w:val="000000"/>
          <w:sz w:val="24"/>
          <w:szCs w:val="24"/>
          <w:lang w:eastAsia="en-GB"/>
        </w:rPr>
        <w:t xml:space="preserve">and </w:t>
      </w:r>
      <w:r w:rsidR="00AC4B9B">
        <w:rPr>
          <w:rFonts w:ascii="Times New Roman" w:eastAsia="Times New Roman" w:hAnsi="Times New Roman" w:cs="Times New Roman"/>
          <w:color w:val="000000"/>
          <w:sz w:val="24"/>
          <w:szCs w:val="24"/>
          <w:lang w:eastAsia="en-GB"/>
        </w:rPr>
        <w:t>furthering our</w:t>
      </w:r>
      <w:r w:rsidR="00ED2F41">
        <w:rPr>
          <w:rFonts w:ascii="Times New Roman" w:eastAsia="Times New Roman" w:hAnsi="Times New Roman" w:cs="Times New Roman"/>
          <w:color w:val="000000"/>
          <w:sz w:val="24"/>
          <w:szCs w:val="24"/>
          <w:lang w:eastAsia="en-GB"/>
        </w:rPr>
        <w:t xml:space="preserve"> understanding </w:t>
      </w:r>
      <w:r w:rsidR="00AC4B9B">
        <w:rPr>
          <w:rFonts w:ascii="Times New Roman" w:eastAsia="Times New Roman" w:hAnsi="Times New Roman" w:cs="Times New Roman"/>
          <w:color w:val="000000"/>
          <w:sz w:val="24"/>
          <w:szCs w:val="24"/>
          <w:lang w:eastAsia="en-GB"/>
        </w:rPr>
        <w:t xml:space="preserve">of </w:t>
      </w:r>
      <w:r w:rsidRPr="00101D22">
        <w:rPr>
          <w:rFonts w:ascii="Times New Roman" w:eastAsia="Times New Roman" w:hAnsi="Times New Roman" w:cs="Times New Roman"/>
          <w:color w:val="000000"/>
          <w:sz w:val="24"/>
          <w:szCs w:val="24"/>
          <w:lang w:eastAsia="en-GB"/>
        </w:rPr>
        <w:t>form and nature (process, system, attitudes, behaviours), and explanations (Miles</w:t>
      </w:r>
      <w:r w:rsidR="00ED2F41">
        <w:rPr>
          <w:rFonts w:ascii="Times New Roman" w:eastAsia="Times New Roman" w:hAnsi="Times New Roman" w:cs="Times New Roman"/>
          <w:color w:val="000000"/>
          <w:sz w:val="24"/>
          <w:szCs w:val="24"/>
          <w:lang w:eastAsia="en-GB"/>
        </w:rPr>
        <w:t xml:space="preserve"> and</w:t>
      </w:r>
      <w:r w:rsidRPr="00101D22">
        <w:rPr>
          <w:rFonts w:ascii="Times New Roman" w:eastAsia="Times New Roman" w:hAnsi="Times New Roman" w:cs="Times New Roman"/>
          <w:color w:val="000000"/>
          <w:sz w:val="24"/>
          <w:szCs w:val="24"/>
          <w:lang w:eastAsia="en-GB"/>
        </w:rPr>
        <w:t xml:space="preserve"> Huberman 1984).  </w:t>
      </w:r>
    </w:p>
    <w:p w14:paraId="0E89329A" w14:textId="2C10C1AF" w:rsidR="007254E7" w:rsidRPr="008E4844" w:rsidRDefault="007254E7" w:rsidP="007254E7">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Reviewing the documentary material</w:t>
      </w:r>
      <w:r w:rsidR="00EF483B">
        <w:rPr>
          <w:rFonts w:ascii="Times New Roman" w:hAnsi="Times New Roman" w:cs="Times New Roman"/>
          <w:sz w:val="24"/>
          <w:szCs w:val="24"/>
        </w:rPr>
        <w:t xml:space="preserve"> for GOSH</w:t>
      </w:r>
      <w:r w:rsidRPr="008E4844">
        <w:rPr>
          <w:rFonts w:ascii="Times New Roman" w:hAnsi="Times New Roman" w:cs="Times New Roman"/>
          <w:sz w:val="24"/>
          <w:szCs w:val="24"/>
        </w:rPr>
        <w:t>, we identify four themes relating to international patient activity: support for the NHS, strategy, branding and reputation, and risk.</w:t>
      </w:r>
    </w:p>
    <w:p w14:paraId="787C86D5" w14:textId="77777777" w:rsidR="002D1004" w:rsidRPr="008E4844" w:rsidRDefault="002D1004" w:rsidP="00615E9D">
      <w:pPr>
        <w:spacing w:before="100" w:beforeAutospacing="1" w:after="100" w:afterAutospacing="1" w:line="360" w:lineRule="auto"/>
        <w:rPr>
          <w:rFonts w:ascii="Times New Roman" w:hAnsi="Times New Roman" w:cs="Times New Roman"/>
          <w:sz w:val="24"/>
          <w:szCs w:val="24"/>
        </w:rPr>
      </w:pPr>
    </w:p>
    <w:p w14:paraId="17FF992F" w14:textId="6862358B" w:rsidR="00332E8D" w:rsidRPr="008E4844" w:rsidRDefault="004843CD" w:rsidP="00615E9D">
      <w:pPr>
        <w:spacing w:before="100" w:beforeAutospacing="1" w:after="100" w:afterAutospacing="1" w:line="360" w:lineRule="auto"/>
        <w:rPr>
          <w:rFonts w:ascii="Times New Roman" w:hAnsi="Times New Roman" w:cs="Times New Roman"/>
          <w:b/>
          <w:bCs/>
          <w:i/>
          <w:sz w:val="24"/>
          <w:szCs w:val="24"/>
        </w:rPr>
      </w:pPr>
      <w:r w:rsidRPr="008E4844">
        <w:rPr>
          <w:rFonts w:ascii="Times New Roman" w:hAnsi="Times New Roman" w:cs="Times New Roman"/>
          <w:b/>
          <w:bCs/>
          <w:i/>
          <w:sz w:val="24"/>
          <w:szCs w:val="24"/>
        </w:rPr>
        <w:t>M</w:t>
      </w:r>
      <w:r w:rsidR="00332E8D" w:rsidRPr="008E4844">
        <w:rPr>
          <w:rFonts w:ascii="Times New Roman" w:hAnsi="Times New Roman" w:cs="Times New Roman"/>
          <w:b/>
          <w:bCs/>
          <w:i/>
          <w:sz w:val="24"/>
          <w:szCs w:val="24"/>
        </w:rPr>
        <w:t>itigating falling revenue and supporting the NHS</w:t>
      </w:r>
    </w:p>
    <w:p w14:paraId="23E87FD9" w14:textId="1EC0CAC8" w:rsidR="001E4231" w:rsidRPr="008E4844" w:rsidRDefault="00500B86"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The hospital has experienced a </w:t>
      </w:r>
      <w:r w:rsidR="001E4231" w:rsidRPr="008E4844">
        <w:rPr>
          <w:rFonts w:ascii="Times New Roman" w:hAnsi="Times New Roman" w:cs="Times New Roman"/>
          <w:sz w:val="24"/>
          <w:szCs w:val="24"/>
        </w:rPr>
        <w:t xml:space="preserve">long-term decline in the proportion of </w:t>
      </w:r>
      <w:r w:rsidRPr="008E4844">
        <w:rPr>
          <w:rFonts w:ascii="Times New Roman" w:hAnsi="Times New Roman" w:cs="Times New Roman"/>
          <w:sz w:val="24"/>
          <w:szCs w:val="24"/>
        </w:rPr>
        <w:t xml:space="preserve">its </w:t>
      </w:r>
      <w:r w:rsidR="00DB1CBF" w:rsidRPr="008E4844">
        <w:rPr>
          <w:rFonts w:ascii="Times New Roman" w:hAnsi="Times New Roman" w:cs="Times New Roman"/>
          <w:sz w:val="24"/>
          <w:szCs w:val="24"/>
        </w:rPr>
        <w:t xml:space="preserve">overall </w:t>
      </w:r>
      <w:r w:rsidR="001E4231" w:rsidRPr="008E4844">
        <w:rPr>
          <w:rFonts w:ascii="Times New Roman" w:hAnsi="Times New Roman" w:cs="Times New Roman"/>
          <w:sz w:val="24"/>
          <w:szCs w:val="24"/>
        </w:rPr>
        <w:t xml:space="preserve">revenue coming from the NHS, </w:t>
      </w:r>
      <w:r w:rsidR="00DB1CBF" w:rsidRPr="008E4844">
        <w:rPr>
          <w:rFonts w:ascii="Times New Roman" w:hAnsi="Times New Roman" w:cs="Times New Roman"/>
          <w:sz w:val="24"/>
          <w:szCs w:val="24"/>
        </w:rPr>
        <w:t xml:space="preserve">with </w:t>
      </w:r>
      <w:r w:rsidR="002C0C8E" w:rsidRPr="008E4844">
        <w:rPr>
          <w:rFonts w:ascii="Times New Roman" w:hAnsi="Times New Roman" w:cs="Times New Roman"/>
          <w:sz w:val="24"/>
          <w:szCs w:val="24"/>
        </w:rPr>
        <w:t xml:space="preserve">reduced </w:t>
      </w:r>
      <w:r w:rsidR="001E4231" w:rsidRPr="008E4844">
        <w:rPr>
          <w:rFonts w:ascii="Times New Roman" w:hAnsi="Times New Roman" w:cs="Times New Roman"/>
          <w:sz w:val="24"/>
          <w:szCs w:val="24"/>
        </w:rPr>
        <w:t>funding for specialised services</w:t>
      </w:r>
      <w:r w:rsidR="00D11CBC" w:rsidRPr="008E4844">
        <w:rPr>
          <w:rFonts w:ascii="Times New Roman" w:hAnsi="Times New Roman" w:cs="Times New Roman"/>
          <w:sz w:val="24"/>
          <w:szCs w:val="24"/>
        </w:rPr>
        <w:t xml:space="preserve"> </w:t>
      </w:r>
      <w:r w:rsidR="00731275" w:rsidRPr="008E4844">
        <w:rPr>
          <w:rFonts w:ascii="Times New Roman" w:hAnsi="Times New Roman" w:cs="Times New Roman"/>
          <w:sz w:val="24"/>
          <w:szCs w:val="24"/>
        </w:rPr>
        <w:t xml:space="preserve">and resource shifts from </w:t>
      </w:r>
      <w:r w:rsidRPr="008E4844">
        <w:rPr>
          <w:rFonts w:ascii="Times New Roman" w:hAnsi="Times New Roman" w:cs="Times New Roman"/>
          <w:sz w:val="24"/>
          <w:szCs w:val="24"/>
        </w:rPr>
        <w:t>health to social care</w:t>
      </w:r>
      <w:r w:rsidR="001E4231" w:rsidRPr="008E4844">
        <w:rPr>
          <w:rFonts w:ascii="Times New Roman" w:hAnsi="Times New Roman" w:cs="Times New Roman"/>
          <w:sz w:val="24"/>
          <w:szCs w:val="24"/>
        </w:rPr>
        <w:t xml:space="preserve">.  As a specialist Trust, GOSH </w:t>
      </w:r>
      <w:r w:rsidR="00303423" w:rsidRPr="008E4844">
        <w:rPr>
          <w:rFonts w:ascii="Times New Roman" w:hAnsi="Times New Roman" w:cs="Times New Roman"/>
          <w:sz w:val="24"/>
          <w:szCs w:val="24"/>
        </w:rPr>
        <w:t xml:space="preserve">has long </w:t>
      </w:r>
      <w:r w:rsidRPr="008E4844">
        <w:rPr>
          <w:rFonts w:ascii="Times New Roman" w:hAnsi="Times New Roman" w:cs="Times New Roman"/>
          <w:sz w:val="24"/>
          <w:szCs w:val="24"/>
        </w:rPr>
        <w:t>e</w:t>
      </w:r>
      <w:r w:rsidR="006E040B" w:rsidRPr="008E4844">
        <w:rPr>
          <w:rFonts w:ascii="Times New Roman" w:hAnsi="Times New Roman" w:cs="Times New Roman"/>
          <w:sz w:val="24"/>
          <w:szCs w:val="24"/>
        </w:rPr>
        <w:t xml:space="preserve">xpressed </w:t>
      </w:r>
      <w:r w:rsidR="00D11CBC" w:rsidRPr="008E4844">
        <w:rPr>
          <w:rFonts w:ascii="Times New Roman" w:hAnsi="Times New Roman" w:cs="Times New Roman"/>
          <w:sz w:val="24"/>
          <w:szCs w:val="24"/>
        </w:rPr>
        <w:t xml:space="preserve">concern </w:t>
      </w:r>
      <w:r w:rsidR="006E040B" w:rsidRPr="008E4844">
        <w:rPr>
          <w:rFonts w:ascii="Times New Roman" w:hAnsi="Times New Roman" w:cs="Times New Roman"/>
          <w:sz w:val="24"/>
          <w:szCs w:val="24"/>
        </w:rPr>
        <w:t xml:space="preserve">about how </w:t>
      </w:r>
      <w:r w:rsidR="00731275" w:rsidRPr="008E4844">
        <w:rPr>
          <w:rFonts w:ascii="Times New Roman" w:hAnsi="Times New Roman" w:cs="Times New Roman"/>
          <w:sz w:val="24"/>
          <w:szCs w:val="24"/>
        </w:rPr>
        <w:t xml:space="preserve">reduced funding could </w:t>
      </w:r>
      <w:r w:rsidR="006E040B" w:rsidRPr="008E4844">
        <w:rPr>
          <w:rFonts w:ascii="Times New Roman" w:hAnsi="Times New Roman" w:cs="Times New Roman"/>
          <w:sz w:val="24"/>
          <w:szCs w:val="24"/>
        </w:rPr>
        <w:t xml:space="preserve">impact </w:t>
      </w:r>
      <w:r w:rsidR="001E4231" w:rsidRPr="008E4844">
        <w:rPr>
          <w:rFonts w:ascii="Times New Roman" w:hAnsi="Times New Roman" w:cs="Times New Roman"/>
          <w:sz w:val="24"/>
          <w:szCs w:val="24"/>
        </w:rPr>
        <w:t xml:space="preserve">retention of specialist staff and its brand </w:t>
      </w:r>
      <w:bookmarkStart w:id="2" w:name="_Hlk181269240"/>
      <w:r w:rsidR="001E4231" w:rsidRPr="008E4844">
        <w:rPr>
          <w:rFonts w:ascii="Times New Roman" w:hAnsi="Times New Roman" w:cs="Times New Roman"/>
          <w:sz w:val="24"/>
          <w:szCs w:val="24"/>
        </w:rPr>
        <w:t>(Annual report and accounts 2014-15).</w:t>
      </w:r>
      <w:r w:rsidR="00D1325D" w:rsidRPr="008E4844">
        <w:rPr>
          <w:rFonts w:ascii="Times New Roman" w:hAnsi="Times New Roman" w:cs="Times New Roman"/>
          <w:sz w:val="24"/>
          <w:szCs w:val="24"/>
        </w:rPr>
        <w:t xml:space="preserve">  </w:t>
      </w:r>
      <w:bookmarkEnd w:id="2"/>
      <w:r w:rsidR="00936FB2" w:rsidRPr="008E4844">
        <w:rPr>
          <w:rFonts w:ascii="Times New Roman" w:hAnsi="Times New Roman" w:cs="Times New Roman"/>
          <w:sz w:val="24"/>
          <w:szCs w:val="24"/>
        </w:rPr>
        <w:t>The HSCA enables them to diversify their income streams, mitigate shortfalls and to reduce reliance on NHS-related income and thereby to sustain and improve NHS services (through the reinvestment of surpluses).</w:t>
      </w:r>
      <w:r w:rsidR="00A93055" w:rsidRPr="008E4844">
        <w:rPr>
          <w:rFonts w:ascii="Times New Roman" w:hAnsi="Times New Roman" w:cs="Times New Roman"/>
          <w:sz w:val="24"/>
          <w:szCs w:val="24"/>
        </w:rPr>
        <w:t xml:space="preserve">  </w:t>
      </w:r>
      <w:r w:rsidR="00D1325D" w:rsidRPr="008E4844">
        <w:rPr>
          <w:rFonts w:ascii="Times New Roman" w:hAnsi="Times New Roman" w:cs="Times New Roman"/>
          <w:sz w:val="24"/>
          <w:szCs w:val="24"/>
        </w:rPr>
        <w:t xml:space="preserve">This </w:t>
      </w:r>
      <w:r w:rsidR="005A3E07" w:rsidRPr="008E4844">
        <w:rPr>
          <w:rFonts w:ascii="Times New Roman" w:hAnsi="Times New Roman" w:cs="Times New Roman"/>
          <w:sz w:val="24"/>
          <w:szCs w:val="24"/>
        </w:rPr>
        <w:t xml:space="preserve">has been a </w:t>
      </w:r>
      <w:r w:rsidR="008917D3" w:rsidRPr="008E4844">
        <w:rPr>
          <w:rFonts w:ascii="Times New Roman" w:hAnsi="Times New Roman" w:cs="Times New Roman"/>
          <w:sz w:val="24"/>
          <w:szCs w:val="24"/>
        </w:rPr>
        <w:t xml:space="preserve">recurrent </w:t>
      </w:r>
      <w:r w:rsidR="005A3E07" w:rsidRPr="008E4844">
        <w:rPr>
          <w:rFonts w:ascii="Times New Roman" w:hAnsi="Times New Roman" w:cs="Times New Roman"/>
          <w:sz w:val="24"/>
          <w:szCs w:val="24"/>
        </w:rPr>
        <w:t xml:space="preserve">theme </w:t>
      </w:r>
      <w:r w:rsidR="008917D3" w:rsidRPr="008E4844">
        <w:rPr>
          <w:rFonts w:ascii="Times New Roman" w:hAnsi="Times New Roman" w:cs="Times New Roman"/>
          <w:sz w:val="24"/>
          <w:szCs w:val="24"/>
        </w:rPr>
        <w:t>through</w:t>
      </w:r>
      <w:r w:rsidR="00F756A5" w:rsidRPr="008E4844">
        <w:rPr>
          <w:rFonts w:ascii="Times New Roman" w:hAnsi="Times New Roman" w:cs="Times New Roman"/>
          <w:sz w:val="24"/>
          <w:szCs w:val="24"/>
        </w:rPr>
        <w:t>out</w:t>
      </w:r>
      <w:r w:rsidR="008917D3" w:rsidRPr="008E4844">
        <w:rPr>
          <w:rFonts w:ascii="Times New Roman" w:hAnsi="Times New Roman" w:cs="Times New Roman"/>
          <w:sz w:val="24"/>
          <w:szCs w:val="24"/>
        </w:rPr>
        <w:t xml:space="preserve"> the</w:t>
      </w:r>
      <w:r w:rsidR="005A3E07" w:rsidRPr="008E4844">
        <w:rPr>
          <w:rFonts w:ascii="Times New Roman" w:hAnsi="Times New Roman" w:cs="Times New Roman"/>
          <w:sz w:val="24"/>
          <w:szCs w:val="24"/>
        </w:rPr>
        <w:t xml:space="preserve"> past decade with</w:t>
      </w:r>
      <w:r w:rsidR="008917D3" w:rsidRPr="008E4844">
        <w:rPr>
          <w:rFonts w:ascii="Times New Roman" w:hAnsi="Times New Roman" w:cs="Times New Roman"/>
          <w:sz w:val="24"/>
          <w:szCs w:val="24"/>
        </w:rPr>
        <w:t xml:space="preserve"> a broader income base as</w:t>
      </w:r>
      <w:r w:rsidR="005A3E07" w:rsidRPr="008E4844">
        <w:rPr>
          <w:rFonts w:ascii="Times New Roman" w:hAnsi="Times New Roman" w:cs="Times New Roman"/>
          <w:sz w:val="24"/>
          <w:szCs w:val="24"/>
        </w:rPr>
        <w:t xml:space="preserve"> </w:t>
      </w:r>
      <w:r w:rsidR="00D11CBC" w:rsidRPr="008E4844">
        <w:rPr>
          <w:rFonts w:ascii="Times New Roman" w:hAnsi="Times New Roman" w:cs="Times New Roman"/>
          <w:sz w:val="24"/>
          <w:szCs w:val="24"/>
        </w:rPr>
        <w:t xml:space="preserve">potential </w:t>
      </w:r>
      <w:r w:rsidR="00F14F65" w:rsidRPr="008E4844">
        <w:rPr>
          <w:rFonts w:ascii="Times New Roman" w:hAnsi="Times New Roman" w:cs="Times New Roman"/>
          <w:sz w:val="24"/>
          <w:szCs w:val="24"/>
        </w:rPr>
        <w:t>mitigation</w:t>
      </w:r>
      <w:r w:rsidR="00303423" w:rsidRPr="008E4844">
        <w:rPr>
          <w:rFonts w:ascii="Times New Roman" w:hAnsi="Times New Roman" w:cs="Times New Roman"/>
          <w:sz w:val="24"/>
          <w:szCs w:val="24"/>
        </w:rPr>
        <w:t xml:space="preserve"> for</w:t>
      </w:r>
      <w:r w:rsidR="00096536" w:rsidRPr="008E4844">
        <w:rPr>
          <w:rFonts w:ascii="Times New Roman" w:hAnsi="Times New Roman" w:cs="Times New Roman"/>
          <w:sz w:val="24"/>
          <w:szCs w:val="24"/>
        </w:rPr>
        <w:t xml:space="preserve"> reduced public funding</w:t>
      </w:r>
      <w:r w:rsidR="001E4231" w:rsidRPr="008E4844">
        <w:rPr>
          <w:rFonts w:ascii="Times New Roman" w:hAnsi="Times New Roman" w:cs="Times New Roman"/>
          <w:sz w:val="24"/>
          <w:szCs w:val="24"/>
        </w:rPr>
        <w:t xml:space="preserve">. </w:t>
      </w:r>
    </w:p>
    <w:p w14:paraId="30A138DA" w14:textId="5192D101" w:rsidR="005D4430" w:rsidRPr="008E4844" w:rsidRDefault="005D4430" w:rsidP="00615E9D">
      <w:pPr>
        <w:spacing w:before="100" w:beforeAutospacing="1" w:after="100" w:afterAutospacing="1" w:line="360" w:lineRule="auto"/>
        <w:ind w:left="720"/>
        <w:rPr>
          <w:rFonts w:ascii="Times New Roman" w:hAnsi="Times New Roman" w:cs="Times New Roman"/>
          <w:sz w:val="24"/>
          <w:szCs w:val="24"/>
        </w:rPr>
      </w:pPr>
      <w:r w:rsidRPr="008E4844">
        <w:rPr>
          <w:rFonts w:ascii="Times New Roman" w:hAnsi="Times New Roman" w:cs="Times New Roman"/>
          <w:sz w:val="24"/>
          <w:szCs w:val="24"/>
        </w:rPr>
        <w:lastRenderedPageBreak/>
        <w:t>“This year, as the NHS struggles to meet the costs of specialist care, we will in part draw on the contribution from private patients to balance our financial position</w:t>
      </w:r>
      <w:r w:rsidR="00B40062" w:rsidRPr="008E4844">
        <w:rPr>
          <w:rFonts w:ascii="Times New Roman" w:hAnsi="Times New Roman" w:cs="Times New Roman"/>
          <w:sz w:val="24"/>
          <w:szCs w:val="24"/>
        </w:rPr>
        <w:t>…</w:t>
      </w:r>
      <w:r w:rsidRPr="008E4844">
        <w:rPr>
          <w:rFonts w:ascii="Times New Roman" w:hAnsi="Times New Roman" w:cs="Times New Roman"/>
          <w:sz w:val="24"/>
          <w:szCs w:val="24"/>
        </w:rPr>
        <w:t>The funding we receive for NHS activity is not sufficient to cover the cost of delivering it, and we rely on the contribution from private patients to balance our financial position”</w:t>
      </w:r>
      <w:r w:rsidR="00B40062" w:rsidRPr="008E4844">
        <w:rPr>
          <w:rFonts w:ascii="Times New Roman" w:hAnsi="Times New Roman" w:cs="Times New Roman"/>
          <w:sz w:val="24"/>
          <w:szCs w:val="24"/>
        </w:rPr>
        <w:t xml:space="preserve"> </w:t>
      </w:r>
      <w:bookmarkStart w:id="3" w:name="_Hlk181269258"/>
      <w:r w:rsidR="00B40062" w:rsidRPr="008E4844">
        <w:rPr>
          <w:rFonts w:ascii="Times New Roman" w:hAnsi="Times New Roman" w:cs="Times New Roman"/>
          <w:sz w:val="24"/>
          <w:szCs w:val="24"/>
        </w:rPr>
        <w:t xml:space="preserve">(Annual </w:t>
      </w:r>
      <w:r w:rsidR="00AC4B9B">
        <w:rPr>
          <w:rFonts w:ascii="Times New Roman" w:hAnsi="Times New Roman" w:cs="Times New Roman"/>
          <w:sz w:val="24"/>
          <w:szCs w:val="24"/>
        </w:rPr>
        <w:t>r</w:t>
      </w:r>
      <w:r w:rsidR="00B40062" w:rsidRPr="008E4844">
        <w:rPr>
          <w:rFonts w:ascii="Times New Roman" w:hAnsi="Times New Roman" w:cs="Times New Roman"/>
          <w:sz w:val="24"/>
          <w:szCs w:val="24"/>
        </w:rPr>
        <w:t>eport</w:t>
      </w:r>
      <w:r w:rsidR="00AC4B9B">
        <w:rPr>
          <w:rFonts w:ascii="Times New Roman" w:hAnsi="Times New Roman" w:cs="Times New Roman"/>
          <w:sz w:val="24"/>
          <w:szCs w:val="24"/>
        </w:rPr>
        <w:t xml:space="preserve"> and accounts 2018-19</w:t>
      </w:r>
      <w:r w:rsidR="00B40062" w:rsidRPr="008E4844">
        <w:rPr>
          <w:rFonts w:ascii="Times New Roman" w:hAnsi="Times New Roman" w:cs="Times New Roman"/>
          <w:sz w:val="24"/>
          <w:szCs w:val="24"/>
        </w:rPr>
        <w:t>)</w:t>
      </w:r>
      <w:bookmarkEnd w:id="3"/>
    </w:p>
    <w:p w14:paraId="5EDDA25A" w14:textId="1BC37ED9" w:rsidR="00437EA0" w:rsidRDefault="00437EA0" w:rsidP="00615E9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Recent policy developments and workforce demands are seen to place </w:t>
      </w:r>
      <w:r w:rsidR="00AC4B9B">
        <w:rPr>
          <w:rFonts w:ascii="Times New Roman" w:hAnsi="Times New Roman" w:cs="Times New Roman"/>
          <w:sz w:val="24"/>
          <w:szCs w:val="24"/>
        </w:rPr>
        <w:t>strain</w:t>
      </w:r>
      <w:r>
        <w:rPr>
          <w:rFonts w:ascii="Times New Roman" w:hAnsi="Times New Roman" w:cs="Times New Roman"/>
          <w:sz w:val="24"/>
          <w:szCs w:val="24"/>
        </w:rPr>
        <w:t xml:space="preserve"> on public resources:</w:t>
      </w:r>
    </w:p>
    <w:p w14:paraId="754FEFD1" w14:textId="1CFAEF94" w:rsidR="00437EA0" w:rsidRDefault="00437EA0" w:rsidP="00A21017">
      <w:pPr>
        <w:spacing w:before="100" w:beforeAutospacing="1" w:after="100" w:afterAutospacing="1" w:line="360" w:lineRule="auto"/>
        <w:ind w:left="720"/>
        <w:rPr>
          <w:rFonts w:ascii="Times New Roman" w:hAnsi="Times New Roman" w:cs="Times New Roman"/>
          <w:sz w:val="24"/>
          <w:szCs w:val="24"/>
        </w:rPr>
      </w:pPr>
      <w:r w:rsidRPr="00437EA0">
        <w:rPr>
          <w:rFonts w:ascii="Times New Roman" w:hAnsi="Times New Roman" w:cs="Times New Roman"/>
          <w:sz w:val="24"/>
          <w:szCs w:val="24"/>
        </w:rPr>
        <w:t>“2023/24 saw continued pressure on activity levels due to the impacts of industrial action and the drive to reduce waiting lists, which had increased during the pandemic. Whilst expanding NHS activity, GOSH has continued to work towards recovery of the private patient side of the hospital.” (</w:t>
      </w:r>
      <w:bookmarkStart w:id="4" w:name="_Hlk181269285"/>
      <w:r w:rsidRPr="00437EA0">
        <w:rPr>
          <w:rFonts w:ascii="Times New Roman" w:hAnsi="Times New Roman" w:cs="Times New Roman"/>
          <w:sz w:val="24"/>
          <w:szCs w:val="24"/>
        </w:rPr>
        <w:t xml:space="preserve">Annual </w:t>
      </w:r>
      <w:r w:rsidR="00AC4B9B">
        <w:rPr>
          <w:rFonts w:ascii="Times New Roman" w:hAnsi="Times New Roman" w:cs="Times New Roman"/>
          <w:sz w:val="24"/>
          <w:szCs w:val="24"/>
        </w:rPr>
        <w:t>r</w:t>
      </w:r>
      <w:r w:rsidRPr="00437EA0">
        <w:rPr>
          <w:rFonts w:ascii="Times New Roman" w:hAnsi="Times New Roman" w:cs="Times New Roman"/>
          <w:sz w:val="24"/>
          <w:szCs w:val="24"/>
        </w:rPr>
        <w:t>eport</w:t>
      </w:r>
      <w:r w:rsidR="00AC4B9B">
        <w:rPr>
          <w:rFonts w:ascii="Times New Roman" w:hAnsi="Times New Roman" w:cs="Times New Roman"/>
          <w:sz w:val="24"/>
          <w:szCs w:val="24"/>
        </w:rPr>
        <w:t xml:space="preserve"> and accounts 2023-24</w:t>
      </w:r>
      <w:r w:rsidRPr="00437EA0">
        <w:rPr>
          <w:rFonts w:ascii="Times New Roman" w:hAnsi="Times New Roman" w:cs="Times New Roman"/>
          <w:sz w:val="24"/>
          <w:szCs w:val="24"/>
        </w:rPr>
        <w:t>, 36</w:t>
      </w:r>
      <w:bookmarkEnd w:id="4"/>
      <w:r w:rsidRPr="00437EA0">
        <w:rPr>
          <w:rFonts w:ascii="Times New Roman" w:hAnsi="Times New Roman" w:cs="Times New Roman"/>
          <w:sz w:val="24"/>
          <w:szCs w:val="24"/>
        </w:rPr>
        <w:t>)</w:t>
      </w:r>
    </w:p>
    <w:p w14:paraId="28FE2331" w14:textId="2F2FFBDA" w:rsidR="00FC59A8" w:rsidRPr="008E4844" w:rsidRDefault="005D4430"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Commercial activity is seen to</w:t>
      </w:r>
      <w:r w:rsidR="008E4844" w:rsidRPr="008E4844">
        <w:rPr>
          <w:rFonts w:ascii="Times New Roman" w:hAnsi="Times New Roman" w:cs="Times New Roman"/>
          <w:sz w:val="24"/>
          <w:szCs w:val="24"/>
        </w:rPr>
        <w:t xml:space="preserve"> be closely integrated with</w:t>
      </w:r>
      <w:r w:rsidRPr="008E4844">
        <w:rPr>
          <w:rFonts w:ascii="Times New Roman" w:hAnsi="Times New Roman" w:cs="Times New Roman"/>
          <w:sz w:val="24"/>
          <w:szCs w:val="24"/>
        </w:rPr>
        <w:t xml:space="preserve"> an on-going commitment to a public service logic of delivering NHS services to NHS patients</w:t>
      </w:r>
      <w:r w:rsidR="00FC59A8" w:rsidRPr="008E4844">
        <w:rPr>
          <w:rFonts w:ascii="Times New Roman" w:hAnsi="Times New Roman" w:cs="Times New Roman"/>
          <w:sz w:val="24"/>
          <w:szCs w:val="24"/>
        </w:rPr>
        <w:t xml:space="preserve">, and </w:t>
      </w:r>
      <w:r w:rsidR="00F756A5" w:rsidRPr="008E4844">
        <w:rPr>
          <w:rFonts w:ascii="Times New Roman" w:hAnsi="Times New Roman" w:cs="Times New Roman"/>
          <w:sz w:val="24"/>
          <w:szCs w:val="24"/>
        </w:rPr>
        <w:t xml:space="preserve">so </w:t>
      </w:r>
      <w:r w:rsidR="00FC59A8" w:rsidRPr="008E4844">
        <w:rPr>
          <w:rFonts w:ascii="Times New Roman" w:hAnsi="Times New Roman" w:cs="Times New Roman"/>
          <w:sz w:val="24"/>
          <w:szCs w:val="24"/>
        </w:rPr>
        <w:t>private activity support</w:t>
      </w:r>
      <w:r w:rsidR="00F756A5" w:rsidRPr="008E4844">
        <w:rPr>
          <w:rFonts w:ascii="Times New Roman" w:hAnsi="Times New Roman" w:cs="Times New Roman"/>
          <w:sz w:val="24"/>
          <w:szCs w:val="24"/>
        </w:rPr>
        <w:t>s</w:t>
      </w:r>
      <w:r w:rsidR="00FC59A8" w:rsidRPr="008E4844">
        <w:rPr>
          <w:rFonts w:ascii="Times New Roman" w:hAnsi="Times New Roman" w:cs="Times New Roman"/>
          <w:sz w:val="24"/>
          <w:szCs w:val="24"/>
        </w:rPr>
        <w:t xml:space="preserve"> the NHS. </w:t>
      </w:r>
      <w:r w:rsidRPr="008E4844">
        <w:rPr>
          <w:rFonts w:ascii="Times New Roman" w:hAnsi="Times New Roman" w:cs="Times New Roman"/>
          <w:sz w:val="24"/>
          <w:szCs w:val="24"/>
        </w:rPr>
        <w:t xml:space="preserve"> Th</w:t>
      </w:r>
      <w:r w:rsidR="00FC59A8" w:rsidRPr="008E4844">
        <w:rPr>
          <w:rFonts w:ascii="Times New Roman" w:hAnsi="Times New Roman" w:cs="Times New Roman"/>
          <w:sz w:val="24"/>
          <w:szCs w:val="24"/>
        </w:rPr>
        <w:t>e public service focus is</w:t>
      </w:r>
      <w:r w:rsidRPr="008E4844">
        <w:rPr>
          <w:rFonts w:ascii="Times New Roman" w:hAnsi="Times New Roman" w:cs="Times New Roman"/>
          <w:sz w:val="24"/>
          <w:szCs w:val="24"/>
        </w:rPr>
        <w:t xml:space="preserve"> a condition of their regulatory licence and private activity cannot be cross subsidised by </w:t>
      </w:r>
      <w:r w:rsidR="005D44F4" w:rsidRPr="008E4844">
        <w:rPr>
          <w:rFonts w:ascii="Times New Roman" w:hAnsi="Times New Roman" w:cs="Times New Roman"/>
          <w:sz w:val="24"/>
          <w:szCs w:val="24"/>
        </w:rPr>
        <w:t xml:space="preserve">the </w:t>
      </w:r>
      <w:r w:rsidRPr="008E4844">
        <w:rPr>
          <w:rFonts w:ascii="Times New Roman" w:hAnsi="Times New Roman" w:cs="Times New Roman"/>
          <w:sz w:val="24"/>
          <w:szCs w:val="24"/>
        </w:rPr>
        <w:t>public sector</w:t>
      </w:r>
      <w:r w:rsidR="00F756A5" w:rsidRPr="008E4844">
        <w:rPr>
          <w:rFonts w:ascii="Times New Roman" w:hAnsi="Times New Roman" w:cs="Times New Roman"/>
          <w:sz w:val="24"/>
          <w:szCs w:val="24"/>
        </w:rPr>
        <w:t xml:space="preserve">, a point </w:t>
      </w:r>
      <w:r w:rsidR="005D44F4" w:rsidRPr="008E4844">
        <w:rPr>
          <w:rFonts w:ascii="Times New Roman" w:hAnsi="Times New Roman" w:cs="Times New Roman"/>
          <w:sz w:val="24"/>
          <w:szCs w:val="24"/>
        </w:rPr>
        <w:t>acknowledged</w:t>
      </w:r>
      <w:r w:rsidR="007254E7" w:rsidRPr="008E4844">
        <w:rPr>
          <w:rFonts w:ascii="Times New Roman" w:hAnsi="Times New Roman" w:cs="Times New Roman"/>
          <w:sz w:val="24"/>
          <w:szCs w:val="24"/>
        </w:rPr>
        <w:t xml:space="preserve"> by GOSH</w:t>
      </w:r>
      <w:r w:rsidR="00FC59A8" w:rsidRPr="008E4844">
        <w:rPr>
          <w:rFonts w:ascii="Times New Roman" w:hAnsi="Times New Roman" w:cs="Times New Roman"/>
          <w:sz w:val="24"/>
          <w:szCs w:val="24"/>
        </w:rPr>
        <w:t>:</w:t>
      </w:r>
    </w:p>
    <w:p w14:paraId="1D8DBB65" w14:textId="65302270" w:rsidR="0038021E" w:rsidRPr="008E4844" w:rsidRDefault="0038021E" w:rsidP="00615E9D">
      <w:pPr>
        <w:spacing w:before="100" w:beforeAutospacing="1" w:after="100" w:afterAutospacing="1" w:line="360" w:lineRule="auto"/>
        <w:ind w:left="720" w:firstLine="60"/>
        <w:rPr>
          <w:rFonts w:ascii="Times New Roman" w:hAnsi="Times New Roman" w:cs="Times New Roman"/>
          <w:sz w:val="24"/>
          <w:szCs w:val="24"/>
        </w:rPr>
      </w:pPr>
      <w:r w:rsidRPr="008E4844">
        <w:rPr>
          <w:rFonts w:ascii="Times New Roman" w:hAnsi="Times New Roman" w:cs="Times New Roman"/>
          <w:sz w:val="24"/>
          <w:szCs w:val="24"/>
        </w:rPr>
        <w:t>“We do not prioritise the care of private patients over NHS patients. Clinicians operating their private practice at GOSH must ensure this is separate from their contracted hours paid for by the NHS. There are separately funded beds for International and private patients outside of NHS funded beds</w:t>
      </w:r>
      <w:r w:rsidR="007254E7" w:rsidRPr="008E4844">
        <w:rPr>
          <w:rFonts w:ascii="Times New Roman" w:hAnsi="Times New Roman" w:cs="Times New Roman"/>
          <w:sz w:val="24"/>
          <w:szCs w:val="24"/>
        </w:rPr>
        <w:t>”</w:t>
      </w:r>
      <w:r w:rsidRPr="008E4844">
        <w:rPr>
          <w:rFonts w:ascii="Times New Roman" w:hAnsi="Times New Roman" w:cs="Times New Roman"/>
          <w:sz w:val="24"/>
          <w:szCs w:val="24"/>
        </w:rPr>
        <w:t xml:space="preserve"> </w:t>
      </w:r>
      <w:r w:rsidR="005D4430" w:rsidRPr="008E4844">
        <w:rPr>
          <w:rFonts w:ascii="Times New Roman" w:hAnsi="Times New Roman" w:cs="Times New Roman"/>
          <w:sz w:val="24"/>
          <w:szCs w:val="24"/>
        </w:rPr>
        <w:t>(</w:t>
      </w:r>
      <w:r w:rsidR="00ED2E55" w:rsidRPr="008E4844">
        <w:rPr>
          <w:rFonts w:ascii="Times New Roman" w:hAnsi="Times New Roman" w:cs="Times New Roman"/>
          <w:sz w:val="24"/>
          <w:szCs w:val="24"/>
        </w:rPr>
        <w:t>cited in Clover 2024</w:t>
      </w:r>
      <w:r w:rsidR="005D4430" w:rsidRPr="008E4844">
        <w:rPr>
          <w:rFonts w:ascii="Times New Roman" w:hAnsi="Times New Roman" w:cs="Times New Roman"/>
          <w:sz w:val="24"/>
          <w:szCs w:val="24"/>
        </w:rPr>
        <w:t>)</w:t>
      </w:r>
      <w:r w:rsidR="00ED2E55" w:rsidRPr="008E4844">
        <w:rPr>
          <w:rFonts w:ascii="Times New Roman" w:hAnsi="Times New Roman" w:cs="Times New Roman"/>
          <w:sz w:val="24"/>
          <w:szCs w:val="24"/>
        </w:rPr>
        <w:t>.</w:t>
      </w:r>
    </w:p>
    <w:p w14:paraId="7AC03D17" w14:textId="5EDA8438" w:rsidR="00B67781" w:rsidRPr="008E4844" w:rsidRDefault="007254E7"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The rationale for i</w:t>
      </w:r>
      <w:r w:rsidR="00522E43" w:rsidRPr="008E4844">
        <w:rPr>
          <w:rFonts w:ascii="Times New Roman" w:hAnsi="Times New Roman" w:cs="Times New Roman"/>
          <w:sz w:val="24"/>
          <w:szCs w:val="24"/>
        </w:rPr>
        <w:t>nternational activities</w:t>
      </w:r>
      <w:r w:rsidR="005D44F4"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is </w:t>
      </w:r>
      <w:r w:rsidR="005D44F4" w:rsidRPr="008E4844">
        <w:rPr>
          <w:rFonts w:ascii="Times New Roman" w:hAnsi="Times New Roman" w:cs="Times New Roman"/>
          <w:sz w:val="24"/>
          <w:szCs w:val="24"/>
        </w:rPr>
        <w:t xml:space="preserve">presented as primarily </w:t>
      </w:r>
      <w:r w:rsidR="00FB242A" w:rsidRPr="008E4844">
        <w:rPr>
          <w:rFonts w:ascii="Times New Roman" w:hAnsi="Times New Roman" w:cs="Times New Roman"/>
          <w:sz w:val="24"/>
          <w:szCs w:val="24"/>
        </w:rPr>
        <w:t xml:space="preserve">financial (although this is invariably </w:t>
      </w:r>
      <w:r w:rsidR="00F756A5" w:rsidRPr="008E4844">
        <w:rPr>
          <w:rFonts w:ascii="Times New Roman" w:hAnsi="Times New Roman" w:cs="Times New Roman"/>
          <w:sz w:val="24"/>
          <w:szCs w:val="24"/>
        </w:rPr>
        <w:t xml:space="preserve">interrelated </w:t>
      </w:r>
      <w:r w:rsidR="00FB242A" w:rsidRPr="008E4844">
        <w:rPr>
          <w:rFonts w:ascii="Times New Roman" w:hAnsi="Times New Roman" w:cs="Times New Roman"/>
          <w:sz w:val="24"/>
          <w:szCs w:val="24"/>
        </w:rPr>
        <w:t>with reputation, recruitment and retention).</w:t>
      </w:r>
      <w:r w:rsidR="00525C45" w:rsidRPr="008E4844">
        <w:rPr>
          <w:rFonts w:ascii="Times New Roman" w:hAnsi="Times New Roman" w:cs="Times New Roman"/>
          <w:sz w:val="24"/>
          <w:szCs w:val="24"/>
        </w:rPr>
        <w:t xml:space="preserve">  There is no mention of private patients offering a more </w:t>
      </w:r>
      <w:r w:rsidR="00522E43" w:rsidRPr="008E4844">
        <w:rPr>
          <w:rFonts w:ascii="Times New Roman" w:hAnsi="Times New Roman" w:cs="Times New Roman"/>
          <w:sz w:val="24"/>
          <w:szCs w:val="24"/>
        </w:rPr>
        <w:t>distinctive case-mix of patients or cases of rarer diseases</w:t>
      </w:r>
      <w:r w:rsidR="00831686" w:rsidRPr="008E4844">
        <w:rPr>
          <w:rFonts w:ascii="Times New Roman" w:hAnsi="Times New Roman" w:cs="Times New Roman"/>
          <w:sz w:val="24"/>
          <w:szCs w:val="24"/>
        </w:rPr>
        <w:t xml:space="preserve"> for example</w:t>
      </w:r>
      <w:r w:rsidR="00522E43" w:rsidRPr="008E4844">
        <w:rPr>
          <w:rFonts w:ascii="Times New Roman" w:hAnsi="Times New Roman" w:cs="Times New Roman"/>
          <w:sz w:val="24"/>
          <w:szCs w:val="24"/>
        </w:rPr>
        <w:t>.</w:t>
      </w:r>
      <w:r w:rsidR="00236ED3" w:rsidRPr="008E4844">
        <w:rPr>
          <w:rFonts w:ascii="Times New Roman" w:hAnsi="Times New Roman" w:cs="Times New Roman"/>
          <w:sz w:val="24"/>
          <w:szCs w:val="24"/>
        </w:rPr>
        <w:t xml:space="preserve">  </w:t>
      </w:r>
    </w:p>
    <w:p w14:paraId="023EE17A" w14:textId="77777777" w:rsidR="00F96430" w:rsidRPr="008E4844" w:rsidRDefault="00F96430" w:rsidP="00F96430">
      <w:pPr>
        <w:rPr>
          <w:rFonts w:ascii="Times New Roman" w:hAnsi="Times New Roman" w:cs="Times New Roman"/>
          <w:b/>
          <w:bCs/>
          <w:i/>
          <w:iCs/>
          <w:sz w:val="24"/>
          <w:szCs w:val="24"/>
        </w:rPr>
      </w:pPr>
    </w:p>
    <w:p w14:paraId="37394128" w14:textId="54A2BD24" w:rsidR="00165829" w:rsidRPr="008E4844" w:rsidRDefault="00877922" w:rsidP="00F96430">
      <w:pPr>
        <w:rPr>
          <w:rFonts w:ascii="Times New Roman" w:hAnsi="Times New Roman" w:cs="Times New Roman"/>
          <w:b/>
          <w:bCs/>
          <w:i/>
          <w:iCs/>
          <w:sz w:val="24"/>
          <w:szCs w:val="24"/>
        </w:rPr>
      </w:pPr>
      <w:r w:rsidRPr="008E4844">
        <w:rPr>
          <w:rFonts w:ascii="Times New Roman" w:hAnsi="Times New Roman" w:cs="Times New Roman"/>
          <w:b/>
          <w:bCs/>
          <w:i/>
          <w:iCs/>
          <w:sz w:val="24"/>
          <w:szCs w:val="24"/>
        </w:rPr>
        <w:t>Strategy</w:t>
      </w:r>
      <w:r w:rsidR="00246ED3" w:rsidRPr="008E4844">
        <w:rPr>
          <w:rFonts w:ascii="Times New Roman" w:hAnsi="Times New Roman" w:cs="Times New Roman"/>
          <w:b/>
          <w:bCs/>
          <w:i/>
          <w:iCs/>
          <w:sz w:val="24"/>
          <w:szCs w:val="24"/>
        </w:rPr>
        <w:t xml:space="preserve"> and</w:t>
      </w:r>
      <w:r w:rsidR="00165829" w:rsidRPr="008E4844">
        <w:rPr>
          <w:rFonts w:ascii="Times New Roman" w:hAnsi="Times New Roman" w:cs="Times New Roman"/>
          <w:b/>
          <w:bCs/>
          <w:i/>
          <w:iCs/>
          <w:sz w:val="24"/>
          <w:szCs w:val="24"/>
        </w:rPr>
        <w:t xml:space="preserve"> organisation </w:t>
      </w:r>
    </w:p>
    <w:p w14:paraId="3BFF8580" w14:textId="057FB083" w:rsidR="00246ED3" w:rsidRPr="008E4844" w:rsidRDefault="003223D4"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There </w:t>
      </w:r>
      <w:r w:rsidR="009604CD" w:rsidRPr="008E4844">
        <w:rPr>
          <w:rFonts w:ascii="Times New Roman" w:hAnsi="Times New Roman" w:cs="Times New Roman"/>
          <w:sz w:val="24"/>
          <w:szCs w:val="24"/>
        </w:rPr>
        <w:t xml:space="preserve">is a competitive </w:t>
      </w:r>
      <w:r w:rsidRPr="008E4844">
        <w:rPr>
          <w:rFonts w:ascii="Times New Roman" w:hAnsi="Times New Roman" w:cs="Times New Roman"/>
          <w:sz w:val="24"/>
          <w:szCs w:val="24"/>
        </w:rPr>
        <w:t xml:space="preserve">global </w:t>
      </w:r>
      <w:r w:rsidR="009604CD" w:rsidRPr="008E4844">
        <w:rPr>
          <w:rFonts w:ascii="Times New Roman" w:hAnsi="Times New Roman" w:cs="Times New Roman"/>
          <w:sz w:val="24"/>
          <w:szCs w:val="24"/>
        </w:rPr>
        <w:t>environment</w:t>
      </w:r>
      <w:r w:rsidR="00697932" w:rsidRPr="008E4844">
        <w:rPr>
          <w:rFonts w:ascii="Times New Roman" w:hAnsi="Times New Roman" w:cs="Times New Roman"/>
          <w:sz w:val="24"/>
          <w:szCs w:val="24"/>
        </w:rPr>
        <w:t xml:space="preserve"> for </w:t>
      </w:r>
      <w:r w:rsidRPr="008E4844">
        <w:rPr>
          <w:rFonts w:ascii="Times New Roman" w:hAnsi="Times New Roman" w:cs="Times New Roman"/>
          <w:sz w:val="24"/>
          <w:szCs w:val="24"/>
        </w:rPr>
        <w:t xml:space="preserve">specialist </w:t>
      </w:r>
      <w:r w:rsidR="00697932" w:rsidRPr="008E4844">
        <w:rPr>
          <w:rFonts w:ascii="Times New Roman" w:hAnsi="Times New Roman" w:cs="Times New Roman"/>
          <w:sz w:val="24"/>
          <w:szCs w:val="24"/>
        </w:rPr>
        <w:t>paediatric services</w:t>
      </w:r>
      <w:r w:rsidR="00514FF8"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for example </w:t>
      </w:r>
      <w:r w:rsidRPr="00437EA0">
        <w:rPr>
          <w:rFonts w:ascii="Times New Roman" w:hAnsi="Times New Roman" w:cs="Times New Roman"/>
          <w:i/>
          <w:iCs/>
          <w:sz w:val="24"/>
          <w:szCs w:val="24"/>
        </w:rPr>
        <w:t>Newsweek</w:t>
      </w:r>
      <w:r w:rsidRPr="008E4844">
        <w:rPr>
          <w:rFonts w:ascii="Times New Roman" w:hAnsi="Times New Roman" w:cs="Times New Roman"/>
          <w:sz w:val="24"/>
          <w:szCs w:val="24"/>
        </w:rPr>
        <w:t xml:space="preserve"> </w:t>
      </w:r>
      <w:r w:rsidR="00B67781" w:rsidRPr="008E4844">
        <w:rPr>
          <w:rFonts w:ascii="Times New Roman" w:hAnsi="Times New Roman" w:cs="Times New Roman"/>
          <w:sz w:val="24"/>
          <w:szCs w:val="24"/>
        </w:rPr>
        <w:t xml:space="preserve">analysis ranks </w:t>
      </w:r>
      <w:r w:rsidRPr="008E4844">
        <w:rPr>
          <w:rFonts w:ascii="Times New Roman" w:hAnsi="Times New Roman" w:cs="Times New Roman"/>
          <w:sz w:val="24"/>
          <w:szCs w:val="24"/>
        </w:rPr>
        <w:t>leading hosp</w:t>
      </w:r>
      <w:r w:rsidR="004E3B91" w:rsidRPr="008E4844">
        <w:rPr>
          <w:rFonts w:ascii="Times New Roman" w:hAnsi="Times New Roman" w:cs="Times New Roman"/>
          <w:sz w:val="24"/>
          <w:szCs w:val="24"/>
        </w:rPr>
        <w:t xml:space="preserve">itals including </w:t>
      </w:r>
      <w:r w:rsidR="00514FF8" w:rsidRPr="008E4844">
        <w:rPr>
          <w:rFonts w:ascii="Times New Roman" w:hAnsi="Times New Roman" w:cs="Times New Roman"/>
          <w:sz w:val="24"/>
          <w:szCs w:val="24"/>
        </w:rPr>
        <w:t>Children's National Hospital</w:t>
      </w:r>
      <w:r w:rsidR="004C08EC">
        <w:rPr>
          <w:rFonts w:ascii="Times New Roman" w:hAnsi="Times New Roman" w:cs="Times New Roman"/>
          <w:sz w:val="24"/>
          <w:szCs w:val="24"/>
        </w:rPr>
        <w:t>s</w:t>
      </w:r>
      <w:r w:rsidR="00514FF8" w:rsidRPr="008E4844">
        <w:rPr>
          <w:rFonts w:ascii="Times New Roman" w:hAnsi="Times New Roman" w:cs="Times New Roman"/>
          <w:sz w:val="24"/>
          <w:szCs w:val="24"/>
        </w:rPr>
        <w:t xml:space="preserve"> in the US</w:t>
      </w:r>
      <w:r w:rsidR="006930C4">
        <w:rPr>
          <w:rFonts w:ascii="Times New Roman" w:hAnsi="Times New Roman" w:cs="Times New Roman"/>
          <w:sz w:val="24"/>
          <w:szCs w:val="24"/>
        </w:rPr>
        <w:t>,</w:t>
      </w:r>
      <w:r w:rsidR="00514FF8" w:rsidRPr="008E4844">
        <w:rPr>
          <w:rFonts w:ascii="Times New Roman" w:hAnsi="Times New Roman" w:cs="Times New Roman"/>
          <w:sz w:val="24"/>
          <w:szCs w:val="24"/>
        </w:rPr>
        <w:t xml:space="preserve"> </w:t>
      </w:r>
      <w:r w:rsidR="001273D2" w:rsidRPr="008E4844">
        <w:rPr>
          <w:rFonts w:ascii="Times New Roman" w:hAnsi="Times New Roman" w:cs="Times New Roman"/>
          <w:sz w:val="24"/>
          <w:szCs w:val="24"/>
        </w:rPr>
        <w:t xml:space="preserve">Boston </w:t>
      </w:r>
      <w:r w:rsidR="005D3C01" w:rsidRPr="008E4844">
        <w:rPr>
          <w:rFonts w:ascii="Times New Roman" w:hAnsi="Times New Roman" w:cs="Times New Roman"/>
          <w:sz w:val="24"/>
          <w:szCs w:val="24"/>
        </w:rPr>
        <w:t>Children’s</w:t>
      </w:r>
      <w:r w:rsidR="001273D2" w:rsidRPr="008E4844">
        <w:rPr>
          <w:rFonts w:ascii="Times New Roman" w:hAnsi="Times New Roman" w:cs="Times New Roman"/>
          <w:sz w:val="24"/>
          <w:szCs w:val="24"/>
        </w:rPr>
        <w:t xml:space="preserve"> Hospital, </w:t>
      </w:r>
      <w:r w:rsidR="00DB3A54" w:rsidRPr="008E4844">
        <w:rPr>
          <w:rFonts w:ascii="Times New Roman" w:hAnsi="Times New Roman" w:cs="Times New Roman"/>
          <w:sz w:val="24"/>
          <w:szCs w:val="24"/>
        </w:rPr>
        <w:t>Hospital</w:t>
      </w:r>
      <w:r w:rsidR="00C26D59" w:rsidRPr="008E4844">
        <w:rPr>
          <w:rFonts w:ascii="Times New Roman" w:hAnsi="Times New Roman" w:cs="Times New Roman"/>
          <w:sz w:val="24"/>
          <w:szCs w:val="24"/>
        </w:rPr>
        <w:t xml:space="preserve"> for Sick </w:t>
      </w:r>
      <w:r w:rsidR="00DB3A54" w:rsidRPr="008E4844">
        <w:rPr>
          <w:rFonts w:ascii="Times New Roman" w:hAnsi="Times New Roman" w:cs="Times New Roman"/>
          <w:sz w:val="24"/>
          <w:szCs w:val="24"/>
        </w:rPr>
        <w:t>Children</w:t>
      </w:r>
      <w:r w:rsidR="00C26D59" w:rsidRPr="008E4844">
        <w:rPr>
          <w:rFonts w:ascii="Times New Roman" w:hAnsi="Times New Roman" w:cs="Times New Roman"/>
          <w:sz w:val="24"/>
          <w:szCs w:val="24"/>
        </w:rPr>
        <w:t xml:space="preserve">, </w:t>
      </w:r>
      <w:r w:rsidR="00DB3A54" w:rsidRPr="008E4844">
        <w:rPr>
          <w:rFonts w:ascii="Times New Roman" w:hAnsi="Times New Roman" w:cs="Times New Roman"/>
          <w:sz w:val="24"/>
          <w:szCs w:val="24"/>
        </w:rPr>
        <w:t>Toronto,</w:t>
      </w:r>
      <w:r w:rsidR="00C26D59" w:rsidRPr="008E4844">
        <w:rPr>
          <w:rFonts w:ascii="Times New Roman" w:hAnsi="Times New Roman" w:cs="Times New Roman"/>
          <w:sz w:val="24"/>
          <w:szCs w:val="24"/>
        </w:rPr>
        <w:t xml:space="preserve"> </w:t>
      </w:r>
      <w:r w:rsidR="001273D2" w:rsidRPr="008E4844">
        <w:rPr>
          <w:rFonts w:ascii="Times New Roman" w:hAnsi="Times New Roman" w:cs="Times New Roman"/>
          <w:sz w:val="24"/>
          <w:szCs w:val="24"/>
        </w:rPr>
        <w:t>Alder Hey</w:t>
      </w:r>
      <w:r w:rsidR="00DB3A54" w:rsidRPr="008E4844">
        <w:rPr>
          <w:rFonts w:ascii="Times New Roman" w:hAnsi="Times New Roman" w:cs="Times New Roman"/>
          <w:sz w:val="24"/>
          <w:szCs w:val="24"/>
        </w:rPr>
        <w:t xml:space="preserve"> in Liverpool)</w:t>
      </w:r>
      <w:r w:rsidR="00F96430" w:rsidRPr="008E4844">
        <w:rPr>
          <w:rFonts w:ascii="Times New Roman" w:hAnsi="Times New Roman" w:cs="Times New Roman"/>
          <w:sz w:val="24"/>
          <w:szCs w:val="24"/>
        </w:rPr>
        <w:t xml:space="preserve"> (Newsweek 2024)</w:t>
      </w:r>
      <w:r w:rsidR="00DB3A54" w:rsidRPr="008E4844">
        <w:rPr>
          <w:rFonts w:ascii="Times New Roman" w:hAnsi="Times New Roman" w:cs="Times New Roman"/>
          <w:sz w:val="24"/>
          <w:szCs w:val="24"/>
        </w:rPr>
        <w:t>.</w:t>
      </w:r>
      <w:r w:rsidR="00BF5D03" w:rsidRPr="008E4844">
        <w:rPr>
          <w:rFonts w:ascii="Times New Roman" w:hAnsi="Times New Roman" w:cs="Times New Roman"/>
          <w:sz w:val="24"/>
          <w:szCs w:val="24"/>
        </w:rPr>
        <w:t xml:space="preserve">  </w:t>
      </w:r>
      <w:r w:rsidR="00157350" w:rsidRPr="008E4844">
        <w:rPr>
          <w:rFonts w:ascii="Times New Roman" w:hAnsi="Times New Roman" w:cs="Times New Roman"/>
          <w:sz w:val="24"/>
          <w:szCs w:val="24"/>
        </w:rPr>
        <w:t xml:space="preserve">How institutions </w:t>
      </w:r>
      <w:proofErr w:type="spellStart"/>
      <w:r w:rsidR="00157350" w:rsidRPr="008E4844">
        <w:rPr>
          <w:rFonts w:ascii="Times New Roman" w:hAnsi="Times New Roman" w:cs="Times New Roman"/>
          <w:sz w:val="24"/>
          <w:szCs w:val="24"/>
        </w:rPr>
        <w:t>strategis</w:t>
      </w:r>
      <w:r w:rsidR="00AC4B9B">
        <w:rPr>
          <w:rFonts w:ascii="Times New Roman" w:hAnsi="Times New Roman" w:cs="Times New Roman"/>
          <w:sz w:val="24"/>
          <w:szCs w:val="24"/>
        </w:rPr>
        <w:t>e</w:t>
      </w:r>
      <w:proofErr w:type="spellEnd"/>
      <w:r w:rsidR="00157350" w:rsidRPr="008E4844">
        <w:rPr>
          <w:rFonts w:ascii="Times New Roman" w:hAnsi="Times New Roman" w:cs="Times New Roman"/>
          <w:sz w:val="24"/>
          <w:szCs w:val="24"/>
        </w:rPr>
        <w:t xml:space="preserve"> and organise to respond to this environment is </w:t>
      </w:r>
      <w:r w:rsidR="00157350" w:rsidRPr="008E4844">
        <w:rPr>
          <w:rFonts w:ascii="Times New Roman" w:hAnsi="Times New Roman" w:cs="Times New Roman"/>
          <w:sz w:val="24"/>
          <w:szCs w:val="24"/>
        </w:rPr>
        <w:lastRenderedPageBreak/>
        <w:t>key to their commercial</w:t>
      </w:r>
      <w:r w:rsidR="00F94216">
        <w:rPr>
          <w:rFonts w:ascii="Times New Roman" w:hAnsi="Times New Roman" w:cs="Times New Roman"/>
          <w:sz w:val="24"/>
          <w:szCs w:val="24"/>
        </w:rPr>
        <w:t xml:space="preserve"> activities</w:t>
      </w:r>
      <w:r w:rsidR="00157350" w:rsidRPr="008E4844">
        <w:rPr>
          <w:rFonts w:ascii="Times New Roman" w:hAnsi="Times New Roman" w:cs="Times New Roman"/>
          <w:sz w:val="24"/>
          <w:szCs w:val="24"/>
        </w:rPr>
        <w:t>. The growth of international and private patient numbers necessitated the creation of an organisational sub-division in GOSH, led by an executive director</w:t>
      </w:r>
      <w:r w:rsidR="00F96430" w:rsidRPr="008E4844">
        <w:rPr>
          <w:rFonts w:ascii="Times New Roman" w:hAnsi="Times New Roman" w:cs="Times New Roman"/>
          <w:sz w:val="24"/>
          <w:szCs w:val="24"/>
        </w:rPr>
        <w:t>, thereby de-coupling of commercial strategies from NHS strategies</w:t>
      </w:r>
      <w:r w:rsidR="00246ED3" w:rsidRPr="008E4844">
        <w:rPr>
          <w:rFonts w:ascii="Times New Roman" w:hAnsi="Times New Roman" w:cs="Times New Roman"/>
          <w:sz w:val="24"/>
          <w:szCs w:val="24"/>
        </w:rPr>
        <w:t>:</w:t>
      </w:r>
    </w:p>
    <w:p w14:paraId="54B153A5" w14:textId="12126FDC" w:rsidR="00246ED3" w:rsidRPr="008E4844" w:rsidRDefault="00246ED3" w:rsidP="00615E9D">
      <w:pPr>
        <w:spacing w:before="100" w:beforeAutospacing="1" w:after="100" w:afterAutospacing="1" w:line="360" w:lineRule="auto"/>
        <w:ind w:left="720"/>
        <w:rPr>
          <w:rFonts w:ascii="Times New Roman" w:hAnsi="Times New Roman" w:cs="Times New Roman"/>
          <w:sz w:val="24"/>
          <w:szCs w:val="24"/>
        </w:rPr>
      </w:pPr>
      <w:r w:rsidRPr="008E4844">
        <w:rPr>
          <w:rFonts w:ascii="Times New Roman" w:hAnsi="Times New Roman" w:cs="Times New Roman"/>
          <w:sz w:val="24"/>
          <w:szCs w:val="24"/>
        </w:rPr>
        <w:t>“Our International and Private Care (I&amp;PC) directorate is an important component of the overall funding model for GOSH.  It enables the Trust to invest in enhancements to services and facilities that drive benefits across the NHS and maintain our status as a world-class provider of paediatric services.”</w:t>
      </w:r>
      <w:r w:rsidR="00963373" w:rsidRPr="008E4844">
        <w:rPr>
          <w:rFonts w:ascii="Times New Roman" w:hAnsi="Times New Roman" w:cs="Times New Roman"/>
          <w:sz w:val="24"/>
          <w:szCs w:val="24"/>
        </w:rPr>
        <w:t xml:space="preserve"> </w:t>
      </w:r>
      <w:bookmarkStart w:id="5" w:name="_Hlk181269318"/>
      <w:r w:rsidR="00963373" w:rsidRPr="008E4844">
        <w:rPr>
          <w:rFonts w:ascii="Times New Roman" w:hAnsi="Times New Roman" w:cs="Times New Roman"/>
          <w:sz w:val="24"/>
          <w:szCs w:val="24"/>
        </w:rPr>
        <w:t>(Annual reports and accounts 2021-2022</w:t>
      </w:r>
      <w:r w:rsidR="006D0C55">
        <w:rPr>
          <w:rFonts w:ascii="Times New Roman" w:hAnsi="Times New Roman" w:cs="Times New Roman"/>
          <w:sz w:val="24"/>
          <w:szCs w:val="24"/>
        </w:rPr>
        <w:t>,</w:t>
      </w:r>
      <w:r w:rsidR="00963373" w:rsidRPr="008E4844">
        <w:rPr>
          <w:rFonts w:ascii="Times New Roman" w:hAnsi="Times New Roman" w:cs="Times New Roman"/>
          <w:sz w:val="24"/>
          <w:szCs w:val="24"/>
        </w:rPr>
        <w:t xml:space="preserve"> 25)</w:t>
      </w:r>
      <w:bookmarkEnd w:id="5"/>
    </w:p>
    <w:p w14:paraId="4AE0AA38" w14:textId="4D0C1F1C" w:rsidR="00A93055" w:rsidRPr="008E4844" w:rsidRDefault="00E65B2C"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Staff</w:t>
      </w:r>
      <w:r w:rsidR="00963373" w:rsidRPr="008E4844">
        <w:rPr>
          <w:rFonts w:ascii="Times New Roman" w:hAnsi="Times New Roman" w:cs="Times New Roman"/>
          <w:sz w:val="24"/>
          <w:szCs w:val="24"/>
        </w:rPr>
        <w:t xml:space="preserve"> are </w:t>
      </w:r>
      <w:r w:rsidRPr="008E4844">
        <w:rPr>
          <w:rFonts w:ascii="Times New Roman" w:hAnsi="Times New Roman" w:cs="Times New Roman"/>
          <w:sz w:val="24"/>
          <w:szCs w:val="24"/>
        </w:rPr>
        <w:t xml:space="preserve">appointed to these divisions from private/commercial organisations (often for their commercial acumen) (Lunt </w:t>
      </w:r>
      <w:r w:rsidRPr="008E4844">
        <w:rPr>
          <w:rFonts w:ascii="Times New Roman" w:hAnsi="Times New Roman" w:cs="Times New Roman"/>
          <w:iCs/>
          <w:sz w:val="24"/>
          <w:szCs w:val="24"/>
        </w:rPr>
        <w:t>et al</w:t>
      </w:r>
      <w:r w:rsidR="00BC5FEC" w:rsidRPr="008E4844">
        <w:rPr>
          <w:rFonts w:ascii="Times New Roman" w:hAnsi="Times New Roman" w:cs="Times New Roman"/>
          <w:sz w:val="24"/>
          <w:szCs w:val="24"/>
        </w:rPr>
        <w:t>.</w:t>
      </w:r>
      <w:r w:rsidRPr="008E4844">
        <w:rPr>
          <w:rFonts w:ascii="Times New Roman" w:hAnsi="Times New Roman" w:cs="Times New Roman"/>
          <w:sz w:val="24"/>
          <w:szCs w:val="24"/>
        </w:rPr>
        <w:t xml:space="preserve"> 2015; Hodgson et al</w:t>
      </w:r>
      <w:r w:rsidR="00BC5FEC" w:rsidRPr="008E4844">
        <w:rPr>
          <w:rFonts w:ascii="Times New Roman" w:hAnsi="Times New Roman" w:cs="Times New Roman"/>
          <w:sz w:val="24"/>
          <w:szCs w:val="24"/>
        </w:rPr>
        <w:t>.</w:t>
      </w:r>
      <w:r w:rsidRPr="008E4844">
        <w:rPr>
          <w:rFonts w:ascii="Times New Roman" w:hAnsi="Times New Roman" w:cs="Times New Roman"/>
          <w:sz w:val="24"/>
          <w:szCs w:val="24"/>
        </w:rPr>
        <w:t xml:space="preserve"> 2022). </w:t>
      </w:r>
    </w:p>
    <w:p w14:paraId="4DF053DE" w14:textId="7B94928A" w:rsidR="00FD0048" w:rsidRPr="008E4844" w:rsidRDefault="005E12CA"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Entrepreneurial</w:t>
      </w:r>
      <w:r w:rsidR="001F2BBC" w:rsidRPr="008E4844">
        <w:rPr>
          <w:rFonts w:ascii="Times New Roman" w:hAnsi="Times New Roman" w:cs="Times New Roman"/>
          <w:sz w:val="24"/>
          <w:szCs w:val="24"/>
        </w:rPr>
        <w:t>ism is also</w:t>
      </w:r>
      <w:r w:rsidRPr="008E4844">
        <w:rPr>
          <w:rFonts w:ascii="Times New Roman" w:hAnsi="Times New Roman" w:cs="Times New Roman"/>
          <w:sz w:val="24"/>
          <w:szCs w:val="24"/>
        </w:rPr>
        <w:t xml:space="preserve"> evident</w:t>
      </w:r>
      <w:r w:rsidRPr="008E4844">
        <w:rPr>
          <w:rFonts w:ascii="Times New Roman" w:hAnsi="Times New Roman" w:cs="Times New Roman"/>
          <w:iCs/>
          <w:sz w:val="24"/>
          <w:szCs w:val="24"/>
        </w:rPr>
        <w:t xml:space="preserve"> </w:t>
      </w:r>
      <w:r w:rsidRPr="008E4844">
        <w:rPr>
          <w:rFonts w:ascii="Times New Roman" w:hAnsi="Times New Roman" w:cs="Times New Roman"/>
          <w:sz w:val="24"/>
          <w:szCs w:val="24"/>
        </w:rPr>
        <w:t>in organisation</w:t>
      </w:r>
      <w:r w:rsidR="00F73BC7" w:rsidRPr="008E4844">
        <w:rPr>
          <w:rFonts w:ascii="Times New Roman" w:hAnsi="Times New Roman" w:cs="Times New Roman"/>
          <w:sz w:val="24"/>
          <w:szCs w:val="24"/>
        </w:rPr>
        <w:t>al models</w:t>
      </w:r>
      <w:r w:rsidR="00754882" w:rsidRPr="008E4844">
        <w:rPr>
          <w:rFonts w:ascii="Times New Roman" w:hAnsi="Times New Roman" w:cs="Times New Roman"/>
          <w:sz w:val="24"/>
          <w:szCs w:val="24"/>
        </w:rPr>
        <w:t xml:space="preserve"> that sit outside mainstream NHS structures</w:t>
      </w:r>
      <w:r w:rsidR="00246ED3" w:rsidRPr="008E4844">
        <w:rPr>
          <w:rFonts w:ascii="Times New Roman" w:hAnsi="Times New Roman" w:cs="Times New Roman"/>
          <w:sz w:val="24"/>
          <w:szCs w:val="24"/>
        </w:rPr>
        <w:t xml:space="preserve">.  </w:t>
      </w:r>
      <w:r w:rsidR="00874C5B" w:rsidRPr="008E4844">
        <w:rPr>
          <w:rFonts w:ascii="Times New Roman" w:hAnsi="Times New Roman" w:cs="Times New Roman"/>
          <w:sz w:val="24"/>
          <w:szCs w:val="24"/>
        </w:rPr>
        <w:t xml:space="preserve">GOSH </w:t>
      </w:r>
      <w:r w:rsidR="001F2BBC" w:rsidRPr="008E4844">
        <w:rPr>
          <w:rFonts w:ascii="Times New Roman" w:hAnsi="Times New Roman" w:cs="Times New Roman"/>
          <w:sz w:val="24"/>
          <w:szCs w:val="24"/>
        </w:rPr>
        <w:t xml:space="preserve">opened a regional office at Dubai Health Care City in 2006 aiming to develop international business and to offer </w:t>
      </w:r>
      <w:r w:rsidR="00874C5B" w:rsidRPr="008E4844">
        <w:rPr>
          <w:rFonts w:ascii="Times New Roman" w:hAnsi="Times New Roman" w:cs="Times New Roman"/>
          <w:sz w:val="24"/>
          <w:szCs w:val="24"/>
        </w:rPr>
        <w:t xml:space="preserve">continuity </w:t>
      </w:r>
      <w:r w:rsidR="001F2BBC" w:rsidRPr="008E4844">
        <w:rPr>
          <w:rFonts w:ascii="Times New Roman" w:hAnsi="Times New Roman" w:cs="Times New Roman"/>
          <w:sz w:val="24"/>
          <w:szCs w:val="24"/>
        </w:rPr>
        <w:t>to patients travelling from the region.</w:t>
      </w:r>
      <w:r w:rsidR="0089742D" w:rsidRPr="008E4844">
        <w:rPr>
          <w:rFonts w:ascii="Times New Roman" w:hAnsi="Times New Roman" w:cs="Times New Roman"/>
          <w:sz w:val="24"/>
          <w:szCs w:val="24"/>
        </w:rPr>
        <w:t xml:space="preserve">  The </w:t>
      </w:r>
      <w:r w:rsidR="000870A9" w:rsidRPr="008E4844">
        <w:rPr>
          <w:rFonts w:ascii="Times New Roman" w:hAnsi="Times New Roman" w:cs="Times New Roman"/>
          <w:sz w:val="24"/>
          <w:szCs w:val="24"/>
        </w:rPr>
        <w:t xml:space="preserve">Gulf Office </w:t>
      </w:r>
      <w:r w:rsidR="003F7BBB" w:rsidRPr="008E4844">
        <w:rPr>
          <w:rFonts w:ascii="Times New Roman" w:hAnsi="Times New Roman" w:cs="Times New Roman"/>
          <w:sz w:val="24"/>
          <w:szCs w:val="24"/>
        </w:rPr>
        <w:t xml:space="preserve">receives </w:t>
      </w:r>
      <w:r w:rsidR="00C2202D" w:rsidRPr="008E4844">
        <w:rPr>
          <w:rFonts w:ascii="Times New Roman" w:hAnsi="Times New Roman" w:cs="Times New Roman"/>
          <w:sz w:val="24"/>
          <w:szCs w:val="24"/>
        </w:rPr>
        <w:t>request for treatment and advi</w:t>
      </w:r>
      <w:r w:rsidR="00D15EA6" w:rsidRPr="008E4844">
        <w:rPr>
          <w:rFonts w:ascii="Times New Roman" w:hAnsi="Times New Roman" w:cs="Times New Roman"/>
          <w:sz w:val="24"/>
          <w:szCs w:val="24"/>
        </w:rPr>
        <w:t>s</w:t>
      </w:r>
      <w:r w:rsidR="00C2202D" w:rsidRPr="008E4844">
        <w:rPr>
          <w:rFonts w:ascii="Times New Roman" w:hAnsi="Times New Roman" w:cs="Times New Roman"/>
          <w:sz w:val="24"/>
          <w:szCs w:val="24"/>
        </w:rPr>
        <w:t>e</w:t>
      </w:r>
      <w:r w:rsidR="00874C5B" w:rsidRPr="008E4844">
        <w:rPr>
          <w:rFonts w:ascii="Times New Roman" w:hAnsi="Times New Roman" w:cs="Times New Roman"/>
          <w:sz w:val="24"/>
          <w:szCs w:val="24"/>
        </w:rPr>
        <w:t>s</w:t>
      </w:r>
      <w:r w:rsidR="00C2202D" w:rsidRPr="008E4844">
        <w:rPr>
          <w:rFonts w:ascii="Times New Roman" w:hAnsi="Times New Roman" w:cs="Times New Roman"/>
          <w:sz w:val="24"/>
          <w:szCs w:val="24"/>
        </w:rPr>
        <w:t xml:space="preserve"> on </w:t>
      </w:r>
      <w:r w:rsidR="00D15EA6" w:rsidRPr="008E4844">
        <w:rPr>
          <w:rFonts w:ascii="Times New Roman" w:hAnsi="Times New Roman" w:cs="Times New Roman"/>
          <w:sz w:val="24"/>
          <w:szCs w:val="24"/>
        </w:rPr>
        <w:t xml:space="preserve">specialty </w:t>
      </w:r>
      <w:r w:rsidR="00157350" w:rsidRPr="008E4844">
        <w:rPr>
          <w:rFonts w:ascii="Times New Roman" w:hAnsi="Times New Roman" w:cs="Times New Roman"/>
          <w:sz w:val="24"/>
          <w:szCs w:val="24"/>
        </w:rPr>
        <w:t>and</w:t>
      </w:r>
      <w:r w:rsidR="00D15EA6" w:rsidRPr="008E4844">
        <w:rPr>
          <w:rFonts w:ascii="Times New Roman" w:hAnsi="Times New Roman" w:cs="Times New Roman"/>
          <w:sz w:val="24"/>
          <w:szCs w:val="24"/>
        </w:rPr>
        <w:t xml:space="preserve"> clinician, </w:t>
      </w:r>
      <w:r w:rsidR="003F7BBB" w:rsidRPr="008E4844">
        <w:rPr>
          <w:rFonts w:ascii="Times New Roman" w:hAnsi="Times New Roman" w:cs="Times New Roman"/>
          <w:sz w:val="24"/>
          <w:szCs w:val="24"/>
        </w:rPr>
        <w:t xml:space="preserve">supports </w:t>
      </w:r>
      <w:r w:rsidR="00D15EA6" w:rsidRPr="008E4844">
        <w:rPr>
          <w:rFonts w:ascii="Times New Roman" w:hAnsi="Times New Roman" w:cs="Times New Roman"/>
          <w:sz w:val="24"/>
          <w:szCs w:val="24"/>
        </w:rPr>
        <w:t>plan</w:t>
      </w:r>
      <w:r w:rsidR="003F7BBB" w:rsidRPr="008E4844">
        <w:rPr>
          <w:rFonts w:ascii="Times New Roman" w:hAnsi="Times New Roman" w:cs="Times New Roman"/>
          <w:sz w:val="24"/>
          <w:szCs w:val="24"/>
        </w:rPr>
        <w:t xml:space="preserve">ning and </w:t>
      </w:r>
      <w:r w:rsidR="00DA6C69" w:rsidRPr="008E4844">
        <w:rPr>
          <w:rFonts w:ascii="Times New Roman" w:hAnsi="Times New Roman" w:cs="Times New Roman"/>
          <w:sz w:val="24"/>
          <w:szCs w:val="24"/>
        </w:rPr>
        <w:t>follow up</w:t>
      </w:r>
      <w:r w:rsidR="003F7BBB" w:rsidRPr="008E4844">
        <w:rPr>
          <w:rFonts w:ascii="Times New Roman" w:hAnsi="Times New Roman" w:cs="Times New Roman"/>
          <w:sz w:val="24"/>
          <w:szCs w:val="24"/>
        </w:rPr>
        <w:t>, and de</w:t>
      </w:r>
      <w:r w:rsidR="00963373" w:rsidRPr="008E4844">
        <w:rPr>
          <w:rFonts w:ascii="Times New Roman" w:hAnsi="Times New Roman" w:cs="Times New Roman"/>
          <w:sz w:val="24"/>
          <w:szCs w:val="24"/>
        </w:rPr>
        <w:t>als</w:t>
      </w:r>
      <w:r w:rsidR="003F7BBB" w:rsidRPr="008E4844">
        <w:rPr>
          <w:rFonts w:ascii="Times New Roman" w:hAnsi="Times New Roman" w:cs="Times New Roman"/>
          <w:sz w:val="24"/>
          <w:szCs w:val="24"/>
        </w:rPr>
        <w:t xml:space="preserve"> with administration, including l</w:t>
      </w:r>
      <w:r w:rsidR="00726102" w:rsidRPr="008E4844">
        <w:rPr>
          <w:rFonts w:ascii="Times New Roman" w:hAnsi="Times New Roman" w:cs="Times New Roman"/>
          <w:sz w:val="24"/>
          <w:szCs w:val="24"/>
        </w:rPr>
        <w:t>iais</w:t>
      </w:r>
      <w:r w:rsidR="003F7BBB" w:rsidRPr="008E4844">
        <w:rPr>
          <w:rFonts w:ascii="Times New Roman" w:hAnsi="Times New Roman" w:cs="Times New Roman"/>
          <w:sz w:val="24"/>
          <w:szCs w:val="24"/>
        </w:rPr>
        <w:t>ing</w:t>
      </w:r>
      <w:r w:rsidR="00726102" w:rsidRPr="008E4844">
        <w:rPr>
          <w:rFonts w:ascii="Times New Roman" w:hAnsi="Times New Roman" w:cs="Times New Roman"/>
          <w:sz w:val="24"/>
          <w:szCs w:val="24"/>
        </w:rPr>
        <w:t xml:space="preserve"> with Embassies and insurers.</w:t>
      </w:r>
    </w:p>
    <w:p w14:paraId="6E1D60D7" w14:textId="75D7BC4D" w:rsidR="00FA3E81" w:rsidRPr="008E4844" w:rsidRDefault="00157350"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An earlier </w:t>
      </w:r>
      <w:r w:rsidR="00FD0048" w:rsidRPr="008E4844">
        <w:rPr>
          <w:rFonts w:ascii="Times New Roman" w:hAnsi="Times New Roman" w:cs="Times New Roman"/>
          <w:sz w:val="24"/>
          <w:szCs w:val="24"/>
        </w:rPr>
        <w:t xml:space="preserve">strategic plan </w:t>
      </w:r>
      <w:r w:rsidR="00963373" w:rsidRPr="008E4844">
        <w:rPr>
          <w:rFonts w:ascii="Times New Roman" w:hAnsi="Times New Roman" w:cs="Times New Roman"/>
          <w:sz w:val="24"/>
          <w:szCs w:val="24"/>
        </w:rPr>
        <w:t>outline</w:t>
      </w:r>
      <w:r w:rsidRPr="008E4844">
        <w:rPr>
          <w:rFonts w:ascii="Times New Roman" w:hAnsi="Times New Roman" w:cs="Times New Roman"/>
          <w:sz w:val="24"/>
          <w:szCs w:val="24"/>
        </w:rPr>
        <w:t>d</w:t>
      </w:r>
      <w:r w:rsidR="00FD0048" w:rsidRPr="008E4844">
        <w:rPr>
          <w:rFonts w:ascii="Times New Roman" w:hAnsi="Times New Roman" w:cs="Times New Roman"/>
          <w:sz w:val="24"/>
          <w:szCs w:val="24"/>
        </w:rPr>
        <w:t xml:space="preserve"> that GOSH derives “very little” commercial income other than its international and private patients (IPPs)</w:t>
      </w:r>
      <w:r w:rsidR="00BC6BB8" w:rsidRPr="008E4844">
        <w:rPr>
          <w:rFonts w:ascii="Times New Roman" w:hAnsi="Times New Roman" w:cs="Times New Roman"/>
          <w:sz w:val="24"/>
          <w:szCs w:val="24"/>
        </w:rPr>
        <w:t xml:space="preserve"> and has expressed interest in wider </w:t>
      </w:r>
      <w:r w:rsidR="00FD0048" w:rsidRPr="008E4844">
        <w:rPr>
          <w:rFonts w:ascii="Times New Roman" w:hAnsi="Times New Roman" w:cs="Times New Roman"/>
          <w:sz w:val="24"/>
          <w:szCs w:val="24"/>
        </w:rPr>
        <w:t>commercial income opportunit</w:t>
      </w:r>
      <w:r w:rsidR="00BC6BB8" w:rsidRPr="008E4844">
        <w:rPr>
          <w:rFonts w:ascii="Times New Roman" w:hAnsi="Times New Roman" w:cs="Times New Roman"/>
          <w:sz w:val="24"/>
          <w:szCs w:val="24"/>
        </w:rPr>
        <w:t>ies</w:t>
      </w:r>
      <w:r w:rsidR="00FD0048" w:rsidRPr="008E4844">
        <w:rPr>
          <w:rFonts w:ascii="Times New Roman" w:hAnsi="Times New Roman" w:cs="Times New Roman"/>
          <w:sz w:val="24"/>
          <w:szCs w:val="24"/>
        </w:rPr>
        <w:t xml:space="preserve">: “The strength of the GOSH brand brings with it opportunities to generate commercial income, which very few other NHS providers will have to the same degree.” </w:t>
      </w:r>
      <w:bookmarkStart w:id="6" w:name="_Hlk181269350"/>
      <w:r w:rsidR="008B131F" w:rsidRPr="008E4844">
        <w:rPr>
          <w:rFonts w:ascii="Times New Roman" w:hAnsi="Times New Roman" w:cs="Times New Roman"/>
          <w:sz w:val="24"/>
          <w:szCs w:val="24"/>
        </w:rPr>
        <w:t xml:space="preserve">(Five-Year Strategic Plan 2014–19).  </w:t>
      </w:r>
      <w:bookmarkEnd w:id="6"/>
      <w:r w:rsidR="00FA3E81" w:rsidRPr="008E4844">
        <w:rPr>
          <w:rFonts w:ascii="Times New Roman" w:hAnsi="Times New Roman" w:cs="Times New Roman"/>
          <w:sz w:val="24"/>
          <w:szCs w:val="24"/>
        </w:rPr>
        <w:t xml:space="preserve">For example, GOSH is: </w:t>
      </w:r>
    </w:p>
    <w:p w14:paraId="201ACF8C" w14:textId="685A109A" w:rsidR="00FD4312" w:rsidRPr="008E4844" w:rsidRDefault="00FA3E81" w:rsidP="00615E9D">
      <w:pPr>
        <w:spacing w:before="100" w:beforeAutospacing="1" w:after="100" w:afterAutospacing="1" w:line="360" w:lineRule="auto"/>
        <w:ind w:left="720"/>
        <w:rPr>
          <w:rFonts w:ascii="Times New Roman" w:hAnsi="Times New Roman" w:cs="Times New Roman"/>
          <w:sz w:val="24"/>
          <w:szCs w:val="24"/>
        </w:rPr>
      </w:pPr>
      <w:r w:rsidRPr="008E4844">
        <w:rPr>
          <w:rFonts w:ascii="Times New Roman" w:hAnsi="Times New Roman" w:cs="Times New Roman"/>
          <w:sz w:val="24"/>
          <w:szCs w:val="24"/>
        </w:rPr>
        <w:t>“</w:t>
      </w:r>
      <w:proofErr w:type="gramStart"/>
      <w:r w:rsidRPr="008E4844">
        <w:rPr>
          <w:rFonts w:ascii="Times New Roman" w:hAnsi="Times New Roman" w:cs="Times New Roman"/>
          <w:sz w:val="24"/>
          <w:szCs w:val="24"/>
        </w:rPr>
        <w:t>developing</w:t>
      </w:r>
      <w:proofErr w:type="gramEnd"/>
      <w:r w:rsidRPr="008E4844">
        <w:rPr>
          <w:rFonts w:ascii="Times New Roman" w:hAnsi="Times New Roman" w:cs="Times New Roman"/>
          <w:sz w:val="24"/>
          <w:szCs w:val="24"/>
        </w:rPr>
        <w:t xml:space="preserve"> an education strategy that will leverage its unrivalled brand identity internationally and nationally by commercialising with appropriate education and other activities </w:t>
      </w:r>
      <w:r w:rsidRPr="008E4844">
        <w:rPr>
          <w:rFonts w:ascii="Times New Roman" w:hAnsi="Times New Roman" w:cs="Times New Roman"/>
          <w:sz w:val="24"/>
          <w:szCs w:val="24"/>
          <w:u w:val="single"/>
        </w:rPr>
        <w:t>to offset</w:t>
      </w:r>
      <w:r w:rsidRPr="008E4844">
        <w:rPr>
          <w:rFonts w:ascii="Times New Roman" w:hAnsi="Times New Roman" w:cs="Times New Roman"/>
          <w:sz w:val="24"/>
          <w:szCs w:val="24"/>
        </w:rPr>
        <w:t xml:space="preserve"> any reduction in NHS funding, as a result of any government limitations or reductions in investment in the NHS” (Five year strategic plan 2014-2019; emphasis added).</w:t>
      </w:r>
    </w:p>
    <w:p w14:paraId="10E6AF97" w14:textId="7078F395" w:rsidR="003D0A57" w:rsidRPr="008E4844" w:rsidRDefault="00FD4312" w:rsidP="00963373">
      <w:pPr>
        <w:rPr>
          <w:rFonts w:ascii="Times New Roman" w:hAnsi="Times New Roman" w:cs="Times New Roman"/>
          <w:b/>
          <w:bCs/>
          <w:i/>
          <w:iCs/>
          <w:sz w:val="24"/>
          <w:szCs w:val="24"/>
        </w:rPr>
      </w:pPr>
      <w:r w:rsidRPr="008E4844">
        <w:rPr>
          <w:rFonts w:ascii="Times New Roman" w:hAnsi="Times New Roman" w:cs="Times New Roman"/>
          <w:b/>
          <w:bCs/>
          <w:i/>
          <w:iCs/>
          <w:sz w:val="24"/>
          <w:szCs w:val="24"/>
        </w:rPr>
        <w:t xml:space="preserve">Brand </w:t>
      </w:r>
      <w:r w:rsidR="003F2B6A" w:rsidRPr="008E4844">
        <w:rPr>
          <w:rFonts w:ascii="Times New Roman" w:hAnsi="Times New Roman" w:cs="Times New Roman"/>
          <w:b/>
          <w:bCs/>
          <w:i/>
          <w:iCs/>
          <w:sz w:val="24"/>
          <w:szCs w:val="24"/>
        </w:rPr>
        <w:t>and reputation</w:t>
      </w:r>
    </w:p>
    <w:p w14:paraId="273A0ED5" w14:textId="6FBBD095" w:rsidR="003F326F" w:rsidRPr="008E4844" w:rsidRDefault="007E12F4" w:rsidP="00615E9D">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Traditionally, the NHS </w:t>
      </w:r>
      <w:r w:rsidR="008E4844" w:rsidRPr="008E4844">
        <w:rPr>
          <w:rFonts w:ascii="Times New Roman" w:hAnsi="Times New Roman" w:cs="Times New Roman"/>
          <w:sz w:val="24"/>
          <w:szCs w:val="24"/>
        </w:rPr>
        <w:t xml:space="preserve">had </w:t>
      </w:r>
      <w:r w:rsidR="00831686" w:rsidRPr="008E4844">
        <w:rPr>
          <w:rFonts w:ascii="Times New Roman" w:hAnsi="Times New Roman" w:cs="Times New Roman"/>
          <w:sz w:val="24"/>
          <w:szCs w:val="24"/>
        </w:rPr>
        <w:t xml:space="preserve">a </w:t>
      </w:r>
      <w:r w:rsidR="003F326F" w:rsidRPr="008E4844">
        <w:rPr>
          <w:rFonts w:ascii="Times New Roman" w:hAnsi="Times New Roman" w:cs="Times New Roman"/>
          <w:sz w:val="24"/>
          <w:szCs w:val="24"/>
        </w:rPr>
        <w:t>passive</w:t>
      </w:r>
      <w:r w:rsidRPr="008E4844">
        <w:rPr>
          <w:rFonts w:ascii="Times New Roman" w:hAnsi="Times New Roman" w:cs="Times New Roman"/>
          <w:sz w:val="24"/>
          <w:szCs w:val="24"/>
        </w:rPr>
        <w:t xml:space="preserve"> </w:t>
      </w:r>
      <w:r w:rsidR="00831686" w:rsidRPr="008E4844">
        <w:rPr>
          <w:rFonts w:ascii="Times New Roman" w:hAnsi="Times New Roman" w:cs="Times New Roman"/>
          <w:sz w:val="24"/>
          <w:szCs w:val="24"/>
        </w:rPr>
        <w:t xml:space="preserve">orientation </w:t>
      </w:r>
      <w:r w:rsidR="00F94216">
        <w:rPr>
          <w:rFonts w:ascii="Times New Roman" w:hAnsi="Times New Roman" w:cs="Times New Roman"/>
          <w:sz w:val="24"/>
          <w:szCs w:val="24"/>
        </w:rPr>
        <w:t xml:space="preserve">to commercial income </w:t>
      </w:r>
      <w:r w:rsidR="00831686" w:rsidRPr="008E4844">
        <w:rPr>
          <w:rFonts w:ascii="Times New Roman" w:hAnsi="Times New Roman" w:cs="Times New Roman"/>
          <w:sz w:val="24"/>
          <w:szCs w:val="24"/>
        </w:rPr>
        <w:t xml:space="preserve">(Osborne 2020) </w:t>
      </w:r>
      <w:r w:rsidRPr="008E4844">
        <w:rPr>
          <w:rFonts w:ascii="Times New Roman" w:hAnsi="Times New Roman" w:cs="Times New Roman"/>
          <w:sz w:val="24"/>
          <w:szCs w:val="24"/>
        </w:rPr>
        <w:t xml:space="preserve">whereas private and international activity </w:t>
      </w:r>
      <w:r w:rsidR="003F326F" w:rsidRPr="008E4844">
        <w:rPr>
          <w:rFonts w:ascii="Times New Roman" w:hAnsi="Times New Roman" w:cs="Times New Roman"/>
          <w:sz w:val="24"/>
          <w:szCs w:val="24"/>
        </w:rPr>
        <w:t>necessarily elevates</w:t>
      </w:r>
      <w:r w:rsidRPr="008E4844">
        <w:rPr>
          <w:rFonts w:ascii="Times New Roman" w:hAnsi="Times New Roman" w:cs="Times New Roman"/>
          <w:sz w:val="24"/>
          <w:szCs w:val="24"/>
        </w:rPr>
        <w:t xml:space="preserve"> marketing and proactiv</w:t>
      </w:r>
      <w:r w:rsidR="00437EA0">
        <w:rPr>
          <w:rFonts w:ascii="Times New Roman" w:hAnsi="Times New Roman" w:cs="Times New Roman"/>
          <w:sz w:val="24"/>
          <w:szCs w:val="24"/>
        </w:rPr>
        <w:t>ely</w:t>
      </w:r>
      <w:r w:rsidRPr="008E4844">
        <w:rPr>
          <w:rFonts w:ascii="Times New Roman" w:hAnsi="Times New Roman" w:cs="Times New Roman"/>
          <w:sz w:val="24"/>
          <w:szCs w:val="24"/>
        </w:rPr>
        <w:t xml:space="preserve"> </w:t>
      </w:r>
      <w:r w:rsidRPr="008E4844">
        <w:rPr>
          <w:rFonts w:ascii="Times New Roman" w:hAnsi="Times New Roman" w:cs="Times New Roman"/>
          <w:sz w:val="24"/>
          <w:szCs w:val="24"/>
        </w:rPr>
        <w:lastRenderedPageBreak/>
        <w:t>engag</w:t>
      </w:r>
      <w:r w:rsidR="003F326F" w:rsidRPr="008E4844">
        <w:rPr>
          <w:rFonts w:ascii="Times New Roman" w:hAnsi="Times New Roman" w:cs="Times New Roman"/>
          <w:sz w:val="24"/>
          <w:szCs w:val="24"/>
        </w:rPr>
        <w:t>es</w:t>
      </w:r>
      <w:r w:rsidRPr="008E4844">
        <w:rPr>
          <w:rFonts w:ascii="Times New Roman" w:hAnsi="Times New Roman" w:cs="Times New Roman"/>
          <w:sz w:val="24"/>
          <w:szCs w:val="24"/>
        </w:rPr>
        <w:t xml:space="preserve"> overseas markets.  The private health sector </w:t>
      </w:r>
      <w:r w:rsidR="003F2B6A" w:rsidRPr="008E4844">
        <w:rPr>
          <w:rFonts w:ascii="Times New Roman" w:hAnsi="Times New Roman" w:cs="Times New Roman"/>
          <w:sz w:val="24"/>
          <w:szCs w:val="24"/>
        </w:rPr>
        <w:t xml:space="preserve">has longstanding </w:t>
      </w:r>
      <w:r w:rsidRPr="008E4844">
        <w:rPr>
          <w:rFonts w:ascii="Times New Roman" w:hAnsi="Times New Roman" w:cs="Times New Roman"/>
          <w:sz w:val="24"/>
          <w:szCs w:val="24"/>
        </w:rPr>
        <w:t>expertise derived from involvement</w:t>
      </w:r>
      <w:r w:rsidR="003F2B6A" w:rsidRPr="008E4844">
        <w:rPr>
          <w:rFonts w:ascii="Times New Roman" w:hAnsi="Times New Roman" w:cs="Times New Roman"/>
          <w:sz w:val="24"/>
          <w:szCs w:val="24"/>
        </w:rPr>
        <w:t xml:space="preserve"> in</w:t>
      </w:r>
      <w:r w:rsidRPr="008E4844">
        <w:rPr>
          <w:rFonts w:ascii="Times New Roman" w:hAnsi="Times New Roman" w:cs="Times New Roman"/>
          <w:sz w:val="24"/>
          <w:szCs w:val="24"/>
        </w:rPr>
        <w:t xml:space="preserve"> general surgical marketing </w:t>
      </w:r>
      <w:r w:rsidR="007C1126" w:rsidRPr="008E4844">
        <w:rPr>
          <w:rFonts w:ascii="Times New Roman" w:hAnsi="Times New Roman" w:cs="Times New Roman"/>
          <w:sz w:val="24"/>
          <w:szCs w:val="24"/>
        </w:rPr>
        <w:t xml:space="preserve">and </w:t>
      </w:r>
      <w:r w:rsidRPr="008E4844">
        <w:rPr>
          <w:rFonts w:ascii="Times New Roman" w:hAnsi="Times New Roman" w:cs="Times New Roman"/>
          <w:sz w:val="24"/>
          <w:szCs w:val="24"/>
        </w:rPr>
        <w:t>experience of negotiating with insurance companies</w:t>
      </w:r>
      <w:r w:rsidR="00963373" w:rsidRPr="008E4844">
        <w:rPr>
          <w:rFonts w:ascii="Times New Roman" w:hAnsi="Times New Roman" w:cs="Times New Roman"/>
          <w:sz w:val="24"/>
          <w:szCs w:val="24"/>
        </w:rPr>
        <w:t>.</w:t>
      </w:r>
      <w:r w:rsidR="008B131F" w:rsidRPr="008E4844">
        <w:rPr>
          <w:rFonts w:ascii="Times New Roman" w:hAnsi="Times New Roman" w:cs="Times New Roman"/>
          <w:sz w:val="24"/>
          <w:szCs w:val="24"/>
        </w:rPr>
        <w:t xml:space="preserve"> F</w:t>
      </w:r>
      <w:r w:rsidRPr="008E4844">
        <w:rPr>
          <w:rFonts w:ascii="Times New Roman" w:hAnsi="Times New Roman" w:cs="Times New Roman"/>
          <w:sz w:val="24"/>
          <w:szCs w:val="24"/>
        </w:rPr>
        <w:t xml:space="preserve">oundation Trusts </w:t>
      </w:r>
      <w:r w:rsidR="00963373" w:rsidRPr="008E4844">
        <w:rPr>
          <w:rFonts w:ascii="Times New Roman" w:hAnsi="Times New Roman" w:cs="Times New Roman"/>
          <w:sz w:val="24"/>
          <w:szCs w:val="24"/>
        </w:rPr>
        <w:t xml:space="preserve">on the other hand </w:t>
      </w:r>
      <w:r w:rsidR="003F2B6A" w:rsidRPr="008E4844">
        <w:rPr>
          <w:rFonts w:ascii="Times New Roman" w:hAnsi="Times New Roman" w:cs="Times New Roman"/>
          <w:sz w:val="24"/>
          <w:szCs w:val="24"/>
        </w:rPr>
        <w:t xml:space="preserve">have traditionally </w:t>
      </w:r>
      <w:r w:rsidR="002C4211" w:rsidRPr="008E4844">
        <w:rPr>
          <w:rFonts w:ascii="Times New Roman" w:hAnsi="Times New Roman" w:cs="Times New Roman"/>
          <w:sz w:val="24"/>
          <w:szCs w:val="24"/>
        </w:rPr>
        <w:t xml:space="preserve">been more </w:t>
      </w:r>
      <w:r w:rsidRPr="008E4844">
        <w:rPr>
          <w:rFonts w:ascii="Times New Roman" w:hAnsi="Times New Roman" w:cs="Times New Roman"/>
          <w:sz w:val="24"/>
          <w:szCs w:val="24"/>
        </w:rPr>
        <w:t xml:space="preserve">hampered by limited marketing budgets </w:t>
      </w:r>
      <w:r w:rsidR="003A306C" w:rsidRPr="008E4844">
        <w:rPr>
          <w:rFonts w:ascii="Times New Roman" w:hAnsi="Times New Roman" w:cs="Times New Roman"/>
          <w:sz w:val="24"/>
          <w:szCs w:val="24"/>
        </w:rPr>
        <w:t>and</w:t>
      </w:r>
      <w:r w:rsidRPr="008E4844">
        <w:rPr>
          <w:rFonts w:ascii="Times New Roman" w:hAnsi="Times New Roman" w:cs="Times New Roman"/>
          <w:sz w:val="24"/>
          <w:szCs w:val="24"/>
        </w:rPr>
        <w:t xml:space="preserve"> internal perceptions about private work.</w:t>
      </w:r>
      <w:r w:rsidR="00536D0B" w:rsidRPr="008E4844">
        <w:rPr>
          <w:rFonts w:ascii="Times New Roman" w:hAnsi="Times New Roman" w:cs="Times New Roman"/>
          <w:sz w:val="24"/>
          <w:szCs w:val="24"/>
        </w:rPr>
        <w:t xml:space="preserve">  </w:t>
      </w:r>
      <w:r w:rsidR="00157350" w:rsidRPr="008E4844">
        <w:rPr>
          <w:rFonts w:ascii="Times New Roman" w:hAnsi="Times New Roman" w:cs="Times New Roman"/>
          <w:sz w:val="24"/>
          <w:szCs w:val="24"/>
        </w:rPr>
        <w:t xml:space="preserve">Research suggests </w:t>
      </w:r>
      <w:r w:rsidR="003735BE" w:rsidRPr="008E4844">
        <w:rPr>
          <w:rFonts w:ascii="Times New Roman" w:hAnsi="Times New Roman" w:cs="Times New Roman"/>
          <w:sz w:val="24"/>
          <w:szCs w:val="24"/>
        </w:rPr>
        <w:t>FTs were wary of using their autonomy and were cautious about entrepreneurial activities</w:t>
      </w:r>
      <w:r w:rsidR="00F94216">
        <w:rPr>
          <w:rFonts w:ascii="Times New Roman" w:hAnsi="Times New Roman" w:cs="Times New Roman"/>
          <w:sz w:val="24"/>
          <w:szCs w:val="24"/>
        </w:rPr>
        <w:t>,</w:t>
      </w:r>
      <w:r w:rsidR="00AC4B9B">
        <w:rPr>
          <w:rFonts w:ascii="Times New Roman" w:hAnsi="Times New Roman" w:cs="Times New Roman"/>
          <w:sz w:val="24"/>
          <w:szCs w:val="24"/>
        </w:rPr>
        <w:t xml:space="preserve"> </w:t>
      </w:r>
      <w:r w:rsidR="00F94216">
        <w:rPr>
          <w:rFonts w:ascii="Times New Roman" w:hAnsi="Times New Roman" w:cs="Times New Roman"/>
          <w:sz w:val="24"/>
          <w:szCs w:val="24"/>
        </w:rPr>
        <w:t xml:space="preserve">with most being risk-averse despite their apparent managerial freedom.  </w:t>
      </w:r>
      <w:r w:rsidR="00AC4B9B">
        <w:rPr>
          <w:rFonts w:ascii="Times New Roman" w:hAnsi="Times New Roman" w:cs="Times New Roman"/>
          <w:sz w:val="24"/>
          <w:szCs w:val="24"/>
        </w:rPr>
        <w:t xml:space="preserve">This highlights the distinction between ability and willingness in analysing freedom from hierarchical control and impact on innovation </w:t>
      </w:r>
      <w:r w:rsidR="003735BE" w:rsidRPr="008E4844">
        <w:rPr>
          <w:rFonts w:ascii="Times New Roman" w:hAnsi="Times New Roman" w:cs="Times New Roman"/>
          <w:sz w:val="24"/>
          <w:szCs w:val="24"/>
        </w:rPr>
        <w:t>(Exworthy et al. 2011)</w:t>
      </w:r>
      <w:r w:rsidR="005E2006" w:rsidRPr="008E4844">
        <w:rPr>
          <w:rFonts w:ascii="Times New Roman" w:hAnsi="Times New Roman" w:cs="Times New Roman"/>
          <w:sz w:val="24"/>
          <w:szCs w:val="24"/>
        </w:rPr>
        <w:t>.</w:t>
      </w:r>
    </w:p>
    <w:p w14:paraId="1D93BCAA" w14:textId="36CB8952" w:rsidR="001B15AF" w:rsidRPr="008E4844" w:rsidRDefault="00536D0B" w:rsidP="00615E9D">
      <w:pPr>
        <w:autoSpaceDE w:val="0"/>
        <w:autoSpaceDN w:val="0"/>
        <w:adjustRightInd w:val="0"/>
        <w:spacing w:before="100" w:beforeAutospacing="1" w:after="100" w:afterAutospacing="1" w:line="360" w:lineRule="auto"/>
        <w:rPr>
          <w:sz w:val="24"/>
          <w:szCs w:val="24"/>
        </w:rPr>
      </w:pPr>
      <w:r w:rsidRPr="008E4844">
        <w:rPr>
          <w:rFonts w:ascii="Times New Roman" w:hAnsi="Times New Roman" w:cs="Times New Roman"/>
          <w:sz w:val="24"/>
          <w:szCs w:val="24"/>
        </w:rPr>
        <w:t>GOSH ha</w:t>
      </w:r>
      <w:r w:rsidR="00963373" w:rsidRPr="008E4844">
        <w:rPr>
          <w:rFonts w:ascii="Times New Roman" w:hAnsi="Times New Roman" w:cs="Times New Roman"/>
          <w:sz w:val="24"/>
          <w:szCs w:val="24"/>
        </w:rPr>
        <w:t>s</w:t>
      </w:r>
      <w:r w:rsidRPr="008E4844">
        <w:rPr>
          <w:rFonts w:ascii="Times New Roman" w:hAnsi="Times New Roman" w:cs="Times New Roman"/>
          <w:sz w:val="24"/>
          <w:szCs w:val="24"/>
        </w:rPr>
        <w:t xml:space="preserve"> engaged </w:t>
      </w:r>
      <w:r w:rsidR="00AA7445">
        <w:rPr>
          <w:rFonts w:ascii="Times New Roman" w:hAnsi="Times New Roman" w:cs="Times New Roman"/>
          <w:sz w:val="24"/>
          <w:szCs w:val="24"/>
        </w:rPr>
        <w:t xml:space="preserve">significantly </w:t>
      </w:r>
      <w:r w:rsidR="00963373" w:rsidRPr="008E4844">
        <w:rPr>
          <w:rFonts w:ascii="Times New Roman" w:hAnsi="Times New Roman" w:cs="Times New Roman"/>
          <w:sz w:val="24"/>
          <w:szCs w:val="24"/>
        </w:rPr>
        <w:t xml:space="preserve">with </w:t>
      </w:r>
      <w:r w:rsidRPr="008E4844">
        <w:rPr>
          <w:rFonts w:ascii="Times New Roman" w:hAnsi="Times New Roman" w:cs="Times New Roman"/>
          <w:sz w:val="24"/>
          <w:szCs w:val="24"/>
        </w:rPr>
        <w:t>marketing and brand development.</w:t>
      </w:r>
      <w:r w:rsidR="003F326F" w:rsidRPr="008E4844">
        <w:rPr>
          <w:rFonts w:ascii="Times New Roman" w:hAnsi="Times New Roman" w:cs="Times New Roman"/>
          <w:sz w:val="24"/>
          <w:szCs w:val="24"/>
        </w:rPr>
        <w:t xml:space="preserve">  </w:t>
      </w:r>
      <w:r w:rsidR="001B15AF" w:rsidRPr="008E4844">
        <w:rPr>
          <w:rFonts w:ascii="Times New Roman" w:hAnsi="Times New Roman" w:cs="Times New Roman"/>
          <w:sz w:val="24"/>
          <w:szCs w:val="24"/>
        </w:rPr>
        <w:t>The hospital</w:t>
      </w:r>
      <w:r w:rsidR="00FD0048" w:rsidRPr="008E4844">
        <w:rPr>
          <w:rFonts w:ascii="Times New Roman" w:hAnsi="Times New Roman" w:cs="Times New Roman"/>
          <w:sz w:val="24"/>
          <w:szCs w:val="24"/>
        </w:rPr>
        <w:t xml:space="preserve"> developed</w:t>
      </w:r>
      <w:r w:rsidR="001B15AF" w:rsidRPr="008E4844">
        <w:rPr>
          <w:rFonts w:ascii="Times New Roman" w:hAnsi="Times New Roman" w:cs="Times New Roman"/>
          <w:sz w:val="24"/>
          <w:szCs w:val="24"/>
        </w:rPr>
        <w:t xml:space="preserve"> a “referral app” in English and Arabic to “increase brand awareness” </w:t>
      </w:r>
      <w:r w:rsidR="0027384C" w:rsidRPr="008E4844">
        <w:rPr>
          <w:rFonts w:ascii="Times New Roman" w:hAnsi="Times New Roman" w:cs="Times New Roman"/>
          <w:sz w:val="24"/>
          <w:szCs w:val="24"/>
        </w:rPr>
        <w:t>allowing search of services and consultants</w:t>
      </w:r>
      <w:r w:rsidR="000714E3" w:rsidRPr="008E4844">
        <w:rPr>
          <w:rFonts w:ascii="Times New Roman" w:hAnsi="Times New Roman" w:cs="Times New Roman"/>
          <w:sz w:val="24"/>
          <w:szCs w:val="24"/>
        </w:rPr>
        <w:t xml:space="preserve">, </w:t>
      </w:r>
      <w:r w:rsidR="001E51A8" w:rsidRPr="008E4844">
        <w:rPr>
          <w:rFonts w:ascii="Times New Roman" w:hAnsi="Times New Roman" w:cs="Times New Roman"/>
          <w:sz w:val="24"/>
          <w:szCs w:val="24"/>
        </w:rPr>
        <w:t>launched</w:t>
      </w:r>
      <w:r w:rsidR="001B15AF" w:rsidRPr="008E4844">
        <w:rPr>
          <w:rFonts w:ascii="Times New Roman" w:hAnsi="Times New Roman" w:cs="Times New Roman"/>
          <w:sz w:val="24"/>
          <w:szCs w:val="24"/>
        </w:rPr>
        <w:t xml:space="preserve"> in 2017 but</w:t>
      </w:r>
      <w:r w:rsidR="000714E3" w:rsidRPr="008E4844">
        <w:rPr>
          <w:rFonts w:ascii="Times New Roman" w:hAnsi="Times New Roman" w:cs="Times New Roman"/>
          <w:sz w:val="24"/>
          <w:szCs w:val="24"/>
        </w:rPr>
        <w:t xml:space="preserve"> no longer available</w:t>
      </w:r>
      <w:r w:rsidR="001B15AF" w:rsidRPr="008E4844">
        <w:rPr>
          <w:rFonts w:ascii="Times New Roman" w:hAnsi="Times New Roman" w:cs="Times New Roman"/>
          <w:sz w:val="24"/>
          <w:szCs w:val="24"/>
        </w:rPr>
        <w:t xml:space="preserve">.  The hospital has been </w:t>
      </w:r>
      <w:r w:rsidR="009F5F58" w:rsidRPr="008E4844">
        <w:rPr>
          <w:rFonts w:ascii="Times New Roman" w:hAnsi="Times New Roman" w:cs="Times New Roman"/>
          <w:sz w:val="24"/>
          <w:szCs w:val="24"/>
        </w:rPr>
        <w:t>looking beyond established markets</w:t>
      </w:r>
      <w:r w:rsidR="003A306C" w:rsidRPr="008E4844">
        <w:rPr>
          <w:rFonts w:ascii="Times New Roman" w:hAnsi="Times New Roman" w:cs="Times New Roman"/>
          <w:sz w:val="24"/>
          <w:szCs w:val="24"/>
        </w:rPr>
        <w:t>, including China,</w:t>
      </w:r>
      <w:r w:rsidR="009F5F58" w:rsidRPr="008E4844">
        <w:rPr>
          <w:rFonts w:ascii="Times New Roman" w:hAnsi="Times New Roman" w:cs="Times New Roman"/>
          <w:sz w:val="24"/>
          <w:szCs w:val="24"/>
        </w:rPr>
        <w:t xml:space="preserve"> </w:t>
      </w:r>
      <w:r w:rsidR="003A306C" w:rsidRPr="008E4844">
        <w:rPr>
          <w:rFonts w:ascii="Times New Roman" w:hAnsi="Times New Roman" w:cs="Times New Roman"/>
          <w:sz w:val="24"/>
          <w:szCs w:val="24"/>
        </w:rPr>
        <w:t xml:space="preserve">receiving advice on </w:t>
      </w:r>
      <w:r w:rsidR="000714E3" w:rsidRPr="008E4844">
        <w:rPr>
          <w:rFonts w:ascii="Times New Roman" w:hAnsi="Times New Roman" w:cs="Times New Roman"/>
          <w:sz w:val="24"/>
          <w:szCs w:val="24"/>
        </w:rPr>
        <w:t xml:space="preserve">a </w:t>
      </w:r>
      <w:r w:rsidR="001B15AF" w:rsidRPr="008E4844">
        <w:rPr>
          <w:rFonts w:ascii="Times New Roman" w:hAnsi="Times New Roman" w:cs="Times New Roman"/>
          <w:sz w:val="24"/>
          <w:szCs w:val="24"/>
        </w:rPr>
        <w:t>marketing plan, content and messaging strategy</w:t>
      </w:r>
      <w:r w:rsidR="003A306C" w:rsidRPr="008E4844">
        <w:rPr>
          <w:rFonts w:ascii="Times New Roman" w:hAnsi="Times New Roman" w:cs="Times New Roman"/>
          <w:sz w:val="24"/>
          <w:szCs w:val="24"/>
        </w:rPr>
        <w:t xml:space="preserve">: </w:t>
      </w:r>
      <w:bookmarkStart w:id="7" w:name="_Hlk181269418"/>
      <w:r w:rsidR="001B15AF" w:rsidRPr="008E4844">
        <w:rPr>
          <w:rFonts w:ascii="Times New Roman" w:hAnsi="Times New Roman" w:cs="Times New Roman"/>
          <w:sz w:val="24"/>
          <w:szCs w:val="24"/>
        </w:rPr>
        <w:t>“With our help, Great Ormond Street Hospital has established its brand visibility in China, leading to increased enquiries from patients and partnerships” (emergingcomms.com</w:t>
      </w:r>
      <w:bookmarkEnd w:id="7"/>
      <w:r w:rsidR="001B15AF" w:rsidRPr="008E4844">
        <w:rPr>
          <w:rFonts w:ascii="Times New Roman" w:hAnsi="Times New Roman" w:cs="Times New Roman"/>
          <w:sz w:val="24"/>
          <w:szCs w:val="24"/>
        </w:rPr>
        <w:t xml:space="preserve">).   The </w:t>
      </w:r>
      <w:r w:rsidR="00963373" w:rsidRPr="008E4844">
        <w:rPr>
          <w:rFonts w:ascii="Times New Roman" w:hAnsi="Times New Roman" w:cs="Times New Roman"/>
          <w:sz w:val="24"/>
          <w:szCs w:val="24"/>
        </w:rPr>
        <w:t xml:space="preserve">Foreword of the </w:t>
      </w:r>
      <w:r w:rsidR="009F5F58" w:rsidRPr="008E4844">
        <w:rPr>
          <w:rFonts w:ascii="Times New Roman" w:hAnsi="Times New Roman" w:cs="Times New Roman"/>
          <w:sz w:val="24"/>
          <w:szCs w:val="24"/>
        </w:rPr>
        <w:t xml:space="preserve">latest </w:t>
      </w:r>
      <w:r w:rsidR="001B15AF" w:rsidRPr="008E4844">
        <w:rPr>
          <w:rFonts w:ascii="Times New Roman" w:hAnsi="Times New Roman" w:cs="Times New Roman"/>
          <w:sz w:val="24"/>
          <w:szCs w:val="24"/>
        </w:rPr>
        <w:t>Annual report</w:t>
      </w:r>
      <w:r w:rsidR="003A306C" w:rsidRPr="008E4844">
        <w:rPr>
          <w:rFonts w:ascii="Times New Roman" w:hAnsi="Times New Roman" w:cs="Times New Roman"/>
          <w:sz w:val="24"/>
          <w:szCs w:val="24"/>
        </w:rPr>
        <w:t xml:space="preserve"> cites </w:t>
      </w:r>
      <w:r w:rsidR="001B15AF" w:rsidRPr="008E4844">
        <w:rPr>
          <w:rFonts w:ascii="Times New Roman" w:hAnsi="Times New Roman" w:cs="Times New Roman"/>
          <w:sz w:val="24"/>
          <w:szCs w:val="24"/>
        </w:rPr>
        <w:t xml:space="preserve">the </w:t>
      </w:r>
      <w:r w:rsidR="001B15AF" w:rsidRPr="00AA7445">
        <w:rPr>
          <w:rFonts w:ascii="Times New Roman" w:hAnsi="Times New Roman" w:cs="Times New Roman"/>
          <w:i/>
          <w:iCs/>
          <w:sz w:val="24"/>
          <w:szCs w:val="24"/>
        </w:rPr>
        <w:t>Newsweek</w:t>
      </w:r>
      <w:r w:rsidR="001B15AF" w:rsidRPr="008E4844">
        <w:rPr>
          <w:rFonts w:ascii="Times New Roman" w:hAnsi="Times New Roman" w:cs="Times New Roman"/>
          <w:sz w:val="24"/>
          <w:szCs w:val="24"/>
        </w:rPr>
        <w:t xml:space="preserve"> </w:t>
      </w:r>
      <w:r w:rsidR="00826FE3" w:rsidRPr="008E4844">
        <w:rPr>
          <w:rFonts w:ascii="Times New Roman" w:hAnsi="Times New Roman" w:cs="Times New Roman"/>
          <w:sz w:val="24"/>
          <w:szCs w:val="24"/>
        </w:rPr>
        <w:t xml:space="preserve">rankings of </w:t>
      </w:r>
      <w:r w:rsidR="00AC25AF" w:rsidRPr="008E4844">
        <w:rPr>
          <w:rFonts w:ascii="Times New Roman" w:hAnsi="Times New Roman" w:cs="Times New Roman"/>
          <w:sz w:val="24"/>
          <w:szCs w:val="24"/>
        </w:rPr>
        <w:t xml:space="preserve">hospitals </w:t>
      </w:r>
      <w:r w:rsidR="00963373" w:rsidRPr="008E4844">
        <w:rPr>
          <w:rFonts w:ascii="Times New Roman" w:hAnsi="Times New Roman" w:cs="Times New Roman"/>
          <w:sz w:val="24"/>
          <w:szCs w:val="24"/>
        </w:rPr>
        <w:t xml:space="preserve">that places </w:t>
      </w:r>
      <w:r w:rsidR="001B15AF" w:rsidRPr="008E4844">
        <w:rPr>
          <w:rFonts w:ascii="Times New Roman" w:hAnsi="Times New Roman" w:cs="Times New Roman"/>
          <w:sz w:val="24"/>
          <w:szCs w:val="24"/>
        </w:rPr>
        <w:t xml:space="preserve">GOSH in </w:t>
      </w:r>
      <w:r w:rsidR="00963373" w:rsidRPr="008E4844">
        <w:rPr>
          <w:rFonts w:ascii="Times New Roman" w:hAnsi="Times New Roman" w:cs="Times New Roman"/>
          <w:sz w:val="24"/>
          <w:szCs w:val="24"/>
        </w:rPr>
        <w:t xml:space="preserve">the </w:t>
      </w:r>
      <w:r w:rsidR="001B15AF" w:rsidRPr="008E4844">
        <w:rPr>
          <w:rFonts w:ascii="Times New Roman" w:hAnsi="Times New Roman" w:cs="Times New Roman"/>
          <w:sz w:val="24"/>
          <w:szCs w:val="24"/>
        </w:rPr>
        <w:t>top 3 best specialized hospitals for paediatrics (</w:t>
      </w:r>
      <w:bookmarkStart w:id="8" w:name="_Hlk181269385"/>
      <w:r w:rsidR="001B15AF" w:rsidRPr="008E4844">
        <w:rPr>
          <w:rFonts w:ascii="Times New Roman" w:hAnsi="Times New Roman" w:cs="Times New Roman"/>
          <w:sz w:val="24"/>
          <w:szCs w:val="24"/>
        </w:rPr>
        <w:t xml:space="preserve">Annual report </w:t>
      </w:r>
      <w:r w:rsidR="0069549C">
        <w:rPr>
          <w:rFonts w:ascii="Times New Roman" w:hAnsi="Times New Roman" w:cs="Times New Roman"/>
          <w:sz w:val="24"/>
          <w:szCs w:val="24"/>
        </w:rPr>
        <w:t xml:space="preserve">and accounts </w:t>
      </w:r>
      <w:r w:rsidR="001B15AF" w:rsidRPr="008E4844">
        <w:rPr>
          <w:rFonts w:ascii="Times New Roman" w:hAnsi="Times New Roman" w:cs="Times New Roman"/>
          <w:sz w:val="24"/>
          <w:szCs w:val="24"/>
        </w:rPr>
        <w:t>2022-23</w:t>
      </w:r>
      <w:bookmarkEnd w:id="8"/>
      <w:r w:rsidR="001B15AF" w:rsidRPr="008E4844">
        <w:rPr>
          <w:rFonts w:ascii="Times New Roman" w:hAnsi="Times New Roman" w:cs="Times New Roman"/>
          <w:sz w:val="24"/>
          <w:szCs w:val="24"/>
        </w:rPr>
        <w:t xml:space="preserve">).  These are examples of entrepreneurial agency </w:t>
      </w:r>
      <w:r w:rsidR="003F326F" w:rsidRPr="008E4844">
        <w:rPr>
          <w:rFonts w:ascii="Times New Roman" w:hAnsi="Times New Roman" w:cs="Times New Roman"/>
          <w:sz w:val="24"/>
          <w:szCs w:val="24"/>
        </w:rPr>
        <w:t xml:space="preserve">that seek </w:t>
      </w:r>
      <w:r w:rsidR="00963373" w:rsidRPr="008E4844">
        <w:rPr>
          <w:rFonts w:ascii="Times New Roman" w:hAnsi="Times New Roman" w:cs="Times New Roman"/>
          <w:sz w:val="24"/>
          <w:szCs w:val="24"/>
        </w:rPr>
        <w:t xml:space="preserve">to </w:t>
      </w:r>
      <w:r w:rsidR="001B15AF" w:rsidRPr="008E4844">
        <w:rPr>
          <w:rFonts w:ascii="Times New Roman" w:hAnsi="Times New Roman" w:cs="Times New Roman"/>
          <w:sz w:val="24"/>
          <w:szCs w:val="24"/>
        </w:rPr>
        <w:t xml:space="preserve">identify treatment markets and </w:t>
      </w:r>
      <w:r w:rsidR="00963373" w:rsidRPr="008E4844">
        <w:rPr>
          <w:rFonts w:ascii="Times New Roman" w:hAnsi="Times New Roman" w:cs="Times New Roman"/>
          <w:sz w:val="24"/>
          <w:szCs w:val="24"/>
        </w:rPr>
        <w:t xml:space="preserve">routes </w:t>
      </w:r>
      <w:r w:rsidR="001B15AF" w:rsidRPr="008E4844">
        <w:rPr>
          <w:rFonts w:ascii="Times New Roman" w:hAnsi="Times New Roman" w:cs="Times New Roman"/>
          <w:sz w:val="24"/>
          <w:szCs w:val="24"/>
        </w:rPr>
        <w:t xml:space="preserve">to access </w:t>
      </w:r>
      <w:r w:rsidR="00AA7445">
        <w:rPr>
          <w:rFonts w:ascii="Times New Roman" w:hAnsi="Times New Roman" w:cs="Times New Roman"/>
          <w:sz w:val="24"/>
          <w:szCs w:val="24"/>
        </w:rPr>
        <w:t xml:space="preserve">such </w:t>
      </w:r>
      <w:r w:rsidR="001B15AF" w:rsidRPr="008E4844">
        <w:rPr>
          <w:rFonts w:ascii="Times New Roman" w:hAnsi="Times New Roman" w:cs="Times New Roman"/>
          <w:sz w:val="24"/>
          <w:szCs w:val="24"/>
        </w:rPr>
        <w:t xml:space="preserve">opportunities.  </w:t>
      </w:r>
    </w:p>
    <w:p w14:paraId="21902788" w14:textId="705FA5DF" w:rsidR="00CC6424" w:rsidRDefault="00963373"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A bespoke brand identity is </w:t>
      </w:r>
      <w:r w:rsidR="00F93BD9" w:rsidRPr="008E4844">
        <w:rPr>
          <w:rFonts w:ascii="Times New Roman" w:hAnsi="Times New Roman" w:cs="Times New Roman"/>
          <w:sz w:val="24"/>
          <w:szCs w:val="24"/>
        </w:rPr>
        <w:t xml:space="preserve">increasingly developed aside </w:t>
      </w:r>
      <w:r w:rsidRPr="008E4844">
        <w:rPr>
          <w:rFonts w:ascii="Times New Roman" w:hAnsi="Times New Roman" w:cs="Times New Roman"/>
          <w:sz w:val="24"/>
          <w:szCs w:val="24"/>
        </w:rPr>
        <w:t xml:space="preserve">from the NHS identity.  </w:t>
      </w:r>
      <w:r w:rsidR="008455F8" w:rsidRPr="008E4844">
        <w:rPr>
          <w:rFonts w:ascii="Times New Roman" w:hAnsi="Times New Roman" w:cs="Times New Roman"/>
          <w:sz w:val="24"/>
          <w:szCs w:val="24"/>
        </w:rPr>
        <w:t xml:space="preserve">Prospective international patients exploring </w:t>
      </w:r>
      <w:r w:rsidR="001B15AF" w:rsidRPr="008E4844">
        <w:rPr>
          <w:rFonts w:ascii="Times New Roman" w:hAnsi="Times New Roman" w:cs="Times New Roman"/>
          <w:sz w:val="24"/>
          <w:szCs w:val="24"/>
        </w:rPr>
        <w:t>private activities on the</w:t>
      </w:r>
      <w:r w:rsidR="008455F8" w:rsidRPr="008E4844">
        <w:rPr>
          <w:rFonts w:ascii="Times New Roman" w:hAnsi="Times New Roman" w:cs="Times New Roman"/>
          <w:sz w:val="24"/>
          <w:szCs w:val="24"/>
        </w:rPr>
        <w:t xml:space="preserve"> GOSH</w:t>
      </w:r>
      <w:r w:rsidR="001B15AF" w:rsidRPr="008E4844">
        <w:rPr>
          <w:rFonts w:ascii="Times New Roman" w:hAnsi="Times New Roman" w:cs="Times New Roman"/>
          <w:sz w:val="24"/>
          <w:szCs w:val="24"/>
        </w:rPr>
        <w:t xml:space="preserve"> website</w:t>
      </w:r>
      <w:r w:rsidR="00B02526" w:rsidRPr="008E4844">
        <w:rPr>
          <w:rFonts w:ascii="Times New Roman" w:hAnsi="Times New Roman" w:cs="Times New Roman"/>
          <w:sz w:val="24"/>
          <w:szCs w:val="24"/>
        </w:rPr>
        <w:t xml:space="preserve">, </w:t>
      </w:r>
      <w:r w:rsidR="008455F8" w:rsidRPr="008E4844">
        <w:rPr>
          <w:rFonts w:ascii="Times New Roman" w:hAnsi="Times New Roman" w:cs="Times New Roman"/>
          <w:sz w:val="24"/>
          <w:szCs w:val="24"/>
        </w:rPr>
        <w:t xml:space="preserve">are </w:t>
      </w:r>
      <w:r w:rsidR="00B02526" w:rsidRPr="008E4844">
        <w:rPr>
          <w:rFonts w:ascii="Times New Roman" w:hAnsi="Times New Roman" w:cs="Times New Roman"/>
          <w:sz w:val="24"/>
          <w:szCs w:val="24"/>
        </w:rPr>
        <w:t>re-rout</w:t>
      </w:r>
      <w:r w:rsidR="00831B53" w:rsidRPr="008E4844">
        <w:rPr>
          <w:rFonts w:ascii="Times New Roman" w:hAnsi="Times New Roman" w:cs="Times New Roman"/>
          <w:sz w:val="24"/>
          <w:szCs w:val="24"/>
        </w:rPr>
        <w:t>e</w:t>
      </w:r>
      <w:r w:rsidR="008455F8" w:rsidRPr="008E4844">
        <w:rPr>
          <w:rFonts w:ascii="Times New Roman" w:hAnsi="Times New Roman" w:cs="Times New Roman"/>
          <w:sz w:val="24"/>
          <w:szCs w:val="24"/>
        </w:rPr>
        <w:t>d</w:t>
      </w:r>
      <w:r w:rsidR="00B02526" w:rsidRPr="008E4844">
        <w:rPr>
          <w:rFonts w:ascii="Times New Roman" w:hAnsi="Times New Roman" w:cs="Times New Roman"/>
          <w:sz w:val="24"/>
          <w:szCs w:val="24"/>
        </w:rPr>
        <w:t xml:space="preserve"> to overseas</w:t>
      </w:r>
      <w:r w:rsidR="008455F8" w:rsidRPr="008E4844">
        <w:rPr>
          <w:rFonts w:ascii="Times New Roman" w:hAnsi="Times New Roman" w:cs="Times New Roman"/>
          <w:sz w:val="24"/>
          <w:szCs w:val="24"/>
        </w:rPr>
        <w:t>-hosted</w:t>
      </w:r>
      <w:r w:rsidR="00B02526" w:rsidRPr="008E4844">
        <w:rPr>
          <w:rFonts w:ascii="Times New Roman" w:hAnsi="Times New Roman" w:cs="Times New Roman"/>
          <w:sz w:val="24"/>
          <w:szCs w:val="24"/>
        </w:rPr>
        <w:t xml:space="preserve"> sites that carry no mention of the NHS</w:t>
      </w:r>
      <w:r w:rsidR="005275D2" w:rsidRPr="008E4844">
        <w:rPr>
          <w:rFonts w:ascii="Times New Roman" w:hAnsi="Times New Roman" w:cs="Times New Roman"/>
          <w:sz w:val="24"/>
          <w:szCs w:val="24"/>
        </w:rPr>
        <w:t xml:space="preserve">.  </w:t>
      </w:r>
      <w:bookmarkStart w:id="9" w:name="_Hlk181269440"/>
      <w:r w:rsidR="005275D2" w:rsidRPr="008E4844">
        <w:rPr>
          <w:rFonts w:ascii="Times New Roman" w:hAnsi="Times New Roman" w:cs="Times New Roman"/>
          <w:sz w:val="24"/>
          <w:szCs w:val="24"/>
        </w:rPr>
        <w:t xml:space="preserve">The International Patient Centre page and Gulf office website </w:t>
      </w:r>
      <w:r w:rsidR="008455F8" w:rsidRPr="008E4844">
        <w:rPr>
          <w:rFonts w:ascii="Times New Roman" w:hAnsi="Times New Roman" w:cs="Times New Roman"/>
          <w:sz w:val="24"/>
          <w:szCs w:val="24"/>
        </w:rPr>
        <w:t xml:space="preserve">dispense with the </w:t>
      </w:r>
      <w:r w:rsidR="005275D2" w:rsidRPr="008E4844">
        <w:rPr>
          <w:rFonts w:ascii="Times New Roman" w:hAnsi="Times New Roman" w:cs="Times New Roman"/>
          <w:sz w:val="24"/>
          <w:szCs w:val="24"/>
        </w:rPr>
        <w:t xml:space="preserve">NHS logo </w:t>
      </w:r>
      <w:r w:rsidR="008455F8" w:rsidRPr="008E4844">
        <w:rPr>
          <w:rFonts w:ascii="Times New Roman" w:hAnsi="Times New Roman" w:cs="Times New Roman"/>
          <w:sz w:val="24"/>
          <w:szCs w:val="24"/>
        </w:rPr>
        <w:t>and</w:t>
      </w:r>
      <w:r w:rsidRPr="008E4844">
        <w:rPr>
          <w:rFonts w:ascii="Times New Roman" w:hAnsi="Times New Roman" w:cs="Times New Roman"/>
          <w:sz w:val="24"/>
          <w:szCs w:val="24"/>
        </w:rPr>
        <w:t xml:space="preserve"> carry</w:t>
      </w:r>
      <w:r w:rsidR="008455F8" w:rsidRPr="008E4844">
        <w:rPr>
          <w:rFonts w:ascii="Times New Roman" w:hAnsi="Times New Roman" w:cs="Times New Roman"/>
          <w:sz w:val="24"/>
          <w:szCs w:val="24"/>
        </w:rPr>
        <w:t xml:space="preserve"> an alternative </w:t>
      </w:r>
      <w:r w:rsidR="005275D2" w:rsidRPr="008E4844">
        <w:rPr>
          <w:rFonts w:ascii="Times New Roman" w:hAnsi="Times New Roman" w:cs="Times New Roman"/>
          <w:sz w:val="24"/>
          <w:szCs w:val="24"/>
        </w:rPr>
        <w:t xml:space="preserve">branding.  </w:t>
      </w:r>
      <w:r w:rsidR="00B02526" w:rsidRPr="008E4844">
        <w:rPr>
          <w:rFonts w:ascii="Times New Roman" w:hAnsi="Times New Roman" w:cs="Times New Roman"/>
          <w:sz w:val="24"/>
          <w:szCs w:val="24"/>
        </w:rPr>
        <w:t xml:space="preserve">GOSH </w:t>
      </w:r>
      <w:r w:rsidR="005275D2" w:rsidRPr="008E4844">
        <w:rPr>
          <w:rFonts w:ascii="Times New Roman" w:hAnsi="Times New Roman" w:cs="Times New Roman"/>
          <w:sz w:val="24"/>
          <w:szCs w:val="24"/>
        </w:rPr>
        <w:t xml:space="preserve">is </w:t>
      </w:r>
      <w:r w:rsidR="00B02526" w:rsidRPr="008E4844">
        <w:rPr>
          <w:rFonts w:ascii="Times New Roman" w:hAnsi="Times New Roman" w:cs="Times New Roman"/>
          <w:sz w:val="24"/>
          <w:szCs w:val="24"/>
        </w:rPr>
        <w:t xml:space="preserve">framed as “a globally renowned children’s hospital, championing innovation across more than 60 clinical specialties and providing ground-breaking treatments for the rarest and most complex conditions”. </w:t>
      </w:r>
      <w:bookmarkEnd w:id="9"/>
      <w:r w:rsidR="0010634B" w:rsidRPr="008E4844">
        <w:rPr>
          <w:rFonts w:ascii="Times New Roman" w:hAnsi="Times New Roman" w:cs="Times New Roman"/>
          <w:sz w:val="24"/>
          <w:szCs w:val="24"/>
        </w:rPr>
        <w:t xml:space="preserve">Whilst many </w:t>
      </w:r>
      <w:r w:rsidR="005D179A" w:rsidRPr="008E4844">
        <w:rPr>
          <w:rFonts w:ascii="Times New Roman" w:hAnsi="Times New Roman" w:cs="Times New Roman"/>
          <w:sz w:val="24"/>
          <w:szCs w:val="24"/>
        </w:rPr>
        <w:t xml:space="preserve">London-based Trusts use their </w:t>
      </w:r>
      <w:r w:rsidR="0010634B" w:rsidRPr="008E4844">
        <w:rPr>
          <w:rFonts w:ascii="Times New Roman" w:hAnsi="Times New Roman" w:cs="Times New Roman"/>
          <w:sz w:val="24"/>
          <w:szCs w:val="24"/>
        </w:rPr>
        <w:t xml:space="preserve">NHS </w:t>
      </w:r>
      <w:r w:rsidR="005D179A" w:rsidRPr="008E4844">
        <w:rPr>
          <w:rFonts w:ascii="Times New Roman" w:hAnsi="Times New Roman" w:cs="Times New Roman"/>
          <w:sz w:val="24"/>
          <w:szCs w:val="24"/>
        </w:rPr>
        <w:t xml:space="preserve">brand </w:t>
      </w:r>
      <w:r w:rsidR="0010634B" w:rsidRPr="008E4844">
        <w:rPr>
          <w:rFonts w:ascii="Times New Roman" w:hAnsi="Times New Roman" w:cs="Times New Roman"/>
          <w:sz w:val="24"/>
          <w:szCs w:val="24"/>
        </w:rPr>
        <w:t>capital</w:t>
      </w:r>
      <w:r w:rsidR="005D179A" w:rsidRPr="008E4844">
        <w:rPr>
          <w:rFonts w:ascii="Times New Roman" w:hAnsi="Times New Roman" w:cs="Times New Roman"/>
          <w:sz w:val="24"/>
          <w:szCs w:val="24"/>
        </w:rPr>
        <w:t xml:space="preserve"> and geographical location to attract patients from other countries,</w:t>
      </w:r>
      <w:r w:rsidR="0010634B" w:rsidRPr="008E4844">
        <w:rPr>
          <w:rFonts w:ascii="Times New Roman" w:hAnsi="Times New Roman" w:cs="Times New Roman"/>
          <w:sz w:val="24"/>
          <w:szCs w:val="24"/>
        </w:rPr>
        <w:t xml:space="preserve"> a small number of </w:t>
      </w:r>
      <w:r w:rsidR="005D179A" w:rsidRPr="008E4844">
        <w:rPr>
          <w:rFonts w:ascii="Times New Roman" w:hAnsi="Times New Roman" w:cs="Times New Roman"/>
          <w:sz w:val="24"/>
          <w:szCs w:val="24"/>
        </w:rPr>
        <w:t>Trusts</w:t>
      </w:r>
      <w:r w:rsidR="008455F8" w:rsidRPr="008E4844">
        <w:rPr>
          <w:rFonts w:ascii="Times New Roman" w:hAnsi="Times New Roman" w:cs="Times New Roman"/>
          <w:sz w:val="24"/>
          <w:szCs w:val="24"/>
        </w:rPr>
        <w:t>,</w:t>
      </w:r>
      <w:r w:rsidR="0010634B" w:rsidRPr="008E4844">
        <w:rPr>
          <w:rFonts w:ascii="Times New Roman" w:hAnsi="Times New Roman" w:cs="Times New Roman"/>
          <w:sz w:val="24"/>
          <w:szCs w:val="24"/>
        </w:rPr>
        <w:t xml:space="preserve"> including</w:t>
      </w:r>
      <w:r w:rsidR="005D179A" w:rsidRPr="008E4844">
        <w:rPr>
          <w:rFonts w:ascii="Times New Roman" w:hAnsi="Times New Roman" w:cs="Times New Roman"/>
          <w:sz w:val="24"/>
          <w:szCs w:val="24"/>
        </w:rPr>
        <w:t xml:space="preserve"> GOSH</w:t>
      </w:r>
      <w:r w:rsidR="008455F8" w:rsidRPr="008E4844">
        <w:rPr>
          <w:rFonts w:ascii="Times New Roman" w:hAnsi="Times New Roman" w:cs="Times New Roman"/>
          <w:sz w:val="24"/>
          <w:szCs w:val="24"/>
        </w:rPr>
        <w:t>,</w:t>
      </w:r>
      <w:r w:rsidR="005D179A" w:rsidRPr="008E4844">
        <w:rPr>
          <w:rFonts w:ascii="Times New Roman" w:hAnsi="Times New Roman" w:cs="Times New Roman"/>
          <w:sz w:val="24"/>
          <w:szCs w:val="24"/>
        </w:rPr>
        <w:t xml:space="preserve"> develop</w:t>
      </w:r>
      <w:r w:rsidR="008455F8" w:rsidRPr="008E4844">
        <w:rPr>
          <w:rFonts w:ascii="Times New Roman" w:hAnsi="Times New Roman" w:cs="Times New Roman"/>
          <w:sz w:val="24"/>
          <w:szCs w:val="24"/>
        </w:rPr>
        <w:t xml:space="preserve"> </w:t>
      </w:r>
      <w:r w:rsidR="005D179A" w:rsidRPr="008E4844">
        <w:rPr>
          <w:rFonts w:ascii="Times New Roman" w:hAnsi="Times New Roman" w:cs="Times New Roman"/>
          <w:sz w:val="24"/>
          <w:szCs w:val="24"/>
        </w:rPr>
        <w:t xml:space="preserve">a </w:t>
      </w:r>
      <w:r w:rsidR="0010634B" w:rsidRPr="008E4844">
        <w:rPr>
          <w:rFonts w:ascii="Times New Roman" w:hAnsi="Times New Roman" w:cs="Times New Roman"/>
          <w:sz w:val="24"/>
          <w:szCs w:val="24"/>
        </w:rPr>
        <w:t>parallel</w:t>
      </w:r>
      <w:r w:rsidR="00FA3E81" w:rsidRPr="008E4844">
        <w:rPr>
          <w:rFonts w:ascii="Times New Roman" w:hAnsi="Times New Roman" w:cs="Times New Roman"/>
          <w:sz w:val="24"/>
          <w:szCs w:val="24"/>
        </w:rPr>
        <w:t xml:space="preserve"> approach</w:t>
      </w:r>
      <w:r w:rsidR="008455F8" w:rsidRPr="008E4844">
        <w:rPr>
          <w:rFonts w:ascii="Times New Roman" w:hAnsi="Times New Roman" w:cs="Times New Roman"/>
          <w:sz w:val="24"/>
          <w:szCs w:val="24"/>
        </w:rPr>
        <w:t xml:space="preserve"> that leverage </w:t>
      </w:r>
      <w:r w:rsidR="00AA7445">
        <w:rPr>
          <w:rFonts w:ascii="Times New Roman" w:hAnsi="Times New Roman" w:cs="Times New Roman"/>
          <w:sz w:val="24"/>
          <w:szCs w:val="24"/>
        </w:rPr>
        <w:t>their</w:t>
      </w:r>
      <w:r w:rsidR="008455F8" w:rsidRPr="008E4844">
        <w:rPr>
          <w:rFonts w:ascii="Times New Roman" w:hAnsi="Times New Roman" w:cs="Times New Roman"/>
          <w:sz w:val="24"/>
          <w:szCs w:val="24"/>
        </w:rPr>
        <w:t xml:space="preserve"> distinctiveness</w:t>
      </w:r>
      <w:r w:rsidR="005D179A" w:rsidRPr="008E4844">
        <w:rPr>
          <w:rFonts w:ascii="Times New Roman" w:hAnsi="Times New Roman" w:cs="Times New Roman"/>
          <w:sz w:val="24"/>
          <w:szCs w:val="24"/>
        </w:rPr>
        <w:t>.</w:t>
      </w:r>
      <w:r w:rsidR="007A7086" w:rsidRPr="008E4844">
        <w:rPr>
          <w:rFonts w:ascii="Times New Roman" w:hAnsi="Times New Roman" w:cs="Times New Roman"/>
          <w:sz w:val="24"/>
          <w:szCs w:val="24"/>
        </w:rPr>
        <w:t xml:space="preserve">  GOSH</w:t>
      </w:r>
      <w:r w:rsidR="008455F8" w:rsidRPr="008E4844">
        <w:rPr>
          <w:rFonts w:ascii="Times New Roman" w:hAnsi="Times New Roman" w:cs="Times New Roman"/>
          <w:sz w:val="24"/>
          <w:szCs w:val="24"/>
        </w:rPr>
        <w:t>’s</w:t>
      </w:r>
      <w:r w:rsidR="007A7086" w:rsidRPr="008E4844">
        <w:rPr>
          <w:rFonts w:ascii="Times New Roman" w:hAnsi="Times New Roman" w:cs="Times New Roman"/>
          <w:sz w:val="24"/>
          <w:szCs w:val="24"/>
        </w:rPr>
        <w:t xml:space="preserve"> reputation and location </w:t>
      </w:r>
      <w:r w:rsidRPr="008E4844">
        <w:rPr>
          <w:rFonts w:ascii="Times New Roman" w:hAnsi="Times New Roman" w:cs="Times New Roman"/>
          <w:sz w:val="24"/>
          <w:szCs w:val="24"/>
        </w:rPr>
        <w:t xml:space="preserve">deliver advantages not available to most </w:t>
      </w:r>
      <w:r w:rsidR="007A7086" w:rsidRPr="008E4844">
        <w:rPr>
          <w:rFonts w:ascii="Times New Roman" w:hAnsi="Times New Roman" w:cs="Times New Roman"/>
          <w:sz w:val="24"/>
          <w:szCs w:val="24"/>
        </w:rPr>
        <w:t xml:space="preserve">NHS Trusts, </w:t>
      </w:r>
      <w:r w:rsidR="008455F8" w:rsidRPr="008E4844">
        <w:rPr>
          <w:rFonts w:ascii="Times New Roman" w:hAnsi="Times New Roman" w:cs="Times New Roman"/>
          <w:sz w:val="24"/>
          <w:szCs w:val="24"/>
        </w:rPr>
        <w:t xml:space="preserve">and the </w:t>
      </w:r>
      <w:r w:rsidR="007A7086" w:rsidRPr="008E4844">
        <w:rPr>
          <w:rFonts w:ascii="Times New Roman" w:hAnsi="Times New Roman" w:cs="Times New Roman"/>
          <w:sz w:val="24"/>
          <w:szCs w:val="24"/>
        </w:rPr>
        <w:t>spread of commercialisation is highly variegated</w:t>
      </w:r>
      <w:r w:rsidR="008455F8" w:rsidRPr="008E4844">
        <w:rPr>
          <w:rFonts w:ascii="Times New Roman" w:hAnsi="Times New Roman" w:cs="Times New Roman"/>
          <w:sz w:val="24"/>
          <w:szCs w:val="24"/>
        </w:rPr>
        <w:t xml:space="preserve"> across spec</w:t>
      </w:r>
      <w:r w:rsidR="00A45D76" w:rsidRPr="008E4844">
        <w:rPr>
          <w:rFonts w:ascii="Times New Roman" w:hAnsi="Times New Roman" w:cs="Times New Roman"/>
          <w:sz w:val="24"/>
          <w:szCs w:val="24"/>
        </w:rPr>
        <w:t>ialist services</w:t>
      </w:r>
      <w:r w:rsidR="007A7086" w:rsidRPr="008E4844">
        <w:rPr>
          <w:rFonts w:ascii="Times New Roman" w:hAnsi="Times New Roman" w:cs="Times New Roman"/>
          <w:sz w:val="24"/>
          <w:szCs w:val="24"/>
        </w:rPr>
        <w:t>.</w:t>
      </w:r>
      <w:r w:rsidR="00AC4B9B">
        <w:rPr>
          <w:rFonts w:ascii="Times New Roman" w:hAnsi="Times New Roman" w:cs="Times New Roman"/>
          <w:sz w:val="24"/>
          <w:szCs w:val="24"/>
        </w:rPr>
        <w:t xml:space="preserve"> Indeed, a grouping of London Specialist Hospitals</w:t>
      </w:r>
      <w:r w:rsidR="0069549C">
        <w:rPr>
          <w:rFonts w:ascii="Times New Roman" w:hAnsi="Times New Roman" w:cs="Times New Roman"/>
          <w:sz w:val="24"/>
          <w:szCs w:val="24"/>
        </w:rPr>
        <w:t xml:space="preserve">, all part of the NHS, partner to promote their specialist or single </w:t>
      </w:r>
      <w:r w:rsidR="0069549C">
        <w:rPr>
          <w:rFonts w:ascii="Times New Roman" w:hAnsi="Times New Roman" w:cs="Times New Roman"/>
          <w:sz w:val="24"/>
          <w:szCs w:val="24"/>
        </w:rPr>
        <w:lastRenderedPageBreak/>
        <w:t xml:space="preserve">speciality provision (cancer, heart and lung, orthopaedics, ophthalmology, and paediatrics) (see, </w:t>
      </w:r>
      <w:hyperlink r:id="rId8" w:history="1">
        <w:r w:rsidR="0069549C" w:rsidRPr="009118D6">
          <w:rPr>
            <w:rStyle w:val="Hyperlink"/>
            <w:rFonts w:ascii="Times New Roman" w:hAnsi="Times New Roman" w:cs="Times New Roman"/>
            <w:sz w:val="24"/>
            <w:szCs w:val="24"/>
          </w:rPr>
          <w:t>https://londonspecialisthospitals.com/</w:t>
        </w:r>
      </w:hyperlink>
      <w:r w:rsidR="0069549C">
        <w:rPr>
          <w:rFonts w:ascii="Times New Roman" w:hAnsi="Times New Roman" w:cs="Times New Roman"/>
          <w:sz w:val="24"/>
          <w:szCs w:val="24"/>
        </w:rPr>
        <w:t>).</w:t>
      </w:r>
    </w:p>
    <w:p w14:paraId="0B8134DF" w14:textId="77777777" w:rsidR="005E2006" w:rsidRPr="008E4844" w:rsidRDefault="005E2006" w:rsidP="00615E9D">
      <w:pPr>
        <w:spacing w:before="100" w:beforeAutospacing="1" w:after="100" w:afterAutospacing="1" w:line="360" w:lineRule="auto"/>
        <w:rPr>
          <w:rFonts w:ascii="Times New Roman" w:hAnsi="Times New Roman" w:cs="Times New Roman"/>
          <w:b/>
          <w:bCs/>
          <w:i/>
          <w:iCs/>
          <w:sz w:val="24"/>
          <w:szCs w:val="24"/>
        </w:rPr>
      </w:pPr>
    </w:p>
    <w:p w14:paraId="0711C3B2" w14:textId="1165DAA2" w:rsidR="00FD4312" w:rsidRPr="008E4844" w:rsidRDefault="0078429E" w:rsidP="00615E9D">
      <w:pPr>
        <w:spacing w:before="100" w:beforeAutospacing="1" w:after="100" w:afterAutospacing="1" w:line="360" w:lineRule="auto"/>
        <w:rPr>
          <w:rFonts w:ascii="Times New Roman" w:hAnsi="Times New Roman" w:cs="Times New Roman"/>
          <w:b/>
          <w:bCs/>
          <w:i/>
          <w:iCs/>
          <w:sz w:val="24"/>
          <w:szCs w:val="24"/>
        </w:rPr>
      </w:pPr>
      <w:r w:rsidRPr="008E4844">
        <w:rPr>
          <w:rFonts w:ascii="Times New Roman" w:hAnsi="Times New Roman" w:cs="Times New Roman"/>
          <w:b/>
          <w:bCs/>
          <w:i/>
          <w:iCs/>
          <w:sz w:val="24"/>
          <w:szCs w:val="24"/>
        </w:rPr>
        <w:t>R</w:t>
      </w:r>
      <w:r w:rsidR="007E12F4" w:rsidRPr="008E4844">
        <w:rPr>
          <w:rFonts w:ascii="Times New Roman" w:hAnsi="Times New Roman" w:cs="Times New Roman"/>
          <w:b/>
          <w:bCs/>
          <w:i/>
          <w:iCs/>
          <w:sz w:val="24"/>
          <w:szCs w:val="24"/>
        </w:rPr>
        <w:t>evenue</w:t>
      </w:r>
      <w:r w:rsidR="00B20824" w:rsidRPr="008E4844">
        <w:rPr>
          <w:rFonts w:ascii="Times New Roman" w:hAnsi="Times New Roman" w:cs="Times New Roman"/>
          <w:b/>
          <w:bCs/>
          <w:i/>
          <w:iCs/>
          <w:sz w:val="24"/>
          <w:szCs w:val="24"/>
        </w:rPr>
        <w:t xml:space="preserve"> streams in</w:t>
      </w:r>
      <w:r w:rsidR="00D466F1" w:rsidRPr="008E4844">
        <w:rPr>
          <w:rFonts w:ascii="Times New Roman" w:hAnsi="Times New Roman" w:cs="Times New Roman"/>
          <w:b/>
          <w:bCs/>
          <w:i/>
          <w:iCs/>
          <w:sz w:val="24"/>
          <w:szCs w:val="24"/>
        </w:rPr>
        <w:t xml:space="preserve"> international healthcare</w:t>
      </w:r>
    </w:p>
    <w:p w14:paraId="0C310C8D" w14:textId="692FD7DD" w:rsidR="00AA7445" w:rsidRPr="006930C4" w:rsidRDefault="00F8562D" w:rsidP="00A21017">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Generating </w:t>
      </w:r>
      <w:r w:rsidR="007A0CFA" w:rsidRPr="008E4844">
        <w:rPr>
          <w:rFonts w:ascii="Times New Roman" w:hAnsi="Times New Roman" w:cs="Times New Roman"/>
          <w:sz w:val="24"/>
          <w:szCs w:val="24"/>
        </w:rPr>
        <w:t xml:space="preserve">revenue from international activities </w:t>
      </w:r>
      <w:r w:rsidR="00AA7445">
        <w:rPr>
          <w:rFonts w:ascii="Times New Roman" w:hAnsi="Times New Roman" w:cs="Times New Roman"/>
          <w:sz w:val="24"/>
          <w:szCs w:val="24"/>
        </w:rPr>
        <w:t xml:space="preserve">carries </w:t>
      </w:r>
      <w:r w:rsidR="00190B3B" w:rsidRPr="008E4844">
        <w:rPr>
          <w:rFonts w:ascii="Times New Roman" w:hAnsi="Times New Roman" w:cs="Times New Roman"/>
          <w:sz w:val="24"/>
          <w:szCs w:val="24"/>
        </w:rPr>
        <w:t>risk and uncertainty</w:t>
      </w:r>
      <w:r w:rsidR="00F93BD9" w:rsidRPr="008E4844">
        <w:rPr>
          <w:rFonts w:ascii="Times New Roman" w:hAnsi="Times New Roman" w:cs="Times New Roman"/>
          <w:sz w:val="24"/>
          <w:szCs w:val="24"/>
        </w:rPr>
        <w:t xml:space="preserve"> </w:t>
      </w:r>
      <w:r w:rsidR="00AA7445">
        <w:rPr>
          <w:rFonts w:ascii="Times New Roman" w:hAnsi="Times New Roman" w:cs="Times New Roman"/>
          <w:sz w:val="24"/>
          <w:szCs w:val="24"/>
        </w:rPr>
        <w:t>that must be</w:t>
      </w:r>
      <w:r w:rsidR="00F93BD9" w:rsidRPr="008E4844">
        <w:rPr>
          <w:rFonts w:ascii="Times New Roman" w:hAnsi="Times New Roman" w:cs="Times New Roman"/>
          <w:sz w:val="24"/>
          <w:szCs w:val="24"/>
        </w:rPr>
        <w:t xml:space="preserve"> appropriately managed</w:t>
      </w:r>
      <w:r w:rsidR="00190B3B" w:rsidRPr="008E4844">
        <w:rPr>
          <w:rFonts w:ascii="Times New Roman" w:hAnsi="Times New Roman" w:cs="Times New Roman"/>
          <w:sz w:val="24"/>
          <w:szCs w:val="24"/>
        </w:rPr>
        <w:t>.</w:t>
      </w:r>
      <w:r w:rsidRPr="008E4844">
        <w:rPr>
          <w:rFonts w:ascii="Times New Roman" w:hAnsi="Times New Roman" w:cs="Times New Roman"/>
          <w:sz w:val="24"/>
          <w:szCs w:val="24"/>
        </w:rPr>
        <w:t xml:space="preserve">  The </w:t>
      </w:r>
      <w:r w:rsidR="00AA7445">
        <w:rPr>
          <w:rFonts w:ascii="Times New Roman" w:hAnsi="Times New Roman" w:cs="Times New Roman"/>
          <w:sz w:val="24"/>
          <w:szCs w:val="24"/>
        </w:rPr>
        <w:t>T</w:t>
      </w:r>
      <w:r w:rsidRPr="008E4844">
        <w:rPr>
          <w:rFonts w:ascii="Times New Roman" w:hAnsi="Times New Roman" w:cs="Times New Roman"/>
          <w:sz w:val="24"/>
          <w:szCs w:val="24"/>
        </w:rPr>
        <w:t xml:space="preserve">rust </w:t>
      </w:r>
      <w:r w:rsidR="00F93BD9" w:rsidRPr="008E4844">
        <w:rPr>
          <w:rFonts w:ascii="Times New Roman" w:hAnsi="Times New Roman" w:cs="Times New Roman"/>
          <w:sz w:val="24"/>
          <w:szCs w:val="24"/>
        </w:rPr>
        <w:t>undertakes</w:t>
      </w:r>
      <w:r w:rsidRPr="008E4844">
        <w:rPr>
          <w:rFonts w:ascii="Times New Roman" w:hAnsi="Times New Roman" w:cs="Times New Roman"/>
          <w:sz w:val="24"/>
          <w:szCs w:val="24"/>
        </w:rPr>
        <w:t xml:space="preserve"> significant amounts of work for governments including Qatar and Kuwait, routed through the countries’ London embassies.  Typically, international income </w:t>
      </w:r>
      <w:r w:rsidR="00963373" w:rsidRPr="008E4844">
        <w:rPr>
          <w:rFonts w:ascii="Times New Roman" w:hAnsi="Times New Roman" w:cs="Times New Roman"/>
          <w:sz w:val="24"/>
          <w:szCs w:val="24"/>
        </w:rPr>
        <w:t>is</w:t>
      </w:r>
      <w:r w:rsidRPr="008E4844">
        <w:rPr>
          <w:rFonts w:ascii="Times New Roman" w:hAnsi="Times New Roman" w:cs="Times New Roman"/>
          <w:sz w:val="24"/>
          <w:szCs w:val="24"/>
        </w:rPr>
        <w:t xml:space="preserve"> not subject to contracts – unlike more continuous core NHS income</w:t>
      </w:r>
      <w:r w:rsidR="00EF2F45" w:rsidRPr="008E4844">
        <w:rPr>
          <w:rFonts w:ascii="Times New Roman" w:hAnsi="Times New Roman" w:cs="Times New Roman"/>
          <w:sz w:val="24"/>
          <w:szCs w:val="24"/>
        </w:rPr>
        <w:t xml:space="preserve"> and so activity may be more volatile.  </w:t>
      </w:r>
      <w:r w:rsidR="0082132A" w:rsidRPr="008E4844">
        <w:rPr>
          <w:rFonts w:ascii="Times New Roman" w:hAnsi="Times New Roman" w:cs="Times New Roman"/>
          <w:sz w:val="24"/>
          <w:szCs w:val="24"/>
        </w:rPr>
        <w:t>I</w:t>
      </w:r>
      <w:r w:rsidRPr="008E4844">
        <w:rPr>
          <w:rFonts w:ascii="Times New Roman" w:hAnsi="Times New Roman" w:cs="Times New Roman"/>
          <w:sz w:val="24"/>
          <w:szCs w:val="24"/>
        </w:rPr>
        <w:t xml:space="preserve">n 2019 marketing roadshows </w:t>
      </w:r>
      <w:r w:rsidR="00963373" w:rsidRPr="008E4844">
        <w:rPr>
          <w:rFonts w:ascii="Times New Roman" w:hAnsi="Times New Roman" w:cs="Times New Roman"/>
          <w:sz w:val="24"/>
          <w:szCs w:val="24"/>
        </w:rPr>
        <w:t>were mooted for</w:t>
      </w:r>
      <w:r w:rsidRPr="008E4844">
        <w:rPr>
          <w:rFonts w:ascii="Times New Roman" w:hAnsi="Times New Roman" w:cs="Times New Roman"/>
          <w:sz w:val="24"/>
          <w:szCs w:val="24"/>
        </w:rPr>
        <w:t xml:space="preserve"> Russia, China and India</w:t>
      </w:r>
      <w:r w:rsidR="00D846FC" w:rsidRPr="008E4844">
        <w:rPr>
          <w:rFonts w:ascii="Times New Roman" w:hAnsi="Times New Roman" w:cs="Times New Roman"/>
          <w:sz w:val="24"/>
          <w:szCs w:val="24"/>
        </w:rPr>
        <w:t xml:space="preserve"> </w:t>
      </w:r>
      <w:r w:rsidR="003F326F" w:rsidRPr="008E4844">
        <w:rPr>
          <w:rFonts w:ascii="Times New Roman" w:hAnsi="Times New Roman" w:cs="Times New Roman"/>
          <w:sz w:val="24"/>
          <w:szCs w:val="24"/>
        </w:rPr>
        <w:t xml:space="preserve">and </w:t>
      </w:r>
      <w:r w:rsidR="00F93BD9" w:rsidRPr="008E4844">
        <w:rPr>
          <w:rFonts w:ascii="Times New Roman" w:hAnsi="Times New Roman" w:cs="Times New Roman"/>
          <w:sz w:val="24"/>
          <w:szCs w:val="24"/>
        </w:rPr>
        <w:t xml:space="preserve">with </w:t>
      </w:r>
      <w:r w:rsidR="003F326F" w:rsidRPr="008E4844">
        <w:rPr>
          <w:rFonts w:ascii="Times New Roman" w:hAnsi="Times New Roman" w:cs="Times New Roman"/>
          <w:sz w:val="24"/>
          <w:szCs w:val="24"/>
        </w:rPr>
        <w:t xml:space="preserve">hindsight </w:t>
      </w:r>
      <w:r w:rsidR="00D846FC" w:rsidRPr="008E4844">
        <w:rPr>
          <w:rFonts w:ascii="Times New Roman" w:hAnsi="Times New Roman" w:cs="Times New Roman"/>
          <w:sz w:val="24"/>
          <w:szCs w:val="24"/>
        </w:rPr>
        <w:t>the</w:t>
      </w:r>
      <w:r w:rsidR="0082132A" w:rsidRPr="008E4844">
        <w:rPr>
          <w:rFonts w:ascii="Times New Roman" w:hAnsi="Times New Roman" w:cs="Times New Roman"/>
          <w:sz w:val="24"/>
          <w:szCs w:val="24"/>
        </w:rPr>
        <w:t xml:space="preserve"> </w:t>
      </w:r>
      <w:r w:rsidR="00D83001" w:rsidRPr="008E4844">
        <w:rPr>
          <w:rFonts w:ascii="Times New Roman" w:hAnsi="Times New Roman" w:cs="Times New Roman"/>
          <w:sz w:val="24"/>
          <w:szCs w:val="24"/>
        </w:rPr>
        <w:t xml:space="preserve">unpredictability of </w:t>
      </w:r>
      <w:r w:rsidR="0082132A" w:rsidRPr="008E4844">
        <w:rPr>
          <w:rFonts w:ascii="Times New Roman" w:hAnsi="Times New Roman" w:cs="Times New Roman"/>
          <w:sz w:val="24"/>
          <w:szCs w:val="24"/>
        </w:rPr>
        <w:t>geo-politics and trade relations</w:t>
      </w:r>
      <w:r w:rsidR="003F326F" w:rsidRPr="008E4844">
        <w:rPr>
          <w:rFonts w:ascii="Times New Roman" w:hAnsi="Times New Roman" w:cs="Times New Roman"/>
          <w:sz w:val="24"/>
          <w:szCs w:val="24"/>
        </w:rPr>
        <w:t xml:space="preserve"> for</w:t>
      </w:r>
      <w:r w:rsidR="00D846FC" w:rsidRPr="008E4844">
        <w:rPr>
          <w:rFonts w:ascii="Times New Roman" w:hAnsi="Times New Roman" w:cs="Times New Roman"/>
          <w:sz w:val="24"/>
          <w:szCs w:val="24"/>
        </w:rPr>
        <w:t xml:space="preserve"> such planning</w:t>
      </w:r>
      <w:r w:rsidR="00F93BD9" w:rsidRPr="008E4844">
        <w:rPr>
          <w:rFonts w:ascii="Times New Roman" w:hAnsi="Times New Roman" w:cs="Times New Roman"/>
          <w:sz w:val="24"/>
          <w:szCs w:val="24"/>
        </w:rPr>
        <w:t xml:space="preserve"> </w:t>
      </w:r>
      <w:r w:rsidR="00AA7445">
        <w:rPr>
          <w:rFonts w:ascii="Times New Roman" w:hAnsi="Times New Roman" w:cs="Times New Roman"/>
          <w:sz w:val="24"/>
          <w:szCs w:val="24"/>
        </w:rPr>
        <w:t>is</w:t>
      </w:r>
      <w:r w:rsidR="00F93BD9" w:rsidRPr="008E4844">
        <w:rPr>
          <w:rFonts w:ascii="Times New Roman" w:hAnsi="Times New Roman" w:cs="Times New Roman"/>
          <w:sz w:val="24"/>
          <w:szCs w:val="24"/>
        </w:rPr>
        <w:t xml:space="preserve"> clear</w:t>
      </w:r>
      <w:r w:rsidR="00D83001" w:rsidRPr="008E4844">
        <w:rPr>
          <w:rFonts w:ascii="Times New Roman" w:hAnsi="Times New Roman" w:cs="Times New Roman"/>
          <w:sz w:val="24"/>
          <w:szCs w:val="24"/>
        </w:rPr>
        <w:t xml:space="preserve">.  </w:t>
      </w:r>
      <w:r w:rsidR="00D846FC" w:rsidRPr="008E4844">
        <w:rPr>
          <w:rFonts w:ascii="Times New Roman" w:hAnsi="Times New Roman" w:cs="Times New Roman"/>
          <w:sz w:val="24"/>
          <w:szCs w:val="24"/>
        </w:rPr>
        <w:t>H</w:t>
      </w:r>
      <w:r w:rsidR="002D5D05" w:rsidRPr="008E4844">
        <w:rPr>
          <w:rFonts w:ascii="Times New Roman" w:hAnsi="Times New Roman" w:cs="Times New Roman"/>
          <w:sz w:val="24"/>
          <w:szCs w:val="24"/>
        </w:rPr>
        <w:t>igh-income</w:t>
      </w:r>
      <w:r w:rsidR="004D78D2" w:rsidRPr="008E4844">
        <w:rPr>
          <w:rFonts w:ascii="Times New Roman" w:hAnsi="Times New Roman" w:cs="Times New Roman"/>
          <w:sz w:val="24"/>
          <w:szCs w:val="24"/>
        </w:rPr>
        <w:t xml:space="preserve"> activity is p</w:t>
      </w:r>
      <w:r w:rsidR="00190B3B" w:rsidRPr="008E4844">
        <w:rPr>
          <w:rFonts w:ascii="Times New Roman" w:hAnsi="Times New Roman" w:cs="Times New Roman"/>
          <w:sz w:val="24"/>
          <w:szCs w:val="24"/>
        </w:rPr>
        <w:t>redominantly embassy</w:t>
      </w:r>
      <w:r w:rsidR="004D78D2" w:rsidRPr="008E4844">
        <w:rPr>
          <w:rFonts w:ascii="Times New Roman" w:hAnsi="Times New Roman" w:cs="Times New Roman"/>
          <w:sz w:val="24"/>
          <w:szCs w:val="24"/>
        </w:rPr>
        <w:t xml:space="preserve">-driven and large debts may </w:t>
      </w:r>
      <w:r w:rsidR="00D846FC" w:rsidRPr="008E4844">
        <w:rPr>
          <w:rFonts w:ascii="Times New Roman" w:hAnsi="Times New Roman" w:cs="Times New Roman"/>
          <w:sz w:val="24"/>
          <w:szCs w:val="24"/>
        </w:rPr>
        <w:t xml:space="preserve">still </w:t>
      </w:r>
      <w:r w:rsidR="004D78D2" w:rsidRPr="008E4844">
        <w:rPr>
          <w:rFonts w:ascii="Times New Roman" w:hAnsi="Times New Roman" w:cs="Times New Roman"/>
          <w:sz w:val="24"/>
          <w:szCs w:val="24"/>
        </w:rPr>
        <w:t>be run up.  By 2017, GOSH was owed £30</w:t>
      </w:r>
      <w:r w:rsidRPr="008E4844">
        <w:rPr>
          <w:rFonts w:ascii="Times New Roman" w:hAnsi="Times New Roman" w:cs="Times New Roman"/>
          <w:sz w:val="24"/>
          <w:szCs w:val="24"/>
        </w:rPr>
        <w:t>million</w:t>
      </w:r>
      <w:r w:rsidR="004D78D2" w:rsidRPr="008E4844">
        <w:rPr>
          <w:rFonts w:ascii="Times New Roman" w:hAnsi="Times New Roman" w:cs="Times New Roman"/>
          <w:sz w:val="24"/>
          <w:szCs w:val="24"/>
        </w:rPr>
        <w:t xml:space="preserve"> by private patients (Clover 2017)</w:t>
      </w:r>
      <w:r w:rsidR="00EB6A9B" w:rsidRPr="008E4844">
        <w:rPr>
          <w:rFonts w:ascii="Times New Roman" w:hAnsi="Times New Roman" w:cs="Times New Roman"/>
          <w:sz w:val="24"/>
          <w:szCs w:val="24"/>
        </w:rPr>
        <w:t xml:space="preserve">, and </w:t>
      </w:r>
      <w:r w:rsidRPr="008E4844">
        <w:rPr>
          <w:rFonts w:ascii="Times New Roman" w:hAnsi="Times New Roman" w:cs="Times New Roman"/>
          <w:sz w:val="24"/>
          <w:szCs w:val="24"/>
        </w:rPr>
        <w:t xml:space="preserve">there was </w:t>
      </w:r>
      <w:r w:rsidR="00EB6A9B" w:rsidRPr="008E4844">
        <w:rPr>
          <w:rFonts w:ascii="Times New Roman" w:hAnsi="Times New Roman" w:cs="Times New Roman"/>
          <w:sz w:val="24"/>
          <w:szCs w:val="24"/>
        </w:rPr>
        <w:t xml:space="preserve">legal action in 2019 against Libya to recoup </w:t>
      </w:r>
      <w:r w:rsidR="003735BE" w:rsidRPr="008E4844">
        <w:rPr>
          <w:rFonts w:ascii="Times New Roman" w:hAnsi="Times New Roman" w:cs="Times New Roman"/>
          <w:sz w:val="24"/>
          <w:szCs w:val="24"/>
        </w:rPr>
        <w:t xml:space="preserve">up to £46million </w:t>
      </w:r>
      <w:r w:rsidR="00EB6A9B" w:rsidRPr="008E4844">
        <w:rPr>
          <w:rFonts w:ascii="Times New Roman" w:hAnsi="Times New Roman" w:cs="Times New Roman"/>
          <w:sz w:val="24"/>
          <w:szCs w:val="24"/>
        </w:rPr>
        <w:t xml:space="preserve">that was owed. </w:t>
      </w:r>
      <w:r w:rsidR="00FA082A" w:rsidRPr="008E4844">
        <w:rPr>
          <w:rFonts w:ascii="Times New Roman" w:hAnsi="Times New Roman" w:cs="Times New Roman"/>
          <w:sz w:val="24"/>
          <w:szCs w:val="24"/>
        </w:rPr>
        <w:t xml:space="preserve"> </w:t>
      </w:r>
      <w:r w:rsidR="00D83001" w:rsidRPr="008E4844">
        <w:rPr>
          <w:rFonts w:ascii="Times New Roman" w:hAnsi="Times New Roman" w:cs="Times New Roman"/>
          <w:sz w:val="24"/>
          <w:szCs w:val="24"/>
        </w:rPr>
        <w:t xml:space="preserve"> </w:t>
      </w:r>
      <w:r w:rsidR="00FA082A" w:rsidRPr="008E4844">
        <w:rPr>
          <w:rFonts w:ascii="Times New Roman" w:hAnsi="Times New Roman" w:cs="Times New Roman"/>
          <w:sz w:val="24"/>
          <w:szCs w:val="24"/>
        </w:rPr>
        <w:t>C</w:t>
      </w:r>
      <w:r w:rsidR="00AA7445">
        <w:rPr>
          <w:rFonts w:ascii="Times New Roman" w:hAnsi="Times New Roman" w:cs="Times New Roman"/>
          <w:sz w:val="24"/>
          <w:szCs w:val="24"/>
        </w:rPr>
        <w:t>ovid</w:t>
      </w:r>
      <w:r w:rsidR="00FA082A" w:rsidRPr="008E4844">
        <w:rPr>
          <w:rFonts w:ascii="Times New Roman" w:hAnsi="Times New Roman" w:cs="Times New Roman"/>
          <w:sz w:val="24"/>
          <w:szCs w:val="24"/>
        </w:rPr>
        <w:t xml:space="preserve">-19 </w:t>
      </w:r>
      <w:r w:rsidR="00D846FC" w:rsidRPr="008E4844">
        <w:rPr>
          <w:rFonts w:ascii="Times New Roman" w:hAnsi="Times New Roman" w:cs="Times New Roman"/>
          <w:sz w:val="24"/>
          <w:szCs w:val="24"/>
        </w:rPr>
        <w:t xml:space="preserve">travel restrictions </w:t>
      </w:r>
      <w:r w:rsidR="00FA082A" w:rsidRPr="008E4844">
        <w:rPr>
          <w:rFonts w:ascii="Times New Roman" w:hAnsi="Times New Roman" w:cs="Times New Roman"/>
          <w:sz w:val="24"/>
          <w:szCs w:val="24"/>
        </w:rPr>
        <w:t>impacted private income and during 2020-21</w:t>
      </w:r>
      <w:r w:rsidR="00D846FC" w:rsidRPr="008E4844">
        <w:rPr>
          <w:rFonts w:ascii="Times New Roman" w:hAnsi="Times New Roman" w:cs="Times New Roman"/>
          <w:sz w:val="24"/>
          <w:szCs w:val="24"/>
        </w:rPr>
        <w:t xml:space="preserve"> income</w:t>
      </w:r>
      <w:r w:rsidR="00EB6A9B" w:rsidRPr="008E4844">
        <w:rPr>
          <w:rFonts w:ascii="Times New Roman" w:hAnsi="Times New Roman" w:cs="Times New Roman"/>
          <w:sz w:val="24"/>
          <w:szCs w:val="24"/>
        </w:rPr>
        <w:t xml:space="preserve"> fell </w:t>
      </w:r>
      <w:r w:rsidR="00FA082A" w:rsidRPr="008E4844">
        <w:rPr>
          <w:rFonts w:ascii="Times New Roman" w:hAnsi="Times New Roman" w:cs="Times New Roman"/>
          <w:sz w:val="24"/>
          <w:szCs w:val="24"/>
        </w:rPr>
        <w:t>to £37m</w:t>
      </w:r>
      <w:r w:rsidR="00D846FC" w:rsidRPr="008E4844">
        <w:rPr>
          <w:rFonts w:ascii="Times New Roman" w:hAnsi="Times New Roman" w:cs="Times New Roman"/>
          <w:sz w:val="24"/>
          <w:szCs w:val="24"/>
        </w:rPr>
        <w:t>illion</w:t>
      </w:r>
      <w:r w:rsidR="00FA082A" w:rsidRPr="008E4844">
        <w:rPr>
          <w:rFonts w:ascii="Times New Roman" w:hAnsi="Times New Roman" w:cs="Times New Roman"/>
          <w:sz w:val="24"/>
          <w:szCs w:val="24"/>
        </w:rPr>
        <w:t>, down from £65m</w:t>
      </w:r>
      <w:r w:rsidR="00D846FC" w:rsidRPr="008E4844">
        <w:rPr>
          <w:rFonts w:ascii="Times New Roman" w:hAnsi="Times New Roman" w:cs="Times New Roman"/>
          <w:sz w:val="24"/>
          <w:szCs w:val="24"/>
        </w:rPr>
        <w:t>illion</w:t>
      </w:r>
      <w:r w:rsidR="00FA082A" w:rsidRPr="008E4844">
        <w:rPr>
          <w:rFonts w:ascii="Times New Roman" w:hAnsi="Times New Roman" w:cs="Times New Roman"/>
          <w:sz w:val="24"/>
          <w:szCs w:val="24"/>
        </w:rPr>
        <w:t xml:space="preserve"> the previous year.  </w:t>
      </w:r>
      <w:r w:rsidR="0048679D" w:rsidRPr="008E4844">
        <w:rPr>
          <w:rFonts w:ascii="Times New Roman" w:hAnsi="Times New Roman" w:cs="Times New Roman"/>
          <w:sz w:val="24"/>
          <w:szCs w:val="24"/>
        </w:rPr>
        <w:t>The 2022</w:t>
      </w:r>
      <w:r w:rsidR="003F326F" w:rsidRPr="008E4844">
        <w:rPr>
          <w:rFonts w:ascii="Times New Roman" w:hAnsi="Times New Roman" w:cs="Times New Roman"/>
          <w:sz w:val="24"/>
          <w:szCs w:val="24"/>
        </w:rPr>
        <w:t>-</w:t>
      </w:r>
      <w:r w:rsidR="0048679D" w:rsidRPr="008E4844">
        <w:rPr>
          <w:rFonts w:ascii="Times New Roman" w:hAnsi="Times New Roman" w:cs="Times New Roman"/>
          <w:sz w:val="24"/>
          <w:szCs w:val="24"/>
        </w:rPr>
        <w:t>23 Annual report</w:t>
      </w:r>
      <w:r w:rsidR="0069549C">
        <w:rPr>
          <w:rFonts w:ascii="Times New Roman" w:hAnsi="Times New Roman" w:cs="Times New Roman"/>
          <w:sz w:val="24"/>
          <w:szCs w:val="24"/>
        </w:rPr>
        <w:t xml:space="preserve"> and accounts</w:t>
      </w:r>
      <w:r w:rsidR="00817320" w:rsidRPr="008E4844">
        <w:rPr>
          <w:rFonts w:ascii="Times New Roman" w:hAnsi="Times New Roman" w:cs="Times New Roman"/>
          <w:sz w:val="24"/>
          <w:szCs w:val="24"/>
        </w:rPr>
        <w:t xml:space="preserve"> is candid in its assess</w:t>
      </w:r>
      <w:r w:rsidR="000645E2" w:rsidRPr="008E4844">
        <w:rPr>
          <w:rFonts w:ascii="Times New Roman" w:hAnsi="Times New Roman" w:cs="Times New Roman"/>
          <w:sz w:val="24"/>
          <w:szCs w:val="24"/>
        </w:rPr>
        <w:t>ment</w:t>
      </w:r>
      <w:r w:rsidR="00817320" w:rsidRPr="008E4844">
        <w:rPr>
          <w:rFonts w:ascii="Times New Roman" w:hAnsi="Times New Roman" w:cs="Times New Roman"/>
          <w:sz w:val="24"/>
          <w:szCs w:val="24"/>
        </w:rPr>
        <w:t>:</w:t>
      </w:r>
    </w:p>
    <w:p w14:paraId="3B8F6EF0" w14:textId="404ADADB" w:rsidR="00AA7445" w:rsidRPr="00AA7445" w:rsidRDefault="00AA7445" w:rsidP="00AA7445">
      <w:pPr>
        <w:spacing w:before="100" w:beforeAutospacing="1" w:after="100" w:afterAutospacing="1" w:line="360" w:lineRule="auto"/>
        <w:ind w:left="720"/>
        <w:rPr>
          <w:rFonts w:ascii="Times New Roman" w:hAnsi="Times New Roman" w:cs="Times New Roman"/>
          <w:sz w:val="24"/>
          <w:szCs w:val="24"/>
        </w:rPr>
      </w:pPr>
      <w:r w:rsidRPr="00AA7445">
        <w:rPr>
          <w:rFonts w:ascii="Times New Roman" w:hAnsi="Times New Roman" w:cs="Times New Roman"/>
          <w:sz w:val="24"/>
          <w:szCs w:val="24"/>
        </w:rPr>
        <w:t xml:space="preserve">“Global events have had a detrimental impact on the level of private income we receive through I&amp;PC. A recovery plan is in place. The Trust has both a Commercial and a Clinical Innovation Director who are focused on developing relationships with partner organisations across the world and leveraging resources/income for the Trust. They will ensure intellectual property arrangements are in place and are working closely with I&amp;PC to re-establish its position </w:t>
      </w:r>
      <w:r w:rsidRPr="00AA7445">
        <w:rPr>
          <w:rFonts w:ascii="Times New Roman" w:hAnsi="Times New Roman" w:cs="Times New Roman"/>
          <w:sz w:val="24"/>
          <w:szCs w:val="24"/>
          <w:u w:val="single"/>
        </w:rPr>
        <w:t>in the market</w:t>
      </w:r>
      <w:r w:rsidRPr="00AA7445">
        <w:rPr>
          <w:rFonts w:ascii="Times New Roman" w:hAnsi="Times New Roman" w:cs="Times New Roman"/>
          <w:sz w:val="24"/>
          <w:szCs w:val="24"/>
        </w:rPr>
        <w:t xml:space="preserve"> after the Covid-19 pandemic.” (</w:t>
      </w:r>
      <w:r>
        <w:rPr>
          <w:rFonts w:ascii="Times New Roman" w:hAnsi="Times New Roman" w:cs="Times New Roman"/>
          <w:sz w:val="24"/>
          <w:szCs w:val="24"/>
        </w:rPr>
        <w:t xml:space="preserve">150, </w:t>
      </w:r>
      <w:r w:rsidRPr="00AA7445">
        <w:rPr>
          <w:rFonts w:ascii="Times New Roman" w:hAnsi="Times New Roman" w:cs="Times New Roman"/>
          <w:sz w:val="24"/>
          <w:szCs w:val="24"/>
        </w:rPr>
        <w:t>emphasis added)</w:t>
      </w:r>
    </w:p>
    <w:p w14:paraId="37260C4F" w14:textId="4B426139" w:rsidR="00FA082A" w:rsidRPr="008E4844" w:rsidRDefault="00E265F0"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GOSH </w:t>
      </w:r>
      <w:r w:rsidR="007157F9" w:rsidRPr="008E4844">
        <w:rPr>
          <w:rFonts w:ascii="Times New Roman" w:hAnsi="Times New Roman" w:cs="Times New Roman"/>
          <w:sz w:val="24"/>
          <w:szCs w:val="24"/>
        </w:rPr>
        <w:t xml:space="preserve">documents </w:t>
      </w:r>
      <w:r w:rsidRPr="008E4844">
        <w:rPr>
          <w:rFonts w:ascii="Times New Roman" w:hAnsi="Times New Roman" w:cs="Times New Roman"/>
          <w:sz w:val="24"/>
          <w:szCs w:val="24"/>
        </w:rPr>
        <w:t>include</w:t>
      </w:r>
      <w:r w:rsidR="00D846FC"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statements about the importance </w:t>
      </w:r>
      <w:r w:rsidR="00D070E7" w:rsidRPr="008E4844">
        <w:rPr>
          <w:rFonts w:ascii="Times New Roman" w:hAnsi="Times New Roman" w:cs="Times New Roman"/>
          <w:sz w:val="24"/>
          <w:szCs w:val="24"/>
        </w:rPr>
        <w:t xml:space="preserve">and use </w:t>
      </w:r>
      <w:r w:rsidRPr="008E4844">
        <w:rPr>
          <w:rFonts w:ascii="Times New Roman" w:hAnsi="Times New Roman" w:cs="Times New Roman"/>
          <w:sz w:val="24"/>
          <w:szCs w:val="24"/>
        </w:rPr>
        <w:t xml:space="preserve">of </w:t>
      </w:r>
      <w:r w:rsidR="00D070E7" w:rsidRPr="008E4844">
        <w:rPr>
          <w:rFonts w:ascii="Times New Roman" w:hAnsi="Times New Roman" w:cs="Times New Roman"/>
          <w:sz w:val="24"/>
          <w:szCs w:val="24"/>
        </w:rPr>
        <w:t xml:space="preserve">international and </w:t>
      </w:r>
      <w:r w:rsidRPr="008E4844">
        <w:rPr>
          <w:rFonts w:ascii="Times New Roman" w:hAnsi="Times New Roman" w:cs="Times New Roman"/>
          <w:sz w:val="24"/>
          <w:szCs w:val="24"/>
        </w:rPr>
        <w:t xml:space="preserve">private income, in effect seeking to </w:t>
      </w:r>
      <w:r w:rsidR="00D070E7" w:rsidRPr="008E4844">
        <w:rPr>
          <w:rFonts w:ascii="Times New Roman" w:hAnsi="Times New Roman" w:cs="Times New Roman"/>
          <w:sz w:val="24"/>
          <w:szCs w:val="24"/>
        </w:rPr>
        <w:t xml:space="preserve">manage perceptions of </w:t>
      </w:r>
      <w:r w:rsidR="00FA2AD4" w:rsidRPr="008E4844">
        <w:rPr>
          <w:rFonts w:ascii="Times New Roman" w:hAnsi="Times New Roman" w:cs="Times New Roman"/>
          <w:sz w:val="24"/>
          <w:szCs w:val="24"/>
        </w:rPr>
        <w:t>internal and external stakeholders</w:t>
      </w:r>
      <w:r w:rsidR="00D846FC" w:rsidRPr="008E4844">
        <w:rPr>
          <w:rFonts w:ascii="Times New Roman" w:hAnsi="Times New Roman" w:cs="Times New Roman"/>
          <w:sz w:val="24"/>
          <w:szCs w:val="24"/>
        </w:rPr>
        <w:t xml:space="preserve"> concerning private activities and benefits</w:t>
      </w:r>
      <w:r w:rsidR="00FA2AD4" w:rsidRPr="008E4844">
        <w:rPr>
          <w:rFonts w:ascii="Times New Roman" w:hAnsi="Times New Roman" w:cs="Times New Roman"/>
          <w:sz w:val="24"/>
          <w:szCs w:val="24"/>
        </w:rPr>
        <w:t>.</w:t>
      </w:r>
      <w:r w:rsidR="0093602B" w:rsidRPr="008E4844">
        <w:rPr>
          <w:rFonts w:ascii="Times New Roman" w:hAnsi="Times New Roman" w:cs="Times New Roman"/>
          <w:sz w:val="24"/>
          <w:szCs w:val="24"/>
        </w:rPr>
        <w:t xml:space="preserve">  </w:t>
      </w:r>
      <w:r w:rsidR="00C6569B" w:rsidRPr="008E4844">
        <w:rPr>
          <w:rFonts w:ascii="Times New Roman" w:hAnsi="Times New Roman" w:cs="Times New Roman"/>
          <w:sz w:val="24"/>
          <w:szCs w:val="24"/>
        </w:rPr>
        <w:t xml:space="preserve">The precise contribution (profit margins on such activity) </w:t>
      </w:r>
      <w:r w:rsidR="003F326F" w:rsidRPr="008E4844">
        <w:rPr>
          <w:rFonts w:ascii="Times New Roman" w:hAnsi="Times New Roman" w:cs="Times New Roman"/>
          <w:sz w:val="24"/>
          <w:szCs w:val="24"/>
        </w:rPr>
        <w:t>is less clear</w:t>
      </w:r>
      <w:r w:rsidR="00C6569B" w:rsidRPr="008E4844">
        <w:rPr>
          <w:rFonts w:ascii="Times New Roman" w:hAnsi="Times New Roman" w:cs="Times New Roman"/>
          <w:sz w:val="24"/>
          <w:szCs w:val="24"/>
        </w:rPr>
        <w:t>:</w:t>
      </w:r>
    </w:p>
    <w:p w14:paraId="16D64565" w14:textId="3965E3CB" w:rsidR="003F326F" w:rsidRPr="008E4844" w:rsidRDefault="00440602" w:rsidP="00A21017">
      <w:pPr>
        <w:spacing w:before="100" w:beforeAutospacing="1" w:after="100" w:afterAutospacing="1" w:line="360" w:lineRule="auto"/>
        <w:ind w:left="720"/>
        <w:rPr>
          <w:rFonts w:ascii="Times New Roman" w:hAnsi="Times New Roman" w:cs="Times New Roman"/>
          <w:b/>
          <w:sz w:val="24"/>
          <w:szCs w:val="24"/>
        </w:rPr>
      </w:pPr>
      <w:r w:rsidRPr="008E4844">
        <w:rPr>
          <w:rFonts w:ascii="Times New Roman" w:hAnsi="Times New Roman" w:cs="Times New Roman"/>
          <w:sz w:val="24"/>
          <w:szCs w:val="24"/>
        </w:rPr>
        <w:t>“</w:t>
      </w:r>
      <w:r w:rsidR="00404B38" w:rsidRPr="008E4844">
        <w:rPr>
          <w:rFonts w:ascii="Times New Roman" w:hAnsi="Times New Roman" w:cs="Times New Roman"/>
          <w:sz w:val="24"/>
          <w:szCs w:val="24"/>
        </w:rPr>
        <w:t>All income made from IPP work is reinvested into NHS Services. The Trust does not centrally hold the level of information requested</w:t>
      </w:r>
      <w:r w:rsidR="00CB1E2A" w:rsidRPr="008E4844">
        <w:rPr>
          <w:rFonts w:ascii="Times New Roman" w:hAnsi="Times New Roman" w:cs="Times New Roman"/>
          <w:sz w:val="24"/>
          <w:szCs w:val="24"/>
        </w:rPr>
        <w:t xml:space="preserve"> [profitability margins]</w:t>
      </w:r>
      <w:r w:rsidR="00404B38" w:rsidRPr="008E4844">
        <w:rPr>
          <w:rFonts w:ascii="Times New Roman" w:hAnsi="Times New Roman" w:cs="Times New Roman"/>
          <w:sz w:val="24"/>
          <w:szCs w:val="24"/>
        </w:rPr>
        <w:t xml:space="preserve">. We </w:t>
      </w:r>
      <w:proofErr w:type="gramStart"/>
      <w:r w:rsidR="00404B38" w:rsidRPr="008E4844">
        <w:rPr>
          <w:rFonts w:ascii="Times New Roman" w:hAnsi="Times New Roman" w:cs="Times New Roman"/>
          <w:sz w:val="24"/>
          <w:szCs w:val="24"/>
        </w:rPr>
        <w:t>have to</w:t>
      </w:r>
      <w:proofErr w:type="gramEnd"/>
      <w:r w:rsidR="00404B38" w:rsidRPr="008E4844">
        <w:rPr>
          <w:rFonts w:ascii="Times New Roman" w:hAnsi="Times New Roman" w:cs="Times New Roman"/>
          <w:sz w:val="24"/>
          <w:szCs w:val="24"/>
        </w:rPr>
        <w:t xml:space="preserve"> </w:t>
      </w:r>
      <w:r w:rsidR="00404B38" w:rsidRPr="008E4844">
        <w:rPr>
          <w:rFonts w:ascii="Times New Roman" w:hAnsi="Times New Roman" w:cs="Times New Roman"/>
          <w:sz w:val="24"/>
          <w:szCs w:val="24"/>
        </w:rPr>
        <w:lastRenderedPageBreak/>
        <w:t>bear in mind that profitability margins are not held in a verified format and would be subject to conjecture and outside the spirit of your request for information.</w:t>
      </w:r>
      <w:r w:rsidRPr="008E4844">
        <w:rPr>
          <w:rFonts w:ascii="Times New Roman" w:hAnsi="Times New Roman" w:cs="Times New Roman"/>
          <w:sz w:val="24"/>
          <w:szCs w:val="24"/>
        </w:rPr>
        <w:t>”</w:t>
      </w:r>
      <w:r w:rsidR="007C0E9F" w:rsidRPr="008E4844">
        <w:rPr>
          <w:sz w:val="24"/>
          <w:szCs w:val="24"/>
        </w:rPr>
        <w:t xml:space="preserve"> </w:t>
      </w:r>
      <w:r w:rsidR="007C0E9F" w:rsidRPr="008E4844">
        <w:rPr>
          <w:rFonts w:ascii="Times New Roman" w:hAnsi="Times New Roman" w:cs="Times New Roman"/>
          <w:sz w:val="24"/>
          <w:szCs w:val="24"/>
        </w:rPr>
        <w:t>(</w:t>
      </w:r>
      <w:r w:rsidR="00674AB4" w:rsidRPr="008E4844">
        <w:rPr>
          <w:rFonts w:ascii="Times New Roman" w:hAnsi="Times New Roman" w:cs="Times New Roman"/>
          <w:sz w:val="24"/>
          <w:szCs w:val="24"/>
        </w:rPr>
        <w:t xml:space="preserve">GOSH </w:t>
      </w:r>
      <w:r w:rsidR="007C0E9F" w:rsidRPr="008E4844">
        <w:rPr>
          <w:rFonts w:ascii="Times New Roman" w:hAnsi="Times New Roman" w:cs="Times New Roman"/>
          <w:sz w:val="24"/>
          <w:szCs w:val="24"/>
        </w:rPr>
        <w:t xml:space="preserve">FOI request 23 October 2019, FOIRQ5420).  </w:t>
      </w:r>
    </w:p>
    <w:p w14:paraId="795C2783" w14:textId="77777777" w:rsidR="00951CC0" w:rsidRDefault="00951CC0" w:rsidP="00615E9D">
      <w:pPr>
        <w:spacing w:before="100" w:beforeAutospacing="1" w:after="100" w:afterAutospacing="1" w:line="360" w:lineRule="auto"/>
        <w:rPr>
          <w:rFonts w:ascii="Times New Roman" w:hAnsi="Times New Roman" w:cs="Times New Roman"/>
          <w:b/>
          <w:sz w:val="24"/>
          <w:szCs w:val="24"/>
        </w:rPr>
      </w:pPr>
    </w:p>
    <w:p w14:paraId="6D484646" w14:textId="35CFA0E4" w:rsidR="00616FA9" w:rsidRPr="008E4844" w:rsidRDefault="000E4C9C" w:rsidP="00615E9D">
      <w:pPr>
        <w:spacing w:before="100" w:beforeAutospacing="1" w:after="100" w:afterAutospacing="1" w:line="360" w:lineRule="auto"/>
        <w:rPr>
          <w:rFonts w:ascii="Times New Roman" w:hAnsi="Times New Roman" w:cs="Times New Roman"/>
          <w:b/>
          <w:sz w:val="24"/>
          <w:szCs w:val="24"/>
        </w:rPr>
      </w:pPr>
      <w:r w:rsidRPr="008E4844">
        <w:rPr>
          <w:rFonts w:ascii="Times New Roman" w:hAnsi="Times New Roman" w:cs="Times New Roman"/>
          <w:b/>
          <w:sz w:val="24"/>
          <w:szCs w:val="24"/>
        </w:rPr>
        <w:t xml:space="preserve">Discussion </w:t>
      </w:r>
    </w:p>
    <w:p w14:paraId="65D12697" w14:textId="65125EF8" w:rsidR="00616FA9" w:rsidRPr="008E4844" w:rsidRDefault="00FA2AD4"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w:t>
      </w:r>
      <w:r w:rsidR="00146E8B" w:rsidRPr="008E4844">
        <w:rPr>
          <w:rFonts w:ascii="Times New Roman" w:hAnsi="Times New Roman" w:cs="Times New Roman"/>
          <w:sz w:val="24"/>
          <w:szCs w:val="24"/>
        </w:rPr>
        <w:t xml:space="preserve">reating international patients </w:t>
      </w:r>
      <w:r w:rsidR="00D846FC" w:rsidRPr="008E4844">
        <w:rPr>
          <w:rFonts w:ascii="Times New Roman" w:hAnsi="Times New Roman" w:cs="Times New Roman"/>
          <w:sz w:val="24"/>
          <w:szCs w:val="24"/>
        </w:rPr>
        <w:t xml:space="preserve">within the NHS </w:t>
      </w:r>
      <w:r w:rsidR="00146E8B" w:rsidRPr="008E4844">
        <w:rPr>
          <w:rFonts w:ascii="Times New Roman" w:hAnsi="Times New Roman" w:cs="Times New Roman"/>
          <w:sz w:val="24"/>
          <w:szCs w:val="24"/>
        </w:rPr>
        <w:t>is a</w:t>
      </w:r>
      <w:r w:rsidR="00440602" w:rsidRPr="008E4844">
        <w:rPr>
          <w:rFonts w:ascii="Times New Roman" w:hAnsi="Times New Roman" w:cs="Times New Roman"/>
          <w:sz w:val="24"/>
          <w:szCs w:val="24"/>
        </w:rPr>
        <w:t>n</w:t>
      </w:r>
      <w:r w:rsidR="00146E8B" w:rsidRPr="008E4844">
        <w:rPr>
          <w:rFonts w:ascii="Times New Roman" w:hAnsi="Times New Roman" w:cs="Times New Roman"/>
          <w:sz w:val="24"/>
          <w:szCs w:val="24"/>
        </w:rPr>
        <w:t xml:space="preserve"> example of </w:t>
      </w:r>
      <w:r w:rsidR="00DE202F" w:rsidRPr="008E4844">
        <w:rPr>
          <w:rFonts w:ascii="Times New Roman" w:hAnsi="Times New Roman" w:cs="Times New Roman"/>
          <w:sz w:val="24"/>
          <w:szCs w:val="24"/>
        </w:rPr>
        <w:t>public sector entrepreneurship</w:t>
      </w:r>
      <w:r w:rsidR="00146E8B" w:rsidRPr="008E4844">
        <w:rPr>
          <w:rFonts w:ascii="Times New Roman" w:hAnsi="Times New Roman" w:cs="Times New Roman"/>
          <w:sz w:val="24"/>
          <w:szCs w:val="24"/>
        </w:rPr>
        <w:t>. As</w:t>
      </w:r>
      <w:r w:rsidR="00C8712F" w:rsidRPr="008E4844">
        <w:rPr>
          <w:rFonts w:ascii="Times New Roman" w:hAnsi="Times New Roman" w:cs="Times New Roman"/>
          <w:sz w:val="24"/>
          <w:szCs w:val="24"/>
        </w:rPr>
        <w:t xml:space="preserve"> </w:t>
      </w:r>
      <w:r w:rsidR="00616FA9" w:rsidRPr="008E4844">
        <w:rPr>
          <w:rFonts w:ascii="Times New Roman" w:hAnsi="Times New Roman" w:cs="Times New Roman"/>
          <w:sz w:val="24"/>
          <w:szCs w:val="24"/>
        </w:rPr>
        <w:t xml:space="preserve">Currie </w:t>
      </w:r>
      <w:r w:rsidR="00616FA9" w:rsidRPr="008E4844">
        <w:rPr>
          <w:rFonts w:ascii="Times New Roman" w:hAnsi="Times New Roman" w:cs="Times New Roman"/>
          <w:iCs/>
          <w:sz w:val="24"/>
          <w:szCs w:val="24"/>
        </w:rPr>
        <w:t>et al</w:t>
      </w:r>
      <w:r w:rsidR="00BC5FEC" w:rsidRPr="008E4844">
        <w:rPr>
          <w:rFonts w:ascii="Times New Roman" w:hAnsi="Times New Roman" w:cs="Times New Roman"/>
          <w:sz w:val="24"/>
          <w:szCs w:val="24"/>
        </w:rPr>
        <w:t>.</w:t>
      </w:r>
      <w:r w:rsidR="00616FA9" w:rsidRPr="008E4844">
        <w:rPr>
          <w:rFonts w:ascii="Times New Roman" w:hAnsi="Times New Roman" w:cs="Times New Roman"/>
          <w:sz w:val="24"/>
          <w:szCs w:val="24"/>
        </w:rPr>
        <w:t xml:space="preserve"> (2008) suggest</w:t>
      </w:r>
      <w:r w:rsidR="00440602" w:rsidRPr="008E4844">
        <w:rPr>
          <w:rFonts w:ascii="Times New Roman" w:hAnsi="Times New Roman" w:cs="Times New Roman"/>
          <w:sz w:val="24"/>
          <w:szCs w:val="24"/>
        </w:rPr>
        <w:t xml:space="preserve">s </w:t>
      </w:r>
      <w:r w:rsidR="002F72E3" w:rsidRPr="008E4844">
        <w:rPr>
          <w:rFonts w:ascii="Times New Roman" w:hAnsi="Times New Roman" w:cs="Times New Roman"/>
          <w:sz w:val="24"/>
          <w:szCs w:val="24"/>
        </w:rPr>
        <w:t>such entrepreneurship adopt</w:t>
      </w:r>
      <w:r w:rsidR="00440602" w:rsidRPr="008E4844">
        <w:rPr>
          <w:rFonts w:ascii="Times New Roman" w:hAnsi="Times New Roman" w:cs="Times New Roman"/>
          <w:sz w:val="24"/>
          <w:szCs w:val="24"/>
        </w:rPr>
        <w:t>s</w:t>
      </w:r>
      <w:r w:rsidR="00616FA9" w:rsidRPr="008E4844">
        <w:rPr>
          <w:rFonts w:ascii="Times New Roman" w:eastAsia="Times New Roman" w:hAnsi="Times New Roman" w:cs="Times New Roman"/>
          <w:sz w:val="24"/>
          <w:szCs w:val="24"/>
        </w:rPr>
        <w:t xml:space="preserve"> three agential roles: stakeholder, entrepreneurial and political.</w:t>
      </w:r>
      <w:r w:rsidR="00D846FC" w:rsidRPr="008E4844">
        <w:rPr>
          <w:rFonts w:ascii="Times New Roman" w:eastAsia="Times New Roman" w:hAnsi="Times New Roman" w:cs="Times New Roman"/>
          <w:sz w:val="24"/>
          <w:szCs w:val="24"/>
        </w:rPr>
        <w:t xml:space="preserve">  This entrepreneurial agency</w:t>
      </w:r>
      <w:r w:rsidR="00616FA9" w:rsidRPr="008E4844">
        <w:rPr>
          <w:rFonts w:ascii="Times New Roman" w:eastAsia="Times New Roman" w:hAnsi="Times New Roman" w:cs="Times New Roman"/>
          <w:sz w:val="24"/>
          <w:szCs w:val="24"/>
        </w:rPr>
        <w:t xml:space="preserve">: </w:t>
      </w:r>
    </w:p>
    <w:p w14:paraId="06E113AD" w14:textId="17E4E3B4" w:rsidR="00CD0B84" w:rsidRPr="008E4844" w:rsidRDefault="00616FA9" w:rsidP="00615E9D">
      <w:pPr>
        <w:spacing w:before="100" w:beforeAutospacing="1" w:after="100" w:afterAutospacing="1" w:line="360" w:lineRule="auto"/>
        <w:ind w:left="720"/>
        <w:rPr>
          <w:rFonts w:ascii="Times New Roman" w:eastAsia="Times New Roman" w:hAnsi="Times New Roman" w:cs="Times New Roman"/>
          <w:sz w:val="24"/>
          <w:szCs w:val="24"/>
        </w:rPr>
      </w:pPr>
      <w:r w:rsidRPr="008E4844">
        <w:rPr>
          <w:rFonts w:ascii="Times New Roman" w:eastAsia="Times New Roman" w:hAnsi="Times New Roman" w:cs="Times New Roman"/>
          <w:sz w:val="24"/>
          <w:szCs w:val="24"/>
        </w:rPr>
        <w:t>“</w:t>
      </w:r>
      <w:proofErr w:type="gramStart"/>
      <w:r w:rsidRPr="008E4844">
        <w:rPr>
          <w:rFonts w:ascii="Times New Roman" w:eastAsia="Times New Roman" w:hAnsi="Times New Roman" w:cs="Times New Roman"/>
          <w:sz w:val="24"/>
          <w:szCs w:val="24"/>
        </w:rPr>
        <w:t>identifies</w:t>
      </w:r>
      <w:proofErr w:type="gramEnd"/>
      <w:r w:rsidRPr="008E4844">
        <w:rPr>
          <w:rFonts w:ascii="Times New Roman" w:eastAsia="Times New Roman" w:hAnsi="Times New Roman" w:cs="Times New Roman"/>
          <w:sz w:val="24"/>
          <w:szCs w:val="24"/>
        </w:rPr>
        <w:t xml:space="preserve"> market opportunities within the political landscape, optimizes the performance-enhancing potential of innovation for the public sector organization, and carries stakeholders in a way that both permits risk and recognizes the stewardship of public sector resources” (987).</w:t>
      </w:r>
    </w:p>
    <w:p w14:paraId="7590B08D" w14:textId="673C24DD" w:rsidR="00616FA9" w:rsidRPr="008E4844" w:rsidRDefault="00B77998"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These are</w:t>
      </w:r>
      <w:r w:rsidR="006D38CE" w:rsidRPr="008E4844">
        <w:rPr>
          <w:rFonts w:ascii="Times New Roman" w:hAnsi="Times New Roman" w:cs="Times New Roman"/>
          <w:sz w:val="24"/>
          <w:szCs w:val="24"/>
        </w:rPr>
        <w:t xml:space="preserve"> </w:t>
      </w:r>
      <w:r w:rsidR="007B723F" w:rsidRPr="008E4844">
        <w:rPr>
          <w:rFonts w:ascii="Times New Roman" w:hAnsi="Times New Roman" w:cs="Times New Roman"/>
          <w:sz w:val="24"/>
          <w:szCs w:val="24"/>
        </w:rPr>
        <w:t xml:space="preserve">echoed </w:t>
      </w:r>
      <w:r w:rsidR="006D38CE" w:rsidRPr="008E4844">
        <w:rPr>
          <w:rFonts w:ascii="Times New Roman" w:hAnsi="Times New Roman" w:cs="Times New Roman"/>
          <w:sz w:val="24"/>
          <w:szCs w:val="24"/>
        </w:rPr>
        <w:t xml:space="preserve">within </w:t>
      </w:r>
      <w:r w:rsidR="007B723F" w:rsidRPr="008E4844">
        <w:rPr>
          <w:rFonts w:ascii="Times New Roman" w:hAnsi="Times New Roman" w:cs="Times New Roman"/>
          <w:sz w:val="24"/>
          <w:szCs w:val="24"/>
        </w:rPr>
        <w:t>Trust</w:t>
      </w:r>
      <w:r w:rsidR="006D38CE" w:rsidRPr="008E4844">
        <w:rPr>
          <w:rFonts w:ascii="Times New Roman" w:hAnsi="Times New Roman" w:cs="Times New Roman"/>
          <w:sz w:val="24"/>
          <w:szCs w:val="24"/>
        </w:rPr>
        <w:t xml:space="preserve"> </w:t>
      </w:r>
      <w:r w:rsidR="00B90794" w:rsidRPr="008E4844">
        <w:rPr>
          <w:rFonts w:ascii="Times New Roman" w:hAnsi="Times New Roman" w:cs="Times New Roman"/>
          <w:sz w:val="24"/>
          <w:szCs w:val="24"/>
        </w:rPr>
        <w:t xml:space="preserve">documents: </w:t>
      </w:r>
      <w:r w:rsidR="001A6A04" w:rsidRPr="008E4844">
        <w:rPr>
          <w:rFonts w:ascii="Times New Roman" w:hAnsi="Times New Roman" w:cs="Times New Roman"/>
          <w:sz w:val="24"/>
          <w:szCs w:val="24"/>
        </w:rPr>
        <w:t>process</w:t>
      </w:r>
      <w:r w:rsidR="00E657D9" w:rsidRPr="008E4844">
        <w:rPr>
          <w:rFonts w:ascii="Times New Roman" w:hAnsi="Times New Roman" w:cs="Times New Roman"/>
          <w:sz w:val="24"/>
          <w:szCs w:val="24"/>
        </w:rPr>
        <w:t>es</w:t>
      </w:r>
      <w:r w:rsidR="001A6A04" w:rsidRPr="008E4844">
        <w:rPr>
          <w:rFonts w:ascii="Times New Roman" w:hAnsi="Times New Roman" w:cs="Times New Roman"/>
          <w:sz w:val="24"/>
          <w:szCs w:val="24"/>
        </w:rPr>
        <w:t xml:space="preserve"> of identifying and pursuing opportunities for innovation and risk-taking</w:t>
      </w:r>
      <w:r w:rsidR="00E657D9" w:rsidRPr="008E4844">
        <w:rPr>
          <w:rFonts w:ascii="Times New Roman" w:hAnsi="Times New Roman" w:cs="Times New Roman"/>
          <w:sz w:val="24"/>
          <w:szCs w:val="24"/>
        </w:rPr>
        <w:t>, combined</w:t>
      </w:r>
      <w:r w:rsidR="001A6A04" w:rsidRPr="008E4844">
        <w:rPr>
          <w:rFonts w:ascii="Times New Roman" w:hAnsi="Times New Roman" w:cs="Times New Roman"/>
          <w:sz w:val="24"/>
          <w:szCs w:val="24"/>
        </w:rPr>
        <w:t xml:space="preserve"> </w:t>
      </w:r>
      <w:r w:rsidR="00B90794" w:rsidRPr="008E4844">
        <w:rPr>
          <w:rFonts w:ascii="Times New Roman" w:hAnsi="Times New Roman" w:cs="Times New Roman"/>
          <w:sz w:val="24"/>
          <w:szCs w:val="24"/>
        </w:rPr>
        <w:t>with the emphasis on</w:t>
      </w:r>
      <w:r w:rsidR="00CD0B84" w:rsidRPr="008E4844">
        <w:rPr>
          <w:rFonts w:ascii="Times New Roman" w:hAnsi="Times New Roman" w:cs="Times New Roman"/>
          <w:sz w:val="24"/>
          <w:szCs w:val="24"/>
        </w:rPr>
        <w:t xml:space="preserve"> managing relationships</w:t>
      </w:r>
      <w:r w:rsidR="001A6A04" w:rsidRPr="008E4844">
        <w:rPr>
          <w:rFonts w:ascii="Times New Roman" w:hAnsi="Times New Roman" w:cs="Times New Roman"/>
          <w:sz w:val="24"/>
          <w:szCs w:val="24"/>
        </w:rPr>
        <w:t xml:space="preserve"> </w:t>
      </w:r>
      <w:r w:rsidR="003F326F" w:rsidRPr="008E4844">
        <w:rPr>
          <w:rFonts w:ascii="Times New Roman" w:hAnsi="Times New Roman" w:cs="Times New Roman"/>
          <w:sz w:val="24"/>
          <w:szCs w:val="24"/>
        </w:rPr>
        <w:t xml:space="preserve">and </w:t>
      </w:r>
      <w:r w:rsidR="00EE539E" w:rsidRPr="008E4844">
        <w:rPr>
          <w:rFonts w:ascii="Times New Roman" w:hAnsi="Times New Roman" w:cs="Times New Roman"/>
          <w:sz w:val="24"/>
          <w:szCs w:val="24"/>
        </w:rPr>
        <w:t>understanding</w:t>
      </w:r>
      <w:r w:rsidR="00F93BD9" w:rsidRPr="008E4844">
        <w:rPr>
          <w:rFonts w:ascii="Times New Roman" w:hAnsi="Times New Roman" w:cs="Times New Roman"/>
          <w:sz w:val="24"/>
          <w:szCs w:val="24"/>
        </w:rPr>
        <w:t xml:space="preserve"> the context of NHS activities</w:t>
      </w:r>
      <w:r w:rsidR="00CD0B84" w:rsidRPr="008E4844">
        <w:rPr>
          <w:rFonts w:ascii="Times New Roman" w:hAnsi="Times New Roman" w:cs="Times New Roman"/>
          <w:sz w:val="24"/>
          <w:szCs w:val="24"/>
        </w:rPr>
        <w:t>.</w:t>
      </w:r>
      <w:r w:rsidR="001A6A04" w:rsidRPr="008E4844">
        <w:rPr>
          <w:rFonts w:ascii="Times New Roman" w:hAnsi="Times New Roman" w:cs="Times New Roman"/>
          <w:sz w:val="24"/>
          <w:szCs w:val="24"/>
        </w:rPr>
        <w:t xml:space="preserve">  </w:t>
      </w:r>
      <w:r w:rsidR="00616FA9" w:rsidRPr="008E4844">
        <w:rPr>
          <w:rFonts w:ascii="Times New Roman" w:hAnsi="Times New Roman" w:cs="Times New Roman"/>
          <w:sz w:val="24"/>
          <w:szCs w:val="24"/>
        </w:rPr>
        <w:t>Such commercialisation has been accelerated by recent constraints in state fundin</w:t>
      </w:r>
      <w:r w:rsidR="007B723F" w:rsidRPr="008E4844">
        <w:rPr>
          <w:rFonts w:ascii="Times New Roman" w:hAnsi="Times New Roman" w:cs="Times New Roman"/>
          <w:sz w:val="24"/>
          <w:szCs w:val="24"/>
        </w:rPr>
        <w:t>g with o</w:t>
      </w:r>
      <w:r w:rsidR="00616FA9" w:rsidRPr="008E4844">
        <w:rPr>
          <w:rFonts w:ascii="Times New Roman" w:hAnsi="Times New Roman" w:cs="Times New Roman"/>
          <w:sz w:val="24"/>
          <w:szCs w:val="24"/>
        </w:rPr>
        <w:t>rganisations</w:t>
      </w:r>
      <w:r w:rsidR="007B723F" w:rsidRPr="008E4844">
        <w:rPr>
          <w:rFonts w:ascii="Times New Roman" w:hAnsi="Times New Roman" w:cs="Times New Roman"/>
          <w:sz w:val="24"/>
          <w:szCs w:val="24"/>
        </w:rPr>
        <w:t xml:space="preserve"> having </w:t>
      </w:r>
      <w:r w:rsidR="00616FA9" w:rsidRPr="008E4844">
        <w:rPr>
          <w:rFonts w:ascii="Times New Roman" w:hAnsi="Times New Roman" w:cs="Times New Roman"/>
          <w:sz w:val="24"/>
          <w:szCs w:val="24"/>
        </w:rPr>
        <w:t>to contain costs, to improve productivity but also, significantly, to increase alternative sources of income</w:t>
      </w:r>
      <w:r w:rsidR="001A6A04" w:rsidRPr="008E4844">
        <w:rPr>
          <w:rFonts w:ascii="Times New Roman" w:hAnsi="Times New Roman" w:cs="Times New Roman"/>
          <w:sz w:val="24"/>
          <w:szCs w:val="24"/>
        </w:rPr>
        <w:t xml:space="preserve"> not least given Covid impacts</w:t>
      </w:r>
      <w:r w:rsidR="00616FA9" w:rsidRPr="008E4844">
        <w:rPr>
          <w:rFonts w:ascii="Times New Roman" w:hAnsi="Times New Roman" w:cs="Times New Roman"/>
          <w:sz w:val="24"/>
          <w:szCs w:val="24"/>
        </w:rPr>
        <w:t xml:space="preserve"> (NHS Confederation 2021).</w:t>
      </w:r>
      <w:r w:rsidR="0069549C">
        <w:rPr>
          <w:rFonts w:ascii="Times New Roman" w:hAnsi="Times New Roman" w:cs="Times New Roman"/>
          <w:sz w:val="24"/>
          <w:szCs w:val="24"/>
        </w:rPr>
        <w:t xml:space="preserve">  Specialist and single specialty hospitals are </w:t>
      </w:r>
      <w:r w:rsidR="00F94216">
        <w:rPr>
          <w:rFonts w:ascii="Times New Roman" w:hAnsi="Times New Roman" w:cs="Times New Roman"/>
          <w:sz w:val="24"/>
          <w:szCs w:val="24"/>
        </w:rPr>
        <w:t xml:space="preserve">well placed to take advantage of opportunities, given their motivation </w:t>
      </w:r>
      <w:r w:rsidR="00F94216" w:rsidRPr="00F94216">
        <w:rPr>
          <w:rFonts w:ascii="Times New Roman" w:hAnsi="Times New Roman" w:cs="Times New Roman"/>
          <w:i/>
          <w:iCs/>
          <w:sz w:val="24"/>
          <w:szCs w:val="24"/>
        </w:rPr>
        <w:t>and</w:t>
      </w:r>
      <w:r w:rsidR="00F94216">
        <w:rPr>
          <w:rFonts w:ascii="Times New Roman" w:hAnsi="Times New Roman" w:cs="Times New Roman"/>
          <w:sz w:val="24"/>
          <w:szCs w:val="24"/>
        </w:rPr>
        <w:t xml:space="preserve"> </w:t>
      </w:r>
      <w:r w:rsidR="0069549C">
        <w:rPr>
          <w:rFonts w:ascii="Times New Roman" w:hAnsi="Times New Roman" w:cs="Times New Roman"/>
          <w:sz w:val="24"/>
          <w:szCs w:val="24"/>
        </w:rPr>
        <w:t>capabilit</w:t>
      </w:r>
      <w:r w:rsidR="00F94216">
        <w:rPr>
          <w:rFonts w:ascii="Times New Roman" w:hAnsi="Times New Roman" w:cs="Times New Roman"/>
          <w:sz w:val="24"/>
          <w:szCs w:val="24"/>
        </w:rPr>
        <w:t>ies</w:t>
      </w:r>
      <w:r w:rsidR="0069549C">
        <w:rPr>
          <w:rFonts w:ascii="Times New Roman" w:hAnsi="Times New Roman" w:cs="Times New Roman"/>
          <w:sz w:val="24"/>
          <w:szCs w:val="24"/>
        </w:rPr>
        <w:t>.</w:t>
      </w:r>
      <w:r w:rsidR="00616FA9" w:rsidRPr="008E4844">
        <w:rPr>
          <w:rFonts w:ascii="Times New Roman" w:hAnsi="Times New Roman" w:cs="Times New Roman"/>
          <w:sz w:val="24"/>
          <w:szCs w:val="24"/>
        </w:rPr>
        <w:t xml:space="preserve"> </w:t>
      </w:r>
    </w:p>
    <w:p w14:paraId="2FB489A5" w14:textId="68EDF371" w:rsidR="003735BE" w:rsidRPr="008E4844" w:rsidRDefault="00616FA9" w:rsidP="003735BE">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The commercialisation of the public sector </w:t>
      </w:r>
      <w:r w:rsidR="00713B6B" w:rsidRPr="008E4844">
        <w:rPr>
          <w:rFonts w:ascii="Times New Roman" w:hAnsi="Times New Roman" w:cs="Times New Roman"/>
          <w:sz w:val="24"/>
          <w:szCs w:val="24"/>
        </w:rPr>
        <w:t xml:space="preserve">sees </w:t>
      </w:r>
      <w:r w:rsidRPr="008E4844">
        <w:rPr>
          <w:rFonts w:ascii="Times New Roman" w:hAnsi="Times New Roman" w:cs="Times New Roman"/>
          <w:sz w:val="24"/>
          <w:szCs w:val="24"/>
        </w:rPr>
        <w:t xml:space="preserve">the interplay of two competing institutional logics (Reay and </w:t>
      </w:r>
      <w:proofErr w:type="spellStart"/>
      <w:r w:rsidRPr="008E4844">
        <w:rPr>
          <w:rFonts w:ascii="Times New Roman" w:hAnsi="Times New Roman" w:cs="Times New Roman"/>
          <w:sz w:val="24"/>
          <w:szCs w:val="24"/>
        </w:rPr>
        <w:t>Hinings</w:t>
      </w:r>
      <w:proofErr w:type="spellEnd"/>
      <w:r w:rsidRPr="008E4844">
        <w:rPr>
          <w:rFonts w:ascii="Times New Roman" w:hAnsi="Times New Roman" w:cs="Times New Roman"/>
          <w:sz w:val="24"/>
          <w:szCs w:val="24"/>
        </w:rPr>
        <w:t xml:space="preserve"> 2009; </w:t>
      </w:r>
      <w:proofErr w:type="spellStart"/>
      <w:r w:rsidRPr="008E4844">
        <w:rPr>
          <w:rFonts w:ascii="Times New Roman" w:hAnsi="Times New Roman" w:cs="Times New Roman"/>
          <w:sz w:val="24"/>
          <w:szCs w:val="24"/>
        </w:rPr>
        <w:t>Besharov</w:t>
      </w:r>
      <w:proofErr w:type="spellEnd"/>
      <w:r w:rsidRPr="008E4844">
        <w:rPr>
          <w:rFonts w:ascii="Times New Roman" w:hAnsi="Times New Roman" w:cs="Times New Roman"/>
          <w:sz w:val="24"/>
          <w:szCs w:val="24"/>
        </w:rPr>
        <w:t xml:space="preserve"> and Smith 2014). </w:t>
      </w:r>
      <w:r w:rsidR="001A6A04"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A ‘public service’ logic </w:t>
      </w:r>
      <w:r w:rsidR="00713B6B" w:rsidRPr="008E4844">
        <w:rPr>
          <w:rFonts w:ascii="Times New Roman" w:hAnsi="Times New Roman" w:cs="Times New Roman"/>
          <w:sz w:val="24"/>
          <w:szCs w:val="24"/>
        </w:rPr>
        <w:t>rests on</w:t>
      </w:r>
      <w:r w:rsidRPr="008E4844">
        <w:rPr>
          <w:rFonts w:ascii="Times New Roman" w:hAnsi="Times New Roman" w:cs="Times New Roman"/>
          <w:sz w:val="24"/>
          <w:szCs w:val="24"/>
        </w:rPr>
        <w:t xml:space="preserve"> </w:t>
      </w:r>
      <w:r w:rsidR="00AA7445">
        <w:rPr>
          <w:rFonts w:ascii="Times New Roman" w:hAnsi="Times New Roman" w:cs="Times New Roman"/>
          <w:sz w:val="24"/>
          <w:szCs w:val="24"/>
        </w:rPr>
        <w:t xml:space="preserve">an </w:t>
      </w:r>
      <w:r w:rsidRPr="008E4844">
        <w:rPr>
          <w:rFonts w:ascii="Times New Roman" w:hAnsi="Times New Roman" w:cs="Times New Roman"/>
          <w:sz w:val="24"/>
          <w:szCs w:val="24"/>
        </w:rPr>
        <w:t xml:space="preserve">organisation structured to meet public/community needs through a professional bureaucracy whereas a commercial logic </w:t>
      </w:r>
      <w:r w:rsidR="00713B6B" w:rsidRPr="008E4844">
        <w:rPr>
          <w:rFonts w:ascii="Times New Roman" w:hAnsi="Times New Roman" w:cs="Times New Roman"/>
          <w:sz w:val="24"/>
          <w:szCs w:val="24"/>
        </w:rPr>
        <w:t xml:space="preserve">elevates </w:t>
      </w:r>
      <w:r w:rsidRPr="008E4844">
        <w:rPr>
          <w:rFonts w:ascii="Times New Roman" w:hAnsi="Times New Roman" w:cs="Times New Roman"/>
          <w:sz w:val="24"/>
          <w:szCs w:val="24"/>
        </w:rPr>
        <w:t xml:space="preserve">competitive and </w:t>
      </w:r>
      <w:proofErr w:type="spellStart"/>
      <w:r w:rsidRPr="008E4844">
        <w:rPr>
          <w:rFonts w:ascii="Times New Roman" w:hAnsi="Times New Roman" w:cs="Times New Roman"/>
          <w:sz w:val="24"/>
          <w:szCs w:val="24"/>
        </w:rPr>
        <w:t>marketised</w:t>
      </w:r>
      <w:proofErr w:type="spellEnd"/>
      <w:r w:rsidRPr="008E4844">
        <w:rPr>
          <w:rFonts w:ascii="Times New Roman" w:hAnsi="Times New Roman" w:cs="Times New Roman"/>
          <w:sz w:val="24"/>
          <w:szCs w:val="24"/>
        </w:rPr>
        <w:t xml:space="preserve"> relations.</w:t>
      </w:r>
      <w:r w:rsidR="00C8712F"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One might also view these competing logics as a tension between markets and social protection. Consequently, the tension can be re-cast as a ‘double movement.’  </w:t>
      </w:r>
      <w:r w:rsidR="003735BE" w:rsidRPr="008E4844">
        <w:rPr>
          <w:rFonts w:ascii="Times New Roman" w:hAnsi="Times New Roman" w:cs="Times New Roman"/>
          <w:sz w:val="24"/>
          <w:szCs w:val="24"/>
        </w:rPr>
        <w:t>Polanyi (1944) argued that the introduction of social protection measures (such as collective provision of public services) was a response to the (often, dysfunctional) impact of (free) markets:</w:t>
      </w:r>
    </w:p>
    <w:p w14:paraId="3C115ACE" w14:textId="425AB0E8" w:rsidR="003735BE" w:rsidRPr="008E4844" w:rsidRDefault="003735BE" w:rsidP="003735BE">
      <w:pPr>
        <w:spacing w:before="100" w:beforeAutospacing="1" w:after="100" w:afterAutospacing="1" w:line="360" w:lineRule="auto"/>
        <w:ind w:left="720"/>
        <w:rPr>
          <w:rFonts w:ascii="Times New Roman" w:hAnsi="Times New Roman" w:cs="Times New Roman"/>
          <w:sz w:val="24"/>
          <w:szCs w:val="24"/>
        </w:rPr>
      </w:pPr>
      <w:r w:rsidRPr="008E4844">
        <w:rPr>
          <w:rFonts w:ascii="Times New Roman" w:hAnsi="Times New Roman" w:cs="Times New Roman"/>
          <w:sz w:val="24"/>
          <w:szCs w:val="24"/>
        </w:rPr>
        <w:lastRenderedPageBreak/>
        <w:t>“</w:t>
      </w:r>
      <w:proofErr w:type="gramStart"/>
      <w:r w:rsidRPr="008E4844">
        <w:rPr>
          <w:rFonts w:ascii="Times New Roman" w:hAnsi="Times New Roman" w:cs="Times New Roman"/>
          <w:sz w:val="24"/>
          <w:szCs w:val="24"/>
        </w:rPr>
        <w:t>the</w:t>
      </w:r>
      <w:proofErr w:type="gramEnd"/>
      <w:r w:rsidRPr="008E4844">
        <w:rPr>
          <w:rFonts w:ascii="Times New Roman" w:hAnsi="Times New Roman" w:cs="Times New Roman"/>
          <w:sz w:val="24"/>
          <w:szCs w:val="24"/>
        </w:rPr>
        <w:t xml:space="preserve"> liberal movement, intent on the spreading of the market system, was met by a protective counter-movement tending towards its restriction” (144)</w:t>
      </w:r>
    </w:p>
    <w:p w14:paraId="00D55ED7" w14:textId="2FF2A19B" w:rsidR="003735BE" w:rsidRPr="008E4844" w:rsidRDefault="003735BE" w:rsidP="003735BE">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This notion of the ‘double movement’ is also applicable to the ways in which NPM has sought to reform organisations with a strong public service ethos (Holmes 2013). While institutional logics can be seen as competing, Polanyi’s double movement helps explain the apparent paradox whereby commercial income is increasingly justified by NHS organisations such as GOSH because of an apparent need to support NHS services. The market and social protection measures are closely inter-linked. This may unwittingly accelerate further commercialisation particularly in post-pandemic recovery</w:t>
      </w:r>
      <w:r w:rsidR="008E4844" w:rsidRPr="008E4844">
        <w:rPr>
          <w:rFonts w:ascii="Times New Roman" w:hAnsi="Times New Roman" w:cs="Times New Roman"/>
          <w:sz w:val="24"/>
          <w:szCs w:val="24"/>
        </w:rPr>
        <w:t xml:space="preserve"> despite avowed claims to be supporting the NHS.</w:t>
      </w:r>
      <w:r w:rsidR="00F94216">
        <w:rPr>
          <w:rFonts w:ascii="Times New Roman" w:hAnsi="Times New Roman" w:cs="Times New Roman"/>
          <w:sz w:val="24"/>
          <w:szCs w:val="24"/>
        </w:rPr>
        <w:t xml:space="preserve">  </w:t>
      </w:r>
      <w:r w:rsidR="00F94216" w:rsidRPr="00F94216">
        <w:rPr>
          <w:rFonts w:ascii="Times New Roman" w:hAnsi="Times New Roman" w:cs="Times New Roman"/>
          <w:sz w:val="24"/>
          <w:szCs w:val="24"/>
        </w:rPr>
        <w:t xml:space="preserve">However, the double movement is contingent on </w:t>
      </w:r>
      <w:r w:rsidR="004C08EC">
        <w:rPr>
          <w:rFonts w:ascii="Times New Roman" w:hAnsi="Times New Roman" w:cs="Times New Roman"/>
          <w:sz w:val="24"/>
          <w:szCs w:val="24"/>
        </w:rPr>
        <w:t xml:space="preserve">how </w:t>
      </w:r>
      <w:r w:rsidR="00F94216" w:rsidRPr="00F94216">
        <w:rPr>
          <w:rFonts w:ascii="Times New Roman" w:hAnsi="Times New Roman" w:cs="Times New Roman"/>
          <w:sz w:val="24"/>
          <w:szCs w:val="24"/>
        </w:rPr>
        <w:t>an organisation</w:t>
      </w:r>
      <w:r w:rsidR="004C08EC">
        <w:rPr>
          <w:rFonts w:ascii="Times New Roman" w:hAnsi="Times New Roman" w:cs="Times New Roman"/>
          <w:sz w:val="24"/>
          <w:szCs w:val="24"/>
        </w:rPr>
        <w:t xml:space="preserve"> negotiates</w:t>
      </w:r>
      <w:r w:rsidR="00F94216" w:rsidRPr="00F94216">
        <w:rPr>
          <w:rFonts w:ascii="Times New Roman" w:hAnsi="Times New Roman" w:cs="Times New Roman"/>
          <w:sz w:val="24"/>
          <w:szCs w:val="24"/>
        </w:rPr>
        <w:t xml:space="preserve"> capability, opportunity and motivation, set within the context of its own health system nationally</w:t>
      </w:r>
      <w:r w:rsidR="00F94216">
        <w:rPr>
          <w:rFonts w:ascii="Times New Roman" w:hAnsi="Times New Roman" w:cs="Times New Roman"/>
          <w:sz w:val="24"/>
          <w:szCs w:val="24"/>
        </w:rPr>
        <w:t>.</w:t>
      </w:r>
    </w:p>
    <w:p w14:paraId="3EE8AA3E" w14:textId="14E0ADD4" w:rsidR="000E4C9C" w:rsidRPr="008E4844" w:rsidRDefault="003B3269"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The development of commercialisation is nuanced, and the</w:t>
      </w:r>
      <w:r w:rsidR="00656B33" w:rsidRPr="008E4844">
        <w:rPr>
          <w:rFonts w:ascii="Times New Roman" w:hAnsi="Times New Roman" w:cs="Times New Roman"/>
          <w:sz w:val="24"/>
          <w:szCs w:val="24"/>
        </w:rPr>
        <w:t xml:space="preserve"> primary focus on patient care </w:t>
      </w:r>
      <w:r w:rsidRPr="008E4844">
        <w:rPr>
          <w:rFonts w:ascii="Times New Roman" w:hAnsi="Times New Roman" w:cs="Times New Roman"/>
          <w:sz w:val="24"/>
          <w:szCs w:val="24"/>
        </w:rPr>
        <w:t xml:space="preserve">is </w:t>
      </w:r>
      <w:r w:rsidR="00361CA3" w:rsidRPr="008E4844">
        <w:rPr>
          <w:rFonts w:ascii="Times New Roman" w:hAnsi="Times New Roman" w:cs="Times New Roman"/>
          <w:sz w:val="24"/>
          <w:szCs w:val="24"/>
        </w:rPr>
        <w:t>un</w:t>
      </w:r>
      <w:r w:rsidR="00522E43" w:rsidRPr="008E4844">
        <w:rPr>
          <w:rFonts w:ascii="Times New Roman" w:hAnsi="Times New Roman" w:cs="Times New Roman"/>
          <w:sz w:val="24"/>
          <w:szCs w:val="24"/>
        </w:rPr>
        <w:t xml:space="preserve">derlined </w:t>
      </w:r>
      <w:r w:rsidRPr="008E4844">
        <w:rPr>
          <w:rFonts w:ascii="Times New Roman" w:hAnsi="Times New Roman" w:cs="Times New Roman"/>
          <w:sz w:val="24"/>
          <w:szCs w:val="24"/>
        </w:rPr>
        <w:t>with</w:t>
      </w:r>
      <w:r w:rsidR="00522E43" w:rsidRPr="008E4844">
        <w:rPr>
          <w:rFonts w:ascii="Times New Roman" w:hAnsi="Times New Roman" w:cs="Times New Roman"/>
          <w:sz w:val="24"/>
          <w:szCs w:val="24"/>
        </w:rPr>
        <w:t>in</w:t>
      </w:r>
      <w:r w:rsidRPr="008E4844">
        <w:rPr>
          <w:rFonts w:ascii="Times New Roman" w:hAnsi="Times New Roman" w:cs="Times New Roman"/>
          <w:sz w:val="24"/>
          <w:szCs w:val="24"/>
        </w:rPr>
        <w:t xml:space="preserve"> </w:t>
      </w:r>
      <w:r w:rsidR="00656B33" w:rsidRPr="008E4844">
        <w:rPr>
          <w:rFonts w:ascii="Times New Roman" w:hAnsi="Times New Roman" w:cs="Times New Roman"/>
          <w:sz w:val="24"/>
          <w:szCs w:val="24"/>
        </w:rPr>
        <w:t xml:space="preserve">(documentary) </w:t>
      </w:r>
      <w:r w:rsidR="00741A91" w:rsidRPr="008E4844">
        <w:rPr>
          <w:rFonts w:ascii="Times New Roman" w:hAnsi="Times New Roman" w:cs="Times New Roman"/>
          <w:sz w:val="24"/>
          <w:szCs w:val="24"/>
        </w:rPr>
        <w:t>statements</w:t>
      </w:r>
      <w:r w:rsidR="00D846FC" w:rsidRPr="008E4844">
        <w:rPr>
          <w:rFonts w:ascii="Times New Roman" w:hAnsi="Times New Roman" w:cs="Times New Roman"/>
          <w:sz w:val="24"/>
          <w:szCs w:val="24"/>
        </w:rPr>
        <w:t xml:space="preserve"> of how</w:t>
      </w:r>
      <w:r w:rsidR="00741A91" w:rsidRPr="008E4844">
        <w:rPr>
          <w:rFonts w:ascii="Times New Roman" w:hAnsi="Times New Roman" w:cs="Times New Roman"/>
          <w:sz w:val="24"/>
          <w:szCs w:val="24"/>
        </w:rPr>
        <w:t xml:space="preserve"> </w:t>
      </w:r>
      <w:r w:rsidR="00522E43" w:rsidRPr="008E4844">
        <w:rPr>
          <w:rFonts w:ascii="Times New Roman" w:hAnsi="Times New Roman" w:cs="Times New Roman"/>
          <w:sz w:val="24"/>
          <w:szCs w:val="24"/>
        </w:rPr>
        <w:t xml:space="preserve">the </w:t>
      </w:r>
      <w:r w:rsidR="00656B33" w:rsidRPr="008E4844">
        <w:rPr>
          <w:rFonts w:ascii="Times New Roman" w:hAnsi="Times New Roman" w:cs="Times New Roman"/>
          <w:sz w:val="24"/>
          <w:szCs w:val="24"/>
        </w:rPr>
        <w:t xml:space="preserve">non-NHS income </w:t>
      </w:r>
      <w:r w:rsidR="00522E43" w:rsidRPr="008E4844">
        <w:rPr>
          <w:rFonts w:ascii="Times New Roman" w:hAnsi="Times New Roman" w:cs="Times New Roman"/>
          <w:sz w:val="24"/>
          <w:szCs w:val="24"/>
        </w:rPr>
        <w:t xml:space="preserve">is </w:t>
      </w:r>
      <w:r w:rsidR="00656B33" w:rsidRPr="008E4844">
        <w:rPr>
          <w:rFonts w:ascii="Times New Roman" w:hAnsi="Times New Roman" w:cs="Times New Roman"/>
          <w:sz w:val="24"/>
          <w:szCs w:val="24"/>
        </w:rPr>
        <w:t xml:space="preserve">used to underpin the delivery of core NHS services. The NHS still provided the bulk of </w:t>
      </w:r>
      <w:r w:rsidR="003735BE" w:rsidRPr="008E4844">
        <w:rPr>
          <w:rFonts w:ascii="Times New Roman" w:hAnsi="Times New Roman" w:cs="Times New Roman"/>
          <w:sz w:val="24"/>
          <w:szCs w:val="24"/>
        </w:rPr>
        <w:t xml:space="preserve">the GOSH </w:t>
      </w:r>
      <w:r w:rsidR="00656B33" w:rsidRPr="008E4844">
        <w:rPr>
          <w:rFonts w:ascii="Times New Roman" w:hAnsi="Times New Roman" w:cs="Times New Roman"/>
          <w:sz w:val="24"/>
          <w:szCs w:val="24"/>
        </w:rPr>
        <w:t>income, a stipulation of the HSCA.</w:t>
      </w:r>
      <w:r w:rsidRPr="008E4844">
        <w:rPr>
          <w:rFonts w:ascii="Times New Roman" w:hAnsi="Times New Roman" w:cs="Times New Roman"/>
          <w:sz w:val="24"/>
          <w:szCs w:val="24"/>
        </w:rPr>
        <w:t xml:space="preserve">  </w:t>
      </w:r>
      <w:r w:rsidR="00656B33" w:rsidRPr="008E4844">
        <w:rPr>
          <w:rFonts w:ascii="Times New Roman" w:hAnsi="Times New Roman" w:cs="Times New Roman"/>
          <w:sz w:val="24"/>
          <w:szCs w:val="24"/>
        </w:rPr>
        <w:t xml:space="preserve">However, the infiltration of commercial logics into the logics of the </w:t>
      </w:r>
      <w:r w:rsidR="004C08EC">
        <w:rPr>
          <w:rFonts w:ascii="Times New Roman" w:hAnsi="Times New Roman" w:cs="Times New Roman"/>
          <w:sz w:val="24"/>
          <w:szCs w:val="24"/>
        </w:rPr>
        <w:t>‘</w:t>
      </w:r>
      <w:r w:rsidR="00656B33" w:rsidRPr="008E4844">
        <w:rPr>
          <w:rFonts w:ascii="Times New Roman" w:hAnsi="Times New Roman" w:cs="Times New Roman"/>
          <w:sz w:val="24"/>
          <w:szCs w:val="24"/>
        </w:rPr>
        <w:t>core’ public services are hard to sustain in the longer term</w:t>
      </w:r>
      <w:r w:rsidRPr="008E4844">
        <w:rPr>
          <w:rFonts w:ascii="Times New Roman" w:hAnsi="Times New Roman" w:cs="Times New Roman"/>
          <w:sz w:val="24"/>
          <w:szCs w:val="24"/>
        </w:rPr>
        <w:t xml:space="preserve"> and the NHS may risk become increasingly predicated upon commercial logics, thereby </w:t>
      </w:r>
      <w:r w:rsidR="00D846FC" w:rsidRPr="008E4844">
        <w:rPr>
          <w:rFonts w:ascii="Times New Roman" w:hAnsi="Times New Roman" w:cs="Times New Roman"/>
          <w:sz w:val="24"/>
          <w:szCs w:val="24"/>
        </w:rPr>
        <w:t>eroding</w:t>
      </w:r>
      <w:r w:rsidRPr="008E4844">
        <w:rPr>
          <w:rFonts w:ascii="Times New Roman" w:hAnsi="Times New Roman" w:cs="Times New Roman"/>
          <w:sz w:val="24"/>
          <w:szCs w:val="24"/>
        </w:rPr>
        <w:t xml:space="preserve"> public service logics.</w:t>
      </w:r>
      <w:r w:rsidR="0069549C">
        <w:rPr>
          <w:rFonts w:ascii="Times New Roman" w:hAnsi="Times New Roman" w:cs="Times New Roman"/>
          <w:sz w:val="24"/>
          <w:szCs w:val="24"/>
        </w:rPr>
        <w:t xml:space="preserve">  </w:t>
      </w:r>
      <w:r w:rsidR="0069549C" w:rsidRPr="0069549C">
        <w:rPr>
          <w:rFonts w:ascii="Times New Roman" w:hAnsi="Times New Roman" w:cs="Times New Roman"/>
          <w:sz w:val="24"/>
          <w:szCs w:val="24"/>
        </w:rPr>
        <w:t xml:space="preserve">Commercialisation is </w:t>
      </w:r>
      <w:r w:rsidR="0069549C">
        <w:rPr>
          <w:rFonts w:ascii="Times New Roman" w:hAnsi="Times New Roman" w:cs="Times New Roman"/>
          <w:sz w:val="24"/>
          <w:szCs w:val="24"/>
        </w:rPr>
        <w:t xml:space="preserve">nuanced in a second way in that we address the experience of one specialist NHS provider whose geographical and sector capabilities present a privileged position </w:t>
      </w:r>
      <w:proofErr w:type="gramStart"/>
      <w:r w:rsidR="0069549C">
        <w:rPr>
          <w:rFonts w:ascii="Times New Roman" w:hAnsi="Times New Roman" w:cs="Times New Roman"/>
          <w:sz w:val="24"/>
          <w:szCs w:val="24"/>
        </w:rPr>
        <w:t>not open</w:t>
      </w:r>
      <w:proofErr w:type="gramEnd"/>
      <w:r w:rsidR="0069549C">
        <w:rPr>
          <w:rFonts w:ascii="Times New Roman" w:hAnsi="Times New Roman" w:cs="Times New Roman"/>
          <w:sz w:val="24"/>
          <w:szCs w:val="24"/>
        </w:rPr>
        <w:t xml:space="preserve"> to </w:t>
      </w:r>
      <w:r w:rsidR="000A627E">
        <w:rPr>
          <w:rFonts w:ascii="Times New Roman" w:hAnsi="Times New Roman" w:cs="Times New Roman"/>
          <w:sz w:val="24"/>
          <w:szCs w:val="24"/>
        </w:rPr>
        <w:t>alternative NHS providers, irrespective of their motivation and perceived opportunities.</w:t>
      </w:r>
    </w:p>
    <w:p w14:paraId="4E44CF02" w14:textId="0A7951A5" w:rsidR="00B84EE0" w:rsidRPr="008E4844" w:rsidRDefault="000E4C9C"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Despite reporting headline activities </w:t>
      </w:r>
      <w:r w:rsidR="00D846FC" w:rsidRPr="008E4844">
        <w:rPr>
          <w:rFonts w:ascii="Times New Roman" w:hAnsi="Times New Roman" w:cs="Times New Roman"/>
          <w:sz w:val="24"/>
          <w:szCs w:val="24"/>
        </w:rPr>
        <w:t xml:space="preserve">there are </w:t>
      </w:r>
      <w:r w:rsidRPr="008E4844">
        <w:rPr>
          <w:rFonts w:ascii="Times New Roman" w:hAnsi="Times New Roman" w:cs="Times New Roman"/>
          <w:sz w:val="24"/>
          <w:szCs w:val="24"/>
        </w:rPr>
        <w:t xml:space="preserve">several gaps in our understanding </w:t>
      </w:r>
      <w:r w:rsidR="00D846FC" w:rsidRPr="008E4844">
        <w:rPr>
          <w:rFonts w:ascii="Times New Roman" w:hAnsi="Times New Roman" w:cs="Times New Roman"/>
          <w:sz w:val="24"/>
          <w:szCs w:val="24"/>
        </w:rPr>
        <w:t xml:space="preserve">that </w:t>
      </w:r>
      <w:r w:rsidRPr="008E4844">
        <w:rPr>
          <w:rFonts w:ascii="Times New Roman" w:hAnsi="Times New Roman" w:cs="Times New Roman"/>
          <w:sz w:val="24"/>
          <w:szCs w:val="24"/>
        </w:rPr>
        <w:t xml:space="preserve">merit further investigation. </w:t>
      </w:r>
      <w:r w:rsidR="00AC691E">
        <w:rPr>
          <w:rFonts w:ascii="Times New Roman" w:hAnsi="Times New Roman" w:cs="Times New Roman"/>
          <w:sz w:val="24"/>
          <w:szCs w:val="24"/>
        </w:rPr>
        <w:t xml:space="preserve"> This paper reports on a single case-study and inevitably, there is a lack of empirical generalisation</w:t>
      </w:r>
      <w:r w:rsidR="00365B1C">
        <w:rPr>
          <w:rFonts w:ascii="Times New Roman" w:hAnsi="Times New Roman" w:cs="Times New Roman"/>
          <w:sz w:val="24"/>
          <w:szCs w:val="24"/>
        </w:rPr>
        <w:t xml:space="preserve">; hence, we seek to underpin our analysis through a conceptual lens of Polanyi’s double movement. Therefore, we call for further research not only to widen the evidence base but also to test out further the theoretical perspectives which we advance here. </w:t>
      </w:r>
      <w:r w:rsidRPr="008E4844">
        <w:rPr>
          <w:rFonts w:ascii="Times New Roman" w:hAnsi="Times New Roman" w:cs="Times New Roman"/>
          <w:sz w:val="24"/>
          <w:szCs w:val="24"/>
        </w:rPr>
        <w:t xml:space="preserve"> For instance, we have scant knowledge of the precise working of referrals, clinical networks and the nature of global “choice” and “competition”</w:t>
      </w:r>
      <w:r w:rsidR="008E4844" w:rsidRPr="008E4844">
        <w:rPr>
          <w:rFonts w:ascii="Times New Roman" w:hAnsi="Times New Roman" w:cs="Times New Roman"/>
          <w:sz w:val="24"/>
          <w:szCs w:val="24"/>
        </w:rPr>
        <w:t xml:space="preserve"> including clinician and manager attitudes to these (cf. Hodgson et al</w:t>
      </w:r>
      <w:r w:rsidR="00437EA0">
        <w:rPr>
          <w:rFonts w:ascii="Times New Roman" w:hAnsi="Times New Roman" w:cs="Times New Roman"/>
          <w:sz w:val="24"/>
          <w:szCs w:val="24"/>
        </w:rPr>
        <w:t>.</w:t>
      </w:r>
      <w:r w:rsidR="008E4844" w:rsidRPr="008E4844">
        <w:rPr>
          <w:rFonts w:ascii="Times New Roman" w:hAnsi="Times New Roman" w:cs="Times New Roman"/>
          <w:sz w:val="24"/>
          <w:szCs w:val="24"/>
        </w:rPr>
        <w:t xml:space="preserve"> 2022).  </w:t>
      </w:r>
      <w:r w:rsidRPr="008E4844">
        <w:rPr>
          <w:rFonts w:ascii="Times New Roman" w:hAnsi="Times New Roman" w:cs="Times New Roman"/>
          <w:sz w:val="24"/>
          <w:szCs w:val="24"/>
        </w:rPr>
        <w:t>This includes the role of Embassies and Governments, as well as potential charit</w:t>
      </w:r>
      <w:r w:rsidR="003F326F" w:rsidRPr="008E4844">
        <w:rPr>
          <w:rFonts w:ascii="Times New Roman" w:hAnsi="Times New Roman" w:cs="Times New Roman"/>
          <w:sz w:val="24"/>
          <w:szCs w:val="24"/>
        </w:rPr>
        <w:t>able</w:t>
      </w:r>
      <w:r w:rsidRPr="008E4844">
        <w:rPr>
          <w:rFonts w:ascii="Times New Roman" w:hAnsi="Times New Roman" w:cs="Times New Roman"/>
          <w:sz w:val="24"/>
          <w:szCs w:val="24"/>
        </w:rPr>
        <w:t xml:space="preserve"> and philanthrop</w:t>
      </w:r>
      <w:r w:rsidR="003F326F" w:rsidRPr="008E4844">
        <w:rPr>
          <w:rFonts w:ascii="Times New Roman" w:hAnsi="Times New Roman" w:cs="Times New Roman"/>
          <w:sz w:val="24"/>
          <w:szCs w:val="24"/>
        </w:rPr>
        <w:t>ic</w:t>
      </w:r>
      <w:r w:rsidRPr="008E4844">
        <w:rPr>
          <w:rFonts w:ascii="Times New Roman" w:hAnsi="Times New Roman" w:cs="Times New Roman"/>
          <w:sz w:val="24"/>
          <w:szCs w:val="24"/>
        </w:rPr>
        <w:t xml:space="preserve"> sources of funding. </w:t>
      </w:r>
      <w:r w:rsidR="00D846FC" w:rsidRPr="008E4844">
        <w:rPr>
          <w:rFonts w:ascii="Times New Roman" w:hAnsi="Times New Roman" w:cs="Times New Roman"/>
          <w:sz w:val="24"/>
          <w:szCs w:val="24"/>
        </w:rPr>
        <w:t xml:space="preserve"> Alongside the</w:t>
      </w:r>
      <w:r w:rsidR="003207E6" w:rsidRPr="008E4844">
        <w:rPr>
          <w:rFonts w:ascii="Times New Roman" w:hAnsi="Times New Roman" w:cs="Times New Roman"/>
          <w:sz w:val="24"/>
          <w:szCs w:val="24"/>
        </w:rPr>
        <w:t xml:space="preserve"> focus on international </w:t>
      </w:r>
      <w:r w:rsidR="00B84EE0" w:rsidRPr="008E4844">
        <w:rPr>
          <w:rFonts w:ascii="Times New Roman" w:hAnsi="Times New Roman" w:cs="Times New Roman"/>
          <w:sz w:val="24"/>
          <w:szCs w:val="24"/>
        </w:rPr>
        <w:t>patients</w:t>
      </w:r>
      <w:r w:rsidR="003207E6" w:rsidRPr="008E4844">
        <w:rPr>
          <w:rFonts w:ascii="Times New Roman" w:hAnsi="Times New Roman" w:cs="Times New Roman"/>
          <w:sz w:val="24"/>
          <w:szCs w:val="24"/>
        </w:rPr>
        <w:t xml:space="preserve">, </w:t>
      </w:r>
      <w:r w:rsidR="00B84EE0" w:rsidRPr="008E4844">
        <w:rPr>
          <w:rFonts w:ascii="Times New Roman" w:hAnsi="Times New Roman" w:cs="Times New Roman"/>
          <w:sz w:val="24"/>
          <w:szCs w:val="24"/>
        </w:rPr>
        <w:t>th</w:t>
      </w:r>
      <w:r w:rsidRPr="008E4844">
        <w:rPr>
          <w:rFonts w:ascii="Times New Roman" w:hAnsi="Times New Roman" w:cs="Times New Roman"/>
          <w:sz w:val="24"/>
          <w:szCs w:val="24"/>
        </w:rPr>
        <w:t xml:space="preserve">e emerging scope of wider commercialisation projects </w:t>
      </w:r>
      <w:r w:rsidRPr="008E4844">
        <w:rPr>
          <w:rFonts w:ascii="Times New Roman" w:hAnsi="Times New Roman" w:cs="Times New Roman"/>
          <w:sz w:val="24"/>
          <w:szCs w:val="24"/>
        </w:rPr>
        <w:lastRenderedPageBreak/>
        <w:t>(</w:t>
      </w:r>
      <w:r w:rsidR="00B84EE0" w:rsidRPr="008E4844">
        <w:rPr>
          <w:rFonts w:ascii="Times New Roman" w:hAnsi="Times New Roman" w:cs="Times New Roman"/>
          <w:sz w:val="24"/>
          <w:szCs w:val="24"/>
        </w:rPr>
        <w:t xml:space="preserve">including </w:t>
      </w:r>
      <w:r w:rsidR="003207E6" w:rsidRPr="008E4844">
        <w:rPr>
          <w:rFonts w:ascii="Times New Roman" w:hAnsi="Times New Roman" w:cs="Times New Roman"/>
          <w:sz w:val="24"/>
          <w:szCs w:val="24"/>
        </w:rPr>
        <w:t>clinical trial</w:t>
      </w:r>
      <w:r w:rsidR="00B84EE0" w:rsidRPr="008E4844">
        <w:rPr>
          <w:rFonts w:ascii="Times New Roman" w:hAnsi="Times New Roman" w:cs="Times New Roman"/>
          <w:sz w:val="24"/>
          <w:szCs w:val="24"/>
        </w:rPr>
        <w:t>s</w:t>
      </w:r>
      <w:r w:rsidR="003207E6" w:rsidRPr="008E4844">
        <w:rPr>
          <w:rFonts w:ascii="Times New Roman" w:hAnsi="Times New Roman" w:cs="Times New Roman"/>
          <w:sz w:val="24"/>
          <w:szCs w:val="24"/>
        </w:rPr>
        <w:t>, IP and education) would also benefit from more detailed exploration.</w:t>
      </w:r>
      <w:r w:rsidRPr="008E4844">
        <w:rPr>
          <w:rFonts w:ascii="Times New Roman" w:hAnsi="Times New Roman" w:cs="Times New Roman"/>
          <w:sz w:val="24"/>
          <w:szCs w:val="24"/>
        </w:rPr>
        <w:t xml:space="preserve">  </w:t>
      </w:r>
    </w:p>
    <w:p w14:paraId="50DF022E" w14:textId="1B4910C7" w:rsidR="001D5E91" w:rsidRPr="008E4844" w:rsidRDefault="000E4C9C"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Whilst NHS funding retains broad public support (</w:t>
      </w:r>
      <w:proofErr w:type="spellStart"/>
      <w:r w:rsidRPr="008E4844">
        <w:rPr>
          <w:rFonts w:ascii="Times New Roman" w:hAnsi="Times New Roman" w:cs="Times New Roman"/>
          <w:sz w:val="24"/>
          <w:szCs w:val="24"/>
        </w:rPr>
        <w:t>Buzelli</w:t>
      </w:r>
      <w:proofErr w:type="spellEnd"/>
      <w:r w:rsidRPr="008E4844">
        <w:rPr>
          <w:rFonts w:ascii="Times New Roman" w:hAnsi="Times New Roman" w:cs="Times New Roman"/>
          <w:sz w:val="24"/>
          <w:szCs w:val="24"/>
        </w:rPr>
        <w:t xml:space="preserve"> </w:t>
      </w:r>
      <w:r w:rsidR="00F93BD9" w:rsidRPr="008E4844">
        <w:rPr>
          <w:rFonts w:ascii="Times New Roman" w:hAnsi="Times New Roman" w:cs="Times New Roman"/>
          <w:sz w:val="24"/>
          <w:szCs w:val="24"/>
        </w:rPr>
        <w:t xml:space="preserve">et al. </w:t>
      </w:r>
      <w:r w:rsidRPr="008E4844">
        <w:rPr>
          <w:rFonts w:ascii="Times New Roman" w:hAnsi="Times New Roman" w:cs="Times New Roman"/>
          <w:sz w:val="24"/>
          <w:szCs w:val="24"/>
        </w:rPr>
        <w:t xml:space="preserve">2022), we know little about public and professional perceptions of NHS commercial strategies.  </w:t>
      </w:r>
      <w:r w:rsidR="002F781A" w:rsidRPr="008E4844">
        <w:rPr>
          <w:rFonts w:ascii="Times New Roman" w:hAnsi="Times New Roman" w:cs="Times New Roman"/>
          <w:sz w:val="24"/>
          <w:szCs w:val="24"/>
        </w:rPr>
        <w:t>To what exten</w:t>
      </w:r>
      <w:r w:rsidR="00B563E1" w:rsidRPr="008E4844">
        <w:rPr>
          <w:rFonts w:ascii="Times New Roman" w:hAnsi="Times New Roman" w:cs="Times New Roman"/>
          <w:sz w:val="24"/>
          <w:szCs w:val="24"/>
        </w:rPr>
        <w:t>t do</w:t>
      </w:r>
      <w:r w:rsidR="002F781A" w:rsidRPr="008E4844">
        <w:rPr>
          <w:rFonts w:ascii="Times New Roman" w:hAnsi="Times New Roman" w:cs="Times New Roman"/>
          <w:sz w:val="24"/>
          <w:szCs w:val="24"/>
        </w:rPr>
        <w:t xml:space="preserve"> commercial logics reported in the documents become internalised among all NHS staff </w:t>
      </w:r>
      <w:r w:rsidR="00B563E1" w:rsidRPr="008E4844">
        <w:rPr>
          <w:rFonts w:ascii="Times New Roman" w:hAnsi="Times New Roman" w:cs="Times New Roman"/>
          <w:sz w:val="24"/>
          <w:szCs w:val="24"/>
        </w:rPr>
        <w:t>for example</w:t>
      </w:r>
      <w:r w:rsidR="002F781A" w:rsidRPr="008E4844">
        <w:rPr>
          <w:rFonts w:ascii="Times New Roman" w:hAnsi="Times New Roman" w:cs="Times New Roman"/>
          <w:sz w:val="24"/>
          <w:szCs w:val="24"/>
        </w:rPr>
        <w:t xml:space="preserve"> (Hodgson et al</w:t>
      </w:r>
      <w:r w:rsidR="00437EA0">
        <w:rPr>
          <w:rFonts w:ascii="Times New Roman" w:hAnsi="Times New Roman" w:cs="Times New Roman"/>
          <w:sz w:val="24"/>
          <w:szCs w:val="24"/>
        </w:rPr>
        <w:t>.</w:t>
      </w:r>
      <w:r w:rsidR="002F781A" w:rsidRPr="008E4844">
        <w:rPr>
          <w:rFonts w:ascii="Times New Roman" w:hAnsi="Times New Roman" w:cs="Times New Roman"/>
          <w:sz w:val="24"/>
          <w:szCs w:val="24"/>
        </w:rPr>
        <w:t xml:space="preserve"> 2022</w:t>
      </w:r>
      <w:r w:rsidR="003C00D5">
        <w:rPr>
          <w:rFonts w:ascii="Times New Roman" w:hAnsi="Times New Roman" w:cs="Times New Roman"/>
          <w:sz w:val="24"/>
          <w:szCs w:val="24"/>
        </w:rPr>
        <w:t>; Merz et al. 2024</w:t>
      </w:r>
      <w:r w:rsidR="002F781A" w:rsidRPr="008E4844">
        <w:rPr>
          <w:rFonts w:ascii="Times New Roman" w:hAnsi="Times New Roman" w:cs="Times New Roman"/>
          <w:sz w:val="24"/>
          <w:szCs w:val="24"/>
        </w:rPr>
        <w:t xml:space="preserve">).  </w:t>
      </w:r>
      <w:r w:rsidR="005A24D7" w:rsidRPr="008E4844">
        <w:rPr>
          <w:rFonts w:ascii="Times New Roman" w:hAnsi="Times New Roman" w:cs="Times New Roman"/>
          <w:sz w:val="24"/>
          <w:szCs w:val="24"/>
        </w:rPr>
        <w:t>Enhanc</w:t>
      </w:r>
      <w:r w:rsidR="00236749" w:rsidRPr="008E4844">
        <w:rPr>
          <w:rFonts w:ascii="Times New Roman" w:hAnsi="Times New Roman" w:cs="Times New Roman"/>
          <w:sz w:val="24"/>
          <w:szCs w:val="24"/>
        </w:rPr>
        <w:t>ing</w:t>
      </w:r>
      <w:r w:rsidR="005A24D7" w:rsidRPr="008E4844">
        <w:rPr>
          <w:rFonts w:ascii="Times New Roman" w:hAnsi="Times New Roman" w:cs="Times New Roman"/>
          <w:sz w:val="24"/>
          <w:szCs w:val="24"/>
        </w:rPr>
        <w:t xml:space="preserve"> NHS services </w:t>
      </w:r>
      <w:r w:rsidR="00236749" w:rsidRPr="008E4844">
        <w:rPr>
          <w:rFonts w:ascii="Times New Roman" w:hAnsi="Times New Roman" w:cs="Times New Roman"/>
          <w:sz w:val="24"/>
          <w:szCs w:val="24"/>
        </w:rPr>
        <w:t xml:space="preserve">may lead to </w:t>
      </w:r>
      <w:r w:rsidR="005A24D7" w:rsidRPr="008E4844">
        <w:rPr>
          <w:rFonts w:ascii="Times New Roman" w:hAnsi="Times New Roman" w:cs="Times New Roman"/>
          <w:sz w:val="24"/>
          <w:szCs w:val="24"/>
        </w:rPr>
        <w:t>further changes in the organisational structures, processes and culture of the NHS which might undermine that aim. This might involve focusing on areas of activity (</w:t>
      </w:r>
      <w:proofErr w:type="spellStart"/>
      <w:r w:rsidR="005A24D7" w:rsidRPr="008E4844">
        <w:rPr>
          <w:rFonts w:ascii="Times New Roman" w:hAnsi="Times New Roman" w:cs="Times New Roman"/>
          <w:i/>
          <w:sz w:val="24"/>
          <w:szCs w:val="24"/>
        </w:rPr>
        <w:t>eg</w:t>
      </w:r>
      <w:r w:rsidR="005A24D7" w:rsidRPr="008E4844">
        <w:rPr>
          <w:rFonts w:ascii="Times New Roman" w:hAnsi="Times New Roman" w:cs="Times New Roman"/>
          <w:sz w:val="24"/>
          <w:szCs w:val="24"/>
        </w:rPr>
        <w:t>.</w:t>
      </w:r>
      <w:proofErr w:type="spellEnd"/>
      <w:r w:rsidR="005A24D7" w:rsidRPr="008E4844">
        <w:rPr>
          <w:rFonts w:ascii="Times New Roman" w:hAnsi="Times New Roman" w:cs="Times New Roman"/>
          <w:sz w:val="24"/>
          <w:szCs w:val="24"/>
        </w:rPr>
        <w:t xml:space="preserve"> specific disease or populations groups) which would facilitate more commercial opportunities. Organisational attention might thus be skewed towards more ‘profitable’ areas, especially i</w:t>
      </w:r>
      <w:r w:rsidR="006930C4">
        <w:rPr>
          <w:rFonts w:ascii="Times New Roman" w:hAnsi="Times New Roman" w:cs="Times New Roman"/>
          <w:sz w:val="24"/>
          <w:szCs w:val="24"/>
        </w:rPr>
        <w:t>f</w:t>
      </w:r>
      <w:r w:rsidR="005A24D7" w:rsidRPr="008E4844">
        <w:rPr>
          <w:rFonts w:ascii="Times New Roman" w:hAnsi="Times New Roman" w:cs="Times New Roman"/>
          <w:sz w:val="24"/>
          <w:szCs w:val="24"/>
        </w:rPr>
        <w:t xml:space="preserve"> undertaken as part of a joint venture or formal partnership. There is thus a paradox between the need (identified by Trusts) to increase commercial income precisely to support or maintain existing NHS services. In doing so, these organisations may unwittingly help to accelerate (further) the commercialisation of the NHS. This paradox may still apply even though these Trusts may not necessarily breach the cap set by HSCA.</w:t>
      </w:r>
      <w:r w:rsidR="00236749" w:rsidRPr="008E4844">
        <w:rPr>
          <w:rFonts w:ascii="Times New Roman" w:hAnsi="Times New Roman" w:cs="Times New Roman"/>
          <w:sz w:val="24"/>
          <w:szCs w:val="24"/>
        </w:rPr>
        <w:t xml:space="preserve">  </w:t>
      </w:r>
      <w:r w:rsidR="002F781A" w:rsidRPr="008E4844">
        <w:rPr>
          <w:rFonts w:ascii="Times New Roman" w:hAnsi="Times New Roman" w:cs="Times New Roman"/>
          <w:sz w:val="24"/>
          <w:szCs w:val="24"/>
        </w:rPr>
        <w:t>Much would depend on the role of agency; if NHS staff might feel that commercialisation was the ‘only’ way of retaining a public service logic, then this might be different to those staff who pursue an avowedly commercial logic from the outset (as manifest in organisational documents).</w:t>
      </w:r>
      <w:r w:rsidR="00675FED" w:rsidRPr="008E4844">
        <w:rPr>
          <w:rFonts w:ascii="Times New Roman" w:hAnsi="Times New Roman" w:cs="Times New Roman"/>
          <w:sz w:val="24"/>
          <w:szCs w:val="24"/>
        </w:rPr>
        <w:t xml:space="preserve">  </w:t>
      </w:r>
      <w:r w:rsidR="001D5E91" w:rsidRPr="008E4844">
        <w:rPr>
          <w:rFonts w:ascii="Times New Roman" w:hAnsi="Times New Roman" w:cs="Times New Roman"/>
          <w:sz w:val="24"/>
          <w:szCs w:val="24"/>
        </w:rPr>
        <w:t xml:space="preserve">This agential focus can, however, distract attention from the effects of decentralisation by successive governments, thereby framing NHS financial crises as </w:t>
      </w:r>
      <w:r w:rsidR="004C08EC">
        <w:rPr>
          <w:rFonts w:ascii="Times New Roman" w:hAnsi="Times New Roman" w:cs="Times New Roman"/>
          <w:sz w:val="24"/>
          <w:szCs w:val="24"/>
        </w:rPr>
        <w:t>‘</w:t>
      </w:r>
      <w:r w:rsidR="001D5E91" w:rsidRPr="008E4844">
        <w:rPr>
          <w:rFonts w:ascii="Times New Roman" w:hAnsi="Times New Roman" w:cs="Times New Roman"/>
          <w:sz w:val="24"/>
          <w:szCs w:val="24"/>
        </w:rPr>
        <w:t xml:space="preserve">local’ issues rather than systemic failings. </w:t>
      </w:r>
    </w:p>
    <w:p w14:paraId="21D449BE" w14:textId="77777777" w:rsidR="002F781A" w:rsidRPr="008E4844" w:rsidRDefault="002F781A" w:rsidP="00615E9D">
      <w:pPr>
        <w:spacing w:before="100" w:beforeAutospacing="1" w:after="100" w:afterAutospacing="1" w:line="360" w:lineRule="auto"/>
        <w:rPr>
          <w:rFonts w:ascii="Times New Roman" w:hAnsi="Times New Roman" w:cs="Times New Roman"/>
          <w:sz w:val="24"/>
          <w:szCs w:val="24"/>
        </w:rPr>
      </w:pPr>
    </w:p>
    <w:p w14:paraId="480AC7AA" w14:textId="7D1C3F6D" w:rsidR="00656B33" w:rsidRPr="008E4844" w:rsidRDefault="000E4C9C" w:rsidP="00615E9D">
      <w:pPr>
        <w:spacing w:before="100" w:beforeAutospacing="1" w:after="100" w:afterAutospacing="1" w:line="360" w:lineRule="auto"/>
        <w:rPr>
          <w:rFonts w:ascii="Times New Roman" w:hAnsi="Times New Roman" w:cs="Times New Roman"/>
          <w:b/>
          <w:sz w:val="24"/>
          <w:szCs w:val="24"/>
        </w:rPr>
      </w:pPr>
      <w:r w:rsidRPr="008E4844">
        <w:rPr>
          <w:rFonts w:ascii="Times New Roman" w:hAnsi="Times New Roman" w:cs="Times New Roman"/>
          <w:b/>
          <w:sz w:val="24"/>
          <w:szCs w:val="24"/>
        </w:rPr>
        <w:t>Conclusions</w:t>
      </w:r>
    </w:p>
    <w:p w14:paraId="33A5C246" w14:textId="3FCE6296" w:rsidR="00FB335E" w:rsidRPr="008E4844" w:rsidRDefault="00073E89"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As </w:t>
      </w:r>
      <w:r w:rsidR="00D846FC" w:rsidRPr="008E4844">
        <w:rPr>
          <w:rFonts w:ascii="Times New Roman" w:hAnsi="Times New Roman" w:cs="Times New Roman"/>
          <w:sz w:val="24"/>
          <w:szCs w:val="24"/>
        </w:rPr>
        <w:t xml:space="preserve">our </w:t>
      </w:r>
      <w:r w:rsidR="008E4844" w:rsidRPr="008E4844">
        <w:rPr>
          <w:rFonts w:ascii="Times New Roman" w:hAnsi="Times New Roman" w:cs="Times New Roman"/>
          <w:sz w:val="24"/>
          <w:szCs w:val="24"/>
        </w:rPr>
        <w:t xml:space="preserve">case </w:t>
      </w:r>
      <w:r w:rsidR="00D846FC" w:rsidRPr="008E4844">
        <w:rPr>
          <w:rFonts w:ascii="Times New Roman" w:hAnsi="Times New Roman" w:cs="Times New Roman"/>
          <w:sz w:val="24"/>
          <w:szCs w:val="24"/>
        </w:rPr>
        <w:t xml:space="preserve">study of </w:t>
      </w:r>
      <w:r w:rsidR="00B80836" w:rsidRPr="008E4844">
        <w:rPr>
          <w:rFonts w:ascii="Times New Roman" w:hAnsi="Times New Roman" w:cs="Times New Roman"/>
          <w:sz w:val="24"/>
          <w:szCs w:val="24"/>
        </w:rPr>
        <w:t xml:space="preserve">GOSH </w:t>
      </w:r>
      <w:r w:rsidRPr="008E4844">
        <w:rPr>
          <w:rFonts w:ascii="Times New Roman" w:hAnsi="Times New Roman" w:cs="Times New Roman"/>
          <w:sz w:val="24"/>
          <w:szCs w:val="24"/>
        </w:rPr>
        <w:t xml:space="preserve">illustrates, </w:t>
      </w:r>
      <w:r w:rsidR="00615E9D" w:rsidRPr="008E4844">
        <w:rPr>
          <w:rFonts w:ascii="Times New Roman" w:hAnsi="Times New Roman" w:cs="Times New Roman"/>
          <w:sz w:val="24"/>
          <w:szCs w:val="24"/>
        </w:rPr>
        <w:t>several</w:t>
      </w:r>
      <w:r w:rsidRPr="008E4844">
        <w:rPr>
          <w:rFonts w:ascii="Times New Roman" w:hAnsi="Times New Roman" w:cs="Times New Roman"/>
          <w:sz w:val="24"/>
          <w:szCs w:val="24"/>
        </w:rPr>
        <w:t xml:space="preserve"> specialist </w:t>
      </w:r>
      <w:r w:rsidR="00656B33" w:rsidRPr="008E4844">
        <w:rPr>
          <w:rFonts w:ascii="Times New Roman" w:hAnsi="Times New Roman" w:cs="Times New Roman"/>
          <w:sz w:val="24"/>
          <w:szCs w:val="24"/>
        </w:rPr>
        <w:t>NHS organisations are becoming more entrepreneurial in their activities, in terms of commercial income</w:t>
      </w:r>
      <w:r w:rsidR="000A627E">
        <w:rPr>
          <w:rFonts w:ascii="Times New Roman" w:hAnsi="Times New Roman" w:cs="Times New Roman"/>
          <w:sz w:val="24"/>
          <w:szCs w:val="24"/>
        </w:rPr>
        <w:t xml:space="preserve"> where commercial capabilities, motivations and opportunities align</w:t>
      </w:r>
      <w:r w:rsidR="00656B33" w:rsidRPr="008E4844">
        <w:rPr>
          <w:rFonts w:ascii="Times New Roman" w:hAnsi="Times New Roman" w:cs="Times New Roman"/>
          <w:sz w:val="24"/>
          <w:szCs w:val="24"/>
        </w:rPr>
        <w:t xml:space="preserve">. Commercial logics are thus becoming hard-wired into NHS accounting systems. We have discerned a shift in language to justify such income and explored how they justified such entrepreneurialism with a public service ethos. </w:t>
      </w:r>
      <w:r w:rsidR="008E4844" w:rsidRPr="008E4844">
        <w:rPr>
          <w:rFonts w:ascii="Times New Roman" w:hAnsi="Times New Roman" w:cs="Times New Roman"/>
          <w:sz w:val="24"/>
          <w:szCs w:val="24"/>
        </w:rPr>
        <w:t>Further evidence needs to corroborate such provisional findings from GOSH</w:t>
      </w:r>
      <w:r w:rsidR="000A627E">
        <w:rPr>
          <w:rFonts w:ascii="Times New Roman" w:hAnsi="Times New Roman" w:cs="Times New Roman"/>
          <w:sz w:val="24"/>
          <w:szCs w:val="24"/>
        </w:rPr>
        <w:t xml:space="preserve"> and to explore whether and how commercialisation is developing in non-specialist and non-acute settings</w:t>
      </w:r>
      <w:r w:rsidR="008E4844" w:rsidRPr="008E4844">
        <w:rPr>
          <w:rFonts w:ascii="Times New Roman" w:hAnsi="Times New Roman" w:cs="Times New Roman"/>
          <w:sz w:val="24"/>
          <w:szCs w:val="24"/>
        </w:rPr>
        <w:t>.</w:t>
      </w:r>
      <w:r w:rsidR="000A627E">
        <w:rPr>
          <w:rFonts w:ascii="Times New Roman" w:hAnsi="Times New Roman" w:cs="Times New Roman"/>
          <w:sz w:val="24"/>
          <w:szCs w:val="24"/>
        </w:rPr>
        <w:t xml:space="preserve">  Understanding such activities through the three lenses of commercialisation (capabilities, </w:t>
      </w:r>
      <w:r w:rsidR="000A627E">
        <w:rPr>
          <w:rFonts w:ascii="Times New Roman" w:hAnsi="Times New Roman" w:cs="Times New Roman"/>
          <w:sz w:val="24"/>
          <w:szCs w:val="24"/>
        </w:rPr>
        <w:lastRenderedPageBreak/>
        <w:t xml:space="preserve">opportunities and motivations) </w:t>
      </w:r>
      <w:r w:rsidR="006B67ED">
        <w:rPr>
          <w:rFonts w:ascii="Times New Roman" w:hAnsi="Times New Roman" w:cs="Times New Roman"/>
          <w:sz w:val="24"/>
          <w:szCs w:val="24"/>
        </w:rPr>
        <w:t xml:space="preserve">offers a </w:t>
      </w:r>
      <w:r w:rsidR="005D3C01">
        <w:rPr>
          <w:rFonts w:ascii="Times New Roman" w:hAnsi="Times New Roman" w:cs="Times New Roman"/>
          <w:sz w:val="24"/>
          <w:szCs w:val="24"/>
        </w:rPr>
        <w:t>structural vantage that</w:t>
      </w:r>
      <w:r w:rsidR="00746C8A">
        <w:rPr>
          <w:rFonts w:ascii="Times New Roman" w:hAnsi="Times New Roman" w:cs="Times New Roman"/>
          <w:sz w:val="24"/>
          <w:szCs w:val="24"/>
        </w:rPr>
        <w:t xml:space="preserve"> complements the three agential roles of public entrepreneurship (</w:t>
      </w:r>
      <w:r w:rsidR="00746C8A" w:rsidRPr="00746C8A">
        <w:rPr>
          <w:rFonts w:ascii="Times New Roman" w:hAnsi="Times New Roman" w:cs="Times New Roman"/>
          <w:sz w:val="24"/>
          <w:szCs w:val="24"/>
        </w:rPr>
        <w:t>stakeholder, entrepreneurial and political</w:t>
      </w:r>
      <w:r w:rsidR="00746C8A">
        <w:rPr>
          <w:rFonts w:ascii="Times New Roman" w:hAnsi="Times New Roman" w:cs="Times New Roman"/>
          <w:sz w:val="24"/>
          <w:szCs w:val="24"/>
        </w:rPr>
        <w:t>) (Currie et al. 2008</w:t>
      </w:r>
      <w:proofErr w:type="gramStart"/>
      <w:r w:rsidR="00746C8A">
        <w:rPr>
          <w:rFonts w:ascii="Times New Roman" w:hAnsi="Times New Roman" w:cs="Times New Roman"/>
          <w:sz w:val="24"/>
          <w:szCs w:val="24"/>
        </w:rPr>
        <w:t>)</w:t>
      </w:r>
      <w:r w:rsidR="006B67ED">
        <w:rPr>
          <w:rFonts w:ascii="Times New Roman" w:hAnsi="Times New Roman" w:cs="Times New Roman"/>
          <w:sz w:val="24"/>
          <w:szCs w:val="24"/>
        </w:rPr>
        <w:t>.</w:t>
      </w:r>
      <w:r w:rsidR="00656B33" w:rsidRPr="008E4844">
        <w:rPr>
          <w:rFonts w:ascii="Times New Roman" w:hAnsi="Times New Roman" w:cs="Times New Roman"/>
          <w:sz w:val="24"/>
          <w:szCs w:val="24"/>
        </w:rPr>
        <w:t>Whilst</w:t>
      </w:r>
      <w:proofErr w:type="gramEnd"/>
      <w:r w:rsidR="00656B33" w:rsidRPr="008E4844">
        <w:rPr>
          <w:rFonts w:ascii="Times New Roman" w:hAnsi="Times New Roman" w:cs="Times New Roman"/>
          <w:sz w:val="24"/>
          <w:szCs w:val="24"/>
        </w:rPr>
        <w:t xml:space="preserve"> the majority of funding will still come from public/state sources</w:t>
      </w:r>
      <w:r w:rsidR="00F55491" w:rsidRPr="008E4844">
        <w:rPr>
          <w:rFonts w:ascii="Times New Roman" w:hAnsi="Times New Roman" w:cs="Times New Roman"/>
          <w:sz w:val="24"/>
          <w:szCs w:val="24"/>
        </w:rPr>
        <w:t xml:space="preserve"> it is </w:t>
      </w:r>
      <w:r w:rsidR="00656B33" w:rsidRPr="008E4844">
        <w:rPr>
          <w:rFonts w:ascii="Times New Roman" w:hAnsi="Times New Roman" w:cs="Times New Roman"/>
          <w:sz w:val="24"/>
          <w:szCs w:val="24"/>
        </w:rPr>
        <w:t xml:space="preserve">implementing entrepreneurial strategies which are seen as essential to underpin core NHS services. In turn, this will re-orient the organisations and their staff with a potentially detrimental effect upon a public service logic. </w:t>
      </w:r>
    </w:p>
    <w:p w14:paraId="261C5754" w14:textId="6BA8E38A" w:rsidR="00F55491" w:rsidRPr="008E4844" w:rsidRDefault="003735BE" w:rsidP="00615E9D">
      <w:pPr>
        <w:spacing w:before="100" w:beforeAutospacing="1" w:after="100" w:afterAutospacing="1" w:line="360" w:lineRule="auto"/>
        <w:rPr>
          <w:rFonts w:ascii="Times New Roman" w:hAnsi="Times New Roman" w:cs="Times New Roman"/>
          <w:sz w:val="24"/>
          <w:szCs w:val="24"/>
        </w:rPr>
      </w:pPr>
      <w:r w:rsidRPr="008E4844">
        <w:rPr>
          <w:rFonts w:ascii="Times New Roman" w:hAnsi="Times New Roman" w:cs="Times New Roman"/>
          <w:sz w:val="24"/>
          <w:szCs w:val="24"/>
        </w:rPr>
        <w:t xml:space="preserve">We ask whether the development of this commercial logic will foster a more hybrid logic in which a public service logic is inter-linked with (and possibly inter-dependent upon) a commercial one, as Polanyi’s </w:t>
      </w:r>
      <w:r w:rsidR="004C08EC">
        <w:rPr>
          <w:rFonts w:ascii="Times New Roman" w:hAnsi="Times New Roman" w:cs="Times New Roman"/>
          <w:sz w:val="24"/>
          <w:szCs w:val="24"/>
        </w:rPr>
        <w:t>‘</w:t>
      </w:r>
      <w:r w:rsidRPr="008E4844">
        <w:rPr>
          <w:rFonts w:ascii="Times New Roman" w:hAnsi="Times New Roman" w:cs="Times New Roman"/>
          <w:sz w:val="24"/>
          <w:szCs w:val="24"/>
        </w:rPr>
        <w:t xml:space="preserve">double movement’ thesis might imply. </w:t>
      </w:r>
      <w:r w:rsidR="00FB335E" w:rsidRPr="008E4844">
        <w:rPr>
          <w:rFonts w:ascii="Times New Roman" w:hAnsi="Times New Roman" w:cs="Times New Roman"/>
          <w:sz w:val="24"/>
          <w:szCs w:val="24"/>
        </w:rPr>
        <w:t xml:space="preserve">Both would seem to rely on each other for their effective functioning; the public service logic needs a commercial income to support its activities whilst the commercial logic requires the reputation and infrastructure of the NHS.   The inter-dependency and hybridity of these competing logics might denote a more pervasive effect upon the NHS. Rather than implementing (often controversial) government reforms or (even more controversially) privatisation, the commercialisation of the NHS is a more insidious process such that it normalises such activities and recasts NHS activity in terms of commercial opportunities. External top-down reform becomes redundant if NHS organisations themselves normalise the commercial logic; external reform is obviated in favour of reform from within. This will have consequences for aspects of public service logics such as staff identity and morale, and public perceptions of the NHS as a public institution. </w:t>
      </w:r>
      <w:r w:rsidR="00F55491" w:rsidRPr="008E4844">
        <w:rPr>
          <w:rFonts w:ascii="Times New Roman" w:hAnsi="Times New Roman" w:cs="Times New Roman"/>
          <w:sz w:val="24"/>
          <w:szCs w:val="24"/>
        </w:rPr>
        <w:t xml:space="preserve"> </w:t>
      </w:r>
      <w:r w:rsidR="006B67ED">
        <w:rPr>
          <w:rFonts w:ascii="Times New Roman" w:hAnsi="Times New Roman" w:cs="Times New Roman"/>
          <w:sz w:val="24"/>
          <w:szCs w:val="24"/>
        </w:rPr>
        <w:t xml:space="preserve">It will also have consequences for a single uniform NHS logic, as differences emerge in setting where there are varying combinations of capability, opportunity and motivations. </w:t>
      </w:r>
      <w:r w:rsidR="00F55491" w:rsidRPr="008E4844">
        <w:rPr>
          <w:rFonts w:ascii="Times New Roman" w:hAnsi="Times New Roman" w:cs="Times New Roman"/>
          <w:sz w:val="24"/>
          <w:szCs w:val="24"/>
        </w:rPr>
        <w:t xml:space="preserve">Despite its place as a world-leading institution with an established reputation for quality and innovation, GOSH is </w:t>
      </w:r>
      <w:r w:rsidR="003F326F" w:rsidRPr="008E4844">
        <w:rPr>
          <w:rFonts w:ascii="Times New Roman" w:hAnsi="Times New Roman" w:cs="Times New Roman"/>
          <w:sz w:val="24"/>
          <w:szCs w:val="24"/>
        </w:rPr>
        <w:t xml:space="preserve">facing </w:t>
      </w:r>
      <w:r w:rsidR="00D846FC" w:rsidRPr="008E4844">
        <w:rPr>
          <w:rFonts w:ascii="Times New Roman" w:hAnsi="Times New Roman" w:cs="Times New Roman"/>
          <w:sz w:val="24"/>
          <w:szCs w:val="24"/>
        </w:rPr>
        <w:t>the</w:t>
      </w:r>
      <w:r w:rsidR="00F55491" w:rsidRPr="008E4844">
        <w:rPr>
          <w:rFonts w:ascii="Times New Roman" w:hAnsi="Times New Roman" w:cs="Times New Roman"/>
          <w:sz w:val="24"/>
          <w:szCs w:val="24"/>
        </w:rPr>
        <w:t xml:space="preserve"> challenge of resource constraint and staff</w:t>
      </w:r>
      <w:r w:rsidR="003F326F" w:rsidRPr="008E4844">
        <w:rPr>
          <w:rFonts w:ascii="Times New Roman" w:hAnsi="Times New Roman" w:cs="Times New Roman"/>
          <w:sz w:val="24"/>
          <w:szCs w:val="24"/>
        </w:rPr>
        <w:t xml:space="preserve">ing </w:t>
      </w:r>
      <w:r w:rsidR="00F55491" w:rsidRPr="008E4844">
        <w:rPr>
          <w:rFonts w:ascii="Times New Roman" w:hAnsi="Times New Roman" w:cs="Times New Roman"/>
          <w:sz w:val="24"/>
          <w:szCs w:val="24"/>
        </w:rPr>
        <w:t xml:space="preserve">that afflict the wider NHS.  The interplay of capability, opportunity and motivation will shape its place in the global market for paediatric services.  </w:t>
      </w:r>
    </w:p>
    <w:p w14:paraId="02F51BFE" w14:textId="77777777" w:rsidR="00F55491" w:rsidRDefault="00F55491" w:rsidP="00615E9D">
      <w:pPr>
        <w:spacing w:after="0" w:line="480" w:lineRule="auto"/>
        <w:rPr>
          <w:rFonts w:ascii="Times New Roman" w:hAnsi="Times New Roman" w:cs="Times New Roman"/>
          <w:sz w:val="24"/>
          <w:szCs w:val="24"/>
        </w:rPr>
      </w:pPr>
    </w:p>
    <w:p w14:paraId="3D13DB34" w14:textId="77777777" w:rsidR="006930C4" w:rsidRDefault="006930C4" w:rsidP="006930C4">
      <w:pPr>
        <w:rPr>
          <w:rFonts w:ascii="Times New Roman" w:hAnsi="Times New Roman" w:cs="Times New Roman"/>
          <w:sz w:val="24"/>
          <w:szCs w:val="24"/>
        </w:rPr>
      </w:pPr>
      <w:r w:rsidRPr="006930C4">
        <w:rPr>
          <w:rFonts w:ascii="Times New Roman" w:hAnsi="Times New Roman" w:cs="Times New Roman"/>
          <w:b/>
          <w:bCs/>
          <w:sz w:val="24"/>
          <w:szCs w:val="24"/>
        </w:rPr>
        <w:t>Acknowledgements</w:t>
      </w:r>
    </w:p>
    <w:p w14:paraId="60487C6D" w14:textId="6855C282" w:rsidR="006930C4" w:rsidRPr="006930C4" w:rsidRDefault="006930C4" w:rsidP="006930C4">
      <w:pPr>
        <w:rPr>
          <w:rFonts w:ascii="Times New Roman" w:hAnsi="Times New Roman" w:cs="Times New Roman"/>
          <w:sz w:val="24"/>
          <w:szCs w:val="24"/>
        </w:rPr>
      </w:pPr>
      <w:r w:rsidRPr="006930C4">
        <w:rPr>
          <w:rFonts w:ascii="Times New Roman" w:hAnsi="Times New Roman" w:cs="Times New Roman"/>
          <w:sz w:val="24"/>
          <w:szCs w:val="24"/>
        </w:rPr>
        <w:t xml:space="preserve">An earlier version of this paper was presented at the symposium ‘Charity and Children’s Hospitals: Exceptionalism, Experiences, and Welfare’, held at the University of Strathclyde, 8th December 2023 (funded by the </w:t>
      </w:r>
      <w:proofErr w:type="spellStart"/>
      <w:r w:rsidRPr="006930C4">
        <w:rPr>
          <w:rFonts w:ascii="Times New Roman" w:hAnsi="Times New Roman" w:cs="Times New Roman"/>
          <w:sz w:val="24"/>
          <w:szCs w:val="24"/>
        </w:rPr>
        <w:t>Wellcome</w:t>
      </w:r>
      <w:proofErr w:type="spellEnd"/>
      <w:r w:rsidRPr="006930C4">
        <w:rPr>
          <w:rFonts w:ascii="Times New Roman" w:hAnsi="Times New Roman" w:cs="Times New Roman"/>
          <w:sz w:val="24"/>
          <w:szCs w:val="24"/>
        </w:rPr>
        <w:t xml:space="preserve"> Trust as part of the research project ‘Border Crossings: Charity and Voluntarism in Britain’s Mixed Economy of Welfare since 1948').  We acknowledge the helpful comments and suggestions from symposium participants, and </w:t>
      </w:r>
      <w:r w:rsidRPr="006930C4">
        <w:rPr>
          <w:rFonts w:ascii="Times New Roman" w:hAnsi="Times New Roman" w:cs="Times New Roman"/>
          <w:sz w:val="24"/>
          <w:szCs w:val="24"/>
        </w:rPr>
        <w:lastRenderedPageBreak/>
        <w:t xml:space="preserve">feedback from special issue editors on a full draft of the manuscript.  We thank journal reviewers for their very constructive comments.  </w:t>
      </w:r>
    </w:p>
    <w:p w14:paraId="100642DC" w14:textId="77777777" w:rsidR="00814836" w:rsidRPr="008E4844" w:rsidRDefault="00814836" w:rsidP="00D11245">
      <w:pPr>
        <w:spacing w:after="0" w:line="240" w:lineRule="auto"/>
        <w:rPr>
          <w:rFonts w:ascii="Times New Roman" w:hAnsi="Times New Roman" w:cs="Times New Roman"/>
          <w:b/>
          <w:bCs/>
          <w:sz w:val="24"/>
          <w:szCs w:val="24"/>
        </w:rPr>
      </w:pPr>
    </w:p>
    <w:p w14:paraId="39A3E0EB" w14:textId="31169E50" w:rsidR="00D11245" w:rsidRPr="008E4844" w:rsidRDefault="00322D5D" w:rsidP="00D11245">
      <w:pPr>
        <w:spacing w:after="0" w:line="240" w:lineRule="auto"/>
        <w:rPr>
          <w:rFonts w:ascii="Times New Roman" w:hAnsi="Times New Roman" w:cs="Times New Roman"/>
          <w:b/>
          <w:bCs/>
          <w:sz w:val="24"/>
          <w:szCs w:val="24"/>
        </w:rPr>
      </w:pPr>
      <w:r w:rsidRPr="008E4844">
        <w:rPr>
          <w:rFonts w:ascii="Times New Roman" w:hAnsi="Times New Roman" w:cs="Times New Roman"/>
          <w:b/>
          <w:bCs/>
          <w:sz w:val="24"/>
          <w:szCs w:val="24"/>
        </w:rPr>
        <w:t>References</w:t>
      </w:r>
    </w:p>
    <w:p w14:paraId="7E7F1362" w14:textId="77777777" w:rsidR="000F1029" w:rsidRPr="008E4844" w:rsidRDefault="000F1029" w:rsidP="00D11245">
      <w:pPr>
        <w:spacing w:after="0" w:line="240" w:lineRule="auto"/>
        <w:rPr>
          <w:rFonts w:ascii="Times New Roman" w:eastAsia="Times New Roman" w:hAnsi="Times New Roman" w:cs="Times New Roman"/>
          <w:kern w:val="0"/>
          <w:sz w:val="24"/>
          <w:szCs w:val="24"/>
          <w:lang w:eastAsia="en-GB"/>
          <w14:ligatures w14:val="none"/>
        </w:rPr>
      </w:pPr>
    </w:p>
    <w:p w14:paraId="416ADA06" w14:textId="16180B05" w:rsidR="00BC5FEC" w:rsidRPr="008E4844" w:rsidRDefault="00BC5FEC" w:rsidP="00BC5FEC">
      <w:pPr>
        <w:spacing w:after="0" w:line="240" w:lineRule="auto"/>
        <w:rPr>
          <w:rFonts w:ascii="Times New Roman" w:eastAsia="Times New Roman" w:hAnsi="Times New Roman" w:cs="Times New Roman"/>
          <w:kern w:val="0"/>
          <w:sz w:val="24"/>
          <w:szCs w:val="24"/>
          <w:lang w:eastAsia="en-GB"/>
          <w14:ligatures w14:val="none"/>
        </w:rPr>
      </w:pPr>
      <w:proofErr w:type="spellStart"/>
      <w:r w:rsidRPr="008E4844">
        <w:rPr>
          <w:rFonts w:ascii="Times New Roman" w:eastAsia="Times New Roman" w:hAnsi="Times New Roman" w:cs="Times New Roman"/>
          <w:kern w:val="0"/>
          <w:sz w:val="24"/>
          <w:szCs w:val="24"/>
          <w:lang w:eastAsia="en-GB"/>
          <w14:ligatures w14:val="none"/>
        </w:rPr>
        <w:t>Anandaciva</w:t>
      </w:r>
      <w:proofErr w:type="spellEnd"/>
      <w:r w:rsidRPr="008E4844">
        <w:rPr>
          <w:rFonts w:ascii="Times New Roman" w:eastAsia="Times New Roman" w:hAnsi="Times New Roman" w:cs="Times New Roman"/>
          <w:kern w:val="0"/>
          <w:sz w:val="24"/>
          <w:szCs w:val="24"/>
          <w:lang w:eastAsia="en-GB"/>
          <w14:ligatures w14:val="none"/>
        </w:rPr>
        <w:t xml:space="preserve">, Siva. 2024. “The Spring Budget 2024: Impact on Health and Care.” The King’s Fund. March 8, 2024. </w:t>
      </w:r>
      <w:hyperlink r:id="rId9" w:history="1">
        <w:r w:rsidR="0020151E" w:rsidRPr="008E4844">
          <w:rPr>
            <w:rStyle w:val="Hyperlink"/>
            <w:rFonts w:ascii="Times New Roman" w:eastAsia="Times New Roman" w:hAnsi="Times New Roman" w:cs="Times New Roman"/>
            <w:kern w:val="0"/>
            <w:sz w:val="24"/>
            <w:szCs w:val="24"/>
            <w:lang w:eastAsia="en-GB"/>
            <w14:ligatures w14:val="none"/>
          </w:rPr>
          <w:t>https://www.kingsfund.org.uk/insight-and-analysis/blogs/spring-budget-2024-health-care-services</w:t>
        </w:r>
      </w:hyperlink>
      <w:r w:rsidRPr="008E4844">
        <w:rPr>
          <w:rFonts w:ascii="Times New Roman" w:eastAsia="Times New Roman" w:hAnsi="Times New Roman" w:cs="Times New Roman"/>
          <w:kern w:val="0"/>
          <w:sz w:val="24"/>
          <w:szCs w:val="24"/>
          <w:lang w:eastAsia="en-GB"/>
          <w14:ligatures w14:val="none"/>
        </w:rPr>
        <w:t>.</w:t>
      </w:r>
    </w:p>
    <w:p w14:paraId="15063213" w14:textId="77777777" w:rsidR="0020151E" w:rsidRPr="008E4844" w:rsidRDefault="0020151E" w:rsidP="00BC5FEC">
      <w:pPr>
        <w:spacing w:after="0" w:line="240" w:lineRule="auto"/>
        <w:rPr>
          <w:rFonts w:ascii="Times New Roman" w:eastAsia="Times New Roman" w:hAnsi="Times New Roman" w:cs="Times New Roman"/>
          <w:kern w:val="0"/>
          <w:sz w:val="24"/>
          <w:szCs w:val="24"/>
          <w:lang w:eastAsia="en-GB"/>
          <w14:ligatures w14:val="none"/>
        </w:rPr>
      </w:pPr>
    </w:p>
    <w:p w14:paraId="601EA404" w14:textId="63FE3996" w:rsidR="0020151E" w:rsidRPr="008E4844" w:rsidRDefault="0020151E" w:rsidP="00BC5FEC">
      <w:pPr>
        <w:spacing w:after="0" w:line="240" w:lineRule="auto"/>
        <w:rPr>
          <w:rFonts w:ascii="Times New Roman" w:eastAsia="Times New Roman" w:hAnsi="Times New Roman" w:cs="Times New Roman"/>
          <w:sz w:val="24"/>
          <w:szCs w:val="24"/>
          <w:lang w:bidi="he-IL"/>
        </w:rPr>
      </w:pPr>
      <w:r w:rsidRPr="008E4844">
        <w:rPr>
          <w:rFonts w:ascii="Times New Roman" w:eastAsia="Times New Roman" w:hAnsi="Times New Roman" w:cs="Times New Roman"/>
          <w:sz w:val="24"/>
          <w:szCs w:val="24"/>
          <w:lang w:bidi="he-IL"/>
        </w:rPr>
        <w:t>Anon. “Private Medicine: The NHS’s Safety Valve.” 1991. </w:t>
      </w:r>
      <w:r w:rsidRPr="008E4844">
        <w:rPr>
          <w:rFonts w:ascii="Times New Roman" w:eastAsia="Times New Roman" w:hAnsi="Times New Roman" w:cs="Times New Roman"/>
          <w:i/>
          <w:iCs/>
          <w:sz w:val="24"/>
          <w:szCs w:val="24"/>
          <w:lang w:bidi="he-IL"/>
        </w:rPr>
        <w:t>BMJ</w:t>
      </w:r>
      <w:r w:rsidRPr="008E4844">
        <w:rPr>
          <w:rFonts w:ascii="Times New Roman" w:eastAsia="Times New Roman" w:hAnsi="Times New Roman" w:cs="Times New Roman"/>
          <w:sz w:val="24"/>
          <w:szCs w:val="24"/>
          <w:lang w:bidi="he-IL"/>
        </w:rPr>
        <w:t> 302 (6769): 164–65. https://doi.org/10.1136/bmj.302.6769.164.</w:t>
      </w:r>
    </w:p>
    <w:p w14:paraId="1D0DA7A2" w14:textId="133E0272" w:rsidR="000F1029" w:rsidRPr="008E4844" w:rsidRDefault="00BC5FEC" w:rsidP="00D11245">
      <w:pPr>
        <w:spacing w:after="0" w:line="240" w:lineRule="auto"/>
        <w:rPr>
          <w:rFonts w:ascii="Times New Roman" w:eastAsia="Times New Roman" w:hAnsi="Times New Roman" w:cs="Times New Roman"/>
          <w:kern w:val="0"/>
          <w:sz w:val="24"/>
          <w:szCs w:val="24"/>
          <w:lang w:eastAsia="en-GB"/>
          <w14:ligatures w14:val="none"/>
        </w:rPr>
      </w:pPr>
      <w:r w:rsidRPr="008E4844">
        <w:rPr>
          <w:rFonts w:ascii="Times New Roman" w:eastAsia="Times New Roman" w:hAnsi="Times New Roman" w:cs="Times New Roman"/>
          <w:kern w:val="0"/>
          <w:sz w:val="24"/>
          <w:szCs w:val="24"/>
          <w:lang w:eastAsia="en-GB"/>
          <w14:ligatures w14:val="none"/>
        </w:rPr>
        <w:t>‌</w:t>
      </w:r>
    </w:p>
    <w:p w14:paraId="2843677E" w14:textId="0F93F086" w:rsidR="00E02C7E" w:rsidRDefault="00E02C7E" w:rsidP="00E02C7E">
      <w:pPr>
        <w:spacing w:after="0" w:line="240" w:lineRule="auto"/>
        <w:rPr>
          <w:rFonts w:ascii="Times New Roman" w:eastAsia="Times New Roman" w:hAnsi="Times New Roman" w:cs="Times New Roman"/>
          <w:kern w:val="0"/>
          <w:sz w:val="24"/>
          <w:szCs w:val="24"/>
          <w:lang w:eastAsia="en-GB"/>
          <w14:ligatures w14:val="none"/>
        </w:rPr>
      </w:pPr>
      <w:r w:rsidRPr="008E4844">
        <w:rPr>
          <w:rFonts w:ascii="Times New Roman" w:eastAsia="Times New Roman" w:hAnsi="Times New Roman" w:cs="Times New Roman"/>
          <w:kern w:val="0"/>
          <w:sz w:val="24"/>
          <w:szCs w:val="24"/>
          <w:lang w:eastAsia="en-GB"/>
          <w14:ligatures w14:val="none"/>
        </w:rPr>
        <w:t xml:space="preserve">Baker, Catherine. 2014. “Beyond the Island </w:t>
      </w:r>
      <w:proofErr w:type="gramStart"/>
      <w:r w:rsidRPr="008E4844">
        <w:rPr>
          <w:rFonts w:ascii="Times New Roman" w:eastAsia="Times New Roman" w:hAnsi="Times New Roman" w:cs="Times New Roman"/>
          <w:kern w:val="0"/>
          <w:sz w:val="24"/>
          <w:szCs w:val="24"/>
          <w:lang w:eastAsia="en-GB"/>
          <w14:ligatures w14:val="none"/>
        </w:rPr>
        <w:t>Story?:</w:t>
      </w:r>
      <w:proofErr w:type="gramEnd"/>
      <w:r w:rsidRPr="008E4844">
        <w:rPr>
          <w:rFonts w:ascii="Times New Roman" w:eastAsia="Times New Roman" w:hAnsi="Times New Roman" w:cs="Times New Roman"/>
          <w:kern w:val="0"/>
          <w:sz w:val="24"/>
          <w:szCs w:val="24"/>
          <w:lang w:eastAsia="en-GB"/>
          <w14:ligatures w14:val="none"/>
        </w:rPr>
        <w:t xml:space="preserve"> The Opening Ceremony of the London 2012 Olympic Games as Public History.” </w:t>
      </w:r>
      <w:r w:rsidRPr="008E4844">
        <w:rPr>
          <w:rFonts w:ascii="Times New Roman" w:eastAsia="Times New Roman" w:hAnsi="Times New Roman" w:cs="Times New Roman"/>
          <w:i/>
          <w:iCs/>
          <w:kern w:val="0"/>
          <w:sz w:val="24"/>
          <w:szCs w:val="24"/>
          <w:lang w:eastAsia="en-GB"/>
          <w14:ligatures w14:val="none"/>
        </w:rPr>
        <w:t>Rethinking History</w:t>
      </w:r>
      <w:r w:rsidRPr="008E4844">
        <w:rPr>
          <w:rFonts w:ascii="Times New Roman" w:eastAsia="Times New Roman" w:hAnsi="Times New Roman" w:cs="Times New Roman"/>
          <w:kern w:val="0"/>
          <w:sz w:val="24"/>
          <w:szCs w:val="24"/>
          <w:lang w:eastAsia="en-GB"/>
          <w14:ligatures w14:val="none"/>
        </w:rPr>
        <w:t xml:space="preserve"> 19 (3): 409–28. </w:t>
      </w:r>
      <w:hyperlink r:id="rId10" w:history="1">
        <w:r w:rsidR="008528F2" w:rsidRPr="009118D6">
          <w:rPr>
            <w:rStyle w:val="Hyperlink"/>
            <w:rFonts w:ascii="Times New Roman" w:eastAsia="Times New Roman" w:hAnsi="Times New Roman" w:cs="Times New Roman"/>
            <w:kern w:val="0"/>
            <w:sz w:val="24"/>
            <w:szCs w:val="24"/>
            <w:lang w:eastAsia="en-GB"/>
            <w14:ligatures w14:val="none"/>
          </w:rPr>
          <w:t>https://doi.org/10.1080/13642529.2014.909674</w:t>
        </w:r>
      </w:hyperlink>
      <w:r w:rsidRPr="008E4844">
        <w:rPr>
          <w:rFonts w:ascii="Times New Roman" w:eastAsia="Times New Roman" w:hAnsi="Times New Roman" w:cs="Times New Roman"/>
          <w:kern w:val="0"/>
          <w:sz w:val="24"/>
          <w:szCs w:val="24"/>
          <w:lang w:eastAsia="en-GB"/>
          <w14:ligatures w14:val="none"/>
        </w:rPr>
        <w:t>.</w:t>
      </w:r>
    </w:p>
    <w:p w14:paraId="7971AAA9" w14:textId="77777777" w:rsidR="008528F2" w:rsidRDefault="008528F2" w:rsidP="00E02C7E">
      <w:pPr>
        <w:spacing w:after="0" w:line="240" w:lineRule="auto"/>
        <w:rPr>
          <w:rFonts w:ascii="Times New Roman" w:eastAsia="Times New Roman" w:hAnsi="Times New Roman" w:cs="Times New Roman"/>
          <w:kern w:val="0"/>
          <w:sz w:val="24"/>
          <w:szCs w:val="24"/>
          <w:lang w:eastAsia="en-GB"/>
          <w14:ligatures w14:val="none"/>
        </w:rPr>
      </w:pPr>
    </w:p>
    <w:p w14:paraId="4636E9F2" w14:textId="6C170466" w:rsidR="004C08EC" w:rsidRDefault="008528F2" w:rsidP="009D7277">
      <w:pPr>
        <w:spacing w:after="0" w:line="240" w:lineRule="auto"/>
        <w:rPr>
          <w:rFonts w:ascii="Times New Roman" w:eastAsia="Times New Roman" w:hAnsi="Times New Roman" w:cs="Times New Roman"/>
          <w:kern w:val="0"/>
          <w:sz w:val="24"/>
          <w:szCs w:val="24"/>
          <w:lang w:eastAsia="en-GB"/>
          <w14:ligatures w14:val="none"/>
        </w:rPr>
      </w:pPr>
      <w:r w:rsidRPr="008E4844">
        <w:rPr>
          <w:rFonts w:ascii="Times New Roman" w:hAnsi="Times New Roman" w:cs="Times New Roman"/>
          <w:i/>
          <w:iCs/>
          <w:sz w:val="24"/>
          <w:szCs w:val="24"/>
        </w:rPr>
        <w:t>BBC News</w:t>
      </w:r>
      <w:r w:rsidRPr="008E4844">
        <w:rPr>
          <w:rFonts w:ascii="Times New Roman" w:hAnsi="Times New Roman" w:cs="Times New Roman"/>
          <w:sz w:val="24"/>
          <w:szCs w:val="24"/>
        </w:rPr>
        <w:t>. 2024. “Bariatric Tourism Care Costs NHS More than Actual Surgery - Study,” January 15, 2024, sec. London. https://www.bbc.co.uk/news/uk-england-london-67946049.</w:t>
      </w:r>
    </w:p>
    <w:p w14:paraId="0C241BEA" w14:textId="77777777" w:rsidR="004C08EC" w:rsidRDefault="004C08EC" w:rsidP="009D7277">
      <w:pPr>
        <w:spacing w:after="0" w:line="240" w:lineRule="auto"/>
        <w:rPr>
          <w:rFonts w:ascii="Times New Roman" w:eastAsia="Times New Roman" w:hAnsi="Times New Roman" w:cs="Times New Roman"/>
          <w:kern w:val="0"/>
          <w:sz w:val="24"/>
          <w:szCs w:val="24"/>
          <w:lang w:eastAsia="en-GB"/>
          <w14:ligatures w14:val="none"/>
        </w:rPr>
      </w:pPr>
    </w:p>
    <w:p w14:paraId="7DB8884A" w14:textId="2D435BC3" w:rsidR="009D7277" w:rsidRPr="008E4844" w:rsidRDefault="009D7277" w:rsidP="009D7277">
      <w:pPr>
        <w:spacing w:after="0" w:line="240" w:lineRule="auto"/>
        <w:rPr>
          <w:rFonts w:ascii="Times New Roman" w:eastAsia="Times New Roman" w:hAnsi="Times New Roman" w:cs="Times New Roman"/>
          <w:kern w:val="0"/>
          <w:sz w:val="24"/>
          <w:szCs w:val="24"/>
          <w:lang w:eastAsia="en-GB"/>
          <w14:ligatures w14:val="none"/>
        </w:rPr>
      </w:pPr>
      <w:proofErr w:type="spellStart"/>
      <w:r w:rsidRPr="008E4844">
        <w:rPr>
          <w:rFonts w:ascii="Times New Roman" w:eastAsia="Times New Roman" w:hAnsi="Times New Roman" w:cs="Times New Roman"/>
          <w:kern w:val="0"/>
          <w:sz w:val="24"/>
          <w:szCs w:val="24"/>
          <w:lang w:eastAsia="en-GB"/>
          <w14:ligatures w14:val="none"/>
        </w:rPr>
        <w:t>Besharov</w:t>
      </w:r>
      <w:proofErr w:type="spellEnd"/>
      <w:r w:rsidRPr="008E4844">
        <w:rPr>
          <w:rFonts w:ascii="Times New Roman" w:eastAsia="Times New Roman" w:hAnsi="Times New Roman" w:cs="Times New Roman"/>
          <w:kern w:val="0"/>
          <w:sz w:val="24"/>
          <w:szCs w:val="24"/>
          <w:lang w:eastAsia="en-GB"/>
          <w14:ligatures w14:val="none"/>
        </w:rPr>
        <w:t>, Marya L., and Wendy K. Smith. 2014. “Multiple Institutional Logics in Organizations: Explaining Their Varied Nature and Implications.” </w:t>
      </w:r>
      <w:r w:rsidRPr="008E4844">
        <w:rPr>
          <w:rFonts w:ascii="Times New Roman" w:eastAsia="Times New Roman" w:hAnsi="Times New Roman" w:cs="Times New Roman"/>
          <w:i/>
          <w:iCs/>
          <w:kern w:val="0"/>
          <w:sz w:val="24"/>
          <w:szCs w:val="24"/>
          <w:lang w:eastAsia="en-GB"/>
          <w14:ligatures w14:val="none"/>
        </w:rPr>
        <w:t>Academy of Management Review</w:t>
      </w:r>
      <w:r w:rsidRPr="008E4844">
        <w:rPr>
          <w:rFonts w:ascii="Times New Roman" w:eastAsia="Times New Roman" w:hAnsi="Times New Roman" w:cs="Times New Roman"/>
          <w:kern w:val="0"/>
          <w:sz w:val="24"/>
          <w:szCs w:val="24"/>
          <w:lang w:eastAsia="en-GB"/>
          <w14:ligatures w14:val="none"/>
        </w:rPr>
        <w:t> 39 (3): 364–81. https://doi.org/10.5465/amr.2011.0431.</w:t>
      </w:r>
    </w:p>
    <w:p w14:paraId="79EB6F81" w14:textId="5A6EC334" w:rsidR="00D11245" w:rsidRPr="008E4844" w:rsidRDefault="009D7277" w:rsidP="00D11245">
      <w:pPr>
        <w:spacing w:after="0" w:line="240" w:lineRule="auto"/>
        <w:rPr>
          <w:rFonts w:ascii="Times New Roman" w:eastAsia="Times New Roman" w:hAnsi="Times New Roman" w:cs="Times New Roman"/>
          <w:kern w:val="0"/>
          <w:sz w:val="24"/>
          <w:szCs w:val="24"/>
          <w:lang w:eastAsia="en-GB"/>
          <w14:ligatures w14:val="none"/>
        </w:rPr>
      </w:pPr>
      <w:r w:rsidRPr="008E4844">
        <w:rPr>
          <w:rFonts w:ascii="Times New Roman" w:eastAsia="Times New Roman" w:hAnsi="Times New Roman" w:cs="Times New Roman"/>
          <w:kern w:val="0"/>
          <w:sz w:val="24"/>
          <w:szCs w:val="24"/>
          <w:lang w:eastAsia="en-GB"/>
          <w14:ligatures w14:val="none"/>
        </w:rPr>
        <w:t>‌</w:t>
      </w:r>
    </w:p>
    <w:p w14:paraId="270C8443" w14:textId="77777777" w:rsidR="009D7277" w:rsidRPr="008E4844" w:rsidRDefault="009D7277" w:rsidP="009D7277">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Boyett, Inger. 1996. “The Public Sector Entrepreneur ‐ a Definition.” </w:t>
      </w:r>
      <w:r w:rsidRPr="008E4844">
        <w:rPr>
          <w:rFonts w:ascii="Times New Roman" w:hAnsi="Times New Roman" w:cs="Times New Roman"/>
          <w:i/>
          <w:iCs/>
          <w:sz w:val="24"/>
          <w:szCs w:val="24"/>
        </w:rPr>
        <w:t>International Journal of Public Sector Management</w:t>
      </w:r>
      <w:r w:rsidRPr="008E4844">
        <w:rPr>
          <w:rFonts w:ascii="Times New Roman" w:hAnsi="Times New Roman" w:cs="Times New Roman"/>
          <w:sz w:val="24"/>
          <w:szCs w:val="24"/>
        </w:rPr>
        <w:t> 9 (2): 36–51. https://doi.org/10.1108/09513559610119546.</w:t>
      </w:r>
    </w:p>
    <w:p w14:paraId="1DDA8A45" w14:textId="0D8D17B3" w:rsidR="00D11245" w:rsidRPr="008E4844" w:rsidRDefault="009D7277"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2BE204A3" w14:textId="77777777" w:rsidR="009D7277" w:rsidRPr="008E4844" w:rsidRDefault="009D7277" w:rsidP="009D7277">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Bryman, Alan. 2016. </w:t>
      </w:r>
      <w:r w:rsidRPr="008E4844">
        <w:rPr>
          <w:rFonts w:ascii="Times New Roman" w:hAnsi="Times New Roman" w:cs="Times New Roman"/>
          <w:i/>
          <w:iCs/>
          <w:sz w:val="24"/>
          <w:szCs w:val="24"/>
        </w:rPr>
        <w:t>Social Research Methods</w:t>
      </w:r>
      <w:r w:rsidRPr="008E4844">
        <w:rPr>
          <w:rFonts w:ascii="Times New Roman" w:hAnsi="Times New Roman" w:cs="Times New Roman"/>
          <w:sz w:val="24"/>
          <w:szCs w:val="24"/>
        </w:rPr>
        <w:t>. 5th ed. Oxford: Oxford University Press.</w:t>
      </w:r>
    </w:p>
    <w:p w14:paraId="712104F1" w14:textId="42516621" w:rsidR="00831686" w:rsidRPr="008E4844" w:rsidRDefault="009D7277"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7B878310" w14:textId="6198F3D1" w:rsidR="00506CC5" w:rsidRDefault="00506CC5" w:rsidP="009D7277">
      <w:pPr>
        <w:spacing w:after="0" w:line="240" w:lineRule="auto"/>
        <w:rPr>
          <w:rFonts w:ascii="Times New Roman" w:hAnsi="Times New Roman" w:cs="Times New Roman"/>
          <w:sz w:val="24"/>
          <w:szCs w:val="24"/>
        </w:rPr>
      </w:pPr>
      <w:r w:rsidRPr="00506CC5">
        <w:rPr>
          <w:rFonts w:ascii="Times New Roman" w:hAnsi="Times New Roman" w:cs="Times New Roman"/>
          <w:sz w:val="24"/>
          <w:szCs w:val="24"/>
        </w:rPr>
        <w:t>Braun, Virginia, and Victoria Clarke. 2006. “Using Thematic Analysis in</w:t>
      </w:r>
      <w:r>
        <w:rPr>
          <w:rFonts w:ascii="Times New Roman" w:hAnsi="Times New Roman" w:cs="Times New Roman"/>
          <w:sz w:val="24"/>
          <w:szCs w:val="24"/>
        </w:rPr>
        <w:t xml:space="preserve"> </w:t>
      </w:r>
      <w:r w:rsidRPr="00506CC5">
        <w:rPr>
          <w:rFonts w:ascii="Times New Roman" w:hAnsi="Times New Roman" w:cs="Times New Roman"/>
          <w:sz w:val="24"/>
          <w:szCs w:val="24"/>
        </w:rPr>
        <w:t>Psychology.” </w:t>
      </w:r>
      <w:r w:rsidRPr="00506CC5">
        <w:rPr>
          <w:rFonts w:ascii="Times New Roman" w:hAnsi="Times New Roman" w:cs="Times New Roman"/>
          <w:i/>
          <w:iCs/>
          <w:sz w:val="24"/>
          <w:szCs w:val="24"/>
        </w:rPr>
        <w:t>Qualitative Research in Psychology</w:t>
      </w:r>
      <w:r w:rsidRPr="00506CC5">
        <w:rPr>
          <w:rFonts w:ascii="Times New Roman" w:hAnsi="Times New Roman" w:cs="Times New Roman"/>
          <w:sz w:val="24"/>
          <w:szCs w:val="24"/>
        </w:rPr>
        <w:t> 3 (2): 77–101. doi:10.1191/1478088706qp063oa.</w:t>
      </w:r>
    </w:p>
    <w:p w14:paraId="24F1C81F" w14:textId="77777777" w:rsidR="00506CC5" w:rsidRDefault="00506CC5" w:rsidP="009D7277">
      <w:pPr>
        <w:spacing w:after="0" w:line="240" w:lineRule="auto"/>
        <w:rPr>
          <w:rFonts w:ascii="Times New Roman" w:hAnsi="Times New Roman" w:cs="Times New Roman"/>
          <w:sz w:val="24"/>
          <w:szCs w:val="24"/>
        </w:rPr>
      </w:pPr>
    </w:p>
    <w:p w14:paraId="4612E4C5" w14:textId="2E6533F8" w:rsidR="009D7277" w:rsidRPr="008E4844" w:rsidRDefault="009D7277" w:rsidP="009D7277">
      <w:pPr>
        <w:spacing w:after="0" w:line="240" w:lineRule="auto"/>
        <w:rPr>
          <w:rFonts w:ascii="Times New Roman" w:hAnsi="Times New Roman" w:cs="Times New Roman"/>
          <w:sz w:val="24"/>
          <w:szCs w:val="24"/>
        </w:rPr>
      </w:pPr>
      <w:proofErr w:type="spellStart"/>
      <w:r w:rsidRPr="008E4844">
        <w:rPr>
          <w:rFonts w:ascii="Times New Roman" w:hAnsi="Times New Roman" w:cs="Times New Roman"/>
          <w:sz w:val="24"/>
          <w:szCs w:val="24"/>
        </w:rPr>
        <w:t>Buzelli</w:t>
      </w:r>
      <w:proofErr w:type="spellEnd"/>
      <w:r w:rsidRPr="008E4844">
        <w:rPr>
          <w:rFonts w:ascii="Times New Roman" w:hAnsi="Times New Roman" w:cs="Times New Roman"/>
          <w:sz w:val="24"/>
          <w:szCs w:val="24"/>
        </w:rPr>
        <w:t xml:space="preserve">, Luisa, Genevieve Cameron, Kate Duxbury, Tim Gardner, Spencer Rutherford, Skeena Williamson, and Hugh </w:t>
      </w:r>
      <w:proofErr w:type="spellStart"/>
      <w:r w:rsidRPr="008E4844">
        <w:rPr>
          <w:rFonts w:ascii="Times New Roman" w:hAnsi="Times New Roman" w:cs="Times New Roman"/>
          <w:sz w:val="24"/>
          <w:szCs w:val="24"/>
        </w:rPr>
        <w:t>Alderwick</w:t>
      </w:r>
      <w:proofErr w:type="spellEnd"/>
      <w:r w:rsidRPr="008E4844">
        <w:rPr>
          <w:rFonts w:ascii="Times New Roman" w:hAnsi="Times New Roman" w:cs="Times New Roman"/>
          <w:sz w:val="24"/>
          <w:szCs w:val="24"/>
        </w:rPr>
        <w:t>. 2022. “Public Perceptions of Health and Social Care: What Government Should Know.” </w:t>
      </w:r>
      <w:r w:rsidRPr="008E4844">
        <w:rPr>
          <w:rFonts w:ascii="Times New Roman" w:hAnsi="Times New Roman" w:cs="Times New Roman"/>
          <w:i/>
          <w:iCs/>
          <w:sz w:val="24"/>
          <w:szCs w:val="24"/>
        </w:rPr>
        <w:t>The Health Foundation</w:t>
      </w:r>
      <w:r w:rsidRPr="008E4844">
        <w:rPr>
          <w:rFonts w:ascii="Times New Roman" w:hAnsi="Times New Roman" w:cs="Times New Roman"/>
          <w:sz w:val="24"/>
          <w:szCs w:val="24"/>
        </w:rPr>
        <w:t>, September. https://doi.org/10.37829/hf-2022-p11.</w:t>
      </w:r>
    </w:p>
    <w:p w14:paraId="1BDC4906" w14:textId="2636109A" w:rsidR="00D11245" w:rsidRPr="008E4844" w:rsidRDefault="009D7277"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19A59732" w14:textId="16C8399F" w:rsidR="009D7277" w:rsidRPr="008E4844" w:rsidRDefault="009D7277" w:rsidP="009D7277">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Charlesworth, Anita, Nihar </w:t>
      </w:r>
      <w:proofErr w:type="spellStart"/>
      <w:r w:rsidRPr="008E4844">
        <w:rPr>
          <w:rFonts w:ascii="Times New Roman" w:hAnsi="Times New Roman" w:cs="Times New Roman"/>
          <w:sz w:val="24"/>
          <w:szCs w:val="24"/>
        </w:rPr>
        <w:t>Shembavnekar</w:t>
      </w:r>
      <w:proofErr w:type="spellEnd"/>
      <w:r w:rsidRPr="008E4844">
        <w:rPr>
          <w:rFonts w:ascii="Times New Roman" w:hAnsi="Times New Roman" w:cs="Times New Roman"/>
          <w:sz w:val="24"/>
          <w:szCs w:val="24"/>
        </w:rPr>
        <w:t xml:space="preserve">, and George Stevenson. 2023. “Health and Care Funding at 75.” </w:t>
      </w:r>
      <w:r w:rsidR="002D1004" w:rsidRPr="008E4844">
        <w:rPr>
          <w:rFonts w:ascii="Times New Roman" w:hAnsi="Times New Roman" w:cs="Times New Roman"/>
          <w:sz w:val="24"/>
          <w:szCs w:val="24"/>
        </w:rPr>
        <w:t xml:space="preserve">in </w:t>
      </w:r>
      <w:r w:rsidRPr="008E4844">
        <w:rPr>
          <w:rFonts w:ascii="Times New Roman" w:hAnsi="Times New Roman" w:cs="Times New Roman"/>
          <w:sz w:val="24"/>
          <w:szCs w:val="24"/>
        </w:rPr>
        <w:t xml:space="preserve">Exworthy, Mark, Russell Mannion, and Martin Powell. 2023. </w:t>
      </w:r>
      <w:r w:rsidRPr="008E4844">
        <w:rPr>
          <w:rFonts w:ascii="Times New Roman" w:hAnsi="Times New Roman" w:cs="Times New Roman"/>
          <w:i/>
          <w:iCs/>
          <w:sz w:val="24"/>
          <w:szCs w:val="24"/>
        </w:rPr>
        <w:t>The NHS at 75</w:t>
      </w:r>
      <w:r w:rsidRPr="008E4844">
        <w:rPr>
          <w:rFonts w:ascii="Times New Roman" w:hAnsi="Times New Roman" w:cs="Times New Roman"/>
          <w:sz w:val="24"/>
          <w:szCs w:val="24"/>
        </w:rPr>
        <w:t>. Policy Press.</w:t>
      </w:r>
    </w:p>
    <w:p w14:paraId="27CCBFD6" w14:textId="77777777" w:rsidR="004610F2" w:rsidRPr="008E4844" w:rsidRDefault="004610F2" w:rsidP="00D11245">
      <w:pPr>
        <w:spacing w:after="0" w:line="240" w:lineRule="auto"/>
        <w:rPr>
          <w:rFonts w:ascii="Times New Roman" w:hAnsi="Times New Roman" w:cs="Times New Roman"/>
          <w:sz w:val="24"/>
          <w:szCs w:val="24"/>
        </w:rPr>
      </w:pPr>
    </w:p>
    <w:p w14:paraId="4F80D50F" w14:textId="77777777" w:rsidR="009D7277" w:rsidRPr="008E4844" w:rsidRDefault="009D7277" w:rsidP="009D7277">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Clover, Ben. 2017. “Leaders of Major Hospital Worried over £30m Owed by Private Patients.” Health Service Journal. Health Service Journal. September 19, 2017. https://www.hsj.co.uk/great-ormond-street-hospital-for-children-nhs-foundation-trust/leaders-of-major-hospital-worried-over-30m-owed-by-private-patients/7020584.article.</w:t>
      </w:r>
    </w:p>
    <w:p w14:paraId="70921791" w14:textId="3BD7BFF5" w:rsidR="00D11245" w:rsidRPr="008E4844" w:rsidRDefault="009D7277"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5039F984" w14:textId="77777777" w:rsidR="009D7277" w:rsidRPr="008E4844" w:rsidRDefault="009D7277" w:rsidP="009D7277">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Clover, Ben. 2024. “Trust’s Private Income up 44% in a Year.” Health Service Journal. Health Service Journal. June 28, 2024. https://www.hsj.co.uk/finance-and-efficiency/trusts-private-income-up-44-in-a-year/7037367.article.</w:t>
      </w:r>
    </w:p>
    <w:p w14:paraId="01FA507F" w14:textId="71A21890" w:rsidR="00885B00" w:rsidRPr="008E4844" w:rsidRDefault="009D7277"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lastRenderedPageBreak/>
        <w:t>‌</w:t>
      </w:r>
    </w:p>
    <w:p w14:paraId="2F8A4CF7" w14:textId="4A109B8A"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Currie, Graeme, Mike Humphreys, Deniz </w:t>
      </w:r>
      <w:proofErr w:type="spellStart"/>
      <w:r w:rsidRPr="008E4844">
        <w:rPr>
          <w:rFonts w:ascii="Times New Roman" w:hAnsi="Times New Roman" w:cs="Times New Roman"/>
          <w:sz w:val="24"/>
          <w:szCs w:val="24"/>
        </w:rPr>
        <w:t>Ucbasaran</w:t>
      </w:r>
      <w:proofErr w:type="spellEnd"/>
      <w:r w:rsidRPr="008E4844">
        <w:rPr>
          <w:rFonts w:ascii="Times New Roman" w:hAnsi="Times New Roman" w:cs="Times New Roman"/>
          <w:sz w:val="24"/>
          <w:szCs w:val="24"/>
        </w:rPr>
        <w:t>, and Steve Mc</w:t>
      </w:r>
      <w:r w:rsidR="00746C8A">
        <w:rPr>
          <w:rFonts w:ascii="Times New Roman" w:hAnsi="Times New Roman" w:cs="Times New Roman"/>
          <w:sz w:val="24"/>
          <w:szCs w:val="24"/>
        </w:rPr>
        <w:t>M</w:t>
      </w:r>
      <w:r w:rsidRPr="008E4844">
        <w:rPr>
          <w:rFonts w:ascii="Times New Roman" w:hAnsi="Times New Roman" w:cs="Times New Roman"/>
          <w:sz w:val="24"/>
          <w:szCs w:val="24"/>
        </w:rPr>
        <w:t xml:space="preserve">anus. 2008. “Entrepreneurial Leadership in The English Public Sector: Paradox or Possibility?” </w:t>
      </w:r>
      <w:r w:rsidRPr="008E4844">
        <w:rPr>
          <w:rFonts w:ascii="Times New Roman" w:hAnsi="Times New Roman" w:cs="Times New Roman"/>
          <w:i/>
          <w:iCs/>
          <w:sz w:val="24"/>
          <w:szCs w:val="24"/>
        </w:rPr>
        <w:t>Public Administration</w:t>
      </w:r>
      <w:r w:rsidRPr="008E4844">
        <w:rPr>
          <w:rFonts w:ascii="Times New Roman" w:hAnsi="Times New Roman" w:cs="Times New Roman"/>
          <w:sz w:val="24"/>
          <w:szCs w:val="24"/>
        </w:rPr>
        <w:t xml:space="preserve"> 86 (4): 987–1008. https://doi.org/10.1111/j.1467-9299.2008.00736.x.</w:t>
      </w:r>
    </w:p>
    <w:p w14:paraId="67B76736" w14:textId="77777777" w:rsidR="00885B00" w:rsidRPr="008E4844" w:rsidRDefault="00885B00" w:rsidP="00885B00">
      <w:pPr>
        <w:spacing w:after="0" w:line="240" w:lineRule="auto"/>
        <w:rPr>
          <w:rFonts w:ascii="Times New Roman" w:hAnsi="Times New Roman" w:cs="Times New Roman"/>
          <w:sz w:val="24"/>
          <w:szCs w:val="24"/>
        </w:rPr>
      </w:pPr>
    </w:p>
    <w:p w14:paraId="1CADEE31" w14:textId="2CFC4584"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hint="cs"/>
          <w:sz w:val="24"/>
          <w:szCs w:val="24"/>
        </w:rPr>
        <w:t>‌</w:t>
      </w:r>
      <w:r w:rsidRPr="008E4844">
        <w:rPr>
          <w:rFonts w:ascii="Times New Roman" w:hAnsi="Times New Roman" w:cs="Times New Roman"/>
          <w:sz w:val="24"/>
          <w:szCs w:val="24"/>
        </w:rPr>
        <w:t>Davis, Nicola. 2024. “Britons Seeking Medical Treatments Overseas ‘Should Beware Low Prices.’” The Guardian. The Guardian. June 29, 2024. https://www.theguardian.com/society/article/2024/jun/29/britons-seeking-medical-treatments-overseas-should-beware-low-prices.</w:t>
      </w:r>
    </w:p>
    <w:p w14:paraId="01B053F3" w14:textId="6503A095" w:rsidR="00A74DD8" w:rsidRPr="008E4844" w:rsidRDefault="00885B00" w:rsidP="00182DA8">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21E730D2" w14:textId="47C32257" w:rsidR="00120355" w:rsidRPr="008E4844" w:rsidRDefault="00D11245" w:rsidP="00182DA8">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Department of Health</w:t>
      </w:r>
      <w:r w:rsidR="008344DD"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2011. </w:t>
      </w:r>
      <w:r w:rsidRPr="008E4844">
        <w:rPr>
          <w:rFonts w:ascii="Times New Roman" w:hAnsi="Times New Roman" w:cs="Times New Roman"/>
          <w:i/>
          <w:sz w:val="24"/>
          <w:szCs w:val="24"/>
        </w:rPr>
        <w:t>Health and Social Care Bill 2011. Coordinating document for the impact assessments and equality impact assessments</w:t>
      </w:r>
      <w:r w:rsidRPr="008E4844">
        <w:rPr>
          <w:rFonts w:ascii="Times New Roman" w:hAnsi="Times New Roman" w:cs="Times New Roman"/>
          <w:sz w:val="24"/>
          <w:szCs w:val="24"/>
        </w:rPr>
        <w:t>. Her Majesty's Stationary Office.</w:t>
      </w:r>
    </w:p>
    <w:p w14:paraId="588B6E88" w14:textId="77777777" w:rsidR="00B73897" w:rsidRPr="008E4844" w:rsidRDefault="00B73897" w:rsidP="00D11245">
      <w:pPr>
        <w:shd w:val="clear" w:color="auto" w:fill="FFFFFF"/>
        <w:spacing w:after="0" w:line="240" w:lineRule="auto"/>
        <w:jc w:val="both"/>
        <w:textAlignment w:val="baseline"/>
        <w:rPr>
          <w:rFonts w:ascii="Times New Roman" w:hAnsi="Times New Roman" w:cs="Times New Roman"/>
          <w:sz w:val="24"/>
          <w:szCs w:val="24"/>
        </w:rPr>
      </w:pPr>
    </w:p>
    <w:p w14:paraId="1A4D4DBD" w14:textId="0C0882E9" w:rsidR="00885B00"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Exworthy, Mark, Francesca </w:t>
      </w:r>
      <w:proofErr w:type="spellStart"/>
      <w:r w:rsidRPr="008E4844">
        <w:rPr>
          <w:rFonts w:ascii="Times New Roman" w:hAnsi="Times New Roman" w:cs="Times New Roman"/>
          <w:sz w:val="24"/>
          <w:szCs w:val="24"/>
        </w:rPr>
        <w:t>Frosini</w:t>
      </w:r>
      <w:proofErr w:type="spellEnd"/>
      <w:r w:rsidRPr="008E4844">
        <w:rPr>
          <w:rFonts w:ascii="Times New Roman" w:hAnsi="Times New Roman" w:cs="Times New Roman"/>
          <w:sz w:val="24"/>
          <w:szCs w:val="24"/>
        </w:rPr>
        <w:t>, and Lorelei Jones. 2011. “Are NHS Foundation Trusts Able and Willing to Exercise Autonomy? ‘You Can Take a Horse to Water….’” </w:t>
      </w:r>
      <w:r w:rsidRPr="008E4844">
        <w:rPr>
          <w:rFonts w:ascii="Times New Roman" w:hAnsi="Times New Roman" w:cs="Times New Roman"/>
          <w:i/>
          <w:iCs/>
          <w:sz w:val="24"/>
          <w:szCs w:val="24"/>
        </w:rPr>
        <w:t>Journal of Health Services Research &amp; Policy</w:t>
      </w:r>
      <w:r w:rsidRPr="008E4844">
        <w:rPr>
          <w:rFonts w:ascii="Times New Roman" w:hAnsi="Times New Roman" w:cs="Times New Roman"/>
          <w:sz w:val="24"/>
          <w:szCs w:val="24"/>
        </w:rPr>
        <w:t xml:space="preserve"> 16 (4): 232–37. </w:t>
      </w:r>
      <w:hyperlink r:id="rId11" w:history="1">
        <w:r w:rsidR="00F94216" w:rsidRPr="006B23F0">
          <w:rPr>
            <w:rStyle w:val="Hyperlink"/>
            <w:rFonts w:ascii="Times New Roman" w:hAnsi="Times New Roman" w:cs="Times New Roman"/>
            <w:sz w:val="24"/>
            <w:szCs w:val="24"/>
          </w:rPr>
          <w:t>https://doi.org/10.1258/jhsrp.2011.010077</w:t>
        </w:r>
      </w:hyperlink>
      <w:r w:rsidRPr="008E4844">
        <w:rPr>
          <w:rFonts w:ascii="Times New Roman" w:hAnsi="Times New Roman" w:cs="Times New Roman"/>
          <w:sz w:val="24"/>
          <w:szCs w:val="24"/>
        </w:rPr>
        <w:t>.</w:t>
      </w:r>
    </w:p>
    <w:p w14:paraId="060A9F5B" w14:textId="77777777" w:rsidR="00F94216" w:rsidRDefault="00F94216" w:rsidP="00885B00">
      <w:pPr>
        <w:spacing w:after="0" w:line="240" w:lineRule="auto"/>
        <w:rPr>
          <w:rFonts w:ascii="Times New Roman" w:hAnsi="Times New Roman" w:cs="Times New Roman"/>
          <w:sz w:val="24"/>
          <w:szCs w:val="24"/>
        </w:rPr>
      </w:pPr>
    </w:p>
    <w:p w14:paraId="5F9AA9A5" w14:textId="7F2D9CC3" w:rsidR="00014D82" w:rsidRPr="008E4844" w:rsidRDefault="00F94216" w:rsidP="00017270">
      <w:pPr>
        <w:spacing w:after="0" w:line="240" w:lineRule="auto"/>
        <w:rPr>
          <w:rFonts w:ascii="Times New Roman" w:hAnsi="Times New Roman" w:cs="Times New Roman"/>
          <w:sz w:val="24"/>
          <w:szCs w:val="24"/>
        </w:rPr>
      </w:pPr>
      <w:r w:rsidRPr="00F94216">
        <w:rPr>
          <w:rFonts w:ascii="Times New Roman" w:hAnsi="Times New Roman" w:cs="Times New Roman"/>
          <w:sz w:val="24"/>
          <w:szCs w:val="24"/>
        </w:rPr>
        <w:t>Exworthy, Mark, Neil Lunt, Penelope Tuck, and Rakesh Mistry. 2023. “From Commodification to Entrepreneurialism: How Commercial Income Is Transforming the English NHS.” </w:t>
      </w:r>
      <w:r w:rsidRPr="00F94216">
        <w:rPr>
          <w:rFonts w:ascii="Times New Roman" w:hAnsi="Times New Roman" w:cs="Times New Roman"/>
          <w:i/>
          <w:iCs/>
          <w:sz w:val="24"/>
          <w:szCs w:val="24"/>
        </w:rPr>
        <w:t>Public Money &amp; Management</w:t>
      </w:r>
      <w:r w:rsidRPr="00F94216">
        <w:rPr>
          <w:rFonts w:ascii="Times New Roman" w:hAnsi="Times New Roman" w:cs="Times New Roman"/>
          <w:sz w:val="24"/>
          <w:szCs w:val="24"/>
        </w:rPr>
        <w:t> 44 (4): 308–16. doi:10.1080/09540962.2023.2243775.</w:t>
      </w:r>
    </w:p>
    <w:p w14:paraId="436B156C" w14:textId="77777777" w:rsidR="004C08EC" w:rsidRDefault="004C08EC" w:rsidP="00885B00">
      <w:pPr>
        <w:spacing w:after="0" w:line="240" w:lineRule="auto"/>
        <w:rPr>
          <w:rFonts w:ascii="Times New Roman" w:hAnsi="Times New Roman" w:cs="Times New Roman"/>
          <w:sz w:val="24"/>
          <w:szCs w:val="24"/>
        </w:rPr>
      </w:pPr>
    </w:p>
    <w:p w14:paraId="15E9FE94" w14:textId="474F2C80"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Exworthy, Mark, and Stephen Peckham. 2006. “Access, Choice and Travel: Implications for Health Policy.” </w:t>
      </w:r>
      <w:r w:rsidRPr="008E4844">
        <w:rPr>
          <w:rFonts w:ascii="Times New Roman" w:hAnsi="Times New Roman" w:cs="Times New Roman"/>
          <w:i/>
          <w:iCs/>
          <w:sz w:val="24"/>
          <w:szCs w:val="24"/>
        </w:rPr>
        <w:t>Social Policy and Administration</w:t>
      </w:r>
      <w:r w:rsidRPr="008E4844">
        <w:rPr>
          <w:rFonts w:ascii="Times New Roman" w:hAnsi="Times New Roman" w:cs="Times New Roman"/>
          <w:sz w:val="24"/>
          <w:szCs w:val="24"/>
        </w:rPr>
        <w:t> 40 (3): 267–87. https://doi.org/10.1111/j.1467-9515.2006.00489.x.</w:t>
      </w:r>
    </w:p>
    <w:p w14:paraId="526C9D8B" w14:textId="750F8CC6" w:rsidR="00017270" w:rsidRDefault="00885B00"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23A9AE86" w14:textId="77777777" w:rsidR="00F94216" w:rsidRDefault="00F94216" w:rsidP="00F94216">
      <w:pPr>
        <w:shd w:val="clear" w:color="auto" w:fill="FFFFFF"/>
        <w:spacing w:after="0" w:line="240" w:lineRule="auto"/>
        <w:jc w:val="both"/>
        <w:textAlignment w:val="baseline"/>
        <w:rPr>
          <w:rFonts w:ascii="Times New Roman" w:hAnsi="Times New Roman" w:cs="Times New Roman"/>
          <w:sz w:val="24"/>
          <w:szCs w:val="24"/>
        </w:rPr>
      </w:pPr>
      <w:r w:rsidRPr="00B73897">
        <w:rPr>
          <w:rFonts w:ascii="Times New Roman" w:hAnsi="Times New Roman" w:cs="Times New Roman"/>
          <w:sz w:val="24"/>
          <w:szCs w:val="24"/>
        </w:rPr>
        <w:t>Exworthy, M</w:t>
      </w:r>
      <w:r>
        <w:rPr>
          <w:rFonts w:ascii="Times New Roman" w:hAnsi="Times New Roman" w:cs="Times New Roman"/>
          <w:sz w:val="24"/>
          <w:szCs w:val="24"/>
        </w:rPr>
        <w:t>ark,</w:t>
      </w:r>
      <w:r w:rsidRPr="00B73897">
        <w:rPr>
          <w:rFonts w:ascii="Times New Roman" w:hAnsi="Times New Roman" w:cs="Times New Roman"/>
          <w:sz w:val="24"/>
          <w:szCs w:val="24"/>
        </w:rPr>
        <w:t xml:space="preserve"> and </w:t>
      </w:r>
      <w:r>
        <w:rPr>
          <w:rFonts w:ascii="Times New Roman" w:hAnsi="Times New Roman" w:cs="Times New Roman"/>
          <w:sz w:val="24"/>
          <w:szCs w:val="24"/>
        </w:rPr>
        <w:t xml:space="preserve">Francesa </w:t>
      </w:r>
      <w:proofErr w:type="spellStart"/>
      <w:r w:rsidRPr="00B73897">
        <w:rPr>
          <w:rFonts w:ascii="Times New Roman" w:hAnsi="Times New Roman" w:cs="Times New Roman"/>
          <w:sz w:val="24"/>
          <w:szCs w:val="24"/>
        </w:rPr>
        <w:t>Frosini</w:t>
      </w:r>
      <w:proofErr w:type="spellEnd"/>
      <w:r>
        <w:rPr>
          <w:rFonts w:ascii="Times New Roman" w:hAnsi="Times New Roman" w:cs="Times New Roman"/>
          <w:sz w:val="24"/>
          <w:szCs w:val="24"/>
        </w:rPr>
        <w:t xml:space="preserve">. </w:t>
      </w:r>
      <w:r w:rsidRPr="00B73897">
        <w:rPr>
          <w:rFonts w:ascii="Times New Roman" w:hAnsi="Times New Roman" w:cs="Times New Roman"/>
          <w:sz w:val="24"/>
          <w:szCs w:val="24"/>
        </w:rPr>
        <w:t>2008</w:t>
      </w:r>
      <w:r>
        <w:rPr>
          <w:rFonts w:ascii="Times New Roman" w:hAnsi="Times New Roman" w:cs="Times New Roman"/>
          <w:sz w:val="24"/>
          <w:szCs w:val="24"/>
        </w:rPr>
        <w:t>. “</w:t>
      </w:r>
      <w:r w:rsidRPr="00B73897">
        <w:rPr>
          <w:rFonts w:ascii="Times New Roman" w:hAnsi="Times New Roman" w:cs="Times New Roman"/>
          <w:sz w:val="24"/>
          <w:szCs w:val="24"/>
        </w:rPr>
        <w:t>Room to manoeuvre? Explaining local autonomy in the English National Health Service.</w:t>
      </w:r>
      <w:r>
        <w:rPr>
          <w:rFonts w:ascii="Times New Roman" w:hAnsi="Times New Roman" w:cs="Times New Roman"/>
          <w:sz w:val="24"/>
          <w:szCs w:val="24"/>
        </w:rPr>
        <w:t>”</w:t>
      </w:r>
      <w:r w:rsidRPr="00B73897">
        <w:rPr>
          <w:rFonts w:ascii="Times New Roman" w:hAnsi="Times New Roman" w:cs="Times New Roman"/>
          <w:sz w:val="24"/>
          <w:szCs w:val="24"/>
        </w:rPr>
        <w:t xml:space="preserve"> </w:t>
      </w:r>
      <w:r w:rsidRPr="00B73897">
        <w:rPr>
          <w:rFonts w:ascii="Times New Roman" w:hAnsi="Times New Roman" w:cs="Times New Roman"/>
          <w:i/>
          <w:iCs/>
          <w:sz w:val="24"/>
          <w:szCs w:val="24"/>
        </w:rPr>
        <w:t>Health Policy</w:t>
      </w:r>
      <w:r w:rsidRPr="00B73897">
        <w:rPr>
          <w:rFonts w:ascii="Times New Roman" w:hAnsi="Times New Roman" w:cs="Times New Roman"/>
          <w:sz w:val="24"/>
          <w:szCs w:val="24"/>
        </w:rPr>
        <w:t xml:space="preserve"> 81</w:t>
      </w:r>
      <w:r>
        <w:rPr>
          <w:rFonts w:ascii="Times New Roman" w:hAnsi="Times New Roman" w:cs="Times New Roman"/>
          <w:sz w:val="24"/>
          <w:szCs w:val="24"/>
        </w:rPr>
        <w:t xml:space="preserve"> (</w:t>
      </w:r>
      <w:r w:rsidRPr="00B73897">
        <w:rPr>
          <w:rFonts w:ascii="Times New Roman" w:hAnsi="Times New Roman" w:cs="Times New Roman"/>
          <w:sz w:val="24"/>
          <w:szCs w:val="24"/>
        </w:rPr>
        <w:t>2-3</w:t>
      </w:r>
      <w:r>
        <w:rPr>
          <w:rFonts w:ascii="Times New Roman" w:hAnsi="Times New Roman" w:cs="Times New Roman"/>
          <w:sz w:val="24"/>
          <w:szCs w:val="24"/>
        </w:rPr>
        <w:t xml:space="preserve">): </w:t>
      </w:r>
      <w:r w:rsidRPr="00B73897">
        <w:rPr>
          <w:rFonts w:ascii="Times New Roman" w:hAnsi="Times New Roman" w:cs="Times New Roman"/>
          <w:sz w:val="24"/>
          <w:szCs w:val="24"/>
        </w:rPr>
        <w:t>204-212</w:t>
      </w:r>
      <w:r>
        <w:rPr>
          <w:rFonts w:ascii="Times New Roman" w:hAnsi="Times New Roman" w:cs="Times New Roman"/>
          <w:sz w:val="24"/>
          <w:szCs w:val="24"/>
        </w:rPr>
        <w:t>.</w:t>
      </w:r>
    </w:p>
    <w:p w14:paraId="3F990A98" w14:textId="77777777" w:rsidR="00F94216" w:rsidRDefault="00F94216" w:rsidP="00F94216">
      <w:pPr>
        <w:shd w:val="clear" w:color="auto" w:fill="FFFFFF"/>
        <w:spacing w:after="0" w:line="240" w:lineRule="auto"/>
        <w:jc w:val="both"/>
        <w:textAlignment w:val="baseline"/>
        <w:rPr>
          <w:rFonts w:ascii="Times New Roman" w:hAnsi="Times New Roman" w:cs="Times New Roman"/>
          <w:sz w:val="24"/>
          <w:szCs w:val="24"/>
        </w:rPr>
      </w:pPr>
      <w:r w:rsidRPr="00B73897">
        <w:rPr>
          <w:rFonts w:ascii="Times New Roman" w:hAnsi="Times New Roman" w:cs="Times New Roman"/>
          <w:sz w:val="24"/>
          <w:szCs w:val="24"/>
        </w:rPr>
        <w:t>https://doi.org/10.1016/j.healthpol.2007.10.008</w:t>
      </w:r>
      <w:r>
        <w:rPr>
          <w:rFonts w:ascii="Times New Roman" w:hAnsi="Times New Roman" w:cs="Times New Roman"/>
          <w:sz w:val="24"/>
          <w:szCs w:val="24"/>
        </w:rPr>
        <w:t>.</w:t>
      </w:r>
    </w:p>
    <w:p w14:paraId="710C2F01" w14:textId="77777777" w:rsidR="00F94216" w:rsidRPr="008E4844" w:rsidRDefault="00F94216" w:rsidP="00D11245">
      <w:pPr>
        <w:spacing w:after="0" w:line="240" w:lineRule="auto"/>
        <w:rPr>
          <w:rFonts w:ascii="Times New Roman" w:hAnsi="Times New Roman" w:cs="Times New Roman"/>
          <w:sz w:val="24"/>
          <w:szCs w:val="24"/>
        </w:rPr>
      </w:pPr>
    </w:p>
    <w:p w14:paraId="2A17BB22" w14:textId="6500A155" w:rsidR="00D11245" w:rsidRPr="008E4844" w:rsidRDefault="00D11245"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Foundation Trust Network (FTN)</w:t>
      </w:r>
      <w:r w:rsidR="008344DD"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2012. </w:t>
      </w:r>
      <w:r w:rsidRPr="008E4844">
        <w:rPr>
          <w:rFonts w:ascii="Times New Roman" w:hAnsi="Times New Roman" w:cs="Times New Roman"/>
          <w:i/>
          <w:sz w:val="24"/>
          <w:szCs w:val="24"/>
        </w:rPr>
        <w:t>How NHS providers use non-NHS income to improve patient services.</w:t>
      </w:r>
      <w:r w:rsidRPr="008E4844">
        <w:rPr>
          <w:rFonts w:ascii="Times New Roman" w:hAnsi="Times New Roman" w:cs="Times New Roman"/>
          <w:sz w:val="24"/>
          <w:szCs w:val="24"/>
        </w:rPr>
        <w:t xml:space="preserve"> FTN.</w:t>
      </w:r>
    </w:p>
    <w:p w14:paraId="6B72D9EC" w14:textId="77777777" w:rsidR="00D11245" w:rsidRPr="008E4844" w:rsidRDefault="00D11245" w:rsidP="00D11245">
      <w:pPr>
        <w:spacing w:after="0" w:line="240" w:lineRule="auto"/>
        <w:rPr>
          <w:rFonts w:ascii="Times New Roman" w:hAnsi="Times New Roman" w:cs="Times New Roman"/>
          <w:sz w:val="24"/>
          <w:szCs w:val="24"/>
          <w:highlight w:val="yellow"/>
        </w:rPr>
      </w:pPr>
    </w:p>
    <w:p w14:paraId="301F1305" w14:textId="03D109A6" w:rsidR="00D11245" w:rsidRPr="008E4844" w:rsidRDefault="00D11245"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Foundation Trust Network (FTN)</w:t>
      </w:r>
      <w:r w:rsidR="00A460E2" w:rsidRPr="008E4844">
        <w:rPr>
          <w:rFonts w:ascii="Times New Roman" w:hAnsi="Times New Roman" w:cs="Times New Roman"/>
          <w:sz w:val="24"/>
          <w:szCs w:val="24"/>
        </w:rPr>
        <w:t>.</w:t>
      </w:r>
      <w:r w:rsidR="008344DD" w:rsidRPr="008E4844">
        <w:rPr>
          <w:rFonts w:ascii="Times New Roman" w:hAnsi="Times New Roman" w:cs="Times New Roman"/>
          <w:sz w:val="24"/>
          <w:szCs w:val="24"/>
        </w:rPr>
        <w:t xml:space="preserve"> </w:t>
      </w:r>
      <w:r w:rsidRPr="008E4844">
        <w:rPr>
          <w:rFonts w:ascii="Times New Roman" w:hAnsi="Times New Roman" w:cs="Times New Roman"/>
          <w:sz w:val="24"/>
          <w:szCs w:val="24"/>
        </w:rPr>
        <w:t xml:space="preserve">2014. </w:t>
      </w:r>
      <w:r w:rsidRPr="008E4844">
        <w:rPr>
          <w:rFonts w:ascii="Times New Roman" w:hAnsi="Times New Roman" w:cs="Times New Roman"/>
          <w:i/>
          <w:sz w:val="24"/>
          <w:szCs w:val="24"/>
        </w:rPr>
        <w:t>How NHS providers use non-NHS income to improve patient services.</w:t>
      </w:r>
      <w:r w:rsidRPr="008E4844">
        <w:rPr>
          <w:rFonts w:ascii="Times New Roman" w:hAnsi="Times New Roman" w:cs="Times New Roman"/>
          <w:sz w:val="24"/>
          <w:szCs w:val="24"/>
        </w:rPr>
        <w:t xml:space="preserve"> FTN.</w:t>
      </w:r>
    </w:p>
    <w:p w14:paraId="33296A07" w14:textId="77777777" w:rsidR="00D11245" w:rsidRPr="008E4844" w:rsidRDefault="00D11245" w:rsidP="00D11245">
      <w:pPr>
        <w:spacing w:after="0" w:line="240" w:lineRule="auto"/>
        <w:rPr>
          <w:rFonts w:ascii="Times New Roman" w:hAnsi="Times New Roman" w:cs="Times New Roman"/>
          <w:sz w:val="24"/>
          <w:szCs w:val="24"/>
        </w:rPr>
      </w:pPr>
    </w:p>
    <w:p w14:paraId="074F3D82" w14:textId="77777777"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Gorsky, Martin. 2015. “Into the Dark Domain: The UK Web Archive as a Source for the Contemporary History of Public Health.” </w:t>
      </w:r>
      <w:r w:rsidRPr="008E4844">
        <w:rPr>
          <w:rFonts w:ascii="Times New Roman" w:hAnsi="Times New Roman" w:cs="Times New Roman"/>
          <w:i/>
          <w:iCs/>
          <w:sz w:val="24"/>
          <w:szCs w:val="24"/>
        </w:rPr>
        <w:t>Social History of Medicine</w:t>
      </w:r>
      <w:r w:rsidRPr="008E4844">
        <w:rPr>
          <w:rFonts w:ascii="Times New Roman" w:hAnsi="Times New Roman" w:cs="Times New Roman"/>
          <w:sz w:val="24"/>
          <w:szCs w:val="24"/>
        </w:rPr>
        <w:t> 28 (3): 596–616. https://doi.org/10.1093/shm/hkv028.</w:t>
      </w:r>
    </w:p>
    <w:p w14:paraId="2FBF1918" w14:textId="3977ADB0" w:rsidR="00831686" w:rsidRPr="008E4844" w:rsidRDefault="00885B00"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1CEBE51D" w14:textId="2D9FCD3B" w:rsidR="006E541E" w:rsidRPr="008E4844" w:rsidRDefault="006E541E" w:rsidP="006E541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Gorsky</w:t>
      </w:r>
      <w:r w:rsidR="00F23A05">
        <w:rPr>
          <w:rFonts w:ascii="Times New Roman" w:hAnsi="Times New Roman" w:cs="Times New Roman"/>
          <w:sz w:val="24"/>
          <w:szCs w:val="24"/>
        </w:rPr>
        <w:t xml:space="preserve"> Martin</w:t>
      </w:r>
      <w:r w:rsidR="00A460E2" w:rsidRPr="008E4844">
        <w:rPr>
          <w:rFonts w:ascii="Times New Roman" w:hAnsi="Times New Roman" w:cs="Times New Roman"/>
          <w:sz w:val="24"/>
          <w:szCs w:val="24"/>
        </w:rPr>
        <w:t xml:space="preserve"> </w:t>
      </w:r>
      <w:r w:rsidRPr="008E4844">
        <w:rPr>
          <w:rFonts w:ascii="Times New Roman" w:hAnsi="Times New Roman" w:cs="Times New Roman"/>
          <w:sz w:val="24"/>
          <w:szCs w:val="24"/>
        </w:rPr>
        <w:t>and Alex Mold. 2020. Documentary Analysis. In </w:t>
      </w:r>
      <w:r w:rsidRPr="008E4844">
        <w:rPr>
          <w:rFonts w:ascii="Times New Roman" w:hAnsi="Times New Roman" w:cs="Times New Roman"/>
          <w:i/>
          <w:iCs/>
          <w:sz w:val="24"/>
          <w:szCs w:val="24"/>
        </w:rPr>
        <w:t>Qualitative Research in Health Care</w:t>
      </w:r>
      <w:r w:rsidRPr="008E4844">
        <w:rPr>
          <w:rFonts w:ascii="Times New Roman" w:hAnsi="Times New Roman" w:cs="Times New Roman"/>
          <w:sz w:val="24"/>
          <w:szCs w:val="24"/>
        </w:rPr>
        <w:t>, edited by Catherine Pope and Nicholas Mays. 4th ed. S.L.: Wiley-Blackwell.</w:t>
      </w:r>
    </w:p>
    <w:p w14:paraId="29E92CF8" w14:textId="6155FEF9" w:rsidR="00831686" w:rsidRPr="008E4844" w:rsidRDefault="00831686" w:rsidP="00D11245">
      <w:pPr>
        <w:spacing w:after="0" w:line="240" w:lineRule="auto"/>
        <w:rPr>
          <w:rFonts w:ascii="Times New Roman" w:hAnsi="Times New Roman" w:cs="Times New Roman"/>
          <w:sz w:val="24"/>
          <w:szCs w:val="24"/>
          <w:highlight w:val="yellow"/>
        </w:rPr>
      </w:pPr>
    </w:p>
    <w:p w14:paraId="57101F7E" w14:textId="633825B5" w:rsidR="00506CC5" w:rsidRDefault="00506CC5" w:rsidP="00746C8A">
      <w:pPr>
        <w:rPr>
          <w:rFonts w:ascii="Times New Roman" w:hAnsi="Times New Roman" w:cs="Times New Roman"/>
          <w:sz w:val="24"/>
          <w:szCs w:val="24"/>
        </w:rPr>
      </w:pPr>
      <w:r w:rsidRPr="00045D5A">
        <w:rPr>
          <w:rFonts w:ascii="Times New Roman" w:hAnsi="Times New Roman" w:cs="Times New Roman"/>
          <w:sz w:val="24"/>
          <w:szCs w:val="24"/>
        </w:rPr>
        <w:t>Healthcare Financial Management Association</w:t>
      </w:r>
      <w:r>
        <w:rPr>
          <w:rFonts w:ascii="Times New Roman" w:hAnsi="Times New Roman" w:cs="Times New Roman"/>
          <w:sz w:val="24"/>
          <w:szCs w:val="24"/>
        </w:rPr>
        <w:t xml:space="preserve">. </w:t>
      </w:r>
      <w:r w:rsidRPr="00045D5A">
        <w:rPr>
          <w:rFonts w:ascii="Times New Roman" w:hAnsi="Times New Roman" w:cs="Times New Roman"/>
          <w:sz w:val="24"/>
          <w:szCs w:val="24"/>
        </w:rPr>
        <w:t>2024</w:t>
      </w:r>
      <w:r>
        <w:rPr>
          <w:rFonts w:ascii="Times New Roman" w:hAnsi="Times New Roman" w:cs="Times New Roman"/>
          <w:sz w:val="24"/>
          <w:szCs w:val="24"/>
        </w:rPr>
        <w:t xml:space="preserve">. </w:t>
      </w:r>
      <w:r w:rsidRPr="00045D5A">
        <w:rPr>
          <w:rFonts w:ascii="Times New Roman" w:hAnsi="Times New Roman" w:cs="Times New Roman"/>
          <w:sz w:val="24"/>
          <w:szCs w:val="24"/>
        </w:rPr>
        <w:t>Introductory guide to NHS finance, HMFA</w:t>
      </w:r>
      <w:r>
        <w:rPr>
          <w:rFonts w:ascii="Times New Roman" w:hAnsi="Times New Roman" w:cs="Times New Roman"/>
          <w:sz w:val="24"/>
          <w:szCs w:val="24"/>
        </w:rPr>
        <w:t>.</w:t>
      </w:r>
    </w:p>
    <w:p w14:paraId="787BBE6A" w14:textId="34159C9B"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Hodgson, Damian E., Simon Bailey, Mark Exworthy, Mike Bresnen, John Hassard, and Paula Hyde. 2021. “On the Character of the New Entrepreneurial National Health Service in </w:t>
      </w:r>
      <w:r w:rsidRPr="008E4844">
        <w:rPr>
          <w:rFonts w:ascii="Times New Roman" w:hAnsi="Times New Roman" w:cs="Times New Roman"/>
          <w:sz w:val="24"/>
          <w:szCs w:val="24"/>
        </w:rPr>
        <w:lastRenderedPageBreak/>
        <w:t>England: Reforming Health Care from Within?” </w:t>
      </w:r>
      <w:r w:rsidRPr="008E4844">
        <w:rPr>
          <w:rFonts w:ascii="Times New Roman" w:hAnsi="Times New Roman" w:cs="Times New Roman"/>
          <w:i/>
          <w:iCs/>
          <w:sz w:val="24"/>
          <w:szCs w:val="24"/>
        </w:rPr>
        <w:t>Public Administration</w:t>
      </w:r>
      <w:r w:rsidRPr="008E4844">
        <w:rPr>
          <w:rFonts w:ascii="Times New Roman" w:hAnsi="Times New Roman" w:cs="Times New Roman"/>
          <w:sz w:val="24"/>
          <w:szCs w:val="24"/>
        </w:rPr>
        <w:t>, November. https://doi.org/10.1111/padm.12797.</w:t>
      </w:r>
    </w:p>
    <w:p w14:paraId="53ADADCD" w14:textId="47AF7374" w:rsidR="00D11245" w:rsidRPr="008E4844" w:rsidRDefault="00885B00"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19641F76" w14:textId="66FE069F" w:rsidR="00885B00" w:rsidRPr="008E4844" w:rsidRDefault="00885B00" w:rsidP="00885B00">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Holmes, Christopher. 2012. “Ignorance, Denial, Internalisation, and Transcendence: A Post-Structural Perspective on Polanyi’s Double Movement.” </w:t>
      </w:r>
      <w:r w:rsidRPr="008E4844">
        <w:rPr>
          <w:rFonts w:ascii="Times New Roman" w:hAnsi="Times New Roman" w:cs="Times New Roman"/>
          <w:i/>
          <w:iCs/>
          <w:sz w:val="24"/>
          <w:szCs w:val="24"/>
        </w:rPr>
        <w:t>Review of International Studies</w:t>
      </w:r>
      <w:r w:rsidRPr="008E4844">
        <w:rPr>
          <w:rFonts w:ascii="Times New Roman" w:hAnsi="Times New Roman" w:cs="Times New Roman"/>
          <w:sz w:val="24"/>
          <w:szCs w:val="24"/>
        </w:rPr>
        <w:t> 39 (2): 273–90. https://doi.org/10.1017/s0260210512000320.</w:t>
      </w:r>
    </w:p>
    <w:p w14:paraId="1AB2C882" w14:textId="77777777" w:rsidR="0020151E" w:rsidRPr="008E4844" w:rsidRDefault="00885B00" w:rsidP="0020151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1499AB02" w14:textId="68FBB099" w:rsidR="00885B00" w:rsidRPr="008E4844" w:rsidRDefault="00885B00" w:rsidP="0020151E">
      <w:pPr>
        <w:spacing w:after="0" w:line="240" w:lineRule="auto"/>
        <w:rPr>
          <w:rFonts w:ascii="Times New Roman" w:hAnsi="Times New Roman" w:cs="Times New Roman"/>
          <w:sz w:val="24"/>
          <w:szCs w:val="24"/>
        </w:rPr>
      </w:pPr>
      <w:r w:rsidRPr="008E4844">
        <w:rPr>
          <w:rFonts w:ascii="Times New Roman" w:eastAsia="Times New Roman" w:hAnsi="Times New Roman" w:cs="Times New Roman"/>
          <w:bCs/>
          <w:kern w:val="36"/>
          <w:sz w:val="24"/>
          <w:szCs w:val="24"/>
          <w:lang w:eastAsia="en-GB"/>
        </w:rPr>
        <w:t>Klein, Rudolf. 2013. </w:t>
      </w:r>
      <w:r w:rsidRPr="008E4844">
        <w:rPr>
          <w:rFonts w:ascii="Times New Roman" w:eastAsia="Times New Roman" w:hAnsi="Times New Roman" w:cs="Times New Roman"/>
          <w:bCs/>
          <w:i/>
          <w:iCs/>
          <w:kern w:val="36"/>
          <w:sz w:val="24"/>
          <w:szCs w:val="24"/>
          <w:lang w:eastAsia="en-GB"/>
        </w:rPr>
        <w:t xml:space="preserve">The New Politics of the </w:t>
      </w:r>
      <w:proofErr w:type="gramStart"/>
      <w:r w:rsidRPr="008E4844">
        <w:rPr>
          <w:rFonts w:ascii="Times New Roman" w:eastAsia="Times New Roman" w:hAnsi="Times New Roman" w:cs="Times New Roman"/>
          <w:bCs/>
          <w:i/>
          <w:iCs/>
          <w:kern w:val="36"/>
          <w:sz w:val="24"/>
          <w:szCs w:val="24"/>
          <w:lang w:eastAsia="en-GB"/>
        </w:rPr>
        <w:t>NHS :</w:t>
      </w:r>
      <w:proofErr w:type="gramEnd"/>
      <w:r w:rsidRPr="008E4844">
        <w:rPr>
          <w:rFonts w:ascii="Times New Roman" w:eastAsia="Times New Roman" w:hAnsi="Times New Roman" w:cs="Times New Roman"/>
          <w:bCs/>
          <w:i/>
          <w:iCs/>
          <w:kern w:val="36"/>
          <w:sz w:val="24"/>
          <w:szCs w:val="24"/>
          <w:lang w:eastAsia="en-GB"/>
        </w:rPr>
        <w:t xml:space="preserve"> From Creation to Reinvention</w:t>
      </w:r>
      <w:r w:rsidRPr="008E4844">
        <w:rPr>
          <w:rFonts w:ascii="Times New Roman" w:eastAsia="Times New Roman" w:hAnsi="Times New Roman" w:cs="Times New Roman"/>
          <w:bCs/>
          <w:kern w:val="36"/>
          <w:sz w:val="24"/>
          <w:szCs w:val="24"/>
          <w:lang w:eastAsia="en-GB"/>
        </w:rPr>
        <w:t>. London: Radcliffe Publishing.</w:t>
      </w:r>
    </w:p>
    <w:p w14:paraId="5173D7F4" w14:textId="2A11AD95" w:rsidR="00874754" w:rsidRPr="008E4844" w:rsidRDefault="0008248E" w:rsidP="0008248E">
      <w:pPr>
        <w:pStyle w:val="NormalWeb"/>
        <w:rPr>
          <w:rStyle w:val="Emphasis"/>
          <w:bCs/>
          <w:i w:val="0"/>
          <w:iCs w:val="0"/>
          <w:kern w:val="36"/>
        </w:rPr>
      </w:pPr>
      <w:r w:rsidRPr="008E4844">
        <w:rPr>
          <w:bCs/>
          <w:kern w:val="36"/>
        </w:rPr>
        <w:t>Lambert-Charbonnier, Martine. 2018. “From Commodity Fetishes to Symbols: Danny Boyle’s Simulations of British Culture in the London Olympic Games Opening Ceremony.” </w:t>
      </w:r>
      <w:proofErr w:type="spellStart"/>
      <w:r w:rsidRPr="008E4844">
        <w:rPr>
          <w:bCs/>
          <w:i/>
          <w:iCs/>
          <w:kern w:val="36"/>
        </w:rPr>
        <w:t>InMedia</w:t>
      </w:r>
      <w:proofErr w:type="spellEnd"/>
      <w:r w:rsidRPr="008E4844">
        <w:rPr>
          <w:bCs/>
          <w:kern w:val="36"/>
        </w:rPr>
        <w:t>, no. 7.1. (December). https://doi.org/10.4000/inmedia.1284.</w:t>
      </w:r>
    </w:p>
    <w:p w14:paraId="74A052DB" w14:textId="3730E49B" w:rsidR="001A3F2E" w:rsidRPr="008E4844" w:rsidRDefault="0008248E" w:rsidP="0008248E">
      <w:pPr>
        <w:pStyle w:val="NormalWeb"/>
      </w:pPr>
      <w:r w:rsidRPr="008E4844">
        <w:t>Lunt, Neil, Richard D Smith, Russell Mannion, Stephen T Green, Mark Exworthy, Johanna Hanefeld, Daniel Horsfall, Laura Machin, and Hannah King. 2014. “Implications for the NHS of Inward and Outward Medical Tourism: A Policy and Economic Analysis Using Literature Review and Mixed-Methods Approaches.” </w:t>
      </w:r>
      <w:r w:rsidRPr="008E4844">
        <w:rPr>
          <w:i/>
          <w:iCs/>
        </w:rPr>
        <w:t>Health Services and Delivery Research</w:t>
      </w:r>
      <w:r w:rsidRPr="008E4844">
        <w:t> 2 (2): 1–234. https://doi.org/10.3310/hsdr02020.</w:t>
      </w:r>
    </w:p>
    <w:p w14:paraId="0568C5DD" w14:textId="77777777" w:rsidR="0008248E" w:rsidRPr="008E4844" w:rsidRDefault="0008248E" w:rsidP="0008248E">
      <w:pPr>
        <w:spacing w:after="0" w:line="240" w:lineRule="auto"/>
        <w:jc w:val="both"/>
        <w:rPr>
          <w:rFonts w:ascii="Times New Roman" w:eastAsia="Times New Roman" w:hAnsi="Times New Roman" w:cs="Times New Roman"/>
          <w:kern w:val="0"/>
          <w:sz w:val="24"/>
          <w:szCs w:val="24"/>
          <w:lang w:eastAsia="en-GB"/>
          <w14:ligatures w14:val="none"/>
        </w:rPr>
      </w:pPr>
      <w:r w:rsidRPr="008E4844">
        <w:rPr>
          <w:rFonts w:ascii="Times New Roman" w:eastAsia="Times New Roman" w:hAnsi="Times New Roman" w:cs="Times New Roman"/>
          <w:kern w:val="0"/>
          <w:sz w:val="24"/>
          <w:szCs w:val="24"/>
          <w:lang w:eastAsia="en-GB"/>
          <w14:ligatures w14:val="none"/>
        </w:rPr>
        <w:t>Lunt, Neil, Mark Exworthy, Johanna Hanefeld, and Richard D. Smith. 2015. “International Patients within the NHS: A Case of Public Sector Entrepreneurialism.” </w:t>
      </w:r>
      <w:r w:rsidRPr="008E4844">
        <w:rPr>
          <w:rFonts w:ascii="Times New Roman" w:eastAsia="Times New Roman" w:hAnsi="Times New Roman" w:cs="Times New Roman"/>
          <w:i/>
          <w:iCs/>
          <w:kern w:val="0"/>
          <w:sz w:val="24"/>
          <w:szCs w:val="24"/>
          <w:lang w:eastAsia="en-GB"/>
          <w14:ligatures w14:val="none"/>
        </w:rPr>
        <w:t>Social Science &amp; Medicine</w:t>
      </w:r>
      <w:r w:rsidRPr="008E4844">
        <w:rPr>
          <w:rFonts w:ascii="Times New Roman" w:eastAsia="Times New Roman" w:hAnsi="Times New Roman" w:cs="Times New Roman"/>
          <w:kern w:val="0"/>
          <w:sz w:val="24"/>
          <w:szCs w:val="24"/>
          <w:lang w:eastAsia="en-GB"/>
          <w14:ligatures w14:val="none"/>
        </w:rPr>
        <w:t> 124 (January): 338–45. https://doi.org/10.1016/j.socscimed.2014.04.027.</w:t>
      </w:r>
    </w:p>
    <w:p w14:paraId="76B79324" w14:textId="2AB0B27A" w:rsidR="00A74DD8" w:rsidRPr="008E4844" w:rsidRDefault="0008248E" w:rsidP="00D11245">
      <w:pPr>
        <w:spacing w:after="0" w:line="240" w:lineRule="auto"/>
        <w:jc w:val="both"/>
        <w:rPr>
          <w:rFonts w:ascii="Times New Roman" w:eastAsia="Times New Roman" w:hAnsi="Times New Roman" w:cs="Times New Roman"/>
          <w:kern w:val="0"/>
          <w:sz w:val="24"/>
          <w:szCs w:val="24"/>
          <w:lang w:eastAsia="en-GB"/>
          <w14:ligatures w14:val="none"/>
        </w:rPr>
      </w:pPr>
      <w:r w:rsidRPr="008E4844">
        <w:rPr>
          <w:rFonts w:ascii="Times New Roman" w:eastAsia="Times New Roman" w:hAnsi="Times New Roman" w:cs="Times New Roman"/>
          <w:kern w:val="0"/>
          <w:sz w:val="24"/>
          <w:szCs w:val="24"/>
          <w:lang w:eastAsia="en-GB"/>
          <w14:ligatures w14:val="none"/>
        </w:rPr>
        <w:t>‌</w:t>
      </w:r>
    </w:p>
    <w:p w14:paraId="457C49DD" w14:textId="0B3A9979" w:rsidR="003C00D5" w:rsidRDefault="003C00D5" w:rsidP="00506CC5">
      <w:pPr>
        <w:rPr>
          <w:rFonts w:ascii="Times New Roman" w:hAnsi="Times New Roman" w:cs="Times New Roman"/>
          <w:sz w:val="24"/>
          <w:szCs w:val="24"/>
        </w:rPr>
      </w:pPr>
      <w:r w:rsidRPr="003C00D5">
        <w:rPr>
          <w:rFonts w:ascii="Times New Roman" w:hAnsi="Times New Roman" w:cs="Times New Roman"/>
          <w:sz w:val="24"/>
          <w:szCs w:val="24"/>
        </w:rPr>
        <w:t>Merz Sibille</w:t>
      </w:r>
      <w:r>
        <w:rPr>
          <w:rFonts w:ascii="Times New Roman" w:hAnsi="Times New Roman" w:cs="Times New Roman"/>
          <w:sz w:val="24"/>
          <w:szCs w:val="24"/>
        </w:rPr>
        <w:t>,</w:t>
      </w:r>
      <w:r w:rsidRPr="003C00D5">
        <w:rPr>
          <w:rFonts w:ascii="Times New Roman" w:hAnsi="Times New Roman" w:cs="Times New Roman"/>
          <w:sz w:val="24"/>
          <w:szCs w:val="24"/>
        </w:rPr>
        <w:t xml:space="preserve"> Benjamin Hunter, Ramila Bisht, </w:t>
      </w:r>
      <w:r>
        <w:rPr>
          <w:rFonts w:ascii="Times New Roman" w:hAnsi="Times New Roman" w:cs="Times New Roman"/>
          <w:sz w:val="24"/>
          <w:szCs w:val="24"/>
        </w:rPr>
        <w:t>and</w:t>
      </w:r>
      <w:r w:rsidRPr="003C00D5">
        <w:rPr>
          <w:rFonts w:ascii="Times New Roman" w:hAnsi="Times New Roman" w:cs="Times New Roman"/>
          <w:sz w:val="24"/>
          <w:szCs w:val="24"/>
        </w:rPr>
        <w:t xml:space="preserve"> Susan Fairley Murray</w:t>
      </w:r>
      <w:r>
        <w:rPr>
          <w:rFonts w:ascii="Times New Roman" w:hAnsi="Times New Roman" w:cs="Times New Roman"/>
          <w:sz w:val="24"/>
          <w:szCs w:val="24"/>
        </w:rPr>
        <w:t xml:space="preserve">. </w:t>
      </w:r>
      <w:r w:rsidRPr="003C00D5">
        <w:rPr>
          <w:rFonts w:ascii="Times New Roman" w:hAnsi="Times New Roman" w:cs="Times New Roman"/>
          <w:sz w:val="24"/>
          <w:szCs w:val="24"/>
        </w:rPr>
        <w:t xml:space="preserve">2023. </w:t>
      </w:r>
      <w:proofErr w:type="gramStart"/>
      <w:r>
        <w:rPr>
          <w:rFonts w:ascii="Times New Roman" w:hAnsi="Times New Roman" w:cs="Times New Roman"/>
          <w:sz w:val="24"/>
          <w:szCs w:val="24"/>
        </w:rPr>
        <w:t>“ ‘</w:t>
      </w:r>
      <w:proofErr w:type="gramEnd"/>
      <w:r w:rsidRPr="003C00D5">
        <w:rPr>
          <w:rFonts w:ascii="Times New Roman" w:hAnsi="Times New Roman" w:cs="Times New Roman"/>
          <w:sz w:val="24"/>
          <w:szCs w:val="24"/>
        </w:rPr>
        <w:t>Not in it for huge profits but because it’s right’: The contested moral economies of UK–India exports in health worker education and training</w:t>
      </w:r>
      <w:r>
        <w:rPr>
          <w:rFonts w:ascii="Times New Roman" w:hAnsi="Times New Roman" w:cs="Times New Roman"/>
          <w:sz w:val="24"/>
          <w:szCs w:val="24"/>
        </w:rPr>
        <w:t>”</w:t>
      </w:r>
      <w:r w:rsidRPr="003C00D5">
        <w:rPr>
          <w:rFonts w:ascii="Times New Roman" w:hAnsi="Times New Roman" w:cs="Times New Roman"/>
          <w:sz w:val="24"/>
          <w:szCs w:val="24"/>
        </w:rPr>
        <w:t xml:space="preserve">. </w:t>
      </w:r>
      <w:r w:rsidRPr="00746C8A">
        <w:rPr>
          <w:rFonts w:ascii="Times New Roman" w:hAnsi="Times New Roman" w:cs="Times New Roman"/>
          <w:i/>
          <w:iCs/>
          <w:sz w:val="24"/>
          <w:szCs w:val="24"/>
        </w:rPr>
        <w:t>Sociology of Health &amp; Illness</w:t>
      </w:r>
      <w:r w:rsidRPr="003C00D5">
        <w:rPr>
          <w:rFonts w:ascii="Times New Roman" w:hAnsi="Times New Roman" w:cs="Times New Roman"/>
          <w:sz w:val="24"/>
          <w:szCs w:val="24"/>
        </w:rPr>
        <w:t>, 46</w:t>
      </w:r>
      <w:r>
        <w:rPr>
          <w:rFonts w:ascii="Times New Roman" w:hAnsi="Times New Roman" w:cs="Times New Roman"/>
          <w:sz w:val="24"/>
          <w:szCs w:val="24"/>
        </w:rPr>
        <w:t xml:space="preserve"> </w:t>
      </w:r>
      <w:r w:rsidRPr="003C00D5">
        <w:rPr>
          <w:rFonts w:ascii="Times New Roman" w:hAnsi="Times New Roman" w:cs="Times New Roman"/>
          <w:sz w:val="24"/>
          <w:szCs w:val="24"/>
        </w:rPr>
        <w:t>(2)</w:t>
      </w:r>
      <w:r>
        <w:rPr>
          <w:rFonts w:ascii="Times New Roman" w:hAnsi="Times New Roman" w:cs="Times New Roman"/>
          <w:sz w:val="24"/>
          <w:szCs w:val="24"/>
        </w:rPr>
        <w:t xml:space="preserve">: </w:t>
      </w:r>
      <w:r w:rsidRPr="003C00D5">
        <w:rPr>
          <w:rFonts w:ascii="Times New Roman" w:hAnsi="Times New Roman" w:cs="Times New Roman"/>
          <w:sz w:val="24"/>
          <w:szCs w:val="24"/>
        </w:rPr>
        <w:t>219–235. https://doi.org/10.1111/1467-9566.13700</w:t>
      </w:r>
    </w:p>
    <w:p w14:paraId="068C2CFA" w14:textId="69FA6186" w:rsidR="00506CC5" w:rsidRDefault="008528F2" w:rsidP="00506CC5">
      <w:pPr>
        <w:rPr>
          <w:rFonts w:ascii="Times New Roman" w:hAnsi="Times New Roman" w:cs="Times New Roman"/>
          <w:sz w:val="24"/>
          <w:szCs w:val="24"/>
        </w:rPr>
      </w:pPr>
      <w:r w:rsidRPr="00045D5A">
        <w:rPr>
          <w:rFonts w:ascii="Times New Roman" w:hAnsi="Times New Roman" w:cs="Times New Roman"/>
          <w:sz w:val="24"/>
          <w:szCs w:val="24"/>
        </w:rPr>
        <w:t>Miles</w:t>
      </w:r>
      <w:r w:rsidR="00506CC5">
        <w:rPr>
          <w:rFonts w:ascii="Times New Roman" w:hAnsi="Times New Roman" w:cs="Times New Roman"/>
          <w:sz w:val="24"/>
          <w:szCs w:val="24"/>
        </w:rPr>
        <w:t>,</w:t>
      </w:r>
      <w:r w:rsidRPr="00045D5A">
        <w:rPr>
          <w:rFonts w:ascii="Times New Roman" w:hAnsi="Times New Roman" w:cs="Times New Roman"/>
          <w:sz w:val="24"/>
          <w:szCs w:val="24"/>
        </w:rPr>
        <w:t xml:space="preserve"> </w:t>
      </w:r>
      <w:r>
        <w:rPr>
          <w:rFonts w:ascii="Times New Roman" w:hAnsi="Times New Roman" w:cs="Times New Roman"/>
          <w:sz w:val="24"/>
          <w:szCs w:val="24"/>
        </w:rPr>
        <w:t xml:space="preserve">Matthew B, </w:t>
      </w:r>
      <w:r w:rsidRPr="00045D5A">
        <w:rPr>
          <w:rFonts w:ascii="Times New Roman" w:hAnsi="Times New Roman" w:cs="Times New Roman"/>
          <w:sz w:val="24"/>
          <w:szCs w:val="24"/>
        </w:rPr>
        <w:t xml:space="preserve">&amp; </w:t>
      </w:r>
      <w:r>
        <w:rPr>
          <w:rFonts w:ascii="Times New Roman" w:hAnsi="Times New Roman" w:cs="Times New Roman"/>
          <w:sz w:val="24"/>
          <w:szCs w:val="24"/>
        </w:rPr>
        <w:t xml:space="preserve">A Michael </w:t>
      </w:r>
      <w:r w:rsidRPr="00045D5A">
        <w:rPr>
          <w:rFonts w:ascii="Times New Roman" w:hAnsi="Times New Roman" w:cs="Times New Roman"/>
          <w:sz w:val="24"/>
          <w:szCs w:val="24"/>
        </w:rPr>
        <w:t>Huberman</w:t>
      </w:r>
      <w:r>
        <w:rPr>
          <w:rFonts w:ascii="Times New Roman" w:hAnsi="Times New Roman" w:cs="Times New Roman"/>
          <w:sz w:val="24"/>
          <w:szCs w:val="24"/>
        </w:rPr>
        <w:t>.</w:t>
      </w:r>
      <w:r w:rsidRPr="00045D5A">
        <w:rPr>
          <w:rFonts w:ascii="Times New Roman" w:hAnsi="Times New Roman" w:cs="Times New Roman"/>
          <w:sz w:val="24"/>
          <w:szCs w:val="24"/>
        </w:rPr>
        <w:t xml:space="preserve"> </w:t>
      </w:r>
      <w:r>
        <w:rPr>
          <w:rFonts w:ascii="Times New Roman" w:hAnsi="Times New Roman" w:cs="Times New Roman"/>
          <w:sz w:val="24"/>
          <w:szCs w:val="24"/>
        </w:rPr>
        <w:t xml:space="preserve">1984. </w:t>
      </w:r>
      <w:r w:rsidRPr="00746C8A">
        <w:rPr>
          <w:rFonts w:ascii="Times New Roman" w:hAnsi="Times New Roman" w:cs="Times New Roman"/>
          <w:i/>
          <w:iCs/>
          <w:sz w:val="24"/>
          <w:szCs w:val="24"/>
        </w:rPr>
        <w:t>Qualitative Data Analysis: A Sourcebook of New Methods</w:t>
      </w:r>
      <w:r w:rsidRPr="00045D5A">
        <w:rPr>
          <w:rFonts w:ascii="Times New Roman" w:hAnsi="Times New Roman" w:cs="Times New Roman"/>
          <w:sz w:val="24"/>
          <w:szCs w:val="24"/>
        </w:rPr>
        <w:t>.</w:t>
      </w:r>
      <w:r>
        <w:rPr>
          <w:rFonts w:ascii="Times New Roman" w:hAnsi="Times New Roman" w:cs="Times New Roman"/>
          <w:sz w:val="24"/>
          <w:szCs w:val="24"/>
        </w:rPr>
        <w:t xml:space="preserve"> Sage Publications.</w:t>
      </w:r>
      <w:r w:rsidRPr="00045D5A">
        <w:rPr>
          <w:rFonts w:ascii="Times New Roman" w:hAnsi="Times New Roman" w:cs="Times New Roman"/>
          <w:sz w:val="24"/>
          <w:szCs w:val="24"/>
        </w:rPr>
        <w:t xml:space="preserve">  </w:t>
      </w:r>
    </w:p>
    <w:p w14:paraId="080628F0" w14:textId="5EF0410A" w:rsidR="00506CC5" w:rsidRDefault="00506CC5" w:rsidP="00746C8A">
      <w:pPr>
        <w:rPr>
          <w:rFonts w:ascii="Times New Roman" w:hAnsi="Times New Roman" w:cs="Times New Roman"/>
          <w:sz w:val="24"/>
          <w:szCs w:val="24"/>
        </w:rPr>
      </w:pPr>
      <w:r w:rsidRPr="00045D5A">
        <w:rPr>
          <w:rFonts w:ascii="Times New Roman" w:hAnsi="Times New Roman" w:cs="Times New Roman"/>
          <w:sz w:val="24"/>
          <w:szCs w:val="24"/>
        </w:rPr>
        <w:t>Monitor</w:t>
      </w:r>
      <w:r>
        <w:rPr>
          <w:rFonts w:ascii="Times New Roman" w:hAnsi="Times New Roman" w:cs="Times New Roman"/>
          <w:sz w:val="24"/>
          <w:szCs w:val="24"/>
        </w:rPr>
        <w:t xml:space="preserve">. </w:t>
      </w:r>
      <w:r w:rsidRPr="00045D5A">
        <w:rPr>
          <w:rFonts w:ascii="Times New Roman" w:hAnsi="Times New Roman" w:cs="Times New Roman"/>
          <w:sz w:val="24"/>
          <w:szCs w:val="24"/>
        </w:rPr>
        <w:t>2013</w:t>
      </w:r>
      <w:r>
        <w:rPr>
          <w:rFonts w:ascii="Times New Roman" w:hAnsi="Times New Roman" w:cs="Times New Roman"/>
          <w:sz w:val="24"/>
          <w:szCs w:val="24"/>
        </w:rPr>
        <w:t xml:space="preserve">. </w:t>
      </w:r>
      <w:r w:rsidRPr="00045D5A">
        <w:rPr>
          <w:rFonts w:ascii="Times New Roman" w:hAnsi="Times New Roman" w:cs="Times New Roman"/>
          <w:sz w:val="24"/>
          <w:szCs w:val="24"/>
        </w:rPr>
        <w:t>Meeting the needs of patients: improving strategic planning in NHS foundation trusts, Monitor, IRREP 25/13</w:t>
      </w:r>
    </w:p>
    <w:p w14:paraId="68ADA0E1" w14:textId="0FE3320B" w:rsidR="008344DD" w:rsidRPr="008E4844" w:rsidRDefault="008344DD" w:rsidP="008344DD">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NHS England. 2023. “NHS Long Term Workforce Plan.” www.england.nhs.uk. June 30, 2023. https://www.england.nhs.uk/publication/nhs-long-term-workforce-plan/.</w:t>
      </w:r>
    </w:p>
    <w:p w14:paraId="62F8CDA6" w14:textId="143E9634" w:rsidR="00D11245" w:rsidRPr="008E4844" w:rsidRDefault="008344DD" w:rsidP="00D11245">
      <w:pPr>
        <w:spacing w:after="0" w:line="240" w:lineRule="auto"/>
        <w:rPr>
          <w:rFonts w:ascii="Times New Roman" w:hAnsi="Times New Roman" w:cs="Times New Roman"/>
          <w:sz w:val="24"/>
          <w:szCs w:val="24"/>
          <w:highlight w:val="yellow"/>
        </w:rPr>
      </w:pPr>
      <w:r w:rsidRPr="008E4844">
        <w:rPr>
          <w:rFonts w:ascii="Times New Roman" w:hAnsi="Times New Roman" w:cs="Times New Roman"/>
          <w:sz w:val="24"/>
          <w:szCs w:val="24"/>
          <w:highlight w:val="yellow"/>
        </w:rPr>
        <w:t>‌</w:t>
      </w:r>
    </w:p>
    <w:p w14:paraId="7DF6451F" w14:textId="1E3BBE19" w:rsidR="00D11245" w:rsidRPr="008E4844" w:rsidRDefault="00D11245" w:rsidP="00D11245">
      <w:pPr>
        <w:spacing w:after="0" w:line="240" w:lineRule="auto"/>
        <w:rPr>
          <w:rFonts w:ascii="Times New Roman" w:eastAsia="Times New Roman" w:hAnsi="Times New Roman" w:cs="Times New Roman"/>
          <w:color w:val="000000"/>
          <w:sz w:val="24"/>
          <w:szCs w:val="24"/>
          <w:lang w:eastAsia="en-GB"/>
        </w:rPr>
      </w:pPr>
      <w:r w:rsidRPr="008E4844">
        <w:rPr>
          <w:rFonts w:ascii="Times New Roman" w:eastAsia="Times New Roman" w:hAnsi="Times New Roman" w:cs="Times New Roman"/>
          <w:color w:val="000000"/>
          <w:sz w:val="24"/>
          <w:szCs w:val="24"/>
          <w:lang w:eastAsia="en-GB"/>
        </w:rPr>
        <w:t>NHS</w:t>
      </w:r>
      <w:r w:rsidR="008344DD" w:rsidRPr="008E4844">
        <w:rPr>
          <w:rFonts w:ascii="Times New Roman" w:eastAsia="Times New Roman" w:hAnsi="Times New Roman" w:cs="Times New Roman"/>
          <w:color w:val="000000"/>
          <w:sz w:val="24"/>
          <w:szCs w:val="24"/>
          <w:lang w:eastAsia="en-GB"/>
        </w:rPr>
        <w:t xml:space="preserve">. </w:t>
      </w:r>
      <w:r w:rsidRPr="008E4844">
        <w:rPr>
          <w:rFonts w:ascii="Times New Roman" w:eastAsia="Times New Roman" w:hAnsi="Times New Roman" w:cs="Times New Roman"/>
          <w:color w:val="000000"/>
          <w:sz w:val="24"/>
          <w:szCs w:val="24"/>
          <w:lang w:eastAsia="en-GB"/>
        </w:rPr>
        <w:t xml:space="preserve">2022. </w:t>
      </w:r>
      <w:r w:rsidR="008344DD" w:rsidRPr="008E4844">
        <w:rPr>
          <w:rFonts w:ascii="Times New Roman" w:eastAsia="Times New Roman" w:hAnsi="Times New Roman" w:cs="Times New Roman"/>
          <w:color w:val="000000"/>
          <w:sz w:val="24"/>
          <w:szCs w:val="24"/>
          <w:lang w:eastAsia="en-GB"/>
        </w:rPr>
        <w:t>“</w:t>
      </w:r>
      <w:r w:rsidRPr="008E4844">
        <w:rPr>
          <w:rFonts w:ascii="Times New Roman" w:eastAsia="Times New Roman" w:hAnsi="Times New Roman" w:cs="Times New Roman"/>
          <w:i/>
          <w:iCs/>
          <w:color w:val="000000"/>
          <w:sz w:val="24"/>
          <w:szCs w:val="24"/>
          <w:lang w:eastAsia="en-GB"/>
        </w:rPr>
        <w:t>Revenue finance and contracting guidance for 2022/23</w:t>
      </w:r>
      <w:r w:rsidR="008344DD" w:rsidRPr="008E4844">
        <w:rPr>
          <w:rFonts w:ascii="Times New Roman" w:eastAsia="Times New Roman" w:hAnsi="Times New Roman" w:cs="Times New Roman"/>
          <w:i/>
          <w:iCs/>
          <w:color w:val="000000"/>
          <w:sz w:val="24"/>
          <w:szCs w:val="24"/>
          <w:lang w:eastAsia="en-GB"/>
        </w:rPr>
        <w:t>”</w:t>
      </w:r>
      <w:r w:rsidRPr="008E4844">
        <w:rPr>
          <w:rFonts w:ascii="Times New Roman" w:eastAsia="Times New Roman" w:hAnsi="Times New Roman" w:cs="Times New Roman"/>
          <w:color w:val="000000"/>
          <w:sz w:val="24"/>
          <w:szCs w:val="24"/>
          <w:lang w:eastAsia="en-GB"/>
        </w:rPr>
        <w:t>, April 2022</w:t>
      </w:r>
    </w:p>
    <w:p w14:paraId="09500D7E" w14:textId="673D5E1C" w:rsidR="008344DD" w:rsidRPr="008E4844" w:rsidRDefault="008344DD" w:rsidP="00D11245">
      <w:pPr>
        <w:spacing w:after="0" w:line="240" w:lineRule="auto"/>
        <w:rPr>
          <w:rFonts w:ascii="Times New Roman" w:hAnsi="Times New Roman" w:cs="Times New Roman"/>
          <w:sz w:val="24"/>
          <w:szCs w:val="24"/>
          <w:highlight w:val="yellow"/>
        </w:rPr>
      </w:pPr>
      <w:r w:rsidRPr="008E4844">
        <w:rPr>
          <w:rFonts w:ascii="Times New Roman" w:hAnsi="Times New Roman" w:cs="Times New Roman"/>
          <w:sz w:val="24"/>
          <w:szCs w:val="24"/>
        </w:rPr>
        <w:t>https://www.england.nhs.uk/wp-content/uploads/2022/04/B1186-revenue-finance-and-contracting-guidance-for-2022-23.pdf</w:t>
      </w:r>
    </w:p>
    <w:p w14:paraId="6BC6C513" w14:textId="77777777" w:rsidR="00D11245" w:rsidRPr="008E4844" w:rsidRDefault="00D11245" w:rsidP="00D11245">
      <w:pPr>
        <w:shd w:val="clear" w:color="auto" w:fill="FFFFFF"/>
        <w:spacing w:after="0" w:line="240" w:lineRule="auto"/>
        <w:textAlignment w:val="baseline"/>
        <w:rPr>
          <w:rFonts w:ascii="Times New Roman" w:eastAsia="Times New Roman" w:hAnsi="Times New Roman" w:cs="Times New Roman"/>
          <w:color w:val="000000"/>
          <w:sz w:val="24"/>
          <w:szCs w:val="24"/>
          <w:highlight w:val="yellow"/>
          <w:lang w:eastAsia="en-GB"/>
        </w:rPr>
      </w:pPr>
    </w:p>
    <w:p w14:paraId="56F0E781" w14:textId="75D9D571" w:rsidR="008344DD" w:rsidRPr="008E4844" w:rsidRDefault="00D11245" w:rsidP="008344DD">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8E4844">
        <w:rPr>
          <w:rFonts w:ascii="Times New Roman" w:eastAsia="Times New Roman" w:hAnsi="Times New Roman" w:cs="Times New Roman"/>
          <w:color w:val="000000"/>
          <w:sz w:val="24"/>
          <w:szCs w:val="24"/>
          <w:lang w:eastAsia="en-GB"/>
        </w:rPr>
        <w:t xml:space="preserve">NHS Confederation </w:t>
      </w:r>
      <w:r w:rsidR="008344DD" w:rsidRPr="008E4844">
        <w:rPr>
          <w:rFonts w:ascii="Times New Roman" w:hAnsi="Times New Roman" w:cs="Times New Roman"/>
          <w:sz w:val="24"/>
          <w:szCs w:val="24"/>
        </w:rPr>
        <w:t>“NHS Engagement in International Commercial Opportunities | NHS Confederation.” 2021. www.nhsconfed.org. https://www.nhsconfed.org/publications/nhs-engagement-international-commercial-opportunities.</w:t>
      </w:r>
    </w:p>
    <w:p w14:paraId="3B85FE03" w14:textId="27D42C2A" w:rsidR="008344DD" w:rsidRPr="008E4844" w:rsidRDefault="008344DD"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5DC45297" w14:textId="29FBC6C7" w:rsidR="00506CC5" w:rsidRPr="00045D5A" w:rsidRDefault="00506CC5" w:rsidP="00506CC5">
      <w:pPr>
        <w:rPr>
          <w:rFonts w:ascii="Times New Roman" w:hAnsi="Times New Roman" w:cs="Times New Roman"/>
          <w:sz w:val="24"/>
          <w:szCs w:val="24"/>
        </w:rPr>
      </w:pPr>
      <w:r w:rsidRPr="00045D5A">
        <w:rPr>
          <w:rFonts w:ascii="Times New Roman" w:hAnsi="Times New Roman" w:cs="Times New Roman"/>
          <w:sz w:val="24"/>
          <w:szCs w:val="24"/>
        </w:rPr>
        <w:t>NHS Providers</w:t>
      </w:r>
      <w:r>
        <w:rPr>
          <w:rFonts w:ascii="Times New Roman" w:hAnsi="Times New Roman" w:cs="Times New Roman"/>
          <w:sz w:val="24"/>
          <w:szCs w:val="24"/>
        </w:rPr>
        <w:t xml:space="preserve">. </w:t>
      </w:r>
      <w:r w:rsidRPr="00045D5A">
        <w:rPr>
          <w:rFonts w:ascii="Times New Roman" w:hAnsi="Times New Roman" w:cs="Times New Roman"/>
          <w:sz w:val="24"/>
          <w:szCs w:val="24"/>
        </w:rPr>
        <w:t>2020</w:t>
      </w:r>
      <w:r>
        <w:rPr>
          <w:rFonts w:ascii="Times New Roman" w:hAnsi="Times New Roman" w:cs="Times New Roman"/>
          <w:sz w:val="24"/>
          <w:szCs w:val="24"/>
        </w:rPr>
        <w:t xml:space="preserve">. </w:t>
      </w:r>
      <w:r w:rsidRPr="00746C8A">
        <w:rPr>
          <w:rFonts w:ascii="Times New Roman" w:hAnsi="Times New Roman" w:cs="Times New Roman"/>
          <w:i/>
          <w:iCs/>
          <w:sz w:val="24"/>
          <w:szCs w:val="24"/>
        </w:rPr>
        <w:t>The Annual Report and Accounts: A guide for governors</w:t>
      </w:r>
      <w:r>
        <w:rPr>
          <w:rFonts w:ascii="Times New Roman" w:hAnsi="Times New Roman" w:cs="Times New Roman"/>
          <w:sz w:val="24"/>
          <w:szCs w:val="24"/>
        </w:rPr>
        <w:t>, NHS Providers.</w:t>
      </w:r>
    </w:p>
    <w:p w14:paraId="6DF88A66" w14:textId="2B84C180" w:rsidR="0008248E" w:rsidRPr="008E4844" w:rsidRDefault="0008248E" w:rsidP="0008248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Newsweek. 2022. “Top Specialized Hospitals - </w:t>
      </w:r>
      <w:proofErr w:type="spellStart"/>
      <w:r w:rsidRPr="008E4844">
        <w:rPr>
          <w:rFonts w:ascii="Times New Roman" w:hAnsi="Times New Roman" w:cs="Times New Roman"/>
          <w:sz w:val="24"/>
          <w:szCs w:val="24"/>
        </w:rPr>
        <w:t>Pediatrics</w:t>
      </w:r>
      <w:proofErr w:type="spellEnd"/>
      <w:r w:rsidRPr="008E4844">
        <w:rPr>
          <w:rFonts w:ascii="Times New Roman" w:hAnsi="Times New Roman" w:cs="Times New Roman"/>
          <w:sz w:val="24"/>
          <w:szCs w:val="24"/>
        </w:rPr>
        <w:t>.” Newsweek. September 14, 2022. https://www.newsweek.com/rankings/worlds-best-specialized-hospitals-2023/pediatrics.</w:t>
      </w:r>
    </w:p>
    <w:p w14:paraId="6FB56E78" w14:textId="0EF659DD" w:rsidR="00F96430" w:rsidRPr="008E4844" w:rsidRDefault="0008248E"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lastRenderedPageBreak/>
        <w:t>‌</w:t>
      </w:r>
    </w:p>
    <w:p w14:paraId="60053EE1" w14:textId="77777777" w:rsidR="0008248E" w:rsidRPr="008E4844" w:rsidRDefault="0008248E" w:rsidP="0008248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Osborne, Stephen P. 2020. </w:t>
      </w:r>
      <w:r w:rsidRPr="008E4844">
        <w:rPr>
          <w:rFonts w:ascii="Times New Roman" w:hAnsi="Times New Roman" w:cs="Times New Roman"/>
          <w:i/>
          <w:iCs/>
          <w:sz w:val="24"/>
          <w:szCs w:val="24"/>
        </w:rPr>
        <w:t>Public Service Logic</w:t>
      </w:r>
      <w:r w:rsidRPr="008E4844">
        <w:rPr>
          <w:rFonts w:ascii="Times New Roman" w:hAnsi="Times New Roman" w:cs="Times New Roman"/>
          <w:sz w:val="24"/>
          <w:szCs w:val="24"/>
        </w:rPr>
        <w:t>. Routledge.</w:t>
      </w:r>
    </w:p>
    <w:p w14:paraId="2373E1C1" w14:textId="21D54DE5" w:rsidR="00831686" w:rsidRPr="008E4844" w:rsidRDefault="0008248E"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600DC78A" w14:textId="15BD92E9" w:rsidR="0008248E" w:rsidRPr="008E4844" w:rsidRDefault="0008248E" w:rsidP="0008248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Polanyi, Karl. 1944. </w:t>
      </w:r>
      <w:r w:rsidRPr="008E4844">
        <w:rPr>
          <w:rFonts w:ascii="Times New Roman" w:hAnsi="Times New Roman" w:cs="Times New Roman"/>
          <w:i/>
          <w:iCs/>
          <w:sz w:val="24"/>
          <w:szCs w:val="24"/>
        </w:rPr>
        <w:t>The Great Transformation: The Political and Economic Origins of Our Time</w:t>
      </w:r>
      <w:r w:rsidRPr="008E4844">
        <w:rPr>
          <w:rFonts w:ascii="Times New Roman" w:hAnsi="Times New Roman" w:cs="Times New Roman"/>
          <w:sz w:val="24"/>
          <w:szCs w:val="24"/>
        </w:rPr>
        <w:t>. Boston, Mass.: Beacon Press.</w:t>
      </w:r>
    </w:p>
    <w:p w14:paraId="44BC3E1A" w14:textId="54090EC2" w:rsidR="00D11245" w:rsidRDefault="0008248E" w:rsidP="00D11245">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3079AEE3" w14:textId="775DD825" w:rsidR="008528F2" w:rsidRDefault="008528F2" w:rsidP="00746C8A">
      <w:pPr>
        <w:rPr>
          <w:rFonts w:ascii="Times New Roman" w:hAnsi="Times New Roman" w:cs="Times New Roman"/>
          <w:sz w:val="24"/>
          <w:szCs w:val="24"/>
        </w:rPr>
      </w:pPr>
      <w:r w:rsidRPr="00045D5A">
        <w:rPr>
          <w:rFonts w:ascii="Times New Roman" w:hAnsi="Times New Roman" w:cs="Times New Roman"/>
          <w:sz w:val="24"/>
          <w:szCs w:val="24"/>
        </w:rPr>
        <w:t>Powell T</w:t>
      </w:r>
      <w:r>
        <w:rPr>
          <w:rFonts w:ascii="Times New Roman" w:hAnsi="Times New Roman" w:cs="Times New Roman"/>
          <w:sz w:val="24"/>
          <w:szCs w:val="24"/>
        </w:rPr>
        <w:t>om</w:t>
      </w:r>
      <w:r w:rsidR="00506CC5">
        <w:rPr>
          <w:rFonts w:ascii="Times New Roman" w:hAnsi="Times New Roman" w:cs="Times New Roman"/>
          <w:sz w:val="24"/>
          <w:szCs w:val="24"/>
        </w:rPr>
        <w:t xml:space="preserve">, and </w:t>
      </w:r>
      <w:r w:rsidRPr="008528F2">
        <w:rPr>
          <w:rFonts w:ascii="Times New Roman" w:hAnsi="Times New Roman" w:cs="Times New Roman"/>
          <w:sz w:val="24"/>
          <w:szCs w:val="24"/>
        </w:rPr>
        <w:t>Rachael Harker</w:t>
      </w:r>
      <w:r w:rsidR="00506CC5">
        <w:rPr>
          <w:rFonts w:ascii="Times New Roman" w:hAnsi="Times New Roman" w:cs="Times New Roman"/>
          <w:sz w:val="24"/>
          <w:szCs w:val="24"/>
        </w:rPr>
        <w:t xml:space="preserve">. </w:t>
      </w:r>
      <w:r w:rsidRPr="00045D5A">
        <w:rPr>
          <w:rFonts w:ascii="Times New Roman" w:hAnsi="Times New Roman" w:cs="Times New Roman"/>
          <w:sz w:val="24"/>
          <w:szCs w:val="24"/>
        </w:rPr>
        <w:t>2023</w:t>
      </w:r>
      <w:r w:rsidR="00506CC5">
        <w:rPr>
          <w:rFonts w:ascii="Times New Roman" w:hAnsi="Times New Roman" w:cs="Times New Roman"/>
          <w:sz w:val="24"/>
          <w:szCs w:val="24"/>
        </w:rPr>
        <w:t>.</w:t>
      </w:r>
      <w:r w:rsidRPr="00045D5A">
        <w:rPr>
          <w:rFonts w:ascii="Times New Roman" w:hAnsi="Times New Roman" w:cs="Times New Roman"/>
          <w:sz w:val="24"/>
          <w:szCs w:val="24"/>
        </w:rPr>
        <w:t xml:space="preserve"> </w:t>
      </w:r>
      <w:r w:rsidRPr="00746C8A">
        <w:rPr>
          <w:rFonts w:ascii="Times New Roman" w:hAnsi="Times New Roman" w:cs="Times New Roman"/>
          <w:i/>
          <w:iCs/>
          <w:sz w:val="24"/>
          <w:szCs w:val="24"/>
        </w:rPr>
        <w:t>The structure of the NHS in England</w:t>
      </w:r>
      <w:r w:rsidRPr="00045D5A">
        <w:rPr>
          <w:rFonts w:ascii="Times New Roman" w:hAnsi="Times New Roman" w:cs="Times New Roman"/>
          <w:sz w:val="24"/>
          <w:szCs w:val="24"/>
        </w:rPr>
        <w:t>, House of Commons Library, Research Briefing 7206. 10 July.</w:t>
      </w:r>
    </w:p>
    <w:p w14:paraId="0ECC4B02" w14:textId="77777777" w:rsidR="0008248E" w:rsidRPr="008E4844" w:rsidRDefault="0008248E" w:rsidP="0008248E">
      <w:pPr>
        <w:spacing w:after="0" w:line="240" w:lineRule="auto"/>
        <w:rPr>
          <w:rFonts w:ascii="Times New Roman" w:eastAsia="Times New Roman" w:hAnsi="Times New Roman" w:cs="Times New Roman"/>
          <w:sz w:val="24"/>
          <w:szCs w:val="24"/>
          <w:lang w:bidi="he-IL"/>
        </w:rPr>
      </w:pPr>
      <w:r w:rsidRPr="008E4844">
        <w:rPr>
          <w:rFonts w:ascii="Times New Roman" w:eastAsia="Times New Roman" w:hAnsi="Times New Roman" w:cs="Times New Roman"/>
          <w:sz w:val="24"/>
          <w:szCs w:val="24"/>
          <w:lang w:bidi="he-IL"/>
        </w:rPr>
        <w:t xml:space="preserve">Rayner, Geof. 1986. “Health Care as a </w:t>
      </w:r>
      <w:proofErr w:type="gramStart"/>
      <w:r w:rsidRPr="008E4844">
        <w:rPr>
          <w:rFonts w:ascii="Times New Roman" w:eastAsia="Times New Roman" w:hAnsi="Times New Roman" w:cs="Times New Roman"/>
          <w:sz w:val="24"/>
          <w:szCs w:val="24"/>
          <w:lang w:bidi="he-IL"/>
        </w:rPr>
        <w:t>Business?:</w:t>
      </w:r>
      <w:proofErr w:type="gramEnd"/>
      <w:r w:rsidRPr="008E4844">
        <w:rPr>
          <w:rFonts w:ascii="Times New Roman" w:eastAsia="Times New Roman" w:hAnsi="Times New Roman" w:cs="Times New Roman"/>
          <w:sz w:val="24"/>
          <w:szCs w:val="24"/>
          <w:lang w:bidi="he-IL"/>
        </w:rPr>
        <w:t xml:space="preserve"> The Emergence of a Commercial Hospital Sector in Britain.” </w:t>
      </w:r>
      <w:r w:rsidRPr="008E4844">
        <w:rPr>
          <w:rFonts w:ascii="Times New Roman" w:eastAsia="Times New Roman" w:hAnsi="Times New Roman" w:cs="Times New Roman"/>
          <w:i/>
          <w:iCs/>
          <w:sz w:val="24"/>
          <w:szCs w:val="24"/>
          <w:lang w:bidi="he-IL"/>
        </w:rPr>
        <w:t>Policy &amp; Politics</w:t>
      </w:r>
      <w:r w:rsidRPr="008E4844">
        <w:rPr>
          <w:rFonts w:ascii="Times New Roman" w:eastAsia="Times New Roman" w:hAnsi="Times New Roman" w:cs="Times New Roman"/>
          <w:sz w:val="24"/>
          <w:szCs w:val="24"/>
          <w:lang w:bidi="he-IL"/>
        </w:rPr>
        <w:t> 14 (4): 439–59. https://doi.org/10.1332/030557386782595692.</w:t>
      </w:r>
    </w:p>
    <w:p w14:paraId="1E8A452C" w14:textId="4FAE1A63" w:rsidR="00D11245" w:rsidRPr="008E4844" w:rsidRDefault="0008248E" w:rsidP="00D11245">
      <w:pPr>
        <w:spacing w:after="0" w:line="240" w:lineRule="auto"/>
        <w:rPr>
          <w:rStyle w:val="Emphasis"/>
          <w:rFonts w:ascii="Times New Roman" w:eastAsia="Times New Roman" w:hAnsi="Times New Roman" w:cs="Times New Roman"/>
          <w:i w:val="0"/>
          <w:iCs w:val="0"/>
          <w:sz w:val="24"/>
          <w:szCs w:val="24"/>
          <w:lang w:bidi="he-IL"/>
        </w:rPr>
      </w:pPr>
      <w:r w:rsidRPr="008E4844">
        <w:rPr>
          <w:rFonts w:ascii="Times New Roman" w:eastAsia="Times New Roman" w:hAnsi="Times New Roman" w:cs="Times New Roman"/>
          <w:sz w:val="24"/>
          <w:szCs w:val="24"/>
          <w:lang w:bidi="he-IL"/>
        </w:rPr>
        <w:t>‌</w:t>
      </w:r>
    </w:p>
    <w:p w14:paraId="68D8F07C" w14:textId="77777777" w:rsidR="0008248E" w:rsidRPr="008E4844" w:rsidRDefault="0008248E" w:rsidP="0008248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Reay, Trish, and C.R. </w:t>
      </w:r>
      <w:proofErr w:type="spellStart"/>
      <w:r w:rsidRPr="008E4844">
        <w:rPr>
          <w:rFonts w:ascii="Times New Roman" w:hAnsi="Times New Roman" w:cs="Times New Roman"/>
          <w:sz w:val="24"/>
          <w:szCs w:val="24"/>
        </w:rPr>
        <w:t>Hinings</w:t>
      </w:r>
      <w:proofErr w:type="spellEnd"/>
      <w:r w:rsidRPr="008E4844">
        <w:rPr>
          <w:rFonts w:ascii="Times New Roman" w:hAnsi="Times New Roman" w:cs="Times New Roman"/>
          <w:sz w:val="24"/>
          <w:szCs w:val="24"/>
        </w:rPr>
        <w:t>. 2009. “Managing the Rivalry of Competing Institutional Logics.” </w:t>
      </w:r>
      <w:r w:rsidRPr="008E4844">
        <w:rPr>
          <w:rFonts w:ascii="Times New Roman" w:hAnsi="Times New Roman" w:cs="Times New Roman"/>
          <w:i/>
          <w:iCs/>
          <w:sz w:val="24"/>
          <w:szCs w:val="24"/>
        </w:rPr>
        <w:t>Organization Studies</w:t>
      </w:r>
      <w:r w:rsidRPr="008E4844">
        <w:rPr>
          <w:rFonts w:ascii="Times New Roman" w:hAnsi="Times New Roman" w:cs="Times New Roman"/>
          <w:sz w:val="24"/>
          <w:szCs w:val="24"/>
        </w:rPr>
        <w:t> 30 (6): 629–52. https://doi.org/10.1177/0170840609104803.</w:t>
      </w:r>
    </w:p>
    <w:p w14:paraId="7BEC6C2F" w14:textId="1332FD62" w:rsidR="00831686" w:rsidRPr="008E4844" w:rsidRDefault="0008248E" w:rsidP="00322D5D">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124DF1E1" w14:textId="77777777" w:rsidR="0020151E" w:rsidRPr="008E4844" w:rsidRDefault="0020151E" w:rsidP="0020151E">
      <w:pPr>
        <w:spacing w:after="0" w:line="240" w:lineRule="auto"/>
        <w:rPr>
          <w:rFonts w:ascii="Times New Roman" w:eastAsia="Times New Roman" w:hAnsi="Times New Roman" w:cs="Times New Roman"/>
          <w:sz w:val="24"/>
          <w:szCs w:val="24"/>
          <w:lang w:bidi="he-IL"/>
        </w:rPr>
      </w:pPr>
      <w:r w:rsidRPr="008E4844">
        <w:rPr>
          <w:rFonts w:ascii="Times New Roman" w:eastAsia="Times New Roman" w:hAnsi="Times New Roman" w:cs="Times New Roman"/>
          <w:sz w:val="24"/>
          <w:szCs w:val="24"/>
          <w:lang w:bidi="he-IL"/>
        </w:rPr>
        <w:t>Shaw, Sara, Julian Elston, and Stephen Abbott. 2004. “Comparative Analysis of Health Policy Implementation”: </w:t>
      </w:r>
      <w:r w:rsidRPr="008E4844">
        <w:rPr>
          <w:rFonts w:ascii="Times New Roman" w:eastAsia="Times New Roman" w:hAnsi="Times New Roman" w:cs="Times New Roman"/>
          <w:i/>
          <w:iCs/>
          <w:sz w:val="24"/>
          <w:szCs w:val="24"/>
          <w:lang w:bidi="he-IL"/>
        </w:rPr>
        <w:t>Policy Studies</w:t>
      </w:r>
      <w:r w:rsidRPr="008E4844">
        <w:rPr>
          <w:rFonts w:ascii="Times New Roman" w:eastAsia="Times New Roman" w:hAnsi="Times New Roman" w:cs="Times New Roman"/>
          <w:sz w:val="24"/>
          <w:szCs w:val="24"/>
          <w:lang w:bidi="he-IL"/>
        </w:rPr>
        <w:t> 25 (4): 259–66. https://doi.org/10.1080/0144287042000288451.</w:t>
      </w:r>
    </w:p>
    <w:p w14:paraId="50B30F24" w14:textId="38CAC5A7" w:rsidR="000F1029" w:rsidRPr="008E4844" w:rsidRDefault="0020151E" w:rsidP="00322D5D">
      <w:pPr>
        <w:spacing w:after="0" w:line="240" w:lineRule="auto"/>
        <w:rPr>
          <w:rFonts w:ascii="Times New Roman" w:eastAsia="Times New Roman" w:hAnsi="Times New Roman" w:cs="Times New Roman"/>
          <w:sz w:val="24"/>
          <w:szCs w:val="24"/>
          <w:lang w:bidi="he-IL"/>
        </w:rPr>
      </w:pPr>
      <w:r w:rsidRPr="008E4844">
        <w:rPr>
          <w:rFonts w:ascii="Times New Roman" w:eastAsia="Times New Roman" w:hAnsi="Times New Roman" w:cs="Times New Roman"/>
          <w:sz w:val="24"/>
          <w:szCs w:val="24"/>
          <w:lang w:bidi="he-IL"/>
        </w:rPr>
        <w:t>‌</w:t>
      </w:r>
    </w:p>
    <w:p w14:paraId="19E378C2" w14:textId="77777777" w:rsidR="008344DD" w:rsidRPr="008E4844" w:rsidRDefault="008344DD" w:rsidP="008344DD">
      <w:pPr>
        <w:autoSpaceDE w:val="0"/>
        <w:autoSpaceDN w:val="0"/>
        <w:adjustRightInd w:val="0"/>
        <w:spacing w:after="0" w:line="240" w:lineRule="auto"/>
        <w:jc w:val="both"/>
        <w:rPr>
          <w:rFonts w:ascii="Times New Roman" w:hAnsi="Times New Roman" w:cs="Times New Roman"/>
          <w:bCs/>
          <w:sz w:val="24"/>
          <w:szCs w:val="24"/>
        </w:rPr>
      </w:pPr>
      <w:r w:rsidRPr="008E4844">
        <w:rPr>
          <w:rFonts w:ascii="Times New Roman" w:hAnsi="Times New Roman" w:cs="Times New Roman"/>
          <w:bCs/>
          <w:sz w:val="24"/>
          <w:szCs w:val="24"/>
        </w:rPr>
        <w:t>Treasury. 2002. Selling Government Services into Wider Markets.</w:t>
      </w:r>
    </w:p>
    <w:p w14:paraId="015AF7DD" w14:textId="77777777" w:rsidR="008344DD" w:rsidRPr="008E4844" w:rsidRDefault="008344DD" w:rsidP="0020151E">
      <w:pPr>
        <w:spacing w:after="0" w:line="240" w:lineRule="auto"/>
        <w:rPr>
          <w:rFonts w:ascii="Times New Roman" w:hAnsi="Times New Roman" w:cs="Times New Roman"/>
          <w:sz w:val="24"/>
          <w:szCs w:val="24"/>
        </w:rPr>
      </w:pPr>
    </w:p>
    <w:p w14:paraId="0381DD6E" w14:textId="262F584B" w:rsidR="0020151E" w:rsidRPr="008E4844" w:rsidRDefault="0020151E" w:rsidP="0020151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 xml:space="preserve">Warner, Max, and Ben </w:t>
      </w:r>
      <w:proofErr w:type="spellStart"/>
      <w:r w:rsidRPr="008E4844">
        <w:rPr>
          <w:rFonts w:ascii="Times New Roman" w:hAnsi="Times New Roman" w:cs="Times New Roman"/>
          <w:sz w:val="24"/>
          <w:szCs w:val="24"/>
        </w:rPr>
        <w:t>Zaranko</w:t>
      </w:r>
      <w:proofErr w:type="spellEnd"/>
      <w:r w:rsidRPr="008E4844">
        <w:rPr>
          <w:rFonts w:ascii="Times New Roman" w:hAnsi="Times New Roman" w:cs="Times New Roman"/>
          <w:sz w:val="24"/>
          <w:szCs w:val="24"/>
        </w:rPr>
        <w:t>. 2022. “NHS Funding, Resources and Treatment Volumes.” Institute for Fiscal Studies. December 14, 2022. https://ifs.org.uk/publications/nhs-funding-resources-and-treatment-volumes.</w:t>
      </w:r>
    </w:p>
    <w:p w14:paraId="2818816E" w14:textId="77777777" w:rsidR="0020151E" w:rsidRPr="008E4844" w:rsidRDefault="0020151E" w:rsidP="0020151E">
      <w:pPr>
        <w:spacing w:after="0" w:line="240" w:lineRule="auto"/>
        <w:rPr>
          <w:rFonts w:ascii="Times New Roman" w:hAnsi="Times New Roman" w:cs="Times New Roman"/>
          <w:sz w:val="24"/>
          <w:szCs w:val="24"/>
        </w:rPr>
      </w:pPr>
      <w:r w:rsidRPr="008E4844">
        <w:rPr>
          <w:rFonts w:ascii="Times New Roman" w:hAnsi="Times New Roman" w:cs="Times New Roman"/>
          <w:sz w:val="24"/>
          <w:szCs w:val="24"/>
        </w:rPr>
        <w:t>‌</w:t>
      </w:r>
    </w:p>
    <w:p w14:paraId="6754E308" w14:textId="396F7254" w:rsidR="000F1029" w:rsidRPr="008E4844" w:rsidRDefault="000F1029" w:rsidP="0020151E">
      <w:pPr>
        <w:spacing w:after="0" w:line="240" w:lineRule="auto"/>
        <w:rPr>
          <w:rFonts w:ascii="Times New Roman" w:hAnsi="Times New Roman" w:cs="Times New Roman"/>
          <w:sz w:val="24"/>
          <w:szCs w:val="24"/>
        </w:rPr>
      </w:pPr>
    </w:p>
    <w:sectPr w:rsidR="000F1029" w:rsidRPr="008E4844">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1987A" w14:textId="77777777" w:rsidR="00B70209" w:rsidRDefault="00B70209" w:rsidP="00AA15DC">
      <w:pPr>
        <w:spacing w:after="0" w:line="240" w:lineRule="auto"/>
      </w:pPr>
      <w:r>
        <w:separator/>
      </w:r>
    </w:p>
  </w:endnote>
  <w:endnote w:type="continuationSeparator" w:id="0">
    <w:p w14:paraId="07E1C07B" w14:textId="77777777" w:rsidR="00B70209" w:rsidRDefault="00B70209" w:rsidP="00AA15DC">
      <w:pPr>
        <w:spacing w:after="0" w:line="240" w:lineRule="auto"/>
      </w:pPr>
      <w:r>
        <w:continuationSeparator/>
      </w:r>
    </w:p>
  </w:endnote>
  <w:endnote w:id="1">
    <w:p w14:paraId="5A10C328" w14:textId="16C10CF4" w:rsidR="0098043A" w:rsidRDefault="0098043A">
      <w:pPr>
        <w:pStyle w:val="EndnoteText"/>
        <w:rPr>
          <w:lang w:val="en-US"/>
        </w:rPr>
      </w:pPr>
      <w:r>
        <w:rPr>
          <w:rStyle w:val="EndnoteReference"/>
        </w:rPr>
        <w:endnoteRef/>
      </w:r>
      <w:r>
        <w:t xml:space="preserve"> </w:t>
      </w:r>
      <w:r>
        <w:rPr>
          <w:lang w:val="en-US"/>
        </w:rPr>
        <w:t xml:space="preserve">The 2022 Health and Social Care Act added nothing further on commercialization and commodification caps, governance or reporting. </w:t>
      </w:r>
    </w:p>
    <w:p w14:paraId="7480B06A" w14:textId="77777777" w:rsidR="004A5324" w:rsidRDefault="004A5324">
      <w:pPr>
        <w:pStyle w:val="EndnoteText"/>
        <w:rPr>
          <w:lang w:val="en-US"/>
        </w:rPr>
      </w:pPr>
    </w:p>
    <w:p w14:paraId="730C073F" w14:textId="758C5891" w:rsidR="004A5324" w:rsidRPr="006930C4" w:rsidRDefault="004A5324">
      <w:pPr>
        <w:pStyle w:val="EndnoteText"/>
        <w:rPr>
          <w:b/>
          <w:bCs/>
          <w:sz w:val="22"/>
          <w:szCs w:val="22"/>
          <w:lang w:val="en-US"/>
        </w:rPr>
      </w:pPr>
      <w:r w:rsidRPr="006930C4">
        <w:rPr>
          <w:b/>
          <w:bCs/>
          <w:sz w:val="24"/>
          <w:szCs w:val="24"/>
          <w:lang w:val="en-US"/>
        </w:rPr>
        <w:t xml:space="preserve">Table 1: Key documentary sources </w:t>
      </w:r>
    </w:p>
    <w:p w14:paraId="200D56B8" w14:textId="77777777" w:rsidR="006930C4" w:rsidRPr="00746C8A" w:rsidRDefault="006930C4">
      <w:pPr>
        <w:pStyle w:val="EndnoteText"/>
        <w:rPr>
          <w:b/>
          <w:bCs/>
          <w:lang w:val="en-US"/>
        </w:rPr>
      </w:pPr>
    </w:p>
    <w:tbl>
      <w:tblPr>
        <w:tblStyle w:val="TableGrid"/>
        <w:tblW w:w="0" w:type="auto"/>
        <w:tblLook w:val="04A0" w:firstRow="1" w:lastRow="0" w:firstColumn="1" w:lastColumn="0" w:noHBand="0" w:noVBand="1"/>
      </w:tblPr>
      <w:tblGrid>
        <w:gridCol w:w="2594"/>
        <w:gridCol w:w="6422"/>
      </w:tblGrid>
      <w:tr w:rsidR="004A5324" w:rsidRPr="00ED2228" w14:paraId="646E25D2" w14:textId="77777777" w:rsidTr="00746C8A">
        <w:tc>
          <w:tcPr>
            <w:tcW w:w="3114" w:type="dxa"/>
          </w:tcPr>
          <w:p w14:paraId="6228F2EF" w14:textId="1B57B9FE" w:rsidR="004A5324" w:rsidRPr="00746C8A" w:rsidRDefault="004A5324" w:rsidP="004A5324">
            <w:pPr>
              <w:rPr>
                <w:rFonts w:ascii="Times New Roman" w:hAnsi="Times New Roman" w:cs="Times New Roman"/>
              </w:rPr>
            </w:pPr>
            <w:r w:rsidRPr="00746C8A">
              <w:rPr>
                <w:rFonts w:ascii="Times New Roman" w:hAnsi="Times New Roman" w:cs="Times New Roman"/>
              </w:rPr>
              <w:t xml:space="preserve">Title </w:t>
            </w:r>
          </w:p>
        </w:tc>
        <w:tc>
          <w:tcPr>
            <w:tcW w:w="5902" w:type="dxa"/>
          </w:tcPr>
          <w:p w14:paraId="57FC975C" w14:textId="353974EA" w:rsidR="004A5324" w:rsidRPr="00746C8A" w:rsidRDefault="004A5324" w:rsidP="004A5324">
            <w:pPr>
              <w:rPr>
                <w:rFonts w:ascii="Times New Roman" w:hAnsi="Times New Roman" w:cs="Times New Roman"/>
              </w:rPr>
            </w:pPr>
            <w:r w:rsidRPr="00746C8A">
              <w:rPr>
                <w:rFonts w:ascii="Times New Roman" w:hAnsi="Times New Roman" w:cs="Times New Roman"/>
              </w:rPr>
              <w:t>Website</w:t>
            </w:r>
          </w:p>
        </w:tc>
      </w:tr>
      <w:tr w:rsidR="004A5324" w:rsidRPr="00ED2228" w14:paraId="06824F95" w14:textId="77777777" w:rsidTr="00746C8A">
        <w:tc>
          <w:tcPr>
            <w:tcW w:w="3114" w:type="dxa"/>
          </w:tcPr>
          <w:p w14:paraId="23A3AC6B" w14:textId="77777777" w:rsidR="004A5324" w:rsidRPr="00ED2228" w:rsidRDefault="004A5324" w:rsidP="004A5324">
            <w:pPr>
              <w:rPr>
                <w:rFonts w:ascii="Times New Roman" w:hAnsi="Times New Roman" w:cs="Times New Roman"/>
                <w:sz w:val="24"/>
                <w:szCs w:val="24"/>
              </w:rPr>
            </w:pPr>
            <w:r>
              <w:rPr>
                <w:rFonts w:ascii="Times New Roman" w:hAnsi="Times New Roman" w:cs="Times New Roman"/>
                <w:sz w:val="24"/>
                <w:szCs w:val="24"/>
              </w:rPr>
              <w:t xml:space="preserve">GOSH </w:t>
            </w:r>
            <w:r w:rsidRPr="00ED2228">
              <w:rPr>
                <w:rFonts w:ascii="Times New Roman" w:hAnsi="Times New Roman" w:cs="Times New Roman"/>
                <w:sz w:val="24"/>
                <w:szCs w:val="24"/>
              </w:rPr>
              <w:t>Five-Year Strategic Plan</w:t>
            </w:r>
            <w:r>
              <w:rPr>
                <w:rFonts w:ascii="Times New Roman" w:hAnsi="Times New Roman" w:cs="Times New Roman"/>
                <w:sz w:val="24"/>
                <w:szCs w:val="24"/>
              </w:rPr>
              <w:t xml:space="preserve"> (‘Above and Beyond’)</w:t>
            </w:r>
            <w:r w:rsidRPr="00ED2228">
              <w:rPr>
                <w:rFonts w:ascii="Times New Roman" w:hAnsi="Times New Roman" w:cs="Times New Roman"/>
                <w:sz w:val="24"/>
                <w:szCs w:val="24"/>
              </w:rPr>
              <w:t xml:space="preserve"> 2014–19  </w:t>
            </w:r>
          </w:p>
        </w:tc>
        <w:tc>
          <w:tcPr>
            <w:tcW w:w="5902" w:type="dxa"/>
          </w:tcPr>
          <w:p w14:paraId="591A3A38" w14:textId="77777777" w:rsidR="004A5324" w:rsidRPr="00ED2228" w:rsidRDefault="006930C4" w:rsidP="004A5324">
            <w:pPr>
              <w:rPr>
                <w:rFonts w:ascii="Times New Roman" w:hAnsi="Times New Roman" w:cs="Times New Roman"/>
                <w:sz w:val="24"/>
                <w:szCs w:val="24"/>
              </w:rPr>
            </w:pPr>
            <w:hyperlink r:id="rId1" w:history="1">
              <w:r w:rsidR="004A5324" w:rsidRPr="009118D6">
                <w:rPr>
                  <w:rStyle w:val="Hyperlink"/>
                  <w:rFonts w:ascii="Times New Roman" w:hAnsi="Times New Roman" w:cs="Times New Roman"/>
                  <w:sz w:val="24"/>
                  <w:szCs w:val="24"/>
                </w:rPr>
                <w:t>https://assets.publishing.service.gov.uk/government/uploads/system/uploads/attachment_data/file/390626/GOSH_Publishable_Summary_Strategic_Plan_1415.pdf</w:t>
              </w:r>
            </w:hyperlink>
          </w:p>
        </w:tc>
      </w:tr>
      <w:tr w:rsidR="004A5324" w:rsidRPr="00ED2228" w14:paraId="20BD2696" w14:textId="77777777" w:rsidTr="00746C8A">
        <w:tc>
          <w:tcPr>
            <w:tcW w:w="3114" w:type="dxa"/>
          </w:tcPr>
          <w:p w14:paraId="334BD705" w14:textId="77777777" w:rsidR="004A5324" w:rsidRDefault="004A5324" w:rsidP="004A5324">
            <w:pPr>
              <w:rPr>
                <w:rFonts w:ascii="Times New Roman" w:hAnsi="Times New Roman" w:cs="Times New Roman"/>
                <w:sz w:val="24"/>
                <w:szCs w:val="24"/>
              </w:rPr>
            </w:pPr>
            <w:r>
              <w:rPr>
                <w:rFonts w:ascii="Times New Roman" w:hAnsi="Times New Roman" w:cs="Times New Roman"/>
                <w:sz w:val="24"/>
                <w:szCs w:val="24"/>
              </w:rPr>
              <w:t>GOSH Strategic Plan 2020 to 2025</w:t>
            </w:r>
          </w:p>
        </w:tc>
        <w:tc>
          <w:tcPr>
            <w:tcW w:w="5902" w:type="dxa"/>
          </w:tcPr>
          <w:p w14:paraId="7F84B267" w14:textId="77777777" w:rsidR="004A5324" w:rsidRDefault="006930C4" w:rsidP="004A5324">
            <w:pPr>
              <w:rPr>
                <w:rFonts w:ascii="Times New Roman" w:hAnsi="Times New Roman" w:cs="Times New Roman"/>
                <w:sz w:val="24"/>
                <w:szCs w:val="24"/>
              </w:rPr>
            </w:pPr>
            <w:hyperlink r:id="rId2" w:history="1">
              <w:r w:rsidR="004A5324" w:rsidRPr="009118D6">
                <w:rPr>
                  <w:rStyle w:val="Hyperlink"/>
                  <w:rFonts w:ascii="Times New Roman" w:hAnsi="Times New Roman" w:cs="Times New Roman"/>
                  <w:sz w:val="24"/>
                  <w:szCs w:val="24"/>
                </w:rPr>
                <w:t>https://media.gosh.nhs.uk/documents/20_08_Hospital_Strategy_launch_materials_update_A6_BOOKLET_ST2.pdf</w:t>
              </w:r>
            </w:hyperlink>
          </w:p>
        </w:tc>
      </w:tr>
      <w:tr w:rsidR="004A5324" w:rsidRPr="00ED2228" w14:paraId="62485F14" w14:textId="77777777" w:rsidTr="00746C8A">
        <w:tc>
          <w:tcPr>
            <w:tcW w:w="3114" w:type="dxa"/>
          </w:tcPr>
          <w:p w14:paraId="137E0410" w14:textId="77777777" w:rsidR="004A5324" w:rsidRPr="00ED2228" w:rsidRDefault="004A5324" w:rsidP="004A5324">
            <w:pPr>
              <w:rPr>
                <w:rFonts w:ascii="Times New Roman" w:hAnsi="Times New Roman" w:cs="Times New Roman"/>
                <w:sz w:val="24"/>
                <w:szCs w:val="24"/>
              </w:rPr>
            </w:pPr>
            <w:r w:rsidRPr="00ED2228">
              <w:rPr>
                <w:rFonts w:ascii="Times New Roman" w:hAnsi="Times New Roman" w:cs="Times New Roman"/>
                <w:sz w:val="24"/>
                <w:szCs w:val="24"/>
              </w:rPr>
              <w:t xml:space="preserve">GOSH Annual report and accounts 2014-15  </w:t>
            </w:r>
          </w:p>
        </w:tc>
        <w:tc>
          <w:tcPr>
            <w:tcW w:w="5902" w:type="dxa"/>
          </w:tcPr>
          <w:p w14:paraId="646E9CCC" w14:textId="77777777" w:rsidR="004A5324" w:rsidRPr="00ED2228" w:rsidRDefault="006930C4" w:rsidP="004A5324">
            <w:pPr>
              <w:rPr>
                <w:rFonts w:ascii="Times New Roman" w:hAnsi="Times New Roman" w:cs="Times New Roman"/>
                <w:sz w:val="24"/>
                <w:szCs w:val="24"/>
              </w:rPr>
            </w:pPr>
            <w:hyperlink r:id="rId3" w:history="1">
              <w:r w:rsidR="004A5324" w:rsidRPr="00ED2228">
                <w:rPr>
                  <w:rStyle w:val="Hyperlink"/>
                  <w:rFonts w:ascii="Times New Roman" w:hAnsi="Times New Roman" w:cs="Times New Roman"/>
                  <w:sz w:val="24"/>
                  <w:szCs w:val="24"/>
                </w:rPr>
                <w:t>https://media.gosh.nhs.uk/documents/Download_a_copy_of_Great_Ormond_Street_Hospitals_Annual_Report_201415.pdf</w:t>
              </w:r>
            </w:hyperlink>
          </w:p>
        </w:tc>
      </w:tr>
      <w:tr w:rsidR="004A5324" w:rsidRPr="00ED2228" w14:paraId="0A789464" w14:textId="77777777" w:rsidTr="004A5324">
        <w:tc>
          <w:tcPr>
            <w:tcW w:w="3114" w:type="dxa"/>
          </w:tcPr>
          <w:p w14:paraId="5616BD57" w14:textId="77777777" w:rsidR="004A5324" w:rsidRPr="00ED2228" w:rsidRDefault="004A5324" w:rsidP="004A5324">
            <w:pPr>
              <w:rPr>
                <w:rFonts w:ascii="Times New Roman" w:hAnsi="Times New Roman" w:cs="Times New Roman"/>
                <w:sz w:val="24"/>
                <w:szCs w:val="24"/>
              </w:rPr>
            </w:pPr>
            <w:r w:rsidRPr="00ED2228">
              <w:rPr>
                <w:rFonts w:ascii="Times New Roman" w:hAnsi="Times New Roman" w:cs="Times New Roman"/>
                <w:sz w:val="24"/>
                <w:szCs w:val="24"/>
              </w:rPr>
              <w:t xml:space="preserve">GOSH Annual report and accounts 2016 to 2017  </w:t>
            </w:r>
          </w:p>
        </w:tc>
        <w:tc>
          <w:tcPr>
            <w:tcW w:w="5902" w:type="dxa"/>
          </w:tcPr>
          <w:p w14:paraId="416AA805" w14:textId="77777777" w:rsidR="004A5324" w:rsidRPr="00ED2228" w:rsidRDefault="006930C4" w:rsidP="004A5324">
            <w:pPr>
              <w:rPr>
                <w:rFonts w:ascii="Times New Roman" w:hAnsi="Times New Roman" w:cs="Times New Roman"/>
                <w:sz w:val="24"/>
                <w:szCs w:val="24"/>
              </w:rPr>
            </w:pPr>
            <w:hyperlink r:id="rId4" w:history="1">
              <w:r w:rsidR="004A5324" w:rsidRPr="00ED2228">
                <w:rPr>
                  <w:rStyle w:val="Hyperlink"/>
                  <w:rFonts w:ascii="Times New Roman" w:hAnsi="Times New Roman" w:cs="Times New Roman"/>
                  <w:sz w:val="24"/>
                  <w:szCs w:val="24"/>
                </w:rPr>
                <w:t>https://media.gosh.nhs.uk/documents/GOSH_Annual_Report_and_Accounts_2016_to_2017.pdf</w:t>
              </w:r>
            </w:hyperlink>
          </w:p>
        </w:tc>
      </w:tr>
      <w:tr w:rsidR="004A5324" w:rsidRPr="00ED2228" w14:paraId="1A35E4F7" w14:textId="77777777" w:rsidTr="00746C8A">
        <w:tc>
          <w:tcPr>
            <w:tcW w:w="3114" w:type="dxa"/>
          </w:tcPr>
          <w:p w14:paraId="67E5AC71" w14:textId="77777777" w:rsidR="004A5324" w:rsidRPr="00ED2228" w:rsidRDefault="004A5324" w:rsidP="004A5324">
            <w:pPr>
              <w:rPr>
                <w:rFonts w:ascii="Times New Roman" w:hAnsi="Times New Roman" w:cs="Times New Roman"/>
              </w:rPr>
            </w:pPr>
            <w:r w:rsidRPr="00ED2228">
              <w:rPr>
                <w:rFonts w:ascii="Times New Roman" w:hAnsi="Times New Roman" w:cs="Times New Roman"/>
                <w:sz w:val="24"/>
                <w:szCs w:val="24"/>
              </w:rPr>
              <w:t xml:space="preserve">GOSH Annual report and accounts 2018 to 2019 </w:t>
            </w:r>
          </w:p>
        </w:tc>
        <w:tc>
          <w:tcPr>
            <w:tcW w:w="5902" w:type="dxa"/>
          </w:tcPr>
          <w:p w14:paraId="711550E0" w14:textId="77777777" w:rsidR="004A5324" w:rsidRPr="00ED2228" w:rsidRDefault="006930C4" w:rsidP="004A5324">
            <w:pPr>
              <w:rPr>
                <w:rFonts w:ascii="Times New Roman" w:hAnsi="Times New Roman" w:cs="Times New Roman"/>
                <w:sz w:val="24"/>
                <w:szCs w:val="24"/>
              </w:rPr>
            </w:pPr>
            <w:hyperlink r:id="rId5" w:history="1">
              <w:r w:rsidR="004A5324" w:rsidRPr="00ED2228">
                <w:rPr>
                  <w:rStyle w:val="Hyperlink"/>
                  <w:rFonts w:ascii="Times New Roman" w:hAnsi="Times New Roman" w:cs="Times New Roman"/>
                  <w:sz w:val="24"/>
                  <w:szCs w:val="24"/>
                </w:rPr>
                <w:t>https://media.gosh.nhs.uk/documents/GOSH_Annual_Report__and_Accounts_2018_to_2019.pdf</w:t>
              </w:r>
            </w:hyperlink>
          </w:p>
        </w:tc>
      </w:tr>
      <w:tr w:rsidR="004A5324" w:rsidRPr="00ED2228" w14:paraId="42459835" w14:textId="77777777" w:rsidTr="004A5324">
        <w:tc>
          <w:tcPr>
            <w:tcW w:w="3114" w:type="dxa"/>
          </w:tcPr>
          <w:p w14:paraId="1982268C" w14:textId="77777777" w:rsidR="004A5324" w:rsidRPr="00ED2228" w:rsidRDefault="004A5324" w:rsidP="004A5324">
            <w:pPr>
              <w:rPr>
                <w:rFonts w:ascii="Times New Roman" w:hAnsi="Times New Roman" w:cs="Times New Roman"/>
                <w:sz w:val="24"/>
                <w:szCs w:val="24"/>
              </w:rPr>
            </w:pPr>
            <w:r w:rsidRPr="00ED2228">
              <w:rPr>
                <w:rFonts w:ascii="Times New Roman" w:hAnsi="Times New Roman" w:cs="Times New Roman"/>
                <w:sz w:val="24"/>
                <w:szCs w:val="24"/>
              </w:rPr>
              <w:t>GOSH Annual reports and accounts 2019 to 2020</w:t>
            </w:r>
          </w:p>
        </w:tc>
        <w:tc>
          <w:tcPr>
            <w:tcW w:w="5902" w:type="dxa"/>
          </w:tcPr>
          <w:p w14:paraId="310D943D" w14:textId="77777777" w:rsidR="004A5324" w:rsidRPr="00ED2228" w:rsidRDefault="006930C4" w:rsidP="004A5324">
            <w:pPr>
              <w:rPr>
                <w:rFonts w:ascii="Times New Roman" w:hAnsi="Times New Roman" w:cs="Times New Roman"/>
                <w:sz w:val="24"/>
                <w:szCs w:val="24"/>
              </w:rPr>
            </w:pPr>
            <w:hyperlink r:id="rId6" w:history="1">
              <w:r w:rsidR="004A5324" w:rsidRPr="00ED2228">
                <w:rPr>
                  <w:rStyle w:val="Hyperlink"/>
                  <w:rFonts w:ascii="Times New Roman" w:hAnsi="Times New Roman" w:cs="Times New Roman"/>
                  <w:sz w:val="24"/>
                  <w:szCs w:val="24"/>
                </w:rPr>
                <w:t>https://media.gosh.nhs.uk/documents/Great_Ormond_Street_Hospital_for_Children_FT_Annual_Report_2019_20_FINAL_to_Pa_DxsZyRk.pdf</w:t>
              </w:r>
            </w:hyperlink>
          </w:p>
        </w:tc>
      </w:tr>
      <w:tr w:rsidR="004A5324" w:rsidRPr="00ED2228" w14:paraId="69476FB0" w14:textId="77777777" w:rsidTr="00746C8A">
        <w:tc>
          <w:tcPr>
            <w:tcW w:w="3114" w:type="dxa"/>
          </w:tcPr>
          <w:p w14:paraId="2A1E9D85" w14:textId="77777777" w:rsidR="004A5324" w:rsidRPr="00ED2228" w:rsidRDefault="004A5324" w:rsidP="004A5324">
            <w:pPr>
              <w:rPr>
                <w:rFonts w:ascii="Times New Roman" w:hAnsi="Times New Roman" w:cs="Times New Roman"/>
              </w:rPr>
            </w:pPr>
            <w:r w:rsidRPr="00ED2228">
              <w:rPr>
                <w:rFonts w:ascii="Times New Roman" w:hAnsi="Times New Roman" w:cs="Times New Roman"/>
                <w:sz w:val="24"/>
                <w:szCs w:val="24"/>
              </w:rPr>
              <w:t>GOSH Annual reports and accounts 2021 to 2022</w:t>
            </w:r>
          </w:p>
        </w:tc>
        <w:tc>
          <w:tcPr>
            <w:tcW w:w="5902" w:type="dxa"/>
          </w:tcPr>
          <w:p w14:paraId="738DC9F6" w14:textId="77777777" w:rsidR="004A5324" w:rsidRPr="00ED2228" w:rsidRDefault="006930C4" w:rsidP="004A5324">
            <w:pPr>
              <w:rPr>
                <w:rFonts w:ascii="Times New Roman" w:hAnsi="Times New Roman" w:cs="Times New Roman"/>
                <w:sz w:val="24"/>
                <w:szCs w:val="24"/>
              </w:rPr>
            </w:pPr>
            <w:hyperlink r:id="rId7" w:history="1">
              <w:r w:rsidR="004A5324" w:rsidRPr="00ED2228">
                <w:rPr>
                  <w:rStyle w:val="Hyperlink"/>
                  <w:rFonts w:ascii="Times New Roman" w:hAnsi="Times New Roman" w:cs="Times New Roman"/>
                  <w:sz w:val="24"/>
                  <w:szCs w:val="24"/>
                </w:rPr>
                <w:t>https://media.gosh.nhs.uk/documents/Great_Ormond_Street_Hospital_for_Children_NHS_FT_2021_to_2022_Annual_Report_FI_N7MjMqJ.pdf</w:t>
              </w:r>
            </w:hyperlink>
          </w:p>
        </w:tc>
      </w:tr>
      <w:tr w:rsidR="004A5324" w:rsidRPr="00ED2228" w14:paraId="04D7E66C" w14:textId="77777777" w:rsidTr="00746C8A">
        <w:tc>
          <w:tcPr>
            <w:tcW w:w="3114" w:type="dxa"/>
          </w:tcPr>
          <w:p w14:paraId="3E0897ED" w14:textId="77777777" w:rsidR="004A5324" w:rsidRPr="00ED2228" w:rsidRDefault="004A5324" w:rsidP="004A5324">
            <w:pPr>
              <w:rPr>
                <w:rFonts w:ascii="Times New Roman" w:hAnsi="Times New Roman" w:cs="Times New Roman"/>
                <w:sz w:val="24"/>
                <w:szCs w:val="24"/>
              </w:rPr>
            </w:pPr>
            <w:r w:rsidRPr="00ED2228">
              <w:rPr>
                <w:rFonts w:ascii="Times New Roman" w:hAnsi="Times New Roman" w:cs="Times New Roman"/>
                <w:sz w:val="24"/>
                <w:szCs w:val="24"/>
              </w:rPr>
              <w:t>GOSH Annual reports and accounts 2022 to 2023</w:t>
            </w:r>
          </w:p>
        </w:tc>
        <w:tc>
          <w:tcPr>
            <w:tcW w:w="5902" w:type="dxa"/>
          </w:tcPr>
          <w:p w14:paraId="6AB93DA8" w14:textId="77777777" w:rsidR="004A5324" w:rsidRPr="00ED2228" w:rsidRDefault="006930C4" w:rsidP="004A5324">
            <w:pPr>
              <w:rPr>
                <w:rFonts w:ascii="Times New Roman" w:hAnsi="Times New Roman" w:cs="Times New Roman"/>
                <w:sz w:val="24"/>
                <w:szCs w:val="24"/>
              </w:rPr>
            </w:pPr>
            <w:hyperlink r:id="rId8" w:history="1">
              <w:r w:rsidR="004A5324" w:rsidRPr="00ED2228">
                <w:rPr>
                  <w:rStyle w:val="Hyperlink"/>
                  <w:rFonts w:ascii="Times New Roman" w:hAnsi="Times New Roman" w:cs="Times New Roman"/>
                  <w:sz w:val="24"/>
                  <w:szCs w:val="24"/>
                </w:rPr>
                <w:t>https://media.gosh.nhs.uk/documents/Great_Ormond_Street_Hospital_for_Children_FT_Annual_Report_202223_FINAL_VERSIO_33xZbh6.pdf</w:t>
              </w:r>
            </w:hyperlink>
          </w:p>
        </w:tc>
      </w:tr>
      <w:tr w:rsidR="004A5324" w:rsidRPr="00ED2228" w14:paraId="13A97C97" w14:textId="77777777" w:rsidTr="00746C8A">
        <w:tc>
          <w:tcPr>
            <w:tcW w:w="3114" w:type="dxa"/>
          </w:tcPr>
          <w:p w14:paraId="1DDE9510" w14:textId="2D46E991" w:rsidR="004A5324" w:rsidRPr="00ED2228" w:rsidRDefault="004A5324" w:rsidP="004A5324">
            <w:pPr>
              <w:rPr>
                <w:rFonts w:ascii="Times New Roman" w:hAnsi="Times New Roman" w:cs="Times New Roman"/>
                <w:sz w:val="24"/>
                <w:szCs w:val="24"/>
              </w:rPr>
            </w:pPr>
            <w:r w:rsidRPr="00ED2228">
              <w:rPr>
                <w:rFonts w:ascii="Times New Roman" w:hAnsi="Times New Roman" w:cs="Times New Roman"/>
                <w:sz w:val="24"/>
                <w:szCs w:val="24"/>
              </w:rPr>
              <w:t>GOSH Annual Report and Accounts 2023 to 2024</w:t>
            </w:r>
          </w:p>
        </w:tc>
        <w:tc>
          <w:tcPr>
            <w:tcW w:w="5902" w:type="dxa"/>
          </w:tcPr>
          <w:p w14:paraId="7F095AE1" w14:textId="77777777" w:rsidR="004A5324" w:rsidRPr="00ED2228" w:rsidRDefault="006930C4" w:rsidP="004A5324">
            <w:pPr>
              <w:rPr>
                <w:rFonts w:ascii="Times New Roman" w:hAnsi="Times New Roman" w:cs="Times New Roman"/>
                <w:sz w:val="24"/>
                <w:szCs w:val="24"/>
              </w:rPr>
            </w:pPr>
            <w:hyperlink r:id="rId9" w:history="1">
              <w:r w:rsidR="004A5324" w:rsidRPr="00ED2228">
                <w:rPr>
                  <w:rStyle w:val="Hyperlink"/>
                  <w:rFonts w:ascii="Times New Roman" w:hAnsi="Times New Roman" w:cs="Times New Roman"/>
                  <w:sz w:val="24"/>
                  <w:szCs w:val="24"/>
                </w:rPr>
                <w:t>https://media.gosh.nhs.uk/documents/GOSH_Annual_Report__Accounts_202324_FINAL_VERSION.pdf</w:t>
              </w:r>
            </w:hyperlink>
          </w:p>
          <w:p w14:paraId="24F0624D" w14:textId="77777777" w:rsidR="004A5324" w:rsidRPr="00ED2228" w:rsidRDefault="004A5324" w:rsidP="004A5324">
            <w:pPr>
              <w:rPr>
                <w:rFonts w:ascii="Times New Roman" w:hAnsi="Times New Roman" w:cs="Times New Roman"/>
                <w:sz w:val="24"/>
                <w:szCs w:val="24"/>
              </w:rPr>
            </w:pPr>
          </w:p>
        </w:tc>
      </w:tr>
      <w:tr w:rsidR="004A5324" w:rsidRPr="00ED2228" w14:paraId="6B576822" w14:textId="77777777" w:rsidTr="00746C8A">
        <w:tc>
          <w:tcPr>
            <w:tcW w:w="3114" w:type="dxa"/>
          </w:tcPr>
          <w:p w14:paraId="2492571F" w14:textId="77777777" w:rsidR="004A5324" w:rsidRPr="00ED2228" w:rsidRDefault="004A5324" w:rsidP="004A5324">
            <w:pPr>
              <w:rPr>
                <w:rFonts w:ascii="Times New Roman" w:hAnsi="Times New Roman" w:cs="Times New Roman"/>
              </w:rPr>
            </w:pPr>
            <w:r w:rsidRPr="00ED2228">
              <w:rPr>
                <w:rFonts w:ascii="Times New Roman" w:hAnsi="Times New Roman" w:cs="Times New Roman"/>
              </w:rPr>
              <w:t>GOSH FOI request, 23 October 2019, FOIRQ5420</w:t>
            </w:r>
          </w:p>
        </w:tc>
        <w:tc>
          <w:tcPr>
            <w:tcW w:w="5902" w:type="dxa"/>
          </w:tcPr>
          <w:p w14:paraId="1D250A85" w14:textId="77777777" w:rsidR="004A5324" w:rsidRDefault="006930C4" w:rsidP="004A5324">
            <w:pPr>
              <w:rPr>
                <w:rFonts w:ascii="Times New Roman" w:hAnsi="Times New Roman" w:cs="Times New Roman"/>
              </w:rPr>
            </w:pPr>
            <w:hyperlink r:id="rId10" w:history="1">
              <w:r w:rsidR="004A5324" w:rsidRPr="009118D6">
                <w:rPr>
                  <w:rStyle w:val="Hyperlink"/>
                  <w:rFonts w:ascii="Times New Roman" w:hAnsi="Times New Roman" w:cs="Times New Roman"/>
                </w:rPr>
                <w:t>https://media.gosh.nhs.uk/documents/FOIRQ5420_Final_Response.pdf</w:t>
              </w:r>
            </w:hyperlink>
          </w:p>
          <w:p w14:paraId="31114405" w14:textId="77777777" w:rsidR="004A5324" w:rsidRPr="00ED2228" w:rsidRDefault="004A5324" w:rsidP="004A5324">
            <w:pPr>
              <w:rPr>
                <w:rFonts w:ascii="Times New Roman" w:hAnsi="Times New Roman" w:cs="Times New Roman"/>
              </w:rPr>
            </w:pPr>
          </w:p>
        </w:tc>
      </w:tr>
      <w:tr w:rsidR="004A5324" w:rsidRPr="00ED2228" w14:paraId="1CE7215D" w14:textId="77777777" w:rsidTr="00746C8A">
        <w:tc>
          <w:tcPr>
            <w:tcW w:w="3114" w:type="dxa"/>
          </w:tcPr>
          <w:p w14:paraId="71B7E3EE" w14:textId="77777777" w:rsidR="004A5324" w:rsidRPr="00ED2228" w:rsidRDefault="006930C4" w:rsidP="004A5324">
            <w:pPr>
              <w:rPr>
                <w:rFonts w:ascii="Times New Roman" w:hAnsi="Times New Roman" w:cs="Times New Roman"/>
              </w:rPr>
            </w:pPr>
            <w:hyperlink r:id="rId11" w:history="1">
              <w:r w:rsidR="004A5324" w:rsidRPr="00ED2228">
                <w:rPr>
                  <w:rStyle w:val="Hyperlink"/>
                  <w:rFonts w:ascii="Times New Roman" w:hAnsi="Times New Roman" w:cs="Times New Roman"/>
                </w:rPr>
                <w:t>https://www.emergingcomms.com/case-studies/great-ormond-street-hospital/</w:t>
              </w:r>
            </w:hyperlink>
          </w:p>
          <w:p w14:paraId="36B0172D" w14:textId="77777777" w:rsidR="004A5324" w:rsidRDefault="004A5324" w:rsidP="004A5324">
            <w:pPr>
              <w:rPr>
                <w:rFonts w:ascii="Times New Roman" w:hAnsi="Times New Roman" w:cs="Times New Roman"/>
              </w:rPr>
            </w:pPr>
          </w:p>
          <w:p w14:paraId="1C75DA9D" w14:textId="77777777" w:rsidR="004A5324" w:rsidRPr="00ED2228" w:rsidRDefault="006930C4" w:rsidP="004A5324">
            <w:pPr>
              <w:rPr>
                <w:rFonts w:ascii="Times New Roman" w:hAnsi="Times New Roman" w:cs="Times New Roman"/>
              </w:rPr>
            </w:pPr>
            <w:hyperlink r:id="rId12" w:history="1">
              <w:r w:rsidR="004A5324" w:rsidRPr="009118D6">
                <w:rPr>
                  <w:rStyle w:val="Hyperlink"/>
                  <w:rFonts w:ascii="Times New Roman" w:hAnsi="Times New Roman" w:cs="Times New Roman"/>
                </w:rPr>
                <w:t>https://www.gosh.com.kw/</w:t>
              </w:r>
            </w:hyperlink>
          </w:p>
          <w:p w14:paraId="70507487" w14:textId="77777777" w:rsidR="004A5324" w:rsidRDefault="004A5324" w:rsidP="004A5324">
            <w:pPr>
              <w:rPr>
                <w:rFonts w:ascii="Times New Roman" w:hAnsi="Times New Roman" w:cs="Times New Roman"/>
              </w:rPr>
            </w:pPr>
          </w:p>
          <w:p w14:paraId="5993416C" w14:textId="77777777" w:rsidR="004A5324" w:rsidRDefault="006930C4" w:rsidP="004A5324">
            <w:pPr>
              <w:rPr>
                <w:rFonts w:ascii="Times New Roman" w:hAnsi="Times New Roman" w:cs="Times New Roman"/>
              </w:rPr>
            </w:pPr>
            <w:hyperlink r:id="rId13" w:history="1">
              <w:r w:rsidR="004A5324" w:rsidRPr="009118D6">
                <w:rPr>
                  <w:rStyle w:val="Hyperlink"/>
                  <w:rFonts w:ascii="Times New Roman" w:hAnsi="Times New Roman" w:cs="Times New Roman"/>
                </w:rPr>
                <w:t>https://www.youtube.com/channel/UCwSua6u7SmufFBIh5aURI8Q</w:t>
              </w:r>
            </w:hyperlink>
          </w:p>
          <w:p w14:paraId="0A6D9C18" w14:textId="77777777" w:rsidR="004A5324" w:rsidRDefault="004A5324" w:rsidP="004A5324">
            <w:pPr>
              <w:rPr>
                <w:rFonts w:ascii="Times New Roman" w:hAnsi="Times New Roman" w:cs="Times New Roman"/>
              </w:rPr>
            </w:pPr>
          </w:p>
          <w:p w14:paraId="0141B91C" w14:textId="3976A420" w:rsidR="0069549C" w:rsidRPr="00ED2228" w:rsidRDefault="0069549C" w:rsidP="004A5324">
            <w:pPr>
              <w:rPr>
                <w:rFonts w:ascii="Times New Roman" w:hAnsi="Times New Roman" w:cs="Times New Roman"/>
              </w:rPr>
            </w:pPr>
            <w:r w:rsidRPr="0069549C">
              <w:rPr>
                <w:rFonts w:ascii="Times New Roman" w:hAnsi="Times New Roman" w:cs="Times New Roman"/>
              </w:rPr>
              <w:t>https://londonspecialisthospitals.com/</w:t>
            </w:r>
          </w:p>
        </w:tc>
        <w:tc>
          <w:tcPr>
            <w:tcW w:w="5902" w:type="dxa"/>
          </w:tcPr>
          <w:p w14:paraId="516717BA" w14:textId="4CFFBD19" w:rsidR="004A5324" w:rsidRPr="00ED2228" w:rsidRDefault="004A5324" w:rsidP="004A5324">
            <w:pPr>
              <w:rPr>
                <w:rFonts w:ascii="Times New Roman" w:hAnsi="Times New Roman" w:cs="Times New Roman"/>
              </w:rPr>
            </w:pPr>
            <w:r>
              <w:rPr>
                <w:rFonts w:ascii="Times New Roman" w:hAnsi="Times New Roman" w:cs="Times New Roman"/>
              </w:rPr>
              <w:t xml:space="preserve">Additional key online sources </w:t>
            </w:r>
          </w:p>
        </w:tc>
      </w:tr>
    </w:tbl>
    <w:p w14:paraId="66436BEB" w14:textId="77777777" w:rsidR="004A5324" w:rsidRPr="00746C8A" w:rsidRDefault="004A532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BE Regular">
    <w:altName w:val="Baskerville Old Face"/>
    <w:panose1 w:val="00000000000000000000"/>
    <w:charset w:val="00"/>
    <w:family w:val="roman"/>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261187"/>
      <w:docPartObj>
        <w:docPartGallery w:val="Page Numbers (Bottom of Page)"/>
        <w:docPartUnique/>
      </w:docPartObj>
    </w:sdtPr>
    <w:sdtEndPr>
      <w:rPr>
        <w:noProof/>
      </w:rPr>
    </w:sdtEndPr>
    <w:sdtContent>
      <w:p w14:paraId="3F57B74B" w14:textId="77777777" w:rsidR="00AA15DC" w:rsidRDefault="00AA15DC">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231F9BFA" w14:textId="77777777" w:rsidR="00AA15DC" w:rsidRDefault="00AA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DC7F" w14:textId="77777777" w:rsidR="00B70209" w:rsidRDefault="00B70209" w:rsidP="00AA15DC">
      <w:pPr>
        <w:spacing w:after="0" w:line="240" w:lineRule="auto"/>
      </w:pPr>
      <w:r>
        <w:separator/>
      </w:r>
    </w:p>
  </w:footnote>
  <w:footnote w:type="continuationSeparator" w:id="0">
    <w:p w14:paraId="47F4678E" w14:textId="77777777" w:rsidR="00B70209" w:rsidRDefault="00B70209" w:rsidP="00AA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6FD"/>
    <w:multiLevelType w:val="hybridMultilevel"/>
    <w:tmpl w:val="CFD00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C518E"/>
    <w:multiLevelType w:val="hybridMultilevel"/>
    <w:tmpl w:val="AB882AAA"/>
    <w:lvl w:ilvl="0" w:tplc="96B8AE7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5D35A8"/>
    <w:multiLevelType w:val="hybridMultilevel"/>
    <w:tmpl w:val="3C085E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862B3"/>
    <w:multiLevelType w:val="hybridMultilevel"/>
    <w:tmpl w:val="9244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C38BD"/>
    <w:multiLevelType w:val="hybridMultilevel"/>
    <w:tmpl w:val="B762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A3D8A"/>
    <w:multiLevelType w:val="hybridMultilevel"/>
    <w:tmpl w:val="0E5A0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891BF4"/>
    <w:multiLevelType w:val="hybridMultilevel"/>
    <w:tmpl w:val="526432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92C3B"/>
    <w:multiLevelType w:val="hybridMultilevel"/>
    <w:tmpl w:val="2A42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B1208B"/>
    <w:multiLevelType w:val="hybridMultilevel"/>
    <w:tmpl w:val="7AD4A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E06E9"/>
    <w:multiLevelType w:val="hybridMultilevel"/>
    <w:tmpl w:val="944A8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7E01D7"/>
    <w:multiLevelType w:val="hybridMultilevel"/>
    <w:tmpl w:val="6FF81A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412FDD"/>
    <w:multiLevelType w:val="hybridMultilevel"/>
    <w:tmpl w:val="F64EC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176BA7"/>
    <w:multiLevelType w:val="hybridMultilevel"/>
    <w:tmpl w:val="41E8D394"/>
    <w:lvl w:ilvl="0" w:tplc="164A7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D6B72"/>
    <w:multiLevelType w:val="hybridMultilevel"/>
    <w:tmpl w:val="9A3C9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4192D"/>
    <w:multiLevelType w:val="hybridMultilevel"/>
    <w:tmpl w:val="1930CA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63227"/>
    <w:multiLevelType w:val="hybridMultilevel"/>
    <w:tmpl w:val="779A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6719D"/>
    <w:multiLevelType w:val="hybridMultilevel"/>
    <w:tmpl w:val="D71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E264B"/>
    <w:multiLevelType w:val="multilevel"/>
    <w:tmpl w:val="8B34C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CC57DC"/>
    <w:multiLevelType w:val="hybridMultilevel"/>
    <w:tmpl w:val="939A192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314B1"/>
    <w:multiLevelType w:val="hybridMultilevel"/>
    <w:tmpl w:val="E0E44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4E21B9"/>
    <w:multiLevelType w:val="hybridMultilevel"/>
    <w:tmpl w:val="DDF6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E2423"/>
    <w:multiLevelType w:val="hybridMultilevel"/>
    <w:tmpl w:val="F98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45159"/>
    <w:multiLevelType w:val="hybridMultilevel"/>
    <w:tmpl w:val="0400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A79A3"/>
    <w:multiLevelType w:val="hybridMultilevel"/>
    <w:tmpl w:val="46602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981AAC"/>
    <w:multiLevelType w:val="hybridMultilevel"/>
    <w:tmpl w:val="FAA2C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C603F"/>
    <w:multiLevelType w:val="hybridMultilevel"/>
    <w:tmpl w:val="1924D3F8"/>
    <w:lvl w:ilvl="0" w:tplc="C11A8D3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4D6D27"/>
    <w:multiLevelType w:val="hybridMultilevel"/>
    <w:tmpl w:val="930CBB08"/>
    <w:lvl w:ilvl="0" w:tplc="CBAAB370">
      <w:start w:val="1"/>
      <w:numFmt w:val="bullet"/>
      <w:lvlText w:val=""/>
      <w:lvlJc w:val="left"/>
      <w:pPr>
        <w:tabs>
          <w:tab w:val="num" w:pos="720"/>
        </w:tabs>
        <w:ind w:left="720" w:hanging="360"/>
      </w:pPr>
      <w:rPr>
        <w:rFonts w:ascii="Wingdings" w:hAnsi="Wingdings" w:hint="default"/>
      </w:rPr>
    </w:lvl>
    <w:lvl w:ilvl="1" w:tplc="57246F66" w:tentative="1">
      <w:start w:val="1"/>
      <w:numFmt w:val="bullet"/>
      <w:lvlText w:val=""/>
      <w:lvlJc w:val="left"/>
      <w:pPr>
        <w:tabs>
          <w:tab w:val="num" w:pos="1440"/>
        </w:tabs>
        <w:ind w:left="1440" w:hanging="360"/>
      </w:pPr>
      <w:rPr>
        <w:rFonts w:ascii="Wingdings" w:hAnsi="Wingdings" w:hint="default"/>
      </w:rPr>
    </w:lvl>
    <w:lvl w:ilvl="2" w:tplc="1814083C" w:tentative="1">
      <w:start w:val="1"/>
      <w:numFmt w:val="bullet"/>
      <w:lvlText w:val=""/>
      <w:lvlJc w:val="left"/>
      <w:pPr>
        <w:tabs>
          <w:tab w:val="num" w:pos="2160"/>
        </w:tabs>
        <w:ind w:left="2160" w:hanging="360"/>
      </w:pPr>
      <w:rPr>
        <w:rFonts w:ascii="Wingdings" w:hAnsi="Wingdings" w:hint="default"/>
      </w:rPr>
    </w:lvl>
    <w:lvl w:ilvl="3" w:tplc="405EA6AE" w:tentative="1">
      <w:start w:val="1"/>
      <w:numFmt w:val="bullet"/>
      <w:lvlText w:val=""/>
      <w:lvlJc w:val="left"/>
      <w:pPr>
        <w:tabs>
          <w:tab w:val="num" w:pos="2880"/>
        </w:tabs>
        <w:ind w:left="2880" w:hanging="360"/>
      </w:pPr>
      <w:rPr>
        <w:rFonts w:ascii="Wingdings" w:hAnsi="Wingdings" w:hint="default"/>
      </w:rPr>
    </w:lvl>
    <w:lvl w:ilvl="4" w:tplc="DFF8AB04" w:tentative="1">
      <w:start w:val="1"/>
      <w:numFmt w:val="bullet"/>
      <w:lvlText w:val=""/>
      <w:lvlJc w:val="left"/>
      <w:pPr>
        <w:tabs>
          <w:tab w:val="num" w:pos="3600"/>
        </w:tabs>
        <w:ind w:left="3600" w:hanging="360"/>
      </w:pPr>
      <w:rPr>
        <w:rFonts w:ascii="Wingdings" w:hAnsi="Wingdings" w:hint="default"/>
      </w:rPr>
    </w:lvl>
    <w:lvl w:ilvl="5" w:tplc="30F80D1E" w:tentative="1">
      <w:start w:val="1"/>
      <w:numFmt w:val="bullet"/>
      <w:lvlText w:val=""/>
      <w:lvlJc w:val="left"/>
      <w:pPr>
        <w:tabs>
          <w:tab w:val="num" w:pos="4320"/>
        </w:tabs>
        <w:ind w:left="4320" w:hanging="360"/>
      </w:pPr>
      <w:rPr>
        <w:rFonts w:ascii="Wingdings" w:hAnsi="Wingdings" w:hint="default"/>
      </w:rPr>
    </w:lvl>
    <w:lvl w:ilvl="6" w:tplc="ABD8EFCC" w:tentative="1">
      <w:start w:val="1"/>
      <w:numFmt w:val="bullet"/>
      <w:lvlText w:val=""/>
      <w:lvlJc w:val="left"/>
      <w:pPr>
        <w:tabs>
          <w:tab w:val="num" w:pos="5040"/>
        </w:tabs>
        <w:ind w:left="5040" w:hanging="360"/>
      </w:pPr>
      <w:rPr>
        <w:rFonts w:ascii="Wingdings" w:hAnsi="Wingdings" w:hint="default"/>
      </w:rPr>
    </w:lvl>
    <w:lvl w:ilvl="7" w:tplc="FD541BDC" w:tentative="1">
      <w:start w:val="1"/>
      <w:numFmt w:val="bullet"/>
      <w:lvlText w:val=""/>
      <w:lvlJc w:val="left"/>
      <w:pPr>
        <w:tabs>
          <w:tab w:val="num" w:pos="5760"/>
        </w:tabs>
        <w:ind w:left="5760" w:hanging="360"/>
      </w:pPr>
      <w:rPr>
        <w:rFonts w:ascii="Wingdings" w:hAnsi="Wingdings" w:hint="default"/>
      </w:rPr>
    </w:lvl>
    <w:lvl w:ilvl="8" w:tplc="131EB0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538E9"/>
    <w:multiLevelType w:val="hybridMultilevel"/>
    <w:tmpl w:val="24926056"/>
    <w:lvl w:ilvl="0" w:tplc="D9D8E16A">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4C0796"/>
    <w:multiLevelType w:val="hybridMultilevel"/>
    <w:tmpl w:val="95F2F334"/>
    <w:lvl w:ilvl="0" w:tplc="96B8AE7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854DE7"/>
    <w:multiLevelType w:val="hybridMultilevel"/>
    <w:tmpl w:val="A01614B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A70E75"/>
    <w:multiLevelType w:val="hybridMultilevel"/>
    <w:tmpl w:val="A9F2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631A9"/>
    <w:multiLevelType w:val="hybridMultilevel"/>
    <w:tmpl w:val="A654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BB4838"/>
    <w:multiLevelType w:val="hybridMultilevel"/>
    <w:tmpl w:val="807EDD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AD6AF9"/>
    <w:multiLevelType w:val="hybridMultilevel"/>
    <w:tmpl w:val="5434D9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165507"/>
    <w:multiLevelType w:val="hybridMultilevel"/>
    <w:tmpl w:val="74D2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B08D4"/>
    <w:multiLevelType w:val="hybridMultilevel"/>
    <w:tmpl w:val="CA746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C067F6E"/>
    <w:multiLevelType w:val="hybridMultilevel"/>
    <w:tmpl w:val="F21A58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25282B"/>
    <w:multiLevelType w:val="hybridMultilevel"/>
    <w:tmpl w:val="EEF4A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F51B9"/>
    <w:multiLevelType w:val="hybridMultilevel"/>
    <w:tmpl w:val="B588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291502"/>
    <w:multiLevelType w:val="hybridMultilevel"/>
    <w:tmpl w:val="B4162DE4"/>
    <w:lvl w:ilvl="0" w:tplc="7C786F88">
      <w:start w:val="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E11B2E"/>
    <w:multiLevelType w:val="hybridMultilevel"/>
    <w:tmpl w:val="AE38499C"/>
    <w:lvl w:ilvl="0" w:tplc="0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783C89"/>
    <w:multiLevelType w:val="hybridMultilevel"/>
    <w:tmpl w:val="43BA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425ED"/>
    <w:multiLevelType w:val="hybridMultilevel"/>
    <w:tmpl w:val="3D0C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91F9B"/>
    <w:multiLevelType w:val="hybridMultilevel"/>
    <w:tmpl w:val="4F1661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6A03"/>
    <w:multiLevelType w:val="hybridMultilevel"/>
    <w:tmpl w:val="629E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8A398C"/>
    <w:multiLevelType w:val="hybridMultilevel"/>
    <w:tmpl w:val="C4D81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114C59"/>
    <w:multiLevelType w:val="hybridMultilevel"/>
    <w:tmpl w:val="5AFCF8E2"/>
    <w:lvl w:ilvl="0" w:tplc="52BEA1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9C4FEC"/>
    <w:multiLevelType w:val="hybridMultilevel"/>
    <w:tmpl w:val="C25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5D39A7"/>
    <w:multiLevelType w:val="hybridMultilevel"/>
    <w:tmpl w:val="3878CD68"/>
    <w:lvl w:ilvl="0" w:tplc="A9FA51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FC4026"/>
    <w:multiLevelType w:val="hybridMultilevel"/>
    <w:tmpl w:val="7178AA24"/>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989132">
    <w:abstractNumId w:val="10"/>
  </w:num>
  <w:num w:numId="2" w16cid:durableId="1372726378">
    <w:abstractNumId w:val="29"/>
  </w:num>
  <w:num w:numId="3" w16cid:durableId="1532953389">
    <w:abstractNumId w:val="9"/>
  </w:num>
  <w:num w:numId="4" w16cid:durableId="1241259509">
    <w:abstractNumId w:val="43"/>
  </w:num>
  <w:num w:numId="5" w16cid:durableId="941112802">
    <w:abstractNumId w:val="36"/>
  </w:num>
  <w:num w:numId="6" w16cid:durableId="643972205">
    <w:abstractNumId w:val="2"/>
  </w:num>
  <w:num w:numId="7" w16cid:durableId="1108239225">
    <w:abstractNumId w:val="11"/>
  </w:num>
  <w:num w:numId="8" w16cid:durableId="900362240">
    <w:abstractNumId w:val="8"/>
  </w:num>
  <w:num w:numId="9" w16cid:durableId="1980644570">
    <w:abstractNumId w:val="37"/>
  </w:num>
  <w:num w:numId="10" w16cid:durableId="1769034097">
    <w:abstractNumId w:val="33"/>
  </w:num>
  <w:num w:numId="11" w16cid:durableId="1471752601">
    <w:abstractNumId w:val="18"/>
  </w:num>
  <w:num w:numId="12" w16cid:durableId="434441922">
    <w:abstractNumId w:val="46"/>
  </w:num>
  <w:num w:numId="13" w16cid:durableId="1019040247">
    <w:abstractNumId w:val="49"/>
  </w:num>
  <w:num w:numId="14" w16cid:durableId="149295504">
    <w:abstractNumId w:val="32"/>
  </w:num>
  <w:num w:numId="15" w16cid:durableId="1504903977">
    <w:abstractNumId w:val="13"/>
  </w:num>
  <w:num w:numId="16" w16cid:durableId="856700251">
    <w:abstractNumId w:val="22"/>
  </w:num>
  <w:num w:numId="17" w16cid:durableId="1504517510">
    <w:abstractNumId w:val="38"/>
  </w:num>
  <w:num w:numId="18" w16cid:durableId="742023569">
    <w:abstractNumId w:val="4"/>
  </w:num>
  <w:num w:numId="19" w16cid:durableId="86926841">
    <w:abstractNumId w:val="21"/>
  </w:num>
  <w:num w:numId="20" w16cid:durableId="1078945771">
    <w:abstractNumId w:val="20"/>
  </w:num>
  <w:num w:numId="21" w16cid:durableId="26569530">
    <w:abstractNumId w:val="19"/>
  </w:num>
  <w:num w:numId="22" w16cid:durableId="631906658">
    <w:abstractNumId w:val="0"/>
  </w:num>
  <w:num w:numId="23" w16cid:durableId="465591005">
    <w:abstractNumId w:val="47"/>
  </w:num>
  <w:num w:numId="24" w16cid:durableId="1338654108">
    <w:abstractNumId w:val="44"/>
  </w:num>
  <w:num w:numId="25" w16cid:durableId="967779604">
    <w:abstractNumId w:val="23"/>
  </w:num>
  <w:num w:numId="26" w16cid:durableId="377821373">
    <w:abstractNumId w:val="17"/>
  </w:num>
  <w:num w:numId="27" w16cid:durableId="1165632591">
    <w:abstractNumId w:val="45"/>
  </w:num>
  <w:num w:numId="28" w16cid:durableId="114759151">
    <w:abstractNumId w:val="40"/>
  </w:num>
  <w:num w:numId="29" w16cid:durableId="1194616729">
    <w:abstractNumId w:val="24"/>
  </w:num>
  <w:num w:numId="30" w16cid:durableId="1750687139">
    <w:abstractNumId w:val="26"/>
  </w:num>
  <w:num w:numId="31" w16cid:durableId="23018162">
    <w:abstractNumId w:val="41"/>
  </w:num>
  <w:num w:numId="32" w16cid:durableId="1201239692">
    <w:abstractNumId w:val="28"/>
  </w:num>
  <w:num w:numId="33" w16cid:durableId="1702317090">
    <w:abstractNumId w:val="35"/>
  </w:num>
  <w:num w:numId="34" w16cid:durableId="1822454485">
    <w:abstractNumId w:val="1"/>
  </w:num>
  <w:num w:numId="35" w16cid:durableId="2029136840">
    <w:abstractNumId w:val="25"/>
  </w:num>
  <w:num w:numId="36" w16cid:durableId="1512992792">
    <w:abstractNumId w:val="5"/>
  </w:num>
  <w:num w:numId="37" w16cid:durableId="1040326568">
    <w:abstractNumId w:val="7"/>
  </w:num>
  <w:num w:numId="38" w16cid:durableId="1032651745">
    <w:abstractNumId w:val="31"/>
  </w:num>
  <w:num w:numId="39" w16cid:durableId="1941911954">
    <w:abstractNumId w:val="15"/>
  </w:num>
  <w:num w:numId="40" w16cid:durableId="283535844">
    <w:abstractNumId w:val="6"/>
  </w:num>
  <w:num w:numId="41" w16cid:durableId="927999436">
    <w:abstractNumId w:val="3"/>
  </w:num>
  <w:num w:numId="42" w16cid:durableId="784662899">
    <w:abstractNumId w:val="39"/>
  </w:num>
  <w:num w:numId="43" w16cid:durableId="1214537692">
    <w:abstractNumId w:val="14"/>
  </w:num>
  <w:num w:numId="44" w16cid:durableId="2117166509">
    <w:abstractNumId w:val="16"/>
  </w:num>
  <w:num w:numId="45" w16cid:durableId="1342509578">
    <w:abstractNumId w:val="42"/>
  </w:num>
  <w:num w:numId="46" w16cid:durableId="1214197633">
    <w:abstractNumId w:val="27"/>
  </w:num>
  <w:num w:numId="47" w16cid:durableId="1931814043">
    <w:abstractNumId w:val="34"/>
  </w:num>
  <w:num w:numId="48" w16cid:durableId="627860351">
    <w:abstractNumId w:val="30"/>
  </w:num>
  <w:num w:numId="49" w16cid:durableId="1209025118">
    <w:abstractNumId w:val="48"/>
  </w:num>
  <w:num w:numId="50" w16cid:durableId="1269393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33"/>
    <w:rsid w:val="00014D82"/>
    <w:rsid w:val="00017270"/>
    <w:rsid w:val="00025B8B"/>
    <w:rsid w:val="00041751"/>
    <w:rsid w:val="0005097A"/>
    <w:rsid w:val="000645E2"/>
    <w:rsid w:val="00065C40"/>
    <w:rsid w:val="000714E3"/>
    <w:rsid w:val="00073E89"/>
    <w:rsid w:val="00075628"/>
    <w:rsid w:val="0008248E"/>
    <w:rsid w:val="000870A9"/>
    <w:rsid w:val="000959E8"/>
    <w:rsid w:val="00096536"/>
    <w:rsid w:val="000A175B"/>
    <w:rsid w:val="000A627E"/>
    <w:rsid w:val="000B7C27"/>
    <w:rsid w:val="000C1FAD"/>
    <w:rsid w:val="000D112D"/>
    <w:rsid w:val="000D6145"/>
    <w:rsid w:val="000E04C5"/>
    <w:rsid w:val="000E2D8F"/>
    <w:rsid w:val="000E4C9C"/>
    <w:rsid w:val="000F1029"/>
    <w:rsid w:val="00101D22"/>
    <w:rsid w:val="0010634B"/>
    <w:rsid w:val="00120355"/>
    <w:rsid w:val="00122FF0"/>
    <w:rsid w:val="001273D2"/>
    <w:rsid w:val="00134FA1"/>
    <w:rsid w:val="00140F32"/>
    <w:rsid w:val="00146E8B"/>
    <w:rsid w:val="001511F7"/>
    <w:rsid w:val="00154775"/>
    <w:rsid w:val="00157350"/>
    <w:rsid w:val="00165829"/>
    <w:rsid w:val="00170524"/>
    <w:rsid w:val="00175744"/>
    <w:rsid w:val="00176969"/>
    <w:rsid w:val="00182DA8"/>
    <w:rsid w:val="0018429B"/>
    <w:rsid w:val="0018707C"/>
    <w:rsid w:val="00190B3B"/>
    <w:rsid w:val="00190D22"/>
    <w:rsid w:val="001911A0"/>
    <w:rsid w:val="001A1696"/>
    <w:rsid w:val="001A195D"/>
    <w:rsid w:val="001A3F2E"/>
    <w:rsid w:val="001A6A04"/>
    <w:rsid w:val="001B1526"/>
    <w:rsid w:val="001B15AF"/>
    <w:rsid w:val="001B2673"/>
    <w:rsid w:val="001B7B6E"/>
    <w:rsid w:val="001C0DE1"/>
    <w:rsid w:val="001C1128"/>
    <w:rsid w:val="001C2831"/>
    <w:rsid w:val="001D05F5"/>
    <w:rsid w:val="001D5E91"/>
    <w:rsid w:val="001D6623"/>
    <w:rsid w:val="001E4231"/>
    <w:rsid w:val="001E4DF2"/>
    <w:rsid w:val="001E51A8"/>
    <w:rsid w:val="001F2BBC"/>
    <w:rsid w:val="001F3EED"/>
    <w:rsid w:val="001F5543"/>
    <w:rsid w:val="0020151E"/>
    <w:rsid w:val="002143CB"/>
    <w:rsid w:val="0021799E"/>
    <w:rsid w:val="00221F56"/>
    <w:rsid w:val="00231AA8"/>
    <w:rsid w:val="00234A2F"/>
    <w:rsid w:val="0023568C"/>
    <w:rsid w:val="00236749"/>
    <w:rsid w:val="00236ED3"/>
    <w:rsid w:val="002373CE"/>
    <w:rsid w:val="00241703"/>
    <w:rsid w:val="00246DF4"/>
    <w:rsid w:val="00246ED3"/>
    <w:rsid w:val="00251BB6"/>
    <w:rsid w:val="00253A89"/>
    <w:rsid w:val="002549D6"/>
    <w:rsid w:val="00261653"/>
    <w:rsid w:val="00263B16"/>
    <w:rsid w:val="00263D9C"/>
    <w:rsid w:val="00265C92"/>
    <w:rsid w:val="002674F6"/>
    <w:rsid w:val="0027384C"/>
    <w:rsid w:val="002805DF"/>
    <w:rsid w:val="00281EDA"/>
    <w:rsid w:val="002828B4"/>
    <w:rsid w:val="0028585A"/>
    <w:rsid w:val="00286B5F"/>
    <w:rsid w:val="00296BF2"/>
    <w:rsid w:val="0029721A"/>
    <w:rsid w:val="002C0C8E"/>
    <w:rsid w:val="002C2F3E"/>
    <w:rsid w:val="002C4211"/>
    <w:rsid w:val="002D1004"/>
    <w:rsid w:val="002D3CB0"/>
    <w:rsid w:val="002D3EB6"/>
    <w:rsid w:val="002D5185"/>
    <w:rsid w:val="002D58F7"/>
    <w:rsid w:val="002D5D05"/>
    <w:rsid w:val="002D7C16"/>
    <w:rsid w:val="002E1A03"/>
    <w:rsid w:val="002E2D25"/>
    <w:rsid w:val="002E4937"/>
    <w:rsid w:val="002F3496"/>
    <w:rsid w:val="002F72E3"/>
    <w:rsid w:val="002F781A"/>
    <w:rsid w:val="002F784C"/>
    <w:rsid w:val="00303423"/>
    <w:rsid w:val="003060B2"/>
    <w:rsid w:val="003207E6"/>
    <w:rsid w:val="003223D4"/>
    <w:rsid w:val="00322D5D"/>
    <w:rsid w:val="0033093D"/>
    <w:rsid w:val="00332E8D"/>
    <w:rsid w:val="00335896"/>
    <w:rsid w:val="00335BEF"/>
    <w:rsid w:val="00340E5C"/>
    <w:rsid w:val="00345C30"/>
    <w:rsid w:val="003578B3"/>
    <w:rsid w:val="00357BFB"/>
    <w:rsid w:val="003600F0"/>
    <w:rsid w:val="00361CA3"/>
    <w:rsid w:val="00365B1C"/>
    <w:rsid w:val="003735BE"/>
    <w:rsid w:val="00377D6C"/>
    <w:rsid w:val="0038021E"/>
    <w:rsid w:val="003842D7"/>
    <w:rsid w:val="00392AF9"/>
    <w:rsid w:val="003969C7"/>
    <w:rsid w:val="003A020E"/>
    <w:rsid w:val="003A306C"/>
    <w:rsid w:val="003A5993"/>
    <w:rsid w:val="003B3269"/>
    <w:rsid w:val="003C00D5"/>
    <w:rsid w:val="003C205F"/>
    <w:rsid w:val="003C40F9"/>
    <w:rsid w:val="003D0A57"/>
    <w:rsid w:val="003D6F89"/>
    <w:rsid w:val="003E08A4"/>
    <w:rsid w:val="003F2B6A"/>
    <w:rsid w:val="003F326F"/>
    <w:rsid w:val="003F569F"/>
    <w:rsid w:val="003F7BBB"/>
    <w:rsid w:val="00400368"/>
    <w:rsid w:val="004007D9"/>
    <w:rsid w:val="00404B38"/>
    <w:rsid w:val="0041021B"/>
    <w:rsid w:val="00412048"/>
    <w:rsid w:val="004301A2"/>
    <w:rsid w:val="00437EA0"/>
    <w:rsid w:val="00440602"/>
    <w:rsid w:val="004451FD"/>
    <w:rsid w:val="0045299E"/>
    <w:rsid w:val="004610F2"/>
    <w:rsid w:val="004640FE"/>
    <w:rsid w:val="0046767B"/>
    <w:rsid w:val="00471D3C"/>
    <w:rsid w:val="004843CD"/>
    <w:rsid w:val="0048679D"/>
    <w:rsid w:val="00490B0E"/>
    <w:rsid w:val="004A5324"/>
    <w:rsid w:val="004B126F"/>
    <w:rsid w:val="004C08EC"/>
    <w:rsid w:val="004C2AA0"/>
    <w:rsid w:val="004D40CF"/>
    <w:rsid w:val="004D78D2"/>
    <w:rsid w:val="004E3B91"/>
    <w:rsid w:val="004E3C58"/>
    <w:rsid w:val="004F7ECC"/>
    <w:rsid w:val="00500B86"/>
    <w:rsid w:val="00501853"/>
    <w:rsid w:val="00505380"/>
    <w:rsid w:val="00506CC5"/>
    <w:rsid w:val="005135ED"/>
    <w:rsid w:val="00514FF8"/>
    <w:rsid w:val="00522E43"/>
    <w:rsid w:val="00525C45"/>
    <w:rsid w:val="005275D2"/>
    <w:rsid w:val="00534B72"/>
    <w:rsid w:val="00534D5C"/>
    <w:rsid w:val="00536D0B"/>
    <w:rsid w:val="00536DF4"/>
    <w:rsid w:val="00541C04"/>
    <w:rsid w:val="00552838"/>
    <w:rsid w:val="005529F2"/>
    <w:rsid w:val="00557635"/>
    <w:rsid w:val="00567C45"/>
    <w:rsid w:val="00582E64"/>
    <w:rsid w:val="0059302F"/>
    <w:rsid w:val="005A08E7"/>
    <w:rsid w:val="005A24D7"/>
    <w:rsid w:val="005A3E07"/>
    <w:rsid w:val="005A428E"/>
    <w:rsid w:val="005B388C"/>
    <w:rsid w:val="005B439C"/>
    <w:rsid w:val="005D179A"/>
    <w:rsid w:val="005D3C01"/>
    <w:rsid w:val="005D4430"/>
    <w:rsid w:val="005D44F4"/>
    <w:rsid w:val="005E12CA"/>
    <w:rsid w:val="005E2006"/>
    <w:rsid w:val="005E234F"/>
    <w:rsid w:val="005E463A"/>
    <w:rsid w:val="006024F1"/>
    <w:rsid w:val="00602AF7"/>
    <w:rsid w:val="00610AE5"/>
    <w:rsid w:val="00610AE6"/>
    <w:rsid w:val="00611217"/>
    <w:rsid w:val="00615E9D"/>
    <w:rsid w:val="00616FA9"/>
    <w:rsid w:val="006230CB"/>
    <w:rsid w:val="006369D8"/>
    <w:rsid w:val="00637DAC"/>
    <w:rsid w:val="006421DF"/>
    <w:rsid w:val="00656B33"/>
    <w:rsid w:val="00656F13"/>
    <w:rsid w:val="00657685"/>
    <w:rsid w:val="006673F2"/>
    <w:rsid w:val="006726D5"/>
    <w:rsid w:val="0067458D"/>
    <w:rsid w:val="00674AB4"/>
    <w:rsid w:val="00675FED"/>
    <w:rsid w:val="006808DA"/>
    <w:rsid w:val="006848DD"/>
    <w:rsid w:val="0068703F"/>
    <w:rsid w:val="00691881"/>
    <w:rsid w:val="006930C4"/>
    <w:rsid w:val="0069546A"/>
    <w:rsid w:val="0069549C"/>
    <w:rsid w:val="006971B5"/>
    <w:rsid w:val="00697932"/>
    <w:rsid w:val="00697E56"/>
    <w:rsid w:val="006A1065"/>
    <w:rsid w:val="006A1A2A"/>
    <w:rsid w:val="006A3D69"/>
    <w:rsid w:val="006B59EA"/>
    <w:rsid w:val="006B67ED"/>
    <w:rsid w:val="006D0C55"/>
    <w:rsid w:val="006D38CE"/>
    <w:rsid w:val="006D41C5"/>
    <w:rsid w:val="006D46AD"/>
    <w:rsid w:val="006E040B"/>
    <w:rsid w:val="006E3ECC"/>
    <w:rsid w:val="006E541E"/>
    <w:rsid w:val="006E6379"/>
    <w:rsid w:val="006E7B7C"/>
    <w:rsid w:val="007048EE"/>
    <w:rsid w:val="00713B6B"/>
    <w:rsid w:val="007157F9"/>
    <w:rsid w:val="00715AE1"/>
    <w:rsid w:val="007237BD"/>
    <w:rsid w:val="007254E7"/>
    <w:rsid w:val="00726102"/>
    <w:rsid w:val="00726504"/>
    <w:rsid w:val="00731275"/>
    <w:rsid w:val="00741A91"/>
    <w:rsid w:val="0074685D"/>
    <w:rsid w:val="00746C8A"/>
    <w:rsid w:val="00754882"/>
    <w:rsid w:val="007574AC"/>
    <w:rsid w:val="00760C70"/>
    <w:rsid w:val="0076141E"/>
    <w:rsid w:val="00761B53"/>
    <w:rsid w:val="007669B5"/>
    <w:rsid w:val="00775021"/>
    <w:rsid w:val="00776320"/>
    <w:rsid w:val="007779D5"/>
    <w:rsid w:val="00782A03"/>
    <w:rsid w:val="0078429E"/>
    <w:rsid w:val="00790E2C"/>
    <w:rsid w:val="0079338C"/>
    <w:rsid w:val="00794A7F"/>
    <w:rsid w:val="00797F89"/>
    <w:rsid w:val="007A0CFA"/>
    <w:rsid w:val="007A1F84"/>
    <w:rsid w:val="007A7086"/>
    <w:rsid w:val="007A7166"/>
    <w:rsid w:val="007B0AF7"/>
    <w:rsid w:val="007B48C7"/>
    <w:rsid w:val="007B723F"/>
    <w:rsid w:val="007C0E9F"/>
    <w:rsid w:val="007C1126"/>
    <w:rsid w:val="007C5072"/>
    <w:rsid w:val="007E0598"/>
    <w:rsid w:val="007E12F4"/>
    <w:rsid w:val="007F693E"/>
    <w:rsid w:val="00804FEE"/>
    <w:rsid w:val="00810CF6"/>
    <w:rsid w:val="00810E31"/>
    <w:rsid w:val="008117B7"/>
    <w:rsid w:val="008127C9"/>
    <w:rsid w:val="00814836"/>
    <w:rsid w:val="00817320"/>
    <w:rsid w:val="0082132A"/>
    <w:rsid w:val="0082251A"/>
    <w:rsid w:val="00822EAE"/>
    <w:rsid w:val="00826FE3"/>
    <w:rsid w:val="00827810"/>
    <w:rsid w:val="00831686"/>
    <w:rsid w:val="00831B53"/>
    <w:rsid w:val="008344DD"/>
    <w:rsid w:val="00844A35"/>
    <w:rsid w:val="008455F8"/>
    <w:rsid w:val="0084764E"/>
    <w:rsid w:val="00851D20"/>
    <w:rsid w:val="008528F2"/>
    <w:rsid w:val="008639C8"/>
    <w:rsid w:val="00874754"/>
    <w:rsid w:val="00874C5B"/>
    <w:rsid w:val="00877922"/>
    <w:rsid w:val="008805CB"/>
    <w:rsid w:val="00885B00"/>
    <w:rsid w:val="008917D3"/>
    <w:rsid w:val="00893B5F"/>
    <w:rsid w:val="0089742D"/>
    <w:rsid w:val="008B131F"/>
    <w:rsid w:val="008B4C75"/>
    <w:rsid w:val="008B7603"/>
    <w:rsid w:val="008C150C"/>
    <w:rsid w:val="008C1E2E"/>
    <w:rsid w:val="008C5577"/>
    <w:rsid w:val="008E0662"/>
    <w:rsid w:val="008E10EA"/>
    <w:rsid w:val="008E4844"/>
    <w:rsid w:val="008E51A2"/>
    <w:rsid w:val="008F10D5"/>
    <w:rsid w:val="008F1A6A"/>
    <w:rsid w:val="008F1B04"/>
    <w:rsid w:val="008F74FC"/>
    <w:rsid w:val="00915A6B"/>
    <w:rsid w:val="009255DD"/>
    <w:rsid w:val="00931ADE"/>
    <w:rsid w:val="0093602B"/>
    <w:rsid w:val="00936FB2"/>
    <w:rsid w:val="009505FB"/>
    <w:rsid w:val="00951CC0"/>
    <w:rsid w:val="009604CD"/>
    <w:rsid w:val="00963373"/>
    <w:rsid w:val="0098043A"/>
    <w:rsid w:val="0098166D"/>
    <w:rsid w:val="009942D6"/>
    <w:rsid w:val="00997EC7"/>
    <w:rsid w:val="009B542B"/>
    <w:rsid w:val="009D09ED"/>
    <w:rsid w:val="009D7277"/>
    <w:rsid w:val="009E56F2"/>
    <w:rsid w:val="009F5F58"/>
    <w:rsid w:val="00A01B0E"/>
    <w:rsid w:val="00A01BBB"/>
    <w:rsid w:val="00A03679"/>
    <w:rsid w:val="00A05749"/>
    <w:rsid w:val="00A11054"/>
    <w:rsid w:val="00A14667"/>
    <w:rsid w:val="00A17F1C"/>
    <w:rsid w:val="00A21017"/>
    <w:rsid w:val="00A243DA"/>
    <w:rsid w:val="00A265F8"/>
    <w:rsid w:val="00A267ED"/>
    <w:rsid w:val="00A26ED4"/>
    <w:rsid w:val="00A273DC"/>
    <w:rsid w:val="00A27639"/>
    <w:rsid w:val="00A32560"/>
    <w:rsid w:val="00A45D76"/>
    <w:rsid w:val="00A460E2"/>
    <w:rsid w:val="00A56816"/>
    <w:rsid w:val="00A633EF"/>
    <w:rsid w:val="00A63E59"/>
    <w:rsid w:val="00A65F60"/>
    <w:rsid w:val="00A7294A"/>
    <w:rsid w:val="00A74DD8"/>
    <w:rsid w:val="00A86021"/>
    <w:rsid w:val="00A90114"/>
    <w:rsid w:val="00A93055"/>
    <w:rsid w:val="00AA00C8"/>
    <w:rsid w:val="00AA15DC"/>
    <w:rsid w:val="00AA4785"/>
    <w:rsid w:val="00AA7445"/>
    <w:rsid w:val="00AB3135"/>
    <w:rsid w:val="00AC0E9D"/>
    <w:rsid w:val="00AC25AF"/>
    <w:rsid w:val="00AC4B9B"/>
    <w:rsid w:val="00AC4C3D"/>
    <w:rsid w:val="00AC5699"/>
    <w:rsid w:val="00AC691E"/>
    <w:rsid w:val="00AE0595"/>
    <w:rsid w:val="00AE082F"/>
    <w:rsid w:val="00AE2D97"/>
    <w:rsid w:val="00AF5164"/>
    <w:rsid w:val="00B02526"/>
    <w:rsid w:val="00B02ADB"/>
    <w:rsid w:val="00B20824"/>
    <w:rsid w:val="00B21747"/>
    <w:rsid w:val="00B22EA8"/>
    <w:rsid w:val="00B26930"/>
    <w:rsid w:val="00B31C19"/>
    <w:rsid w:val="00B37962"/>
    <w:rsid w:val="00B40062"/>
    <w:rsid w:val="00B4748A"/>
    <w:rsid w:val="00B55583"/>
    <w:rsid w:val="00B563E1"/>
    <w:rsid w:val="00B63F06"/>
    <w:rsid w:val="00B67398"/>
    <w:rsid w:val="00B67781"/>
    <w:rsid w:val="00B70209"/>
    <w:rsid w:val="00B70C26"/>
    <w:rsid w:val="00B73371"/>
    <w:rsid w:val="00B73897"/>
    <w:rsid w:val="00B7539A"/>
    <w:rsid w:val="00B76300"/>
    <w:rsid w:val="00B77998"/>
    <w:rsid w:val="00B80836"/>
    <w:rsid w:val="00B84EE0"/>
    <w:rsid w:val="00B8765A"/>
    <w:rsid w:val="00B90794"/>
    <w:rsid w:val="00BA07D5"/>
    <w:rsid w:val="00BA2A0C"/>
    <w:rsid w:val="00BA3D67"/>
    <w:rsid w:val="00BC5FEC"/>
    <w:rsid w:val="00BC6223"/>
    <w:rsid w:val="00BC6BB8"/>
    <w:rsid w:val="00BC733A"/>
    <w:rsid w:val="00BC7D67"/>
    <w:rsid w:val="00BD1335"/>
    <w:rsid w:val="00BF5D03"/>
    <w:rsid w:val="00C02265"/>
    <w:rsid w:val="00C13767"/>
    <w:rsid w:val="00C14776"/>
    <w:rsid w:val="00C2202D"/>
    <w:rsid w:val="00C26D59"/>
    <w:rsid w:val="00C4153A"/>
    <w:rsid w:val="00C57ABD"/>
    <w:rsid w:val="00C64D17"/>
    <w:rsid w:val="00C6569B"/>
    <w:rsid w:val="00C7021A"/>
    <w:rsid w:val="00C770EE"/>
    <w:rsid w:val="00C7767C"/>
    <w:rsid w:val="00C82545"/>
    <w:rsid w:val="00C8712F"/>
    <w:rsid w:val="00C91BDA"/>
    <w:rsid w:val="00C97FFD"/>
    <w:rsid w:val="00CA09C1"/>
    <w:rsid w:val="00CA2330"/>
    <w:rsid w:val="00CA4616"/>
    <w:rsid w:val="00CB1926"/>
    <w:rsid w:val="00CB1E2A"/>
    <w:rsid w:val="00CB41D7"/>
    <w:rsid w:val="00CC6424"/>
    <w:rsid w:val="00CD0B84"/>
    <w:rsid w:val="00CE23E9"/>
    <w:rsid w:val="00CF0C26"/>
    <w:rsid w:val="00CF6617"/>
    <w:rsid w:val="00D070E7"/>
    <w:rsid w:val="00D11245"/>
    <w:rsid w:val="00D11CBC"/>
    <w:rsid w:val="00D1266B"/>
    <w:rsid w:val="00D1325D"/>
    <w:rsid w:val="00D15EA6"/>
    <w:rsid w:val="00D15FF5"/>
    <w:rsid w:val="00D34C55"/>
    <w:rsid w:val="00D466F1"/>
    <w:rsid w:val="00D558A6"/>
    <w:rsid w:val="00D716F7"/>
    <w:rsid w:val="00D71F92"/>
    <w:rsid w:val="00D75B72"/>
    <w:rsid w:val="00D822DB"/>
    <w:rsid w:val="00D82E85"/>
    <w:rsid w:val="00D83001"/>
    <w:rsid w:val="00D846FC"/>
    <w:rsid w:val="00DA1776"/>
    <w:rsid w:val="00DA6C69"/>
    <w:rsid w:val="00DB1CBF"/>
    <w:rsid w:val="00DB3A54"/>
    <w:rsid w:val="00DC13D5"/>
    <w:rsid w:val="00DE0A4F"/>
    <w:rsid w:val="00DE202F"/>
    <w:rsid w:val="00DE299E"/>
    <w:rsid w:val="00DE4EBD"/>
    <w:rsid w:val="00DE5F5E"/>
    <w:rsid w:val="00DE64FC"/>
    <w:rsid w:val="00DF2458"/>
    <w:rsid w:val="00E02C7E"/>
    <w:rsid w:val="00E13562"/>
    <w:rsid w:val="00E157EB"/>
    <w:rsid w:val="00E17ADE"/>
    <w:rsid w:val="00E258B2"/>
    <w:rsid w:val="00E265F0"/>
    <w:rsid w:val="00E437B2"/>
    <w:rsid w:val="00E5310F"/>
    <w:rsid w:val="00E60202"/>
    <w:rsid w:val="00E657D9"/>
    <w:rsid w:val="00E65B2C"/>
    <w:rsid w:val="00E7408F"/>
    <w:rsid w:val="00E7567E"/>
    <w:rsid w:val="00E80FC7"/>
    <w:rsid w:val="00E81EC5"/>
    <w:rsid w:val="00E82E39"/>
    <w:rsid w:val="00E90F5A"/>
    <w:rsid w:val="00E91064"/>
    <w:rsid w:val="00E91443"/>
    <w:rsid w:val="00EA32C8"/>
    <w:rsid w:val="00EB07B7"/>
    <w:rsid w:val="00EB137A"/>
    <w:rsid w:val="00EB2287"/>
    <w:rsid w:val="00EB2E06"/>
    <w:rsid w:val="00EB6A9B"/>
    <w:rsid w:val="00EB6D2B"/>
    <w:rsid w:val="00EB6EAB"/>
    <w:rsid w:val="00EC6377"/>
    <w:rsid w:val="00ED25E8"/>
    <w:rsid w:val="00ED2E55"/>
    <w:rsid w:val="00ED2F41"/>
    <w:rsid w:val="00ED6DA9"/>
    <w:rsid w:val="00EE10E9"/>
    <w:rsid w:val="00EE1145"/>
    <w:rsid w:val="00EE539E"/>
    <w:rsid w:val="00EE54BB"/>
    <w:rsid w:val="00EE634E"/>
    <w:rsid w:val="00EF2F45"/>
    <w:rsid w:val="00EF483B"/>
    <w:rsid w:val="00EF5776"/>
    <w:rsid w:val="00F07E8B"/>
    <w:rsid w:val="00F101DE"/>
    <w:rsid w:val="00F131AB"/>
    <w:rsid w:val="00F14F65"/>
    <w:rsid w:val="00F21B32"/>
    <w:rsid w:val="00F222DE"/>
    <w:rsid w:val="00F23A05"/>
    <w:rsid w:val="00F242E0"/>
    <w:rsid w:val="00F30DA0"/>
    <w:rsid w:val="00F32860"/>
    <w:rsid w:val="00F505BB"/>
    <w:rsid w:val="00F543D3"/>
    <w:rsid w:val="00F55491"/>
    <w:rsid w:val="00F570E2"/>
    <w:rsid w:val="00F60C4E"/>
    <w:rsid w:val="00F63471"/>
    <w:rsid w:val="00F73BC7"/>
    <w:rsid w:val="00F756A5"/>
    <w:rsid w:val="00F80601"/>
    <w:rsid w:val="00F8562D"/>
    <w:rsid w:val="00F93BD9"/>
    <w:rsid w:val="00F94216"/>
    <w:rsid w:val="00F96430"/>
    <w:rsid w:val="00F96E83"/>
    <w:rsid w:val="00FA082A"/>
    <w:rsid w:val="00FA2AD4"/>
    <w:rsid w:val="00FA3E81"/>
    <w:rsid w:val="00FA5E46"/>
    <w:rsid w:val="00FA7DD7"/>
    <w:rsid w:val="00FB242A"/>
    <w:rsid w:val="00FB335E"/>
    <w:rsid w:val="00FC59A8"/>
    <w:rsid w:val="00FD0048"/>
    <w:rsid w:val="00FD057A"/>
    <w:rsid w:val="00FD4312"/>
    <w:rsid w:val="00FD4F2A"/>
    <w:rsid w:val="00FF0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C860"/>
  <w15:chartTrackingRefBased/>
  <w15:docId w15:val="{3DEA09E2-40AD-4A23-AB0F-D122CF16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56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56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656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56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56B33"/>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656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B33"/>
    <w:rPr>
      <w:rFonts w:eastAsiaTheme="majorEastAsia" w:cstheme="majorBidi"/>
      <w:color w:val="272727" w:themeColor="text1" w:themeTint="D8"/>
    </w:rPr>
  </w:style>
  <w:style w:type="paragraph" w:styleId="Title">
    <w:name w:val="Title"/>
    <w:basedOn w:val="Normal"/>
    <w:next w:val="Normal"/>
    <w:link w:val="TitleChar"/>
    <w:uiPriority w:val="10"/>
    <w:qFormat/>
    <w:rsid w:val="00656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B33"/>
    <w:pPr>
      <w:spacing w:before="160"/>
      <w:jc w:val="center"/>
    </w:pPr>
    <w:rPr>
      <w:i/>
      <w:iCs/>
      <w:color w:val="404040" w:themeColor="text1" w:themeTint="BF"/>
    </w:rPr>
  </w:style>
  <w:style w:type="character" w:customStyle="1" w:styleId="QuoteChar">
    <w:name w:val="Quote Char"/>
    <w:basedOn w:val="DefaultParagraphFont"/>
    <w:link w:val="Quote"/>
    <w:uiPriority w:val="29"/>
    <w:rsid w:val="00656B33"/>
    <w:rPr>
      <w:i/>
      <w:iCs/>
      <w:color w:val="404040" w:themeColor="text1" w:themeTint="BF"/>
    </w:rPr>
  </w:style>
  <w:style w:type="paragraph" w:styleId="ListParagraph">
    <w:name w:val="List Paragraph"/>
    <w:basedOn w:val="Normal"/>
    <w:uiPriority w:val="34"/>
    <w:qFormat/>
    <w:rsid w:val="00656B33"/>
    <w:pPr>
      <w:ind w:left="720"/>
      <w:contextualSpacing/>
    </w:pPr>
  </w:style>
  <w:style w:type="character" w:styleId="IntenseEmphasis">
    <w:name w:val="Intense Emphasis"/>
    <w:basedOn w:val="DefaultParagraphFont"/>
    <w:uiPriority w:val="21"/>
    <w:qFormat/>
    <w:rsid w:val="00656B33"/>
    <w:rPr>
      <w:i/>
      <w:iCs/>
      <w:color w:val="0F4761" w:themeColor="accent1" w:themeShade="BF"/>
    </w:rPr>
  </w:style>
  <w:style w:type="paragraph" w:styleId="IntenseQuote">
    <w:name w:val="Intense Quote"/>
    <w:basedOn w:val="Normal"/>
    <w:next w:val="Normal"/>
    <w:link w:val="IntenseQuoteChar"/>
    <w:uiPriority w:val="30"/>
    <w:qFormat/>
    <w:rsid w:val="00656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B33"/>
    <w:rPr>
      <w:i/>
      <w:iCs/>
      <w:color w:val="0F4761" w:themeColor="accent1" w:themeShade="BF"/>
    </w:rPr>
  </w:style>
  <w:style w:type="character" w:styleId="IntenseReference">
    <w:name w:val="Intense Reference"/>
    <w:basedOn w:val="DefaultParagraphFont"/>
    <w:uiPriority w:val="32"/>
    <w:qFormat/>
    <w:rsid w:val="00656B33"/>
    <w:rPr>
      <w:b/>
      <w:bCs/>
      <w:smallCaps/>
      <w:color w:val="0F4761" w:themeColor="accent1" w:themeShade="BF"/>
      <w:spacing w:val="5"/>
    </w:rPr>
  </w:style>
  <w:style w:type="character" w:styleId="Hyperlink">
    <w:name w:val="Hyperlink"/>
    <w:basedOn w:val="DefaultParagraphFont"/>
    <w:uiPriority w:val="99"/>
    <w:unhideWhenUsed/>
    <w:rsid w:val="00656B33"/>
    <w:rPr>
      <w:color w:val="0000FF"/>
      <w:u w:val="single"/>
    </w:rPr>
  </w:style>
  <w:style w:type="character" w:customStyle="1" w:styleId="A4">
    <w:name w:val="A4"/>
    <w:uiPriority w:val="99"/>
    <w:rsid w:val="00656B33"/>
    <w:rPr>
      <w:rFonts w:cs="Baskerville BE Regular"/>
      <w:color w:val="000000"/>
      <w:sz w:val="11"/>
      <w:szCs w:val="11"/>
    </w:rPr>
  </w:style>
  <w:style w:type="paragraph" w:styleId="NormalWeb">
    <w:name w:val="Normal (Web)"/>
    <w:basedOn w:val="Normal"/>
    <w:uiPriority w:val="99"/>
    <w:rsid w:val="00656B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656B33"/>
    <w:pPr>
      <w:autoSpaceDE w:val="0"/>
      <w:autoSpaceDN w:val="0"/>
      <w:adjustRightInd w:val="0"/>
      <w:spacing w:after="0" w:line="240" w:lineRule="auto"/>
    </w:pPr>
    <w:rPr>
      <w:rFonts w:ascii="Minion" w:hAnsi="Minion" w:cs="Minion"/>
      <w:color w:val="000000"/>
      <w:kern w:val="0"/>
      <w:sz w:val="24"/>
      <w:szCs w:val="24"/>
      <w14:ligatures w14:val="none"/>
    </w:rPr>
  </w:style>
  <w:style w:type="table" w:styleId="TableGrid">
    <w:name w:val="Table Grid"/>
    <w:basedOn w:val="TableNormal"/>
    <w:uiPriority w:val="39"/>
    <w:rsid w:val="00656B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56B33"/>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rsid w:val="00656B33"/>
    <w:rPr>
      <w:rFonts w:ascii="Tahoma" w:hAnsi="Tahoma" w:cs="Tahoma"/>
      <w:kern w:val="0"/>
      <w:sz w:val="16"/>
      <w:szCs w:val="16"/>
      <w14:ligatures w14:val="none"/>
    </w:rPr>
  </w:style>
  <w:style w:type="paragraph" w:styleId="Header">
    <w:name w:val="header"/>
    <w:basedOn w:val="Normal"/>
    <w:link w:val="HeaderChar"/>
    <w:uiPriority w:val="99"/>
    <w:unhideWhenUsed/>
    <w:rsid w:val="00656B3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56B33"/>
    <w:rPr>
      <w:kern w:val="0"/>
      <w14:ligatures w14:val="none"/>
    </w:rPr>
  </w:style>
  <w:style w:type="paragraph" w:styleId="Footer">
    <w:name w:val="footer"/>
    <w:basedOn w:val="Normal"/>
    <w:link w:val="FooterChar"/>
    <w:uiPriority w:val="99"/>
    <w:unhideWhenUsed/>
    <w:rsid w:val="00656B33"/>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56B33"/>
    <w:rPr>
      <w:kern w:val="0"/>
      <w14:ligatures w14:val="none"/>
    </w:rPr>
  </w:style>
  <w:style w:type="character" w:customStyle="1" w:styleId="bibfocusauthor">
    <w:name w:val="bib_focus_author"/>
    <w:basedOn w:val="DefaultParagraphFont"/>
    <w:rsid w:val="00656B33"/>
  </w:style>
  <w:style w:type="character" w:styleId="Emphasis">
    <w:name w:val="Emphasis"/>
    <w:basedOn w:val="DefaultParagraphFont"/>
    <w:uiPriority w:val="20"/>
    <w:qFormat/>
    <w:rsid w:val="00656B33"/>
    <w:rPr>
      <w:i/>
      <w:iCs/>
    </w:rPr>
  </w:style>
  <w:style w:type="character" w:customStyle="1" w:styleId="maintitle">
    <w:name w:val="maintitle"/>
    <w:basedOn w:val="DefaultParagraphFont"/>
    <w:rsid w:val="00656B33"/>
  </w:style>
  <w:style w:type="character" w:customStyle="1" w:styleId="apple-converted-space">
    <w:name w:val="apple-converted-space"/>
    <w:basedOn w:val="DefaultParagraphFont"/>
    <w:rsid w:val="00656B33"/>
  </w:style>
  <w:style w:type="character" w:customStyle="1" w:styleId="nlmarticle-title">
    <w:name w:val="nlm_article-title"/>
    <w:basedOn w:val="DefaultParagraphFont"/>
    <w:rsid w:val="00656B33"/>
  </w:style>
  <w:style w:type="character" w:styleId="CommentReference">
    <w:name w:val="annotation reference"/>
    <w:basedOn w:val="DefaultParagraphFont"/>
    <w:unhideWhenUsed/>
    <w:rsid w:val="00656B33"/>
    <w:rPr>
      <w:sz w:val="16"/>
      <w:szCs w:val="16"/>
    </w:rPr>
  </w:style>
  <w:style w:type="paragraph" w:styleId="CommentText">
    <w:name w:val="annotation text"/>
    <w:basedOn w:val="Normal"/>
    <w:link w:val="CommentTextChar"/>
    <w:unhideWhenUsed/>
    <w:rsid w:val="00656B33"/>
    <w:pPr>
      <w:spacing w:after="200" w:line="240" w:lineRule="auto"/>
    </w:pPr>
    <w:rPr>
      <w:kern w:val="0"/>
      <w:sz w:val="20"/>
      <w:szCs w:val="20"/>
      <w14:ligatures w14:val="none"/>
    </w:rPr>
  </w:style>
  <w:style w:type="character" w:customStyle="1" w:styleId="CommentTextChar">
    <w:name w:val="Comment Text Char"/>
    <w:basedOn w:val="DefaultParagraphFont"/>
    <w:link w:val="CommentText"/>
    <w:rsid w:val="00656B33"/>
    <w:rPr>
      <w:kern w:val="0"/>
      <w:sz w:val="20"/>
      <w:szCs w:val="20"/>
      <w14:ligatures w14:val="none"/>
    </w:rPr>
  </w:style>
  <w:style w:type="paragraph" w:styleId="CommentSubject">
    <w:name w:val="annotation subject"/>
    <w:basedOn w:val="CommentText"/>
    <w:next w:val="CommentText"/>
    <w:link w:val="CommentSubjectChar"/>
    <w:unhideWhenUsed/>
    <w:rsid w:val="00656B33"/>
    <w:rPr>
      <w:b/>
      <w:bCs/>
    </w:rPr>
  </w:style>
  <w:style w:type="character" w:customStyle="1" w:styleId="CommentSubjectChar">
    <w:name w:val="Comment Subject Char"/>
    <w:basedOn w:val="CommentTextChar"/>
    <w:link w:val="CommentSubject"/>
    <w:rsid w:val="00656B33"/>
    <w:rPr>
      <w:b/>
      <w:bCs/>
      <w:kern w:val="0"/>
      <w:sz w:val="20"/>
      <w:szCs w:val="20"/>
      <w14:ligatures w14:val="none"/>
    </w:rPr>
  </w:style>
  <w:style w:type="character" w:customStyle="1" w:styleId="A6">
    <w:name w:val="A6"/>
    <w:uiPriority w:val="99"/>
    <w:rsid w:val="00656B33"/>
    <w:rPr>
      <w:color w:val="000000"/>
      <w:sz w:val="16"/>
      <w:szCs w:val="16"/>
    </w:rPr>
  </w:style>
  <w:style w:type="character" w:styleId="UnresolvedMention">
    <w:name w:val="Unresolved Mention"/>
    <w:basedOn w:val="DefaultParagraphFont"/>
    <w:uiPriority w:val="99"/>
    <w:semiHidden/>
    <w:unhideWhenUsed/>
    <w:rsid w:val="00656B33"/>
    <w:rPr>
      <w:color w:val="605E5C"/>
      <w:shd w:val="clear" w:color="auto" w:fill="E1DFDD"/>
    </w:rPr>
  </w:style>
  <w:style w:type="character" w:customStyle="1" w:styleId="authors">
    <w:name w:val="authors"/>
    <w:basedOn w:val="DefaultParagraphFont"/>
    <w:rsid w:val="00656B33"/>
  </w:style>
  <w:style w:type="character" w:customStyle="1" w:styleId="Date1">
    <w:name w:val="Date1"/>
    <w:basedOn w:val="DefaultParagraphFont"/>
    <w:rsid w:val="00656B33"/>
  </w:style>
  <w:style w:type="character" w:customStyle="1" w:styleId="arttitle">
    <w:name w:val="art_title"/>
    <w:basedOn w:val="DefaultParagraphFont"/>
    <w:rsid w:val="00656B33"/>
  </w:style>
  <w:style w:type="character" w:customStyle="1" w:styleId="serialtitle">
    <w:name w:val="serial_title"/>
    <w:basedOn w:val="DefaultParagraphFont"/>
    <w:rsid w:val="00656B33"/>
  </w:style>
  <w:style w:type="character" w:customStyle="1" w:styleId="volumeissue">
    <w:name w:val="volume_issue"/>
    <w:basedOn w:val="DefaultParagraphFont"/>
    <w:rsid w:val="00656B33"/>
  </w:style>
  <w:style w:type="character" w:customStyle="1" w:styleId="pagerange">
    <w:name w:val="page_range"/>
    <w:basedOn w:val="DefaultParagraphFont"/>
    <w:rsid w:val="00656B33"/>
  </w:style>
  <w:style w:type="paragraph" w:styleId="Revision">
    <w:name w:val="Revision"/>
    <w:hidden/>
    <w:uiPriority w:val="99"/>
    <w:semiHidden/>
    <w:rsid w:val="00656B33"/>
    <w:pPr>
      <w:spacing w:after="0" w:line="240" w:lineRule="auto"/>
    </w:pPr>
    <w:rPr>
      <w:kern w:val="0"/>
      <w14:ligatures w14:val="none"/>
    </w:rPr>
  </w:style>
  <w:style w:type="paragraph" w:customStyle="1" w:styleId="pf0">
    <w:name w:val="pf0"/>
    <w:basedOn w:val="Normal"/>
    <w:rsid w:val="00656B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56B33"/>
    <w:rPr>
      <w:rFonts w:ascii="Segoe UI" w:hAnsi="Segoe UI" w:cs="Segoe UI" w:hint="default"/>
      <w:sz w:val="18"/>
      <w:szCs w:val="18"/>
    </w:rPr>
  </w:style>
  <w:style w:type="paragraph" w:styleId="FootnoteText">
    <w:name w:val="footnote text"/>
    <w:basedOn w:val="Normal"/>
    <w:link w:val="FootnoteTextChar"/>
    <w:unhideWhenUsed/>
    <w:rsid w:val="00AA15DC"/>
    <w:pPr>
      <w:spacing w:after="0" w:line="240" w:lineRule="auto"/>
    </w:pPr>
    <w:rPr>
      <w:rFonts w:ascii="Arial" w:eastAsia="Arial" w:hAnsi="Arial" w:cs="Times New Roman"/>
      <w:kern w:val="0"/>
      <w:sz w:val="20"/>
      <w:szCs w:val="20"/>
      <w:lang w:val="en-US"/>
      <w14:ligatures w14:val="none"/>
    </w:rPr>
  </w:style>
  <w:style w:type="character" w:customStyle="1" w:styleId="FootnoteTextChar">
    <w:name w:val="Footnote Text Char"/>
    <w:basedOn w:val="DefaultParagraphFont"/>
    <w:link w:val="FootnoteText"/>
    <w:rsid w:val="00AA15DC"/>
    <w:rPr>
      <w:rFonts w:ascii="Arial" w:eastAsia="Arial" w:hAnsi="Arial" w:cs="Times New Roman"/>
      <w:kern w:val="0"/>
      <w:sz w:val="20"/>
      <w:szCs w:val="20"/>
      <w:lang w:val="en-US"/>
      <w14:ligatures w14:val="none"/>
    </w:rPr>
  </w:style>
  <w:style w:type="character" w:styleId="FootnoteReference">
    <w:name w:val="footnote reference"/>
    <w:unhideWhenUsed/>
    <w:rsid w:val="00AA15DC"/>
    <w:rPr>
      <w:vertAlign w:val="superscript"/>
    </w:rPr>
  </w:style>
  <w:style w:type="paragraph" w:customStyle="1" w:styleId="TableHeading">
    <w:name w:val="Table Heading"/>
    <w:basedOn w:val="Normal"/>
    <w:qFormat/>
    <w:rsid w:val="00AA15DC"/>
    <w:pPr>
      <w:spacing w:before="120" w:after="120" w:line="240" w:lineRule="auto"/>
    </w:pPr>
    <w:rPr>
      <w:rFonts w:ascii="Times New Roman" w:eastAsia="Times New Roman" w:hAnsi="Times New Roman" w:cs="Times New Roman"/>
      <w:b/>
      <w:kern w:val="0"/>
      <w:sz w:val="24"/>
      <w:szCs w:val="24"/>
      <w:lang w:bidi="he-IL"/>
      <w14:ligatures w14:val="none"/>
    </w:rPr>
  </w:style>
  <w:style w:type="paragraph" w:customStyle="1" w:styleId="Heading2A">
    <w:name w:val="Heading 2A"/>
    <w:basedOn w:val="Normal"/>
    <w:qFormat/>
    <w:rsid w:val="00AA15DC"/>
    <w:pPr>
      <w:spacing w:before="120" w:after="240" w:line="240" w:lineRule="auto"/>
    </w:pPr>
    <w:rPr>
      <w:rFonts w:ascii="Times New Roman" w:eastAsia="Times New Roman" w:hAnsi="Times New Roman" w:cs="Times New Roman"/>
      <w:b/>
      <w:kern w:val="0"/>
      <w:sz w:val="32"/>
      <w:szCs w:val="32"/>
      <w:lang w:bidi="he-IL"/>
      <w14:ligatures w14:val="none"/>
    </w:rPr>
  </w:style>
  <w:style w:type="character" w:customStyle="1" w:styleId="medium-font">
    <w:name w:val="medium-font"/>
    <w:basedOn w:val="DefaultParagraphFont"/>
    <w:rsid w:val="00AA15DC"/>
  </w:style>
  <w:style w:type="character" w:customStyle="1" w:styleId="title-link-wrapper1">
    <w:name w:val="title-link-wrapper1"/>
    <w:basedOn w:val="DefaultParagraphFont"/>
    <w:rsid w:val="00AA15DC"/>
    <w:rPr>
      <w:vanish w:val="0"/>
      <w:webHidden w:val="0"/>
      <w:sz w:val="32"/>
      <w:szCs w:val="32"/>
      <w:specVanish w:val="0"/>
    </w:rPr>
  </w:style>
  <w:style w:type="character" w:styleId="Strong">
    <w:name w:val="Strong"/>
    <w:basedOn w:val="DefaultParagraphFont"/>
    <w:uiPriority w:val="22"/>
    <w:qFormat/>
    <w:rsid w:val="00AA15DC"/>
    <w:rPr>
      <w:b/>
      <w:bCs/>
    </w:rPr>
  </w:style>
  <w:style w:type="paragraph" w:customStyle="1" w:styleId="Num-DocParagraph">
    <w:name w:val="Num-Doc Paragraph"/>
    <w:basedOn w:val="BodyText"/>
    <w:uiPriority w:val="99"/>
    <w:rsid w:val="00AA15DC"/>
    <w:pPr>
      <w:tabs>
        <w:tab w:val="left" w:pos="850"/>
        <w:tab w:val="left" w:pos="1191"/>
        <w:tab w:val="left" w:pos="1531"/>
      </w:tabs>
      <w:spacing w:after="240"/>
      <w:jc w:val="both"/>
    </w:pPr>
    <w:rPr>
      <w:rFonts w:ascii="Times New Roman" w:eastAsia="Times New Roman" w:hAnsi="Times New Roman" w:cs="Times New Roman"/>
      <w:sz w:val="22"/>
      <w:lang w:eastAsia="zh-CN"/>
    </w:rPr>
  </w:style>
  <w:style w:type="paragraph" w:styleId="BodyText">
    <w:name w:val="Body Text"/>
    <w:basedOn w:val="Normal"/>
    <w:link w:val="BodyTextChar"/>
    <w:rsid w:val="00AA15DC"/>
    <w:pPr>
      <w:spacing w:after="120" w:line="240" w:lineRule="auto"/>
    </w:pPr>
    <w:rPr>
      <w:rFonts w:ascii="Arial" w:eastAsia="MS Mincho" w:hAnsi="Arial" w:cs="Arial"/>
      <w:kern w:val="0"/>
      <w:sz w:val="20"/>
      <w:lang w:eastAsia="en-GB"/>
      <w14:ligatures w14:val="none"/>
    </w:rPr>
  </w:style>
  <w:style w:type="character" w:customStyle="1" w:styleId="BodyTextChar">
    <w:name w:val="Body Text Char"/>
    <w:basedOn w:val="DefaultParagraphFont"/>
    <w:link w:val="BodyText"/>
    <w:rsid w:val="00AA15DC"/>
    <w:rPr>
      <w:rFonts w:ascii="Arial" w:eastAsia="MS Mincho" w:hAnsi="Arial" w:cs="Arial"/>
      <w:kern w:val="0"/>
      <w:sz w:val="20"/>
      <w:lang w:eastAsia="en-GB"/>
      <w14:ligatures w14:val="none"/>
    </w:rPr>
  </w:style>
  <w:style w:type="paragraph" w:styleId="EndnoteText">
    <w:name w:val="endnote text"/>
    <w:basedOn w:val="Normal"/>
    <w:link w:val="EndnoteTextChar"/>
    <w:uiPriority w:val="99"/>
    <w:semiHidden/>
    <w:unhideWhenUsed/>
    <w:rsid w:val="00980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43A"/>
    <w:rPr>
      <w:sz w:val="20"/>
      <w:szCs w:val="20"/>
    </w:rPr>
  </w:style>
  <w:style w:type="character" w:styleId="EndnoteReference">
    <w:name w:val="endnote reference"/>
    <w:basedOn w:val="DefaultParagraphFont"/>
    <w:uiPriority w:val="99"/>
    <w:semiHidden/>
    <w:unhideWhenUsed/>
    <w:rsid w:val="00980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7229">
      <w:bodyDiv w:val="1"/>
      <w:marLeft w:val="0"/>
      <w:marRight w:val="0"/>
      <w:marTop w:val="0"/>
      <w:marBottom w:val="0"/>
      <w:divBdr>
        <w:top w:val="none" w:sz="0" w:space="0" w:color="auto"/>
        <w:left w:val="none" w:sz="0" w:space="0" w:color="auto"/>
        <w:bottom w:val="none" w:sz="0" w:space="0" w:color="auto"/>
        <w:right w:val="none" w:sz="0" w:space="0" w:color="auto"/>
      </w:divBdr>
    </w:div>
    <w:div w:id="20672873">
      <w:bodyDiv w:val="1"/>
      <w:marLeft w:val="0"/>
      <w:marRight w:val="0"/>
      <w:marTop w:val="0"/>
      <w:marBottom w:val="0"/>
      <w:divBdr>
        <w:top w:val="none" w:sz="0" w:space="0" w:color="auto"/>
        <w:left w:val="none" w:sz="0" w:space="0" w:color="auto"/>
        <w:bottom w:val="none" w:sz="0" w:space="0" w:color="auto"/>
        <w:right w:val="none" w:sz="0" w:space="0" w:color="auto"/>
      </w:divBdr>
    </w:div>
    <w:div w:id="25449762">
      <w:bodyDiv w:val="1"/>
      <w:marLeft w:val="0"/>
      <w:marRight w:val="0"/>
      <w:marTop w:val="0"/>
      <w:marBottom w:val="0"/>
      <w:divBdr>
        <w:top w:val="none" w:sz="0" w:space="0" w:color="auto"/>
        <w:left w:val="none" w:sz="0" w:space="0" w:color="auto"/>
        <w:bottom w:val="none" w:sz="0" w:space="0" w:color="auto"/>
        <w:right w:val="none" w:sz="0" w:space="0" w:color="auto"/>
      </w:divBdr>
    </w:div>
    <w:div w:id="43992559">
      <w:bodyDiv w:val="1"/>
      <w:marLeft w:val="0"/>
      <w:marRight w:val="0"/>
      <w:marTop w:val="0"/>
      <w:marBottom w:val="0"/>
      <w:divBdr>
        <w:top w:val="none" w:sz="0" w:space="0" w:color="auto"/>
        <w:left w:val="none" w:sz="0" w:space="0" w:color="auto"/>
        <w:bottom w:val="none" w:sz="0" w:space="0" w:color="auto"/>
        <w:right w:val="none" w:sz="0" w:space="0" w:color="auto"/>
      </w:divBdr>
    </w:div>
    <w:div w:id="68970291">
      <w:bodyDiv w:val="1"/>
      <w:marLeft w:val="0"/>
      <w:marRight w:val="0"/>
      <w:marTop w:val="0"/>
      <w:marBottom w:val="0"/>
      <w:divBdr>
        <w:top w:val="none" w:sz="0" w:space="0" w:color="auto"/>
        <w:left w:val="none" w:sz="0" w:space="0" w:color="auto"/>
        <w:bottom w:val="none" w:sz="0" w:space="0" w:color="auto"/>
        <w:right w:val="none" w:sz="0" w:space="0" w:color="auto"/>
      </w:divBdr>
      <w:divsChild>
        <w:div w:id="1417479965">
          <w:marLeft w:val="0"/>
          <w:marRight w:val="0"/>
          <w:marTop w:val="0"/>
          <w:marBottom w:val="0"/>
          <w:divBdr>
            <w:top w:val="none" w:sz="0" w:space="0" w:color="auto"/>
            <w:left w:val="none" w:sz="0" w:space="0" w:color="auto"/>
            <w:bottom w:val="single" w:sz="6" w:space="12" w:color="888888"/>
            <w:right w:val="none" w:sz="0" w:space="0" w:color="auto"/>
          </w:divBdr>
        </w:div>
        <w:div w:id="903101220">
          <w:marLeft w:val="0"/>
          <w:marRight w:val="0"/>
          <w:marTop w:val="0"/>
          <w:marBottom w:val="0"/>
          <w:divBdr>
            <w:top w:val="none" w:sz="0" w:space="0" w:color="auto"/>
            <w:left w:val="none" w:sz="0" w:space="0" w:color="auto"/>
            <w:bottom w:val="single" w:sz="6" w:space="10" w:color="C5C5C5"/>
            <w:right w:val="none" w:sz="0" w:space="0" w:color="auto"/>
          </w:divBdr>
          <w:divsChild>
            <w:div w:id="1706827479">
              <w:marLeft w:val="0"/>
              <w:marRight w:val="0"/>
              <w:marTop w:val="0"/>
              <w:marBottom w:val="0"/>
              <w:divBdr>
                <w:top w:val="none" w:sz="0" w:space="0" w:color="auto"/>
                <w:left w:val="none" w:sz="0" w:space="0" w:color="auto"/>
                <w:bottom w:val="none" w:sz="0" w:space="0" w:color="auto"/>
                <w:right w:val="none" w:sz="0" w:space="0" w:color="auto"/>
              </w:divBdr>
            </w:div>
          </w:divsChild>
        </w:div>
        <w:div w:id="168520848">
          <w:marLeft w:val="0"/>
          <w:marRight w:val="0"/>
          <w:marTop w:val="480"/>
          <w:marBottom w:val="0"/>
          <w:divBdr>
            <w:top w:val="none" w:sz="0" w:space="0" w:color="auto"/>
            <w:left w:val="none" w:sz="0" w:space="0" w:color="auto"/>
            <w:bottom w:val="none" w:sz="0" w:space="0" w:color="auto"/>
            <w:right w:val="none" w:sz="0" w:space="0" w:color="auto"/>
          </w:divBdr>
          <w:divsChild>
            <w:div w:id="1856531881">
              <w:marLeft w:val="0"/>
              <w:marRight w:val="0"/>
              <w:marTop w:val="0"/>
              <w:marBottom w:val="0"/>
              <w:divBdr>
                <w:top w:val="none" w:sz="0" w:space="0" w:color="auto"/>
                <w:left w:val="none" w:sz="0" w:space="0" w:color="auto"/>
                <w:bottom w:val="none" w:sz="0" w:space="0" w:color="auto"/>
                <w:right w:val="none" w:sz="0" w:space="0" w:color="auto"/>
              </w:divBdr>
            </w:div>
          </w:divsChild>
        </w:div>
        <w:div w:id="1735661743">
          <w:marLeft w:val="0"/>
          <w:marRight w:val="0"/>
          <w:marTop w:val="240"/>
          <w:marBottom w:val="0"/>
          <w:divBdr>
            <w:top w:val="none" w:sz="0" w:space="0" w:color="auto"/>
            <w:left w:val="none" w:sz="0" w:space="0" w:color="auto"/>
            <w:bottom w:val="none" w:sz="0" w:space="0" w:color="auto"/>
            <w:right w:val="none" w:sz="0" w:space="0" w:color="auto"/>
          </w:divBdr>
        </w:div>
      </w:divsChild>
    </w:div>
    <w:div w:id="77295163">
      <w:bodyDiv w:val="1"/>
      <w:marLeft w:val="0"/>
      <w:marRight w:val="0"/>
      <w:marTop w:val="0"/>
      <w:marBottom w:val="0"/>
      <w:divBdr>
        <w:top w:val="none" w:sz="0" w:space="0" w:color="auto"/>
        <w:left w:val="none" w:sz="0" w:space="0" w:color="auto"/>
        <w:bottom w:val="none" w:sz="0" w:space="0" w:color="auto"/>
        <w:right w:val="none" w:sz="0" w:space="0" w:color="auto"/>
      </w:divBdr>
    </w:div>
    <w:div w:id="114183322">
      <w:bodyDiv w:val="1"/>
      <w:marLeft w:val="0"/>
      <w:marRight w:val="0"/>
      <w:marTop w:val="0"/>
      <w:marBottom w:val="0"/>
      <w:divBdr>
        <w:top w:val="none" w:sz="0" w:space="0" w:color="auto"/>
        <w:left w:val="none" w:sz="0" w:space="0" w:color="auto"/>
        <w:bottom w:val="none" w:sz="0" w:space="0" w:color="auto"/>
        <w:right w:val="none" w:sz="0" w:space="0" w:color="auto"/>
      </w:divBdr>
    </w:div>
    <w:div w:id="181434896">
      <w:bodyDiv w:val="1"/>
      <w:marLeft w:val="0"/>
      <w:marRight w:val="0"/>
      <w:marTop w:val="0"/>
      <w:marBottom w:val="0"/>
      <w:divBdr>
        <w:top w:val="none" w:sz="0" w:space="0" w:color="auto"/>
        <w:left w:val="none" w:sz="0" w:space="0" w:color="auto"/>
        <w:bottom w:val="none" w:sz="0" w:space="0" w:color="auto"/>
        <w:right w:val="none" w:sz="0" w:space="0" w:color="auto"/>
      </w:divBdr>
    </w:div>
    <w:div w:id="236786075">
      <w:bodyDiv w:val="1"/>
      <w:marLeft w:val="0"/>
      <w:marRight w:val="0"/>
      <w:marTop w:val="0"/>
      <w:marBottom w:val="0"/>
      <w:divBdr>
        <w:top w:val="none" w:sz="0" w:space="0" w:color="auto"/>
        <w:left w:val="none" w:sz="0" w:space="0" w:color="auto"/>
        <w:bottom w:val="none" w:sz="0" w:space="0" w:color="auto"/>
        <w:right w:val="none" w:sz="0" w:space="0" w:color="auto"/>
      </w:divBdr>
    </w:div>
    <w:div w:id="255675929">
      <w:bodyDiv w:val="1"/>
      <w:marLeft w:val="0"/>
      <w:marRight w:val="0"/>
      <w:marTop w:val="0"/>
      <w:marBottom w:val="0"/>
      <w:divBdr>
        <w:top w:val="none" w:sz="0" w:space="0" w:color="auto"/>
        <w:left w:val="none" w:sz="0" w:space="0" w:color="auto"/>
        <w:bottom w:val="none" w:sz="0" w:space="0" w:color="auto"/>
        <w:right w:val="none" w:sz="0" w:space="0" w:color="auto"/>
      </w:divBdr>
    </w:div>
    <w:div w:id="259266170">
      <w:bodyDiv w:val="1"/>
      <w:marLeft w:val="0"/>
      <w:marRight w:val="0"/>
      <w:marTop w:val="0"/>
      <w:marBottom w:val="0"/>
      <w:divBdr>
        <w:top w:val="none" w:sz="0" w:space="0" w:color="auto"/>
        <w:left w:val="none" w:sz="0" w:space="0" w:color="auto"/>
        <w:bottom w:val="none" w:sz="0" w:space="0" w:color="auto"/>
        <w:right w:val="none" w:sz="0" w:space="0" w:color="auto"/>
      </w:divBdr>
    </w:div>
    <w:div w:id="295112213">
      <w:bodyDiv w:val="1"/>
      <w:marLeft w:val="0"/>
      <w:marRight w:val="0"/>
      <w:marTop w:val="0"/>
      <w:marBottom w:val="0"/>
      <w:divBdr>
        <w:top w:val="none" w:sz="0" w:space="0" w:color="auto"/>
        <w:left w:val="none" w:sz="0" w:space="0" w:color="auto"/>
        <w:bottom w:val="none" w:sz="0" w:space="0" w:color="auto"/>
        <w:right w:val="none" w:sz="0" w:space="0" w:color="auto"/>
      </w:divBdr>
    </w:div>
    <w:div w:id="312102044">
      <w:bodyDiv w:val="1"/>
      <w:marLeft w:val="0"/>
      <w:marRight w:val="0"/>
      <w:marTop w:val="0"/>
      <w:marBottom w:val="0"/>
      <w:divBdr>
        <w:top w:val="none" w:sz="0" w:space="0" w:color="auto"/>
        <w:left w:val="none" w:sz="0" w:space="0" w:color="auto"/>
        <w:bottom w:val="none" w:sz="0" w:space="0" w:color="auto"/>
        <w:right w:val="none" w:sz="0" w:space="0" w:color="auto"/>
      </w:divBdr>
    </w:div>
    <w:div w:id="314602456">
      <w:bodyDiv w:val="1"/>
      <w:marLeft w:val="0"/>
      <w:marRight w:val="0"/>
      <w:marTop w:val="0"/>
      <w:marBottom w:val="0"/>
      <w:divBdr>
        <w:top w:val="none" w:sz="0" w:space="0" w:color="auto"/>
        <w:left w:val="none" w:sz="0" w:space="0" w:color="auto"/>
        <w:bottom w:val="none" w:sz="0" w:space="0" w:color="auto"/>
        <w:right w:val="none" w:sz="0" w:space="0" w:color="auto"/>
      </w:divBdr>
    </w:div>
    <w:div w:id="513805955">
      <w:bodyDiv w:val="1"/>
      <w:marLeft w:val="0"/>
      <w:marRight w:val="0"/>
      <w:marTop w:val="0"/>
      <w:marBottom w:val="0"/>
      <w:divBdr>
        <w:top w:val="none" w:sz="0" w:space="0" w:color="auto"/>
        <w:left w:val="none" w:sz="0" w:space="0" w:color="auto"/>
        <w:bottom w:val="none" w:sz="0" w:space="0" w:color="auto"/>
        <w:right w:val="none" w:sz="0" w:space="0" w:color="auto"/>
      </w:divBdr>
    </w:div>
    <w:div w:id="552735591">
      <w:bodyDiv w:val="1"/>
      <w:marLeft w:val="0"/>
      <w:marRight w:val="0"/>
      <w:marTop w:val="0"/>
      <w:marBottom w:val="0"/>
      <w:divBdr>
        <w:top w:val="none" w:sz="0" w:space="0" w:color="auto"/>
        <w:left w:val="none" w:sz="0" w:space="0" w:color="auto"/>
        <w:bottom w:val="none" w:sz="0" w:space="0" w:color="auto"/>
        <w:right w:val="none" w:sz="0" w:space="0" w:color="auto"/>
      </w:divBdr>
    </w:div>
    <w:div w:id="563033475">
      <w:bodyDiv w:val="1"/>
      <w:marLeft w:val="0"/>
      <w:marRight w:val="0"/>
      <w:marTop w:val="0"/>
      <w:marBottom w:val="0"/>
      <w:divBdr>
        <w:top w:val="none" w:sz="0" w:space="0" w:color="auto"/>
        <w:left w:val="none" w:sz="0" w:space="0" w:color="auto"/>
        <w:bottom w:val="none" w:sz="0" w:space="0" w:color="auto"/>
        <w:right w:val="none" w:sz="0" w:space="0" w:color="auto"/>
      </w:divBdr>
    </w:div>
    <w:div w:id="601692003">
      <w:bodyDiv w:val="1"/>
      <w:marLeft w:val="0"/>
      <w:marRight w:val="0"/>
      <w:marTop w:val="0"/>
      <w:marBottom w:val="0"/>
      <w:divBdr>
        <w:top w:val="none" w:sz="0" w:space="0" w:color="auto"/>
        <w:left w:val="none" w:sz="0" w:space="0" w:color="auto"/>
        <w:bottom w:val="none" w:sz="0" w:space="0" w:color="auto"/>
        <w:right w:val="none" w:sz="0" w:space="0" w:color="auto"/>
      </w:divBdr>
    </w:div>
    <w:div w:id="660042131">
      <w:bodyDiv w:val="1"/>
      <w:marLeft w:val="0"/>
      <w:marRight w:val="0"/>
      <w:marTop w:val="0"/>
      <w:marBottom w:val="0"/>
      <w:divBdr>
        <w:top w:val="none" w:sz="0" w:space="0" w:color="auto"/>
        <w:left w:val="none" w:sz="0" w:space="0" w:color="auto"/>
        <w:bottom w:val="none" w:sz="0" w:space="0" w:color="auto"/>
        <w:right w:val="none" w:sz="0" w:space="0" w:color="auto"/>
      </w:divBdr>
    </w:div>
    <w:div w:id="677393456">
      <w:bodyDiv w:val="1"/>
      <w:marLeft w:val="0"/>
      <w:marRight w:val="0"/>
      <w:marTop w:val="0"/>
      <w:marBottom w:val="0"/>
      <w:divBdr>
        <w:top w:val="none" w:sz="0" w:space="0" w:color="auto"/>
        <w:left w:val="none" w:sz="0" w:space="0" w:color="auto"/>
        <w:bottom w:val="none" w:sz="0" w:space="0" w:color="auto"/>
        <w:right w:val="none" w:sz="0" w:space="0" w:color="auto"/>
      </w:divBdr>
    </w:div>
    <w:div w:id="682318095">
      <w:bodyDiv w:val="1"/>
      <w:marLeft w:val="0"/>
      <w:marRight w:val="0"/>
      <w:marTop w:val="0"/>
      <w:marBottom w:val="0"/>
      <w:divBdr>
        <w:top w:val="none" w:sz="0" w:space="0" w:color="auto"/>
        <w:left w:val="none" w:sz="0" w:space="0" w:color="auto"/>
        <w:bottom w:val="none" w:sz="0" w:space="0" w:color="auto"/>
        <w:right w:val="none" w:sz="0" w:space="0" w:color="auto"/>
      </w:divBdr>
    </w:div>
    <w:div w:id="702680819">
      <w:bodyDiv w:val="1"/>
      <w:marLeft w:val="0"/>
      <w:marRight w:val="0"/>
      <w:marTop w:val="0"/>
      <w:marBottom w:val="0"/>
      <w:divBdr>
        <w:top w:val="none" w:sz="0" w:space="0" w:color="auto"/>
        <w:left w:val="none" w:sz="0" w:space="0" w:color="auto"/>
        <w:bottom w:val="none" w:sz="0" w:space="0" w:color="auto"/>
        <w:right w:val="none" w:sz="0" w:space="0" w:color="auto"/>
      </w:divBdr>
    </w:div>
    <w:div w:id="703944169">
      <w:bodyDiv w:val="1"/>
      <w:marLeft w:val="0"/>
      <w:marRight w:val="0"/>
      <w:marTop w:val="0"/>
      <w:marBottom w:val="0"/>
      <w:divBdr>
        <w:top w:val="none" w:sz="0" w:space="0" w:color="auto"/>
        <w:left w:val="none" w:sz="0" w:space="0" w:color="auto"/>
        <w:bottom w:val="none" w:sz="0" w:space="0" w:color="auto"/>
        <w:right w:val="none" w:sz="0" w:space="0" w:color="auto"/>
      </w:divBdr>
    </w:div>
    <w:div w:id="748776212">
      <w:bodyDiv w:val="1"/>
      <w:marLeft w:val="0"/>
      <w:marRight w:val="0"/>
      <w:marTop w:val="0"/>
      <w:marBottom w:val="0"/>
      <w:divBdr>
        <w:top w:val="none" w:sz="0" w:space="0" w:color="auto"/>
        <w:left w:val="none" w:sz="0" w:space="0" w:color="auto"/>
        <w:bottom w:val="none" w:sz="0" w:space="0" w:color="auto"/>
        <w:right w:val="none" w:sz="0" w:space="0" w:color="auto"/>
      </w:divBdr>
    </w:div>
    <w:div w:id="770593385">
      <w:bodyDiv w:val="1"/>
      <w:marLeft w:val="0"/>
      <w:marRight w:val="0"/>
      <w:marTop w:val="0"/>
      <w:marBottom w:val="0"/>
      <w:divBdr>
        <w:top w:val="none" w:sz="0" w:space="0" w:color="auto"/>
        <w:left w:val="none" w:sz="0" w:space="0" w:color="auto"/>
        <w:bottom w:val="none" w:sz="0" w:space="0" w:color="auto"/>
        <w:right w:val="none" w:sz="0" w:space="0" w:color="auto"/>
      </w:divBdr>
    </w:div>
    <w:div w:id="806624916">
      <w:bodyDiv w:val="1"/>
      <w:marLeft w:val="0"/>
      <w:marRight w:val="0"/>
      <w:marTop w:val="0"/>
      <w:marBottom w:val="0"/>
      <w:divBdr>
        <w:top w:val="none" w:sz="0" w:space="0" w:color="auto"/>
        <w:left w:val="none" w:sz="0" w:space="0" w:color="auto"/>
        <w:bottom w:val="none" w:sz="0" w:space="0" w:color="auto"/>
        <w:right w:val="none" w:sz="0" w:space="0" w:color="auto"/>
      </w:divBdr>
    </w:div>
    <w:div w:id="816459319">
      <w:bodyDiv w:val="1"/>
      <w:marLeft w:val="0"/>
      <w:marRight w:val="0"/>
      <w:marTop w:val="0"/>
      <w:marBottom w:val="0"/>
      <w:divBdr>
        <w:top w:val="none" w:sz="0" w:space="0" w:color="auto"/>
        <w:left w:val="none" w:sz="0" w:space="0" w:color="auto"/>
        <w:bottom w:val="none" w:sz="0" w:space="0" w:color="auto"/>
        <w:right w:val="none" w:sz="0" w:space="0" w:color="auto"/>
      </w:divBdr>
    </w:div>
    <w:div w:id="843475216">
      <w:bodyDiv w:val="1"/>
      <w:marLeft w:val="0"/>
      <w:marRight w:val="0"/>
      <w:marTop w:val="0"/>
      <w:marBottom w:val="0"/>
      <w:divBdr>
        <w:top w:val="none" w:sz="0" w:space="0" w:color="auto"/>
        <w:left w:val="none" w:sz="0" w:space="0" w:color="auto"/>
        <w:bottom w:val="none" w:sz="0" w:space="0" w:color="auto"/>
        <w:right w:val="none" w:sz="0" w:space="0" w:color="auto"/>
      </w:divBdr>
    </w:div>
    <w:div w:id="906765660">
      <w:bodyDiv w:val="1"/>
      <w:marLeft w:val="0"/>
      <w:marRight w:val="0"/>
      <w:marTop w:val="0"/>
      <w:marBottom w:val="0"/>
      <w:divBdr>
        <w:top w:val="none" w:sz="0" w:space="0" w:color="auto"/>
        <w:left w:val="none" w:sz="0" w:space="0" w:color="auto"/>
        <w:bottom w:val="none" w:sz="0" w:space="0" w:color="auto"/>
        <w:right w:val="none" w:sz="0" w:space="0" w:color="auto"/>
      </w:divBdr>
    </w:div>
    <w:div w:id="1088846159">
      <w:bodyDiv w:val="1"/>
      <w:marLeft w:val="0"/>
      <w:marRight w:val="0"/>
      <w:marTop w:val="0"/>
      <w:marBottom w:val="0"/>
      <w:divBdr>
        <w:top w:val="none" w:sz="0" w:space="0" w:color="auto"/>
        <w:left w:val="none" w:sz="0" w:space="0" w:color="auto"/>
        <w:bottom w:val="none" w:sz="0" w:space="0" w:color="auto"/>
        <w:right w:val="none" w:sz="0" w:space="0" w:color="auto"/>
      </w:divBdr>
    </w:div>
    <w:div w:id="1127965613">
      <w:bodyDiv w:val="1"/>
      <w:marLeft w:val="0"/>
      <w:marRight w:val="0"/>
      <w:marTop w:val="0"/>
      <w:marBottom w:val="0"/>
      <w:divBdr>
        <w:top w:val="none" w:sz="0" w:space="0" w:color="auto"/>
        <w:left w:val="none" w:sz="0" w:space="0" w:color="auto"/>
        <w:bottom w:val="none" w:sz="0" w:space="0" w:color="auto"/>
        <w:right w:val="none" w:sz="0" w:space="0" w:color="auto"/>
      </w:divBdr>
    </w:div>
    <w:div w:id="1164082339">
      <w:bodyDiv w:val="1"/>
      <w:marLeft w:val="0"/>
      <w:marRight w:val="0"/>
      <w:marTop w:val="0"/>
      <w:marBottom w:val="0"/>
      <w:divBdr>
        <w:top w:val="none" w:sz="0" w:space="0" w:color="auto"/>
        <w:left w:val="none" w:sz="0" w:space="0" w:color="auto"/>
        <w:bottom w:val="none" w:sz="0" w:space="0" w:color="auto"/>
        <w:right w:val="none" w:sz="0" w:space="0" w:color="auto"/>
      </w:divBdr>
    </w:div>
    <w:div w:id="1187060375">
      <w:bodyDiv w:val="1"/>
      <w:marLeft w:val="0"/>
      <w:marRight w:val="0"/>
      <w:marTop w:val="0"/>
      <w:marBottom w:val="0"/>
      <w:divBdr>
        <w:top w:val="none" w:sz="0" w:space="0" w:color="auto"/>
        <w:left w:val="none" w:sz="0" w:space="0" w:color="auto"/>
        <w:bottom w:val="none" w:sz="0" w:space="0" w:color="auto"/>
        <w:right w:val="none" w:sz="0" w:space="0" w:color="auto"/>
      </w:divBdr>
    </w:div>
    <w:div w:id="1240627752">
      <w:bodyDiv w:val="1"/>
      <w:marLeft w:val="0"/>
      <w:marRight w:val="0"/>
      <w:marTop w:val="0"/>
      <w:marBottom w:val="0"/>
      <w:divBdr>
        <w:top w:val="none" w:sz="0" w:space="0" w:color="auto"/>
        <w:left w:val="none" w:sz="0" w:space="0" w:color="auto"/>
        <w:bottom w:val="none" w:sz="0" w:space="0" w:color="auto"/>
        <w:right w:val="none" w:sz="0" w:space="0" w:color="auto"/>
      </w:divBdr>
    </w:div>
    <w:div w:id="1255241940">
      <w:bodyDiv w:val="1"/>
      <w:marLeft w:val="0"/>
      <w:marRight w:val="0"/>
      <w:marTop w:val="0"/>
      <w:marBottom w:val="0"/>
      <w:divBdr>
        <w:top w:val="none" w:sz="0" w:space="0" w:color="auto"/>
        <w:left w:val="none" w:sz="0" w:space="0" w:color="auto"/>
        <w:bottom w:val="none" w:sz="0" w:space="0" w:color="auto"/>
        <w:right w:val="none" w:sz="0" w:space="0" w:color="auto"/>
      </w:divBdr>
    </w:div>
    <w:div w:id="1284262631">
      <w:bodyDiv w:val="1"/>
      <w:marLeft w:val="0"/>
      <w:marRight w:val="0"/>
      <w:marTop w:val="0"/>
      <w:marBottom w:val="0"/>
      <w:divBdr>
        <w:top w:val="none" w:sz="0" w:space="0" w:color="auto"/>
        <w:left w:val="none" w:sz="0" w:space="0" w:color="auto"/>
        <w:bottom w:val="none" w:sz="0" w:space="0" w:color="auto"/>
        <w:right w:val="none" w:sz="0" w:space="0" w:color="auto"/>
      </w:divBdr>
    </w:div>
    <w:div w:id="1321040047">
      <w:bodyDiv w:val="1"/>
      <w:marLeft w:val="0"/>
      <w:marRight w:val="0"/>
      <w:marTop w:val="0"/>
      <w:marBottom w:val="0"/>
      <w:divBdr>
        <w:top w:val="none" w:sz="0" w:space="0" w:color="auto"/>
        <w:left w:val="none" w:sz="0" w:space="0" w:color="auto"/>
        <w:bottom w:val="none" w:sz="0" w:space="0" w:color="auto"/>
        <w:right w:val="none" w:sz="0" w:space="0" w:color="auto"/>
      </w:divBdr>
    </w:div>
    <w:div w:id="1346861106">
      <w:bodyDiv w:val="1"/>
      <w:marLeft w:val="0"/>
      <w:marRight w:val="0"/>
      <w:marTop w:val="0"/>
      <w:marBottom w:val="0"/>
      <w:divBdr>
        <w:top w:val="none" w:sz="0" w:space="0" w:color="auto"/>
        <w:left w:val="none" w:sz="0" w:space="0" w:color="auto"/>
        <w:bottom w:val="none" w:sz="0" w:space="0" w:color="auto"/>
        <w:right w:val="none" w:sz="0" w:space="0" w:color="auto"/>
      </w:divBdr>
    </w:div>
    <w:div w:id="1406101705">
      <w:bodyDiv w:val="1"/>
      <w:marLeft w:val="0"/>
      <w:marRight w:val="0"/>
      <w:marTop w:val="0"/>
      <w:marBottom w:val="0"/>
      <w:divBdr>
        <w:top w:val="none" w:sz="0" w:space="0" w:color="auto"/>
        <w:left w:val="none" w:sz="0" w:space="0" w:color="auto"/>
        <w:bottom w:val="none" w:sz="0" w:space="0" w:color="auto"/>
        <w:right w:val="none" w:sz="0" w:space="0" w:color="auto"/>
      </w:divBdr>
    </w:div>
    <w:div w:id="1483086763">
      <w:bodyDiv w:val="1"/>
      <w:marLeft w:val="0"/>
      <w:marRight w:val="0"/>
      <w:marTop w:val="0"/>
      <w:marBottom w:val="0"/>
      <w:divBdr>
        <w:top w:val="none" w:sz="0" w:space="0" w:color="auto"/>
        <w:left w:val="none" w:sz="0" w:space="0" w:color="auto"/>
        <w:bottom w:val="none" w:sz="0" w:space="0" w:color="auto"/>
        <w:right w:val="none" w:sz="0" w:space="0" w:color="auto"/>
      </w:divBdr>
    </w:div>
    <w:div w:id="1515800414">
      <w:bodyDiv w:val="1"/>
      <w:marLeft w:val="0"/>
      <w:marRight w:val="0"/>
      <w:marTop w:val="0"/>
      <w:marBottom w:val="0"/>
      <w:divBdr>
        <w:top w:val="none" w:sz="0" w:space="0" w:color="auto"/>
        <w:left w:val="none" w:sz="0" w:space="0" w:color="auto"/>
        <w:bottom w:val="none" w:sz="0" w:space="0" w:color="auto"/>
        <w:right w:val="none" w:sz="0" w:space="0" w:color="auto"/>
      </w:divBdr>
    </w:div>
    <w:div w:id="1543401190">
      <w:bodyDiv w:val="1"/>
      <w:marLeft w:val="0"/>
      <w:marRight w:val="0"/>
      <w:marTop w:val="0"/>
      <w:marBottom w:val="0"/>
      <w:divBdr>
        <w:top w:val="none" w:sz="0" w:space="0" w:color="auto"/>
        <w:left w:val="none" w:sz="0" w:space="0" w:color="auto"/>
        <w:bottom w:val="none" w:sz="0" w:space="0" w:color="auto"/>
        <w:right w:val="none" w:sz="0" w:space="0" w:color="auto"/>
      </w:divBdr>
    </w:div>
    <w:div w:id="1568950461">
      <w:bodyDiv w:val="1"/>
      <w:marLeft w:val="0"/>
      <w:marRight w:val="0"/>
      <w:marTop w:val="0"/>
      <w:marBottom w:val="0"/>
      <w:divBdr>
        <w:top w:val="none" w:sz="0" w:space="0" w:color="auto"/>
        <w:left w:val="none" w:sz="0" w:space="0" w:color="auto"/>
        <w:bottom w:val="none" w:sz="0" w:space="0" w:color="auto"/>
        <w:right w:val="none" w:sz="0" w:space="0" w:color="auto"/>
      </w:divBdr>
    </w:div>
    <w:div w:id="1591504275">
      <w:bodyDiv w:val="1"/>
      <w:marLeft w:val="0"/>
      <w:marRight w:val="0"/>
      <w:marTop w:val="0"/>
      <w:marBottom w:val="0"/>
      <w:divBdr>
        <w:top w:val="none" w:sz="0" w:space="0" w:color="auto"/>
        <w:left w:val="none" w:sz="0" w:space="0" w:color="auto"/>
        <w:bottom w:val="none" w:sz="0" w:space="0" w:color="auto"/>
        <w:right w:val="none" w:sz="0" w:space="0" w:color="auto"/>
      </w:divBdr>
    </w:div>
    <w:div w:id="1592739640">
      <w:bodyDiv w:val="1"/>
      <w:marLeft w:val="0"/>
      <w:marRight w:val="0"/>
      <w:marTop w:val="0"/>
      <w:marBottom w:val="0"/>
      <w:divBdr>
        <w:top w:val="none" w:sz="0" w:space="0" w:color="auto"/>
        <w:left w:val="none" w:sz="0" w:space="0" w:color="auto"/>
        <w:bottom w:val="none" w:sz="0" w:space="0" w:color="auto"/>
        <w:right w:val="none" w:sz="0" w:space="0" w:color="auto"/>
      </w:divBdr>
    </w:div>
    <w:div w:id="1682315968">
      <w:bodyDiv w:val="1"/>
      <w:marLeft w:val="0"/>
      <w:marRight w:val="0"/>
      <w:marTop w:val="0"/>
      <w:marBottom w:val="0"/>
      <w:divBdr>
        <w:top w:val="none" w:sz="0" w:space="0" w:color="auto"/>
        <w:left w:val="none" w:sz="0" w:space="0" w:color="auto"/>
        <w:bottom w:val="none" w:sz="0" w:space="0" w:color="auto"/>
        <w:right w:val="none" w:sz="0" w:space="0" w:color="auto"/>
      </w:divBdr>
    </w:div>
    <w:div w:id="1690254443">
      <w:bodyDiv w:val="1"/>
      <w:marLeft w:val="0"/>
      <w:marRight w:val="0"/>
      <w:marTop w:val="0"/>
      <w:marBottom w:val="0"/>
      <w:divBdr>
        <w:top w:val="none" w:sz="0" w:space="0" w:color="auto"/>
        <w:left w:val="none" w:sz="0" w:space="0" w:color="auto"/>
        <w:bottom w:val="none" w:sz="0" w:space="0" w:color="auto"/>
        <w:right w:val="none" w:sz="0" w:space="0" w:color="auto"/>
      </w:divBdr>
    </w:div>
    <w:div w:id="1759015469">
      <w:bodyDiv w:val="1"/>
      <w:marLeft w:val="0"/>
      <w:marRight w:val="0"/>
      <w:marTop w:val="0"/>
      <w:marBottom w:val="0"/>
      <w:divBdr>
        <w:top w:val="none" w:sz="0" w:space="0" w:color="auto"/>
        <w:left w:val="none" w:sz="0" w:space="0" w:color="auto"/>
        <w:bottom w:val="none" w:sz="0" w:space="0" w:color="auto"/>
        <w:right w:val="none" w:sz="0" w:space="0" w:color="auto"/>
      </w:divBdr>
    </w:div>
    <w:div w:id="1798327987">
      <w:bodyDiv w:val="1"/>
      <w:marLeft w:val="0"/>
      <w:marRight w:val="0"/>
      <w:marTop w:val="0"/>
      <w:marBottom w:val="0"/>
      <w:divBdr>
        <w:top w:val="none" w:sz="0" w:space="0" w:color="auto"/>
        <w:left w:val="none" w:sz="0" w:space="0" w:color="auto"/>
        <w:bottom w:val="none" w:sz="0" w:space="0" w:color="auto"/>
        <w:right w:val="none" w:sz="0" w:space="0" w:color="auto"/>
      </w:divBdr>
      <w:divsChild>
        <w:div w:id="922953889">
          <w:marLeft w:val="0"/>
          <w:marRight w:val="0"/>
          <w:marTop w:val="0"/>
          <w:marBottom w:val="0"/>
          <w:divBdr>
            <w:top w:val="none" w:sz="0" w:space="0" w:color="auto"/>
            <w:left w:val="none" w:sz="0" w:space="0" w:color="auto"/>
            <w:bottom w:val="single" w:sz="6" w:space="12" w:color="888888"/>
            <w:right w:val="none" w:sz="0" w:space="0" w:color="auto"/>
          </w:divBdr>
        </w:div>
        <w:div w:id="1496610870">
          <w:marLeft w:val="0"/>
          <w:marRight w:val="0"/>
          <w:marTop w:val="0"/>
          <w:marBottom w:val="0"/>
          <w:divBdr>
            <w:top w:val="none" w:sz="0" w:space="0" w:color="auto"/>
            <w:left w:val="none" w:sz="0" w:space="0" w:color="auto"/>
            <w:bottom w:val="single" w:sz="6" w:space="10" w:color="C5C5C5"/>
            <w:right w:val="none" w:sz="0" w:space="0" w:color="auto"/>
          </w:divBdr>
          <w:divsChild>
            <w:div w:id="1128621556">
              <w:marLeft w:val="0"/>
              <w:marRight w:val="0"/>
              <w:marTop w:val="0"/>
              <w:marBottom w:val="0"/>
              <w:divBdr>
                <w:top w:val="none" w:sz="0" w:space="0" w:color="auto"/>
                <w:left w:val="none" w:sz="0" w:space="0" w:color="auto"/>
                <w:bottom w:val="none" w:sz="0" w:space="0" w:color="auto"/>
                <w:right w:val="none" w:sz="0" w:space="0" w:color="auto"/>
              </w:divBdr>
            </w:div>
          </w:divsChild>
        </w:div>
        <w:div w:id="1721441392">
          <w:marLeft w:val="0"/>
          <w:marRight w:val="0"/>
          <w:marTop w:val="480"/>
          <w:marBottom w:val="0"/>
          <w:divBdr>
            <w:top w:val="none" w:sz="0" w:space="0" w:color="auto"/>
            <w:left w:val="none" w:sz="0" w:space="0" w:color="auto"/>
            <w:bottom w:val="none" w:sz="0" w:space="0" w:color="auto"/>
            <w:right w:val="none" w:sz="0" w:space="0" w:color="auto"/>
          </w:divBdr>
          <w:divsChild>
            <w:div w:id="1523014118">
              <w:marLeft w:val="0"/>
              <w:marRight w:val="0"/>
              <w:marTop w:val="0"/>
              <w:marBottom w:val="0"/>
              <w:divBdr>
                <w:top w:val="none" w:sz="0" w:space="0" w:color="auto"/>
                <w:left w:val="none" w:sz="0" w:space="0" w:color="auto"/>
                <w:bottom w:val="none" w:sz="0" w:space="0" w:color="auto"/>
                <w:right w:val="none" w:sz="0" w:space="0" w:color="auto"/>
              </w:divBdr>
            </w:div>
          </w:divsChild>
        </w:div>
        <w:div w:id="279919296">
          <w:marLeft w:val="0"/>
          <w:marRight w:val="0"/>
          <w:marTop w:val="240"/>
          <w:marBottom w:val="0"/>
          <w:divBdr>
            <w:top w:val="none" w:sz="0" w:space="0" w:color="auto"/>
            <w:left w:val="none" w:sz="0" w:space="0" w:color="auto"/>
            <w:bottom w:val="none" w:sz="0" w:space="0" w:color="auto"/>
            <w:right w:val="none" w:sz="0" w:space="0" w:color="auto"/>
          </w:divBdr>
        </w:div>
      </w:divsChild>
    </w:div>
    <w:div w:id="1887639711">
      <w:bodyDiv w:val="1"/>
      <w:marLeft w:val="0"/>
      <w:marRight w:val="0"/>
      <w:marTop w:val="0"/>
      <w:marBottom w:val="0"/>
      <w:divBdr>
        <w:top w:val="none" w:sz="0" w:space="0" w:color="auto"/>
        <w:left w:val="none" w:sz="0" w:space="0" w:color="auto"/>
        <w:bottom w:val="none" w:sz="0" w:space="0" w:color="auto"/>
        <w:right w:val="none" w:sz="0" w:space="0" w:color="auto"/>
      </w:divBdr>
    </w:div>
    <w:div w:id="1898737241">
      <w:bodyDiv w:val="1"/>
      <w:marLeft w:val="0"/>
      <w:marRight w:val="0"/>
      <w:marTop w:val="0"/>
      <w:marBottom w:val="0"/>
      <w:divBdr>
        <w:top w:val="none" w:sz="0" w:space="0" w:color="auto"/>
        <w:left w:val="none" w:sz="0" w:space="0" w:color="auto"/>
        <w:bottom w:val="none" w:sz="0" w:space="0" w:color="auto"/>
        <w:right w:val="none" w:sz="0" w:space="0" w:color="auto"/>
      </w:divBdr>
    </w:div>
    <w:div w:id="1903174977">
      <w:bodyDiv w:val="1"/>
      <w:marLeft w:val="0"/>
      <w:marRight w:val="0"/>
      <w:marTop w:val="0"/>
      <w:marBottom w:val="0"/>
      <w:divBdr>
        <w:top w:val="none" w:sz="0" w:space="0" w:color="auto"/>
        <w:left w:val="none" w:sz="0" w:space="0" w:color="auto"/>
        <w:bottom w:val="none" w:sz="0" w:space="0" w:color="auto"/>
        <w:right w:val="none" w:sz="0" w:space="0" w:color="auto"/>
      </w:divBdr>
    </w:div>
    <w:div w:id="1909723206">
      <w:bodyDiv w:val="1"/>
      <w:marLeft w:val="0"/>
      <w:marRight w:val="0"/>
      <w:marTop w:val="0"/>
      <w:marBottom w:val="0"/>
      <w:divBdr>
        <w:top w:val="none" w:sz="0" w:space="0" w:color="auto"/>
        <w:left w:val="none" w:sz="0" w:space="0" w:color="auto"/>
        <w:bottom w:val="none" w:sz="0" w:space="0" w:color="auto"/>
        <w:right w:val="none" w:sz="0" w:space="0" w:color="auto"/>
      </w:divBdr>
    </w:div>
    <w:div w:id="1937248554">
      <w:bodyDiv w:val="1"/>
      <w:marLeft w:val="0"/>
      <w:marRight w:val="0"/>
      <w:marTop w:val="0"/>
      <w:marBottom w:val="0"/>
      <w:divBdr>
        <w:top w:val="none" w:sz="0" w:space="0" w:color="auto"/>
        <w:left w:val="none" w:sz="0" w:space="0" w:color="auto"/>
        <w:bottom w:val="none" w:sz="0" w:space="0" w:color="auto"/>
        <w:right w:val="none" w:sz="0" w:space="0" w:color="auto"/>
      </w:divBdr>
    </w:div>
    <w:div w:id="1964849850">
      <w:bodyDiv w:val="1"/>
      <w:marLeft w:val="0"/>
      <w:marRight w:val="0"/>
      <w:marTop w:val="0"/>
      <w:marBottom w:val="0"/>
      <w:divBdr>
        <w:top w:val="none" w:sz="0" w:space="0" w:color="auto"/>
        <w:left w:val="none" w:sz="0" w:space="0" w:color="auto"/>
        <w:bottom w:val="none" w:sz="0" w:space="0" w:color="auto"/>
        <w:right w:val="none" w:sz="0" w:space="0" w:color="auto"/>
      </w:divBdr>
    </w:div>
    <w:div w:id="19901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donspecialisthospital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58/jhsrp.2011.010077" TargetMode="External"/><Relationship Id="rId5" Type="http://schemas.openxmlformats.org/officeDocument/2006/relationships/webSettings" Target="webSettings.xml"/><Relationship Id="rId10" Type="http://schemas.openxmlformats.org/officeDocument/2006/relationships/hyperlink" Target="https://doi.org/10.1080/13642529.2014.909674" TargetMode="External"/><Relationship Id="rId4" Type="http://schemas.openxmlformats.org/officeDocument/2006/relationships/settings" Target="settings.xml"/><Relationship Id="rId9" Type="http://schemas.openxmlformats.org/officeDocument/2006/relationships/hyperlink" Target="https://www.kingsfund.org.uk/insight-and-analysis/blogs/spring-budget-2024-health-care-service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media.gosh.nhs.uk/documents/Great_Ormond_Street_Hospital_for_Children_FT_Annual_Report_202223_FINAL_VERSIO_33xZbh6.pdf" TargetMode="External"/><Relationship Id="rId13" Type="http://schemas.openxmlformats.org/officeDocument/2006/relationships/hyperlink" Target="https://www.youtube.com/channel/UCwSua6u7SmufFBIh5aURI8Q" TargetMode="External"/><Relationship Id="rId3" Type="http://schemas.openxmlformats.org/officeDocument/2006/relationships/hyperlink" Target="https://media.gosh.nhs.uk/documents/Download_a_copy_of_Great_Ormond_Street_Hospitals_Annual_Report_201415.pdf" TargetMode="External"/><Relationship Id="rId7" Type="http://schemas.openxmlformats.org/officeDocument/2006/relationships/hyperlink" Target="https://media.gosh.nhs.uk/documents/Great_Ormond_Street_Hospital_for_Children_NHS_FT_2021_to_2022_Annual_Report_FI_N7MjMqJ.pdf" TargetMode="External"/><Relationship Id="rId12" Type="http://schemas.openxmlformats.org/officeDocument/2006/relationships/hyperlink" Target="https://www.gosh.com.kw/" TargetMode="External"/><Relationship Id="rId2" Type="http://schemas.openxmlformats.org/officeDocument/2006/relationships/hyperlink" Target="https://media.gosh.nhs.uk/documents/20_08_Hospital_Strategy_launch_materials_update_A6_BOOKLET_ST2.pdf" TargetMode="External"/><Relationship Id="rId1" Type="http://schemas.openxmlformats.org/officeDocument/2006/relationships/hyperlink" Target="https://assets.publishing.service.gov.uk/government/uploads/system/uploads/attachment_data/file/390626/GOSH_Publishable_Summary_Strategic_Plan_1415.pdf" TargetMode="External"/><Relationship Id="rId6" Type="http://schemas.openxmlformats.org/officeDocument/2006/relationships/hyperlink" Target="https://media.gosh.nhs.uk/documents/Great_Ormond_Street_Hospital_for_Children_FT_Annual_Report_2019_20_FINAL_to_Pa_DxsZyRk.pdf" TargetMode="External"/><Relationship Id="rId11" Type="http://schemas.openxmlformats.org/officeDocument/2006/relationships/hyperlink" Target="https://www.emergingcomms.com/case-studies/great-ormond-street-hospital/" TargetMode="External"/><Relationship Id="rId5" Type="http://schemas.openxmlformats.org/officeDocument/2006/relationships/hyperlink" Target="https://media.gosh.nhs.uk/documents/GOSH_Annual_Report__and_Accounts_2018_to_2019.pdf" TargetMode="External"/><Relationship Id="rId10" Type="http://schemas.openxmlformats.org/officeDocument/2006/relationships/hyperlink" Target="https://media.gosh.nhs.uk/documents/FOIRQ5420_Final_Response.pdf" TargetMode="External"/><Relationship Id="rId4" Type="http://schemas.openxmlformats.org/officeDocument/2006/relationships/hyperlink" Target="https://media.gosh.nhs.uk/documents/GOSH_Annual_Report_and_Accounts_2016_to_2017.pdf" TargetMode="External"/><Relationship Id="rId9" Type="http://schemas.openxmlformats.org/officeDocument/2006/relationships/hyperlink" Target="https://media.gosh.nhs.uk/documents/GOSH_Annual_Report__Accounts_202324_FINAL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092BD-E214-4D08-AB9D-013DAA4E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7135</Words>
  <Characters>40675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Lunt</dc:creator>
  <cp:keywords/>
  <dc:description/>
  <cp:lastModifiedBy>Neil Lunt</cp:lastModifiedBy>
  <cp:revision>26</cp:revision>
  <cp:lastPrinted>2024-11-08T09:20:00Z</cp:lastPrinted>
  <dcterms:created xsi:type="dcterms:W3CDTF">2024-11-01T12:06:00Z</dcterms:created>
  <dcterms:modified xsi:type="dcterms:W3CDTF">2024-11-08T11:13:00Z</dcterms:modified>
</cp:coreProperties>
</file>