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278F9" w14:textId="4EB7569F" w:rsidR="008C4776" w:rsidRPr="006B5318" w:rsidRDefault="000D0710" w:rsidP="00330ECB">
      <w:pPr>
        <w:tabs>
          <w:tab w:val="left" w:pos="3309"/>
        </w:tabs>
        <w:spacing w:line="276" w:lineRule="auto"/>
        <w:jc w:val="center"/>
        <w:rPr>
          <w:rFonts w:ascii="Garamond" w:hAnsi="Garamond"/>
          <w:b/>
          <w:bCs/>
        </w:rPr>
      </w:pPr>
      <w:r w:rsidRPr="006B5318">
        <w:rPr>
          <w:rFonts w:ascii="Garamond" w:hAnsi="Garamond"/>
          <w:b/>
          <w:bCs/>
        </w:rPr>
        <w:t>The</w:t>
      </w:r>
      <w:r w:rsidR="007C4433" w:rsidRPr="006B5318">
        <w:rPr>
          <w:rFonts w:ascii="Garamond" w:hAnsi="Garamond"/>
          <w:b/>
          <w:bCs/>
        </w:rPr>
        <w:t xml:space="preserve"> Queen’s House before Queen’s House</w:t>
      </w:r>
      <w:r w:rsidR="00D35A7E" w:rsidRPr="006B5318">
        <w:rPr>
          <w:rFonts w:ascii="Garamond" w:hAnsi="Garamond"/>
          <w:b/>
          <w:bCs/>
        </w:rPr>
        <w:t xml:space="preserve">: </w:t>
      </w:r>
    </w:p>
    <w:p w14:paraId="49EEFBB5" w14:textId="23874E45" w:rsidR="005952AE" w:rsidRPr="006B5318" w:rsidRDefault="00D35A7E" w:rsidP="00330ECB">
      <w:pPr>
        <w:tabs>
          <w:tab w:val="left" w:pos="3309"/>
        </w:tabs>
        <w:spacing w:line="276" w:lineRule="auto"/>
        <w:jc w:val="center"/>
        <w:rPr>
          <w:rFonts w:ascii="Garamond" w:hAnsi="Garamond"/>
          <w:b/>
          <w:bCs/>
        </w:rPr>
      </w:pPr>
      <w:r w:rsidRPr="006B5318">
        <w:rPr>
          <w:rFonts w:ascii="Garamond" w:hAnsi="Garamond"/>
          <w:b/>
          <w:bCs/>
        </w:rPr>
        <w:t>Margaret of Anjou and Greenwich Palace</w:t>
      </w:r>
      <w:r w:rsidR="008C4776" w:rsidRPr="006B5318">
        <w:rPr>
          <w:rFonts w:ascii="Garamond" w:hAnsi="Garamond"/>
          <w:b/>
          <w:bCs/>
        </w:rPr>
        <w:t>, 1447-1453</w:t>
      </w:r>
    </w:p>
    <w:p w14:paraId="4214A913" w14:textId="79C5D1FE" w:rsidR="00A21B31" w:rsidRPr="006B5318" w:rsidRDefault="00A21B31" w:rsidP="00330ECB">
      <w:pPr>
        <w:tabs>
          <w:tab w:val="left" w:pos="3309"/>
        </w:tabs>
        <w:spacing w:line="276" w:lineRule="auto"/>
        <w:jc w:val="both"/>
        <w:rPr>
          <w:rFonts w:ascii="Garamond" w:hAnsi="Garamond"/>
          <w:u w:val="single"/>
        </w:rPr>
      </w:pPr>
    </w:p>
    <w:p w14:paraId="1A75299D" w14:textId="77777777" w:rsidR="00C87194" w:rsidRPr="006B5318" w:rsidRDefault="00C87194" w:rsidP="00330ECB">
      <w:pPr>
        <w:tabs>
          <w:tab w:val="left" w:pos="3309"/>
        </w:tabs>
        <w:spacing w:line="276" w:lineRule="auto"/>
        <w:jc w:val="both"/>
        <w:rPr>
          <w:rFonts w:ascii="Garamond" w:hAnsi="Garamond"/>
        </w:rPr>
      </w:pPr>
    </w:p>
    <w:p w14:paraId="3933A5F2" w14:textId="3F41F092" w:rsidR="004B5892" w:rsidRPr="006B5318" w:rsidRDefault="00C87194" w:rsidP="00330ECB">
      <w:pPr>
        <w:tabs>
          <w:tab w:val="left" w:pos="3309"/>
        </w:tabs>
        <w:spacing w:line="276" w:lineRule="auto"/>
        <w:jc w:val="both"/>
        <w:rPr>
          <w:rFonts w:ascii="Garamond" w:hAnsi="Garamond"/>
        </w:rPr>
      </w:pPr>
      <w:r w:rsidRPr="006B5318">
        <w:rPr>
          <w:rFonts w:ascii="Garamond" w:hAnsi="Garamond"/>
          <w:b/>
          <w:bCs/>
        </w:rPr>
        <w:t>Abstract:</w:t>
      </w:r>
      <w:r w:rsidRPr="006B5318">
        <w:rPr>
          <w:rFonts w:ascii="Garamond" w:hAnsi="Garamond"/>
        </w:rPr>
        <w:t xml:space="preserve"> </w:t>
      </w:r>
      <w:r w:rsidR="00351EEC" w:rsidRPr="00351EEC">
        <w:rPr>
          <w:rFonts w:ascii="Garamond" w:hAnsi="Garamond"/>
        </w:rPr>
        <w:t>Almost two hundred years before Inigo Jones completed the Queen’s House for Henrietta Maria at Greenwich, another French-born queen consort of England had established the first queenly household there. In 1447, Margaret of Anjou acquired Humphrey Duke of Gloucester’s riverside residence on what is now the site of the Old Royal Naval College. Over the next five years, the queen commissioned a substantial programme of building works at the site, which transformed the existing manor house into a royal palace. Margaret’s reputation and exercise of power have been widely discussed, yet little consideration has been given to her building activities, and their broader implications for our understanding of her gender role as consort. Through its examination of the location, layout and design of Margaret’s palace, this article sheds new light on the ways in which the queen deployed the built environment to articulate her power and status as queen. More broadly, it contributes to wider scholarship on royal women’s patronage and curation of domestic space, and the role of queens as agents of cultural transfer.</w:t>
      </w:r>
    </w:p>
    <w:p w14:paraId="776B9552" w14:textId="09E6AB59" w:rsidR="00471548" w:rsidRPr="006B5318" w:rsidRDefault="00471548" w:rsidP="00330ECB">
      <w:pPr>
        <w:tabs>
          <w:tab w:val="left" w:pos="3309"/>
        </w:tabs>
        <w:spacing w:line="276" w:lineRule="auto"/>
        <w:jc w:val="both"/>
        <w:rPr>
          <w:rFonts w:ascii="Garamond" w:hAnsi="Garamond"/>
        </w:rPr>
      </w:pPr>
    </w:p>
    <w:p w14:paraId="71482F19" w14:textId="42778C09" w:rsidR="00471548" w:rsidRPr="006B5318" w:rsidRDefault="00471548" w:rsidP="00330ECB">
      <w:pPr>
        <w:tabs>
          <w:tab w:val="left" w:pos="3309"/>
        </w:tabs>
        <w:spacing w:line="276" w:lineRule="auto"/>
        <w:jc w:val="both"/>
        <w:rPr>
          <w:rFonts w:ascii="Garamond" w:hAnsi="Garamond"/>
        </w:rPr>
      </w:pPr>
      <w:r w:rsidRPr="006B5318">
        <w:rPr>
          <w:rFonts w:ascii="Garamond" w:hAnsi="Garamond"/>
          <w:b/>
          <w:bCs/>
        </w:rPr>
        <w:t>Keywords:</w:t>
      </w:r>
      <w:r w:rsidRPr="006B5318">
        <w:rPr>
          <w:rFonts w:ascii="Garamond" w:hAnsi="Garamond"/>
        </w:rPr>
        <w:t xml:space="preserve"> Margaret of Anjou</w:t>
      </w:r>
      <w:r w:rsidR="00330ECB" w:rsidRPr="006B5318">
        <w:rPr>
          <w:rFonts w:ascii="Garamond" w:hAnsi="Garamond"/>
        </w:rPr>
        <w:t>;</w:t>
      </w:r>
      <w:r w:rsidRPr="006B5318">
        <w:rPr>
          <w:rFonts w:ascii="Garamond" w:hAnsi="Garamond"/>
        </w:rPr>
        <w:t xml:space="preserve"> Greenwich Palace</w:t>
      </w:r>
      <w:r w:rsidR="00330ECB" w:rsidRPr="006B5318">
        <w:rPr>
          <w:rFonts w:ascii="Garamond" w:hAnsi="Garamond"/>
        </w:rPr>
        <w:t>;</w:t>
      </w:r>
      <w:r w:rsidRPr="006B5318">
        <w:rPr>
          <w:rFonts w:ascii="Garamond" w:hAnsi="Garamond"/>
        </w:rPr>
        <w:t xml:space="preserve"> Wars of the Roses</w:t>
      </w:r>
      <w:r w:rsidR="00330ECB" w:rsidRPr="006B5318">
        <w:rPr>
          <w:rFonts w:ascii="Garamond" w:hAnsi="Garamond"/>
        </w:rPr>
        <w:t>;</w:t>
      </w:r>
      <w:r w:rsidRPr="006B5318">
        <w:rPr>
          <w:rFonts w:ascii="Garamond" w:hAnsi="Garamond"/>
        </w:rPr>
        <w:t xml:space="preserve"> Domestic Space</w:t>
      </w:r>
      <w:r w:rsidR="00330ECB" w:rsidRPr="006B5318">
        <w:rPr>
          <w:rFonts w:ascii="Garamond" w:hAnsi="Garamond"/>
        </w:rPr>
        <w:t>;</w:t>
      </w:r>
      <w:r w:rsidRPr="006B5318">
        <w:rPr>
          <w:rFonts w:ascii="Garamond" w:hAnsi="Garamond"/>
        </w:rPr>
        <w:t xml:space="preserve"> Gender</w:t>
      </w:r>
      <w:r w:rsidR="00330ECB" w:rsidRPr="006B5318">
        <w:rPr>
          <w:rFonts w:ascii="Garamond" w:hAnsi="Garamond"/>
        </w:rPr>
        <w:t>;</w:t>
      </w:r>
      <w:r w:rsidRPr="006B5318">
        <w:rPr>
          <w:rFonts w:ascii="Garamond" w:hAnsi="Garamond"/>
        </w:rPr>
        <w:t xml:space="preserve"> Female Patronage</w:t>
      </w:r>
      <w:r w:rsidR="003A04FC" w:rsidRPr="006B5318">
        <w:rPr>
          <w:rFonts w:ascii="Garamond" w:hAnsi="Garamond"/>
        </w:rPr>
        <w:t>; Cultural Transfer</w:t>
      </w:r>
    </w:p>
    <w:p w14:paraId="53A3155C" w14:textId="77777777" w:rsidR="00A21B31" w:rsidRPr="006B5318" w:rsidRDefault="00A21B31" w:rsidP="00330ECB">
      <w:pPr>
        <w:tabs>
          <w:tab w:val="left" w:pos="3309"/>
        </w:tabs>
        <w:spacing w:line="276" w:lineRule="auto"/>
        <w:jc w:val="both"/>
        <w:rPr>
          <w:rFonts w:ascii="Garamond" w:hAnsi="Garamond"/>
        </w:rPr>
      </w:pPr>
    </w:p>
    <w:p w14:paraId="1659DDF7" w14:textId="03500A39" w:rsidR="00D169BC" w:rsidRPr="006B5318" w:rsidRDefault="00B831E4" w:rsidP="00330ECB">
      <w:pPr>
        <w:tabs>
          <w:tab w:val="left" w:pos="3309"/>
        </w:tabs>
        <w:spacing w:line="276" w:lineRule="auto"/>
        <w:jc w:val="both"/>
        <w:rPr>
          <w:rFonts w:ascii="Garamond" w:hAnsi="Garamond"/>
        </w:rPr>
      </w:pPr>
      <w:r w:rsidRPr="006B5318">
        <w:rPr>
          <w:rFonts w:ascii="Garamond" w:hAnsi="Garamond"/>
        </w:rPr>
        <w:t>On the</w:t>
      </w:r>
      <w:r w:rsidR="00330ECB" w:rsidRPr="006B5318">
        <w:rPr>
          <w:rFonts w:ascii="Garamond" w:hAnsi="Garamond"/>
        </w:rPr>
        <w:t xml:space="preserve"> ninth of</w:t>
      </w:r>
      <w:r w:rsidRPr="006B5318">
        <w:rPr>
          <w:rFonts w:ascii="Garamond" w:hAnsi="Garamond"/>
        </w:rPr>
        <w:t xml:space="preserve"> April 1445, a seasick teenage girl arrived on </w:t>
      </w:r>
      <w:r w:rsidR="0018559B" w:rsidRPr="006B5318">
        <w:rPr>
          <w:rFonts w:ascii="Garamond" w:hAnsi="Garamond"/>
        </w:rPr>
        <w:t>the shores of Portchester</w:t>
      </w:r>
      <w:r w:rsidR="008E0E23" w:rsidRPr="006B5318">
        <w:rPr>
          <w:rFonts w:ascii="Garamond" w:hAnsi="Garamond"/>
        </w:rPr>
        <w:t xml:space="preserve"> </w:t>
      </w:r>
      <w:r w:rsidR="006353F5" w:rsidRPr="006B5318">
        <w:rPr>
          <w:rFonts w:ascii="Garamond" w:hAnsi="Garamond"/>
        </w:rPr>
        <w:t xml:space="preserve">in England </w:t>
      </w:r>
      <w:r w:rsidR="00764140">
        <w:rPr>
          <w:rFonts w:ascii="Garamond" w:hAnsi="Garamond"/>
        </w:rPr>
        <w:t>following</w:t>
      </w:r>
      <w:r w:rsidRPr="006B5318">
        <w:rPr>
          <w:rFonts w:ascii="Garamond" w:hAnsi="Garamond"/>
        </w:rPr>
        <w:t xml:space="preserve"> a turbulent journey across the</w:t>
      </w:r>
      <w:r w:rsidR="0018559B" w:rsidRPr="006B5318">
        <w:rPr>
          <w:rFonts w:ascii="Garamond" w:hAnsi="Garamond"/>
        </w:rPr>
        <w:t xml:space="preserve"> </w:t>
      </w:r>
      <w:r w:rsidR="008E0E23" w:rsidRPr="006B5318">
        <w:rPr>
          <w:rFonts w:ascii="Garamond" w:hAnsi="Garamond"/>
        </w:rPr>
        <w:t>Engl</w:t>
      </w:r>
      <w:r w:rsidR="006353F5" w:rsidRPr="006B5318">
        <w:rPr>
          <w:rFonts w:ascii="Garamond" w:hAnsi="Garamond"/>
        </w:rPr>
        <w:t>ish</w:t>
      </w:r>
      <w:r w:rsidR="008E0E23" w:rsidRPr="006B5318">
        <w:rPr>
          <w:rFonts w:ascii="Garamond" w:hAnsi="Garamond"/>
        </w:rPr>
        <w:t xml:space="preserve"> </w:t>
      </w:r>
      <w:r w:rsidRPr="006B5318">
        <w:rPr>
          <w:rFonts w:ascii="Garamond" w:hAnsi="Garamond"/>
        </w:rPr>
        <w:t xml:space="preserve">Channel. </w:t>
      </w:r>
      <w:r w:rsidR="001F5839" w:rsidRPr="006B5318">
        <w:rPr>
          <w:rFonts w:ascii="Garamond" w:hAnsi="Garamond"/>
        </w:rPr>
        <w:t>By the end of the month, she had</w:t>
      </w:r>
      <w:r w:rsidR="00672850" w:rsidRPr="006B5318">
        <w:rPr>
          <w:rFonts w:ascii="Garamond" w:hAnsi="Garamond"/>
        </w:rPr>
        <w:t xml:space="preserve"> recovered and</w:t>
      </w:r>
      <w:r w:rsidR="001F5839" w:rsidRPr="006B5318">
        <w:rPr>
          <w:rFonts w:ascii="Garamond" w:hAnsi="Garamond"/>
        </w:rPr>
        <w:t xml:space="preserve"> married King Henry VI in Titchfield Abbey</w:t>
      </w:r>
      <w:r w:rsidR="00672850" w:rsidRPr="006B5318">
        <w:rPr>
          <w:rFonts w:ascii="Garamond" w:hAnsi="Garamond"/>
        </w:rPr>
        <w:t xml:space="preserve">. Shortly after, </w:t>
      </w:r>
      <w:r w:rsidR="00982D7C">
        <w:rPr>
          <w:rFonts w:ascii="Garamond" w:hAnsi="Garamond"/>
        </w:rPr>
        <w:t>the young queen</w:t>
      </w:r>
      <w:r w:rsidR="001F5839" w:rsidRPr="006B5318">
        <w:rPr>
          <w:rFonts w:ascii="Garamond" w:hAnsi="Garamond"/>
        </w:rPr>
        <w:t xml:space="preserve"> travelled to Blackheath on the outskirts of London</w:t>
      </w:r>
      <w:r w:rsidR="009079B9" w:rsidRPr="006B5318">
        <w:rPr>
          <w:rFonts w:ascii="Garamond" w:hAnsi="Garamond"/>
        </w:rPr>
        <w:t>,</w:t>
      </w:r>
      <w:r w:rsidR="001F5839" w:rsidRPr="006B5318">
        <w:rPr>
          <w:rFonts w:ascii="Garamond" w:hAnsi="Garamond"/>
        </w:rPr>
        <w:t xml:space="preserve"> where she was greeted by</w:t>
      </w:r>
      <w:r w:rsidR="008E0E23" w:rsidRPr="006B5318">
        <w:rPr>
          <w:rFonts w:ascii="Garamond" w:hAnsi="Garamond"/>
        </w:rPr>
        <w:t xml:space="preserve"> Henry’s uncle</w:t>
      </w:r>
      <w:r w:rsidR="00701A15" w:rsidRPr="006B5318">
        <w:rPr>
          <w:rFonts w:ascii="Garamond" w:hAnsi="Garamond"/>
        </w:rPr>
        <w:t>,</w:t>
      </w:r>
      <w:r w:rsidR="001F5839" w:rsidRPr="006B5318">
        <w:rPr>
          <w:rFonts w:ascii="Garamond" w:hAnsi="Garamond"/>
        </w:rPr>
        <w:t xml:space="preserve"> Humphrey Duke of Gloucester and 500 </w:t>
      </w:r>
      <w:r w:rsidR="008E0E23" w:rsidRPr="006B5318">
        <w:rPr>
          <w:rFonts w:ascii="Garamond" w:hAnsi="Garamond"/>
        </w:rPr>
        <w:t xml:space="preserve">of his </w:t>
      </w:r>
      <w:r w:rsidR="001F5839" w:rsidRPr="006B5318">
        <w:rPr>
          <w:rFonts w:ascii="Garamond" w:hAnsi="Garamond"/>
        </w:rPr>
        <w:t>liveried retainers</w:t>
      </w:r>
      <w:r w:rsidR="00B30387" w:rsidRPr="006B5318">
        <w:rPr>
          <w:rFonts w:ascii="Garamond" w:hAnsi="Garamond"/>
        </w:rPr>
        <w:t xml:space="preserve"> ahead of her Coronation</w:t>
      </w:r>
      <w:r w:rsidR="00693666" w:rsidRPr="006B5318">
        <w:rPr>
          <w:rFonts w:ascii="Garamond" w:hAnsi="Garamond"/>
        </w:rPr>
        <w:t xml:space="preserve"> ceremony</w:t>
      </w:r>
      <w:r w:rsidR="001F5839" w:rsidRPr="006B5318">
        <w:rPr>
          <w:rFonts w:ascii="Garamond" w:hAnsi="Garamond"/>
        </w:rPr>
        <w:t>.</w:t>
      </w:r>
      <w:r w:rsidR="00672850" w:rsidRPr="006B5318">
        <w:rPr>
          <w:rStyle w:val="FootnoteReference"/>
          <w:rFonts w:ascii="Garamond" w:hAnsi="Garamond"/>
        </w:rPr>
        <w:footnoteReference w:id="1"/>
      </w:r>
      <w:r w:rsidR="001F5839" w:rsidRPr="006B5318">
        <w:rPr>
          <w:rFonts w:ascii="Garamond" w:hAnsi="Garamond"/>
        </w:rPr>
        <w:t xml:space="preserve"> From the elevated heights of Blackheath</w:t>
      </w:r>
      <w:r w:rsidR="0085014C" w:rsidRPr="006B5318">
        <w:rPr>
          <w:rFonts w:ascii="Garamond" w:hAnsi="Garamond"/>
        </w:rPr>
        <w:t>,</w:t>
      </w:r>
      <w:r w:rsidR="001F5839" w:rsidRPr="006B5318">
        <w:rPr>
          <w:rFonts w:ascii="Garamond" w:hAnsi="Garamond"/>
        </w:rPr>
        <w:t xml:space="preserve"> t</w:t>
      </w:r>
      <w:r w:rsidR="008E0E23" w:rsidRPr="006B5318">
        <w:rPr>
          <w:rFonts w:ascii="Garamond" w:hAnsi="Garamond"/>
        </w:rPr>
        <w:t>he</w:t>
      </w:r>
      <w:r w:rsidR="00E7397D" w:rsidRPr="006B5318">
        <w:rPr>
          <w:rFonts w:ascii="Garamond" w:hAnsi="Garamond"/>
        </w:rPr>
        <w:t xml:space="preserve"> queen and her</w:t>
      </w:r>
      <w:r w:rsidR="001F5839" w:rsidRPr="006B5318">
        <w:rPr>
          <w:rFonts w:ascii="Garamond" w:hAnsi="Garamond"/>
        </w:rPr>
        <w:t xml:space="preserve"> company descended towards </w:t>
      </w:r>
      <w:r w:rsidR="00FE7BED" w:rsidRPr="006B5318">
        <w:rPr>
          <w:rFonts w:ascii="Garamond" w:hAnsi="Garamond"/>
        </w:rPr>
        <w:t xml:space="preserve">Duke </w:t>
      </w:r>
      <w:r w:rsidR="001F5839" w:rsidRPr="006B5318">
        <w:rPr>
          <w:rFonts w:ascii="Garamond" w:hAnsi="Garamond"/>
        </w:rPr>
        <w:t>Humphrey’s riverside palace</w:t>
      </w:r>
      <w:r w:rsidR="00A80DA1" w:rsidRPr="006B5318">
        <w:rPr>
          <w:rFonts w:ascii="Garamond" w:hAnsi="Garamond"/>
        </w:rPr>
        <w:t xml:space="preserve"> </w:t>
      </w:r>
      <w:r w:rsidR="00117D00" w:rsidRPr="006B5318">
        <w:rPr>
          <w:rFonts w:ascii="Garamond" w:hAnsi="Garamond"/>
        </w:rPr>
        <w:t>in the neighbouring settlement of</w:t>
      </w:r>
      <w:r w:rsidR="00A80DA1" w:rsidRPr="006B5318">
        <w:rPr>
          <w:rFonts w:ascii="Garamond" w:hAnsi="Garamond"/>
        </w:rPr>
        <w:t xml:space="preserve"> Greenwich</w:t>
      </w:r>
      <w:r w:rsidR="001F5839" w:rsidRPr="006B5318">
        <w:rPr>
          <w:rFonts w:ascii="Garamond" w:hAnsi="Garamond"/>
        </w:rPr>
        <w:t>,</w:t>
      </w:r>
      <w:r w:rsidR="008E0E23" w:rsidRPr="006B5318">
        <w:rPr>
          <w:rFonts w:ascii="Garamond" w:hAnsi="Garamond"/>
        </w:rPr>
        <w:t xml:space="preserve"> </w:t>
      </w:r>
      <w:r w:rsidR="006353F5" w:rsidRPr="006B5318">
        <w:rPr>
          <w:rFonts w:ascii="Garamond" w:hAnsi="Garamond"/>
        </w:rPr>
        <w:t>which</w:t>
      </w:r>
      <w:r w:rsidR="007A4255" w:rsidRPr="006B5318">
        <w:rPr>
          <w:rFonts w:ascii="Garamond" w:hAnsi="Garamond"/>
        </w:rPr>
        <w:t xml:space="preserve"> was named</w:t>
      </w:r>
      <w:r w:rsidR="008E0E23" w:rsidRPr="006B5318">
        <w:rPr>
          <w:rFonts w:ascii="Garamond" w:hAnsi="Garamond"/>
        </w:rPr>
        <w:t xml:space="preserve"> Bella Court and </w:t>
      </w:r>
      <w:r w:rsidR="007A4255" w:rsidRPr="006B5318">
        <w:rPr>
          <w:rFonts w:ascii="Garamond" w:hAnsi="Garamond"/>
        </w:rPr>
        <w:t>later</w:t>
      </w:r>
      <w:r w:rsidR="008E0E23" w:rsidRPr="006B5318">
        <w:rPr>
          <w:rFonts w:ascii="Garamond" w:hAnsi="Garamond"/>
        </w:rPr>
        <w:t xml:space="preserve"> the Palace of Pleasaunce or </w:t>
      </w:r>
      <w:r w:rsidR="008E0E23" w:rsidRPr="006B5318">
        <w:rPr>
          <w:rFonts w:ascii="Garamond" w:hAnsi="Garamond"/>
          <w:i/>
          <w:iCs/>
        </w:rPr>
        <w:t>Placentia</w:t>
      </w:r>
      <w:r w:rsidR="00701A15" w:rsidRPr="006B5318">
        <w:rPr>
          <w:rFonts w:ascii="Garamond" w:hAnsi="Garamond"/>
          <w:i/>
          <w:iCs/>
        </w:rPr>
        <w:t xml:space="preserve"> </w:t>
      </w:r>
      <w:r w:rsidR="00701A15" w:rsidRPr="006B5318">
        <w:rPr>
          <w:rFonts w:ascii="Garamond" w:hAnsi="Garamond"/>
        </w:rPr>
        <w:t>on account of its splendid appearance</w:t>
      </w:r>
      <w:r w:rsidR="008E0E23" w:rsidRPr="006B5318">
        <w:rPr>
          <w:rFonts w:ascii="Garamond" w:hAnsi="Garamond"/>
        </w:rPr>
        <w:t>.</w:t>
      </w:r>
      <w:r w:rsidR="001F5839" w:rsidRPr="006B5318">
        <w:rPr>
          <w:rFonts w:ascii="Garamond" w:hAnsi="Garamond"/>
        </w:rPr>
        <w:t xml:space="preserve"> </w:t>
      </w:r>
      <w:r w:rsidR="008E0E23" w:rsidRPr="006B5318">
        <w:rPr>
          <w:rFonts w:ascii="Garamond" w:hAnsi="Garamond"/>
        </w:rPr>
        <w:t>The route most likely taken</w:t>
      </w:r>
      <w:r w:rsidR="006353F5" w:rsidRPr="006B5318">
        <w:rPr>
          <w:rFonts w:ascii="Garamond" w:hAnsi="Garamond"/>
        </w:rPr>
        <w:t xml:space="preserve"> by the </w:t>
      </w:r>
      <w:r w:rsidR="00590343" w:rsidRPr="006B5318">
        <w:rPr>
          <w:rFonts w:ascii="Garamond" w:hAnsi="Garamond"/>
        </w:rPr>
        <w:t>party</w:t>
      </w:r>
      <w:r w:rsidR="008E0E23" w:rsidRPr="006B5318">
        <w:rPr>
          <w:rFonts w:ascii="Garamond" w:hAnsi="Garamond"/>
        </w:rPr>
        <w:t xml:space="preserve"> was </w:t>
      </w:r>
      <w:r w:rsidR="001F5839" w:rsidRPr="006B5318">
        <w:rPr>
          <w:rFonts w:ascii="Garamond" w:hAnsi="Garamond"/>
        </w:rPr>
        <w:t>throug</w:t>
      </w:r>
      <w:r w:rsidR="008E0E23" w:rsidRPr="006B5318">
        <w:rPr>
          <w:rFonts w:ascii="Garamond" w:hAnsi="Garamond"/>
        </w:rPr>
        <w:t xml:space="preserve">h the Duke’s deer park, </w:t>
      </w:r>
      <w:r w:rsidR="006353F5" w:rsidRPr="006B5318">
        <w:rPr>
          <w:rFonts w:ascii="Garamond" w:hAnsi="Garamond"/>
        </w:rPr>
        <w:t xml:space="preserve">the undulating terrain of which </w:t>
      </w:r>
      <w:r w:rsidR="002076F9" w:rsidRPr="006B5318">
        <w:rPr>
          <w:rFonts w:ascii="Garamond" w:hAnsi="Garamond"/>
        </w:rPr>
        <w:t xml:space="preserve">offered </w:t>
      </w:r>
      <w:r w:rsidR="006353F5" w:rsidRPr="006B5318">
        <w:rPr>
          <w:rFonts w:ascii="Garamond" w:hAnsi="Garamond"/>
        </w:rPr>
        <w:t>advantageous views o</w:t>
      </w:r>
      <w:r w:rsidR="00D169BC" w:rsidRPr="006B5318">
        <w:rPr>
          <w:rFonts w:ascii="Garamond" w:hAnsi="Garamond"/>
        </w:rPr>
        <w:t>nto</w:t>
      </w:r>
      <w:r w:rsidR="006353F5" w:rsidRPr="006B5318">
        <w:rPr>
          <w:rFonts w:ascii="Garamond" w:hAnsi="Garamond"/>
        </w:rPr>
        <w:t xml:space="preserve"> both </w:t>
      </w:r>
      <w:r w:rsidR="008E0E23" w:rsidRPr="006B5318">
        <w:rPr>
          <w:rFonts w:ascii="Garamond" w:hAnsi="Garamond"/>
        </w:rPr>
        <w:t>the palace</w:t>
      </w:r>
      <w:r w:rsidR="004B7A42" w:rsidRPr="006B5318">
        <w:rPr>
          <w:rFonts w:ascii="Garamond" w:hAnsi="Garamond"/>
        </w:rPr>
        <w:t xml:space="preserve"> below</w:t>
      </w:r>
      <w:r w:rsidR="008E0E23" w:rsidRPr="006B5318">
        <w:rPr>
          <w:rFonts w:ascii="Garamond" w:hAnsi="Garamond"/>
        </w:rPr>
        <w:t xml:space="preserve"> and </w:t>
      </w:r>
      <w:r w:rsidR="00A93A50" w:rsidRPr="006B5318">
        <w:rPr>
          <w:rFonts w:ascii="Garamond" w:hAnsi="Garamond"/>
        </w:rPr>
        <w:t xml:space="preserve">the </w:t>
      </w:r>
      <w:r w:rsidR="008E0E23" w:rsidRPr="006B5318">
        <w:rPr>
          <w:rFonts w:ascii="Garamond" w:hAnsi="Garamond"/>
        </w:rPr>
        <w:t>London</w:t>
      </w:r>
      <w:r w:rsidR="00590343" w:rsidRPr="006B5318">
        <w:rPr>
          <w:rFonts w:ascii="Garamond" w:hAnsi="Garamond"/>
        </w:rPr>
        <w:t xml:space="preserve"> skyline</w:t>
      </w:r>
      <w:r w:rsidR="00E87A9D" w:rsidRPr="006B5318">
        <w:rPr>
          <w:rFonts w:ascii="Garamond" w:hAnsi="Garamond"/>
        </w:rPr>
        <w:t xml:space="preserve"> on the</w:t>
      </w:r>
      <w:r w:rsidR="00C50F21" w:rsidRPr="006B5318">
        <w:rPr>
          <w:rFonts w:ascii="Garamond" w:hAnsi="Garamond"/>
        </w:rPr>
        <w:t xml:space="preserve"> approach</w:t>
      </w:r>
      <w:r w:rsidR="008E0E23" w:rsidRPr="006B5318">
        <w:rPr>
          <w:rFonts w:ascii="Garamond" w:hAnsi="Garamond"/>
        </w:rPr>
        <w:t>.</w:t>
      </w:r>
      <w:r w:rsidR="00F4385C" w:rsidRPr="006B5318">
        <w:rPr>
          <w:rStyle w:val="FootnoteReference"/>
          <w:rFonts w:ascii="Garamond" w:hAnsi="Garamond"/>
        </w:rPr>
        <w:footnoteReference w:id="2"/>
      </w:r>
      <w:r w:rsidR="00235395" w:rsidRPr="006B5318">
        <w:rPr>
          <w:rFonts w:ascii="Garamond" w:hAnsi="Garamond"/>
        </w:rPr>
        <w:t xml:space="preserve"> </w:t>
      </w:r>
      <w:r w:rsidR="00A93A50" w:rsidRPr="006B5318">
        <w:rPr>
          <w:rFonts w:ascii="Garamond" w:hAnsi="Garamond"/>
        </w:rPr>
        <w:t xml:space="preserve">The </w:t>
      </w:r>
      <w:r w:rsidR="007A4255" w:rsidRPr="006B5318">
        <w:rPr>
          <w:rFonts w:ascii="Garamond" w:hAnsi="Garamond"/>
        </w:rPr>
        <w:t>sight</w:t>
      </w:r>
      <w:r w:rsidR="00A93A50" w:rsidRPr="006B5318">
        <w:rPr>
          <w:rFonts w:ascii="Garamond" w:hAnsi="Garamond"/>
        </w:rPr>
        <w:t xml:space="preserve"> that greeted the company must have been spectacular: </w:t>
      </w:r>
      <w:r w:rsidR="007A4255" w:rsidRPr="006B5318">
        <w:rPr>
          <w:rFonts w:ascii="Garamond" w:hAnsi="Garamond"/>
        </w:rPr>
        <w:t xml:space="preserve">still </w:t>
      </w:r>
      <w:r w:rsidR="00A93A50" w:rsidRPr="006B5318">
        <w:rPr>
          <w:rFonts w:ascii="Garamond" w:hAnsi="Garamond"/>
        </w:rPr>
        <w:t xml:space="preserve">today, the stark contrast between the high ground and steep escarpment to the south of </w:t>
      </w:r>
      <w:r w:rsidR="00292CEE" w:rsidRPr="006B5318">
        <w:rPr>
          <w:rFonts w:ascii="Garamond" w:hAnsi="Garamond"/>
        </w:rPr>
        <w:t xml:space="preserve">Greenwich </w:t>
      </w:r>
      <w:r w:rsidR="00A93A50" w:rsidRPr="006B5318">
        <w:rPr>
          <w:rFonts w:ascii="Garamond" w:hAnsi="Garamond"/>
        </w:rPr>
        <w:t xml:space="preserve">and the low-lying river terraces to the north </w:t>
      </w:r>
      <w:r w:rsidR="00292CEE" w:rsidRPr="006B5318">
        <w:rPr>
          <w:rFonts w:ascii="Garamond" w:hAnsi="Garamond"/>
        </w:rPr>
        <w:t xml:space="preserve">makes </w:t>
      </w:r>
      <w:r w:rsidR="00A93A50" w:rsidRPr="006B5318">
        <w:rPr>
          <w:rFonts w:ascii="Garamond" w:hAnsi="Garamond"/>
        </w:rPr>
        <w:t>for a distinctive topography, forming the only hill on the eastern approach to London</w:t>
      </w:r>
      <w:r w:rsidR="00EA3FF4">
        <w:rPr>
          <w:rFonts w:ascii="Garamond" w:hAnsi="Garamond"/>
        </w:rPr>
        <w:t xml:space="preserve">, which </w:t>
      </w:r>
      <w:r w:rsidR="002E4BBB">
        <w:rPr>
          <w:rFonts w:ascii="Garamond" w:hAnsi="Garamond"/>
        </w:rPr>
        <w:t>offer</w:t>
      </w:r>
      <w:r w:rsidR="00EA3FF4">
        <w:rPr>
          <w:rFonts w:ascii="Garamond" w:hAnsi="Garamond"/>
        </w:rPr>
        <w:t>s</w:t>
      </w:r>
      <w:r w:rsidR="00982D7C">
        <w:rPr>
          <w:rFonts w:ascii="Garamond" w:hAnsi="Garamond"/>
        </w:rPr>
        <w:t xml:space="preserve"> </w:t>
      </w:r>
      <w:r w:rsidR="00A93A50" w:rsidRPr="006B5318">
        <w:rPr>
          <w:rFonts w:ascii="Garamond" w:hAnsi="Garamond"/>
        </w:rPr>
        <w:t>far-reaching views across the city</w:t>
      </w:r>
      <w:r w:rsidR="00B210CB" w:rsidRPr="006B5318">
        <w:rPr>
          <w:rFonts w:ascii="Garamond" w:hAnsi="Garamond"/>
        </w:rPr>
        <w:t xml:space="preserve">. </w:t>
      </w:r>
      <w:r w:rsidR="001F5839" w:rsidRPr="006B5318">
        <w:rPr>
          <w:rFonts w:ascii="Garamond" w:hAnsi="Garamond"/>
        </w:rPr>
        <w:t xml:space="preserve">This </w:t>
      </w:r>
      <w:r w:rsidR="007A4255" w:rsidRPr="006B5318">
        <w:rPr>
          <w:rFonts w:ascii="Garamond" w:hAnsi="Garamond"/>
        </w:rPr>
        <w:t xml:space="preserve">was </w:t>
      </w:r>
      <w:r w:rsidR="001F5839" w:rsidRPr="006B5318">
        <w:rPr>
          <w:rFonts w:ascii="Garamond" w:hAnsi="Garamond"/>
        </w:rPr>
        <w:t xml:space="preserve">the </w:t>
      </w:r>
      <w:r w:rsidR="008E0E23" w:rsidRPr="006B5318">
        <w:rPr>
          <w:rFonts w:ascii="Garamond" w:hAnsi="Garamond"/>
        </w:rPr>
        <w:t xml:space="preserve">queen’s first </w:t>
      </w:r>
      <w:r w:rsidR="00E7397D" w:rsidRPr="006B5318">
        <w:rPr>
          <w:rFonts w:ascii="Garamond" w:hAnsi="Garamond"/>
        </w:rPr>
        <w:t>glimpse</w:t>
      </w:r>
      <w:r w:rsidR="008E0E23" w:rsidRPr="006B5318">
        <w:rPr>
          <w:rFonts w:ascii="Garamond" w:hAnsi="Garamond"/>
        </w:rPr>
        <w:t xml:space="preserve"> of the </w:t>
      </w:r>
      <w:r w:rsidR="00CD1AD5" w:rsidRPr="006B5318">
        <w:rPr>
          <w:rFonts w:ascii="Garamond" w:hAnsi="Garamond"/>
        </w:rPr>
        <w:t>place</w:t>
      </w:r>
      <w:r w:rsidR="008E0E23" w:rsidRPr="006B5318">
        <w:rPr>
          <w:rFonts w:ascii="Garamond" w:hAnsi="Garamond"/>
        </w:rPr>
        <w:t xml:space="preserve"> </w:t>
      </w:r>
      <w:r w:rsidR="006353F5" w:rsidRPr="006B5318">
        <w:rPr>
          <w:rFonts w:ascii="Garamond" w:hAnsi="Garamond"/>
        </w:rPr>
        <w:t xml:space="preserve">that </w:t>
      </w:r>
      <w:r w:rsidR="008E0E23" w:rsidRPr="006B5318">
        <w:rPr>
          <w:rFonts w:ascii="Garamond" w:hAnsi="Garamond"/>
        </w:rPr>
        <w:t>she would call home in the coming years, and</w:t>
      </w:r>
      <w:r w:rsidR="00235395" w:rsidRPr="006B5318">
        <w:rPr>
          <w:rFonts w:ascii="Garamond" w:hAnsi="Garamond"/>
        </w:rPr>
        <w:t xml:space="preserve"> </w:t>
      </w:r>
      <w:r w:rsidR="008E0E23" w:rsidRPr="006B5318">
        <w:rPr>
          <w:rFonts w:ascii="Garamond" w:hAnsi="Garamond"/>
        </w:rPr>
        <w:t xml:space="preserve">of </w:t>
      </w:r>
      <w:r w:rsidR="005A0CEA" w:rsidRPr="006B5318">
        <w:rPr>
          <w:rFonts w:ascii="Garamond" w:hAnsi="Garamond"/>
        </w:rPr>
        <w:t xml:space="preserve">the residence </w:t>
      </w:r>
      <w:r w:rsidR="008E0E23" w:rsidRPr="006B5318">
        <w:rPr>
          <w:rFonts w:ascii="Garamond" w:hAnsi="Garamond"/>
        </w:rPr>
        <w:t xml:space="preserve">that would later become her own. </w:t>
      </w:r>
      <w:r w:rsidR="00235395" w:rsidRPr="006B5318">
        <w:rPr>
          <w:rFonts w:ascii="Garamond" w:hAnsi="Garamond"/>
        </w:rPr>
        <w:t>P</w:t>
      </w:r>
      <w:r w:rsidR="006353F5" w:rsidRPr="006B5318">
        <w:rPr>
          <w:rFonts w:ascii="Garamond" w:hAnsi="Garamond"/>
        </w:rPr>
        <w:t>erhaps</w:t>
      </w:r>
      <w:r w:rsidR="008E0E23" w:rsidRPr="006B5318">
        <w:rPr>
          <w:rFonts w:ascii="Garamond" w:hAnsi="Garamond"/>
        </w:rPr>
        <w:t xml:space="preserve"> it was this very moment that </w:t>
      </w:r>
      <w:r w:rsidR="00693666" w:rsidRPr="006B5318">
        <w:rPr>
          <w:rFonts w:ascii="Garamond" w:hAnsi="Garamond"/>
        </w:rPr>
        <w:t>ignited</w:t>
      </w:r>
      <w:r w:rsidR="008E0E23" w:rsidRPr="006B5318">
        <w:rPr>
          <w:rFonts w:ascii="Garamond" w:hAnsi="Garamond"/>
        </w:rPr>
        <w:t xml:space="preserve"> </w:t>
      </w:r>
      <w:r w:rsidR="00982D7C">
        <w:rPr>
          <w:rFonts w:ascii="Garamond" w:hAnsi="Garamond"/>
        </w:rPr>
        <w:t xml:space="preserve">her </w:t>
      </w:r>
      <w:r w:rsidR="008E0E23" w:rsidRPr="006B5318">
        <w:rPr>
          <w:rFonts w:ascii="Garamond" w:hAnsi="Garamond"/>
        </w:rPr>
        <w:t>love of Greenwich and</w:t>
      </w:r>
      <w:r w:rsidR="00693666" w:rsidRPr="006B5318">
        <w:rPr>
          <w:rFonts w:ascii="Garamond" w:hAnsi="Garamond"/>
        </w:rPr>
        <w:t xml:space="preserve"> informed</w:t>
      </w:r>
      <w:r w:rsidR="008E0E23" w:rsidRPr="006B5318">
        <w:rPr>
          <w:rFonts w:ascii="Garamond" w:hAnsi="Garamond"/>
        </w:rPr>
        <w:t xml:space="preserve"> </w:t>
      </w:r>
      <w:r w:rsidR="006353F5" w:rsidRPr="006B5318">
        <w:rPr>
          <w:rFonts w:ascii="Garamond" w:hAnsi="Garamond"/>
        </w:rPr>
        <w:t xml:space="preserve">her decision to </w:t>
      </w:r>
      <w:r w:rsidR="00E7397D" w:rsidRPr="006B5318">
        <w:rPr>
          <w:rFonts w:ascii="Garamond" w:hAnsi="Garamond"/>
        </w:rPr>
        <w:t>make the residence her own</w:t>
      </w:r>
      <w:r w:rsidR="0096361F" w:rsidRPr="006B5318">
        <w:rPr>
          <w:rFonts w:ascii="Garamond" w:hAnsi="Garamond"/>
        </w:rPr>
        <w:t xml:space="preserve"> </w:t>
      </w:r>
      <w:r w:rsidR="00D169BC" w:rsidRPr="006B5318">
        <w:rPr>
          <w:rFonts w:ascii="Garamond" w:hAnsi="Garamond"/>
        </w:rPr>
        <w:t xml:space="preserve">following </w:t>
      </w:r>
      <w:r w:rsidR="006353F5" w:rsidRPr="006B5318">
        <w:rPr>
          <w:rFonts w:ascii="Garamond" w:hAnsi="Garamond"/>
        </w:rPr>
        <w:t xml:space="preserve">Humphrey’s death two years later, the subject on which this article will focus. </w:t>
      </w:r>
    </w:p>
    <w:p w14:paraId="2DB667FA" w14:textId="77777777" w:rsidR="000D0B6E" w:rsidRPr="006B5318" w:rsidRDefault="000D0B6E" w:rsidP="00330ECB">
      <w:pPr>
        <w:tabs>
          <w:tab w:val="left" w:pos="3309"/>
        </w:tabs>
        <w:spacing w:line="276" w:lineRule="auto"/>
        <w:jc w:val="both"/>
        <w:rPr>
          <w:rFonts w:ascii="Garamond" w:hAnsi="Garamond"/>
        </w:rPr>
      </w:pPr>
    </w:p>
    <w:p w14:paraId="125A339A" w14:textId="2218D52A" w:rsidR="000D0B6E" w:rsidRPr="006B5318" w:rsidRDefault="000D0B6E" w:rsidP="00330ECB">
      <w:pPr>
        <w:tabs>
          <w:tab w:val="left" w:pos="3309"/>
        </w:tabs>
        <w:spacing w:line="276" w:lineRule="auto"/>
        <w:jc w:val="both"/>
        <w:rPr>
          <w:rFonts w:ascii="Garamond" w:hAnsi="Garamond"/>
          <w:b/>
          <w:bCs/>
        </w:rPr>
      </w:pPr>
      <w:r w:rsidRPr="006B5318">
        <w:rPr>
          <w:rFonts w:ascii="Garamond" w:hAnsi="Garamond"/>
          <w:b/>
          <w:bCs/>
        </w:rPr>
        <w:lastRenderedPageBreak/>
        <w:t>Margaret of Anjou</w:t>
      </w:r>
    </w:p>
    <w:p w14:paraId="0D49BEC2" w14:textId="77777777" w:rsidR="000C4959" w:rsidRPr="006B5318" w:rsidRDefault="000C4959" w:rsidP="00330ECB">
      <w:pPr>
        <w:tabs>
          <w:tab w:val="left" w:pos="3309"/>
        </w:tabs>
        <w:spacing w:line="276" w:lineRule="auto"/>
        <w:jc w:val="both"/>
        <w:rPr>
          <w:rFonts w:ascii="Garamond" w:hAnsi="Garamond"/>
        </w:rPr>
      </w:pPr>
    </w:p>
    <w:p w14:paraId="5BB47DB1" w14:textId="29E37620" w:rsidR="00486151" w:rsidRPr="006B5318" w:rsidRDefault="00C606E1" w:rsidP="000C4959">
      <w:pPr>
        <w:tabs>
          <w:tab w:val="left" w:pos="3309"/>
        </w:tabs>
        <w:spacing w:line="276" w:lineRule="auto"/>
        <w:ind w:firstLine="567"/>
        <w:jc w:val="both"/>
        <w:rPr>
          <w:rFonts w:ascii="Garamond" w:hAnsi="Garamond"/>
        </w:rPr>
      </w:pPr>
      <w:r w:rsidRPr="006B5318">
        <w:rPr>
          <w:rFonts w:ascii="Garamond" w:hAnsi="Garamond"/>
        </w:rPr>
        <w:t>Margaret of Anjou is undoubtedly one of the most famous, or</w:t>
      </w:r>
      <w:r w:rsidR="0028350E" w:rsidRPr="006B5318">
        <w:rPr>
          <w:rFonts w:ascii="Garamond" w:hAnsi="Garamond"/>
        </w:rPr>
        <w:t xml:space="preserve"> rather</w:t>
      </w:r>
      <w:r w:rsidR="007C4433" w:rsidRPr="006B5318">
        <w:rPr>
          <w:rFonts w:ascii="Garamond" w:hAnsi="Garamond"/>
        </w:rPr>
        <w:t>,</w:t>
      </w:r>
      <w:r w:rsidRPr="006B5318">
        <w:rPr>
          <w:rFonts w:ascii="Garamond" w:hAnsi="Garamond"/>
        </w:rPr>
        <w:t xml:space="preserve"> infamous</w:t>
      </w:r>
      <w:r w:rsidR="00982D7C">
        <w:rPr>
          <w:rFonts w:ascii="Garamond" w:hAnsi="Garamond"/>
        </w:rPr>
        <w:t>,</w:t>
      </w:r>
      <w:r w:rsidRPr="006B5318">
        <w:rPr>
          <w:rFonts w:ascii="Garamond" w:hAnsi="Garamond"/>
        </w:rPr>
        <w:t xml:space="preserve"> queens in English History. </w:t>
      </w:r>
      <w:r w:rsidR="008E6E47" w:rsidRPr="006B5318">
        <w:rPr>
          <w:rFonts w:ascii="Garamond" w:hAnsi="Garamond"/>
        </w:rPr>
        <w:t xml:space="preserve">Criticised by contemporary chroniclers and </w:t>
      </w:r>
      <w:r w:rsidR="00982D7C">
        <w:rPr>
          <w:rFonts w:ascii="Garamond" w:hAnsi="Garamond"/>
        </w:rPr>
        <w:t xml:space="preserve">posthumously </w:t>
      </w:r>
      <w:r w:rsidR="008E6E47" w:rsidRPr="006B5318">
        <w:rPr>
          <w:rFonts w:ascii="Garamond" w:hAnsi="Garamond"/>
        </w:rPr>
        <w:t>referred</w:t>
      </w:r>
      <w:r w:rsidRPr="006B5318">
        <w:rPr>
          <w:rFonts w:ascii="Garamond" w:hAnsi="Garamond"/>
        </w:rPr>
        <w:t xml:space="preserve"> to as a she-wolf by William Shakespeare, </w:t>
      </w:r>
      <w:r w:rsidR="008E6E47" w:rsidRPr="006B5318">
        <w:rPr>
          <w:rFonts w:ascii="Garamond" w:hAnsi="Garamond"/>
        </w:rPr>
        <w:t>Margaret’s</w:t>
      </w:r>
      <w:r w:rsidRPr="006B5318">
        <w:rPr>
          <w:rFonts w:ascii="Garamond" w:hAnsi="Garamond"/>
        </w:rPr>
        <w:t xml:space="preserve"> reputation was long tarnished </w:t>
      </w:r>
      <w:r w:rsidR="0028350E" w:rsidRPr="006B5318">
        <w:rPr>
          <w:rFonts w:ascii="Garamond" w:hAnsi="Garamond"/>
        </w:rPr>
        <w:t xml:space="preserve">in subsequent historiography </w:t>
      </w:r>
      <w:r w:rsidRPr="006B5318">
        <w:rPr>
          <w:rFonts w:ascii="Garamond" w:hAnsi="Garamond"/>
        </w:rPr>
        <w:t xml:space="preserve">due to her politically active role </w:t>
      </w:r>
      <w:r w:rsidR="00226DCD" w:rsidRPr="006B5318">
        <w:rPr>
          <w:rFonts w:ascii="Garamond" w:hAnsi="Garamond"/>
        </w:rPr>
        <w:t>in</w:t>
      </w:r>
      <w:r w:rsidRPr="006B5318">
        <w:rPr>
          <w:rFonts w:ascii="Garamond" w:hAnsi="Garamond"/>
        </w:rPr>
        <w:t xml:space="preserve"> the conflict </w:t>
      </w:r>
      <w:r w:rsidR="00E7397D" w:rsidRPr="006B5318">
        <w:rPr>
          <w:rFonts w:ascii="Garamond" w:hAnsi="Garamond"/>
        </w:rPr>
        <w:t>now</w:t>
      </w:r>
      <w:r w:rsidR="0099543D" w:rsidRPr="006B5318">
        <w:rPr>
          <w:rFonts w:ascii="Garamond" w:hAnsi="Garamond"/>
        </w:rPr>
        <w:t xml:space="preserve"> known as </w:t>
      </w:r>
      <w:r w:rsidR="00B210CB" w:rsidRPr="006B5318">
        <w:rPr>
          <w:rFonts w:ascii="Garamond" w:hAnsi="Garamond"/>
        </w:rPr>
        <w:t xml:space="preserve">the </w:t>
      </w:r>
      <w:r w:rsidRPr="006B5318">
        <w:rPr>
          <w:rFonts w:ascii="Garamond" w:hAnsi="Garamond"/>
        </w:rPr>
        <w:t>Wars of the Roses.</w:t>
      </w:r>
      <w:r w:rsidR="006A60FB" w:rsidRPr="006B5318">
        <w:rPr>
          <w:rStyle w:val="FootnoteReference"/>
          <w:rFonts w:ascii="Garamond" w:hAnsi="Garamond"/>
        </w:rPr>
        <w:footnoteReference w:id="3"/>
      </w:r>
      <w:r w:rsidRPr="006B5318">
        <w:rPr>
          <w:rFonts w:ascii="Garamond" w:hAnsi="Garamond"/>
        </w:rPr>
        <w:t xml:space="preserve"> Born and raised in the French province of Anjou, Margaret was the second eldest daughter of Isabella, Duchess of Lorraine and René</w:t>
      </w:r>
      <w:r w:rsidR="00AF0203" w:rsidRPr="006B5318">
        <w:rPr>
          <w:rFonts w:ascii="Garamond" w:hAnsi="Garamond"/>
        </w:rPr>
        <w:t>,</w:t>
      </w:r>
      <w:r w:rsidRPr="006B5318">
        <w:rPr>
          <w:rFonts w:ascii="Garamond" w:hAnsi="Garamond"/>
        </w:rPr>
        <w:t xml:space="preserve"> Duke of Anjou and titular king of Naples</w:t>
      </w:r>
      <w:r w:rsidR="00AE2165" w:rsidRPr="006B5318">
        <w:rPr>
          <w:rFonts w:ascii="Garamond" w:hAnsi="Garamond"/>
        </w:rPr>
        <w:t>, Sicily</w:t>
      </w:r>
      <w:r w:rsidR="007E2FAD">
        <w:rPr>
          <w:rFonts w:ascii="Garamond" w:hAnsi="Garamond"/>
        </w:rPr>
        <w:t>,</w:t>
      </w:r>
      <w:r w:rsidRPr="006B5318">
        <w:rPr>
          <w:rFonts w:ascii="Garamond" w:hAnsi="Garamond"/>
        </w:rPr>
        <w:t xml:space="preserve"> and Jerusalem.</w:t>
      </w:r>
      <w:r w:rsidR="00AE2165" w:rsidRPr="006B5318">
        <w:rPr>
          <w:rFonts w:ascii="Garamond" w:hAnsi="Garamond"/>
        </w:rPr>
        <w:t xml:space="preserve"> During her father’s long</w:t>
      </w:r>
      <w:r w:rsidR="007E2FAD">
        <w:rPr>
          <w:rFonts w:ascii="Garamond" w:hAnsi="Garamond"/>
        </w:rPr>
        <w:t xml:space="preserve"> absences</w:t>
      </w:r>
      <w:r w:rsidR="00AE2165" w:rsidRPr="006B5318">
        <w:rPr>
          <w:rFonts w:ascii="Garamond" w:hAnsi="Garamond"/>
        </w:rPr>
        <w:t xml:space="preserve">, Margaret was educated by </w:t>
      </w:r>
      <w:r w:rsidR="00212C46" w:rsidRPr="006B5318">
        <w:rPr>
          <w:rFonts w:ascii="Garamond" w:hAnsi="Garamond"/>
        </w:rPr>
        <w:t xml:space="preserve">several prominent and influential women, most notably her mother, who ruled the Duchy of Lorraine when </w:t>
      </w:r>
      <w:r w:rsidR="00861927" w:rsidRPr="006B5318">
        <w:rPr>
          <w:rFonts w:ascii="Garamond" w:hAnsi="Garamond"/>
        </w:rPr>
        <w:t xml:space="preserve">René </w:t>
      </w:r>
      <w:r w:rsidR="00212C46" w:rsidRPr="006B5318">
        <w:rPr>
          <w:rFonts w:ascii="Garamond" w:hAnsi="Garamond"/>
        </w:rPr>
        <w:t xml:space="preserve">was imprisoned, and her paternal grandmother Yolande of Aragon, </w:t>
      </w:r>
      <w:r w:rsidR="0099543D" w:rsidRPr="006B5318">
        <w:rPr>
          <w:rFonts w:ascii="Garamond" w:hAnsi="Garamond"/>
        </w:rPr>
        <w:t xml:space="preserve">a formidable and educated woman </w:t>
      </w:r>
      <w:r w:rsidR="00212C46" w:rsidRPr="006B5318">
        <w:rPr>
          <w:rFonts w:ascii="Garamond" w:hAnsi="Garamond"/>
        </w:rPr>
        <w:t>who acted as regent on behalf of her son</w:t>
      </w:r>
      <w:r w:rsidR="00486151" w:rsidRPr="006B5318">
        <w:rPr>
          <w:rFonts w:ascii="Garamond" w:hAnsi="Garamond"/>
        </w:rPr>
        <w:t xml:space="preserve">, and who was </w:t>
      </w:r>
      <w:r w:rsidR="00A46D58" w:rsidRPr="006B5318">
        <w:rPr>
          <w:rFonts w:ascii="Garamond" w:hAnsi="Garamond"/>
        </w:rPr>
        <w:t>regarded by her contemporaries</w:t>
      </w:r>
      <w:r w:rsidR="00486151" w:rsidRPr="006B5318">
        <w:rPr>
          <w:rFonts w:ascii="Garamond" w:hAnsi="Garamond"/>
        </w:rPr>
        <w:t xml:space="preserve"> as </w:t>
      </w:r>
      <w:r w:rsidR="00A46D58" w:rsidRPr="006B5318">
        <w:rPr>
          <w:rFonts w:ascii="Garamond" w:hAnsi="Garamond"/>
        </w:rPr>
        <w:t xml:space="preserve">a </w:t>
      </w:r>
      <w:r w:rsidR="00486151" w:rsidRPr="006B5318">
        <w:rPr>
          <w:rFonts w:ascii="Garamond" w:hAnsi="Garamond"/>
        </w:rPr>
        <w:t>skilled politician.</w:t>
      </w:r>
      <w:r w:rsidR="00D757D4" w:rsidRPr="006B5318">
        <w:rPr>
          <w:rStyle w:val="FootnoteReference"/>
          <w:rFonts w:ascii="Garamond" w:hAnsi="Garamond"/>
        </w:rPr>
        <w:footnoteReference w:id="4"/>
      </w:r>
    </w:p>
    <w:p w14:paraId="776466AD" w14:textId="587401D3" w:rsidR="00353ADE" w:rsidRPr="006B5318" w:rsidRDefault="00D7663E" w:rsidP="00330ECB">
      <w:pPr>
        <w:tabs>
          <w:tab w:val="left" w:pos="3309"/>
        </w:tabs>
        <w:spacing w:line="276" w:lineRule="auto"/>
        <w:ind w:firstLine="567"/>
        <w:jc w:val="both"/>
        <w:rPr>
          <w:rFonts w:ascii="Garamond" w:hAnsi="Garamond"/>
        </w:rPr>
      </w:pPr>
      <w:r w:rsidRPr="006B5318">
        <w:rPr>
          <w:rFonts w:ascii="Garamond" w:hAnsi="Garamond"/>
        </w:rPr>
        <w:t xml:space="preserve">The match between Margaret and Henry VI of England was devised to bring peace between England and France, but when </w:t>
      </w:r>
      <w:r w:rsidR="00623C36" w:rsidRPr="006B5318">
        <w:rPr>
          <w:rFonts w:ascii="Garamond" w:hAnsi="Garamond"/>
        </w:rPr>
        <w:t>Margaret</w:t>
      </w:r>
      <w:r w:rsidRPr="006B5318">
        <w:rPr>
          <w:rFonts w:ascii="Garamond" w:hAnsi="Garamond"/>
        </w:rPr>
        <w:t xml:space="preserve"> arrived </w:t>
      </w:r>
      <w:r w:rsidR="00BC09E1" w:rsidRPr="006B5318">
        <w:rPr>
          <w:rFonts w:ascii="Garamond" w:hAnsi="Garamond"/>
        </w:rPr>
        <w:t xml:space="preserve">in </w:t>
      </w:r>
      <w:r w:rsidR="00590343" w:rsidRPr="006B5318">
        <w:rPr>
          <w:rFonts w:ascii="Garamond" w:hAnsi="Garamond"/>
        </w:rPr>
        <w:t xml:space="preserve">England in </w:t>
      </w:r>
      <w:r w:rsidR="00BC09E1" w:rsidRPr="006B5318">
        <w:rPr>
          <w:rFonts w:ascii="Garamond" w:hAnsi="Garamond"/>
        </w:rPr>
        <w:t>1445</w:t>
      </w:r>
      <w:r w:rsidRPr="006B5318">
        <w:rPr>
          <w:rFonts w:ascii="Garamond" w:hAnsi="Garamond"/>
        </w:rPr>
        <w:t xml:space="preserve"> </w:t>
      </w:r>
      <w:r w:rsidR="00623C36" w:rsidRPr="006B5318">
        <w:rPr>
          <w:rFonts w:ascii="Garamond" w:hAnsi="Garamond"/>
        </w:rPr>
        <w:t>she</w:t>
      </w:r>
      <w:r w:rsidRPr="006B5318">
        <w:rPr>
          <w:rFonts w:ascii="Garamond" w:hAnsi="Garamond"/>
        </w:rPr>
        <w:t xml:space="preserve"> could have hardly imagined that she w</w:t>
      </w:r>
      <w:r w:rsidR="00AF0203" w:rsidRPr="006B5318">
        <w:rPr>
          <w:rFonts w:ascii="Garamond" w:hAnsi="Garamond"/>
        </w:rPr>
        <w:t>as</w:t>
      </w:r>
      <w:r w:rsidR="0028350E" w:rsidRPr="006B5318">
        <w:rPr>
          <w:rFonts w:ascii="Garamond" w:hAnsi="Garamond"/>
        </w:rPr>
        <w:t xml:space="preserve"> </w:t>
      </w:r>
      <w:r w:rsidR="00013A15" w:rsidRPr="006B5318">
        <w:rPr>
          <w:rFonts w:ascii="Garamond" w:hAnsi="Garamond"/>
        </w:rPr>
        <w:t>soon</w:t>
      </w:r>
      <w:r w:rsidR="00AF0203" w:rsidRPr="006B5318">
        <w:rPr>
          <w:rFonts w:ascii="Garamond" w:hAnsi="Garamond"/>
        </w:rPr>
        <w:t xml:space="preserve"> to</w:t>
      </w:r>
      <w:r w:rsidRPr="006B5318">
        <w:rPr>
          <w:rFonts w:ascii="Garamond" w:hAnsi="Garamond"/>
        </w:rPr>
        <w:t xml:space="preserve"> become a central player in a series of conflicts fought on English soil.</w:t>
      </w:r>
      <w:r w:rsidR="00BC09E1" w:rsidRPr="006B5318">
        <w:rPr>
          <w:rFonts w:ascii="Garamond" w:hAnsi="Garamond"/>
        </w:rPr>
        <w:t xml:space="preserve"> </w:t>
      </w:r>
      <w:r w:rsidR="0099543D" w:rsidRPr="006B5318">
        <w:rPr>
          <w:rFonts w:ascii="Garamond" w:hAnsi="Garamond"/>
        </w:rPr>
        <w:t>Not long</w:t>
      </w:r>
      <w:r w:rsidR="00590343" w:rsidRPr="006B5318">
        <w:rPr>
          <w:rFonts w:ascii="Garamond" w:hAnsi="Garamond"/>
        </w:rPr>
        <w:t xml:space="preserve"> after Margaret’s arrival and coronation it</w:t>
      </w:r>
      <w:r w:rsidR="0028350E" w:rsidRPr="006B5318">
        <w:rPr>
          <w:rFonts w:ascii="Garamond" w:hAnsi="Garamond"/>
        </w:rPr>
        <w:t xml:space="preserve"> became clear that Henry, who had become king when he was merely a boy but was</w:t>
      </w:r>
      <w:r w:rsidR="007E20DE" w:rsidRPr="006B5318">
        <w:rPr>
          <w:rFonts w:ascii="Garamond" w:hAnsi="Garamond"/>
        </w:rPr>
        <w:t xml:space="preserve"> by this point</w:t>
      </w:r>
      <w:r w:rsidR="0028350E" w:rsidRPr="006B5318">
        <w:rPr>
          <w:rFonts w:ascii="Garamond" w:hAnsi="Garamond"/>
        </w:rPr>
        <w:t xml:space="preserve"> a grown man, lacked the mental capacity to rule. In</w:t>
      </w:r>
      <w:r w:rsidR="00BC09E1" w:rsidRPr="006B5318">
        <w:rPr>
          <w:rFonts w:ascii="Garamond" w:hAnsi="Garamond"/>
        </w:rPr>
        <w:t xml:space="preserve"> response to her husband’s </w:t>
      </w:r>
      <w:r w:rsidR="007C3D65" w:rsidRPr="006B5318">
        <w:rPr>
          <w:rFonts w:ascii="Garamond" w:hAnsi="Garamond"/>
        </w:rPr>
        <w:t>ineffectual rulership</w:t>
      </w:r>
      <w:r w:rsidR="0028350E" w:rsidRPr="006B5318">
        <w:rPr>
          <w:rFonts w:ascii="Garamond" w:hAnsi="Garamond"/>
        </w:rPr>
        <w:t xml:space="preserve"> and the threat posed to the Crown from the house of York</w:t>
      </w:r>
      <w:r w:rsidR="00BC09E1" w:rsidRPr="006B5318">
        <w:rPr>
          <w:rFonts w:ascii="Garamond" w:hAnsi="Garamond"/>
        </w:rPr>
        <w:t>,</w:t>
      </w:r>
      <w:r w:rsidRPr="006B5318">
        <w:rPr>
          <w:rFonts w:ascii="Garamond" w:hAnsi="Garamond"/>
        </w:rPr>
        <w:t xml:space="preserve"> Margaret step</w:t>
      </w:r>
      <w:r w:rsidR="00BC09E1" w:rsidRPr="006B5318">
        <w:rPr>
          <w:rFonts w:ascii="Garamond" w:hAnsi="Garamond"/>
        </w:rPr>
        <w:t>ped</w:t>
      </w:r>
      <w:r w:rsidRPr="006B5318">
        <w:rPr>
          <w:rFonts w:ascii="Garamond" w:hAnsi="Garamond"/>
        </w:rPr>
        <w:t xml:space="preserve"> </w:t>
      </w:r>
      <w:r w:rsidR="00BC09E1" w:rsidRPr="006B5318">
        <w:rPr>
          <w:rFonts w:ascii="Garamond" w:hAnsi="Garamond"/>
        </w:rPr>
        <w:t xml:space="preserve">into the limelight </w:t>
      </w:r>
      <w:r w:rsidR="00181ECB">
        <w:rPr>
          <w:rFonts w:ascii="Garamond" w:hAnsi="Garamond"/>
        </w:rPr>
        <w:t>to</w:t>
      </w:r>
      <w:r w:rsidR="00BC09E1" w:rsidRPr="006B5318">
        <w:rPr>
          <w:rFonts w:ascii="Garamond" w:hAnsi="Garamond"/>
        </w:rPr>
        <w:t xml:space="preserve"> play a leading role in the conflict.</w:t>
      </w:r>
      <w:r w:rsidR="0099543D" w:rsidRPr="006B5318">
        <w:rPr>
          <w:rFonts w:ascii="Garamond" w:hAnsi="Garamond"/>
        </w:rPr>
        <w:t xml:space="preserve"> </w:t>
      </w:r>
      <w:r w:rsidR="00F86AA8" w:rsidRPr="006B5318">
        <w:rPr>
          <w:rFonts w:ascii="Garamond" w:hAnsi="Garamond"/>
        </w:rPr>
        <w:t xml:space="preserve">After </w:t>
      </w:r>
      <w:r w:rsidR="00703EEF" w:rsidRPr="006B5318">
        <w:rPr>
          <w:rFonts w:ascii="Garamond" w:hAnsi="Garamond"/>
        </w:rPr>
        <w:t>many</w:t>
      </w:r>
      <w:r w:rsidR="00235395" w:rsidRPr="006B5318">
        <w:rPr>
          <w:rFonts w:ascii="Garamond" w:hAnsi="Garamond"/>
        </w:rPr>
        <w:t xml:space="preserve"> </w:t>
      </w:r>
      <w:r w:rsidR="00F86AA8" w:rsidRPr="006B5318">
        <w:rPr>
          <w:rFonts w:ascii="Garamond" w:hAnsi="Garamond"/>
        </w:rPr>
        <w:t>years of warfare</w:t>
      </w:r>
      <w:r w:rsidR="00235395" w:rsidRPr="006B5318">
        <w:rPr>
          <w:rFonts w:ascii="Garamond" w:hAnsi="Garamond"/>
        </w:rPr>
        <w:t xml:space="preserve">, </w:t>
      </w:r>
      <w:r w:rsidR="00F86AA8" w:rsidRPr="006B5318">
        <w:rPr>
          <w:rFonts w:ascii="Garamond" w:hAnsi="Garamond"/>
        </w:rPr>
        <w:t>negotiations</w:t>
      </w:r>
      <w:r w:rsidR="00181ECB">
        <w:rPr>
          <w:rFonts w:ascii="Garamond" w:hAnsi="Garamond"/>
        </w:rPr>
        <w:t>,</w:t>
      </w:r>
      <w:r w:rsidR="00235395" w:rsidRPr="006B5318">
        <w:rPr>
          <w:rFonts w:ascii="Garamond" w:hAnsi="Garamond"/>
        </w:rPr>
        <w:t xml:space="preserve"> and ever-shifting fortunes</w:t>
      </w:r>
      <w:r w:rsidR="00F86AA8" w:rsidRPr="006B5318">
        <w:rPr>
          <w:rFonts w:ascii="Garamond" w:hAnsi="Garamond"/>
        </w:rPr>
        <w:t xml:space="preserve">, Margaret’s Lancastrian army </w:t>
      </w:r>
      <w:r w:rsidR="00013A15" w:rsidRPr="006B5318">
        <w:rPr>
          <w:rFonts w:ascii="Garamond" w:hAnsi="Garamond"/>
        </w:rPr>
        <w:t xml:space="preserve">met their </w:t>
      </w:r>
      <w:r w:rsidR="00235395" w:rsidRPr="006B5318">
        <w:rPr>
          <w:rFonts w:ascii="Garamond" w:hAnsi="Garamond"/>
        </w:rPr>
        <w:t xml:space="preserve">final </w:t>
      </w:r>
      <w:r w:rsidR="00F86AA8" w:rsidRPr="006B5318">
        <w:rPr>
          <w:rFonts w:ascii="Garamond" w:hAnsi="Garamond"/>
        </w:rPr>
        <w:t xml:space="preserve">defeat at the Battle of Tewkesbury in 1471, </w:t>
      </w:r>
      <w:r w:rsidR="00013A15" w:rsidRPr="006B5318">
        <w:rPr>
          <w:rFonts w:ascii="Garamond" w:hAnsi="Garamond"/>
        </w:rPr>
        <w:t>when her son and long-awaited heir Edward was also killed</w:t>
      </w:r>
      <w:r w:rsidR="00F86AA8" w:rsidRPr="006B5318">
        <w:rPr>
          <w:rFonts w:ascii="Garamond" w:hAnsi="Garamond"/>
        </w:rPr>
        <w:t xml:space="preserve">. </w:t>
      </w:r>
      <w:r w:rsidR="00353ADE" w:rsidRPr="006B5318">
        <w:rPr>
          <w:rFonts w:ascii="Garamond" w:hAnsi="Garamond"/>
        </w:rPr>
        <w:t>After a period of imprisonment, Margaret returned to France, where she died in poverty</w:t>
      </w:r>
      <w:r w:rsidR="00013A15" w:rsidRPr="006B5318">
        <w:rPr>
          <w:rFonts w:ascii="Garamond" w:hAnsi="Garamond"/>
        </w:rPr>
        <w:t xml:space="preserve">, a far cry from the wealth and power she had enjoyed in </w:t>
      </w:r>
      <w:r w:rsidR="00A93A50" w:rsidRPr="006B5318">
        <w:rPr>
          <w:rFonts w:ascii="Garamond" w:hAnsi="Garamond"/>
        </w:rPr>
        <w:t>her early years as queen</w:t>
      </w:r>
      <w:r w:rsidR="00013A15" w:rsidRPr="006B5318">
        <w:rPr>
          <w:rFonts w:ascii="Garamond" w:hAnsi="Garamond"/>
        </w:rPr>
        <w:t xml:space="preserve">. </w:t>
      </w:r>
    </w:p>
    <w:p w14:paraId="62200F43" w14:textId="492D7883" w:rsidR="007D025C" w:rsidRPr="006B5318" w:rsidRDefault="00BC09E1" w:rsidP="00033F33">
      <w:pPr>
        <w:tabs>
          <w:tab w:val="left" w:pos="3309"/>
        </w:tabs>
        <w:spacing w:line="276" w:lineRule="auto"/>
        <w:ind w:firstLine="567"/>
        <w:jc w:val="both"/>
        <w:rPr>
          <w:rFonts w:ascii="Garamond" w:hAnsi="Garamond"/>
        </w:rPr>
      </w:pPr>
      <w:r w:rsidRPr="006B5318">
        <w:rPr>
          <w:rFonts w:ascii="Garamond" w:hAnsi="Garamond"/>
        </w:rPr>
        <w:t>While</w:t>
      </w:r>
      <w:r w:rsidR="0028350E" w:rsidRPr="006B5318">
        <w:rPr>
          <w:rFonts w:ascii="Garamond" w:hAnsi="Garamond"/>
        </w:rPr>
        <w:t xml:space="preserve"> </w:t>
      </w:r>
      <w:r w:rsidRPr="006B5318">
        <w:rPr>
          <w:rFonts w:ascii="Garamond" w:hAnsi="Garamond"/>
        </w:rPr>
        <w:t>historians long treated Margaret unfavourably on account of her stepping outside the confines of what was deemed appropriate to feminine behaviour by her English contemporaries, more recent revisionist accounts of her life, most notably by Helen Maurer, Joanna Laynesmith and Helen Castor</w:t>
      </w:r>
      <w:r w:rsidR="00CF7DE9" w:rsidRPr="006B5318">
        <w:rPr>
          <w:rFonts w:ascii="Garamond" w:hAnsi="Garamond"/>
        </w:rPr>
        <w:t>,</w:t>
      </w:r>
      <w:r w:rsidRPr="006B5318">
        <w:rPr>
          <w:rFonts w:ascii="Garamond" w:hAnsi="Garamond"/>
        </w:rPr>
        <w:t xml:space="preserve"> </w:t>
      </w:r>
      <w:r w:rsidR="00AE528C" w:rsidRPr="006B5318">
        <w:rPr>
          <w:rFonts w:ascii="Garamond" w:hAnsi="Garamond"/>
        </w:rPr>
        <w:t>have</w:t>
      </w:r>
      <w:r w:rsidR="007D025C" w:rsidRPr="006B5318">
        <w:rPr>
          <w:rFonts w:ascii="Garamond" w:hAnsi="Garamond"/>
        </w:rPr>
        <w:t xml:space="preserve"> painted a more empathetic picture of the queen</w:t>
      </w:r>
      <w:r w:rsidR="00AE528C" w:rsidRPr="006B5318">
        <w:rPr>
          <w:rFonts w:ascii="Garamond" w:hAnsi="Garamond"/>
        </w:rPr>
        <w:t xml:space="preserve">, </w:t>
      </w:r>
      <w:r w:rsidR="00CF7DE9" w:rsidRPr="006B5318">
        <w:rPr>
          <w:rFonts w:ascii="Garamond" w:hAnsi="Garamond"/>
        </w:rPr>
        <w:t xml:space="preserve">arguing that she demonstrated political acumen </w:t>
      </w:r>
      <w:r w:rsidR="004F4046" w:rsidRPr="006B5318">
        <w:rPr>
          <w:rFonts w:ascii="Garamond" w:hAnsi="Garamond"/>
        </w:rPr>
        <w:t>a</w:t>
      </w:r>
      <w:r w:rsidR="00353ADE" w:rsidRPr="006B5318">
        <w:rPr>
          <w:rFonts w:ascii="Garamond" w:hAnsi="Garamond"/>
        </w:rPr>
        <w:t>nd acted</w:t>
      </w:r>
      <w:r w:rsidR="004F4046" w:rsidRPr="006B5318">
        <w:rPr>
          <w:rFonts w:ascii="Garamond" w:hAnsi="Garamond"/>
        </w:rPr>
        <w:t xml:space="preserve"> to protect the interests of her </w:t>
      </w:r>
      <w:r w:rsidR="007A5DF9" w:rsidRPr="006B5318">
        <w:rPr>
          <w:rFonts w:ascii="Garamond" w:hAnsi="Garamond"/>
        </w:rPr>
        <w:t>family, and</w:t>
      </w:r>
      <w:r w:rsidR="00013A15" w:rsidRPr="006B5318">
        <w:rPr>
          <w:rFonts w:ascii="Garamond" w:hAnsi="Garamond"/>
        </w:rPr>
        <w:t>,</w:t>
      </w:r>
      <w:r w:rsidR="007A5DF9" w:rsidRPr="006B5318">
        <w:rPr>
          <w:rFonts w:ascii="Garamond" w:hAnsi="Garamond"/>
        </w:rPr>
        <w:t xml:space="preserve"> by extension, </w:t>
      </w:r>
      <w:r w:rsidR="0028350E" w:rsidRPr="006B5318">
        <w:rPr>
          <w:rFonts w:ascii="Garamond" w:hAnsi="Garamond"/>
        </w:rPr>
        <w:t>the Crown</w:t>
      </w:r>
      <w:r w:rsidR="007C3D65" w:rsidRPr="006B5318">
        <w:rPr>
          <w:rFonts w:ascii="Garamond" w:hAnsi="Garamond"/>
        </w:rPr>
        <w:t>.</w:t>
      </w:r>
      <w:r w:rsidR="00D757D4" w:rsidRPr="006B5318">
        <w:rPr>
          <w:rStyle w:val="FootnoteReference"/>
          <w:rFonts w:ascii="Garamond" w:hAnsi="Garamond"/>
        </w:rPr>
        <w:footnoteReference w:id="5"/>
      </w:r>
      <w:r w:rsidR="00033F33" w:rsidRPr="006B5318">
        <w:rPr>
          <w:rFonts w:ascii="Garamond" w:hAnsi="Garamond"/>
        </w:rPr>
        <w:t xml:space="preserve"> </w:t>
      </w:r>
      <w:r w:rsidR="00181ECB">
        <w:rPr>
          <w:rFonts w:ascii="Garamond" w:hAnsi="Garamond"/>
        </w:rPr>
        <w:t xml:space="preserve">Revisionist scholarship has </w:t>
      </w:r>
      <w:r w:rsidR="00033F33" w:rsidRPr="006B5318">
        <w:rPr>
          <w:rFonts w:ascii="Garamond" w:hAnsi="Garamond"/>
        </w:rPr>
        <w:t>shown that in the early years of her queenship, Margaret</w:t>
      </w:r>
      <w:r w:rsidR="005640BF" w:rsidRPr="006B5318">
        <w:rPr>
          <w:rFonts w:ascii="Garamond" w:hAnsi="Garamond"/>
        </w:rPr>
        <w:t>’s political conduct was in</w:t>
      </w:r>
      <w:r w:rsidR="00C338A8" w:rsidRPr="006B5318">
        <w:rPr>
          <w:rFonts w:ascii="Garamond" w:hAnsi="Garamond"/>
        </w:rPr>
        <w:t xml:space="preserve"> fact in</w:t>
      </w:r>
      <w:r w:rsidR="005640BF" w:rsidRPr="006B5318">
        <w:rPr>
          <w:rFonts w:ascii="Garamond" w:hAnsi="Garamond"/>
        </w:rPr>
        <w:t xml:space="preserve"> keeping with </w:t>
      </w:r>
      <w:r w:rsidR="00C338A8" w:rsidRPr="006B5318">
        <w:rPr>
          <w:rFonts w:ascii="Garamond" w:hAnsi="Garamond"/>
        </w:rPr>
        <w:t>what was</w:t>
      </w:r>
      <w:r w:rsidR="005640BF" w:rsidRPr="006B5318">
        <w:rPr>
          <w:rFonts w:ascii="Garamond" w:hAnsi="Garamond"/>
        </w:rPr>
        <w:t xml:space="preserve"> traditionally expected of a queen consort, her </w:t>
      </w:r>
      <w:r w:rsidR="00C338A8" w:rsidRPr="006B5318">
        <w:rPr>
          <w:rFonts w:ascii="Garamond" w:hAnsi="Garamond"/>
        </w:rPr>
        <w:t>behaviour</w:t>
      </w:r>
      <w:r w:rsidR="005640BF" w:rsidRPr="006B5318">
        <w:rPr>
          <w:rFonts w:ascii="Garamond" w:hAnsi="Garamond"/>
        </w:rPr>
        <w:t xml:space="preserve"> only changing when she was faced with her husband’s mental fragility and the political uncertainty that ensued.</w:t>
      </w:r>
      <w:r w:rsidR="007C3D65" w:rsidRPr="006B5318">
        <w:rPr>
          <w:rFonts w:ascii="Garamond" w:hAnsi="Garamond"/>
        </w:rPr>
        <w:t xml:space="preserve"> </w:t>
      </w:r>
      <w:r w:rsidR="00353ADE" w:rsidRPr="006B5318">
        <w:rPr>
          <w:rFonts w:ascii="Garamond" w:hAnsi="Garamond"/>
        </w:rPr>
        <w:t xml:space="preserve">Literary scholars have also drawn attention to Margaret’s role as a </w:t>
      </w:r>
      <w:r w:rsidR="00013A15" w:rsidRPr="006B5318">
        <w:rPr>
          <w:rFonts w:ascii="Garamond" w:hAnsi="Garamond"/>
        </w:rPr>
        <w:t xml:space="preserve">notable </w:t>
      </w:r>
      <w:r w:rsidR="00353ADE" w:rsidRPr="006B5318">
        <w:rPr>
          <w:rFonts w:ascii="Garamond" w:hAnsi="Garamond"/>
        </w:rPr>
        <w:t>patron</w:t>
      </w:r>
      <w:r w:rsidR="00492B0D" w:rsidRPr="006B5318">
        <w:rPr>
          <w:rFonts w:ascii="Garamond" w:hAnsi="Garamond"/>
        </w:rPr>
        <w:t xml:space="preserve"> </w:t>
      </w:r>
      <w:r w:rsidR="007D025C" w:rsidRPr="006B5318">
        <w:rPr>
          <w:rFonts w:ascii="Garamond" w:hAnsi="Garamond"/>
        </w:rPr>
        <w:t xml:space="preserve">who greatly enriched the </w:t>
      </w:r>
      <w:r w:rsidR="00527161" w:rsidRPr="006B5318">
        <w:rPr>
          <w:rFonts w:ascii="Garamond" w:hAnsi="Garamond"/>
        </w:rPr>
        <w:t xml:space="preserve">literary </w:t>
      </w:r>
      <w:r w:rsidR="007D025C" w:rsidRPr="006B5318">
        <w:rPr>
          <w:rFonts w:ascii="Garamond" w:hAnsi="Garamond"/>
        </w:rPr>
        <w:t>culture of the English court</w:t>
      </w:r>
      <w:r w:rsidR="003D4E39" w:rsidRPr="006B5318">
        <w:rPr>
          <w:rFonts w:ascii="Garamond" w:hAnsi="Garamond"/>
        </w:rPr>
        <w:t xml:space="preserve"> </w:t>
      </w:r>
      <w:r w:rsidR="00117556" w:rsidRPr="006B5318">
        <w:rPr>
          <w:rFonts w:ascii="Garamond" w:hAnsi="Garamond"/>
        </w:rPr>
        <w:t xml:space="preserve">and acted </w:t>
      </w:r>
      <w:r w:rsidR="00305D48" w:rsidRPr="006B5318">
        <w:rPr>
          <w:rFonts w:ascii="Garamond" w:hAnsi="Garamond"/>
        </w:rPr>
        <w:t>as</w:t>
      </w:r>
      <w:r w:rsidR="003D4E39" w:rsidRPr="006B5318">
        <w:rPr>
          <w:rFonts w:ascii="Garamond" w:hAnsi="Garamond"/>
        </w:rPr>
        <w:t xml:space="preserve"> an agent of cross-cultural exchange</w:t>
      </w:r>
      <w:r w:rsidR="00353ADE" w:rsidRPr="006B5318">
        <w:rPr>
          <w:rFonts w:ascii="Garamond" w:hAnsi="Garamond"/>
        </w:rPr>
        <w:t>.</w:t>
      </w:r>
      <w:r w:rsidR="006A60FB" w:rsidRPr="006B5318">
        <w:rPr>
          <w:rStyle w:val="FootnoteReference"/>
          <w:rFonts w:ascii="Garamond" w:hAnsi="Garamond"/>
        </w:rPr>
        <w:footnoteReference w:id="6"/>
      </w:r>
      <w:r w:rsidR="00033F33" w:rsidRPr="006B5318">
        <w:rPr>
          <w:rFonts w:ascii="Garamond" w:hAnsi="Garamond"/>
        </w:rPr>
        <w:t xml:space="preserve"> </w:t>
      </w:r>
      <w:r w:rsidR="0099543D" w:rsidRPr="006B5318">
        <w:rPr>
          <w:rFonts w:ascii="Garamond" w:hAnsi="Garamond"/>
        </w:rPr>
        <w:t xml:space="preserve">Most recently, Michele Seah has added to this chorus of voices </w:t>
      </w:r>
      <w:r w:rsidR="00181ECB">
        <w:rPr>
          <w:rFonts w:ascii="Garamond" w:hAnsi="Garamond"/>
        </w:rPr>
        <w:lastRenderedPageBreak/>
        <w:t>through her positive reappraisal of the</w:t>
      </w:r>
      <w:r w:rsidR="0099543D" w:rsidRPr="006B5318">
        <w:rPr>
          <w:rFonts w:ascii="Garamond" w:hAnsi="Garamond"/>
        </w:rPr>
        <w:t xml:space="preserve"> queen’s economic role as a landholder and estate manager.</w:t>
      </w:r>
      <w:r w:rsidR="009A6E80" w:rsidRPr="006B5318">
        <w:rPr>
          <w:rStyle w:val="FootnoteReference"/>
          <w:rFonts w:ascii="Garamond" w:hAnsi="Garamond"/>
        </w:rPr>
        <w:footnoteReference w:id="7"/>
      </w:r>
      <w:r w:rsidR="0099543D" w:rsidRPr="006B5318">
        <w:rPr>
          <w:rFonts w:ascii="Garamond" w:hAnsi="Garamond"/>
        </w:rPr>
        <w:t xml:space="preserve"> </w:t>
      </w:r>
      <w:r w:rsidR="0039734F" w:rsidRPr="006B5318">
        <w:rPr>
          <w:rFonts w:ascii="Garamond" w:hAnsi="Garamond"/>
        </w:rPr>
        <w:t>L</w:t>
      </w:r>
      <w:r w:rsidR="004F4046" w:rsidRPr="006B5318">
        <w:rPr>
          <w:rFonts w:ascii="Garamond" w:hAnsi="Garamond"/>
        </w:rPr>
        <w:t>ittle consideration</w:t>
      </w:r>
      <w:r w:rsidR="0039734F" w:rsidRPr="006B5318">
        <w:rPr>
          <w:rFonts w:ascii="Garamond" w:hAnsi="Garamond"/>
        </w:rPr>
        <w:t>, however,</w:t>
      </w:r>
      <w:r w:rsidR="004F4046" w:rsidRPr="006B5318">
        <w:rPr>
          <w:rFonts w:ascii="Garamond" w:hAnsi="Garamond"/>
        </w:rPr>
        <w:t xml:space="preserve"> has been given to the ways in which </w:t>
      </w:r>
      <w:r w:rsidR="0039734F" w:rsidRPr="006B5318">
        <w:rPr>
          <w:rFonts w:ascii="Garamond" w:hAnsi="Garamond"/>
        </w:rPr>
        <w:t>Margaret of Anjo</w:t>
      </w:r>
      <w:r w:rsidR="00764140">
        <w:rPr>
          <w:rFonts w:ascii="Garamond" w:hAnsi="Garamond"/>
        </w:rPr>
        <w:t>u deployed</w:t>
      </w:r>
      <w:r w:rsidR="004F4046" w:rsidRPr="006B5318">
        <w:rPr>
          <w:rFonts w:ascii="Garamond" w:hAnsi="Garamond"/>
        </w:rPr>
        <w:t xml:space="preserve"> material culture, and specifi</w:t>
      </w:r>
      <w:r w:rsidR="009C1BF3" w:rsidRPr="006B5318">
        <w:rPr>
          <w:rFonts w:ascii="Garamond" w:hAnsi="Garamond"/>
        </w:rPr>
        <w:t xml:space="preserve">cally </w:t>
      </w:r>
      <w:r w:rsidR="004F4046" w:rsidRPr="006B5318">
        <w:rPr>
          <w:rFonts w:ascii="Garamond" w:hAnsi="Garamond"/>
        </w:rPr>
        <w:t xml:space="preserve">the built environment, to articulate her power and </w:t>
      </w:r>
      <w:r w:rsidR="00AF0203" w:rsidRPr="006B5318">
        <w:rPr>
          <w:rFonts w:ascii="Garamond" w:hAnsi="Garamond"/>
        </w:rPr>
        <w:t>status</w:t>
      </w:r>
      <w:r w:rsidR="004F4046" w:rsidRPr="006B5318">
        <w:rPr>
          <w:rFonts w:ascii="Garamond" w:hAnsi="Garamond"/>
        </w:rPr>
        <w:t xml:space="preserve"> </w:t>
      </w:r>
      <w:r w:rsidR="00521B13" w:rsidRPr="006B5318">
        <w:rPr>
          <w:rFonts w:ascii="Garamond" w:hAnsi="Garamond"/>
        </w:rPr>
        <w:t>as queen</w:t>
      </w:r>
      <w:r w:rsidR="007E20DE" w:rsidRPr="006B5318">
        <w:rPr>
          <w:rFonts w:ascii="Garamond" w:hAnsi="Garamond"/>
        </w:rPr>
        <w:t xml:space="preserve"> consort</w:t>
      </w:r>
      <w:r w:rsidR="00CF3940" w:rsidRPr="006B5318">
        <w:rPr>
          <w:rFonts w:ascii="Garamond" w:hAnsi="Garamond"/>
        </w:rPr>
        <w:t>. This is</w:t>
      </w:r>
      <w:r w:rsidR="00764140">
        <w:rPr>
          <w:rFonts w:ascii="Garamond" w:hAnsi="Garamond"/>
        </w:rPr>
        <w:t xml:space="preserve"> particularly</w:t>
      </w:r>
      <w:r w:rsidR="00CF3940" w:rsidRPr="006B5318">
        <w:rPr>
          <w:rFonts w:ascii="Garamond" w:hAnsi="Garamond"/>
        </w:rPr>
        <w:t xml:space="preserve"> surprising</w:t>
      </w:r>
      <w:r w:rsidR="00764140">
        <w:rPr>
          <w:rFonts w:ascii="Garamond" w:hAnsi="Garamond"/>
        </w:rPr>
        <w:t xml:space="preserve"> </w:t>
      </w:r>
      <w:r w:rsidR="00CF3940" w:rsidRPr="006B5318">
        <w:rPr>
          <w:rFonts w:ascii="Garamond" w:hAnsi="Garamond"/>
        </w:rPr>
        <w:t>given that Margaret is the only late medieval queen of England who is visible in the historical record as a commissioner of domestic architecture in her own right</w:t>
      </w:r>
      <w:r w:rsidR="00E56764" w:rsidRPr="006B5318">
        <w:rPr>
          <w:rFonts w:ascii="Garamond" w:hAnsi="Garamond"/>
        </w:rPr>
        <w:t>.</w:t>
      </w:r>
      <w:r w:rsidR="00966FC8" w:rsidRPr="006B5318">
        <w:rPr>
          <w:rFonts w:ascii="Garamond" w:hAnsi="Garamond"/>
        </w:rPr>
        <w:t xml:space="preserve"> </w:t>
      </w:r>
      <w:r w:rsidR="001234B1" w:rsidRPr="006B5318">
        <w:rPr>
          <w:rFonts w:ascii="Garamond" w:hAnsi="Garamond"/>
        </w:rPr>
        <w:t>Margaret’s</w:t>
      </w:r>
      <w:r w:rsidR="00966FC8" w:rsidRPr="006B5318">
        <w:rPr>
          <w:rFonts w:ascii="Garamond" w:hAnsi="Garamond"/>
        </w:rPr>
        <w:t xml:space="preserve"> building activities</w:t>
      </w:r>
      <w:r w:rsidR="00181ECB">
        <w:rPr>
          <w:rFonts w:ascii="Garamond" w:hAnsi="Garamond"/>
        </w:rPr>
        <w:t xml:space="preserve">, therefore, </w:t>
      </w:r>
      <w:r w:rsidR="00966FC8" w:rsidRPr="006B5318">
        <w:rPr>
          <w:rFonts w:ascii="Garamond" w:hAnsi="Garamond"/>
        </w:rPr>
        <w:t xml:space="preserve">offer a unique and important </w:t>
      </w:r>
      <w:r w:rsidR="00173F91" w:rsidRPr="006B5318">
        <w:rPr>
          <w:rFonts w:ascii="Garamond" w:hAnsi="Garamond"/>
        </w:rPr>
        <w:t>window</w:t>
      </w:r>
      <w:r w:rsidR="00966FC8" w:rsidRPr="006B5318">
        <w:rPr>
          <w:rFonts w:ascii="Garamond" w:hAnsi="Garamond"/>
        </w:rPr>
        <w:t xml:space="preserve"> </w:t>
      </w:r>
      <w:r w:rsidR="00173F91" w:rsidRPr="006B5318">
        <w:rPr>
          <w:rFonts w:ascii="Garamond" w:hAnsi="Garamond"/>
        </w:rPr>
        <w:t>o</w:t>
      </w:r>
      <w:r w:rsidR="00966FC8" w:rsidRPr="006B5318">
        <w:rPr>
          <w:rFonts w:ascii="Garamond" w:hAnsi="Garamond"/>
        </w:rPr>
        <w:t>nto female patronage and women’s curation of domestic space</w:t>
      </w:r>
      <w:r w:rsidR="0039734F" w:rsidRPr="006B5318">
        <w:rPr>
          <w:rFonts w:ascii="Garamond" w:hAnsi="Garamond"/>
        </w:rPr>
        <w:t xml:space="preserve"> in late medieval England</w:t>
      </w:r>
      <w:r w:rsidR="00EA3FF4">
        <w:rPr>
          <w:rFonts w:ascii="Garamond" w:hAnsi="Garamond"/>
        </w:rPr>
        <w:t xml:space="preserve">, as the ensuing discussion will demonstrate. </w:t>
      </w:r>
    </w:p>
    <w:p w14:paraId="0703D34D" w14:textId="77777777" w:rsidR="00F16562" w:rsidRPr="006B5318" w:rsidRDefault="00F16562" w:rsidP="00925E27">
      <w:pPr>
        <w:tabs>
          <w:tab w:val="left" w:pos="3309"/>
        </w:tabs>
        <w:spacing w:line="276" w:lineRule="auto"/>
        <w:jc w:val="both"/>
        <w:rPr>
          <w:rFonts w:ascii="Garamond" w:hAnsi="Garamond"/>
          <w:b/>
          <w:bCs/>
        </w:rPr>
      </w:pPr>
    </w:p>
    <w:p w14:paraId="507F41E5" w14:textId="77777777" w:rsidR="00F16562" w:rsidRPr="006B5318" w:rsidRDefault="00F16562" w:rsidP="00925E27">
      <w:pPr>
        <w:tabs>
          <w:tab w:val="left" w:pos="3309"/>
        </w:tabs>
        <w:spacing w:line="276" w:lineRule="auto"/>
        <w:jc w:val="both"/>
        <w:rPr>
          <w:rFonts w:ascii="Garamond" w:hAnsi="Garamond"/>
          <w:b/>
          <w:bCs/>
          <w:strike/>
        </w:rPr>
      </w:pPr>
    </w:p>
    <w:p w14:paraId="4527D766" w14:textId="7A676E45" w:rsidR="00F16562" w:rsidRPr="006B5318" w:rsidRDefault="00F16562" w:rsidP="00F16562">
      <w:pPr>
        <w:tabs>
          <w:tab w:val="left" w:pos="3309"/>
        </w:tabs>
        <w:spacing w:line="276" w:lineRule="auto"/>
        <w:jc w:val="both"/>
        <w:rPr>
          <w:rFonts w:ascii="Garamond" w:hAnsi="Garamond"/>
          <w:b/>
          <w:bCs/>
        </w:rPr>
      </w:pPr>
      <w:r w:rsidRPr="006B5318">
        <w:rPr>
          <w:rFonts w:ascii="Garamond" w:hAnsi="Garamond"/>
          <w:b/>
          <w:bCs/>
        </w:rPr>
        <w:t>G</w:t>
      </w:r>
      <w:r w:rsidR="007F7D1C" w:rsidRPr="006B5318">
        <w:rPr>
          <w:rFonts w:ascii="Garamond" w:hAnsi="Garamond"/>
          <w:b/>
          <w:bCs/>
        </w:rPr>
        <w:t>reenwich Palace</w:t>
      </w:r>
      <w:r w:rsidR="00173F91" w:rsidRPr="006B5318">
        <w:rPr>
          <w:rFonts w:ascii="Garamond" w:hAnsi="Garamond"/>
          <w:b/>
          <w:bCs/>
        </w:rPr>
        <w:t xml:space="preserve">: The Story </w:t>
      </w:r>
      <w:r w:rsidR="00612C7B" w:rsidRPr="006B5318">
        <w:rPr>
          <w:rFonts w:ascii="Garamond" w:hAnsi="Garamond"/>
          <w:b/>
          <w:bCs/>
        </w:rPr>
        <w:t>so Far</w:t>
      </w:r>
    </w:p>
    <w:p w14:paraId="247F351F" w14:textId="77777777" w:rsidR="00F16562" w:rsidRPr="006B5318" w:rsidRDefault="00F16562" w:rsidP="00F16562">
      <w:pPr>
        <w:tabs>
          <w:tab w:val="left" w:pos="3309"/>
        </w:tabs>
        <w:spacing w:line="276" w:lineRule="auto"/>
        <w:jc w:val="both"/>
        <w:rPr>
          <w:rFonts w:ascii="Garamond" w:hAnsi="Garamond"/>
        </w:rPr>
      </w:pPr>
    </w:p>
    <w:p w14:paraId="3FB2E739" w14:textId="24E2AEA5" w:rsidR="00F64DED" w:rsidRPr="006B5318" w:rsidRDefault="004C6D45" w:rsidP="006D03FD">
      <w:pPr>
        <w:spacing w:line="276" w:lineRule="auto"/>
        <w:ind w:firstLine="567"/>
        <w:jc w:val="both"/>
        <w:rPr>
          <w:rFonts w:ascii="Garamond" w:hAnsi="Garamond"/>
        </w:rPr>
      </w:pPr>
      <w:r w:rsidRPr="006B5318">
        <w:rPr>
          <w:rFonts w:ascii="Garamond" w:hAnsi="Garamond"/>
        </w:rPr>
        <w:t xml:space="preserve">Today, Greenwich palace lies buried beneath the Old Royal Naval College on the southern banks of the River Thames. Margaret’s residence, however, had long been demolished by the time the Naval College (which had first served as Greenwich Hospital) was constructed in the seventeenth century, </w:t>
      </w:r>
      <w:r w:rsidR="00181ECB">
        <w:rPr>
          <w:rFonts w:ascii="Garamond" w:hAnsi="Garamond"/>
        </w:rPr>
        <w:t>as it had</w:t>
      </w:r>
      <w:r w:rsidRPr="006B5318">
        <w:rPr>
          <w:rFonts w:ascii="Garamond" w:hAnsi="Garamond"/>
        </w:rPr>
        <w:t xml:space="preserve"> been rebuilt at the end of the fifteenth century by Henry VII.</w:t>
      </w:r>
      <w:r w:rsidRPr="006B5318">
        <w:rPr>
          <w:rStyle w:val="FootnoteReference"/>
          <w:rFonts w:ascii="Garamond" w:hAnsi="Garamond"/>
        </w:rPr>
        <w:footnoteReference w:id="8"/>
      </w:r>
      <w:r w:rsidRPr="006B5318">
        <w:rPr>
          <w:rFonts w:ascii="Garamond" w:hAnsi="Garamond"/>
        </w:rPr>
        <w:t xml:space="preserve"> </w:t>
      </w:r>
      <w:r w:rsidR="00DC1452" w:rsidRPr="006B5318">
        <w:rPr>
          <w:rFonts w:ascii="Garamond" w:hAnsi="Garamond"/>
        </w:rPr>
        <w:t xml:space="preserve">In the absence of surviving standing remains, information about </w:t>
      </w:r>
      <w:r w:rsidR="00C618D9" w:rsidRPr="006B5318">
        <w:rPr>
          <w:rFonts w:ascii="Garamond" w:hAnsi="Garamond"/>
        </w:rPr>
        <w:t>Margaret’s palace can</w:t>
      </w:r>
      <w:r w:rsidR="0039734F" w:rsidRPr="006B5318">
        <w:rPr>
          <w:rFonts w:ascii="Garamond" w:hAnsi="Garamond"/>
        </w:rPr>
        <w:t xml:space="preserve"> instead</w:t>
      </w:r>
      <w:r w:rsidR="00C618D9" w:rsidRPr="006B5318">
        <w:rPr>
          <w:rFonts w:ascii="Garamond" w:hAnsi="Garamond"/>
        </w:rPr>
        <w:t xml:space="preserve"> be gleaned from </w:t>
      </w:r>
      <w:r w:rsidR="00F64DED" w:rsidRPr="006B5318">
        <w:rPr>
          <w:rFonts w:ascii="Garamond" w:hAnsi="Garamond"/>
        </w:rPr>
        <w:t>the building accounts compiled between</w:t>
      </w:r>
      <w:r w:rsidR="006D03FD" w:rsidRPr="006B5318">
        <w:rPr>
          <w:rFonts w:ascii="Garamond" w:hAnsi="Garamond"/>
        </w:rPr>
        <w:t xml:space="preserve"> 1447 and 1453</w:t>
      </w:r>
      <w:r w:rsidR="00F64DED" w:rsidRPr="006B5318">
        <w:rPr>
          <w:rFonts w:ascii="Garamond" w:hAnsi="Garamond"/>
        </w:rPr>
        <w:t xml:space="preserve"> by</w:t>
      </w:r>
      <w:r w:rsidR="0039734F" w:rsidRPr="006B5318">
        <w:rPr>
          <w:rFonts w:ascii="Garamond" w:hAnsi="Garamond"/>
        </w:rPr>
        <w:t xml:space="preserve"> the Clerk of Works,</w:t>
      </w:r>
      <w:r w:rsidR="00F64DED" w:rsidRPr="006B5318">
        <w:rPr>
          <w:rFonts w:ascii="Garamond" w:hAnsi="Garamond"/>
        </w:rPr>
        <w:t xml:space="preserve"> Robert Kettlewell, who oversaw the works at Greenwich, a</w:t>
      </w:r>
      <w:r w:rsidR="006D03FD" w:rsidRPr="006B5318">
        <w:rPr>
          <w:rFonts w:ascii="Garamond" w:hAnsi="Garamond"/>
        </w:rPr>
        <w:t>s well as</w:t>
      </w:r>
      <w:r w:rsidR="00F64DED" w:rsidRPr="006B5318">
        <w:rPr>
          <w:rFonts w:ascii="Garamond" w:hAnsi="Garamond"/>
        </w:rPr>
        <w:t xml:space="preserve"> those at the </w:t>
      </w:r>
      <w:r w:rsidR="00C5593F" w:rsidRPr="006B5318">
        <w:rPr>
          <w:rFonts w:ascii="Garamond" w:hAnsi="Garamond"/>
        </w:rPr>
        <w:t xml:space="preserve">nearby </w:t>
      </w:r>
      <w:r w:rsidR="00F64DED" w:rsidRPr="006B5318">
        <w:rPr>
          <w:rFonts w:ascii="Garamond" w:hAnsi="Garamond"/>
        </w:rPr>
        <w:t>royal palace of Eltham.</w:t>
      </w:r>
      <w:r w:rsidR="00DC1452" w:rsidRPr="006B5318">
        <w:rPr>
          <w:rStyle w:val="FootnoteReference"/>
          <w:rFonts w:ascii="Garamond" w:hAnsi="Garamond"/>
        </w:rPr>
        <w:footnoteReference w:id="9"/>
      </w:r>
      <w:r w:rsidR="00DC1452" w:rsidRPr="006B5318">
        <w:rPr>
          <w:rFonts w:ascii="Garamond" w:hAnsi="Garamond"/>
        </w:rPr>
        <w:t xml:space="preserve"> </w:t>
      </w:r>
      <w:r w:rsidR="00C5593F" w:rsidRPr="006B5318">
        <w:rPr>
          <w:rFonts w:ascii="Garamond" w:hAnsi="Garamond"/>
        </w:rPr>
        <w:t>A</w:t>
      </w:r>
      <w:r w:rsidR="00DC1452" w:rsidRPr="006B5318">
        <w:rPr>
          <w:rFonts w:ascii="Garamond" w:hAnsi="Garamond"/>
        </w:rPr>
        <w:t>n account book for the years 1453-4 and five accounts of the treasurers of the chamber</w:t>
      </w:r>
      <w:r w:rsidR="00C5593F" w:rsidRPr="006B5318">
        <w:rPr>
          <w:rFonts w:ascii="Garamond" w:hAnsi="Garamond"/>
        </w:rPr>
        <w:t xml:space="preserve"> </w:t>
      </w:r>
      <w:r w:rsidR="00DC1452" w:rsidRPr="006B5318">
        <w:rPr>
          <w:rFonts w:ascii="Garamond" w:hAnsi="Garamond"/>
        </w:rPr>
        <w:t>provide</w:t>
      </w:r>
      <w:r w:rsidR="00EB34B1" w:rsidRPr="006B5318">
        <w:rPr>
          <w:rFonts w:ascii="Garamond" w:hAnsi="Garamond"/>
        </w:rPr>
        <w:t xml:space="preserve"> further</w:t>
      </w:r>
      <w:r w:rsidR="00DC1452" w:rsidRPr="006B5318">
        <w:rPr>
          <w:rFonts w:ascii="Garamond" w:hAnsi="Garamond"/>
        </w:rPr>
        <w:t xml:space="preserve"> details on </w:t>
      </w:r>
      <w:r w:rsidR="00764140">
        <w:rPr>
          <w:rFonts w:ascii="Garamond" w:hAnsi="Garamond"/>
        </w:rPr>
        <w:t>Margaret’s</w:t>
      </w:r>
      <w:r w:rsidR="00DC1452" w:rsidRPr="006B5318">
        <w:rPr>
          <w:rFonts w:ascii="Garamond" w:hAnsi="Garamond"/>
        </w:rPr>
        <w:t xml:space="preserve"> use of the palace and some of the </w:t>
      </w:r>
      <w:r w:rsidR="002B196E" w:rsidRPr="006B5318">
        <w:rPr>
          <w:rFonts w:ascii="Garamond" w:hAnsi="Garamond"/>
        </w:rPr>
        <w:t xml:space="preserve">moveable </w:t>
      </w:r>
      <w:r w:rsidR="00DC1452" w:rsidRPr="006B5318">
        <w:rPr>
          <w:rFonts w:ascii="Garamond" w:hAnsi="Garamond"/>
        </w:rPr>
        <w:t>objects within it.</w:t>
      </w:r>
      <w:r w:rsidR="00DC1452" w:rsidRPr="006B5318">
        <w:rPr>
          <w:rStyle w:val="FootnoteReference"/>
          <w:rFonts w:ascii="Garamond" w:hAnsi="Garamond"/>
        </w:rPr>
        <w:footnoteReference w:id="10"/>
      </w:r>
      <w:r w:rsidR="00DC1452" w:rsidRPr="006B5318">
        <w:rPr>
          <w:rFonts w:ascii="Garamond" w:hAnsi="Garamond"/>
        </w:rPr>
        <w:t xml:space="preserve"> </w:t>
      </w:r>
      <w:r w:rsidR="006D03FD" w:rsidRPr="006B5318">
        <w:rPr>
          <w:rFonts w:ascii="Garamond" w:hAnsi="Garamond"/>
        </w:rPr>
        <w:t xml:space="preserve">In addition to the archival evidence, a </w:t>
      </w:r>
      <w:r w:rsidR="00DC1452" w:rsidRPr="006B5318">
        <w:rPr>
          <w:rFonts w:ascii="Garamond" w:hAnsi="Garamond"/>
        </w:rPr>
        <w:t>report of the archaeological excavations carried out by Phillip Dixon and his team during the early 1970s</w:t>
      </w:r>
      <w:r w:rsidR="006D03FD" w:rsidRPr="006B5318">
        <w:rPr>
          <w:rFonts w:ascii="Garamond" w:hAnsi="Garamond"/>
        </w:rPr>
        <w:t xml:space="preserve"> </w:t>
      </w:r>
      <w:r w:rsidR="003003AE" w:rsidRPr="006B5318">
        <w:rPr>
          <w:rFonts w:ascii="Garamond" w:hAnsi="Garamond"/>
        </w:rPr>
        <w:t xml:space="preserve">provides </w:t>
      </w:r>
      <w:r w:rsidR="004644CC" w:rsidRPr="006B5318">
        <w:rPr>
          <w:rFonts w:ascii="Garamond" w:hAnsi="Garamond"/>
        </w:rPr>
        <w:t xml:space="preserve">detailed </w:t>
      </w:r>
      <w:r w:rsidR="003003AE" w:rsidRPr="006B5318">
        <w:rPr>
          <w:rFonts w:ascii="Garamond" w:hAnsi="Garamond"/>
        </w:rPr>
        <w:t>information on the</w:t>
      </w:r>
      <w:r w:rsidR="00DC1452" w:rsidRPr="006B5318">
        <w:rPr>
          <w:rFonts w:ascii="Garamond" w:hAnsi="Garamond"/>
        </w:rPr>
        <w:t xml:space="preserve"> </w:t>
      </w:r>
      <w:r w:rsidR="005E5BB8">
        <w:rPr>
          <w:rFonts w:ascii="Garamond" w:hAnsi="Garamond"/>
        </w:rPr>
        <w:t>site’s development</w:t>
      </w:r>
      <w:r w:rsidR="00DC1452" w:rsidRPr="006B5318">
        <w:rPr>
          <w:rFonts w:ascii="Garamond" w:hAnsi="Garamond"/>
        </w:rPr>
        <w:t>.</w:t>
      </w:r>
      <w:r w:rsidR="000D00E5" w:rsidRPr="006B5318">
        <w:rPr>
          <w:rStyle w:val="FootnoteReference"/>
          <w:rFonts w:ascii="Garamond" w:hAnsi="Garamond"/>
        </w:rPr>
        <w:footnoteReference w:id="11"/>
      </w:r>
    </w:p>
    <w:p w14:paraId="307BAC2D" w14:textId="484C2881" w:rsidR="00DC1452" w:rsidRPr="006B5318" w:rsidRDefault="004C6D45" w:rsidP="009C3AF4">
      <w:pPr>
        <w:spacing w:line="276" w:lineRule="auto"/>
        <w:ind w:firstLine="567"/>
        <w:jc w:val="both"/>
        <w:rPr>
          <w:rFonts w:ascii="Garamond" w:hAnsi="Garamond"/>
        </w:rPr>
      </w:pPr>
      <w:r w:rsidRPr="006B5318">
        <w:rPr>
          <w:rFonts w:ascii="Garamond" w:hAnsi="Garamond"/>
        </w:rPr>
        <w:t>Previous studies</w:t>
      </w:r>
      <w:r w:rsidR="00C5593F" w:rsidRPr="006B5318">
        <w:rPr>
          <w:rFonts w:ascii="Garamond" w:hAnsi="Garamond"/>
        </w:rPr>
        <w:t xml:space="preserve"> of Greenwich Palace</w:t>
      </w:r>
      <w:r w:rsidRPr="006B5318">
        <w:rPr>
          <w:rFonts w:ascii="Garamond" w:hAnsi="Garamond"/>
        </w:rPr>
        <w:t xml:space="preserve"> have tended to focus primarily on the later history of the site, for which there is more evidence, and its male owners.</w:t>
      </w:r>
      <w:r w:rsidRPr="006B5318">
        <w:rPr>
          <w:rStyle w:val="FootnoteReference"/>
          <w:rFonts w:ascii="Garamond" w:hAnsi="Garamond"/>
        </w:rPr>
        <w:footnoteReference w:id="12"/>
      </w:r>
      <w:r w:rsidRPr="006B5318">
        <w:rPr>
          <w:rFonts w:ascii="Garamond" w:hAnsi="Garamond"/>
        </w:rPr>
        <w:t xml:space="preserve"> As the birthplace of Henry VIII, the palace’s better known Tudor incarnation has also captured the popular imagination: when Time Team excavated the site in 2003, they focused wholly on the palace’s associations with the most famous Tudor king, seeking to locate the king’s armoury and tilt yard.</w:t>
      </w:r>
      <w:r w:rsidRPr="006B5318">
        <w:rPr>
          <w:rStyle w:val="FootnoteReference"/>
          <w:rFonts w:ascii="Garamond" w:hAnsi="Garamond"/>
        </w:rPr>
        <w:footnoteReference w:id="13"/>
      </w:r>
      <w:r w:rsidRPr="006B5318">
        <w:rPr>
          <w:rFonts w:ascii="Garamond" w:hAnsi="Garamond"/>
        </w:rPr>
        <w:t xml:space="preserve"> </w:t>
      </w:r>
      <w:r w:rsidR="009833A2">
        <w:rPr>
          <w:rFonts w:ascii="Garamond" w:hAnsi="Garamond"/>
        </w:rPr>
        <w:t xml:space="preserve">While </w:t>
      </w:r>
      <w:r w:rsidRPr="006B5318">
        <w:rPr>
          <w:rFonts w:ascii="Garamond" w:hAnsi="Garamond"/>
        </w:rPr>
        <w:t>Amanda Richardson has</w:t>
      </w:r>
      <w:r w:rsidR="009833A2">
        <w:rPr>
          <w:rFonts w:ascii="Garamond" w:hAnsi="Garamond"/>
        </w:rPr>
        <w:t xml:space="preserve"> notably</w:t>
      </w:r>
      <w:r w:rsidR="00EB34B1" w:rsidRPr="006B5318">
        <w:rPr>
          <w:rFonts w:ascii="Garamond" w:hAnsi="Garamond"/>
        </w:rPr>
        <w:t xml:space="preserve"> departed from the Tudor narrative to</w:t>
      </w:r>
      <w:r w:rsidRPr="006B5318">
        <w:rPr>
          <w:rFonts w:ascii="Garamond" w:hAnsi="Garamond"/>
        </w:rPr>
        <w:t xml:space="preserve"> shed light on the earlier manor house </w:t>
      </w:r>
      <w:r w:rsidRPr="006B5318">
        <w:rPr>
          <w:rFonts w:ascii="Garamond" w:hAnsi="Garamond"/>
        </w:rPr>
        <w:lastRenderedPageBreak/>
        <w:t xml:space="preserve">built on the site by </w:t>
      </w:r>
      <w:r w:rsidR="00EB34B1" w:rsidRPr="006B5318">
        <w:rPr>
          <w:rFonts w:ascii="Garamond" w:hAnsi="Garamond"/>
        </w:rPr>
        <w:t>Margaret of Anjou’s</w:t>
      </w:r>
      <w:r w:rsidRPr="006B5318">
        <w:rPr>
          <w:rFonts w:ascii="Garamond" w:hAnsi="Garamond"/>
        </w:rPr>
        <w:t xml:space="preserve"> predecessor, Humphrey Duke of Gloucester</w:t>
      </w:r>
      <w:r w:rsidR="009833A2">
        <w:rPr>
          <w:rFonts w:ascii="Garamond" w:hAnsi="Garamond"/>
        </w:rPr>
        <w:t>, the</w:t>
      </w:r>
      <w:r w:rsidRPr="006B5318">
        <w:rPr>
          <w:rFonts w:ascii="Garamond" w:hAnsi="Garamond"/>
        </w:rPr>
        <w:t xml:space="preserve"> significance of Margaret’s building activities at the site</w:t>
      </w:r>
      <w:r w:rsidR="009833A2">
        <w:rPr>
          <w:rFonts w:ascii="Garamond" w:hAnsi="Garamond"/>
        </w:rPr>
        <w:t xml:space="preserve"> </w:t>
      </w:r>
      <w:r w:rsidRPr="006B5318">
        <w:rPr>
          <w:rFonts w:ascii="Garamond" w:hAnsi="Garamond"/>
        </w:rPr>
        <w:t xml:space="preserve">have yet to be critically examined. </w:t>
      </w:r>
      <w:r w:rsidR="00C5593F" w:rsidRPr="006B5318">
        <w:rPr>
          <w:rFonts w:ascii="Garamond" w:hAnsi="Garamond"/>
        </w:rPr>
        <w:t>In the few, brief instances where</w:t>
      </w:r>
      <w:r w:rsidR="00FA2B94" w:rsidRPr="006B5318">
        <w:rPr>
          <w:rFonts w:ascii="Garamond" w:hAnsi="Garamond"/>
        </w:rPr>
        <w:t xml:space="preserve"> Margaret’s palace has been discussed</w:t>
      </w:r>
      <w:r w:rsidR="006C15CE" w:rsidRPr="006B5318">
        <w:rPr>
          <w:rFonts w:ascii="Garamond" w:hAnsi="Garamond"/>
        </w:rPr>
        <w:t xml:space="preserve">, </w:t>
      </w:r>
      <w:r w:rsidR="00FA2B94" w:rsidRPr="006B5318">
        <w:rPr>
          <w:rFonts w:ascii="Garamond" w:hAnsi="Garamond"/>
        </w:rPr>
        <w:t>emphasis has</w:t>
      </w:r>
      <w:r w:rsidR="006644BF" w:rsidRPr="006B5318">
        <w:rPr>
          <w:rFonts w:ascii="Garamond" w:hAnsi="Garamond"/>
        </w:rPr>
        <w:t xml:space="preserve"> instead</w:t>
      </w:r>
      <w:r w:rsidR="00FA2B94" w:rsidRPr="006B5318">
        <w:rPr>
          <w:rFonts w:ascii="Garamond" w:hAnsi="Garamond"/>
        </w:rPr>
        <w:t xml:space="preserve"> fallen</w:t>
      </w:r>
      <w:r w:rsidR="007F7D1C" w:rsidRPr="006B5318">
        <w:rPr>
          <w:rFonts w:ascii="Garamond" w:hAnsi="Garamond"/>
        </w:rPr>
        <w:t xml:space="preserve"> on the</w:t>
      </w:r>
      <w:r w:rsidR="00FA2B94" w:rsidRPr="006B5318">
        <w:rPr>
          <w:rFonts w:ascii="Garamond" w:hAnsi="Garamond"/>
        </w:rPr>
        <w:t xml:space="preserve"> </w:t>
      </w:r>
      <w:r w:rsidR="006C15CE" w:rsidRPr="006B5318">
        <w:rPr>
          <w:rFonts w:ascii="Garamond" w:hAnsi="Garamond"/>
        </w:rPr>
        <w:t>events which took place</w:t>
      </w:r>
      <w:r w:rsidR="00E56764" w:rsidRPr="006B5318">
        <w:rPr>
          <w:rFonts w:ascii="Garamond" w:hAnsi="Garamond"/>
        </w:rPr>
        <w:t xml:space="preserve"> </w:t>
      </w:r>
      <w:r w:rsidR="00181ECB">
        <w:rPr>
          <w:rFonts w:ascii="Garamond" w:hAnsi="Garamond"/>
        </w:rPr>
        <w:t>there</w:t>
      </w:r>
      <w:r w:rsidR="006C15CE" w:rsidRPr="006B5318">
        <w:rPr>
          <w:rFonts w:ascii="Garamond" w:hAnsi="Garamond"/>
        </w:rPr>
        <w:t xml:space="preserve">, and the extent to which the queen’s formation of her own household defied or supported the king’s governance. In his biography of Henry VI, Ralph Griffiths </w:t>
      </w:r>
      <w:r w:rsidR="00181ECB">
        <w:rPr>
          <w:rFonts w:ascii="Garamond" w:hAnsi="Garamond"/>
        </w:rPr>
        <w:t>argues</w:t>
      </w:r>
      <w:r w:rsidR="006C15CE" w:rsidRPr="006B5318">
        <w:rPr>
          <w:rFonts w:ascii="Garamond" w:hAnsi="Garamond"/>
        </w:rPr>
        <w:t xml:space="preserve"> that ‘major constitutional and political changes…occurred at the queen’s manor house of Greenwich’, although he </w:t>
      </w:r>
      <w:r w:rsidR="00FA2B94" w:rsidRPr="006B5318">
        <w:rPr>
          <w:rFonts w:ascii="Garamond" w:hAnsi="Garamond"/>
        </w:rPr>
        <w:t xml:space="preserve">continues that </w:t>
      </w:r>
      <w:r w:rsidR="006C15CE" w:rsidRPr="006B5318">
        <w:rPr>
          <w:rFonts w:ascii="Garamond" w:hAnsi="Garamond"/>
        </w:rPr>
        <w:t>‘the role of Queen Margaret in precipitating them remains obscure’.</w:t>
      </w:r>
      <w:r w:rsidR="006C15CE" w:rsidRPr="006B5318">
        <w:rPr>
          <w:rStyle w:val="FootnoteReference"/>
          <w:rFonts w:ascii="Garamond" w:hAnsi="Garamond"/>
        </w:rPr>
        <w:footnoteReference w:id="14"/>
      </w:r>
      <w:r w:rsidR="006C15CE" w:rsidRPr="006B5318">
        <w:rPr>
          <w:rFonts w:ascii="Garamond" w:hAnsi="Garamond"/>
        </w:rPr>
        <w:t xml:space="preserve"> In her study of late medieval English queenship, Joanna Laynesmith argues that the queen’s household at Greenwich was not a discrete entity but was instead interlinked with the king’s household and court, thus complementing and enriching the nature of English kingship.</w:t>
      </w:r>
      <w:r w:rsidR="006C15CE" w:rsidRPr="006B5318">
        <w:rPr>
          <w:rStyle w:val="FootnoteReference"/>
          <w:rFonts w:ascii="Garamond" w:hAnsi="Garamond"/>
        </w:rPr>
        <w:footnoteReference w:id="15"/>
      </w:r>
      <w:r w:rsidR="00A21616" w:rsidRPr="006B5318">
        <w:rPr>
          <w:rFonts w:ascii="Garamond" w:hAnsi="Garamond"/>
        </w:rPr>
        <w:t xml:space="preserve"> </w:t>
      </w:r>
      <w:r w:rsidR="008F54FE">
        <w:rPr>
          <w:rFonts w:ascii="Garamond" w:hAnsi="Garamond"/>
        </w:rPr>
        <w:t>Thus, in</w:t>
      </w:r>
      <w:r w:rsidR="00DC1452" w:rsidRPr="006B5318">
        <w:rPr>
          <w:rFonts w:ascii="Garamond" w:hAnsi="Garamond"/>
        </w:rPr>
        <w:t xml:space="preserve"> focusing on the physical, rather than social, fabric of Margaret’s palace, this article not only fills an important gap in the site’s history, but also sheds new light on our understanding of Margaret’s character and exercise of queenly power as it was </w:t>
      </w:r>
      <w:r w:rsidR="00FC5A4A">
        <w:rPr>
          <w:rFonts w:ascii="Garamond" w:hAnsi="Garamond"/>
        </w:rPr>
        <w:t xml:space="preserve">articulated </w:t>
      </w:r>
      <w:r w:rsidR="00DC1452" w:rsidRPr="006B5318">
        <w:rPr>
          <w:rFonts w:ascii="Garamond" w:hAnsi="Garamond"/>
        </w:rPr>
        <w:t xml:space="preserve">through the built environment. </w:t>
      </w:r>
    </w:p>
    <w:p w14:paraId="31CA1182" w14:textId="1388F518" w:rsidR="004C6D45" w:rsidRPr="006B5318" w:rsidRDefault="004C6D45" w:rsidP="00A21616">
      <w:pPr>
        <w:tabs>
          <w:tab w:val="left" w:pos="3309"/>
        </w:tabs>
        <w:spacing w:line="276" w:lineRule="auto"/>
        <w:ind w:firstLine="567"/>
        <w:jc w:val="both"/>
        <w:rPr>
          <w:rFonts w:ascii="Garamond" w:hAnsi="Garamond"/>
        </w:rPr>
      </w:pPr>
    </w:p>
    <w:p w14:paraId="09CFFCFF" w14:textId="3A11446E" w:rsidR="00A21616" w:rsidRPr="006B5318" w:rsidRDefault="00A21616" w:rsidP="007F7D1C">
      <w:pPr>
        <w:tabs>
          <w:tab w:val="left" w:pos="3309"/>
        </w:tabs>
        <w:spacing w:line="276" w:lineRule="auto"/>
        <w:jc w:val="both"/>
        <w:rPr>
          <w:rFonts w:ascii="Garamond" w:hAnsi="Garamond"/>
        </w:rPr>
      </w:pPr>
    </w:p>
    <w:p w14:paraId="1C671ECE" w14:textId="77777777" w:rsidR="00612C7B" w:rsidRPr="006B5318" w:rsidRDefault="007F7D1C" w:rsidP="00612C7B">
      <w:pPr>
        <w:tabs>
          <w:tab w:val="left" w:pos="3309"/>
        </w:tabs>
        <w:spacing w:line="276" w:lineRule="auto"/>
        <w:jc w:val="both"/>
        <w:rPr>
          <w:rFonts w:ascii="Garamond" w:hAnsi="Garamond"/>
          <w:b/>
          <w:bCs/>
        </w:rPr>
      </w:pPr>
      <w:r w:rsidRPr="006B5318">
        <w:rPr>
          <w:rFonts w:ascii="Garamond" w:hAnsi="Garamond"/>
          <w:b/>
          <w:bCs/>
        </w:rPr>
        <w:t>Gender and Castle Studies</w:t>
      </w:r>
    </w:p>
    <w:p w14:paraId="43677335" w14:textId="77777777" w:rsidR="00612C7B" w:rsidRPr="006B5318" w:rsidRDefault="00612C7B" w:rsidP="00612C7B">
      <w:pPr>
        <w:tabs>
          <w:tab w:val="left" w:pos="3309"/>
        </w:tabs>
        <w:spacing w:line="276" w:lineRule="auto"/>
        <w:jc w:val="both"/>
        <w:rPr>
          <w:rFonts w:ascii="Garamond" w:hAnsi="Garamond"/>
          <w:b/>
          <w:bCs/>
        </w:rPr>
      </w:pPr>
    </w:p>
    <w:p w14:paraId="05130A21" w14:textId="77777777" w:rsidR="00815E0D" w:rsidRPr="006B5318" w:rsidRDefault="00F16562" w:rsidP="004001BE">
      <w:pPr>
        <w:tabs>
          <w:tab w:val="left" w:pos="3309"/>
        </w:tabs>
        <w:spacing w:line="276" w:lineRule="auto"/>
        <w:ind w:firstLine="567"/>
        <w:jc w:val="both"/>
        <w:rPr>
          <w:rFonts w:ascii="Garamond" w:hAnsi="Garamond"/>
        </w:rPr>
      </w:pPr>
      <w:r w:rsidRPr="006B5318">
        <w:rPr>
          <w:rFonts w:ascii="Garamond" w:hAnsi="Garamond"/>
        </w:rPr>
        <w:t xml:space="preserve">In </w:t>
      </w:r>
      <w:r w:rsidR="007F318E" w:rsidRPr="006B5318">
        <w:rPr>
          <w:rFonts w:ascii="Garamond" w:hAnsi="Garamond"/>
        </w:rPr>
        <w:t>great houses</w:t>
      </w:r>
      <w:r w:rsidRPr="006B5318">
        <w:rPr>
          <w:rFonts w:ascii="Garamond" w:hAnsi="Garamond"/>
        </w:rPr>
        <w:t xml:space="preserve"> headed by men, women’s apartments were routinely located in the more secluded areas of the domestic complex, away from ceremonial spaces and routeways.</w:t>
      </w:r>
      <w:r w:rsidRPr="006B5318">
        <w:rPr>
          <w:rStyle w:val="FootnoteReference"/>
          <w:rFonts w:ascii="Garamond" w:hAnsi="Garamond"/>
        </w:rPr>
        <w:footnoteReference w:id="16"/>
      </w:r>
      <w:r w:rsidRPr="006B5318">
        <w:rPr>
          <w:rFonts w:ascii="Garamond" w:hAnsi="Garamond"/>
        </w:rPr>
        <w:t xml:space="preserve"> The physical enclosure of royal and noble women recalled contemporary imagery of the Virgin Mary, in which the queen of heaven is shown within enclosed domestic spaces such as bedchambers and walled gardens, which both contain and symbolise her chaste female body. Views onto spaces which symbolised the queen’s chastity, particularly chapels and enclosed gardens, were also commonplace, as was imagery which emphasised the Virgin</w:t>
      </w:r>
      <w:r w:rsidR="00612C7B" w:rsidRPr="006B5318">
        <w:rPr>
          <w:rFonts w:ascii="Garamond" w:hAnsi="Garamond"/>
        </w:rPr>
        <w:t>’s</w:t>
      </w:r>
      <w:r w:rsidRPr="006B5318">
        <w:rPr>
          <w:rFonts w:ascii="Garamond" w:hAnsi="Garamond"/>
        </w:rPr>
        <w:t xml:space="preserve"> maternal role.</w:t>
      </w:r>
      <w:r w:rsidRPr="006B5318">
        <w:rPr>
          <w:rStyle w:val="FootnoteReference"/>
          <w:rFonts w:ascii="Garamond" w:hAnsi="Garamond"/>
        </w:rPr>
        <w:footnoteReference w:id="17"/>
      </w:r>
      <w:r w:rsidRPr="006B5318">
        <w:rPr>
          <w:rFonts w:ascii="Garamond" w:hAnsi="Garamond"/>
        </w:rPr>
        <w:t xml:space="preserve"> High-status women’s spatial seclusion has primarily been read in terms of gendered power dynamics between elite men and women, calling into question whether women’s physical confinement signalled their literal or merely symbolic exclusion from power.</w:t>
      </w:r>
      <w:r w:rsidRPr="006B5318">
        <w:rPr>
          <w:rStyle w:val="FootnoteReference"/>
          <w:rFonts w:ascii="Garamond" w:hAnsi="Garamond"/>
        </w:rPr>
        <w:footnoteReference w:id="18"/>
      </w:r>
      <w:r w:rsidR="00E56764" w:rsidRPr="006B5318">
        <w:rPr>
          <w:rFonts w:ascii="Garamond" w:hAnsi="Garamond"/>
        </w:rPr>
        <w:t xml:space="preserve"> Yet</w:t>
      </w:r>
      <w:r w:rsidR="00360BAC" w:rsidRPr="006B5318">
        <w:rPr>
          <w:rFonts w:ascii="Garamond" w:hAnsi="Garamond"/>
        </w:rPr>
        <w:t xml:space="preserve">, what can be said of instances where women directed their own building works and curated their own domestic space? </w:t>
      </w:r>
    </w:p>
    <w:p w14:paraId="3D55091F" w14:textId="08AACA5C" w:rsidR="004001BE" w:rsidRPr="006B5318" w:rsidRDefault="00066A38" w:rsidP="004001BE">
      <w:pPr>
        <w:tabs>
          <w:tab w:val="left" w:pos="3309"/>
        </w:tabs>
        <w:spacing w:line="276" w:lineRule="auto"/>
        <w:ind w:firstLine="567"/>
        <w:jc w:val="both"/>
        <w:rPr>
          <w:rFonts w:ascii="Garamond" w:hAnsi="Garamond"/>
        </w:rPr>
      </w:pPr>
      <w:r w:rsidRPr="006B5318">
        <w:rPr>
          <w:rFonts w:ascii="Garamond" w:hAnsi="Garamond"/>
        </w:rPr>
        <w:t>F</w:t>
      </w:r>
      <w:r w:rsidR="004001BE" w:rsidRPr="006B5318">
        <w:rPr>
          <w:rFonts w:ascii="Garamond" w:hAnsi="Garamond"/>
        </w:rPr>
        <w:t>emale patrons have largely gone under the radar</w:t>
      </w:r>
      <w:r w:rsidRPr="006B5318">
        <w:rPr>
          <w:rFonts w:ascii="Garamond" w:hAnsi="Garamond"/>
        </w:rPr>
        <w:t xml:space="preserve"> in studies of castles and</w:t>
      </w:r>
      <w:r w:rsidR="00C5593F" w:rsidRPr="006B5318">
        <w:rPr>
          <w:rFonts w:ascii="Garamond" w:hAnsi="Garamond"/>
        </w:rPr>
        <w:t xml:space="preserve"> medieval</w:t>
      </w:r>
      <w:r w:rsidRPr="006B5318">
        <w:rPr>
          <w:rFonts w:ascii="Garamond" w:hAnsi="Garamond"/>
        </w:rPr>
        <w:t xml:space="preserve"> great houses</w:t>
      </w:r>
      <w:r w:rsidR="004001BE" w:rsidRPr="006B5318">
        <w:rPr>
          <w:rFonts w:ascii="Garamond" w:hAnsi="Garamond"/>
        </w:rPr>
        <w:t xml:space="preserve">, largely </w:t>
      </w:r>
      <w:r w:rsidRPr="006B5318">
        <w:rPr>
          <w:rFonts w:ascii="Garamond" w:hAnsi="Garamond"/>
        </w:rPr>
        <w:t xml:space="preserve">on account of </w:t>
      </w:r>
      <w:r w:rsidR="004001BE" w:rsidRPr="006B5318">
        <w:rPr>
          <w:rFonts w:ascii="Garamond" w:hAnsi="Garamond"/>
        </w:rPr>
        <w:t>the male biases and comparatively limited availability of surviving source material, and</w:t>
      </w:r>
      <w:r w:rsidR="00C5593F" w:rsidRPr="006B5318">
        <w:rPr>
          <w:rFonts w:ascii="Garamond" w:hAnsi="Garamond"/>
        </w:rPr>
        <w:t xml:space="preserve"> due to</w:t>
      </w:r>
      <w:r w:rsidR="004001BE" w:rsidRPr="006B5318">
        <w:rPr>
          <w:rFonts w:ascii="Garamond" w:hAnsi="Garamond"/>
        </w:rPr>
        <w:t xml:space="preserve"> the male trajectory of castle studies.</w:t>
      </w:r>
      <w:r w:rsidR="004001BE" w:rsidRPr="006B5318">
        <w:rPr>
          <w:rStyle w:val="FootnoteReference"/>
          <w:rFonts w:ascii="Garamond" w:hAnsi="Garamond"/>
        </w:rPr>
        <w:footnoteReference w:id="19"/>
      </w:r>
      <w:r w:rsidR="004001BE" w:rsidRPr="006B5318">
        <w:rPr>
          <w:rFonts w:ascii="Garamond" w:hAnsi="Garamond"/>
        </w:rPr>
        <w:t xml:space="preserve"> As Roberta Gilchrist so vividly puts it, ‘archaeologists and social historians have eulogized the male domain of the castle, reeking of sweat, testosterone and horses’.</w:t>
      </w:r>
      <w:r w:rsidR="004001BE" w:rsidRPr="006B5318">
        <w:rPr>
          <w:rStyle w:val="FootnoteReference"/>
          <w:rFonts w:ascii="Garamond" w:hAnsi="Garamond"/>
        </w:rPr>
        <w:footnoteReference w:id="20"/>
      </w:r>
      <w:r w:rsidR="004001BE" w:rsidRPr="006B5318">
        <w:rPr>
          <w:rFonts w:ascii="Garamond" w:hAnsi="Garamond"/>
        </w:rPr>
        <w:t xml:space="preserve"> </w:t>
      </w:r>
      <w:r w:rsidR="007B4984">
        <w:rPr>
          <w:rFonts w:ascii="Garamond" w:hAnsi="Garamond"/>
        </w:rPr>
        <w:t xml:space="preserve">Of </w:t>
      </w:r>
      <w:r w:rsidR="004001BE" w:rsidRPr="006B5318">
        <w:rPr>
          <w:rFonts w:ascii="Garamond" w:hAnsi="Garamond"/>
        </w:rPr>
        <w:t xml:space="preserve">women’s architectural patronage in the seventeenth century, Anne Laurence also indicates that scholarship is inevitably skewed towards buildings with </w:t>
      </w:r>
      <w:r w:rsidR="004001BE" w:rsidRPr="006B5318">
        <w:rPr>
          <w:rFonts w:ascii="Garamond" w:hAnsi="Garamond"/>
        </w:rPr>
        <w:lastRenderedPageBreak/>
        <w:t>standing remains, which is perhaps one reason why the</w:t>
      </w:r>
      <w:r w:rsidR="00AA0D17" w:rsidRPr="006B5318">
        <w:rPr>
          <w:rFonts w:ascii="Garamond" w:hAnsi="Garamond"/>
        </w:rPr>
        <w:t xml:space="preserve"> nearby</w:t>
      </w:r>
      <w:r w:rsidR="004001BE" w:rsidRPr="006B5318">
        <w:rPr>
          <w:rFonts w:ascii="Garamond" w:hAnsi="Garamond"/>
        </w:rPr>
        <w:t xml:space="preserve"> Queens’ House</w:t>
      </w:r>
      <w:r w:rsidR="008F54FE">
        <w:rPr>
          <w:rFonts w:ascii="Garamond" w:hAnsi="Garamond"/>
        </w:rPr>
        <w:t xml:space="preserve"> at Greenwich</w:t>
      </w:r>
      <w:r w:rsidR="004001BE" w:rsidRPr="006B5318">
        <w:rPr>
          <w:rFonts w:ascii="Garamond" w:hAnsi="Garamond"/>
        </w:rPr>
        <w:t>, which was commissioned by queens Anne of Denmark and Henrietta Maria from the renowned architect</w:t>
      </w:r>
      <w:r w:rsidR="00C5593F" w:rsidRPr="006B5318">
        <w:rPr>
          <w:rFonts w:ascii="Garamond" w:hAnsi="Garamond"/>
        </w:rPr>
        <w:t>,</w:t>
      </w:r>
      <w:r w:rsidR="004001BE" w:rsidRPr="006B5318">
        <w:rPr>
          <w:rFonts w:ascii="Garamond" w:hAnsi="Garamond"/>
        </w:rPr>
        <w:t xml:space="preserve"> Inigo Jones</w:t>
      </w:r>
      <w:r w:rsidR="008F54FE">
        <w:rPr>
          <w:rFonts w:ascii="Garamond" w:hAnsi="Garamond"/>
        </w:rPr>
        <w:t>,</w:t>
      </w:r>
      <w:r w:rsidR="004001BE" w:rsidRPr="006B5318">
        <w:rPr>
          <w:rFonts w:ascii="Garamond" w:hAnsi="Garamond"/>
        </w:rPr>
        <w:t xml:space="preserve"> in the seventeenth century, has piqued greater interest than Margaret’s earlier palace.</w:t>
      </w:r>
      <w:r w:rsidR="00CB783C" w:rsidRPr="006B5318">
        <w:rPr>
          <w:rStyle w:val="FootnoteReference"/>
          <w:rFonts w:ascii="Garamond" w:hAnsi="Garamond"/>
        </w:rPr>
        <w:footnoteReference w:id="21"/>
      </w:r>
      <w:r w:rsidR="004001BE" w:rsidRPr="006B5318">
        <w:rPr>
          <w:rFonts w:ascii="Garamond" w:hAnsi="Garamond"/>
        </w:rPr>
        <w:t xml:space="preserve"> </w:t>
      </w:r>
    </w:p>
    <w:p w14:paraId="0109555E" w14:textId="49CF003D" w:rsidR="008E3838" w:rsidRPr="006B5318" w:rsidRDefault="004001BE" w:rsidP="00956722">
      <w:pPr>
        <w:tabs>
          <w:tab w:val="left" w:pos="3309"/>
        </w:tabs>
        <w:spacing w:line="276" w:lineRule="auto"/>
        <w:ind w:firstLine="567"/>
        <w:jc w:val="both"/>
        <w:rPr>
          <w:rFonts w:ascii="Garamond" w:hAnsi="Garamond"/>
        </w:rPr>
      </w:pPr>
      <w:r w:rsidRPr="006B5318">
        <w:rPr>
          <w:rFonts w:ascii="Garamond" w:hAnsi="Garamond"/>
        </w:rPr>
        <w:t>B</w:t>
      </w:r>
      <w:r w:rsidR="00C059C5" w:rsidRPr="006B5318">
        <w:rPr>
          <w:rFonts w:ascii="Garamond" w:hAnsi="Garamond"/>
        </w:rPr>
        <w:t>y b</w:t>
      </w:r>
      <w:r w:rsidRPr="006B5318">
        <w:rPr>
          <w:rFonts w:ascii="Garamond" w:hAnsi="Garamond"/>
        </w:rPr>
        <w:t>ringing</w:t>
      </w:r>
      <w:r w:rsidR="00360BAC" w:rsidRPr="006B5318">
        <w:rPr>
          <w:rFonts w:ascii="Garamond" w:hAnsi="Garamond"/>
        </w:rPr>
        <w:t xml:space="preserve"> </w:t>
      </w:r>
      <w:r w:rsidR="007E4FD8" w:rsidRPr="006B5318">
        <w:rPr>
          <w:rFonts w:ascii="Garamond" w:hAnsi="Garamond"/>
        </w:rPr>
        <w:t xml:space="preserve">Margaret of Anjou’s </w:t>
      </w:r>
      <w:r w:rsidR="00360BAC" w:rsidRPr="006B5318">
        <w:rPr>
          <w:rFonts w:ascii="Garamond" w:hAnsi="Garamond"/>
        </w:rPr>
        <w:t xml:space="preserve">building activities at Greenwich to the fore, </w:t>
      </w:r>
      <w:r w:rsidRPr="006B5318">
        <w:rPr>
          <w:rFonts w:ascii="Garamond" w:hAnsi="Garamond"/>
        </w:rPr>
        <w:t>this</w:t>
      </w:r>
      <w:r w:rsidR="007E4FD8" w:rsidRPr="006B5318">
        <w:rPr>
          <w:rFonts w:ascii="Garamond" w:hAnsi="Garamond"/>
        </w:rPr>
        <w:t xml:space="preserve"> article </w:t>
      </w:r>
      <w:r w:rsidR="0011637B" w:rsidRPr="006B5318">
        <w:rPr>
          <w:rFonts w:ascii="Garamond" w:hAnsi="Garamond"/>
        </w:rPr>
        <w:t>argues</w:t>
      </w:r>
      <w:r w:rsidR="00066A38" w:rsidRPr="006B5318">
        <w:rPr>
          <w:rFonts w:ascii="Garamond" w:hAnsi="Garamond"/>
        </w:rPr>
        <w:t xml:space="preserve"> for </w:t>
      </w:r>
      <w:r w:rsidR="00815E0D" w:rsidRPr="006B5318">
        <w:rPr>
          <w:rFonts w:ascii="Garamond" w:hAnsi="Garamond"/>
        </w:rPr>
        <w:t xml:space="preserve">their importance </w:t>
      </w:r>
      <w:r w:rsidR="00F35239" w:rsidRPr="006B5318">
        <w:rPr>
          <w:rFonts w:ascii="Garamond" w:hAnsi="Garamond"/>
        </w:rPr>
        <w:t>in</w:t>
      </w:r>
      <w:r w:rsidR="003158D1" w:rsidRPr="006B5318">
        <w:rPr>
          <w:rFonts w:ascii="Garamond" w:hAnsi="Garamond"/>
        </w:rPr>
        <w:t xml:space="preserve"> offering</w:t>
      </w:r>
      <w:r w:rsidR="00C5593F" w:rsidRPr="006B5318">
        <w:rPr>
          <w:rFonts w:ascii="Garamond" w:hAnsi="Garamond"/>
        </w:rPr>
        <w:t xml:space="preserve"> an alternative, female perspective to</w:t>
      </w:r>
      <w:r w:rsidR="00956722" w:rsidRPr="006B5318">
        <w:rPr>
          <w:rFonts w:ascii="Garamond" w:hAnsi="Garamond"/>
        </w:rPr>
        <w:t xml:space="preserve"> </w:t>
      </w:r>
      <w:r w:rsidR="006A02AC" w:rsidRPr="006B5318">
        <w:rPr>
          <w:rFonts w:ascii="Garamond" w:hAnsi="Garamond"/>
        </w:rPr>
        <w:t xml:space="preserve">a </w:t>
      </w:r>
      <w:r w:rsidR="00956722" w:rsidRPr="006B5318">
        <w:rPr>
          <w:rFonts w:ascii="Garamond" w:hAnsi="Garamond"/>
        </w:rPr>
        <w:t xml:space="preserve">narrative otherwise dominated by </w:t>
      </w:r>
      <w:r w:rsidR="009F1C0C" w:rsidRPr="006B5318">
        <w:rPr>
          <w:rFonts w:ascii="Garamond" w:hAnsi="Garamond"/>
        </w:rPr>
        <w:t xml:space="preserve">elite </w:t>
      </w:r>
      <w:r w:rsidR="00956722" w:rsidRPr="006B5318">
        <w:rPr>
          <w:rFonts w:ascii="Garamond" w:hAnsi="Garamond"/>
        </w:rPr>
        <w:t xml:space="preserve">men. </w:t>
      </w:r>
      <w:r w:rsidR="0011637B" w:rsidRPr="006B5318">
        <w:rPr>
          <w:rFonts w:ascii="Garamond" w:hAnsi="Garamond"/>
        </w:rPr>
        <w:t>By assessing</w:t>
      </w:r>
      <w:r w:rsidR="008E3838" w:rsidRPr="006B5318">
        <w:rPr>
          <w:rFonts w:ascii="Garamond" w:hAnsi="Garamond"/>
        </w:rPr>
        <w:t xml:space="preserve"> </w:t>
      </w:r>
      <w:r w:rsidR="00360BAC" w:rsidRPr="006B5318">
        <w:rPr>
          <w:rFonts w:ascii="Garamond" w:hAnsi="Garamond"/>
        </w:rPr>
        <w:t xml:space="preserve">the location of Margaret’s residence, </w:t>
      </w:r>
      <w:r w:rsidR="007F7D1C" w:rsidRPr="006B5318">
        <w:rPr>
          <w:rFonts w:ascii="Garamond" w:hAnsi="Garamond"/>
        </w:rPr>
        <w:t xml:space="preserve">the nature of </w:t>
      </w:r>
      <w:r w:rsidRPr="006B5318">
        <w:rPr>
          <w:rFonts w:ascii="Garamond" w:hAnsi="Garamond"/>
        </w:rPr>
        <w:t>her</w:t>
      </w:r>
      <w:r w:rsidR="007F7D1C" w:rsidRPr="006B5318">
        <w:rPr>
          <w:rFonts w:ascii="Garamond" w:hAnsi="Garamond"/>
        </w:rPr>
        <w:t xml:space="preserve"> building works at the </w:t>
      </w:r>
      <w:r w:rsidR="00360BAC" w:rsidRPr="006B5318">
        <w:rPr>
          <w:rFonts w:ascii="Garamond" w:hAnsi="Garamond"/>
        </w:rPr>
        <w:t>site</w:t>
      </w:r>
      <w:r w:rsidR="000350DE" w:rsidRPr="006B5318">
        <w:rPr>
          <w:rFonts w:ascii="Garamond" w:hAnsi="Garamond"/>
        </w:rPr>
        <w:t xml:space="preserve"> and their significance,</w:t>
      </w:r>
      <w:r w:rsidR="007F7D1C" w:rsidRPr="006B5318">
        <w:rPr>
          <w:rFonts w:ascii="Garamond" w:hAnsi="Garamond"/>
        </w:rPr>
        <w:t xml:space="preserve"> </w:t>
      </w:r>
      <w:r w:rsidR="000350DE" w:rsidRPr="006B5318">
        <w:rPr>
          <w:rFonts w:ascii="Garamond" w:hAnsi="Garamond"/>
        </w:rPr>
        <w:t>the discussion</w:t>
      </w:r>
      <w:r w:rsidR="008E3838" w:rsidRPr="006B5318">
        <w:rPr>
          <w:rFonts w:ascii="Garamond" w:hAnsi="Garamond"/>
        </w:rPr>
        <w:t xml:space="preserve"> </w:t>
      </w:r>
      <w:r w:rsidR="007C7181" w:rsidRPr="006B5318">
        <w:rPr>
          <w:rFonts w:ascii="Garamond" w:hAnsi="Garamond"/>
        </w:rPr>
        <w:t>considers</w:t>
      </w:r>
      <w:r w:rsidR="008E3838" w:rsidRPr="006B5318">
        <w:rPr>
          <w:rFonts w:ascii="Garamond" w:hAnsi="Garamond"/>
        </w:rPr>
        <w:t xml:space="preserve"> whether Margaret’s building activities conformed to or deviated from the spatial arrangement expected of houses governed by men, and the implications this </w:t>
      </w:r>
      <w:r w:rsidR="00DC1452" w:rsidRPr="006B5318">
        <w:rPr>
          <w:rFonts w:ascii="Garamond" w:hAnsi="Garamond"/>
        </w:rPr>
        <w:t xml:space="preserve">has for our understanding of the relationship between gender, power and space in late medieval England. </w:t>
      </w:r>
      <w:r w:rsidR="002A06A8" w:rsidRPr="006B5318">
        <w:rPr>
          <w:rFonts w:ascii="Garamond" w:hAnsi="Garamond"/>
        </w:rPr>
        <w:t xml:space="preserve">By locating Margaret’s actions within a broader, familial framework of (female) architectural patronage, this article also </w:t>
      </w:r>
      <w:r w:rsidR="00CD04D8" w:rsidRPr="006B5318">
        <w:rPr>
          <w:rFonts w:ascii="Garamond" w:hAnsi="Garamond"/>
        </w:rPr>
        <w:t xml:space="preserve">makes a new intervention into discussions of </w:t>
      </w:r>
      <w:r w:rsidR="00605066" w:rsidRPr="006B5318">
        <w:rPr>
          <w:rFonts w:ascii="Garamond" w:hAnsi="Garamond"/>
        </w:rPr>
        <w:t xml:space="preserve">royal </w:t>
      </w:r>
      <w:r w:rsidR="00CD04D8" w:rsidRPr="006B5318">
        <w:rPr>
          <w:rFonts w:ascii="Garamond" w:hAnsi="Garamond"/>
        </w:rPr>
        <w:t xml:space="preserve">women’s roles as an agent of cultural transfer, </w:t>
      </w:r>
      <w:r w:rsidR="00744915" w:rsidRPr="006B5318">
        <w:rPr>
          <w:rFonts w:ascii="Garamond" w:hAnsi="Garamond"/>
        </w:rPr>
        <w:t xml:space="preserve">arguing that </w:t>
      </w:r>
      <w:r w:rsidR="009C394D" w:rsidRPr="006B5318">
        <w:rPr>
          <w:rFonts w:ascii="Garamond" w:hAnsi="Garamond"/>
        </w:rPr>
        <w:t>Margaret’s architectural patronage referenced, and should be considered in relation to, the</w:t>
      </w:r>
      <w:r w:rsidR="00A224D6" w:rsidRPr="006B5318">
        <w:rPr>
          <w:rFonts w:ascii="Garamond" w:hAnsi="Garamond"/>
        </w:rPr>
        <w:t xml:space="preserve"> wider</w:t>
      </w:r>
      <w:r w:rsidR="009C394D" w:rsidRPr="006B5318">
        <w:rPr>
          <w:rFonts w:ascii="Garamond" w:hAnsi="Garamond"/>
        </w:rPr>
        <w:t xml:space="preserve"> building strategies</w:t>
      </w:r>
      <w:r w:rsidR="00E9012C" w:rsidRPr="006B5318">
        <w:rPr>
          <w:rFonts w:ascii="Garamond" w:hAnsi="Garamond"/>
        </w:rPr>
        <w:t xml:space="preserve"> and tradit</w:t>
      </w:r>
      <w:r w:rsidR="00C87C8A" w:rsidRPr="006B5318">
        <w:rPr>
          <w:rFonts w:ascii="Garamond" w:hAnsi="Garamond"/>
        </w:rPr>
        <w:t>i</w:t>
      </w:r>
      <w:r w:rsidR="00E9012C" w:rsidRPr="006B5318">
        <w:rPr>
          <w:rFonts w:ascii="Garamond" w:hAnsi="Garamond"/>
        </w:rPr>
        <w:t>ons</w:t>
      </w:r>
      <w:r w:rsidR="009C394D" w:rsidRPr="006B5318">
        <w:rPr>
          <w:rFonts w:ascii="Garamond" w:hAnsi="Garamond"/>
        </w:rPr>
        <w:t xml:space="preserve"> of her natal kin. </w:t>
      </w:r>
    </w:p>
    <w:p w14:paraId="1BE1EB17" w14:textId="77777777" w:rsidR="00DE01FD" w:rsidRPr="006B5318" w:rsidRDefault="00DE01FD" w:rsidP="00864F00">
      <w:pPr>
        <w:tabs>
          <w:tab w:val="left" w:pos="3309"/>
        </w:tabs>
        <w:spacing w:line="276" w:lineRule="auto"/>
        <w:jc w:val="both"/>
        <w:rPr>
          <w:rFonts w:ascii="Garamond" w:hAnsi="Garamond"/>
        </w:rPr>
      </w:pPr>
    </w:p>
    <w:p w14:paraId="3F010F2C" w14:textId="26AFEB1F" w:rsidR="00EC166F" w:rsidRPr="006B5318" w:rsidRDefault="00EC166F" w:rsidP="00330ECB">
      <w:pPr>
        <w:tabs>
          <w:tab w:val="left" w:pos="3309"/>
        </w:tabs>
        <w:spacing w:line="276" w:lineRule="auto"/>
        <w:jc w:val="both"/>
        <w:rPr>
          <w:rFonts w:ascii="Garamond" w:hAnsi="Garamond"/>
        </w:rPr>
      </w:pPr>
    </w:p>
    <w:p w14:paraId="1966BC5C" w14:textId="77777777" w:rsidR="00EC166F" w:rsidRPr="006B5318" w:rsidRDefault="00EC166F" w:rsidP="00A73E67">
      <w:pPr>
        <w:tabs>
          <w:tab w:val="left" w:pos="3309"/>
        </w:tabs>
        <w:spacing w:line="276" w:lineRule="auto"/>
        <w:rPr>
          <w:rFonts w:ascii="Garamond" w:hAnsi="Garamond"/>
          <w:b/>
          <w:bCs/>
        </w:rPr>
      </w:pPr>
      <w:r w:rsidRPr="006B5318">
        <w:rPr>
          <w:rFonts w:ascii="Garamond" w:hAnsi="Garamond"/>
          <w:b/>
          <w:bCs/>
        </w:rPr>
        <w:t xml:space="preserve">Why Greenwich? </w:t>
      </w:r>
    </w:p>
    <w:p w14:paraId="0E16AB1A" w14:textId="77777777" w:rsidR="00A73E67" w:rsidRPr="006B5318" w:rsidRDefault="00A73E67" w:rsidP="00A73E67">
      <w:pPr>
        <w:tabs>
          <w:tab w:val="left" w:pos="3309"/>
        </w:tabs>
        <w:spacing w:line="276" w:lineRule="auto"/>
        <w:jc w:val="both"/>
        <w:rPr>
          <w:rFonts w:ascii="Garamond" w:hAnsi="Garamond"/>
        </w:rPr>
      </w:pPr>
    </w:p>
    <w:p w14:paraId="4A05A0D8" w14:textId="54F86C50" w:rsidR="004140C6" w:rsidRDefault="00082EAD" w:rsidP="000B770A">
      <w:pPr>
        <w:tabs>
          <w:tab w:val="left" w:pos="3309"/>
        </w:tabs>
        <w:spacing w:line="276" w:lineRule="auto"/>
        <w:jc w:val="both"/>
        <w:rPr>
          <w:rFonts w:ascii="Garamond" w:hAnsi="Garamond"/>
        </w:rPr>
      </w:pPr>
      <w:r w:rsidRPr="006B5318">
        <w:rPr>
          <w:rFonts w:ascii="Garamond" w:hAnsi="Garamond"/>
        </w:rPr>
        <w:t xml:space="preserve">When </w:t>
      </w:r>
      <w:r w:rsidR="000467BB" w:rsidRPr="006B5318">
        <w:rPr>
          <w:rFonts w:ascii="Garamond" w:hAnsi="Garamond"/>
        </w:rPr>
        <w:t>she acquired Greenwich in 1447</w:t>
      </w:r>
      <w:r w:rsidR="006802A7" w:rsidRPr="006B5318">
        <w:rPr>
          <w:rFonts w:ascii="Garamond" w:hAnsi="Garamond"/>
        </w:rPr>
        <w:t>,</w:t>
      </w:r>
      <w:r w:rsidR="000467BB" w:rsidRPr="006B5318">
        <w:rPr>
          <w:rFonts w:ascii="Garamond" w:hAnsi="Garamond"/>
        </w:rPr>
        <w:t xml:space="preserve"> Margaret already had numerous other residences at her disposal. Ahead of her arrival in </w:t>
      </w:r>
      <w:r w:rsidR="001F584A" w:rsidRPr="006B5318">
        <w:rPr>
          <w:rFonts w:ascii="Garamond" w:hAnsi="Garamond"/>
        </w:rPr>
        <w:t xml:space="preserve">England in </w:t>
      </w:r>
      <w:r w:rsidR="000467BB" w:rsidRPr="006B5318">
        <w:rPr>
          <w:rFonts w:ascii="Garamond" w:hAnsi="Garamond"/>
        </w:rPr>
        <w:t>1445, several of the royal palaces in London had been expanded to accommodate her. Margaret was also granted the customary dower of fifteenth-century queens, which comprised lands from the Duchy of Lancaster.</w:t>
      </w:r>
      <w:r w:rsidR="000467BB" w:rsidRPr="006B5318">
        <w:rPr>
          <w:rStyle w:val="FootnoteReference"/>
          <w:rFonts w:ascii="Garamond" w:hAnsi="Garamond"/>
        </w:rPr>
        <w:t>.</w:t>
      </w:r>
      <w:r w:rsidR="000467BB" w:rsidRPr="006B5318">
        <w:rPr>
          <w:rStyle w:val="FootnoteReference"/>
          <w:rFonts w:ascii="Garamond" w:hAnsi="Garamond"/>
        </w:rPr>
        <w:footnoteReference w:id="22"/>
      </w:r>
      <w:r w:rsidR="000467BB" w:rsidRPr="006B5318">
        <w:rPr>
          <w:rFonts w:ascii="Garamond" w:hAnsi="Garamond"/>
        </w:rPr>
        <w:t xml:space="preserve"> </w:t>
      </w:r>
      <w:r w:rsidR="000467BB" w:rsidRPr="006B5318">
        <w:rPr>
          <w:rStyle w:val="FootnoteReference"/>
          <w:rFonts w:ascii="Garamond" w:hAnsi="Garamond"/>
        </w:rPr>
        <w:t xml:space="preserve"> </w:t>
      </w:r>
      <w:r w:rsidR="000467BB" w:rsidRPr="006B5318">
        <w:rPr>
          <w:rFonts w:ascii="Garamond" w:hAnsi="Garamond"/>
        </w:rPr>
        <w:t>These lands were primarily in the midlands, but she also gained landholdings in Essex, Hertfordshire, Middlesex, Surrey, London and the ‘ancient southern parts’ of the Duchy, namely in the counties of Hampshire, Wiltshire, Somerset, Dorset, Devon, Cornwall, Oxfordshire and Herefordshire.</w:t>
      </w:r>
      <w:r w:rsidR="000467BB" w:rsidRPr="006B5318">
        <w:rPr>
          <w:rStyle w:val="FootnoteReference"/>
          <w:rFonts w:ascii="Garamond" w:hAnsi="Garamond"/>
        </w:rPr>
        <w:footnoteReference w:id="23"/>
      </w:r>
      <w:r w:rsidR="00DE64AE" w:rsidRPr="006B5318">
        <w:rPr>
          <w:rFonts w:ascii="Garamond" w:hAnsi="Garamond"/>
        </w:rPr>
        <w:t xml:space="preserve"> </w:t>
      </w:r>
      <w:r w:rsidR="000467BB" w:rsidRPr="006B5318">
        <w:rPr>
          <w:rFonts w:ascii="Garamond" w:hAnsi="Garamond"/>
        </w:rPr>
        <w:t>Most of Margaret’s castles were in the midlands, including Leicester and Rockingham in Leicestershire, Tutbury in Staffordshire, Melbourne in Derbyshire and Kenilworth in Warwickshire. The queen also held castles at Pleshey in Essex, Hertford in Hertfordshire</w:t>
      </w:r>
      <w:r w:rsidR="004140C6">
        <w:rPr>
          <w:rFonts w:ascii="Garamond" w:hAnsi="Garamond"/>
        </w:rPr>
        <w:t>,</w:t>
      </w:r>
      <w:r w:rsidR="000467BB" w:rsidRPr="006B5318">
        <w:rPr>
          <w:rFonts w:ascii="Garamond" w:hAnsi="Garamond"/>
        </w:rPr>
        <w:t xml:space="preserve"> and Odiham in Hampshire</w:t>
      </w:r>
      <w:r w:rsidR="00F91275" w:rsidRPr="006B5318">
        <w:rPr>
          <w:rFonts w:ascii="Garamond" w:hAnsi="Garamond"/>
        </w:rPr>
        <w:t xml:space="preserve"> (fig. 1)</w:t>
      </w:r>
      <w:r w:rsidR="000467BB" w:rsidRPr="006B5318">
        <w:rPr>
          <w:rFonts w:ascii="Garamond" w:hAnsi="Garamond"/>
        </w:rPr>
        <w:t>.</w:t>
      </w:r>
      <w:r w:rsidR="000467BB" w:rsidRPr="006B5318">
        <w:rPr>
          <w:rStyle w:val="FootnoteReference"/>
          <w:rFonts w:ascii="Garamond" w:hAnsi="Garamond"/>
        </w:rPr>
        <w:footnoteReference w:id="24"/>
      </w:r>
      <w:r w:rsidR="000467BB" w:rsidRPr="006B5318">
        <w:rPr>
          <w:rFonts w:ascii="Garamond" w:hAnsi="Garamond"/>
        </w:rPr>
        <w:t xml:space="preserve"> </w:t>
      </w:r>
    </w:p>
    <w:p w14:paraId="004E770C" w14:textId="185D2FF6" w:rsidR="000467BB" w:rsidRPr="006B5318" w:rsidRDefault="000467BB" w:rsidP="004140C6">
      <w:pPr>
        <w:tabs>
          <w:tab w:val="left" w:pos="3309"/>
        </w:tabs>
        <w:spacing w:line="276" w:lineRule="auto"/>
        <w:ind w:firstLine="567"/>
        <w:jc w:val="both"/>
        <w:rPr>
          <w:rFonts w:ascii="Garamond" w:hAnsi="Garamond"/>
        </w:rPr>
      </w:pPr>
      <w:r w:rsidRPr="006B5318">
        <w:rPr>
          <w:rFonts w:ascii="Garamond" w:hAnsi="Garamond"/>
        </w:rPr>
        <w:t xml:space="preserve">Margaret’s decision to acquire Greenwich palace and to establish her own household </w:t>
      </w:r>
      <w:r w:rsidR="00B9721F" w:rsidRPr="006B5318">
        <w:rPr>
          <w:rFonts w:ascii="Garamond" w:hAnsi="Garamond"/>
        </w:rPr>
        <w:t xml:space="preserve">there </w:t>
      </w:r>
      <w:r w:rsidRPr="006B5318">
        <w:rPr>
          <w:rFonts w:ascii="Garamond" w:hAnsi="Garamond"/>
        </w:rPr>
        <w:t>can th</w:t>
      </w:r>
      <w:r w:rsidR="00CF7D3B" w:rsidRPr="006B5318">
        <w:rPr>
          <w:rFonts w:ascii="Garamond" w:hAnsi="Garamond"/>
        </w:rPr>
        <w:t>us</w:t>
      </w:r>
      <w:r w:rsidRPr="006B5318">
        <w:rPr>
          <w:rFonts w:ascii="Garamond" w:hAnsi="Garamond"/>
        </w:rPr>
        <w:t xml:space="preserve"> be read as a clear demonstration of</w:t>
      </w:r>
      <w:r w:rsidR="00B9721F" w:rsidRPr="006B5318">
        <w:rPr>
          <w:rFonts w:ascii="Garamond" w:hAnsi="Garamond"/>
        </w:rPr>
        <w:t xml:space="preserve"> her</w:t>
      </w:r>
      <w:r w:rsidRPr="006B5318">
        <w:rPr>
          <w:rFonts w:ascii="Garamond" w:hAnsi="Garamond"/>
        </w:rPr>
        <w:t xml:space="preserve"> personality and agency. Indeed, Laynesmith indicates that Margaret’s establishment of a household at Greenwich and her decision to concentrate her efforts on rebuilding her own manor houses, rather than those she shared with the king, forms a marked contrast with the actions of her English successors</w:t>
      </w:r>
      <w:r w:rsidR="0037302C" w:rsidRPr="006B5318">
        <w:rPr>
          <w:rFonts w:ascii="Garamond" w:hAnsi="Garamond"/>
        </w:rPr>
        <w:t>,</w:t>
      </w:r>
      <w:r w:rsidRPr="006B5318">
        <w:rPr>
          <w:rFonts w:ascii="Garamond" w:hAnsi="Garamond"/>
        </w:rPr>
        <w:t xml:space="preserve"> Elizabeth Woodville </w:t>
      </w:r>
      <w:r w:rsidRPr="006B5318">
        <w:rPr>
          <w:rFonts w:ascii="Garamond" w:hAnsi="Garamond"/>
        </w:rPr>
        <w:lastRenderedPageBreak/>
        <w:t>and Elizabeth York, who showed little interest in domestic building projects.</w:t>
      </w:r>
      <w:r w:rsidRPr="006B5318">
        <w:rPr>
          <w:rStyle w:val="FootnoteReference"/>
          <w:rFonts w:ascii="Garamond" w:hAnsi="Garamond"/>
        </w:rPr>
        <w:footnoteReference w:id="25"/>
      </w:r>
      <w:r w:rsidRPr="006B5318">
        <w:rPr>
          <w:rFonts w:ascii="Garamond" w:hAnsi="Garamond"/>
        </w:rPr>
        <w:t xml:space="preserve"> </w:t>
      </w:r>
      <w:r w:rsidR="000B770A" w:rsidRPr="006B5318">
        <w:rPr>
          <w:rFonts w:ascii="Garamond" w:hAnsi="Garamond"/>
        </w:rPr>
        <w:t>A picture of Margaret’s greater degree of independence is reinforced by her treasurers’ accounts for the years 1452-3, which show her greater income, expenditure, and household size when compared with her successors.</w:t>
      </w:r>
      <w:r w:rsidR="00C87C8A" w:rsidRPr="006B5318">
        <w:rPr>
          <w:rStyle w:val="FootnoteReference"/>
          <w:rFonts w:ascii="Garamond" w:hAnsi="Garamond"/>
        </w:rPr>
        <w:footnoteReference w:id="26"/>
      </w:r>
      <w:r w:rsidR="000B770A" w:rsidRPr="006B5318">
        <w:rPr>
          <w:rFonts w:ascii="Garamond" w:hAnsi="Garamond"/>
        </w:rPr>
        <w:t xml:space="preserve"> </w:t>
      </w:r>
    </w:p>
    <w:p w14:paraId="73A5AEF4" w14:textId="34E9FE44" w:rsidR="00EC166F" w:rsidRPr="006B5318" w:rsidRDefault="00EC166F" w:rsidP="00330ECB">
      <w:pPr>
        <w:tabs>
          <w:tab w:val="left" w:pos="3309"/>
        </w:tabs>
        <w:spacing w:line="276" w:lineRule="auto"/>
        <w:ind w:firstLine="567"/>
        <w:jc w:val="both"/>
        <w:rPr>
          <w:rFonts w:ascii="Garamond" w:hAnsi="Garamond"/>
        </w:rPr>
      </w:pPr>
      <w:r w:rsidRPr="006B5318">
        <w:rPr>
          <w:rFonts w:ascii="Garamond" w:hAnsi="Garamond"/>
        </w:rPr>
        <w:t xml:space="preserve">By </w:t>
      </w:r>
      <w:r w:rsidR="00DB16BB" w:rsidRPr="006B5318">
        <w:rPr>
          <w:rFonts w:ascii="Garamond" w:hAnsi="Garamond"/>
        </w:rPr>
        <w:t xml:space="preserve">the time of Margaret’s arrival in </w:t>
      </w:r>
      <w:r w:rsidRPr="006B5318">
        <w:rPr>
          <w:rFonts w:ascii="Garamond" w:hAnsi="Garamond"/>
        </w:rPr>
        <w:t xml:space="preserve">1447, </w:t>
      </w:r>
      <w:r w:rsidR="004927DB" w:rsidRPr="006B5318">
        <w:rPr>
          <w:rFonts w:ascii="Garamond" w:hAnsi="Garamond"/>
        </w:rPr>
        <w:t xml:space="preserve">the manor of </w:t>
      </w:r>
      <w:r w:rsidRPr="006B5318">
        <w:rPr>
          <w:rFonts w:ascii="Garamond" w:hAnsi="Garamond"/>
        </w:rPr>
        <w:t xml:space="preserve">East Greenwich, as it was then known, had </w:t>
      </w:r>
      <w:r w:rsidR="004140C6">
        <w:rPr>
          <w:rFonts w:ascii="Garamond" w:hAnsi="Garamond"/>
        </w:rPr>
        <w:t xml:space="preserve">long been </w:t>
      </w:r>
      <w:r w:rsidRPr="006B5318">
        <w:rPr>
          <w:rFonts w:ascii="Garamond" w:hAnsi="Garamond"/>
        </w:rPr>
        <w:t xml:space="preserve">a </w:t>
      </w:r>
      <w:r w:rsidR="0037302C" w:rsidRPr="006B5318">
        <w:rPr>
          <w:rFonts w:ascii="Garamond" w:hAnsi="Garamond"/>
        </w:rPr>
        <w:t>site with royal associations</w:t>
      </w:r>
      <w:r w:rsidRPr="006B5318">
        <w:rPr>
          <w:rFonts w:ascii="Garamond" w:hAnsi="Garamond"/>
        </w:rPr>
        <w:t>. In the tenth century King Alfred had granted the manor to his daughter Aelfthryth upon her marriage to Baldwin II, count of Flanders.</w:t>
      </w:r>
      <w:r w:rsidRPr="006B5318">
        <w:rPr>
          <w:rStyle w:val="FootnoteReference"/>
          <w:rFonts w:ascii="Garamond" w:hAnsi="Garamond"/>
        </w:rPr>
        <w:footnoteReference w:id="27"/>
      </w:r>
      <w:r w:rsidRPr="006B5318">
        <w:rPr>
          <w:rFonts w:ascii="Garamond" w:hAnsi="Garamond"/>
        </w:rPr>
        <w:t xml:space="preserve"> In the fourteenth century, Edward I and his son, the future king Edward II, made an offering at two crosses in a chapel dedicated to the Virgin Mary in Greenwich. Henry IV also occasionally resided at Greenwich and retired there shortly before his death on account of the air reportedly being cleaner than in London.</w:t>
      </w:r>
      <w:r w:rsidRPr="006B5318">
        <w:rPr>
          <w:rStyle w:val="FootnoteReference"/>
          <w:rFonts w:ascii="Garamond" w:hAnsi="Garamond"/>
        </w:rPr>
        <w:footnoteReference w:id="28"/>
      </w:r>
      <w:r w:rsidRPr="006B5318">
        <w:rPr>
          <w:rFonts w:ascii="Garamond" w:hAnsi="Garamond"/>
        </w:rPr>
        <w:t xml:space="preserve"> In the early fifteenth century, Henry V gave the manor to Thomas Beaufort, Duke of Exeter (c.1377-1426), who was a military commander during the Hundred Years War. Duke Humphrey acquired it shortly after Beaufort’s death.</w:t>
      </w:r>
      <w:r w:rsidRPr="006B5318">
        <w:rPr>
          <w:rStyle w:val="FootnoteReference"/>
          <w:rFonts w:ascii="Garamond" w:hAnsi="Garamond"/>
        </w:rPr>
        <w:footnoteReference w:id="29"/>
      </w:r>
    </w:p>
    <w:p w14:paraId="3635B47D" w14:textId="4F43E337" w:rsidR="00EC166F" w:rsidRPr="006B5318" w:rsidRDefault="00EC166F" w:rsidP="00330ECB">
      <w:pPr>
        <w:spacing w:line="276" w:lineRule="auto"/>
        <w:ind w:firstLine="567"/>
        <w:jc w:val="both"/>
        <w:rPr>
          <w:rFonts w:ascii="Garamond" w:hAnsi="Garamond"/>
        </w:rPr>
      </w:pPr>
      <w:r w:rsidRPr="006B5318">
        <w:rPr>
          <w:rFonts w:ascii="Garamond" w:hAnsi="Garamond"/>
          <w:iCs/>
        </w:rPr>
        <w:t xml:space="preserve">The location of the house was both practical and aesthetically pleasing. </w:t>
      </w:r>
      <w:r w:rsidR="004927DB" w:rsidRPr="006B5318">
        <w:rPr>
          <w:rFonts w:ascii="Garamond" w:hAnsi="Garamond"/>
        </w:rPr>
        <w:t>East Greenwich was at that point in the county of Kent, close to the county’s western border with the city of London</w:t>
      </w:r>
      <w:r w:rsidR="00BE5EDE" w:rsidRPr="006B5318">
        <w:rPr>
          <w:rFonts w:ascii="Garamond" w:hAnsi="Garamond"/>
        </w:rPr>
        <w:t xml:space="preserve">. </w:t>
      </w:r>
      <w:r w:rsidRPr="006B5318">
        <w:rPr>
          <w:rFonts w:ascii="Garamond" w:hAnsi="Garamond"/>
        </w:rPr>
        <w:t xml:space="preserve">By the later medieval period, </w:t>
      </w:r>
      <w:r w:rsidR="00945D09" w:rsidRPr="006B5318">
        <w:rPr>
          <w:rFonts w:ascii="Garamond" w:hAnsi="Garamond"/>
        </w:rPr>
        <w:t>the settlement</w:t>
      </w:r>
      <w:r w:rsidRPr="006B5318">
        <w:rPr>
          <w:rFonts w:ascii="Garamond" w:hAnsi="Garamond"/>
        </w:rPr>
        <w:t xml:space="preserve"> had developed into a market town with a flourishing maritime and mercantile community.</w:t>
      </w:r>
      <w:r w:rsidRPr="006B5318">
        <w:rPr>
          <w:rStyle w:val="FootnoteReference"/>
          <w:rFonts w:ascii="Garamond" w:hAnsi="Garamond"/>
        </w:rPr>
        <w:footnoteReference w:id="30"/>
      </w:r>
      <w:r w:rsidRPr="006B5318">
        <w:rPr>
          <w:rFonts w:ascii="Garamond" w:hAnsi="Garamond"/>
        </w:rPr>
        <w:t xml:space="preserve"> It was also an important centre of royal ship building.</w:t>
      </w:r>
      <w:r w:rsidRPr="006B5318">
        <w:rPr>
          <w:rStyle w:val="FootnoteReference"/>
          <w:rFonts w:ascii="Garamond" w:hAnsi="Garamond"/>
        </w:rPr>
        <w:footnoteReference w:id="31"/>
      </w:r>
      <w:r w:rsidRPr="006B5318">
        <w:rPr>
          <w:rFonts w:ascii="Garamond" w:hAnsi="Garamond"/>
        </w:rPr>
        <w:t xml:space="preserve"> The close proximity </w:t>
      </w:r>
      <w:r w:rsidR="009D15AF" w:rsidRPr="006B5318">
        <w:rPr>
          <w:rFonts w:ascii="Garamond" w:hAnsi="Garamond"/>
        </w:rPr>
        <w:t>of one of medieval England’s four principal roads,</w:t>
      </w:r>
      <w:r w:rsidRPr="006B5318">
        <w:rPr>
          <w:rFonts w:ascii="Garamond" w:hAnsi="Garamond"/>
        </w:rPr>
        <w:t xml:space="preserve"> Watling Street (the present day A2), </w:t>
      </w:r>
      <w:r w:rsidR="00394A85" w:rsidRPr="006B5318">
        <w:rPr>
          <w:rFonts w:ascii="Garamond" w:hAnsi="Garamond"/>
        </w:rPr>
        <w:t xml:space="preserve">to the </w:t>
      </w:r>
      <w:r w:rsidRPr="006B5318">
        <w:rPr>
          <w:rFonts w:ascii="Garamond" w:hAnsi="Garamond"/>
        </w:rPr>
        <w:t xml:space="preserve">south of the settlement meant that goods and people could easily reach the palace overland from the </w:t>
      </w:r>
      <w:r w:rsidR="00F44925" w:rsidRPr="006B5318">
        <w:rPr>
          <w:rFonts w:ascii="Garamond" w:hAnsi="Garamond"/>
        </w:rPr>
        <w:t xml:space="preserve">Kent </w:t>
      </w:r>
      <w:r w:rsidRPr="006B5318">
        <w:rPr>
          <w:rFonts w:ascii="Garamond" w:hAnsi="Garamond"/>
        </w:rPr>
        <w:t>coast and central London.</w:t>
      </w:r>
      <w:r w:rsidRPr="006B5318">
        <w:rPr>
          <w:rStyle w:val="FootnoteReference"/>
          <w:rFonts w:ascii="Garamond" w:hAnsi="Garamond"/>
        </w:rPr>
        <w:footnoteReference w:id="32"/>
      </w:r>
      <w:r w:rsidRPr="006B5318">
        <w:rPr>
          <w:rFonts w:ascii="Garamond" w:hAnsi="Garamond"/>
        </w:rPr>
        <w:t xml:space="preserve"> Margaret used th</w:t>
      </w:r>
      <w:r w:rsidR="00F44925" w:rsidRPr="006B5318">
        <w:rPr>
          <w:rFonts w:ascii="Garamond" w:hAnsi="Garamond"/>
        </w:rPr>
        <w:t>e good communication routes</w:t>
      </w:r>
      <w:r w:rsidRPr="006B5318">
        <w:rPr>
          <w:rFonts w:ascii="Garamond" w:hAnsi="Garamond"/>
        </w:rPr>
        <w:t xml:space="preserve"> to her advantage: panelling for her palace came from London, roof tiles from Dulwich, Flanders tiles from Billingsgate and stone from Maidstone in Kent.</w:t>
      </w:r>
      <w:r w:rsidRPr="006B5318">
        <w:rPr>
          <w:rStyle w:val="FootnoteReference"/>
          <w:rFonts w:ascii="Garamond" w:hAnsi="Garamond"/>
        </w:rPr>
        <w:footnoteReference w:id="33"/>
      </w:r>
      <w:r w:rsidRPr="006B5318">
        <w:rPr>
          <w:rFonts w:ascii="Garamond" w:hAnsi="Garamond"/>
        </w:rPr>
        <w:t xml:space="preserve"> The location also gave Margaret access to skilled craftsmen, including the king’s glazier</w:t>
      </w:r>
      <w:r w:rsidR="00F91275" w:rsidRPr="006B5318">
        <w:rPr>
          <w:rFonts w:ascii="Garamond" w:hAnsi="Garamond"/>
        </w:rPr>
        <w:t>,</w:t>
      </w:r>
      <w:r w:rsidRPr="006B5318">
        <w:rPr>
          <w:rFonts w:ascii="Garamond" w:hAnsi="Garamond"/>
        </w:rPr>
        <w:t xml:space="preserve"> John Prudde, who resided at the royal palace of Westminster and supplied Pleasaunce with customised stained glass.</w:t>
      </w:r>
      <w:r w:rsidRPr="006B5318">
        <w:rPr>
          <w:rStyle w:val="FootnoteReference"/>
          <w:rFonts w:ascii="Garamond" w:hAnsi="Garamond"/>
        </w:rPr>
        <w:footnoteReference w:id="34"/>
      </w:r>
      <w:r w:rsidRPr="006B5318">
        <w:rPr>
          <w:rFonts w:ascii="Garamond" w:hAnsi="Garamond"/>
        </w:rPr>
        <w:t xml:space="preserve"> </w:t>
      </w:r>
    </w:p>
    <w:p w14:paraId="4559DDFA" w14:textId="175DAA57" w:rsidR="00EC166F" w:rsidRPr="006B5318" w:rsidRDefault="00EC166F" w:rsidP="00330ECB">
      <w:pPr>
        <w:spacing w:line="276" w:lineRule="auto"/>
        <w:ind w:firstLine="426"/>
        <w:jc w:val="both"/>
        <w:rPr>
          <w:rFonts w:ascii="Garamond" w:hAnsi="Garamond"/>
        </w:rPr>
      </w:pPr>
      <w:r w:rsidRPr="006B5318">
        <w:rPr>
          <w:rFonts w:ascii="Garamond" w:hAnsi="Garamond"/>
        </w:rPr>
        <w:t>The</w:t>
      </w:r>
      <w:r w:rsidR="00F44925" w:rsidRPr="006B5318">
        <w:rPr>
          <w:rFonts w:ascii="Garamond" w:hAnsi="Garamond"/>
        </w:rPr>
        <w:t xml:space="preserve"> River</w:t>
      </w:r>
      <w:r w:rsidRPr="006B5318">
        <w:rPr>
          <w:rFonts w:ascii="Garamond" w:hAnsi="Garamond"/>
        </w:rPr>
        <w:t xml:space="preserve"> Thames provided another important means of communication. In the later middle ages, Greenwich grew into a key trading port between London and the Low Countries,</w:t>
      </w:r>
      <w:r w:rsidR="006B03EA" w:rsidRPr="006B5318">
        <w:rPr>
          <w:rFonts w:ascii="Garamond" w:hAnsi="Garamond"/>
        </w:rPr>
        <w:t xml:space="preserve"> with</w:t>
      </w:r>
      <w:r w:rsidR="00667922" w:rsidRPr="006B5318">
        <w:rPr>
          <w:rFonts w:ascii="Garamond" w:hAnsi="Garamond"/>
        </w:rPr>
        <w:t xml:space="preserve"> </w:t>
      </w:r>
      <w:r w:rsidRPr="006B5318">
        <w:rPr>
          <w:rFonts w:ascii="Garamond" w:hAnsi="Garamond"/>
        </w:rPr>
        <w:t>the river providing access to the North Sea and the English Channel.</w:t>
      </w:r>
      <w:r w:rsidRPr="006B5318">
        <w:rPr>
          <w:rStyle w:val="FootnoteReference"/>
          <w:rFonts w:ascii="Garamond" w:hAnsi="Garamond"/>
        </w:rPr>
        <w:footnoteReference w:id="35"/>
      </w:r>
      <w:r w:rsidRPr="006B5318">
        <w:rPr>
          <w:rFonts w:ascii="Garamond" w:hAnsi="Garamond"/>
        </w:rPr>
        <w:t xml:space="preserve"> Margaret exploited this to her advantage, commissioning a wharf, a forty-foot pier</w:t>
      </w:r>
      <w:r w:rsidR="0083002A" w:rsidRPr="006B5318">
        <w:rPr>
          <w:rFonts w:ascii="Garamond" w:hAnsi="Garamond"/>
        </w:rPr>
        <w:t>,</w:t>
      </w:r>
      <w:r w:rsidRPr="006B5318">
        <w:rPr>
          <w:rFonts w:ascii="Garamond" w:hAnsi="Garamond"/>
        </w:rPr>
        <w:t xml:space="preserve"> and stone steps, which gave access to the Thames at all states of tide.</w:t>
      </w:r>
      <w:r w:rsidRPr="006B5318">
        <w:rPr>
          <w:rStyle w:val="FootnoteReference"/>
          <w:rFonts w:ascii="Garamond" w:hAnsi="Garamond"/>
        </w:rPr>
        <w:footnoteReference w:id="36"/>
      </w:r>
      <w:r w:rsidRPr="006B5318">
        <w:rPr>
          <w:rFonts w:ascii="Garamond" w:hAnsi="Garamond"/>
        </w:rPr>
        <w:t xml:space="preserve"> The project was a substantial undertaking and it is possible that the structures </w:t>
      </w:r>
      <w:r w:rsidR="00082EAD" w:rsidRPr="006B5318">
        <w:rPr>
          <w:rFonts w:ascii="Garamond" w:hAnsi="Garamond"/>
        </w:rPr>
        <w:t>remained in place during the Tudor period, as the descriptions</w:t>
      </w:r>
      <w:r w:rsidR="0083002A" w:rsidRPr="006B5318">
        <w:rPr>
          <w:rFonts w:ascii="Garamond" w:hAnsi="Garamond"/>
        </w:rPr>
        <w:t xml:space="preserve"> provided</w:t>
      </w:r>
      <w:r w:rsidR="00082EAD" w:rsidRPr="006B5318">
        <w:rPr>
          <w:rFonts w:ascii="Garamond" w:hAnsi="Garamond"/>
        </w:rPr>
        <w:t xml:space="preserve"> </w:t>
      </w:r>
      <w:r w:rsidR="006B03EA" w:rsidRPr="006B5318">
        <w:rPr>
          <w:rFonts w:ascii="Garamond" w:hAnsi="Garamond"/>
        </w:rPr>
        <w:t xml:space="preserve">in Margaret’s </w:t>
      </w:r>
      <w:r w:rsidR="006B03EA" w:rsidRPr="006B5318">
        <w:rPr>
          <w:rFonts w:ascii="Garamond" w:hAnsi="Garamond"/>
        </w:rPr>
        <w:lastRenderedPageBreak/>
        <w:t xml:space="preserve">accounts bear close resemblance to the features </w:t>
      </w:r>
      <w:r w:rsidRPr="006B5318">
        <w:rPr>
          <w:rFonts w:ascii="Garamond" w:hAnsi="Garamond"/>
        </w:rPr>
        <w:t xml:space="preserve">represented in Wyngaerde’s sixteenth-century drawing of the post-medieval palace, </w:t>
      </w:r>
      <w:r w:rsidR="006B03EA" w:rsidRPr="006B5318">
        <w:rPr>
          <w:rFonts w:ascii="Garamond" w:hAnsi="Garamond"/>
        </w:rPr>
        <w:t xml:space="preserve">which </w:t>
      </w:r>
      <w:r w:rsidR="00F91275" w:rsidRPr="006B5318">
        <w:rPr>
          <w:rFonts w:ascii="Garamond" w:hAnsi="Garamond"/>
        </w:rPr>
        <w:t>shows</w:t>
      </w:r>
      <w:r w:rsidR="00082EAD" w:rsidRPr="006B5318">
        <w:rPr>
          <w:rFonts w:ascii="Garamond" w:hAnsi="Garamond"/>
        </w:rPr>
        <w:t xml:space="preserve"> </w:t>
      </w:r>
      <w:r w:rsidRPr="006B5318">
        <w:rPr>
          <w:rFonts w:ascii="Garamond" w:hAnsi="Garamond"/>
        </w:rPr>
        <w:t xml:space="preserve">steps to the east of the main gatehouse and a pier to the west (fig. </w:t>
      </w:r>
      <w:r w:rsidR="00F91275" w:rsidRPr="006B5318">
        <w:rPr>
          <w:rFonts w:ascii="Garamond" w:hAnsi="Garamond"/>
        </w:rPr>
        <w:t>2)</w:t>
      </w:r>
      <w:r w:rsidRPr="006B5318">
        <w:rPr>
          <w:rFonts w:ascii="Garamond" w:hAnsi="Garamond"/>
        </w:rPr>
        <w:t xml:space="preserve">. </w:t>
      </w:r>
    </w:p>
    <w:p w14:paraId="22F9E7F2" w14:textId="088AB1AA" w:rsidR="00EC166F" w:rsidRPr="006B5318" w:rsidRDefault="00EC166F" w:rsidP="00330ECB">
      <w:pPr>
        <w:spacing w:line="276" w:lineRule="auto"/>
        <w:ind w:firstLine="567"/>
        <w:jc w:val="both"/>
        <w:rPr>
          <w:rFonts w:ascii="Garamond" w:hAnsi="Garamond"/>
        </w:rPr>
      </w:pPr>
      <w:r w:rsidRPr="006B5318">
        <w:rPr>
          <w:rFonts w:ascii="Garamond" w:hAnsi="Garamond"/>
        </w:rPr>
        <w:t xml:space="preserve">As the first high-status residence </w:t>
      </w:r>
      <w:r w:rsidRPr="006B5318">
        <w:rPr>
          <w:rFonts w:ascii="Garamond" w:hAnsi="Garamond"/>
          <w:i/>
          <w:iCs/>
        </w:rPr>
        <w:t>enroute</w:t>
      </w:r>
      <w:r w:rsidRPr="006B5318">
        <w:rPr>
          <w:rFonts w:ascii="Garamond" w:hAnsi="Garamond"/>
        </w:rPr>
        <w:t xml:space="preserve"> upriver to London, Greenwich was poised at the gateway between the capital and the continent. In this respect, it was ideally placed to </w:t>
      </w:r>
      <w:r w:rsidR="00667922" w:rsidRPr="006B5318">
        <w:rPr>
          <w:rFonts w:ascii="Garamond" w:hAnsi="Garamond"/>
        </w:rPr>
        <w:t>advertise</w:t>
      </w:r>
      <w:r w:rsidRPr="006B5318">
        <w:rPr>
          <w:rFonts w:ascii="Garamond" w:hAnsi="Garamond"/>
        </w:rPr>
        <w:t xml:space="preserve"> Margaret’s </w:t>
      </w:r>
      <w:r w:rsidR="00667922" w:rsidRPr="006B5318">
        <w:rPr>
          <w:rFonts w:ascii="Garamond" w:hAnsi="Garamond"/>
        </w:rPr>
        <w:t>symbolic role</w:t>
      </w:r>
      <w:r w:rsidRPr="006B5318">
        <w:rPr>
          <w:rFonts w:ascii="Garamond" w:hAnsi="Garamond"/>
        </w:rPr>
        <w:t xml:space="preserve"> as a gatekeeper to the king</w:t>
      </w:r>
      <w:r w:rsidR="00667922" w:rsidRPr="006B5318">
        <w:rPr>
          <w:rFonts w:ascii="Garamond" w:hAnsi="Garamond"/>
        </w:rPr>
        <w:t xml:space="preserve"> (and, </w:t>
      </w:r>
      <w:r w:rsidR="00DB22AE" w:rsidRPr="006B5318">
        <w:rPr>
          <w:rFonts w:ascii="Garamond" w:hAnsi="Garamond"/>
        </w:rPr>
        <w:t>before</w:t>
      </w:r>
      <w:r w:rsidR="00C00F2C">
        <w:rPr>
          <w:rFonts w:ascii="Garamond" w:hAnsi="Garamond"/>
        </w:rPr>
        <w:t xml:space="preserve"> that</w:t>
      </w:r>
      <w:r w:rsidR="00667922" w:rsidRPr="006B5318">
        <w:rPr>
          <w:rFonts w:ascii="Garamond" w:hAnsi="Garamond"/>
        </w:rPr>
        <w:t>, Duke Humphrey’s role as regent)</w:t>
      </w:r>
      <w:r w:rsidRPr="006B5318">
        <w:rPr>
          <w:rFonts w:ascii="Garamond" w:hAnsi="Garamond"/>
        </w:rPr>
        <w:t xml:space="preserve">. After Greenwich, the next high-status residence upriver was the royal palace of the Tower of London. The ordering of the residences meant that the owner of Greenwich was second only to the king in this spatial sequence of power. </w:t>
      </w:r>
      <w:r w:rsidR="004927DB" w:rsidRPr="006B5318">
        <w:rPr>
          <w:rFonts w:ascii="Garamond" w:hAnsi="Garamond"/>
        </w:rPr>
        <w:t xml:space="preserve">The palace’s position may have also been a nod </w:t>
      </w:r>
      <w:r w:rsidRPr="006B5318">
        <w:rPr>
          <w:rFonts w:ascii="Garamond" w:hAnsi="Garamond"/>
        </w:rPr>
        <w:t>to Margaret’s symbolic role as peacekeeper between England and France at a time when the Hundred Years War was still ongoing. While Greenwich was undoubtedly an advantageous location for Margaret personally, it i</w:t>
      </w:r>
      <w:r w:rsidR="00891B6D" w:rsidRPr="006B5318">
        <w:rPr>
          <w:rFonts w:ascii="Garamond" w:hAnsi="Garamond"/>
        </w:rPr>
        <w:t xml:space="preserve">s </w:t>
      </w:r>
      <w:r w:rsidR="00DB22AE">
        <w:rPr>
          <w:rFonts w:ascii="Garamond" w:hAnsi="Garamond"/>
        </w:rPr>
        <w:t xml:space="preserve">thus </w:t>
      </w:r>
      <w:r w:rsidR="00891B6D" w:rsidRPr="006B5318">
        <w:rPr>
          <w:rFonts w:ascii="Garamond" w:hAnsi="Garamond"/>
        </w:rPr>
        <w:t>evident that the establishment of</w:t>
      </w:r>
      <w:r w:rsidR="002A06A8" w:rsidRPr="006B5318">
        <w:rPr>
          <w:rFonts w:ascii="Garamond" w:hAnsi="Garamond"/>
        </w:rPr>
        <w:t xml:space="preserve"> </w:t>
      </w:r>
      <w:r w:rsidR="00316CDE" w:rsidRPr="006B5318">
        <w:rPr>
          <w:rFonts w:ascii="Garamond" w:hAnsi="Garamond"/>
        </w:rPr>
        <w:t>her household</w:t>
      </w:r>
      <w:r w:rsidR="00891B6D" w:rsidRPr="006B5318">
        <w:rPr>
          <w:rFonts w:ascii="Garamond" w:hAnsi="Garamond"/>
        </w:rPr>
        <w:t xml:space="preserve"> there </w:t>
      </w:r>
      <w:r w:rsidR="00995AC1" w:rsidRPr="006B5318">
        <w:rPr>
          <w:rFonts w:ascii="Garamond" w:hAnsi="Garamond"/>
        </w:rPr>
        <w:t xml:space="preserve">also </w:t>
      </w:r>
      <w:r w:rsidR="00082EAD" w:rsidRPr="006B5318">
        <w:rPr>
          <w:rFonts w:ascii="Garamond" w:hAnsi="Garamond"/>
        </w:rPr>
        <w:t xml:space="preserve">complemented a </w:t>
      </w:r>
      <w:r w:rsidRPr="006B5318">
        <w:rPr>
          <w:rFonts w:ascii="Garamond" w:hAnsi="Garamond"/>
        </w:rPr>
        <w:t>broader display of royal power</w:t>
      </w:r>
      <w:r w:rsidR="006A4096" w:rsidRPr="006B5318">
        <w:rPr>
          <w:rFonts w:ascii="Garamond" w:hAnsi="Garamond"/>
        </w:rPr>
        <w:t>.</w:t>
      </w:r>
    </w:p>
    <w:p w14:paraId="2F20C939" w14:textId="2B517F2E" w:rsidR="00FF1412" w:rsidRPr="006B5318" w:rsidRDefault="00FF1412" w:rsidP="00BE3D6A">
      <w:pPr>
        <w:spacing w:line="276" w:lineRule="auto"/>
        <w:jc w:val="both"/>
        <w:rPr>
          <w:rFonts w:ascii="Garamond" w:hAnsi="Garamond"/>
        </w:rPr>
      </w:pPr>
    </w:p>
    <w:p w14:paraId="580784B2" w14:textId="77777777" w:rsidR="00FF1412" w:rsidRPr="006B5318" w:rsidRDefault="00FF1412" w:rsidP="00FF1412">
      <w:pPr>
        <w:jc w:val="both"/>
        <w:rPr>
          <w:rFonts w:ascii="Garamond" w:hAnsi="Garamond"/>
        </w:rPr>
      </w:pPr>
    </w:p>
    <w:p w14:paraId="53572E31" w14:textId="4C8423F1" w:rsidR="00FF1412" w:rsidRPr="006B5318" w:rsidRDefault="00FF1412" w:rsidP="00FF1412">
      <w:pPr>
        <w:jc w:val="both"/>
        <w:rPr>
          <w:rFonts w:ascii="Garamond" w:hAnsi="Garamond"/>
        </w:rPr>
      </w:pPr>
      <w:r w:rsidRPr="004C060D">
        <w:rPr>
          <w:rFonts w:ascii="Garamond" w:hAnsi="Garamond"/>
          <w:highlight w:val="yellow"/>
        </w:rPr>
        <w:t xml:space="preserve">Figure </w:t>
      </w:r>
      <w:r w:rsidR="00F91275" w:rsidRPr="004C060D">
        <w:rPr>
          <w:rFonts w:ascii="Garamond" w:hAnsi="Garamond"/>
          <w:highlight w:val="yellow"/>
        </w:rPr>
        <w:t>1</w:t>
      </w:r>
      <w:r w:rsidRPr="004C060D">
        <w:rPr>
          <w:rFonts w:ascii="Garamond" w:hAnsi="Garamond"/>
          <w:highlight w:val="yellow"/>
        </w:rPr>
        <w:t>. Outline map of England showing Greenwich in relation to Margaret of Anjou’s other main residences.</w:t>
      </w:r>
    </w:p>
    <w:p w14:paraId="51CCF574" w14:textId="77777777" w:rsidR="0046180C" w:rsidRPr="006B5318" w:rsidRDefault="0046180C" w:rsidP="00330ECB">
      <w:pPr>
        <w:spacing w:line="276" w:lineRule="auto"/>
        <w:ind w:firstLine="567"/>
        <w:jc w:val="both"/>
        <w:rPr>
          <w:rFonts w:ascii="Garamond" w:hAnsi="Garamond"/>
        </w:rPr>
      </w:pPr>
    </w:p>
    <w:p w14:paraId="710050B2" w14:textId="2BE71344" w:rsidR="00D27804" w:rsidRPr="006B5318" w:rsidRDefault="00D27804" w:rsidP="004C060D">
      <w:pPr>
        <w:spacing w:line="276" w:lineRule="auto"/>
        <w:rPr>
          <w:rFonts w:ascii="Garamond" w:hAnsi="Garamond"/>
        </w:rPr>
      </w:pPr>
    </w:p>
    <w:p w14:paraId="5BA92010" w14:textId="77777777" w:rsidR="00D27804" w:rsidRPr="006B5318" w:rsidRDefault="00D27804" w:rsidP="00D27804">
      <w:pPr>
        <w:jc w:val="both"/>
        <w:rPr>
          <w:rFonts w:ascii="Garamond" w:hAnsi="Garamond"/>
        </w:rPr>
      </w:pPr>
    </w:p>
    <w:p w14:paraId="0AA6628E" w14:textId="2BC0148B" w:rsidR="00D27804" w:rsidRPr="006B5318" w:rsidRDefault="00D27804" w:rsidP="00D27804">
      <w:pPr>
        <w:jc w:val="both"/>
        <w:rPr>
          <w:rFonts w:ascii="Garamond" w:hAnsi="Garamond"/>
        </w:rPr>
      </w:pPr>
      <w:r w:rsidRPr="004C060D">
        <w:rPr>
          <w:rFonts w:ascii="Garamond" w:hAnsi="Garamond"/>
          <w:highlight w:val="yellow"/>
        </w:rPr>
        <w:t xml:space="preserve">Figure </w:t>
      </w:r>
      <w:r w:rsidR="00F91275" w:rsidRPr="004C060D">
        <w:rPr>
          <w:rFonts w:ascii="Garamond" w:hAnsi="Garamond"/>
          <w:highlight w:val="yellow"/>
        </w:rPr>
        <w:t>2</w:t>
      </w:r>
      <w:r w:rsidRPr="004C060D">
        <w:rPr>
          <w:rFonts w:ascii="Garamond" w:hAnsi="Garamond"/>
          <w:highlight w:val="yellow"/>
        </w:rPr>
        <w:t xml:space="preserve">. Detail from Anton van den Wyngaerde’s ‘Greenwich Palace’, </w:t>
      </w:r>
      <w:r w:rsidRPr="004C060D">
        <w:rPr>
          <w:rFonts w:ascii="Garamond" w:hAnsi="Garamond"/>
          <w:i/>
          <w:iCs/>
          <w:highlight w:val="yellow"/>
        </w:rPr>
        <w:t xml:space="preserve">c. </w:t>
      </w:r>
      <w:r w:rsidRPr="004C060D">
        <w:rPr>
          <w:rFonts w:ascii="Garamond" w:hAnsi="Garamond"/>
          <w:highlight w:val="yellow"/>
        </w:rPr>
        <w:t>1558 Ashmolean Museum, Oxford, WA. C. LG. IV. 8b. Steps leading to the river are shown to the left of the image, and a pier to the far right. Image: Author’s own (Permission to publish yet to be obtained).</w:t>
      </w:r>
    </w:p>
    <w:p w14:paraId="7B09FC70" w14:textId="6553F3E8" w:rsidR="00D27804" w:rsidRPr="006B5318" w:rsidRDefault="00D27804" w:rsidP="00F91275">
      <w:pPr>
        <w:jc w:val="both"/>
        <w:rPr>
          <w:rFonts w:ascii="Garamond" w:hAnsi="Garamond"/>
        </w:rPr>
      </w:pPr>
    </w:p>
    <w:p w14:paraId="0F53C7E0" w14:textId="47E145C9" w:rsidR="00EC166F" w:rsidRPr="006B5318" w:rsidRDefault="00EC166F" w:rsidP="00330ECB">
      <w:pPr>
        <w:spacing w:line="276" w:lineRule="auto"/>
        <w:jc w:val="both"/>
        <w:rPr>
          <w:rFonts w:ascii="Garamond" w:hAnsi="Garamond"/>
        </w:rPr>
      </w:pPr>
    </w:p>
    <w:p w14:paraId="283F0EF5" w14:textId="43E3CFB7" w:rsidR="00FC3DA0" w:rsidRPr="006B5318" w:rsidRDefault="00FC3DA0" w:rsidP="0035055C">
      <w:pPr>
        <w:spacing w:line="276" w:lineRule="auto"/>
        <w:jc w:val="both"/>
        <w:rPr>
          <w:rFonts w:ascii="Garamond" w:hAnsi="Garamond"/>
          <w:b/>
          <w:bCs/>
        </w:rPr>
      </w:pPr>
      <w:r w:rsidRPr="006B5318">
        <w:rPr>
          <w:rFonts w:ascii="Garamond" w:hAnsi="Garamond"/>
          <w:b/>
          <w:bCs/>
        </w:rPr>
        <w:t>The Palace in 1447</w:t>
      </w:r>
    </w:p>
    <w:p w14:paraId="6E4C15F0" w14:textId="77777777" w:rsidR="0035055C" w:rsidRPr="006B5318" w:rsidRDefault="0035055C" w:rsidP="00330ECB">
      <w:pPr>
        <w:spacing w:line="276" w:lineRule="auto"/>
        <w:jc w:val="both"/>
        <w:rPr>
          <w:rFonts w:ascii="Garamond" w:hAnsi="Garamond"/>
        </w:rPr>
      </w:pPr>
    </w:p>
    <w:p w14:paraId="15CCD0CB" w14:textId="3190FEC2" w:rsidR="00CB2275" w:rsidRPr="006B5318" w:rsidRDefault="00DB7640" w:rsidP="0035055C">
      <w:pPr>
        <w:spacing w:line="276" w:lineRule="auto"/>
        <w:ind w:firstLine="567"/>
        <w:jc w:val="both"/>
        <w:rPr>
          <w:rFonts w:ascii="Garamond" w:hAnsi="Garamond"/>
        </w:rPr>
      </w:pPr>
      <w:r w:rsidRPr="006B5318">
        <w:rPr>
          <w:rFonts w:ascii="Garamond" w:hAnsi="Garamond"/>
        </w:rPr>
        <w:t xml:space="preserve">The house </w:t>
      </w:r>
      <w:r w:rsidR="008B0A20" w:rsidRPr="006B5318">
        <w:rPr>
          <w:rFonts w:ascii="Garamond" w:hAnsi="Garamond"/>
        </w:rPr>
        <w:t xml:space="preserve">that </w:t>
      </w:r>
      <w:r w:rsidRPr="006B5318">
        <w:rPr>
          <w:rFonts w:ascii="Garamond" w:hAnsi="Garamond"/>
        </w:rPr>
        <w:t>Margaret acquired had been built by Humphrey</w:t>
      </w:r>
      <w:r w:rsidR="006B03EA" w:rsidRPr="006B5318">
        <w:rPr>
          <w:rFonts w:ascii="Garamond" w:hAnsi="Garamond"/>
        </w:rPr>
        <w:t xml:space="preserve"> Duke of Gloucester</w:t>
      </w:r>
      <w:r w:rsidRPr="006B5318">
        <w:rPr>
          <w:rFonts w:ascii="Garamond" w:hAnsi="Garamond"/>
        </w:rPr>
        <w:t xml:space="preserve"> in 1428</w:t>
      </w:r>
      <w:r w:rsidR="0013286D" w:rsidRPr="006B5318">
        <w:rPr>
          <w:rFonts w:ascii="Garamond" w:hAnsi="Garamond"/>
        </w:rPr>
        <w:t>.</w:t>
      </w:r>
      <w:r w:rsidR="004D670A" w:rsidRPr="006B5318">
        <w:rPr>
          <w:rStyle w:val="FootnoteReference"/>
          <w:rFonts w:ascii="Garamond" w:hAnsi="Garamond"/>
        </w:rPr>
        <w:footnoteReference w:id="37"/>
      </w:r>
      <w:r w:rsidR="0013286D" w:rsidRPr="006B5318">
        <w:rPr>
          <w:rFonts w:ascii="Garamond" w:hAnsi="Garamond"/>
        </w:rPr>
        <w:t xml:space="preserve"> </w:t>
      </w:r>
      <w:r w:rsidR="00CD5F14">
        <w:rPr>
          <w:rFonts w:ascii="Garamond" w:hAnsi="Garamond"/>
        </w:rPr>
        <w:t>Humphrey’s residence was</w:t>
      </w:r>
      <w:r w:rsidR="00812018" w:rsidRPr="006B5318">
        <w:rPr>
          <w:rFonts w:ascii="Garamond" w:hAnsi="Garamond"/>
        </w:rPr>
        <w:t xml:space="preserve"> reputedly one of the finest in fifteenth-century England, forming a ‘miniature’ court, where </w:t>
      </w:r>
      <w:r w:rsidR="00CD5F14">
        <w:rPr>
          <w:rFonts w:ascii="Garamond" w:hAnsi="Garamond"/>
        </w:rPr>
        <w:t xml:space="preserve">he </w:t>
      </w:r>
      <w:r w:rsidR="00812018" w:rsidRPr="006B5318">
        <w:rPr>
          <w:rFonts w:ascii="Garamond" w:hAnsi="Garamond"/>
        </w:rPr>
        <w:t>and his wife Eleanor entertained poets, astrologers, physicians, musicians and other great thinkers of the day.</w:t>
      </w:r>
      <w:r w:rsidR="00812018" w:rsidRPr="006B5318">
        <w:rPr>
          <w:rStyle w:val="FootnoteReference"/>
          <w:rFonts w:ascii="Garamond" w:hAnsi="Garamond"/>
        </w:rPr>
        <w:footnoteReference w:id="38"/>
      </w:r>
      <w:r w:rsidR="00DF74CC" w:rsidRPr="006B5318">
        <w:rPr>
          <w:rFonts w:ascii="Garamond" w:hAnsi="Garamond"/>
        </w:rPr>
        <w:t xml:space="preserve"> </w:t>
      </w:r>
      <w:r w:rsidRPr="006B5318">
        <w:rPr>
          <w:rFonts w:ascii="Garamond" w:hAnsi="Garamond"/>
        </w:rPr>
        <w:t xml:space="preserve">The </w:t>
      </w:r>
      <w:r w:rsidR="006B03EA" w:rsidRPr="006B5318">
        <w:rPr>
          <w:rFonts w:ascii="Garamond" w:hAnsi="Garamond"/>
        </w:rPr>
        <w:t xml:space="preserve">couple’s </w:t>
      </w:r>
      <w:r w:rsidRPr="006B5318">
        <w:rPr>
          <w:rFonts w:ascii="Garamond" w:hAnsi="Garamond"/>
        </w:rPr>
        <w:t>residence stood to the north-east of the settlement</w:t>
      </w:r>
      <w:r w:rsidR="0013286D" w:rsidRPr="006B5318">
        <w:rPr>
          <w:rFonts w:ascii="Garamond" w:hAnsi="Garamond"/>
        </w:rPr>
        <w:t xml:space="preserve"> </w:t>
      </w:r>
      <w:r w:rsidRPr="006B5318">
        <w:rPr>
          <w:rFonts w:ascii="Garamond" w:hAnsi="Garamond"/>
        </w:rPr>
        <w:t>and less than half a mile north of the medieval parish church dedicated to the local martyr, St Alfege.</w:t>
      </w:r>
      <w:r w:rsidRPr="006B5318">
        <w:rPr>
          <w:rStyle w:val="FootnoteReference"/>
          <w:rFonts w:ascii="Garamond" w:hAnsi="Garamond"/>
        </w:rPr>
        <w:footnoteReference w:id="39"/>
      </w:r>
      <w:r w:rsidRPr="006B5318">
        <w:rPr>
          <w:rFonts w:ascii="Garamond" w:hAnsi="Garamond"/>
        </w:rPr>
        <w:t xml:space="preserve"> Although nothing survives of the palace above ground, archaeological excavations have revealed that the pre-Tudor residence</w:t>
      </w:r>
      <w:r w:rsidR="006B03EA" w:rsidRPr="006B5318">
        <w:rPr>
          <w:rFonts w:ascii="Garamond" w:hAnsi="Garamond"/>
        </w:rPr>
        <w:t>,</w:t>
      </w:r>
      <w:r w:rsidR="00025D2C" w:rsidRPr="006B5318">
        <w:rPr>
          <w:rFonts w:ascii="Garamond" w:hAnsi="Garamond"/>
        </w:rPr>
        <w:t xml:space="preserve"> in its various incarnations</w:t>
      </w:r>
      <w:r w:rsidR="006B03EA" w:rsidRPr="006B5318">
        <w:rPr>
          <w:rFonts w:ascii="Garamond" w:hAnsi="Garamond"/>
        </w:rPr>
        <w:t>,</w:t>
      </w:r>
      <w:r w:rsidRPr="006B5318">
        <w:rPr>
          <w:rFonts w:ascii="Garamond" w:hAnsi="Garamond"/>
        </w:rPr>
        <w:t xml:space="preserve"> had a river-facing frontage and was arranged around two </w:t>
      </w:r>
      <w:r w:rsidR="00025D2C" w:rsidRPr="006B5318">
        <w:rPr>
          <w:rFonts w:ascii="Garamond" w:hAnsi="Garamond"/>
        </w:rPr>
        <w:t xml:space="preserve">rectangular </w:t>
      </w:r>
      <w:r w:rsidRPr="006B5318">
        <w:rPr>
          <w:rFonts w:ascii="Garamond" w:hAnsi="Garamond"/>
        </w:rPr>
        <w:t xml:space="preserve">courtyards, which were oriented from north to south. </w:t>
      </w:r>
      <w:r w:rsidR="00025D2C" w:rsidRPr="006B5318">
        <w:rPr>
          <w:rFonts w:ascii="Garamond" w:hAnsi="Garamond"/>
        </w:rPr>
        <w:t xml:space="preserve">During Duke Humphrey’s ownership, the footprint of the house </w:t>
      </w:r>
      <w:r w:rsidR="006B03EA" w:rsidRPr="006B5318">
        <w:rPr>
          <w:rFonts w:ascii="Garamond" w:hAnsi="Garamond"/>
        </w:rPr>
        <w:t>measured</w:t>
      </w:r>
      <w:r w:rsidR="00025D2C" w:rsidRPr="006B5318">
        <w:rPr>
          <w:rFonts w:ascii="Garamond" w:hAnsi="Garamond"/>
        </w:rPr>
        <w:t xml:space="preserve"> 21 metres </w:t>
      </w:r>
      <w:r w:rsidR="006B03EA" w:rsidRPr="006B5318">
        <w:rPr>
          <w:rFonts w:ascii="Garamond" w:hAnsi="Garamond"/>
        </w:rPr>
        <w:t>in length</w:t>
      </w:r>
      <w:r w:rsidR="00025D2C" w:rsidRPr="006B5318">
        <w:rPr>
          <w:rFonts w:ascii="Garamond" w:hAnsi="Garamond"/>
        </w:rPr>
        <w:t xml:space="preserve"> and 8.5 </w:t>
      </w:r>
      <w:r w:rsidR="00404663" w:rsidRPr="006B5318">
        <w:rPr>
          <w:rFonts w:ascii="Garamond" w:hAnsi="Garamond"/>
        </w:rPr>
        <w:t>wid</w:t>
      </w:r>
      <w:r w:rsidR="006B03EA" w:rsidRPr="006B5318">
        <w:rPr>
          <w:rFonts w:ascii="Garamond" w:hAnsi="Garamond"/>
        </w:rPr>
        <w:t>th</w:t>
      </w:r>
      <w:r w:rsidR="0013286D" w:rsidRPr="006B5318">
        <w:rPr>
          <w:rFonts w:ascii="Garamond" w:hAnsi="Garamond"/>
        </w:rPr>
        <w:t>,</w:t>
      </w:r>
      <w:r w:rsidR="00404663" w:rsidRPr="006B5318">
        <w:rPr>
          <w:rFonts w:ascii="Garamond" w:hAnsi="Garamond"/>
        </w:rPr>
        <w:t xml:space="preserve"> </w:t>
      </w:r>
      <w:r w:rsidR="0013286D" w:rsidRPr="006B5318">
        <w:rPr>
          <w:rFonts w:ascii="Garamond" w:hAnsi="Garamond"/>
        </w:rPr>
        <w:t>expand</w:t>
      </w:r>
      <w:r w:rsidR="00082EAD" w:rsidRPr="006B5318">
        <w:rPr>
          <w:rFonts w:ascii="Garamond" w:hAnsi="Garamond"/>
        </w:rPr>
        <w:t>ing</w:t>
      </w:r>
      <w:r w:rsidR="0013286D" w:rsidRPr="006B5318">
        <w:rPr>
          <w:rFonts w:ascii="Garamond" w:hAnsi="Garamond"/>
        </w:rPr>
        <w:t xml:space="preserve"> westwards with Margaret’s subsequent alterations</w:t>
      </w:r>
      <w:r w:rsidR="00466AF8" w:rsidRPr="006B5318">
        <w:rPr>
          <w:rFonts w:ascii="Garamond" w:hAnsi="Garamond"/>
        </w:rPr>
        <w:t>.</w:t>
      </w:r>
      <w:r w:rsidR="00466AF8" w:rsidRPr="006B5318">
        <w:rPr>
          <w:rStyle w:val="FootnoteReference"/>
          <w:rFonts w:ascii="Garamond" w:hAnsi="Garamond"/>
        </w:rPr>
        <w:footnoteReference w:id="40"/>
      </w:r>
      <w:r w:rsidR="00466AF8" w:rsidRPr="006B5318">
        <w:rPr>
          <w:rFonts w:ascii="Garamond" w:hAnsi="Garamond"/>
        </w:rPr>
        <w:t xml:space="preserve"> </w:t>
      </w:r>
      <w:r w:rsidR="0013286D" w:rsidRPr="006B5318">
        <w:rPr>
          <w:rFonts w:ascii="Garamond" w:hAnsi="Garamond"/>
        </w:rPr>
        <w:t>The house</w:t>
      </w:r>
      <w:r w:rsidR="00025D2C" w:rsidRPr="006B5318">
        <w:rPr>
          <w:rFonts w:ascii="Garamond" w:hAnsi="Garamond"/>
        </w:rPr>
        <w:t xml:space="preserve"> was most likely two stories high, and incorporated an earlier, fourteenth-century </w:t>
      </w:r>
      <w:r w:rsidR="00EB78F6" w:rsidRPr="006B5318">
        <w:rPr>
          <w:rFonts w:ascii="Garamond" w:hAnsi="Garamond"/>
        </w:rPr>
        <w:t>residence</w:t>
      </w:r>
      <w:r w:rsidR="00025D2C" w:rsidRPr="006B5318">
        <w:rPr>
          <w:rFonts w:ascii="Garamond" w:hAnsi="Garamond"/>
        </w:rPr>
        <w:t xml:space="preserve"> </w:t>
      </w:r>
      <w:r w:rsidR="00DA6CAB" w:rsidRPr="006B5318">
        <w:rPr>
          <w:rFonts w:ascii="Garamond" w:hAnsi="Garamond"/>
        </w:rPr>
        <w:t xml:space="preserve">which had stood </w:t>
      </w:r>
      <w:r w:rsidR="00826324" w:rsidRPr="006B5318">
        <w:rPr>
          <w:rFonts w:ascii="Garamond" w:hAnsi="Garamond"/>
        </w:rPr>
        <w:t>in the same</w:t>
      </w:r>
      <w:r w:rsidR="006B03EA" w:rsidRPr="006B5318">
        <w:rPr>
          <w:rFonts w:ascii="Garamond" w:hAnsi="Garamond"/>
        </w:rPr>
        <w:t xml:space="preserve"> </w:t>
      </w:r>
      <w:r w:rsidR="00F91275" w:rsidRPr="006B5318">
        <w:rPr>
          <w:rFonts w:ascii="Garamond" w:hAnsi="Garamond"/>
        </w:rPr>
        <w:t>place</w:t>
      </w:r>
      <w:r w:rsidR="00025D2C" w:rsidRPr="006B5318">
        <w:rPr>
          <w:rFonts w:ascii="Garamond" w:hAnsi="Garamond"/>
        </w:rPr>
        <w:t xml:space="preserve">. </w:t>
      </w:r>
      <w:r w:rsidRPr="006B5318">
        <w:rPr>
          <w:rFonts w:ascii="Garamond" w:hAnsi="Garamond"/>
        </w:rPr>
        <w:t>There is some debate as to whether the palace was surrounded by a moat, although Duke Humphrey’s licence to crenellate confirms that a wall enclosed the palace, as well as the gardens and park, which were located directly</w:t>
      </w:r>
      <w:r w:rsidR="00637EBA" w:rsidRPr="006B5318">
        <w:rPr>
          <w:rFonts w:ascii="Garamond" w:hAnsi="Garamond"/>
        </w:rPr>
        <w:t xml:space="preserve"> to the</w:t>
      </w:r>
      <w:r w:rsidRPr="006B5318">
        <w:rPr>
          <w:rFonts w:ascii="Garamond" w:hAnsi="Garamond"/>
        </w:rPr>
        <w:t xml:space="preserve"> south </w:t>
      </w:r>
      <w:r w:rsidRPr="006B5318">
        <w:rPr>
          <w:rFonts w:ascii="Garamond" w:hAnsi="Garamond"/>
        </w:rPr>
        <w:lastRenderedPageBreak/>
        <w:t>of the residence.</w:t>
      </w:r>
      <w:r w:rsidRPr="006B5318">
        <w:rPr>
          <w:rStyle w:val="FootnoteReference"/>
          <w:rFonts w:ascii="Garamond" w:hAnsi="Garamond"/>
        </w:rPr>
        <w:footnoteReference w:id="41"/>
      </w:r>
      <w:r w:rsidRPr="006B5318">
        <w:rPr>
          <w:rFonts w:ascii="Garamond" w:hAnsi="Garamond"/>
        </w:rPr>
        <w:t xml:space="preserve"> The park</w:t>
      </w:r>
      <w:r w:rsidR="007F650B" w:rsidRPr="006B5318">
        <w:rPr>
          <w:rFonts w:ascii="Garamond" w:hAnsi="Garamond"/>
        </w:rPr>
        <w:t>, which</w:t>
      </w:r>
      <w:r w:rsidRPr="006B5318">
        <w:rPr>
          <w:rFonts w:ascii="Garamond" w:hAnsi="Garamond"/>
        </w:rPr>
        <w:t xml:space="preserve"> had first been enclosed by Humphrey and his wife Eleanor in 1433</w:t>
      </w:r>
      <w:r w:rsidR="007B7AEA" w:rsidRPr="006B5318">
        <w:rPr>
          <w:rFonts w:ascii="Garamond" w:hAnsi="Garamond"/>
        </w:rPr>
        <w:t>,</w:t>
      </w:r>
      <w:r w:rsidRPr="006B5318">
        <w:rPr>
          <w:rFonts w:ascii="Garamond" w:hAnsi="Garamond"/>
        </w:rPr>
        <w:t xml:space="preserve"> was roughly synonymous with the hilly terrain which still </w:t>
      </w:r>
      <w:r w:rsidR="00DA6CAB" w:rsidRPr="006B5318">
        <w:rPr>
          <w:rFonts w:ascii="Garamond" w:hAnsi="Garamond"/>
        </w:rPr>
        <w:t>forms</w:t>
      </w:r>
      <w:r w:rsidRPr="006B5318">
        <w:rPr>
          <w:rFonts w:ascii="Garamond" w:hAnsi="Garamond"/>
        </w:rPr>
        <w:t xml:space="preserve"> Greenwich park today</w:t>
      </w:r>
      <w:r w:rsidR="007B7AEA" w:rsidRPr="006B5318">
        <w:rPr>
          <w:rFonts w:ascii="Garamond" w:hAnsi="Garamond"/>
        </w:rPr>
        <w:t>, although the hunting lodge established by the couple was</w:t>
      </w:r>
      <w:r w:rsidR="00025D2C" w:rsidRPr="006B5318">
        <w:rPr>
          <w:rFonts w:ascii="Garamond" w:hAnsi="Garamond"/>
        </w:rPr>
        <w:t xml:space="preserve"> later</w:t>
      </w:r>
      <w:r w:rsidR="007B7AEA" w:rsidRPr="006B5318">
        <w:rPr>
          <w:rFonts w:ascii="Garamond" w:hAnsi="Garamond"/>
        </w:rPr>
        <w:t xml:space="preserve"> demolished to make way for the Royal Observatory in the seventeenth century</w:t>
      </w:r>
      <w:r w:rsidRPr="006B5318">
        <w:rPr>
          <w:rFonts w:ascii="Garamond" w:hAnsi="Garamond"/>
        </w:rPr>
        <w:t>.</w:t>
      </w:r>
      <w:r w:rsidRPr="006B5318">
        <w:rPr>
          <w:rStyle w:val="FootnoteReference"/>
          <w:rFonts w:ascii="Garamond" w:hAnsi="Garamond"/>
        </w:rPr>
        <w:footnoteReference w:id="42"/>
      </w:r>
      <w:r w:rsidRPr="006B5318">
        <w:rPr>
          <w:rFonts w:ascii="Garamond" w:hAnsi="Garamond"/>
        </w:rPr>
        <w:t xml:space="preserve"> </w:t>
      </w:r>
      <w:r w:rsidR="00DD2FE6" w:rsidRPr="006B5318">
        <w:rPr>
          <w:rFonts w:ascii="Garamond" w:hAnsi="Garamond"/>
        </w:rPr>
        <w:t xml:space="preserve">The couple’s creation of the park </w:t>
      </w:r>
      <w:r w:rsidR="003F329B" w:rsidRPr="006B5318">
        <w:rPr>
          <w:rFonts w:ascii="Garamond" w:hAnsi="Garamond"/>
        </w:rPr>
        <w:t xml:space="preserve">reordered the existing landscape, resulting in </w:t>
      </w:r>
      <w:r w:rsidR="00DD2FE6" w:rsidRPr="006B5318">
        <w:rPr>
          <w:rFonts w:ascii="Garamond" w:hAnsi="Garamond"/>
        </w:rPr>
        <w:t>the enclosure of a road of 136 perches long. In 1434, Humphrey and Eleanor were instructed to replace the route, resulting in the present-day Maze Hill, which traces the park’s eastern boundary.</w:t>
      </w:r>
      <w:r w:rsidR="00DD2FE6" w:rsidRPr="006B5318">
        <w:rPr>
          <w:rStyle w:val="FootnoteReference"/>
          <w:rFonts w:ascii="Garamond" w:hAnsi="Garamond"/>
        </w:rPr>
        <w:footnoteReference w:id="43"/>
      </w:r>
      <w:r w:rsidR="00DD2FE6" w:rsidRPr="006B5318">
        <w:rPr>
          <w:rFonts w:ascii="Garamond" w:hAnsi="Garamond"/>
        </w:rPr>
        <w:t xml:space="preserve"> While Greenwich palace was principally approached via river, any visitor approaching the settlement or palace via road would have</w:t>
      </w:r>
      <w:r w:rsidR="00B47F6B" w:rsidRPr="006B5318">
        <w:rPr>
          <w:rFonts w:ascii="Garamond" w:hAnsi="Garamond"/>
        </w:rPr>
        <w:t xml:space="preserve"> therefore</w:t>
      </w:r>
      <w:r w:rsidR="00DD2FE6" w:rsidRPr="006B5318">
        <w:rPr>
          <w:rFonts w:ascii="Garamond" w:hAnsi="Garamond"/>
        </w:rPr>
        <w:t xml:space="preserve"> been required to take a circuitous route around the park before reaching the main gatehouse, which faced north towards the river.</w:t>
      </w:r>
      <w:r w:rsidR="003F329B" w:rsidRPr="006B5318">
        <w:rPr>
          <w:rFonts w:ascii="Garamond" w:hAnsi="Garamond"/>
        </w:rPr>
        <w:t xml:space="preserve"> The circuitous</w:t>
      </w:r>
      <w:r w:rsidR="00706BFD" w:rsidRPr="006B5318">
        <w:rPr>
          <w:rFonts w:ascii="Garamond" w:hAnsi="Garamond"/>
        </w:rPr>
        <w:t xml:space="preserve"> route</w:t>
      </w:r>
      <w:r w:rsidR="00310021" w:rsidRPr="006B5318">
        <w:rPr>
          <w:rFonts w:ascii="Garamond" w:hAnsi="Garamond"/>
        </w:rPr>
        <w:t xml:space="preserve"> around the park</w:t>
      </w:r>
      <w:r w:rsidR="003F329B" w:rsidRPr="006B5318">
        <w:rPr>
          <w:rFonts w:ascii="Garamond" w:hAnsi="Garamond"/>
        </w:rPr>
        <w:t xml:space="preserve"> to</w:t>
      </w:r>
      <w:r w:rsidR="00310021" w:rsidRPr="006B5318">
        <w:rPr>
          <w:rFonts w:ascii="Garamond" w:hAnsi="Garamond"/>
        </w:rPr>
        <w:t xml:space="preserve"> access</w:t>
      </w:r>
      <w:r w:rsidR="003F329B" w:rsidRPr="006B5318">
        <w:rPr>
          <w:rFonts w:ascii="Garamond" w:hAnsi="Garamond"/>
        </w:rPr>
        <w:t xml:space="preserve"> the palace must have </w:t>
      </w:r>
      <w:r w:rsidR="00706BFD" w:rsidRPr="006B5318">
        <w:rPr>
          <w:rFonts w:ascii="Garamond" w:hAnsi="Garamond"/>
        </w:rPr>
        <w:t>resulted in</w:t>
      </w:r>
      <w:r w:rsidR="003F329B" w:rsidRPr="006B5318">
        <w:rPr>
          <w:rFonts w:ascii="Garamond" w:hAnsi="Garamond"/>
        </w:rPr>
        <w:t xml:space="preserve"> a heightened sense of ceremony and anticipation for anyone approaching.  </w:t>
      </w:r>
    </w:p>
    <w:p w14:paraId="2E144E62" w14:textId="5C0FBE3F" w:rsidR="00147E6D" w:rsidRPr="006B5318" w:rsidRDefault="00147E6D" w:rsidP="00147E6D">
      <w:pPr>
        <w:spacing w:line="276" w:lineRule="auto"/>
        <w:jc w:val="both"/>
        <w:rPr>
          <w:rFonts w:ascii="Garamond" w:hAnsi="Garamond"/>
        </w:rPr>
      </w:pPr>
    </w:p>
    <w:p w14:paraId="63025D03" w14:textId="4A2116FB" w:rsidR="00147E6D" w:rsidRPr="006B5318" w:rsidRDefault="00147E6D" w:rsidP="00147E6D">
      <w:pPr>
        <w:spacing w:line="276" w:lineRule="auto"/>
        <w:jc w:val="both"/>
        <w:rPr>
          <w:rFonts w:ascii="Garamond" w:hAnsi="Garamond"/>
          <w:b/>
          <w:bCs/>
        </w:rPr>
      </w:pPr>
      <w:r w:rsidRPr="006B5318">
        <w:rPr>
          <w:rFonts w:ascii="Garamond" w:hAnsi="Garamond"/>
          <w:b/>
          <w:bCs/>
        </w:rPr>
        <w:t>Margaret’s Palace</w:t>
      </w:r>
    </w:p>
    <w:p w14:paraId="30E6E4D6" w14:textId="77777777" w:rsidR="0035055C" w:rsidRPr="006B5318" w:rsidRDefault="0035055C" w:rsidP="00330ECB">
      <w:pPr>
        <w:spacing w:line="276" w:lineRule="auto"/>
        <w:jc w:val="both"/>
        <w:rPr>
          <w:rFonts w:ascii="Garamond" w:hAnsi="Garamond"/>
        </w:rPr>
      </w:pPr>
    </w:p>
    <w:p w14:paraId="130EEA7B" w14:textId="30377043" w:rsidR="00445757" w:rsidRPr="006B5318" w:rsidRDefault="00706ED1" w:rsidP="00445757">
      <w:pPr>
        <w:spacing w:line="276" w:lineRule="auto"/>
        <w:ind w:firstLine="567"/>
        <w:jc w:val="both"/>
        <w:rPr>
          <w:rFonts w:ascii="Garamond" w:hAnsi="Garamond"/>
        </w:rPr>
      </w:pPr>
      <w:r w:rsidRPr="006B5318">
        <w:rPr>
          <w:rFonts w:ascii="Garamond" w:hAnsi="Garamond"/>
        </w:rPr>
        <w:t xml:space="preserve">Duke </w:t>
      </w:r>
      <w:r w:rsidR="003F329B" w:rsidRPr="006B5318">
        <w:rPr>
          <w:rFonts w:ascii="Garamond" w:hAnsi="Garamond"/>
        </w:rPr>
        <w:t>Humphrey’s lifestyle was scaled back after the trial and imprisonment of his wife</w:t>
      </w:r>
      <w:r w:rsidR="008C6EC8" w:rsidRPr="006B5318">
        <w:rPr>
          <w:rFonts w:ascii="Garamond" w:hAnsi="Garamond"/>
        </w:rPr>
        <w:t>, Eleanor Cobham,</w:t>
      </w:r>
      <w:r w:rsidR="003F329B" w:rsidRPr="006B5318">
        <w:rPr>
          <w:rFonts w:ascii="Garamond" w:hAnsi="Garamond"/>
        </w:rPr>
        <w:t xml:space="preserve"> for alleged witchcraft in 1441, yet it is unlikely that the couple’s Greenwich residence was in any great state of disrepair when Margaret acquired it </w:t>
      </w:r>
      <w:r w:rsidR="00E33580" w:rsidRPr="006B5318">
        <w:rPr>
          <w:rFonts w:ascii="Garamond" w:hAnsi="Garamond"/>
        </w:rPr>
        <w:t>six years later</w:t>
      </w:r>
      <w:r w:rsidR="003F329B" w:rsidRPr="006B5318">
        <w:rPr>
          <w:rFonts w:ascii="Garamond" w:hAnsi="Garamond"/>
        </w:rPr>
        <w:t xml:space="preserve">. Set against this context, Margaret’s five-year programme of improvements at the cost of almost £300 can be seen as a powerful statement of her wealth and status as queen consort, </w:t>
      </w:r>
      <w:r w:rsidR="00CB2275" w:rsidRPr="006B5318">
        <w:rPr>
          <w:rFonts w:ascii="Garamond" w:hAnsi="Garamond"/>
        </w:rPr>
        <w:t>transform</w:t>
      </w:r>
      <w:r w:rsidR="000951CF" w:rsidRPr="006B5318">
        <w:rPr>
          <w:rFonts w:ascii="Garamond" w:hAnsi="Garamond"/>
        </w:rPr>
        <w:t>ing</w:t>
      </w:r>
      <w:r w:rsidR="00CB2275" w:rsidRPr="006B5318">
        <w:rPr>
          <w:rFonts w:ascii="Garamond" w:hAnsi="Garamond"/>
        </w:rPr>
        <w:t xml:space="preserve"> what</w:t>
      </w:r>
      <w:r w:rsidR="003F329B" w:rsidRPr="006B5318">
        <w:rPr>
          <w:rFonts w:ascii="Garamond" w:hAnsi="Garamond"/>
        </w:rPr>
        <w:t xml:space="preserve"> was already </w:t>
      </w:r>
      <w:r w:rsidR="00CB2275" w:rsidRPr="006B5318">
        <w:rPr>
          <w:rFonts w:ascii="Garamond" w:hAnsi="Garamond"/>
        </w:rPr>
        <w:t xml:space="preserve">regarded </w:t>
      </w:r>
      <w:r w:rsidR="003F329B" w:rsidRPr="006B5318">
        <w:rPr>
          <w:rFonts w:ascii="Garamond" w:hAnsi="Garamond"/>
        </w:rPr>
        <w:t>as one of the most impressive residences in England into a palace fit for a queen.</w:t>
      </w:r>
      <w:r w:rsidR="003F329B" w:rsidRPr="006B5318">
        <w:rPr>
          <w:rStyle w:val="FootnoteReference"/>
          <w:rFonts w:ascii="Garamond" w:hAnsi="Garamond"/>
        </w:rPr>
        <w:footnoteReference w:id="44"/>
      </w:r>
      <w:r w:rsidR="00CB2275" w:rsidRPr="006B5318">
        <w:rPr>
          <w:rFonts w:ascii="Garamond" w:hAnsi="Garamond"/>
        </w:rPr>
        <w:t xml:space="preserve"> While the young queen chose to retain the park and hunting lodge implemented by Humphrey and Eleanor, between 1447 and 1453, she added to the existing gardens</w:t>
      </w:r>
      <w:r w:rsidR="007D49CE" w:rsidRPr="006B5318">
        <w:rPr>
          <w:rFonts w:ascii="Garamond" w:hAnsi="Garamond"/>
        </w:rPr>
        <w:t xml:space="preserve"> and nearly doubled the size of the house</w:t>
      </w:r>
      <w:r w:rsidR="00CB2275" w:rsidRPr="006B5318">
        <w:rPr>
          <w:rFonts w:ascii="Garamond" w:hAnsi="Garamond"/>
        </w:rPr>
        <w:t xml:space="preserve"> through the addition of a new courtyard and a two-storied set of stone-built lodgings.</w:t>
      </w:r>
      <w:r w:rsidR="00CB2275" w:rsidRPr="006B5318">
        <w:rPr>
          <w:rStyle w:val="FootnoteReference"/>
          <w:rFonts w:ascii="Garamond" w:hAnsi="Garamond"/>
        </w:rPr>
        <w:footnoteReference w:id="45"/>
      </w:r>
      <w:r w:rsidR="00CB2275" w:rsidRPr="006B5318">
        <w:rPr>
          <w:rFonts w:ascii="Garamond" w:hAnsi="Garamond"/>
        </w:rPr>
        <w:t xml:space="preserve"> The steady flow of workers to and from the palace over a </w:t>
      </w:r>
      <w:r w:rsidR="006A0DE6" w:rsidRPr="006B5318">
        <w:rPr>
          <w:rFonts w:ascii="Garamond" w:hAnsi="Garamond"/>
        </w:rPr>
        <w:t xml:space="preserve">sustained </w:t>
      </w:r>
      <w:r w:rsidR="00CB2275" w:rsidRPr="006B5318">
        <w:rPr>
          <w:rFonts w:ascii="Garamond" w:hAnsi="Garamond"/>
        </w:rPr>
        <w:t xml:space="preserve">period undoubtedly made a powerful statement to the outside world of Margaret’s position and wealth as the new queen of England, as well as showcasing her ability to command a substantial, specialist workforce. </w:t>
      </w:r>
    </w:p>
    <w:p w14:paraId="14162D86" w14:textId="60BB128B" w:rsidR="00A91B0A" w:rsidRPr="006B5318" w:rsidRDefault="00D357E4" w:rsidP="00445757">
      <w:pPr>
        <w:spacing w:line="276" w:lineRule="auto"/>
        <w:ind w:firstLine="567"/>
        <w:jc w:val="both"/>
        <w:rPr>
          <w:rFonts w:ascii="Garamond" w:hAnsi="Garamond"/>
        </w:rPr>
      </w:pPr>
      <w:r w:rsidRPr="006B5318">
        <w:rPr>
          <w:rFonts w:ascii="Garamond" w:hAnsi="Garamond"/>
        </w:rPr>
        <w:t xml:space="preserve">Margaret’s works on the residence resulted in two principal courtyards or wards for herself and the king. The queen’s own ward </w:t>
      </w:r>
      <w:r w:rsidR="00247348" w:rsidRPr="006B5318">
        <w:rPr>
          <w:rFonts w:ascii="Garamond" w:hAnsi="Garamond"/>
        </w:rPr>
        <w:t>appears to have been</w:t>
      </w:r>
      <w:r w:rsidRPr="006B5318">
        <w:rPr>
          <w:rFonts w:ascii="Garamond" w:hAnsi="Garamond"/>
        </w:rPr>
        <w:t xml:space="preserve"> a new addition, while Henry’s ward </w:t>
      </w:r>
      <w:r w:rsidR="00247348" w:rsidRPr="006B5318">
        <w:rPr>
          <w:rFonts w:ascii="Garamond" w:hAnsi="Garamond"/>
        </w:rPr>
        <w:t xml:space="preserve">seems </w:t>
      </w:r>
      <w:r w:rsidRPr="006B5318">
        <w:rPr>
          <w:rFonts w:ascii="Garamond" w:hAnsi="Garamond"/>
        </w:rPr>
        <w:t xml:space="preserve">to have been adapted from Duke Humphrey’s earlier lodgings on the site. </w:t>
      </w:r>
      <w:r w:rsidR="00A91B0A" w:rsidRPr="006B5318">
        <w:rPr>
          <w:rFonts w:ascii="Garamond" w:hAnsi="Garamond"/>
        </w:rPr>
        <w:t>It would seem that both the king and queen’s apartments were arranged over two levels,</w:t>
      </w:r>
      <w:r w:rsidR="00637EBA" w:rsidRPr="006B5318">
        <w:rPr>
          <w:rFonts w:ascii="Garamond" w:hAnsi="Garamond"/>
        </w:rPr>
        <w:t xml:space="preserve"> most</w:t>
      </w:r>
      <w:r w:rsidR="00B0027F" w:rsidRPr="006B5318">
        <w:rPr>
          <w:rFonts w:ascii="Garamond" w:hAnsi="Garamond"/>
        </w:rPr>
        <w:t xml:space="preserve"> likely form</w:t>
      </w:r>
      <w:r w:rsidR="003941CF" w:rsidRPr="006B5318">
        <w:rPr>
          <w:rFonts w:ascii="Garamond" w:hAnsi="Garamond"/>
        </w:rPr>
        <w:t>ing</w:t>
      </w:r>
      <w:r w:rsidR="00B0027F" w:rsidRPr="006B5318">
        <w:rPr>
          <w:rFonts w:ascii="Garamond" w:hAnsi="Garamond"/>
        </w:rPr>
        <w:t xml:space="preserve"> </w:t>
      </w:r>
      <w:r w:rsidR="00A91B0A" w:rsidRPr="006B5318">
        <w:rPr>
          <w:rFonts w:ascii="Garamond" w:hAnsi="Garamond"/>
        </w:rPr>
        <w:t>a near-symmetrical arrangement,</w:t>
      </w:r>
      <w:r w:rsidR="00CF194C" w:rsidRPr="006B5318">
        <w:rPr>
          <w:rFonts w:ascii="Garamond" w:hAnsi="Garamond"/>
        </w:rPr>
        <w:t xml:space="preserve"> with</w:t>
      </w:r>
      <w:r w:rsidR="00B0027F" w:rsidRPr="006B5318">
        <w:rPr>
          <w:rFonts w:ascii="Garamond" w:hAnsi="Garamond"/>
        </w:rPr>
        <w:t xml:space="preserve"> their </w:t>
      </w:r>
      <w:r w:rsidR="00147E6D" w:rsidRPr="006B5318">
        <w:rPr>
          <w:rFonts w:ascii="Garamond" w:hAnsi="Garamond"/>
        </w:rPr>
        <w:t xml:space="preserve">respective </w:t>
      </w:r>
      <w:r w:rsidR="00B0027F" w:rsidRPr="006B5318">
        <w:rPr>
          <w:rFonts w:ascii="Garamond" w:hAnsi="Garamond"/>
        </w:rPr>
        <w:t>closets offer</w:t>
      </w:r>
      <w:r w:rsidR="00CF194C" w:rsidRPr="006B5318">
        <w:rPr>
          <w:rFonts w:ascii="Garamond" w:hAnsi="Garamond"/>
        </w:rPr>
        <w:t>ing</w:t>
      </w:r>
      <w:r w:rsidR="00B0027F" w:rsidRPr="006B5318">
        <w:rPr>
          <w:rFonts w:ascii="Garamond" w:hAnsi="Garamond"/>
        </w:rPr>
        <w:t xml:space="preserve"> views onto the household chapel from either side.</w:t>
      </w:r>
    </w:p>
    <w:p w14:paraId="7062F16E" w14:textId="24440737" w:rsidR="00D357E4" w:rsidRPr="006B5318" w:rsidRDefault="00D357E4" w:rsidP="00330ECB">
      <w:pPr>
        <w:tabs>
          <w:tab w:val="left" w:pos="3402"/>
          <w:tab w:val="left" w:pos="4253"/>
        </w:tabs>
        <w:spacing w:line="276" w:lineRule="auto"/>
        <w:ind w:firstLine="567"/>
        <w:jc w:val="both"/>
        <w:rPr>
          <w:rFonts w:ascii="Garamond" w:hAnsi="Garamond"/>
        </w:rPr>
      </w:pPr>
      <w:r w:rsidRPr="006B5318">
        <w:rPr>
          <w:rFonts w:ascii="Garamond" w:hAnsi="Garamond"/>
        </w:rPr>
        <w:t xml:space="preserve">The ward </w:t>
      </w:r>
      <w:r w:rsidR="00147E6D" w:rsidRPr="006B5318">
        <w:rPr>
          <w:rFonts w:ascii="Garamond" w:hAnsi="Garamond"/>
        </w:rPr>
        <w:t xml:space="preserve">which was </w:t>
      </w:r>
      <w:r w:rsidR="00B44AD0" w:rsidRPr="006B5318">
        <w:rPr>
          <w:rFonts w:ascii="Garamond" w:hAnsi="Garamond"/>
        </w:rPr>
        <w:t xml:space="preserve">newly </w:t>
      </w:r>
      <w:r w:rsidRPr="006B5318">
        <w:rPr>
          <w:rFonts w:ascii="Garamond" w:hAnsi="Garamond"/>
        </w:rPr>
        <w:t xml:space="preserve">devised for the queen’s own use stood next to the great </w:t>
      </w:r>
      <w:r w:rsidR="007D49CE" w:rsidRPr="006B5318">
        <w:rPr>
          <w:rFonts w:ascii="Garamond" w:hAnsi="Garamond"/>
        </w:rPr>
        <w:t xml:space="preserve">and privy </w:t>
      </w:r>
      <w:r w:rsidRPr="006B5318">
        <w:rPr>
          <w:rFonts w:ascii="Garamond" w:hAnsi="Garamond"/>
        </w:rPr>
        <w:t>garden</w:t>
      </w:r>
      <w:r w:rsidR="007D49CE" w:rsidRPr="006B5318">
        <w:rPr>
          <w:rFonts w:ascii="Garamond" w:hAnsi="Garamond"/>
        </w:rPr>
        <w:t>s</w:t>
      </w:r>
      <w:r w:rsidRPr="006B5318">
        <w:rPr>
          <w:rFonts w:ascii="Garamond" w:hAnsi="Garamond"/>
        </w:rPr>
        <w:t xml:space="preserve"> and contained a series of</w:t>
      </w:r>
      <w:r w:rsidR="00FD4BFB" w:rsidRPr="006B5318">
        <w:rPr>
          <w:rFonts w:ascii="Garamond" w:hAnsi="Garamond"/>
        </w:rPr>
        <w:t xml:space="preserve"> progressively more exclusive</w:t>
      </w:r>
      <w:r w:rsidRPr="006B5318">
        <w:rPr>
          <w:rFonts w:ascii="Garamond" w:hAnsi="Garamond"/>
        </w:rPr>
        <w:t xml:space="preserve"> rooms. Instructions for the paving of two ‘tresaunces’ or galleries under the queen’s chamber with Flemish tiles suggest that </w:t>
      </w:r>
      <w:r w:rsidR="00FD4BFB" w:rsidRPr="006B5318">
        <w:rPr>
          <w:rFonts w:ascii="Garamond" w:hAnsi="Garamond"/>
        </w:rPr>
        <w:t>Margaret’s</w:t>
      </w:r>
      <w:r w:rsidRPr="006B5318">
        <w:rPr>
          <w:rFonts w:ascii="Garamond" w:hAnsi="Garamond"/>
        </w:rPr>
        <w:t xml:space="preserve"> lodgings rested on arcaded walkways, perhaps in a similar fashion to the principal’s lodgings of Queens’ College, Cambridge, which</w:t>
      </w:r>
      <w:r w:rsidR="00B91311" w:rsidRPr="006B5318">
        <w:rPr>
          <w:rFonts w:ascii="Garamond" w:hAnsi="Garamond"/>
        </w:rPr>
        <w:t xml:space="preserve"> the queen</w:t>
      </w:r>
      <w:r w:rsidRPr="006B5318">
        <w:rPr>
          <w:rFonts w:ascii="Garamond" w:hAnsi="Garamond"/>
        </w:rPr>
        <w:t xml:space="preserve"> founded</w:t>
      </w:r>
      <w:r w:rsidR="00941CB5" w:rsidRPr="006B5318">
        <w:rPr>
          <w:rFonts w:ascii="Garamond" w:hAnsi="Garamond"/>
        </w:rPr>
        <w:t xml:space="preserve"> in 1448, the year after her </w:t>
      </w:r>
      <w:r w:rsidR="00941CB5" w:rsidRPr="006B5318">
        <w:rPr>
          <w:rFonts w:ascii="Garamond" w:hAnsi="Garamond"/>
        </w:rPr>
        <w:lastRenderedPageBreak/>
        <w:t>works at Pleasaunce began</w:t>
      </w:r>
      <w:r w:rsidRPr="006B5318">
        <w:rPr>
          <w:rFonts w:ascii="Garamond" w:hAnsi="Garamond"/>
        </w:rPr>
        <w:t xml:space="preserve"> (see fig. </w:t>
      </w:r>
      <w:r w:rsidR="00637EBA" w:rsidRPr="006B5318">
        <w:rPr>
          <w:rFonts w:ascii="Garamond" w:hAnsi="Garamond"/>
        </w:rPr>
        <w:t>3</w:t>
      </w:r>
      <w:r w:rsidRPr="006B5318">
        <w:rPr>
          <w:rFonts w:ascii="Garamond" w:hAnsi="Garamond"/>
        </w:rPr>
        <w:t>).</w:t>
      </w:r>
      <w:r w:rsidRPr="006B5318">
        <w:rPr>
          <w:rStyle w:val="FootnoteReference"/>
          <w:rFonts w:ascii="Garamond" w:hAnsi="Garamond"/>
        </w:rPr>
        <w:footnoteReference w:id="46"/>
      </w:r>
      <w:r w:rsidRPr="006B5318">
        <w:rPr>
          <w:rFonts w:ascii="Garamond" w:hAnsi="Garamond"/>
        </w:rPr>
        <w:t xml:space="preserve"> </w:t>
      </w:r>
      <w:r w:rsidR="00401B38">
        <w:rPr>
          <w:rFonts w:ascii="Garamond" w:hAnsi="Garamond"/>
        </w:rPr>
        <w:t>On the</w:t>
      </w:r>
      <w:r w:rsidRPr="006B5318">
        <w:rPr>
          <w:rFonts w:ascii="Garamond" w:hAnsi="Garamond"/>
        </w:rPr>
        <w:t xml:space="preserve"> ground floor of the queen’s ward </w:t>
      </w:r>
      <w:r w:rsidR="00401B38">
        <w:rPr>
          <w:rFonts w:ascii="Garamond" w:hAnsi="Garamond"/>
        </w:rPr>
        <w:t xml:space="preserve">was </w:t>
      </w:r>
      <w:r w:rsidRPr="006B5318">
        <w:rPr>
          <w:rFonts w:ascii="Garamond" w:hAnsi="Garamond"/>
        </w:rPr>
        <w:t xml:space="preserve">a hall, which had a gallery </w:t>
      </w:r>
      <w:r w:rsidR="00200D9B" w:rsidRPr="006B5318">
        <w:rPr>
          <w:rFonts w:ascii="Garamond" w:hAnsi="Garamond"/>
        </w:rPr>
        <w:t xml:space="preserve">variously </w:t>
      </w:r>
      <w:r w:rsidRPr="006B5318">
        <w:rPr>
          <w:rFonts w:ascii="Garamond" w:hAnsi="Garamond"/>
        </w:rPr>
        <w:t xml:space="preserve">referred to as a ‘Hautpac’ </w:t>
      </w:r>
      <w:r w:rsidR="00200D9B" w:rsidRPr="006B5318">
        <w:rPr>
          <w:rFonts w:ascii="Garamond" w:hAnsi="Garamond"/>
        </w:rPr>
        <w:t xml:space="preserve">or ‘Hautepace’ </w:t>
      </w:r>
      <w:r w:rsidRPr="006B5318">
        <w:rPr>
          <w:rFonts w:ascii="Garamond" w:hAnsi="Garamond"/>
        </w:rPr>
        <w:t xml:space="preserve">(high place) at its upper, eastern end. The presence of a hall in Margaret’s ward </w:t>
      </w:r>
      <w:r w:rsidR="002D6138" w:rsidRPr="006B5318">
        <w:rPr>
          <w:rFonts w:ascii="Garamond" w:hAnsi="Garamond"/>
        </w:rPr>
        <w:t>makes it likely</w:t>
      </w:r>
      <w:r w:rsidRPr="006B5318">
        <w:rPr>
          <w:rFonts w:ascii="Garamond" w:hAnsi="Garamond"/>
        </w:rPr>
        <w:t xml:space="preserve"> that she also had her own kitchen for the preparation of her own and her servants’ meals. </w:t>
      </w:r>
      <w:r w:rsidR="007B6E0A" w:rsidRPr="006B5318">
        <w:rPr>
          <w:rFonts w:ascii="Garamond" w:hAnsi="Garamond"/>
        </w:rPr>
        <w:t>The</w:t>
      </w:r>
      <w:r w:rsidRPr="006B5318">
        <w:rPr>
          <w:rFonts w:ascii="Garamond" w:hAnsi="Garamond"/>
        </w:rPr>
        <w:t xml:space="preserve"> division of a separate building into six offices, including a spicery and a wafery, a pantry with a bread oven, and scalding and poultry house</w:t>
      </w:r>
      <w:r w:rsidR="007D49CE" w:rsidRPr="006B5318">
        <w:rPr>
          <w:rFonts w:ascii="Garamond" w:hAnsi="Garamond"/>
        </w:rPr>
        <w:t>s</w:t>
      </w:r>
      <w:r w:rsidRPr="006B5318">
        <w:rPr>
          <w:rFonts w:ascii="Garamond" w:hAnsi="Garamond"/>
        </w:rPr>
        <w:t xml:space="preserve">, certainly suggests that the culinary needs of Margaret and her household were adequately </w:t>
      </w:r>
      <w:r w:rsidR="00FC3DA0" w:rsidRPr="006B5318">
        <w:rPr>
          <w:rFonts w:ascii="Garamond" w:hAnsi="Garamond"/>
        </w:rPr>
        <w:t>catered for</w:t>
      </w:r>
      <w:r w:rsidRPr="006B5318">
        <w:rPr>
          <w:rFonts w:ascii="Garamond" w:hAnsi="Garamond"/>
        </w:rPr>
        <w:t>.</w:t>
      </w:r>
      <w:r w:rsidR="007D49CE" w:rsidRPr="006B5318">
        <w:rPr>
          <w:rFonts w:ascii="Garamond" w:hAnsi="Garamond"/>
        </w:rPr>
        <w:t xml:space="preserve"> </w:t>
      </w:r>
      <w:r w:rsidR="00D74883" w:rsidRPr="006B5318">
        <w:rPr>
          <w:rFonts w:ascii="Garamond" w:hAnsi="Garamond"/>
        </w:rPr>
        <w:t>An additional</w:t>
      </w:r>
      <w:r w:rsidRPr="006B5318">
        <w:rPr>
          <w:rFonts w:ascii="Garamond" w:hAnsi="Garamond"/>
        </w:rPr>
        <w:t xml:space="preserve"> ‘secret larder’</w:t>
      </w:r>
      <w:r w:rsidR="0061104E" w:rsidRPr="006B5318">
        <w:rPr>
          <w:rFonts w:ascii="Garamond" w:hAnsi="Garamond"/>
        </w:rPr>
        <w:t>, meanwhile,</w:t>
      </w:r>
      <w:r w:rsidRPr="006B5318">
        <w:rPr>
          <w:rFonts w:ascii="Garamond" w:hAnsi="Garamond"/>
        </w:rPr>
        <w:t xml:space="preserve"> contained food for the queen’s personal consumption.</w:t>
      </w:r>
      <w:r w:rsidRPr="006B5318">
        <w:rPr>
          <w:rStyle w:val="FootnoteReference"/>
          <w:rFonts w:ascii="Garamond" w:hAnsi="Garamond"/>
        </w:rPr>
        <w:footnoteReference w:id="47"/>
      </w:r>
      <w:r w:rsidRPr="006B5318">
        <w:rPr>
          <w:rFonts w:ascii="Garamond" w:hAnsi="Garamond"/>
        </w:rPr>
        <w:t xml:space="preserve"> </w:t>
      </w:r>
    </w:p>
    <w:p w14:paraId="7AC3EDBD" w14:textId="25148726" w:rsidR="0009682D" w:rsidRPr="006B5318" w:rsidRDefault="00D357E4" w:rsidP="00757352">
      <w:pPr>
        <w:tabs>
          <w:tab w:val="left" w:pos="4253"/>
        </w:tabs>
        <w:spacing w:line="276" w:lineRule="auto"/>
        <w:ind w:firstLine="567"/>
        <w:jc w:val="both"/>
        <w:rPr>
          <w:rFonts w:ascii="Garamond" w:hAnsi="Garamond"/>
        </w:rPr>
      </w:pPr>
      <w:r w:rsidRPr="006B5318">
        <w:rPr>
          <w:rFonts w:ascii="Garamond" w:hAnsi="Garamond"/>
        </w:rPr>
        <w:t xml:space="preserve">A payment to a certain John Lokyer for a hollow key to the door in the ‘Hautpac’ </w:t>
      </w:r>
      <w:r w:rsidR="007B6E0A" w:rsidRPr="006B5318">
        <w:rPr>
          <w:rFonts w:ascii="Garamond" w:hAnsi="Garamond"/>
        </w:rPr>
        <w:t>indicates</w:t>
      </w:r>
      <w:r w:rsidRPr="006B5318">
        <w:rPr>
          <w:rFonts w:ascii="Garamond" w:hAnsi="Garamond"/>
        </w:rPr>
        <w:t xml:space="preserve"> that access to th</w:t>
      </w:r>
      <w:r w:rsidR="007B6E0A" w:rsidRPr="006B5318">
        <w:rPr>
          <w:rFonts w:ascii="Garamond" w:hAnsi="Garamond"/>
        </w:rPr>
        <w:t>e</w:t>
      </w:r>
      <w:r w:rsidRPr="006B5318">
        <w:rPr>
          <w:rFonts w:ascii="Garamond" w:hAnsi="Garamond"/>
        </w:rPr>
        <w:t xml:space="preserve"> gallery was tightly regulated, most likely because it </w:t>
      </w:r>
      <w:r w:rsidR="00D74883" w:rsidRPr="006B5318">
        <w:rPr>
          <w:rFonts w:ascii="Garamond" w:hAnsi="Garamond"/>
        </w:rPr>
        <w:t xml:space="preserve">led </w:t>
      </w:r>
      <w:r w:rsidRPr="006B5318">
        <w:rPr>
          <w:rFonts w:ascii="Garamond" w:hAnsi="Garamond"/>
        </w:rPr>
        <w:t>to the more exclusive rooms beyond the great hall. The first of these rooms was the great parlour</w:t>
      </w:r>
      <w:r w:rsidR="00F117C8">
        <w:rPr>
          <w:rFonts w:ascii="Garamond" w:hAnsi="Garamond"/>
        </w:rPr>
        <w:t>, which was located</w:t>
      </w:r>
      <w:r w:rsidR="007B6E0A" w:rsidRPr="006B5318">
        <w:rPr>
          <w:rFonts w:ascii="Garamond" w:hAnsi="Garamond"/>
        </w:rPr>
        <w:t xml:space="preserve"> on the ground floor</w:t>
      </w:r>
      <w:r w:rsidRPr="006B5318">
        <w:rPr>
          <w:rFonts w:ascii="Garamond" w:hAnsi="Garamond"/>
        </w:rPr>
        <w:t xml:space="preserve">. </w:t>
      </w:r>
      <w:r w:rsidR="007B6E0A" w:rsidRPr="006B5318">
        <w:rPr>
          <w:rFonts w:ascii="Garamond" w:hAnsi="Garamond"/>
        </w:rPr>
        <w:t xml:space="preserve">The </w:t>
      </w:r>
      <w:r w:rsidRPr="006B5318">
        <w:rPr>
          <w:rFonts w:ascii="Garamond" w:hAnsi="Garamond"/>
        </w:rPr>
        <w:t>substantial size</w:t>
      </w:r>
      <w:r w:rsidR="007B6E0A" w:rsidRPr="006B5318">
        <w:rPr>
          <w:rFonts w:ascii="Garamond" w:hAnsi="Garamond"/>
        </w:rPr>
        <w:t xml:space="preserve"> of this room</w:t>
      </w:r>
      <w:r w:rsidRPr="006B5318">
        <w:rPr>
          <w:rFonts w:ascii="Garamond" w:hAnsi="Garamond"/>
        </w:rPr>
        <w:t xml:space="preserve"> is suggested by its eleven windows, two of which were large bay windows overlooking the great garden</w:t>
      </w:r>
      <w:r w:rsidR="00C45C30" w:rsidRPr="006B5318">
        <w:rPr>
          <w:rFonts w:ascii="Garamond" w:hAnsi="Garamond"/>
        </w:rPr>
        <w:t xml:space="preserve">, </w:t>
      </w:r>
      <w:r w:rsidR="00941CB5" w:rsidRPr="006B5318">
        <w:rPr>
          <w:rFonts w:ascii="Garamond" w:hAnsi="Garamond"/>
        </w:rPr>
        <w:t>the floors</w:t>
      </w:r>
      <w:r w:rsidR="0069446F">
        <w:rPr>
          <w:rFonts w:ascii="Garamond" w:hAnsi="Garamond"/>
        </w:rPr>
        <w:t xml:space="preserve"> of which were</w:t>
      </w:r>
      <w:r w:rsidR="00941CB5" w:rsidRPr="006B5318">
        <w:rPr>
          <w:rFonts w:ascii="Garamond" w:hAnsi="Garamond"/>
        </w:rPr>
        <w:t xml:space="preserve"> </w:t>
      </w:r>
      <w:r w:rsidR="00C45C30" w:rsidRPr="006B5318">
        <w:rPr>
          <w:rFonts w:ascii="Garamond" w:hAnsi="Garamond"/>
        </w:rPr>
        <w:t>paved with 300 tiles</w:t>
      </w:r>
      <w:r w:rsidRPr="006B5318">
        <w:rPr>
          <w:rFonts w:ascii="Garamond" w:hAnsi="Garamond"/>
        </w:rPr>
        <w:t>.</w:t>
      </w:r>
      <w:r w:rsidR="00E16D57" w:rsidRPr="006B5318">
        <w:rPr>
          <w:rStyle w:val="FootnoteReference"/>
          <w:rFonts w:ascii="Garamond" w:hAnsi="Garamond"/>
        </w:rPr>
        <w:footnoteReference w:id="48"/>
      </w:r>
      <w:r w:rsidR="0009682D" w:rsidRPr="006B5318">
        <w:rPr>
          <w:rFonts w:ascii="Garamond" w:hAnsi="Garamond"/>
        </w:rPr>
        <w:t xml:space="preserve"> Parlours commonly provided more intimate spaces for the reception and entertainment of guests than the great halls preceding them, </w:t>
      </w:r>
      <w:r w:rsidR="00757352" w:rsidRPr="006B5318">
        <w:rPr>
          <w:rFonts w:ascii="Garamond" w:hAnsi="Garamond"/>
        </w:rPr>
        <w:t>as signalled by their smaller size and lower ceilings. It</w:t>
      </w:r>
      <w:r w:rsidR="0009682D" w:rsidRPr="006B5318">
        <w:rPr>
          <w:rFonts w:ascii="Garamond" w:hAnsi="Garamond"/>
        </w:rPr>
        <w:t xml:space="preserve"> would thus seem that the parlour created for Margaret at Pleasaunce was a particularly sizable example</w:t>
      </w:r>
      <w:r w:rsidR="00941CB5" w:rsidRPr="006B5318">
        <w:rPr>
          <w:rFonts w:ascii="Garamond" w:hAnsi="Garamond"/>
        </w:rPr>
        <w:t xml:space="preserve"> of such a room</w:t>
      </w:r>
      <w:r w:rsidR="00757352" w:rsidRPr="006B5318">
        <w:rPr>
          <w:rFonts w:ascii="Garamond" w:hAnsi="Garamond"/>
        </w:rPr>
        <w:t xml:space="preserve">, </w:t>
      </w:r>
      <w:r w:rsidR="00312EDE" w:rsidRPr="006B5318">
        <w:rPr>
          <w:rFonts w:ascii="Garamond" w:hAnsi="Garamond"/>
        </w:rPr>
        <w:t>and it can</w:t>
      </w:r>
      <w:r w:rsidR="00647EFC">
        <w:rPr>
          <w:rFonts w:ascii="Garamond" w:hAnsi="Garamond"/>
        </w:rPr>
        <w:t>, by extension, be</w:t>
      </w:r>
      <w:r w:rsidR="00312EDE" w:rsidRPr="006B5318">
        <w:rPr>
          <w:rFonts w:ascii="Garamond" w:hAnsi="Garamond"/>
        </w:rPr>
        <w:t xml:space="preserve"> reasonably be </w:t>
      </w:r>
      <w:r w:rsidR="00A12746" w:rsidRPr="006B5318">
        <w:rPr>
          <w:rFonts w:ascii="Garamond" w:hAnsi="Garamond"/>
        </w:rPr>
        <w:t>inferre</w:t>
      </w:r>
      <w:r w:rsidR="00312EDE" w:rsidRPr="006B5318">
        <w:rPr>
          <w:rFonts w:ascii="Garamond" w:hAnsi="Garamond"/>
        </w:rPr>
        <w:t xml:space="preserve">d that </w:t>
      </w:r>
      <w:r w:rsidR="00757352" w:rsidRPr="006B5318">
        <w:rPr>
          <w:rFonts w:ascii="Garamond" w:hAnsi="Garamond"/>
        </w:rPr>
        <w:t xml:space="preserve">her great hall was a </w:t>
      </w:r>
      <w:r w:rsidR="00941CB5" w:rsidRPr="006B5318">
        <w:rPr>
          <w:rFonts w:ascii="Garamond" w:hAnsi="Garamond"/>
        </w:rPr>
        <w:t>grand</w:t>
      </w:r>
      <w:r w:rsidR="00757352" w:rsidRPr="006B5318">
        <w:rPr>
          <w:rFonts w:ascii="Garamond" w:hAnsi="Garamond"/>
        </w:rPr>
        <w:t xml:space="preserve"> and impressive space. </w:t>
      </w:r>
    </w:p>
    <w:p w14:paraId="31FB62A1" w14:textId="2AE29A28" w:rsidR="00804E79" w:rsidRPr="006B5318" w:rsidRDefault="007B6E0A" w:rsidP="00330ECB">
      <w:pPr>
        <w:tabs>
          <w:tab w:val="left" w:pos="4253"/>
        </w:tabs>
        <w:spacing w:line="276" w:lineRule="auto"/>
        <w:ind w:firstLine="567"/>
        <w:jc w:val="both"/>
        <w:rPr>
          <w:rFonts w:ascii="Garamond" w:hAnsi="Garamond"/>
        </w:rPr>
      </w:pPr>
      <w:r w:rsidRPr="006B5318">
        <w:rPr>
          <w:rFonts w:ascii="Garamond" w:hAnsi="Garamond"/>
        </w:rPr>
        <w:t>Entry to queen’s rooms</w:t>
      </w:r>
      <w:r w:rsidR="009B6A5E" w:rsidRPr="006B5318">
        <w:rPr>
          <w:rFonts w:ascii="Garamond" w:hAnsi="Garamond"/>
        </w:rPr>
        <w:t xml:space="preserve"> on the floor</w:t>
      </w:r>
      <w:r w:rsidRPr="006B5318">
        <w:rPr>
          <w:rFonts w:ascii="Garamond" w:hAnsi="Garamond"/>
        </w:rPr>
        <w:t xml:space="preserve"> above</w:t>
      </w:r>
      <w:r w:rsidR="00815670" w:rsidRPr="006B5318">
        <w:rPr>
          <w:rFonts w:ascii="Garamond" w:hAnsi="Garamond"/>
        </w:rPr>
        <w:t xml:space="preserve"> </w:t>
      </w:r>
      <w:r w:rsidR="007D4EDB" w:rsidRPr="006B5318">
        <w:rPr>
          <w:rFonts w:ascii="Garamond" w:hAnsi="Garamond"/>
        </w:rPr>
        <w:t>was via a great door</w:t>
      </w:r>
      <w:r w:rsidR="00D357E4" w:rsidRPr="006B5318">
        <w:rPr>
          <w:rFonts w:ascii="Garamond" w:hAnsi="Garamond"/>
        </w:rPr>
        <w:t>.</w:t>
      </w:r>
      <w:r w:rsidR="00D357E4" w:rsidRPr="006B5318">
        <w:rPr>
          <w:rStyle w:val="FootnoteReference"/>
          <w:rFonts w:ascii="Garamond" w:hAnsi="Garamond"/>
        </w:rPr>
        <w:footnoteReference w:id="49"/>
      </w:r>
      <w:r w:rsidR="00D357E4" w:rsidRPr="006B5318">
        <w:rPr>
          <w:rFonts w:ascii="Garamond" w:hAnsi="Garamond"/>
        </w:rPr>
        <w:t xml:space="preserve"> </w:t>
      </w:r>
      <w:r w:rsidR="006802A7" w:rsidRPr="006B5318">
        <w:rPr>
          <w:rFonts w:ascii="Garamond" w:hAnsi="Garamond"/>
        </w:rPr>
        <w:t>Margaret’s</w:t>
      </w:r>
      <w:r w:rsidR="00815670" w:rsidRPr="006B5318">
        <w:rPr>
          <w:rFonts w:ascii="Garamond" w:hAnsi="Garamond"/>
        </w:rPr>
        <w:t xml:space="preserve"> rooms included a great chamber, middle chamber, </w:t>
      </w:r>
      <w:r w:rsidR="00C41729" w:rsidRPr="006B5318">
        <w:rPr>
          <w:rFonts w:ascii="Garamond" w:hAnsi="Garamond"/>
        </w:rPr>
        <w:t xml:space="preserve">her </w:t>
      </w:r>
      <w:r w:rsidR="00815670" w:rsidRPr="006B5318">
        <w:rPr>
          <w:rFonts w:ascii="Garamond" w:hAnsi="Garamond"/>
        </w:rPr>
        <w:t>own bedchamber and a ‘secret camera’</w:t>
      </w:r>
      <w:r w:rsidR="000B770A" w:rsidRPr="006B5318">
        <w:rPr>
          <w:rFonts w:ascii="Garamond" w:hAnsi="Garamond"/>
        </w:rPr>
        <w:t xml:space="preserve"> (fig</w:t>
      </w:r>
      <w:r w:rsidR="001123B1" w:rsidRPr="006B5318">
        <w:rPr>
          <w:rFonts w:ascii="Garamond" w:hAnsi="Garamond"/>
        </w:rPr>
        <w:t>.</w:t>
      </w:r>
      <w:r w:rsidR="000B770A" w:rsidRPr="006B5318">
        <w:rPr>
          <w:rFonts w:ascii="Garamond" w:hAnsi="Garamond"/>
        </w:rPr>
        <w:t xml:space="preserve"> </w:t>
      </w:r>
      <w:r w:rsidR="001123B1" w:rsidRPr="006B5318">
        <w:rPr>
          <w:rFonts w:ascii="Garamond" w:hAnsi="Garamond"/>
        </w:rPr>
        <w:t>4</w:t>
      </w:r>
      <w:r w:rsidR="000B770A" w:rsidRPr="006B5318">
        <w:rPr>
          <w:rFonts w:ascii="Garamond" w:hAnsi="Garamond"/>
        </w:rPr>
        <w:t>)</w:t>
      </w:r>
      <w:r w:rsidR="00815670" w:rsidRPr="006B5318">
        <w:rPr>
          <w:rFonts w:ascii="Garamond" w:hAnsi="Garamond"/>
        </w:rPr>
        <w:t xml:space="preserve">. </w:t>
      </w:r>
      <w:r w:rsidR="00804E79" w:rsidRPr="006B5318">
        <w:rPr>
          <w:rFonts w:ascii="Garamond" w:hAnsi="Garamond"/>
        </w:rPr>
        <w:t xml:space="preserve">As in most great houses of the period, the sequential ordering of rooms provided increasing levels of </w:t>
      </w:r>
      <w:r w:rsidR="003F2E02" w:rsidRPr="006B5318">
        <w:rPr>
          <w:rFonts w:ascii="Garamond" w:hAnsi="Garamond"/>
        </w:rPr>
        <w:t>seclusion, with the more formal reception rooms giving way to the queen’s personal</w:t>
      </w:r>
      <w:r w:rsidR="00AE379A" w:rsidRPr="006B5318">
        <w:rPr>
          <w:rFonts w:ascii="Garamond" w:hAnsi="Garamond"/>
        </w:rPr>
        <w:t xml:space="preserve"> living space</w:t>
      </w:r>
      <w:r w:rsidR="003F2E02" w:rsidRPr="006B5318">
        <w:rPr>
          <w:rFonts w:ascii="Garamond" w:hAnsi="Garamond"/>
        </w:rPr>
        <w:t>.</w:t>
      </w:r>
    </w:p>
    <w:p w14:paraId="558B499B" w14:textId="7C194583" w:rsidR="00B44AD0" w:rsidRPr="006B5318" w:rsidRDefault="00D357E4" w:rsidP="003F2E02">
      <w:pPr>
        <w:tabs>
          <w:tab w:val="left" w:pos="4253"/>
        </w:tabs>
        <w:spacing w:line="276" w:lineRule="auto"/>
        <w:jc w:val="both"/>
        <w:rPr>
          <w:rFonts w:ascii="Garamond" w:hAnsi="Garamond"/>
        </w:rPr>
      </w:pPr>
      <w:r w:rsidRPr="006B5318">
        <w:rPr>
          <w:rFonts w:ascii="Garamond" w:hAnsi="Garamond"/>
        </w:rPr>
        <w:t>The</w:t>
      </w:r>
      <w:r w:rsidR="007B6E0A" w:rsidRPr="006B5318">
        <w:rPr>
          <w:rFonts w:ascii="Garamond" w:hAnsi="Garamond"/>
        </w:rPr>
        <w:t xml:space="preserve"> </w:t>
      </w:r>
      <w:r w:rsidR="003F2E02" w:rsidRPr="006B5318">
        <w:rPr>
          <w:rFonts w:ascii="Garamond" w:hAnsi="Garamond"/>
        </w:rPr>
        <w:t>first two rooms</w:t>
      </w:r>
      <w:r w:rsidR="00AE379A" w:rsidRPr="006B5318">
        <w:rPr>
          <w:rFonts w:ascii="Garamond" w:hAnsi="Garamond"/>
        </w:rPr>
        <w:t xml:space="preserve">, </w:t>
      </w:r>
      <w:r w:rsidR="001123B1" w:rsidRPr="006B5318">
        <w:rPr>
          <w:rFonts w:ascii="Garamond" w:hAnsi="Garamond"/>
        </w:rPr>
        <w:t xml:space="preserve">namely </w:t>
      </w:r>
      <w:r w:rsidR="00AE379A" w:rsidRPr="006B5318">
        <w:rPr>
          <w:rFonts w:ascii="Garamond" w:hAnsi="Garamond"/>
        </w:rPr>
        <w:t>the great and middle chambers,</w:t>
      </w:r>
      <w:r w:rsidR="003F2E02" w:rsidRPr="006B5318">
        <w:rPr>
          <w:rFonts w:ascii="Garamond" w:hAnsi="Garamond"/>
        </w:rPr>
        <w:t xml:space="preserve"> </w:t>
      </w:r>
      <w:r w:rsidR="00144486" w:rsidRPr="006B5318">
        <w:rPr>
          <w:rFonts w:ascii="Garamond" w:hAnsi="Garamond"/>
        </w:rPr>
        <w:t>opened out</w:t>
      </w:r>
      <w:r w:rsidRPr="006B5318">
        <w:rPr>
          <w:rFonts w:ascii="Garamond" w:hAnsi="Garamond"/>
        </w:rPr>
        <w:t xml:space="preserve"> </w:t>
      </w:r>
      <w:r w:rsidR="00144486" w:rsidRPr="006B5318">
        <w:rPr>
          <w:rFonts w:ascii="Garamond" w:hAnsi="Garamond"/>
        </w:rPr>
        <w:t>on</w:t>
      </w:r>
      <w:r w:rsidRPr="006B5318">
        <w:rPr>
          <w:rFonts w:ascii="Garamond" w:hAnsi="Garamond"/>
        </w:rPr>
        <w:t xml:space="preserve">to a newly constructed gallery </w:t>
      </w:r>
      <w:r w:rsidR="009D33AB" w:rsidRPr="006B5318">
        <w:rPr>
          <w:rFonts w:ascii="Garamond" w:hAnsi="Garamond"/>
        </w:rPr>
        <w:t>with</w:t>
      </w:r>
      <w:r w:rsidRPr="006B5318">
        <w:rPr>
          <w:rFonts w:ascii="Garamond" w:hAnsi="Garamond"/>
        </w:rPr>
        <w:t xml:space="preserve"> five windows overlooking the great garden.</w:t>
      </w:r>
      <w:r w:rsidRPr="006B5318">
        <w:rPr>
          <w:rStyle w:val="FootnoteReference"/>
          <w:rFonts w:ascii="Garamond" w:hAnsi="Garamond"/>
        </w:rPr>
        <w:footnoteReference w:id="50"/>
      </w:r>
      <w:r w:rsidR="009D33AB" w:rsidRPr="006B5318">
        <w:rPr>
          <w:rFonts w:ascii="Garamond" w:hAnsi="Garamond"/>
        </w:rPr>
        <w:t xml:space="preserve"> </w:t>
      </w:r>
      <w:r w:rsidRPr="006B5318">
        <w:rPr>
          <w:rFonts w:ascii="Garamond" w:hAnsi="Garamond"/>
        </w:rPr>
        <w:t>Three windows in the queen’s bedchamber, meanwhile, offered views onto the more exclusive space of the privy garden.</w:t>
      </w:r>
      <w:r w:rsidRPr="006B5318">
        <w:rPr>
          <w:rStyle w:val="FootnoteReference"/>
          <w:rFonts w:ascii="Garamond" w:hAnsi="Garamond"/>
        </w:rPr>
        <w:footnoteReference w:id="51"/>
      </w:r>
      <w:r w:rsidRPr="006B5318">
        <w:rPr>
          <w:rFonts w:ascii="Garamond" w:hAnsi="Garamond"/>
        </w:rPr>
        <w:t xml:space="preserve"> </w:t>
      </w:r>
      <w:r w:rsidR="009B6A5E" w:rsidRPr="006B5318">
        <w:rPr>
          <w:rFonts w:ascii="Garamond" w:hAnsi="Garamond"/>
        </w:rPr>
        <w:t>The</w:t>
      </w:r>
      <w:r w:rsidRPr="006B5318">
        <w:rPr>
          <w:rFonts w:ascii="Garamond" w:hAnsi="Garamond"/>
        </w:rPr>
        <w:t xml:space="preserve"> chambers</w:t>
      </w:r>
      <w:r w:rsidR="00AE379A" w:rsidRPr="006B5318">
        <w:rPr>
          <w:rFonts w:ascii="Garamond" w:hAnsi="Garamond"/>
        </w:rPr>
        <w:t xml:space="preserve"> on the first floor of the queen’s ward</w:t>
      </w:r>
      <w:r w:rsidRPr="006B5318">
        <w:rPr>
          <w:rFonts w:ascii="Garamond" w:hAnsi="Garamond"/>
        </w:rPr>
        <w:t xml:space="preserve"> </w:t>
      </w:r>
      <w:r w:rsidR="00AE379A" w:rsidRPr="006B5318">
        <w:rPr>
          <w:rFonts w:ascii="Garamond" w:hAnsi="Garamond"/>
        </w:rPr>
        <w:t xml:space="preserve">again </w:t>
      </w:r>
      <w:r w:rsidRPr="006B5318">
        <w:rPr>
          <w:rFonts w:ascii="Garamond" w:hAnsi="Garamond"/>
        </w:rPr>
        <w:t>appear to have</w:t>
      </w:r>
      <w:r w:rsidR="003F2E02" w:rsidRPr="006B5318">
        <w:rPr>
          <w:rFonts w:ascii="Garamond" w:hAnsi="Garamond"/>
        </w:rPr>
        <w:t xml:space="preserve"> </w:t>
      </w:r>
      <w:r w:rsidRPr="006B5318">
        <w:rPr>
          <w:rFonts w:ascii="Garamond" w:hAnsi="Garamond"/>
        </w:rPr>
        <w:t>been s</w:t>
      </w:r>
      <w:r w:rsidR="009B6A5E" w:rsidRPr="006B5318">
        <w:rPr>
          <w:rFonts w:ascii="Garamond" w:hAnsi="Garamond"/>
        </w:rPr>
        <w:t>izeable</w:t>
      </w:r>
      <w:r w:rsidR="009D33AB" w:rsidRPr="006B5318">
        <w:rPr>
          <w:rFonts w:ascii="Garamond" w:hAnsi="Garamond"/>
        </w:rPr>
        <w:t>:</w:t>
      </w:r>
      <w:r w:rsidRPr="006B5318">
        <w:rPr>
          <w:rFonts w:ascii="Garamond" w:hAnsi="Garamond"/>
        </w:rPr>
        <w:t xml:space="preserve"> 1,600 tiles </w:t>
      </w:r>
      <w:r w:rsidR="009D33AB" w:rsidRPr="006B5318">
        <w:rPr>
          <w:rFonts w:ascii="Garamond" w:hAnsi="Garamond"/>
        </w:rPr>
        <w:t xml:space="preserve">were </w:t>
      </w:r>
      <w:r w:rsidR="003F2E02" w:rsidRPr="006B5318">
        <w:rPr>
          <w:rFonts w:ascii="Garamond" w:hAnsi="Garamond"/>
        </w:rPr>
        <w:t>brought</w:t>
      </w:r>
      <w:r w:rsidRPr="006B5318">
        <w:rPr>
          <w:rFonts w:ascii="Garamond" w:hAnsi="Garamond"/>
        </w:rPr>
        <w:t xml:space="preserve"> </w:t>
      </w:r>
      <w:r w:rsidR="003F2E02" w:rsidRPr="006B5318">
        <w:rPr>
          <w:rFonts w:ascii="Garamond" w:hAnsi="Garamond"/>
        </w:rPr>
        <w:t>in</w:t>
      </w:r>
      <w:r w:rsidRPr="006B5318">
        <w:rPr>
          <w:rFonts w:ascii="Garamond" w:hAnsi="Garamond"/>
        </w:rPr>
        <w:t xml:space="preserve"> to pave the middle chamber alone. A bed purchased for the great chamber measured an impressive ten feet in length and eight in width</w:t>
      </w:r>
      <w:r w:rsidR="009D33AB" w:rsidRPr="006B5318">
        <w:rPr>
          <w:rFonts w:ascii="Garamond" w:hAnsi="Garamond"/>
        </w:rPr>
        <w:t>.</w:t>
      </w:r>
      <w:r w:rsidR="009D33AB" w:rsidRPr="006B5318">
        <w:rPr>
          <w:rStyle w:val="FootnoteReference"/>
          <w:rFonts w:ascii="Garamond" w:hAnsi="Garamond"/>
        </w:rPr>
        <w:footnoteReference w:id="52"/>
      </w:r>
      <w:r w:rsidR="009D33AB" w:rsidRPr="006B5318">
        <w:rPr>
          <w:rFonts w:ascii="Garamond" w:hAnsi="Garamond"/>
        </w:rPr>
        <w:t xml:space="preserve"> This piece of furniture</w:t>
      </w:r>
      <w:r w:rsidR="000B770A" w:rsidRPr="006B5318">
        <w:rPr>
          <w:rFonts w:ascii="Garamond" w:hAnsi="Garamond"/>
        </w:rPr>
        <w:t xml:space="preserve"> </w:t>
      </w:r>
      <w:r w:rsidR="007B6E0A" w:rsidRPr="006B5318">
        <w:rPr>
          <w:rFonts w:ascii="Garamond" w:hAnsi="Garamond"/>
        </w:rPr>
        <w:t xml:space="preserve">was </w:t>
      </w:r>
      <w:r w:rsidR="00AC2C8A" w:rsidRPr="006B5318">
        <w:rPr>
          <w:rFonts w:ascii="Garamond" w:hAnsi="Garamond"/>
        </w:rPr>
        <w:t>likely</w:t>
      </w:r>
      <w:r w:rsidR="007B6E0A" w:rsidRPr="006B5318">
        <w:rPr>
          <w:rFonts w:ascii="Garamond" w:hAnsi="Garamond"/>
        </w:rPr>
        <w:t xml:space="preserve"> used by Margaret as a ceremonial bed from which she received guests, as was</w:t>
      </w:r>
      <w:r w:rsidR="00906672" w:rsidRPr="006B5318">
        <w:rPr>
          <w:rFonts w:ascii="Garamond" w:hAnsi="Garamond"/>
        </w:rPr>
        <w:t xml:space="preserve"> customary in continental palaces</w:t>
      </w:r>
      <w:r w:rsidRPr="006B5318">
        <w:rPr>
          <w:rFonts w:ascii="Garamond" w:hAnsi="Garamond"/>
        </w:rPr>
        <w:t xml:space="preserve">. </w:t>
      </w:r>
      <w:r w:rsidR="00B44AD0" w:rsidRPr="006B5318">
        <w:rPr>
          <w:rFonts w:ascii="Garamond" w:hAnsi="Garamond"/>
        </w:rPr>
        <w:t>The walls of Margaret’s ward were newly lined with wainscoting and the floors</w:t>
      </w:r>
      <w:r w:rsidR="0069045F" w:rsidRPr="006B5318">
        <w:rPr>
          <w:rFonts w:ascii="Garamond" w:hAnsi="Garamond"/>
        </w:rPr>
        <w:t xml:space="preserve"> were</w:t>
      </w:r>
      <w:r w:rsidR="00B44AD0" w:rsidRPr="006B5318">
        <w:rPr>
          <w:rFonts w:ascii="Garamond" w:hAnsi="Garamond"/>
        </w:rPr>
        <w:t xml:space="preserve"> paved throughout with terracotta tiles bearing the queen’s monogram. The soffits, arcades and pillars were carved with Margaret’s personal emblem, the marguerite or daisy,</w:t>
      </w:r>
      <w:r w:rsidR="00AE379A" w:rsidRPr="006B5318">
        <w:rPr>
          <w:rFonts w:ascii="Garamond" w:hAnsi="Garamond"/>
        </w:rPr>
        <w:t xml:space="preserve"> to mark her ownership over the space,</w:t>
      </w:r>
      <w:r w:rsidR="00B44AD0" w:rsidRPr="006B5318">
        <w:rPr>
          <w:rFonts w:ascii="Garamond" w:hAnsi="Garamond"/>
        </w:rPr>
        <w:t xml:space="preserve"> and the windows were glazed primarily by the king’s highly</w:t>
      </w:r>
      <w:r w:rsidR="00B31BAC" w:rsidRPr="006B5318">
        <w:rPr>
          <w:rFonts w:ascii="Garamond" w:hAnsi="Garamond"/>
        </w:rPr>
        <w:t xml:space="preserve"> </w:t>
      </w:r>
      <w:r w:rsidR="00B44AD0" w:rsidRPr="006B5318">
        <w:rPr>
          <w:rFonts w:ascii="Garamond" w:hAnsi="Garamond"/>
        </w:rPr>
        <w:t>skilled glazier</w:t>
      </w:r>
      <w:r w:rsidR="00612C7B" w:rsidRPr="006B5318">
        <w:rPr>
          <w:rFonts w:ascii="Garamond" w:hAnsi="Garamond"/>
        </w:rPr>
        <w:t>,</w:t>
      </w:r>
      <w:r w:rsidR="00B44AD0" w:rsidRPr="006B5318">
        <w:rPr>
          <w:rFonts w:ascii="Garamond" w:hAnsi="Garamond"/>
        </w:rPr>
        <w:t xml:space="preserve"> John Prudde.</w:t>
      </w:r>
      <w:r w:rsidR="00B44AD0" w:rsidRPr="006B5318">
        <w:rPr>
          <w:rStyle w:val="FootnoteReference"/>
          <w:rFonts w:ascii="Garamond" w:hAnsi="Garamond"/>
        </w:rPr>
        <w:footnoteReference w:id="53"/>
      </w:r>
      <w:r w:rsidR="00B44AD0" w:rsidRPr="006B5318">
        <w:rPr>
          <w:rFonts w:ascii="Garamond" w:hAnsi="Garamond"/>
        </w:rPr>
        <w:t xml:space="preserve"> </w:t>
      </w:r>
    </w:p>
    <w:p w14:paraId="1ED50A97" w14:textId="5DF9919D" w:rsidR="00D357E4" w:rsidRPr="006B5318" w:rsidRDefault="00D357E4" w:rsidP="00330ECB">
      <w:pPr>
        <w:tabs>
          <w:tab w:val="left" w:pos="3402"/>
          <w:tab w:val="left" w:pos="4253"/>
        </w:tabs>
        <w:spacing w:line="276" w:lineRule="auto"/>
        <w:ind w:firstLine="567"/>
        <w:jc w:val="both"/>
        <w:rPr>
          <w:rFonts w:ascii="Garamond" w:hAnsi="Garamond"/>
        </w:rPr>
      </w:pPr>
      <w:r w:rsidRPr="006B5318">
        <w:rPr>
          <w:rFonts w:ascii="Garamond" w:hAnsi="Garamond"/>
        </w:rPr>
        <w:t xml:space="preserve">Payments </w:t>
      </w:r>
      <w:r w:rsidR="007B6E0A" w:rsidRPr="006B5318">
        <w:rPr>
          <w:rFonts w:ascii="Garamond" w:hAnsi="Garamond"/>
        </w:rPr>
        <w:t xml:space="preserve">made </w:t>
      </w:r>
      <w:r w:rsidRPr="006B5318">
        <w:rPr>
          <w:rFonts w:ascii="Garamond" w:hAnsi="Garamond"/>
        </w:rPr>
        <w:t xml:space="preserve">for the installation of numerous windows suggest </w:t>
      </w:r>
      <w:r w:rsidR="0069045F" w:rsidRPr="006B5318">
        <w:rPr>
          <w:rFonts w:ascii="Garamond" w:hAnsi="Garamond"/>
        </w:rPr>
        <w:t>that the queen’s apartments had a</w:t>
      </w:r>
      <w:r w:rsidRPr="006B5318">
        <w:rPr>
          <w:rFonts w:ascii="Garamond" w:hAnsi="Garamond"/>
        </w:rPr>
        <w:t xml:space="preserve"> light and spacious appearance. </w:t>
      </w:r>
      <w:r w:rsidR="009665D5" w:rsidRPr="006B5318">
        <w:rPr>
          <w:rFonts w:ascii="Garamond" w:hAnsi="Garamond"/>
        </w:rPr>
        <w:t xml:space="preserve">A large bay window in the </w:t>
      </w:r>
      <w:r w:rsidRPr="006B5318">
        <w:rPr>
          <w:rFonts w:ascii="Garamond" w:hAnsi="Garamond"/>
        </w:rPr>
        <w:t>great chamber</w:t>
      </w:r>
      <w:r w:rsidR="007B6E0A" w:rsidRPr="006B5318">
        <w:rPr>
          <w:rFonts w:ascii="Garamond" w:hAnsi="Garamond"/>
        </w:rPr>
        <w:t xml:space="preserve"> </w:t>
      </w:r>
      <w:r w:rsidRPr="006B5318">
        <w:rPr>
          <w:rFonts w:ascii="Garamond" w:hAnsi="Garamond"/>
        </w:rPr>
        <w:t>contained fifty-one feet of white glass</w:t>
      </w:r>
      <w:r w:rsidR="00190A7E" w:rsidRPr="006B5318">
        <w:rPr>
          <w:rFonts w:ascii="Garamond" w:hAnsi="Garamond"/>
        </w:rPr>
        <w:t xml:space="preserve">, which was </w:t>
      </w:r>
      <w:r w:rsidRPr="006B5318">
        <w:rPr>
          <w:rFonts w:ascii="Garamond" w:hAnsi="Garamond"/>
        </w:rPr>
        <w:t xml:space="preserve">flourished with marguerites and the arms of the </w:t>
      </w:r>
      <w:r w:rsidRPr="006B5318">
        <w:rPr>
          <w:rFonts w:ascii="Garamond" w:hAnsi="Garamond"/>
        </w:rPr>
        <w:lastRenderedPageBreak/>
        <w:t>king and queen.</w:t>
      </w:r>
      <w:r w:rsidRPr="006B5318">
        <w:rPr>
          <w:rStyle w:val="FootnoteReference"/>
          <w:rFonts w:ascii="Garamond" w:hAnsi="Garamond"/>
        </w:rPr>
        <w:footnoteReference w:id="54"/>
      </w:r>
      <w:r w:rsidRPr="006B5318">
        <w:rPr>
          <w:rFonts w:ascii="Garamond" w:hAnsi="Garamond"/>
        </w:rPr>
        <w:t xml:space="preserve"> Twenty-seven feet of glass </w:t>
      </w:r>
      <w:r w:rsidR="007B6E0A" w:rsidRPr="006B5318">
        <w:rPr>
          <w:rFonts w:ascii="Garamond" w:hAnsi="Garamond"/>
        </w:rPr>
        <w:t>was divided between</w:t>
      </w:r>
      <w:r w:rsidRPr="006B5318">
        <w:rPr>
          <w:rFonts w:ascii="Garamond" w:hAnsi="Garamond"/>
        </w:rPr>
        <w:t xml:space="preserve"> three further windows in the room.</w:t>
      </w:r>
      <w:r w:rsidRPr="006B5318">
        <w:rPr>
          <w:rStyle w:val="FootnoteReference"/>
          <w:rFonts w:ascii="Garamond" w:hAnsi="Garamond"/>
        </w:rPr>
        <w:footnoteReference w:id="55"/>
      </w:r>
      <w:r w:rsidRPr="006B5318">
        <w:rPr>
          <w:rFonts w:ascii="Garamond" w:hAnsi="Garamond"/>
        </w:rPr>
        <w:t xml:space="preserve"> Margaret’s ward also contained a closet, which was most likely accessed from her bedchamber</w:t>
      </w:r>
      <w:r w:rsidR="00B44AD0" w:rsidRPr="006B5318">
        <w:rPr>
          <w:rFonts w:ascii="Garamond" w:hAnsi="Garamond"/>
        </w:rPr>
        <w:t xml:space="preserve"> and</w:t>
      </w:r>
      <w:r w:rsidRPr="006B5318">
        <w:rPr>
          <w:rFonts w:ascii="Garamond" w:hAnsi="Garamond"/>
        </w:rPr>
        <w:t xml:space="preserve"> </w:t>
      </w:r>
      <w:r w:rsidR="00CE2193" w:rsidRPr="006B5318">
        <w:rPr>
          <w:rFonts w:ascii="Garamond" w:hAnsi="Garamond"/>
        </w:rPr>
        <w:t>contained</w:t>
      </w:r>
      <w:r w:rsidRPr="006B5318">
        <w:rPr>
          <w:rFonts w:ascii="Garamond" w:hAnsi="Garamond"/>
        </w:rPr>
        <w:t xml:space="preserve"> three windows overlooking the chapel below</w:t>
      </w:r>
      <w:r w:rsidR="00E475FD" w:rsidRPr="006B5318">
        <w:rPr>
          <w:rFonts w:ascii="Garamond" w:hAnsi="Garamond"/>
        </w:rPr>
        <w:t xml:space="preserve">, </w:t>
      </w:r>
      <w:r w:rsidR="00192D2A" w:rsidRPr="006B5318">
        <w:rPr>
          <w:rFonts w:ascii="Garamond" w:hAnsi="Garamond"/>
        </w:rPr>
        <w:t xml:space="preserve">as well as </w:t>
      </w:r>
      <w:r w:rsidR="00E475FD" w:rsidRPr="006B5318">
        <w:rPr>
          <w:rFonts w:ascii="Garamond" w:hAnsi="Garamond"/>
        </w:rPr>
        <w:t>a fireplace for warmth</w:t>
      </w:r>
      <w:r w:rsidRPr="006B5318">
        <w:rPr>
          <w:rFonts w:ascii="Garamond" w:hAnsi="Garamond"/>
        </w:rPr>
        <w:t xml:space="preserve">. </w:t>
      </w:r>
      <w:r w:rsidR="00E475FD" w:rsidRPr="006B5318">
        <w:rPr>
          <w:rFonts w:ascii="Garamond" w:hAnsi="Garamond"/>
        </w:rPr>
        <w:t>Such a</w:t>
      </w:r>
      <w:r w:rsidRPr="006B5318">
        <w:rPr>
          <w:rFonts w:ascii="Garamond" w:hAnsi="Garamond"/>
        </w:rPr>
        <w:t xml:space="preserve"> spatial arrangement, with its emphasis on seclusion and piety, is </w:t>
      </w:r>
      <w:r w:rsidR="009D33AB" w:rsidRPr="006B5318">
        <w:rPr>
          <w:rFonts w:ascii="Garamond" w:hAnsi="Garamond"/>
        </w:rPr>
        <w:t>in keeping with a</w:t>
      </w:r>
      <w:r w:rsidRPr="006B5318">
        <w:rPr>
          <w:rFonts w:ascii="Garamond" w:hAnsi="Garamond"/>
        </w:rPr>
        <w:t xml:space="preserve"> feminine spatial ideology </w:t>
      </w:r>
      <w:r w:rsidR="001435F3" w:rsidRPr="006B5318">
        <w:rPr>
          <w:rFonts w:ascii="Garamond" w:hAnsi="Garamond"/>
        </w:rPr>
        <w:t xml:space="preserve">that </w:t>
      </w:r>
      <w:r w:rsidRPr="006B5318">
        <w:rPr>
          <w:rFonts w:ascii="Garamond" w:hAnsi="Garamond"/>
        </w:rPr>
        <w:t>we would expect to find in a royal residence under male lordship. Margaret’s creation of her own great hall and parlour, as well as a middle and great chamber, however, meant that she was also equipped with</w:t>
      </w:r>
      <w:r w:rsidR="001435F3" w:rsidRPr="006B5318">
        <w:rPr>
          <w:rFonts w:ascii="Garamond" w:hAnsi="Garamond"/>
        </w:rPr>
        <w:t xml:space="preserve"> her own</w:t>
      </w:r>
      <w:r w:rsidRPr="006B5318">
        <w:rPr>
          <w:rFonts w:ascii="Garamond" w:hAnsi="Garamond"/>
        </w:rPr>
        <w:t xml:space="preserve"> ‘public’ rooms for the reception of guests</w:t>
      </w:r>
      <w:r w:rsidR="009D33AB" w:rsidRPr="006B5318">
        <w:rPr>
          <w:rFonts w:ascii="Garamond" w:hAnsi="Garamond"/>
        </w:rPr>
        <w:t>, which</w:t>
      </w:r>
      <w:r w:rsidR="00CE2193" w:rsidRPr="006B5318">
        <w:rPr>
          <w:rFonts w:ascii="Garamond" w:hAnsi="Garamond"/>
        </w:rPr>
        <w:t xml:space="preserve"> </w:t>
      </w:r>
      <w:r w:rsidR="00AE379A" w:rsidRPr="006B5318">
        <w:rPr>
          <w:rFonts w:ascii="Garamond" w:hAnsi="Garamond"/>
        </w:rPr>
        <w:t xml:space="preserve">she </w:t>
      </w:r>
      <w:r w:rsidR="00CE2193" w:rsidRPr="006B5318">
        <w:rPr>
          <w:rFonts w:ascii="Garamond" w:hAnsi="Garamond"/>
        </w:rPr>
        <w:t>might</w:t>
      </w:r>
      <w:r w:rsidR="00AE379A" w:rsidRPr="006B5318">
        <w:rPr>
          <w:rFonts w:ascii="Garamond" w:hAnsi="Garamond"/>
        </w:rPr>
        <w:t xml:space="preserve"> have</w:t>
      </w:r>
      <w:r w:rsidR="00CE2193" w:rsidRPr="006B5318">
        <w:rPr>
          <w:rFonts w:ascii="Garamond" w:hAnsi="Garamond"/>
        </w:rPr>
        <w:t xml:space="preserve"> otherwise shared with </w:t>
      </w:r>
      <w:r w:rsidR="00AE379A" w:rsidRPr="006B5318">
        <w:rPr>
          <w:rFonts w:ascii="Garamond" w:hAnsi="Garamond"/>
        </w:rPr>
        <w:t xml:space="preserve">her husband in the palaces headed by the king. </w:t>
      </w:r>
    </w:p>
    <w:p w14:paraId="6E03FF9F" w14:textId="27959BBD" w:rsidR="00D357E4" w:rsidRPr="006B5318" w:rsidRDefault="00D357E4" w:rsidP="00330ECB">
      <w:pPr>
        <w:tabs>
          <w:tab w:val="left" w:pos="3402"/>
          <w:tab w:val="left" w:pos="4253"/>
        </w:tabs>
        <w:spacing w:line="276" w:lineRule="auto"/>
        <w:ind w:firstLine="567"/>
        <w:jc w:val="both"/>
        <w:rPr>
          <w:rFonts w:ascii="Garamond" w:hAnsi="Garamond"/>
        </w:rPr>
      </w:pPr>
      <w:r w:rsidRPr="006B5318">
        <w:rPr>
          <w:rFonts w:ascii="Garamond" w:hAnsi="Garamond"/>
        </w:rPr>
        <w:t xml:space="preserve">The king’s rooms were likely similar in their </w:t>
      </w:r>
      <w:r w:rsidR="009D33AB" w:rsidRPr="006B5318">
        <w:rPr>
          <w:rFonts w:ascii="Garamond" w:hAnsi="Garamond"/>
        </w:rPr>
        <w:t>layout</w:t>
      </w:r>
      <w:r w:rsidRPr="006B5318">
        <w:rPr>
          <w:rFonts w:ascii="Garamond" w:hAnsi="Garamond"/>
        </w:rPr>
        <w:t xml:space="preserve"> to those of the queen, as suggested by the inclusion of two great bay windows in the king’s ward and the mention of a ‘camerina’ (vaulted room) in both the king and queen’s wards. In contrast to the extensive works on the queen’s ward, however, little mention is made of the king’s </w:t>
      </w:r>
      <w:r w:rsidR="001435F3" w:rsidRPr="006B5318">
        <w:rPr>
          <w:rFonts w:ascii="Garamond" w:hAnsi="Garamond"/>
        </w:rPr>
        <w:t>rooms</w:t>
      </w:r>
      <w:r w:rsidRPr="006B5318">
        <w:rPr>
          <w:rFonts w:ascii="Garamond" w:hAnsi="Garamond"/>
        </w:rPr>
        <w:t xml:space="preserve"> in the building accounts, </w:t>
      </w:r>
      <w:r w:rsidR="001435F3" w:rsidRPr="006B5318">
        <w:rPr>
          <w:rFonts w:ascii="Garamond" w:hAnsi="Garamond"/>
        </w:rPr>
        <w:t xml:space="preserve">suggesting </w:t>
      </w:r>
      <w:r w:rsidRPr="006B5318">
        <w:rPr>
          <w:rFonts w:ascii="Garamond" w:hAnsi="Garamond"/>
        </w:rPr>
        <w:t>that Henry</w:t>
      </w:r>
      <w:r w:rsidR="002F46A9" w:rsidRPr="006B5318">
        <w:rPr>
          <w:rFonts w:ascii="Garamond" w:hAnsi="Garamond"/>
        </w:rPr>
        <w:t xml:space="preserve"> </w:t>
      </w:r>
      <w:r w:rsidR="00AE379A" w:rsidRPr="006B5318">
        <w:rPr>
          <w:rFonts w:ascii="Garamond" w:hAnsi="Garamond"/>
        </w:rPr>
        <w:t xml:space="preserve">most </w:t>
      </w:r>
      <w:r w:rsidR="002F46A9" w:rsidRPr="006B5318">
        <w:rPr>
          <w:rFonts w:ascii="Garamond" w:hAnsi="Garamond"/>
        </w:rPr>
        <w:t xml:space="preserve">likely </w:t>
      </w:r>
      <w:r w:rsidRPr="006B5318">
        <w:rPr>
          <w:rFonts w:ascii="Garamond" w:hAnsi="Garamond"/>
        </w:rPr>
        <w:t>occupied th</w:t>
      </w:r>
      <w:r w:rsidR="001435F3" w:rsidRPr="006B5318">
        <w:rPr>
          <w:rFonts w:ascii="Garamond" w:hAnsi="Garamond"/>
        </w:rPr>
        <w:t>e</w:t>
      </w:r>
      <w:r w:rsidRPr="006B5318">
        <w:rPr>
          <w:rFonts w:ascii="Garamond" w:hAnsi="Garamond"/>
        </w:rPr>
        <w:t xml:space="preserve"> rooms formerly inhabited by his uncle,</w:t>
      </w:r>
      <w:r w:rsidR="001435F3" w:rsidRPr="006B5318">
        <w:rPr>
          <w:rFonts w:ascii="Garamond" w:hAnsi="Garamond"/>
        </w:rPr>
        <w:t xml:space="preserve"> Duke Humphrey</w:t>
      </w:r>
      <w:r w:rsidRPr="006B5318">
        <w:rPr>
          <w:rFonts w:ascii="Garamond" w:hAnsi="Garamond"/>
        </w:rPr>
        <w:t xml:space="preserve">. This hypothesis is further supported by a reference to a library in the king’s ward, which was not newly constructed, but </w:t>
      </w:r>
      <w:r w:rsidR="001435F3" w:rsidRPr="006B5318">
        <w:rPr>
          <w:rFonts w:ascii="Garamond" w:hAnsi="Garamond"/>
        </w:rPr>
        <w:t>merely</w:t>
      </w:r>
      <w:r w:rsidRPr="006B5318">
        <w:rPr>
          <w:rFonts w:ascii="Garamond" w:hAnsi="Garamond"/>
        </w:rPr>
        <w:t xml:space="preserve"> paved </w:t>
      </w:r>
      <w:r w:rsidR="00E41D7D" w:rsidRPr="006B5318">
        <w:rPr>
          <w:rFonts w:ascii="Garamond" w:hAnsi="Garamond"/>
        </w:rPr>
        <w:t xml:space="preserve">as part of </w:t>
      </w:r>
      <w:r w:rsidRPr="006B5318">
        <w:rPr>
          <w:rFonts w:ascii="Garamond" w:hAnsi="Garamond"/>
        </w:rPr>
        <w:t xml:space="preserve">Margaret’s </w:t>
      </w:r>
      <w:r w:rsidR="00E41D7D" w:rsidRPr="006B5318">
        <w:rPr>
          <w:rFonts w:ascii="Garamond" w:hAnsi="Garamond"/>
        </w:rPr>
        <w:t>works on</w:t>
      </w:r>
      <w:r w:rsidRPr="006B5318">
        <w:rPr>
          <w:rFonts w:ascii="Garamond" w:hAnsi="Garamond"/>
        </w:rPr>
        <w:t xml:space="preserve"> the property.</w:t>
      </w:r>
      <w:r w:rsidRPr="006B5318">
        <w:rPr>
          <w:rStyle w:val="FootnoteReference"/>
          <w:rFonts w:ascii="Garamond" w:hAnsi="Garamond"/>
        </w:rPr>
        <w:footnoteReference w:id="56"/>
      </w:r>
      <w:r w:rsidRPr="006B5318">
        <w:rPr>
          <w:rFonts w:ascii="Garamond" w:hAnsi="Garamond"/>
        </w:rPr>
        <w:t xml:space="preserve"> Duke Humphrey’s </w:t>
      </w:r>
      <w:r w:rsidR="00AE379A" w:rsidRPr="006B5318">
        <w:rPr>
          <w:rFonts w:ascii="Garamond" w:hAnsi="Garamond"/>
        </w:rPr>
        <w:t xml:space="preserve">well-known </w:t>
      </w:r>
      <w:r w:rsidRPr="006B5318">
        <w:rPr>
          <w:rFonts w:ascii="Garamond" w:hAnsi="Garamond"/>
        </w:rPr>
        <w:t xml:space="preserve">reputation as a humanist and bibliophile </w:t>
      </w:r>
      <w:r w:rsidR="006B72B2" w:rsidRPr="006B5318">
        <w:rPr>
          <w:rFonts w:ascii="Garamond" w:hAnsi="Garamond"/>
        </w:rPr>
        <w:t>certainly</w:t>
      </w:r>
      <w:r w:rsidRPr="006B5318">
        <w:rPr>
          <w:rFonts w:ascii="Garamond" w:hAnsi="Garamond"/>
        </w:rPr>
        <w:t xml:space="preserve"> make it </w:t>
      </w:r>
      <w:r w:rsidR="00FA626B" w:rsidRPr="006B5318">
        <w:rPr>
          <w:rFonts w:ascii="Garamond" w:hAnsi="Garamond"/>
        </w:rPr>
        <w:t xml:space="preserve">probable </w:t>
      </w:r>
      <w:r w:rsidRPr="006B5318">
        <w:rPr>
          <w:rFonts w:ascii="Garamond" w:hAnsi="Garamond"/>
        </w:rPr>
        <w:t>that he left behind a library fit for a royal reader.</w:t>
      </w:r>
      <w:r w:rsidRPr="006B5318">
        <w:rPr>
          <w:rStyle w:val="FootnoteReference"/>
          <w:rFonts w:ascii="Garamond" w:hAnsi="Garamond"/>
        </w:rPr>
        <w:footnoteReference w:id="57"/>
      </w:r>
      <w:r w:rsidRPr="006B5318">
        <w:rPr>
          <w:rFonts w:ascii="Garamond" w:hAnsi="Garamond"/>
        </w:rPr>
        <w:t xml:space="preserve"> The presence of a library in Henry’s ward also suggests that there may have been some difference</w:t>
      </w:r>
      <w:r w:rsidR="00DD733D" w:rsidRPr="006B5318">
        <w:rPr>
          <w:rFonts w:ascii="Garamond" w:hAnsi="Garamond"/>
        </w:rPr>
        <w:t>s</w:t>
      </w:r>
      <w:r w:rsidRPr="006B5318">
        <w:rPr>
          <w:rFonts w:ascii="Garamond" w:hAnsi="Garamond"/>
        </w:rPr>
        <w:t xml:space="preserve"> in the spatial environments of the king</w:t>
      </w:r>
      <w:r w:rsidR="00CE2022" w:rsidRPr="006B5318">
        <w:rPr>
          <w:rFonts w:ascii="Garamond" w:hAnsi="Garamond"/>
        </w:rPr>
        <w:t>’s</w:t>
      </w:r>
      <w:r w:rsidRPr="006B5318">
        <w:rPr>
          <w:rFonts w:ascii="Garamond" w:hAnsi="Garamond"/>
        </w:rPr>
        <w:t xml:space="preserve"> and queen’s wards, as </w:t>
      </w:r>
      <w:r w:rsidR="001435F3" w:rsidRPr="006B5318">
        <w:rPr>
          <w:rFonts w:ascii="Garamond" w:hAnsi="Garamond"/>
        </w:rPr>
        <w:t>no reference is made to a library for the queen</w:t>
      </w:r>
      <w:r w:rsidR="006802A7" w:rsidRPr="006B5318">
        <w:rPr>
          <w:rFonts w:ascii="Garamond" w:hAnsi="Garamond"/>
        </w:rPr>
        <w:t xml:space="preserve"> despite her </w:t>
      </w:r>
      <w:r w:rsidR="00247348" w:rsidRPr="006B5318">
        <w:rPr>
          <w:rFonts w:ascii="Garamond" w:hAnsi="Garamond"/>
        </w:rPr>
        <w:t>well-</w:t>
      </w:r>
      <w:r w:rsidR="006802A7" w:rsidRPr="006B5318">
        <w:rPr>
          <w:rFonts w:ascii="Garamond" w:hAnsi="Garamond"/>
        </w:rPr>
        <w:t>known literary interests</w:t>
      </w:r>
      <w:r w:rsidR="001435F3" w:rsidRPr="006B5318">
        <w:rPr>
          <w:rFonts w:ascii="Garamond" w:hAnsi="Garamond"/>
        </w:rPr>
        <w:t xml:space="preserve">. </w:t>
      </w:r>
    </w:p>
    <w:p w14:paraId="2A725C84" w14:textId="69E555B1" w:rsidR="00D357E4" w:rsidRPr="006B5318" w:rsidRDefault="00D357E4" w:rsidP="00330ECB">
      <w:pPr>
        <w:tabs>
          <w:tab w:val="left" w:pos="3402"/>
          <w:tab w:val="left" w:pos="4253"/>
        </w:tabs>
        <w:spacing w:line="276" w:lineRule="auto"/>
        <w:ind w:firstLine="567"/>
        <w:jc w:val="both"/>
        <w:rPr>
          <w:rFonts w:ascii="Garamond" w:hAnsi="Garamond"/>
        </w:rPr>
      </w:pPr>
      <w:r w:rsidRPr="006B5318">
        <w:rPr>
          <w:rFonts w:ascii="Garamond" w:hAnsi="Garamond"/>
        </w:rPr>
        <w:t xml:space="preserve">The only evidence </w:t>
      </w:r>
      <w:r w:rsidR="00247348" w:rsidRPr="006B5318">
        <w:rPr>
          <w:rFonts w:ascii="Garamond" w:hAnsi="Garamond"/>
        </w:rPr>
        <w:t>of</w:t>
      </w:r>
      <w:r w:rsidRPr="006B5318">
        <w:rPr>
          <w:rFonts w:ascii="Garamond" w:hAnsi="Garamond"/>
        </w:rPr>
        <w:t xml:space="preserve"> substantial building work</w:t>
      </w:r>
      <w:r w:rsidR="004B5827" w:rsidRPr="006B5318">
        <w:rPr>
          <w:rFonts w:ascii="Garamond" w:hAnsi="Garamond"/>
        </w:rPr>
        <w:t>s</w:t>
      </w:r>
      <w:r w:rsidRPr="006B5318">
        <w:rPr>
          <w:rFonts w:ascii="Garamond" w:hAnsi="Garamond"/>
        </w:rPr>
        <w:t xml:space="preserve"> in the king’s ward is </w:t>
      </w:r>
      <w:r w:rsidR="00192D2A" w:rsidRPr="006B5318">
        <w:rPr>
          <w:rFonts w:ascii="Garamond" w:hAnsi="Garamond"/>
        </w:rPr>
        <w:t>between</w:t>
      </w:r>
      <w:r w:rsidRPr="006B5318">
        <w:rPr>
          <w:rFonts w:ascii="Garamond" w:hAnsi="Garamond"/>
        </w:rPr>
        <w:t xml:space="preserve"> 1452</w:t>
      </w:r>
      <w:r w:rsidR="001435F3" w:rsidRPr="006B5318">
        <w:rPr>
          <w:rFonts w:ascii="Garamond" w:hAnsi="Garamond"/>
        </w:rPr>
        <w:t xml:space="preserve"> </w:t>
      </w:r>
      <w:r w:rsidR="00192D2A" w:rsidRPr="006B5318">
        <w:rPr>
          <w:rFonts w:ascii="Garamond" w:hAnsi="Garamond"/>
        </w:rPr>
        <w:t>and</w:t>
      </w:r>
      <w:r w:rsidR="001435F3" w:rsidRPr="006B5318">
        <w:rPr>
          <w:rFonts w:ascii="Garamond" w:hAnsi="Garamond"/>
        </w:rPr>
        <w:t xml:space="preserve"> 145</w:t>
      </w:r>
      <w:r w:rsidRPr="006B5318">
        <w:rPr>
          <w:rFonts w:ascii="Garamond" w:hAnsi="Garamond"/>
        </w:rPr>
        <w:t>3, when a new chapel closet was created for Henry’s personal use.</w:t>
      </w:r>
      <w:r w:rsidRPr="006B5318">
        <w:rPr>
          <w:rStyle w:val="FootnoteReference"/>
          <w:rFonts w:ascii="Garamond" w:hAnsi="Garamond"/>
        </w:rPr>
        <w:footnoteReference w:id="58"/>
      </w:r>
      <w:r w:rsidRPr="006B5318">
        <w:rPr>
          <w:rFonts w:ascii="Garamond" w:hAnsi="Garamond"/>
        </w:rPr>
        <w:t xml:space="preserve"> The closet </w:t>
      </w:r>
      <w:r w:rsidR="00A223E8" w:rsidRPr="006B5318">
        <w:rPr>
          <w:rFonts w:ascii="Garamond" w:hAnsi="Garamond"/>
        </w:rPr>
        <w:t xml:space="preserve">was roofed with tiles brought from the nearby settlement of Dulwich, and </w:t>
      </w:r>
      <w:r w:rsidR="00CF5328" w:rsidRPr="006B5318">
        <w:rPr>
          <w:rFonts w:ascii="Garamond" w:hAnsi="Garamond"/>
        </w:rPr>
        <w:t xml:space="preserve">it </w:t>
      </w:r>
      <w:r w:rsidR="001435F3" w:rsidRPr="006B5318">
        <w:rPr>
          <w:rFonts w:ascii="Garamond" w:hAnsi="Garamond"/>
        </w:rPr>
        <w:t>contained a fireplace and an altar made of elm wood</w:t>
      </w:r>
      <w:r w:rsidRPr="006B5318">
        <w:rPr>
          <w:rFonts w:ascii="Garamond" w:hAnsi="Garamond"/>
        </w:rPr>
        <w:t xml:space="preserve">. </w:t>
      </w:r>
      <w:r w:rsidR="001435F3" w:rsidRPr="006B5318">
        <w:rPr>
          <w:rFonts w:ascii="Garamond" w:hAnsi="Garamond"/>
        </w:rPr>
        <w:t xml:space="preserve">A new scheme was devised for </w:t>
      </w:r>
      <w:r w:rsidR="00CF5328" w:rsidRPr="006B5318">
        <w:rPr>
          <w:rFonts w:ascii="Garamond" w:hAnsi="Garamond"/>
        </w:rPr>
        <w:t xml:space="preserve">the twenty-two feet of glass </w:t>
      </w:r>
      <w:r w:rsidR="00282DED" w:rsidRPr="006B5318">
        <w:rPr>
          <w:rFonts w:ascii="Garamond" w:hAnsi="Garamond"/>
        </w:rPr>
        <w:t>occupying</w:t>
      </w:r>
      <w:r w:rsidR="00CF5328" w:rsidRPr="006B5318">
        <w:rPr>
          <w:rFonts w:ascii="Garamond" w:hAnsi="Garamond"/>
        </w:rPr>
        <w:t xml:space="preserve"> a</w:t>
      </w:r>
      <w:r w:rsidRPr="006B5318">
        <w:rPr>
          <w:rFonts w:ascii="Garamond" w:hAnsi="Garamond"/>
        </w:rPr>
        <w:t xml:space="preserve"> three-light window</w:t>
      </w:r>
      <w:r w:rsidR="00CF5328" w:rsidRPr="006B5318">
        <w:rPr>
          <w:rFonts w:ascii="Garamond" w:hAnsi="Garamond"/>
        </w:rPr>
        <w:t xml:space="preserve"> above the</w:t>
      </w:r>
      <w:r w:rsidR="00647EFC">
        <w:rPr>
          <w:rFonts w:ascii="Garamond" w:hAnsi="Garamond"/>
        </w:rPr>
        <w:t xml:space="preserve"> closet</w:t>
      </w:r>
      <w:r w:rsidR="00CF5328" w:rsidRPr="006B5318">
        <w:rPr>
          <w:rFonts w:ascii="Garamond" w:hAnsi="Garamond"/>
        </w:rPr>
        <w:t xml:space="preserve"> altar</w:t>
      </w:r>
      <w:r w:rsidR="00454976" w:rsidRPr="006B5318">
        <w:rPr>
          <w:rFonts w:ascii="Garamond" w:hAnsi="Garamond"/>
        </w:rPr>
        <w:t>.</w:t>
      </w:r>
      <w:r w:rsidR="001435F3" w:rsidRPr="006B5318">
        <w:rPr>
          <w:rFonts w:ascii="Garamond" w:hAnsi="Garamond"/>
        </w:rPr>
        <w:t xml:space="preserve"> Its central image was</w:t>
      </w:r>
      <w:r w:rsidRPr="006B5318">
        <w:rPr>
          <w:rFonts w:ascii="Garamond" w:hAnsi="Garamond"/>
        </w:rPr>
        <w:t xml:space="preserve"> a Crucifixion</w:t>
      </w:r>
      <w:r w:rsidR="001435F3" w:rsidRPr="006B5318">
        <w:rPr>
          <w:rFonts w:ascii="Garamond" w:hAnsi="Garamond"/>
        </w:rPr>
        <w:t xml:space="preserve"> scene</w:t>
      </w:r>
      <w:r w:rsidRPr="006B5318">
        <w:rPr>
          <w:rFonts w:ascii="Garamond" w:hAnsi="Garamond"/>
        </w:rPr>
        <w:t xml:space="preserve"> with Mary and Joseph</w:t>
      </w:r>
      <w:r w:rsidR="001435F3" w:rsidRPr="006B5318">
        <w:rPr>
          <w:rFonts w:ascii="Garamond" w:hAnsi="Garamond"/>
        </w:rPr>
        <w:t xml:space="preserve"> </w:t>
      </w:r>
      <w:r w:rsidRPr="006B5318">
        <w:rPr>
          <w:rFonts w:ascii="Garamond" w:hAnsi="Garamond"/>
        </w:rPr>
        <w:t>at the foot of the cross. Three escutcheons surrounded the</w:t>
      </w:r>
      <w:r w:rsidR="001435F3" w:rsidRPr="006B5318">
        <w:rPr>
          <w:rFonts w:ascii="Garamond" w:hAnsi="Garamond"/>
        </w:rPr>
        <w:t xml:space="preserve"> central image</w:t>
      </w:r>
      <w:r w:rsidRPr="006B5318">
        <w:rPr>
          <w:rFonts w:ascii="Garamond" w:hAnsi="Garamond"/>
        </w:rPr>
        <w:t xml:space="preserve">, </w:t>
      </w:r>
      <w:r w:rsidR="0057173A" w:rsidRPr="006B5318">
        <w:rPr>
          <w:rFonts w:ascii="Garamond" w:hAnsi="Garamond"/>
        </w:rPr>
        <w:t>namely</w:t>
      </w:r>
      <w:r w:rsidRPr="006B5318">
        <w:rPr>
          <w:rFonts w:ascii="Garamond" w:hAnsi="Garamond"/>
        </w:rPr>
        <w:t xml:space="preserve"> the arms of St. George and those of the king and the queen. A</w:t>
      </w:r>
      <w:r w:rsidR="00A91B0A" w:rsidRPr="006B5318">
        <w:rPr>
          <w:rFonts w:ascii="Garamond" w:hAnsi="Garamond"/>
        </w:rPr>
        <w:t>n additional</w:t>
      </w:r>
      <w:r w:rsidRPr="006B5318">
        <w:rPr>
          <w:rFonts w:ascii="Garamond" w:hAnsi="Garamond"/>
        </w:rPr>
        <w:t xml:space="preserve"> bay window</w:t>
      </w:r>
      <w:r w:rsidR="0073789B" w:rsidRPr="006B5318">
        <w:rPr>
          <w:rFonts w:ascii="Garamond" w:hAnsi="Garamond"/>
        </w:rPr>
        <w:t>, which was positioned to provide views directly onto</w:t>
      </w:r>
      <w:r w:rsidRPr="006B5318">
        <w:rPr>
          <w:rFonts w:ascii="Garamond" w:hAnsi="Garamond"/>
        </w:rPr>
        <w:t xml:space="preserve"> the chapel</w:t>
      </w:r>
      <w:r w:rsidR="0073789B" w:rsidRPr="006B5318">
        <w:rPr>
          <w:rFonts w:ascii="Garamond" w:hAnsi="Garamond"/>
        </w:rPr>
        <w:t>,</w:t>
      </w:r>
      <w:r w:rsidRPr="006B5318">
        <w:rPr>
          <w:rFonts w:ascii="Garamond" w:hAnsi="Garamond"/>
        </w:rPr>
        <w:t xml:space="preserve"> was glazed with fourteen feet of clear glass</w:t>
      </w:r>
      <w:r w:rsidR="00C66EBF" w:rsidRPr="006B5318">
        <w:rPr>
          <w:rFonts w:ascii="Garamond" w:hAnsi="Garamond"/>
        </w:rPr>
        <w:t xml:space="preserve"> </w:t>
      </w:r>
      <w:r w:rsidR="00CF5328" w:rsidRPr="006B5318">
        <w:rPr>
          <w:rFonts w:ascii="Garamond" w:hAnsi="Garamond"/>
        </w:rPr>
        <w:t>painted</w:t>
      </w:r>
      <w:r w:rsidRPr="006B5318">
        <w:rPr>
          <w:rFonts w:ascii="Garamond" w:hAnsi="Garamond"/>
        </w:rPr>
        <w:t xml:space="preserve"> with Margaret’s</w:t>
      </w:r>
      <w:r w:rsidR="0065204F" w:rsidRPr="006B5318">
        <w:rPr>
          <w:rFonts w:ascii="Garamond" w:hAnsi="Garamond"/>
        </w:rPr>
        <w:t xml:space="preserve"> namesake flower, the</w:t>
      </w:r>
      <w:r w:rsidRPr="006B5318">
        <w:rPr>
          <w:rFonts w:ascii="Garamond" w:hAnsi="Garamond"/>
        </w:rPr>
        <w:t xml:space="preserve"> marguerite</w:t>
      </w:r>
      <w:r w:rsidR="0065204F" w:rsidRPr="006B5318">
        <w:rPr>
          <w:rFonts w:ascii="Garamond" w:hAnsi="Garamond"/>
        </w:rPr>
        <w:t>,</w:t>
      </w:r>
      <w:r w:rsidRPr="006B5318">
        <w:rPr>
          <w:rFonts w:ascii="Garamond" w:hAnsi="Garamond"/>
        </w:rPr>
        <w:t xml:space="preserve"> a</w:t>
      </w:r>
      <w:r w:rsidR="00C53E89" w:rsidRPr="006B5318">
        <w:rPr>
          <w:rFonts w:ascii="Garamond" w:hAnsi="Garamond"/>
        </w:rPr>
        <w:t>longside</w:t>
      </w:r>
      <w:r w:rsidRPr="006B5318">
        <w:rPr>
          <w:rFonts w:ascii="Garamond" w:hAnsi="Garamond"/>
        </w:rPr>
        <w:t xml:space="preserve"> the king’s </w:t>
      </w:r>
      <w:r w:rsidR="0065204F" w:rsidRPr="006B5318">
        <w:rPr>
          <w:rFonts w:ascii="Garamond" w:hAnsi="Garamond"/>
        </w:rPr>
        <w:t xml:space="preserve">personal </w:t>
      </w:r>
      <w:r w:rsidRPr="006B5318">
        <w:rPr>
          <w:rFonts w:ascii="Garamond" w:hAnsi="Garamond"/>
        </w:rPr>
        <w:t>emblem, the hawthorn bud.</w:t>
      </w:r>
      <w:r w:rsidRPr="006B5318">
        <w:rPr>
          <w:rStyle w:val="FootnoteReference"/>
          <w:rFonts w:ascii="Garamond" w:hAnsi="Garamond"/>
        </w:rPr>
        <w:footnoteReference w:id="59"/>
      </w:r>
      <w:r w:rsidRPr="006B5318">
        <w:rPr>
          <w:rFonts w:ascii="Garamond" w:hAnsi="Garamond"/>
        </w:rPr>
        <w:t xml:space="preserve"> A new vestry beneath the closet was </w:t>
      </w:r>
      <w:r w:rsidR="00732FFF" w:rsidRPr="006B5318">
        <w:rPr>
          <w:rFonts w:ascii="Garamond" w:hAnsi="Garamond"/>
        </w:rPr>
        <w:t>also implemented</w:t>
      </w:r>
      <w:r w:rsidRPr="006B5318">
        <w:rPr>
          <w:rFonts w:ascii="Garamond" w:hAnsi="Garamond"/>
        </w:rPr>
        <w:t xml:space="preserve"> for the safekeeping of jewels. Its windows were suitably fitted with iron bars and it could be accessed </w:t>
      </w:r>
      <w:r w:rsidR="00A91B0A" w:rsidRPr="006B5318">
        <w:rPr>
          <w:rFonts w:ascii="Garamond" w:hAnsi="Garamond"/>
        </w:rPr>
        <w:t xml:space="preserve">directly </w:t>
      </w:r>
      <w:r w:rsidRPr="006B5318">
        <w:rPr>
          <w:rFonts w:ascii="Garamond" w:hAnsi="Garamond"/>
        </w:rPr>
        <w:t xml:space="preserve">from Henry’s apartments via a tresaunce or gallery. </w:t>
      </w:r>
    </w:p>
    <w:p w14:paraId="00540135" w14:textId="25F1A398" w:rsidR="00D357E4" w:rsidRPr="006B5318" w:rsidRDefault="00D357E4" w:rsidP="00330ECB">
      <w:pPr>
        <w:tabs>
          <w:tab w:val="left" w:pos="3402"/>
          <w:tab w:val="left" w:pos="4253"/>
        </w:tabs>
        <w:spacing w:line="276" w:lineRule="auto"/>
        <w:ind w:firstLine="567"/>
        <w:jc w:val="both"/>
        <w:rPr>
          <w:rFonts w:ascii="Garamond" w:hAnsi="Garamond"/>
        </w:rPr>
      </w:pPr>
      <w:r w:rsidRPr="006B5318">
        <w:rPr>
          <w:rFonts w:ascii="Garamond" w:hAnsi="Garamond"/>
        </w:rPr>
        <w:t>The timing of the closet’s commission is</w:t>
      </w:r>
      <w:r w:rsidR="001435F3" w:rsidRPr="006B5318">
        <w:rPr>
          <w:rFonts w:ascii="Garamond" w:hAnsi="Garamond"/>
        </w:rPr>
        <w:t xml:space="preserve"> </w:t>
      </w:r>
      <w:r w:rsidRPr="006B5318">
        <w:rPr>
          <w:rFonts w:ascii="Garamond" w:hAnsi="Garamond"/>
        </w:rPr>
        <w:t>striking. Following the downfall of William Duke of Suffolk in 1450, Margaret had taken on a far more active role in English politics. Without a son and heir to the English throne, however, her influence was limited. Following many years of childlessness, in October 1453 Margaret finally gave birth to her first and only child</w:t>
      </w:r>
      <w:r w:rsidR="00612C7B" w:rsidRPr="006B5318">
        <w:rPr>
          <w:rFonts w:ascii="Garamond" w:hAnsi="Garamond"/>
        </w:rPr>
        <w:t>,</w:t>
      </w:r>
      <w:r w:rsidRPr="006B5318">
        <w:rPr>
          <w:rFonts w:ascii="Garamond" w:hAnsi="Garamond"/>
        </w:rPr>
        <w:t xml:space="preserve"> Edward of Lancaster. Margaret’s safe delivery of a son gave new hope to the ruling house,</w:t>
      </w:r>
      <w:r w:rsidR="001435F3" w:rsidRPr="006B5318">
        <w:rPr>
          <w:rFonts w:ascii="Garamond" w:hAnsi="Garamond"/>
        </w:rPr>
        <w:t xml:space="preserve"> yet </w:t>
      </w:r>
      <w:r w:rsidR="0023475C" w:rsidRPr="006B5318">
        <w:rPr>
          <w:rFonts w:ascii="Garamond" w:hAnsi="Garamond"/>
        </w:rPr>
        <w:t>by</w:t>
      </w:r>
      <w:r w:rsidR="001435F3" w:rsidRPr="006B5318">
        <w:rPr>
          <w:rFonts w:ascii="Garamond" w:hAnsi="Garamond"/>
        </w:rPr>
        <w:t xml:space="preserve"> the time of Edward’s birth,</w:t>
      </w:r>
      <w:r w:rsidRPr="006B5318">
        <w:rPr>
          <w:rFonts w:ascii="Garamond" w:hAnsi="Garamond"/>
        </w:rPr>
        <w:t xml:space="preserve"> the king had fallen into a state of mental instability. From </w:t>
      </w:r>
      <w:r w:rsidR="00B44AD0" w:rsidRPr="006B5318">
        <w:rPr>
          <w:rFonts w:ascii="Garamond" w:hAnsi="Garamond"/>
        </w:rPr>
        <w:t>this point</w:t>
      </w:r>
      <w:r w:rsidRPr="006B5318">
        <w:rPr>
          <w:rFonts w:ascii="Garamond" w:hAnsi="Garamond"/>
        </w:rPr>
        <w:t xml:space="preserve"> onwards, Margaret became a highly visible champion of her husband</w:t>
      </w:r>
      <w:r w:rsidR="00451BEB" w:rsidRPr="006B5318">
        <w:rPr>
          <w:rFonts w:ascii="Garamond" w:hAnsi="Garamond"/>
        </w:rPr>
        <w:t>’s</w:t>
      </w:r>
      <w:r w:rsidRPr="006B5318">
        <w:rPr>
          <w:rFonts w:ascii="Garamond" w:hAnsi="Garamond"/>
        </w:rPr>
        <w:t xml:space="preserve"> and son’s cause</w:t>
      </w:r>
      <w:r w:rsidR="00CF5328" w:rsidRPr="006B5318">
        <w:rPr>
          <w:rFonts w:ascii="Garamond" w:hAnsi="Garamond"/>
        </w:rPr>
        <w:t>s</w:t>
      </w:r>
      <w:r w:rsidRPr="006B5318">
        <w:rPr>
          <w:rFonts w:ascii="Garamond" w:hAnsi="Garamond"/>
        </w:rPr>
        <w:t xml:space="preserve">. </w:t>
      </w:r>
      <w:r w:rsidR="009A4A24" w:rsidRPr="006B5318">
        <w:rPr>
          <w:rFonts w:ascii="Garamond" w:hAnsi="Garamond"/>
        </w:rPr>
        <w:t xml:space="preserve">The expansion of the king’s lodgings at Pleasaunce </w:t>
      </w:r>
      <w:r w:rsidR="00B44AD0" w:rsidRPr="006B5318">
        <w:rPr>
          <w:rFonts w:ascii="Garamond" w:hAnsi="Garamond"/>
        </w:rPr>
        <w:t>between 1452 and 1453</w:t>
      </w:r>
      <w:r w:rsidR="009A4A24" w:rsidRPr="006B5318">
        <w:rPr>
          <w:rFonts w:ascii="Garamond" w:hAnsi="Garamond"/>
        </w:rPr>
        <w:t xml:space="preserve"> </w:t>
      </w:r>
      <w:r w:rsidR="00AE5E92" w:rsidRPr="006B5318">
        <w:rPr>
          <w:rFonts w:ascii="Garamond" w:hAnsi="Garamond"/>
        </w:rPr>
        <w:t>is</w:t>
      </w:r>
      <w:r w:rsidR="005149BF" w:rsidRPr="006B5318">
        <w:rPr>
          <w:rFonts w:ascii="Garamond" w:hAnsi="Garamond"/>
        </w:rPr>
        <w:t>,</w:t>
      </w:r>
      <w:r w:rsidR="007B0CE0" w:rsidRPr="006B5318">
        <w:rPr>
          <w:rFonts w:ascii="Garamond" w:hAnsi="Garamond"/>
        </w:rPr>
        <w:t xml:space="preserve"> </w:t>
      </w:r>
      <w:r w:rsidR="00F11528" w:rsidRPr="006B5318">
        <w:rPr>
          <w:rFonts w:ascii="Garamond" w:hAnsi="Garamond"/>
        </w:rPr>
        <w:t>therefore</w:t>
      </w:r>
      <w:r w:rsidR="005149BF" w:rsidRPr="006B5318">
        <w:rPr>
          <w:rFonts w:ascii="Garamond" w:hAnsi="Garamond"/>
        </w:rPr>
        <w:t>,</w:t>
      </w:r>
      <w:r w:rsidR="00F11528" w:rsidRPr="006B5318">
        <w:rPr>
          <w:rFonts w:ascii="Garamond" w:hAnsi="Garamond"/>
        </w:rPr>
        <w:t xml:space="preserve"> </w:t>
      </w:r>
      <w:r w:rsidR="00AE5E92" w:rsidRPr="006B5318">
        <w:rPr>
          <w:rFonts w:ascii="Garamond" w:hAnsi="Garamond"/>
        </w:rPr>
        <w:t>suggestive</w:t>
      </w:r>
      <w:r w:rsidR="00F11528" w:rsidRPr="006B5318">
        <w:rPr>
          <w:rFonts w:ascii="Garamond" w:hAnsi="Garamond"/>
        </w:rPr>
        <w:t xml:space="preserve"> of</w:t>
      </w:r>
      <w:r w:rsidR="009A4A24" w:rsidRPr="006B5318">
        <w:rPr>
          <w:rFonts w:ascii="Garamond" w:hAnsi="Garamond"/>
        </w:rPr>
        <w:t xml:space="preserve"> the growing </w:t>
      </w:r>
      <w:r w:rsidR="009A4A24" w:rsidRPr="006B5318">
        <w:rPr>
          <w:rFonts w:ascii="Garamond" w:hAnsi="Garamond"/>
        </w:rPr>
        <w:lastRenderedPageBreak/>
        <w:t>importance of Margaret’s</w:t>
      </w:r>
      <w:r w:rsidR="007E58C9" w:rsidRPr="006B5318">
        <w:rPr>
          <w:rFonts w:ascii="Garamond" w:hAnsi="Garamond"/>
        </w:rPr>
        <w:t xml:space="preserve"> role and the significance of her palace as a royal residence. It </w:t>
      </w:r>
      <w:r w:rsidR="00AE5E92" w:rsidRPr="006B5318">
        <w:rPr>
          <w:rFonts w:ascii="Garamond" w:hAnsi="Garamond"/>
        </w:rPr>
        <w:t>also indicates</w:t>
      </w:r>
      <w:r w:rsidR="00B44AD0" w:rsidRPr="006B5318">
        <w:rPr>
          <w:rFonts w:ascii="Garamond" w:hAnsi="Garamond"/>
        </w:rPr>
        <w:t xml:space="preserve"> </w:t>
      </w:r>
      <w:r w:rsidR="009A4A24" w:rsidRPr="006B5318">
        <w:rPr>
          <w:rFonts w:ascii="Garamond" w:hAnsi="Garamond"/>
        </w:rPr>
        <w:t xml:space="preserve">that Henry was spending </w:t>
      </w:r>
      <w:r w:rsidR="00AE024B" w:rsidRPr="006B5318">
        <w:rPr>
          <w:rFonts w:ascii="Garamond" w:hAnsi="Garamond"/>
        </w:rPr>
        <w:t>an increasing amount of</w:t>
      </w:r>
      <w:r w:rsidR="009A4A24" w:rsidRPr="006B5318">
        <w:rPr>
          <w:rFonts w:ascii="Garamond" w:hAnsi="Garamond"/>
        </w:rPr>
        <w:t xml:space="preserve"> time </w:t>
      </w:r>
      <w:r w:rsidR="002D334D" w:rsidRPr="006B5318">
        <w:rPr>
          <w:rFonts w:ascii="Garamond" w:hAnsi="Garamond"/>
        </w:rPr>
        <w:t>at the palace</w:t>
      </w:r>
      <w:r w:rsidR="00DC1D04" w:rsidRPr="006B5318">
        <w:rPr>
          <w:rFonts w:ascii="Garamond" w:hAnsi="Garamond"/>
        </w:rPr>
        <w:t>.</w:t>
      </w:r>
      <w:r w:rsidR="004819F5" w:rsidRPr="006B5318">
        <w:rPr>
          <w:rFonts w:ascii="Garamond" w:hAnsi="Garamond"/>
        </w:rPr>
        <w:t xml:space="preserve"> </w:t>
      </w:r>
      <w:r w:rsidR="00DC1D04" w:rsidRPr="006B5318">
        <w:rPr>
          <w:rFonts w:ascii="Garamond" w:hAnsi="Garamond"/>
        </w:rPr>
        <w:t>I</w:t>
      </w:r>
      <w:r w:rsidR="004819F5" w:rsidRPr="006B5318">
        <w:rPr>
          <w:rFonts w:ascii="Garamond" w:hAnsi="Garamond"/>
        </w:rPr>
        <w:t xml:space="preserve">ndeed, </w:t>
      </w:r>
      <w:r w:rsidR="00B44AD0" w:rsidRPr="006B5318">
        <w:rPr>
          <w:rFonts w:ascii="Garamond" w:hAnsi="Garamond"/>
        </w:rPr>
        <w:t>Margaret</w:t>
      </w:r>
      <w:r w:rsidR="00D62D2C" w:rsidRPr="006B5318">
        <w:rPr>
          <w:rFonts w:ascii="Garamond" w:hAnsi="Garamond"/>
        </w:rPr>
        <w:t xml:space="preserve"> is known to have</w:t>
      </w:r>
      <w:r w:rsidR="00B44AD0" w:rsidRPr="006B5318">
        <w:rPr>
          <w:rFonts w:ascii="Garamond" w:hAnsi="Garamond"/>
        </w:rPr>
        <w:t xml:space="preserve"> hosted the royal court at Greenwich at Christmas 1452 and again in 1455 following the King’s recovery</w:t>
      </w:r>
      <w:r w:rsidR="00D62D2C" w:rsidRPr="006B5318">
        <w:rPr>
          <w:rFonts w:ascii="Garamond" w:hAnsi="Garamond"/>
        </w:rPr>
        <w:t>.</w:t>
      </w:r>
      <w:r w:rsidR="00BD7702" w:rsidRPr="006B5318">
        <w:rPr>
          <w:rStyle w:val="FootnoteReference"/>
          <w:rFonts w:ascii="Garamond" w:hAnsi="Garamond"/>
        </w:rPr>
        <w:footnoteReference w:id="60"/>
      </w:r>
      <w:r w:rsidR="00D62D2C" w:rsidRPr="006B5318">
        <w:rPr>
          <w:rFonts w:ascii="Garamond" w:hAnsi="Garamond"/>
        </w:rPr>
        <w:t xml:space="preserve"> </w:t>
      </w:r>
      <w:r w:rsidR="007B0CE0" w:rsidRPr="006B5318">
        <w:rPr>
          <w:rFonts w:ascii="Garamond" w:hAnsi="Garamond"/>
        </w:rPr>
        <w:t>Margaret’s hosting of the royal court</w:t>
      </w:r>
      <w:r w:rsidR="00D62D2C" w:rsidRPr="006B5318">
        <w:rPr>
          <w:rFonts w:ascii="Garamond" w:hAnsi="Garamond"/>
        </w:rPr>
        <w:t xml:space="preserve"> was</w:t>
      </w:r>
      <w:r w:rsidR="00AE5E92" w:rsidRPr="006B5318">
        <w:rPr>
          <w:rFonts w:ascii="Garamond" w:hAnsi="Garamond"/>
        </w:rPr>
        <w:t xml:space="preserve">, </w:t>
      </w:r>
      <w:r w:rsidR="00D62D2C" w:rsidRPr="006B5318">
        <w:rPr>
          <w:rFonts w:ascii="Garamond" w:hAnsi="Garamond"/>
        </w:rPr>
        <w:t>as</w:t>
      </w:r>
      <w:r w:rsidR="00AE5E92" w:rsidRPr="006B5318">
        <w:rPr>
          <w:rFonts w:ascii="Garamond" w:hAnsi="Garamond"/>
        </w:rPr>
        <w:t xml:space="preserve"> Laynesmith argues, </w:t>
      </w:r>
      <w:r w:rsidR="00B51AF7" w:rsidRPr="006B5318">
        <w:rPr>
          <w:rFonts w:ascii="Garamond" w:hAnsi="Garamond"/>
        </w:rPr>
        <w:t xml:space="preserve">a move </w:t>
      </w:r>
      <w:r w:rsidR="00C54078" w:rsidRPr="006B5318">
        <w:rPr>
          <w:rFonts w:ascii="Garamond" w:hAnsi="Garamond"/>
        </w:rPr>
        <w:t xml:space="preserve">that </w:t>
      </w:r>
      <w:r w:rsidR="00AE5E92" w:rsidRPr="006B5318">
        <w:rPr>
          <w:rFonts w:ascii="Garamond" w:hAnsi="Garamond"/>
        </w:rPr>
        <w:t>was not emulated by her successors to the same degree.</w:t>
      </w:r>
      <w:r w:rsidR="00BD7702" w:rsidRPr="006B5318">
        <w:rPr>
          <w:rStyle w:val="FootnoteReference"/>
          <w:rFonts w:ascii="Garamond" w:hAnsi="Garamond"/>
        </w:rPr>
        <w:footnoteReference w:id="61"/>
      </w:r>
      <w:r w:rsidR="00B44AD0" w:rsidRPr="006B5318">
        <w:rPr>
          <w:rFonts w:ascii="Garamond" w:hAnsi="Garamond"/>
        </w:rPr>
        <w:t xml:space="preserve"> </w:t>
      </w:r>
      <w:r w:rsidR="009A4A24" w:rsidRPr="006B5318">
        <w:rPr>
          <w:rFonts w:ascii="Garamond" w:hAnsi="Garamond"/>
        </w:rPr>
        <w:t>Set a</w:t>
      </w:r>
      <w:r w:rsidRPr="006B5318">
        <w:rPr>
          <w:rFonts w:ascii="Garamond" w:hAnsi="Garamond"/>
        </w:rPr>
        <w:t xml:space="preserve">gainst this context, the commission of a </w:t>
      </w:r>
      <w:r w:rsidR="009A4A24" w:rsidRPr="006B5318">
        <w:rPr>
          <w:rFonts w:ascii="Garamond" w:hAnsi="Garamond"/>
        </w:rPr>
        <w:t xml:space="preserve">new </w:t>
      </w:r>
      <w:r w:rsidRPr="006B5318">
        <w:rPr>
          <w:rFonts w:ascii="Garamond" w:hAnsi="Garamond"/>
        </w:rPr>
        <w:t>closet with a window celebrating human salvation through the holy family can be read as an astute piece of political propaganda</w:t>
      </w:r>
      <w:r w:rsidR="009A4A24" w:rsidRPr="006B5318">
        <w:rPr>
          <w:rFonts w:ascii="Garamond" w:hAnsi="Garamond"/>
        </w:rPr>
        <w:t xml:space="preserve">, </w:t>
      </w:r>
      <w:r w:rsidR="009C1A48" w:rsidRPr="006B5318">
        <w:rPr>
          <w:rFonts w:ascii="Garamond" w:hAnsi="Garamond"/>
        </w:rPr>
        <w:t xml:space="preserve">which celebrated </w:t>
      </w:r>
      <w:r w:rsidR="009A4A24" w:rsidRPr="006B5318">
        <w:rPr>
          <w:rFonts w:ascii="Garamond" w:hAnsi="Garamond"/>
        </w:rPr>
        <w:t>the couple’s newfound status as parents</w:t>
      </w:r>
      <w:r w:rsidR="0023475C" w:rsidRPr="006B5318">
        <w:rPr>
          <w:rFonts w:ascii="Garamond" w:hAnsi="Garamond"/>
        </w:rPr>
        <w:t xml:space="preserve">. The inclusion of Mary and Joseph </w:t>
      </w:r>
      <w:r w:rsidR="00637D23" w:rsidRPr="006B5318">
        <w:rPr>
          <w:rFonts w:ascii="Garamond" w:hAnsi="Garamond"/>
        </w:rPr>
        <w:t>alongside</w:t>
      </w:r>
      <w:r w:rsidR="0023475C" w:rsidRPr="006B5318">
        <w:rPr>
          <w:rFonts w:ascii="Garamond" w:hAnsi="Garamond"/>
        </w:rPr>
        <w:t xml:space="preserve"> Margaret and Henry’s arms </w:t>
      </w:r>
      <w:r w:rsidR="00AE5E92" w:rsidRPr="006B5318">
        <w:rPr>
          <w:rFonts w:ascii="Garamond" w:hAnsi="Garamond"/>
        </w:rPr>
        <w:t xml:space="preserve">forged a </w:t>
      </w:r>
      <w:r w:rsidR="007B0CE0" w:rsidRPr="006B5318">
        <w:rPr>
          <w:rFonts w:ascii="Garamond" w:hAnsi="Garamond"/>
        </w:rPr>
        <w:t xml:space="preserve">powerful </w:t>
      </w:r>
      <w:r w:rsidR="00AE5E92" w:rsidRPr="006B5318">
        <w:rPr>
          <w:rFonts w:ascii="Garamond" w:hAnsi="Garamond"/>
        </w:rPr>
        <w:t>visual connection between</w:t>
      </w:r>
      <w:r w:rsidR="009A4A24" w:rsidRPr="006B5318">
        <w:rPr>
          <w:rFonts w:ascii="Garamond" w:hAnsi="Garamond"/>
        </w:rPr>
        <w:t xml:space="preserve"> </w:t>
      </w:r>
      <w:r w:rsidR="00AE5E92" w:rsidRPr="006B5318">
        <w:rPr>
          <w:rFonts w:ascii="Garamond" w:hAnsi="Garamond"/>
        </w:rPr>
        <w:t>royal</w:t>
      </w:r>
      <w:r w:rsidR="009A4A24" w:rsidRPr="006B5318">
        <w:rPr>
          <w:rFonts w:ascii="Garamond" w:hAnsi="Garamond"/>
        </w:rPr>
        <w:t xml:space="preserve"> and heavenly parents. T</w:t>
      </w:r>
      <w:r w:rsidR="0065204F" w:rsidRPr="006B5318">
        <w:rPr>
          <w:rFonts w:ascii="Garamond" w:hAnsi="Garamond"/>
        </w:rPr>
        <w:t xml:space="preserve">he marguerites and hawthorn buds </w:t>
      </w:r>
      <w:r w:rsidR="00637D23" w:rsidRPr="006B5318">
        <w:rPr>
          <w:rFonts w:ascii="Garamond" w:hAnsi="Garamond"/>
        </w:rPr>
        <w:t>dominating the</w:t>
      </w:r>
      <w:r w:rsidR="009A4A24" w:rsidRPr="006B5318">
        <w:rPr>
          <w:rFonts w:ascii="Garamond" w:hAnsi="Garamond"/>
        </w:rPr>
        <w:t xml:space="preserve"> scheme of the room’s other window</w:t>
      </w:r>
      <w:r w:rsidR="00AE5E92" w:rsidRPr="006B5318">
        <w:rPr>
          <w:rFonts w:ascii="Garamond" w:hAnsi="Garamond"/>
        </w:rPr>
        <w:t xml:space="preserve"> appear to </w:t>
      </w:r>
      <w:r w:rsidR="00F0017C" w:rsidRPr="006B5318">
        <w:rPr>
          <w:rFonts w:ascii="Garamond" w:hAnsi="Garamond"/>
        </w:rPr>
        <w:t xml:space="preserve">have also </w:t>
      </w:r>
      <w:r w:rsidR="00943650" w:rsidRPr="006B5318">
        <w:rPr>
          <w:rFonts w:ascii="Garamond" w:hAnsi="Garamond"/>
        </w:rPr>
        <w:t>reinforce</w:t>
      </w:r>
      <w:r w:rsidR="00F0017C" w:rsidRPr="006B5318">
        <w:rPr>
          <w:rFonts w:ascii="Garamond" w:hAnsi="Garamond"/>
        </w:rPr>
        <w:t>d</w:t>
      </w:r>
      <w:r w:rsidR="00AE5E92" w:rsidRPr="006B5318">
        <w:rPr>
          <w:rFonts w:ascii="Garamond" w:hAnsi="Garamond"/>
        </w:rPr>
        <w:t xml:space="preserve"> </w:t>
      </w:r>
      <w:r w:rsidR="00943650" w:rsidRPr="006B5318">
        <w:rPr>
          <w:rFonts w:ascii="Garamond" w:hAnsi="Garamond"/>
        </w:rPr>
        <w:t>a wider message of the</w:t>
      </w:r>
      <w:r w:rsidR="00AE5E92" w:rsidRPr="006B5318">
        <w:rPr>
          <w:rFonts w:ascii="Garamond" w:hAnsi="Garamond"/>
        </w:rPr>
        <w:t xml:space="preserve"> couple’s unity and fertility</w:t>
      </w:r>
      <w:r w:rsidR="009A4A24" w:rsidRPr="006B5318">
        <w:rPr>
          <w:rFonts w:ascii="Garamond" w:hAnsi="Garamond"/>
        </w:rPr>
        <w:t xml:space="preserve">. </w:t>
      </w:r>
      <w:r w:rsidR="00F0017C" w:rsidRPr="006B5318">
        <w:rPr>
          <w:rFonts w:ascii="Garamond" w:hAnsi="Garamond"/>
        </w:rPr>
        <w:t>Wh</w:t>
      </w:r>
      <w:r w:rsidR="00DC1D04" w:rsidRPr="006B5318">
        <w:rPr>
          <w:rFonts w:ascii="Garamond" w:hAnsi="Garamond"/>
        </w:rPr>
        <w:t>ile</w:t>
      </w:r>
      <w:r w:rsidR="00F0017C" w:rsidRPr="006B5318">
        <w:rPr>
          <w:rFonts w:ascii="Garamond" w:hAnsi="Garamond"/>
        </w:rPr>
        <w:t xml:space="preserve"> gazing</w:t>
      </w:r>
      <w:r w:rsidRPr="006B5318">
        <w:rPr>
          <w:rFonts w:ascii="Garamond" w:hAnsi="Garamond"/>
        </w:rPr>
        <w:t xml:space="preserve"> upon th</w:t>
      </w:r>
      <w:r w:rsidR="009A4A24" w:rsidRPr="006B5318">
        <w:rPr>
          <w:rFonts w:ascii="Garamond" w:hAnsi="Garamond"/>
        </w:rPr>
        <w:t>ese image</w:t>
      </w:r>
      <w:r w:rsidR="00E77102" w:rsidRPr="006B5318">
        <w:rPr>
          <w:rFonts w:ascii="Garamond" w:hAnsi="Garamond"/>
        </w:rPr>
        <w:t>s during his devotions at the palace</w:t>
      </w:r>
      <w:r w:rsidR="001A6B5B" w:rsidRPr="006B5318">
        <w:rPr>
          <w:rFonts w:ascii="Garamond" w:hAnsi="Garamond"/>
        </w:rPr>
        <w:t>, the king</w:t>
      </w:r>
      <w:r w:rsidRPr="006B5318">
        <w:rPr>
          <w:rFonts w:ascii="Garamond" w:hAnsi="Garamond"/>
        </w:rPr>
        <w:t xml:space="preserve"> would have</w:t>
      </w:r>
      <w:r w:rsidR="001435F3" w:rsidRPr="006B5318">
        <w:rPr>
          <w:rFonts w:ascii="Garamond" w:hAnsi="Garamond"/>
        </w:rPr>
        <w:t xml:space="preserve"> accordingly</w:t>
      </w:r>
      <w:r w:rsidRPr="006B5318">
        <w:rPr>
          <w:rFonts w:ascii="Garamond" w:hAnsi="Garamond"/>
        </w:rPr>
        <w:t xml:space="preserve"> been reminded of the centrality of his wife and infant son to his performance of the office of kingship. </w:t>
      </w:r>
    </w:p>
    <w:p w14:paraId="1398AECA" w14:textId="2DD5AE0B" w:rsidR="005E3F53" w:rsidRPr="006B5318" w:rsidRDefault="00D357E4" w:rsidP="00330ECB">
      <w:pPr>
        <w:tabs>
          <w:tab w:val="left" w:pos="4253"/>
        </w:tabs>
        <w:spacing w:line="276" w:lineRule="auto"/>
        <w:ind w:firstLine="567"/>
        <w:jc w:val="both"/>
        <w:rPr>
          <w:rFonts w:ascii="Garamond" w:hAnsi="Garamond"/>
        </w:rPr>
      </w:pPr>
      <w:r w:rsidRPr="006B5318">
        <w:rPr>
          <w:rFonts w:ascii="Garamond" w:hAnsi="Garamond"/>
        </w:rPr>
        <w:t>The chapel appears to have remained structurally much the same as it was during Duke Humphrey’s ownership of the house</w:t>
      </w:r>
      <w:r w:rsidR="00646B9A" w:rsidRPr="006B5318">
        <w:rPr>
          <w:rFonts w:ascii="Garamond" w:hAnsi="Garamond"/>
        </w:rPr>
        <w:t xml:space="preserve">, </w:t>
      </w:r>
      <w:r w:rsidR="007B0CE0" w:rsidRPr="006B5318">
        <w:rPr>
          <w:rFonts w:ascii="Garamond" w:hAnsi="Garamond"/>
        </w:rPr>
        <w:t>Margaret’s main</w:t>
      </w:r>
      <w:r w:rsidR="00FA1B1E" w:rsidRPr="006B5318">
        <w:rPr>
          <w:rFonts w:ascii="Garamond" w:hAnsi="Garamond"/>
        </w:rPr>
        <w:t xml:space="preserve"> works being</w:t>
      </w:r>
      <w:r w:rsidR="007B0CE0" w:rsidRPr="006B5318">
        <w:rPr>
          <w:rFonts w:ascii="Garamond" w:hAnsi="Garamond"/>
        </w:rPr>
        <w:t xml:space="preserve"> </w:t>
      </w:r>
      <w:r w:rsidR="00646B9A" w:rsidRPr="006B5318">
        <w:rPr>
          <w:rFonts w:ascii="Garamond" w:hAnsi="Garamond"/>
        </w:rPr>
        <w:t>repairs</w:t>
      </w:r>
      <w:r w:rsidR="007B0CE0" w:rsidRPr="006B5318">
        <w:rPr>
          <w:rFonts w:ascii="Garamond" w:hAnsi="Garamond"/>
        </w:rPr>
        <w:t xml:space="preserve"> </w:t>
      </w:r>
      <w:r w:rsidR="00646B9A" w:rsidRPr="006B5318">
        <w:rPr>
          <w:rFonts w:ascii="Garamond" w:hAnsi="Garamond"/>
        </w:rPr>
        <w:t xml:space="preserve">to the stained glass and </w:t>
      </w:r>
      <w:r w:rsidR="00B11074" w:rsidRPr="006B5318">
        <w:rPr>
          <w:rFonts w:ascii="Garamond" w:hAnsi="Garamond"/>
        </w:rPr>
        <w:t>the creation of</w:t>
      </w:r>
      <w:r w:rsidR="00646B9A" w:rsidRPr="006B5318">
        <w:rPr>
          <w:rFonts w:ascii="Garamond" w:hAnsi="Garamond"/>
        </w:rPr>
        <w:t xml:space="preserve"> a</w:t>
      </w:r>
      <w:r w:rsidR="00B11074" w:rsidRPr="006B5318">
        <w:rPr>
          <w:rFonts w:ascii="Garamond" w:hAnsi="Garamond"/>
        </w:rPr>
        <w:t xml:space="preserve"> new</w:t>
      </w:r>
      <w:r w:rsidR="00646B9A" w:rsidRPr="006B5318">
        <w:rPr>
          <w:rFonts w:ascii="Garamond" w:hAnsi="Garamond"/>
        </w:rPr>
        <w:t xml:space="preserve"> door between the chapel and the new</w:t>
      </w:r>
      <w:r w:rsidR="002E4D5F" w:rsidRPr="006B5318">
        <w:rPr>
          <w:rFonts w:ascii="Garamond" w:hAnsi="Garamond"/>
        </w:rPr>
        <w:t>ly built</w:t>
      </w:r>
      <w:r w:rsidR="00646B9A" w:rsidRPr="006B5318">
        <w:rPr>
          <w:rFonts w:ascii="Garamond" w:hAnsi="Garamond"/>
        </w:rPr>
        <w:t xml:space="preserve"> vestry. </w:t>
      </w:r>
      <w:r w:rsidR="00071388" w:rsidRPr="006B5318">
        <w:rPr>
          <w:rFonts w:ascii="Garamond" w:hAnsi="Garamond"/>
        </w:rPr>
        <w:t xml:space="preserve">When </w:t>
      </w:r>
      <w:r w:rsidR="00646B9A" w:rsidRPr="006B5318">
        <w:rPr>
          <w:rFonts w:ascii="Garamond" w:hAnsi="Garamond"/>
        </w:rPr>
        <w:t>replacing the stained-glass</w:t>
      </w:r>
      <w:r w:rsidRPr="006B5318">
        <w:rPr>
          <w:rFonts w:ascii="Garamond" w:hAnsi="Garamond"/>
        </w:rPr>
        <w:t xml:space="preserve"> in the gable window above the altar</w:t>
      </w:r>
      <w:r w:rsidR="00071388" w:rsidRPr="006B5318">
        <w:rPr>
          <w:rFonts w:ascii="Garamond" w:hAnsi="Garamond"/>
        </w:rPr>
        <w:t xml:space="preserve">, Margaret chose to retain </w:t>
      </w:r>
      <w:r w:rsidR="00BD7702" w:rsidRPr="006B5318">
        <w:rPr>
          <w:rFonts w:ascii="Garamond" w:hAnsi="Garamond"/>
        </w:rPr>
        <w:t xml:space="preserve">the </w:t>
      </w:r>
      <w:r w:rsidR="00071388" w:rsidRPr="006B5318">
        <w:rPr>
          <w:rFonts w:ascii="Garamond" w:hAnsi="Garamond"/>
        </w:rPr>
        <w:t>Duke of Gloucester’s arms</w:t>
      </w:r>
      <w:r w:rsidRPr="006B5318">
        <w:rPr>
          <w:rFonts w:ascii="Garamond" w:hAnsi="Garamond"/>
        </w:rPr>
        <w:t xml:space="preserve">. This was a politically savvy move, </w:t>
      </w:r>
      <w:r w:rsidR="0059018F" w:rsidRPr="006B5318">
        <w:rPr>
          <w:rFonts w:ascii="Garamond" w:hAnsi="Garamond"/>
        </w:rPr>
        <w:t xml:space="preserve">particularly </w:t>
      </w:r>
      <w:r w:rsidRPr="006B5318">
        <w:rPr>
          <w:rFonts w:ascii="Garamond" w:hAnsi="Garamond"/>
        </w:rPr>
        <w:t>as the queen had been implicated in Humphrey’s downfall and murder</w:t>
      </w:r>
      <w:r w:rsidR="00647EFC">
        <w:rPr>
          <w:rFonts w:ascii="Garamond" w:hAnsi="Garamond"/>
        </w:rPr>
        <w:t>. T</w:t>
      </w:r>
      <w:r w:rsidRPr="006B5318">
        <w:rPr>
          <w:rFonts w:ascii="Garamond" w:hAnsi="Garamond"/>
        </w:rPr>
        <w:t xml:space="preserve">he maintenance of </w:t>
      </w:r>
      <w:r w:rsidR="00647EFC">
        <w:rPr>
          <w:rFonts w:ascii="Garamond" w:hAnsi="Garamond"/>
        </w:rPr>
        <w:t xml:space="preserve">the </w:t>
      </w:r>
      <w:r w:rsidR="00E81353">
        <w:rPr>
          <w:rFonts w:ascii="Garamond" w:hAnsi="Garamond"/>
        </w:rPr>
        <w:t>duke’s</w:t>
      </w:r>
      <w:r w:rsidRPr="006B5318">
        <w:rPr>
          <w:rFonts w:ascii="Garamond" w:hAnsi="Garamond"/>
        </w:rPr>
        <w:t xml:space="preserve"> arms</w:t>
      </w:r>
      <w:r w:rsidR="00BD7702" w:rsidRPr="006B5318">
        <w:rPr>
          <w:rFonts w:ascii="Garamond" w:hAnsi="Garamond"/>
        </w:rPr>
        <w:t xml:space="preserve"> thus</w:t>
      </w:r>
      <w:r w:rsidRPr="006B5318">
        <w:rPr>
          <w:rFonts w:ascii="Garamond" w:hAnsi="Garamond"/>
        </w:rPr>
        <w:t xml:space="preserve"> acknowledged and respected his memory.</w:t>
      </w:r>
      <w:r w:rsidR="005E3F53" w:rsidRPr="006B5318">
        <w:rPr>
          <w:rFonts w:ascii="Garamond" w:hAnsi="Garamond"/>
        </w:rPr>
        <w:t xml:space="preserve"> </w:t>
      </w:r>
    </w:p>
    <w:p w14:paraId="0D42A385" w14:textId="141CE43E" w:rsidR="00AC64E2" w:rsidRPr="006B5318" w:rsidRDefault="00D357E4" w:rsidP="00330ECB">
      <w:pPr>
        <w:tabs>
          <w:tab w:val="left" w:pos="4253"/>
        </w:tabs>
        <w:spacing w:line="276" w:lineRule="auto"/>
        <w:ind w:firstLine="567"/>
        <w:jc w:val="both"/>
        <w:rPr>
          <w:rFonts w:ascii="Garamond" w:hAnsi="Garamond"/>
        </w:rPr>
      </w:pPr>
      <w:r w:rsidRPr="006B5318">
        <w:rPr>
          <w:rFonts w:ascii="Garamond" w:hAnsi="Garamond"/>
        </w:rPr>
        <w:t>Further works carried out under Margaret’s ownership of the property included the</w:t>
      </w:r>
      <w:r w:rsidR="0059018F" w:rsidRPr="006B5318">
        <w:rPr>
          <w:rFonts w:ascii="Garamond" w:hAnsi="Garamond"/>
        </w:rPr>
        <w:t xml:space="preserve"> erection of a counting house, along with the</w:t>
      </w:r>
      <w:r w:rsidRPr="006B5318">
        <w:rPr>
          <w:rFonts w:ascii="Garamond" w:hAnsi="Garamond"/>
        </w:rPr>
        <w:t xml:space="preserve"> construction of a ‘stewhouse’, which was accessible via three doors. Within</w:t>
      </w:r>
      <w:r w:rsidR="00FB456E" w:rsidRPr="006B5318">
        <w:rPr>
          <w:rFonts w:ascii="Garamond" w:hAnsi="Garamond"/>
        </w:rPr>
        <w:t xml:space="preserve"> the stewhouse</w:t>
      </w:r>
      <w:r w:rsidRPr="006B5318">
        <w:rPr>
          <w:rFonts w:ascii="Garamond" w:hAnsi="Garamond"/>
        </w:rPr>
        <w:t xml:space="preserve"> was a bath</w:t>
      </w:r>
      <w:r w:rsidR="00727A79" w:rsidRPr="006B5318">
        <w:rPr>
          <w:rFonts w:ascii="Garamond" w:hAnsi="Garamond"/>
        </w:rPr>
        <w:t xml:space="preserve">, referred to as a </w:t>
      </w:r>
      <w:r w:rsidRPr="006B5318">
        <w:rPr>
          <w:rFonts w:ascii="Garamond" w:hAnsi="Garamond"/>
        </w:rPr>
        <w:t>‘bathyngfat’</w:t>
      </w:r>
      <w:r w:rsidR="00727A79" w:rsidRPr="006B5318">
        <w:rPr>
          <w:rFonts w:ascii="Garamond" w:hAnsi="Garamond"/>
        </w:rPr>
        <w:t>, which was</w:t>
      </w:r>
      <w:r w:rsidRPr="006B5318">
        <w:rPr>
          <w:rFonts w:ascii="Garamond" w:hAnsi="Garamond"/>
        </w:rPr>
        <w:t xml:space="preserve"> </w:t>
      </w:r>
      <w:r w:rsidR="00AE5E92" w:rsidRPr="006B5318">
        <w:rPr>
          <w:rFonts w:ascii="Garamond" w:hAnsi="Garamond"/>
        </w:rPr>
        <w:t>panelled with</w:t>
      </w:r>
      <w:r w:rsidRPr="006B5318">
        <w:rPr>
          <w:rFonts w:ascii="Garamond" w:hAnsi="Garamond"/>
        </w:rPr>
        <w:t xml:space="preserve"> wainscot. This is most likely the room identified as a possible bathroom in the 1970-1 excavations, which was located on the northern side of the complex, </w:t>
      </w:r>
      <w:r w:rsidR="002851E8" w:rsidRPr="006B5318">
        <w:rPr>
          <w:rFonts w:ascii="Garamond" w:hAnsi="Garamond"/>
        </w:rPr>
        <w:t>facing</w:t>
      </w:r>
      <w:r w:rsidRPr="006B5318">
        <w:rPr>
          <w:rFonts w:ascii="Garamond" w:hAnsi="Garamond"/>
        </w:rPr>
        <w:t xml:space="preserve"> the river</w:t>
      </w:r>
      <w:r w:rsidR="00144B4F" w:rsidRPr="006B5318">
        <w:rPr>
          <w:rFonts w:ascii="Garamond" w:hAnsi="Garamond"/>
        </w:rPr>
        <w:t>. The room</w:t>
      </w:r>
      <w:r w:rsidRPr="006B5318">
        <w:rPr>
          <w:rFonts w:ascii="Garamond" w:hAnsi="Garamond"/>
        </w:rPr>
        <w:t xml:space="preserve"> contained a sloping floor for water drainage</w:t>
      </w:r>
      <w:r w:rsidR="00144B4F" w:rsidRPr="006B5318">
        <w:rPr>
          <w:rFonts w:ascii="Garamond" w:hAnsi="Garamond"/>
        </w:rPr>
        <w:t>, which</w:t>
      </w:r>
      <w:r w:rsidRPr="006B5318">
        <w:rPr>
          <w:rFonts w:ascii="Garamond" w:hAnsi="Garamond"/>
        </w:rPr>
        <w:t xml:space="preserve"> was paved with red earthenware tiles</w:t>
      </w:r>
      <w:r w:rsidR="00727A79" w:rsidRPr="006B5318">
        <w:rPr>
          <w:rFonts w:ascii="Garamond" w:hAnsi="Garamond"/>
        </w:rPr>
        <w:t xml:space="preserve"> </w:t>
      </w:r>
      <w:r w:rsidR="00F541B9" w:rsidRPr="006B5318">
        <w:rPr>
          <w:rFonts w:ascii="Garamond" w:hAnsi="Garamond"/>
        </w:rPr>
        <w:t xml:space="preserve">that had been </w:t>
      </w:r>
      <w:r w:rsidRPr="006B5318">
        <w:rPr>
          <w:rFonts w:ascii="Garamond" w:hAnsi="Garamond"/>
        </w:rPr>
        <w:t>glazed olive green.</w:t>
      </w:r>
      <w:r w:rsidRPr="006B5318">
        <w:rPr>
          <w:rStyle w:val="FootnoteReference"/>
          <w:rFonts w:ascii="Garamond" w:hAnsi="Garamond"/>
        </w:rPr>
        <w:footnoteReference w:id="62"/>
      </w:r>
      <w:r w:rsidRPr="006B5318">
        <w:rPr>
          <w:rFonts w:ascii="Garamond" w:hAnsi="Garamond"/>
        </w:rPr>
        <w:t xml:space="preserve"> While </w:t>
      </w:r>
      <w:r w:rsidR="00E52C6C" w:rsidRPr="006B5318">
        <w:rPr>
          <w:rFonts w:ascii="Garamond" w:hAnsi="Garamond"/>
        </w:rPr>
        <w:t xml:space="preserve">in </w:t>
      </w:r>
      <w:r w:rsidRPr="006B5318">
        <w:rPr>
          <w:rFonts w:ascii="Garamond" w:hAnsi="Garamond"/>
        </w:rPr>
        <w:t>late medieval England bathhouses in public contexts were</w:t>
      </w:r>
      <w:r w:rsidR="00E52C6C" w:rsidRPr="006B5318">
        <w:rPr>
          <w:rFonts w:ascii="Garamond" w:hAnsi="Garamond"/>
        </w:rPr>
        <w:t xml:space="preserve"> commonly</w:t>
      </w:r>
      <w:r w:rsidRPr="006B5318">
        <w:rPr>
          <w:rFonts w:ascii="Garamond" w:hAnsi="Garamond"/>
        </w:rPr>
        <w:t xml:space="preserve"> associated with licentiousness and prostitution, in France bath chambers were </w:t>
      </w:r>
      <w:r w:rsidR="00727A79" w:rsidRPr="006B5318">
        <w:rPr>
          <w:rFonts w:ascii="Garamond" w:hAnsi="Garamond"/>
        </w:rPr>
        <w:t xml:space="preserve">a common feature of </w:t>
      </w:r>
      <w:r w:rsidRPr="006B5318">
        <w:rPr>
          <w:rFonts w:ascii="Garamond" w:hAnsi="Garamond"/>
        </w:rPr>
        <w:t>royal palaces</w:t>
      </w:r>
      <w:r w:rsidR="00E862A7">
        <w:rPr>
          <w:rFonts w:ascii="Garamond" w:hAnsi="Garamond"/>
        </w:rPr>
        <w:t>. Indeed,</w:t>
      </w:r>
      <w:r w:rsidRPr="006B5318">
        <w:rPr>
          <w:rFonts w:ascii="Garamond" w:hAnsi="Garamond"/>
        </w:rPr>
        <w:t xml:space="preserve"> Margaret’s French-born predecessors</w:t>
      </w:r>
      <w:r w:rsidR="00E862A7">
        <w:rPr>
          <w:rFonts w:ascii="Garamond" w:hAnsi="Garamond"/>
        </w:rPr>
        <w:t>,</w:t>
      </w:r>
      <w:r w:rsidRPr="006B5318">
        <w:rPr>
          <w:rFonts w:ascii="Garamond" w:hAnsi="Garamond"/>
        </w:rPr>
        <w:t xml:space="preserve"> Isabella of France and Philippa of Hainault</w:t>
      </w:r>
      <w:r w:rsidR="00E862A7">
        <w:rPr>
          <w:rFonts w:ascii="Garamond" w:hAnsi="Garamond"/>
        </w:rPr>
        <w:t>,</w:t>
      </w:r>
      <w:r w:rsidRPr="006B5318">
        <w:rPr>
          <w:rFonts w:ascii="Garamond" w:hAnsi="Garamond"/>
        </w:rPr>
        <w:t xml:space="preserve"> both ha</w:t>
      </w:r>
      <w:r w:rsidR="00E862A7">
        <w:rPr>
          <w:rFonts w:ascii="Garamond" w:hAnsi="Garamond"/>
        </w:rPr>
        <w:t>d</w:t>
      </w:r>
      <w:r w:rsidR="00F477E9" w:rsidRPr="006B5318">
        <w:rPr>
          <w:rFonts w:ascii="Garamond" w:hAnsi="Garamond"/>
        </w:rPr>
        <w:t xml:space="preserve"> </w:t>
      </w:r>
      <w:r w:rsidRPr="006B5318">
        <w:rPr>
          <w:rFonts w:ascii="Garamond" w:hAnsi="Garamond"/>
        </w:rPr>
        <w:t>bathtubs installed in the royal residences</w:t>
      </w:r>
      <w:r w:rsidR="00727A79" w:rsidRPr="006B5318">
        <w:rPr>
          <w:rFonts w:ascii="Garamond" w:hAnsi="Garamond"/>
        </w:rPr>
        <w:t xml:space="preserve"> they shared with the king</w:t>
      </w:r>
      <w:r w:rsidRPr="006B5318">
        <w:rPr>
          <w:rFonts w:ascii="Garamond" w:hAnsi="Garamond"/>
        </w:rPr>
        <w:t>.</w:t>
      </w:r>
      <w:r w:rsidRPr="006B5318">
        <w:rPr>
          <w:rStyle w:val="FootnoteReference"/>
          <w:rFonts w:ascii="Garamond" w:hAnsi="Garamond"/>
        </w:rPr>
        <w:footnoteReference w:id="63"/>
      </w:r>
      <w:r w:rsidRPr="006B5318">
        <w:rPr>
          <w:rFonts w:ascii="Garamond" w:hAnsi="Garamond"/>
        </w:rPr>
        <w:t xml:space="preserve"> Margaret’s inclusion of</w:t>
      </w:r>
      <w:r w:rsidR="00192D2A" w:rsidRPr="006B5318">
        <w:rPr>
          <w:rFonts w:ascii="Garamond" w:hAnsi="Garamond"/>
        </w:rPr>
        <w:t xml:space="preserve"> such a</w:t>
      </w:r>
      <w:r w:rsidRPr="006B5318">
        <w:rPr>
          <w:rFonts w:ascii="Garamond" w:hAnsi="Garamond"/>
        </w:rPr>
        <w:t xml:space="preserve"> feature thus suggests an element of cultural transfer, whil</w:t>
      </w:r>
      <w:r w:rsidR="00DC1D04" w:rsidRPr="006B5318">
        <w:rPr>
          <w:rFonts w:ascii="Garamond" w:hAnsi="Garamond"/>
        </w:rPr>
        <w:t>e</w:t>
      </w:r>
      <w:r w:rsidRPr="006B5318">
        <w:rPr>
          <w:rFonts w:ascii="Garamond" w:hAnsi="Garamond"/>
        </w:rPr>
        <w:t xml:space="preserve"> also </w:t>
      </w:r>
      <w:r w:rsidR="00781F5D" w:rsidRPr="006B5318">
        <w:rPr>
          <w:rFonts w:ascii="Garamond" w:hAnsi="Garamond"/>
        </w:rPr>
        <w:t xml:space="preserve">providing </w:t>
      </w:r>
      <w:r w:rsidR="00FB456E" w:rsidRPr="006B5318">
        <w:rPr>
          <w:rFonts w:ascii="Garamond" w:hAnsi="Garamond"/>
        </w:rPr>
        <w:t xml:space="preserve">strong </w:t>
      </w:r>
      <w:r w:rsidR="00781F5D" w:rsidRPr="006B5318">
        <w:rPr>
          <w:rFonts w:ascii="Garamond" w:hAnsi="Garamond"/>
        </w:rPr>
        <w:t xml:space="preserve">evidence of her agency in </w:t>
      </w:r>
      <w:r w:rsidR="00192D2A" w:rsidRPr="006B5318">
        <w:rPr>
          <w:rFonts w:ascii="Garamond" w:hAnsi="Garamond"/>
        </w:rPr>
        <w:t xml:space="preserve">ordering the design and space of her palace. </w:t>
      </w:r>
    </w:p>
    <w:p w14:paraId="3B99A5FF" w14:textId="283FF487" w:rsidR="00434592" w:rsidRPr="006B5318" w:rsidRDefault="00434592" w:rsidP="00533303">
      <w:pPr>
        <w:tabs>
          <w:tab w:val="left" w:pos="4253"/>
        </w:tabs>
        <w:spacing w:line="276" w:lineRule="auto"/>
        <w:ind w:firstLine="567"/>
        <w:jc w:val="both"/>
        <w:rPr>
          <w:rFonts w:ascii="Garamond" w:hAnsi="Garamond"/>
        </w:rPr>
      </w:pPr>
      <w:r w:rsidRPr="006B5318">
        <w:rPr>
          <w:rFonts w:ascii="Garamond" w:hAnsi="Garamond"/>
        </w:rPr>
        <w:t xml:space="preserve">In royal residences headed by kings, chambers were not usually reserved for the use of individual servants </w:t>
      </w:r>
      <w:r w:rsidR="00BA7835" w:rsidRPr="006B5318">
        <w:rPr>
          <w:rFonts w:ascii="Garamond" w:hAnsi="Garamond"/>
        </w:rPr>
        <w:t>with</w:t>
      </w:r>
      <w:r w:rsidRPr="006B5318">
        <w:rPr>
          <w:rFonts w:ascii="Garamond" w:hAnsi="Garamond"/>
        </w:rPr>
        <w:t>in the queen’s quarters.</w:t>
      </w:r>
      <w:r w:rsidRPr="006B5318">
        <w:rPr>
          <w:rStyle w:val="FootnoteReference"/>
          <w:rFonts w:ascii="Garamond" w:hAnsi="Garamond"/>
        </w:rPr>
        <w:footnoteReference w:id="64"/>
      </w:r>
      <w:r w:rsidRPr="006B5318">
        <w:rPr>
          <w:rFonts w:ascii="Garamond" w:hAnsi="Garamond"/>
        </w:rPr>
        <w:t xml:space="preserve"> Margaret had a far larger body of servants than her predecessors, however, the numbers being closer to those of the king than to other late medieval queens of England. </w:t>
      </w:r>
      <w:r w:rsidR="00AC64E2" w:rsidRPr="006B5318">
        <w:rPr>
          <w:rFonts w:ascii="Garamond" w:hAnsi="Garamond"/>
        </w:rPr>
        <w:t>I</w:t>
      </w:r>
      <w:r w:rsidR="00E862A7">
        <w:rPr>
          <w:rFonts w:ascii="Garamond" w:hAnsi="Garamond"/>
        </w:rPr>
        <w:t>n</w:t>
      </w:r>
      <w:r w:rsidR="00AC64E2" w:rsidRPr="006B5318">
        <w:rPr>
          <w:rFonts w:ascii="Garamond" w:hAnsi="Garamond"/>
        </w:rPr>
        <w:t xml:space="preserve"> 1454, </w:t>
      </w:r>
      <w:r w:rsidR="0016777E">
        <w:rPr>
          <w:rFonts w:ascii="Garamond" w:hAnsi="Garamond"/>
        </w:rPr>
        <w:t xml:space="preserve">for example, </w:t>
      </w:r>
      <w:r w:rsidR="00AC64E2" w:rsidRPr="006B5318">
        <w:rPr>
          <w:rFonts w:ascii="Garamond" w:hAnsi="Garamond"/>
        </w:rPr>
        <w:t>she is known to have had a total of 120 servants.</w:t>
      </w:r>
      <w:r w:rsidR="00AC64E2" w:rsidRPr="006B5318">
        <w:rPr>
          <w:rStyle w:val="FootnoteReference"/>
          <w:rFonts w:ascii="Garamond" w:hAnsi="Garamond"/>
        </w:rPr>
        <w:footnoteReference w:id="65"/>
      </w:r>
      <w:r w:rsidR="00AC64E2" w:rsidRPr="006B5318">
        <w:rPr>
          <w:rFonts w:ascii="Garamond" w:hAnsi="Garamond"/>
        </w:rPr>
        <w:t xml:space="preserve"> </w:t>
      </w:r>
      <w:r w:rsidRPr="006B5318">
        <w:rPr>
          <w:rFonts w:ascii="Garamond" w:hAnsi="Garamond"/>
        </w:rPr>
        <w:t>A chamber described as belonging to ‘barbilonz’</w:t>
      </w:r>
      <w:r w:rsidR="00CD5A30" w:rsidRPr="006B5318">
        <w:rPr>
          <w:rFonts w:ascii="Garamond" w:hAnsi="Garamond"/>
        </w:rPr>
        <w:t xml:space="preserve"> at Greenwich</w:t>
      </w:r>
      <w:r w:rsidRPr="006B5318">
        <w:rPr>
          <w:rFonts w:ascii="Garamond" w:hAnsi="Garamond"/>
        </w:rPr>
        <w:t xml:space="preserve"> </w:t>
      </w:r>
      <w:r w:rsidR="00943677" w:rsidRPr="006B5318">
        <w:rPr>
          <w:rFonts w:ascii="Garamond" w:hAnsi="Garamond"/>
        </w:rPr>
        <w:t xml:space="preserve">most likely belonged to </w:t>
      </w:r>
      <w:r w:rsidRPr="006B5318">
        <w:rPr>
          <w:rFonts w:ascii="Garamond" w:hAnsi="Garamond"/>
        </w:rPr>
        <w:t xml:space="preserve">Barbelina Herbequyne, one of Margaret’s unmarried ladies-in-waiting. Margaret seems to have been particularly keen to look after </w:t>
      </w:r>
      <w:r w:rsidR="00072702" w:rsidRPr="006B5318">
        <w:rPr>
          <w:rFonts w:ascii="Garamond" w:hAnsi="Garamond"/>
        </w:rPr>
        <w:t>her</w:t>
      </w:r>
      <w:r w:rsidRPr="006B5318">
        <w:rPr>
          <w:rFonts w:ascii="Garamond" w:hAnsi="Garamond"/>
        </w:rPr>
        <w:t xml:space="preserve"> unmarried female servants, </w:t>
      </w:r>
      <w:r w:rsidR="00895F58" w:rsidRPr="006B5318">
        <w:rPr>
          <w:rFonts w:ascii="Garamond" w:hAnsi="Garamond"/>
        </w:rPr>
        <w:t xml:space="preserve">as </w:t>
      </w:r>
      <w:r w:rsidR="00B210CB" w:rsidRPr="006B5318">
        <w:rPr>
          <w:rFonts w:ascii="Garamond" w:hAnsi="Garamond"/>
        </w:rPr>
        <w:t>evidenced by her gift of</w:t>
      </w:r>
      <w:r w:rsidRPr="006B5318">
        <w:rPr>
          <w:rFonts w:ascii="Garamond" w:hAnsi="Garamond"/>
        </w:rPr>
        <w:t xml:space="preserve"> two collars as gifts to one of her unmarried damsels, Osan</w:t>
      </w:r>
      <w:r w:rsidR="0055629A" w:rsidRPr="006B5318">
        <w:rPr>
          <w:rFonts w:ascii="Garamond" w:hAnsi="Garamond"/>
        </w:rPr>
        <w:t xml:space="preserve">, one </w:t>
      </w:r>
      <w:r w:rsidR="00C90A51" w:rsidRPr="006B5318">
        <w:rPr>
          <w:rFonts w:ascii="Garamond" w:hAnsi="Garamond"/>
        </w:rPr>
        <w:t>of which was</w:t>
      </w:r>
      <w:r w:rsidR="0055629A" w:rsidRPr="006B5318">
        <w:rPr>
          <w:rFonts w:ascii="Garamond" w:hAnsi="Garamond"/>
        </w:rPr>
        <w:t xml:space="preserve"> </w:t>
      </w:r>
      <w:r w:rsidRPr="006B5318">
        <w:rPr>
          <w:rFonts w:ascii="Garamond" w:hAnsi="Garamond"/>
        </w:rPr>
        <w:t xml:space="preserve">a Lancastrian collar of </w:t>
      </w:r>
      <w:r w:rsidRPr="006B5318">
        <w:rPr>
          <w:rFonts w:ascii="Garamond" w:hAnsi="Garamond"/>
        </w:rPr>
        <w:lastRenderedPageBreak/>
        <w:t xml:space="preserve">esses, which was used to mark royal favour, </w:t>
      </w:r>
      <w:r w:rsidR="0055629A" w:rsidRPr="006B5318">
        <w:rPr>
          <w:rFonts w:ascii="Garamond" w:hAnsi="Garamond"/>
        </w:rPr>
        <w:t>and</w:t>
      </w:r>
      <w:r w:rsidRPr="006B5318">
        <w:rPr>
          <w:rFonts w:ascii="Garamond" w:hAnsi="Garamond"/>
        </w:rPr>
        <w:t xml:space="preserve"> the other</w:t>
      </w:r>
      <w:r w:rsidR="00E862A7">
        <w:rPr>
          <w:rFonts w:ascii="Garamond" w:hAnsi="Garamond"/>
        </w:rPr>
        <w:t xml:space="preserve"> of</w:t>
      </w:r>
      <w:r w:rsidR="00C90A51" w:rsidRPr="006B5318">
        <w:rPr>
          <w:rFonts w:ascii="Garamond" w:hAnsi="Garamond"/>
        </w:rPr>
        <w:t xml:space="preserve"> </w:t>
      </w:r>
      <w:r w:rsidRPr="006B5318">
        <w:rPr>
          <w:rFonts w:ascii="Garamond" w:hAnsi="Garamond"/>
        </w:rPr>
        <w:t>plain gold.</w:t>
      </w:r>
      <w:r w:rsidRPr="006B5318">
        <w:rPr>
          <w:rStyle w:val="FootnoteReference"/>
          <w:rFonts w:ascii="Garamond" w:hAnsi="Garamond"/>
        </w:rPr>
        <w:footnoteReference w:id="66"/>
      </w:r>
      <w:r w:rsidRPr="006B5318">
        <w:rPr>
          <w:rFonts w:ascii="Garamond" w:hAnsi="Garamond"/>
        </w:rPr>
        <w:t xml:space="preserve"> </w:t>
      </w:r>
      <w:r w:rsidR="001A4EBE" w:rsidRPr="006B5318">
        <w:rPr>
          <w:rFonts w:ascii="Garamond" w:hAnsi="Garamond"/>
        </w:rPr>
        <w:t>It is thus possible that other women within Margaret’s retinue also had chambers reserved for their use at Pleasaunce</w:t>
      </w:r>
      <w:r w:rsidR="00E617C3">
        <w:rPr>
          <w:rFonts w:ascii="Garamond" w:hAnsi="Garamond"/>
        </w:rPr>
        <w:t>.</w:t>
      </w:r>
      <w:r w:rsidR="00F661BB">
        <w:rPr>
          <w:rFonts w:ascii="Garamond" w:hAnsi="Garamond"/>
        </w:rPr>
        <w:t xml:space="preserve"> </w:t>
      </w:r>
      <w:r w:rsidR="00BE3D6A">
        <w:rPr>
          <w:rFonts w:ascii="Garamond" w:hAnsi="Garamond"/>
        </w:rPr>
        <w:t>The effect of the female presence at the palace was no doubt striking: b</w:t>
      </w:r>
      <w:r w:rsidR="006B3D9F" w:rsidRPr="006B5318">
        <w:rPr>
          <w:rFonts w:ascii="Garamond" w:hAnsi="Garamond"/>
        </w:rPr>
        <w:t>oth Chris Woolgar and Joanna Laynesmith have shown how the presence of the queen’s retinue of ladies</w:t>
      </w:r>
      <w:r w:rsidR="00533303" w:rsidRPr="006B5318">
        <w:rPr>
          <w:rFonts w:ascii="Garamond" w:hAnsi="Garamond"/>
        </w:rPr>
        <w:t xml:space="preserve"> </w:t>
      </w:r>
      <w:r w:rsidR="006B3D9F" w:rsidRPr="006B5318">
        <w:rPr>
          <w:rFonts w:ascii="Garamond" w:hAnsi="Garamond"/>
        </w:rPr>
        <w:t>made for a distinctive sensory environment,</w:t>
      </w:r>
      <w:r w:rsidR="00E02121" w:rsidRPr="006B5318">
        <w:rPr>
          <w:rFonts w:ascii="Garamond" w:hAnsi="Garamond"/>
        </w:rPr>
        <w:t xml:space="preserve"> while others, including Zita Rohr</w:t>
      </w:r>
      <w:r w:rsidR="00D4369C" w:rsidRPr="006B5318">
        <w:rPr>
          <w:rFonts w:ascii="Garamond" w:hAnsi="Garamond"/>
        </w:rPr>
        <w:t xml:space="preserve">, </w:t>
      </w:r>
      <w:r w:rsidR="00E02121" w:rsidRPr="006B5318">
        <w:rPr>
          <w:rFonts w:ascii="Garamond" w:hAnsi="Garamond"/>
        </w:rPr>
        <w:t>Nadine Akkerman</w:t>
      </w:r>
      <w:r w:rsidR="00D4369C" w:rsidRPr="006B5318">
        <w:rPr>
          <w:rFonts w:ascii="Garamond" w:hAnsi="Garamond"/>
        </w:rPr>
        <w:t xml:space="preserve"> and Birgit Houben</w:t>
      </w:r>
      <w:r w:rsidR="00E02121" w:rsidRPr="006B5318">
        <w:rPr>
          <w:rFonts w:ascii="Garamond" w:hAnsi="Garamond"/>
        </w:rPr>
        <w:t xml:space="preserve">, have </w:t>
      </w:r>
      <w:r w:rsidR="00E8339B" w:rsidRPr="006B5318">
        <w:rPr>
          <w:rFonts w:ascii="Garamond" w:hAnsi="Garamond"/>
        </w:rPr>
        <w:t>emphasised</w:t>
      </w:r>
      <w:r w:rsidR="00E02121" w:rsidRPr="006B5318">
        <w:rPr>
          <w:rFonts w:ascii="Garamond" w:hAnsi="Garamond"/>
        </w:rPr>
        <w:t xml:space="preserve"> the </w:t>
      </w:r>
      <w:r w:rsidR="00D4369C" w:rsidRPr="006B5318">
        <w:rPr>
          <w:rFonts w:ascii="Garamond" w:hAnsi="Garamond"/>
        </w:rPr>
        <w:t>cultural</w:t>
      </w:r>
      <w:r w:rsidR="00E02121" w:rsidRPr="006B5318">
        <w:rPr>
          <w:rFonts w:ascii="Garamond" w:hAnsi="Garamond"/>
        </w:rPr>
        <w:t xml:space="preserve"> and political significance of women’s households, and the wider impact o</w:t>
      </w:r>
      <w:r w:rsidR="00E8339B" w:rsidRPr="006B5318">
        <w:rPr>
          <w:rFonts w:ascii="Garamond" w:hAnsi="Garamond"/>
        </w:rPr>
        <w:t>f these female networks could have on</w:t>
      </w:r>
      <w:r w:rsidR="00E02121" w:rsidRPr="006B5318">
        <w:rPr>
          <w:rFonts w:ascii="Garamond" w:hAnsi="Garamond"/>
        </w:rPr>
        <w:t xml:space="preserve"> contemporary </w:t>
      </w:r>
      <w:r w:rsidR="00D4369C" w:rsidRPr="006B5318">
        <w:rPr>
          <w:rFonts w:ascii="Garamond" w:hAnsi="Garamond"/>
        </w:rPr>
        <w:t xml:space="preserve">society and </w:t>
      </w:r>
      <w:r w:rsidR="00E02121" w:rsidRPr="006B5318">
        <w:rPr>
          <w:rFonts w:ascii="Garamond" w:hAnsi="Garamond"/>
        </w:rPr>
        <w:t>culture</w:t>
      </w:r>
      <w:r w:rsidR="00533303" w:rsidRPr="006B5318">
        <w:rPr>
          <w:rFonts w:ascii="Garamond" w:hAnsi="Garamond"/>
        </w:rPr>
        <w:t>.</w:t>
      </w:r>
      <w:r w:rsidR="00533303" w:rsidRPr="006B5318">
        <w:rPr>
          <w:rStyle w:val="FootnoteReference"/>
          <w:rFonts w:ascii="Garamond" w:hAnsi="Garamond"/>
        </w:rPr>
        <w:footnoteReference w:id="67"/>
      </w:r>
      <w:r w:rsidR="006B3D9F" w:rsidRPr="006B5318">
        <w:rPr>
          <w:rFonts w:ascii="Garamond" w:hAnsi="Garamond"/>
        </w:rPr>
        <w:t xml:space="preserve"> </w:t>
      </w:r>
    </w:p>
    <w:p w14:paraId="72D3CF17" w14:textId="673572D1" w:rsidR="00D4369C" w:rsidRPr="006B5318" w:rsidRDefault="00434592" w:rsidP="00D4369C">
      <w:pPr>
        <w:tabs>
          <w:tab w:val="left" w:pos="4253"/>
        </w:tabs>
        <w:spacing w:line="276" w:lineRule="auto"/>
        <w:ind w:firstLine="567"/>
        <w:jc w:val="both"/>
        <w:rPr>
          <w:rFonts w:ascii="Garamond" w:hAnsi="Garamond"/>
        </w:rPr>
      </w:pPr>
      <w:r w:rsidRPr="006B5318">
        <w:rPr>
          <w:rFonts w:ascii="Garamond" w:hAnsi="Garamond"/>
        </w:rPr>
        <w:t>William de la Pole,</w:t>
      </w:r>
      <w:r w:rsidR="003F149B" w:rsidRPr="006B5318">
        <w:rPr>
          <w:rFonts w:ascii="Garamond" w:hAnsi="Garamond"/>
        </w:rPr>
        <w:t xml:space="preserve"> </w:t>
      </w:r>
      <w:r w:rsidRPr="006B5318">
        <w:rPr>
          <w:rFonts w:ascii="Garamond" w:hAnsi="Garamond"/>
        </w:rPr>
        <w:t>Duke of Suffolk also had his own chamber</w:t>
      </w:r>
      <w:r w:rsidR="001A4EBE" w:rsidRPr="006B5318">
        <w:rPr>
          <w:rFonts w:ascii="Garamond" w:hAnsi="Garamond"/>
        </w:rPr>
        <w:t xml:space="preserve"> at the palace</w:t>
      </w:r>
      <w:r w:rsidR="00B210CB" w:rsidRPr="006B5318">
        <w:rPr>
          <w:rFonts w:ascii="Garamond" w:hAnsi="Garamond"/>
        </w:rPr>
        <w:t xml:space="preserve"> </w:t>
      </w:r>
      <w:r w:rsidR="00D71D5F">
        <w:rPr>
          <w:rFonts w:ascii="Garamond" w:hAnsi="Garamond"/>
        </w:rPr>
        <w:t>until</w:t>
      </w:r>
      <w:r w:rsidR="00B210CB" w:rsidRPr="006B5318">
        <w:rPr>
          <w:rFonts w:ascii="Garamond" w:hAnsi="Garamond"/>
        </w:rPr>
        <w:t xml:space="preserve"> 1450</w:t>
      </w:r>
      <w:r w:rsidR="00D71D5F">
        <w:rPr>
          <w:rFonts w:ascii="Garamond" w:hAnsi="Garamond"/>
        </w:rPr>
        <w:t xml:space="preserve"> when he was murdered</w:t>
      </w:r>
      <w:r w:rsidR="00B210CB" w:rsidRPr="006B5318">
        <w:rPr>
          <w:rFonts w:ascii="Garamond" w:hAnsi="Garamond"/>
        </w:rPr>
        <w:t>.</w:t>
      </w:r>
      <w:r w:rsidRPr="006B5318">
        <w:rPr>
          <w:rFonts w:ascii="Garamond" w:hAnsi="Garamond"/>
        </w:rPr>
        <w:t xml:space="preserve"> </w:t>
      </w:r>
      <w:r w:rsidR="00B210CB" w:rsidRPr="006B5318">
        <w:rPr>
          <w:rFonts w:ascii="Garamond" w:hAnsi="Garamond"/>
        </w:rPr>
        <w:t>Laynesmith argues that Margaret’s household ‘provided a vital stage in the careers of many of Suffolk’s party’, and it is therefore unsurprising to find a chamber reserved for his use at Greenwich, even if he was not able to enjoy it for long.</w:t>
      </w:r>
      <w:r w:rsidR="00B210CB" w:rsidRPr="006B5318">
        <w:rPr>
          <w:rStyle w:val="FootnoteReference"/>
          <w:rFonts w:ascii="Garamond" w:hAnsi="Garamond"/>
        </w:rPr>
        <w:footnoteReference w:id="68"/>
      </w:r>
      <w:r w:rsidR="00B210CB" w:rsidRPr="006B5318">
        <w:rPr>
          <w:rFonts w:ascii="Garamond" w:hAnsi="Garamond"/>
        </w:rPr>
        <w:t xml:space="preserve"> </w:t>
      </w:r>
      <w:r w:rsidRPr="006B5318">
        <w:rPr>
          <w:rFonts w:ascii="Garamond" w:hAnsi="Garamond"/>
        </w:rPr>
        <w:t>Margaret’s commission of a pair of trestles for</w:t>
      </w:r>
      <w:r w:rsidR="002C00C0" w:rsidRPr="006B5318">
        <w:rPr>
          <w:rFonts w:ascii="Garamond" w:hAnsi="Garamond"/>
        </w:rPr>
        <w:t xml:space="preserve"> Suffolk’s widow</w:t>
      </w:r>
      <w:r w:rsidRPr="006B5318">
        <w:rPr>
          <w:rFonts w:ascii="Garamond" w:hAnsi="Garamond"/>
        </w:rPr>
        <w:t xml:space="preserve"> Alice and the couple’s son John raises the possibility that they also had their own chambers at the palace</w:t>
      </w:r>
      <w:r w:rsidR="00B210CB" w:rsidRPr="006B5318">
        <w:rPr>
          <w:rFonts w:ascii="Garamond" w:hAnsi="Garamond"/>
        </w:rPr>
        <w:t xml:space="preserve">. Alice was both a lady-in-waiting and a close friend to Margaret, and it seems likely that </w:t>
      </w:r>
      <w:r w:rsidR="003C5C9E" w:rsidRPr="006B5318">
        <w:rPr>
          <w:rFonts w:ascii="Garamond" w:hAnsi="Garamond"/>
        </w:rPr>
        <w:t>the duchess</w:t>
      </w:r>
      <w:r w:rsidR="00B210CB" w:rsidRPr="006B5318">
        <w:rPr>
          <w:rFonts w:ascii="Garamond" w:hAnsi="Garamond"/>
        </w:rPr>
        <w:t xml:space="preserve"> </w:t>
      </w:r>
      <w:r w:rsidR="00894CE4" w:rsidRPr="006B5318">
        <w:rPr>
          <w:rFonts w:ascii="Garamond" w:hAnsi="Garamond"/>
        </w:rPr>
        <w:t xml:space="preserve">was regularly in residence </w:t>
      </w:r>
      <w:r w:rsidR="00E8339B" w:rsidRPr="006B5318">
        <w:rPr>
          <w:rFonts w:ascii="Garamond" w:hAnsi="Garamond"/>
        </w:rPr>
        <w:t xml:space="preserve">alongside Margaret’s other attendant ladies </w:t>
      </w:r>
      <w:r w:rsidR="00894CE4" w:rsidRPr="006B5318">
        <w:rPr>
          <w:rFonts w:ascii="Garamond" w:hAnsi="Garamond"/>
        </w:rPr>
        <w:t>at</w:t>
      </w:r>
      <w:r w:rsidR="000A27CF" w:rsidRPr="006B5318">
        <w:rPr>
          <w:rFonts w:ascii="Garamond" w:hAnsi="Garamond"/>
        </w:rPr>
        <w:t xml:space="preserve"> the palace</w:t>
      </w:r>
      <w:r w:rsidR="00894CE4" w:rsidRPr="006B5318">
        <w:rPr>
          <w:rFonts w:ascii="Garamond" w:hAnsi="Garamond"/>
        </w:rPr>
        <w:t>.</w:t>
      </w:r>
      <w:r w:rsidR="000A27CF" w:rsidRPr="006B5318">
        <w:rPr>
          <w:rFonts w:ascii="Garamond" w:hAnsi="Garamond"/>
        </w:rPr>
        <w:t xml:space="preserve"> </w:t>
      </w:r>
    </w:p>
    <w:p w14:paraId="764F6059" w14:textId="77777777" w:rsidR="00BD45C9" w:rsidRPr="006B5318" w:rsidRDefault="00BD45C9" w:rsidP="00D4369C">
      <w:pPr>
        <w:tabs>
          <w:tab w:val="left" w:pos="4253"/>
        </w:tabs>
        <w:spacing w:line="276" w:lineRule="auto"/>
        <w:ind w:firstLine="567"/>
        <w:jc w:val="both"/>
        <w:rPr>
          <w:rFonts w:ascii="Garamond" w:hAnsi="Garamond"/>
        </w:rPr>
      </w:pPr>
    </w:p>
    <w:p w14:paraId="6C937AB4" w14:textId="77777777" w:rsidR="00D4369C" w:rsidRPr="006B5318" w:rsidRDefault="00D4369C" w:rsidP="00D4369C">
      <w:pPr>
        <w:tabs>
          <w:tab w:val="left" w:pos="4253"/>
        </w:tabs>
        <w:spacing w:line="276" w:lineRule="auto"/>
        <w:ind w:firstLine="567"/>
        <w:jc w:val="both"/>
        <w:rPr>
          <w:rFonts w:ascii="Garamond" w:hAnsi="Garamond"/>
        </w:rPr>
      </w:pPr>
    </w:p>
    <w:p w14:paraId="156E8780" w14:textId="5ADAF53F" w:rsidR="00941CB5" w:rsidRPr="006B5318" w:rsidRDefault="00941CB5" w:rsidP="00D4369C">
      <w:pPr>
        <w:tabs>
          <w:tab w:val="left" w:pos="4253"/>
        </w:tabs>
        <w:spacing w:line="276" w:lineRule="auto"/>
        <w:ind w:firstLine="567"/>
        <w:rPr>
          <w:rFonts w:ascii="Garamond" w:hAnsi="Garamond"/>
        </w:rPr>
      </w:pPr>
    </w:p>
    <w:p w14:paraId="55721A79" w14:textId="42E87D24" w:rsidR="00941CB5" w:rsidRPr="006B5318" w:rsidRDefault="00941CB5" w:rsidP="00941CB5">
      <w:pPr>
        <w:tabs>
          <w:tab w:val="left" w:pos="4253"/>
        </w:tabs>
        <w:spacing w:line="276" w:lineRule="auto"/>
        <w:jc w:val="both"/>
        <w:rPr>
          <w:rFonts w:ascii="Garamond" w:hAnsi="Garamond"/>
        </w:rPr>
      </w:pPr>
      <w:r w:rsidRPr="004C060D">
        <w:rPr>
          <w:rFonts w:ascii="Garamond" w:hAnsi="Garamond"/>
          <w:highlight w:val="yellow"/>
        </w:rPr>
        <w:t>Figure 3. The Principal’s Lodgings at Queens’ College, Cambridge, which was founded by Margaret of Anjou in 1448. The bay window and the arcaded walkways beneath the lodgings may have resembled those at Pleasaunce. Image: Author’s own.</w:t>
      </w:r>
    </w:p>
    <w:p w14:paraId="51F034F7" w14:textId="77777777" w:rsidR="00D4369C" w:rsidRPr="006B5318" w:rsidRDefault="00D4369C" w:rsidP="00B2149A">
      <w:pPr>
        <w:tabs>
          <w:tab w:val="left" w:pos="4253"/>
        </w:tabs>
        <w:spacing w:line="276" w:lineRule="auto"/>
        <w:ind w:firstLine="567"/>
        <w:jc w:val="center"/>
        <w:rPr>
          <w:rFonts w:ascii="Garamond" w:hAnsi="Garamond"/>
        </w:rPr>
      </w:pPr>
    </w:p>
    <w:p w14:paraId="5C0C142C" w14:textId="77777777" w:rsidR="00D4369C" w:rsidRPr="006B5318" w:rsidRDefault="00D4369C" w:rsidP="00B2149A">
      <w:pPr>
        <w:tabs>
          <w:tab w:val="left" w:pos="4253"/>
        </w:tabs>
        <w:spacing w:line="276" w:lineRule="auto"/>
        <w:ind w:firstLine="567"/>
        <w:jc w:val="center"/>
        <w:rPr>
          <w:rFonts w:ascii="Garamond" w:hAnsi="Garamond"/>
        </w:rPr>
      </w:pPr>
    </w:p>
    <w:p w14:paraId="43226F51" w14:textId="1CFF4EC3" w:rsidR="0046180C" w:rsidRPr="006B5318" w:rsidRDefault="0046180C" w:rsidP="00B2149A">
      <w:pPr>
        <w:tabs>
          <w:tab w:val="left" w:pos="4253"/>
        </w:tabs>
        <w:spacing w:line="276" w:lineRule="auto"/>
        <w:ind w:firstLine="567"/>
        <w:jc w:val="center"/>
        <w:rPr>
          <w:rFonts w:ascii="Garamond" w:hAnsi="Garamond"/>
        </w:rPr>
      </w:pPr>
    </w:p>
    <w:p w14:paraId="5FBF3146" w14:textId="66793D61" w:rsidR="0046180C" w:rsidRPr="006B5318" w:rsidRDefault="00B2149A" w:rsidP="00B2149A">
      <w:pPr>
        <w:tabs>
          <w:tab w:val="left" w:pos="4253"/>
        </w:tabs>
        <w:spacing w:line="276" w:lineRule="auto"/>
        <w:jc w:val="both"/>
        <w:rPr>
          <w:rFonts w:ascii="Garamond" w:hAnsi="Garamond"/>
        </w:rPr>
      </w:pPr>
      <w:r w:rsidRPr="004C060D">
        <w:rPr>
          <w:rFonts w:ascii="Garamond" w:hAnsi="Garamond"/>
          <w:highlight w:val="yellow"/>
        </w:rPr>
        <w:t xml:space="preserve">Figure </w:t>
      </w:r>
      <w:r w:rsidR="00D4369C" w:rsidRPr="004C060D">
        <w:rPr>
          <w:rFonts w:ascii="Garamond" w:hAnsi="Garamond"/>
          <w:highlight w:val="yellow"/>
        </w:rPr>
        <w:t>4.</w:t>
      </w:r>
      <w:r w:rsidRPr="004C060D">
        <w:rPr>
          <w:rFonts w:ascii="Garamond" w:hAnsi="Garamond"/>
          <w:highlight w:val="yellow"/>
        </w:rPr>
        <w:t xml:space="preserve"> Schematic Representation of the first-floor level of Margaret of Anjou’s ward at Greenwich Image not to scale.</w:t>
      </w:r>
    </w:p>
    <w:p w14:paraId="23230D9B" w14:textId="12CDAA3C" w:rsidR="0039734F" w:rsidRPr="006B5318" w:rsidRDefault="0039734F" w:rsidP="000C4959">
      <w:pPr>
        <w:spacing w:line="276" w:lineRule="auto"/>
        <w:jc w:val="both"/>
        <w:rPr>
          <w:rFonts w:ascii="Garamond" w:hAnsi="Garamond"/>
          <w:b/>
          <w:bCs/>
        </w:rPr>
      </w:pPr>
    </w:p>
    <w:p w14:paraId="770878BD" w14:textId="77777777" w:rsidR="0039734F" w:rsidRPr="006B5318" w:rsidRDefault="0039734F" w:rsidP="000C4959">
      <w:pPr>
        <w:spacing w:line="276" w:lineRule="auto"/>
        <w:jc w:val="both"/>
        <w:rPr>
          <w:rFonts w:ascii="Garamond" w:hAnsi="Garamond"/>
          <w:b/>
          <w:bCs/>
        </w:rPr>
      </w:pPr>
    </w:p>
    <w:p w14:paraId="36898225" w14:textId="77777777" w:rsidR="00D4369C" w:rsidRPr="006B5318" w:rsidRDefault="00D4369C" w:rsidP="000C4959">
      <w:pPr>
        <w:spacing w:line="276" w:lineRule="auto"/>
        <w:jc w:val="both"/>
        <w:rPr>
          <w:rFonts w:ascii="Garamond" w:hAnsi="Garamond"/>
          <w:b/>
          <w:bCs/>
        </w:rPr>
      </w:pPr>
    </w:p>
    <w:p w14:paraId="64E4A376" w14:textId="46F23AC6" w:rsidR="003970E3" w:rsidRPr="006B5318" w:rsidRDefault="003970E3" w:rsidP="000C4959">
      <w:pPr>
        <w:spacing w:line="276" w:lineRule="auto"/>
        <w:jc w:val="both"/>
        <w:rPr>
          <w:rFonts w:ascii="Garamond" w:hAnsi="Garamond"/>
          <w:b/>
          <w:bCs/>
        </w:rPr>
      </w:pPr>
      <w:r w:rsidRPr="006B5318">
        <w:rPr>
          <w:rFonts w:ascii="Garamond" w:hAnsi="Garamond"/>
          <w:b/>
          <w:bCs/>
        </w:rPr>
        <w:t>Outdoor Spaces</w:t>
      </w:r>
    </w:p>
    <w:p w14:paraId="411C81EC" w14:textId="77777777" w:rsidR="000C4959" w:rsidRPr="006B5318" w:rsidRDefault="000C4959" w:rsidP="00330ECB">
      <w:pPr>
        <w:tabs>
          <w:tab w:val="left" w:pos="4253"/>
        </w:tabs>
        <w:spacing w:line="276" w:lineRule="auto"/>
        <w:jc w:val="both"/>
        <w:rPr>
          <w:rFonts w:ascii="Garamond" w:hAnsi="Garamond"/>
        </w:rPr>
      </w:pPr>
    </w:p>
    <w:p w14:paraId="4F322C64" w14:textId="7DCD4090" w:rsidR="006D4707" w:rsidRPr="006B5318" w:rsidRDefault="003970E3" w:rsidP="00173166">
      <w:pPr>
        <w:tabs>
          <w:tab w:val="left" w:pos="4253"/>
        </w:tabs>
        <w:spacing w:line="276" w:lineRule="auto"/>
        <w:ind w:firstLine="567"/>
        <w:jc w:val="both"/>
        <w:rPr>
          <w:rFonts w:ascii="Garamond" w:hAnsi="Garamond"/>
        </w:rPr>
      </w:pPr>
      <w:r w:rsidRPr="006B5318">
        <w:rPr>
          <w:rFonts w:ascii="Garamond" w:hAnsi="Garamond"/>
        </w:rPr>
        <w:t xml:space="preserve">Margaret of Anjou commissioned </w:t>
      </w:r>
      <w:r w:rsidR="00D71D5F">
        <w:rPr>
          <w:rFonts w:ascii="Garamond" w:hAnsi="Garamond"/>
        </w:rPr>
        <w:t xml:space="preserve">numerous </w:t>
      </w:r>
      <w:r w:rsidRPr="006B5318">
        <w:rPr>
          <w:rFonts w:ascii="Garamond" w:hAnsi="Garamond"/>
        </w:rPr>
        <w:t>gardens as part of her works at Greenwich</w:t>
      </w:r>
      <w:r w:rsidR="00B210CB" w:rsidRPr="006B5318">
        <w:rPr>
          <w:rFonts w:ascii="Garamond" w:hAnsi="Garamond"/>
        </w:rPr>
        <w:t xml:space="preserve"> palace</w:t>
      </w:r>
      <w:r w:rsidRPr="006B5318">
        <w:rPr>
          <w:rFonts w:ascii="Garamond" w:hAnsi="Garamond"/>
        </w:rPr>
        <w:t>, some of which were</w:t>
      </w:r>
      <w:r w:rsidR="00C5479B" w:rsidRPr="006B5318">
        <w:rPr>
          <w:rFonts w:ascii="Garamond" w:hAnsi="Garamond"/>
        </w:rPr>
        <w:t xml:space="preserve"> intended</w:t>
      </w:r>
      <w:r w:rsidRPr="006B5318">
        <w:rPr>
          <w:rFonts w:ascii="Garamond" w:hAnsi="Garamond"/>
        </w:rPr>
        <w:t xml:space="preserve"> for utilitarian purposes, others for recreation.</w:t>
      </w:r>
      <w:r w:rsidR="002C506C" w:rsidRPr="006B5318">
        <w:rPr>
          <w:rFonts w:ascii="Garamond" w:hAnsi="Garamond"/>
        </w:rPr>
        <w:t xml:space="preserve"> Members of </w:t>
      </w:r>
      <w:r w:rsidR="000B770A" w:rsidRPr="006B5318">
        <w:rPr>
          <w:rFonts w:ascii="Garamond" w:hAnsi="Garamond"/>
        </w:rPr>
        <w:t>Margaret’s</w:t>
      </w:r>
      <w:r w:rsidR="002C506C" w:rsidRPr="006B5318">
        <w:rPr>
          <w:rFonts w:ascii="Garamond" w:hAnsi="Garamond"/>
        </w:rPr>
        <w:t xml:space="preserve"> natal family, her father</w:t>
      </w:r>
      <w:r w:rsidR="000B770A" w:rsidRPr="006B5318">
        <w:rPr>
          <w:rFonts w:ascii="Garamond" w:hAnsi="Garamond"/>
        </w:rPr>
        <w:t xml:space="preserve"> René</w:t>
      </w:r>
      <w:r w:rsidR="002C506C" w:rsidRPr="006B5318">
        <w:rPr>
          <w:rFonts w:ascii="Garamond" w:hAnsi="Garamond"/>
        </w:rPr>
        <w:t xml:space="preserve"> and </w:t>
      </w:r>
      <w:r w:rsidR="00173166" w:rsidRPr="006B5318">
        <w:rPr>
          <w:rFonts w:ascii="Garamond" w:hAnsi="Garamond"/>
        </w:rPr>
        <w:t xml:space="preserve">her </w:t>
      </w:r>
      <w:r w:rsidR="002C506C" w:rsidRPr="006B5318">
        <w:rPr>
          <w:rFonts w:ascii="Garamond" w:hAnsi="Garamond"/>
        </w:rPr>
        <w:t xml:space="preserve">aunt Marie of Anjou included, </w:t>
      </w:r>
      <w:r w:rsidR="00F2714E" w:rsidRPr="006B5318">
        <w:rPr>
          <w:rFonts w:ascii="Garamond" w:hAnsi="Garamond"/>
        </w:rPr>
        <w:t>are</w:t>
      </w:r>
      <w:r w:rsidR="002C506C" w:rsidRPr="006B5318">
        <w:rPr>
          <w:rFonts w:ascii="Garamond" w:hAnsi="Garamond"/>
        </w:rPr>
        <w:t xml:space="preserve"> known to have </w:t>
      </w:r>
      <w:r w:rsidR="009A3FFC">
        <w:rPr>
          <w:rFonts w:ascii="Garamond" w:hAnsi="Garamond"/>
        </w:rPr>
        <w:t>taken a keen interest in</w:t>
      </w:r>
      <w:r w:rsidR="002C506C" w:rsidRPr="006B5318">
        <w:rPr>
          <w:rFonts w:ascii="Garamond" w:hAnsi="Garamond"/>
        </w:rPr>
        <w:t xml:space="preserve"> gardening, and </w:t>
      </w:r>
      <w:r w:rsidR="00247348" w:rsidRPr="006B5318">
        <w:rPr>
          <w:rFonts w:ascii="Garamond" w:hAnsi="Garamond"/>
        </w:rPr>
        <w:t xml:space="preserve">their influence </w:t>
      </w:r>
      <w:r w:rsidR="002C506C" w:rsidRPr="006B5318">
        <w:rPr>
          <w:rFonts w:ascii="Garamond" w:hAnsi="Garamond"/>
        </w:rPr>
        <w:t xml:space="preserve">may have inspired </w:t>
      </w:r>
      <w:r w:rsidR="00AC6A6B" w:rsidRPr="006B5318">
        <w:rPr>
          <w:rFonts w:ascii="Garamond" w:hAnsi="Garamond"/>
        </w:rPr>
        <w:t>the queen’s</w:t>
      </w:r>
      <w:r w:rsidR="002C506C" w:rsidRPr="006B5318">
        <w:rPr>
          <w:rFonts w:ascii="Garamond" w:hAnsi="Garamond"/>
        </w:rPr>
        <w:t xml:space="preserve"> significant investment in her landscape at Greenwich.</w:t>
      </w:r>
      <w:r w:rsidR="002C506C" w:rsidRPr="006B5318">
        <w:rPr>
          <w:rStyle w:val="FootnoteReference"/>
          <w:rFonts w:ascii="Garamond" w:hAnsi="Garamond"/>
        </w:rPr>
        <w:footnoteReference w:id="69"/>
      </w:r>
      <w:r w:rsidR="00173166" w:rsidRPr="006B5318">
        <w:rPr>
          <w:rFonts w:ascii="Garamond" w:hAnsi="Garamond"/>
        </w:rPr>
        <w:t xml:space="preserve"> </w:t>
      </w:r>
      <w:r w:rsidR="00D4369C" w:rsidRPr="006B5318">
        <w:rPr>
          <w:rFonts w:ascii="Garamond" w:hAnsi="Garamond"/>
        </w:rPr>
        <w:t>Margaret’s</w:t>
      </w:r>
      <w:r w:rsidR="00A1376D" w:rsidRPr="006B5318">
        <w:rPr>
          <w:rFonts w:ascii="Garamond" w:hAnsi="Garamond"/>
        </w:rPr>
        <w:t xml:space="preserve"> </w:t>
      </w:r>
      <w:r w:rsidR="00AB2429">
        <w:rPr>
          <w:rFonts w:ascii="Garamond" w:hAnsi="Garamond"/>
        </w:rPr>
        <w:t>outdoor space</w:t>
      </w:r>
      <w:r w:rsidR="00A1376D" w:rsidRPr="006B5318">
        <w:rPr>
          <w:rFonts w:ascii="Garamond" w:hAnsi="Garamond"/>
        </w:rPr>
        <w:t xml:space="preserve"> included</w:t>
      </w:r>
      <w:r w:rsidR="006D4707" w:rsidRPr="006B5318">
        <w:rPr>
          <w:rFonts w:ascii="Garamond" w:hAnsi="Garamond"/>
        </w:rPr>
        <w:t xml:space="preserve"> an orchard, a</w:t>
      </w:r>
      <w:r w:rsidR="00942779" w:rsidRPr="006B5318">
        <w:rPr>
          <w:rFonts w:ascii="Garamond" w:hAnsi="Garamond"/>
        </w:rPr>
        <w:t xml:space="preserve">s well </w:t>
      </w:r>
      <w:r w:rsidR="00942779" w:rsidRPr="006B5318">
        <w:rPr>
          <w:rFonts w:ascii="Garamond" w:hAnsi="Garamond"/>
        </w:rPr>
        <w:lastRenderedPageBreak/>
        <w:t>as</w:t>
      </w:r>
      <w:r w:rsidRPr="006B5318">
        <w:rPr>
          <w:rFonts w:ascii="Garamond" w:hAnsi="Garamond"/>
        </w:rPr>
        <w:t xml:space="preserve"> a great and small vegetable garden (orto), the larger of which was paved and enclosed.</w:t>
      </w:r>
      <w:r w:rsidRPr="006B5318">
        <w:rPr>
          <w:rStyle w:val="FootnoteReference"/>
          <w:rFonts w:ascii="Garamond" w:hAnsi="Garamond"/>
        </w:rPr>
        <w:footnoteReference w:id="70"/>
      </w:r>
      <w:r w:rsidR="00D4369C" w:rsidRPr="006B5318">
        <w:rPr>
          <w:rFonts w:ascii="Garamond" w:hAnsi="Garamond"/>
        </w:rPr>
        <w:t xml:space="preserve"> </w:t>
      </w:r>
      <w:r w:rsidRPr="006B5318">
        <w:rPr>
          <w:rFonts w:ascii="Garamond" w:hAnsi="Garamond"/>
        </w:rPr>
        <w:t>The queen also commissioned a great and little garden, both of which had their own gardeners.</w:t>
      </w:r>
      <w:r w:rsidRPr="006B5318">
        <w:rPr>
          <w:rStyle w:val="FootnoteReference"/>
          <w:rFonts w:ascii="Garamond" w:hAnsi="Garamond"/>
        </w:rPr>
        <w:footnoteReference w:id="71"/>
      </w:r>
      <w:r w:rsidRPr="006B5318">
        <w:rPr>
          <w:rFonts w:ascii="Garamond" w:hAnsi="Garamond"/>
        </w:rPr>
        <w:t xml:space="preserve"> </w:t>
      </w:r>
      <w:r w:rsidR="00942779" w:rsidRPr="006B5318">
        <w:rPr>
          <w:rFonts w:ascii="Garamond" w:hAnsi="Garamond"/>
        </w:rPr>
        <w:t>As outlined above, the</w:t>
      </w:r>
      <w:r w:rsidRPr="006B5318">
        <w:rPr>
          <w:rFonts w:ascii="Garamond" w:hAnsi="Garamond"/>
        </w:rPr>
        <w:t xml:space="preserve"> great garden was located next to the great parlour </w:t>
      </w:r>
      <w:r w:rsidR="00DD733D" w:rsidRPr="006B5318">
        <w:rPr>
          <w:rFonts w:ascii="Garamond" w:hAnsi="Garamond"/>
        </w:rPr>
        <w:t xml:space="preserve">on the ground floor </w:t>
      </w:r>
      <w:r w:rsidRPr="006B5318">
        <w:rPr>
          <w:rFonts w:ascii="Garamond" w:hAnsi="Garamond"/>
        </w:rPr>
        <w:t>and</w:t>
      </w:r>
      <w:r w:rsidR="00942779" w:rsidRPr="006B5318">
        <w:rPr>
          <w:rFonts w:ascii="Garamond" w:hAnsi="Garamond"/>
        </w:rPr>
        <w:t xml:space="preserve"> was overlooked by</w:t>
      </w:r>
      <w:r w:rsidRPr="006B5318">
        <w:rPr>
          <w:rFonts w:ascii="Garamond" w:hAnsi="Garamond"/>
        </w:rPr>
        <w:t xml:space="preserve"> the main reception rooms of Margaret’s apartments</w:t>
      </w:r>
      <w:r w:rsidR="00DD733D" w:rsidRPr="006B5318">
        <w:rPr>
          <w:rFonts w:ascii="Garamond" w:hAnsi="Garamond"/>
        </w:rPr>
        <w:t xml:space="preserve"> </w:t>
      </w:r>
      <w:r w:rsidR="00C45C30" w:rsidRPr="006B5318">
        <w:rPr>
          <w:rFonts w:ascii="Garamond" w:hAnsi="Garamond"/>
        </w:rPr>
        <w:t xml:space="preserve">directly </w:t>
      </w:r>
      <w:r w:rsidRPr="006B5318">
        <w:rPr>
          <w:rFonts w:ascii="Garamond" w:hAnsi="Garamond"/>
        </w:rPr>
        <w:t>above.</w:t>
      </w:r>
      <w:r w:rsidRPr="006B5318">
        <w:rPr>
          <w:rStyle w:val="FootnoteReference"/>
          <w:rFonts w:ascii="Garamond" w:hAnsi="Garamond"/>
        </w:rPr>
        <w:footnoteReference w:id="72"/>
      </w:r>
      <w:r w:rsidRPr="006B5318">
        <w:rPr>
          <w:rFonts w:ascii="Garamond" w:hAnsi="Garamond"/>
        </w:rPr>
        <w:t xml:space="preserve"> </w:t>
      </w:r>
      <w:r w:rsidR="00942779" w:rsidRPr="006B5318">
        <w:rPr>
          <w:rFonts w:ascii="Garamond" w:hAnsi="Garamond"/>
        </w:rPr>
        <w:t>It</w:t>
      </w:r>
      <w:r w:rsidRPr="006B5318">
        <w:rPr>
          <w:rFonts w:ascii="Garamond" w:hAnsi="Garamond"/>
        </w:rPr>
        <w:t xml:space="preserve"> was planted with vines,</w:t>
      </w:r>
      <w:r w:rsidR="00E16870" w:rsidRPr="006B5318">
        <w:rPr>
          <w:rFonts w:ascii="Garamond" w:hAnsi="Garamond"/>
        </w:rPr>
        <w:t xml:space="preserve"> </w:t>
      </w:r>
      <w:r w:rsidR="00AC30A4">
        <w:rPr>
          <w:rFonts w:ascii="Garamond" w:hAnsi="Garamond"/>
        </w:rPr>
        <w:t>with</w:t>
      </w:r>
      <w:r w:rsidRPr="006B5318">
        <w:rPr>
          <w:rFonts w:ascii="Garamond" w:hAnsi="Garamond"/>
        </w:rPr>
        <w:t xml:space="preserve"> a certain John Aleyn paid for supplying six loads of rails for the purpose of training them.</w:t>
      </w:r>
      <w:r w:rsidRPr="006B5318">
        <w:rPr>
          <w:rStyle w:val="FootnoteReference"/>
          <w:rFonts w:ascii="Garamond" w:hAnsi="Garamond"/>
        </w:rPr>
        <w:footnoteReference w:id="73"/>
      </w:r>
      <w:r w:rsidRPr="006B5318">
        <w:rPr>
          <w:rFonts w:ascii="Garamond" w:hAnsi="Garamond"/>
        </w:rPr>
        <w:t xml:space="preserve"> The smaller of the two gardens was enclosed within a hedge. Within, </w:t>
      </w:r>
      <w:r w:rsidR="00E16870" w:rsidRPr="006B5318">
        <w:rPr>
          <w:rFonts w:ascii="Garamond" w:hAnsi="Garamond"/>
        </w:rPr>
        <w:t xml:space="preserve">Margaret </w:t>
      </w:r>
      <w:r w:rsidRPr="006B5318">
        <w:rPr>
          <w:rFonts w:ascii="Garamond" w:hAnsi="Garamond"/>
        </w:rPr>
        <w:t>commissioned a paved parlour with bay windows and a tiled floor for her</w:t>
      </w:r>
      <w:r w:rsidR="00C45C30" w:rsidRPr="006B5318">
        <w:rPr>
          <w:rFonts w:ascii="Garamond" w:hAnsi="Garamond"/>
        </w:rPr>
        <w:t xml:space="preserve"> own</w:t>
      </w:r>
      <w:r w:rsidRPr="006B5318">
        <w:rPr>
          <w:rFonts w:ascii="Garamond" w:hAnsi="Garamond"/>
        </w:rPr>
        <w:t xml:space="preserve"> personal use, </w:t>
      </w:r>
      <w:r w:rsidR="00DD733D" w:rsidRPr="006B5318">
        <w:rPr>
          <w:rFonts w:ascii="Garamond" w:hAnsi="Garamond"/>
        </w:rPr>
        <w:t xml:space="preserve">as well as </w:t>
      </w:r>
      <w:r w:rsidRPr="006B5318">
        <w:rPr>
          <w:rFonts w:ascii="Garamond" w:hAnsi="Garamond"/>
        </w:rPr>
        <w:t>another new lodging which was glazed with three sets of the king and queen’s arms. This second lodging also contained two beds</w:t>
      </w:r>
      <w:r w:rsidR="00751840" w:rsidRPr="006B5318">
        <w:rPr>
          <w:rFonts w:ascii="Garamond" w:hAnsi="Garamond"/>
        </w:rPr>
        <w:t>,</w:t>
      </w:r>
      <w:r w:rsidRPr="006B5318">
        <w:rPr>
          <w:rFonts w:ascii="Garamond" w:hAnsi="Garamond"/>
        </w:rPr>
        <w:t xml:space="preserve"> which had been brought from London and were reserved for the use of the king’s half-brothers, Edmund and</w:t>
      </w:r>
      <w:r w:rsidR="00C45C30" w:rsidRPr="006B5318">
        <w:rPr>
          <w:rFonts w:ascii="Garamond" w:hAnsi="Garamond"/>
        </w:rPr>
        <w:t xml:space="preserve"> Jasper</w:t>
      </w:r>
      <w:r w:rsidRPr="006B5318">
        <w:rPr>
          <w:rFonts w:ascii="Garamond" w:hAnsi="Garamond"/>
        </w:rPr>
        <w:t xml:space="preserve"> Tudor.</w:t>
      </w:r>
      <w:r w:rsidR="00434592" w:rsidRPr="006B5318">
        <w:rPr>
          <w:rStyle w:val="FootnoteReference"/>
          <w:rFonts w:ascii="Garamond" w:hAnsi="Garamond"/>
        </w:rPr>
        <w:footnoteReference w:id="74"/>
      </w:r>
      <w:r w:rsidR="00D4369C" w:rsidRPr="006B5318">
        <w:rPr>
          <w:rFonts w:ascii="Garamond" w:hAnsi="Garamond"/>
        </w:rPr>
        <w:t xml:space="preserve"> </w:t>
      </w:r>
      <w:r w:rsidR="00DD733D" w:rsidRPr="006B5318">
        <w:rPr>
          <w:rFonts w:ascii="Garamond" w:hAnsi="Garamond"/>
        </w:rPr>
        <w:t xml:space="preserve">As </w:t>
      </w:r>
      <w:r w:rsidR="00751840" w:rsidRPr="006B5318">
        <w:rPr>
          <w:rFonts w:ascii="Garamond" w:hAnsi="Garamond"/>
        </w:rPr>
        <w:t>already noted</w:t>
      </w:r>
      <w:r w:rsidR="00DD733D" w:rsidRPr="006B5318">
        <w:rPr>
          <w:rFonts w:ascii="Garamond" w:hAnsi="Garamond"/>
        </w:rPr>
        <w:t>,</w:t>
      </w:r>
      <w:r w:rsidRPr="006B5318">
        <w:rPr>
          <w:rFonts w:ascii="Garamond" w:hAnsi="Garamond"/>
        </w:rPr>
        <w:t xml:space="preserve"> the reception rooms of Margaret’s apartments gave views from a gallery onto the great garden, </w:t>
      </w:r>
      <w:r w:rsidR="00107199" w:rsidRPr="006B5318">
        <w:rPr>
          <w:rFonts w:ascii="Garamond" w:hAnsi="Garamond"/>
        </w:rPr>
        <w:t xml:space="preserve">whereas </w:t>
      </w:r>
      <w:r w:rsidRPr="006B5318">
        <w:rPr>
          <w:rFonts w:ascii="Garamond" w:hAnsi="Garamond"/>
        </w:rPr>
        <w:t>views towards the privy garden were only available from the most secluded spaces of Margaret’s apartments, including her</w:t>
      </w:r>
      <w:r w:rsidR="003A3411" w:rsidRPr="006B5318">
        <w:rPr>
          <w:rFonts w:ascii="Garamond" w:hAnsi="Garamond"/>
        </w:rPr>
        <w:t xml:space="preserve"> own</w:t>
      </w:r>
      <w:r w:rsidRPr="006B5318">
        <w:rPr>
          <w:rFonts w:ascii="Garamond" w:hAnsi="Garamond"/>
        </w:rPr>
        <w:t xml:space="preserve"> bedchamber. </w:t>
      </w:r>
      <w:r w:rsidR="00107199" w:rsidRPr="006B5318">
        <w:rPr>
          <w:rFonts w:ascii="Garamond" w:hAnsi="Garamond"/>
        </w:rPr>
        <w:t>Th</w:t>
      </w:r>
      <w:r w:rsidR="003A3411" w:rsidRPr="006B5318">
        <w:rPr>
          <w:rFonts w:ascii="Garamond" w:hAnsi="Garamond"/>
        </w:rPr>
        <w:t>is, the</w:t>
      </w:r>
      <w:r w:rsidR="00107199" w:rsidRPr="006B5318">
        <w:rPr>
          <w:rFonts w:ascii="Garamond" w:hAnsi="Garamond"/>
        </w:rPr>
        <w:t xml:space="preserve"> </w:t>
      </w:r>
      <w:r w:rsidRPr="006B5318">
        <w:rPr>
          <w:rFonts w:ascii="Garamond" w:hAnsi="Garamond"/>
        </w:rPr>
        <w:t>internal filtering of space</w:t>
      </w:r>
      <w:r w:rsidR="00434592" w:rsidRPr="006B5318">
        <w:rPr>
          <w:rFonts w:ascii="Garamond" w:hAnsi="Garamond"/>
        </w:rPr>
        <w:t xml:space="preserve"> </w:t>
      </w:r>
      <w:r w:rsidRPr="006B5318">
        <w:rPr>
          <w:rFonts w:ascii="Garamond" w:hAnsi="Garamond"/>
        </w:rPr>
        <w:t xml:space="preserve">was reinforced by the arrangement of the landscape below, where the little garden was the most exclusive or secluded </w:t>
      </w:r>
      <w:r w:rsidR="003A3411" w:rsidRPr="006B5318">
        <w:rPr>
          <w:rFonts w:ascii="Garamond" w:hAnsi="Garamond"/>
        </w:rPr>
        <w:t xml:space="preserve">outdoor </w:t>
      </w:r>
      <w:r w:rsidRPr="006B5318">
        <w:rPr>
          <w:rFonts w:ascii="Garamond" w:hAnsi="Garamond"/>
        </w:rPr>
        <w:t xml:space="preserve">space, being reserved for the </w:t>
      </w:r>
      <w:r w:rsidR="006D4707" w:rsidRPr="006B5318">
        <w:rPr>
          <w:rFonts w:ascii="Garamond" w:hAnsi="Garamond"/>
        </w:rPr>
        <w:t xml:space="preserve">exclusive </w:t>
      </w:r>
      <w:r w:rsidRPr="006B5318">
        <w:rPr>
          <w:rFonts w:ascii="Garamond" w:hAnsi="Garamond"/>
        </w:rPr>
        <w:t>use of Margaret and her closest family members</w:t>
      </w:r>
      <w:r w:rsidR="00357D64" w:rsidRPr="006B5318">
        <w:rPr>
          <w:rFonts w:ascii="Garamond" w:hAnsi="Garamond"/>
        </w:rPr>
        <w:t xml:space="preserve">. </w:t>
      </w:r>
    </w:p>
    <w:p w14:paraId="66A8B48A" w14:textId="08B0D6DD" w:rsidR="003A6943" w:rsidRPr="006B5318" w:rsidRDefault="003F149B" w:rsidP="0056719E">
      <w:pPr>
        <w:spacing w:line="276" w:lineRule="auto"/>
        <w:ind w:firstLine="567"/>
        <w:jc w:val="both"/>
        <w:rPr>
          <w:rFonts w:ascii="Garamond" w:hAnsi="Garamond"/>
        </w:rPr>
      </w:pPr>
      <w:r w:rsidRPr="006B5318">
        <w:rPr>
          <w:rFonts w:ascii="Garamond" w:hAnsi="Garamond"/>
        </w:rPr>
        <w:t xml:space="preserve">Margaret also oversaw </w:t>
      </w:r>
      <w:r w:rsidR="00FB6DDD" w:rsidRPr="006B5318">
        <w:rPr>
          <w:rFonts w:ascii="Garamond" w:hAnsi="Garamond"/>
        </w:rPr>
        <w:t xml:space="preserve">wider </w:t>
      </w:r>
      <w:r w:rsidRPr="006B5318">
        <w:rPr>
          <w:rFonts w:ascii="Garamond" w:hAnsi="Garamond"/>
        </w:rPr>
        <w:t xml:space="preserve">works on the landscape, including the creation of </w:t>
      </w:r>
      <w:r w:rsidR="00DD733D" w:rsidRPr="006B5318">
        <w:rPr>
          <w:rFonts w:ascii="Garamond" w:hAnsi="Garamond"/>
        </w:rPr>
        <w:t>a</w:t>
      </w:r>
      <w:r w:rsidRPr="006B5318">
        <w:rPr>
          <w:rFonts w:ascii="Garamond" w:hAnsi="Garamond"/>
        </w:rPr>
        <w:t xml:space="preserve"> new dovecote</w:t>
      </w:r>
      <w:r w:rsidR="00DD733D" w:rsidRPr="006B5318">
        <w:rPr>
          <w:rFonts w:ascii="Garamond" w:hAnsi="Garamond"/>
        </w:rPr>
        <w:t xml:space="preserve"> next to the main gate</w:t>
      </w:r>
      <w:r w:rsidR="0056719E" w:rsidRPr="006B5318">
        <w:rPr>
          <w:rFonts w:ascii="Garamond" w:hAnsi="Garamond"/>
        </w:rPr>
        <w:t>house</w:t>
      </w:r>
      <w:r w:rsidRPr="006B5318">
        <w:rPr>
          <w:rFonts w:ascii="Garamond" w:hAnsi="Garamond"/>
        </w:rPr>
        <w:t xml:space="preserve">, </w:t>
      </w:r>
      <w:r w:rsidR="00466AF8" w:rsidRPr="006B5318">
        <w:rPr>
          <w:rFonts w:ascii="Garamond" w:hAnsi="Garamond"/>
        </w:rPr>
        <w:t xml:space="preserve">where </w:t>
      </w:r>
      <w:r w:rsidR="00EB1CFE" w:rsidRPr="006B5318">
        <w:rPr>
          <w:rFonts w:ascii="Garamond" w:hAnsi="Garamond"/>
        </w:rPr>
        <w:t>it</w:t>
      </w:r>
      <w:r w:rsidR="00466AF8" w:rsidRPr="006B5318">
        <w:rPr>
          <w:rFonts w:ascii="Garamond" w:hAnsi="Garamond"/>
        </w:rPr>
        <w:t xml:space="preserve"> would have been visible to those on the approach upriver</w:t>
      </w:r>
      <w:r w:rsidR="00EB1CFE" w:rsidRPr="006B5318">
        <w:rPr>
          <w:rFonts w:ascii="Garamond" w:hAnsi="Garamond"/>
        </w:rPr>
        <w:t xml:space="preserve">. </w:t>
      </w:r>
      <w:r w:rsidR="00D62B4E" w:rsidRPr="006B5318">
        <w:rPr>
          <w:rFonts w:ascii="Garamond" w:hAnsi="Garamond"/>
        </w:rPr>
        <w:t>The placement of dovecotes close to gatehouses was common practice among the ruling aristocracy, who sought to advertise their exclusive right to keep doves to the wider community.</w:t>
      </w:r>
      <w:r w:rsidR="000B770A" w:rsidRPr="006B5318">
        <w:rPr>
          <w:rStyle w:val="FootnoteReference"/>
          <w:rFonts w:ascii="Garamond" w:hAnsi="Garamond"/>
        </w:rPr>
        <w:footnoteReference w:id="75"/>
      </w:r>
      <w:r w:rsidR="00D62B4E" w:rsidRPr="006B5318">
        <w:rPr>
          <w:rFonts w:ascii="Garamond" w:hAnsi="Garamond"/>
        </w:rPr>
        <w:t xml:space="preserve"> </w:t>
      </w:r>
      <w:r w:rsidR="0056719E" w:rsidRPr="006B5318">
        <w:rPr>
          <w:rFonts w:ascii="Garamond" w:hAnsi="Garamond"/>
        </w:rPr>
        <w:t>As well as providing food for the elite table,</w:t>
      </w:r>
      <w:r w:rsidR="00D62B4E" w:rsidRPr="006B5318">
        <w:rPr>
          <w:rFonts w:ascii="Garamond" w:hAnsi="Garamond"/>
        </w:rPr>
        <w:t xml:space="preserve"> dove</w:t>
      </w:r>
      <w:r w:rsidR="0056719E" w:rsidRPr="006B5318">
        <w:rPr>
          <w:rFonts w:ascii="Garamond" w:hAnsi="Garamond"/>
        </w:rPr>
        <w:t>s</w:t>
      </w:r>
      <w:r w:rsidR="00D62B4E" w:rsidRPr="006B5318">
        <w:rPr>
          <w:rFonts w:ascii="Garamond" w:hAnsi="Garamond"/>
        </w:rPr>
        <w:t xml:space="preserve"> </w:t>
      </w:r>
      <w:r w:rsidR="00AC30A4">
        <w:rPr>
          <w:rFonts w:ascii="Garamond" w:hAnsi="Garamond"/>
        </w:rPr>
        <w:t xml:space="preserve">were also associated with </w:t>
      </w:r>
      <w:r w:rsidR="00D62B4E" w:rsidRPr="006B5318">
        <w:rPr>
          <w:rFonts w:ascii="Garamond" w:hAnsi="Garamond"/>
        </w:rPr>
        <w:t>the Holy Spirit</w:t>
      </w:r>
      <w:r w:rsidR="00AC30A4">
        <w:rPr>
          <w:rFonts w:ascii="Garamond" w:hAnsi="Garamond"/>
        </w:rPr>
        <w:t xml:space="preserve"> in Christian thought</w:t>
      </w:r>
      <w:r w:rsidR="00D62B4E" w:rsidRPr="006B5318">
        <w:rPr>
          <w:rFonts w:ascii="Garamond" w:hAnsi="Garamond"/>
        </w:rPr>
        <w:t>. Dovecotes thus enhanced the religious symbolism of the lordly landscape, and, by association,</w:t>
      </w:r>
      <w:r w:rsidR="00C1423F" w:rsidRPr="006B5318">
        <w:rPr>
          <w:rFonts w:ascii="Garamond" w:hAnsi="Garamond"/>
        </w:rPr>
        <w:t xml:space="preserve"> gestured to the</w:t>
      </w:r>
      <w:r w:rsidR="00D62B4E" w:rsidRPr="006B5318">
        <w:rPr>
          <w:rFonts w:ascii="Garamond" w:hAnsi="Garamond"/>
        </w:rPr>
        <w:t xml:space="preserve"> head of household</w:t>
      </w:r>
      <w:r w:rsidR="00C1423F" w:rsidRPr="006B5318">
        <w:rPr>
          <w:rFonts w:ascii="Garamond" w:hAnsi="Garamond"/>
        </w:rPr>
        <w:t>’s piety</w:t>
      </w:r>
      <w:r w:rsidR="00D62B4E" w:rsidRPr="006B5318">
        <w:rPr>
          <w:rFonts w:ascii="Garamond" w:hAnsi="Garamond"/>
        </w:rPr>
        <w:t>.</w:t>
      </w:r>
    </w:p>
    <w:p w14:paraId="106673D9" w14:textId="3E3706E9" w:rsidR="00DB1988" w:rsidRPr="006B5318" w:rsidRDefault="001C63E4" w:rsidP="0056719E">
      <w:pPr>
        <w:spacing w:line="276" w:lineRule="auto"/>
        <w:ind w:firstLine="567"/>
        <w:jc w:val="both"/>
        <w:rPr>
          <w:rFonts w:ascii="Garamond" w:hAnsi="Garamond"/>
        </w:rPr>
      </w:pPr>
      <w:r w:rsidRPr="006B5318">
        <w:rPr>
          <w:rFonts w:ascii="Garamond" w:hAnsi="Garamond"/>
        </w:rPr>
        <w:t xml:space="preserve">The river-facing frontage of the palace was also altered in other ways: </w:t>
      </w:r>
      <w:r w:rsidR="0056719E" w:rsidRPr="006B5318">
        <w:rPr>
          <w:rFonts w:ascii="Garamond" w:hAnsi="Garamond"/>
        </w:rPr>
        <w:t xml:space="preserve">Margaret commissioned a wall </w:t>
      </w:r>
      <w:r w:rsidR="003A6943" w:rsidRPr="006B5318">
        <w:rPr>
          <w:rFonts w:ascii="Garamond" w:hAnsi="Garamond"/>
        </w:rPr>
        <w:t>between the house and</w:t>
      </w:r>
      <w:r w:rsidR="0056719E" w:rsidRPr="006B5318">
        <w:rPr>
          <w:rFonts w:ascii="Garamond" w:hAnsi="Garamond"/>
        </w:rPr>
        <w:t xml:space="preserve"> the Thames, along with the abovementioned wharf and pier, which gave access to the river </w:t>
      </w:r>
      <w:r w:rsidRPr="006B5318">
        <w:rPr>
          <w:rFonts w:ascii="Garamond" w:hAnsi="Garamond"/>
        </w:rPr>
        <w:t>regardless of the tide</w:t>
      </w:r>
      <w:r w:rsidR="0056719E" w:rsidRPr="006B5318">
        <w:rPr>
          <w:rFonts w:ascii="Garamond" w:hAnsi="Garamond"/>
        </w:rPr>
        <w:t xml:space="preserve">, </w:t>
      </w:r>
      <w:r w:rsidR="002B75A9" w:rsidRPr="006B5318">
        <w:rPr>
          <w:rFonts w:ascii="Garamond" w:hAnsi="Garamond"/>
        </w:rPr>
        <w:t>t</w:t>
      </w:r>
      <w:r w:rsidR="00AC30A4">
        <w:rPr>
          <w:rFonts w:ascii="Garamond" w:hAnsi="Garamond"/>
        </w:rPr>
        <w:t>hus</w:t>
      </w:r>
      <w:r w:rsidR="002B75A9" w:rsidRPr="006B5318">
        <w:rPr>
          <w:rFonts w:ascii="Garamond" w:hAnsi="Garamond"/>
        </w:rPr>
        <w:t xml:space="preserve"> provid</w:t>
      </w:r>
      <w:r w:rsidR="00AC30A4">
        <w:rPr>
          <w:rFonts w:ascii="Garamond" w:hAnsi="Garamond"/>
        </w:rPr>
        <w:t>ing</w:t>
      </w:r>
      <w:r w:rsidR="002B75A9" w:rsidRPr="006B5318">
        <w:rPr>
          <w:rFonts w:ascii="Garamond" w:hAnsi="Garamond"/>
        </w:rPr>
        <w:t xml:space="preserve"> </w:t>
      </w:r>
      <w:r w:rsidR="0056719E" w:rsidRPr="006B5318">
        <w:rPr>
          <w:rFonts w:ascii="Garamond" w:hAnsi="Garamond"/>
        </w:rPr>
        <w:t>a means by which people and goods could reach the residence.</w:t>
      </w:r>
      <w:r w:rsidRPr="006B5318">
        <w:rPr>
          <w:rFonts w:ascii="Garamond" w:hAnsi="Garamond"/>
        </w:rPr>
        <w:t xml:space="preserve"> </w:t>
      </w:r>
      <w:r w:rsidR="00D62B4E" w:rsidRPr="006B5318">
        <w:rPr>
          <w:rFonts w:ascii="Garamond" w:hAnsi="Garamond"/>
        </w:rPr>
        <w:t>Margaret’s wider works to her estate</w:t>
      </w:r>
      <w:r w:rsidR="003F149B" w:rsidRPr="006B5318">
        <w:rPr>
          <w:rFonts w:ascii="Garamond" w:hAnsi="Garamond"/>
        </w:rPr>
        <w:t xml:space="preserve"> </w:t>
      </w:r>
      <w:r w:rsidR="00D62B4E" w:rsidRPr="006B5318">
        <w:rPr>
          <w:rFonts w:ascii="Garamond" w:hAnsi="Garamond"/>
        </w:rPr>
        <w:t>involved</w:t>
      </w:r>
      <w:r w:rsidR="00EB1CFE" w:rsidRPr="006B5318">
        <w:rPr>
          <w:rFonts w:ascii="Garamond" w:hAnsi="Garamond"/>
        </w:rPr>
        <w:t xml:space="preserve"> </w:t>
      </w:r>
      <w:r w:rsidR="00D62B4E" w:rsidRPr="006B5318">
        <w:rPr>
          <w:rFonts w:ascii="Garamond" w:hAnsi="Garamond"/>
        </w:rPr>
        <w:t xml:space="preserve">enclosure of </w:t>
      </w:r>
      <w:r w:rsidR="00EB1CFE" w:rsidRPr="006B5318">
        <w:rPr>
          <w:rFonts w:ascii="Garamond" w:hAnsi="Garamond"/>
        </w:rPr>
        <w:t>the</w:t>
      </w:r>
      <w:r w:rsidR="003F149B" w:rsidRPr="006B5318">
        <w:rPr>
          <w:rFonts w:ascii="Garamond" w:hAnsi="Garamond"/>
        </w:rPr>
        <w:t xml:space="preserve"> woodyard</w:t>
      </w:r>
      <w:r w:rsidR="00C1423F" w:rsidRPr="006B5318">
        <w:rPr>
          <w:rFonts w:ascii="Garamond" w:hAnsi="Garamond"/>
        </w:rPr>
        <w:t>.</w:t>
      </w:r>
      <w:r w:rsidR="00333C19" w:rsidRPr="006B5318">
        <w:rPr>
          <w:rStyle w:val="FootnoteReference"/>
          <w:rFonts w:ascii="Garamond" w:hAnsi="Garamond"/>
        </w:rPr>
        <w:footnoteReference w:id="76"/>
      </w:r>
      <w:r w:rsidR="00C1423F" w:rsidRPr="006B5318">
        <w:rPr>
          <w:rFonts w:ascii="Garamond" w:hAnsi="Garamond"/>
        </w:rPr>
        <w:t xml:space="preserve"> Her letters show that she was an attentive and active estate manager </w:t>
      </w:r>
      <w:r w:rsidR="0056719E" w:rsidRPr="006B5318">
        <w:rPr>
          <w:rFonts w:ascii="Garamond" w:hAnsi="Garamond"/>
        </w:rPr>
        <w:t xml:space="preserve">and </w:t>
      </w:r>
      <w:r w:rsidR="002F3C3E" w:rsidRPr="006B5318">
        <w:rPr>
          <w:rFonts w:ascii="Garamond" w:hAnsi="Garamond"/>
        </w:rPr>
        <w:t>control over resources</w:t>
      </w:r>
      <w:r w:rsidR="0056719E" w:rsidRPr="006B5318">
        <w:rPr>
          <w:rFonts w:ascii="Garamond" w:hAnsi="Garamond"/>
        </w:rPr>
        <w:t xml:space="preserve"> and </w:t>
      </w:r>
      <w:r w:rsidR="002F3C3E" w:rsidRPr="006B5318">
        <w:rPr>
          <w:rFonts w:ascii="Garamond" w:hAnsi="Garamond"/>
        </w:rPr>
        <w:t xml:space="preserve">the </w:t>
      </w:r>
      <w:r w:rsidR="0056719E" w:rsidRPr="006B5318">
        <w:rPr>
          <w:rFonts w:ascii="Garamond" w:hAnsi="Garamond"/>
        </w:rPr>
        <w:t xml:space="preserve">appearance of a well-managed and orderly estate </w:t>
      </w:r>
      <w:r w:rsidR="002F3C3E" w:rsidRPr="006B5318">
        <w:rPr>
          <w:rFonts w:ascii="Garamond" w:hAnsi="Garamond"/>
        </w:rPr>
        <w:t xml:space="preserve">were no doubt important </w:t>
      </w:r>
      <w:r w:rsidR="0056719E" w:rsidRPr="006B5318">
        <w:rPr>
          <w:rFonts w:ascii="Garamond" w:hAnsi="Garamond"/>
        </w:rPr>
        <w:t>to her. T</w:t>
      </w:r>
      <w:r w:rsidR="005801DC" w:rsidRPr="006B5318">
        <w:rPr>
          <w:rFonts w:ascii="Garamond" w:hAnsi="Garamond"/>
        </w:rPr>
        <w:t xml:space="preserve">he queen’s reported love of horses </w:t>
      </w:r>
      <w:r w:rsidR="00C577C5">
        <w:rPr>
          <w:rFonts w:ascii="Garamond" w:hAnsi="Garamond"/>
        </w:rPr>
        <w:t xml:space="preserve">found expression in her construction of </w:t>
      </w:r>
      <w:r w:rsidR="005801DC" w:rsidRPr="006B5318">
        <w:rPr>
          <w:rFonts w:ascii="Garamond" w:hAnsi="Garamond"/>
        </w:rPr>
        <w:t>t</w:t>
      </w:r>
      <w:r w:rsidR="00DB1988" w:rsidRPr="006B5318">
        <w:rPr>
          <w:rFonts w:ascii="Garamond" w:hAnsi="Garamond"/>
        </w:rPr>
        <w:t xml:space="preserve">hree new stables, one of which was reserved for </w:t>
      </w:r>
      <w:r w:rsidR="005801DC" w:rsidRPr="006B5318">
        <w:rPr>
          <w:rFonts w:ascii="Garamond" w:hAnsi="Garamond"/>
        </w:rPr>
        <w:t xml:space="preserve">her own </w:t>
      </w:r>
      <w:r w:rsidR="00DB1988" w:rsidRPr="006B5318">
        <w:rPr>
          <w:rFonts w:ascii="Garamond" w:hAnsi="Garamond"/>
        </w:rPr>
        <w:t>palfreys</w:t>
      </w:r>
      <w:r w:rsidR="00163ABD" w:rsidRPr="006B5318">
        <w:rPr>
          <w:rFonts w:ascii="Garamond" w:hAnsi="Garamond"/>
        </w:rPr>
        <w:t xml:space="preserve">, </w:t>
      </w:r>
      <w:r w:rsidR="009355A8" w:rsidRPr="006B5318">
        <w:rPr>
          <w:rFonts w:ascii="Garamond" w:hAnsi="Garamond"/>
        </w:rPr>
        <w:t xml:space="preserve">a </w:t>
      </w:r>
      <w:r w:rsidR="00621927" w:rsidRPr="006B5318">
        <w:rPr>
          <w:rFonts w:ascii="Garamond" w:hAnsi="Garamond"/>
        </w:rPr>
        <w:t xml:space="preserve">type of horse </w:t>
      </w:r>
      <w:r w:rsidR="009355A8" w:rsidRPr="006B5318">
        <w:rPr>
          <w:rFonts w:ascii="Garamond" w:hAnsi="Garamond"/>
        </w:rPr>
        <w:t xml:space="preserve">which was </w:t>
      </w:r>
      <w:r w:rsidR="00163ABD" w:rsidRPr="006B5318">
        <w:rPr>
          <w:rFonts w:ascii="Garamond" w:hAnsi="Garamond"/>
        </w:rPr>
        <w:t xml:space="preserve">popularly used for </w:t>
      </w:r>
      <w:r w:rsidR="00621927" w:rsidRPr="006B5318">
        <w:rPr>
          <w:rFonts w:ascii="Garamond" w:hAnsi="Garamond"/>
        </w:rPr>
        <w:t xml:space="preserve">long-distance riding and </w:t>
      </w:r>
      <w:r w:rsidR="00163ABD" w:rsidRPr="006B5318">
        <w:rPr>
          <w:rFonts w:ascii="Garamond" w:hAnsi="Garamond"/>
        </w:rPr>
        <w:t>hunting</w:t>
      </w:r>
      <w:r w:rsidR="00DB1988" w:rsidRPr="006B5318">
        <w:rPr>
          <w:rFonts w:ascii="Garamond" w:hAnsi="Garamond"/>
        </w:rPr>
        <w:t>.</w:t>
      </w:r>
      <w:r w:rsidR="00DB1988" w:rsidRPr="006B5318">
        <w:rPr>
          <w:rStyle w:val="FootnoteReference"/>
          <w:rFonts w:ascii="Garamond" w:hAnsi="Garamond"/>
        </w:rPr>
        <w:footnoteReference w:id="77"/>
      </w:r>
      <w:r w:rsidR="006F4E74" w:rsidRPr="006B5318">
        <w:rPr>
          <w:rFonts w:ascii="Garamond" w:hAnsi="Garamond"/>
        </w:rPr>
        <w:t xml:space="preserve"> </w:t>
      </w:r>
    </w:p>
    <w:p w14:paraId="791B094A" w14:textId="6117E37B" w:rsidR="00AE47CC" w:rsidRPr="006B5318" w:rsidRDefault="006D4707" w:rsidP="00A1376D">
      <w:pPr>
        <w:spacing w:line="276" w:lineRule="auto"/>
        <w:ind w:firstLine="567"/>
        <w:jc w:val="both"/>
        <w:rPr>
          <w:rFonts w:ascii="Garamond" w:hAnsi="Garamond"/>
        </w:rPr>
      </w:pPr>
      <w:r w:rsidRPr="006B5318">
        <w:rPr>
          <w:rFonts w:ascii="Garamond" w:hAnsi="Garamond"/>
        </w:rPr>
        <w:t xml:space="preserve">The deer park appears to have remained much the same as it was during Duke Humphrey’s ownership of the property. The fashion for enclosing parks and bringing them closer to the elite residence intensified during the fifteenth century, </w:t>
      </w:r>
      <w:r w:rsidR="00AC64E2" w:rsidRPr="006B5318">
        <w:rPr>
          <w:rFonts w:ascii="Garamond" w:hAnsi="Garamond"/>
        </w:rPr>
        <w:t xml:space="preserve">enabling the head of household to better showcase the outdoor space </w:t>
      </w:r>
      <w:r w:rsidR="005C548A" w:rsidRPr="006B5318">
        <w:rPr>
          <w:rFonts w:ascii="Garamond" w:hAnsi="Garamond"/>
        </w:rPr>
        <w:t xml:space="preserve">under their control </w:t>
      </w:r>
      <w:r w:rsidR="00AC64E2" w:rsidRPr="006B5318">
        <w:rPr>
          <w:rFonts w:ascii="Garamond" w:hAnsi="Garamond"/>
        </w:rPr>
        <w:t>and to create distance between their residence and the vernacular landscape</w:t>
      </w:r>
      <w:r w:rsidR="00B35944" w:rsidRPr="006B5318">
        <w:rPr>
          <w:rFonts w:ascii="Garamond" w:hAnsi="Garamond"/>
        </w:rPr>
        <w:t xml:space="preserve"> beyond</w:t>
      </w:r>
      <w:r w:rsidR="00AC64E2" w:rsidRPr="006B5318">
        <w:rPr>
          <w:rFonts w:ascii="Garamond" w:hAnsi="Garamond"/>
        </w:rPr>
        <w:t>.</w:t>
      </w:r>
      <w:r w:rsidR="00471803" w:rsidRPr="006B5318">
        <w:rPr>
          <w:rStyle w:val="FootnoteReference"/>
          <w:rFonts w:ascii="Garamond" w:hAnsi="Garamond"/>
        </w:rPr>
        <w:footnoteReference w:id="78"/>
      </w:r>
      <w:r w:rsidR="00AC64E2" w:rsidRPr="006B5318">
        <w:rPr>
          <w:rFonts w:ascii="Garamond" w:hAnsi="Garamond"/>
        </w:rPr>
        <w:t xml:space="preserve"> Amanda Richardson and others have also read the creation of smaller parks in gendered terms, arguing that </w:t>
      </w:r>
      <w:r w:rsidR="000B016E" w:rsidRPr="006B5318">
        <w:rPr>
          <w:rFonts w:ascii="Garamond" w:hAnsi="Garamond"/>
        </w:rPr>
        <w:t xml:space="preserve">the late medieval fashion for creating </w:t>
      </w:r>
      <w:r w:rsidR="00AC64E2" w:rsidRPr="006B5318">
        <w:rPr>
          <w:rFonts w:ascii="Garamond" w:hAnsi="Garamond"/>
        </w:rPr>
        <w:t xml:space="preserve">smaller hunting </w:t>
      </w:r>
      <w:r w:rsidR="00AC64E2" w:rsidRPr="006B5318">
        <w:rPr>
          <w:rFonts w:ascii="Garamond" w:hAnsi="Garamond"/>
        </w:rPr>
        <w:lastRenderedPageBreak/>
        <w:t xml:space="preserve">grounds and ‘lady parks’, such as the one most likely enclosed in 1470 at Lathom for Eleanor Neville (d. before 1471), marked the replacement of </w:t>
      </w:r>
      <w:r w:rsidR="00AE47CC" w:rsidRPr="006B5318">
        <w:rPr>
          <w:rFonts w:ascii="Garamond" w:hAnsi="Garamond"/>
        </w:rPr>
        <w:t xml:space="preserve">the </w:t>
      </w:r>
      <w:r w:rsidR="00AC64E2" w:rsidRPr="006B5318">
        <w:rPr>
          <w:rFonts w:ascii="Garamond" w:hAnsi="Garamond"/>
        </w:rPr>
        <w:t>hunt par force with bow and stable hunting</w:t>
      </w:r>
      <w:r w:rsidR="009355A8" w:rsidRPr="006B5318">
        <w:rPr>
          <w:rFonts w:ascii="Garamond" w:hAnsi="Garamond"/>
        </w:rPr>
        <w:t xml:space="preserve"> and</w:t>
      </w:r>
      <w:r w:rsidR="00AC64E2" w:rsidRPr="006B5318">
        <w:rPr>
          <w:rFonts w:ascii="Garamond" w:hAnsi="Garamond"/>
        </w:rPr>
        <w:t xml:space="preserve"> hawking</w:t>
      </w:r>
      <w:r w:rsidR="000B016E" w:rsidRPr="006B5318">
        <w:rPr>
          <w:rFonts w:ascii="Garamond" w:hAnsi="Garamond"/>
        </w:rPr>
        <w:t>.</w:t>
      </w:r>
      <w:r w:rsidR="0053778A" w:rsidRPr="006B5318">
        <w:rPr>
          <w:rStyle w:val="FootnoteReference"/>
          <w:rFonts w:ascii="Garamond" w:hAnsi="Garamond"/>
        </w:rPr>
        <w:footnoteReference w:id="79"/>
      </w:r>
      <w:r w:rsidR="00AC64E2" w:rsidRPr="006B5318">
        <w:rPr>
          <w:rFonts w:ascii="Garamond" w:hAnsi="Garamond"/>
        </w:rPr>
        <w:t xml:space="preserve"> </w:t>
      </w:r>
      <w:r w:rsidR="000B016E" w:rsidRPr="006B5318">
        <w:rPr>
          <w:rFonts w:ascii="Garamond" w:hAnsi="Garamond"/>
        </w:rPr>
        <w:t>The latter forms of hunting were</w:t>
      </w:r>
      <w:r w:rsidR="00AC64E2" w:rsidRPr="006B5318">
        <w:rPr>
          <w:rFonts w:ascii="Garamond" w:hAnsi="Garamond"/>
        </w:rPr>
        <w:t xml:space="preserve"> deemed more appropriate for women because they were less dangerous than the hunt par force</w:t>
      </w:r>
      <w:r w:rsidR="009355A8" w:rsidRPr="006B5318">
        <w:rPr>
          <w:rFonts w:ascii="Garamond" w:hAnsi="Garamond"/>
        </w:rPr>
        <w:t>, which was physically strenuous and carried out across open terrain</w:t>
      </w:r>
      <w:r w:rsidR="00AC64E2" w:rsidRPr="006B5318">
        <w:rPr>
          <w:rFonts w:ascii="Garamond" w:hAnsi="Garamond"/>
        </w:rPr>
        <w:t xml:space="preserve">. Richardson also makes a convincing </w:t>
      </w:r>
      <w:r w:rsidR="00F00686" w:rsidRPr="006B5318">
        <w:rPr>
          <w:rFonts w:ascii="Garamond" w:hAnsi="Garamond"/>
        </w:rPr>
        <w:t xml:space="preserve">argument that </w:t>
      </w:r>
      <w:r w:rsidR="00AB0A08" w:rsidRPr="006B5318">
        <w:rPr>
          <w:rFonts w:ascii="Garamond" w:hAnsi="Garamond"/>
        </w:rPr>
        <w:t xml:space="preserve">the driving force behind the creation of the park at </w:t>
      </w:r>
      <w:r w:rsidR="00AC64E2" w:rsidRPr="006B5318">
        <w:rPr>
          <w:rFonts w:ascii="Garamond" w:hAnsi="Garamond"/>
        </w:rPr>
        <w:t xml:space="preserve">Greenwich </w:t>
      </w:r>
      <w:r w:rsidR="00F00686" w:rsidRPr="006B5318">
        <w:rPr>
          <w:rFonts w:ascii="Garamond" w:hAnsi="Garamond"/>
        </w:rPr>
        <w:t>was</w:t>
      </w:r>
      <w:r w:rsidR="005E0E6F" w:rsidRPr="006B5318">
        <w:rPr>
          <w:rFonts w:ascii="Garamond" w:hAnsi="Garamond"/>
        </w:rPr>
        <w:t xml:space="preserve"> the</w:t>
      </w:r>
      <w:r w:rsidR="00AC64E2" w:rsidRPr="006B5318">
        <w:rPr>
          <w:rFonts w:ascii="Garamond" w:hAnsi="Garamond"/>
        </w:rPr>
        <w:t xml:space="preserve"> Duke of Gloucester’s wife</w:t>
      </w:r>
      <w:r w:rsidR="009413A9" w:rsidRPr="006B5318">
        <w:rPr>
          <w:rFonts w:ascii="Garamond" w:hAnsi="Garamond"/>
        </w:rPr>
        <w:t>,</w:t>
      </w:r>
      <w:r w:rsidR="00AC64E2" w:rsidRPr="006B5318">
        <w:rPr>
          <w:rFonts w:ascii="Garamond" w:hAnsi="Garamond"/>
        </w:rPr>
        <w:t xml:space="preserve"> Eleanor Cobham, </w:t>
      </w:r>
      <w:r w:rsidR="00E617C3">
        <w:rPr>
          <w:rFonts w:ascii="Garamond" w:hAnsi="Garamond"/>
        </w:rPr>
        <w:t>on account of</w:t>
      </w:r>
      <w:r w:rsidR="00F04C88" w:rsidRPr="006B5318">
        <w:rPr>
          <w:rFonts w:ascii="Garamond" w:hAnsi="Garamond"/>
        </w:rPr>
        <w:t xml:space="preserve"> </w:t>
      </w:r>
      <w:r w:rsidR="00AC64E2" w:rsidRPr="006B5318">
        <w:rPr>
          <w:rFonts w:ascii="Garamond" w:hAnsi="Garamond"/>
        </w:rPr>
        <w:t>its creation shortly after the</w:t>
      </w:r>
      <w:r w:rsidR="008F7A1A" w:rsidRPr="006B5318">
        <w:rPr>
          <w:rFonts w:ascii="Garamond" w:hAnsi="Garamond"/>
        </w:rPr>
        <w:t xml:space="preserve"> couple’s</w:t>
      </w:r>
      <w:r w:rsidR="00AC64E2" w:rsidRPr="006B5318">
        <w:rPr>
          <w:rFonts w:ascii="Garamond" w:hAnsi="Garamond"/>
        </w:rPr>
        <w:t xml:space="preserve"> marriage and the presence of Eleanor’s name in the patent rolls.</w:t>
      </w:r>
      <w:r w:rsidR="00AC64E2" w:rsidRPr="006B5318">
        <w:rPr>
          <w:rStyle w:val="FootnoteReference"/>
          <w:rFonts w:ascii="Garamond" w:hAnsi="Garamond"/>
        </w:rPr>
        <w:footnoteReference w:id="80"/>
      </w:r>
      <w:r w:rsidR="00AE47CC" w:rsidRPr="006B5318">
        <w:rPr>
          <w:rFonts w:ascii="Garamond" w:hAnsi="Garamond"/>
        </w:rPr>
        <w:t xml:space="preserve"> Th</w:t>
      </w:r>
      <w:r w:rsidR="00BC3E7F" w:rsidRPr="006B5318">
        <w:rPr>
          <w:rFonts w:ascii="Garamond" w:hAnsi="Garamond"/>
        </w:rPr>
        <w:t>us, the</w:t>
      </w:r>
      <w:r w:rsidR="00AE47CC" w:rsidRPr="006B5318">
        <w:rPr>
          <w:rFonts w:ascii="Garamond" w:hAnsi="Garamond"/>
        </w:rPr>
        <w:t xml:space="preserve"> queen’s decision to retain the existing park may have</w:t>
      </w:r>
      <w:r w:rsidR="00BC3E7F" w:rsidRPr="006B5318">
        <w:rPr>
          <w:rFonts w:ascii="Garamond" w:hAnsi="Garamond"/>
        </w:rPr>
        <w:t xml:space="preserve"> been</w:t>
      </w:r>
      <w:r w:rsidR="00AE47CC" w:rsidRPr="006B5318">
        <w:rPr>
          <w:rFonts w:ascii="Garamond" w:hAnsi="Garamond"/>
        </w:rPr>
        <w:t xml:space="preserve"> related to the space’s </w:t>
      </w:r>
      <w:r w:rsidR="000649F4" w:rsidRPr="006B5318">
        <w:rPr>
          <w:rFonts w:ascii="Garamond" w:hAnsi="Garamond"/>
        </w:rPr>
        <w:t xml:space="preserve">fashionable appearance </w:t>
      </w:r>
      <w:r w:rsidR="0079426F" w:rsidRPr="006B5318">
        <w:rPr>
          <w:rFonts w:ascii="Garamond" w:hAnsi="Garamond"/>
        </w:rPr>
        <w:t xml:space="preserve">and </w:t>
      </w:r>
      <w:r w:rsidR="000649F4" w:rsidRPr="006B5318">
        <w:rPr>
          <w:rFonts w:ascii="Garamond" w:hAnsi="Garamond"/>
        </w:rPr>
        <w:t xml:space="preserve">its </w:t>
      </w:r>
      <w:r w:rsidR="00AE47CC" w:rsidRPr="006B5318">
        <w:rPr>
          <w:rFonts w:ascii="Garamond" w:hAnsi="Garamond"/>
        </w:rPr>
        <w:t xml:space="preserve">suitability for </w:t>
      </w:r>
      <w:r w:rsidR="00165925" w:rsidRPr="006B5318">
        <w:rPr>
          <w:rFonts w:ascii="Garamond" w:hAnsi="Garamond"/>
        </w:rPr>
        <w:t xml:space="preserve">forms of hunting which </w:t>
      </w:r>
      <w:r w:rsidR="000B016E" w:rsidRPr="006B5318">
        <w:rPr>
          <w:rFonts w:ascii="Garamond" w:hAnsi="Garamond"/>
        </w:rPr>
        <w:t>facilitated</w:t>
      </w:r>
      <w:r w:rsidR="00165925" w:rsidRPr="006B5318">
        <w:rPr>
          <w:rFonts w:ascii="Garamond" w:hAnsi="Garamond"/>
        </w:rPr>
        <w:t xml:space="preserve"> female participation. </w:t>
      </w:r>
      <w:r w:rsidR="005E13E4" w:rsidRPr="006B5318">
        <w:rPr>
          <w:rFonts w:ascii="Garamond" w:hAnsi="Garamond"/>
        </w:rPr>
        <w:t xml:space="preserve">Margaret </w:t>
      </w:r>
      <w:r w:rsidR="00A1376D" w:rsidRPr="006B5318">
        <w:rPr>
          <w:rFonts w:ascii="Garamond" w:hAnsi="Garamond"/>
        </w:rPr>
        <w:t>certainly</w:t>
      </w:r>
      <w:r w:rsidR="005E13E4" w:rsidRPr="006B5318">
        <w:rPr>
          <w:rFonts w:ascii="Garamond" w:hAnsi="Garamond"/>
        </w:rPr>
        <w:t xml:space="preserve"> loved hunting, and </w:t>
      </w:r>
      <w:r w:rsidR="00690241" w:rsidRPr="006B5318">
        <w:rPr>
          <w:rFonts w:ascii="Garamond" w:hAnsi="Garamond"/>
        </w:rPr>
        <w:t xml:space="preserve">her letters reveal her </w:t>
      </w:r>
      <w:r w:rsidR="005E13E4" w:rsidRPr="006B5318">
        <w:rPr>
          <w:rFonts w:ascii="Garamond" w:hAnsi="Garamond"/>
        </w:rPr>
        <w:t xml:space="preserve">particular concern </w:t>
      </w:r>
      <w:r w:rsidR="00AE47CC" w:rsidRPr="006B5318">
        <w:rPr>
          <w:rFonts w:ascii="Garamond" w:hAnsi="Garamond"/>
        </w:rPr>
        <w:t>for the maintenance of her favourite hunting grounds, whether they were her own or those of friends and associates.</w:t>
      </w:r>
      <w:r w:rsidR="00E56BE4" w:rsidRPr="006B5318">
        <w:rPr>
          <w:rStyle w:val="FootnoteReference"/>
          <w:rFonts w:ascii="Garamond" w:hAnsi="Garamond"/>
        </w:rPr>
        <w:footnoteReference w:id="81"/>
      </w:r>
      <w:r w:rsidR="00AE47CC" w:rsidRPr="006B5318">
        <w:rPr>
          <w:rFonts w:ascii="Garamond" w:hAnsi="Garamond"/>
        </w:rPr>
        <w:t xml:space="preserve"> In 1449, she wrote to the keeper of Abfield park near her residence in Pleshey stating that no person may hunt there unless, ‘hit be under our signet, and signed with our owne hand’.</w:t>
      </w:r>
      <w:r w:rsidR="00AE47CC" w:rsidRPr="006B5318">
        <w:rPr>
          <w:rStyle w:val="FootnoteReference"/>
          <w:rFonts w:ascii="Garamond" w:hAnsi="Garamond"/>
        </w:rPr>
        <w:footnoteReference w:id="82"/>
      </w:r>
      <w:r w:rsidR="00AE47CC" w:rsidRPr="006B5318">
        <w:rPr>
          <w:rFonts w:ascii="Garamond" w:hAnsi="Garamond"/>
        </w:rPr>
        <w:t xml:space="preserve"> She also warned the keeper that if he failed to inform her of trespassers’ names, it would be at his ‘perill’.</w:t>
      </w:r>
      <w:r w:rsidR="00AE47CC" w:rsidRPr="006B5318">
        <w:rPr>
          <w:rStyle w:val="FootnoteReference"/>
          <w:rFonts w:ascii="Garamond" w:hAnsi="Garamond"/>
        </w:rPr>
        <w:footnoteReference w:id="83"/>
      </w:r>
      <w:r w:rsidR="00AE47CC" w:rsidRPr="006B5318">
        <w:rPr>
          <w:rFonts w:ascii="Garamond" w:hAnsi="Garamond"/>
        </w:rPr>
        <w:t xml:space="preserve"> In the previous year</w:t>
      </w:r>
      <w:r w:rsidR="005E13E4" w:rsidRPr="006B5318">
        <w:rPr>
          <w:rFonts w:ascii="Garamond" w:hAnsi="Garamond"/>
        </w:rPr>
        <w:t>, she</w:t>
      </w:r>
      <w:r w:rsidR="00AE47CC" w:rsidRPr="006B5318">
        <w:rPr>
          <w:rFonts w:ascii="Garamond" w:hAnsi="Garamond"/>
        </w:rPr>
        <w:t xml:space="preserve"> had also written to the keeper of Elizabeth, Lady Saye’s park at Faulkbourne in Essex, informing him that only those who had received either her own or Lady Say’s permission were permitted to hunt there.</w:t>
      </w:r>
      <w:r w:rsidR="00AE47CC" w:rsidRPr="006B5318">
        <w:rPr>
          <w:rStyle w:val="FootnoteReference"/>
          <w:rFonts w:ascii="Garamond" w:hAnsi="Garamond"/>
        </w:rPr>
        <w:footnoteReference w:id="84"/>
      </w:r>
    </w:p>
    <w:p w14:paraId="1D4066BA" w14:textId="70AB175E" w:rsidR="00AE47CC" w:rsidRPr="006B5318" w:rsidRDefault="005E13E4" w:rsidP="00330ECB">
      <w:pPr>
        <w:tabs>
          <w:tab w:val="left" w:pos="4253"/>
        </w:tabs>
        <w:spacing w:line="276" w:lineRule="auto"/>
        <w:ind w:firstLine="567"/>
        <w:jc w:val="both"/>
        <w:rPr>
          <w:rFonts w:ascii="Garamond" w:hAnsi="Garamond"/>
        </w:rPr>
      </w:pPr>
      <w:r w:rsidRPr="006B5318">
        <w:rPr>
          <w:rFonts w:ascii="Garamond" w:hAnsi="Garamond"/>
        </w:rPr>
        <w:t>The queen’s letters and writs reveal</w:t>
      </w:r>
      <w:r w:rsidR="00BC3E7F" w:rsidRPr="006B5318">
        <w:rPr>
          <w:rFonts w:ascii="Garamond" w:hAnsi="Garamond"/>
        </w:rPr>
        <w:t xml:space="preserve"> her anxiety regarding</w:t>
      </w:r>
      <w:r w:rsidR="00376A92" w:rsidRPr="006B5318">
        <w:rPr>
          <w:rFonts w:ascii="Garamond" w:hAnsi="Garamond"/>
        </w:rPr>
        <w:t xml:space="preserve"> the presence of</w:t>
      </w:r>
      <w:r w:rsidR="00BC3E7F" w:rsidRPr="006B5318">
        <w:rPr>
          <w:rFonts w:ascii="Garamond" w:hAnsi="Garamond"/>
        </w:rPr>
        <w:t xml:space="preserve"> trespassers</w:t>
      </w:r>
      <w:r w:rsidR="00376A92" w:rsidRPr="006B5318">
        <w:rPr>
          <w:rFonts w:ascii="Garamond" w:hAnsi="Garamond"/>
        </w:rPr>
        <w:t xml:space="preserve"> on her estates</w:t>
      </w:r>
      <w:r w:rsidR="00ED5837" w:rsidRPr="006B5318">
        <w:rPr>
          <w:rFonts w:ascii="Garamond" w:hAnsi="Garamond"/>
        </w:rPr>
        <w:t>. They also</w:t>
      </w:r>
      <w:r w:rsidRPr="006B5318">
        <w:rPr>
          <w:rFonts w:ascii="Garamond" w:hAnsi="Garamond"/>
        </w:rPr>
        <w:t xml:space="preserve"> </w:t>
      </w:r>
      <w:r w:rsidR="00BC3E7F" w:rsidRPr="006B5318">
        <w:rPr>
          <w:rFonts w:ascii="Garamond" w:hAnsi="Garamond"/>
        </w:rPr>
        <w:t xml:space="preserve">show </w:t>
      </w:r>
      <w:r w:rsidRPr="006B5318">
        <w:rPr>
          <w:rFonts w:ascii="Garamond" w:hAnsi="Garamond"/>
        </w:rPr>
        <w:t>that she sought to keep her parks well-stocked</w:t>
      </w:r>
      <w:r w:rsidR="00E97BB4" w:rsidRPr="006B5318">
        <w:rPr>
          <w:rFonts w:ascii="Garamond" w:hAnsi="Garamond"/>
        </w:rPr>
        <w:t>,</w:t>
      </w:r>
      <w:r w:rsidRPr="006B5318">
        <w:rPr>
          <w:rFonts w:ascii="Garamond" w:hAnsi="Garamond"/>
        </w:rPr>
        <w:t xml:space="preserve"> </w:t>
      </w:r>
      <w:r w:rsidR="00AE47CC" w:rsidRPr="006B5318">
        <w:rPr>
          <w:rFonts w:ascii="Garamond" w:hAnsi="Garamond"/>
        </w:rPr>
        <w:t>not only for</w:t>
      </w:r>
      <w:r w:rsidR="0053778A" w:rsidRPr="006B5318">
        <w:rPr>
          <w:rFonts w:ascii="Garamond" w:hAnsi="Garamond"/>
        </w:rPr>
        <w:t xml:space="preserve"> the purposes of</w:t>
      </w:r>
      <w:r w:rsidR="00AE47CC" w:rsidRPr="006B5318">
        <w:rPr>
          <w:rFonts w:ascii="Garamond" w:hAnsi="Garamond"/>
        </w:rPr>
        <w:t xml:space="preserve"> </w:t>
      </w:r>
      <w:r w:rsidRPr="006B5318">
        <w:rPr>
          <w:rFonts w:ascii="Garamond" w:hAnsi="Garamond"/>
        </w:rPr>
        <w:t>her</w:t>
      </w:r>
      <w:r w:rsidR="00AE47CC" w:rsidRPr="006B5318">
        <w:rPr>
          <w:rFonts w:ascii="Garamond" w:hAnsi="Garamond"/>
        </w:rPr>
        <w:t xml:space="preserve"> own hunting activities, but for the recreation of</w:t>
      </w:r>
      <w:r w:rsidRPr="006B5318">
        <w:rPr>
          <w:rFonts w:ascii="Garamond" w:hAnsi="Garamond"/>
        </w:rPr>
        <w:t xml:space="preserve"> her husband</w:t>
      </w:r>
      <w:r w:rsidR="00F60079" w:rsidRPr="006B5318">
        <w:rPr>
          <w:rFonts w:ascii="Garamond" w:hAnsi="Garamond"/>
        </w:rPr>
        <w:t xml:space="preserve"> too</w:t>
      </w:r>
      <w:r w:rsidR="00AE47CC" w:rsidRPr="006B5318">
        <w:rPr>
          <w:rFonts w:ascii="Garamond" w:hAnsi="Garamond"/>
        </w:rPr>
        <w:t>.</w:t>
      </w:r>
      <w:r w:rsidR="00AE47CC" w:rsidRPr="006B5318">
        <w:rPr>
          <w:rStyle w:val="FootnoteReference"/>
          <w:rFonts w:ascii="Garamond" w:hAnsi="Garamond"/>
        </w:rPr>
        <w:footnoteReference w:id="85"/>
      </w:r>
      <w:r w:rsidR="00610859" w:rsidRPr="006B5318">
        <w:rPr>
          <w:rFonts w:ascii="Garamond" w:hAnsi="Garamond"/>
        </w:rPr>
        <w:t xml:space="preserve"> </w:t>
      </w:r>
      <w:r w:rsidR="00F60079" w:rsidRPr="006B5318">
        <w:rPr>
          <w:rFonts w:ascii="Garamond" w:hAnsi="Garamond"/>
        </w:rPr>
        <w:t xml:space="preserve">As with other enclosed outdoor spaces such as gardens and orchards, </w:t>
      </w:r>
      <w:r w:rsidR="00AE47CC" w:rsidRPr="006B5318">
        <w:rPr>
          <w:rFonts w:ascii="Garamond" w:hAnsi="Garamond"/>
        </w:rPr>
        <w:t xml:space="preserve">Richardson argues that </w:t>
      </w:r>
      <w:r w:rsidR="00F60079" w:rsidRPr="006B5318">
        <w:rPr>
          <w:rFonts w:ascii="Garamond" w:hAnsi="Garamond"/>
        </w:rPr>
        <w:t xml:space="preserve">enclosed deer parks owned by women </w:t>
      </w:r>
      <w:r w:rsidR="0023219D" w:rsidRPr="006B5318">
        <w:rPr>
          <w:rFonts w:ascii="Garamond" w:hAnsi="Garamond"/>
        </w:rPr>
        <w:t xml:space="preserve">likely carried close associations with </w:t>
      </w:r>
      <w:r w:rsidR="00F60079" w:rsidRPr="006B5318">
        <w:rPr>
          <w:rFonts w:ascii="Garamond" w:hAnsi="Garamond"/>
        </w:rPr>
        <w:t>female chastity, sexual fidelity and virtue in late medieval discourse.</w:t>
      </w:r>
      <w:r w:rsidR="00610859" w:rsidRPr="006B5318">
        <w:rPr>
          <w:rStyle w:val="FootnoteReference"/>
          <w:rFonts w:ascii="Garamond" w:hAnsi="Garamond"/>
        </w:rPr>
        <w:footnoteReference w:id="86"/>
      </w:r>
      <w:r w:rsidR="00F60079" w:rsidRPr="006B5318">
        <w:rPr>
          <w:rFonts w:ascii="Garamond" w:hAnsi="Garamond"/>
        </w:rPr>
        <w:t xml:space="preserve"> This, however, was not </w:t>
      </w:r>
      <w:r w:rsidR="005D713E" w:rsidRPr="006B5318">
        <w:rPr>
          <w:rFonts w:ascii="Garamond" w:hAnsi="Garamond"/>
        </w:rPr>
        <w:t>singularly</w:t>
      </w:r>
      <w:r w:rsidR="00F60079" w:rsidRPr="006B5318">
        <w:rPr>
          <w:rFonts w:ascii="Garamond" w:hAnsi="Garamond"/>
        </w:rPr>
        <w:t xml:space="preserve"> a concern for women. As Roberta Gilchrist argues, ‘female fidelity, and its display through the physical confinement of women, became essential to the perpetuation of successful lineage’, thus making it a wider family </w:t>
      </w:r>
      <w:r w:rsidR="005D713E" w:rsidRPr="006B5318">
        <w:rPr>
          <w:rFonts w:ascii="Garamond" w:hAnsi="Garamond"/>
        </w:rPr>
        <w:t>issue</w:t>
      </w:r>
      <w:r w:rsidR="00F60079" w:rsidRPr="006B5318">
        <w:rPr>
          <w:rFonts w:ascii="Garamond" w:hAnsi="Garamond"/>
        </w:rPr>
        <w:t>.</w:t>
      </w:r>
      <w:r w:rsidR="00F60079" w:rsidRPr="006B5318">
        <w:rPr>
          <w:rStyle w:val="FootnoteReference"/>
          <w:rFonts w:ascii="Garamond" w:hAnsi="Garamond"/>
        </w:rPr>
        <w:footnoteReference w:id="87"/>
      </w:r>
      <w:r w:rsidR="00F60079" w:rsidRPr="006B5318">
        <w:rPr>
          <w:rFonts w:ascii="Garamond" w:hAnsi="Garamond"/>
        </w:rPr>
        <w:t xml:space="preserve"> </w:t>
      </w:r>
      <w:r w:rsidR="00AF76B1" w:rsidRPr="006B5318">
        <w:rPr>
          <w:rFonts w:ascii="Garamond" w:hAnsi="Garamond"/>
        </w:rPr>
        <w:t>Richardson argues that b</w:t>
      </w:r>
      <w:r w:rsidR="00F60079" w:rsidRPr="006B5318">
        <w:rPr>
          <w:rFonts w:ascii="Garamond" w:hAnsi="Garamond"/>
        </w:rPr>
        <w:t>y forcibly entering parks,</w:t>
      </w:r>
      <w:r w:rsidR="00B47C26" w:rsidRPr="006B5318">
        <w:rPr>
          <w:rFonts w:ascii="Garamond" w:hAnsi="Garamond"/>
        </w:rPr>
        <w:t xml:space="preserve"> </w:t>
      </w:r>
      <w:r w:rsidR="00F604B4" w:rsidRPr="006B5318">
        <w:rPr>
          <w:rFonts w:ascii="Garamond" w:hAnsi="Garamond"/>
        </w:rPr>
        <w:t xml:space="preserve">male </w:t>
      </w:r>
      <w:r w:rsidR="00F60079" w:rsidRPr="006B5318">
        <w:rPr>
          <w:rFonts w:ascii="Garamond" w:hAnsi="Garamond"/>
        </w:rPr>
        <w:t xml:space="preserve">trespassers </w:t>
      </w:r>
      <w:r w:rsidR="00B47C26" w:rsidRPr="006B5318">
        <w:rPr>
          <w:rFonts w:ascii="Garamond" w:hAnsi="Garamond"/>
        </w:rPr>
        <w:t>were able to strike</w:t>
      </w:r>
      <w:r w:rsidR="00F60079" w:rsidRPr="006B5318">
        <w:rPr>
          <w:rFonts w:ascii="Garamond" w:hAnsi="Garamond"/>
        </w:rPr>
        <w:t xml:space="preserve"> at the king through </w:t>
      </w:r>
      <w:r w:rsidR="00AE47CC" w:rsidRPr="006B5318">
        <w:rPr>
          <w:rFonts w:ascii="Garamond" w:hAnsi="Garamond"/>
        </w:rPr>
        <w:t>the symbolic violation of the queen’.</w:t>
      </w:r>
      <w:r w:rsidR="00AE47CC" w:rsidRPr="006B5318">
        <w:rPr>
          <w:rStyle w:val="FootnoteReference"/>
          <w:rFonts w:ascii="Garamond" w:hAnsi="Garamond"/>
        </w:rPr>
        <w:footnoteReference w:id="88"/>
      </w:r>
      <w:r w:rsidR="00AE47CC" w:rsidRPr="006B5318">
        <w:rPr>
          <w:rFonts w:ascii="Garamond" w:hAnsi="Garamond"/>
        </w:rPr>
        <w:t xml:space="preserve"> The concept of challenging the king’s authority through the violation of female spaces resonates with Mark Ormrod’s reading of an episode from the Peasants’ Revolt of 1381, </w:t>
      </w:r>
      <w:r w:rsidR="00A1376D" w:rsidRPr="006B5318">
        <w:rPr>
          <w:rFonts w:ascii="Garamond" w:hAnsi="Garamond"/>
        </w:rPr>
        <w:t>in which</w:t>
      </w:r>
      <w:r w:rsidR="00AE47CC" w:rsidRPr="006B5318">
        <w:rPr>
          <w:rFonts w:ascii="Garamond" w:hAnsi="Garamond"/>
        </w:rPr>
        <w:t xml:space="preserve"> the rebels broke into the chamber of the king’s mother, Joan of Kent. Ormrod shows how the chroniclers Froissart and Walsingham employ the spatial politics of the chamber to emphasise the heinous nature of the rebels’ actions and to present Joan as both vulnerable and a royal patroness who validates her son’s deeds.</w:t>
      </w:r>
      <w:r w:rsidR="00AE47CC" w:rsidRPr="006B5318">
        <w:rPr>
          <w:rStyle w:val="FootnoteReference"/>
          <w:rFonts w:ascii="Garamond" w:hAnsi="Garamond"/>
        </w:rPr>
        <w:footnoteReference w:id="89"/>
      </w:r>
      <w:r w:rsidR="00AE47CC" w:rsidRPr="006B5318">
        <w:rPr>
          <w:rFonts w:ascii="Garamond" w:hAnsi="Garamond"/>
        </w:rPr>
        <w:t xml:space="preserve"> By breaking into Joan’s </w:t>
      </w:r>
      <w:r w:rsidR="00AE47CC" w:rsidRPr="006B5318">
        <w:rPr>
          <w:rFonts w:ascii="Garamond" w:hAnsi="Garamond"/>
        </w:rPr>
        <w:lastRenderedPageBreak/>
        <w:t xml:space="preserve">bedchamber, the rebels </w:t>
      </w:r>
      <w:r w:rsidR="00FB5638" w:rsidRPr="006B5318">
        <w:rPr>
          <w:rFonts w:ascii="Garamond" w:hAnsi="Garamond"/>
        </w:rPr>
        <w:t xml:space="preserve">not only </w:t>
      </w:r>
      <w:r w:rsidR="00AE47CC" w:rsidRPr="006B5318">
        <w:rPr>
          <w:rFonts w:ascii="Garamond" w:hAnsi="Garamond"/>
        </w:rPr>
        <w:t xml:space="preserve">threatened Joan’s sexual respectability, </w:t>
      </w:r>
      <w:r w:rsidR="00FB5638" w:rsidRPr="006B5318">
        <w:rPr>
          <w:rFonts w:ascii="Garamond" w:hAnsi="Garamond"/>
        </w:rPr>
        <w:t>but also</w:t>
      </w:r>
      <w:r w:rsidR="00AE47CC" w:rsidRPr="006B5318">
        <w:rPr>
          <w:rFonts w:ascii="Garamond" w:hAnsi="Garamond"/>
        </w:rPr>
        <w:t xml:space="preserve"> her son’s sovereignty.</w:t>
      </w:r>
      <w:r w:rsidR="00AE47CC" w:rsidRPr="006B5318">
        <w:rPr>
          <w:rStyle w:val="FootnoteReference"/>
          <w:rFonts w:ascii="Garamond" w:hAnsi="Garamond"/>
        </w:rPr>
        <w:footnoteReference w:id="90"/>
      </w:r>
      <w:r w:rsidR="00AE47CC" w:rsidRPr="006B5318">
        <w:rPr>
          <w:rFonts w:ascii="Garamond" w:hAnsi="Garamond"/>
        </w:rPr>
        <w:t xml:space="preserve"> </w:t>
      </w:r>
      <w:r w:rsidR="00F60079" w:rsidRPr="006B5318">
        <w:rPr>
          <w:rFonts w:ascii="Garamond" w:hAnsi="Garamond"/>
        </w:rPr>
        <w:t xml:space="preserve">Similarly, Nicola Clark has shown how the downfall of </w:t>
      </w:r>
      <w:r w:rsidR="00913708" w:rsidRPr="006B5318">
        <w:rPr>
          <w:rFonts w:ascii="Garamond" w:hAnsi="Garamond"/>
        </w:rPr>
        <w:t>Henry VIII’s fifth wife, C</w:t>
      </w:r>
      <w:r w:rsidR="00F60079" w:rsidRPr="006B5318">
        <w:rPr>
          <w:rFonts w:ascii="Garamond" w:hAnsi="Garamond"/>
        </w:rPr>
        <w:t>atherine Howard</w:t>
      </w:r>
      <w:r w:rsidR="00913708" w:rsidRPr="006B5318">
        <w:rPr>
          <w:rFonts w:ascii="Garamond" w:hAnsi="Garamond"/>
        </w:rPr>
        <w:t>,</w:t>
      </w:r>
      <w:r w:rsidR="00F60079" w:rsidRPr="006B5318">
        <w:rPr>
          <w:rFonts w:ascii="Garamond" w:hAnsi="Garamond"/>
        </w:rPr>
        <w:t xml:space="preserve"> </w:t>
      </w:r>
      <w:r w:rsidR="00BC3E7F" w:rsidRPr="006B5318">
        <w:rPr>
          <w:rFonts w:ascii="Garamond" w:hAnsi="Garamond"/>
        </w:rPr>
        <w:t xml:space="preserve">hinged on the </w:t>
      </w:r>
      <w:r w:rsidR="00F60079" w:rsidRPr="006B5318">
        <w:rPr>
          <w:rFonts w:ascii="Garamond" w:hAnsi="Garamond"/>
        </w:rPr>
        <w:t xml:space="preserve">mismanagement of </w:t>
      </w:r>
      <w:r w:rsidR="00CE3327" w:rsidRPr="006B5318">
        <w:rPr>
          <w:rFonts w:ascii="Garamond" w:hAnsi="Garamond"/>
        </w:rPr>
        <w:t xml:space="preserve">domestic </w:t>
      </w:r>
      <w:r w:rsidR="00F60079" w:rsidRPr="006B5318">
        <w:rPr>
          <w:rFonts w:ascii="Garamond" w:hAnsi="Garamond"/>
        </w:rPr>
        <w:t xml:space="preserve">space by </w:t>
      </w:r>
      <w:r w:rsidR="00D7055F" w:rsidRPr="006B5318">
        <w:rPr>
          <w:rFonts w:ascii="Garamond" w:hAnsi="Garamond"/>
        </w:rPr>
        <w:t>her step-grandmother, Agnes Tilney, duchess of Norfolk, in whose household</w:t>
      </w:r>
      <w:r w:rsidR="00913708" w:rsidRPr="006B5318">
        <w:rPr>
          <w:rFonts w:ascii="Garamond" w:hAnsi="Garamond"/>
        </w:rPr>
        <w:t xml:space="preserve"> </w:t>
      </w:r>
      <w:r w:rsidR="00CE3327" w:rsidRPr="006B5318">
        <w:rPr>
          <w:rFonts w:ascii="Garamond" w:hAnsi="Garamond"/>
        </w:rPr>
        <w:t>the queen</w:t>
      </w:r>
      <w:r w:rsidR="00913708" w:rsidRPr="006B5318">
        <w:rPr>
          <w:rFonts w:ascii="Garamond" w:hAnsi="Garamond"/>
        </w:rPr>
        <w:t xml:space="preserve"> had</w:t>
      </w:r>
      <w:r w:rsidR="00D7055F" w:rsidRPr="006B5318">
        <w:rPr>
          <w:rFonts w:ascii="Garamond" w:hAnsi="Garamond"/>
        </w:rPr>
        <w:t xml:space="preserve"> gr</w:t>
      </w:r>
      <w:r w:rsidR="00913708" w:rsidRPr="006B5318">
        <w:rPr>
          <w:rFonts w:ascii="Garamond" w:hAnsi="Garamond"/>
        </w:rPr>
        <w:t>own</w:t>
      </w:r>
      <w:r w:rsidR="00D7055F" w:rsidRPr="006B5318">
        <w:rPr>
          <w:rFonts w:ascii="Garamond" w:hAnsi="Garamond"/>
        </w:rPr>
        <w:t xml:space="preserve"> up. The </w:t>
      </w:r>
      <w:r w:rsidR="00B47C26" w:rsidRPr="006B5318">
        <w:rPr>
          <w:rFonts w:ascii="Garamond" w:hAnsi="Garamond"/>
        </w:rPr>
        <w:t>ability of</w:t>
      </w:r>
      <w:r w:rsidR="00D7055F" w:rsidRPr="006B5318">
        <w:rPr>
          <w:rFonts w:ascii="Garamond" w:hAnsi="Garamond"/>
        </w:rPr>
        <w:t xml:space="preserve"> several men to gain the key to maidens’ chamber where the women of the household slept</w:t>
      </w:r>
      <w:r w:rsidR="00B47C26" w:rsidRPr="006B5318">
        <w:rPr>
          <w:rFonts w:ascii="Garamond" w:hAnsi="Garamond"/>
        </w:rPr>
        <w:t xml:space="preserve"> </w:t>
      </w:r>
      <w:r w:rsidR="00CE3327" w:rsidRPr="006B5318">
        <w:rPr>
          <w:rFonts w:ascii="Garamond" w:hAnsi="Garamond"/>
        </w:rPr>
        <w:t>subsequently</w:t>
      </w:r>
      <w:r w:rsidR="00B47C26" w:rsidRPr="006B5318">
        <w:rPr>
          <w:rFonts w:ascii="Garamond" w:hAnsi="Garamond"/>
        </w:rPr>
        <w:t xml:space="preserve"> </w:t>
      </w:r>
      <w:r w:rsidR="00D7055F" w:rsidRPr="006B5318">
        <w:rPr>
          <w:rFonts w:ascii="Garamond" w:hAnsi="Garamond"/>
        </w:rPr>
        <w:t>embroil</w:t>
      </w:r>
      <w:r w:rsidR="00B47C26" w:rsidRPr="006B5318">
        <w:rPr>
          <w:rFonts w:ascii="Garamond" w:hAnsi="Garamond"/>
        </w:rPr>
        <w:t>ed</w:t>
      </w:r>
      <w:r w:rsidR="00D7055F" w:rsidRPr="006B5318">
        <w:rPr>
          <w:rFonts w:ascii="Garamond" w:hAnsi="Garamond"/>
        </w:rPr>
        <w:t xml:space="preserve"> Agnes and Katherine in a royal scandal, </w:t>
      </w:r>
      <w:r w:rsidR="00913708" w:rsidRPr="006B5318">
        <w:rPr>
          <w:rFonts w:ascii="Garamond" w:hAnsi="Garamond"/>
        </w:rPr>
        <w:t>resulting in the former’s tarnished reputation and the latter’s death.</w:t>
      </w:r>
      <w:r w:rsidR="0053778A" w:rsidRPr="006B5318">
        <w:rPr>
          <w:rStyle w:val="FootnoteReference"/>
          <w:rFonts w:ascii="Garamond" w:hAnsi="Garamond"/>
        </w:rPr>
        <w:footnoteReference w:id="91"/>
      </w:r>
      <w:r w:rsidR="00913708" w:rsidRPr="006B5318">
        <w:rPr>
          <w:rFonts w:ascii="Garamond" w:hAnsi="Garamond"/>
        </w:rPr>
        <w:t xml:space="preserve"> Margaret of Anjou’s eagerness to defend and protect </w:t>
      </w:r>
      <w:r w:rsidR="009F3351" w:rsidRPr="006B5318">
        <w:rPr>
          <w:rFonts w:ascii="Garamond" w:hAnsi="Garamond"/>
        </w:rPr>
        <w:t>the boundaries of her</w:t>
      </w:r>
      <w:r w:rsidR="00913708" w:rsidRPr="006B5318">
        <w:rPr>
          <w:rFonts w:ascii="Garamond" w:hAnsi="Garamond"/>
        </w:rPr>
        <w:t xml:space="preserve"> estates </w:t>
      </w:r>
      <w:r w:rsidR="00AE47CC" w:rsidRPr="006B5318">
        <w:rPr>
          <w:rFonts w:ascii="Garamond" w:hAnsi="Garamond"/>
        </w:rPr>
        <w:t>was</w:t>
      </w:r>
      <w:r w:rsidR="0053778A" w:rsidRPr="006B5318">
        <w:rPr>
          <w:rFonts w:ascii="Garamond" w:hAnsi="Garamond"/>
        </w:rPr>
        <w:t>,</w:t>
      </w:r>
      <w:r w:rsidR="009F0DED" w:rsidRPr="006B5318">
        <w:rPr>
          <w:rFonts w:ascii="Garamond" w:hAnsi="Garamond"/>
        </w:rPr>
        <w:t xml:space="preserve"> therefore</w:t>
      </w:r>
      <w:r w:rsidR="0053778A" w:rsidRPr="006B5318">
        <w:rPr>
          <w:rFonts w:ascii="Garamond" w:hAnsi="Garamond"/>
        </w:rPr>
        <w:t>,</w:t>
      </w:r>
      <w:r w:rsidR="00AE47CC" w:rsidRPr="006B5318">
        <w:rPr>
          <w:rFonts w:ascii="Garamond" w:hAnsi="Garamond"/>
        </w:rPr>
        <w:t xml:space="preserve"> not only a personal matter</w:t>
      </w:r>
      <w:r w:rsidR="00782CEB" w:rsidRPr="006B5318">
        <w:rPr>
          <w:rFonts w:ascii="Garamond" w:hAnsi="Garamond"/>
        </w:rPr>
        <w:t>;</w:t>
      </w:r>
      <w:r w:rsidR="00BC3E7F" w:rsidRPr="006B5318">
        <w:rPr>
          <w:rFonts w:ascii="Garamond" w:hAnsi="Garamond"/>
        </w:rPr>
        <w:t xml:space="preserve"> it</w:t>
      </w:r>
      <w:r w:rsidR="00AE47CC" w:rsidRPr="006B5318">
        <w:rPr>
          <w:rFonts w:ascii="Garamond" w:hAnsi="Garamond"/>
        </w:rPr>
        <w:t xml:space="preserve"> also had implications for the broader reputation</w:t>
      </w:r>
      <w:r w:rsidR="00913708" w:rsidRPr="006B5318">
        <w:rPr>
          <w:rFonts w:ascii="Garamond" w:hAnsi="Garamond"/>
        </w:rPr>
        <w:t xml:space="preserve"> of her family</w:t>
      </w:r>
      <w:r w:rsidR="00B47C26" w:rsidRPr="006B5318">
        <w:rPr>
          <w:rFonts w:ascii="Garamond" w:hAnsi="Garamond"/>
        </w:rPr>
        <w:t xml:space="preserve"> too</w:t>
      </w:r>
      <w:r w:rsidR="00AE47CC" w:rsidRPr="006B5318">
        <w:rPr>
          <w:rFonts w:ascii="Garamond" w:hAnsi="Garamond"/>
        </w:rPr>
        <w:t xml:space="preserve">. </w:t>
      </w:r>
    </w:p>
    <w:p w14:paraId="0D9DC854" w14:textId="77777777" w:rsidR="00AE47CC" w:rsidRPr="006B5318" w:rsidRDefault="00AE47CC" w:rsidP="00330ECB">
      <w:pPr>
        <w:spacing w:line="276" w:lineRule="auto"/>
        <w:ind w:firstLine="567"/>
        <w:jc w:val="both"/>
        <w:rPr>
          <w:rFonts w:ascii="Garamond" w:hAnsi="Garamond"/>
        </w:rPr>
      </w:pPr>
    </w:p>
    <w:p w14:paraId="04164E70" w14:textId="77777777" w:rsidR="00913708" w:rsidRPr="006B5318" w:rsidRDefault="00913708" w:rsidP="00330ECB">
      <w:pPr>
        <w:spacing w:line="276" w:lineRule="auto"/>
        <w:rPr>
          <w:rFonts w:ascii="Garamond" w:hAnsi="Garamond"/>
          <w:b/>
          <w:bCs/>
        </w:rPr>
      </w:pPr>
      <w:r w:rsidRPr="006B5318">
        <w:rPr>
          <w:rFonts w:ascii="Garamond" w:hAnsi="Garamond"/>
          <w:b/>
          <w:bCs/>
        </w:rPr>
        <w:t>Conclusion</w:t>
      </w:r>
    </w:p>
    <w:p w14:paraId="0791D292" w14:textId="014F5C2A" w:rsidR="000A68BB" w:rsidRPr="006B5318" w:rsidRDefault="00913708" w:rsidP="00330ECB">
      <w:pPr>
        <w:tabs>
          <w:tab w:val="left" w:pos="4253"/>
        </w:tabs>
        <w:spacing w:line="276" w:lineRule="auto"/>
        <w:jc w:val="both"/>
        <w:rPr>
          <w:rFonts w:ascii="Garamond" w:hAnsi="Garamond"/>
        </w:rPr>
      </w:pPr>
      <w:r w:rsidRPr="006B5318">
        <w:rPr>
          <w:rFonts w:ascii="Garamond" w:hAnsi="Garamond"/>
        </w:rPr>
        <w:t>In many ways, Margaret’s palace at Greenwich appears to have been a site where normative gender roles were encoded in domestic architecture. The king and queen had separate living quarters, and the queen’s apartments spatially emphasised her piety and privacy by prioritising views onto the adjoining gardens and chapel</w:t>
      </w:r>
      <w:r w:rsidR="00594ADD" w:rsidRPr="006B5318">
        <w:rPr>
          <w:rFonts w:ascii="Garamond" w:hAnsi="Garamond"/>
        </w:rPr>
        <w:t xml:space="preserve">, thus conforming to the spatial layout </w:t>
      </w:r>
      <w:r w:rsidR="008A6100" w:rsidRPr="006B5318">
        <w:rPr>
          <w:rFonts w:ascii="Garamond" w:hAnsi="Garamond"/>
        </w:rPr>
        <w:t xml:space="preserve">we would expect to find in </w:t>
      </w:r>
      <w:r w:rsidR="00594ADD" w:rsidRPr="006B5318">
        <w:rPr>
          <w:rFonts w:ascii="Garamond" w:hAnsi="Garamond"/>
        </w:rPr>
        <w:t>castles and palaces under male lordship</w:t>
      </w:r>
      <w:r w:rsidRPr="006B5318">
        <w:rPr>
          <w:rFonts w:ascii="Garamond" w:hAnsi="Garamond"/>
        </w:rPr>
        <w:t xml:space="preserve">. The inclusion of a library in the king’s ward is also suggestive of </w:t>
      </w:r>
      <w:r w:rsidR="00E56BE4" w:rsidRPr="006B5318">
        <w:rPr>
          <w:rFonts w:ascii="Garamond" w:hAnsi="Garamond"/>
        </w:rPr>
        <w:t xml:space="preserve">slight </w:t>
      </w:r>
      <w:r w:rsidRPr="006B5318">
        <w:rPr>
          <w:rFonts w:ascii="Garamond" w:hAnsi="Garamond"/>
        </w:rPr>
        <w:t>differences in the spatial arrangements of the two wards</w:t>
      </w:r>
      <w:r w:rsidR="00966DB2" w:rsidRPr="006B5318">
        <w:rPr>
          <w:rFonts w:ascii="Garamond" w:hAnsi="Garamond"/>
        </w:rPr>
        <w:t>, and thus the differing roles of the king and queen.</w:t>
      </w:r>
    </w:p>
    <w:p w14:paraId="090D4F16" w14:textId="0D3D2ADA" w:rsidR="00124A38" w:rsidRPr="006B5318" w:rsidRDefault="00913708" w:rsidP="00124A38">
      <w:pPr>
        <w:tabs>
          <w:tab w:val="left" w:pos="4253"/>
        </w:tabs>
        <w:spacing w:line="276" w:lineRule="auto"/>
        <w:ind w:firstLine="567"/>
        <w:jc w:val="both"/>
        <w:rPr>
          <w:rFonts w:ascii="Garamond" w:hAnsi="Garamond"/>
        </w:rPr>
      </w:pPr>
      <w:r w:rsidRPr="006B5318">
        <w:rPr>
          <w:rFonts w:ascii="Garamond" w:hAnsi="Garamond"/>
        </w:rPr>
        <w:t>The new window devised for the king’s closet</w:t>
      </w:r>
      <w:r w:rsidR="00DB4347" w:rsidRPr="006B5318">
        <w:rPr>
          <w:rFonts w:ascii="Garamond" w:hAnsi="Garamond"/>
        </w:rPr>
        <w:t>,</w:t>
      </w:r>
      <w:r w:rsidRPr="006B5318">
        <w:rPr>
          <w:rFonts w:ascii="Garamond" w:hAnsi="Garamond"/>
        </w:rPr>
        <w:t xml:space="preserve"> with its emphasis on the holy family</w:t>
      </w:r>
      <w:r w:rsidR="00DB4347" w:rsidRPr="006B5318">
        <w:rPr>
          <w:rFonts w:ascii="Garamond" w:hAnsi="Garamond"/>
        </w:rPr>
        <w:t>,</w:t>
      </w:r>
      <w:r w:rsidRPr="006B5318">
        <w:rPr>
          <w:rFonts w:ascii="Garamond" w:hAnsi="Garamond"/>
        </w:rPr>
        <w:t xml:space="preserve"> a</w:t>
      </w:r>
      <w:r w:rsidR="00C627B9" w:rsidRPr="006B5318">
        <w:rPr>
          <w:rFonts w:ascii="Garamond" w:hAnsi="Garamond"/>
        </w:rPr>
        <w:t>long with</w:t>
      </w:r>
      <w:r w:rsidRPr="006B5318">
        <w:rPr>
          <w:rFonts w:ascii="Garamond" w:hAnsi="Garamond"/>
        </w:rPr>
        <w:t xml:space="preserve"> the presence of lodgings for the king’s brothers in the privy garden</w:t>
      </w:r>
      <w:r w:rsidR="00E31CDD" w:rsidRPr="006B5318">
        <w:rPr>
          <w:rFonts w:ascii="Garamond" w:hAnsi="Garamond"/>
        </w:rPr>
        <w:t>,</w:t>
      </w:r>
      <w:r w:rsidR="00C970F7" w:rsidRPr="006B5318">
        <w:rPr>
          <w:rFonts w:ascii="Garamond" w:hAnsi="Garamond"/>
        </w:rPr>
        <w:t xml:space="preserve"> also suggest that Greenwich was a site where Margaret advertised her power through the family</w:t>
      </w:r>
      <w:r w:rsidRPr="006B5318">
        <w:rPr>
          <w:rFonts w:ascii="Garamond" w:hAnsi="Garamond"/>
        </w:rPr>
        <w:t xml:space="preserve">. </w:t>
      </w:r>
      <w:r w:rsidR="00BC3E7F" w:rsidRPr="006B5318">
        <w:rPr>
          <w:rFonts w:ascii="Garamond" w:hAnsi="Garamond"/>
        </w:rPr>
        <w:t xml:space="preserve">Margaret’s concern for the maintenance of her hunting grounds can also be read in this light, with control over access being closely linked to female chastity and lineage, and, by extension, the king’s sovereignty. </w:t>
      </w:r>
      <w:r w:rsidRPr="006B5318">
        <w:rPr>
          <w:rFonts w:ascii="Garamond" w:hAnsi="Garamond"/>
        </w:rPr>
        <w:t>In th</w:t>
      </w:r>
      <w:r w:rsidR="00BC3E7F" w:rsidRPr="006B5318">
        <w:rPr>
          <w:rFonts w:ascii="Garamond" w:hAnsi="Garamond"/>
        </w:rPr>
        <w:t>ese</w:t>
      </w:r>
      <w:r w:rsidRPr="006B5318">
        <w:rPr>
          <w:rFonts w:ascii="Garamond" w:hAnsi="Garamond"/>
        </w:rPr>
        <w:t xml:space="preserve"> respect</w:t>
      </w:r>
      <w:r w:rsidR="00BC3E7F" w:rsidRPr="006B5318">
        <w:rPr>
          <w:rFonts w:ascii="Garamond" w:hAnsi="Garamond"/>
        </w:rPr>
        <w:t>s</w:t>
      </w:r>
      <w:r w:rsidRPr="006B5318">
        <w:rPr>
          <w:rFonts w:ascii="Garamond" w:hAnsi="Garamond"/>
        </w:rPr>
        <w:t>, the queen’s</w:t>
      </w:r>
      <w:r w:rsidR="00596ABA" w:rsidRPr="006B5318">
        <w:rPr>
          <w:rFonts w:ascii="Garamond" w:hAnsi="Garamond"/>
        </w:rPr>
        <w:t xml:space="preserve"> renovations at Greenwich</w:t>
      </w:r>
      <w:r w:rsidRPr="006B5318">
        <w:rPr>
          <w:rFonts w:ascii="Garamond" w:hAnsi="Garamond"/>
        </w:rPr>
        <w:t xml:space="preserve"> </w:t>
      </w:r>
      <w:r w:rsidR="00BC3E7F" w:rsidRPr="006B5318">
        <w:rPr>
          <w:rFonts w:ascii="Garamond" w:hAnsi="Garamond"/>
        </w:rPr>
        <w:t>appear</w:t>
      </w:r>
      <w:r w:rsidRPr="006B5318">
        <w:rPr>
          <w:rFonts w:ascii="Garamond" w:hAnsi="Garamond"/>
        </w:rPr>
        <w:t xml:space="preserve"> to have expressed her distinctly feminine concerns as queen consort</w:t>
      </w:r>
      <w:r w:rsidR="00594ADD" w:rsidRPr="006B5318">
        <w:rPr>
          <w:rFonts w:ascii="Garamond" w:hAnsi="Garamond"/>
        </w:rPr>
        <w:t>, complement</w:t>
      </w:r>
      <w:r w:rsidR="00540FB9" w:rsidRPr="006B5318">
        <w:rPr>
          <w:rFonts w:ascii="Garamond" w:hAnsi="Garamond"/>
        </w:rPr>
        <w:t>ing</w:t>
      </w:r>
      <w:r w:rsidR="00594ADD" w:rsidRPr="006B5318">
        <w:rPr>
          <w:rFonts w:ascii="Garamond" w:hAnsi="Garamond"/>
        </w:rPr>
        <w:t xml:space="preserve"> her husband’s kingship, </w:t>
      </w:r>
      <w:r w:rsidR="00540FB9" w:rsidRPr="006B5318">
        <w:rPr>
          <w:rFonts w:ascii="Garamond" w:hAnsi="Garamond"/>
        </w:rPr>
        <w:t xml:space="preserve">and </w:t>
      </w:r>
      <w:r w:rsidR="00240BAD" w:rsidRPr="006B5318">
        <w:rPr>
          <w:rFonts w:ascii="Garamond" w:hAnsi="Garamond"/>
        </w:rPr>
        <w:t>thus</w:t>
      </w:r>
      <w:r w:rsidR="00124A38" w:rsidRPr="006B5318">
        <w:rPr>
          <w:rFonts w:ascii="Garamond" w:hAnsi="Garamond"/>
        </w:rPr>
        <w:t xml:space="preserve"> seemingly</w:t>
      </w:r>
      <w:r w:rsidR="00240BAD" w:rsidRPr="006B5318">
        <w:rPr>
          <w:rFonts w:ascii="Garamond" w:hAnsi="Garamond"/>
        </w:rPr>
        <w:t xml:space="preserve"> </w:t>
      </w:r>
      <w:r w:rsidR="00540FB9" w:rsidRPr="006B5318">
        <w:rPr>
          <w:rFonts w:ascii="Garamond" w:hAnsi="Garamond"/>
        </w:rPr>
        <w:t xml:space="preserve">reinforcing </w:t>
      </w:r>
      <w:r w:rsidR="00594ADD" w:rsidRPr="006B5318">
        <w:rPr>
          <w:rFonts w:ascii="Garamond" w:hAnsi="Garamond"/>
        </w:rPr>
        <w:t>Laynesmith</w:t>
      </w:r>
      <w:r w:rsidR="00ED5837" w:rsidRPr="006B5318">
        <w:rPr>
          <w:rFonts w:ascii="Garamond" w:hAnsi="Garamond"/>
        </w:rPr>
        <w:t>’s argument</w:t>
      </w:r>
      <w:r w:rsidR="000A68BB" w:rsidRPr="006B5318">
        <w:rPr>
          <w:rFonts w:ascii="Garamond" w:hAnsi="Garamond"/>
        </w:rPr>
        <w:t xml:space="preserve"> </w:t>
      </w:r>
      <w:r w:rsidR="00ED5837" w:rsidRPr="006B5318">
        <w:rPr>
          <w:rFonts w:ascii="Garamond" w:hAnsi="Garamond"/>
        </w:rPr>
        <w:t xml:space="preserve">regarding </w:t>
      </w:r>
      <w:r w:rsidR="00594ADD" w:rsidRPr="006B5318">
        <w:rPr>
          <w:rFonts w:ascii="Garamond" w:hAnsi="Garamond"/>
        </w:rPr>
        <w:t>the</w:t>
      </w:r>
      <w:r w:rsidR="00584495" w:rsidRPr="006B5318">
        <w:rPr>
          <w:rFonts w:ascii="Garamond" w:hAnsi="Garamond"/>
        </w:rPr>
        <w:t xml:space="preserve"> </w:t>
      </w:r>
      <w:r w:rsidR="00025BB8" w:rsidRPr="006B5318">
        <w:rPr>
          <w:rFonts w:ascii="Garamond" w:hAnsi="Garamond"/>
        </w:rPr>
        <w:t>nature</w:t>
      </w:r>
      <w:r w:rsidR="00594ADD" w:rsidRPr="006B5318">
        <w:rPr>
          <w:rFonts w:ascii="Garamond" w:hAnsi="Garamond"/>
        </w:rPr>
        <w:t xml:space="preserve"> of Margaret’s household</w:t>
      </w:r>
      <w:r w:rsidR="00B86EF9" w:rsidRPr="006B5318">
        <w:rPr>
          <w:rFonts w:ascii="Garamond" w:hAnsi="Garamond"/>
        </w:rPr>
        <w:t>.</w:t>
      </w:r>
    </w:p>
    <w:p w14:paraId="0B349FD4" w14:textId="18DB7DF1" w:rsidR="00B53BDF" w:rsidRPr="006B5318" w:rsidRDefault="00594ADD" w:rsidP="00B53BDF">
      <w:pPr>
        <w:tabs>
          <w:tab w:val="left" w:pos="4253"/>
        </w:tabs>
        <w:spacing w:line="276" w:lineRule="auto"/>
        <w:ind w:firstLine="567"/>
        <w:jc w:val="both"/>
        <w:rPr>
          <w:rFonts w:ascii="Garamond" w:hAnsi="Garamond"/>
        </w:rPr>
      </w:pPr>
      <w:r w:rsidRPr="006B5318">
        <w:rPr>
          <w:rFonts w:ascii="Garamond" w:hAnsi="Garamond"/>
        </w:rPr>
        <w:t>The addition of rooms for Margaret’s servants and the arrangement of her own apartments over two levels, however, suggests a more equal power relationship between the king and queen than that suggested by the architecture of the king</w:t>
      </w:r>
      <w:r w:rsidR="00BC3E7F" w:rsidRPr="006B5318">
        <w:rPr>
          <w:rFonts w:ascii="Garamond" w:hAnsi="Garamond"/>
        </w:rPr>
        <w:t>ly</w:t>
      </w:r>
      <w:r w:rsidRPr="006B5318">
        <w:rPr>
          <w:rFonts w:ascii="Garamond" w:hAnsi="Garamond"/>
        </w:rPr>
        <w:t xml:space="preserve"> </w:t>
      </w:r>
      <w:r w:rsidR="00013CD4" w:rsidRPr="006B5318">
        <w:rPr>
          <w:rFonts w:ascii="Garamond" w:hAnsi="Garamond"/>
        </w:rPr>
        <w:t>residences</w:t>
      </w:r>
      <w:r w:rsidRPr="006B5318">
        <w:rPr>
          <w:rFonts w:ascii="Garamond" w:hAnsi="Garamond"/>
        </w:rPr>
        <w:t xml:space="preserve">, where </w:t>
      </w:r>
      <w:r w:rsidR="00013CD4" w:rsidRPr="006B5318">
        <w:rPr>
          <w:rFonts w:ascii="Garamond" w:hAnsi="Garamond"/>
        </w:rPr>
        <w:t xml:space="preserve">the queen’s </w:t>
      </w:r>
      <w:r w:rsidRPr="006B5318">
        <w:rPr>
          <w:rFonts w:ascii="Garamond" w:hAnsi="Garamond"/>
        </w:rPr>
        <w:t>quarters were</w:t>
      </w:r>
      <w:r w:rsidR="00013CD4" w:rsidRPr="006B5318">
        <w:rPr>
          <w:rFonts w:ascii="Garamond" w:hAnsi="Garamond"/>
        </w:rPr>
        <w:t xml:space="preserve"> </w:t>
      </w:r>
      <w:r w:rsidR="004839F3" w:rsidRPr="006B5318">
        <w:rPr>
          <w:rFonts w:ascii="Garamond" w:hAnsi="Garamond"/>
        </w:rPr>
        <w:t xml:space="preserve">often </w:t>
      </w:r>
      <w:r w:rsidR="00013CD4" w:rsidRPr="006B5318">
        <w:rPr>
          <w:rFonts w:ascii="Garamond" w:hAnsi="Garamond"/>
        </w:rPr>
        <w:t>located more secluded parts of the high-status domestic complex, or beneath those of their husband</w:t>
      </w:r>
      <w:r w:rsidR="000C6D74" w:rsidRPr="006B5318">
        <w:rPr>
          <w:rFonts w:ascii="Garamond" w:hAnsi="Garamond"/>
        </w:rPr>
        <w:t>s</w:t>
      </w:r>
      <w:r w:rsidRPr="006B5318">
        <w:rPr>
          <w:rFonts w:ascii="Garamond" w:hAnsi="Garamond"/>
        </w:rPr>
        <w:t>.</w:t>
      </w:r>
      <w:r w:rsidR="000C6D74" w:rsidRPr="006B5318">
        <w:rPr>
          <w:rFonts w:ascii="Garamond" w:hAnsi="Garamond"/>
        </w:rPr>
        <w:t xml:space="preserve"> In this respect, Margaret’s actions show her greater degree of autonomy when compared to her English-born successors</w:t>
      </w:r>
      <w:r w:rsidR="00124A38" w:rsidRPr="006B5318">
        <w:rPr>
          <w:rFonts w:ascii="Garamond" w:hAnsi="Garamond"/>
        </w:rPr>
        <w:t xml:space="preserve"> and indicate that she was not merely a</w:t>
      </w:r>
      <w:r w:rsidR="00B53BDF" w:rsidRPr="006B5318">
        <w:rPr>
          <w:rFonts w:ascii="Garamond" w:hAnsi="Garamond"/>
        </w:rPr>
        <w:t xml:space="preserve"> passive</w:t>
      </w:r>
      <w:r w:rsidR="00E62CC8" w:rsidRPr="006B5318">
        <w:rPr>
          <w:rFonts w:ascii="Garamond" w:hAnsi="Garamond"/>
        </w:rPr>
        <w:t xml:space="preserve"> </w:t>
      </w:r>
      <w:r w:rsidR="00274ACB" w:rsidRPr="006B5318">
        <w:rPr>
          <w:rFonts w:ascii="Garamond" w:hAnsi="Garamond"/>
        </w:rPr>
        <w:t xml:space="preserve">conduit </w:t>
      </w:r>
      <w:r w:rsidR="00124A38" w:rsidRPr="006B5318">
        <w:rPr>
          <w:rFonts w:ascii="Garamond" w:hAnsi="Garamond"/>
        </w:rPr>
        <w:t>of support for her husband</w:t>
      </w:r>
      <w:r w:rsidR="00D16B28" w:rsidRPr="006B5318">
        <w:rPr>
          <w:rFonts w:ascii="Garamond" w:hAnsi="Garamond"/>
        </w:rPr>
        <w:t xml:space="preserve">, but </w:t>
      </w:r>
      <w:r w:rsidR="00B53BDF" w:rsidRPr="006B5318">
        <w:rPr>
          <w:rFonts w:ascii="Garamond" w:hAnsi="Garamond"/>
        </w:rPr>
        <w:t>played an active role in fashioning her queenly image.</w:t>
      </w:r>
      <w:r w:rsidR="00584495" w:rsidRPr="006B5318">
        <w:rPr>
          <w:rFonts w:ascii="Garamond" w:hAnsi="Garamond"/>
        </w:rPr>
        <w:t xml:space="preserve"> In this respect, the argument presented here resonates with Zita Rohr’s</w:t>
      </w:r>
      <w:r w:rsidR="00B53BDF" w:rsidRPr="006B5318">
        <w:rPr>
          <w:rFonts w:ascii="Garamond" w:hAnsi="Garamond"/>
        </w:rPr>
        <w:t xml:space="preserve"> wider</w:t>
      </w:r>
      <w:r w:rsidR="00584495" w:rsidRPr="006B5318">
        <w:rPr>
          <w:rFonts w:ascii="Garamond" w:hAnsi="Garamond"/>
        </w:rPr>
        <w:t xml:space="preserve"> </w:t>
      </w:r>
      <w:r w:rsidR="00B53BDF" w:rsidRPr="006B5318">
        <w:rPr>
          <w:rFonts w:ascii="Garamond" w:hAnsi="Garamond"/>
        </w:rPr>
        <w:t>observation</w:t>
      </w:r>
      <w:r w:rsidR="00D16B28" w:rsidRPr="006B5318">
        <w:rPr>
          <w:rFonts w:ascii="Garamond" w:hAnsi="Garamond"/>
        </w:rPr>
        <w:t>s</w:t>
      </w:r>
      <w:r w:rsidR="00584495" w:rsidRPr="006B5318">
        <w:rPr>
          <w:rFonts w:ascii="Garamond" w:hAnsi="Garamond"/>
        </w:rPr>
        <w:t xml:space="preserve"> that queenly heads of household were not merely passive chattels of support for their male kin, but active and important</w:t>
      </w:r>
      <w:r w:rsidR="00B53BDF" w:rsidRPr="006B5318">
        <w:rPr>
          <w:rFonts w:ascii="Garamond" w:hAnsi="Garamond"/>
        </w:rPr>
        <w:t xml:space="preserve"> players</w:t>
      </w:r>
      <w:r w:rsidR="00584495" w:rsidRPr="006B5318">
        <w:rPr>
          <w:rFonts w:ascii="Garamond" w:hAnsi="Garamond"/>
        </w:rPr>
        <w:t xml:space="preserve"> in their own right. Successful pre-modern female households, she argues, were consciously curated by their “alpha” women to enhance their reputations, influence, and political effectiveness.</w:t>
      </w:r>
      <w:r w:rsidR="00584495" w:rsidRPr="006B5318">
        <w:rPr>
          <w:rStyle w:val="FootnoteReference"/>
          <w:rFonts w:ascii="Garamond" w:hAnsi="Garamond"/>
        </w:rPr>
        <w:footnoteReference w:id="92"/>
      </w:r>
      <w:r w:rsidR="00B53BDF" w:rsidRPr="006B5318">
        <w:rPr>
          <w:rFonts w:ascii="Garamond" w:hAnsi="Garamond"/>
        </w:rPr>
        <w:t xml:space="preserve"> </w:t>
      </w:r>
      <w:r w:rsidR="00D16B28" w:rsidRPr="006B5318">
        <w:rPr>
          <w:rFonts w:ascii="Garamond" w:hAnsi="Garamond"/>
        </w:rPr>
        <w:t xml:space="preserve">As </w:t>
      </w:r>
      <w:r w:rsidR="00B53BDF" w:rsidRPr="006B5318">
        <w:rPr>
          <w:rFonts w:ascii="Garamond" w:hAnsi="Garamond"/>
        </w:rPr>
        <w:t>the “alpha” woman at Greenwich,</w:t>
      </w:r>
      <w:r w:rsidR="00840A5C" w:rsidRPr="006B5318">
        <w:rPr>
          <w:rFonts w:ascii="Garamond" w:hAnsi="Garamond"/>
        </w:rPr>
        <w:t xml:space="preserve"> Margaret</w:t>
      </w:r>
      <w:r w:rsidR="00B53BDF" w:rsidRPr="006B5318">
        <w:rPr>
          <w:rFonts w:ascii="Garamond" w:hAnsi="Garamond"/>
        </w:rPr>
        <w:t xml:space="preserve"> </w:t>
      </w:r>
      <w:r w:rsidR="00E31CDD" w:rsidRPr="006B5318">
        <w:rPr>
          <w:rFonts w:ascii="Garamond" w:hAnsi="Garamond"/>
        </w:rPr>
        <w:t>likewise</w:t>
      </w:r>
      <w:r w:rsidR="00B53BDF" w:rsidRPr="006B5318">
        <w:rPr>
          <w:rFonts w:ascii="Garamond" w:hAnsi="Garamond"/>
        </w:rPr>
        <w:t xml:space="preserve"> curated </w:t>
      </w:r>
      <w:r w:rsidR="00D16B28" w:rsidRPr="006B5318">
        <w:rPr>
          <w:rFonts w:ascii="Garamond" w:hAnsi="Garamond"/>
        </w:rPr>
        <w:t>domestic space for the articulation of her identity</w:t>
      </w:r>
      <w:r w:rsidR="00DD4EFE" w:rsidRPr="006B5318">
        <w:rPr>
          <w:rFonts w:ascii="Garamond" w:hAnsi="Garamond"/>
        </w:rPr>
        <w:t xml:space="preserve"> and power</w:t>
      </w:r>
      <w:r w:rsidR="00D16B28" w:rsidRPr="006B5318">
        <w:rPr>
          <w:rFonts w:ascii="Garamond" w:hAnsi="Garamond"/>
        </w:rPr>
        <w:t xml:space="preserve"> as consort. </w:t>
      </w:r>
    </w:p>
    <w:p w14:paraId="66CBC220" w14:textId="4E7DE713" w:rsidR="00913708" w:rsidRPr="006B5318" w:rsidRDefault="000C6D74" w:rsidP="00B53BDF">
      <w:pPr>
        <w:tabs>
          <w:tab w:val="left" w:pos="4253"/>
        </w:tabs>
        <w:spacing w:line="276" w:lineRule="auto"/>
        <w:ind w:firstLine="567"/>
        <w:jc w:val="both"/>
        <w:rPr>
          <w:rFonts w:ascii="Garamond" w:hAnsi="Garamond"/>
        </w:rPr>
      </w:pPr>
      <w:r w:rsidRPr="006B5318">
        <w:rPr>
          <w:rFonts w:ascii="Garamond" w:hAnsi="Garamond"/>
        </w:rPr>
        <w:t>Rather than purposefully stepping outside the confines of what was expected of her as queen</w:t>
      </w:r>
      <w:r w:rsidR="00274ACB" w:rsidRPr="006B5318">
        <w:rPr>
          <w:rFonts w:ascii="Garamond" w:hAnsi="Garamond"/>
        </w:rPr>
        <w:t xml:space="preserve"> consort</w:t>
      </w:r>
      <w:r w:rsidRPr="006B5318">
        <w:rPr>
          <w:rFonts w:ascii="Garamond" w:hAnsi="Garamond"/>
        </w:rPr>
        <w:t xml:space="preserve">, however, Margaret was more likely </w:t>
      </w:r>
      <w:r w:rsidR="00E617C3">
        <w:rPr>
          <w:rFonts w:ascii="Garamond" w:hAnsi="Garamond"/>
        </w:rPr>
        <w:t>deploying</w:t>
      </w:r>
      <w:r w:rsidRPr="006B5318">
        <w:rPr>
          <w:rFonts w:ascii="Garamond" w:hAnsi="Garamond"/>
        </w:rPr>
        <w:t xml:space="preserve"> a language of female power that was familiar </w:t>
      </w:r>
      <w:r w:rsidRPr="006B5318">
        <w:rPr>
          <w:rFonts w:ascii="Garamond" w:hAnsi="Garamond"/>
        </w:rPr>
        <w:lastRenderedPageBreak/>
        <w:t>to her</w:t>
      </w:r>
      <w:r w:rsidR="005114F4" w:rsidRPr="006B5318">
        <w:rPr>
          <w:rFonts w:ascii="Garamond" w:hAnsi="Garamond"/>
        </w:rPr>
        <w:t xml:space="preserve"> from</w:t>
      </w:r>
      <w:r w:rsidRPr="006B5318">
        <w:rPr>
          <w:rFonts w:ascii="Garamond" w:hAnsi="Garamond"/>
        </w:rPr>
        <w:t xml:space="preserve"> her upbringing in France, where the women around her routinely governed and embarked upon building projects</w:t>
      </w:r>
      <w:r w:rsidR="00F6574E" w:rsidRPr="006B5318">
        <w:rPr>
          <w:rFonts w:ascii="Garamond" w:hAnsi="Garamond"/>
        </w:rPr>
        <w:t xml:space="preserve"> of a similar kind</w:t>
      </w:r>
      <w:r w:rsidRPr="006B5318">
        <w:rPr>
          <w:rFonts w:ascii="Garamond" w:hAnsi="Garamond"/>
        </w:rPr>
        <w:t xml:space="preserve">. </w:t>
      </w:r>
      <w:r w:rsidR="00966DB2" w:rsidRPr="006B5318">
        <w:rPr>
          <w:rFonts w:ascii="Garamond" w:hAnsi="Garamond"/>
        </w:rPr>
        <w:t>Strikingly, the spatial arrangement created by Margaret for herself at Greenwich bears close resemblance to the design of the apartments created at around the same time for her aunt, queen Marie d’Anjou, at her preferred residence of Chinon in France. As part of her substantial works on the residence, Marie created first-floor level apartments, which offered commanding views of city and rivalled those of her husband, Charles VII.</w:t>
      </w:r>
      <w:r w:rsidR="00966DB2" w:rsidRPr="006B5318">
        <w:rPr>
          <w:rStyle w:val="FootnoteReference"/>
          <w:rFonts w:ascii="Garamond" w:hAnsi="Garamond"/>
        </w:rPr>
        <w:footnoteReference w:id="93"/>
      </w:r>
      <w:r w:rsidR="00966DB2" w:rsidRPr="006B5318">
        <w:rPr>
          <w:rFonts w:ascii="Garamond" w:hAnsi="Garamond"/>
        </w:rPr>
        <w:t xml:space="preserve"> As was the case at Pleasaunce, Marie’s rooms offered varying levels of seclusion, and they included two large rooms, as well as smaller adjoining rooms and a stew, which gave access to an attic above. Marie also created an oratory and galleries, and she also commissioned significant works on the garden, where she kept a menagerie of exotic animals. Just as Margaret commissioned rooms for the king’s brothers at Greenwich, Marie also created a room with an oratory for her brother (Margaret’s father), René of Anjou, thus again showing a concern to accommodate male family members. The similarities in the two women’s actions </w:t>
      </w:r>
      <w:r w:rsidR="001E1FD0" w:rsidRPr="006B5318">
        <w:rPr>
          <w:rFonts w:ascii="Garamond" w:hAnsi="Garamond"/>
        </w:rPr>
        <w:t xml:space="preserve">further </w:t>
      </w:r>
      <w:r w:rsidR="00966DB2" w:rsidRPr="006B5318">
        <w:rPr>
          <w:rFonts w:ascii="Garamond" w:hAnsi="Garamond"/>
        </w:rPr>
        <w:t xml:space="preserve">indicate that Margaret’s self-fashioning as queen consort spoke to </w:t>
      </w:r>
      <w:r w:rsidR="001F3488" w:rsidRPr="006B5318">
        <w:rPr>
          <w:rFonts w:ascii="Garamond" w:hAnsi="Garamond"/>
        </w:rPr>
        <w:t>the</w:t>
      </w:r>
      <w:r w:rsidR="00966DB2" w:rsidRPr="006B5318">
        <w:rPr>
          <w:rFonts w:ascii="Garamond" w:hAnsi="Garamond"/>
        </w:rPr>
        <w:t xml:space="preserve"> tradition</w:t>
      </w:r>
      <w:r w:rsidR="001F3488" w:rsidRPr="006B5318">
        <w:rPr>
          <w:rFonts w:ascii="Garamond" w:hAnsi="Garamond"/>
        </w:rPr>
        <w:t>s known to her natal family</w:t>
      </w:r>
      <w:r w:rsidR="00966DB2" w:rsidRPr="006B5318">
        <w:rPr>
          <w:rFonts w:ascii="Garamond" w:hAnsi="Garamond"/>
        </w:rPr>
        <w:t>,</w:t>
      </w:r>
      <w:r w:rsidR="001E1FD0" w:rsidRPr="006B5318">
        <w:rPr>
          <w:rFonts w:ascii="Garamond" w:hAnsi="Garamond"/>
        </w:rPr>
        <w:t xml:space="preserve"> whereby women commonly asserted their status and power through their architectural patronage</w:t>
      </w:r>
      <w:r w:rsidR="00CB317B" w:rsidRPr="006B5318">
        <w:rPr>
          <w:rFonts w:ascii="Garamond" w:hAnsi="Garamond"/>
        </w:rPr>
        <w:t xml:space="preserve"> in a way that complemented, rather than challenged, their male kin</w:t>
      </w:r>
      <w:r w:rsidR="00966DB2" w:rsidRPr="006B5318">
        <w:rPr>
          <w:rFonts w:ascii="Garamond" w:hAnsi="Garamond"/>
        </w:rPr>
        <w:t xml:space="preserve">. </w:t>
      </w:r>
      <w:r w:rsidR="00594ADD" w:rsidRPr="006B5318">
        <w:rPr>
          <w:rFonts w:ascii="Garamond" w:hAnsi="Garamond"/>
        </w:rPr>
        <w:t>Margaret’s creation of a bathroom</w:t>
      </w:r>
      <w:r w:rsidR="00406944" w:rsidRPr="006B5318">
        <w:rPr>
          <w:rFonts w:ascii="Garamond" w:hAnsi="Garamond"/>
        </w:rPr>
        <w:t xml:space="preserve"> and gardens</w:t>
      </w:r>
      <w:r w:rsidR="00594ADD" w:rsidRPr="006B5318">
        <w:rPr>
          <w:rFonts w:ascii="Garamond" w:hAnsi="Garamond"/>
        </w:rPr>
        <w:t xml:space="preserve"> at Greenwich </w:t>
      </w:r>
      <w:r w:rsidR="001E1FD0" w:rsidRPr="006B5318">
        <w:rPr>
          <w:rFonts w:ascii="Garamond" w:hAnsi="Garamond"/>
        </w:rPr>
        <w:t xml:space="preserve">reinforces this argument, </w:t>
      </w:r>
      <w:r w:rsidR="006E6BD6" w:rsidRPr="006B5318">
        <w:rPr>
          <w:rFonts w:ascii="Garamond" w:hAnsi="Garamond"/>
        </w:rPr>
        <w:t>whi</w:t>
      </w:r>
      <w:r w:rsidR="00844674" w:rsidRPr="006B5318">
        <w:rPr>
          <w:rFonts w:ascii="Garamond" w:hAnsi="Garamond"/>
        </w:rPr>
        <w:t>le</w:t>
      </w:r>
      <w:r w:rsidR="006E6BD6" w:rsidRPr="006B5318">
        <w:rPr>
          <w:rFonts w:ascii="Garamond" w:hAnsi="Garamond"/>
        </w:rPr>
        <w:t xml:space="preserve"> also </w:t>
      </w:r>
      <w:r w:rsidR="001E1FD0" w:rsidRPr="006B5318">
        <w:rPr>
          <w:rFonts w:ascii="Garamond" w:hAnsi="Garamond"/>
        </w:rPr>
        <w:t>suggest</w:t>
      </w:r>
      <w:r w:rsidR="00CB33D0" w:rsidRPr="006B5318">
        <w:rPr>
          <w:rFonts w:ascii="Garamond" w:hAnsi="Garamond"/>
        </w:rPr>
        <w:t>i</w:t>
      </w:r>
      <w:r w:rsidR="006E6BD6" w:rsidRPr="006B5318">
        <w:rPr>
          <w:rFonts w:ascii="Garamond" w:hAnsi="Garamond"/>
        </w:rPr>
        <w:t>ng</w:t>
      </w:r>
      <w:r w:rsidR="001E1FD0" w:rsidRPr="006B5318">
        <w:rPr>
          <w:rFonts w:ascii="Garamond" w:hAnsi="Garamond"/>
        </w:rPr>
        <w:t xml:space="preserve"> </w:t>
      </w:r>
      <w:r w:rsidR="006738F9" w:rsidRPr="006B5318">
        <w:rPr>
          <w:rFonts w:ascii="Garamond" w:hAnsi="Garamond"/>
        </w:rPr>
        <w:t xml:space="preserve">her </w:t>
      </w:r>
      <w:r w:rsidR="00594ADD" w:rsidRPr="006B5318">
        <w:rPr>
          <w:rFonts w:ascii="Garamond" w:hAnsi="Garamond"/>
        </w:rPr>
        <w:t>role as an agent of cultural transfer</w:t>
      </w:r>
      <w:r w:rsidR="008A6100" w:rsidRPr="006B5318">
        <w:rPr>
          <w:rFonts w:ascii="Garamond" w:hAnsi="Garamond"/>
        </w:rPr>
        <w:t>, who shaped the materiality and</w:t>
      </w:r>
      <w:r w:rsidR="001E1FD0" w:rsidRPr="006B5318">
        <w:rPr>
          <w:rFonts w:ascii="Garamond" w:hAnsi="Garamond"/>
        </w:rPr>
        <w:t xml:space="preserve"> courtly</w:t>
      </w:r>
      <w:r w:rsidR="008A6100" w:rsidRPr="006B5318">
        <w:rPr>
          <w:rFonts w:ascii="Garamond" w:hAnsi="Garamond"/>
        </w:rPr>
        <w:t xml:space="preserve"> </w:t>
      </w:r>
      <w:r w:rsidR="001E1FD0" w:rsidRPr="006B5318">
        <w:rPr>
          <w:rFonts w:ascii="Garamond" w:hAnsi="Garamond"/>
        </w:rPr>
        <w:t>fashions</w:t>
      </w:r>
      <w:r w:rsidR="008A6100" w:rsidRPr="006B5318">
        <w:rPr>
          <w:rFonts w:ascii="Garamond" w:hAnsi="Garamond"/>
        </w:rPr>
        <w:t xml:space="preserve"> of her new home</w:t>
      </w:r>
      <w:r w:rsidR="00594ADD" w:rsidRPr="006B5318">
        <w:rPr>
          <w:rFonts w:ascii="Garamond" w:hAnsi="Garamond"/>
        </w:rPr>
        <w:t>.</w:t>
      </w:r>
      <w:r w:rsidR="00B40AF5" w:rsidRPr="006B5318">
        <w:rPr>
          <w:rFonts w:ascii="Garamond" w:hAnsi="Garamond"/>
        </w:rPr>
        <w:t xml:space="preserve"> </w:t>
      </w:r>
    </w:p>
    <w:p w14:paraId="4A607A90" w14:textId="6F1F5706" w:rsidR="001F3488" w:rsidRPr="006B5318" w:rsidRDefault="001F3488" w:rsidP="006A4096">
      <w:pPr>
        <w:tabs>
          <w:tab w:val="left" w:pos="4253"/>
        </w:tabs>
        <w:spacing w:line="276" w:lineRule="auto"/>
        <w:ind w:firstLine="567"/>
        <w:jc w:val="both"/>
        <w:rPr>
          <w:rFonts w:ascii="Garamond" w:hAnsi="Garamond"/>
        </w:rPr>
      </w:pPr>
      <w:r w:rsidRPr="006B5318">
        <w:rPr>
          <w:rFonts w:ascii="Garamond" w:hAnsi="Garamond"/>
        </w:rPr>
        <w:t>Margaret’s love of building continued</w:t>
      </w:r>
      <w:r w:rsidR="00B95F87" w:rsidRPr="006B5318">
        <w:rPr>
          <w:rFonts w:ascii="Garamond" w:hAnsi="Garamond"/>
        </w:rPr>
        <w:t xml:space="preserve"> into the following decade</w:t>
      </w:r>
      <w:r w:rsidRPr="006B5318">
        <w:rPr>
          <w:rFonts w:ascii="Garamond" w:hAnsi="Garamond"/>
        </w:rPr>
        <w:t xml:space="preserve">: she later commissioned works at her castles of Pleshey in Essex and Tutbury in Staffordshire. Yet by that point the country had descended into chaos and Margaret’s attentions </w:t>
      </w:r>
      <w:r w:rsidR="00557F28" w:rsidRPr="006B5318">
        <w:rPr>
          <w:rFonts w:ascii="Garamond" w:hAnsi="Garamond"/>
        </w:rPr>
        <w:t>had turned to the more immediate tasks of raising armies and rallying support for the Lancastrian cause. Th</w:t>
      </w:r>
      <w:r w:rsidR="003139AD" w:rsidRPr="006B5318">
        <w:rPr>
          <w:rFonts w:ascii="Garamond" w:hAnsi="Garamond"/>
        </w:rPr>
        <w:t>us, the</w:t>
      </w:r>
      <w:r w:rsidR="00557F28" w:rsidRPr="006B5318">
        <w:rPr>
          <w:rFonts w:ascii="Garamond" w:hAnsi="Garamond"/>
        </w:rPr>
        <w:t xml:space="preserve"> queen’s works at Greenwich give us a unique insight into the ways in which she materially expressed her power and status in her early years as </w:t>
      </w:r>
      <w:r w:rsidR="001B3D42" w:rsidRPr="006B5318">
        <w:rPr>
          <w:rFonts w:ascii="Garamond" w:hAnsi="Garamond"/>
        </w:rPr>
        <w:t>consort</w:t>
      </w:r>
      <w:r w:rsidR="001B3D42">
        <w:rPr>
          <w:rFonts w:ascii="Garamond" w:hAnsi="Garamond"/>
        </w:rPr>
        <w:t>,</w:t>
      </w:r>
      <w:r w:rsidR="001B3D42" w:rsidRPr="006B5318">
        <w:rPr>
          <w:rFonts w:ascii="Garamond" w:hAnsi="Garamond"/>
        </w:rPr>
        <w:t xml:space="preserve"> before</w:t>
      </w:r>
      <w:r w:rsidR="0019163B" w:rsidRPr="006B5318">
        <w:rPr>
          <w:rFonts w:ascii="Garamond" w:hAnsi="Garamond"/>
        </w:rPr>
        <w:t xml:space="preserve"> the Wars proper began</w:t>
      </w:r>
      <w:r w:rsidR="00557F28" w:rsidRPr="006B5318">
        <w:rPr>
          <w:rFonts w:ascii="Garamond" w:hAnsi="Garamond"/>
        </w:rPr>
        <w:t xml:space="preserve">. </w:t>
      </w:r>
      <w:r w:rsidR="009A3FFC">
        <w:rPr>
          <w:rFonts w:ascii="Garamond" w:hAnsi="Garamond"/>
        </w:rPr>
        <w:t>What they</w:t>
      </w:r>
      <w:r w:rsidR="00844674" w:rsidRPr="006B5318">
        <w:rPr>
          <w:rFonts w:ascii="Garamond" w:hAnsi="Garamond"/>
        </w:rPr>
        <w:t xml:space="preserve"> reveal</w:t>
      </w:r>
      <w:r w:rsidR="009A3FFC">
        <w:rPr>
          <w:rFonts w:ascii="Garamond" w:hAnsi="Garamond"/>
        </w:rPr>
        <w:t xml:space="preserve"> is</w:t>
      </w:r>
      <w:r w:rsidR="00844674" w:rsidRPr="006B5318">
        <w:rPr>
          <w:rFonts w:ascii="Garamond" w:hAnsi="Garamond"/>
        </w:rPr>
        <w:t xml:space="preserve"> that the </w:t>
      </w:r>
      <w:r w:rsidR="00B95F87" w:rsidRPr="006B5318">
        <w:rPr>
          <w:rFonts w:ascii="Garamond" w:hAnsi="Garamond"/>
        </w:rPr>
        <w:t>young queen was an</w:t>
      </w:r>
      <w:r w:rsidR="00F6461F" w:rsidRPr="006B5318">
        <w:rPr>
          <w:rFonts w:ascii="Garamond" w:hAnsi="Garamond"/>
        </w:rPr>
        <w:t xml:space="preserve"> innovative and</w:t>
      </w:r>
      <w:r w:rsidR="00B95F87" w:rsidRPr="006B5318">
        <w:rPr>
          <w:rFonts w:ascii="Garamond" w:hAnsi="Garamond"/>
        </w:rPr>
        <w:t xml:space="preserve"> energetic patron who shaped the material environment of her new home in ways which</w:t>
      </w:r>
      <w:r w:rsidR="00847E19" w:rsidRPr="006B5318">
        <w:rPr>
          <w:rFonts w:ascii="Garamond" w:hAnsi="Garamond"/>
        </w:rPr>
        <w:t xml:space="preserve"> simultaneously</w:t>
      </w:r>
      <w:r w:rsidR="006A4096" w:rsidRPr="006B5318">
        <w:rPr>
          <w:rFonts w:ascii="Garamond" w:hAnsi="Garamond"/>
        </w:rPr>
        <w:t xml:space="preserve"> articulated her personality,</w:t>
      </w:r>
      <w:r w:rsidR="00B95F87" w:rsidRPr="006B5318">
        <w:rPr>
          <w:rFonts w:ascii="Garamond" w:hAnsi="Garamond"/>
        </w:rPr>
        <w:t xml:space="preserve"> referenced the strategies employed by the women of her natal family</w:t>
      </w:r>
      <w:r w:rsidR="00286084" w:rsidRPr="006B5318">
        <w:rPr>
          <w:rFonts w:ascii="Garamond" w:hAnsi="Garamond"/>
        </w:rPr>
        <w:t>,</w:t>
      </w:r>
      <w:r w:rsidR="00F6461F" w:rsidRPr="006B5318">
        <w:rPr>
          <w:rFonts w:ascii="Garamond" w:hAnsi="Garamond"/>
        </w:rPr>
        <w:t xml:space="preserve"> </w:t>
      </w:r>
      <w:r w:rsidR="006A4096" w:rsidRPr="006B5318">
        <w:rPr>
          <w:rFonts w:ascii="Garamond" w:hAnsi="Garamond"/>
        </w:rPr>
        <w:t xml:space="preserve">and </w:t>
      </w:r>
      <w:r w:rsidR="00F6461F" w:rsidRPr="006B5318">
        <w:rPr>
          <w:rFonts w:ascii="Garamond" w:hAnsi="Garamond"/>
        </w:rPr>
        <w:t xml:space="preserve">celebrated her vital contribution to the office of kingship. </w:t>
      </w:r>
    </w:p>
    <w:p w14:paraId="5119A1DA" w14:textId="5F62F96A" w:rsidR="00471803" w:rsidRPr="006B5318" w:rsidRDefault="00471803" w:rsidP="006A4096">
      <w:pPr>
        <w:tabs>
          <w:tab w:val="left" w:pos="4253"/>
        </w:tabs>
        <w:spacing w:line="276" w:lineRule="auto"/>
        <w:ind w:firstLine="567"/>
        <w:jc w:val="both"/>
        <w:rPr>
          <w:rFonts w:ascii="Garamond" w:hAnsi="Garamond"/>
        </w:rPr>
      </w:pPr>
    </w:p>
    <w:p w14:paraId="730753D0" w14:textId="14AB2372" w:rsidR="00471803" w:rsidRPr="006B5318" w:rsidRDefault="00471803" w:rsidP="006A4096">
      <w:pPr>
        <w:tabs>
          <w:tab w:val="left" w:pos="4253"/>
        </w:tabs>
        <w:spacing w:line="276" w:lineRule="auto"/>
        <w:ind w:firstLine="567"/>
        <w:jc w:val="both"/>
        <w:rPr>
          <w:rFonts w:ascii="Garamond" w:hAnsi="Garamond"/>
        </w:rPr>
      </w:pPr>
    </w:p>
    <w:p w14:paraId="047B8CEE" w14:textId="12DA4900" w:rsidR="0053778A" w:rsidRPr="006B5318" w:rsidRDefault="0053778A" w:rsidP="006A4096">
      <w:pPr>
        <w:tabs>
          <w:tab w:val="left" w:pos="4253"/>
        </w:tabs>
        <w:spacing w:line="276" w:lineRule="auto"/>
        <w:ind w:firstLine="567"/>
        <w:jc w:val="both"/>
        <w:rPr>
          <w:rFonts w:ascii="Garamond" w:hAnsi="Garamond"/>
        </w:rPr>
      </w:pPr>
    </w:p>
    <w:p w14:paraId="1506C3A4" w14:textId="6E4F6611" w:rsidR="0053778A" w:rsidRDefault="0053778A" w:rsidP="00E31CDD">
      <w:pPr>
        <w:tabs>
          <w:tab w:val="left" w:pos="4253"/>
        </w:tabs>
        <w:spacing w:line="276" w:lineRule="auto"/>
        <w:jc w:val="both"/>
        <w:rPr>
          <w:rFonts w:ascii="Garamond" w:hAnsi="Garamond"/>
        </w:rPr>
      </w:pPr>
    </w:p>
    <w:p w14:paraId="770B8638" w14:textId="10290FDA" w:rsidR="001B3D42" w:rsidRDefault="001B3D42" w:rsidP="00E31CDD">
      <w:pPr>
        <w:tabs>
          <w:tab w:val="left" w:pos="4253"/>
        </w:tabs>
        <w:spacing w:line="276" w:lineRule="auto"/>
        <w:jc w:val="both"/>
        <w:rPr>
          <w:rFonts w:ascii="Garamond" w:hAnsi="Garamond"/>
        </w:rPr>
      </w:pPr>
    </w:p>
    <w:p w14:paraId="1251DB44" w14:textId="6955749A" w:rsidR="001B3D42" w:rsidRDefault="001B3D42" w:rsidP="00E31CDD">
      <w:pPr>
        <w:tabs>
          <w:tab w:val="left" w:pos="4253"/>
        </w:tabs>
        <w:spacing w:line="276" w:lineRule="auto"/>
        <w:jc w:val="both"/>
        <w:rPr>
          <w:rFonts w:ascii="Garamond" w:hAnsi="Garamond"/>
        </w:rPr>
      </w:pPr>
    </w:p>
    <w:p w14:paraId="0E671AEE" w14:textId="2480CDEA" w:rsidR="001B3D42" w:rsidRDefault="001B3D42" w:rsidP="00E31CDD">
      <w:pPr>
        <w:tabs>
          <w:tab w:val="left" w:pos="4253"/>
        </w:tabs>
        <w:spacing w:line="276" w:lineRule="auto"/>
        <w:jc w:val="both"/>
        <w:rPr>
          <w:rFonts w:ascii="Garamond" w:hAnsi="Garamond"/>
        </w:rPr>
      </w:pPr>
    </w:p>
    <w:p w14:paraId="7C685F59" w14:textId="4B1ED543" w:rsidR="001B3D42" w:rsidRDefault="001B3D42" w:rsidP="00E31CDD">
      <w:pPr>
        <w:tabs>
          <w:tab w:val="left" w:pos="4253"/>
        </w:tabs>
        <w:spacing w:line="276" w:lineRule="auto"/>
        <w:jc w:val="both"/>
        <w:rPr>
          <w:rFonts w:ascii="Garamond" w:hAnsi="Garamond"/>
        </w:rPr>
      </w:pPr>
    </w:p>
    <w:p w14:paraId="78E855F6" w14:textId="0436AA6B" w:rsidR="001B3D42" w:rsidRDefault="001B3D42" w:rsidP="00E31CDD">
      <w:pPr>
        <w:tabs>
          <w:tab w:val="left" w:pos="4253"/>
        </w:tabs>
        <w:spacing w:line="276" w:lineRule="auto"/>
        <w:jc w:val="both"/>
        <w:rPr>
          <w:rFonts w:ascii="Garamond" w:hAnsi="Garamond"/>
        </w:rPr>
      </w:pPr>
    </w:p>
    <w:p w14:paraId="40347BA6" w14:textId="387872A9" w:rsidR="001B3D42" w:rsidRDefault="001B3D42" w:rsidP="00E31CDD">
      <w:pPr>
        <w:tabs>
          <w:tab w:val="left" w:pos="4253"/>
        </w:tabs>
        <w:spacing w:line="276" w:lineRule="auto"/>
        <w:jc w:val="both"/>
        <w:rPr>
          <w:rFonts w:ascii="Garamond" w:hAnsi="Garamond"/>
        </w:rPr>
      </w:pPr>
    </w:p>
    <w:p w14:paraId="7FD391AF" w14:textId="7288F409" w:rsidR="001B3D42" w:rsidRDefault="001B3D42" w:rsidP="00E31CDD">
      <w:pPr>
        <w:tabs>
          <w:tab w:val="left" w:pos="4253"/>
        </w:tabs>
        <w:spacing w:line="276" w:lineRule="auto"/>
        <w:jc w:val="both"/>
        <w:rPr>
          <w:rFonts w:ascii="Garamond" w:hAnsi="Garamond"/>
        </w:rPr>
      </w:pPr>
    </w:p>
    <w:p w14:paraId="0B06FB14" w14:textId="25DAE0D8" w:rsidR="001B3D42" w:rsidRDefault="001B3D42" w:rsidP="00E31CDD">
      <w:pPr>
        <w:tabs>
          <w:tab w:val="left" w:pos="4253"/>
        </w:tabs>
        <w:spacing w:line="276" w:lineRule="auto"/>
        <w:jc w:val="both"/>
        <w:rPr>
          <w:rFonts w:ascii="Garamond" w:hAnsi="Garamond"/>
        </w:rPr>
      </w:pPr>
    </w:p>
    <w:p w14:paraId="58F0893F" w14:textId="77777777" w:rsidR="001B3D42" w:rsidRPr="006B5318" w:rsidRDefault="001B3D42" w:rsidP="00E31CDD">
      <w:pPr>
        <w:tabs>
          <w:tab w:val="left" w:pos="4253"/>
        </w:tabs>
        <w:spacing w:line="276" w:lineRule="auto"/>
        <w:jc w:val="both"/>
        <w:rPr>
          <w:rFonts w:ascii="Garamond" w:hAnsi="Garamond"/>
        </w:rPr>
      </w:pPr>
    </w:p>
    <w:p w14:paraId="72F8F157" w14:textId="77777777" w:rsidR="00B7091C" w:rsidRPr="006B5318" w:rsidRDefault="00B7091C" w:rsidP="006A4096">
      <w:pPr>
        <w:tabs>
          <w:tab w:val="left" w:pos="4253"/>
        </w:tabs>
        <w:spacing w:line="276" w:lineRule="auto"/>
        <w:ind w:firstLine="567"/>
        <w:jc w:val="both"/>
        <w:rPr>
          <w:rFonts w:ascii="Garamond" w:hAnsi="Garamond"/>
        </w:rPr>
      </w:pPr>
    </w:p>
    <w:p w14:paraId="1A8A1BF6" w14:textId="77777777" w:rsidR="0053778A" w:rsidRPr="006B5318" w:rsidRDefault="0053778A" w:rsidP="00B7091C">
      <w:pPr>
        <w:tabs>
          <w:tab w:val="left" w:pos="4253"/>
        </w:tabs>
        <w:spacing w:line="276" w:lineRule="auto"/>
        <w:jc w:val="both"/>
        <w:rPr>
          <w:rFonts w:ascii="Garamond" w:hAnsi="Garamond"/>
        </w:rPr>
      </w:pPr>
    </w:p>
    <w:p w14:paraId="2AD6469C" w14:textId="2DA10882" w:rsidR="00471803" w:rsidRPr="006B5318" w:rsidRDefault="00471803" w:rsidP="0077526E">
      <w:pPr>
        <w:tabs>
          <w:tab w:val="left" w:pos="4253"/>
        </w:tabs>
        <w:spacing w:line="276" w:lineRule="auto"/>
        <w:jc w:val="center"/>
        <w:rPr>
          <w:rFonts w:ascii="Garamond" w:hAnsi="Garamond"/>
        </w:rPr>
      </w:pPr>
      <w:r w:rsidRPr="006B5318">
        <w:rPr>
          <w:rFonts w:ascii="Garamond" w:hAnsi="Garamond"/>
        </w:rPr>
        <w:lastRenderedPageBreak/>
        <w:t>BIBLIOGRAPHY</w:t>
      </w:r>
    </w:p>
    <w:p w14:paraId="15D03128" w14:textId="77777777" w:rsidR="0077526E" w:rsidRPr="006B5318" w:rsidRDefault="0077526E" w:rsidP="00471803">
      <w:pPr>
        <w:tabs>
          <w:tab w:val="left" w:pos="4253"/>
        </w:tabs>
        <w:spacing w:line="276" w:lineRule="auto"/>
        <w:ind w:firstLine="567"/>
        <w:jc w:val="center"/>
        <w:rPr>
          <w:rFonts w:ascii="Garamond" w:hAnsi="Garamond"/>
        </w:rPr>
      </w:pPr>
    </w:p>
    <w:p w14:paraId="0EF3AC72" w14:textId="4B3439FA" w:rsidR="00D051B6" w:rsidRPr="006B5318" w:rsidRDefault="0077526E" w:rsidP="0077526E">
      <w:pPr>
        <w:pStyle w:val="FootnoteText"/>
        <w:jc w:val="center"/>
        <w:rPr>
          <w:rFonts w:ascii="Garamond" w:hAnsi="Garamond"/>
          <w:smallCaps/>
        </w:rPr>
      </w:pPr>
      <w:r w:rsidRPr="006B5318">
        <w:rPr>
          <w:rFonts w:ascii="Garamond" w:hAnsi="Garamond"/>
          <w:smallCaps/>
        </w:rPr>
        <w:t xml:space="preserve">Unprinted </w:t>
      </w:r>
      <w:r w:rsidR="00D051B6" w:rsidRPr="006B5318">
        <w:rPr>
          <w:rFonts w:ascii="Garamond" w:hAnsi="Garamond"/>
          <w:smallCaps/>
        </w:rPr>
        <w:t>Primary Sources</w:t>
      </w:r>
    </w:p>
    <w:p w14:paraId="1542CCD9" w14:textId="77777777" w:rsidR="0077526E" w:rsidRPr="006B5318" w:rsidRDefault="0077526E" w:rsidP="00727F61">
      <w:pPr>
        <w:pStyle w:val="FootnoteText"/>
        <w:rPr>
          <w:rFonts w:ascii="Garamond" w:hAnsi="Garamond"/>
        </w:rPr>
      </w:pPr>
    </w:p>
    <w:p w14:paraId="244EE9A3" w14:textId="5715D62B" w:rsidR="00D051B6" w:rsidRPr="006B5318" w:rsidRDefault="00D051B6" w:rsidP="00727F61">
      <w:pPr>
        <w:pStyle w:val="FootnoteText"/>
        <w:rPr>
          <w:rFonts w:ascii="Garamond" w:hAnsi="Garamond"/>
        </w:rPr>
      </w:pPr>
      <w:r w:rsidRPr="006B5318">
        <w:rPr>
          <w:rFonts w:ascii="Garamond" w:hAnsi="Garamond"/>
          <w:i/>
          <w:iCs/>
        </w:rPr>
        <w:t>The National Archives</w:t>
      </w:r>
      <w:r w:rsidRPr="006B5318">
        <w:rPr>
          <w:rFonts w:ascii="Garamond" w:hAnsi="Garamond"/>
        </w:rPr>
        <w:t xml:space="preserve"> DL 28/1/11.</w:t>
      </w:r>
      <w:r w:rsidR="0077526E" w:rsidRPr="006B5318">
        <w:rPr>
          <w:rFonts w:ascii="Garamond" w:hAnsi="Garamond"/>
        </w:rPr>
        <w:t xml:space="preserve"> Accounts of Robert Kettlewell, Clerk of Works to the Queen Margaret for her Manor of Pleasaunce in Gravesend (Kent).</w:t>
      </w:r>
    </w:p>
    <w:p w14:paraId="7BC606E9" w14:textId="770409EF" w:rsidR="0077526E" w:rsidRPr="006B5318" w:rsidRDefault="0077526E" w:rsidP="00727F61">
      <w:pPr>
        <w:pStyle w:val="FootnoteText"/>
        <w:rPr>
          <w:rFonts w:ascii="Garamond" w:hAnsi="Garamond"/>
        </w:rPr>
      </w:pPr>
    </w:p>
    <w:p w14:paraId="795BA0C9" w14:textId="77777777" w:rsidR="0077526E" w:rsidRPr="006B5318" w:rsidRDefault="0077526E" w:rsidP="00727F61">
      <w:pPr>
        <w:pStyle w:val="FootnoteText"/>
        <w:rPr>
          <w:rFonts w:ascii="Garamond" w:hAnsi="Garamond"/>
        </w:rPr>
      </w:pPr>
    </w:p>
    <w:p w14:paraId="70FE083D" w14:textId="431AE1F7" w:rsidR="0077526E" w:rsidRPr="006B5318" w:rsidRDefault="0077526E" w:rsidP="0077526E">
      <w:pPr>
        <w:pStyle w:val="FootnoteText"/>
        <w:jc w:val="center"/>
        <w:rPr>
          <w:rFonts w:ascii="Garamond" w:hAnsi="Garamond"/>
          <w:smallCaps/>
        </w:rPr>
      </w:pPr>
      <w:r w:rsidRPr="006B5318">
        <w:rPr>
          <w:rFonts w:ascii="Garamond" w:hAnsi="Garamond"/>
          <w:smallCaps/>
        </w:rPr>
        <w:t>Printed Primary Sources</w:t>
      </w:r>
    </w:p>
    <w:p w14:paraId="7452423C" w14:textId="12C3E951" w:rsidR="00667360" w:rsidRPr="006B5318" w:rsidRDefault="00667360" w:rsidP="00727F61">
      <w:pPr>
        <w:pStyle w:val="FootnoteText"/>
        <w:rPr>
          <w:rFonts w:ascii="Garamond" w:hAnsi="Garamond"/>
        </w:rPr>
      </w:pPr>
    </w:p>
    <w:p w14:paraId="00DA8319" w14:textId="7DB0AB8F" w:rsidR="00667360" w:rsidRPr="006B5318" w:rsidRDefault="00667360" w:rsidP="00727F61">
      <w:pPr>
        <w:pStyle w:val="FootnoteText"/>
        <w:rPr>
          <w:rFonts w:ascii="Garamond" w:hAnsi="Garamond"/>
        </w:rPr>
      </w:pPr>
      <w:r w:rsidRPr="006B5318">
        <w:rPr>
          <w:rFonts w:ascii="Garamond" w:hAnsi="Garamond"/>
        </w:rPr>
        <w:t xml:space="preserve">Dixon, Philip. </w:t>
      </w:r>
      <w:r w:rsidRPr="006B5318">
        <w:rPr>
          <w:rFonts w:ascii="Garamond" w:hAnsi="Garamond"/>
          <w:i/>
        </w:rPr>
        <w:t>Excavations at Greenwich Palace</w:t>
      </w:r>
      <w:r w:rsidRPr="006B5318">
        <w:rPr>
          <w:rFonts w:ascii="Garamond" w:hAnsi="Garamond"/>
        </w:rPr>
        <w:t xml:space="preserve">, </w:t>
      </w:r>
      <w:r w:rsidRPr="006B5318">
        <w:rPr>
          <w:rFonts w:ascii="Garamond" w:hAnsi="Garamond"/>
          <w:i/>
          <w:iCs/>
        </w:rPr>
        <w:t>1970-1</w:t>
      </w:r>
      <w:r w:rsidRPr="006B5318">
        <w:rPr>
          <w:rFonts w:ascii="Garamond" w:hAnsi="Garamond"/>
        </w:rPr>
        <w:t xml:space="preserve">: </w:t>
      </w:r>
      <w:r w:rsidRPr="006B5318">
        <w:rPr>
          <w:rFonts w:ascii="Garamond" w:hAnsi="Garamond"/>
          <w:i/>
          <w:iCs/>
        </w:rPr>
        <w:t>An Interim Report</w:t>
      </w:r>
      <w:r w:rsidRPr="006B5318">
        <w:rPr>
          <w:rFonts w:ascii="Garamond" w:hAnsi="Garamond"/>
        </w:rPr>
        <w:t>. London: Greenwich and Lewisham Antiquarian Society, 1972.</w:t>
      </w:r>
    </w:p>
    <w:p w14:paraId="7DB29AC9" w14:textId="47E90B61" w:rsidR="00863B99" w:rsidRPr="006B5318" w:rsidRDefault="00863B99" w:rsidP="00727F61">
      <w:pPr>
        <w:pStyle w:val="FootnoteText"/>
        <w:rPr>
          <w:rFonts w:ascii="Garamond" w:hAnsi="Garamond"/>
        </w:rPr>
      </w:pPr>
    </w:p>
    <w:p w14:paraId="5266538A" w14:textId="7A8333D7" w:rsidR="00863B99" w:rsidRPr="006B5318" w:rsidRDefault="00863B99" w:rsidP="00727F61">
      <w:pPr>
        <w:pStyle w:val="FootnoteText"/>
        <w:rPr>
          <w:rFonts w:ascii="Garamond" w:hAnsi="Garamond"/>
        </w:rPr>
      </w:pPr>
      <w:r w:rsidRPr="006B5318">
        <w:rPr>
          <w:rFonts w:ascii="Garamond" w:hAnsi="Garamond"/>
        </w:rPr>
        <w:t xml:space="preserve">Maurer, Helen and B. M. Cron, eds. </w:t>
      </w:r>
      <w:r w:rsidRPr="006B5318">
        <w:rPr>
          <w:rFonts w:ascii="Garamond" w:hAnsi="Garamond"/>
          <w:i/>
          <w:iCs/>
        </w:rPr>
        <w:t>The Letters of Margaret of Anjou</w:t>
      </w:r>
      <w:r w:rsidRPr="006B5318">
        <w:rPr>
          <w:rFonts w:ascii="Garamond" w:hAnsi="Garamond"/>
        </w:rPr>
        <w:t>. Woodbridge: Boydell &amp; Brewer, 2019.</w:t>
      </w:r>
    </w:p>
    <w:p w14:paraId="44249D74" w14:textId="4BB948BA" w:rsidR="000D00E5" w:rsidRPr="006B5318" w:rsidRDefault="000D00E5" w:rsidP="00727F61">
      <w:pPr>
        <w:pStyle w:val="FootnoteText"/>
        <w:rPr>
          <w:rFonts w:ascii="Garamond" w:hAnsi="Garamond"/>
        </w:rPr>
      </w:pPr>
    </w:p>
    <w:p w14:paraId="1E27F365" w14:textId="2013772F" w:rsidR="000D00E5" w:rsidRPr="006B5318" w:rsidRDefault="000D00E5" w:rsidP="00727F61">
      <w:pPr>
        <w:pStyle w:val="FootnoteText"/>
        <w:rPr>
          <w:rFonts w:ascii="Garamond" w:eastAsia="Arial Unicode MS" w:hAnsi="Garamond" w:cs="Arial Unicode MS"/>
          <w:iCs/>
          <w:color w:val="262623"/>
        </w:rPr>
      </w:pPr>
      <w:r w:rsidRPr="006B5318">
        <w:rPr>
          <w:rFonts w:ascii="Garamond" w:hAnsi="Garamond"/>
        </w:rPr>
        <w:t>Myers, A. R. ed. “</w:t>
      </w:r>
      <w:r w:rsidRPr="006B5318">
        <w:rPr>
          <w:rFonts w:ascii="Garamond" w:eastAsia="Arial Unicode MS" w:hAnsi="Garamond" w:cs="Arial Unicode MS"/>
          <w:iCs/>
          <w:color w:val="262623"/>
        </w:rPr>
        <w:t>The Jewels of Queen Margaret of Anjou</w:t>
      </w:r>
      <w:r w:rsidR="002E0469" w:rsidRPr="006B5318">
        <w:rPr>
          <w:rFonts w:ascii="Garamond" w:eastAsia="Arial Unicode MS" w:hAnsi="Garamond" w:cs="Arial Unicode MS"/>
          <w:iCs/>
          <w:color w:val="262623"/>
        </w:rPr>
        <w:t>.</w:t>
      </w:r>
      <w:r w:rsidRPr="006B5318">
        <w:rPr>
          <w:rFonts w:ascii="Garamond" w:eastAsia="Arial Unicode MS" w:hAnsi="Garamond" w:cs="Arial Unicode MS"/>
          <w:iCs/>
          <w:color w:val="262623"/>
        </w:rPr>
        <w:t>”</w:t>
      </w:r>
      <w:r w:rsidRPr="006B5318">
        <w:rPr>
          <w:rFonts w:ascii="Garamond" w:eastAsia="Arial Unicode MS" w:hAnsi="Garamond" w:cs="Arial Unicode MS"/>
          <w:i/>
          <w:color w:val="262623"/>
        </w:rPr>
        <w:t xml:space="preserve"> Bulletin of the John Rylands Library, </w:t>
      </w:r>
      <w:r w:rsidRPr="006B5318">
        <w:rPr>
          <w:rFonts w:ascii="Garamond" w:eastAsia="Arial Unicode MS" w:hAnsi="Garamond" w:cs="Arial Unicode MS"/>
          <w:iCs/>
          <w:color w:val="262623"/>
        </w:rPr>
        <w:t>42, no. 1 (1959): 113-131.</w:t>
      </w:r>
    </w:p>
    <w:p w14:paraId="620F219B" w14:textId="798918DD" w:rsidR="002E0469" w:rsidRPr="006B5318" w:rsidRDefault="002E0469" w:rsidP="00727F61">
      <w:pPr>
        <w:pStyle w:val="FootnoteText"/>
        <w:rPr>
          <w:rFonts w:ascii="Garamond" w:eastAsia="Arial Unicode MS" w:hAnsi="Garamond" w:cs="Arial Unicode MS"/>
          <w:iCs/>
          <w:color w:val="262623"/>
        </w:rPr>
      </w:pPr>
    </w:p>
    <w:p w14:paraId="1B8BC329" w14:textId="009F2C4E" w:rsidR="002E0469" w:rsidRPr="006B5318" w:rsidRDefault="002E0469" w:rsidP="00727F61">
      <w:pPr>
        <w:pStyle w:val="FootnoteText"/>
        <w:rPr>
          <w:rFonts w:ascii="Garamond" w:eastAsia="Arial Unicode MS" w:hAnsi="Garamond" w:cs="Arial Unicode MS"/>
          <w:iCs/>
          <w:color w:val="262623"/>
        </w:rPr>
      </w:pPr>
      <w:r w:rsidRPr="006B5318">
        <w:rPr>
          <w:rFonts w:ascii="Garamond" w:hAnsi="Garamond"/>
        </w:rPr>
        <w:t>Myers, A. R. ed. “</w:t>
      </w:r>
      <w:r w:rsidRPr="006B5318">
        <w:rPr>
          <w:rFonts w:ascii="Garamond" w:hAnsi="Garamond"/>
          <w:iCs/>
        </w:rPr>
        <w:t>The Household of Queen Margaret of Anjou, 1452-3</w:t>
      </w:r>
      <w:r w:rsidR="00863EB5" w:rsidRPr="006B5318">
        <w:rPr>
          <w:rFonts w:ascii="Garamond" w:hAnsi="Garamond"/>
          <w:iCs/>
        </w:rPr>
        <w:t>: I</w:t>
      </w:r>
      <w:r w:rsidR="00074E67" w:rsidRPr="006B5318">
        <w:rPr>
          <w:rFonts w:ascii="Garamond" w:hAnsi="Garamond"/>
          <w:iCs/>
        </w:rPr>
        <w:t>.</w:t>
      </w:r>
      <w:r w:rsidRPr="006B5318">
        <w:rPr>
          <w:rFonts w:ascii="Garamond" w:hAnsi="Garamond"/>
          <w:iCs/>
        </w:rPr>
        <w:t xml:space="preserve">” </w:t>
      </w:r>
      <w:r w:rsidRPr="006B5318">
        <w:rPr>
          <w:rFonts w:ascii="Garamond" w:hAnsi="Garamond"/>
          <w:i/>
          <w:iCs/>
        </w:rPr>
        <w:t xml:space="preserve">Bulletin of the John Rylands Library </w:t>
      </w:r>
      <w:r w:rsidRPr="006B5318">
        <w:rPr>
          <w:rFonts w:ascii="Garamond" w:hAnsi="Garamond"/>
        </w:rPr>
        <w:t>40, no. 1 (1958): 79-113.</w:t>
      </w:r>
    </w:p>
    <w:p w14:paraId="1A5D479C" w14:textId="0790E4D9" w:rsidR="0077526E" w:rsidRPr="006B5318" w:rsidRDefault="0077526E" w:rsidP="00727F61">
      <w:pPr>
        <w:pStyle w:val="FootnoteText"/>
        <w:rPr>
          <w:rFonts w:ascii="Garamond" w:eastAsia="Arial Unicode MS" w:hAnsi="Garamond" w:cs="Arial Unicode MS"/>
          <w:iCs/>
          <w:color w:val="262623"/>
        </w:rPr>
      </w:pPr>
    </w:p>
    <w:p w14:paraId="5CA7FCA5" w14:textId="33943F67" w:rsidR="0077526E" w:rsidRPr="006B5318" w:rsidRDefault="0077526E" w:rsidP="00727F61">
      <w:pPr>
        <w:pStyle w:val="FootnoteText"/>
        <w:rPr>
          <w:rFonts w:ascii="Garamond" w:eastAsia="Arial Unicode MS" w:hAnsi="Garamond" w:cs="Arial Unicode MS"/>
          <w:iCs/>
          <w:color w:val="262623"/>
        </w:rPr>
      </w:pPr>
    </w:p>
    <w:p w14:paraId="595116C0" w14:textId="50C9BED9" w:rsidR="0077526E" w:rsidRPr="006B5318" w:rsidRDefault="0077526E" w:rsidP="0077526E">
      <w:pPr>
        <w:pStyle w:val="FootnoteText"/>
        <w:jc w:val="center"/>
        <w:rPr>
          <w:rFonts w:ascii="Garamond" w:eastAsia="Arial Unicode MS" w:hAnsi="Garamond" w:cs="Arial Unicode MS"/>
          <w:iCs/>
          <w:smallCaps/>
          <w:color w:val="262623"/>
        </w:rPr>
      </w:pPr>
      <w:r w:rsidRPr="006B5318">
        <w:rPr>
          <w:rFonts w:ascii="Garamond" w:eastAsia="Arial Unicode MS" w:hAnsi="Garamond" w:cs="Arial Unicode MS"/>
          <w:iCs/>
          <w:smallCaps/>
          <w:color w:val="262623"/>
        </w:rPr>
        <w:t>Secondary Sources</w:t>
      </w:r>
    </w:p>
    <w:p w14:paraId="66AB6259" w14:textId="57E8D02A" w:rsidR="00397A4C" w:rsidRPr="006B5318" w:rsidRDefault="00397A4C" w:rsidP="0077526E">
      <w:pPr>
        <w:pStyle w:val="FootnoteText"/>
        <w:jc w:val="center"/>
        <w:rPr>
          <w:rFonts w:ascii="Garamond" w:eastAsia="Arial Unicode MS" w:hAnsi="Garamond" w:cs="Arial Unicode MS"/>
          <w:iCs/>
          <w:smallCaps/>
          <w:color w:val="262623"/>
        </w:rPr>
      </w:pPr>
    </w:p>
    <w:p w14:paraId="1986C150" w14:textId="61B2DCAC" w:rsidR="00397A4C" w:rsidRPr="006B5318" w:rsidRDefault="00397A4C" w:rsidP="0077526E">
      <w:pPr>
        <w:pStyle w:val="FootnoteText"/>
        <w:jc w:val="center"/>
        <w:rPr>
          <w:rFonts w:ascii="Garamond" w:eastAsia="Arial Unicode MS" w:hAnsi="Garamond" w:cs="Arial Unicode MS"/>
          <w:iCs/>
          <w:smallCaps/>
          <w:color w:val="262623"/>
        </w:rPr>
      </w:pPr>
    </w:p>
    <w:p w14:paraId="6427B2FA" w14:textId="105E3587" w:rsidR="00D051B6" w:rsidRPr="006B5318" w:rsidRDefault="00397A4C" w:rsidP="00727F61">
      <w:pPr>
        <w:pStyle w:val="FootnoteText"/>
        <w:rPr>
          <w:rFonts w:ascii="Garamond" w:hAnsi="Garamond"/>
          <w:smallCaps/>
        </w:rPr>
      </w:pPr>
      <w:r w:rsidRPr="006B5318">
        <w:rPr>
          <w:rFonts w:ascii="Garamond" w:hAnsi="Garamond"/>
        </w:rPr>
        <w:t xml:space="preserve">Akkerman, Nadine and Birgit Houben eds. </w:t>
      </w:r>
      <w:r w:rsidRPr="006B5318">
        <w:rPr>
          <w:rFonts w:ascii="Garamond" w:hAnsi="Garamond"/>
          <w:i/>
          <w:iCs/>
        </w:rPr>
        <w:t>The Politics of Female Households: Ladies-in-Waiting Across Early Modern Europe</w:t>
      </w:r>
      <w:r w:rsidRPr="006B5318">
        <w:rPr>
          <w:rFonts w:ascii="Garamond" w:hAnsi="Garamond"/>
        </w:rPr>
        <w:t>. Leiden: Brill, 2014.</w:t>
      </w:r>
    </w:p>
    <w:p w14:paraId="48839774" w14:textId="7B5616D4" w:rsidR="00AA00BD" w:rsidRPr="006B5318" w:rsidRDefault="00AA00BD" w:rsidP="00727F61">
      <w:pPr>
        <w:pStyle w:val="FootnoteText"/>
        <w:rPr>
          <w:rFonts w:ascii="Garamond" w:hAnsi="Garamond"/>
        </w:rPr>
      </w:pPr>
    </w:p>
    <w:p w14:paraId="2C81B8C5" w14:textId="3975D051" w:rsidR="000D00E5" w:rsidRPr="006B5318" w:rsidRDefault="000D00E5" w:rsidP="000D00E5">
      <w:pPr>
        <w:pStyle w:val="FootnoteText"/>
        <w:rPr>
          <w:rFonts w:ascii="Garamond" w:hAnsi="Garamond"/>
        </w:rPr>
      </w:pPr>
      <w:r w:rsidRPr="006B5318">
        <w:rPr>
          <w:rFonts w:ascii="Garamond" w:hAnsi="Garamond"/>
        </w:rPr>
        <w:t xml:space="preserve">Bourocher, Solveig. “Queen Marie of Anjou: Patron of the Works on the Château of Chinon in the Middle of the Fifteenth Century?.” </w:t>
      </w:r>
      <w:r w:rsidRPr="006B5318">
        <w:rPr>
          <w:rFonts w:ascii="Garamond" w:hAnsi="Garamond"/>
          <w:i/>
          <w:iCs/>
        </w:rPr>
        <w:t>Le Moyen Age</w:t>
      </w:r>
      <w:r w:rsidRPr="006B5318">
        <w:rPr>
          <w:rFonts w:ascii="Garamond" w:hAnsi="Garamond"/>
        </w:rPr>
        <w:t>, CXVII (2011/13): 487-506.</w:t>
      </w:r>
    </w:p>
    <w:p w14:paraId="2F182619" w14:textId="77777777" w:rsidR="00AA00BD" w:rsidRPr="006B5318" w:rsidRDefault="00AA00BD" w:rsidP="00727F61">
      <w:pPr>
        <w:pStyle w:val="FootnoteText"/>
        <w:rPr>
          <w:rFonts w:ascii="Garamond" w:hAnsi="Garamond"/>
        </w:rPr>
      </w:pPr>
    </w:p>
    <w:p w14:paraId="2C6FED7C" w14:textId="615DE36C" w:rsidR="00727F61" w:rsidRPr="006B5318" w:rsidRDefault="00727F61" w:rsidP="00727F61">
      <w:pPr>
        <w:pStyle w:val="FootnoteText"/>
        <w:rPr>
          <w:rFonts w:ascii="Garamond" w:hAnsi="Garamond"/>
        </w:rPr>
      </w:pPr>
      <w:r w:rsidRPr="006B5318">
        <w:rPr>
          <w:rFonts w:ascii="Garamond" w:hAnsi="Garamond"/>
        </w:rPr>
        <w:t>Castor, Helen.</w:t>
      </w:r>
      <w:r w:rsidRPr="006B5318">
        <w:rPr>
          <w:rFonts w:ascii="Garamond" w:hAnsi="Garamond"/>
          <w:i/>
          <w:iCs/>
        </w:rPr>
        <w:t xml:space="preserve"> She-Wolves: The Women who Ruled England before Elizabeth</w:t>
      </w:r>
      <w:r w:rsidR="00AA00BD" w:rsidRPr="006B5318">
        <w:rPr>
          <w:rFonts w:ascii="Garamond" w:hAnsi="Garamond"/>
          <w:i/>
          <w:iCs/>
        </w:rPr>
        <w:t xml:space="preserve">. </w:t>
      </w:r>
      <w:r w:rsidRPr="006B5318">
        <w:rPr>
          <w:rFonts w:ascii="Garamond" w:hAnsi="Garamond"/>
        </w:rPr>
        <w:t xml:space="preserve">London: Faber &amp; Faber, 2010. </w:t>
      </w:r>
    </w:p>
    <w:p w14:paraId="779275D8" w14:textId="48BFD9D4" w:rsidR="008C746C" w:rsidRPr="006B5318" w:rsidRDefault="008C746C" w:rsidP="00727F61">
      <w:pPr>
        <w:pStyle w:val="FootnoteText"/>
        <w:rPr>
          <w:rFonts w:ascii="Garamond" w:hAnsi="Garamond"/>
        </w:rPr>
      </w:pPr>
    </w:p>
    <w:p w14:paraId="03146553" w14:textId="0CE6FA63" w:rsidR="008C746C" w:rsidRPr="006B5318" w:rsidRDefault="00D051B6" w:rsidP="00AA00BD">
      <w:pPr>
        <w:rPr>
          <w:rFonts w:ascii="Garamond" w:hAnsi="Garamond"/>
          <w:color w:val="000000" w:themeColor="text1"/>
          <w:shd w:val="clear" w:color="auto" w:fill="FFFFFF"/>
        </w:rPr>
      </w:pPr>
      <w:r w:rsidRPr="006B5318">
        <w:rPr>
          <w:rFonts w:ascii="Garamond" w:hAnsi="Garamond"/>
          <w:color w:val="000000" w:themeColor="text1"/>
          <w:shd w:val="clear" w:color="auto" w:fill="FFFFFF"/>
        </w:rPr>
        <w:t>Chettle, George, H. 'Introduction: Greenwich before the building of the Queen's House', in </w:t>
      </w:r>
      <w:r w:rsidRPr="006B5318">
        <w:rPr>
          <w:rStyle w:val="Emphasis"/>
          <w:rFonts w:ascii="Garamond" w:eastAsiaTheme="minorEastAsia" w:hAnsi="Garamond"/>
          <w:color w:val="000000" w:themeColor="text1"/>
          <w:shd w:val="clear" w:color="auto" w:fill="FFFFFF"/>
        </w:rPr>
        <w:t>Survey of London Monograph 14, the Queen's House, Greenwich</w:t>
      </w:r>
      <w:r w:rsidRPr="006B5318">
        <w:rPr>
          <w:rFonts w:ascii="Garamond" w:hAnsi="Garamond"/>
          <w:color w:val="000000" w:themeColor="text1"/>
          <w:shd w:val="clear" w:color="auto" w:fill="FFFFFF"/>
        </w:rPr>
        <w:t> (London, 1937), 16-24. </w:t>
      </w:r>
      <w:r w:rsidRPr="006B5318">
        <w:rPr>
          <w:rStyle w:val="Emphasis"/>
          <w:rFonts w:ascii="Garamond" w:eastAsiaTheme="minorEastAsia" w:hAnsi="Garamond"/>
          <w:color w:val="000000" w:themeColor="text1"/>
          <w:shd w:val="clear" w:color="auto" w:fill="FFFFFF"/>
        </w:rPr>
        <w:t>British History Online</w:t>
      </w:r>
      <w:r w:rsidRPr="006B5318">
        <w:rPr>
          <w:rFonts w:ascii="Garamond" w:hAnsi="Garamond"/>
          <w:color w:val="000000" w:themeColor="text1"/>
          <w:shd w:val="clear" w:color="auto" w:fill="FFFFFF"/>
        </w:rPr>
        <w:t> </w:t>
      </w:r>
      <w:hyperlink r:id="rId8" w:history="1">
        <w:r w:rsidRPr="006B5318">
          <w:rPr>
            <w:rStyle w:val="Hyperlink"/>
            <w:rFonts w:ascii="Garamond" w:hAnsi="Garamond"/>
            <w:shd w:val="clear" w:color="auto" w:fill="FFFFFF"/>
          </w:rPr>
          <w:t>http://www.british-history.ac.uk/survey-london/bk14/pp16-24</w:t>
        </w:r>
      </w:hyperlink>
      <w:r w:rsidRPr="006B5318">
        <w:rPr>
          <w:rFonts w:ascii="Garamond" w:hAnsi="Garamond"/>
          <w:color w:val="000000" w:themeColor="text1"/>
          <w:shd w:val="clear" w:color="auto" w:fill="FFFFFF"/>
        </w:rPr>
        <w:t xml:space="preserve"> </w:t>
      </w:r>
    </w:p>
    <w:p w14:paraId="14206748" w14:textId="3A26FB4A" w:rsidR="009F0D6F" w:rsidRPr="006B5318" w:rsidRDefault="009F0D6F" w:rsidP="00AA00BD">
      <w:pPr>
        <w:rPr>
          <w:rFonts w:ascii="Garamond" w:hAnsi="Garamond"/>
          <w:color w:val="000000" w:themeColor="text1"/>
          <w:shd w:val="clear" w:color="auto" w:fill="FFFFFF"/>
        </w:rPr>
      </w:pPr>
    </w:p>
    <w:p w14:paraId="04832053" w14:textId="3B24AE38" w:rsidR="009F0D6F" w:rsidRPr="006B5318" w:rsidRDefault="009F0D6F" w:rsidP="00AA00BD">
      <w:pPr>
        <w:rPr>
          <w:rFonts w:ascii="Garamond" w:hAnsi="Garamond"/>
          <w:color w:val="000000" w:themeColor="text1"/>
          <w:shd w:val="clear" w:color="auto" w:fill="FFFFFF"/>
        </w:rPr>
      </w:pPr>
      <w:r w:rsidRPr="006B5318">
        <w:rPr>
          <w:rFonts w:ascii="Garamond" w:hAnsi="Garamond"/>
        </w:rPr>
        <w:t xml:space="preserve">Clark, Nicola. “Queen Katherine Howard: Space, and Promiscuity Pre- and Post- Marriage, 1536-1541.” </w:t>
      </w:r>
      <w:r w:rsidRPr="006B5318">
        <w:rPr>
          <w:rFonts w:ascii="Garamond" w:hAnsi="Garamond"/>
          <w:i/>
          <w:iCs/>
        </w:rPr>
        <w:t>Royal Studies Journal</w:t>
      </w:r>
      <w:r w:rsidRPr="006B5318">
        <w:rPr>
          <w:rFonts w:ascii="Garamond" w:hAnsi="Garamond"/>
        </w:rPr>
        <w:t xml:space="preserve"> 6, no. 2 (2019): 89-103.</w:t>
      </w:r>
    </w:p>
    <w:p w14:paraId="14ACA58B" w14:textId="3E578197" w:rsidR="00E72583" w:rsidRPr="006B5318" w:rsidRDefault="00E72583" w:rsidP="00AA00BD">
      <w:pPr>
        <w:rPr>
          <w:rFonts w:ascii="Garamond" w:hAnsi="Garamond"/>
          <w:color w:val="000000" w:themeColor="text1"/>
          <w:shd w:val="clear" w:color="auto" w:fill="FFFFFF"/>
        </w:rPr>
      </w:pPr>
    </w:p>
    <w:p w14:paraId="3E134B42" w14:textId="074BC1D4" w:rsidR="00E72583" w:rsidRPr="006B5318" w:rsidRDefault="00E72583" w:rsidP="00AA00BD">
      <w:pPr>
        <w:rPr>
          <w:rFonts w:ascii="Garamond" w:hAnsi="Garamond"/>
        </w:rPr>
      </w:pPr>
      <w:r w:rsidRPr="006B5318">
        <w:rPr>
          <w:rFonts w:ascii="Garamond" w:hAnsi="Garamond"/>
        </w:rPr>
        <w:t xml:space="preserve">Colvin, Howard M. </w:t>
      </w:r>
      <w:r w:rsidRPr="006B5318">
        <w:rPr>
          <w:rFonts w:ascii="Garamond" w:hAnsi="Garamond"/>
          <w:i/>
        </w:rPr>
        <w:t>History of the King’s Works</w:t>
      </w:r>
      <w:r w:rsidRPr="006B5318">
        <w:rPr>
          <w:rFonts w:ascii="Garamond" w:hAnsi="Garamond"/>
        </w:rPr>
        <w:t xml:space="preserve">, </w:t>
      </w:r>
      <w:r w:rsidRPr="006B5318">
        <w:rPr>
          <w:rFonts w:ascii="Garamond" w:hAnsi="Garamond"/>
          <w:i/>
          <w:iCs/>
        </w:rPr>
        <w:t>II</w:t>
      </w:r>
      <w:r w:rsidRPr="006B5318">
        <w:rPr>
          <w:rFonts w:ascii="Garamond" w:hAnsi="Garamond"/>
        </w:rPr>
        <w:t>. London: H. M. Stationery Office, 1963.</w:t>
      </w:r>
    </w:p>
    <w:p w14:paraId="0057A096" w14:textId="3CB8414E" w:rsidR="00520D39" w:rsidRPr="006B5318" w:rsidRDefault="00520D39" w:rsidP="00AA00BD">
      <w:pPr>
        <w:rPr>
          <w:rFonts w:ascii="Garamond" w:hAnsi="Garamond"/>
        </w:rPr>
      </w:pPr>
    </w:p>
    <w:p w14:paraId="03AE2AA1" w14:textId="0823FA09" w:rsidR="00520D39" w:rsidRPr="006B5318" w:rsidRDefault="00520D39" w:rsidP="00AA00BD">
      <w:pPr>
        <w:rPr>
          <w:rFonts w:ascii="Garamond" w:hAnsi="Garamond"/>
        </w:rPr>
      </w:pPr>
      <w:r w:rsidRPr="006B5318">
        <w:rPr>
          <w:rFonts w:ascii="Garamond" w:hAnsi="Garamond"/>
        </w:rPr>
        <w:t xml:space="preserve">Creighton, Oliver. </w:t>
      </w:r>
      <w:r w:rsidRPr="006B5318">
        <w:rPr>
          <w:rFonts w:ascii="Garamond" w:hAnsi="Garamond"/>
          <w:i/>
          <w:iCs/>
        </w:rPr>
        <w:t>Designs Upon the Land: Elite Landscapes of the Middle Ages</w:t>
      </w:r>
      <w:r w:rsidRPr="006B5318">
        <w:rPr>
          <w:rFonts w:ascii="Garamond" w:hAnsi="Garamond"/>
        </w:rPr>
        <w:t xml:space="preserve"> (Woodbridge</w:t>
      </w:r>
      <w:r w:rsidR="002C7965" w:rsidRPr="006B5318">
        <w:rPr>
          <w:rFonts w:ascii="Garamond" w:hAnsi="Garamond"/>
        </w:rPr>
        <w:t>:</w:t>
      </w:r>
      <w:r w:rsidRPr="006B5318">
        <w:rPr>
          <w:rFonts w:ascii="Garamond" w:hAnsi="Garamond"/>
        </w:rPr>
        <w:t xml:space="preserve"> The Boydell Press, 2009. </w:t>
      </w:r>
    </w:p>
    <w:p w14:paraId="4248DB05" w14:textId="00071D7F" w:rsidR="000D00E5" w:rsidRPr="006B5318" w:rsidRDefault="000D00E5" w:rsidP="00AA00BD">
      <w:pPr>
        <w:rPr>
          <w:rFonts w:ascii="Garamond" w:hAnsi="Garamond"/>
        </w:rPr>
      </w:pPr>
    </w:p>
    <w:p w14:paraId="12B59888" w14:textId="5BA9629C" w:rsidR="002E0469" w:rsidRPr="006B5318" w:rsidRDefault="002E0469" w:rsidP="002E0469">
      <w:pPr>
        <w:pStyle w:val="FootnoteText"/>
        <w:rPr>
          <w:rFonts w:ascii="Garamond" w:hAnsi="Garamond"/>
        </w:rPr>
      </w:pPr>
      <w:r w:rsidRPr="006B5318">
        <w:rPr>
          <w:rFonts w:ascii="Garamond" w:hAnsi="Garamond"/>
        </w:rPr>
        <w:t xml:space="preserve">Dempsey, Karen. “Gender and Medieval Archaeology: Storming the Castle.” </w:t>
      </w:r>
      <w:r w:rsidRPr="006B5318">
        <w:rPr>
          <w:rFonts w:ascii="Garamond" w:hAnsi="Garamond"/>
          <w:i/>
          <w:iCs/>
        </w:rPr>
        <w:t>Antiquity</w:t>
      </w:r>
      <w:r w:rsidRPr="006B5318">
        <w:rPr>
          <w:rFonts w:ascii="Garamond" w:hAnsi="Garamond"/>
        </w:rPr>
        <w:t xml:space="preserve"> 93, no. 369 (2019): 772-788.</w:t>
      </w:r>
    </w:p>
    <w:p w14:paraId="0C38E646" w14:textId="77777777" w:rsidR="002E0469" w:rsidRPr="006B5318" w:rsidRDefault="002E0469" w:rsidP="002E0469">
      <w:pPr>
        <w:pStyle w:val="FootnoteText"/>
        <w:rPr>
          <w:rFonts w:ascii="Garamond" w:hAnsi="Garamond"/>
        </w:rPr>
      </w:pPr>
    </w:p>
    <w:p w14:paraId="12D3DF13" w14:textId="2644E436" w:rsidR="000D00E5" w:rsidRPr="006B5318" w:rsidRDefault="000D00E5" w:rsidP="000D00E5">
      <w:pPr>
        <w:pStyle w:val="FootnoteText"/>
        <w:rPr>
          <w:rFonts w:ascii="Garamond" w:hAnsi="Garamond"/>
        </w:rPr>
      </w:pPr>
      <w:r w:rsidRPr="006B5318">
        <w:rPr>
          <w:rFonts w:ascii="Garamond" w:hAnsi="Garamond"/>
        </w:rPr>
        <w:t xml:space="preserve">Dixon, Philip. “The Tudor Palace at Greenwich.” </w:t>
      </w:r>
      <w:r w:rsidRPr="006B5318">
        <w:rPr>
          <w:rFonts w:ascii="Garamond" w:hAnsi="Garamond"/>
          <w:i/>
          <w:iCs/>
        </w:rPr>
        <w:t>The Court Historian</w:t>
      </w:r>
      <w:r w:rsidRPr="006B5318">
        <w:rPr>
          <w:rFonts w:ascii="Garamond" w:hAnsi="Garamond"/>
        </w:rPr>
        <w:t xml:space="preserve"> 11, 2 (2006): 105-112. </w:t>
      </w:r>
    </w:p>
    <w:p w14:paraId="3BF3A550" w14:textId="0D19C2A9" w:rsidR="003D1278" w:rsidRPr="006B5318" w:rsidRDefault="003D1278" w:rsidP="000D00E5">
      <w:pPr>
        <w:pStyle w:val="FootnoteText"/>
        <w:rPr>
          <w:rFonts w:ascii="Garamond" w:hAnsi="Garamond"/>
        </w:rPr>
      </w:pPr>
    </w:p>
    <w:p w14:paraId="304D83A5" w14:textId="55FFE3BF" w:rsidR="003D1278" w:rsidRPr="006B5318" w:rsidRDefault="003D1278" w:rsidP="000D00E5">
      <w:pPr>
        <w:pStyle w:val="FootnoteText"/>
        <w:rPr>
          <w:rFonts w:ascii="Garamond" w:hAnsi="Garamond"/>
        </w:rPr>
      </w:pPr>
      <w:r w:rsidRPr="006B5318">
        <w:rPr>
          <w:rFonts w:ascii="Garamond" w:hAnsi="Garamond"/>
        </w:rPr>
        <w:t xml:space="preserve">Draper, G. M. “Timber and Iron: Natural Resources for the Late Medieval Ship-Building Industry in Kent.” In </w:t>
      </w:r>
      <w:r w:rsidRPr="006B5318">
        <w:rPr>
          <w:rFonts w:ascii="Garamond" w:hAnsi="Garamond"/>
          <w:i/>
        </w:rPr>
        <w:t>Later Medieval Kent, 1220-1540</w:t>
      </w:r>
      <w:r w:rsidRPr="006B5318">
        <w:rPr>
          <w:rFonts w:ascii="Garamond" w:hAnsi="Garamond"/>
          <w:iCs/>
        </w:rPr>
        <w:t xml:space="preserve">, edited by </w:t>
      </w:r>
      <w:r w:rsidRPr="006B5318">
        <w:rPr>
          <w:rFonts w:ascii="Garamond" w:hAnsi="Garamond"/>
        </w:rPr>
        <w:t xml:space="preserve">Sheila Sweetinburgh, 55-77. Woodbridge: Boydell &amp; Brewer, 2010.  </w:t>
      </w:r>
    </w:p>
    <w:p w14:paraId="7AC76045" w14:textId="77777777" w:rsidR="002E0469" w:rsidRPr="006B5318" w:rsidRDefault="002E0469" w:rsidP="00727F61">
      <w:pPr>
        <w:pStyle w:val="FootnoteText"/>
        <w:rPr>
          <w:rFonts w:ascii="Garamond" w:hAnsi="Garamond"/>
        </w:rPr>
      </w:pPr>
    </w:p>
    <w:p w14:paraId="1F43C4B6" w14:textId="4CD93854" w:rsidR="008C746C" w:rsidRPr="006B5318" w:rsidRDefault="008C746C" w:rsidP="00727F61">
      <w:pPr>
        <w:pStyle w:val="FootnoteText"/>
        <w:rPr>
          <w:rFonts w:ascii="Garamond" w:hAnsi="Garamond"/>
        </w:rPr>
      </w:pPr>
      <w:r w:rsidRPr="006B5318">
        <w:rPr>
          <w:rFonts w:ascii="Garamond" w:hAnsi="Garamond"/>
        </w:rPr>
        <w:t>Drimmer, Sonja. “Beyond Private Matter: A Prayer Roll for Queen Margaret of Anjou</w:t>
      </w:r>
      <w:r w:rsidR="00AA00BD" w:rsidRPr="006B5318">
        <w:rPr>
          <w:rFonts w:ascii="Garamond" w:hAnsi="Garamond"/>
        </w:rPr>
        <w:t>.</w:t>
      </w:r>
      <w:r w:rsidRPr="006B5318">
        <w:rPr>
          <w:rFonts w:ascii="Garamond" w:hAnsi="Garamond"/>
        </w:rPr>
        <w:t xml:space="preserve">” </w:t>
      </w:r>
      <w:r w:rsidRPr="006B5318">
        <w:rPr>
          <w:rFonts w:ascii="Garamond" w:hAnsi="Garamond"/>
          <w:i/>
          <w:iCs/>
        </w:rPr>
        <w:t>Gesta</w:t>
      </w:r>
      <w:r w:rsidRPr="006B5318">
        <w:rPr>
          <w:rFonts w:ascii="Garamond" w:hAnsi="Garamond"/>
        </w:rPr>
        <w:t xml:space="preserve"> 53, no. 1 (Spring 2014): 95-120</w:t>
      </w:r>
    </w:p>
    <w:p w14:paraId="0BE0237D" w14:textId="30BE36E5" w:rsidR="00AA00BD" w:rsidRPr="006B5318" w:rsidRDefault="00AA00BD" w:rsidP="00727F61">
      <w:pPr>
        <w:pStyle w:val="FootnoteText"/>
        <w:rPr>
          <w:rFonts w:ascii="Garamond" w:hAnsi="Garamond"/>
        </w:rPr>
      </w:pPr>
    </w:p>
    <w:p w14:paraId="0C4CC9C8" w14:textId="361F6544" w:rsidR="00AA00BD" w:rsidRPr="006B5318" w:rsidRDefault="00AA00BD" w:rsidP="00727F61">
      <w:pPr>
        <w:pStyle w:val="FootnoteText"/>
        <w:rPr>
          <w:rFonts w:ascii="Garamond" w:hAnsi="Garamond"/>
        </w:rPr>
      </w:pPr>
      <w:r w:rsidRPr="006B5318">
        <w:rPr>
          <w:rFonts w:ascii="Garamond" w:hAnsi="Garamond"/>
        </w:rPr>
        <w:t xml:space="preserve">Dudley, Imogene. “She-Wolf or Feminist Heroine? Representations of Margaret of Anjou in Modern History and Literature.” in </w:t>
      </w:r>
      <w:r w:rsidRPr="006B5318">
        <w:rPr>
          <w:rFonts w:ascii="Garamond" w:hAnsi="Garamond"/>
          <w:i/>
          <w:iCs/>
        </w:rPr>
        <w:t>Remembering Queens and Kings of Early Modern England and France: Reputation, Reinterpretation, and Reincarnation</w:t>
      </w:r>
      <w:r w:rsidRPr="006B5318">
        <w:rPr>
          <w:rFonts w:ascii="Garamond" w:hAnsi="Garamond"/>
        </w:rPr>
        <w:t xml:space="preserve">, ed. Estelle Paranque (Cham: Palgrave Macmillan, 2019), 199-218. </w:t>
      </w:r>
    </w:p>
    <w:p w14:paraId="11C8F85E" w14:textId="65ECFBC6" w:rsidR="00AA00BD" w:rsidRPr="006B5318" w:rsidRDefault="00AA00BD" w:rsidP="00727F61">
      <w:pPr>
        <w:pStyle w:val="FootnoteText"/>
        <w:rPr>
          <w:rFonts w:ascii="Garamond" w:hAnsi="Garamond"/>
        </w:rPr>
      </w:pPr>
    </w:p>
    <w:p w14:paraId="4F83BBA9" w14:textId="65A68FFE" w:rsidR="00AA00BD" w:rsidRPr="006B5318" w:rsidRDefault="00AA00BD" w:rsidP="00AA00BD">
      <w:pPr>
        <w:spacing w:line="276" w:lineRule="auto"/>
        <w:jc w:val="both"/>
        <w:rPr>
          <w:rFonts w:ascii="Garamond" w:hAnsi="Garamond"/>
          <w:strike/>
        </w:rPr>
      </w:pPr>
      <w:r w:rsidRPr="006B5318">
        <w:rPr>
          <w:rFonts w:ascii="Garamond" w:hAnsi="Garamond"/>
        </w:rPr>
        <w:t xml:space="preserve">Dunn, Diana. “Margaret of Anjou: Monster Queen or Dutiful Wife?.” </w:t>
      </w:r>
      <w:r w:rsidRPr="006B5318">
        <w:rPr>
          <w:rFonts w:ascii="Garamond" w:hAnsi="Garamond"/>
          <w:i/>
          <w:iCs/>
        </w:rPr>
        <w:t>Medieval History</w:t>
      </w:r>
      <w:r w:rsidRPr="006B5318">
        <w:rPr>
          <w:rFonts w:ascii="Garamond" w:hAnsi="Garamond"/>
        </w:rPr>
        <w:t xml:space="preserve"> 4 (1994): 199-212.</w:t>
      </w:r>
    </w:p>
    <w:p w14:paraId="24358912" w14:textId="34D83E59" w:rsidR="00AA00BD" w:rsidRPr="006B5318" w:rsidRDefault="00AA00BD" w:rsidP="00727F61">
      <w:pPr>
        <w:pStyle w:val="FootnoteText"/>
        <w:rPr>
          <w:rFonts w:ascii="Garamond" w:hAnsi="Garamond"/>
        </w:rPr>
      </w:pPr>
    </w:p>
    <w:p w14:paraId="66DCA8C2" w14:textId="65FC004F" w:rsidR="00AA00BD" w:rsidRPr="006B5318" w:rsidRDefault="00AA00BD" w:rsidP="00727F61">
      <w:pPr>
        <w:pStyle w:val="FootnoteText"/>
        <w:rPr>
          <w:rFonts w:ascii="Garamond" w:hAnsi="Garamond"/>
        </w:rPr>
      </w:pPr>
      <w:r w:rsidRPr="006B5318">
        <w:rPr>
          <w:rFonts w:ascii="Garamond" w:hAnsi="Garamond"/>
        </w:rPr>
        <w:t xml:space="preserve">Egan, Michael. “‘The Church in Medieval Greenwich.” </w:t>
      </w:r>
      <w:r w:rsidRPr="006B5318">
        <w:rPr>
          <w:rFonts w:ascii="Garamond" w:hAnsi="Garamond"/>
          <w:i/>
          <w:iCs/>
        </w:rPr>
        <w:t>Archaeologia Cantiana</w:t>
      </w:r>
      <w:r w:rsidRPr="006B5318">
        <w:rPr>
          <w:rFonts w:ascii="Garamond" w:hAnsi="Garamond"/>
        </w:rPr>
        <w:t xml:space="preserve"> 123 (2003): 233-254.</w:t>
      </w:r>
    </w:p>
    <w:p w14:paraId="0FA4B8A2" w14:textId="3D4BE1D7" w:rsidR="00405510" w:rsidRPr="006B5318" w:rsidRDefault="00405510" w:rsidP="00727F61">
      <w:pPr>
        <w:pStyle w:val="FootnoteText"/>
        <w:rPr>
          <w:rFonts w:ascii="Garamond" w:hAnsi="Garamond"/>
        </w:rPr>
      </w:pPr>
    </w:p>
    <w:p w14:paraId="2323B76B" w14:textId="3ADCB40B" w:rsidR="00405510" w:rsidRPr="006B5318" w:rsidRDefault="00405510" w:rsidP="00727F61">
      <w:pPr>
        <w:pStyle w:val="FootnoteText"/>
        <w:rPr>
          <w:rFonts w:ascii="Garamond" w:hAnsi="Garamond"/>
        </w:rPr>
      </w:pPr>
      <w:r w:rsidRPr="006B5318">
        <w:rPr>
          <w:rFonts w:ascii="Garamond" w:hAnsi="Garamond"/>
        </w:rPr>
        <w:t xml:space="preserve">Emery, Anthony. </w:t>
      </w:r>
      <w:r w:rsidRPr="006B5318">
        <w:rPr>
          <w:rFonts w:ascii="Garamond" w:hAnsi="Garamond"/>
          <w:i/>
        </w:rPr>
        <w:t xml:space="preserve">Greater Medieval Houses of England and Wales, 1300-1500, Volume II: East Anglia, Central England and Wales. </w:t>
      </w:r>
      <w:r w:rsidRPr="006B5318">
        <w:rPr>
          <w:rFonts w:ascii="Garamond" w:hAnsi="Garamond"/>
        </w:rPr>
        <w:t xml:space="preserve">Cambridge: Cambridge University Press, 2000. </w:t>
      </w:r>
    </w:p>
    <w:p w14:paraId="3FF3E629" w14:textId="0AD17669" w:rsidR="00A16420" w:rsidRPr="006B5318" w:rsidRDefault="00A16420" w:rsidP="00727F61">
      <w:pPr>
        <w:pStyle w:val="FootnoteText"/>
        <w:rPr>
          <w:rFonts w:ascii="Garamond" w:hAnsi="Garamond"/>
        </w:rPr>
      </w:pPr>
    </w:p>
    <w:p w14:paraId="20B84083" w14:textId="2B634114" w:rsidR="00A16420" w:rsidRPr="006B5318" w:rsidRDefault="00A16420" w:rsidP="00727F61">
      <w:pPr>
        <w:pStyle w:val="FootnoteText"/>
        <w:rPr>
          <w:rFonts w:ascii="Garamond" w:hAnsi="Garamond"/>
        </w:rPr>
      </w:pPr>
      <w:r w:rsidRPr="006B5318">
        <w:rPr>
          <w:rFonts w:ascii="Garamond" w:hAnsi="Garamond"/>
        </w:rPr>
        <w:t xml:space="preserve">Fisher, Sally. ““All my frendys fro me thei flee”: The Disgraced and Unstable Household of Eleanor, Duchess of Gloucester.” In </w:t>
      </w:r>
      <w:r w:rsidRPr="006B5318">
        <w:rPr>
          <w:rFonts w:ascii="Garamond" w:hAnsi="Garamond"/>
          <w:i/>
          <w:iCs/>
        </w:rPr>
        <w:t>Royal and Elite Households in Medieval and Early Modern Europe: More than just a Castle</w:t>
      </w:r>
      <w:r w:rsidRPr="006B5318">
        <w:rPr>
          <w:rFonts w:ascii="Garamond" w:hAnsi="Garamond"/>
        </w:rPr>
        <w:t xml:space="preserve">, ed. Theresa Earenfight, 142-168. Leiden: Brill, 2018. </w:t>
      </w:r>
    </w:p>
    <w:p w14:paraId="19C47848" w14:textId="214717BB" w:rsidR="00B7091C" w:rsidRPr="006B5318" w:rsidRDefault="00B7091C" w:rsidP="00727F61">
      <w:pPr>
        <w:pStyle w:val="FootnoteText"/>
        <w:rPr>
          <w:rFonts w:ascii="Garamond" w:hAnsi="Garamond"/>
        </w:rPr>
      </w:pPr>
    </w:p>
    <w:p w14:paraId="3F6635E7" w14:textId="7DBAE648" w:rsidR="00B7091C" w:rsidRPr="006B5318" w:rsidRDefault="00B7091C" w:rsidP="00727F61">
      <w:pPr>
        <w:pStyle w:val="FootnoteText"/>
        <w:rPr>
          <w:rFonts w:ascii="Garamond" w:hAnsi="Garamond"/>
        </w:rPr>
      </w:pPr>
      <w:r w:rsidRPr="006B5318">
        <w:rPr>
          <w:rFonts w:ascii="Garamond" w:hAnsi="Garamond"/>
        </w:rPr>
        <w:t xml:space="preserve">Gilchrist, Roberta. </w:t>
      </w:r>
      <w:r w:rsidRPr="006B5318">
        <w:rPr>
          <w:rFonts w:ascii="Garamond" w:hAnsi="Garamond"/>
          <w:i/>
          <w:iCs/>
        </w:rPr>
        <w:t>Gender and Archaeology: Contesting the Past</w:t>
      </w:r>
      <w:r w:rsidRPr="006B5318">
        <w:rPr>
          <w:rFonts w:ascii="Garamond" w:hAnsi="Garamond"/>
        </w:rPr>
        <w:t xml:space="preserve">. London: Routledge, 1999. </w:t>
      </w:r>
    </w:p>
    <w:p w14:paraId="37B04EDB" w14:textId="01CDF03E" w:rsidR="00B7091C" w:rsidRPr="006B5318" w:rsidRDefault="00B7091C" w:rsidP="00727F61">
      <w:pPr>
        <w:pStyle w:val="FootnoteText"/>
        <w:rPr>
          <w:rFonts w:ascii="Garamond" w:hAnsi="Garamond"/>
        </w:rPr>
      </w:pPr>
    </w:p>
    <w:p w14:paraId="54863557" w14:textId="1347AA9B" w:rsidR="00B7091C" w:rsidRPr="006B5318" w:rsidRDefault="00B7091C" w:rsidP="00727F61">
      <w:pPr>
        <w:pStyle w:val="FootnoteText"/>
        <w:rPr>
          <w:rFonts w:ascii="Garamond" w:hAnsi="Garamond"/>
        </w:rPr>
      </w:pPr>
      <w:r w:rsidRPr="006B5318">
        <w:rPr>
          <w:rFonts w:ascii="Garamond" w:hAnsi="Garamond"/>
        </w:rPr>
        <w:t xml:space="preserve">Griffiths, Ralph A. </w:t>
      </w:r>
      <w:r w:rsidRPr="006B5318">
        <w:rPr>
          <w:rFonts w:ascii="Garamond" w:hAnsi="Garamond"/>
          <w:i/>
          <w:iCs/>
        </w:rPr>
        <w:t xml:space="preserve">The Reign of King Henry VI. </w:t>
      </w:r>
      <w:r w:rsidRPr="006B5318">
        <w:rPr>
          <w:rFonts w:ascii="Garamond" w:hAnsi="Garamond"/>
        </w:rPr>
        <w:t>Stroud: Sutton, 2004.</w:t>
      </w:r>
    </w:p>
    <w:p w14:paraId="133D2152" w14:textId="77777777" w:rsidR="00727F61" w:rsidRPr="006B5318" w:rsidRDefault="00727F61" w:rsidP="00727F61">
      <w:pPr>
        <w:spacing w:line="276" w:lineRule="auto"/>
        <w:jc w:val="both"/>
        <w:rPr>
          <w:rFonts w:ascii="Garamond" w:hAnsi="Garamond" w:cs="Arial"/>
          <w:color w:val="000000"/>
          <w:shd w:val="clear" w:color="auto" w:fill="FFFFFF"/>
        </w:rPr>
      </w:pPr>
    </w:p>
    <w:p w14:paraId="7D8EEC32" w14:textId="6787835B" w:rsidR="00727F61" w:rsidRPr="006B5318" w:rsidRDefault="00727F61" w:rsidP="00570D94">
      <w:pPr>
        <w:spacing w:line="276" w:lineRule="auto"/>
        <w:rPr>
          <w:rFonts w:ascii="Garamond" w:hAnsi="Garamond" w:cs="Arial"/>
          <w:color w:val="000000"/>
          <w:shd w:val="clear" w:color="auto" w:fill="FFFFFF"/>
        </w:rPr>
      </w:pPr>
      <w:r w:rsidRPr="006B5318">
        <w:rPr>
          <w:rFonts w:ascii="Garamond" w:hAnsi="Garamond" w:cs="Arial"/>
          <w:color w:val="000000"/>
          <w:shd w:val="clear" w:color="auto" w:fill="FFFFFF"/>
        </w:rPr>
        <w:t xml:space="preserve">Harriss, G. L. ‘Humphrey </w:t>
      </w:r>
      <w:r w:rsidRPr="006B5318">
        <w:rPr>
          <w:rFonts w:ascii="Garamond" w:hAnsi="Garamond"/>
        </w:rPr>
        <w:t>[Humfrey or Humphrey of Lancaster]</w:t>
      </w:r>
      <w:r w:rsidRPr="006B5318">
        <w:rPr>
          <w:rFonts w:ascii="Garamond" w:hAnsi="Garamond" w:cs="Arial"/>
          <w:color w:val="000000"/>
          <w:shd w:val="clear" w:color="auto" w:fill="FFFFFF"/>
        </w:rPr>
        <w:t>, duke of Gloucester [called Good Duke Humphrey] (1390–1447)’, </w:t>
      </w:r>
      <w:r w:rsidRPr="006B5318">
        <w:rPr>
          <w:rFonts w:ascii="Garamond" w:hAnsi="Garamond" w:cs="Arial"/>
          <w:i/>
          <w:iCs/>
          <w:color w:val="000000"/>
          <w:shd w:val="clear" w:color="auto" w:fill="FFFFFF"/>
        </w:rPr>
        <w:t>Oxford Dictionary of National Biography</w:t>
      </w:r>
      <w:r w:rsidRPr="006B5318">
        <w:rPr>
          <w:rFonts w:ascii="Garamond" w:hAnsi="Garamond" w:cs="Arial"/>
          <w:color w:val="000000"/>
          <w:shd w:val="clear" w:color="auto" w:fill="FFFFFF"/>
        </w:rPr>
        <w:t>, 23 Sept. 2004</w:t>
      </w:r>
      <w:r w:rsidR="00AA00BD" w:rsidRPr="006B5318">
        <w:rPr>
          <w:rFonts w:ascii="Garamond" w:hAnsi="Garamond" w:cs="Arial"/>
          <w:color w:val="000000"/>
          <w:shd w:val="clear" w:color="auto" w:fill="FFFFFF"/>
        </w:rPr>
        <w:t>.</w:t>
      </w:r>
      <w:r w:rsidRPr="006B5318">
        <w:rPr>
          <w:rFonts w:ascii="Garamond" w:hAnsi="Garamond" w:cs="Arial"/>
          <w:color w:val="000000"/>
          <w:shd w:val="clear" w:color="auto" w:fill="FFFFFF"/>
        </w:rPr>
        <w:t xml:space="preserve"> Accessed 17 February 2021</w:t>
      </w:r>
      <w:r w:rsidR="00AA00BD" w:rsidRPr="006B5318">
        <w:rPr>
          <w:rFonts w:ascii="Garamond" w:hAnsi="Garamond" w:cs="Arial"/>
          <w:color w:val="000000"/>
          <w:shd w:val="clear" w:color="auto" w:fill="FFFFFF"/>
        </w:rPr>
        <w:t>.</w:t>
      </w:r>
      <w:r w:rsidRPr="006B5318">
        <w:rPr>
          <w:rFonts w:ascii="Garamond" w:hAnsi="Garamond" w:cs="Arial"/>
          <w:color w:val="000000"/>
          <w:shd w:val="clear" w:color="auto" w:fill="FFFFFF"/>
        </w:rPr>
        <w:t xml:space="preserve"> </w:t>
      </w:r>
      <w:hyperlink r:id="rId9" w:history="1">
        <w:r w:rsidRPr="006B5318">
          <w:rPr>
            <w:rStyle w:val="Hyperlink"/>
            <w:rFonts w:ascii="Garamond" w:hAnsi="Garamond" w:cs="Arial"/>
            <w:shd w:val="clear" w:color="auto" w:fill="FFFFFF"/>
          </w:rPr>
          <w:t>https://www-oxforddnb-com.libproxy.york.ac.uk/view/10.1093/ref:odnb/9780198614128.001.0001/odnb-9780198614128-e-14155?rskey=gUqgJM&amp;result=1</w:t>
        </w:r>
      </w:hyperlink>
      <w:r w:rsidRPr="006B5318">
        <w:rPr>
          <w:rFonts w:ascii="Garamond" w:hAnsi="Garamond" w:cs="Arial"/>
          <w:color w:val="000000"/>
          <w:shd w:val="clear" w:color="auto" w:fill="FFFFFF"/>
        </w:rPr>
        <w:t>.</w:t>
      </w:r>
    </w:p>
    <w:p w14:paraId="54C7208F" w14:textId="7638FA5E" w:rsidR="0021354F" w:rsidRPr="006B5318" w:rsidRDefault="0021354F" w:rsidP="00727F61">
      <w:pPr>
        <w:spacing w:line="276" w:lineRule="auto"/>
        <w:jc w:val="both"/>
        <w:rPr>
          <w:rFonts w:ascii="Garamond" w:hAnsi="Garamond" w:cs="Arial"/>
          <w:color w:val="000000"/>
          <w:shd w:val="clear" w:color="auto" w:fill="FFFFFF"/>
        </w:rPr>
      </w:pPr>
    </w:p>
    <w:p w14:paraId="32C55513" w14:textId="409DD084" w:rsidR="007373C0" w:rsidRPr="006B5318" w:rsidRDefault="007373C0" w:rsidP="00727F61">
      <w:pPr>
        <w:spacing w:line="276" w:lineRule="auto"/>
        <w:jc w:val="both"/>
        <w:rPr>
          <w:rFonts w:ascii="Garamond" w:hAnsi="Garamond"/>
        </w:rPr>
      </w:pPr>
      <w:r w:rsidRPr="006B5318">
        <w:rPr>
          <w:rFonts w:ascii="Garamond" w:hAnsi="Garamond"/>
        </w:rPr>
        <w:t xml:space="preserve">Henderson, Paula. “Secret Houses and Lodges: the Queen’s House, Greenwich, in Context.” </w:t>
      </w:r>
      <w:r w:rsidRPr="006B5318">
        <w:rPr>
          <w:rFonts w:ascii="Garamond" w:hAnsi="Garamond"/>
          <w:i/>
          <w:iCs/>
        </w:rPr>
        <w:t>Apollo</w:t>
      </w:r>
      <w:r w:rsidRPr="006B5318">
        <w:rPr>
          <w:rFonts w:ascii="Garamond" w:hAnsi="Garamond"/>
        </w:rPr>
        <w:t xml:space="preserve"> 146, 425 (1997): 29-35.</w:t>
      </w:r>
    </w:p>
    <w:p w14:paraId="0155207D" w14:textId="39CC084B" w:rsidR="00911631" w:rsidRPr="006B5318" w:rsidRDefault="00911631" w:rsidP="00727F61">
      <w:pPr>
        <w:spacing w:line="276" w:lineRule="auto"/>
        <w:jc w:val="both"/>
        <w:rPr>
          <w:rFonts w:ascii="Garamond" w:hAnsi="Garamond"/>
        </w:rPr>
      </w:pPr>
    </w:p>
    <w:p w14:paraId="6366F784" w14:textId="2F0C3453" w:rsidR="00911631" w:rsidRPr="006B5318" w:rsidRDefault="00911631" w:rsidP="00727F61">
      <w:pPr>
        <w:spacing w:line="276" w:lineRule="auto"/>
        <w:jc w:val="both"/>
        <w:rPr>
          <w:rFonts w:ascii="Garamond" w:hAnsi="Garamond"/>
        </w:rPr>
      </w:pPr>
      <w:r w:rsidRPr="006B5318">
        <w:rPr>
          <w:rFonts w:ascii="Garamond" w:hAnsi="Garamond"/>
        </w:rPr>
        <w:t xml:space="preserve">Higgott, Gordon. “The Design and Setting of Inigo Jones’s Queen’s House, 1616-10.” </w:t>
      </w:r>
      <w:r w:rsidRPr="006B5318">
        <w:rPr>
          <w:rFonts w:ascii="Garamond" w:hAnsi="Garamond"/>
          <w:i/>
          <w:iCs/>
        </w:rPr>
        <w:t>Court Historian</w:t>
      </w:r>
      <w:r w:rsidRPr="006B5318">
        <w:rPr>
          <w:rFonts w:ascii="Garamond" w:hAnsi="Garamond"/>
        </w:rPr>
        <w:t xml:space="preserve"> 11, no. 2 (2006): 135-148.</w:t>
      </w:r>
    </w:p>
    <w:p w14:paraId="3C5B6D4C" w14:textId="77777777" w:rsidR="007373C0" w:rsidRPr="006B5318" w:rsidRDefault="007373C0" w:rsidP="00727F61">
      <w:pPr>
        <w:spacing w:line="276" w:lineRule="auto"/>
        <w:jc w:val="both"/>
        <w:rPr>
          <w:rFonts w:ascii="Garamond" w:hAnsi="Garamond"/>
        </w:rPr>
      </w:pPr>
    </w:p>
    <w:p w14:paraId="02E9E1FC" w14:textId="575D964A" w:rsidR="0021354F" w:rsidRPr="006B5318" w:rsidRDefault="0021354F" w:rsidP="00727F61">
      <w:pPr>
        <w:spacing w:line="276" w:lineRule="auto"/>
        <w:jc w:val="both"/>
        <w:rPr>
          <w:rFonts w:ascii="Garamond" w:hAnsi="Garamond" w:cs="Arial"/>
          <w:color w:val="000000"/>
          <w:shd w:val="clear" w:color="auto" w:fill="FFFFFF"/>
        </w:rPr>
      </w:pPr>
      <w:r w:rsidRPr="006B5318">
        <w:rPr>
          <w:rFonts w:ascii="Garamond" w:hAnsi="Garamond"/>
        </w:rPr>
        <w:t>Laurence</w:t>
      </w:r>
      <w:r w:rsidR="005100AD" w:rsidRPr="006B5318">
        <w:rPr>
          <w:rFonts w:ascii="Garamond" w:hAnsi="Garamond"/>
        </w:rPr>
        <w:t>, Anne</w:t>
      </w:r>
      <w:r w:rsidRPr="006B5318">
        <w:rPr>
          <w:rFonts w:ascii="Garamond" w:hAnsi="Garamond"/>
        </w:rPr>
        <w:t>. “Women using Building in Seventeenth-Century England:</w:t>
      </w:r>
      <w:r w:rsidR="005100AD" w:rsidRPr="006B5318">
        <w:rPr>
          <w:rFonts w:ascii="Garamond" w:hAnsi="Garamond"/>
        </w:rPr>
        <w:t xml:space="preserve"> </w:t>
      </w:r>
      <w:r w:rsidRPr="006B5318">
        <w:rPr>
          <w:rFonts w:ascii="Garamond" w:hAnsi="Garamond"/>
        </w:rPr>
        <w:t xml:space="preserve">A Question of Sources?.” </w:t>
      </w:r>
      <w:r w:rsidRPr="006B5318">
        <w:rPr>
          <w:rFonts w:ascii="Garamond" w:hAnsi="Garamond"/>
          <w:i/>
          <w:iCs/>
        </w:rPr>
        <w:t>Transactions of the Royal Historical Society</w:t>
      </w:r>
      <w:r w:rsidRPr="006B5318">
        <w:rPr>
          <w:rFonts w:ascii="Garamond" w:hAnsi="Garamond"/>
        </w:rPr>
        <w:t xml:space="preserve"> 13 (2003): 293-303.</w:t>
      </w:r>
    </w:p>
    <w:p w14:paraId="3439292F" w14:textId="0FEDBDEE" w:rsidR="00727F61" w:rsidRPr="006B5318" w:rsidRDefault="00727F61" w:rsidP="00727F61">
      <w:pPr>
        <w:spacing w:line="276" w:lineRule="auto"/>
        <w:jc w:val="both"/>
        <w:rPr>
          <w:rFonts w:ascii="Garamond" w:hAnsi="Garamond" w:cs="Arial"/>
          <w:color w:val="000000"/>
          <w:shd w:val="clear" w:color="auto" w:fill="FFFFFF"/>
        </w:rPr>
      </w:pPr>
    </w:p>
    <w:p w14:paraId="2E9BFC60" w14:textId="0582E5E8" w:rsidR="00727F61" w:rsidRPr="006B5318" w:rsidRDefault="00727F61" w:rsidP="00727F61">
      <w:pPr>
        <w:spacing w:line="276" w:lineRule="auto"/>
        <w:jc w:val="both"/>
        <w:rPr>
          <w:rFonts w:ascii="Garamond" w:hAnsi="Garamond"/>
        </w:rPr>
      </w:pPr>
      <w:r w:rsidRPr="006B5318">
        <w:rPr>
          <w:rFonts w:ascii="Garamond" w:hAnsi="Garamond"/>
        </w:rPr>
        <w:t xml:space="preserve">Laynesmith, Joanna L. </w:t>
      </w:r>
      <w:r w:rsidRPr="006B5318">
        <w:rPr>
          <w:rFonts w:ascii="Garamond" w:hAnsi="Garamond"/>
          <w:i/>
          <w:iCs/>
        </w:rPr>
        <w:t>The Last Medieval Queens: English Queenship, 1445-1503</w:t>
      </w:r>
      <w:r w:rsidR="00AA00BD" w:rsidRPr="006B5318">
        <w:rPr>
          <w:rFonts w:ascii="Garamond" w:hAnsi="Garamond"/>
        </w:rPr>
        <w:t xml:space="preserve">. </w:t>
      </w:r>
      <w:r w:rsidRPr="006B5318">
        <w:rPr>
          <w:rFonts w:ascii="Garamond" w:hAnsi="Garamond"/>
        </w:rPr>
        <w:t>Oxford: Oxford University Press, 2004</w:t>
      </w:r>
      <w:r w:rsidR="00AA00BD" w:rsidRPr="006B5318">
        <w:rPr>
          <w:rFonts w:ascii="Garamond" w:hAnsi="Garamond"/>
        </w:rPr>
        <w:t>.</w:t>
      </w:r>
    </w:p>
    <w:p w14:paraId="5AC593D1" w14:textId="68C4B096" w:rsidR="008C746C" w:rsidRPr="006B5318" w:rsidRDefault="008C746C" w:rsidP="00727F61">
      <w:pPr>
        <w:spacing w:line="276" w:lineRule="auto"/>
        <w:jc w:val="both"/>
        <w:rPr>
          <w:rFonts w:ascii="Garamond" w:hAnsi="Garamond"/>
        </w:rPr>
      </w:pPr>
    </w:p>
    <w:p w14:paraId="7E3B1D3F" w14:textId="6BA54B85" w:rsidR="008C746C" w:rsidRPr="006B5318" w:rsidRDefault="008C746C" w:rsidP="003D33E8">
      <w:pPr>
        <w:pStyle w:val="FootnoteText"/>
        <w:jc w:val="both"/>
        <w:rPr>
          <w:rFonts w:ascii="Garamond" w:hAnsi="Garamond"/>
        </w:rPr>
      </w:pPr>
      <w:r w:rsidRPr="006B5318">
        <w:rPr>
          <w:rFonts w:ascii="Garamond" w:hAnsi="Garamond"/>
        </w:rPr>
        <w:lastRenderedPageBreak/>
        <w:t>Marks,</w:t>
      </w:r>
      <w:r w:rsidR="00AA00BD" w:rsidRPr="006B5318">
        <w:rPr>
          <w:rFonts w:ascii="Garamond" w:hAnsi="Garamond"/>
        </w:rPr>
        <w:t xml:space="preserve"> Richard.</w:t>
      </w:r>
      <w:r w:rsidRPr="006B5318">
        <w:rPr>
          <w:rFonts w:ascii="Garamond" w:hAnsi="Garamond"/>
        </w:rPr>
        <w:t xml:space="preserve"> “Window Glass</w:t>
      </w:r>
      <w:r w:rsidR="00AA00BD" w:rsidRPr="006B5318">
        <w:rPr>
          <w:rFonts w:ascii="Garamond" w:hAnsi="Garamond"/>
        </w:rPr>
        <w:t>.</w:t>
      </w:r>
      <w:r w:rsidRPr="006B5318">
        <w:rPr>
          <w:rFonts w:ascii="Garamond" w:hAnsi="Garamond"/>
        </w:rPr>
        <w:t xml:space="preserve">” </w:t>
      </w:r>
      <w:r w:rsidR="00AA00BD" w:rsidRPr="006B5318">
        <w:rPr>
          <w:rFonts w:ascii="Garamond" w:hAnsi="Garamond"/>
        </w:rPr>
        <w:t>I</w:t>
      </w:r>
      <w:r w:rsidRPr="006B5318">
        <w:rPr>
          <w:rFonts w:ascii="Garamond" w:hAnsi="Garamond"/>
        </w:rPr>
        <w:t xml:space="preserve">n </w:t>
      </w:r>
      <w:r w:rsidRPr="006B5318">
        <w:rPr>
          <w:rFonts w:ascii="Garamond" w:hAnsi="Garamond"/>
          <w:i/>
        </w:rPr>
        <w:t>English Medieval Industries: Craftsmen, Techniques, Products</w:t>
      </w:r>
      <w:r w:rsidR="00AA00BD" w:rsidRPr="006B5318">
        <w:rPr>
          <w:rFonts w:ascii="Garamond" w:hAnsi="Garamond"/>
          <w:iCs/>
        </w:rPr>
        <w:t>, e</w:t>
      </w:r>
      <w:r w:rsidRPr="006B5318">
        <w:rPr>
          <w:rFonts w:ascii="Garamond" w:hAnsi="Garamond"/>
          <w:iCs/>
        </w:rPr>
        <w:t>d</w:t>
      </w:r>
      <w:r w:rsidR="00AA00BD" w:rsidRPr="006B5318">
        <w:rPr>
          <w:rFonts w:ascii="Garamond" w:hAnsi="Garamond"/>
          <w:iCs/>
        </w:rPr>
        <w:t>ited by</w:t>
      </w:r>
      <w:r w:rsidR="003D33E8" w:rsidRPr="006B5318">
        <w:rPr>
          <w:rFonts w:ascii="Garamond" w:hAnsi="Garamond"/>
          <w:iCs/>
        </w:rPr>
        <w:t xml:space="preserve"> </w:t>
      </w:r>
      <w:r w:rsidRPr="006B5318">
        <w:rPr>
          <w:rFonts w:ascii="Garamond" w:hAnsi="Garamond"/>
        </w:rPr>
        <w:t>John W. Blair and Nigel Ramsey</w:t>
      </w:r>
      <w:r w:rsidR="002833B8" w:rsidRPr="006B5318">
        <w:rPr>
          <w:rFonts w:ascii="Garamond" w:hAnsi="Garamond"/>
        </w:rPr>
        <w:t xml:space="preserve">, 280-283. </w:t>
      </w:r>
      <w:r w:rsidRPr="006B5318">
        <w:rPr>
          <w:rFonts w:ascii="Garamond" w:hAnsi="Garamond"/>
        </w:rPr>
        <w:t>London and Rio Grande: The Hambledon Press, 1992</w:t>
      </w:r>
      <w:r w:rsidR="002833B8" w:rsidRPr="006B5318">
        <w:rPr>
          <w:rFonts w:ascii="Garamond" w:hAnsi="Garamond"/>
        </w:rPr>
        <w:t xml:space="preserve">. </w:t>
      </w:r>
    </w:p>
    <w:p w14:paraId="32CDF077" w14:textId="218EC54C" w:rsidR="00727F61" w:rsidRPr="006B5318" w:rsidRDefault="00727F61" w:rsidP="00727F61">
      <w:pPr>
        <w:spacing w:line="276" w:lineRule="auto"/>
        <w:jc w:val="both"/>
        <w:rPr>
          <w:rFonts w:ascii="Garamond" w:hAnsi="Garamond" w:cs="Arial"/>
          <w:color w:val="000000"/>
          <w:shd w:val="clear" w:color="auto" w:fill="FFFFFF"/>
        </w:rPr>
      </w:pPr>
    </w:p>
    <w:p w14:paraId="7D33B3B2" w14:textId="51A1F5A2" w:rsidR="00727F61" w:rsidRPr="006B5318" w:rsidRDefault="00727F61" w:rsidP="00727F61">
      <w:pPr>
        <w:spacing w:line="276" w:lineRule="auto"/>
        <w:jc w:val="both"/>
        <w:rPr>
          <w:rFonts w:ascii="Garamond" w:hAnsi="Garamond"/>
        </w:rPr>
      </w:pPr>
      <w:r w:rsidRPr="006B5318">
        <w:rPr>
          <w:rFonts w:ascii="Garamond" w:hAnsi="Garamond"/>
        </w:rPr>
        <w:t>Maurer, Helen</w:t>
      </w:r>
      <w:r w:rsidR="00AA00BD" w:rsidRPr="006B5318">
        <w:rPr>
          <w:rFonts w:ascii="Garamond" w:hAnsi="Garamond"/>
        </w:rPr>
        <w:t>,</w:t>
      </w:r>
      <w:r w:rsidRPr="006B5318">
        <w:rPr>
          <w:rFonts w:ascii="Garamond" w:hAnsi="Garamond"/>
        </w:rPr>
        <w:t xml:space="preserve"> E.</w:t>
      </w:r>
      <w:r w:rsidRPr="006B5318">
        <w:rPr>
          <w:rFonts w:ascii="Garamond" w:hAnsi="Garamond"/>
          <w:i/>
          <w:iCs/>
        </w:rPr>
        <w:t xml:space="preserve"> Margaret of Anjou: Queenship and Power in Late Medieval England</w:t>
      </w:r>
      <w:r w:rsidR="00AA00BD" w:rsidRPr="006B5318">
        <w:rPr>
          <w:rFonts w:ascii="Garamond" w:hAnsi="Garamond"/>
          <w:i/>
          <w:iCs/>
        </w:rPr>
        <w:t xml:space="preserve">. </w:t>
      </w:r>
      <w:r w:rsidRPr="006B5318">
        <w:rPr>
          <w:rFonts w:ascii="Garamond" w:hAnsi="Garamond"/>
        </w:rPr>
        <w:t>Woodbridge: The Boydell Press, 2003</w:t>
      </w:r>
      <w:r w:rsidR="00AA00BD" w:rsidRPr="006B5318">
        <w:rPr>
          <w:rFonts w:ascii="Garamond" w:hAnsi="Garamond"/>
        </w:rPr>
        <w:t>.</w:t>
      </w:r>
    </w:p>
    <w:p w14:paraId="4D5934CC" w14:textId="724B53FE" w:rsidR="007373C0" w:rsidRPr="006B5318" w:rsidRDefault="007373C0" w:rsidP="00727F61">
      <w:pPr>
        <w:spacing w:line="276" w:lineRule="auto"/>
        <w:jc w:val="both"/>
        <w:rPr>
          <w:rFonts w:ascii="Garamond" w:hAnsi="Garamond"/>
        </w:rPr>
      </w:pPr>
    </w:p>
    <w:p w14:paraId="4EE227F7" w14:textId="293903CC" w:rsidR="007373C0" w:rsidRPr="006B5318" w:rsidRDefault="007373C0" w:rsidP="00727F61">
      <w:pPr>
        <w:spacing w:line="276" w:lineRule="auto"/>
        <w:jc w:val="both"/>
        <w:rPr>
          <w:rFonts w:ascii="Garamond" w:hAnsi="Garamond"/>
        </w:rPr>
      </w:pPr>
      <w:r w:rsidRPr="006B5318">
        <w:rPr>
          <w:rFonts w:ascii="Garamond" w:hAnsi="Garamond"/>
        </w:rPr>
        <w:t xml:space="preserve">McManus, Clare. “Memorialising Anna of Denmark’s Court: Cupid’s Banishment at Greenwich Palace.” In </w:t>
      </w:r>
      <w:r w:rsidRPr="006B5318">
        <w:rPr>
          <w:rFonts w:ascii="Garamond" w:hAnsi="Garamond"/>
          <w:i/>
          <w:iCs/>
        </w:rPr>
        <w:t>Women and Culture at the Courts of the Stuart Queens</w:t>
      </w:r>
      <w:r w:rsidRPr="006B5318">
        <w:rPr>
          <w:rFonts w:ascii="Garamond" w:hAnsi="Garamond"/>
        </w:rPr>
        <w:t xml:space="preserve">, edited by Clare McManus, 81-99. Basingstoke: Palgrave Macmillan, 2003. </w:t>
      </w:r>
    </w:p>
    <w:p w14:paraId="0B537F5B" w14:textId="1D497C29" w:rsidR="002330A1" w:rsidRPr="006B5318" w:rsidRDefault="002330A1" w:rsidP="00727F61">
      <w:pPr>
        <w:spacing w:line="276" w:lineRule="auto"/>
        <w:jc w:val="both"/>
        <w:rPr>
          <w:rFonts w:ascii="Garamond" w:hAnsi="Garamond"/>
        </w:rPr>
      </w:pPr>
    </w:p>
    <w:p w14:paraId="272CE9EB" w14:textId="2569C110" w:rsidR="002330A1" w:rsidRPr="006B5318" w:rsidRDefault="002330A1" w:rsidP="00727F61">
      <w:pPr>
        <w:spacing w:line="276" w:lineRule="auto"/>
        <w:jc w:val="both"/>
        <w:rPr>
          <w:rFonts w:ascii="Garamond" w:hAnsi="Garamond"/>
        </w:rPr>
      </w:pPr>
      <w:r w:rsidRPr="006B5318">
        <w:rPr>
          <w:rFonts w:ascii="Garamond" w:hAnsi="Garamond"/>
        </w:rPr>
        <w:t xml:space="preserve">Mileson, Stephen. </w:t>
      </w:r>
      <w:r w:rsidRPr="006B5318">
        <w:rPr>
          <w:rFonts w:ascii="Garamond" w:hAnsi="Garamond"/>
          <w:i/>
          <w:iCs/>
        </w:rPr>
        <w:t>Parks in Medieval England</w:t>
      </w:r>
      <w:r w:rsidRPr="006B5318">
        <w:rPr>
          <w:rFonts w:ascii="Garamond" w:hAnsi="Garamond"/>
        </w:rPr>
        <w:t>. Oxford: Oxford University Press, 2009.</w:t>
      </w:r>
    </w:p>
    <w:p w14:paraId="04F039AB" w14:textId="0EE10AB3" w:rsidR="00727F61" w:rsidRPr="006B5318" w:rsidRDefault="00727F61" w:rsidP="00727F61">
      <w:pPr>
        <w:spacing w:line="276" w:lineRule="auto"/>
        <w:jc w:val="both"/>
        <w:rPr>
          <w:rFonts w:ascii="Garamond" w:hAnsi="Garamond"/>
        </w:rPr>
      </w:pPr>
    </w:p>
    <w:p w14:paraId="6A6423A1" w14:textId="77486BB6" w:rsidR="00727F61" w:rsidRPr="006B5318" w:rsidRDefault="00727F61" w:rsidP="00727F61">
      <w:pPr>
        <w:spacing w:line="276" w:lineRule="auto"/>
        <w:jc w:val="both"/>
        <w:rPr>
          <w:rFonts w:ascii="Garamond" w:hAnsi="Garamond"/>
        </w:rPr>
      </w:pPr>
      <w:r w:rsidRPr="006B5318">
        <w:rPr>
          <w:rFonts w:ascii="Garamond" w:hAnsi="Garamond"/>
        </w:rPr>
        <w:t xml:space="preserve">Nuttall, Jenni. “Margaret of Anjou as Patron of English Verse? </w:t>
      </w:r>
      <w:r w:rsidRPr="006B5318">
        <w:rPr>
          <w:rFonts w:ascii="Garamond" w:hAnsi="Garamond"/>
          <w:i/>
          <w:iCs/>
        </w:rPr>
        <w:t>The Liber Proverbiorum</w:t>
      </w:r>
      <w:r w:rsidRPr="006B5318">
        <w:rPr>
          <w:rFonts w:ascii="Garamond" w:hAnsi="Garamond"/>
        </w:rPr>
        <w:t xml:space="preserve"> and the </w:t>
      </w:r>
      <w:r w:rsidRPr="006B5318">
        <w:rPr>
          <w:rFonts w:ascii="Garamond" w:hAnsi="Garamond"/>
          <w:i/>
          <w:iCs/>
        </w:rPr>
        <w:t>Romans of Partenay</w:t>
      </w:r>
      <w:r w:rsidR="002833B8" w:rsidRPr="006B5318">
        <w:rPr>
          <w:rFonts w:ascii="Garamond" w:hAnsi="Garamond"/>
        </w:rPr>
        <w:t>.</w:t>
      </w:r>
      <w:r w:rsidRPr="006B5318">
        <w:rPr>
          <w:rFonts w:ascii="Garamond" w:hAnsi="Garamond"/>
        </w:rPr>
        <w:t xml:space="preserve">” </w:t>
      </w:r>
      <w:r w:rsidRPr="006B5318">
        <w:rPr>
          <w:rFonts w:ascii="Garamond" w:hAnsi="Garamond"/>
          <w:i/>
          <w:iCs/>
        </w:rPr>
        <w:t>The Review of English Studies</w:t>
      </w:r>
      <w:r w:rsidRPr="006B5318">
        <w:rPr>
          <w:rFonts w:ascii="Garamond" w:hAnsi="Garamond"/>
        </w:rPr>
        <w:t xml:space="preserve"> 67, no 281 (September 2016): 636-659</w:t>
      </w:r>
      <w:r w:rsidR="00AA00BD" w:rsidRPr="006B5318">
        <w:rPr>
          <w:rFonts w:ascii="Garamond" w:hAnsi="Garamond"/>
        </w:rPr>
        <w:t>.</w:t>
      </w:r>
    </w:p>
    <w:p w14:paraId="30592745" w14:textId="6744492C" w:rsidR="0077526E" w:rsidRPr="006B5318" w:rsidRDefault="0077526E" w:rsidP="00727F61">
      <w:pPr>
        <w:spacing w:line="276" w:lineRule="auto"/>
        <w:jc w:val="both"/>
        <w:rPr>
          <w:rFonts w:ascii="Garamond" w:hAnsi="Garamond"/>
        </w:rPr>
      </w:pPr>
    </w:p>
    <w:p w14:paraId="41B80549" w14:textId="57C2D0C8" w:rsidR="0077526E" w:rsidRPr="006B5318" w:rsidRDefault="0077526E" w:rsidP="00727F61">
      <w:pPr>
        <w:spacing w:line="276" w:lineRule="auto"/>
        <w:jc w:val="both"/>
        <w:rPr>
          <w:rFonts w:ascii="Garamond" w:hAnsi="Garamond"/>
        </w:rPr>
      </w:pPr>
      <w:r w:rsidRPr="006B5318">
        <w:rPr>
          <w:rFonts w:ascii="Garamond" w:hAnsi="Garamond"/>
        </w:rPr>
        <w:t xml:space="preserve">Ormrod, W. M. “In Bed with Joan of Kent: The King’s Mother and the Peasants’ Revolt.” In </w:t>
      </w:r>
      <w:r w:rsidRPr="006B5318">
        <w:rPr>
          <w:rFonts w:ascii="Garamond" w:hAnsi="Garamond"/>
          <w:i/>
          <w:iCs/>
        </w:rPr>
        <w:t xml:space="preserve">Medieval Women: Texts and Contexts in Late Medieval Britain: Essays for Felicity Riddy, </w:t>
      </w:r>
      <w:r w:rsidRPr="006B5318">
        <w:rPr>
          <w:rFonts w:ascii="Garamond" w:hAnsi="Garamond"/>
        </w:rPr>
        <w:t>277-292.</w:t>
      </w:r>
      <w:r w:rsidRPr="006B5318">
        <w:rPr>
          <w:rFonts w:ascii="Garamond" w:hAnsi="Garamond"/>
          <w:i/>
          <w:iCs/>
        </w:rPr>
        <w:t xml:space="preserve"> </w:t>
      </w:r>
      <w:r w:rsidRPr="006B5318">
        <w:rPr>
          <w:rFonts w:ascii="Garamond" w:hAnsi="Garamond"/>
        </w:rPr>
        <w:t xml:space="preserve">Turnhout: Brepols, 2000. </w:t>
      </w:r>
    </w:p>
    <w:p w14:paraId="2BB0A765" w14:textId="33128716" w:rsidR="008C746C" w:rsidRPr="006B5318" w:rsidRDefault="008C746C" w:rsidP="00727F61">
      <w:pPr>
        <w:spacing w:line="276" w:lineRule="auto"/>
        <w:jc w:val="both"/>
        <w:rPr>
          <w:rFonts w:ascii="Garamond" w:hAnsi="Garamond"/>
        </w:rPr>
      </w:pPr>
    </w:p>
    <w:p w14:paraId="68D53613" w14:textId="471E9170" w:rsidR="008C746C" w:rsidRPr="006B5318" w:rsidRDefault="008C746C" w:rsidP="008C746C">
      <w:pPr>
        <w:pStyle w:val="FootnoteText"/>
        <w:rPr>
          <w:rFonts w:ascii="Garamond" w:hAnsi="Garamond"/>
        </w:rPr>
      </w:pPr>
      <w:r w:rsidRPr="006B5318">
        <w:rPr>
          <w:rFonts w:ascii="Garamond" w:hAnsi="Garamond"/>
        </w:rPr>
        <w:t>Radulescu, Raluca L. “Preparing for Mature Years: the Case of Margaret of Anjou and her Books</w:t>
      </w:r>
      <w:r w:rsidR="002833B8" w:rsidRPr="006B5318">
        <w:rPr>
          <w:rFonts w:ascii="Garamond" w:hAnsi="Garamond"/>
        </w:rPr>
        <w:t>.</w:t>
      </w:r>
      <w:r w:rsidRPr="006B5318">
        <w:rPr>
          <w:rFonts w:ascii="Garamond" w:hAnsi="Garamond"/>
        </w:rPr>
        <w:t xml:space="preserve">” </w:t>
      </w:r>
      <w:r w:rsidR="002833B8" w:rsidRPr="006B5318">
        <w:rPr>
          <w:rFonts w:ascii="Garamond" w:hAnsi="Garamond"/>
        </w:rPr>
        <w:t>I</w:t>
      </w:r>
      <w:r w:rsidRPr="006B5318">
        <w:rPr>
          <w:rFonts w:ascii="Garamond" w:hAnsi="Garamond"/>
        </w:rPr>
        <w:t xml:space="preserve">n </w:t>
      </w:r>
      <w:r w:rsidRPr="006B5318">
        <w:rPr>
          <w:rFonts w:ascii="Garamond" w:hAnsi="Garamond"/>
          <w:i/>
          <w:iCs/>
        </w:rPr>
        <w:t>Middle-Aged Women in the Middle Ages</w:t>
      </w:r>
      <w:r w:rsidRPr="006B5318">
        <w:rPr>
          <w:rFonts w:ascii="Garamond" w:hAnsi="Garamond"/>
        </w:rPr>
        <w:t>, ed</w:t>
      </w:r>
      <w:r w:rsidR="002833B8" w:rsidRPr="006B5318">
        <w:rPr>
          <w:rFonts w:ascii="Garamond" w:hAnsi="Garamond"/>
        </w:rPr>
        <w:t>ited by</w:t>
      </w:r>
      <w:r w:rsidRPr="006B5318">
        <w:rPr>
          <w:rFonts w:ascii="Garamond" w:hAnsi="Garamond"/>
        </w:rPr>
        <w:t xml:space="preserve"> Sue Niebrzydowski</w:t>
      </w:r>
      <w:r w:rsidR="002833B8" w:rsidRPr="006B5318">
        <w:rPr>
          <w:rFonts w:ascii="Garamond" w:hAnsi="Garamond"/>
        </w:rPr>
        <w:t>, 115-138. W</w:t>
      </w:r>
      <w:r w:rsidRPr="006B5318">
        <w:rPr>
          <w:rFonts w:ascii="Garamond" w:hAnsi="Garamond"/>
        </w:rPr>
        <w:t>oodbridge: D. S. Brewer, 2011</w:t>
      </w:r>
      <w:r w:rsidR="002833B8" w:rsidRPr="006B5318">
        <w:rPr>
          <w:rFonts w:ascii="Garamond" w:hAnsi="Garamond"/>
        </w:rPr>
        <w:t>.</w:t>
      </w:r>
    </w:p>
    <w:p w14:paraId="7ABE4C87" w14:textId="718AC4E3" w:rsidR="00B7091C" w:rsidRPr="006B5318" w:rsidRDefault="00B7091C" w:rsidP="008C746C">
      <w:pPr>
        <w:pStyle w:val="FootnoteText"/>
        <w:rPr>
          <w:rFonts w:ascii="Garamond" w:hAnsi="Garamond"/>
        </w:rPr>
      </w:pPr>
    </w:p>
    <w:p w14:paraId="466478F1" w14:textId="55902981" w:rsidR="00B7091C" w:rsidRPr="006B5318" w:rsidRDefault="00B7091C" w:rsidP="00B7091C">
      <w:pPr>
        <w:pStyle w:val="FootnoteText"/>
        <w:rPr>
          <w:rFonts w:ascii="Garamond" w:hAnsi="Garamond"/>
        </w:rPr>
      </w:pPr>
      <w:r w:rsidRPr="006B5318">
        <w:rPr>
          <w:rFonts w:ascii="Garamond" w:hAnsi="Garamond"/>
        </w:rPr>
        <w:t xml:space="preserve">Richardson, Amanda. “Gender and Space in English Royal Palaces, c. 1160—c. 1547.” </w:t>
      </w:r>
      <w:r w:rsidRPr="006B5318">
        <w:rPr>
          <w:rFonts w:ascii="Garamond" w:hAnsi="Garamond"/>
          <w:i/>
          <w:iCs/>
        </w:rPr>
        <w:t>Medieval Archaeology</w:t>
      </w:r>
      <w:r w:rsidRPr="006B5318">
        <w:rPr>
          <w:rFonts w:ascii="Garamond" w:hAnsi="Garamond"/>
        </w:rPr>
        <w:t xml:space="preserve"> 47, no. 1 (2003): 131—165. </w:t>
      </w:r>
    </w:p>
    <w:p w14:paraId="0CCFE036" w14:textId="1DD92840" w:rsidR="008C746C" w:rsidRPr="006B5318" w:rsidRDefault="008C746C" w:rsidP="008C746C">
      <w:pPr>
        <w:pStyle w:val="FootnoteText"/>
        <w:rPr>
          <w:rFonts w:ascii="Garamond" w:hAnsi="Garamond"/>
        </w:rPr>
      </w:pPr>
    </w:p>
    <w:p w14:paraId="5A9C62DF" w14:textId="0BCFE55D" w:rsidR="008C746C" w:rsidRPr="006B5318" w:rsidRDefault="008C746C" w:rsidP="008C746C">
      <w:pPr>
        <w:pStyle w:val="FootnoteText"/>
        <w:rPr>
          <w:rFonts w:ascii="Garamond" w:hAnsi="Garamond"/>
        </w:rPr>
      </w:pPr>
      <w:r w:rsidRPr="006B5318">
        <w:rPr>
          <w:rFonts w:ascii="Garamond" w:hAnsi="Garamond"/>
        </w:rPr>
        <w:t>Richardson, Amanda. “Gender and Space in the Later Middle Ages: Past, Present, and Future Routes</w:t>
      </w:r>
      <w:r w:rsidR="002833B8" w:rsidRPr="006B5318">
        <w:rPr>
          <w:rFonts w:ascii="Garamond" w:hAnsi="Garamond"/>
        </w:rPr>
        <w:t>.</w:t>
      </w:r>
      <w:r w:rsidRPr="006B5318">
        <w:rPr>
          <w:rFonts w:ascii="Garamond" w:hAnsi="Garamond"/>
        </w:rPr>
        <w:t xml:space="preserve">” </w:t>
      </w:r>
      <w:r w:rsidR="002833B8" w:rsidRPr="006B5318">
        <w:rPr>
          <w:rFonts w:ascii="Garamond" w:hAnsi="Garamond"/>
        </w:rPr>
        <w:t>I</w:t>
      </w:r>
      <w:r w:rsidRPr="006B5318">
        <w:rPr>
          <w:rFonts w:ascii="Garamond" w:hAnsi="Garamond"/>
        </w:rPr>
        <w:t xml:space="preserve">n </w:t>
      </w:r>
      <w:r w:rsidRPr="006B5318">
        <w:rPr>
          <w:rFonts w:ascii="Garamond" w:hAnsi="Garamond"/>
          <w:i/>
          <w:iCs/>
        </w:rPr>
        <w:t>The Oxford Handbook of Later Medieval Archaeology in Britain</w:t>
      </w:r>
      <w:r w:rsidRPr="006B5318">
        <w:rPr>
          <w:rFonts w:ascii="Garamond" w:hAnsi="Garamond"/>
        </w:rPr>
        <w:t>, ed</w:t>
      </w:r>
      <w:r w:rsidR="002833B8" w:rsidRPr="006B5318">
        <w:rPr>
          <w:rFonts w:ascii="Garamond" w:hAnsi="Garamond"/>
        </w:rPr>
        <w:t>ited by</w:t>
      </w:r>
      <w:r w:rsidRPr="006B5318">
        <w:rPr>
          <w:rFonts w:ascii="Garamond" w:hAnsi="Garamond"/>
        </w:rPr>
        <w:t xml:space="preserve"> Christopher Gerrard and Alejandra Gutiérrez</w:t>
      </w:r>
      <w:r w:rsidR="002833B8" w:rsidRPr="006B5318">
        <w:rPr>
          <w:rFonts w:ascii="Garamond" w:hAnsi="Garamond"/>
        </w:rPr>
        <w:t xml:space="preserve">, 805—818. </w:t>
      </w:r>
      <w:r w:rsidRPr="006B5318">
        <w:rPr>
          <w:rFonts w:ascii="Garamond" w:hAnsi="Garamond"/>
        </w:rPr>
        <w:t>Oxford: Oxford University Press, 2018</w:t>
      </w:r>
      <w:r w:rsidR="002833B8" w:rsidRPr="006B5318">
        <w:rPr>
          <w:rFonts w:ascii="Garamond" w:hAnsi="Garamond"/>
        </w:rPr>
        <w:t>.</w:t>
      </w:r>
    </w:p>
    <w:p w14:paraId="5D4082B7" w14:textId="45771616" w:rsidR="003F149B" w:rsidRPr="006B5318" w:rsidRDefault="003F149B" w:rsidP="008C746C">
      <w:pPr>
        <w:tabs>
          <w:tab w:val="left" w:pos="4253"/>
        </w:tabs>
        <w:spacing w:line="276" w:lineRule="auto"/>
        <w:jc w:val="both"/>
        <w:rPr>
          <w:rFonts w:ascii="Garamond" w:hAnsi="Garamond"/>
        </w:rPr>
      </w:pPr>
    </w:p>
    <w:p w14:paraId="65D503AB" w14:textId="6B3ABAD6" w:rsidR="00B7091C" w:rsidRPr="006B5318" w:rsidRDefault="00727F61" w:rsidP="00330ECB">
      <w:pPr>
        <w:tabs>
          <w:tab w:val="left" w:pos="3309"/>
        </w:tabs>
        <w:spacing w:line="276" w:lineRule="auto"/>
        <w:jc w:val="both"/>
        <w:rPr>
          <w:rFonts w:ascii="Garamond" w:hAnsi="Garamond"/>
        </w:rPr>
      </w:pPr>
      <w:r w:rsidRPr="006B5318">
        <w:rPr>
          <w:rFonts w:ascii="Garamond" w:hAnsi="Garamond"/>
        </w:rPr>
        <w:t>Richardson, Amanda. “Greenwich’s First Royal Landscape: The Lost Palace and Park of Humphrey of Gloucester</w:t>
      </w:r>
      <w:r w:rsidR="00E72583" w:rsidRPr="006B5318">
        <w:rPr>
          <w:rFonts w:ascii="Garamond" w:hAnsi="Garamond"/>
        </w:rPr>
        <w:t>.</w:t>
      </w:r>
      <w:r w:rsidRPr="006B5318">
        <w:rPr>
          <w:rFonts w:ascii="Garamond" w:hAnsi="Garamond"/>
        </w:rPr>
        <w:t xml:space="preserve">” </w:t>
      </w:r>
      <w:r w:rsidRPr="006B5318">
        <w:rPr>
          <w:rFonts w:ascii="Garamond" w:hAnsi="Garamond"/>
          <w:i/>
          <w:iCs/>
        </w:rPr>
        <w:t>Southern History</w:t>
      </w:r>
      <w:r w:rsidRPr="006B5318">
        <w:rPr>
          <w:rFonts w:ascii="Garamond" w:hAnsi="Garamond"/>
        </w:rPr>
        <w:t xml:space="preserve"> 34 (2012): 51-72</w:t>
      </w:r>
      <w:r w:rsidR="00B7091C" w:rsidRPr="006B5318">
        <w:rPr>
          <w:rFonts w:ascii="Garamond" w:hAnsi="Garamond"/>
        </w:rPr>
        <w:t>.</w:t>
      </w:r>
    </w:p>
    <w:p w14:paraId="7F83D8A2" w14:textId="001AB52B" w:rsidR="00863B99" w:rsidRPr="006B5318" w:rsidRDefault="00863B99" w:rsidP="00330ECB">
      <w:pPr>
        <w:tabs>
          <w:tab w:val="left" w:pos="3309"/>
        </w:tabs>
        <w:spacing w:line="276" w:lineRule="auto"/>
        <w:jc w:val="both"/>
        <w:rPr>
          <w:rFonts w:ascii="Garamond" w:hAnsi="Garamond"/>
        </w:rPr>
      </w:pPr>
    </w:p>
    <w:p w14:paraId="1BA4DEE8" w14:textId="1D9A8737" w:rsidR="00863B99" w:rsidRPr="006B5318" w:rsidRDefault="00863B99" w:rsidP="00330ECB">
      <w:pPr>
        <w:tabs>
          <w:tab w:val="left" w:pos="3309"/>
        </w:tabs>
        <w:spacing w:line="276" w:lineRule="auto"/>
        <w:jc w:val="both"/>
        <w:rPr>
          <w:rFonts w:ascii="Garamond" w:hAnsi="Garamond"/>
        </w:rPr>
      </w:pPr>
      <w:r w:rsidRPr="006B5318">
        <w:rPr>
          <w:rFonts w:ascii="Garamond" w:hAnsi="Garamond"/>
        </w:rPr>
        <w:t xml:space="preserve">Richardson, Amanda. “Riding like Alexander, Hunting like Diana: Gendered Aspects of the Medieval Hunt and its Landscape Settings in England and France.” </w:t>
      </w:r>
      <w:r w:rsidRPr="006B5318">
        <w:rPr>
          <w:rFonts w:ascii="Garamond" w:hAnsi="Garamond"/>
          <w:i/>
          <w:iCs/>
        </w:rPr>
        <w:t>Gender &amp; History</w:t>
      </w:r>
      <w:r w:rsidRPr="006B5318">
        <w:rPr>
          <w:rFonts w:ascii="Garamond" w:hAnsi="Garamond"/>
        </w:rPr>
        <w:t xml:space="preserve"> 24, no. 2 (August 2012): 253-270.</w:t>
      </w:r>
    </w:p>
    <w:p w14:paraId="7F9D1C83" w14:textId="495BCDA4" w:rsidR="00397A4C" w:rsidRPr="006B5318" w:rsidRDefault="00397A4C" w:rsidP="00330ECB">
      <w:pPr>
        <w:tabs>
          <w:tab w:val="left" w:pos="3309"/>
        </w:tabs>
        <w:spacing w:line="276" w:lineRule="auto"/>
        <w:jc w:val="both"/>
        <w:rPr>
          <w:rFonts w:ascii="Garamond" w:hAnsi="Garamond"/>
        </w:rPr>
      </w:pPr>
    </w:p>
    <w:p w14:paraId="5AC30C59" w14:textId="3EE582C6" w:rsidR="00397A4C" w:rsidRPr="006B5318" w:rsidRDefault="00397A4C" w:rsidP="00397A4C">
      <w:pPr>
        <w:pStyle w:val="FootnoteText"/>
        <w:rPr>
          <w:rFonts w:ascii="Garamond" w:hAnsi="Garamond"/>
        </w:rPr>
      </w:pPr>
      <w:r w:rsidRPr="006B5318">
        <w:rPr>
          <w:rFonts w:ascii="Garamond" w:hAnsi="Garamond"/>
        </w:rPr>
        <w:t xml:space="preserve">Rohr, Zita. “Rocking the Cradle and Ruling the World: Queens’ Households in Late Medieval and Early Modern Aragon and France.” In </w:t>
      </w:r>
      <w:r w:rsidRPr="006B5318">
        <w:rPr>
          <w:rFonts w:ascii="Garamond" w:hAnsi="Garamond"/>
          <w:i/>
          <w:iCs/>
        </w:rPr>
        <w:t>Royal and Elite Households in Medieval and Early Modern Europe: More than Just a Castle</w:t>
      </w:r>
      <w:r w:rsidRPr="006B5318">
        <w:rPr>
          <w:rFonts w:ascii="Garamond" w:hAnsi="Garamond"/>
        </w:rPr>
        <w:t>, edited by Theresa Earenfight, 309-337</w:t>
      </w:r>
      <w:r w:rsidRPr="006B5318">
        <w:rPr>
          <w:rFonts w:ascii="Garamond" w:hAnsi="Garamond"/>
          <w:i/>
          <w:iCs/>
        </w:rPr>
        <w:t xml:space="preserve">. </w:t>
      </w:r>
      <w:r w:rsidRPr="006B5318">
        <w:rPr>
          <w:rFonts w:ascii="Garamond" w:hAnsi="Garamond"/>
        </w:rPr>
        <w:t xml:space="preserve">Leiden: Brill, 2018. </w:t>
      </w:r>
    </w:p>
    <w:p w14:paraId="091711CA" w14:textId="55122376" w:rsidR="00727F61" w:rsidRPr="006B5318" w:rsidRDefault="00727F61" w:rsidP="00330ECB">
      <w:pPr>
        <w:tabs>
          <w:tab w:val="left" w:pos="3309"/>
        </w:tabs>
        <w:spacing w:line="276" w:lineRule="auto"/>
        <w:jc w:val="both"/>
        <w:rPr>
          <w:rFonts w:ascii="Garamond" w:hAnsi="Garamond"/>
        </w:rPr>
      </w:pPr>
    </w:p>
    <w:p w14:paraId="33E73EBC" w14:textId="11900A99" w:rsidR="00727F61" w:rsidRPr="006B5318" w:rsidRDefault="00727F61" w:rsidP="00330ECB">
      <w:pPr>
        <w:tabs>
          <w:tab w:val="left" w:pos="3309"/>
        </w:tabs>
        <w:spacing w:line="276" w:lineRule="auto"/>
        <w:jc w:val="both"/>
        <w:rPr>
          <w:rFonts w:ascii="Garamond" w:hAnsi="Garamond"/>
        </w:rPr>
      </w:pPr>
      <w:r w:rsidRPr="006B5318">
        <w:rPr>
          <w:rFonts w:ascii="Garamond" w:hAnsi="Garamond"/>
        </w:rPr>
        <w:t xml:space="preserve">Rohr, Zita Eva. </w:t>
      </w:r>
      <w:r w:rsidRPr="006B5318">
        <w:rPr>
          <w:rFonts w:ascii="Garamond" w:hAnsi="Garamond"/>
          <w:i/>
          <w:iCs/>
        </w:rPr>
        <w:t>Yolande of Aragon (1381-1442) Family and Power: The Reverse of the Tapestry</w:t>
      </w:r>
      <w:r w:rsidR="00E72583" w:rsidRPr="006B5318">
        <w:rPr>
          <w:rFonts w:ascii="Garamond" w:hAnsi="Garamond"/>
        </w:rPr>
        <w:t xml:space="preserve">. Basingstoke, </w:t>
      </w:r>
      <w:r w:rsidRPr="006B5318">
        <w:rPr>
          <w:rFonts w:ascii="Garamond" w:hAnsi="Garamond"/>
        </w:rPr>
        <w:t>Palgrave Macmillan, 2016.</w:t>
      </w:r>
    </w:p>
    <w:p w14:paraId="5DF35CAF" w14:textId="5C377BE4" w:rsidR="003F6AD7" w:rsidRPr="006B5318" w:rsidRDefault="003F6AD7" w:rsidP="00330ECB">
      <w:pPr>
        <w:tabs>
          <w:tab w:val="left" w:pos="3309"/>
        </w:tabs>
        <w:spacing w:line="276" w:lineRule="auto"/>
        <w:jc w:val="both"/>
        <w:rPr>
          <w:rFonts w:ascii="Garamond" w:hAnsi="Garamond"/>
        </w:rPr>
      </w:pPr>
    </w:p>
    <w:p w14:paraId="5798BD42" w14:textId="2DEA493A" w:rsidR="003F6AD7" w:rsidRPr="006B5318" w:rsidRDefault="003F6AD7" w:rsidP="00330ECB">
      <w:pPr>
        <w:tabs>
          <w:tab w:val="left" w:pos="3309"/>
        </w:tabs>
        <w:spacing w:line="276" w:lineRule="auto"/>
        <w:jc w:val="both"/>
        <w:rPr>
          <w:rFonts w:ascii="Garamond" w:hAnsi="Garamond"/>
        </w:rPr>
      </w:pPr>
      <w:r w:rsidRPr="006B5318">
        <w:rPr>
          <w:rFonts w:ascii="Garamond" w:hAnsi="Garamond"/>
        </w:rPr>
        <w:lastRenderedPageBreak/>
        <w:t xml:space="preserve">Rose, Susan. “Royal Ships on the Thames before 1450.” In </w:t>
      </w:r>
      <w:r w:rsidRPr="006B5318">
        <w:rPr>
          <w:rFonts w:ascii="Garamond" w:hAnsi="Garamond"/>
          <w:i/>
        </w:rPr>
        <w:t>Shipbuilding on the Thames and Thames-built Ships: Proceedings of a Second Symposium, held on 15 February 2003 at the National Maritime Museum, Greenwich</w:t>
      </w:r>
      <w:r w:rsidRPr="006B5318">
        <w:rPr>
          <w:rFonts w:ascii="Garamond" w:hAnsi="Garamond"/>
          <w:iCs/>
        </w:rPr>
        <w:t xml:space="preserve">, edited by </w:t>
      </w:r>
      <w:r w:rsidRPr="006B5318">
        <w:rPr>
          <w:rFonts w:ascii="Garamond" w:hAnsi="Garamond"/>
        </w:rPr>
        <w:t xml:space="preserve">Roger Owen, 11-19. West Wickham: J. R. Owen, 2004. </w:t>
      </w:r>
    </w:p>
    <w:p w14:paraId="3F01F884" w14:textId="49A7B047" w:rsidR="008C746C" w:rsidRPr="006B5318" w:rsidRDefault="008C746C" w:rsidP="00330ECB">
      <w:pPr>
        <w:tabs>
          <w:tab w:val="left" w:pos="3309"/>
        </w:tabs>
        <w:spacing w:line="276" w:lineRule="auto"/>
        <w:jc w:val="both"/>
        <w:rPr>
          <w:rFonts w:ascii="Garamond" w:hAnsi="Garamond"/>
        </w:rPr>
      </w:pPr>
    </w:p>
    <w:p w14:paraId="412262D8" w14:textId="2A865CFB" w:rsidR="008C746C" w:rsidRPr="006B5318" w:rsidRDefault="008C746C" w:rsidP="00330ECB">
      <w:pPr>
        <w:tabs>
          <w:tab w:val="left" w:pos="3309"/>
        </w:tabs>
        <w:spacing w:line="276" w:lineRule="auto"/>
        <w:jc w:val="both"/>
        <w:rPr>
          <w:rFonts w:ascii="Garamond" w:hAnsi="Garamond"/>
        </w:rPr>
      </w:pPr>
      <w:r w:rsidRPr="006B5318">
        <w:rPr>
          <w:rFonts w:ascii="Garamond" w:hAnsi="Garamond"/>
        </w:rPr>
        <w:t>Rundle, David. “Good Duke Humphrey: Bounder, Cad and Bibliophile</w:t>
      </w:r>
      <w:r w:rsidR="00E72583" w:rsidRPr="006B5318">
        <w:rPr>
          <w:rFonts w:ascii="Garamond" w:hAnsi="Garamond"/>
        </w:rPr>
        <w:t>.</w:t>
      </w:r>
      <w:r w:rsidRPr="006B5318">
        <w:rPr>
          <w:rFonts w:ascii="Garamond" w:hAnsi="Garamond"/>
        </w:rPr>
        <w:t xml:space="preserve">” </w:t>
      </w:r>
      <w:r w:rsidRPr="006B5318">
        <w:rPr>
          <w:rFonts w:ascii="Garamond" w:hAnsi="Garamond"/>
          <w:i/>
        </w:rPr>
        <w:t>Bodleian Library Record</w:t>
      </w:r>
      <w:r w:rsidRPr="006B5318">
        <w:rPr>
          <w:rFonts w:ascii="Garamond" w:hAnsi="Garamond"/>
        </w:rPr>
        <w:t xml:space="preserve"> xxvii, no. 1 (2014): 36-53.</w:t>
      </w:r>
    </w:p>
    <w:p w14:paraId="4D3EAE0D" w14:textId="77777777" w:rsidR="008C746C" w:rsidRPr="006B5318" w:rsidRDefault="008C746C" w:rsidP="008C746C">
      <w:pPr>
        <w:pStyle w:val="FootnoteText"/>
        <w:rPr>
          <w:rFonts w:ascii="Garamond" w:hAnsi="Garamond"/>
        </w:rPr>
      </w:pPr>
    </w:p>
    <w:p w14:paraId="2CAB9B5A" w14:textId="5C5186BC" w:rsidR="008C746C" w:rsidRPr="006B5318" w:rsidRDefault="008C746C" w:rsidP="008C746C">
      <w:pPr>
        <w:tabs>
          <w:tab w:val="left" w:pos="3309"/>
        </w:tabs>
        <w:spacing w:line="276" w:lineRule="auto"/>
        <w:jc w:val="both"/>
        <w:rPr>
          <w:rFonts w:ascii="Garamond" w:hAnsi="Garamond"/>
        </w:rPr>
      </w:pPr>
      <w:r w:rsidRPr="006B5318">
        <w:rPr>
          <w:rFonts w:ascii="Garamond" w:hAnsi="Garamond"/>
        </w:rPr>
        <w:t>Seah, Michele. ‘“My Lady Queen, the Lord of the Manor’: The Economic Roles of Late Medieval Queens</w:t>
      </w:r>
      <w:r w:rsidR="00E72583" w:rsidRPr="006B5318">
        <w:rPr>
          <w:rFonts w:ascii="Garamond" w:hAnsi="Garamond"/>
        </w:rPr>
        <w:t>.</w:t>
      </w:r>
      <w:r w:rsidRPr="006B5318">
        <w:rPr>
          <w:rFonts w:ascii="Garamond" w:hAnsi="Garamond"/>
        </w:rPr>
        <w:t xml:space="preserve">” </w:t>
      </w:r>
      <w:r w:rsidRPr="006B5318">
        <w:rPr>
          <w:rFonts w:ascii="Garamond" w:hAnsi="Garamond"/>
          <w:i/>
          <w:iCs/>
        </w:rPr>
        <w:t>Parergon</w:t>
      </w:r>
      <w:r w:rsidRPr="006B5318">
        <w:rPr>
          <w:rFonts w:ascii="Garamond" w:hAnsi="Garamond"/>
        </w:rPr>
        <w:t xml:space="preserve"> 37, no. 2 (2020): 9-36. </w:t>
      </w:r>
    </w:p>
    <w:p w14:paraId="3EAAC00D" w14:textId="37967FD3" w:rsidR="007373C0" w:rsidRPr="006B5318" w:rsidRDefault="007373C0" w:rsidP="008C746C">
      <w:pPr>
        <w:tabs>
          <w:tab w:val="left" w:pos="3309"/>
        </w:tabs>
        <w:spacing w:line="276" w:lineRule="auto"/>
        <w:jc w:val="both"/>
        <w:rPr>
          <w:rFonts w:ascii="Garamond" w:hAnsi="Garamond"/>
        </w:rPr>
      </w:pPr>
    </w:p>
    <w:p w14:paraId="01068170" w14:textId="3E146B4A" w:rsidR="003725C6" w:rsidRPr="006B5318" w:rsidRDefault="003725C6" w:rsidP="008C746C">
      <w:pPr>
        <w:tabs>
          <w:tab w:val="left" w:pos="3309"/>
        </w:tabs>
        <w:spacing w:line="276" w:lineRule="auto"/>
        <w:jc w:val="both"/>
        <w:rPr>
          <w:rFonts w:ascii="Garamond" w:hAnsi="Garamond"/>
        </w:rPr>
      </w:pPr>
      <w:r w:rsidRPr="006B5318">
        <w:rPr>
          <w:rFonts w:ascii="Garamond" w:hAnsi="Garamond"/>
        </w:rPr>
        <w:t xml:space="preserve">Stenton, F. M. “The Road System of Medieval England.” </w:t>
      </w:r>
      <w:r w:rsidRPr="006B5318">
        <w:rPr>
          <w:rFonts w:ascii="Garamond" w:hAnsi="Garamond"/>
          <w:i/>
        </w:rPr>
        <w:t>The Economic History Review</w:t>
      </w:r>
      <w:r w:rsidRPr="006B5318">
        <w:rPr>
          <w:rFonts w:ascii="Garamond" w:hAnsi="Garamond"/>
        </w:rPr>
        <w:t xml:space="preserve"> 7, no. 1 (Nov. 1936): 1-21.</w:t>
      </w:r>
    </w:p>
    <w:p w14:paraId="2CF44FAD" w14:textId="77777777" w:rsidR="003725C6" w:rsidRPr="006B5318" w:rsidRDefault="003725C6" w:rsidP="008C746C">
      <w:pPr>
        <w:tabs>
          <w:tab w:val="left" w:pos="3309"/>
        </w:tabs>
        <w:spacing w:line="276" w:lineRule="auto"/>
        <w:jc w:val="both"/>
        <w:rPr>
          <w:rFonts w:ascii="Garamond" w:hAnsi="Garamond"/>
        </w:rPr>
      </w:pPr>
    </w:p>
    <w:p w14:paraId="23B297F9" w14:textId="5F4570B9" w:rsidR="007373C0" w:rsidRPr="006B5318" w:rsidRDefault="007373C0" w:rsidP="008C746C">
      <w:pPr>
        <w:tabs>
          <w:tab w:val="left" w:pos="3309"/>
        </w:tabs>
        <w:spacing w:line="276" w:lineRule="auto"/>
        <w:jc w:val="both"/>
        <w:rPr>
          <w:rFonts w:ascii="Garamond" w:hAnsi="Garamond"/>
        </w:rPr>
      </w:pPr>
      <w:r w:rsidRPr="006B5318">
        <w:rPr>
          <w:rFonts w:ascii="Garamond" w:hAnsi="Garamond"/>
        </w:rPr>
        <w:t xml:space="preserve">Sykes, Susan Alexandra. “Henrietta Maria’s ‘House of Delight’: French Influence and Iconography in the Queen’s House, Greenwich.” </w:t>
      </w:r>
      <w:r w:rsidRPr="006B5318">
        <w:rPr>
          <w:rFonts w:ascii="Garamond" w:hAnsi="Garamond"/>
          <w:i/>
          <w:iCs/>
        </w:rPr>
        <w:t>Apollo</w:t>
      </w:r>
      <w:r w:rsidRPr="006B5318">
        <w:rPr>
          <w:rFonts w:ascii="Garamond" w:hAnsi="Garamond"/>
        </w:rPr>
        <w:t xml:space="preserve"> 132 (1991): 332-336.</w:t>
      </w:r>
    </w:p>
    <w:p w14:paraId="0602600C" w14:textId="242B62FC" w:rsidR="00B7091C" w:rsidRPr="006B5318" w:rsidRDefault="00B7091C" w:rsidP="00B7091C">
      <w:pPr>
        <w:tabs>
          <w:tab w:val="left" w:pos="3309"/>
        </w:tabs>
        <w:spacing w:line="276" w:lineRule="auto"/>
        <w:rPr>
          <w:rFonts w:ascii="Garamond" w:hAnsi="Garamond"/>
        </w:rPr>
      </w:pPr>
    </w:p>
    <w:p w14:paraId="2F8120FC" w14:textId="07DB294F" w:rsidR="00B7091C" w:rsidRPr="006B5318" w:rsidRDefault="00B7091C" w:rsidP="00B7091C">
      <w:pPr>
        <w:tabs>
          <w:tab w:val="left" w:pos="3309"/>
        </w:tabs>
        <w:spacing w:line="276" w:lineRule="auto"/>
        <w:rPr>
          <w:rFonts w:ascii="Garamond" w:hAnsi="Garamond"/>
        </w:rPr>
      </w:pPr>
      <w:r w:rsidRPr="006B5318">
        <w:rPr>
          <w:rFonts w:ascii="Garamond" w:hAnsi="Garamond"/>
        </w:rPr>
        <w:t xml:space="preserve">“Time Team”, Series 10, Episode 5 (2003): “Joust Dig It: Greenwich, London,” accessed March 3, 2021, </w:t>
      </w:r>
      <w:hyperlink r:id="rId10" w:history="1">
        <w:r w:rsidRPr="006B5318">
          <w:rPr>
            <w:rStyle w:val="Hyperlink"/>
            <w:rFonts w:ascii="Garamond" w:hAnsi="Garamond"/>
          </w:rPr>
          <w:t>https://www.youtube.com/watch?v=J3LxvEt8WGU</w:t>
        </w:r>
      </w:hyperlink>
      <w:r w:rsidRPr="006B5318">
        <w:rPr>
          <w:rFonts w:ascii="Garamond" w:hAnsi="Garamond"/>
        </w:rPr>
        <w:t xml:space="preserve">.  </w:t>
      </w:r>
    </w:p>
    <w:p w14:paraId="00C399E9" w14:textId="181ED574" w:rsidR="00D051B6" w:rsidRPr="006B5318" w:rsidRDefault="00D051B6" w:rsidP="008C746C">
      <w:pPr>
        <w:tabs>
          <w:tab w:val="left" w:pos="3309"/>
        </w:tabs>
        <w:spacing w:line="276" w:lineRule="auto"/>
        <w:jc w:val="both"/>
        <w:rPr>
          <w:rFonts w:ascii="Garamond" w:hAnsi="Garamond"/>
        </w:rPr>
      </w:pPr>
    </w:p>
    <w:p w14:paraId="26F9E759" w14:textId="6B7D9BB6" w:rsidR="000D00E5" w:rsidRPr="006B5318" w:rsidRDefault="000D00E5" w:rsidP="000D00E5">
      <w:pPr>
        <w:pStyle w:val="FootnoteText"/>
        <w:rPr>
          <w:rFonts w:ascii="Garamond" w:hAnsi="Garamond"/>
        </w:rPr>
      </w:pPr>
      <w:r w:rsidRPr="006B5318">
        <w:rPr>
          <w:rFonts w:ascii="Garamond" w:hAnsi="Garamond"/>
        </w:rPr>
        <w:t xml:space="preserve">Thurley, S. “Greenwich Palace: The Banqueting House of 1527, The Sport of Kings.” In </w:t>
      </w:r>
      <w:r w:rsidRPr="006B5318">
        <w:rPr>
          <w:rFonts w:ascii="Garamond" w:hAnsi="Garamond"/>
          <w:i/>
          <w:iCs/>
        </w:rPr>
        <w:t>Henry VIII: A European Court in England</w:t>
      </w:r>
      <w:r w:rsidRPr="006B5318">
        <w:rPr>
          <w:rFonts w:ascii="Garamond" w:hAnsi="Garamond"/>
        </w:rPr>
        <w:t xml:space="preserve">, edited by David Starkey. National Maritime Museum Exhibition Catalogue, 1991. </w:t>
      </w:r>
    </w:p>
    <w:p w14:paraId="4CCB7B65" w14:textId="3549A949" w:rsidR="00803557" w:rsidRPr="006B5318" w:rsidRDefault="00803557" w:rsidP="000D00E5">
      <w:pPr>
        <w:pStyle w:val="FootnoteText"/>
        <w:rPr>
          <w:rFonts w:ascii="Garamond" w:hAnsi="Garamond"/>
        </w:rPr>
      </w:pPr>
    </w:p>
    <w:p w14:paraId="65F015F5" w14:textId="22C8EB28" w:rsidR="00803557" w:rsidRPr="006B5318" w:rsidRDefault="00803557" w:rsidP="000D00E5">
      <w:pPr>
        <w:pStyle w:val="FootnoteText"/>
        <w:rPr>
          <w:rFonts w:ascii="Garamond" w:hAnsi="Garamond"/>
        </w:rPr>
      </w:pPr>
      <w:r w:rsidRPr="006B5318">
        <w:rPr>
          <w:rFonts w:ascii="Garamond" w:hAnsi="Garamond"/>
        </w:rPr>
        <w:t xml:space="preserve">Woolgar, Chris M. </w:t>
      </w:r>
      <w:r w:rsidRPr="006B5318">
        <w:rPr>
          <w:rFonts w:ascii="Garamond" w:hAnsi="Garamond"/>
          <w:i/>
        </w:rPr>
        <w:t>The Senses in Late Medieval England</w:t>
      </w:r>
      <w:r w:rsidRPr="006B5318">
        <w:rPr>
          <w:rFonts w:ascii="Garamond" w:hAnsi="Garamond"/>
        </w:rPr>
        <w:t>. New Haven and London: Yale University Press, 2006.</w:t>
      </w:r>
    </w:p>
    <w:p w14:paraId="10F21A60" w14:textId="32EA9B3C" w:rsidR="00570D94" w:rsidRPr="006B5318" w:rsidRDefault="00570D94" w:rsidP="000D00E5">
      <w:pPr>
        <w:pStyle w:val="FootnoteText"/>
        <w:rPr>
          <w:rFonts w:ascii="Garamond" w:hAnsi="Garamond"/>
        </w:rPr>
      </w:pPr>
    </w:p>
    <w:p w14:paraId="6D5215C6" w14:textId="46F1DA8B" w:rsidR="00570D94" w:rsidRPr="006B5318" w:rsidRDefault="00570D94" w:rsidP="00570D94">
      <w:pPr>
        <w:pStyle w:val="FootnoteText"/>
        <w:jc w:val="center"/>
        <w:rPr>
          <w:rFonts w:ascii="Garamond" w:hAnsi="Garamond"/>
          <w:smallCaps/>
        </w:rPr>
      </w:pPr>
      <w:r w:rsidRPr="006B5318">
        <w:rPr>
          <w:rFonts w:ascii="Garamond" w:hAnsi="Garamond"/>
          <w:smallCaps/>
        </w:rPr>
        <w:t>Unpublished Dissertations</w:t>
      </w:r>
    </w:p>
    <w:p w14:paraId="72227CB5" w14:textId="77777777" w:rsidR="00D051B6" w:rsidRPr="006B5318" w:rsidRDefault="00D051B6" w:rsidP="00D051B6">
      <w:pPr>
        <w:pStyle w:val="FootnoteText"/>
        <w:rPr>
          <w:rFonts w:ascii="Garamond" w:hAnsi="Garamond"/>
        </w:rPr>
      </w:pPr>
    </w:p>
    <w:p w14:paraId="2CE46DDA" w14:textId="4BC92257" w:rsidR="00D051B6" w:rsidRPr="006B5318" w:rsidRDefault="00D051B6" w:rsidP="00D051B6">
      <w:pPr>
        <w:pStyle w:val="FootnoteText"/>
        <w:rPr>
          <w:rFonts w:ascii="Garamond" w:hAnsi="Garamond"/>
        </w:rPr>
      </w:pPr>
      <w:r w:rsidRPr="006B5318">
        <w:rPr>
          <w:rFonts w:ascii="Garamond" w:hAnsi="Garamond"/>
        </w:rPr>
        <w:t>Delman</w:t>
      </w:r>
      <w:r w:rsidR="00B7091C" w:rsidRPr="006B5318">
        <w:rPr>
          <w:rFonts w:ascii="Garamond" w:hAnsi="Garamond"/>
        </w:rPr>
        <w:t>, Rachel M.</w:t>
      </w:r>
      <w:r w:rsidR="00E72583" w:rsidRPr="006B5318">
        <w:rPr>
          <w:rFonts w:ascii="Garamond" w:hAnsi="Garamond"/>
        </w:rPr>
        <w:t xml:space="preserve"> </w:t>
      </w:r>
      <w:r w:rsidRPr="006B5318">
        <w:rPr>
          <w:rFonts w:ascii="Garamond" w:hAnsi="Garamond"/>
        </w:rPr>
        <w:t>“Elite Female Constructions of Power and Space, 1444-1541</w:t>
      </w:r>
      <w:r w:rsidR="00E72583" w:rsidRPr="006B5318">
        <w:rPr>
          <w:rFonts w:ascii="Garamond" w:hAnsi="Garamond"/>
        </w:rPr>
        <w:t>.</w:t>
      </w:r>
      <w:r w:rsidRPr="006B5318">
        <w:rPr>
          <w:rFonts w:ascii="Garamond" w:hAnsi="Garamond"/>
        </w:rPr>
        <w:t>” DPhil diss, University of Oxford, 2017</w:t>
      </w:r>
      <w:r w:rsidR="00E72583" w:rsidRPr="006B5318">
        <w:rPr>
          <w:rFonts w:ascii="Garamond" w:hAnsi="Garamond"/>
        </w:rPr>
        <w:t>.</w:t>
      </w:r>
    </w:p>
    <w:p w14:paraId="36AD2EAD" w14:textId="77777777" w:rsidR="00D051B6" w:rsidRPr="006B5318" w:rsidRDefault="00D051B6" w:rsidP="008C746C">
      <w:pPr>
        <w:tabs>
          <w:tab w:val="left" w:pos="3309"/>
        </w:tabs>
        <w:spacing w:line="276" w:lineRule="auto"/>
        <w:jc w:val="both"/>
        <w:rPr>
          <w:rFonts w:ascii="Garamond" w:hAnsi="Garamond"/>
        </w:rPr>
      </w:pPr>
    </w:p>
    <w:p w14:paraId="6822E110" w14:textId="1D210A24" w:rsidR="000F3308" w:rsidRPr="006B5318" w:rsidRDefault="000F3308" w:rsidP="00330ECB">
      <w:pPr>
        <w:tabs>
          <w:tab w:val="left" w:pos="4253"/>
        </w:tabs>
        <w:spacing w:line="276" w:lineRule="auto"/>
        <w:jc w:val="both"/>
        <w:rPr>
          <w:rFonts w:ascii="Garamond" w:hAnsi="Garamond"/>
        </w:rPr>
      </w:pPr>
    </w:p>
    <w:p w14:paraId="0A22464F" w14:textId="0A2B5B16" w:rsidR="003970E3" w:rsidRPr="006B5318" w:rsidRDefault="003970E3" w:rsidP="00330ECB">
      <w:pPr>
        <w:spacing w:line="276" w:lineRule="auto"/>
        <w:rPr>
          <w:rFonts w:ascii="Garamond" w:hAnsi="Garamond"/>
        </w:rPr>
      </w:pPr>
    </w:p>
    <w:p w14:paraId="3653CF4E" w14:textId="77777777" w:rsidR="003970E3" w:rsidRPr="006B5318" w:rsidRDefault="003970E3" w:rsidP="00330ECB">
      <w:pPr>
        <w:tabs>
          <w:tab w:val="left" w:pos="4253"/>
        </w:tabs>
        <w:spacing w:line="276" w:lineRule="auto"/>
        <w:jc w:val="both"/>
        <w:rPr>
          <w:rFonts w:ascii="Garamond" w:hAnsi="Garamond"/>
        </w:rPr>
      </w:pPr>
    </w:p>
    <w:p w14:paraId="461E55F5" w14:textId="2BFD44E1" w:rsidR="003970E3" w:rsidRPr="006B5318" w:rsidRDefault="003970E3" w:rsidP="00330ECB">
      <w:pPr>
        <w:spacing w:line="276" w:lineRule="auto"/>
        <w:rPr>
          <w:rFonts w:ascii="Garamond" w:hAnsi="Garamond"/>
          <w:u w:val="single"/>
        </w:rPr>
      </w:pPr>
    </w:p>
    <w:sectPr w:rsidR="003970E3" w:rsidRPr="006B5318" w:rsidSect="00304AB3">
      <w:footerReference w:type="even" r:id="rId11"/>
      <w:footerReference w:type="default" r:id="rId12"/>
      <w:pgSz w:w="11900" w:h="16840"/>
      <w:pgMar w:top="1440" w:right="1440" w:bottom="135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CA6A1" w14:textId="77777777" w:rsidR="00961046" w:rsidRDefault="00961046" w:rsidP="00DB0BA6">
      <w:r>
        <w:separator/>
      </w:r>
    </w:p>
  </w:endnote>
  <w:endnote w:type="continuationSeparator" w:id="0">
    <w:p w14:paraId="7EAE38FF" w14:textId="77777777" w:rsidR="00961046" w:rsidRDefault="00961046" w:rsidP="00DB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0930795"/>
      <w:docPartObj>
        <w:docPartGallery w:val="Page Numbers (Bottom of Page)"/>
        <w:docPartUnique/>
      </w:docPartObj>
    </w:sdtPr>
    <w:sdtEndPr>
      <w:rPr>
        <w:rStyle w:val="PageNumber"/>
      </w:rPr>
    </w:sdtEndPr>
    <w:sdtContent>
      <w:p w14:paraId="77E6552C" w14:textId="75EBB1B7" w:rsidR="0039734F" w:rsidRDefault="0039734F" w:rsidP="00E843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3EEBBC" w14:textId="77777777" w:rsidR="0039734F" w:rsidRDefault="0039734F" w:rsidP="00397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8287432"/>
      <w:docPartObj>
        <w:docPartGallery w:val="Page Numbers (Bottom of Page)"/>
        <w:docPartUnique/>
      </w:docPartObj>
    </w:sdtPr>
    <w:sdtEndPr>
      <w:rPr>
        <w:rStyle w:val="PageNumber"/>
      </w:rPr>
    </w:sdtEndPr>
    <w:sdtContent>
      <w:p w14:paraId="535772E7" w14:textId="37D461C0" w:rsidR="0039734F" w:rsidRDefault="0039734F" w:rsidP="00E843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35F07A" w14:textId="77777777" w:rsidR="0039734F" w:rsidRDefault="0039734F" w:rsidP="003973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A326F" w14:textId="77777777" w:rsidR="00961046" w:rsidRDefault="00961046" w:rsidP="00DB0BA6">
      <w:r>
        <w:separator/>
      </w:r>
    </w:p>
  </w:footnote>
  <w:footnote w:type="continuationSeparator" w:id="0">
    <w:p w14:paraId="02AFFEFF" w14:textId="77777777" w:rsidR="00961046" w:rsidRDefault="00961046" w:rsidP="00DB0BA6">
      <w:r>
        <w:continuationSeparator/>
      </w:r>
    </w:p>
  </w:footnote>
  <w:footnote w:id="1">
    <w:p w14:paraId="3994FE6B" w14:textId="0DED40F8" w:rsidR="00637EBA" w:rsidRPr="00181ECB" w:rsidRDefault="00637EB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For Humphrey, Duke of Gloucester see </w:t>
      </w:r>
      <w:r w:rsidRPr="00181ECB">
        <w:rPr>
          <w:rFonts w:ascii="Garamond" w:hAnsi="Garamond" w:cs="Arial"/>
          <w:color w:val="000000"/>
          <w:sz w:val="20"/>
          <w:szCs w:val="20"/>
          <w:shd w:val="clear" w:color="auto" w:fill="FFFFFF"/>
        </w:rPr>
        <w:t xml:space="preserve">G. L. Harriss, ‘Humphrey </w:t>
      </w:r>
      <w:r w:rsidRPr="00181ECB">
        <w:rPr>
          <w:rFonts w:ascii="Garamond" w:hAnsi="Garamond"/>
          <w:sz w:val="20"/>
          <w:szCs w:val="20"/>
        </w:rPr>
        <w:t>[Humfrey or Humphrey of Lancaster]</w:t>
      </w:r>
      <w:r w:rsidRPr="00181ECB">
        <w:rPr>
          <w:rFonts w:ascii="Garamond" w:hAnsi="Garamond" w:cs="Arial"/>
          <w:color w:val="000000"/>
          <w:sz w:val="20"/>
          <w:szCs w:val="20"/>
          <w:shd w:val="clear" w:color="auto" w:fill="FFFFFF"/>
        </w:rPr>
        <w:t>, duke of Gloucester [called Good Duke Humphrey] (1390–1447)’, </w:t>
      </w:r>
      <w:r w:rsidRPr="00181ECB">
        <w:rPr>
          <w:rFonts w:ascii="Garamond" w:hAnsi="Garamond" w:cs="Arial"/>
          <w:i/>
          <w:iCs/>
          <w:color w:val="000000"/>
          <w:sz w:val="20"/>
          <w:szCs w:val="20"/>
          <w:shd w:val="clear" w:color="auto" w:fill="FFFFFF"/>
        </w:rPr>
        <w:t>Oxford Dictionary of National Biography</w:t>
      </w:r>
      <w:r w:rsidRPr="00181ECB">
        <w:rPr>
          <w:rFonts w:ascii="Garamond" w:hAnsi="Garamond" w:cs="Arial"/>
          <w:color w:val="000000"/>
          <w:sz w:val="20"/>
          <w:szCs w:val="20"/>
          <w:shd w:val="clear" w:color="auto" w:fill="FFFFFF"/>
        </w:rPr>
        <w:t xml:space="preserve">, 23 Sept. 2004; Accessed 17 February 2021, </w:t>
      </w:r>
      <w:hyperlink r:id="rId1" w:history="1">
        <w:r w:rsidRPr="00181ECB">
          <w:rPr>
            <w:rStyle w:val="Hyperlink"/>
            <w:rFonts w:ascii="Garamond" w:hAnsi="Garamond" w:cs="Arial"/>
            <w:sz w:val="20"/>
            <w:szCs w:val="20"/>
            <w:shd w:val="clear" w:color="auto" w:fill="FFFFFF"/>
          </w:rPr>
          <w:t>https://www-oxforddnb-com.libproxy.york.ac.uk/view/10.1093/ref:odnb/9780198614128.001.0001/odnb-9780198614128-e-14155?rskey=gUqgJM&amp;result=1</w:t>
        </w:r>
      </w:hyperlink>
      <w:r w:rsidRPr="00181ECB">
        <w:rPr>
          <w:rFonts w:ascii="Garamond" w:hAnsi="Garamond" w:cs="Arial"/>
          <w:color w:val="000000"/>
          <w:sz w:val="20"/>
          <w:szCs w:val="20"/>
          <w:shd w:val="clear" w:color="auto" w:fill="FFFFFF"/>
        </w:rPr>
        <w:t xml:space="preserve">. </w:t>
      </w:r>
    </w:p>
  </w:footnote>
  <w:footnote w:id="2">
    <w:p w14:paraId="6519962C" w14:textId="7C6BA771" w:rsidR="00637EBA" w:rsidRPr="00181ECB" w:rsidRDefault="00637EBA" w:rsidP="00F4385C">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Amanda Richardson, “Greenwich’s First Royal Landscape: The Lost Palace and Park of Humphrey of Gloucester,” </w:t>
      </w:r>
      <w:r w:rsidRPr="00181ECB">
        <w:rPr>
          <w:rFonts w:ascii="Garamond" w:hAnsi="Garamond"/>
          <w:i/>
          <w:iCs/>
          <w:sz w:val="20"/>
          <w:szCs w:val="20"/>
        </w:rPr>
        <w:t>Southern History</w:t>
      </w:r>
      <w:r w:rsidRPr="00181ECB">
        <w:rPr>
          <w:rFonts w:ascii="Garamond" w:hAnsi="Garamond"/>
          <w:sz w:val="20"/>
          <w:szCs w:val="20"/>
        </w:rPr>
        <w:t xml:space="preserve"> 34 (2012): 51-72, at 53. </w:t>
      </w:r>
    </w:p>
  </w:footnote>
  <w:footnote w:id="3">
    <w:p w14:paraId="151465C9" w14:textId="286010D8" w:rsidR="00637EBA" w:rsidRPr="00181ECB" w:rsidRDefault="00637EB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For a discussion of the historiography on Margaret’s character see Diana Dunn, “Margaret of Anjou: Monster Queen or Dutiful Wife?,” </w:t>
      </w:r>
      <w:r w:rsidRPr="00181ECB">
        <w:rPr>
          <w:rFonts w:ascii="Garamond" w:hAnsi="Garamond"/>
          <w:i/>
          <w:iCs/>
          <w:sz w:val="20"/>
          <w:szCs w:val="20"/>
        </w:rPr>
        <w:t>Medieval History</w:t>
      </w:r>
      <w:r w:rsidRPr="00181ECB">
        <w:rPr>
          <w:rFonts w:ascii="Garamond" w:hAnsi="Garamond"/>
          <w:sz w:val="20"/>
          <w:szCs w:val="20"/>
        </w:rPr>
        <w:t xml:space="preserve"> 4 (1994): 199-212, and Imogene Dudley, “She-Wolf or Feminist Heroine? Representations of Margaret of Anjou in Modern History and Literature,” in </w:t>
      </w:r>
      <w:r w:rsidRPr="00181ECB">
        <w:rPr>
          <w:rFonts w:ascii="Garamond" w:hAnsi="Garamond"/>
          <w:i/>
          <w:iCs/>
          <w:sz w:val="20"/>
          <w:szCs w:val="20"/>
        </w:rPr>
        <w:t>Remembering Queens and Kings of Early Modern England and France: Reputation, Reinterpretation, and Reincarnation</w:t>
      </w:r>
      <w:r w:rsidRPr="00181ECB">
        <w:rPr>
          <w:rFonts w:ascii="Garamond" w:hAnsi="Garamond"/>
          <w:sz w:val="20"/>
          <w:szCs w:val="20"/>
        </w:rPr>
        <w:t xml:space="preserve">, ed. Estelle Paranque (Cham: Palgrave Macmillan, 2019), 199-218. </w:t>
      </w:r>
    </w:p>
  </w:footnote>
  <w:footnote w:id="4">
    <w:p w14:paraId="27530765" w14:textId="6EC13036" w:rsidR="00637EBA" w:rsidRPr="00181ECB" w:rsidRDefault="00637EB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For Yolande of Aragon see Zita Eva Rohr, </w:t>
      </w:r>
      <w:r w:rsidRPr="00181ECB">
        <w:rPr>
          <w:rFonts w:ascii="Garamond" w:hAnsi="Garamond"/>
          <w:i/>
          <w:iCs/>
          <w:sz w:val="20"/>
          <w:szCs w:val="20"/>
        </w:rPr>
        <w:t>Yolande of Aragon (1381-1442) Family and Power: The Reverse of the Tapestry</w:t>
      </w:r>
      <w:r w:rsidRPr="00181ECB">
        <w:rPr>
          <w:rFonts w:ascii="Garamond" w:hAnsi="Garamond"/>
          <w:sz w:val="20"/>
          <w:szCs w:val="20"/>
        </w:rPr>
        <w:t xml:space="preserve"> (Basingstoke: Palgrave Macmillan, 2016). </w:t>
      </w:r>
    </w:p>
  </w:footnote>
  <w:footnote w:id="5">
    <w:p w14:paraId="63AAB9F7" w14:textId="51AF1C83" w:rsidR="00637EBA" w:rsidRPr="00181ECB" w:rsidRDefault="00637EB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Helen E. Maurer,</w:t>
      </w:r>
      <w:r w:rsidRPr="00181ECB">
        <w:rPr>
          <w:rFonts w:ascii="Garamond" w:hAnsi="Garamond"/>
          <w:i/>
          <w:iCs/>
          <w:sz w:val="20"/>
          <w:szCs w:val="20"/>
        </w:rPr>
        <w:t xml:space="preserve"> Margaret of Anjou: Queenship and Power in Late Medieval England </w:t>
      </w:r>
      <w:r w:rsidRPr="00181ECB">
        <w:rPr>
          <w:rFonts w:ascii="Garamond" w:hAnsi="Garamond"/>
          <w:sz w:val="20"/>
          <w:szCs w:val="20"/>
        </w:rPr>
        <w:t xml:space="preserve">(Woodbridge: The Boydell Press, 2003); Joanna L. Laynesmith, </w:t>
      </w:r>
      <w:r w:rsidRPr="00181ECB">
        <w:rPr>
          <w:rFonts w:ascii="Garamond" w:hAnsi="Garamond"/>
          <w:i/>
          <w:iCs/>
          <w:sz w:val="20"/>
          <w:szCs w:val="20"/>
        </w:rPr>
        <w:t>The Last Medieval Queens: English Queenship, 1445-1503</w:t>
      </w:r>
      <w:r w:rsidRPr="00181ECB">
        <w:rPr>
          <w:rFonts w:ascii="Garamond" w:hAnsi="Garamond"/>
          <w:sz w:val="20"/>
          <w:szCs w:val="20"/>
        </w:rPr>
        <w:t xml:space="preserve"> (Oxford: Oxford University Press, 2004); Helen Castor,</w:t>
      </w:r>
      <w:r w:rsidRPr="00181ECB">
        <w:rPr>
          <w:rFonts w:ascii="Garamond" w:hAnsi="Garamond"/>
          <w:i/>
          <w:iCs/>
          <w:sz w:val="20"/>
          <w:szCs w:val="20"/>
        </w:rPr>
        <w:t xml:space="preserve"> She-Wolves: The Women who Ruled England before Elizabeth </w:t>
      </w:r>
      <w:r w:rsidRPr="00181ECB">
        <w:rPr>
          <w:rFonts w:ascii="Garamond" w:hAnsi="Garamond"/>
          <w:sz w:val="20"/>
          <w:szCs w:val="20"/>
        </w:rPr>
        <w:t xml:space="preserve">(London: Faber &amp; Faber, 2010). </w:t>
      </w:r>
    </w:p>
  </w:footnote>
  <w:footnote w:id="6">
    <w:p w14:paraId="585470D2" w14:textId="4CC90F85" w:rsidR="00637EBA" w:rsidRPr="00181ECB" w:rsidRDefault="00637EB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Jenni Nuttall, “Margaret of Anjou as Patron of English Verse? </w:t>
      </w:r>
      <w:r w:rsidRPr="00181ECB">
        <w:rPr>
          <w:rFonts w:ascii="Garamond" w:hAnsi="Garamond"/>
          <w:i/>
          <w:iCs/>
          <w:sz w:val="20"/>
          <w:szCs w:val="20"/>
        </w:rPr>
        <w:t>The Liber Proverbiorum</w:t>
      </w:r>
      <w:r w:rsidRPr="00181ECB">
        <w:rPr>
          <w:rFonts w:ascii="Garamond" w:hAnsi="Garamond"/>
          <w:sz w:val="20"/>
          <w:szCs w:val="20"/>
        </w:rPr>
        <w:t xml:space="preserve"> and the </w:t>
      </w:r>
      <w:r w:rsidRPr="00181ECB">
        <w:rPr>
          <w:rFonts w:ascii="Garamond" w:hAnsi="Garamond"/>
          <w:i/>
          <w:iCs/>
          <w:sz w:val="20"/>
          <w:szCs w:val="20"/>
        </w:rPr>
        <w:t>Romans of Partenay</w:t>
      </w:r>
      <w:r w:rsidRPr="00181ECB">
        <w:rPr>
          <w:rFonts w:ascii="Garamond" w:hAnsi="Garamond"/>
          <w:sz w:val="20"/>
          <w:szCs w:val="20"/>
        </w:rPr>
        <w:t xml:space="preserve">,” </w:t>
      </w:r>
      <w:r w:rsidRPr="00181ECB">
        <w:rPr>
          <w:rFonts w:ascii="Garamond" w:hAnsi="Garamond"/>
          <w:i/>
          <w:iCs/>
          <w:sz w:val="20"/>
          <w:szCs w:val="20"/>
        </w:rPr>
        <w:t>The Review of English Studies</w:t>
      </w:r>
      <w:r w:rsidRPr="00181ECB">
        <w:rPr>
          <w:rFonts w:ascii="Garamond" w:hAnsi="Garamond"/>
          <w:sz w:val="20"/>
          <w:szCs w:val="20"/>
        </w:rPr>
        <w:t xml:space="preserve"> 67, no 281 (September 2016): 636-659; Sonja Drimmer, “Beyond Private Matter: A Prayer Roll for Queen Margaret of Anjou,” </w:t>
      </w:r>
      <w:r w:rsidRPr="00181ECB">
        <w:rPr>
          <w:rFonts w:ascii="Garamond" w:hAnsi="Garamond"/>
          <w:i/>
          <w:iCs/>
          <w:sz w:val="20"/>
          <w:szCs w:val="20"/>
        </w:rPr>
        <w:t>Gesta</w:t>
      </w:r>
      <w:r w:rsidRPr="00181ECB">
        <w:rPr>
          <w:rFonts w:ascii="Garamond" w:hAnsi="Garamond"/>
          <w:sz w:val="20"/>
          <w:szCs w:val="20"/>
        </w:rPr>
        <w:t xml:space="preserve"> 53, no. 1 (Spring 2014): 95-120; Raluca L. Radulescu, “Preparing for Mature Years: the Case of Margaret of Anjou and her Books,” in </w:t>
      </w:r>
      <w:r w:rsidRPr="00181ECB">
        <w:rPr>
          <w:rFonts w:ascii="Garamond" w:hAnsi="Garamond"/>
          <w:i/>
          <w:iCs/>
          <w:sz w:val="20"/>
          <w:szCs w:val="20"/>
        </w:rPr>
        <w:t>Middle-Aged Women in the Middle Ages</w:t>
      </w:r>
      <w:r w:rsidRPr="00181ECB">
        <w:rPr>
          <w:rFonts w:ascii="Garamond" w:hAnsi="Garamond"/>
          <w:sz w:val="20"/>
          <w:szCs w:val="20"/>
        </w:rPr>
        <w:t>, ed. Sue Niebrzydowski (Woodbridge: D. S. Brewer, 2011), 115-138.</w:t>
      </w:r>
    </w:p>
  </w:footnote>
  <w:footnote w:id="7">
    <w:p w14:paraId="3E8C9725" w14:textId="55986445" w:rsidR="00637EBA" w:rsidRPr="00181ECB" w:rsidRDefault="00637EB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Michele Seah, ‘“My Lady Queen, the Lord of the Manor’: The Economic Roles of Late Medieval Queens,” </w:t>
      </w:r>
      <w:r w:rsidRPr="00181ECB">
        <w:rPr>
          <w:rFonts w:ascii="Garamond" w:hAnsi="Garamond"/>
          <w:i/>
          <w:iCs/>
          <w:sz w:val="20"/>
          <w:szCs w:val="20"/>
        </w:rPr>
        <w:t>Parergon</w:t>
      </w:r>
      <w:r w:rsidRPr="00181ECB">
        <w:rPr>
          <w:rFonts w:ascii="Garamond" w:hAnsi="Garamond"/>
          <w:sz w:val="20"/>
          <w:szCs w:val="20"/>
        </w:rPr>
        <w:t xml:space="preserve"> 37, no. 2 (2020): 9-36. </w:t>
      </w:r>
    </w:p>
  </w:footnote>
  <w:footnote w:id="8">
    <w:p w14:paraId="352DFF8B" w14:textId="77777777" w:rsidR="00637EBA" w:rsidRPr="00181ECB" w:rsidRDefault="00637EBA" w:rsidP="004C6D45">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For the Tudor Palace see, Philip Dixon, “The Tudor Palace at Greenwich,” </w:t>
      </w:r>
      <w:r w:rsidRPr="00181ECB">
        <w:rPr>
          <w:rFonts w:ascii="Garamond" w:hAnsi="Garamond"/>
          <w:i/>
          <w:iCs/>
          <w:sz w:val="20"/>
          <w:szCs w:val="20"/>
        </w:rPr>
        <w:t>The Court Historian</w:t>
      </w:r>
      <w:r w:rsidRPr="00181ECB">
        <w:rPr>
          <w:rFonts w:ascii="Garamond" w:hAnsi="Garamond"/>
          <w:sz w:val="20"/>
          <w:szCs w:val="20"/>
        </w:rPr>
        <w:t xml:space="preserve"> 11, 2 (2006): 105-112; Simon Thurley, “Greenwich Palace: The Banqueting House of 1527, The Sport of Kings,” in </w:t>
      </w:r>
      <w:r w:rsidRPr="00181ECB">
        <w:rPr>
          <w:rFonts w:ascii="Garamond" w:hAnsi="Garamond"/>
          <w:i/>
          <w:iCs/>
          <w:sz w:val="20"/>
          <w:szCs w:val="20"/>
        </w:rPr>
        <w:t>Henry VIII: A European Court in England</w:t>
      </w:r>
      <w:r w:rsidRPr="00181ECB">
        <w:rPr>
          <w:rFonts w:ascii="Garamond" w:hAnsi="Garamond"/>
          <w:sz w:val="20"/>
          <w:szCs w:val="20"/>
        </w:rPr>
        <w:t xml:space="preserve">, ed. David Starkey (National Maritime Museum Exhibition Catalogue, 1991): 20-26, 64-70, 163-172. </w:t>
      </w:r>
    </w:p>
  </w:footnote>
  <w:footnote w:id="9">
    <w:p w14:paraId="437CCC5F" w14:textId="3562F974" w:rsidR="00637EBA" w:rsidRPr="00181ECB" w:rsidRDefault="00637EBA" w:rsidP="00181ECB">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00181ECB" w:rsidRPr="00181ECB">
        <w:rPr>
          <w:rFonts w:ascii="Garamond" w:hAnsi="Garamond"/>
          <w:sz w:val="20"/>
          <w:szCs w:val="20"/>
        </w:rPr>
        <w:t>Today, the accounts are housed in The National Archives, where they form part of the records of the Duchy of Lancaster. See a</w:t>
      </w:r>
      <w:r w:rsidRPr="00181ECB">
        <w:rPr>
          <w:rFonts w:ascii="Garamond" w:hAnsi="Garamond"/>
          <w:sz w:val="20"/>
          <w:szCs w:val="20"/>
        </w:rPr>
        <w:t>ccounts of Robert Kettlewell, Clerk of Works to the Queen Margaret for her Manor of Pleasaunce in Gravesend (Kent), The National Archives, London (hereafter TNA) DL 28/1/11.</w:t>
      </w:r>
    </w:p>
  </w:footnote>
  <w:footnote w:id="10">
    <w:p w14:paraId="25B92670" w14:textId="77777777" w:rsidR="00637EBA" w:rsidRPr="00181ECB" w:rsidRDefault="00637EBA" w:rsidP="00DC1452">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TNA MS. Duchy of Lancaster 28/5/8; TNA E101/409/14, 17; E101/410/2, 8, 11. </w:t>
      </w:r>
    </w:p>
  </w:footnote>
  <w:footnote w:id="11">
    <w:p w14:paraId="495EB107" w14:textId="54D0D3AF" w:rsidR="000D00E5" w:rsidRPr="00181ECB" w:rsidRDefault="000D00E5" w:rsidP="000D00E5">
      <w:pPr>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Philip Dixon, </w:t>
      </w:r>
      <w:r w:rsidRPr="00181ECB">
        <w:rPr>
          <w:rFonts w:ascii="Garamond" w:hAnsi="Garamond"/>
          <w:i/>
          <w:sz w:val="20"/>
          <w:szCs w:val="20"/>
        </w:rPr>
        <w:t>Excavations at Greenwich Palace</w:t>
      </w:r>
      <w:r w:rsidRPr="00181ECB">
        <w:rPr>
          <w:rFonts w:ascii="Garamond" w:hAnsi="Garamond"/>
          <w:sz w:val="20"/>
          <w:szCs w:val="20"/>
        </w:rPr>
        <w:t xml:space="preserve">, </w:t>
      </w:r>
      <w:r w:rsidRPr="00181ECB">
        <w:rPr>
          <w:rFonts w:ascii="Garamond" w:hAnsi="Garamond"/>
          <w:i/>
          <w:iCs/>
          <w:sz w:val="20"/>
          <w:szCs w:val="20"/>
        </w:rPr>
        <w:t>1970-1</w:t>
      </w:r>
      <w:r w:rsidRPr="00181ECB">
        <w:rPr>
          <w:rFonts w:ascii="Garamond" w:hAnsi="Garamond"/>
          <w:sz w:val="20"/>
          <w:szCs w:val="20"/>
        </w:rPr>
        <w:t xml:space="preserve">: </w:t>
      </w:r>
      <w:r w:rsidRPr="00181ECB">
        <w:rPr>
          <w:rFonts w:ascii="Garamond" w:hAnsi="Garamond"/>
          <w:i/>
          <w:iCs/>
          <w:sz w:val="20"/>
          <w:szCs w:val="20"/>
        </w:rPr>
        <w:t>An Interim Report</w:t>
      </w:r>
      <w:r w:rsidRPr="00181ECB">
        <w:rPr>
          <w:rFonts w:ascii="Garamond" w:hAnsi="Garamond"/>
          <w:sz w:val="20"/>
          <w:szCs w:val="20"/>
        </w:rPr>
        <w:t xml:space="preserve"> (London</w:t>
      </w:r>
      <w:r w:rsidR="00667360" w:rsidRPr="00181ECB">
        <w:rPr>
          <w:rFonts w:ascii="Garamond" w:hAnsi="Garamond"/>
          <w:sz w:val="20"/>
          <w:szCs w:val="20"/>
        </w:rPr>
        <w:t>: Greenwich and Lewisham Antiquarian Society,</w:t>
      </w:r>
      <w:r w:rsidRPr="00181ECB">
        <w:rPr>
          <w:rFonts w:ascii="Garamond" w:hAnsi="Garamond"/>
          <w:sz w:val="20"/>
          <w:szCs w:val="20"/>
        </w:rPr>
        <w:t xml:space="preserve"> 1972).</w:t>
      </w:r>
    </w:p>
  </w:footnote>
  <w:footnote w:id="12">
    <w:p w14:paraId="40B14935" w14:textId="60014F79" w:rsidR="00637EBA" w:rsidRPr="00181ECB" w:rsidRDefault="00637EBA" w:rsidP="004C6D45">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A 2006 special issue of </w:t>
      </w:r>
      <w:r w:rsidRPr="00181ECB">
        <w:rPr>
          <w:rFonts w:ascii="Garamond" w:hAnsi="Garamond"/>
          <w:i/>
          <w:iCs/>
          <w:sz w:val="20"/>
          <w:szCs w:val="20"/>
        </w:rPr>
        <w:t>The Court Historian</w:t>
      </w:r>
      <w:r w:rsidRPr="00181ECB">
        <w:rPr>
          <w:rFonts w:ascii="Garamond" w:hAnsi="Garamond"/>
          <w:sz w:val="20"/>
          <w:szCs w:val="20"/>
        </w:rPr>
        <w:t>, which was dedicated to the palace</w:t>
      </w:r>
      <w:r w:rsidR="00EB34B1" w:rsidRPr="00181ECB">
        <w:rPr>
          <w:rFonts w:ascii="Garamond" w:hAnsi="Garamond"/>
          <w:sz w:val="20"/>
          <w:szCs w:val="20"/>
        </w:rPr>
        <w:t>, for example,</w:t>
      </w:r>
      <w:r w:rsidRPr="00181ECB">
        <w:rPr>
          <w:rFonts w:ascii="Garamond" w:hAnsi="Garamond"/>
          <w:sz w:val="20"/>
          <w:szCs w:val="20"/>
        </w:rPr>
        <w:t xml:space="preserve"> focused exclusively on the site’s post-medieval history</w:t>
      </w:r>
      <w:r w:rsidR="00EB34B1" w:rsidRPr="00181ECB">
        <w:rPr>
          <w:rFonts w:ascii="Garamond" w:hAnsi="Garamond"/>
          <w:sz w:val="20"/>
          <w:szCs w:val="20"/>
        </w:rPr>
        <w:t>. See,</w:t>
      </w:r>
      <w:r w:rsidRPr="00181ECB">
        <w:rPr>
          <w:rFonts w:ascii="Garamond" w:hAnsi="Garamond"/>
          <w:i/>
          <w:iCs/>
          <w:sz w:val="20"/>
          <w:szCs w:val="20"/>
        </w:rPr>
        <w:t xml:space="preserve"> The Court Historian</w:t>
      </w:r>
      <w:r w:rsidRPr="00181ECB">
        <w:rPr>
          <w:rFonts w:ascii="Garamond" w:hAnsi="Garamond"/>
          <w:sz w:val="20"/>
          <w:szCs w:val="20"/>
        </w:rPr>
        <w:t xml:space="preserve">, 11, no. 2 (2006): Greenwich Palace. </w:t>
      </w:r>
    </w:p>
  </w:footnote>
  <w:footnote w:id="13">
    <w:p w14:paraId="6C523FF2" w14:textId="2F7CB8EC" w:rsidR="00637EBA" w:rsidRPr="00181ECB" w:rsidRDefault="00637EBA" w:rsidP="004C6D45">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“Time Team”, Series 10, Episode 5 (2003):</w:t>
      </w:r>
      <w:r w:rsidR="00E72583" w:rsidRPr="00181ECB">
        <w:rPr>
          <w:rFonts w:ascii="Garamond" w:hAnsi="Garamond"/>
          <w:sz w:val="20"/>
          <w:szCs w:val="20"/>
        </w:rPr>
        <w:t xml:space="preserve"> “Joust Dig It:</w:t>
      </w:r>
      <w:r w:rsidRPr="00181ECB">
        <w:rPr>
          <w:rFonts w:ascii="Garamond" w:hAnsi="Garamond"/>
          <w:sz w:val="20"/>
          <w:szCs w:val="20"/>
        </w:rPr>
        <w:t xml:space="preserve"> Greenwich, London</w:t>
      </w:r>
      <w:r w:rsidR="00E72583" w:rsidRPr="00181ECB">
        <w:rPr>
          <w:rFonts w:ascii="Garamond" w:hAnsi="Garamond"/>
          <w:sz w:val="20"/>
          <w:szCs w:val="20"/>
        </w:rPr>
        <w:t xml:space="preserve">,” accessed March 3, 2021, </w:t>
      </w:r>
      <w:hyperlink r:id="rId2" w:history="1">
        <w:r w:rsidR="00E72583" w:rsidRPr="00181ECB">
          <w:rPr>
            <w:rStyle w:val="Hyperlink"/>
            <w:rFonts w:ascii="Garamond" w:hAnsi="Garamond"/>
            <w:sz w:val="20"/>
            <w:szCs w:val="20"/>
          </w:rPr>
          <w:t>https://www.youtube.com/watch?v=J3LxvEt8WGU</w:t>
        </w:r>
      </w:hyperlink>
      <w:r w:rsidR="00E72583" w:rsidRPr="00181ECB">
        <w:rPr>
          <w:rFonts w:ascii="Garamond" w:hAnsi="Garamond"/>
          <w:sz w:val="20"/>
          <w:szCs w:val="20"/>
        </w:rPr>
        <w:t xml:space="preserve">. </w:t>
      </w:r>
      <w:r w:rsidRPr="00181ECB">
        <w:rPr>
          <w:rFonts w:ascii="Garamond" w:hAnsi="Garamond"/>
          <w:sz w:val="20"/>
          <w:szCs w:val="20"/>
        </w:rPr>
        <w:t xml:space="preserve"> </w:t>
      </w:r>
    </w:p>
  </w:footnote>
  <w:footnote w:id="14">
    <w:p w14:paraId="3527D046" w14:textId="73E075BE" w:rsidR="00637EBA" w:rsidRPr="00181ECB" w:rsidRDefault="00637EBA" w:rsidP="006C15CE">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Ralph A. Griffiths, </w:t>
      </w:r>
      <w:r w:rsidRPr="00181ECB">
        <w:rPr>
          <w:rFonts w:ascii="Garamond" w:hAnsi="Garamond"/>
          <w:i/>
          <w:iCs/>
          <w:sz w:val="20"/>
          <w:szCs w:val="20"/>
        </w:rPr>
        <w:t xml:space="preserve">The Reign of King Henry VI </w:t>
      </w:r>
      <w:r w:rsidRPr="00181ECB">
        <w:rPr>
          <w:rFonts w:ascii="Garamond" w:hAnsi="Garamond"/>
          <w:sz w:val="20"/>
          <w:szCs w:val="20"/>
        </w:rPr>
        <w:t>(</w:t>
      </w:r>
      <w:r w:rsidR="00B7091C" w:rsidRPr="00181ECB">
        <w:rPr>
          <w:rFonts w:ascii="Garamond" w:hAnsi="Garamond"/>
          <w:sz w:val="20"/>
          <w:szCs w:val="20"/>
        </w:rPr>
        <w:t>Stroud: Sutton</w:t>
      </w:r>
      <w:r w:rsidRPr="00181ECB">
        <w:rPr>
          <w:rFonts w:ascii="Garamond" w:hAnsi="Garamond"/>
          <w:sz w:val="20"/>
          <w:szCs w:val="20"/>
        </w:rPr>
        <w:t>, 2004), 740.</w:t>
      </w:r>
    </w:p>
  </w:footnote>
  <w:footnote w:id="15">
    <w:p w14:paraId="536DDA4E" w14:textId="77777777" w:rsidR="00637EBA" w:rsidRPr="00181ECB" w:rsidRDefault="00637EBA" w:rsidP="006C15CE">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Laynesmith, </w:t>
      </w:r>
      <w:r w:rsidRPr="00181ECB">
        <w:rPr>
          <w:rFonts w:ascii="Garamond" w:hAnsi="Garamond"/>
          <w:i/>
          <w:iCs/>
          <w:sz w:val="20"/>
          <w:szCs w:val="20"/>
        </w:rPr>
        <w:t>Last Medieval Queens</w:t>
      </w:r>
      <w:r w:rsidRPr="00181ECB">
        <w:rPr>
          <w:rFonts w:ascii="Garamond" w:hAnsi="Garamond"/>
          <w:sz w:val="20"/>
          <w:szCs w:val="20"/>
        </w:rPr>
        <w:t>, 221.</w:t>
      </w:r>
    </w:p>
  </w:footnote>
  <w:footnote w:id="16">
    <w:p w14:paraId="56BBA0B4" w14:textId="10E09910" w:rsidR="00637EBA" w:rsidRPr="00181ECB" w:rsidRDefault="00637EBA" w:rsidP="00F16562">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Roberta Gilchrist, </w:t>
      </w:r>
      <w:r w:rsidRPr="00181ECB">
        <w:rPr>
          <w:rFonts w:ascii="Garamond" w:hAnsi="Garamond"/>
          <w:i/>
          <w:iCs/>
          <w:sz w:val="20"/>
          <w:szCs w:val="20"/>
        </w:rPr>
        <w:t>Gender and Archaeology: Contesting the Past</w:t>
      </w:r>
      <w:r w:rsidRPr="00181ECB">
        <w:rPr>
          <w:rFonts w:ascii="Garamond" w:hAnsi="Garamond"/>
          <w:sz w:val="20"/>
          <w:szCs w:val="20"/>
        </w:rPr>
        <w:t xml:space="preserve"> (London: Routledge, 1999); Amanda Richardson, “Gender and Space in English Royal Palaces, c. 1160—c. 1547</w:t>
      </w:r>
      <w:r w:rsidR="005E0E79" w:rsidRPr="00181ECB">
        <w:rPr>
          <w:rFonts w:ascii="Garamond" w:hAnsi="Garamond"/>
          <w:sz w:val="20"/>
          <w:szCs w:val="20"/>
        </w:rPr>
        <w:t>,</w:t>
      </w:r>
      <w:r w:rsidRPr="00181ECB">
        <w:rPr>
          <w:rFonts w:ascii="Garamond" w:hAnsi="Garamond"/>
          <w:sz w:val="20"/>
          <w:szCs w:val="20"/>
        </w:rPr>
        <w:t xml:space="preserve">” </w:t>
      </w:r>
      <w:r w:rsidRPr="00181ECB">
        <w:rPr>
          <w:rFonts w:ascii="Garamond" w:hAnsi="Garamond"/>
          <w:i/>
          <w:iCs/>
          <w:sz w:val="20"/>
          <w:szCs w:val="20"/>
        </w:rPr>
        <w:t>Medieval Archaeology</w:t>
      </w:r>
      <w:r w:rsidRPr="00181ECB">
        <w:rPr>
          <w:rFonts w:ascii="Garamond" w:hAnsi="Garamond"/>
          <w:sz w:val="20"/>
          <w:szCs w:val="20"/>
        </w:rPr>
        <w:t xml:space="preserve"> 47, no. 1 (2003): 131—165. </w:t>
      </w:r>
    </w:p>
  </w:footnote>
  <w:footnote w:id="17">
    <w:p w14:paraId="771105BC" w14:textId="4B3DA4B9" w:rsidR="00637EBA" w:rsidRPr="00181ECB" w:rsidRDefault="00637EBA" w:rsidP="00F16562">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Pr="00181ECB">
        <w:rPr>
          <w:rFonts w:ascii="Garamond" w:hAnsi="Garamond"/>
          <w:i/>
          <w:iCs/>
          <w:sz w:val="20"/>
          <w:szCs w:val="20"/>
        </w:rPr>
        <w:t xml:space="preserve">Ibid. </w:t>
      </w:r>
    </w:p>
  </w:footnote>
  <w:footnote w:id="18">
    <w:p w14:paraId="6315F029" w14:textId="77777777" w:rsidR="00637EBA" w:rsidRPr="00181ECB" w:rsidRDefault="00637EBA" w:rsidP="00F16562">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Amanda Richardson, “Gender and Space in the Later Middle Ages: Past, Present, and Future Routes,” in </w:t>
      </w:r>
      <w:r w:rsidRPr="00181ECB">
        <w:rPr>
          <w:rFonts w:ascii="Garamond" w:hAnsi="Garamond"/>
          <w:i/>
          <w:iCs/>
          <w:sz w:val="20"/>
          <w:szCs w:val="20"/>
        </w:rPr>
        <w:t>The Oxford Handbook of Later Medieval Archaeology in Britain</w:t>
      </w:r>
      <w:r w:rsidRPr="00181ECB">
        <w:rPr>
          <w:rFonts w:ascii="Garamond" w:hAnsi="Garamond"/>
          <w:sz w:val="20"/>
          <w:szCs w:val="20"/>
        </w:rPr>
        <w:t xml:space="preserve">, ed. Christopher Gerrard and Alejandra Gutiérrez (Oxford: Oxford University Press, 2018), 805—818. </w:t>
      </w:r>
    </w:p>
  </w:footnote>
  <w:footnote w:id="19">
    <w:p w14:paraId="0E03E706" w14:textId="1CDAB19A" w:rsidR="00637EBA" w:rsidRPr="00181ECB" w:rsidRDefault="00637EBA" w:rsidP="004001BE">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An exception is Rachel M. Delman, “Elite Female Constructions of Power and Space, 1444-1541” (DPhil diss, University of Oxford, 2017). For a critique of the male biases of castle studies see Karen Dempsey, “Gender and Medieval Archaeology: Storming the Castle,” </w:t>
      </w:r>
      <w:r w:rsidRPr="00181ECB">
        <w:rPr>
          <w:rFonts w:ascii="Garamond" w:hAnsi="Garamond"/>
          <w:i/>
          <w:iCs/>
          <w:sz w:val="20"/>
          <w:szCs w:val="20"/>
        </w:rPr>
        <w:t>Antiquity</w:t>
      </w:r>
      <w:r w:rsidRPr="00181ECB">
        <w:rPr>
          <w:rFonts w:ascii="Garamond" w:hAnsi="Garamond"/>
          <w:sz w:val="20"/>
          <w:szCs w:val="20"/>
        </w:rPr>
        <w:t xml:space="preserve"> 93, no. 369 (2019): 772-788.</w:t>
      </w:r>
    </w:p>
  </w:footnote>
  <w:footnote w:id="20">
    <w:p w14:paraId="46C29511" w14:textId="77777777" w:rsidR="00637EBA" w:rsidRPr="00181ECB" w:rsidRDefault="00637EBA" w:rsidP="004001BE">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Gilchrist, </w:t>
      </w:r>
      <w:r w:rsidRPr="00181ECB">
        <w:rPr>
          <w:rFonts w:ascii="Garamond" w:hAnsi="Garamond"/>
          <w:i/>
          <w:sz w:val="20"/>
          <w:szCs w:val="20"/>
        </w:rPr>
        <w:t>Gender and Archaeology</w:t>
      </w:r>
      <w:r w:rsidRPr="00181ECB">
        <w:rPr>
          <w:rFonts w:ascii="Garamond" w:hAnsi="Garamond"/>
          <w:sz w:val="20"/>
          <w:szCs w:val="20"/>
        </w:rPr>
        <w:t xml:space="preserve">, 121. </w:t>
      </w:r>
    </w:p>
  </w:footnote>
  <w:footnote w:id="21">
    <w:p w14:paraId="0491DCF7" w14:textId="31FEC51B" w:rsidR="00637EBA" w:rsidRPr="00181ECB" w:rsidRDefault="00637EBA" w:rsidP="00CB783C">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Anne Laurence, “Women using Building in Seventeenth-Century England: A Question of Sources?,” </w:t>
      </w:r>
      <w:r w:rsidRPr="00181ECB">
        <w:rPr>
          <w:rFonts w:ascii="Garamond" w:hAnsi="Garamond"/>
          <w:i/>
          <w:iCs/>
          <w:sz w:val="20"/>
          <w:szCs w:val="20"/>
        </w:rPr>
        <w:t>Transactions of the Royal Historical Society</w:t>
      </w:r>
      <w:r w:rsidRPr="00181ECB">
        <w:rPr>
          <w:rFonts w:ascii="Garamond" w:hAnsi="Garamond"/>
          <w:sz w:val="20"/>
          <w:szCs w:val="20"/>
        </w:rPr>
        <w:t xml:space="preserve"> 13 (2003): 293-303, at</w:t>
      </w:r>
      <w:r w:rsidR="007373C0" w:rsidRPr="00181ECB">
        <w:rPr>
          <w:rFonts w:ascii="Garamond" w:hAnsi="Garamond"/>
          <w:sz w:val="20"/>
          <w:szCs w:val="20"/>
        </w:rPr>
        <w:t xml:space="preserve"> 294.</w:t>
      </w:r>
      <w:r w:rsidRPr="00181ECB">
        <w:rPr>
          <w:rFonts w:ascii="Garamond" w:hAnsi="Garamond"/>
          <w:sz w:val="20"/>
          <w:szCs w:val="20"/>
        </w:rPr>
        <w:t xml:space="preserve"> For the Queen’s House, see, </w:t>
      </w:r>
    </w:p>
    <w:p w14:paraId="083563BE" w14:textId="7D5999CB" w:rsidR="00637EBA" w:rsidRPr="00181ECB" w:rsidRDefault="00637EBA" w:rsidP="00CB783C">
      <w:pPr>
        <w:pStyle w:val="FootnoteText"/>
        <w:rPr>
          <w:rFonts w:ascii="Garamond" w:hAnsi="Garamond"/>
          <w:sz w:val="20"/>
          <w:szCs w:val="20"/>
        </w:rPr>
      </w:pPr>
      <w:r w:rsidRPr="00181ECB">
        <w:rPr>
          <w:rFonts w:ascii="Garamond" w:hAnsi="Garamond"/>
          <w:sz w:val="20"/>
          <w:szCs w:val="20"/>
        </w:rPr>
        <w:t xml:space="preserve">Susan Alexandra Sykes, “Henrietta Maria’s ‘House of Delight’: French Influence and Iconography in the Queen’s House, Greenwich,” </w:t>
      </w:r>
      <w:r w:rsidRPr="00181ECB">
        <w:rPr>
          <w:rFonts w:ascii="Garamond" w:hAnsi="Garamond"/>
          <w:i/>
          <w:iCs/>
          <w:sz w:val="20"/>
          <w:szCs w:val="20"/>
        </w:rPr>
        <w:t>Apollo</w:t>
      </w:r>
      <w:r w:rsidRPr="00181ECB">
        <w:rPr>
          <w:rFonts w:ascii="Garamond" w:hAnsi="Garamond"/>
          <w:sz w:val="20"/>
          <w:szCs w:val="20"/>
        </w:rPr>
        <w:t xml:space="preserve"> 132 (1991): 332-336; Paula Henderson, “Secret Houses and Lodges: the Queen’s House, Greenwich, in Context,” </w:t>
      </w:r>
      <w:r w:rsidRPr="00181ECB">
        <w:rPr>
          <w:rFonts w:ascii="Garamond" w:hAnsi="Garamond"/>
          <w:i/>
          <w:iCs/>
          <w:sz w:val="20"/>
          <w:szCs w:val="20"/>
        </w:rPr>
        <w:t>Apollo</w:t>
      </w:r>
      <w:r w:rsidRPr="00181ECB">
        <w:rPr>
          <w:rFonts w:ascii="Garamond" w:hAnsi="Garamond"/>
          <w:sz w:val="20"/>
          <w:szCs w:val="20"/>
        </w:rPr>
        <w:t xml:space="preserve"> 146, 425 (1997): 29-35; Clare McManus, “Memorialising Anna of Denmark’s Court: Cupid’s Banishment at Greenwich Palace,” in </w:t>
      </w:r>
      <w:r w:rsidRPr="00181ECB">
        <w:rPr>
          <w:rFonts w:ascii="Garamond" w:hAnsi="Garamond"/>
          <w:i/>
          <w:iCs/>
          <w:sz w:val="20"/>
          <w:szCs w:val="20"/>
        </w:rPr>
        <w:t>Women and Culture at the Courts of the Stuart Queens</w:t>
      </w:r>
      <w:r w:rsidR="009C50FC" w:rsidRPr="00181ECB">
        <w:rPr>
          <w:rFonts w:ascii="Garamond" w:hAnsi="Garamond"/>
          <w:sz w:val="20"/>
          <w:szCs w:val="20"/>
        </w:rPr>
        <w:t>, ed. Clare McManus</w:t>
      </w:r>
      <w:r w:rsidRPr="00181ECB">
        <w:rPr>
          <w:rFonts w:ascii="Garamond" w:hAnsi="Garamond"/>
          <w:sz w:val="20"/>
          <w:szCs w:val="20"/>
        </w:rPr>
        <w:t xml:space="preserve"> (Basingstoke: Palgrave Macmillan, 2003), 81-99; Gordon Higgott, “The Design and Setting of Inigo Jones’s Queen’s House, 1616-10</w:t>
      </w:r>
      <w:r w:rsidR="00911631" w:rsidRPr="00181ECB">
        <w:rPr>
          <w:rFonts w:ascii="Garamond" w:hAnsi="Garamond"/>
          <w:sz w:val="20"/>
          <w:szCs w:val="20"/>
        </w:rPr>
        <w:t>,”</w:t>
      </w:r>
      <w:r w:rsidRPr="00181ECB">
        <w:rPr>
          <w:rFonts w:ascii="Garamond" w:hAnsi="Garamond"/>
          <w:sz w:val="20"/>
          <w:szCs w:val="20"/>
        </w:rPr>
        <w:t xml:space="preserve"> </w:t>
      </w:r>
      <w:r w:rsidRPr="00181ECB">
        <w:rPr>
          <w:rFonts w:ascii="Garamond" w:hAnsi="Garamond"/>
          <w:i/>
          <w:iCs/>
          <w:sz w:val="20"/>
          <w:szCs w:val="20"/>
        </w:rPr>
        <w:t>Court Historian</w:t>
      </w:r>
      <w:r w:rsidRPr="00181ECB">
        <w:rPr>
          <w:rFonts w:ascii="Garamond" w:hAnsi="Garamond"/>
          <w:sz w:val="20"/>
          <w:szCs w:val="20"/>
        </w:rPr>
        <w:t xml:space="preserve"> 11, no. 2 (2006): 135-148. </w:t>
      </w:r>
    </w:p>
  </w:footnote>
  <w:footnote w:id="22">
    <w:p w14:paraId="5D39BC1C" w14:textId="40B586AA" w:rsidR="00637EBA" w:rsidRPr="00181ECB" w:rsidRDefault="00637EBA" w:rsidP="000467BB">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A. R. Myers, </w:t>
      </w:r>
      <w:r w:rsidR="002E0469" w:rsidRPr="00181ECB">
        <w:rPr>
          <w:rFonts w:ascii="Garamond" w:hAnsi="Garamond"/>
          <w:sz w:val="20"/>
          <w:szCs w:val="20"/>
        </w:rPr>
        <w:t>“</w:t>
      </w:r>
      <w:r w:rsidRPr="00181ECB">
        <w:rPr>
          <w:rFonts w:ascii="Garamond" w:hAnsi="Garamond"/>
          <w:iCs/>
          <w:sz w:val="20"/>
          <w:szCs w:val="20"/>
        </w:rPr>
        <w:t>The Household of Queen Margaret of Anjou, 1452-3</w:t>
      </w:r>
      <w:r w:rsidR="00863EB5" w:rsidRPr="00181ECB">
        <w:rPr>
          <w:rFonts w:ascii="Garamond" w:hAnsi="Garamond"/>
          <w:iCs/>
          <w:sz w:val="20"/>
          <w:szCs w:val="20"/>
        </w:rPr>
        <w:t>: I</w:t>
      </w:r>
      <w:r w:rsidR="002E0469" w:rsidRPr="00181ECB">
        <w:rPr>
          <w:rFonts w:ascii="Garamond" w:hAnsi="Garamond"/>
          <w:iCs/>
          <w:sz w:val="20"/>
          <w:szCs w:val="20"/>
        </w:rPr>
        <w:t xml:space="preserve">,” </w:t>
      </w:r>
      <w:r w:rsidRPr="00181ECB">
        <w:rPr>
          <w:rFonts w:ascii="Garamond" w:hAnsi="Garamond"/>
          <w:i/>
          <w:iCs/>
          <w:sz w:val="20"/>
          <w:szCs w:val="20"/>
        </w:rPr>
        <w:t xml:space="preserve">Bulletin of the John Rylands Library </w:t>
      </w:r>
      <w:r w:rsidRPr="00181ECB">
        <w:rPr>
          <w:rFonts w:ascii="Garamond" w:hAnsi="Garamond"/>
          <w:sz w:val="20"/>
          <w:szCs w:val="20"/>
        </w:rPr>
        <w:t xml:space="preserve">40, no. 1 (1958): 79-113, at 87. </w:t>
      </w:r>
    </w:p>
  </w:footnote>
  <w:footnote w:id="23">
    <w:p w14:paraId="0AF25338" w14:textId="0EEF86D4" w:rsidR="00637EBA" w:rsidRPr="00181ECB" w:rsidRDefault="00637EBA" w:rsidP="000467BB">
      <w:pPr>
        <w:pStyle w:val="FootnoteText"/>
        <w:jc w:val="both"/>
        <w:rPr>
          <w:rFonts w:ascii="Garamond" w:hAnsi="Garamond"/>
          <w:iCs/>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00DE64AE" w:rsidRPr="00181ECB">
        <w:rPr>
          <w:rFonts w:ascii="Garamond" w:hAnsi="Garamond"/>
          <w:i/>
          <w:sz w:val="20"/>
          <w:szCs w:val="20"/>
        </w:rPr>
        <w:t xml:space="preserve">Ibid., </w:t>
      </w:r>
      <w:r w:rsidR="00DE64AE" w:rsidRPr="00181ECB">
        <w:rPr>
          <w:rFonts w:ascii="Garamond" w:hAnsi="Garamond"/>
          <w:iCs/>
          <w:sz w:val="20"/>
          <w:szCs w:val="20"/>
        </w:rPr>
        <w:t xml:space="preserve">82. </w:t>
      </w:r>
    </w:p>
  </w:footnote>
  <w:footnote w:id="24">
    <w:p w14:paraId="0D6F536E" w14:textId="7BC46C3F" w:rsidR="00637EBA" w:rsidRPr="00181ECB" w:rsidRDefault="00637EBA" w:rsidP="000467BB">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Pr="00181ECB">
        <w:rPr>
          <w:rFonts w:ascii="Garamond" w:hAnsi="Garamond"/>
          <w:i/>
          <w:iCs/>
          <w:sz w:val="20"/>
          <w:szCs w:val="20"/>
        </w:rPr>
        <w:t>Ibid</w:t>
      </w:r>
      <w:r w:rsidRPr="00181ECB">
        <w:rPr>
          <w:rFonts w:ascii="Garamond" w:hAnsi="Garamond"/>
          <w:sz w:val="20"/>
          <w:szCs w:val="20"/>
        </w:rPr>
        <w:t xml:space="preserve">. </w:t>
      </w:r>
    </w:p>
  </w:footnote>
  <w:footnote w:id="25">
    <w:p w14:paraId="02E04C66" w14:textId="4ACF431F" w:rsidR="00637EBA" w:rsidRPr="00181ECB" w:rsidRDefault="00637EBA" w:rsidP="000467BB">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Laynesmith, </w:t>
      </w:r>
      <w:r w:rsidRPr="00181ECB">
        <w:rPr>
          <w:rFonts w:ascii="Garamond" w:hAnsi="Garamond"/>
          <w:i/>
          <w:sz w:val="20"/>
          <w:szCs w:val="20"/>
        </w:rPr>
        <w:t>Last Medieval Queens</w:t>
      </w:r>
      <w:r w:rsidRPr="00181ECB">
        <w:rPr>
          <w:rFonts w:ascii="Garamond" w:hAnsi="Garamond"/>
          <w:sz w:val="20"/>
          <w:szCs w:val="20"/>
        </w:rPr>
        <w:t xml:space="preserve">, 246. </w:t>
      </w:r>
    </w:p>
  </w:footnote>
  <w:footnote w:id="26">
    <w:p w14:paraId="69DA5BF1" w14:textId="67E73D35" w:rsidR="00C87C8A" w:rsidRPr="00181ECB" w:rsidRDefault="00C87C8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Myers, “</w:t>
      </w:r>
      <w:r w:rsidRPr="00181ECB">
        <w:rPr>
          <w:rFonts w:ascii="Garamond" w:hAnsi="Garamond"/>
          <w:iCs/>
          <w:sz w:val="20"/>
          <w:szCs w:val="20"/>
        </w:rPr>
        <w:t xml:space="preserve">The Household of Queen Margaret of Anjou,” 88. </w:t>
      </w:r>
    </w:p>
  </w:footnote>
  <w:footnote w:id="27">
    <w:p w14:paraId="73F27FA5" w14:textId="6EAFB8F6" w:rsidR="00637EBA" w:rsidRPr="00181ECB" w:rsidRDefault="00637EBA" w:rsidP="00EC166F">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Michael Egan, “‘The Church in Medieval Greenwich,” </w:t>
      </w:r>
      <w:r w:rsidRPr="00181ECB">
        <w:rPr>
          <w:rFonts w:ascii="Garamond" w:hAnsi="Garamond"/>
          <w:i/>
          <w:iCs/>
          <w:sz w:val="20"/>
          <w:szCs w:val="20"/>
        </w:rPr>
        <w:t>Archaeologia Cantiana</w:t>
      </w:r>
      <w:r w:rsidRPr="00181ECB">
        <w:rPr>
          <w:rFonts w:ascii="Garamond" w:hAnsi="Garamond"/>
          <w:sz w:val="20"/>
          <w:szCs w:val="20"/>
        </w:rPr>
        <w:t xml:space="preserve"> 123 (2003): 233-254, at 236.</w:t>
      </w:r>
    </w:p>
  </w:footnote>
  <w:footnote w:id="28">
    <w:p w14:paraId="3917C744" w14:textId="075123FC" w:rsidR="00637EBA" w:rsidRPr="00181ECB" w:rsidRDefault="00637EBA" w:rsidP="00EC166F">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Richardson, ‘‘Greenwich’s First Royal Landscape,’’ 54.</w:t>
      </w:r>
    </w:p>
  </w:footnote>
  <w:footnote w:id="29">
    <w:p w14:paraId="0DE4F662" w14:textId="461606B9" w:rsidR="00637EBA" w:rsidRPr="00181ECB" w:rsidRDefault="00637EBA" w:rsidP="00BE5EDE">
      <w:pPr>
        <w:ind w:left="142" w:hanging="142"/>
        <w:rPr>
          <w:rFonts w:ascii="Garamond" w:hAnsi="Garamond"/>
          <w:color w:val="000000" w:themeColor="text1"/>
          <w:sz w:val="20"/>
          <w:szCs w:val="20"/>
          <w:shd w:val="clear" w:color="auto" w:fill="FFFFFF"/>
        </w:rPr>
      </w:pPr>
      <w:r w:rsidRPr="00181ECB">
        <w:rPr>
          <w:rStyle w:val="FootnoteReference"/>
          <w:rFonts w:ascii="Garamond" w:hAnsi="Garamond"/>
          <w:color w:val="000000" w:themeColor="text1"/>
          <w:sz w:val="20"/>
          <w:szCs w:val="20"/>
        </w:rPr>
        <w:footnoteRef/>
      </w:r>
      <w:r w:rsidRPr="00181ECB">
        <w:rPr>
          <w:rFonts w:ascii="Garamond" w:hAnsi="Garamond"/>
          <w:color w:val="000000" w:themeColor="text1"/>
          <w:sz w:val="20"/>
          <w:szCs w:val="20"/>
        </w:rPr>
        <w:t xml:space="preserve"> </w:t>
      </w:r>
      <w:r w:rsidRPr="00181ECB">
        <w:rPr>
          <w:rFonts w:ascii="Garamond" w:hAnsi="Garamond"/>
          <w:color w:val="000000" w:themeColor="text1"/>
          <w:sz w:val="20"/>
          <w:szCs w:val="20"/>
          <w:shd w:val="clear" w:color="auto" w:fill="FFFFFF"/>
        </w:rPr>
        <w:t>George H. Chettle, 'Introduction: Greenwich before the building of the Queen's House', in </w:t>
      </w:r>
      <w:r w:rsidRPr="00181ECB">
        <w:rPr>
          <w:rStyle w:val="Emphasis"/>
          <w:rFonts w:ascii="Garamond" w:eastAsiaTheme="minorEastAsia" w:hAnsi="Garamond"/>
          <w:color w:val="000000" w:themeColor="text1"/>
          <w:sz w:val="20"/>
          <w:szCs w:val="20"/>
          <w:shd w:val="clear" w:color="auto" w:fill="FFFFFF"/>
        </w:rPr>
        <w:t>Survey of London Monograph 14, the Queen's House, Greenwich</w:t>
      </w:r>
      <w:r w:rsidRPr="00181ECB">
        <w:rPr>
          <w:rFonts w:ascii="Garamond" w:hAnsi="Garamond"/>
          <w:color w:val="000000" w:themeColor="text1"/>
          <w:sz w:val="20"/>
          <w:szCs w:val="20"/>
          <w:shd w:val="clear" w:color="auto" w:fill="FFFFFF"/>
        </w:rPr>
        <w:t> (London, 1937), 16-24. </w:t>
      </w:r>
      <w:r w:rsidRPr="00181ECB">
        <w:rPr>
          <w:rStyle w:val="Emphasis"/>
          <w:rFonts w:ascii="Garamond" w:eastAsiaTheme="minorEastAsia" w:hAnsi="Garamond"/>
          <w:color w:val="000000" w:themeColor="text1"/>
          <w:sz w:val="20"/>
          <w:szCs w:val="20"/>
          <w:shd w:val="clear" w:color="auto" w:fill="FFFFFF"/>
        </w:rPr>
        <w:t>British History Online</w:t>
      </w:r>
      <w:r w:rsidR="003570B6" w:rsidRPr="00181ECB">
        <w:rPr>
          <w:rStyle w:val="Emphasis"/>
          <w:rFonts w:ascii="Garamond" w:eastAsiaTheme="minorEastAsia" w:hAnsi="Garamond"/>
          <w:i w:val="0"/>
          <w:iCs w:val="0"/>
          <w:color w:val="000000" w:themeColor="text1"/>
          <w:sz w:val="20"/>
          <w:szCs w:val="20"/>
          <w:shd w:val="clear" w:color="auto" w:fill="FFFFFF"/>
        </w:rPr>
        <w:t>, accessed March 3, 2021,</w:t>
      </w:r>
      <w:r w:rsidRPr="00181ECB">
        <w:rPr>
          <w:rFonts w:ascii="Garamond" w:hAnsi="Garamond"/>
          <w:color w:val="000000" w:themeColor="text1"/>
          <w:sz w:val="20"/>
          <w:szCs w:val="20"/>
          <w:shd w:val="clear" w:color="auto" w:fill="FFFFFF"/>
        </w:rPr>
        <w:t> </w:t>
      </w:r>
      <w:hyperlink r:id="rId3" w:history="1">
        <w:r w:rsidRPr="00181ECB">
          <w:rPr>
            <w:rStyle w:val="Hyperlink"/>
            <w:rFonts w:ascii="Garamond" w:hAnsi="Garamond"/>
            <w:sz w:val="20"/>
            <w:szCs w:val="20"/>
            <w:shd w:val="clear" w:color="auto" w:fill="FFFFFF"/>
          </w:rPr>
          <w:t>http://www.british-history.ac.uk/survey-london/bk14/pp16-24</w:t>
        </w:r>
      </w:hyperlink>
      <w:r w:rsidRPr="00181ECB">
        <w:rPr>
          <w:rFonts w:ascii="Garamond" w:hAnsi="Garamond"/>
          <w:color w:val="000000" w:themeColor="text1"/>
          <w:sz w:val="20"/>
          <w:szCs w:val="20"/>
          <w:shd w:val="clear" w:color="auto" w:fill="FFFFFF"/>
        </w:rPr>
        <w:t xml:space="preserve"> </w:t>
      </w:r>
    </w:p>
  </w:footnote>
  <w:footnote w:id="30">
    <w:p w14:paraId="372297B9" w14:textId="6AA922E6" w:rsidR="00637EBA" w:rsidRPr="00181ECB" w:rsidRDefault="00637EBA" w:rsidP="00EC166F">
      <w:pPr>
        <w:pStyle w:val="FootnoteText"/>
        <w:ind w:left="142" w:hanging="142"/>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G. M. Draper, “Timber and Iron: Natural Resources for the Late Medieval Ship-Building Industry in Kent,” in </w:t>
      </w:r>
      <w:r w:rsidRPr="00181ECB">
        <w:rPr>
          <w:rFonts w:ascii="Garamond" w:hAnsi="Garamond"/>
          <w:i/>
          <w:sz w:val="20"/>
          <w:szCs w:val="20"/>
        </w:rPr>
        <w:t>Later Medieval Kent, 1220-1540</w:t>
      </w:r>
      <w:r w:rsidRPr="00181ECB">
        <w:rPr>
          <w:rFonts w:ascii="Garamond" w:hAnsi="Garamond"/>
          <w:iCs/>
          <w:sz w:val="20"/>
          <w:szCs w:val="20"/>
        </w:rPr>
        <w:t xml:space="preserve">, ed. </w:t>
      </w:r>
      <w:r w:rsidRPr="00181ECB">
        <w:rPr>
          <w:rFonts w:ascii="Garamond" w:hAnsi="Garamond"/>
          <w:sz w:val="20"/>
          <w:szCs w:val="20"/>
        </w:rPr>
        <w:t xml:space="preserve">Sheila Sweetinburgh (Woodbridge: Boydell &amp; Brewer, 2010), 55-77. </w:t>
      </w:r>
    </w:p>
  </w:footnote>
  <w:footnote w:id="31">
    <w:p w14:paraId="45236401" w14:textId="1D1A3E89" w:rsidR="00637EBA" w:rsidRPr="00181ECB" w:rsidRDefault="00637EBA" w:rsidP="00EC166F">
      <w:pPr>
        <w:pStyle w:val="FootnoteText"/>
        <w:ind w:left="142" w:hanging="142"/>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Draper, "Timber and Iron”; Susan Rose, “Royal Ships on the Thames before 1450,” in </w:t>
      </w:r>
      <w:r w:rsidRPr="00181ECB">
        <w:rPr>
          <w:rFonts w:ascii="Garamond" w:hAnsi="Garamond"/>
          <w:i/>
          <w:sz w:val="20"/>
          <w:szCs w:val="20"/>
        </w:rPr>
        <w:t>Shipbuilding on the Thames and Thames-built Ships: Proceedings of a Second Symposium, held on 15 February 2003 at the National Maritime Museum, Greenwich</w:t>
      </w:r>
      <w:r w:rsidRPr="00181ECB">
        <w:rPr>
          <w:rFonts w:ascii="Garamond" w:hAnsi="Garamond"/>
          <w:iCs/>
          <w:sz w:val="20"/>
          <w:szCs w:val="20"/>
        </w:rPr>
        <w:t xml:space="preserve">, ed. </w:t>
      </w:r>
      <w:r w:rsidRPr="00181ECB">
        <w:rPr>
          <w:rFonts w:ascii="Garamond" w:hAnsi="Garamond"/>
          <w:sz w:val="20"/>
          <w:szCs w:val="20"/>
        </w:rPr>
        <w:t xml:space="preserve">Roger Owen (West Wickham: J. R. Owen, 2004), 11-19. </w:t>
      </w:r>
    </w:p>
  </w:footnote>
  <w:footnote w:id="32">
    <w:p w14:paraId="79C0655C" w14:textId="424EAFAF" w:rsidR="00637EBA" w:rsidRPr="00181ECB" w:rsidRDefault="00637EBA" w:rsidP="00EC166F">
      <w:pPr>
        <w:shd w:val="clear" w:color="auto" w:fill="FFFFFF"/>
        <w:ind w:left="142" w:hanging="142"/>
        <w:rPr>
          <w:rFonts w:ascii="Garamond" w:hAnsi="Garamond" w:cs="Arial"/>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Draper, “Timber and Iron”, 63; Richardson, “Greenwich’s First Royal Landscape”, 57; F. M. Stenton, </w:t>
      </w:r>
      <w:r w:rsidR="003725C6" w:rsidRPr="00181ECB">
        <w:rPr>
          <w:rFonts w:ascii="Garamond" w:hAnsi="Garamond"/>
          <w:sz w:val="20"/>
          <w:szCs w:val="20"/>
        </w:rPr>
        <w:t>“</w:t>
      </w:r>
      <w:r w:rsidRPr="00181ECB">
        <w:rPr>
          <w:rFonts w:ascii="Garamond" w:hAnsi="Garamond"/>
          <w:sz w:val="20"/>
          <w:szCs w:val="20"/>
        </w:rPr>
        <w:t>The Road System of Medieval England</w:t>
      </w:r>
      <w:r w:rsidR="003725C6" w:rsidRPr="00181ECB">
        <w:rPr>
          <w:rFonts w:ascii="Garamond" w:hAnsi="Garamond"/>
          <w:sz w:val="20"/>
          <w:szCs w:val="20"/>
        </w:rPr>
        <w:t xml:space="preserve">,” </w:t>
      </w:r>
      <w:r w:rsidRPr="00181ECB">
        <w:rPr>
          <w:rFonts w:ascii="Garamond" w:hAnsi="Garamond"/>
          <w:i/>
          <w:sz w:val="20"/>
          <w:szCs w:val="20"/>
        </w:rPr>
        <w:t>The Economic History Review</w:t>
      </w:r>
      <w:r w:rsidRPr="00181ECB">
        <w:rPr>
          <w:rFonts w:ascii="Garamond" w:hAnsi="Garamond"/>
          <w:sz w:val="20"/>
          <w:szCs w:val="20"/>
        </w:rPr>
        <w:t xml:space="preserve"> 7, no. 1 (Nov. 1936): 1-21, at 3. </w:t>
      </w:r>
    </w:p>
  </w:footnote>
  <w:footnote w:id="33">
    <w:p w14:paraId="64FD62F2" w14:textId="2B902ED5" w:rsidR="00637EBA" w:rsidRPr="00181ECB" w:rsidRDefault="00637EBA" w:rsidP="00EC166F">
      <w:pPr>
        <w:pStyle w:val="FootnoteText"/>
        <w:ind w:left="142" w:hanging="142"/>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TNA DL 28/1/11.</w:t>
      </w:r>
    </w:p>
  </w:footnote>
  <w:footnote w:id="34">
    <w:p w14:paraId="67C9C6BD" w14:textId="71F2C0C0" w:rsidR="00637EBA" w:rsidRPr="00181ECB" w:rsidRDefault="00637EBA" w:rsidP="00EC166F">
      <w:pPr>
        <w:pStyle w:val="FootnoteText"/>
        <w:ind w:left="142" w:hanging="142"/>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Pr="00181ECB">
        <w:rPr>
          <w:rFonts w:ascii="Garamond" w:hAnsi="Garamond"/>
          <w:i/>
          <w:iCs/>
          <w:sz w:val="20"/>
          <w:szCs w:val="20"/>
        </w:rPr>
        <w:t>Ibid</w:t>
      </w:r>
      <w:r w:rsidRPr="00181ECB">
        <w:rPr>
          <w:rFonts w:ascii="Garamond" w:hAnsi="Garamond"/>
          <w:sz w:val="20"/>
          <w:szCs w:val="20"/>
        </w:rPr>
        <w:t xml:space="preserve">; For Prudde see Richard Marks, “Window Glass,” in </w:t>
      </w:r>
      <w:r w:rsidRPr="00181ECB">
        <w:rPr>
          <w:rFonts w:ascii="Garamond" w:hAnsi="Garamond"/>
          <w:i/>
          <w:sz w:val="20"/>
          <w:szCs w:val="20"/>
        </w:rPr>
        <w:t>English Medieval Industries: Craftsmen, Techniques, Products</w:t>
      </w:r>
      <w:r w:rsidRPr="00181ECB">
        <w:rPr>
          <w:rFonts w:ascii="Garamond" w:hAnsi="Garamond"/>
          <w:iCs/>
          <w:sz w:val="20"/>
          <w:szCs w:val="20"/>
        </w:rPr>
        <w:t>, eds. John Blair and Nigel Ramsay</w:t>
      </w:r>
      <w:r w:rsidRPr="00181ECB">
        <w:rPr>
          <w:rFonts w:ascii="Garamond" w:hAnsi="Garamond"/>
          <w:i/>
          <w:sz w:val="20"/>
          <w:szCs w:val="20"/>
        </w:rPr>
        <w:t xml:space="preserve"> </w:t>
      </w:r>
      <w:r w:rsidRPr="00181ECB">
        <w:rPr>
          <w:rFonts w:ascii="Garamond" w:hAnsi="Garamond"/>
          <w:sz w:val="20"/>
          <w:szCs w:val="20"/>
        </w:rPr>
        <w:t>(London; Rio Grande: Hambleton Press, 1991), 280-283.</w:t>
      </w:r>
    </w:p>
  </w:footnote>
  <w:footnote w:id="35">
    <w:p w14:paraId="42DA1EEC" w14:textId="14BAE26D" w:rsidR="00637EBA" w:rsidRPr="00181ECB" w:rsidRDefault="00637EBA" w:rsidP="00EC166F">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Draper, “Timber and Iron”. </w:t>
      </w:r>
    </w:p>
  </w:footnote>
  <w:footnote w:id="36">
    <w:p w14:paraId="44E10A8B" w14:textId="316DD084" w:rsidR="00637EBA" w:rsidRPr="00181ECB" w:rsidRDefault="00637EBA" w:rsidP="00EC166F">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TNA DL 28/1/11. </w:t>
      </w:r>
    </w:p>
  </w:footnote>
  <w:footnote w:id="37">
    <w:p w14:paraId="52FF97DD" w14:textId="57E4D90C" w:rsidR="00637EBA" w:rsidRPr="00181ECB" w:rsidRDefault="00637EB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Richardson, “Greenwich’s First Royal Landscape”.</w:t>
      </w:r>
    </w:p>
  </w:footnote>
  <w:footnote w:id="38">
    <w:p w14:paraId="49EBA209" w14:textId="731EF892" w:rsidR="00637EBA" w:rsidRPr="00181ECB" w:rsidRDefault="00637EBA" w:rsidP="004E31FD">
      <w:pPr>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Pr="00181ECB">
        <w:rPr>
          <w:rFonts w:ascii="Garamond" w:hAnsi="Garamond" w:cs="Arial"/>
          <w:color w:val="000000"/>
          <w:sz w:val="20"/>
          <w:szCs w:val="20"/>
          <w:shd w:val="clear" w:color="auto" w:fill="FFFFFF"/>
        </w:rPr>
        <w:t xml:space="preserve">Harriss, “Humphrey, duke of Gloucester”, </w:t>
      </w:r>
      <w:r w:rsidRPr="00181ECB">
        <w:rPr>
          <w:rFonts w:ascii="Garamond" w:hAnsi="Garamond" w:cs="Arial"/>
          <w:i/>
          <w:iCs/>
          <w:color w:val="000000"/>
          <w:sz w:val="20"/>
          <w:szCs w:val="20"/>
          <w:shd w:val="clear" w:color="auto" w:fill="FFFFFF"/>
        </w:rPr>
        <w:t>ODNB</w:t>
      </w:r>
      <w:r w:rsidRPr="00181ECB">
        <w:rPr>
          <w:rFonts w:ascii="Garamond" w:hAnsi="Garamond" w:cs="Arial"/>
          <w:color w:val="000000"/>
          <w:sz w:val="20"/>
          <w:szCs w:val="20"/>
          <w:shd w:val="clear" w:color="auto" w:fill="FFFFFF"/>
        </w:rPr>
        <w:t>.</w:t>
      </w:r>
    </w:p>
  </w:footnote>
  <w:footnote w:id="39">
    <w:p w14:paraId="4E047FF5" w14:textId="234BC958" w:rsidR="00637EBA" w:rsidRPr="00181ECB" w:rsidRDefault="00637EBA" w:rsidP="00DB7640">
      <w:pPr>
        <w:pStyle w:val="FootnoteText"/>
        <w:ind w:left="142" w:hanging="142"/>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For a discussion of the medieval church of St. Alfege, see Egan, “The Church in Medieval Greenwich”. </w:t>
      </w:r>
    </w:p>
  </w:footnote>
  <w:footnote w:id="40">
    <w:p w14:paraId="6ADB3A09" w14:textId="6553A41B" w:rsidR="00637EBA" w:rsidRPr="00181ECB" w:rsidRDefault="00637EBA" w:rsidP="00466AF8">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Dixon, </w:t>
      </w:r>
      <w:r w:rsidRPr="00181ECB">
        <w:rPr>
          <w:rFonts w:ascii="Garamond" w:hAnsi="Garamond"/>
          <w:i/>
          <w:sz w:val="20"/>
          <w:szCs w:val="20"/>
        </w:rPr>
        <w:t>Excavations at Greenwich Palace</w:t>
      </w:r>
      <w:r w:rsidRPr="00181ECB">
        <w:rPr>
          <w:rFonts w:ascii="Garamond" w:hAnsi="Garamond"/>
          <w:sz w:val="20"/>
          <w:szCs w:val="20"/>
        </w:rPr>
        <w:t xml:space="preserve">, 9-14. </w:t>
      </w:r>
    </w:p>
  </w:footnote>
  <w:footnote w:id="41">
    <w:p w14:paraId="1DADBE56" w14:textId="7179BEF3" w:rsidR="00637EBA" w:rsidRPr="00181ECB" w:rsidRDefault="00637EBA" w:rsidP="00DB7640">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See Richardson, “Greenwich’s First Royal Landscape”. </w:t>
      </w:r>
    </w:p>
  </w:footnote>
  <w:footnote w:id="42">
    <w:p w14:paraId="2D6BA509" w14:textId="6359B28C" w:rsidR="00637EBA" w:rsidRPr="00181ECB" w:rsidRDefault="00637EBA" w:rsidP="00DB7640">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Richardson, “Greenwich’s First Royal Landscape</w:t>
      </w:r>
      <w:r w:rsidR="00E72583" w:rsidRPr="00181ECB">
        <w:rPr>
          <w:rFonts w:ascii="Garamond" w:hAnsi="Garamond"/>
          <w:sz w:val="20"/>
          <w:szCs w:val="20"/>
        </w:rPr>
        <w:t>,</w:t>
      </w:r>
      <w:r w:rsidRPr="00181ECB">
        <w:rPr>
          <w:rFonts w:ascii="Garamond" w:hAnsi="Garamond"/>
          <w:sz w:val="20"/>
          <w:szCs w:val="20"/>
        </w:rPr>
        <w:t xml:space="preserve">” 53. </w:t>
      </w:r>
    </w:p>
  </w:footnote>
  <w:footnote w:id="43">
    <w:p w14:paraId="6EDFB2A0" w14:textId="39B228B2" w:rsidR="00637EBA" w:rsidRPr="00181ECB" w:rsidRDefault="00637EBA" w:rsidP="00DD2FE6">
      <w:pPr>
        <w:pStyle w:val="FootnoteText"/>
        <w:tabs>
          <w:tab w:val="left" w:pos="709"/>
        </w:tabs>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Pr="00181ECB">
        <w:rPr>
          <w:rFonts w:ascii="Garamond" w:hAnsi="Garamond"/>
          <w:i/>
          <w:iCs/>
          <w:sz w:val="20"/>
          <w:szCs w:val="20"/>
        </w:rPr>
        <w:t>Ibid</w:t>
      </w:r>
      <w:r w:rsidRPr="00181ECB">
        <w:rPr>
          <w:rFonts w:ascii="Garamond" w:hAnsi="Garamond"/>
          <w:sz w:val="20"/>
          <w:szCs w:val="20"/>
        </w:rPr>
        <w:t xml:space="preserve">., 59. </w:t>
      </w:r>
    </w:p>
  </w:footnote>
  <w:footnote w:id="44">
    <w:p w14:paraId="400E2739" w14:textId="3A7F97BA" w:rsidR="00637EBA" w:rsidRPr="00181ECB" w:rsidRDefault="00637EBA" w:rsidP="003F329B">
      <w:pPr>
        <w:pStyle w:val="FootnoteText"/>
        <w:ind w:left="142" w:hanging="142"/>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TNA D28/1/11; Chettle, </w:t>
      </w:r>
      <w:r w:rsidR="00E72583" w:rsidRPr="00181ECB">
        <w:rPr>
          <w:rFonts w:ascii="Garamond" w:hAnsi="Garamond"/>
          <w:sz w:val="20"/>
          <w:szCs w:val="20"/>
        </w:rPr>
        <w:t>“</w:t>
      </w:r>
      <w:r w:rsidRPr="00181ECB">
        <w:rPr>
          <w:rFonts w:ascii="Garamond" w:hAnsi="Garamond"/>
          <w:sz w:val="20"/>
          <w:szCs w:val="20"/>
        </w:rPr>
        <w:t>Introduction: Greenwich before the building of the Queen’s House</w:t>
      </w:r>
      <w:r w:rsidR="00E72583" w:rsidRPr="00181ECB">
        <w:rPr>
          <w:rFonts w:ascii="Garamond" w:hAnsi="Garamond"/>
          <w:sz w:val="20"/>
          <w:szCs w:val="20"/>
        </w:rPr>
        <w:t>”</w:t>
      </w:r>
      <w:r w:rsidRPr="00181ECB">
        <w:rPr>
          <w:rFonts w:ascii="Garamond" w:hAnsi="Garamond"/>
          <w:sz w:val="20"/>
          <w:szCs w:val="20"/>
        </w:rPr>
        <w:t xml:space="preserve">; Howard M. Colvin, </w:t>
      </w:r>
      <w:r w:rsidRPr="00181ECB">
        <w:rPr>
          <w:rFonts w:ascii="Garamond" w:hAnsi="Garamond"/>
          <w:i/>
          <w:sz w:val="20"/>
          <w:szCs w:val="20"/>
        </w:rPr>
        <w:t>History of the King’s Works</w:t>
      </w:r>
      <w:r w:rsidRPr="00181ECB">
        <w:rPr>
          <w:rFonts w:ascii="Garamond" w:hAnsi="Garamond"/>
          <w:sz w:val="20"/>
          <w:szCs w:val="20"/>
        </w:rPr>
        <w:t xml:space="preserve">, II (London: H. M. Stationery Office, 1963), 949-950. </w:t>
      </w:r>
    </w:p>
  </w:footnote>
  <w:footnote w:id="45">
    <w:p w14:paraId="78CC3A29" w14:textId="67BCE6B9" w:rsidR="00637EBA" w:rsidRPr="00181ECB" w:rsidRDefault="00637EBA" w:rsidP="00CB2275">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Dixon, </w:t>
      </w:r>
      <w:r w:rsidRPr="00181ECB">
        <w:rPr>
          <w:rFonts w:ascii="Garamond" w:hAnsi="Garamond"/>
          <w:i/>
          <w:sz w:val="20"/>
          <w:szCs w:val="20"/>
        </w:rPr>
        <w:t>Excavations at Greenwich Palace</w:t>
      </w:r>
      <w:r w:rsidRPr="00181ECB">
        <w:rPr>
          <w:rFonts w:ascii="Garamond" w:hAnsi="Garamond"/>
          <w:sz w:val="20"/>
          <w:szCs w:val="20"/>
        </w:rPr>
        <w:t>, 9-14.</w:t>
      </w:r>
    </w:p>
  </w:footnote>
  <w:footnote w:id="46">
    <w:p w14:paraId="3AD484E3" w14:textId="34A8F7AE" w:rsidR="00637EBA" w:rsidRPr="00181ECB" w:rsidRDefault="00637EBA" w:rsidP="00D357E4">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TNA DL 28/1/11, 14, 29. For the broader similarities between Queens’ College, Cambridge, and late medieval domestical architectural design see, Anthony Emery, </w:t>
      </w:r>
      <w:r w:rsidRPr="00181ECB">
        <w:rPr>
          <w:rFonts w:ascii="Garamond" w:hAnsi="Garamond"/>
          <w:i/>
          <w:sz w:val="20"/>
          <w:szCs w:val="20"/>
        </w:rPr>
        <w:t xml:space="preserve">Greater Medieval Houses of England and Wales, 1300-1500, Volume II: East Anglia, Central England and Wales </w:t>
      </w:r>
      <w:r w:rsidRPr="00181ECB">
        <w:rPr>
          <w:rFonts w:ascii="Garamond" w:hAnsi="Garamond"/>
          <w:sz w:val="20"/>
          <w:szCs w:val="20"/>
        </w:rPr>
        <w:t>(Cambridge: Cambridge University Press, 2000), 69.</w:t>
      </w:r>
    </w:p>
  </w:footnote>
  <w:footnote w:id="47">
    <w:p w14:paraId="05FACF9C" w14:textId="334772EB" w:rsidR="00637EBA" w:rsidRPr="00181ECB" w:rsidRDefault="00637EBA" w:rsidP="00D357E4">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TNA DL 28/1/11, 14.</w:t>
      </w:r>
    </w:p>
  </w:footnote>
  <w:footnote w:id="48">
    <w:p w14:paraId="1CCB308F" w14:textId="6C23AB58" w:rsidR="00637EBA" w:rsidRPr="00181ECB" w:rsidRDefault="00637EB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Pr="00181ECB">
        <w:rPr>
          <w:rFonts w:ascii="Garamond" w:hAnsi="Garamond"/>
          <w:i/>
          <w:iCs/>
          <w:sz w:val="20"/>
          <w:szCs w:val="20"/>
        </w:rPr>
        <w:t>Ibid</w:t>
      </w:r>
      <w:r w:rsidRPr="00181ECB">
        <w:rPr>
          <w:rFonts w:ascii="Garamond" w:hAnsi="Garamond"/>
          <w:sz w:val="20"/>
          <w:szCs w:val="20"/>
        </w:rPr>
        <w:t xml:space="preserve">, 29. </w:t>
      </w:r>
    </w:p>
  </w:footnote>
  <w:footnote w:id="49">
    <w:p w14:paraId="01FB50AB" w14:textId="170FB699" w:rsidR="00637EBA" w:rsidRPr="00181ECB" w:rsidRDefault="00637EBA" w:rsidP="00D357E4">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Pr="00181ECB">
        <w:rPr>
          <w:rFonts w:ascii="Garamond" w:hAnsi="Garamond"/>
          <w:i/>
          <w:iCs/>
          <w:sz w:val="20"/>
          <w:szCs w:val="20"/>
        </w:rPr>
        <w:t>Ibid</w:t>
      </w:r>
      <w:r w:rsidRPr="00181ECB">
        <w:rPr>
          <w:rFonts w:ascii="Garamond" w:hAnsi="Garamond"/>
          <w:sz w:val="20"/>
          <w:szCs w:val="20"/>
        </w:rPr>
        <w:t xml:space="preserve">, 9, 20. </w:t>
      </w:r>
    </w:p>
  </w:footnote>
  <w:footnote w:id="50">
    <w:p w14:paraId="21525E0E" w14:textId="099407DD" w:rsidR="00637EBA" w:rsidRPr="00181ECB" w:rsidRDefault="00637EBA" w:rsidP="00D357E4">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Pr="00181ECB">
        <w:rPr>
          <w:rFonts w:ascii="Garamond" w:hAnsi="Garamond"/>
          <w:i/>
          <w:iCs/>
          <w:sz w:val="20"/>
          <w:szCs w:val="20"/>
        </w:rPr>
        <w:t>Ibid</w:t>
      </w:r>
      <w:r w:rsidRPr="00181ECB">
        <w:rPr>
          <w:rFonts w:ascii="Garamond" w:hAnsi="Garamond"/>
          <w:sz w:val="20"/>
          <w:szCs w:val="20"/>
        </w:rPr>
        <w:t xml:space="preserve">, 12. </w:t>
      </w:r>
    </w:p>
  </w:footnote>
  <w:footnote w:id="51">
    <w:p w14:paraId="6FEEFFD3" w14:textId="4E4DC11E" w:rsidR="00637EBA" w:rsidRPr="00181ECB" w:rsidRDefault="00637EBA" w:rsidP="00D357E4">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Pr="00181ECB">
        <w:rPr>
          <w:rFonts w:ascii="Garamond" w:hAnsi="Garamond"/>
          <w:i/>
          <w:iCs/>
          <w:sz w:val="20"/>
          <w:szCs w:val="20"/>
        </w:rPr>
        <w:t>Ibid</w:t>
      </w:r>
      <w:r w:rsidRPr="00181ECB">
        <w:rPr>
          <w:rFonts w:ascii="Garamond" w:hAnsi="Garamond"/>
          <w:sz w:val="20"/>
          <w:szCs w:val="20"/>
        </w:rPr>
        <w:t xml:space="preserve">, 7v. </w:t>
      </w:r>
    </w:p>
  </w:footnote>
  <w:footnote w:id="52">
    <w:p w14:paraId="746D1578" w14:textId="77777777" w:rsidR="009D33AB" w:rsidRPr="00181ECB" w:rsidRDefault="009D33AB" w:rsidP="009D33AB">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Pr="00181ECB">
        <w:rPr>
          <w:rFonts w:ascii="Garamond" w:hAnsi="Garamond"/>
          <w:i/>
          <w:iCs/>
          <w:sz w:val="20"/>
          <w:szCs w:val="20"/>
        </w:rPr>
        <w:t>Ibid</w:t>
      </w:r>
      <w:r w:rsidRPr="00181ECB">
        <w:rPr>
          <w:rFonts w:ascii="Garamond" w:hAnsi="Garamond"/>
          <w:sz w:val="20"/>
          <w:szCs w:val="20"/>
        </w:rPr>
        <w:t xml:space="preserve">, 14. </w:t>
      </w:r>
    </w:p>
  </w:footnote>
  <w:footnote w:id="53">
    <w:p w14:paraId="49474E64" w14:textId="0FFF68A8" w:rsidR="00637EBA" w:rsidRPr="00181ECB" w:rsidRDefault="00637EBA" w:rsidP="00B44AD0">
      <w:pPr>
        <w:pStyle w:val="FootnoteText"/>
        <w:ind w:left="142" w:hanging="142"/>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Marks, “Window Glass</w:t>
      </w:r>
      <w:r w:rsidR="00282DED" w:rsidRPr="00181ECB">
        <w:rPr>
          <w:rFonts w:ascii="Garamond" w:hAnsi="Garamond"/>
          <w:sz w:val="20"/>
          <w:szCs w:val="20"/>
        </w:rPr>
        <w:t>”</w:t>
      </w:r>
      <w:r w:rsidRPr="00181ECB">
        <w:rPr>
          <w:rFonts w:ascii="Garamond" w:hAnsi="Garamond"/>
          <w:sz w:val="20"/>
          <w:szCs w:val="20"/>
        </w:rPr>
        <w:t xml:space="preserve">. </w:t>
      </w:r>
    </w:p>
  </w:footnote>
  <w:footnote w:id="54">
    <w:p w14:paraId="2D16FF08" w14:textId="2C9DBBFF" w:rsidR="00637EBA" w:rsidRPr="00181ECB" w:rsidRDefault="00637EBA" w:rsidP="00D357E4">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TNA DL 28/1/11, 6v, 7. </w:t>
      </w:r>
    </w:p>
  </w:footnote>
  <w:footnote w:id="55">
    <w:p w14:paraId="6642A87A" w14:textId="03178AB3" w:rsidR="00637EBA" w:rsidRPr="00181ECB" w:rsidRDefault="00637EBA" w:rsidP="00D357E4">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Pr="00181ECB">
        <w:rPr>
          <w:rFonts w:ascii="Garamond" w:hAnsi="Garamond"/>
          <w:i/>
          <w:iCs/>
          <w:sz w:val="20"/>
          <w:szCs w:val="20"/>
        </w:rPr>
        <w:t>Ibid,</w:t>
      </w:r>
      <w:r w:rsidRPr="00181ECB">
        <w:rPr>
          <w:rFonts w:ascii="Garamond" w:hAnsi="Garamond"/>
          <w:sz w:val="20"/>
          <w:szCs w:val="20"/>
        </w:rPr>
        <w:t xml:space="preserve"> 7v.</w:t>
      </w:r>
    </w:p>
  </w:footnote>
  <w:footnote w:id="56">
    <w:p w14:paraId="2646309B" w14:textId="02CAC39F" w:rsidR="00637EBA" w:rsidRPr="00181ECB" w:rsidRDefault="00637EBA" w:rsidP="00D357E4">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Pr="00181ECB">
        <w:rPr>
          <w:rFonts w:ascii="Garamond" w:hAnsi="Garamond"/>
          <w:i/>
          <w:iCs/>
          <w:sz w:val="20"/>
          <w:szCs w:val="20"/>
        </w:rPr>
        <w:t>Ibid</w:t>
      </w:r>
      <w:r w:rsidRPr="00181ECB">
        <w:rPr>
          <w:rFonts w:ascii="Garamond" w:hAnsi="Garamond"/>
          <w:sz w:val="20"/>
          <w:szCs w:val="20"/>
        </w:rPr>
        <w:t xml:space="preserve">, 35. </w:t>
      </w:r>
    </w:p>
  </w:footnote>
  <w:footnote w:id="57">
    <w:p w14:paraId="6DC36D71" w14:textId="46E2F36C" w:rsidR="00637EBA" w:rsidRPr="00181ECB" w:rsidRDefault="00637EBA" w:rsidP="00D357E4">
      <w:pPr>
        <w:pStyle w:val="FootnoteText"/>
        <w:ind w:left="142" w:hanging="142"/>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David Rundle, “Good Duke Humphrey: Bounder, Cad and Bibliophile,” </w:t>
      </w:r>
      <w:r w:rsidRPr="00181ECB">
        <w:rPr>
          <w:rFonts w:ascii="Garamond" w:hAnsi="Garamond"/>
          <w:i/>
          <w:sz w:val="20"/>
          <w:szCs w:val="20"/>
        </w:rPr>
        <w:t>Bodleian Library Record</w:t>
      </w:r>
      <w:r w:rsidRPr="00181ECB">
        <w:rPr>
          <w:rFonts w:ascii="Garamond" w:hAnsi="Garamond"/>
          <w:sz w:val="20"/>
          <w:szCs w:val="20"/>
        </w:rPr>
        <w:t xml:space="preserve"> xxvii, no. 1 (2014): 36-53. </w:t>
      </w:r>
    </w:p>
  </w:footnote>
  <w:footnote w:id="58">
    <w:p w14:paraId="7D4A7EA9" w14:textId="20FD3499" w:rsidR="00637EBA" w:rsidRPr="00181ECB" w:rsidRDefault="00637EBA" w:rsidP="00D357E4">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TNA DL 28/1/11, 27.</w:t>
      </w:r>
    </w:p>
  </w:footnote>
  <w:footnote w:id="59">
    <w:p w14:paraId="2DEA07EA" w14:textId="5BEF79F8" w:rsidR="00637EBA" w:rsidRPr="00181ECB" w:rsidRDefault="00637EBA" w:rsidP="00D357E4">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i/>
          <w:iCs/>
          <w:sz w:val="20"/>
          <w:szCs w:val="20"/>
        </w:rPr>
        <w:t xml:space="preserve"> Ibid</w:t>
      </w:r>
      <w:r w:rsidRPr="00181ECB">
        <w:rPr>
          <w:rFonts w:ascii="Garamond" w:hAnsi="Garamond"/>
          <w:sz w:val="20"/>
          <w:szCs w:val="20"/>
        </w:rPr>
        <w:t xml:space="preserve">, 30v. </w:t>
      </w:r>
    </w:p>
  </w:footnote>
  <w:footnote w:id="60">
    <w:p w14:paraId="576E0507" w14:textId="61E59F7A" w:rsidR="00637EBA" w:rsidRPr="00181ECB" w:rsidRDefault="00637EB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Laynesmith, </w:t>
      </w:r>
      <w:r w:rsidRPr="00181ECB">
        <w:rPr>
          <w:rFonts w:ascii="Garamond" w:hAnsi="Garamond"/>
          <w:i/>
          <w:iCs/>
          <w:sz w:val="20"/>
          <w:szCs w:val="20"/>
        </w:rPr>
        <w:t>Last Medieval Queens</w:t>
      </w:r>
      <w:r w:rsidRPr="00181ECB">
        <w:rPr>
          <w:rFonts w:ascii="Garamond" w:hAnsi="Garamond"/>
          <w:sz w:val="20"/>
          <w:szCs w:val="20"/>
        </w:rPr>
        <w:t>,</w:t>
      </w:r>
      <w:r w:rsidR="005149BF" w:rsidRPr="00181ECB">
        <w:rPr>
          <w:rFonts w:ascii="Garamond" w:hAnsi="Garamond"/>
          <w:sz w:val="20"/>
          <w:szCs w:val="20"/>
        </w:rPr>
        <w:t xml:space="preserve"> 221. </w:t>
      </w:r>
    </w:p>
  </w:footnote>
  <w:footnote w:id="61">
    <w:p w14:paraId="52CF3F7D" w14:textId="4A616453" w:rsidR="00637EBA" w:rsidRPr="00181ECB" w:rsidRDefault="00637EBA">
      <w:pPr>
        <w:pStyle w:val="FootnoteText"/>
        <w:rPr>
          <w:rFonts w:ascii="Garamond" w:hAnsi="Garamond"/>
          <w:i/>
          <w:iCs/>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Pr="00181ECB">
        <w:rPr>
          <w:rFonts w:ascii="Garamond" w:hAnsi="Garamond"/>
          <w:i/>
          <w:iCs/>
          <w:sz w:val="20"/>
          <w:szCs w:val="20"/>
        </w:rPr>
        <w:t xml:space="preserve">Ibid. </w:t>
      </w:r>
    </w:p>
  </w:footnote>
  <w:footnote w:id="62">
    <w:p w14:paraId="063E72DB" w14:textId="723063C0" w:rsidR="00637EBA" w:rsidRPr="00181ECB" w:rsidRDefault="00637EBA" w:rsidP="00D357E4">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Dixon, </w:t>
      </w:r>
      <w:r w:rsidRPr="00181ECB">
        <w:rPr>
          <w:rFonts w:ascii="Garamond" w:hAnsi="Garamond"/>
          <w:i/>
          <w:sz w:val="20"/>
          <w:szCs w:val="20"/>
        </w:rPr>
        <w:t>Excavations at Greenwich Palace</w:t>
      </w:r>
      <w:r w:rsidRPr="00181ECB">
        <w:rPr>
          <w:rFonts w:ascii="Garamond" w:hAnsi="Garamond"/>
          <w:sz w:val="20"/>
          <w:szCs w:val="20"/>
        </w:rPr>
        <w:t>, 9-14.</w:t>
      </w:r>
    </w:p>
  </w:footnote>
  <w:footnote w:id="63">
    <w:p w14:paraId="24C8DCAE" w14:textId="7A1BDB90" w:rsidR="00637EBA" w:rsidRPr="00181ECB" w:rsidRDefault="00637EBA" w:rsidP="00D357E4">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Chris M. Woolgar, </w:t>
      </w:r>
      <w:r w:rsidRPr="00181ECB">
        <w:rPr>
          <w:rFonts w:ascii="Garamond" w:hAnsi="Garamond"/>
          <w:i/>
          <w:sz w:val="20"/>
          <w:szCs w:val="20"/>
        </w:rPr>
        <w:t>The Senses in Late Medieval England</w:t>
      </w:r>
      <w:r w:rsidRPr="00181ECB">
        <w:rPr>
          <w:rFonts w:ascii="Garamond" w:hAnsi="Garamond"/>
          <w:sz w:val="20"/>
          <w:szCs w:val="20"/>
        </w:rPr>
        <w:t xml:space="preserve"> (New Haven and London: Yale University Press, 2006), 243. </w:t>
      </w:r>
    </w:p>
  </w:footnote>
  <w:footnote w:id="64">
    <w:p w14:paraId="550A0C66" w14:textId="4147E57B" w:rsidR="00637EBA" w:rsidRPr="00181ECB" w:rsidRDefault="00637EBA" w:rsidP="00434592">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Woolgar, </w:t>
      </w:r>
      <w:r w:rsidRPr="00181ECB">
        <w:rPr>
          <w:rFonts w:ascii="Garamond" w:hAnsi="Garamond"/>
          <w:i/>
          <w:sz w:val="20"/>
          <w:szCs w:val="20"/>
        </w:rPr>
        <w:t>Senses</w:t>
      </w:r>
      <w:r w:rsidRPr="00181ECB">
        <w:rPr>
          <w:rFonts w:ascii="Garamond" w:hAnsi="Garamond"/>
          <w:sz w:val="20"/>
          <w:szCs w:val="20"/>
        </w:rPr>
        <w:t xml:space="preserve">, 227. </w:t>
      </w:r>
    </w:p>
  </w:footnote>
  <w:footnote w:id="65">
    <w:p w14:paraId="575BA866" w14:textId="2D5511A1" w:rsidR="00637EBA" w:rsidRPr="00181ECB" w:rsidRDefault="00637EBA" w:rsidP="00AC64E2">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Myers, </w:t>
      </w:r>
      <w:r w:rsidRPr="00181ECB">
        <w:rPr>
          <w:rFonts w:ascii="Garamond" w:hAnsi="Garamond"/>
          <w:i/>
          <w:sz w:val="20"/>
          <w:szCs w:val="20"/>
        </w:rPr>
        <w:t>Household Accounts of Margaret of Anjou</w:t>
      </w:r>
      <w:r w:rsidRPr="00181ECB">
        <w:rPr>
          <w:rFonts w:ascii="Garamond" w:hAnsi="Garamond"/>
          <w:sz w:val="20"/>
          <w:szCs w:val="20"/>
        </w:rPr>
        <w:t>, 90.</w:t>
      </w:r>
    </w:p>
  </w:footnote>
  <w:footnote w:id="66">
    <w:p w14:paraId="1A3A9298" w14:textId="5A3D0EC8" w:rsidR="00637EBA" w:rsidRPr="00181ECB" w:rsidRDefault="00637EBA" w:rsidP="00434592">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003570B6" w:rsidRPr="00181ECB">
        <w:rPr>
          <w:rFonts w:ascii="Garamond" w:hAnsi="Garamond"/>
          <w:sz w:val="20"/>
          <w:szCs w:val="20"/>
        </w:rPr>
        <w:t xml:space="preserve">A. R. </w:t>
      </w:r>
      <w:r w:rsidRPr="00181ECB">
        <w:rPr>
          <w:rFonts w:ascii="Garamond" w:hAnsi="Garamond"/>
          <w:sz w:val="20"/>
          <w:szCs w:val="20"/>
        </w:rPr>
        <w:t>Myers,</w:t>
      </w:r>
      <w:r w:rsidR="00D115D3" w:rsidRPr="00181ECB">
        <w:rPr>
          <w:rFonts w:ascii="Garamond" w:hAnsi="Garamond"/>
          <w:sz w:val="20"/>
          <w:szCs w:val="20"/>
        </w:rPr>
        <w:t xml:space="preserve"> ed.</w:t>
      </w:r>
      <w:r w:rsidRPr="00181ECB">
        <w:rPr>
          <w:rFonts w:ascii="Garamond" w:hAnsi="Garamond"/>
          <w:sz w:val="20"/>
          <w:szCs w:val="20"/>
        </w:rPr>
        <w:t xml:space="preserve"> </w:t>
      </w:r>
      <w:r w:rsidR="000D00E5" w:rsidRPr="00181ECB">
        <w:rPr>
          <w:rFonts w:ascii="Garamond" w:hAnsi="Garamond"/>
          <w:sz w:val="20"/>
          <w:szCs w:val="20"/>
        </w:rPr>
        <w:t>“</w:t>
      </w:r>
      <w:r w:rsidRPr="00181ECB">
        <w:rPr>
          <w:rFonts w:ascii="Garamond" w:eastAsia="Arial Unicode MS" w:hAnsi="Garamond" w:cs="Arial Unicode MS"/>
          <w:iCs/>
          <w:color w:val="262623"/>
          <w:sz w:val="20"/>
          <w:szCs w:val="20"/>
        </w:rPr>
        <w:t>The Jewels of Queen Margaret of Anjou</w:t>
      </w:r>
      <w:r w:rsidR="000D00E5" w:rsidRPr="00181ECB">
        <w:rPr>
          <w:rFonts w:ascii="Garamond" w:eastAsia="Arial Unicode MS" w:hAnsi="Garamond" w:cs="Arial Unicode MS"/>
          <w:iCs/>
          <w:color w:val="262623"/>
          <w:sz w:val="20"/>
          <w:szCs w:val="20"/>
        </w:rPr>
        <w:t>,”</w:t>
      </w:r>
      <w:r w:rsidRPr="00181ECB">
        <w:rPr>
          <w:rFonts w:ascii="Garamond" w:eastAsia="Arial Unicode MS" w:hAnsi="Garamond" w:cs="Arial Unicode MS"/>
          <w:i/>
          <w:color w:val="262623"/>
          <w:sz w:val="20"/>
          <w:szCs w:val="20"/>
        </w:rPr>
        <w:t xml:space="preserve"> </w:t>
      </w:r>
      <w:r w:rsidR="003570B6" w:rsidRPr="00181ECB">
        <w:rPr>
          <w:rFonts w:ascii="Garamond" w:eastAsia="Arial Unicode MS" w:hAnsi="Garamond" w:cs="Arial Unicode MS"/>
          <w:i/>
          <w:color w:val="262623"/>
          <w:sz w:val="20"/>
          <w:szCs w:val="20"/>
        </w:rPr>
        <w:t xml:space="preserve">Bulletin of the John Rylands Library, </w:t>
      </w:r>
      <w:r w:rsidR="003570B6" w:rsidRPr="00181ECB">
        <w:rPr>
          <w:rFonts w:ascii="Garamond" w:eastAsia="Arial Unicode MS" w:hAnsi="Garamond" w:cs="Arial Unicode MS"/>
          <w:iCs/>
          <w:color w:val="262623"/>
          <w:sz w:val="20"/>
          <w:szCs w:val="20"/>
        </w:rPr>
        <w:t xml:space="preserve">42, no. 1 (1959): 113-131, at </w:t>
      </w:r>
      <w:r w:rsidRPr="00181ECB">
        <w:rPr>
          <w:rFonts w:ascii="Garamond" w:eastAsia="Arial Unicode MS" w:hAnsi="Garamond" w:cs="Arial Unicode MS"/>
          <w:color w:val="262623"/>
          <w:sz w:val="20"/>
          <w:szCs w:val="20"/>
        </w:rPr>
        <w:t xml:space="preserve">127. </w:t>
      </w:r>
    </w:p>
  </w:footnote>
  <w:footnote w:id="67">
    <w:p w14:paraId="55AFC09C" w14:textId="641A1BCA" w:rsidR="00637EBA" w:rsidRPr="00181ECB" w:rsidRDefault="00637EB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00D4369C" w:rsidRPr="00181ECB">
        <w:rPr>
          <w:rFonts w:ascii="Garamond" w:hAnsi="Garamond"/>
          <w:sz w:val="20"/>
          <w:szCs w:val="20"/>
        </w:rPr>
        <w:t xml:space="preserve">Woolgar, </w:t>
      </w:r>
      <w:r w:rsidR="00D4369C" w:rsidRPr="00181ECB">
        <w:rPr>
          <w:rFonts w:ascii="Garamond" w:hAnsi="Garamond"/>
          <w:i/>
          <w:sz w:val="20"/>
          <w:szCs w:val="20"/>
        </w:rPr>
        <w:t xml:space="preserve">The Senses; </w:t>
      </w:r>
      <w:r w:rsidRPr="00181ECB">
        <w:rPr>
          <w:rFonts w:ascii="Garamond" w:hAnsi="Garamond"/>
          <w:sz w:val="20"/>
          <w:szCs w:val="20"/>
        </w:rPr>
        <w:t xml:space="preserve">Laynesmith, </w:t>
      </w:r>
      <w:r w:rsidRPr="00181ECB">
        <w:rPr>
          <w:rFonts w:ascii="Garamond" w:hAnsi="Garamond"/>
          <w:i/>
          <w:sz w:val="20"/>
          <w:szCs w:val="20"/>
        </w:rPr>
        <w:t>The Last Medieval Queens</w:t>
      </w:r>
      <w:r w:rsidRPr="00181ECB">
        <w:rPr>
          <w:rFonts w:ascii="Garamond" w:hAnsi="Garamond"/>
          <w:sz w:val="20"/>
          <w:szCs w:val="20"/>
        </w:rPr>
        <w:t xml:space="preserve">, 227. </w:t>
      </w:r>
      <w:r w:rsidR="00D4369C" w:rsidRPr="00181ECB">
        <w:rPr>
          <w:rFonts w:ascii="Garamond" w:hAnsi="Garamond"/>
          <w:sz w:val="20"/>
          <w:szCs w:val="20"/>
        </w:rPr>
        <w:t xml:space="preserve">For the wider impact of queenly households see, Nadine Akkerman and Birgit Houben eds. </w:t>
      </w:r>
      <w:r w:rsidR="00D4369C" w:rsidRPr="00181ECB">
        <w:rPr>
          <w:rFonts w:ascii="Garamond" w:hAnsi="Garamond"/>
          <w:i/>
          <w:iCs/>
          <w:sz w:val="20"/>
          <w:szCs w:val="20"/>
        </w:rPr>
        <w:t>The Politics of Female Households: Ladies-in-Waiting Across Early Modern Europe</w:t>
      </w:r>
      <w:r w:rsidR="00D4369C" w:rsidRPr="00181ECB">
        <w:rPr>
          <w:rFonts w:ascii="Garamond" w:hAnsi="Garamond"/>
          <w:sz w:val="20"/>
          <w:szCs w:val="20"/>
        </w:rPr>
        <w:t xml:space="preserve"> (Leiden: Brill, 2014); Zita Rohr, “Rocking the Cradle and Ruling the World: Queens’ Households in Late Medieval and Early Modern Aragon and France,” in </w:t>
      </w:r>
      <w:r w:rsidR="00D4369C" w:rsidRPr="00181ECB">
        <w:rPr>
          <w:rFonts w:ascii="Garamond" w:hAnsi="Garamond"/>
          <w:i/>
          <w:iCs/>
          <w:sz w:val="20"/>
          <w:szCs w:val="20"/>
        </w:rPr>
        <w:t>Royal and Elite Households in Medieval and Early Modern Europe: More than Just a Castle</w:t>
      </w:r>
      <w:r w:rsidR="00D4369C" w:rsidRPr="00181ECB">
        <w:rPr>
          <w:rFonts w:ascii="Garamond" w:hAnsi="Garamond"/>
          <w:sz w:val="20"/>
          <w:szCs w:val="20"/>
        </w:rPr>
        <w:t>, ed. Theresa Earenfight</w:t>
      </w:r>
      <w:r w:rsidR="00D4369C" w:rsidRPr="00181ECB">
        <w:rPr>
          <w:rFonts w:ascii="Garamond" w:hAnsi="Garamond"/>
          <w:i/>
          <w:iCs/>
          <w:sz w:val="20"/>
          <w:szCs w:val="20"/>
        </w:rPr>
        <w:t xml:space="preserve"> </w:t>
      </w:r>
      <w:r w:rsidR="00D4369C" w:rsidRPr="00181ECB">
        <w:rPr>
          <w:rFonts w:ascii="Garamond" w:hAnsi="Garamond"/>
          <w:sz w:val="20"/>
          <w:szCs w:val="20"/>
        </w:rPr>
        <w:t>(Leiden: Brill, 2018), 309-337.</w:t>
      </w:r>
    </w:p>
  </w:footnote>
  <w:footnote w:id="68">
    <w:p w14:paraId="45257BDC" w14:textId="135DC5DA" w:rsidR="00637EBA" w:rsidRPr="00181ECB" w:rsidRDefault="00637EBA" w:rsidP="00B210CB">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00D4369C" w:rsidRPr="00181ECB">
        <w:rPr>
          <w:rFonts w:ascii="Garamond" w:hAnsi="Garamond"/>
          <w:sz w:val="20"/>
          <w:szCs w:val="20"/>
        </w:rPr>
        <w:t xml:space="preserve">Laynesmith, </w:t>
      </w:r>
      <w:r w:rsidR="00D4369C" w:rsidRPr="00181ECB">
        <w:rPr>
          <w:rFonts w:ascii="Garamond" w:hAnsi="Garamond"/>
          <w:i/>
          <w:sz w:val="20"/>
          <w:szCs w:val="20"/>
        </w:rPr>
        <w:t>The Last Medieval Queens</w:t>
      </w:r>
      <w:r w:rsidRPr="00181ECB">
        <w:rPr>
          <w:rFonts w:ascii="Garamond" w:hAnsi="Garamond"/>
          <w:sz w:val="20"/>
          <w:szCs w:val="20"/>
        </w:rPr>
        <w:t xml:space="preserve">, 230. </w:t>
      </w:r>
    </w:p>
  </w:footnote>
  <w:footnote w:id="69">
    <w:p w14:paraId="18CD0E95" w14:textId="6889AA0C" w:rsidR="00637EBA" w:rsidRPr="00181ECB" w:rsidRDefault="00637EB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For Marie of Anjou’s gardens at Chinon, see Solveig Bourocher, “Queen Marie of Anjou: Patron of the Works on the Château of Chinon in the Middle of the Fifteenth Century?,” </w:t>
      </w:r>
      <w:r w:rsidRPr="00181ECB">
        <w:rPr>
          <w:rFonts w:ascii="Garamond" w:hAnsi="Garamond"/>
          <w:i/>
          <w:iCs/>
          <w:sz w:val="20"/>
          <w:szCs w:val="20"/>
        </w:rPr>
        <w:t>Le Moyen Age</w:t>
      </w:r>
      <w:r w:rsidRPr="00181ECB">
        <w:rPr>
          <w:rFonts w:ascii="Garamond" w:hAnsi="Garamond"/>
          <w:sz w:val="20"/>
          <w:szCs w:val="20"/>
        </w:rPr>
        <w:t>, CXVII (2011/13): 487-506.</w:t>
      </w:r>
    </w:p>
  </w:footnote>
  <w:footnote w:id="70">
    <w:p w14:paraId="4FEE146C" w14:textId="144F62FB" w:rsidR="00637EBA" w:rsidRPr="00181ECB" w:rsidRDefault="00637EBA" w:rsidP="003970E3">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TNA DL 28/1/11, 21. </w:t>
      </w:r>
    </w:p>
  </w:footnote>
  <w:footnote w:id="71">
    <w:p w14:paraId="7B9247FA" w14:textId="334ED956" w:rsidR="00637EBA" w:rsidRPr="00181ECB" w:rsidRDefault="00637EBA" w:rsidP="003970E3">
      <w:pPr>
        <w:pStyle w:val="FootnoteText"/>
        <w:tabs>
          <w:tab w:val="left" w:pos="709"/>
        </w:tabs>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TNA DL 28/1/11; </w:t>
      </w:r>
      <w:r w:rsidR="00D115D3" w:rsidRPr="00181ECB">
        <w:rPr>
          <w:rFonts w:ascii="Garamond" w:hAnsi="Garamond"/>
          <w:sz w:val="20"/>
          <w:szCs w:val="20"/>
        </w:rPr>
        <w:t>Myers</w:t>
      </w:r>
      <w:r w:rsidRPr="00181ECB">
        <w:rPr>
          <w:rFonts w:ascii="Garamond" w:hAnsi="Garamond"/>
          <w:sz w:val="20"/>
          <w:szCs w:val="20"/>
        </w:rPr>
        <w:t>,</w:t>
      </w:r>
      <w:r w:rsidR="00D115D3" w:rsidRPr="00181ECB">
        <w:rPr>
          <w:rFonts w:ascii="Garamond" w:hAnsi="Garamond"/>
          <w:sz w:val="20"/>
          <w:szCs w:val="20"/>
        </w:rPr>
        <w:t xml:space="preserve"> ed.</w:t>
      </w:r>
      <w:r w:rsidRPr="00181ECB">
        <w:rPr>
          <w:rFonts w:ascii="Garamond" w:hAnsi="Garamond"/>
          <w:sz w:val="20"/>
          <w:szCs w:val="20"/>
        </w:rPr>
        <w:t xml:space="preserve"> </w:t>
      </w:r>
      <w:r w:rsidRPr="00181ECB">
        <w:rPr>
          <w:rFonts w:ascii="Garamond" w:hAnsi="Garamond"/>
          <w:i/>
          <w:sz w:val="20"/>
          <w:szCs w:val="20"/>
        </w:rPr>
        <w:t xml:space="preserve">The Household of Queen Margaret of Anjou, </w:t>
      </w:r>
      <w:r w:rsidRPr="00181ECB">
        <w:rPr>
          <w:rFonts w:ascii="Garamond" w:hAnsi="Garamond"/>
          <w:sz w:val="20"/>
          <w:szCs w:val="20"/>
        </w:rPr>
        <w:t xml:space="preserve">416-17. </w:t>
      </w:r>
    </w:p>
  </w:footnote>
  <w:footnote w:id="72">
    <w:p w14:paraId="35E02C5F" w14:textId="1ABB59B5" w:rsidR="00637EBA" w:rsidRPr="00181ECB" w:rsidRDefault="00637EBA" w:rsidP="003970E3">
      <w:pPr>
        <w:pStyle w:val="FootnoteText"/>
        <w:tabs>
          <w:tab w:val="left" w:pos="709"/>
        </w:tabs>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TNA DL 28/1/11.</w:t>
      </w:r>
    </w:p>
  </w:footnote>
  <w:footnote w:id="73">
    <w:p w14:paraId="7412F760" w14:textId="30324AD9" w:rsidR="00637EBA" w:rsidRPr="00181ECB" w:rsidRDefault="00637EBA" w:rsidP="003970E3">
      <w:pPr>
        <w:pStyle w:val="FootnoteText"/>
        <w:tabs>
          <w:tab w:val="left" w:pos="709"/>
        </w:tabs>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TNA DL 28/1/11, 34. </w:t>
      </w:r>
    </w:p>
  </w:footnote>
  <w:footnote w:id="74">
    <w:p w14:paraId="28A45960" w14:textId="2E70A309" w:rsidR="00637EBA" w:rsidRPr="00181ECB" w:rsidRDefault="00637EBA" w:rsidP="00434592">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TNA DL 28/1/11.</w:t>
      </w:r>
    </w:p>
  </w:footnote>
  <w:footnote w:id="75">
    <w:p w14:paraId="486365D8" w14:textId="3122FDFF" w:rsidR="00637EBA" w:rsidRPr="00181ECB" w:rsidRDefault="00637EB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Oliver Creighton, </w:t>
      </w:r>
      <w:r w:rsidR="00D115D3" w:rsidRPr="00181ECB">
        <w:rPr>
          <w:rFonts w:ascii="Garamond" w:hAnsi="Garamond"/>
          <w:i/>
          <w:iCs/>
          <w:sz w:val="20"/>
          <w:szCs w:val="20"/>
        </w:rPr>
        <w:t xml:space="preserve">Designs Upon the Land: </w:t>
      </w:r>
      <w:r w:rsidR="009E3C86" w:rsidRPr="00181ECB">
        <w:rPr>
          <w:rFonts w:ascii="Garamond" w:hAnsi="Garamond"/>
          <w:i/>
          <w:iCs/>
          <w:sz w:val="20"/>
          <w:szCs w:val="20"/>
        </w:rPr>
        <w:t>Elite Landscapes of the Middle Ages</w:t>
      </w:r>
      <w:r w:rsidR="009E3C86" w:rsidRPr="00181ECB">
        <w:rPr>
          <w:rFonts w:ascii="Garamond" w:hAnsi="Garamond"/>
          <w:sz w:val="20"/>
          <w:szCs w:val="20"/>
        </w:rPr>
        <w:t xml:space="preserve"> (Woodbridge</w:t>
      </w:r>
      <w:r w:rsidR="002C7965" w:rsidRPr="00181ECB">
        <w:rPr>
          <w:rFonts w:ascii="Garamond" w:hAnsi="Garamond"/>
          <w:sz w:val="20"/>
          <w:szCs w:val="20"/>
        </w:rPr>
        <w:t xml:space="preserve">: </w:t>
      </w:r>
      <w:r w:rsidR="009E3C86" w:rsidRPr="00181ECB">
        <w:rPr>
          <w:rFonts w:ascii="Garamond" w:hAnsi="Garamond"/>
          <w:sz w:val="20"/>
          <w:szCs w:val="20"/>
        </w:rPr>
        <w:t>The Boydell Press, 2009), 106-109.</w:t>
      </w:r>
    </w:p>
  </w:footnote>
  <w:footnote w:id="76">
    <w:p w14:paraId="1B859F76" w14:textId="75987C72" w:rsidR="00637EBA" w:rsidRPr="00181ECB" w:rsidRDefault="00637EB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TNA DL 28/1/11, 23, 24. </w:t>
      </w:r>
    </w:p>
  </w:footnote>
  <w:footnote w:id="77">
    <w:p w14:paraId="0497240F" w14:textId="4EED7D9E" w:rsidR="00637EBA" w:rsidRPr="00181ECB" w:rsidRDefault="00637EBA" w:rsidP="00DB1988">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TNA DL 28/1/11, 20v, 30. </w:t>
      </w:r>
    </w:p>
  </w:footnote>
  <w:footnote w:id="78">
    <w:p w14:paraId="3F875EA3" w14:textId="39EF7CA3" w:rsidR="00637EBA" w:rsidRPr="00181ECB" w:rsidRDefault="00637EB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Stephen Mileson, </w:t>
      </w:r>
      <w:r w:rsidRPr="00181ECB">
        <w:rPr>
          <w:rFonts w:ascii="Garamond" w:hAnsi="Garamond"/>
          <w:i/>
          <w:iCs/>
          <w:sz w:val="20"/>
          <w:szCs w:val="20"/>
        </w:rPr>
        <w:t>Parks in Medieval England</w:t>
      </w:r>
      <w:r w:rsidRPr="00181ECB">
        <w:rPr>
          <w:rFonts w:ascii="Garamond" w:hAnsi="Garamond"/>
          <w:sz w:val="20"/>
          <w:szCs w:val="20"/>
        </w:rPr>
        <w:t xml:space="preserve"> (Oxford: Oxford University Press, 2009), 102. </w:t>
      </w:r>
    </w:p>
  </w:footnote>
  <w:footnote w:id="79">
    <w:p w14:paraId="1E80C5B9" w14:textId="315F0F4C" w:rsidR="0053778A" w:rsidRPr="00181ECB" w:rsidRDefault="0053778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Amanda Richardson, “Riding like Alexander, Hunting like Diana: Gendered Aspects of the Medieval Hunt and its Landscape Settings in England and France,” </w:t>
      </w:r>
      <w:r w:rsidRPr="00181ECB">
        <w:rPr>
          <w:rFonts w:ascii="Garamond" w:hAnsi="Garamond"/>
          <w:i/>
          <w:iCs/>
          <w:sz w:val="20"/>
          <w:szCs w:val="20"/>
        </w:rPr>
        <w:t>Gender &amp; History</w:t>
      </w:r>
      <w:r w:rsidRPr="00181ECB">
        <w:rPr>
          <w:rFonts w:ascii="Garamond" w:hAnsi="Garamond"/>
          <w:sz w:val="20"/>
          <w:szCs w:val="20"/>
        </w:rPr>
        <w:t xml:space="preserve"> 24, no. 2 (August 2012): 253-270, at 260. </w:t>
      </w:r>
    </w:p>
  </w:footnote>
  <w:footnote w:id="80">
    <w:p w14:paraId="46B5C314" w14:textId="1F089114" w:rsidR="00637EBA" w:rsidRPr="00181ECB" w:rsidRDefault="00637EBA" w:rsidP="00AC64E2">
      <w:pPr>
        <w:pStyle w:val="FootnoteText"/>
        <w:tabs>
          <w:tab w:val="left" w:pos="709"/>
        </w:tabs>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Richardson, “Greenwich’s first Royal Landscape,” 53. For a discussion of Eleanor’s management of Greenwich see Sally Fisher ““All my frendys fro me thei flee”: The Disgraced and Unstable Household of Eleanor, Duchess of Gloucester,” in </w:t>
      </w:r>
      <w:r w:rsidRPr="00181ECB">
        <w:rPr>
          <w:rFonts w:ascii="Garamond" w:hAnsi="Garamond"/>
          <w:i/>
          <w:iCs/>
          <w:sz w:val="20"/>
          <w:szCs w:val="20"/>
        </w:rPr>
        <w:t>Royal and Elite Households in Medieval and Early Modern Europe: More than just a Castle</w:t>
      </w:r>
      <w:r w:rsidRPr="00181ECB">
        <w:rPr>
          <w:rFonts w:ascii="Garamond" w:hAnsi="Garamond"/>
          <w:sz w:val="20"/>
          <w:szCs w:val="20"/>
        </w:rPr>
        <w:t xml:space="preserve">, ed. Theresa Earenfight (Leiden: Brill, 2018), 142-168. </w:t>
      </w:r>
    </w:p>
  </w:footnote>
  <w:footnote w:id="81">
    <w:p w14:paraId="3899B57B" w14:textId="08146C37" w:rsidR="00E56BE4" w:rsidRPr="00181ECB" w:rsidRDefault="00E56BE4">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Seven of Margaret’s letters deal exclusively with hunting concerns. See Helen Maurer and B. M. Cron, eds. </w:t>
      </w:r>
      <w:r w:rsidRPr="00181ECB">
        <w:rPr>
          <w:rFonts w:ascii="Garamond" w:hAnsi="Garamond"/>
          <w:i/>
          <w:iCs/>
          <w:sz w:val="20"/>
          <w:szCs w:val="20"/>
        </w:rPr>
        <w:t>The Letters of Margaret of Anjou</w:t>
      </w:r>
      <w:r w:rsidRPr="00181ECB">
        <w:rPr>
          <w:rFonts w:ascii="Garamond" w:hAnsi="Garamond"/>
          <w:sz w:val="20"/>
          <w:szCs w:val="20"/>
        </w:rPr>
        <w:t xml:space="preserve"> (Woodbridge: Boydell &amp; Brewer, 2019) </w:t>
      </w:r>
      <w:r w:rsidR="00BB3D25" w:rsidRPr="00181ECB">
        <w:rPr>
          <w:rFonts w:ascii="Garamond" w:hAnsi="Garamond"/>
          <w:sz w:val="20"/>
          <w:szCs w:val="20"/>
        </w:rPr>
        <w:t>158-</w:t>
      </w:r>
      <w:r w:rsidRPr="00181ECB">
        <w:rPr>
          <w:rFonts w:ascii="Garamond" w:hAnsi="Garamond"/>
          <w:sz w:val="20"/>
          <w:szCs w:val="20"/>
        </w:rPr>
        <w:t>1</w:t>
      </w:r>
      <w:r w:rsidR="00BB3D25" w:rsidRPr="00181ECB">
        <w:rPr>
          <w:rFonts w:ascii="Garamond" w:hAnsi="Garamond"/>
          <w:sz w:val="20"/>
          <w:szCs w:val="20"/>
        </w:rPr>
        <w:t>70</w:t>
      </w:r>
      <w:r w:rsidRPr="00181ECB">
        <w:rPr>
          <w:rFonts w:ascii="Garamond" w:hAnsi="Garamond"/>
          <w:sz w:val="20"/>
          <w:szCs w:val="20"/>
        </w:rPr>
        <w:t>.</w:t>
      </w:r>
    </w:p>
  </w:footnote>
  <w:footnote w:id="82">
    <w:p w14:paraId="4AB1B760" w14:textId="65D822CF" w:rsidR="00637EBA" w:rsidRPr="00181ECB" w:rsidRDefault="00637EBA" w:rsidP="00AE47CC">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00E56BE4" w:rsidRPr="00181ECB">
        <w:rPr>
          <w:rFonts w:ascii="Garamond" w:hAnsi="Garamond"/>
          <w:i/>
          <w:iCs/>
          <w:sz w:val="20"/>
          <w:szCs w:val="20"/>
        </w:rPr>
        <w:t>Ibid</w:t>
      </w:r>
      <w:r w:rsidR="00E56BE4" w:rsidRPr="00181ECB">
        <w:rPr>
          <w:rFonts w:ascii="Garamond" w:hAnsi="Garamond"/>
          <w:sz w:val="20"/>
          <w:szCs w:val="20"/>
        </w:rPr>
        <w:t xml:space="preserve">., </w:t>
      </w:r>
      <w:r w:rsidR="009A5B7A" w:rsidRPr="00181ECB">
        <w:rPr>
          <w:rFonts w:ascii="Garamond" w:hAnsi="Garamond"/>
          <w:sz w:val="20"/>
          <w:szCs w:val="20"/>
        </w:rPr>
        <w:t>16</w:t>
      </w:r>
      <w:r w:rsidR="0023219D" w:rsidRPr="00181ECB">
        <w:rPr>
          <w:rFonts w:ascii="Garamond" w:hAnsi="Garamond"/>
          <w:sz w:val="20"/>
          <w:szCs w:val="20"/>
        </w:rPr>
        <w:t>6</w:t>
      </w:r>
      <w:r w:rsidRPr="00181ECB">
        <w:rPr>
          <w:rFonts w:ascii="Garamond" w:hAnsi="Garamond"/>
          <w:sz w:val="20"/>
          <w:szCs w:val="20"/>
        </w:rPr>
        <w:t>.</w:t>
      </w:r>
    </w:p>
  </w:footnote>
  <w:footnote w:id="83">
    <w:p w14:paraId="1ED4B47F" w14:textId="1C1B448C" w:rsidR="00637EBA" w:rsidRPr="00181ECB" w:rsidRDefault="00637EBA" w:rsidP="00AE47CC">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Pr="00181ECB">
        <w:rPr>
          <w:rFonts w:ascii="Garamond" w:hAnsi="Garamond"/>
          <w:i/>
          <w:iCs/>
          <w:sz w:val="20"/>
          <w:szCs w:val="20"/>
        </w:rPr>
        <w:t>Ibid</w:t>
      </w:r>
      <w:r w:rsidR="0023219D" w:rsidRPr="00181ECB">
        <w:rPr>
          <w:rFonts w:ascii="Garamond" w:hAnsi="Garamond"/>
          <w:i/>
          <w:iCs/>
          <w:sz w:val="20"/>
          <w:szCs w:val="20"/>
        </w:rPr>
        <w:t>.</w:t>
      </w:r>
      <w:r w:rsidR="0023219D" w:rsidRPr="00181ECB">
        <w:rPr>
          <w:rFonts w:ascii="Garamond" w:hAnsi="Garamond"/>
          <w:sz w:val="20"/>
          <w:szCs w:val="20"/>
        </w:rPr>
        <w:t>, 166</w:t>
      </w:r>
      <w:r w:rsidRPr="00181ECB">
        <w:rPr>
          <w:rFonts w:ascii="Garamond" w:hAnsi="Garamond"/>
          <w:i/>
          <w:iCs/>
          <w:sz w:val="20"/>
          <w:szCs w:val="20"/>
        </w:rPr>
        <w:t>.</w:t>
      </w:r>
      <w:r w:rsidRPr="00181ECB">
        <w:rPr>
          <w:rFonts w:ascii="Garamond" w:hAnsi="Garamond"/>
          <w:sz w:val="20"/>
          <w:szCs w:val="20"/>
        </w:rPr>
        <w:t xml:space="preserve"> </w:t>
      </w:r>
    </w:p>
  </w:footnote>
  <w:footnote w:id="84">
    <w:p w14:paraId="611D1EB6" w14:textId="68BFAB4B" w:rsidR="00637EBA" w:rsidRPr="00181ECB" w:rsidRDefault="00637EBA" w:rsidP="00AE47CC">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Pr="00181ECB">
        <w:rPr>
          <w:rFonts w:ascii="Garamond" w:hAnsi="Garamond"/>
          <w:i/>
          <w:iCs/>
          <w:sz w:val="20"/>
          <w:szCs w:val="20"/>
        </w:rPr>
        <w:t>Ibid</w:t>
      </w:r>
      <w:r w:rsidR="0023219D" w:rsidRPr="00181ECB">
        <w:rPr>
          <w:rFonts w:ascii="Garamond" w:hAnsi="Garamond"/>
          <w:i/>
          <w:iCs/>
          <w:sz w:val="20"/>
          <w:szCs w:val="20"/>
        </w:rPr>
        <w:t>.</w:t>
      </w:r>
      <w:r w:rsidRPr="00181ECB">
        <w:rPr>
          <w:rFonts w:ascii="Garamond" w:hAnsi="Garamond"/>
          <w:sz w:val="20"/>
          <w:szCs w:val="20"/>
        </w:rPr>
        <w:t>, 1</w:t>
      </w:r>
      <w:r w:rsidR="0023219D" w:rsidRPr="00181ECB">
        <w:rPr>
          <w:rFonts w:ascii="Garamond" w:hAnsi="Garamond"/>
          <w:sz w:val="20"/>
          <w:szCs w:val="20"/>
        </w:rPr>
        <w:t>62</w:t>
      </w:r>
      <w:r w:rsidRPr="00181ECB">
        <w:rPr>
          <w:rFonts w:ascii="Garamond" w:hAnsi="Garamond"/>
          <w:sz w:val="20"/>
          <w:szCs w:val="20"/>
        </w:rPr>
        <w:t>.</w:t>
      </w:r>
    </w:p>
  </w:footnote>
  <w:footnote w:id="85">
    <w:p w14:paraId="35301D43" w14:textId="6250AEE0" w:rsidR="00637EBA" w:rsidRPr="00181ECB" w:rsidRDefault="00637EBA" w:rsidP="00AE47CC">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0023219D" w:rsidRPr="00181ECB">
        <w:rPr>
          <w:rFonts w:ascii="Garamond" w:hAnsi="Garamond"/>
          <w:i/>
          <w:iCs/>
          <w:sz w:val="20"/>
          <w:szCs w:val="20"/>
        </w:rPr>
        <w:t>Ibid.</w:t>
      </w:r>
      <w:r w:rsidR="0023219D" w:rsidRPr="00181ECB">
        <w:rPr>
          <w:rFonts w:ascii="Garamond" w:hAnsi="Garamond"/>
          <w:sz w:val="20"/>
          <w:szCs w:val="20"/>
        </w:rPr>
        <w:t xml:space="preserve">, </w:t>
      </w:r>
      <w:r w:rsidR="009A5B7A" w:rsidRPr="00181ECB">
        <w:rPr>
          <w:rFonts w:ascii="Garamond" w:hAnsi="Garamond"/>
          <w:sz w:val="20"/>
          <w:szCs w:val="20"/>
        </w:rPr>
        <w:t>161</w:t>
      </w:r>
      <w:r w:rsidR="0023219D" w:rsidRPr="00181ECB">
        <w:rPr>
          <w:rFonts w:ascii="Garamond" w:hAnsi="Garamond"/>
          <w:sz w:val="20"/>
          <w:szCs w:val="20"/>
        </w:rPr>
        <w:t>.</w:t>
      </w:r>
    </w:p>
  </w:footnote>
  <w:footnote w:id="86">
    <w:p w14:paraId="0030D640" w14:textId="07BDBA92" w:rsidR="00610859" w:rsidRPr="00181ECB" w:rsidRDefault="00610859">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0053778A" w:rsidRPr="00181ECB">
        <w:rPr>
          <w:rFonts w:ascii="Garamond" w:hAnsi="Garamond"/>
          <w:sz w:val="20"/>
          <w:szCs w:val="20"/>
        </w:rPr>
        <w:t xml:space="preserve">Richardson, “Riding like Alexander,” 260. </w:t>
      </w:r>
    </w:p>
  </w:footnote>
  <w:footnote w:id="87">
    <w:p w14:paraId="346F9DE9" w14:textId="6B720479" w:rsidR="00637EBA" w:rsidRPr="00181ECB" w:rsidRDefault="00637EBA" w:rsidP="00F60079">
      <w:pPr>
        <w:pStyle w:val="FootnoteText"/>
        <w:tabs>
          <w:tab w:val="left" w:pos="709"/>
        </w:tabs>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Gilchrist, </w:t>
      </w:r>
      <w:r w:rsidRPr="00181ECB">
        <w:rPr>
          <w:rFonts w:ascii="Garamond" w:hAnsi="Garamond"/>
          <w:i/>
          <w:sz w:val="20"/>
          <w:szCs w:val="20"/>
        </w:rPr>
        <w:t>Gender and Archaeology</w:t>
      </w:r>
      <w:r w:rsidRPr="00181ECB">
        <w:rPr>
          <w:rFonts w:ascii="Garamond" w:hAnsi="Garamond"/>
          <w:sz w:val="20"/>
          <w:szCs w:val="20"/>
        </w:rPr>
        <w:t xml:space="preserve">, 112. </w:t>
      </w:r>
    </w:p>
  </w:footnote>
  <w:footnote w:id="88">
    <w:p w14:paraId="11DF5175" w14:textId="2E3CB128" w:rsidR="00637EBA" w:rsidRPr="00181ECB" w:rsidRDefault="00637EBA" w:rsidP="00AE47CC">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Richardson, “Riding like Alexander”, 262. </w:t>
      </w:r>
    </w:p>
  </w:footnote>
  <w:footnote w:id="89">
    <w:p w14:paraId="3F44BF3C" w14:textId="7A36D6B3" w:rsidR="00637EBA" w:rsidRPr="00181ECB" w:rsidRDefault="00637EBA" w:rsidP="00AE47CC">
      <w:pPr>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 M. Ormrod, “In Bed with Joan of Kent</w:t>
      </w:r>
      <w:r w:rsidR="000D00E5" w:rsidRPr="00181ECB">
        <w:rPr>
          <w:rFonts w:ascii="Garamond" w:hAnsi="Garamond"/>
          <w:sz w:val="20"/>
          <w:szCs w:val="20"/>
        </w:rPr>
        <w:t>: The King’s Mother and the Peasants’ Revolt,</w:t>
      </w:r>
      <w:r w:rsidRPr="00181ECB">
        <w:rPr>
          <w:rFonts w:ascii="Garamond" w:hAnsi="Garamond"/>
          <w:sz w:val="20"/>
          <w:szCs w:val="20"/>
        </w:rPr>
        <w:t>”</w:t>
      </w:r>
      <w:r w:rsidR="000D00E5" w:rsidRPr="00181ECB">
        <w:rPr>
          <w:rFonts w:ascii="Garamond" w:hAnsi="Garamond"/>
          <w:sz w:val="20"/>
          <w:szCs w:val="20"/>
        </w:rPr>
        <w:t xml:space="preserve"> in </w:t>
      </w:r>
      <w:r w:rsidR="000D00E5" w:rsidRPr="00181ECB">
        <w:rPr>
          <w:rFonts w:ascii="Garamond" w:hAnsi="Garamond"/>
          <w:i/>
          <w:iCs/>
          <w:sz w:val="20"/>
          <w:szCs w:val="20"/>
        </w:rPr>
        <w:t xml:space="preserve">Medieval Women: Texts and Contexts in Late Medieval Britain: Essays for Felicity Riddy </w:t>
      </w:r>
      <w:r w:rsidR="000D00E5" w:rsidRPr="00181ECB">
        <w:rPr>
          <w:rFonts w:ascii="Garamond" w:hAnsi="Garamond"/>
          <w:sz w:val="20"/>
          <w:szCs w:val="20"/>
        </w:rPr>
        <w:t>(Turnhout: Brepols, 2000), 277-292, at</w:t>
      </w:r>
      <w:r w:rsidRPr="00181ECB">
        <w:rPr>
          <w:rFonts w:ascii="Garamond" w:hAnsi="Garamond"/>
          <w:sz w:val="20"/>
          <w:szCs w:val="20"/>
        </w:rPr>
        <w:t xml:space="preserve"> 287. </w:t>
      </w:r>
    </w:p>
  </w:footnote>
  <w:footnote w:id="90">
    <w:p w14:paraId="4B693072" w14:textId="0DB8AF28" w:rsidR="00637EBA" w:rsidRPr="00181ECB" w:rsidRDefault="00637EBA" w:rsidP="00AE47CC">
      <w:pPr>
        <w:pStyle w:val="FootnoteText"/>
        <w:jc w:val="both"/>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w:t>
      </w:r>
      <w:r w:rsidRPr="00181ECB">
        <w:rPr>
          <w:rFonts w:ascii="Garamond" w:hAnsi="Garamond"/>
          <w:i/>
          <w:iCs/>
          <w:sz w:val="20"/>
          <w:szCs w:val="20"/>
        </w:rPr>
        <w:t>Ibid</w:t>
      </w:r>
      <w:r w:rsidRPr="00181ECB">
        <w:rPr>
          <w:rFonts w:ascii="Garamond" w:hAnsi="Garamond"/>
          <w:sz w:val="20"/>
          <w:szCs w:val="20"/>
        </w:rPr>
        <w:t xml:space="preserve">., 282-5. </w:t>
      </w:r>
    </w:p>
  </w:footnote>
  <w:footnote w:id="91">
    <w:p w14:paraId="7CDBF3FE" w14:textId="3518D091" w:rsidR="0053778A" w:rsidRPr="00181ECB" w:rsidRDefault="0053778A">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Nicola Clark, “Queen Katherine Howard: Space, and Promiscuity Pre- and Post- Marriage, 1536-1541,” </w:t>
      </w:r>
      <w:r w:rsidRPr="00181ECB">
        <w:rPr>
          <w:rFonts w:ascii="Garamond" w:hAnsi="Garamond"/>
          <w:i/>
          <w:iCs/>
          <w:sz w:val="20"/>
          <w:szCs w:val="20"/>
        </w:rPr>
        <w:t>Royal Studies Journal</w:t>
      </w:r>
      <w:r w:rsidRPr="00181ECB">
        <w:rPr>
          <w:rFonts w:ascii="Garamond" w:hAnsi="Garamond"/>
          <w:sz w:val="20"/>
          <w:szCs w:val="20"/>
        </w:rPr>
        <w:t xml:space="preserve"> 6, no. 2 (2019): 89-103. </w:t>
      </w:r>
    </w:p>
  </w:footnote>
  <w:footnote w:id="92">
    <w:p w14:paraId="580A9A80" w14:textId="25C6DF7B" w:rsidR="00584495" w:rsidRPr="00181ECB" w:rsidRDefault="00584495" w:rsidP="00584495">
      <w:pPr>
        <w:pStyle w:val="FootnoteText"/>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Zita Rohr, “Rocking the Cradle and Ruling the World</w:t>
      </w:r>
      <w:r w:rsidR="00E950F2" w:rsidRPr="00181ECB">
        <w:rPr>
          <w:rFonts w:ascii="Garamond" w:hAnsi="Garamond"/>
          <w:sz w:val="20"/>
          <w:szCs w:val="20"/>
        </w:rPr>
        <w:t>,</w:t>
      </w:r>
      <w:r w:rsidR="00E31CDD" w:rsidRPr="00181ECB">
        <w:rPr>
          <w:rFonts w:ascii="Garamond" w:hAnsi="Garamond"/>
          <w:sz w:val="20"/>
          <w:szCs w:val="20"/>
        </w:rPr>
        <w:t>”</w:t>
      </w:r>
      <w:r w:rsidR="00E950F2" w:rsidRPr="00181ECB">
        <w:rPr>
          <w:rFonts w:ascii="Garamond" w:hAnsi="Garamond"/>
          <w:sz w:val="20"/>
          <w:szCs w:val="20"/>
        </w:rPr>
        <w:t xml:space="preserve"> 310. </w:t>
      </w:r>
      <w:r w:rsidRPr="00181ECB">
        <w:rPr>
          <w:rFonts w:ascii="Garamond" w:hAnsi="Garamond"/>
          <w:sz w:val="20"/>
          <w:szCs w:val="20"/>
        </w:rPr>
        <w:t xml:space="preserve"> </w:t>
      </w:r>
    </w:p>
  </w:footnote>
  <w:footnote w:id="93">
    <w:p w14:paraId="69950DA2" w14:textId="2C490A1A" w:rsidR="00637EBA" w:rsidRPr="00181ECB" w:rsidRDefault="00637EBA" w:rsidP="00966DB2">
      <w:pPr>
        <w:pStyle w:val="FootnoteText"/>
        <w:ind w:left="142" w:hanging="142"/>
        <w:rPr>
          <w:rFonts w:ascii="Garamond" w:hAnsi="Garamond"/>
          <w:sz w:val="20"/>
          <w:szCs w:val="20"/>
        </w:rPr>
      </w:pPr>
      <w:r w:rsidRPr="00181ECB">
        <w:rPr>
          <w:rStyle w:val="FootnoteReference"/>
          <w:rFonts w:ascii="Garamond" w:hAnsi="Garamond"/>
          <w:sz w:val="20"/>
          <w:szCs w:val="20"/>
        </w:rPr>
        <w:footnoteRef/>
      </w:r>
      <w:r w:rsidRPr="00181ECB">
        <w:rPr>
          <w:rFonts w:ascii="Garamond" w:hAnsi="Garamond"/>
          <w:sz w:val="20"/>
          <w:szCs w:val="20"/>
        </w:rPr>
        <w:t xml:space="preserve"> Bourocher, “Queen Marie of Anjou</w:t>
      </w:r>
      <w:r w:rsidR="00CD41D2" w:rsidRPr="00181ECB">
        <w:rPr>
          <w:rFonts w:ascii="Garamond" w:hAnsi="Garamond"/>
          <w:sz w:val="20"/>
          <w:szCs w:val="20"/>
        </w:rPr>
        <w:t>”</w:t>
      </w:r>
      <w:r w:rsidR="00E53D98" w:rsidRPr="00181ECB">
        <w:rPr>
          <w:rFonts w:ascii="Garamond" w:hAnsi="Garamond"/>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22E34"/>
    <w:multiLevelType w:val="hybridMultilevel"/>
    <w:tmpl w:val="66C28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A6"/>
    <w:rsid w:val="00000929"/>
    <w:rsid w:val="00007E67"/>
    <w:rsid w:val="00010E8F"/>
    <w:rsid w:val="000124FC"/>
    <w:rsid w:val="000125B4"/>
    <w:rsid w:val="00013A15"/>
    <w:rsid w:val="00013CD4"/>
    <w:rsid w:val="00015146"/>
    <w:rsid w:val="00024C93"/>
    <w:rsid w:val="00025BB8"/>
    <w:rsid w:val="00025D2C"/>
    <w:rsid w:val="000267CC"/>
    <w:rsid w:val="00031790"/>
    <w:rsid w:val="00033F33"/>
    <w:rsid w:val="000350DE"/>
    <w:rsid w:val="000467BB"/>
    <w:rsid w:val="0006074B"/>
    <w:rsid w:val="000649F4"/>
    <w:rsid w:val="00064AB0"/>
    <w:rsid w:val="00065A9B"/>
    <w:rsid w:val="00066A38"/>
    <w:rsid w:val="00071388"/>
    <w:rsid w:val="00072702"/>
    <w:rsid w:val="00073279"/>
    <w:rsid w:val="00074E67"/>
    <w:rsid w:val="00080681"/>
    <w:rsid w:val="00082EAD"/>
    <w:rsid w:val="00083C35"/>
    <w:rsid w:val="0008507F"/>
    <w:rsid w:val="00090294"/>
    <w:rsid w:val="000910AD"/>
    <w:rsid w:val="000951CF"/>
    <w:rsid w:val="0009682D"/>
    <w:rsid w:val="000A0F1B"/>
    <w:rsid w:val="000A27CF"/>
    <w:rsid w:val="000A4875"/>
    <w:rsid w:val="000A50F7"/>
    <w:rsid w:val="000A68BB"/>
    <w:rsid w:val="000A7A57"/>
    <w:rsid w:val="000B016E"/>
    <w:rsid w:val="000B770A"/>
    <w:rsid w:val="000C319F"/>
    <w:rsid w:val="000C4786"/>
    <w:rsid w:val="000C4959"/>
    <w:rsid w:val="000C6D74"/>
    <w:rsid w:val="000C75B2"/>
    <w:rsid w:val="000D00E5"/>
    <w:rsid w:val="000D0710"/>
    <w:rsid w:val="000D0B6E"/>
    <w:rsid w:val="000D4A0B"/>
    <w:rsid w:val="000D70B2"/>
    <w:rsid w:val="000D7104"/>
    <w:rsid w:val="000E10D3"/>
    <w:rsid w:val="000E2D09"/>
    <w:rsid w:val="000E70CA"/>
    <w:rsid w:val="000F1B44"/>
    <w:rsid w:val="000F1F06"/>
    <w:rsid w:val="000F3308"/>
    <w:rsid w:val="000F47B5"/>
    <w:rsid w:val="000F6911"/>
    <w:rsid w:val="00104049"/>
    <w:rsid w:val="00104C19"/>
    <w:rsid w:val="001051DB"/>
    <w:rsid w:val="00107199"/>
    <w:rsid w:val="001104BA"/>
    <w:rsid w:val="001123B1"/>
    <w:rsid w:val="00115D13"/>
    <w:rsid w:val="0011637B"/>
    <w:rsid w:val="001171D5"/>
    <w:rsid w:val="00117556"/>
    <w:rsid w:val="00117D00"/>
    <w:rsid w:val="00121F44"/>
    <w:rsid w:val="001234B1"/>
    <w:rsid w:val="00124A38"/>
    <w:rsid w:val="0013286D"/>
    <w:rsid w:val="00140429"/>
    <w:rsid w:val="00141FF8"/>
    <w:rsid w:val="001435F3"/>
    <w:rsid w:val="00144486"/>
    <w:rsid w:val="0014451C"/>
    <w:rsid w:val="00144B4F"/>
    <w:rsid w:val="00146EB4"/>
    <w:rsid w:val="00147E6D"/>
    <w:rsid w:val="00153682"/>
    <w:rsid w:val="001571E3"/>
    <w:rsid w:val="0016024F"/>
    <w:rsid w:val="00163ABD"/>
    <w:rsid w:val="00163F3F"/>
    <w:rsid w:val="00165925"/>
    <w:rsid w:val="00165C0E"/>
    <w:rsid w:val="00166CF0"/>
    <w:rsid w:val="0016777E"/>
    <w:rsid w:val="00167833"/>
    <w:rsid w:val="00172A60"/>
    <w:rsid w:val="00173166"/>
    <w:rsid w:val="0017333E"/>
    <w:rsid w:val="00173F91"/>
    <w:rsid w:val="00180721"/>
    <w:rsid w:val="00181ECB"/>
    <w:rsid w:val="00182D30"/>
    <w:rsid w:val="00182ED0"/>
    <w:rsid w:val="0018559B"/>
    <w:rsid w:val="00190A7E"/>
    <w:rsid w:val="0019163B"/>
    <w:rsid w:val="00192D2A"/>
    <w:rsid w:val="00196437"/>
    <w:rsid w:val="001A4EBE"/>
    <w:rsid w:val="001A6B5B"/>
    <w:rsid w:val="001B3D42"/>
    <w:rsid w:val="001B4F01"/>
    <w:rsid w:val="001B5369"/>
    <w:rsid w:val="001B7049"/>
    <w:rsid w:val="001C3825"/>
    <w:rsid w:val="001C3A53"/>
    <w:rsid w:val="001C4461"/>
    <w:rsid w:val="001C63E4"/>
    <w:rsid w:val="001C6C93"/>
    <w:rsid w:val="001D6833"/>
    <w:rsid w:val="001E1FD0"/>
    <w:rsid w:val="001E719A"/>
    <w:rsid w:val="001F22F9"/>
    <w:rsid w:val="001F2995"/>
    <w:rsid w:val="001F3488"/>
    <w:rsid w:val="001F3A33"/>
    <w:rsid w:val="001F5839"/>
    <w:rsid w:val="001F584A"/>
    <w:rsid w:val="001F6A23"/>
    <w:rsid w:val="001F6B24"/>
    <w:rsid w:val="001F6C83"/>
    <w:rsid w:val="00200D9B"/>
    <w:rsid w:val="00204900"/>
    <w:rsid w:val="002076F9"/>
    <w:rsid w:val="00212B92"/>
    <w:rsid w:val="00212C46"/>
    <w:rsid w:val="0021354F"/>
    <w:rsid w:val="002165D1"/>
    <w:rsid w:val="002259F9"/>
    <w:rsid w:val="00226988"/>
    <w:rsid w:val="00226DCD"/>
    <w:rsid w:val="00231BBE"/>
    <w:rsid w:val="0023219D"/>
    <w:rsid w:val="002330A1"/>
    <w:rsid w:val="0023475C"/>
    <w:rsid w:val="00235395"/>
    <w:rsid w:val="00240BAD"/>
    <w:rsid w:val="002460CE"/>
    <w:rsid w:val="002469D4"/>
    <w:rsid w:val="00247348"/>
    <w:rsid w:val="002516FA"/>
    <w:rsid w:val="002569DF"/>
    <w:rsid w:val="00260671"/>
    <w:rsid w:val="00263F6E"/>
    <w:rsid w:val="00264A71"/>
    <w:rsid w:val="00265CF1"/>
    <w:rsid w:val="00273538"/>
    <w:rsid w:val="00274ACB"/>
    <w:rsid w:val="00282CD7"/>
    <w:rsid w:val="00282DED"/>
    <w:rsid w:val="002833B8"/>
    <w:rsid w:val="0028350E"/>
    <w:rsid w:val="002851E8"/>
    <w:rsid w:val="00285A5E"/>
    <w:rsid w:val="00286084"/>
    <w:rsid w:val="00292CEE"/>
    <w:rsid w:val="002A06A8"/>
    <w:rsid w:val="002A6B8E"/>
    <w:rsid w:val="002A7C16"/>
    <w:rsid w:val="002B1500"/>
    <w:rsid w:val="002B196E"/>
    <w:rsid w:val="002B5445"/>
    <w:rsid w:val="002B75A9"/>
    <w:rsid w:val="002C00C0"/>
    <w:rsid w:val="002C3A3A"/>
    <w:rsid w:val="002C506C"/>
    <w:rsid w:val="002C7965"/>
    <w:rsid w:val="002D334D"/>
    <w:rsid w:val="002D5899"/>
    <w:rsid w:val="002D6138"/>
    <w:rsid w:val="002E0469"/>
    <w:rsid w:val="002E23A5"/>
    <w:rsid w:val="002E35AF"/>
    <w:rsid w:val="002E4BBB"/>
    <w:rsid w:val="002E4D5F"/>
    <w:rsid w:val="002F2273"/>
    <w:rsid w:val="002F3C3E"/>
    <w:rsid w:val="002F46A9"/>
    <w:rsid w:val="002F559C"/>
    <w:rsid w:val="003003AE"/>
    <w:rsid w:val="003003B0"/>
    <w:rsid w:val="00304AB3"/>
    <w:rsid w:val="00305D48"/>
    <w:rsid w:val="00310021"/>
    <w:rsid w:val="00312EDE"/>
    <w:rsid w:val="00313789"/>
    <w:rsid w:val="003139AD"/>
    <w:rsid w:val="0031406E"/>
    <w:rsid w:val="00315422"/>
    <w:rsid w:val="003158D1"/>
    <w:rsid w:val="00316CDE"/>
    <w:rsid w:val="003170D5"/>
    <w:rsid w:val="00320BD6"/>
    <w:rsid w:val="003236F9"/>
    <w:rsid w:val="00330ECB"/>
    <w:rsid w:val="00333C19"/>
    <w:rsid w:val="00333D96"/>
    <w:rsid w:val="00335E12"/>
    <w:rsid w:val="00341905"/>
    <w:rsid w:val="003463A7"/>
    <w:rsid w:val="0035055C"/>
    <w:rsid w:val="00350D53"/>
    <w:rsid w:val="00351EEC"/>
    <w:rsid w:val="00353ADE"/>
    <w:rsid w:val="00356D90"/>
    <w:rsid w:val="003570B6"/>
    <w:rsid w:val="00357D64"/>
    <w:rsid w:val="00360BAC"/>
    <w:rsid w:val="00363662"/>
    <w:rsid w:val="0036651C"/>
    <w:rsid w:val="003725C6"/>
    <w:rsid w:val="0037302C"/>
    <w:rsid w:val="0037494B"/>
    <w:rsid w:val="00376383"/>
    <w:rsid w:val="003764BA"/>
    <w:rsid w:val="00376A92"/>
    <w:rsid w:val="0038383A"/>
    <w:rsid w:val="003941CF"/>
    <w:rsid w:val="00394A85"/>
    <w:rsid w:val="003970E3"/>
    <w:rsid w:val="0039734F"/>
    <w:rsid w:val="00397A4C"/>
    <w:rsid w:val="003A04FC"/>
    <w:rsid w:val="003A0750"/>
    <w:rsid w:val="003A176C"/>
    <w:rsid w:val="003A2381"/>
    <w:rsid w:val="003A3411"/>
    <w:rsid w:val="003A6943"/>
    <w:rsid w:val="003B0094"/>
    <w:rsid w:val="003B5656"/>
    <w:rsid w:val="003B5CE1"/>
    <w:rsid w:val="003C4887"/>
    <w:rsid w:val="003C4B24"/>
    <w:rsid w:val="003C5C9E"/>
    <w:rsid w:val="003D1278"/>
    <w:rsid w:val="003D33E8"/>
    <w:rsid w:val="003D4E39"/>
    <w:rsid w:val="003D7A4C"/>
    <w:rsid w:val="003E1AE0"/>
    <w:rsid w:val="003E3D2D"/>
    <w:rsid w:val="003E4D23"/>
    <w:rsid w:val="003F149B"/>
    <w:rsid w:val="003F2E02"/>
    <w:rsid w:val="003F329B"/>
    <w:rsid w:val="003F3E87"/>
    <w:rsid w:val="003F6AD7"/>
    <w:rsid w:val="004001BE"/>
    <w:rsid w:val="00401B38"/>
    <w:rsid w:val="00404663"/>
    <w:rsid w:val="00405510"/>
    <w:rsid w:val="00406944"/>
    <w:rsid w:val="00410F22"/>
    <w:rsid w:val="00411DB3"/>
    <w:rsid w:val="004140C6"/>
    <w:rsid w:val="004168A2"/>
    <w:rsid w:val="004330BF"/>
    <w:rsid w:val="00434592"/>
    <w:rsid w:val="00436D4F"/>
    <w:rsid w:val="004373D7"/>
    <w:rsid w:val="00444914"/>
    <w:rsid w:val="00445757"/>
    <w:rsid w:val="00450F64"/>
    <w:rsid w:val="0045127D"/>
    <w:rsid w:val="00451BEB"/>
    <w:rsid w:val="00454976"/>
    <w:rsid w:val="00455C7D"/>
    <w:rsid w:val="0046180C"/>
    <w:rsid w:val="004635FA"/>
    <w:rsid w:val="004644CC"/>
    <w:rsid w:val="00466AF8"/>
    <w:rsid w:val="00471548"/>
    <w:rsid w:val="00471803"/>
    <w:rsid w:val="004819F5"/>
    <w:rsid w:val="004839F3"/>
    <w:rsid w:val="00486151"/>
    <w:rsid w:val="004927DB"/>
    <w:rsid w:val="00492B0D"/>
    <w:rsid w:val="004968B0"/>
    <w:rsid w:val="004A19BB"/>
    <w:rsid w:val="004A1B6A"/>
    <w:rsid w:val="004A5B8B"/>
    <w:rsid w:val="004B1BF2"/>
    <w:rsid w:val="004B21E9"/>
    <w:rsid w:val="004B4254"/>
    <w:rsid w:val="004B549C"/>
    <w:rsid w:val="004B5827"/>
    <w:rsid w:val="004B5892"/>
    <w:rsid w:val="004B7A42"/>
    <w:rsid w:val="004C060D"/>
    <w:rsid w:val="004C6201"/>
    <w:rsid w:val="004C6577"/>
    <w:rsid w:val="004C6D45"/>
    <w:rsid w:val="004D670A"/>
    <w:rsid w:val="004E271D"/>
    <w:rsid w:val="004E2981"/>
    <w:rsid w:val="004E31FD"/>
    <w:rsid w:val="004E75E6"/>
    <w:rsid w:val="004F1F27"/>
    <w:rsid w:val="004F38CB"/>
    <w:rsid w:val="004F4046"/>
    <w:rsid w:val="00505749"/>
    <w:rsid w:val="005100AD"/>
    <w:rsid w:val="005114F4"/>
    <w:rsid w:val="005149BF"/>
    <w:rsid w:val="00520D39"/>
    <w:rsid w:val="00521B13"/>
    <w:rsid w:val="00524F09"/>
    <w:rsid w:val="00527161"/>
    <w:rsid w:val="00533303"/>
    <w:rsid w:val="00533D68"/>
    <w:rsid w:val="0053778A"/>
    <w:rsid w:val="00540FB9"/>
    <w:rsid w:val="00543B4B"/>
    <w:rsid w:val="00543BD5"/>
    <w:rsid w:val="005446C7"/>
    <w:rsid w:val="005506E7"/>
    <w:rsid w:val="00554F61"/>
    <w:rsid w:val="0055629A"/>
    <w:rsid w:val="00557BA9"/>
    <w:rsid w:val="00557F28"/>
    <w:rsid w:val="00561009"/>
    <w:rsid w:val="005640BF"/>
    <w:rsid w:val="0056719E"/>
    <w:rsid w:val="00570D94"/>
    <w:rsid w:val="005712EB"/>
    <w:rsid w:val="0057173A"/>
    <w:rsid w:val="00571FDF"/>
    <w:rsid w:val="005779CD"/>
    <w:rsid w:val="00577C19"/>
    <w:rsid w:val="005801DC"/>
    <w:rsid w:val="005809B0"/>
    <w:rsid w:val="00584495"/>
    <w:rsid w:val="0059018F"/>
    <w:rsid w:val="00590343"/>
    <w:rsid w:val="00594ADD"/>
    <w:rsid w:val="005952AE"/>
    <w:rsid w:val="00596A9F"/>
    <w:rsid w:val="00596ABA"/>
    <w:rsid w:val="005A0CEA"/>
    <w:rsid w:val="005B0ABF"/>
    <w:rsid w:val="005C3148"/>
    <w:rsid w:val="005C548A"/>
    <w:rsid w:val="005D0E10"/>
    <w:rsid w:val="005D1B58"/>
    <w:rsid w:val="005D42B0"/>
    <w:rsid w:val="005D713E"/>
    <w:rsid w:val="005E0E6F"/>
    <w:rsid w:val="005E0E79"/>
    <w:rsid w:val="005E13E4"/>
    <w:rsid w:val="005E2074"/>
    <w:rsid w:val="005E3F53"/>
    <w:rsid w:val="005E5BB8"/>
    <w:rsid w:val="005E7E5B"/>
    <w:rsid w:val="005E7F97"/>
    <w:rsid w:val="005F0597"/>
    <w:rsid w:val="005F06CE"/>
    <w:rsid w:val="006005D4"/>
    <w:rsid w:val="00605066"/>
    <w:rsid w:val="006100E1"/>
    <w:rsid w:val="00610859"/>
    <w:rsid w:val="0061104E"/>
    <w:rsid w:val="0061151F"/>
    <w:rsid w:val="00612C7B"/>
    <w:rsid w:val="00621927"/>
    <w:rsid w:val="00621B69"/>
    <w:rsid w:val="00623C36"/>
    <w:rsid w:val="00625B60"/>
    <w:rsid w:val="006353F5"/>
    <w:rsid w:val="00636F90"/>
    <w:rsid w:val="00637C93"/>
    <w:rsid w:val="00637D23"/>
    <w:rsid w:val="00637EBA"/>
    <w:rsid w:val="00640A32"/>
    <w:rsid w:val="00640F09"/>
    <w:rsid w:val="006438B7"/>
    <w:rsid w:val="00643C1C"/>
    <w:rsid w:val="00646974"/>
    <w:rsid w:val="00646B9A"/>
    <w:rsid w:val="00647EFC"/>
    <w:rsid w:val="0065204F"/>
    <w:rsid w:val="00655F1B"/>
    <w:rsid w:val="006644BF"/>
    <w:rsid w:val="00664B7C"/>
    <w:rsid w:val="00665015"/>
    <w:rsid w:val="00665C2D"/>
    <w:rsid w:val="00667360"/>
    <w:rsid w:val="00667922"/>
    <w:rsid w:val="006702ED"/>
    <w:rsid w:val="00672850"/>
    <w:rsid w:val="006738F9"/>
    <w:rsid w:val="006802A7"/>
    <w:rsid w:val="006839CB"/>
    <w:rsid w:val="006855D6"/>
    <w:rsid w:val="00690241"/>
    <w:rsid w:val="0069045F"/>
    <w:rsid w:val="006910C0"/>
    <w:rsid w:val="00693666"/>
    <w:rsid w:val="0069446F"/>
    <w:rsid w:val="00695405"/>
    <w:rsid w:val="006967F3"/>
    <w:rsid w:val="006A02AC"/>
    <w:rsid w:val="006A0DE6"/>
    <w:rsid w:val="006A116F"/>
    <w:rsid w:val="006A2C3D"/>
    <w:rsid w:val="006A4096"/>
    <w:rsid w:val="006A60FB"/>
    <w:rsid w:val="006B03EA"/>
    <w:rsid w:val="006B3D9F"/>
    <w:rsid w:val="006B5318"/>
    <w:rsid w:val="006B72B2"/>
    <w:rsid w:val="006C0E13"/>
    <w:rsid w:val="006C15CE"/>
    <w:rsid w:val="006C53A3"/>
    <w:rsid w:val="006D03FD"/>
    <w:rsid w:val="006D4707"/>
    <w:rsid w:val="006E275A"/>
    <w:rsid w:val="006E6383"/>
    <w:rsid w:val="006E6BD6"/>
    <w:rsid w:val="006E7F25"/>
    <w:rsid w:val="006F4E74"/>
    <w:rsid w:val="00701A15"/>
    <w:rsid w:val="007029AA"/>
    <w:rsid w:val="00703EEF"/>
    <w:rsid w:val="00706BFD"/>
    <w:rsid w:val="00706DC3"/>
    <w:rsid w:val="00706ED1"/>
    <w:rsid w:val="00715FFC"/>
    <w:rsid w:val="00727A79"/>
    <w:rsid w:val="00727F61"/>
    <w:rsid w:val="00730B23"/>
    <w:rsid w:val="007319FE"/>
    <w:rsid w:val="00732FFF"/>
    <w:rsid w:val="0073424D"/>
    <w:rsid w:val="007373C0"/>
    <w:rsid w:val="0073789B"/>
    <w:rsid w:val="00743FAD"/>
    <w:rsid w:val="00744915"/>
    <w:rsid w:val="00745F9A"/>
    <w:rsid w:val="0074613F"/>
    <w:rsid w:val="00750CB6"/>
    <w:rsid w:val="00751840"/>
    <w:rsid w:val="007561E5"/>
    <w:rsid w:val="00756F80"/>
    <w:rsid w:val="00757352"/>
    <w:rsid w:val="00764140"/>
    <w:rsid w:val="00774374"/>
    <w:rsid w:val="0077526E"/>
    <w:rsid w:val="00781F5D"/>
    <w:rsid w:val="00782BBF"/>
    <w:rsid w:val="00782CEB"/>
    <w:rsid w:val="0079426F"/>
    <w:rsid w:val="00794ADB"/>
    <w:rsid w:val="00795070"/>
    <w:rsid w:val="007953CC"/>
    <w:rsid w:val="007A4255"/>
    <w:rsid w:val="007A5DF9"/>
    <w:rsid w:val="007A66CA"/>
    <w:rsid w:val="007B0CE0"/>
    <w:rsid w:val="007B4633"/>
    <w:rsid w:val="007B4984"/>
    <w:rsid w:val="007B5D7F"/>
    <w:rsid w:val="007B691A"/>
    <w:rsid w:val="007B6E0A"/>
    <w:rsid w:val="007B7AEA"/>
    <w:rsid w:val="007C165C"/>
    <w:rsid w:val="007C3D65"/>
    <w:rsid w:val="007C4433"/>
    <w:rsid w:val="007C7181"/>
    <w:rsid w:val="007D025C"/>
    <w:rsid w:val="007D4326"/>
    <w:rsid w:val="007D49CE"/>
    <w:rsid w:val="007D4EDB"/>
    <w:rsid w:val="007D75A7"/>
    <w:rsid w:val="007E0999"/>
    <w:rsid w:val="007E20DE"/>
    <w:rsid w:val="007E24AE"/>
    <w:rsid w:val="007E2FAD"/>
    <w:rsid w:val="007E3CFC"/>
    <w:rsid w:val="007E4FD8"/>
    <w:rsid w:val="007E58C9"/>
    <w:rsid w:val="007F318E"/>
    <w:rsid w:val="007F46F9"/>
    <w:rsid w:val="007F650B"/>
    <w:rsid w:val="007F7D1C"/>
    <w:rsid w:val="00800111"/>
    <w:rsid w:val="00803557"/>
    <w:rsid w:val="00804E79"/>
    <w:rsid w:val="0080535C"/>
    <w:rsid w:val="00810120"/>
    <w:rsid w:val="008102EC"/>
    <w:rsid w:val="00812018"/>
    <w:rsid w:val="00815670"/>
    <w:rsid w:val="00815E0D"/>
    <w:rsid w:val="00815F02"/>
    <w:rsid w:val="0082613E"/>
    <w:rsid w:val="00826324"/>
    <w:rsid w:val="0083002A"/>
    <w:rsid w:val="008363D5"/>
    <w:rsid w:val="00840A5C"/>
    <w:rsid w:val="00840D3D"/>
    <w:rsid w:val="00841EA8"/>
    <w:rsid w:val="00844674"/>
    <w:rsid w:val="00844F0C"/>
    <w:rsid w:val="00847E19"/>
    <w:rsid w:val="0085014C"/>
    <w:rsid w:val="00854591"/>
    <w:rsid w:val="008561BE"/>
    <w:rsid w:val="00861927"/>
    <w:rsid w:val="00863B99"/>
    <w:rsid w:val="00863EB5"/>
    <w:rsid w:val="00864F00"/>
    <w:rsid w:val="00877DB1"/>
    <w:rsid w:val="008806E2"/>
    <w:rsid w:val="008814A3"/>
    <w:rsid w:val="00882D84"/>
    <w:rsid w:val="00887DA7"/>
    <w:rsid w:val="00891B6D"/>
    <w:rsid w:val="00894CE4"/>
    <w:rsid w:val="00895D0A"/>
    <w:rsid w:val="00895F58"/>
    <w:rsid w:val="008A0123"/>
    <w:rsid w:val="008A1801"/>
    <w:rsid w:val="008A2528"/>
    <w:rsid w:val="008A4E02"/>
    <w:rsid w:val="008A6100"/>
    <w:rsid w:val="008B050A"/>
    <w:rsid w:val="008B0A20"/>
    <w:rsid w:val="008B6340"/>
    <w:rsid w:val="008C4776"/>
    <w:rsid w:val="008C6EC8"/>
    <w:rsid w:val="008C746C"/>
    <w:rsid w:val="008D3B13"/>
    <w:rsid w:val="008D52FD"/>
    <w:rsid w:val="008D6C2B"/>
    <w:rsid w:val="008E0E23"/>
    <w:rsid w:val="008E137E"/>
    <w:rsid w:val="008E1ADF"/>
    <w:rsid w:val="008E3838"/>
    <w:rsid w:val="008E6E47"/>
    <w:rsid w:val="008F235A"/>
    <w:rsid w:val="008F54FE"/>
    <w:rsid w:val="008F680D"/>
    <w:rsid w:val="008F7A1A"/>
    <w:rsid w:val="00906672"/>
    <w:rsid w:val="009079B9"/>
    <w:rsid w:val="00911631"/>
    <w:rsid w:val="00913708"/>
    <w:rsid w:val="00921A66"/>
    <w:rsid w:val="00925E27"/>
    <w:rsid w:val="00927B66"/>
    <w:rsid w:val="009355A8"/>
    <w:rsid w:val="009413A9"/>
    <w:rsid w:val="00941CB5"/>
    <w:rsid w:val="00942284"/>
    <w:rsid w:val="00942779"/>
    <w:rsid w:val="00943650"/>
    <w:rsid w:val="00943677"/>
    <w:rsid w:val="00943B28"/>
    <w:rsid w:val="00944506"/>
    <w:rsid w:val="009455A9"/>
    <w:rsid w:val="00945D09"/>
    <w:rsid w:val="00952039"/>
    <w:rsid w:val="00956722"/>
    <w:rsid w:val="00961046"/>
    <w:rsid w:val="0096361F"/>
    <w:rsid w:val="009665D5"/>
    <w:rsid w:val="00966DB2"/>
    <w:rsid w:val="00966FC8"/>
    <w:rsid w:val="009712B2"/>
    <w:rsid w:val="00975DDA"/>
    <w:rsid w:val="00976944"/>
    <w:rsid w:val="00982D7C"/>
    <w:rsid w:val="009833A2"/>
    <w:rsid w:val="00984003"/>
    <w:rsid w:val="00985E34"/>
    <w:rsid w:val="0099060A"/>
    <w:rsid w:val="0099543D"/>
    <w:rsid w:val="00995AC1"/>
    <w:rsid w:val="009A0E2F"/>
    <w:rsid w:val="009A220F"/>
    <w:rsid w:val="009A3FFC"/>
    <w:rsid w:val="009A4A24"/>
    <w:rsid w:val="009A4D6F"/>
    <w:rsid w:val="009A5B7A"/>
    <w:rsid w:val="009A5E9F"/>
    <w:rsid w:val="009A6E80"/>
    <w:rsid w:val="009B254D"/>
    <w:rsid w:val="009B56D8"/>
    <w:rsid w:val="009B6A5E"/>
    <w:rsid w:val="009C1A48"/>
    <w:rsid w:val="009C1BF3"/>
    <w:rsid w:val="009C394D"/>
    <w:rsid w:val="009C3AF4"/>
    <w:rsid w:val="009C50FC"/>
    <w:rsid w:val="009D15AF"/>
    <w:rsid w:val="009D29D5"/>
    <w:rsid w:val="009D33AB"/>
    <w:rsid w:val="009D4223"/>
    <w:rsid w:val="009D7901"/>
    <w:rsid w:val="009E0518"/>
    <w:rsid w:val="009E30F1"/>
    <w:rsid w:val="009E370E"/>
    <w:rsid w:val="009E3C86"/>
    <w:rsid w:val="009E7A60"/>
    <w:rsid w:val="009F0D6F"/>
    <w:rsid w:val="009F0DED"/>
    <w:rsid w:val="009F1C0C"/>
    <w:rsid w:val="009F3351"/>
    <w:rsid w:val="00A01262"/>
    <w:rsid w:val="00A01B96"/>
    <w:rsid w:val="00A0593E"/>
    <w:rsid w:val="00A12746"/>
    <w:rsid w:val="00A1376D"/>
    <w:rsid w:val="00A16420"/>
    <w:rsid w:val="00A20A69"/>
    <w:rsid w:val="00A21616"/>
    <w:rsid w:val="00A21B31"/>
    <w:rsid w:val="00A223E8"/>
    <w:rsid w:val="00A224D6"/>
    <w:rsid w:val="00A32AC0"/>
    <w:rsid w:val="00A36DEC"/>
    <w:rsid w:val="00A371D9"/>
    <w:rsid w:val="00A377B7"/>
    <w:rsid w:val="00A41BB9"/>
    <w:rsid w:val="00A46D0B"/>
    <w:rsid w:val="00A46D58"/>
    <w:rsid w:val="00A56C83"/>
    <w:rsid w:val="00A73E67"/>
    <w:rsid w:val="00A76B81"/>
    <w:rsid w:val="00A80BC0"/>
    <w:rsid w:val="00A80DA1"/>
    <w:rsid w:val="00A81766"/>
    <w:rsid w:val="00A90A94"/>
    <w:rsid w:val="00A91B0A"/>
    <w:rsid w:val="00A93A50"/>
    <w:rsid w:val="00AA00BD"/>
    <w:rsid w:val="00AA0D17"/>
    <w:rsid w:val="00AB045C"/>
    <w:rsid w:val="00AB0A08"/>
    <w:rsid w:val="00AB2429"/>
    <w:rsid w:val="00AC2B52"/>
    <w:rsid w:val="00AC2C8A"/>
    <w:rsid w:val="00AC30A4"/>
    <w:rsid w:val="00AC4C32"/>
    <w:rsid w:val="00AC64E2"/>
    <w:rsid w:val="00AC6A6B"/>
    <w:rsid w:val="00AE00BF"/>
    <w:rsid w:val="00AE024B"/>
    <w:rsid w:val="00AE13E6"/>
    <w:rsid w:val="00AE2165"/>
    <w:rsid w:val="00AE379A"/>
    <w:rsid w:val="00AE37E2"/>
    <w:rsid w:val="00AE47CC"/>
    <w:rsid w:val="00AE528C"/>
    <w:rsid w:val="00AE5981"/>
    <w:rsid w:val="00AE5E92"/>
    <w:rsid w:val="00AF0203"/>
    <w:rsid w:val="00AF295F"/>
    <w:rsid w:val="00AF76B1"/>
    <w:rsid w:val="00B0027F"/>
    <w:rsid w:val="00B11074"/>
    <w:rsid w:val="00B1456C"/>
    <w:rsid w:val="00B14752"/>
    <w:rsid w:val="00B2027F"/>
    <w:rsid w:val="00B210CB"/>
    <w:rsid w:val="00B21446"/>
    <w:rsid w:val="00B2149A"/>
    <w:rsid w:val="00B215F1"/>
    <w:rsid w:val="00B2419E"/>
    <w:rsid w:val="00B30387"/>
    <w:rsid w:val="00B31BAC"/>
    <w:rsid w:val="00B31FC5"/>
    <w:rsid w:val="00B35944"/>
    <w:rsid w:val="00B35E0F"/>
    <w:rsid w:val="00B36C8D"/>
    <w:rsid w:val="00B40AF5"/>
    <w:rsid w:val="00B42CCE"/>
    <w:rsid w:val="00B44AD0"/>
    <w:rsid w:val="00B44B2D"/>
    <w:rsid w:val="00B47C26"/>
    <w:rsid w:val="00B47F6B"/>
    <w:rsid w:val="00B5086B"/>
    <w:rsid w:val="00B51AF7"/>
    <w:rsid w:val="00B52995"/>
    <w:rsid w:val="00B53BDF"/>
    <w:rsid w:val="00B63099"/>
    <w:rsid w:val="00B66939"/>
    <w:rsid w:val="00B67AA1"/>
    <w:rsid w:val="00B7091C"/>
    <w:rsid w:val="00B72618"/>
    <w:rsid w:val="00B831E4"/>
    <w:rsid w:val="00B8482D"/>
    <w:rsid w:val="00B864AB"/>
    <w:rsid w:val="00B86EF9"/>
    <w:rsid w:val="00B87C38"/>
    <w:rsid w:val="00B907BA"/>
    <w:rsid w:val="00B91311"/>
    <w:rsid w:val="00B928D7"/>
    <w:rsid w:val="00B95F87"/>
    <w:rsid w:val="00B96FCC"/>
    <w:rsid w:val="00B9721F"/>
    <w:rsid w:val="00BA0D88"/>
    <w:rsid w:val="00BA5ADA"/>
    <w:rsid w:val="00BA7835"/>
    <w:rsid w:val="00BB066E"/>
    <w:rsid w:val="00BB2028"/>
    <w:rsid w:val="00BB3D25"/>
    <w:rsid w:val="00BC09E1"/>
    <w:rsid w:val="00BC3E7F"/>
    <w:rsid w:val="00BD45C9"/>
    <w:rsid w:val="00BD7702"/>
    <w:rsid w:val="00BE2DD6"/>
    <w:rsid w:val="00BE3D6A"/>
    <w:rsid w:val="00BE5EDE"/>
    <w:rsid w:val="00BF0E00"/>
    <w:rsid w:val="00C00F2C"/>
    <w:rsid w:val="00C059C5"/>
    <w:rsid w:val="00C12C54"/>
    <w:rsid w:val="00C139F8"/>
    <w:rsid w:val="00C13D97"/>
    <w:rsid w:val="00C1423F"/>
    <w:rsid w:val="00C30087"/>
    <w:rsid w:val="00C338A8"/>
    <w:rsid w:val="00C35AFD"/>
    <w:rsid w:val="00C36E52"/>
    <w:rsid w:val="00C41729"/>
    <w:rsid w:val="00C45C30"/>
    <w:rsid w:val="00C50F21"/>
    <w:rsid w:val="00C53995"/>
    <w:rsid w:val="00C53E89"/>
    <w:rsid w:val="00C54078"/>
    <w:rsid w:val="00C5479B"/>
    <w:rsid w:val="00C557C6"/>
    <w:rsid w:val="00C5593F"/>
    <w:rsid w:val="00C577C5"/>
    <w:rsid w:val="00C606E1"/>
    <w:rsid w:val="00C616DD"/>
    <w:rsid w:val="00C618D9"/>
    <w:rsid w:val="00C6197D"/>
    <w:rsid w:val="00C61BEA"/>
    <w:rsid w:val="00C61E4D"/>
    <w:rsid w:val="00C627B9"/>
    <w:rsid w:val="00C65475"/>
    <w:rsid w:val="00C66432"/>
    <w:rsid w:val="00C66EBF"/>
    <w:rsid w:val="00C7246B"/>
    <w:rsid w:val="00C7751B"/>
    <w:rsid w:val="00C87194"/>
    <w:rsid w:val="00C87C8A"/>
    <w:rsid w:val="00C90A51"/>
    <w:rsid w:val="00C94D00"/>
    <w:rsid w:val="00C970F7"/>
    <w:rsid w:val="00CA1A38"/>
    <w:rsid w:val="00CB2275"/>
    <w:rsid w:val="00CB2BA9"/>
    <w:rsid w:val="00CB317B"/>
    <w:rsid w:val="00CB33D0"/>
    <w:rsid w:val="00CB4CD8"/>
    <w:rsid w:val="00CB53FE"/>
    <w:rsid w:val="00CB7290"/>
    <w:rsid w:val="00CB783C"/>
    <w:rsid w:val="00CC173C"/>
    <w:rsid w:val="00CC1E9E"/>
    <w:rsid w:val="00CC447B"/>
    <w:rsid w:val="00CC4F06"/>
    <w:rsid w:val="00CD04D8"/>
    <w:rsid w:val="00CD1AD5"/>
    <w:rsid w:val="00CD21D5"/>
    <w:rsid w:val="00CD2CC2"/>
    <w:rsid w:val="00CD2D9D"/>
    <w:rsid w:val="00CD41D2"/>
    <w:rsid w:val="00CD5A30"/>
    <w:rsid w:val="00CD5F14"/>
    <w:rsid w:val="00CD5F90"/>
    <w:rsid w:val="00CD68BC"/>
    <w:rsid w:val="00CE1C51"/>
    <w:rsid w:val="00CE2022"/>
    <w:rsid w:val="00CE2193"/>
    <w:rsid w:val="00CE21BF"/>
    <w:rsid w:val="00CE3327"/>
    <w:rsid w:val="00CE5575"/>
    <w:rsid w:val="00CE55F1"/>
    <w:rsid w:val="00CF194C"/>
    <w:rsid w:val="00CF3940"/>
    <w:rsid w:val="00CF5328"/>
    <w:rsid w:val="00CF7D3B"/>
    <w:rsid w:val="00CF7DE9"/>
    <w:rsid w:val="00D02C85"/>
    <w:rsid w:val="00D05138"/>
    <w:rsid w:val="00D051B6"/>
    <w:rsid w:val="00D06C0B"/>
    <w:rsid w:val="00D10E1B"/>
    <w:rsid w:val="00D115D3"/>
    <w:rsid w:val="00D169BC"/>
    <w:rsid w:val="00D16B28"/>
    <w:rsid w:val="00D266BA"/>
    <w:rsid w:val="00D27804"/>
    <w:rsid w:val="00D316C6"/>
    <w:rsid w:val="00D3323D"/>
    <w:rsid w:val="00D35579"/>
    <w:rsid w:val="00D357E4"/>
    <w:rsid w:val="00D35A7E"/>
    <w:rsid w:val="00D4082E"/>
    <w:rsid w:val="00D42B18"/>
    <w:rsid w:val="00D4369C"/>
    <w:rsid w:val="00D57E53"/>
    <w:rsid w:val="00D610B5"/>
    <w:rsid w:val="00D62B4E"/>
    <w:rsid w:val="00D62D2C"/>
    <w:rsid w:val="00D644EF"/>
    <w:rsid w:val="00D7055F"/>
    <w:rsid w:val="00D71D5F"/>
    <w:rsid w:val="00D74883"/>
    <w:rsid w:val="00D757D4"/>
    <w:rsid w:val="00D7663E"/>
    <w:rsid w:val="00D7705B"/>
    <w:rsid w:val="00D777CE"/>
    <w:rsid w:val="00D807E5"/>
    <w:rsid w:val="00D83CEE"/>
    <w:rsid w:val="00D96E87"/>
    <w:rsid w:val="00DA6519"/>
    <w:rsid w:val="00DA6CAB"/>
    <w:rsid w:val="00DA7EB3"/>
    <w:rsid w:val="00DB0BA6"/>
    <w:rsid w:val="00DB16BB"/>
    <w:rsid w:val="00DB1988"/>
    <w:rsid w:val="00DB22AE"/>
    <w:rsid w:val="00DB4347"/>
    <w:rsid w:val="00DB7640"/>
    <w:rsid w:val="00DC1452"/>
    <w:rsid w:val="00DC18F6"/>
    <w:rsid w:val="00DC1D04"/>
    <w:rsid w:val="00DD21BF"/>
    <w:rsid w:val="00DD2FE6"/>
    <w:rsid w:val="00DD4EFE"/>
    <w:rsid w:val="00DD5701"/>
    <w:rsid w:val="00DD6FAE"/>
    <w:rsid w:val="00DD733D"/>
    <w:rsid w:val="00DE01FD"/>
    <w:rsid w:val="00DE085C"/>
    <w:rsid w:val="00DE0D89"/>
    <w:rsid w:val="00DE2A1B"/>
    <w:rsid w:val="00DE64AE"/>
    <w:rsid w:val="00DF1786"/>
    <w:rsid w:val="00DF233A"/>
    <w:rsid w:val="00DF6CFE"/>
    <w:rsid w:val="00DF6F83"/>
    <w:rsid w:val="00DF74CC"/>
    <w:rsid w:val="00E02121"/>
    <w:rsid w:val="00E02BE6"/>
    <w:rsid w:val="00E16870"/>
    <w:rsid w:val="00E16D57"/>
    <w:rsid w:val="00E25B62"/>
    <w:rsid w:val="00E31CDD"/>
    <w:rsid w:val="00E33580"/>
    <w:rsid w:val="00E33772"/>
    <w:rsid w:val="00E34A30"/>
    <w:rsid w:val="00E363F3"/>
    <w:rsid w:val="00E41D7D"/>
    <w:rsid w:val="00E426D1"/>
    <w:rsid w:val="00E475FD"/>
    <w:rsid w:val="00E47830"/>
    <w:rsid w:val="00E47C13"/>
    <w:rsid w:val="00E52C6C"/>
    <w:rsid w:val="00E53D98"/>
    <w:rsid w:val="00E56764"/>
    <w:rsid w:val="00E56BE4"/>
    <w:rsid w:val="00E57557"/>
    <w:rsid w:val="00E617C3"/>
    <w:rsid w:val="00E61C51"/>
    <w:rsid w:val="00E62CC8"/>
    <w:rsid w:val="00E72227"/>
    <w:rsid w:val="00E72583"/>
    <w:rsid w:val="00E7261E"/>
    <w:rsid w:val="00E7397D"/>
    <w:rsid w:val="00E744BD"/>
    <w:rsid w:val="00E764A7"/>
    <w:rsid w:val="00E77102"/>
    <w:rsid w:val="00E77CFC"/>
    <w:rsid w:val="00E77FC8"/>
    <w:rsid w:val="00E81353"/>
    <w:rsid w:val="00E8339B"/>
    <w:rsid w:val="00E854AE"/>
    <w:rsid w:val="00E862A7"/>
    <w:rsid w:val="00E87A9D"/>
    <w:rsid w:val="00E9012C"/>
    <w:rsid w:val="00E91AB2"/>
    <w:rsid w:val="00E950F2"/>
    <w:rsid w:val="00E97BB4"/>
    <w:rsid w:val="00EA3FF4"/>
    <w:rsid w:val="00EB1603"/>
    <w:rsid w:val="00EB1CFE"/>
    <w:rsid w:val="00EB34B1"/>
    <w:rsid w:val="00EB78F6"/>
    <w:rsid w:val="00EC166F"/>
    <w:rsid w:val="00EC387A"/>
    <w:rsid w:val="00ED50F8"/>
    <w:rsid w:val="00ED5837"/>
    <w:rsid w:val="00ED6C2A"/>
    <w:rsid w:val="00EE648E"/>
    <w:rsid w:val="00EF06FF"/>
    <w:rsid w:val="00EF0F6D"/>
    <w:rsid w:val="00EF31CC"/>
    <w:rsid w:val="00EF5515"/>
    <w:rsid w:val="00EF7BCC"/>
    <w:rsid w:val="00F0017C"/>
    <w:rsid w:val="00F00686"/>
    <w:rsid w:val="00F0297A"/>
    <w:rsid w:val="00F04C88"/>
    <w:rsid w:val="00F068DB"/>
    <w:rsid w:val="00F074F6"/>
    <w:rsid w:val="00F11528"/>
    <w:rsid w:val="00F117C8"/>
    <w:rsid w:val="00F12658"/>
    <w:rsid w:val="00F16562"/>
    <w:rsid w:val="00F205C6"/>
    <w:rsid w:val="00F210C1"/>
    <w:rsid w:val="00F2714E"/>
    <w:rsid w:val="00F35239"/>
    <w:rsid w:val="00F35D3F"/>
    <w:rsid w:val="00F37E86"/>
    <w:rsid w:val="00F4385C"/>
    <w:rsid w:val="00F4412C"/>
    <w:rsid w:val="00F44925"/>
    <w:rsid w:val="00F44BBD"/>
    <w:rsid w:val="00F46FEE"/>
    <w:rsid w:val="00F477E9"/>
    <w:rsid w:val="00F47FCA"/>
    <w:rsid w:val="00F532B6"/>
    <w:rsid w:val="00F541B9"/>
    <w:rsid w:val="00F550A4"/>
    <w:rsid w:val="00F574B1"/>
    <w:rsid w:val="00F60079"/>
    <w:rsid w:val="00F604B4"/>
    <w:rsid w:val="00F62C41"/>
    <w:rsid w:val="00F63D4D"/>
    <w:rsid w:val="00F64204"/>
    <w:rsid w:val="00F6461F"/>
    <w:rsid w:val="00F64DED"/>
    <w:rsid w:val="00F6574E"/>
    <w:rsid w:val="00F661BB"/>
    <w:rsid w:val="00F752C6"/>
    <w:rsid w:val="00F854D4"/>
    <w:rsid w:val="00F85A3D"/>
    <w:rsid w:val="00F8608C"/>
    <w:rsid w:val="00F8626B"/>
    <w:rsid w:val="00F86AA8"/>
    <w:rsid w:val="00F90249"/>
    <w:rsid w:val="00F911F1"/>
    <w:rsid w:val="00F91275"/>
    <w:rsid w:val="00F9270E"/>
    <w:rsid w:val="00F96374"/>
    <w:rsid w:val="00FA19F9"/>
    <w:rsid w:val="00FA1B1E"/>
    <w:rsid w:val="00FA2B94"/>
    <w:rsid w:val="00FA626B"/>
    <w:rsid w:val="00FB25CE"/>
    <w:rsid w:val="00FB3AF9"/>
    <w:rsid w:val="00FB4385"/>
    <w:rsid w:val="00FB456E"/>
    <w:rsid w:val="00FB5638"/>
    <w:rsid w:val="00FB6DDD"/>
    <w:rsid w:val="00FC15F6"/>
    <w:rsid w:val="00FC3DA0"/>
    <w:rsid w:val="00FC5A4A"/>
    <w:rsid w:val="00FC6816"/>
    <w:rsid w:val="00FD04E6"/>
    <w:rsid w:val="00FD0EC9"/>
    <w:rsid w:val="00FD4BFB"/>
    <w:rsid w:val="00FE1B29"/>
    <w:rsid w:val="00FE7BED"/>
    <w:rsid w:val="00FF092E"/>
    <w:rsid w:val="00FF1412"/>
    <w:rsid w:val="00FF4438"/>
    <w:rsid w:val="00FF7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2302"/>
  <w14:defaultImageDpi w14:val="32767"/>
  <w15:chartTrackingRefBased/>
  <w15:docId w15:val="{D17DAD82-C4A0-9A47-9D45-C122EBC3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B0BA6"/>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B0BA6"/>
  </w:style>
  <w:style w:type="character" w:customStyle="1" w:styleId="FootnoteTextChar">
    <w:name w:val="Footnote Text Char"/>
    <w:basedOn w:val="DefaultParagraphFont"/>
    <w:link w:val="FootnoteText"/>
    <w:uiPriority w:val="99"/>
    <w:rsid w:val="00DB0BA6"/>
    <w:rPr>
      <w:rFonts w:ascii="Times New Roman" w:eastAsia="Times New Roman" w:hAnsi="Times New Roman" w:cs="Times New Roman"/>
      <w:lang w:eastAsia="en-GB"/>
    </w:rPr>
  </w:style>
  <w:style w:type="character" w:styleId="FootnoteReference">
    <w:name w:val="footnote reference"/>
    <w:basedOn w:val="DefaultParagraphFont"/>
    <w:uiPriority w:val="99"/>
    <w:unhideWhenUsed/>
    <w:rsid w:val="00DB0BA6"/>
    <w:rPr>
      <w:vertAlign w:val="superscript"/>
    </w:rPr>
  </w:style>
  <w:style w:type="character" w:styleId="Emphasis">
    <w:name w:val="Emphasis"/>
    <w:basedOn w:val="DefaultParagraphFont"/>
    <w:uiPriority w:val="20"/>
    <w:qFormat/>
    <w:rsid w:val="00DB0BA6"/>
    <w:rPr>
      <w:i/>
      <w:iCs/>
    </w:rPr>
  </w:style>
  <w:style w:type="character" w:styleId="Hyperlink">
    <w:name w:val="Hyperlink"/>
    <w:basedOn w:val="DefaultParagraphFont"/>
    <w:uiPriority w:val="99"/>
    <w:unhideWhenUsed/>
    <w:rsid w:val="00D35A7E"/>
    <w:rPr>
      <w:color w:val="0000FF"/>
      <w:u w:val="single"/>
    </w:rPr>
  </w:style>
  <w:style w:type="paragraph" w:styleId="ListParagraph">
    <w:name w:val="List Paragraph"/>
    <w:basedOn w:val="Normal"/>
    <w:uiPriority w:val="34"/>
    <w:qFormat/>
    <w:rsid w:val="00B96FCC"/>
    <w:pPr>
      <w:ind w:left="720"/>
      <w:contextualSpacing/>
    </w:pPr>
  </w:style>
  <w:style w:type="character" w:styleId="UnresolvedMention">
    <w:name w:val="Unresolved Mention"/>
    <w:basedOn w:val="DefaultParagraphFont"/>
    <w:uiPriority w:val="99"/>
    <w:rsid w:val="00CE21BF"/>
    <w:rPr>
      <w:color w:val="605E5C"/>
      <w:shd w:val="clear" w:color="auto" w:fill="E1DFDD"/>
    </w:rPr>
  </w:style>
  <w:style w:type="paragraph" w:styleId="Footer">
    <w:name w:val="footer"/>
    <w:basedOn w:val="Normal"/>
    <w:link w:val="FooterChar"/>
    <w:uiPriority w:val="99"/>
    <w:unhideWhenUsed/>
    <w:rsid w:val="0039734F"/>
    <w:pPr>
      <w:tabs>
        <w:tab w:val="center" w:pos="4680"/>
        <w:tab w:val="right" w:pos="9360"/>
      </w:tabs>
    </w:pPr>
  </w:style>
  <w:style w:type="character" w:customStyle="1" w:styleId="FooterChar">
    <w:name w:val="Footer Char"/>
    <w:basedOn w:val="DefaultParagraphFont"/>
    <w:link w:val="Footer"/>
    <w:uiPriority w:val="99"/>
    <w:rsid w:val="0039734F"/>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39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6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history.ac.uk/survey-london/bk14/pp16-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J3LxvEt8WGU" TargetMode="External"/><Relationship Id="rId4" Type="http://schemas.openxmlformats.org/officeDocument/2006/relationships/settings" Target="settings.xml"/><Relationship Id="rId9" Type="http://schemas.openxmlformats.org/officeDocument/2006/relationships/hyperlink" Target="https://www-oxforddnb-com.libproxy.york.ac.uk/view/10.1093/ref:odnb/9780198614128.001.0001/odnb-9780198614128-e-14155?rskey=gUqgJM&amp;result=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ritish-history.ac.uk/survey-london/bk14/pp16-24" TargetMode="External"/><Relationship Id="rId2" Type="http://schemas.openxmlformats.org/officeDocument/2006/relationships/hyperlink" Target="https://www.youtube.com/watch?v=J3LxvEt8WGU" TargetMode="External"/><Relationship Id="rId1" Type="http://schemas.openxmlformats.org/officeDocument/2006/relationships/hyperlink" Target="https://www-oxforddnb-com.libproxy.york.ac.uk/view/10.1093/ref:odnb/9780198614128.001.0001/odnb-9780198614128-e-14155?rskey=gUqgJM&amp;resul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AA77F-B573-A740-9328-1EDDBE4B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20</Pages>
  <Words>8433</Words>
  <Characters>48069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Delman</dc:creator>
  <cp:keywords/>
  <dc:description/>
  <cp:lastModifiedBy>Rachel Delman</cp:lastModifiedBy>
  <cp:revision>37</cp:revision>
  <dcterms:created xsi:type="dcterms:W3CDTF">2021-03-03T17:01:00Z</dcterms:created>
  <dcterms:modified xsi:type="dcterms:W3CDTF">2021-07-19T09:54:00Z</dcterms:modified>
</cp:coreProperties>
</file>