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73142" w14:textId="45F9D532" w:rsidR="00C377CF" w:rsidRPr="00172374" w:rsidRDefault="00831A06" w:rsidP="000D59B1">
      <w:pPr>
        <w:pStyle w:val="a3"/>
        <w:spacing w:after="0" w:line="480" w:lineRule="auto"/>
        <w:ind w:left="0"/>
        <w:rPr>
          <w:rFonts w:ascii="Times New Roman" w:hAnsi="Times New Roman"/>
          <w:b/>
          <w:sz w:val="28"/>
          <w:szCs w:val="28"/>
          <w:lang w:val="en-US"/>
        </w:rPr>
      </w:pPr>
      <w:r w:rsidRPr="00172374">
        <w:rPr>
          <w:rFonts w:ascii="Times New Roman" w:hAnsi="Times New Roman"/>
          <w:b/>
          <w:sz w:val="28"/>
          <w:szCs w:val="28"/>
          <w:lang w:val="en-US"/>
        </w:rPr>
        <w:t>Brand Orientation: conceptual extension, scale development and validation</w:t>
      </w:r>
    </w:p>
    <w:p w14:paraId="1C74A826" w14:textId="77777777" w:rsidR="00831A06" w:rsidRPr="00172374" w:rsidRDefault="00831A06" w:rsidP="000D59B1">
      <w:pPr>
        <w:pStyle w:val="a3"/>
        <w:spacing w:after="0" w:line="480" w:lineRule="auto"/>
        <w:ind w:left="0"/>
        <w:rPr>
          <w:rFonts w:ascii="Times New Roman" w:hAnsi="Times New Roman"/>
          <w:b/>
          <w:sz w:val="24"/>
        </w:rPr>
      </w:pPr>
    </w:p>
    <w:p w14:paraId="60C97D8D" w14:textId="77777777" w:rsidR="00E80E00" w:rsidRPr="00172374" w:rsidRDefault="00E80E00" w:rsidP="000D59B1">
      <w:pPr>
        <w:pStyle w:val="a3"/>
        <w:spacing w:after="0" w:line="480" w:lineRule="auto"/>
        <w:ind w:left="0"/>
        <w:rPr>
          <w:rFonts w:ascii="Times New Roman" w:hAnsi="Times New Roman"/>
          <w:b/>
          <w:sz w:val="24"/>
          <w:lang w:val="en-US"/>
        </w:rPr>
      </w:pPr>
      <w:r w:rsidRPr="00172374">
        <w:rPr>
          <w:rFonts w:ascii="Times New Roman" w:hAnsi="Times New Roman"/>
          <w:b/>
          <w:sz w:val="24"/>
        </w:rPr>
        <w:t>Abstract</w:t>
      </w:r>
    </w:p>
    <w:p w14:paraId="2CE27C7D" w14:textId="77777777" w:rsidR="00295A0B" w:rsidRPr="00172374" w:rsidRDefault="00295A0B" w:rsidP="000D59B1">
      <w:pPr>
        <w:pStyle w:val="a3"/>
        <w:spacing w:after="0" w:line="480" w:lineRule="auto"/>
        <w:ind w:left="0"/>
        <w:rPr>
          <w:b/>
          <w:sz w:val="10"/>
          <w:szCs w:val="10"/>
        </w:rPr>
      </w:pPr>
    </w:p>
    <w:p w14:paraId="07CEA154" w14:textId="4CC4627A" w:rsidR="00315128" w:rsidRPr="00172374" w:rsidRDefault="00E80E00" w:rsidP="000D59B1">
      <w:pPr>
        <w:pStyle w:val="a3"/>
        <w:spacing w:after="0" w:line="480" w:lineRule="auto"/>
        <w:ind w:left="0"/>
        <w:rPr>
          <w:rFonts w:ascii="Times New Roman" w:hAnsi="Times New Roman"/>
          <w:sz w:val="24"/>
        </w:rPr>
      </w:pPr>
      <w:r w:rsidRPr="00172374">
        <w:rPr>
          <w:rFonts w:ascii="Times New Roman" w:hAnsi="Times New Roman"/>
          <w:sz w:val="24"/>
        </w:rPr>
        <w:t>Creating powerful brands that stand out from competition, deliver on their promise</w:t>
      </w:r>
      <w:r w:rsidR="00DE6D60" w:rsidRPr="00172374">
        <w:rPr>
          <w:rFonts w:ascii="Times New Roman" w:hAnsi="Times New Roman"/>
          <w:sz w:val="24"/>
        </w:rPr>
        <w:t>,</w:t>
      </w:r>
      <w:r w:rsidRPr="00172374">
        <w:rPr>
          <w:rFonts w:ascii="Times New Roman" w:hAnsi="Times New Roman"/>
          <w:sz w:val="24"/>
        </w:rPr>
        <w:t xml:space="preserve"> and strength</w:t>
      </w:r>
      <w:r w:rsidR="00C406EC" w:rsidRPr="00172374">
        <w:rPr>
          <w:rFonts w:ascii="Times New Roman" w:hAnsi="Times New Roman"/>
          <w:sz w:val="24"/>
        </w:rPr>
        <w:t>en</w:t>
      </w:r>
      <w:r w:rsidRPr="00172374">
        <w:rPr>
          <w:rFonts w:ascii="Times New Roman" w:hAnsi="Times New Roman"/>
          <w:sz w:val="24"/>
        </w:rPr>
        <w:t xml:space="preserve"> over time </w:t>
      </w:r>
      <w:r w:rsidR="00DE6D60" w:rsidRPr="00172374">
        <w:rPr>
          <w:rFonts w:ascii="Times New Roman" w:hAnsi="Times New Roman"/>
          <w:sz w:val="24"/>
        </w:rPr>
        <w:t xml:space="preserve">is </w:t>
      </w:r>
      <w:r w:rsidR="005B66EE" w:rsidRPr="00172374">
        <w:rPr>
          <w:rFonts w:ascii="Times New Roman" w:hAnsi="Times New Roman"/>
          <w:sz w:val="24"/>
        </w:rPr>
        <w:t>among</w:t>
      </w:r>
      <w:r w:rsidR="00DE6D60" w:rsidRPr="00172374">
        <w:rPr>
          <w:rFonts w:ascii="Times New Roman" w:hAnsi="Times New Roman"/>
          <w:sz w:val="24"/>
        </w:rPr>
        <w:t xml:space="preserve"> </w:t>
      </w:r>
      <w:r w:rsidRPr="00172374">
        <w:rPr>
          <w:rFonts w:ascii="Times New Roman" w:hAnsi="Times New Roman"/>
          <w:sz w:val="24"/>
        </w:rPr>
        <w:t xml:space="preserve">the greatest </w:t>
      </w:r>
      <w:proofErr w:type="gramStart"/>
      <w:r w:rsidRPr="00172374">
        <w:rPr>
          <w:rFonts w:ascii="Times New Roman" w:hAnsi="Times New Roman"/>
          <w:sz w:val="24"/>
        </w:rPr>
        <w:t>challenges</w:t>
      </w:r>
      <w:proofErr w:type="gramEnd"/>
      <w:r w:rsidRPr="00172374">
        <w:rPr>
          <w:rFonts w:ascii="Times New Roman" w:hAnsi="Times New Roman"/>
          <w:sz w:val="24"/>
        </w:rPr>
        <w:t xml:space="preserve"> managers face. </w:t>
      </w:r>
      <w:bookmarkStart w:id="0" w:name="_Hlk31041718"/>
      <w:r w:rsidR="00BA2C02" w:rsidRPr="00172374">
        <w:rPr>
          <w:rFonts w:ascii="Times New Roman" w:hAnsi="Times New Roman"/>
          <w:sz w:val="24"/>
        </w:rPr>
        <w:t xml:space="preserve">Building on prior relevant work, this study re-conceptualizes brand orientation and provides a broader operationalization to </w:t>
      </w:r>
      <w:r w:rsidR="001E4A75" w:rsidRPr="00172374">
        <w:rPr>
          <w:rFonts w:ascii="Times New Roman" w:hAnsi="Times New Roman"/>
          <w:sz w:val="24"/>
        </w:rPr>
        <w:t xml:space="preserve">capture </w:t>
      </w:r>
      <w:r w:rsidRPr="00172374">
        <w:rPr>
          <w:rFonts w:ascii="Times New Roman" w:hAnsi="Times New Roman"/>
          <w:sz w:val="24"/>
        </w:rPr>
        <w:t xml:space="preserve">the </w:t>
      </w:r>
      <w:r w:rsidR="00BA2C02" w:rsidRPr="00172374">
        <w:rPr>
          <w:rFonts w:ascii="Times New Roman" w:hAnsi="Times New Roman"/>
          <w:sz w:val="24"/>
        </w:rPr>
        <w:t xml:space="preserve">main </w:t>
      </w:r>
      <w:r w:rsidRPr="00172374">
        <w:rPr>
          <w:rFonts w:ascii="Times New Roman" w:hAnsi="Times New Roman"/>
          <w:sz w:val="24"/>
        </w:rPr>
        <w:t xml:space="preserve">organizational </w:t>
      </w:r>
      <w:proofErr w:type="spellStart"/>
      <w:r w:rsidR="003224FA" w:rsidRPr="00172374">
        <w:rPr>
          <w:rFonts w:ascii="Times New Roman" w:hAnsi="Times New Roman"/>
          <w:sz w:val="24"/>
        </w:rPr>
        <w:t>behaviors</w:t>
      </w:r>
      <w:proofErr w:type="spellEnd"/>
      <w:r w:rsidR="003224FA" w:rsidRPr="00172374">
        <w:rPr>
          <w:rFonts w:ascii="Times New Roman" w:hAnsi="Times New Roman"/>
          <w:sz w:val="24"/>
        </w:rPr>
        <w:t xml:space="preserve"> </w:t>
      </w:r>
      <w:r w:rsidR="00724F3D" w:rsidRPr="00172374">
        <w:rPr>
          <w:rFonts w:ascii="Times New Roman" w:hAnsi="Times New Roman"/>
          <w:sz w:val="24"/>
        </w:rPr>
        <w:t>manifested by</w:t>
      </w:r>
      <w:r w:rsidR="003224FA" w:rsidRPr="00172374">
        <w:rPr>
          <w:rFonts w:ascii="Times New Roman" w:hAnsi="Times New Roman"/>
          <w:sz w:val="24"/>
        </w:rPr>
        <w:t xml:space="preserve"> strategically brand-</w:t>
      </w:r>
      <w:r w:rsidR="00E72D44" w:rsidRPr="00172374">
        <w:rPr>
          <w:rFonts w:ascii="Times New Roman" w:hAnsi="Times New Roman"/>
          <w:sz w:val="24"/>
        </w:rPr>
        <w:t>oriented</w:t>
      </w:r>
      <w:r w:rsidR="003224FA" w:rsidRPr="00172374">
        <w:rPr>
          <w:rFonts w:ascii="Times New Roman" w:hAnsi="Times New Roman"/>
          <w:sz w:val="24"/>
        </w:rPr>
        <w:t xml:space="preserve"> companies</w:t>
      </w:r>
      <w:r w:rsidRPr="00172374">
        <w:rPr>
          <w:rFonts w:ascii="Times New Roman" w:hAnsi="Times New Roman"/>
          <w:sz w:val="24"/>
        </w:rPr>
        <w:t xml:space="preserve">. </w:t>
      </w:r>
      <w:bookmarkEnd w:id="0"/>
      <w:r w:rsidR="00BA2C02" w:rsidRPr="00172374">
        <w:rPr>
          <w:rFonts w:ascii="Times New Roman" w:hAnsi="Times New Roman"/>
          <w:sz w:val="24"/>
        </w:rPr>
        <w:t>F</w:t>
      </w:r>
      <w:r w:rsidRPr="00172374">
        <w:rPr>
          <w:rFonts w:ascii="Times New Roman" w:hAnsi="Times New Roman"/>
          <w:sz w:val="24"/>
        </w:rPr>
        <w:t xml:space="preserve">ollowing </w:t>
      </w:r>
      <w:r w:rsidR="00EA6D42" w:rsidRPr="00172374">
        <w:rPr>
          <w:rFonts w:ascii="Times New Roman" w:hAnsi="Times New Roman"/>
          <w:sz w:val="24"/>
        </w:rPr>
        <w:t>established</w:t>
      </w:r>
      <w:r w:rsidRPr="00172374">
        <w:rPr>
          <w:rFonts w:ascii="Times New Roman" w:hAnsi="Times New Roman"/>
          <w:sz w:val="24"/>
        </w:rPr>
        <w:t xml:space="preserve"> measurement theory</w:t>
      </w:r>
      <w:r w:rsidR="00EC2DE8" w:rsidRPr="00172374">
        <w:rPr>
          <w:rFonts w:ascii="Times New Roman" w:hAnsi="Times New Roman"/>
          <w:sz w:val="24"/>
        </w:rPr>
        <w:t xml:space="preserve"> guidelines and scaling procedures</w:t>
      </w:r>
      <w:r w:rsidRPr="00172374">
        <w:rPr>
          <w:rFonts w:ascii="Times New Roman" w:hAnsi="Times New Roman"/>
          <w:sz w:val="24"/>
        </w:rPr>
        <w:t xml:space="preserve">, this </w:t>
      </w:r>
      <w:r w:rsidR="003224FA" w:rsidRPr="00172374">
        <w:rPr>
          <w:rFonts w:ascii="Times New Roman" w:hAnsi="Times New Roman"/>
          <w:sz w:val="24"/>
        </w:rPr>
        <w:t>article</w:t>
      </w:r>
      <w:r w:rsidRPr="00172374">
        <w:rPr>
          <w:rFonts w:ascii="Times New Roman" w:hAnsi="Times New Roman"/>
          <w:sz w:val="24"/>
        </w:rPr>
        <w:t xml:space="preserve"> </w:t>
      </w:r>
      <w:r w:rsidR="003224FA" w:rsidRPr="00172374">
        <w:rPr>
          <w:rFonts w:ascii="Times New Roman" w:hAnsi="Times New Roman"/>
          <w:sz w:val="24"/>
        </w:rPr>
        <w:t>reports</w:t>
      </w:r>
      <w:r w:rsidRPr="00172374">
        <w:rPr>
          <w:rFonts w:ascii="Times New Roman" w:hAnsi="Times New Roman"/>
          <w:sz w:val="24"/>
        </w:rPr>
        <w:t xml:space="preserve"> a series of </w:t>
      </w:r>
      <w:r w:rsidR="0076773A" w:rsidRPr="00172374">
        <w:rPr>
          <w:rFonts w:ascii="Times New Roman" w:hAnsi="Times New Roman"/>
          <w:sz w:val="24"/>
        </w:rPr>
        <w:t xml:space="preserve">five </w:t>
      </w:r>
      <w:r w:rsidR="0040576A" w:rsidRPr="00172374">
        <w:rPr>
          <w:rFonts w:ascii="Times New Roman" w:hAnsi="Times New Roman"/>
          <w:sz w:val="24"/>
        </w:rPr>
        <w:t>complementary</w:t>
      </w:r>
      <w:r w:rsidRPr="00172374">
        <w:rPr>
          <w:rFonts w:ascii="Times New Roman" w:hAnsi="Times New Roman"/>
          <w:sz w:val="24"/>
        </w:rPr>
        <w:t xml:space="preserve"> studies </w:t>
      </w:r>
      <w:r w:rsidR="003224FA" w:rsidRPr="00172374">
        <w:rPr>
          <w:rFonts w:ascii="Times New Roman" w:hAnsi="Times New Roman"/>
          <w:sz w:val="24"/>
        </w:rPr>
        <w:t>that collectively present the development of</w:t>
      </w:r>
      <w:r w:rsidRPr="00172374">
        <w:rPr>
          <w:rFonts w:ascii="Times New Roman" w:hAnsi="Times New Roman"/>
          <w:sz w:val="24"/>
        </w:rPr>
        <w:t xml:space="preserve"> a </w:t>
      </w:r>
      <w:r w:rsidR="000E291D" w:rsidRPr="00172374">
        <w:rPr>
          <w:rFonts w:ascii="Times New Roman" w:hAnsi="Times New Roman"/>
          <w:sz w:val="24"/>
        </w:rPr>
        <w:t xml:space="preserve">new </w:t>
      </w:r>
      <w:r w:rsidR="00BE3FE1" w:rsidRPr="00172374">
        <w:rPr>
          <w:rFonts w:ascii="Times New Roman" w:hAnsi="Times New Roman"/>
          <w:sz w:val="24"/>
        </w:rPr>
        <w:t xml:space="preserve">brand orientation </w:t>
      </w:r>
      <w:r w:rsidRPr="00172374">
        <w:rPr>
          <w:rFonts w:ascii="Times New Roman" w:hAnsi="Times New Roman"/>
          <w:sz w:val="24"/>
        </w:rPr>
        <w:t xml:space="preserve">scale to </w:t>
      </w:r>
      <w:r w:rsidR="00EC2DE8" w:rsidRPr="00172374">
        <w:rPr>
          <w:rFonts w:ascii="Times New Roman" w:hAnsi="Times New Roman"/>
          <w:sz w:val="24"/>
        </w:rPr>
        <w:t xml:space="preserve">measure an organization’s </w:t>
      </w:r>
      <w:r w:rsidRPr="00172374">
        <w:rPr>
          <w:rFonts w:ascii="Times New Roman" w:hAnsi="Times New Roman"/>
          <w:sz w:val="24"/>
        </w:rPr>
        <w:t xml:space="preserve">holistic approach </w:t>
      </w:r>
      <w:r w:rsidR="00DE6D60" w:rsidRPr="00172374">
        <w:rPr>
          <w:rFonts w:ascii="Times New Roman" w:hAnsi="Times New Roman"/>
          <w:sz w:val="24"/>
        </w:rPr>
        <w:t xml:space="preserve">to </w:t>
      </w:r>
      <w:r w:rsidRPr="00172374">
        <w:rPr>
          <w:rFonts w:ascii="Times New Roman" w:hAnsi="Times New Roman"/>
          <w:sz w:val="24"/>
        </w:rPr>
        <w:t>branding</w:t>
      </w:r>
      <w:r w:rsidR="0040576A" w:rsidRPr="00172374">
        <w:rPr>
          <w:rFonts w:ascii="Times New Roman" w:hAnsi="Times New Roman"/>
          <w:sz w:val="24"/>
        </w:rPr>
        <w:t xml:space="preserve">. The </w:t>
      </w:r>
      <w:r w:rsidR="00AE41F8" w:rsidRPr="00172374">
        <w:rPr>
          <w:rFonts w:ascii="Times New Roman" w:hAnsi="Times New Roman"/>
          <w:sz w:val="24"/>
        </w:rPr>
        <w:t xml:space="preserve">new </w:t>
      </w:r>
      <w:r w:rsidR="0040576A" w:rsidRPr="00172374">
        <w:rPr>
          <w:rFonts w:ascii="Times New Roman" w:hAnsi="Times New Roman"/>
          <w:sz w:val="24"/>
        </w:rPr>
        <w:t xml:space="preserve">scale comprises four dimensions (brand importance, brand consistency, </w:t>
      </w:r>
      <w:r w:rsidR="003224FA" w:rsidRPr="00172374">
        <w:rPr>
          <w:rFonts w:ascii="Times New Roman" w:hAnsi="Times New Roman"/>
          <w:sz w:val="24"/>
        </w:rPr>
        <w:t xml:space="preserve">brand differentiation, </w:t>
      </w:r>
      <w:r w:rsidR="00DE6D60" w:rsidRPr="00172374">
        <w:rPr>
          <w:rFonts w:ascii="Times New Roman" w:hAnsi="Times New Roman"/>
          <w:sz w:val="24"/>
        </w:rPr>
        <w:t xml:space="preserve">and </w:t>
      </w:r>
      <w:r w:rsidR="0040576A" w:rsidRPr="00172374">
        <w:rPr>
          <w:rFonts w:ascii="Times New Roman" w:hAnsi="Times New Roman"/>
          <w:sz w:val="24"/>
        </w:rPr>
        <w:t xml:space="preserve">brand intelligence) and demonstrates </w:t>
      </w:r>
      <w:r w:rsidR="003224FA" w:rsidRPr="00172374">
        <w:rPr>
          <w:rFonts w:ascii="Times New Roman" w:hAnsi="Times New Roman"/>
          <w:sz w:val="24"/>
        </w:rPr>
        <w:t xml:space="preserve">satisfactory </w:t>
      </w:r>
      <w:r w:rsidR="0040576A" w:rsidRPr="00172374">
        <w:rPr>
          <w:rFonts w:ascii="Times New Roman" w:hAnsi="Times New Roman"/>
          <w:sz w:val="24"/>
        </w:rPr>
        <w:t xml:space="preserve">psychometric </w:t>
      </w:r>
      <w:r w:rsidR="003224FA" w:rsidRPr="00172374">
        <w:rPr>
          <w:rFonts w:ascii="Times New Roman" w:hAnsi="Times New Roman"/>
          <w:sz w:val="24"/>
        </w:rPr>
        <w:t>properties</w:t>
      </w:r>
      <w:r w:rsidR="0040576A" w:rsidRPr="00172374">
        <w:rPr>
          <w:rFonts w:ascii="Times New Roman" w:hAnsi="Times New Roman"/>
          <w:sz w:val="24"/>
        </w:rPr>
        <w:t xml:space="preserve"> of reliability and validity. </w:t>
      </w:r>
      <w:r w:rsidR="00DE6D60" w:rsidRPr="00172374">
        <w:rPr>
          <w:rFonts w:ascii="Times New Roman" w:hAnsi="Times New Roman"/>
          <w:sz w:val="24"/>
        </w:rPr>
        <w:t>The f</w:t>
      </w:r>
      <w:r w:rsidR="002C4B2E" w:rsidRPr="00172374">
        <w:rPr>
          <w:rFonts w:ascii="Times New Roman" w:hAnsi="Times New Roman"/>
          <w:sz w:val="24"/>
        </w:rPr>
        <w:t>indings suggest that</w:t>
      </w:r>
      <w:r w:rsidR="003224FA" w:rsidRPr="00172374">
        <w:rPr>
          <w:rFonts w:ascii="Times New Roman" w:hAnsi="Times New Roman"/>
          <w:sz w:val="24"/>
        </w:rPr>
        <w:t xml:space="preserve"> brand orientation (1)</w:t>
      </w:r>
      <w:r w:rsidR="002C4B2E" w:rsidRPr="00172374">
        <w:rPr>
          <w:rFonts w:ascii="Times New Roman" w:hAnsi="Times New Roman"/>
          <w:sz w:val="24"/>
        </w:rPr>
        <w:t xml:space="preserve"> </w:t>
      </w:r>
      <w:r w:rsidR="003224FA" w:rsidRPr="00172374">
        <w:rPr>
          <w:rFonts w:ascii="Times New Roman" w:hAnsi="Times New Roman"/>
          <w:sz w:val="24"/>
        </w:rPr>
        <w:t xml:space="preserve">is stronger in companies </w:t>
      </w:r>
      <w:r w:rsidR="00DE6D60" w:rsidRPr="00172374">
        <w:rPr>
          <w:rFonts w:ascii="Times New Roman" w:hAnsi="Times New Roman"/>
          <w:sz w:val="24"/>
        </w:rPr>
        <w:t xml:space="preserve">in which </w:t>
      </w:r>
      <w:r w:rsidR="003224FA" w:rsidRPr="00172374">
        <w:rPr>
          <w:rFonts w:ascii="Times New Roman" w:hAnsi="Times New Roman"/>
          <w:sz w:val="24"/>
        </w:rPr>
        <w:t xml:space="preserve">the power of the marketing department in organizational decision making is high and (2) </w:t>
      </w:r>
      <w:r w:rsidR="00BE3FE1" w:rsidRPr="00172374">
        <w:rPr>
          <w:rFonts w:ascii="Times New Roman" w:hAnsi="Times New Roman"/>
          <w:sz w:val="24"/>
        </w:rPr>
        <w:t xml:space="preserve">serially </w:t>
      </w:r>
      <w:r w:rsidR="003224FA" w:rsidRPr="00172374">
        <w:rPr>
          <w:rFonts w:ascii="Times New Roman" w:hAnsi="Times New Roman"/>
          <w:sz w:val="24"/>
        </w:rPr>
        <w:t>mediates the effects of market</w:t>
      </w:r>
      <w:r w:rsidR="00BE3FE1" w:rsidRPr="00172374">
        <w:rPr>
          <w:rFonts w:ascii="Times New Roman" w:hAnsi="Times New Roman"/>
          <w:sz w:val="24"/>
        </w:rPr>
        <w:t>ing department power and market</w:t>
      </w:r>
      <w:r w:rsidR="003224FA" w:rsidRPr="00172374">
        <w:rPr>
          <w:rFonts w:ascii="Times New Roman" w:hAnsi="Times New Roman"/>
          <w:sz w:val="24"/>
        </w:rPr>
        <w:t xml:space="preserve"> orientation on </w:t>
      </w:r>
      <w:r w:rsidR="005B66EE" w:rsidRPr="00172374">
        <w:rPr>
          <w:rFonts w:ascii="Times New Roman" w:hAnsi="Times New Roman"/>
          <w:sz w:val="24"/>
        </w:rPr>
        <w:t xml:space="preserve">financial </w:t>
      </w:r>
      <w:r w:rsidR="003224FA" w:rsidRPr="00172374">
        <w:rPr>
          <w:rFonts w:ascii="Times New Roman" w:hAnsi="Times New Roman"/>
          <w:sz w:val="24"/>
        </w:rPr>
        <w:t>performance</w:t>
      </w:r>
      <w:r w:rsidR="00655137" w:rsidRPr="00172374">
        <w:rPr>
          <w:rFonts w:ascii="Times New Roman" w:hAnsi="Times New Roman"/>
          <w:sz w:val="24"/>
        </w:rPr>
        <w:t xml:space="preserve">. </w:t>
      </w:r>
    </w:p>
    <w:p w14:paraId="1D0FC5CC" w14:textId="77777777" w:rsidR="0041255D" w:rsidRPr="00172374" w:rsidRDefault="0041255D" w:rsidP="000D59B1">
      <w:pPr>
        <w:spacing w:line="480" w:lineRule="auto"/>
      </w:pPr>
    </w:p>
    <w:p w14:paraId="0123D205" w14:textId="25D1499E" w:rsidR="00922393" w:rsidRPr="00172374" w:rsidRDefault="00D07092" w:rsidP="000D59B1">
      <w:pPr>
        <w:pStyle w:val="a3"/>
        <w:spacing w:after="0" w:line="480" w:lineRule="auto"/>
        <w:ind w:left="0"/>
        <w:rPr>
          <w:rFonts w:ascii="Times New Roman" w:hAnsi="Times New Roman"/>
          <w:sz w:val="24"/>
        </w:rPr>
      </w:pPr>
      <w:r w:rsidRPr="00172374">
        <w:rPr>
          <w:rFonts w:ascii="Times New Roman" w:hAnsi="Times New Roman"/>
          <w:b/>
          <w:sz w:val="24"/>
        </w:rPr>
        <w:t>Key</w:t>
      </w:r>
      <w:r w:rsidR="00922393" w:rsidRPr="00172374">
        <w:rPr>
          <w:rFonts w:ascii="Times New Roman" w:hAnsi="Times New Roman"/>
          <w:b/>
          <w:sz w:val="24"/>
        </w:rPr>
        <w:t>words:</w:t>
      </w:r>
      <w:r w:rsidR="00922393" w:rsidRPr="00172374">
        <w:rPr>
          <w:rFonts w:ascii="Times New Roman" w:hAnsi="Times New Roman"/>
          <w:sz w:val="24"/>
        </w:rPr>
        <w:t xml:space="preserve"> </w:t>
      </w:r>
      <w:r w:rsidR="00DE6D60" w:rsidRPr="00172374">
        <w:rPr>
          <w:rFonts w:ascii="Times New Roman" w:hAnsi="Times New Roman"/>
          <w:sz w:val="24"/>
        </w:rPr>
        <w:t>B</w:t>
      </w:r>
      <w:r w:rsidR="00E72D44" w:rsidRPr="00172374">
        <w:rPr>
          <w:rFonts w:ascii="Times New Roman" w:hAnsi="Times New Roman"/>
          <w:sz w:val="24"/>
        </w:rPr>
        <w:t>rand orientation</w:t>
      </w:r>
      <w:r w:rsidR="00DE6D60" w:rsidRPr="00172374">
        <w:rPr>
          <w:rFonts w:ascii="Times New Roman" w:hAnsi="Times New Roman"/>
          <w:sz w:val="24"/>
        </w:rPr>
        <w:t>;</w:t>
      </w:r>
      <w:r w:rsidR="00E72D44" w:rsidRPr="00172374">
        <w:rPr>
          <w:rFonts w:ascii="Times New Roman" w:hAnsi="Times New Roman"/>
          <w:sz w:val="24"/>
        </w:rPr>
        <w:t xml:space="preserve"> </w:t>
      </w:r>
      <w:r w:rsidR="00DE6D60" w:rsidRPr="00172374">
        <w:rPr>
          <w:rFonts w:ascii="Times New Roman" w:hAnsi="Times New Roman"/>
          <w:sz w:val="24"/>
        </w:rPr>
        <w:t>S</w:t>
      </w:r>
      <w:r w:rsidR="00E72D44" w:rsidRPr="00172374">
        <w:rPr>
          <w:rFonts w:ascii="Times New Roman" w:hAnsi="Times New Roman"/>
          <w:sz w:val="24"/>
        </w:rPr>
        <w:t>cale development</w:t>
      </w:r>
      <w:r w:rsidR="00DE6D60" w:rsidRPr="00172374">
        <w:rPr>
          <w:rFonts w:ascii="Times New Roman" w:hAnsi="Times New Roman"/>
          <w:sz w:val="24"/>
        </w:rPr>
        <w:t>; M</w:t>
      </w:r>
      <w:r w:rsidR="00E72D44" w:rsidRPr="00172374">
        <w:rPr>
          <w:rFonts w:ascii="Times New Roman" w:hAnsi="Times New Roman"/>
          <w:sz w:val="24"/>
        </w:rPr>
        <w:t>arketing department power</w:t>
      </w:r>
      <w:r w:rsidR="00DE6D60" w:rsidRPr="00172374">
        <w:rPr>
          <w:rFonts w:ascii="Times New Roman" w:hAnsi="Times New Roman"/>
          <w:sz w:val="24"/>
        </w:rPr>
        <w:t>; M</w:t>
      </w:r>
      <w:r w:rsidR="00E72D44" w:rsidRPr="00172374">
        <w:rPr>
          <w:rFonts w:ascii="Times New Roman" w:hAnsi="Times New Roman"/>
          <w:sz w:val="24"/>
        </w:rPr>
        <w:t>arket orientation</w:t>
      </w:r>
    </w:p>
    <w:p w14:paraId="563CB20D" w14:textId="77777777" w:rsidR="00922393" w:rsidRPr="00172374" w:rsidRDefault="00922393" w:rsidP="000D59B1">
      <w:pPr>
        <w:spacing w:line="480" w:lineRule="auto"/>
      </w:pPr>
      <w:r w:rsidRPr="00172374">
        <w:br w:type="page"/>
      </w:r>
    </w:p>
    <w:p w14:paraId="71878B51" w14:textId="77777777" w:rsidR="00922393" w:rsidRPr="00172374" w:rsidRDefault="00922393" w:rsidP="000D59B1">
      <w:pPr>
        <w:pStyle w:val="a3"/>
        <w:spacing w:after="0" w:line="480" w:lineRule="auto"/>
        <w:ind w:left="0"/>
        <w:contextualSpacing w:val="0"/>
        <w:rPr>
          <w:rFonts w:ascii="Times New Roman" w:hAnsi="Times New Roman"/>
          <w:b/>
          <w:sz w:val="24"/>
        </w:rPr>
      </w:pPr>
      <w:r w:rsidRPr="00172374">
        <w:rPr>
          <w:rFonts w:ascii="Times New Roman" w:hAnsi="Times New Roman"/>
          <w:b/>
          <w:sz w:val="24"/>
        </w:rPr>
        <w:lastRenderedPageBreak/>
        <w:t>1. Introduction</w:t>
      </w:r>
    </w:p>
    <w:p w14:paraId="77F88B9F" w14:textId="5B30105E" w:rsidR="004A6595" w:rsidRPr="00172374" w:rsidRDefault="004D4E34" w:rsidP="009D7D1A">
      <w:pPr>
        <w:spacing w:line="480" w:lineRule="auto"/>
        <w:ind w:firstLine="567"/>
      </w:pPr>
      <w:r w:rsidRPr="00172374">
        <w:t xml:space="preserve">Strong brands </w:t>
      </w:r>
      <w:r w:rsidR="00D37615" w:rsidRPr="00172374">
        <w:t xml:space="preserve">are </w:t>
      </w:r>
      <w:r w:rsidRPr="00172374">
        <w:t>economic</w:t>
      </w:r>
      <w:r w:rsidR="00D37615" w:rsidRPr="00172374">
        <w:t>ally</w:t>
      </w:r>
      <w:r w:rsidRPr="00172374">
        <w:t xml:space="preserve"> importan</w:t>
      </w:r>
      <w:r w:rsidR="00D37615" w:rsidRPr="00172374">
        <w:t>t</w:t>
      </w:r>
      <w:r w:rsidRPr="00172374">
        <w:t xml:space="preserve"> to companies and constitute one of their most valuable assets</w:t>
      </w:r>
      <w:r w:rsidR="008811F4" w:rsidRPr="00172374">
        <w:t xml:space="preserve"> (</w:t>
      </w:r>
      <w:proofErr w:type="spellStart"/>
      <w:r w:rsidR="001E37BF" w:rsidRPr="00172374">
        <w:t>Ertekin</w:t>
      </w:r>
      <w:proofErr w:type="spellEnd"/>
      <w:r w:rsidR="001E37BF" w:rsidRPr="00172374">
        <w:t xml:space="preserve">, </w:t>
      </w:r>
      <w:proofErr w:type="spellStart"/>
      <w:r w:rsidR="001E37BF" w:rsidRPr="00172374">
        <w:t>Sorescu</w:t>
      </w:r>
      <w:proofErr w:type="spellEnd"/>
      <w:r w:rsidR="001E37BF" w:rsidRPr="00172374">
        <w:t xml:space="preserve">, &amp; Houston, 2018; </w:t>
      </w:r>
      <w:r w:rsidR="008811F4" w:rsidRPr="00172374">
        <w:t xml:space="preserve">Fischer, </w:t>
      </w:r>
      <w:proofErr w:type="spellStart"/>
      <w:r w:rsidR="008811F4" w:rsidRPr="00172374">
        <w:t>Völckner</w:t>
      </w:r>
      <w:proofErr w:type="spellEnd"/>
      <w:r w:rsidR="008811F4" w:rsidRPr="00172374">
        <w:t>, &amp; Sattler, 2010)</w:t>
      </w:r>
      <w:r w:rsidRPr="00172374">
        <w:t xml:space="preserve">. </w:t>
      </w:r>
      <w:r w:rsidR="00B31813" w:rsidRPr="00172374">
        <w:t>Global</w:t>
      </w:r>
      <w:r w:rsidR="00D37615" w:rsidRPr="00172374">
        <w:t>,</w:t>
      </w:r>
      <w:r w:rsidR="00B31813" w:rsidRPr="00172374">
        <w:t xml:space="preserve"> well-established brands such as Apple or </w:t>
      </w:r>
      <w:r w:rsidR="006E4044" w:rsidRPr="00172374">
        <w:t>Samsung are valued at around $234 and $61</w:t>
      </w:r>
      <w:r w:rsidR="00B31813" w:rsidRPr="00172374">
        <w:t xml:space="preserve"> billion</w:t>
      </w:r>
      <w:r w:rsidR="00D37615" w:rsidRPr="00172374">
        <w:t>,</w:t>
      </w:r>
      <w:r w:rsidR="00B31813" w:rsidRPr="00172374">
        <w:t xml:space="preserve"> respectively (Interbrand, 201</w:t>
      </w:r>
      <w:r w:rsidR="006E4044" w:rsidRPr="00172374">
        <w:t>9</w:t>
      </w:r>
      <w:r w:rsidR="00B31813" w:rsidRPr="00172374">
        <w:t>), but only a small part of their valuation can be attributed to tangible non</w:t>
      </w:r>
      <w:r w:rsidR="00D37615" w:rsidRPr="00172374">
        <w:t>-</w:t>
      </w:r>
      <w:r w:rsidR="00B31813" w:rsidRPr="00172374">
        <w:t xml:space="preserve">brand-related assets. </w:t>
      </w:r>
      <w:bookmarkStart w:id="1" w:name="_Hlk34313288"/>
      <w:r w:rsidR="00B31813" w:rsidRPr="00172374">
        <w:t xml:space="preserve">Professionals </w:t>
      </w:r>
      <w:r w:rsidR="00C406EC" w:rsidRPr="00172374">
        <w:t xml:space="preserve">are </w:t>
      </w:r>
      <w:r w:rsidR="002831E4" w:rsidRPr="00172374">
        <w:t xml:space="preserve">increasingly </w:t>
      </w:r>
      <w:r w:rsidR="00B31813" w:rsidRPr="00172374">
        <w:t>recogniz</w:t>
      </w:r>
      <w:r w:rsidR="00C406EC" w:rsidRPr="00172374">
        <w:t>ing</w:t>
      </w:r>
      <w:r w:rsidR="00B31813" w:rsidRPr="00172374">
        <w:t xml:space="preserve"> the importance of powerful brands,</w:t>
      </w:r>
      <w:bookmarkEnd w:id="1"/>
      <w:r w:rsidR="00B31813" w:rsidRPr="00172374">
        <w:t xml:space="preserve"> as </w:t>
      </w:r>
      <w:r w:rsidR="00DF5D06" w:rsidRPr="00172374">
        <w:t>they</w:t>
      </w:r>
      <w:r w:rsidR="003F3EEF" w:rsidRPr="00172374">
        <w:t xml:space="preserve"> benefit companies by adding value, positively affecting consumer perceptions, acting as barriers to competition, </w:t>
      </w:r>
      <w:r w:rsidR="004F15E4" w:rsidRPr="00172374">
        <w:t xml:space="preserve">and </w:t>
      </w:r>
      <w:r w:rsidR="00197283" w:rsidRPr="00172374">
        <w:t xml:space="preserve">improving profits </w:t>
      </w:r>
      <w:r w:rsidR="003F3EEF" w:rsidRPr="00172374">
        <w:t>(</w:t>
      </w:r>
      <w:proofErr w:type="spellStart"/>
      <w:r w:rsidR="00BE5E74" w:rsidRPr="00172374">
        <w:t>Greyser</w:t>
      </w:r>
      <w:proofErr w:type="spellEnd"/>
      <w:r w:rsidR="00BE5E74" w:rsidRPr="00172374">
        <w:t xml:space="preserve"> &amp; </w:t>
      </w:r>
      <w:proofErr w:type="spellStart"/>
      <w:r w:rsidR="00BE5E74" w:rsidRPr="00172374">
        <w:t>Urde</w:t>
      </w:r>
      <w:proofErr w:type="spellEnd"/>
      <w:r w:rsidR="00BE5E74" w:rsidRPr="00172374">
        <w:t xml:space="preserve">, 2019; </w:t>
      </w:r>
      <w:r w:rsidR="00336708" w:rsidRPr="00172374">
        <w:t>Park, Eisingerich, Pol, &amp; Park, 2013</w:t>
      </w:r>
      <w:r w:rsidR="003F3EEF" w:rsidRPr="00172374">
        <w:t>).</w:t>
      </w:r>
      <w:r w:rsidR="00293B8A" w:rsidRPr="00172374">
        <w:t xml:space="preserve"> </w:t>
      </w:r>
      <w:r w:rsidR="00C81130" w:rsidRPr="00172374">
        <w:t>B</w:t>
      </w:r>
      <w:r w:rsidR="004A6595" w:rsidRPr="00172374">
        <w:t>uilding and sustaining strong brands presupposes resources, winning strategies</w:t>
      </w:r>
      <w:r w:rsidR="00D37615" w:rsidRPr="00172374">
        <w:t>,</w:t>
      </w:r>
      <w:r w:rsidR="004A6595" w:rsidRPr="00172374">
        <w:t xml:space="preserve"> and </w:t>
      </w:r>
      <w:r w:rsidR="001B1265" w:rsidRPr="00172374">
        <w:t>careful</w:t>
      </w:r>
      <w:r w:rsidR="004A6595" w:rsidRPr="00172374">
        <w:t xml:space="preserve"> executions from commi</w:t>
      </w:r>
      <w:r w:rsidR="00C81130" w:rsidRPr="00172374">
        <w:t>tted, disciplined organizations</w:t>
      </w:r>
      <w:r w:rsidR="004A6595" w:rsidRPr="00172374">
        <w:t xml:space="preserve"> (</w:t>
      </w:r>
      <w:r w:rsidR="005C4787" w:rsidRPr="00172374">
        <w:t>Aaker, 1996</w:t>
      </w:r>
      <w:r w:rsidR="009658FB" w:rsidRPr="00172374">
        <w:t>a</w:t>
      </w:r>
      <w:r w:rsidR="00C155C7" w:rsidRPr="00172374">
        <w:t xml:space="preserve">; </w:t>
      </w:r>
      <w:r w:rsidR="00437DC1" w:rsidRPr="00172374">
        <w:t xml:space="preserve">Lee, </w:t>
      </w:r>
      <w:proofErr w:type="spellStart"/>
      <w:r w:rsidR="00437DC1" w:rsidRPr="00172374">
        <w:t>O’Cass</w:t>
      </w:r>
      <w:proofErr w:type="spellEnd"/>
      <w:r w:rsidR="00437DC1" w:rsidRPr="00172374">
        <w:t xml:space="preserve">, &amp; </w:t>
      </w:r>
      <w:proofErr w:type="spellStart"/>
      <w:r w:rsidR="00437DC1" w:rsidRPr="00172374">
        <w:t>Sok</w:t>
      </w:r>
      <w:proofErr w:type="spellEnd"/>
      <w:r w:rsidR="00437DC1" w:rsidRPr="00172374">
        <w:t>, 2017</w:t>
      </w:r>
      <w:r w:rsidR="004A6595" w:rsidRPr="00172374">
        <w:t>).</w:t>
      </w:r>
      <w:r w:rsidR="00465C61" w:rsidRPr="00172374">
        <w:t xml:space="preserve"> </w:t>
      </w:r>
      <w:r w:rsidR="00476266" w:rsidRPr="00172374">
        <w:t>This is probably the reason both marketing scholars (</w:t>
      </w:r>
      <w:r w:rsidR="00352883" w:rsidRPr="00172374">
        <w:t xml:space="preserve">Keller &amp; Lehmann, 2006; </w:t>
      </w:r>
      <w:r w:rsidR="00476266" w:rsidRPr="00172374">
        <w:t>Shocker</w:t>
      </w:r>
      <w:r w:rsidR="00CA225F" w:rsidRPr="00172374">
        <w:t>, Srivastava</w:t>
      </w:r>
      <w:r w:rsidR="008F1936" w:rsidRPr="00172374">
        <w:t>,</w:t>
      </w:r>
      <w:r w:rsidR="00CA225F" w:rsidRPr="00172374">
        <w:t xml:space="preserve"> </w:t>
      </w:r>
      <w:r w:rsidR="003A4178" w:rsidRPr="00172374">
        <w:t>&amp;</w:t>
      </w:r>
      <w:r w:rsidR="00CA225F" w:rsidRPr="00172374">
        <w:t xml:space="preserve"> </w:t>
      </w:r>
      <w:proofErr w:type="spellStart"/>
      <w:r w:rsidR="00CA225F" w:rsidRPr="00172374">
        <w:t>Ruekert</w:t>
      </w:r>
      <w:proofErr w:type="spellEnd"/>
      <w:r w:rsidR="00CA225F" w:rsidRPr="00172374">
        <w:t xml:space="preserve">, </w:t>
      </w:r>
      <w:r w:rsidR="00476266" w:rsidRPr="00172374">
        <w:t>1994)</w:t>
      </w:r>
      <w:r w:rsidR="00D37615" w:rsidRPr="00172374">
        <w:t xml:space="preserve"> and</w:t>
      </w:r>
      <w:r w:rsidR="00476266" w:rsidRPr="00172374">
        <w:t xml:space="preserve"> practitioners (McKinsey</w:t>
      </w:r>
      <w:r w:rsidR="00822011" w:rsidRPr="00172374">
        <w:t xml:space="preserve"> &amp; Company</w:t>
      </w:r>
      <w:r w:rsidR="00476266" w:rsidRPr="00172374">
        <w:t xml:space="preserve">, 2003) have </w:t>
      </w:r>
      <w:r w:rsidR="0029594E" w:rsidRPr="00172374">
        <w:t xml:space="preserve">long </w:t>
      </w:r>
      <w:r w:rsidR="00476266" w:rsidRPr="00172374">
        <w:t>stress</w:t>
      </w:r>
      <w:r w:rsidR="00D37615" w:rsidRPr="00172374">
        <w:t>ed</w:t>
      </w:r>
      <w:r w:rsidR="00476266" w:rsidRPr="00172374">
        <w:t xml:space="preserve"> the need </w:t>
      </w:r>
      <w:r w:rsidR="001B1265" w:rsidRPr="00172374">
        <w:t>to develop</w:t>
      </w:r>
      <w:r w:rsidR="00476266" w:rsidRPr="00172374">
        <w:t xml:space="preserve"> an integrative </w:t>
      </w:r>
      <w:r w:rsidR="00822011" w:rsidRPr="00172374">
        <w:t>theory to guide brand management,</w:t>
      </w:r>
      <w:r w:rsidR="00476266" w:rsidRPr="00172374">
        <w:t xml:space="preserve"> </w:t>
      </w:r>
      <w:r w:rsidR="00822011" w:rsidRPr="00172374">
        <w:t>b</w:t>
      </w:r>
      <w:r w:rsidR="008C0D42" w:rsidRPr="00172374">
        <w:t xml:space="preserve">ased on the concession that no single or dominant theoretical framework </w:t>
      </w:r>
      <w:r w:rsidR="00D37615" w:rsidRPr="00172374">
        <w:t xml:space="preserve">exists </w:t>
      </w:r>
      <w:r w:rsidR="008C0D42" w:rsidRPr="00172374">
        <w:t>to guide research in this area</w:t>
      </w:r>
      <w:r w:rsidR="00822011" w:rsidRPr="00172374">
        <w:t xml:space="preserve">. </w:t>
      </w:r>
    </w:p>
    <w:p w14:paraId="151153DE" w14:textId="1C8DD8DE" w:rsidR="005E1521" w:rsidRPr="00172374" w:rsidRDefault="007047FC" w:rsidP="000D59B1">
      <w:pPr>
        <w:pStyle w:val="a3"/>
        <w:spacing w:after="0" w:line="480" w:lineRule="auto"/>
        <w:ind w:left="0" w:firstLine="567"/>
        <w:rPr>
          <w:rFonts w:ascii="Times New Roman" w:hAnsi="Times New Roman"/>
          <w:sz w:val="24"/>
          <w:lang w:val="en-US"/>
        </w:rPr>
      </w:pPr>
      <w:r w:rsidRPr="00172374">
        <w:rPr>
          <w:rFonts w:ascii="Times New Roman" w:hAnsi="Times New Roman"/>
          <w:sz w:val="24"/>
          <w:lang w:val="en-US"/>
        </w:rPr>
        <w:t>A</w:t>
      </w:r>
      <w:r w:rsidR="008C0D42" w:rsidRPr="00172374">
        <w:rPr>
          <w:rFonts w:ascii="Times New Roman" w:hAnsi="Times New Roman"/>
          <w:sz w:val="24"/>
          <w:lang w:val="en-US"/>
        </w:rPr>
        <w:t xml:space="preserve">lthough these calls are </w:t>
      </w:r>
      <w:r w:rsidR="00822011" w:rsidRPr="00172374">
        <w:rPr>
          <w:rFonts w:ascii="Times New Roman" w:hAnsi="Times New Roman"/>
          <w:sz w:val="24"/>
          <w:lang w:val="en-US"/>
        </w:rPr>
        <w:t>not recent</w:t>
      </w:r>
      <w:r w:rsidR="008C0D42" w:rsidRPr="00172374">
        <w:rPr>
          <w:rFonts w:ascii="Times New Roman" w:hAnsi="Times New Roman"/>
          <w:sz w:val="24"/>
          <w:lang w:val="en-US"/>
        </w:rPr>
        <w:t xml:space="preserve">, </w:t>
      </w:r>
      <w:proofErr w:type="gramStart"/>
      <w:r w:rsidR="00EA443A" w:rsidRPr="00172374">
        <w:rPr>
          <w:rFonts w:ascii="Times New Roman" w:hAnsi="Times New Roman"/>
          <w:sz w:val="24"/>
          <w:lang w:val="en-US"/>
        </w:rPr>
        <w:t>no</w:t>
      </w:r>
      <w:proofErr w:type="gramEnd"/>
      <w:r w:rsidR="00EA443A" w:rsidRPr="00172374">
        <w:rPr>
          <w:rFonts w:ascii="Times New Roman" w:hAnsi="Times New Roman"/>
          <w:sz w:val="24"/>
          <w:lang w:val="en-US"/>
        </w:rPr>
        <w:t xml:space="preserve"> </w:t>
      </w:r>
      <w:r w:rsidRPr="00172374">
        <w:rPr>
          <w:rFonts w:ascii="Times New Roman" w:hAnsi="Times New Roman"/>
          <w:sz w:val="24"/>
          <w:lang w:val="en-US"/>
        </w:rPr>
        <w:t>widely accepted and empirically validated</w:t>
      </w:r>
      <w:r w:rsidR="000B1F37" w:rsidRPr="00172374">
        <w:rPr>
          <w:rFonts w:ascii="Times New Roman" w:hAnsi="Times New Roman"/>
          <w:sz w:val="24"/>
          <w:lang w:val="en-US"/>
        </w:rPr>
        <w:t xml:space="preserve"> tools </w:t>
      </w:r>
      <w:r w:rsidR="00C406EC" w:rsidRPr="00172374">
        <w:rPr>
          <w:rFonts w:ascii="Times New Roman" w:hAnsi="Times New Roman"/>
          <w:sz w:val="24"/>
          <w:lang w:val="en-US"/>
        </w:rPr>
        <w:t xml:space="preserve">exist </w:t>
      </w:r>
      <w:r w:rsidR="000B1F37" w:rsidRPr="00172374">
        <w:rPr>
          <w:rFonts w:ascii="Times New Roman" w:hAnsi="Times New Roman"/>
          <w:sz w:val="24"/>
          <w:lang w:val="en-US"/>
        </w:rPr>
        <w:t>to measure</w:t>
      </w:r>
      <w:r w:rsidRPr="00172374">
        <w:rPr>
          <w:rFonts w:ascii="Times New Roman" w:hAnsi="Times New Roman"/>
          <w:sz w:val="24"/>
          <w:lang w:val="en-US"/>
        </w:rPr>
        <w:t xml:space="preserve"> </w:t>
      </w:r>
      <w:r w:rsidR="000B1F37" w:rsidRPr="00172374">
        <w:rPr>
          <w:rFonts w:ascii="Times New Roman" w:hAnsi="Times New Roman"/>
          <w:sz w:val="24"/>
          <w:lang w:val="en-US"/>
        </w:rPr>
        <w:t xml:space="preserve">organizational </w:t>
      </w:r>
      <w:r w:rsidRPr="00172374">
        <w:rPr>
          <w:rFonts w:ascii="Times New Roman" w:hAnsi="Times New Roman"/>
          <w:sz w:val="24"/>
          <w:lang w:val="en-US"/>
        </w:rPr>
        <w:t xml:space="preserve">brand management </w:t>
      </w:r>
      <w:r w:rsidR="000B1F37" w:rsidRPr="00172374">
        <w:rPr>
          <w:rFonts w:ascii="Times New Roman" w:hAnsi="Times New Roman"/>
          <w:sz w:val="24"/>
          <w:lang w:val="en-US"/>
        </w:rPr>
        <w:t>behaviors</w:t>
      </w:r>
      <w:r w:rsidRPr="00172374">
        <w:rPr>
          <w:rFonts w:ascii="Times New Roman" w:hAnsi="Times New Roman"/>
          <w:sz w:val="24"/>
          <w:lang w:val="en-US"/>
        </w:rPr>
        <w:t xml:space="preserve">. </w:t>
      </w:r>
      <w:r w:rsidR="00822011" w:rsidRPr="00172374">
        <w:rPr>
          <w:rFonts w:ascii="Times New Roman" w:hAnsi="Times New Roman"/>
          <w:sz w:val="24"/>
          <w:lang w:val="en-US"/>
        </w:rPr>
        <w:t>Extant contributions</w:t>
      </w:r>
      <w:r w:rsidRPr="00172374">
        <w:rPr>
          <w:rFonts w:ascii="Times New Roman" w:hAnsi="Times New Roman"/>
          <w:sz w:val="24"/>
          <w:lang w:val="en-US"/>
        </w:rPr>
        <w:t xml:space="preserve"> to determine the most appropriate strategies firms should follow to develop and maintain </w:t>
      </w:r>
      <w:r w:rsidR="00B10387" w:rsidRPr="00172374">
        <w:rPr>
          <w:rFonts w:ascii="Times New Roman" w:hAnsi="Times New Roman"/>
          <w:sz w:val="24"/>
          <w:lang w:val="en-US"/>
        </w:rPr>
        <w:t>strong</w:t>
      </w:r>
      <w:r w:rsidRPr="00172374">
        <w:rPr>
          <w:rFonts w:ascii="Times New Roman" w:hAnsi="Times New Roman"/>
          <w:sz w:val="24"/>
          <w:lang w:val="en-US"/>
        </w:rPr>
        <w:t xml:space="preserve"> brands (e.g.</w:t>
      </w:r>
      <w:r w:rsidR="00897A93" w:rsidRPr="00172374">
        <w:rPr>
          <w:rFonts w:ascii="Times New Roman" w:hAnsi="Times New Roman"/>
          <w:sz w:val="24"/>
          <w:lang w:val="en-US"/>
        </w:rPr>
        <w:t>,</w:t>
      </w:r>
      <w:r w:rsidRPr="00172374">
        <w:rPr>
          <w:rFonts w:ascii="Times New Roman" w:hAnsi="Times New Roman"/>
          <w:sz w:val="24"/>
          <w:lang w:val="en-US"/>
        </w:rPr>
        <w:t xml:space="preserve"> </w:t>
      </w:r>
      <w:r w:rsidR="00FE5DC5" w:rsidRPr="00172374">
        <w:rPr>
          <w:rFonts w:ascii="Times New Roman" w:hAnsi="Times New Roman"/>
          <w:sz w:val="24"/>
          <w:lang w:val="en-US"/>
        </w:rPr>
        <w:t>Davis &amp; Dunn</w:t>
      </w:r>
      <w:r w:rsidRPr="00172374">
        <w:rPr>
          <w:rFonts w:ascii="Times New Roman" w:hAnsi="Times New Roman"/>
          <w:sz w:val="24"/>
          <w:lang w:val="en-US"/>
        </w:rPr>
        <w:t xml:space="preserve">, 2002; </w:t>
      </w:r>
      <w:r w:rsidR="00904498" w:rsidRPr="00172374">
        <w:rPr>
          <w:rFonts w:ascii="Times New Roman" w:hAnsi="Times New Roman"/>
          <w:sz w:val="24"/>
          <w:lang w:val="en-US"/>
        </w:rPr>
        <w:t>D</w:t>
      </w:r>
      <w:r w:rsidR="00352883" w:rsidRPr="00172374">
        <w:rPr>
          <w:rFonts w:ascii="Times New Roman" w:hAnsi="Times New Roman"/>
          <w:sz w:val="24"/>
          <w:lang w:val="en-US"/>
        </w:rPr>
        <w:t xml:space="preserve">e </w:t>
      </w:r>
      <w:proofErr w:type="spellStart"/>
      <w:r w:rsidR="00352883" w:rsidRPr="00172374">
        <w:rPr>
          <w:rFonts w:ascii="Times New Roman" w:hAnsi="Times New Roman"/>
          <w:sz w:val="24"/>
          <w:lang w:val="en-US"/>
        </w:rPr>
        <w:t>Chernatony</w:t>
      </w:r>
      <w:proofErr w:type="spellEnd"/>
      <w:r w:rsidR="00352883" w:rsidRPr="00172374">
        <w:rPr>
          <w:rFonts w:ascii="Times New Roman" w:hAnsi="Times New Roman"/>
          <w:sz w:val="24"/>
          <w:lang w:val="en-US"/>
        </w:rPr>
        <w:t>, McDonald</w:t>
      </w:r>
      <w:r w:rsidR="00904498" w:rsidRPr="00172374">
        <w:rPr>
          <w:rFonts w:ascii="Times New Roman" w:hAnsi="Times New Roman"/>
          <w:sz w:val="24"/>
          <w:lang w:val="en-US"/>
        </w:rPr>
        <w:t>,</w:t>
      </w:r>
      <w:r w:rsidR="00352883" w:rsidRPr="00172374">
        <w:rPr>
          <w:rFonts w:ascii="Times New Roman" w:hAnsi="Times New Roman"/>
          <w:sz w:val="24"/>
          <w:lang w:val="en-US"/>
        </w:rPr>
        <w:t xml:space="preserve"> &amp; Wallace, 2011; </w:t>
      </w:r>
      <w:r w:rsidRPr="00172374">
        <w:rPr>
          <w:rFonts w:ascii="Times New Roman" w:hAnsi="Times New Roman"/>
          <w:sz w:val="24"/>
          <w:lang w:val="en-US"/>
        </w:rPr>
        <w:t>Keller, 2008) provid</w:t>
      </w:r>
      <w:r w:rsidR="005E1521" w:rsidRPr="00172374">
        <w:rPr>
          <w:rFonts w:ascii="Times New Roman" w:hAnsi="Times New Roman"/>
          <w:sz w:val="24"/>
          <w:lang w:val="en-US"/>
        </w:rPr>
        <w:t xml:space="preserve">e </w:t>
      </w:r>
      <w:r w:rsidR="00822011" w:rsidRPr="00172374">
        <w:rPr>
          <w:rFonts w:ascii="Times New Roman" w:hAnsi="Times New Roman"/>
          <w:sz w:val="24"/>
          <w:lang w:val="en-US"/>
        </w:rPr>
        <w:t xml:space="preserve">valuable </w:t>
      </w:r>
      <w:r w:rsidR="00EA443A" w:rsidRPr="00172374">
        <w:rPr>
          <w:rFonts w:ascii="Times New Roman" w:hAnsi="Times New Roman"/>
          <w:sz w:val="24"/>
          <w:lang w:val="en-US"/>
        </w:rPr>
        <w:t>but</w:t>
      </w:r>
      <w:r w:rsidR="0029594E" w:rsidRPr="00172374">
        <w:rPr>
          <w:rFonts w:ascii="Times New Roman" w:hAnsi="Times New Roman"/>
          <w:sz w:val="24"/>
          <w:lang w:val="en-US"/>
        </w:rPr>
        <w:t xml:space="preserve"> </w:t>
      </w:r>
      <w:r w:rsidR="005E1521" w:rsidRPr="00172374">
        <w:rPr>
          <w:rFonts w:ascii="Times New Roman" w:hAnsi="Times New Roman"/>
          <w:sz w:val="24"/>
          <w:lang w:val="en-US"/>
        </w:rPr>
        <w:t>mainly</w:t>
      </w:r>
      <w:r w:rsidRPr="00172374">
        <w:rPr>
          <w:rFonts w:ascii="Times New Roman" w:hAnsi="Times New Roman"/>
          <w:sz w:val="24"/>
          <w:lang w:val="en-US"/>
        </w:rPr>
        <w:t xml:space="preserve"> theoretical guidelines</w:t>
      </w:r>
      <w:r w:rsidR="00822011" w:rsidRPr="00172374">
        <w:rPr>
          <w:rFonts w:ascii="Times New Roman" w:hAnsi="Times New Roman"/>
          <w:sz w:val="24"/>
          <w:lang w:val="en-US"/>
        </w:rPr>
        <w:t xml:space="preserve">, </w:t>
      </w:r>
      <w:r w:rsidRPr="00172374">
        <w:rPr>
          <w:rFonts w:ascii="Times New Roman" w:hAnsi="Times New Roman"/>
          <w:sz w:val="24"/>
          <w:lang w:val="en-US"/>
        </w:rPr>
        <w:t>based on best</w:t>
      </w:r>
      <w:r w:rsidR="001B1265" w:rsidRPr="00172374">
        <w:rPr>
          <w:rFonts w:ascii="Times New Roman" w:hAnsi="Times New Roman"/>
          <w:sz w:val="24"/>
          <w:lang w:val="en-US"/>
        </w:rPr>
        <w:t xml:space="preserve"> </w:t>
      </w:r>
      <w:r w:rsidRPr="00172374">
        <w:rPr>
          <w:rFonts w:ascii="Times New Roman" w:hAnsi="Times New Roman"/>
          <w:sz w:val="24"/>
          <w:lang w:val="en-US"/>
        </w:rPr>
        <w:t xml:space="preserve">practices. </w:t>
      </w:r>
      <w:proofErr w:type="gramStart"/>
      <w:r w:rsidRPr="00172374">
        <w:rPr>
          <w:rFonts w:ascii="Times New Roman" w:hAnsi="Times New Roman"/>
          <w:sz w:val="24"/>
          <w:lang w:val="en-US"/>
        </w:rPr>
        <w:t>As a consequence</w:t>
      </w:r>
      <w:proofErr w:type="gramEnd"/>
      <w:r w:rsidRPr="00172374">
        <w:rPr>
          <w:rFonts w:ascii="Times New Roman" w:hAnsi="Times New Roman"/>
          <w:sz w:val="24"/>
          <w:lang w:val="en-US"/>
        </w:rPr>
        <w:t xml:space="preserve">, they </w:t>
      </w:r>
      <w:r w:rsidR="00EA443A" w:rsidRPr="00172374">
        <w:rPr>
          <w:rFonts w:ascii="Times New Roman" w:hAnsi="Times New Roman"/>
          <w:sz w:val="24"/>
          <w:lang w:val="en-US"/>
        </w:rPr>
        <w:t xml:space="preserve">offer </w:t>
      </w:r>
      <w:r w:rsidRPr="00172374">
        <w:rPr>
          <w:rFonts w:ascii="Times New Roman" w:hAnsi="Times New Roman"/>
          <w:sz w:val="24"/>
          <w:lang w:val="en-US"/>
        </w:rPr>
        <w:t xml:space="preserve">only conceptual frameworks </w:t>
      </w:r>
      <w:r w:rsidR="00EA443A" w:rsidRPr="00172374">
        <w:rPr>
          <w:rFonts w:ascii="Times New Roman" w:hAnsi="Times New Roman"/>
          <w:sz w:val="24"/>
          <w:lang w:val="en-US"/>
        </w:rPr>
        <w:t>for</w:t>
      </w:r>
      <w:r w:rsidRPr="00172374">
        <w:rPr>
          <w:rFonts w:ascii="Times New Roman" w:hAnsi="Times New Roman"/>
          <w:sz w:val="24"/>
          <w:lang w:val="en-US"/>
        </w:rPr>
        <w:t xml:space="preserve"> successful brand building and management.</w:t>
      </w:r>
      <w:r w:rsidR="005E1521" w:rsidRPr="00172374">
        <w:rPr>
          <w:rFonts w:ascii="Times New Roman" w:hAnsi="Times New Roman"/>
          <w:sz w:val="24"/>
          <w:lang w:val="en-US"/>
        </w:rPr>
        <w:t xml:space="preserve"> </w:t>
      </w:r>
    </w:p>
    <w:p w14:paraId="54CB1DED" w14:textId="38F4FA42" w:rsidR="007F6050" w:rsidRPr="00172374" w:rsidRDefault="000E1081" w:rsidP="007F6050">
      <w:pPr>
        <w:pStyle w:val="a3"/>
        <w:spacing w:after="0" w:line="480" w:lineRule="auto"/>
        <w:ind w:left="0" w:firstLine="567"/>
      </w:pPr>
      <w:r w:rsidRPr="00172374">
        <w:rPr>
          <w:rFonts w:ascii="Times New Roman" w:hAnsi="Times New Roman"/>
          <w:sz w:val="24"/>
          <w:lang w:val="en-US"/>
        </w:rPr>
        <w:t>Attempting</w:t>
      </w:r>
      <w:r w:rsidR="005E1521" w:rsidRPr="00172374">
        <w:rPr>
          <w:rFonts w:ascii="Times New Roman" w:hAnsi="Times New Roman"/>
          <w:sz w:val="24"/>
          <w:lang w:val="en-US"/>
        </w:rPr>
        <w:t xml:space="preserve"> to describe an integrated organizational focus on developing and sustaining strong brands over time, </w:t>
      </w:r>
      <w:proofErr w:type="spellStart"/>
      <w:r w:rsidR="005E1521" w:rsidRPr="00172374">
        <w:rPr>
          <w:rFonts w:ascii="Times New Roman" w:hAnsi="Times New Roman"/>
          <w:sz w:val="24"/>
          <w:lang w:val="en-US"/>
        </w:rPr>
        <w:t>Urde</w:t>
      </w:r>
      <w:proofErr w:type="spellEnd"/>
      <w:r w:rsidR="005E1521" w:rsidRPr="00172374">
        <w:rPr>
          <w:rFonts w:ascii="Times New Roman" w:hAnsi="Times New Roman"/>
          <w:sz w:val="24"/>
          <w:lang w:val="en-US"/>
        </w:rPr>
        <w:t xml:space="preserve"> (1994) introduced the term </w:t>
      </w:r>
      <w:r w:rsidR="00EA443A" w:rsidRPr="00172374">
        <w:rPr>
          <w:rFonts w:ascii="Times New Roman" w:hAnsi="Times New Roman"/>
          <w:sz w:val="24"/>
          <w:lang w:val="en-US"/>
        </w:rPr>
        <w:t>“</w:t>
      </w:r>
      <w:r w:rsidR="001B1265" w:rsidRPr="00172374">
        <w:rPr>
          <w:rFonts w:ascii="Times New Roman" w:hAnsi="Times New Roman"/>
          <w:iCs/>
          <w:sz w:val="24"/>
          <w:lang w:val="en-US"/>
        </w:rPr>
        <w:t>brand o</w:t>
      </w:r>
      <w:r w:rsidR="007047FC" w:rsidRPr="00172374">
        <w:rPr>
          <w:rFonts w:ascii="Times New Roman" w:hAnsi="Times New Roman"/>
          <w:iCs/>
          <w:sz w:val="24"/>
          <w:lang w:val="en-US"/>
        </w:rPr>
        <w:t>rientation</w:t>
      </w:r>
      <w:r w:rsidR="00EA443A" w:rsidRPr="00172374">
        <w:rPr>
          <w:rFonts w:ascii="Times New Roman" w:hAnsi="Times New Roman"/>
          <w:iCs/>
          <w:sz w:val="24"/>
          <w:lang w:val="en-US"/>
        </w:rPr>
        <w:t>”</w:t>
      </w:r>
      <w:r w:rsidR="00310FBC" w:rsidRPr="00172374">
        <w:rPr>
          <w:rFonts w:ascii="Times New Roman" w:hAnsi="Times New Roman"/>
          <w:iCs/>
          <w:sz w:val="24"/>
          <w:lang w:val="en-US"/>
        </w:rPr>
        <w:t>.</w:t>
      </w:r>
      <w:r w:rsidR="00D55A07" w:rsidRPr="00172374">
        <w:rPr>
          <w:rFonts w:ascii="Times New Roman" w:hAnsi="Times New Roman"/>
          <w:sz w:val="24"/>
          <w:lang w:val="en-US"/>
        </w:rPr>
        <w:t xml:space="preserve"> This was the first effort to </w:t>
      </w:r>
      <w:r w:rsidR="004C2703" w:rsidRPr="00172374">
        <w:rPr>
          <w:rFonts w:ascii="Times New Roman" w:hAnsi="Times New Roman"/>
          <w:sz w:val="24"/>
          <w:lang w:val="en-US"/>
        </w:rPr>
        <w:t>summarize</w:t>
      </w:r>
      <w:r w:rsidR="00D55A07" w:rsidRPr="00172374">
        <w:rPr>
          <w:rFonts w:ascii="Times New Roman" w:hAnsi="Times New Roman"/>
          <w:sz w:val="24"/>
          <w:lang w:val="en-US"/>
        </w:rPr>
        <w:t xml:space="preserve"> the </w:t>
      </w:r>
      <w:r w:rsidR="004C2703" w:rsidRPr="00172374">
        <w:rPr>
          <w:rFonts w:ascii="Times New Roman" w:hAnsi="Times New Roman"/>
          <w:sz w:val="24"/>
          <w:lang w:val="en-US"/>
        </w:rPr>
        <w:t>organizational</w:t>
      </w:r>
      <w:r w:rsidR="00D55A07" w:rsidRPr="00172374">
        <w:rPr>
          <w:rFonts w:ascii="Times New Roman" w:hAnsi="Times New Roman"/>
          <w:sz w:val="24"/>
          <w:lang w:val="en-US"/>
        </w:rPr>
        <w:t xml:space="preserve"> perspective of branding under a coherent term, </w:t>
      </w:r>
      <w:r w:rsidR="00D55A07" w:rsidRPr="00172374">
        <w:rPr>
          <w:rFonts w:ascii="Times New Roman" w:hAnsi="Times New Roman"/>
          <w:sz w:val="24"/>
          <w:lang w:val="en-US"/>
        </w:rPr>
        <w:lastRenderedPageBreak/>
        <w:t xml:space="preserve">paving the way for </w:t>
      </w:r>
      <w:r w:rsidR="004C2703" w:rsidRPr="00172374">
        <w:rPr>
          <w:rFonts w:ascii="Times New Roman" w:hAnsi="Times New Roman"/>
          <w:sz w:val="24"/>
          <w:lang w:val="en-US"/>
        </w:rPr>
        <w:t>operationalizing</w:t>
      </w:r>
      <w:r w:rsidR="00D55A07" w:rsidRPr="00172374">
        <w:rPr>
          <w:rFonts w:ascii="Times New Roman" w:hAnsi="Times New Roman"/>
          <w:sz w:val="24"/>
          <w:lang w:val="en-US"/>
        </w:rPr>
        <w:t xml:space="preserve"> the </w:t>
      </w:r>
      <w:r w:rsidR="001B1265" w:rsidRPr="00172374">
        <w:rPr>
          <w:rFonts w:ascii="Times New Roman" w:hAnsi="Times New Roman"/>
          <w:sz w:val="24"/>
          <w:lang w:val="en-US"/>
        </w:rPr>
        <w:t>brand orientation</w:t>
      </w:r>
      <w:r w:rsidR="00D55A07" w:rsidRPr="00172374">
        <w:rPr>
          <w:rFonts w:ascii="Times New Roman" w:hAnsi="Times New Roman"/>
          <w:sz w:val="24"/>
          <w:lang w:val="en-US"/>
        </w:rPr>
        <w:t xml:space="preserve"> concept. Although </w:t>
      </w:r>
      <w:r w:rsidR="00D91E41" w:rsidRPr="00172374">
        <w:rPr>
          <w:rFonts w:ascii="Times New Roman" w:hAnsi="Times New Roman"/>
          <w:sz w:val="24"/>
          <w:lang w:val="en-US"/>
        </w:rPr>
        <w:t xml:space="preserve">a satisfactory body of research </w:t>
      </w:r>
      <w:r w:rsidR="00D55A07" w:rsidRPr="00172374">
        <w:rPr>
          <w:rFonts w:ascii="Times New Roman" w:hAnsi="Times New Roman"/>
          <w:sz w:val="24"/>
          <w:lang w:val="en-US"/>
        </w:rPr>
        <w:t xml:space="preserve">on </w:t>
      </w:r>
      <w:r w:rsidR="000B1F37" w:rsidRPr="00172374">
        <w:rPr>
          <w:rFonts w:ascii="Times New Roman" w:hAnsi="Times New Roman"/>
          <w:sz w:val="24"/>
          <w:lang w:val="en-US"/>
        </w:rPr>
        <w:t>b</w:t>
      </w:r>
      <w:r w:rsidR="00D55A07" w:rsidRPr="00172374">
        <w:rPr>
          <w:rFonts w:ascii="Times New Roman" w:hAnsi="Times New Roman"/>
          <w:sz w:val="24"/>
          <w:lang w:val="en-US"/>
        </w:rPr>
        <w:t xml:space="preserve">rand </w:t>
      </w:r>
      <w:r w:rsidR="000B1F37" w:rsidRPr="00172374">
        <w:rPr>
          <w:rFonts w:ascii="Times New Roman" w:hAnsi="Times New Roman"/>
          <w:sz w:val="24"/>
          <w:lang w:val="en-US"/>
        </w:rPr>
        <w:t>o</w:t>
      </w:r>
      <w:r w:rsidR="00D55A07" w:rsidRPr="00172374">
        <w:rPr>
          <w:rFonts w:ascii="Times New Roman" w:hAnsi="Times New Roman"/>
          <w:sz w:val="24"/>
          <w:lang w:val="en-US"/>
        </w:rPr>
        <w:t xml:space="preserve">rientation </w:t>
      </w:r>
      <w:r w:rsidR="000B1F37" w:rsidRPr="00172374">
        <w:rPr>
          <w:rFonts w:ascii="Times New Roman" w:hAnsi="Times New Roman"/>
          <w:sz w:val="24"/>
          <w:lang w:val="en-US"/>
        </w:rPr>
        <w:t>has developed since then</w:t>
      </w:r>
      <w:r w:rsidR="00D55A07" w:rsidRPr="00172374">
        <w:rPr>
          <w:rFonts w:ascii="Times New Roman" w:hAnsi="Times New Roman"/>
          <w:sz w:val="24"/>
          <w:lang w:val="en-US"/>
        </w:rPr>
        <w:t xml:space="preserve">, </w:t>
      </w:r>
      <w:r w:rsidR="00C406EC" w:rsidRPr="00172374">
        <w:rPr>
          <w:rFonts w:ascii="Times New Roman" w:hAnsi="Times New Roman"/>
          <w:sz w:val="24"/>
          <w:lang w:val="en-US"/>
        </w:rPr>
        <w:t xml:space="preserve">it </w:t>
      </w:r>
      <w:r w:rsidR="00EA443A" w:rsidRPr="00172374">
        <w:rPr>
          <w:rFonts w:ascii="Times New Roman" w:hAnsi="Times New Roman"/>
          <w:sz w:val="24"/>
          <w:lang w:val="en-US"/>
        </w:rPr>
        <w:t xml:space="preserve">is </w:t>
      </w:r>
      <w:r w:rsidR="00D55A07" w:rsidRPr="00172374">
        <w:rPr>
          <w:rFonts w:ascii="Times New Roman" w:hAnsi="Times New Roman"/>
          <w:sz w:val="24"/>
          <w:lang w:val="en-US"/>
        </w:rPr>
        <w:t>still limited</w:t>
      </w:r>
      <w:r w:rsidR="005E1521" w:rsidRPr="00172374">
        <w:rPr>
          <w:rFonts w:ascii="Times New Roman" w:hAnsi="Times New Roman"/>
          <w:sz w:val="24"/>
          <w:lang w:val="en-US"/>
        </w:rPr>
        <w:t>.</w:t>
      </w:r>
      <w:bookmarkStart w:id="2" w:name="_Hlk31041865"/>
      <w:r w:rsidR="00897A93" w:rsidRPr="00172374">
        <w:rPr>
          <w:rFonts w:ascii="Times New Roman" w:hAnsi="Times New Roman"/>
          <w:sz w:val="24"/>
          <w:lang w:val="en-US"/>
        </w:rPr>
        <w:t xml:space="preserve"> </w:t>
      </w:r>
      <w:r w:rsidR="00D55A07" w:rsidRPr="00172374">
        <w:rPr>
          <w:rFonts w:ascii="Times New Roman" w:hAnsi="Times New Roman"/>
          <w:sz w:val="24"/>
          <w:lang w:val="en-US"/>
        </w:rPr>
        <w:t xml:space="preserve">Recognized shortcomings </w:t>
      </w:r>
      <w:r w:rsidR="005A1390" w:rsidRPr="00172374">
        <w:rPr>
          <w:rFonts w:ascii="Times New Roman" w:hAnsi="Times New Roman"/>
          <w:sz w:val="24"/>
          <w:lang w:val="en-US"/>
        </w:rPr>
        <w:t xml:space="preserve">(e.g., Laukkanen, Tuominen, </w:t>
      </w:r>
      <w:proofErr w:type="spellStart"/>
      <w:r w:rsidR="005A1390" w:rsidRPr="00172374">
        <w:rPr>
          <w:rFonts w:ascii="Times New Roman" w:hAnsi="Times New Roman"/>
          <w:sz w:val="24"/>
          <w:lang w:val="en-US"/>
        </w:rPr>
        <w:t>Reijonen</w:t>
      </w:r>
      <w:proofErr w:type="spellEnd"/>
      <w:r w:rsidR="000B1F37" w:rsidRPr="00172374">
        <w:rPr>
          <w:rFonts w:ascii="Times New Roman" w:hAnsi="Times New Roman"/>
          <w:sz w:val="24"/>
          <w:lang w:val="en-US"/>
        </w:rPr>
        <w:t>,</w:t>
      </w:r>
      <w:r w:rsidR="005A1390" w:rsidRPr="00172374">
        <w:rPr>
          <w:rFonts w:ascii="Times New Roman" w:hAnsi="Times New Roman"/>
          <w:sz w:val="24"/>
          <w:lang w:val="en-US"/>
        </w:rPr>
        <w:t xml:space="preserve"> </w:t>
      </w:r>
      <w:r w:rsidR="000B1F37" w:rsidRPr="00172374">
        <w:rPr>
          <w:rFonts w:ascii="Times New Roman" w:hAnsi="Times New Roman"/>
          <w:sz w:val="24"/>
          <w:lang w:val="en-US"/>
        </w:rPr>
        <w:t>&amp;</w:t>
      </w:r>
      <w:r w:rsidR="005A1390" w:rsidRPr="00172374">
        <w:rPr>
          <w:rFonts w:ascii="Times New Roman" w:hAnsi="Times New Roman"/>
          <w:sz w:val="24"/>
          <w:lang w:val="en-US"/>
        </w:rPr>
        <w:t xml:space="preserve"> </w:t>
      </w:r>
      <w:proofErr w:type="spellStart"/>
      <w:r w:rsidR="005A1390" w:rsidRPr="00172374">
        <w:rPr>
          <w:rFonts w:ascii="Times New Roman" w:hAnsi="Times New Roman"/>
          <w:sz w:val="24"/>
          <w:lang w:val="en-US"/>
        </w:rPr>
        <w:t>Hirvonen</w:t>
      </w:r>
      <w:proofErr w:type="spellEnd"/>
      <w:r w:rsidR="005A1390" w:rsidRPr="00172374">
        <w:rPr>
          <w:rFonts w:ascii="Times New Roman" w:hAnsi="Times New Roman"/>
          <w:sz w:val="24"/>
          <w:lang w:val="en-US"/>
        </w:rPr>
        <w:t>, 2016)</w:t>
      </w:r>
      <w:r w:rsidR="005A1390" w:rsidRPr="00172374">
        <w:rPr>
          <w:rFonts w:ascii="Times New Roman" w:hAnsi="Times New Roman"/>
          <w:b/>
          <w:sz w:val="24"/>
          <w:lang w:val="en-US"/>
        </w:rPr>
        <w:t xml:space="preserve"> </w:t>
      </w:r>
      <w:r w:rsidR="00D55A07" w:rsidRPr="00172374">
        <w:rPr>
          <w:rFonts w:ascii="Times New Roman" w:hAnsi="Times New Roman"/>
          <w:sz w:val="24"/>
          <w:lang w:val="en-US"/>
        </w:rPr>
        <w:t xml:space="preserve">include </w:t>
      </w:r>
      <w:r w:rsidR="000B1F37" w:rsidRPr="00172374">
        <w:rPr>
          <w:rFonts w:ascii="Times New Roman" w:hAnsi="Times New Roman"/>
          <w:sz w:val="24"/>
          <w:lang w:val="en-US"/>
        </w:rPr>
        <w:t>(1</w:t>
      </w:r>
      <w:r w:rsidR="00D55A07" w:rsidRPr="00172374">
        <w:rPr>
          <w:rFonts w:ascii="Times New Roman" w:hAnsi="Times New Roman"/>
          <w:sz w:val="24"/>
          <w:lang w:val="en-US"/>
        </w:rPr>
        <w:t xml:space="preserve">) </w:t>
      </w:r>
      <w:r w:rsidR="005C0592" w:rsidRPr="00172374">
        <w:rPr>
          <w:rFonts w:ascii="Times New Roman" w:hAnsi="Times New Roman"/>
          <w:sz w:val="24"/>
          <w:lang w:val="en-US"/>
        </w:rPr>
        <w:t>various</w:t>
      </w:r>
      <w:r w:rsidR="00D55A07" w:rsidRPr="00172374">
        <w:rPr>
          <w:rFonts w:ascii="Times New Roman" w:hAnsi="Times New Roman"/>
          <w:sz w:val="24"/>
          <w:lang w:val="en-US"/>
        </w:rPr>
        <w:t xml:space="preserve"> conceptualizations of </w:t>
      </w:r>
      <w:r w:rsidR="000B1F37" w:rsidRPr="00172374">
        <w:rPr>
          <w:rFonts w:ascii="Times New Roman" w:hAnsi="Times New Roman"/>
          <w:sz w:val="24"/>
          <w:lang w:val="en-US"/>
        </w:rPr>
        <w:t>b</w:t>
      </w:r>
      <w:r w:rsidR="00D55A07" w:rsidRPr="00172374">
        <w:rPr>
          <w:rFonts w:ascii="Times New Roman" w:hAnsi="Times New Roman"/>
          <w:sz w:val="24"/>
          <w:lang w:val="en-US"/>
        </w:rPr>
        <w:t xml:space="preserve">rand </w:t>
      </w:r>
      <w:r w:rsidR="000B1F37" w:rsidRPr="00172374">
        <w:rPr>
          <w:rFonts w:ascii="Times New Roman" w:hAnsi="Times New Roman"/>
          <w:sz w:val="24"/>
          <w:lang w:val="en-US"/>
        </w:rPr>
        <w:t>o</w:t>
      </w:r>
      <w:r w:rsidR="00D55A07" w:rsidRPr="00172374">
        <w:rPr>
          <w:rFonts w:ascii="Times New Roman" w:hAnsi="Times New Roman"/>
          <w:sz w:val="24"/>
          <w:lang w:val="en-US"/>
        </w:rPr>
        <w:t xml:space="preserve">rientation that </w:t>
      </w:r>
      <w:r w:rsidR="00822011" w:rsidRPr="00172374">
        <w:rPr>
          <w:rFonts w:ascii="Times New Roman" w:hAnsi="Times New Roman"/>
          <w:sz w:val="24"/>
          <w:lang w:val="en-US"/>
        </w:rPr>
        <w:t>offer</w:t>
      </w:r>
      <w:r w:rsidR="00D55A07" w:rsidRPr="00172374">
        <w:rPr>
          <w:rFonts w:ascii="Times New Roman" w:hAnsi="Times New Roman"/>
          <w:sz w:val="24"/>
          <w:lang w:val="en-US"/>
        </w:rPr>
        <w:t xml:space="preserve"> </w:t>
      </w:r>
      <w:r w:rsidR="000B1F37" w:rsidRPr="00172374">
        <w:rPr>
          <w:rFonts w:ascii="Times New Roman" w:hAnsi="Times New Roman"/>
          <w:sz w:val="24"/>
          <w:lang w:val="en-US"/>
        </w:rPr>
        <w:t>diverging</w:t>
      </w:r>
      <w:r w:rsidR="00D55A07" w:rsidRPr="00172374">
        <w:rPr>
          <w:rFonts w:ascii="Times New Roman" w:hAnsi="Times New Roman"/>
          <w:sz w:val="24"/>
          <w:lang w:val="en-US"/>
        </w:rPr>
        <w:t xml:space="preserve"> </w:t>
      </w:r>
      <w:r w:rsidR="000B1F37" w:rsidRPr="00172374">
        <w:rPr>
          <w:rFonts w:ascii="Times New Roman" w:hAnsi="Times New Roman"/>
          <w:sz w:val="24"/>
          <w:lang w:val="en-US"/>
        </w:rPr>
        <w:t>theoretical</w:t>
      </w:r>
      <w:r w:rsidR="00D55A07" w:rsidRPr="00172374">
        <w:rPr>
          <w:rFonts w:ascii="Times New Roman" w:hAnsi="Times New Roman"/>
          <w:sz w:val="24"/>
          <w:lang w:val="en-US"/>
        </w:rPr>
        <w:t xml:space="preserve"> meaning to the notion, </w:t>
      </w:r>
      <w:r w:rsidR="000B1F37" w:rsidRPr="00172374">
        <w:rPr>
          <w:rFonts w:ascii="Times New Roman" w:hAnsi="Times New Roman"/>
          <w:sz w:val="24"/>
          <w:lang w:val="en-US"/>
        </w:rPr>
        <w:t>(2</w:t>
      </w:r>
      <w:r w:rsidR="00D55A07" w:rsidRPr="00172374">
        <w:rPr>
          <w:rFonts w:ascii="Times New Roman" w:hAnsi="Times New Roman"/>
          <w:sz w:val="24"/>
          <w:lang w:val="en-US"/>
        </w:rPr>
        <w:t>)</w:t>
      </w:r>
      <w:r w:rsidR="00D91E41" w:rsidRPr="00172374">
        <w:rPr>
          <w:rFonts w:ascii="Times New Roman" w:hAnsi="Times New Roman"/>
          <w:sz w:val="24"/>
          <w:lang w:val="en-US"/>
        </w:rPr>
        <w:t xml:space="preserve"> a </w:t>
      </w:r>
      <w:r w:rsidR="005C0592" w:rsidRPr="00172374">
        <w:rPr>
          <w:rFonts w:ascii="Times New Roman" w:hAnsi="Times New Roman"/>
          <w:sz w:val="24"/>
          <w:lang w:val="en-US"/>
        </w:rPr>
        <w:t>fragmented</w:t>
      </w:r>
      <w:r w:rsidR="00D91E41" w:rsidRPr="00172374">
        <w:rPr>
          <w:rFonts w:ascii="Times New Roman" w:hAnsi="Times New Roman"/>
          <w:sz w:val="24"/>
          <w:lang w:val="en-US"/>
        </w:rPr>
        <w:t xml:space="preserve"> picture regarding its constituents, </w:t>
      </w:r>
      <w:r w:rsidR="000B1F37" w:rsidRPr="00172374">
        <w:rPr>
          <w:rFonts w:ascii="Times New Roman" w:hAnsi="Times New Roman"/>
          <w:sz w:val="24"/>
          <w:lang w:val="en-US"/>
        </w:rPr>
        <w:t>(3</w:t>
      </w:r>
      <w:r w:rsidR="00D91E41" w:rsidRPr="00172374">
        <w:rPr>
          <w:rFonts w:ascii="Times New Roman" w:hAnsi="Times New Roman"/>
          <w:sz w:val="24"/>
          <w:lang w:val="en-US"/>
        </w:rPr>
        <w:t>)</w:t>
      </w:r>
      <w:r w:rsidR="00D55A07" w:rsidRPr="00172374">
        <w:rPr>
          <w:rFonts w:ascii="Times New Roman" w:hAnsi="Times New Roman"/>
          <w:sz w:val="24"/>
          <w:lang w:val="en-US"/>
        </w:rPr>
        <w:t xml:space="preserve"> absence of a </w:t>
      </w:r>
      <w:r w:rsidR="005C0592" w:rsidRPr="00172374">
        <w:rPr>
          <w:rFonts w:ascii="Times New Roman" w:hAnsi="Times New Roman"/>
          <w:sz w:val="24"/>
          <w:lang w:val="en-US"/>
        </w:rPr>
        <w:t>broad</w:t>
      </w:r>
      <w:r w:rsidR="00D55A07" w:rsidRPr="00172374">
        <w:rPr>
          <w:rFonts w:ascii="Times New Roman" w:hAnsi="Times New Roman"/>
          <w:sz w:val="24"/>
          <w:lang w:val="en-US"/>
        </w:rPr>
        <w:t xml:space="preserve"> operationalization of the construct</w:t>
      </w:r>
      <w:r w:rsidR="00D91E41" w:rsidRPr="00172374">
        <w:rPr>
          <w:rFonts w:ascii="Times New Roman" w:hAnsi="Times New Roman"/>
          <w:sz w:val="24"/>
          <w:lang w:val="en-US"/>
        </w:rPr>
        <w:t xml:space="preserve"> </w:t>
      </w:r>
      <w:r w:rsidR="00FA2138" w:rsidRPr="00172374">
        <w:rPr>
          <w:rFonts w:ascii="Times New Roman" w:hAnsi="Times New Roman"/>
          <w:sz w:val="24"/>
          <w:lang w:val="en-US"/>
        </w:rPr>
        <w:t>that is not context-specific</w:t>
      </w:r>
      <w:r w:rsidR="00EA443A" w:rsidRPr="00172374">
        <w:rPr>
          <w:rFonts w:ascii="Times New Roman" w:hAnsi="Times New Roman"/>
          <w:sz w:val="24"/>
          <w:lang w:val="en-US"/>
        </w:rPr>
        <w:t>,</w:t>
      </w:r>
      <w:r w:rsidR="00FA2138" w:rsidRPr="00172374">
        <w:rPr>
          <w:rFonts w:ascii="Times New Roman" w:hAnsi="Times New Roman"/>
          <w:sz w:val="24"/>
          <w:lang w:val="en-US"/>
        </w:rPr>
        <w:t xml:space="preserve"> </w:t>
      </w:r>
      <w:r w:rsidR="00D55A07" w:rsidRPr="00172374">
        <w:rPr>
          <w:rFonts w:ascii="Times New Roman" w:hAnsi="Times New Roman"/>
          <w:sz w:val="24"/>
          <w:lang w:val="en-US"/>
        </w:rPr>
        <w:t>and</w:t>
      </w:r>
      <w:r w:rsidR="00D91E41" w:rsidRPr="00172374">
        <w:rPr>
          <w:rFonts w:ascii="Times New Roman" w:hAnsi="Times New Roman"/>
          <w:sz w:val="24"/>
          <w:lang w:val="en-US"/>
        </w:rPr>
        <w:t>, as a result,</w:t>
      </w:r>
      <w:r w:rsidR="00D55A07" w:rsidRPr="00172374">
        <w:rPr>
          <w:rFonts w:ascii="Times New Roman" w:hAnsi="Times New Roman"/>
          <w:sz w:val="24"/>
          <w:lang w:val="en-US"/>
        </w:rPr>
        <w:t xml:space="preserve"> </w:t>
      </w:r>
      <w:r w:rsidR="000B1F37" w:rsidRPr="00172374">
        <w:rPr>
          <w:rFonts w:ascii="Times New Roman" w:hAnsi="Times New Roman"/>
          <w:sz w:val="24"/>
          <w:lang w:val="en-US"/>
        </w:rPr>
        <w:t>(4</w:t>
      </w:r>
      <w:r w:rsidR="00D91E41" w:rsidRPr="00172374">
        <w:rPr>
          <w:rFonts w:ascii="Times New Roman" w:hAnsi="Times New Roman"/>
          <w:sz w:val="24"/>
          <w:lang w:val="en-US"/>
        </w:rPr>
        <w:t xml:space="preserve">) </w:t>
      </w:r>
      <w:r w:rsidR="00EA443A" w:rsidRPr="00172374">
        <w:rPr>
          <w:rFonts w:ascii="Times New Roman" w:hAnsi="Times New Roman"/>
          <w:sz w:val="24"/>
          <w:lang w:val="en-US"/>
        </w:rPr>
        <w:t xml:space="preserve">a </w:t>
      </w:r>
      <w:r w:rsidR="00D55A07" w:rsidRPr="00172374">
        <w:rPr>
          <w:rFonts w:ascii="Times New Roman" w:hAnsi="Times New Roman"/>
          <w:sz w:val="24"/>
          <w:lang w:val="en-US"/>
        </w:rPr>
        <w:t xml:space="preserve">lack of a generally accepted </w:t>
      </w:r>
      <w:r w:rsidR="000B1F37" w:rsidRPr="00172374">
        <w:rPr>
          <w:rFonts w:ascii="Times New Roman" w:hAnsi="Times New Roman"/>
          <w:sz w:val="24"/>
          <w:lang w:val="en-US"/>
        </w:rPr>
        <w:t>b</w:t>
      </w:r>
      <w:r w:rsidR="00D55A07" w:rsidRPr="00172374">
        <w:rPr>
          <w:rFonts w:ascii="Times New Roman" w:hAnsi="Times New Roman"/>
          <w:sz w:val="24"/>
          <w:lang w:val="en-US"/>
        </w:rPr>
        <w:t xml:space="preserve">rand </w:t>
      </w:r>
      <w:r w:rsidR="000B1F37" w:rsidRPr="00172374">
        <w:rPr>
          <w:rFonts w:ascii="Times New Roman" w:hAnsi="Times New Roman"/>
          <w:sz w:val="24"/>
          <w:lang w:val="en-US"/>
        </w:rPr>
        <w:t>o</w:t>
      </w:r>
      <w:r w:rsidR="00D55A07" w:rsidRPr="00172374">
        <w:rPr>
          <w:rFonts w:ascii="Times New Roman" w:hAnsi="Times New Roman"/>
          <w:sz w:val="24"/>
          <w:lang w:val="en-US"/>
        </w:rPr>
        <w:t xml:space="preserve">rientation </w:t>
      </w:r>
      <w:r w:rsidR="001062B4" w:rsidRPr="00172374">
        <w:rPr>
          <w:rFonts w:ascii="Times New Roman" w:hAnsi="Times New Roman"/>
          <w:sz w:val="24"/>
          <w:lang w:val="en-US"/>
        </w:rPr>
        <w:t>scale</w:t>
      </w:r>
      <w:r w:rsidR="00D55A07" w:rsidRPr="00172374">
        <w:rPr>
          <w:rFonts w:ascii="Times New Roman" w:hAnsi="Times New Roman"/>
          <w:sz w:val="24"/>
          <w:lang w:val="en-US"/>
        </w:rPr>
        <w:t xml:space="preserve">. </w:t>
      </w:r>
      <w:bookmarkStart w:id="3" w:name="_Hlk32315489"/>
      <w:r w:rsidR="00456708" w:rsidRPr="00172374">
        <w:rPr>
          <w:rFonts w:ascii="Times New Roman" w:hAnsi="Times New Roman"/>
          <w:sz w:val="24"/>
          <w:lang w:val="en-US"/>
        </w:rPr>
        <w:t>Therefore</w:t>
      </w:r>
      <w:r w:rsidR="007F6050" w:rsidRPr="00172374">
        <w:rPr>
          <w:rFonts w:ascii="Times New Roman" w:hAnsi="Times New Roman"/>
          <w:sz w:val="24"/>
          <w:lang w:val="en-US"/>
        </w:rPr>
        <w:t xml:space="preserve">, a new study </w:t>
      </w:r>
      <w:r w:rsidR="00456708" w:rsidRPr="00172374">
        <w:rPr>
          <w:rFonts w:ascii="Times New Roman" w:hAnsi="Times New Roman"/>
          <w:sz w:val="24"/>
          <w:lang w:val="en-US"/>
        </w:rPr>
        <w:t>on</w:t>
      </w:r>
      <w:r w:rsidR="007F6050" w:rsidRPr="00172374">
        <w:rPr>
          <w:rFonts w:ascii="Times New Roman" w:hAnsi="Times New Roman"/>
          <w:sz w:val="24"/>
          <w:lang w:val="en-US"/>
        </w:rPr>
        <w:t xml:space="preserve"> brand orientation </w:t>
      </w:r>
      <w:r w:rsidR="00C406EC" w:rsidRPr="00172374">
        <w:rPr>
          <w:rFonts w:ascii="Times New Roman" w:hAnsi="Times New Roman"/>
          <w:sz w:val="24"/>
          <w:lang w:val="en-US"/>
        </w:rPr>
        <w:t>that</w:t>
      </w:r>
      <w:r w:rsidR="007F6050" w:rsidRPr="00172374">
        <w:rPr>
          <w:rFonts w:ascii="Times New Roman" w:hAnsi="Times New Roman"/>
          <w:sz w:val="24"/>
          <w:lang w:val="en-US"/>
        </w:rPr>
        <w:t xml:space="preserve"> address</w:t>
      </w:r>
      <w:r w:rsidR="00C406EC" w:rsidRPr="00172374">
        <w:rPr>
          <w:rFonts w:ascii="Times New Roman" w:hAnsi="Times New Roman"/>
          <w:sz w:val="24"/>
          <w:lang w:val="en-US"/>
        </w:rPr>
        <w:t>es</w:t>
      </w:r>
      <w:r w:rsidR="007F6050" w:rsidRPr="00172374">
        <w:rPr>
          <w:rFonts w:ascii="Times New Roman" w:hAnsi="Times New Roman"/>
          <w:sz w:val="24"/>
          <w:lang w:val="en-US"/>
        </w:rPr>
        <w:t xml:space="preserve"> current theoretical and practical issues</w:t>
      </w:r>
      <w:r w:rsidR="00C406EC" w:rsidRPr="00172374">
        <w:rPr>
          <w:rFonts w:ascii="Times New Roman" w:hAnsi="Times New Roman"/>
          <w:sz w:val="24"/>
          <w:lang w:val="en-US"/>
        </w:rPr>
        <w:t xml:space="preserve"> is more topical than ever</w:t>
      </w:r>
      <w:r w:rsidR="007F6050" w:rsidRPr="00172374">
        <w:rPr>
          <w:rFonts w:ascii="Times New Roman" w:hAnsi="Times New Roman"/>
          <w:sz w:val="24"/>
          <w:lang w:val="en-US"/>
        </w:rPr>
        <w:t xml:space="preserve">. The introduction of a new conceptualization could </w:t>
      </w:r>
      <w:r w:rsidR="00AF3539" w:rsidRPr="00172374">
        <w:rPr>
          <w:rFonts w:ascii="Times New Roman" w:hAnsi="Times New Roman"/>
          <w:sz w:val="24"/>
          <w:lang w:val="en-US"/>
        </w:rPr>
        <w:t>provide</w:t>
      </w:r>
      <w:r w:rsidR="007F6050" w:rsidRPr="00172374">
        <w:rPr>
          <w:rFonts w:ascii="Times New Roman" w:hAnsi="Times New Roman"/>
          <w:sz w:val="24"/>
          <w:lang w:val="en-US"/>
        </w:rPr>
        <w:t xml:space="preserve"> a holistic </w:t>
      </w:r>
      <w:r w:rsidR="00AF3539" w:rsidRPr="00172374">
        <w:rPr>
          <w:rFonts w:ascii="Times New Roman" w:hAnsi="Times New Roman"/>
          <w:sz w:val="24"/>
          <w:lang w:val="en-US"/>
        </w:rPr>
        <w:t>view</w:t>
      </w:r>
      <w:r w:rsidR="007F6050" w:rsidRPr="00172374">
        <w:rPr>
          <w:rFonts w:ascii="Times New Roman" w:hAnsi="Times New Roman"/>
          <w:sz w:val="24"/>
          <w:lang w:val="en-US"/>
        </w:rPr>
        <w:t xml:space="preserve"> of brand orientation by synthesizing </w:t>
      </w:r>
      <w:r w:rsidR="00EA443A" w:rsidRPr="00172374">
        <w:rPr>
          <w:rFonts w:ascii="Times New Roman" w:hAnsi="Times New Roman"/>
          <w:sz w:val="24"/>
          <w:lang w:val="en-US"/>
        </w:rPr>
        <w:t>extant</w:t>
      </w:r>
      <w:r w:rsidR="007F6050" w:rsidRPr="00172374">
        <w:rPr>
          <w:rFonts w:ascii="Times New Roman" w:hAnsi="Times New Roman"/>
          <w:sz w:val="24"/>
          <w:lang w:val="en-US"/>
        </w:rPr>
        <w:t xml:space="preserve"> literature and new insights from practice,</w:t>
      </w:r>
      <w:r w:rsidR="00AF3539" w:rsidRPr="00172374">
        <w:rPr>
          <w:rFonts w:ascii="Times New Roman" w:hAnsi="Times New Roman"/>
          <w:sz w:val="24"/>
          <w:lang w:val="en-US"/>
        </w:rPr>
        <w:t xml:space="preserve"> increase</w:t>
      </w:r>
      <w:r w:rsidR="007F6050" w:rsidRPr="00172374">
        <w:rPr>
          <w:rFonts w:ascii="Times New Roman" w:hAnsi="Times New Roman"/>
          <w:sz w:val="24"/>
          <w:lang w:val="en-US"/>
        </w:rPr>
        <w:t xml:space="preserve"> clarity of its content domain</w:t>
      </w:r>
      <w:r w:rsidR="00EA443A" w:rsidRPr="00172374">
        <w:rPr>
          <w:rFonts w:ascii="Times New Roman" w:hAnsi="Times New Roman"/>
          <w:sz w:val="24"/>
          <w:lang w:val="en-US"/>
        </w:rPr>
        <w:t>,</w:t>
      </w:r>
      <w:r w:rsidR="007F6050" w:rsidRPr="00172374">
        <w:rPr>
          <w:rFonts w:ascii="Times New Roman" w:hAnsi="Times New Roman"/>
          <w:sz w:val="24"/>
          <w:lang w:val="en-US"/>
        </w:rPr>
        <w:t xml:space="preserve"> and </w:t>
      </w:r>
      <w:r w:rsidR="00AF3539" w:rsidRPr="00172374">
        <w:rPr>
          <w:rFonts w:ascii="Times New Roman" w:hAnsi="Times New Roman"/>
          <w:sz w:val="24"/>
          <w:lang w:val="en-US"/>
        </w:rPr>
        <w:t xml:space="preserve">offer </w:t>
      </w:r>
      <w:r w:rsidR="007F6050" w:rsidRPr="00172374">
        <w:rPr>
          <w:rFonts w:ascii="Times New Roman" w:hAnsi="Times New Roman"/>
          <w:sz w:val="24"/>
          <w:lang w:val="en-US"/>
        </w:rPr>
        <w:t xml:space="preserve">generalizable conclusions. A sound empirical measurement of the brand orientation concept could </w:t>
      </w:r>
      <w:r w:rsidR="00EA443A" w:rsidRPr="00172374">
        <w:rPr>
          <w:rFonts w:ascii="Times New Roman" w:hAnsi="Times New Roman"/>
          <w:sz w:val="24"/>
          <w:lang w:val="en-US"/>
        </w:rPr>
        <w:t xml:space="preserve">also </w:t>
      </w:r>
      <w:r w:rsidR="007F6050" w:rsidRPr="00172374">
        <w:rPr>
          <w:rFonts w:ascii="Times New Roman" w:hAnsi="Times New Roman"/>
          <w:sz w:val="24"/>
          <w:lang w:val="en-US"/>
        </w:rPr>
        <w:t>provide managers with a practical, contemporary guide for successful brand management and a modern measurement tool for calibrat</w:t>
      </w:r>
      <w:r w:rsidR="00C406EC" w:rsidRPr="00172374">
        <w:rPr>
          <w:rFonts w:ascii="Times New Roman" w:hAnsi="Times New Roman"/>
          <w:sz w:val="24"/>
          <w:lang w:val="en-US"/>
        </w:rPr>
        <w:t>ing</w:t>
      </w:r>
      <w:r w:rsidR="007F6050" w:rsidRPr="00172374">
        <w:rPr>
          <w:rFonts w:ascii="Times New Roman" w:hAnsi="Times New Roman"/>
          <w:sz w:val="24"/>
          <w:lang w:val="en-US"/>
        </w:rPr>
        <w:t xml:space="preserve"> an effective branding strategy. </w:t>
      </w:r>
      <w:r w:rsidR="00A730A4" w:rsidRPr="00172374">
        <w:rPr>
          <w:rFonts w:ascii="Times New Roman" w:hAnsi="Times New Roman"/>
          <w:sz w:val="24"/>
          <w:lang w:val="en-US"/>
        </w:rPr>
        <w:t>As such</w:t>
      </w:r>
      <w:r w:rsidR="00AF3539" w:rsidRPr="00172374">
        <w:rPr>
          <w:rFonts w:ascii="Times New Roman" w:hAnsi="Times New Roman"/>
          <w:sz w:val="24"/>
          <w:lang w:val="en-US"/>
        </w:rPr>
        <w:t xml:space="preserve">, the </w:t>
      </w:r>
      <w:r w:rsidR="00CC4EEA" w:rsidRPr="00172374">
        <w:rPr>
          <w:rFonts w:ascii="Times New Roman" w:hAnsi="Times New Roman"/>
          <w:sz w:val="24"/>
          <w:lang w:val="en-US"/>
        </w:rPr>
        <w:t>objective</w:t>
      </w:r>
      <w:r w:rsidR="00EA443A" w:rsidRPr="00172374">
        <w:rPr>
          <w:rFonts w:ascii="Times New Roman" w:hAnsi="Times New Roman"/>
          <w:sz w:val="24"/>
          <w:lang w:val="en-US"/>
        </w:rPr>
        <w:t>s</w:t>
      </w:r>
      <w:r w:rsidR="00CC4EEA" w:rsidRPr="00172374">
        <w:rPr>
          <w:rFonts w:ascii="Times New Roman" w:hAnsi="Times New Roman"/>
          <w:sz w:val="24"/>
          <w:lang w:val="en-US"/>
        </w:rPr>
        <w:t xml:space="preserve"> </w:t>
      </w:r>
      <w:r w:rsidR="00AF3539" w:rsidRPr="00172374">
        <w:rPr>
          <w:rFonts w:ascii="Times New Roman" w:hAnsi="Times New Roman"/>
          <w:sz w:val="24"/>
          <w:lang w:val="en-US"/>
        </w:rPr>
        <w:t xml:space="preserve">of </w:t>
      </w:r>
      <w:r w:rsidR="00CC4EEA" w:rsidRPr="00172374">
        <w:rPr>
          <w:rFonts w:ascii="Times New Roman" w:hAnsi="Times New Roman"/>
          <w:sz w:val="24"/>
          <w:lang w:val="en-US"/>
        </w:rPr>
        <w:t xml:space="preserve">the </w:t>
      </w:r>
      <w:r w:rsidR="00EA443A" w:rsidRPr="00172374">
        <w:rPr>
          <w:rFonts w:ascii="Times New Roman" w:hAnsi="Times New Roman"/>
          <w:sz w:val="24"/>
          <w:lang w:val="en-US"/>
        </w:rPr>
        <w:t>current</w:t>
      </w:r>
      <w:r w:rsidR="00AF3539" w:rsidRPr="00172374">
        <w:rPr>
          <w:rFonts w:ascii="Times New Roman" w:hAnsi="Times New Roman"/>
          <w:sz w:val="24"/>
          <w:lang w:val="en-US"/>
        </w:rPr>
        <w:t xml:space="preserve"> study </w:t>
      </w:r>
      <w:r w:rsidR="00EA443A" w:rsidRPr="00172374">
        <w:rPr>
          <w:rFonts w:ascii="Times New Roman" w:hAnsi="Times New Roman"/>
          <w:sz w:val="24"/>
          <w:lang w:val="en-US"/>
        </w:rPr>
        <w:t>are</w:t>
      </w:r>
      <w:r w:rsidR="00AF3539" w:rsidRPr="00172374">
        <w:rPr>
          <w:rFonts w:ascii="Times New Roman" w:hAnsi="Times New Roman"/>
          <w:sz w:val="24"/>
          <w:lang w:val="en-US"/>
        </w:rPr>
        <w:t xml:space="preserve"> twofold: </w:t>
      </w:r>
      <w:r w:rsidR="00EA443A" w:rsidRPr="00172374">
        <w:rPr>
          <w:rFonts w:ascii="Times New Roman" w:hAnsi="Times New Roman"/>
          <w:sz w:val="24"/>
          <w:lang w:val="en-US"/>
        </w:rPr>
        <w:t>to</w:t>
      </w:r>
      <w:r w:rsidR="00AF3539" w:rsidRPr="00172374">
        <w:rPr>
          <w:rFonts w:ascii="Times New Roman" w:hAnsi="Times New Roman"/>
          <w:sz w:val="24"/>
          <w:lang w:val="en-US"/>
        </w:rPr>
        <w:t xml:space="preserve"> re-conceptualiz</w:t>
      </w:r>
      <w:r w:rsidR="00EA443A" w:rsidRPr="00172374">
        <w:rPr>
          <w:rFonts w:ascii="Times New Roman" w:hAnsi="Times New Roman"/>
          <w:sz w:val="24"/>
          <w:lang w:val="en-US"/>
        </w:rPr>
        <w:t>e</w:t>
      </w:r>
      <w:r w:rsidR="00AF3539" w:rsidRPr="00172374">
        <w:rPr>
          <w:rFonts w:ascii="Times New Roman" w:hAnsi="Times New Roman"/>
          <w:sz w:val="24"/>
          <w:lang w:val="en-US"/>
        </w:rPr>
        <w:t xml:space="preserve"> brand orientation and </w:t>
      </w:r>
      <w:r w:rsidR="007402D3" w:rsidRPr="00172374">
        <w:rPr>
          <w:rFonts w:ascii="Times New Roman" w:hAnsi="Times New Roman"/>
          <w:sz w:val="24"/>
          <w:lang w:val="en-US"/>
        </w:rPr>
        <w:t xml:space="preserve">to </w:t>
      </w:r>
      <w:r w:rsidR="00EA443A" w:rsidRPr="00172374">
        <w:rPr>
          <w:rFonts w:ascii="Times New Roman" w:hAnsi="Times New Roman"/>
          <w:sz w:val="24"/>
          <w:lang w:val="en-US"/>
        </w:rPr>
        <w:t xml:space="preserve">provide </w:t>
      </w:r>
      <w:r w:rsidR="00AF3539" w:rsidRPr="00172374">
        <w:rPr>
          <w:rFonts w:ascii="Times New Roman" w:hAnsi="Times New Roman"/>
          <w:sz w:val="24"/>
          <w:lang w:val="en-US"/>
        </w:rPr>
        <w:t>a broader empirical measurement of its domain.</w:t>
      </w:r>
    </w:p>
    <w:bookmarkEnd w:id="3"/>
    <w:p w14:paraId="0F47E25F" w14:textId="54292170" w:rsidR="00E977CC" w:rsidRPr="00172374" w:rsidRDefault="007F6050" w:rsidP="00493C61">
      <w:pPr>
        <w:pStyle w:val="a3"/>
        <w:spacing w:after="0" w:line="480" w:lineRule="auto"/>
        <w:ind w:left="0" w:firstLine="567"/>
        <w:rPr>
          <w:rFonts w:ascii="Times New Roman" w:hAnsi="Times New Roman"/>
          <w:sz w:val="24"/>
          <w:lang w:val="en-US"/>
        </w:rPr>
      </w:pPr>
      <w:r w:rsidRPr="00172374">
        <w:rPr>
          <w:rFonts w:ascii="Times New Roman" w:hAnsi="Times New Roman"/>
          <w:sz w:val="24"/>
          <w:lang w:val="en-US"/>
        </w:rPr>
        <w:t>In line with this approach,</w:t>
      </w:r>
      <w:bookmarkEnd w:id="2"/>
      <w:r w:rsidR="00D91E41" w:rsidRPr="00172374">
        <w:rPr>
          <w:rFonts w:ascii="Times New Roman" w:hAnsi="Times New Roman"/>
          <w:sz w:val="24"/>
          <w:lang w:val="en-US"/>
        </w:rPr>
        <w:t xml:space="preserve"> this study </w:t>
      </w:r>
      <w:r w:rsidR="007B1125" w:rsidRPr="00172374">
        <w:rPr>
          <w:rFonts w:ascii="Times New Roman" w:hAnsi="Times New Roman"/>
          <w:sz w:val="24"/>
          <w:lang w:val="en-US"/>
        </w:rPr>
        <w:t xml:space="preserve">takes </w:t>
      </w:r>
      <w:r w:rsidR="004B6404" w:rsidRPr="00172374">
        <w:rPr>
          <w:rFonts w:ascii="Times New Roman" w:hAnsi="Times New Roman"/>
          <w:sz w:val="24"/>
          <w:lang w:val="en-US"/>
        </w:rPr>
        <w:t xml:space="preserve">an initial step in addressing the outlined gaps </w:t>
      </w:r>
      <w:r w:rsidR="003C747D" w:rsidRPr="00172374">
        <w:rPr>
          <w:rFonts w:ascii="Times New Roman" w:hAnsi="Times New Roman"/>
          <w:sz w:val="24"/>
          <w:lang w:val="en-US"/>
        </w:rPr>
        <w:t>by making</w:t>
      </w:r>
      <w:r w:rsidR="004B6404" w:rsidRPr="00172374">
        <w:rPr>
          <w:rFonts w:ascii="Times New Roman" w:hAnsi="Times New Roman"/>
          <w:sz w:val="24"/>
          <w:lang w:val="en-US"/>
        </w:rPr>
        <w:t xml:space="preserve"> two main contributions</w:t>
      </w:r>
      <w:bookmarkStart w:id="4" w:name="_Hlk31042072"/>
      <w:r w:rsidR="004B6404" w:rsidRPr="00172374">
        <w:rPr>
          <w:rFonts w:ascii="Times New Roman" w:hAnsi="Times New Roman"/>
          <w:sz w:val="24"/>
          <w:lang w:val="en-US"/>
        </w:rPr>
        <w:t>.</w:t>
      </w:r>
      <w:r w:rsidR="00FA2138" w:rsidRPr="00172374">
        <w:rPr>
          <w:rFonts w:ascii="Times New Roman" w:hAnsi="Times New Roman"/>
          <w:sz w:val="24"/>
          <w:lang w:val="en-US"/>
        </w:rPr>
        <w:t xml:space="preserve"> First, </w:t>
      </w:r>
      <w:r w:rsidR="005C0592" w:rsidRPr="00172374">
        <w:rPr>
          <w:rFonts w:ascii="Times New Roman" w:hAnsi="Times New Roman"/>
          <w:sz w:val="24"/>
          <w:lang w:val="en-US"/>
        </w:rPr>
        <w:t xml:space="preserve">we build on </w:t>
      </w:r>
      <w:r w:rsidR="00A05230" w:rsidRPr="00172374">
        <w:rPr>
          <w:rFonts w:ascii="Times New Roman" w:hAnsi="Times New Roman"/>
          <w:sz w:val="24"/>
          <w:lang w:val="en-US"/>
        </w:rPr>
        <w:t xml:space="preserve">branding </w:t>
      </w:r>
      <w:r w:rsidR="005C0592" w:rsidRPr="00172374">
        <w:rPr>
          <w:rFonts w:ascii="Times New Roman" w:hAnsi="Times New Roman"/>
          <w:sz w:val="24"/>
          <w:lang w:val="en-US"/>
        </w:rPr>
        <w:t xml:space="preserve">literature </w:t>
      </w:r>
      <w:r w:rsidR="00A05230" w:rsidRPr="00172374">
        <w:rPr>
          <w:rFonts w:ascii="Times New Roman" w:hAnsi="Times New Roman"/>
          <w:sz w:val="24"/>
          <w:lang w:val="en-US"/>
        </w:rPr>
        <w:t xml:space="preserve">and expand prior efforts on brand orientation </w:t>
      </w:r>
      <w:r w:rsidR="00AC1BAE" w:rsidRPr="00172374">
        <w:rPr>
          <w:rFonts w:ascii="Times New Roman" w:hAnsi="Times New Roman"/>
          <w:sz w:val="24"/>
          <w:lang w:val="en-US"/>
        </w:rPr>
        <w:t>(e.g.</w:t>
      </w:r>
      <w:r w:rsidR="00897A93" w:rsidRPr="00172374">
        <w:rPr>
          <w:rFonts w:ascii="Times New Roman" w:hAnsi="Times New Roman"/>
          <w:sz w:val="24"/>
          <w:lang w:val="en-US"/>
        </w:rPr>
        <w:t>,</w:t>
      </w:r>
      <w:r w:rsidR="00AC1BAE" w:rsidRPr="00172374">
        <w:rPr>
          <w:rFonts w:ascii="Times New Roman" w:hAnsi="Times New Roman"/>
          <w:sz w:val="24"/>
          <w:lang w:val="en-US"/>
        </w:rPr>
        <w:t xml:space="preserve"> </w:t>
      </w:r>
      <w:proofErr w:type="spellStart"/>
      <w:r w:rsidR="00AC1BAE" w:rsidRPr="00172374">
        <w:rPr>
          <w:rFonts w:ascii="Times New Roman" w:hAnsi="Times New Roman"/>
          <w:sz w:val="24"/>
          <w:lang w:val="en-US"/>
        </w:rPr>
        <w:t>Urde</w:t>
      </w:r>
      <w:proofErr w:type="spellEnd"/>
      <w:r w:rsidR="00AC1BAE" w:rsidRPr="00172374">
        <w:rPr>
          <w:rFonts w:ascii="Times New Roman" w:hAnsi="Times New Roman"/>
          <w:sz w:val="24"/>
          <w:lang w:val="en-US"/>
        </w:rPr>
        <w:t xml:space="preserve">, 1994) </w:t>
      </w:r>
      <w:r w:rsidR="00A05230" w:rsidRPr="00172374">
        <w:rPr>
          <w:rFonts w:ascii="Times New Roman" w:hAnsi="Times New Roman"/>
          <w:sz w:val="24"/>
          <w:lang w:val="en-US"/>
        </w:rPr>
        <w:t xml:space="preserve">by </w:t>
      </w:r>
      <w:r w:rsidR="005C0592" w:rsidRPr="00172374">
        <w:rPr>
          <w:rFonts w:ascii="Times New Roman" w:hAnsi="Times New Roman"/>
          <w:sz w:val="24"/>
          <w:lang w:val="en-US"/>
        </w:rPr>
        <w:t>re-conceptualiz</w:t>
      </w:r>
      <w:r w:rsidR="00A05230" w:rsidRPr="00172374">
        <w:rPr>
          <w:rFonts w:ascii="Times New Roman" w:hAnsi="Times New Roman"/>
          <w:sz w:val="24"/>
          <w:lang w:val="en-US"/>
        </w:rPr>
        <w:t xml:space="preserve">ing the notion to include the main organizational behaviors manifested by strategically brand-oriented firms. </w:t>
      </w:r>
      <w:bookmarkStart w:id="5" w:name="_Hlk31042289"/>
      <w:bookmarkEnd w:id="4"/>
      <w:r w:rsidR="00A05230" w:rsidRPr="00172374">
        <w:rPr>
          <w:rFonts w:ascii="Times New Roman" w:hAnsi="Times New Roman"/>
          <w:sz w:val="24"/>
          <w:lang w:val="en-US"/>
        </w:rPr>
        <w:t>W</w:t>
      </w:r>
      <w:r w:rsidR="00FA2138" w:rsidRPr="00172374">
        <w:rPr>
          <w:rFonts w:ascii="Times New Roman" w:hAnsi="Times New Roman"/>
          <w:sz w:val="24"/>
          <w:lang w:val="en-US"/>
        </w:rPr>
        <w:t xml:space="preserve">e theoretically develop and empirically validate a new scale to measure </w:t>
      </w:r>
      <w:r w:rsidR="003C747D" w:rsidRPr="00172374">
        <w:rPr>
          <w:rFonts w:ascii="Times New Roman" w:hAnsi="Times New Roman"/>
          <w:sz w:val="24"/>
          <w:lang w:val="en-US"/>
        </w:rPr>
        <w:t>b</w:t>
      </w:r>
      <w:r w:rsidR="00FA2138" w:rsidRPr="00172374">
        <w:rPr>
          <w:rFonts w:ascii="Times New Roman" w:hAnsi="Times New Roman"/>
          <w:sz w:val="24"/>
          <w:lang w:val="en-US"/>
        </w:rPr>
        <w:t xml:space="preserve">rand </w:t>
      </w:r>
      <w:r w:rsidR="003C747D" w:rsidRPr="00172374">
        <w:rPr>
          <w:rFonts w:ascii="Times New Roman" w:hAnsi="Times New Roman"/>
          <w:sz w:val="24"/>
          <w:lang w:val="en-US"/>
        </w:rPr>
        <w:t>o</w:t>
      </w:r>
      <w:r w:rsidR="00FA2138" w:rsidRPr="00172374">
        <w:rPr>
          <w:rFonts w:ascii="Times New Roman" w:hAnsi="Times New Roman"/>
          <w:sz w:val="24"/>
          <w:lang w:val="en-US"/>
        </w:rPr>
        <w:t xml:space="preserve">rientation </w:t>
      </w:r>
      <w:r w:rsidR="00AD2E4C" w:rsidRPr="00172374">
        <w:rPr>
          <w:rFonts w:ascii="Times New Roman" w:hAnsi="Times New Roman"/>
          <w:sz w:val="24"/>
          <w:lang w:val="en-US"/>
        </w:rPr>
        <w:t xml:space="preserve">that clarifies its domain </w:t>
      </w:r>
      <w:r w:rsidR="00FA2138" w:rsidRPr="00172374">
        <w:rPr>
          <w:rFonts w:ascii="Times New Roman" w:hAnsi="Times New Roman"/>
          <w:sz w:val="24"/>
          <w:lang w:val="en-US"/>
        </w:rPr>
        <w:t>and capture</w:t>
      </w:r>
      <w:r w:rsidR="00AD2E4C" w:rsidRPr="00172374">
        <w:rPr>
          <w:rFonts w:ascii="Times New Roman" w:hAnsi="Times New Roman"/>
          <w:sz w:val="24"/>
          <w:lang w:val="en-US"/>
        </w:rPr>
        <w:t>s</w:t>
      </w:r>
      <w:r w:rsidR="00FA2138" w:rsidRPr="00172374">
        <w:rPr>
          <w:rFonts w:ascii="Times New Roman" w:hAnsi="Times New Roman"/>
          <w:sz w:val="24"/>
          <w:lang w:val="en-US"/>
        </w:rPr>
        <w:t xml:space="preserve"> </w:t>
      </w:r>
      <w:r w:rsidR="00CC4EEA" w:rsidRPr="00172374">
        <w:rPr>
          <w:rFonts w:ascii="Times New Roman" w:hAnsi="Times New Roman"/>
          <w:sz w:val="24"/>
          <w:lang w:val="en-US"/>
        </w:rPr>
        <w:t>the multifaceted nature of the</w:t>
      </w:r>
      <w:r w:rsidR="00FA2138" w:rsidRPr="00172374">
        <w:rPr>
          <w:rFonts w:ascii="Times New Roman" w:hAnsi="Times New Roman"/>
          <w:sz w:val="24"/>
          <w:lang w:val="en-US"/>
        </w:rPr>
        <w:t xml:space="preserve"> </w:t>
      </w:r>
      <w:r w:rsidR="0052178F" w:rsidRPr="00172374">
        <w:rPr>
          <w:rFonts w:ascii="Times New Roman" w:hAnsi="Times New Roman"/>
          <w:sz w:val="24"/>
          <w:lang w:val="en-US"/>
        </w:rPr>
        <w:t>brand orientation</w:t>
      </w:r>
      <w:r w:rsidR="00FA2138" w:rsidRPr="00172374">
        <w:rPr>
          <w:rFonts w:ascii="Times New Roman" w:hAnsi="Times New Roman"/>
          <w:sz w:val="24"/>
          <w:lang w:val="en-US"/>
        </w:rPr>
        <w:t xml:space="preserve"> concept.</w:t>
      </w:r>
      <w:r w:rsidR="00AD2E4C" w:rsidRPr="00172374">
        <w:rPr>
          <w:rFonts w:ascii="Times New Roman" w:hAnsi="Times New Roman"/>
          <w:sz w:val="24"/>
          <w:lang w:val="en-US"/>
        </w:rPr>
        <w:t xml:space="preserve"> </w:t>
      </w:r>
      <w:bookmarkEnd w:id="5"/>
      <w:r w:rsidR="00A224BD" w:rsidRPr="00172374">
        <w:rPr>
          <w:rFonts w:ascii="Times New Roman" w:hAnsi="Times New Roman"/>
          <w:sz w:val="24"/>
          <w:lang w:val="en-US"/>
        </w:rPr>
        <w:t xml:space="preserve">In this way, </w:t>
      </w:r>
      <w:r w:rsidR="00906B4B" w:rsidRPr="00172374">
        <w:rPr>
          <w:rFonts w:ascii="Times New Roman" w:hAnsi="Times New Roman"/>
          <w:sz w:val="24"/>
          <w:lang w:val="en-US"/>
        </w:rPr>
        <w:t xml:space="preserve">we provide a </w:t>
      </w:r>
      <w:r w:rsidR="00A05230" w:rsidRPr="00172374">
        <w:rPr>
          <w:rFonts w:ascii="Times New Roman" w:hAnsi="Times New Roman"/>
          <w:sz w:val="24"/>
          <w:lang w:val="en-US"/>
        </w:rPr>
        <w:t>much-needed</w:t>
      </w:r>
      <w:r w:rsidR="00906B4B" w:rsidRPr="00172374">
        <w:rPr>
          <w:rFonts w:ascii="Times New Roman" w:hAnsi="Times New Roman"/>
          <w:sz w:val="24"/>
          <w:lang w:val="en-US"/>
        </w:rPr>
        <w:t xml:space="preserve"> refinement </w:t>
      </w:r>
      <w:r w:rsidR="007B1125" w:rsidRPr="00172374">
        <w:rPr>
          <w:rFonts w:ascii="Times New Roman" w:hAnsi="Times New Roman"/>
          <w:sz w:val="24"/>
          <w:lang w:val="en-US"/>
        </w:rPr>
        <w:t>of</w:t>
      </w:r>
      <w:r w:rsidR="00906B4B" w:rsidRPr="00172374">
        <w:rPr>
          <w:rFonts w:ascii="Times New Roman" w:hAnsi="Times New Roman"/>
          <w:sz w:val="24"/>
          <w:lang w:val="en-US"/>
        </w:rPr>
        <w:t xml:space="preserve"> the disparate conceptualizations and operationalizations of brand or</w:t>
      </w:r>
      <w:r w:rsidR="00493C61" w:rsidRPr="00172374">
        <w:rPr>
          <w:rFonts w:ascii="Times New Roman" w:hAnsi="Times New Roman"/>
          <w:sz w:val="24"/>
          <w:lang w:val="en-US"/>
        </w:rPr>
        <w:t xml:space="preserve">ientation in the literature as well as </w:t>
      </w:r>
      <w:r w:rsidR="00906B4B" w:rsidRPr="00172374">
        <w:rPr>
          <w:rFonts w:ascii="Times New Roman" w:hAnsi="Times New Roman"/>
          <w:sz w:val="24"/>
          <w:lang w:val="en-US"/>
        </w:rPr>
        <w:t>create</w:t>
      </w:r>
      <w:r w:rsidR="00A224BD" w:rsidRPr="00172374">
        <w:rPr>
          <w:rFonts w:ascii="Times New Roman" w:hAnsi="Times New Roman"/>
          <w:sz w:val="24"/>
          <w:lang w:val="en-US"/>
        </w:rPr>
        <w:t xml:space="preserve"> </w:t>
      </w:r>
      <w:r w:rsidR="00C20A7B" w:rsidRPr="00172374">
        <w:rPr>
          <w:rFonts w:ascii="Times New Roman" w:hAnsi="Times New Roman"/>
          <w:sz w:val="24"/>
          <w:lang w:val="en-US"/>
        </w:rPr>
        <w:t xml:space="preserve">a </w:t>
      </w:r>
      <w:r w:rsidR="00A224BD" w:rsidRPr="00172374">
        <w:rPr>
          <w:rFonts w:ascii="Times New Roman" w:hAnsi="Times New Roman"/>
          <w:sz w:val="24"/>
          <w:lang w:val="en-US"/>
        </w:rPr>
        <w:t xml:space="preserve">stable and commonly accepted </w:t>
      </w:r>
      <w:r w:rsidR="00CC4EEA" w:rsidRPr="00172374">
        <w:rPr>
          <w:rFonts w:ascii="Times New Roman" w:hAnsi="Times New Roman"/>
          <w:sz w:val="24"/>
          <w:lang w:val="en-US"/>
        </w:rPr>
        <w:t xml:space="preserve">measurement tool </w:t>
      </w:r>
      <w:r w:rsidR="007B1125" w:rsidRPr="00172374">
        <w:rPr>
          <w:rFonts w:ascii="Times New Roman" w:hAnsi="Times New Roman"/>
          <w:sz w:val="24"/>
          <w:lang w:val="en-US"/>
        </w:rPr>
        <w:t xml:space="preserve">for </w:t>
      </w:r>
      <w:r w:rsidR="00CC4EEA" w:rsidRPr="00172374">
        <w:rPr>
          <w:rFonts w:ascii="Times New Roman" w:hAnsi="Times New Roman"/>
          <w:sz w:val="24"/>
          <w:lang w:val="en-US"/>
        </w:rPr>
        <w:t xml:space="preserve">use in </w:t>
      </w:r>
      <w:r w:rsidR="00A224BD" w:rsidRPr="00172374">
        <w:rPr>
          <w:rFonts w:ascii="Times New Roman" w:hAnsi="Times New Roman"/>
          <w:sz w:val="24"/>
          <w:lang w:val="en-US"/>
        </w:rPr>
        <w:t xml:space="preserve">future </w:t>
      </w:r>
      <w:r w:rsidR="00CC4EEA" w:rsidRPr="00172374">
        <w:rPr>
          <w:rFonts w:ascii="Times New Roman" w:hAnsi="Times New Roman"/>
          <w:sz w:val="24"/>
          <w:lang w:val="en-US"/>
        </w:rPr>
        <w:t xml:space="preserve">related </w:t>
      </w:r>
      <w:r w:rsidR="00A224BD" w:rsidRPr="00172374">
        <w:rPr>
          <w:rFonts w:ascii="Times New Roman" w:hAnsi="Times New Roman"/>
          <w:sz w:val="24"/>
          <w:lang w:val="en-US"/>
        </w:rPr>
        <w:t xml:space="preserve">studies. </w:t>
      </w:r>
      <w:r w:rsidR="00AD2E4C" w:rsidRPr="00172374">
        <w:rPr>
          <w:rFonts w:ascii="Times New Roman" w:hAnsi="Times New Roman"/>
          <w:sz w:val="24"/>
          <w:lang w:val="en-US"/>
        </w:rPr>
        <w:t xml:space="preserve">To accomplish </w:t>
      </w:r>
      <w:r w:rsidR="00EC617B" w:rsidRPr="00172374">
        <w:rPr>
          <w:rFonts w:ascii="Times New Roman" w:hAnsi="Times New Roman"/>
          <w:sz w:val="24"/>
          <w:lang w:val="en-US"/>
        </w:rPr>
        <w:t>this</w:t>
      </w:r>
      <w:r w:rsidR="00AD2E4C" w:rsidRPr="00172374">
        <w:rPr>
          <w:rFonts w:ascii="Times New Roman" w:hAnsi="Times New Roman"/>
          <w:sz w:val="24"/>
          <w:lang w:val="en-US"/>
        </w:rPr>
        <w:t xml:space="preserve"> goal, we follow </w:t>
      </w:r>
      <w:r w:rsidR="009F4A3A" w:rsidRPr="00172374">
        <w:rPr>
          <w:rFonts w:ascii="Times New Roman" w:hAnsi="Times New Roman"/>
          <w:sz w:val="24"/>
          <w:lang w:val="en-US"/>
        </w:rPr>
        <w:t xml:space="preserve">measurement theory and </w:t>
      </w:r>
      <w:r w:rsidR="00AD2E4C" w:rsidRPr="00172374">
        <w:rPr>
          <w:rFonts w:ascii="Times New Roman" w:hAnsi="Times New Roman"/>
          <w:sz w:val="24"/>
          <w:lang w:val="en-US"/>
        </w:rPr>
        <w:t xml:space="preserve">scale development </w:t>
      </w:r>
      <w:r w:rsidR="003C747D" w:rsidRPr="00172374">
        <w:rPr>
          <w:rFonts w:ascii="Times New Roman" w:hAnsi="Times New Roman"/>
          <w:sz w:val="24"/>
          <w:lang w:val="en-US"/>
        </w:rPr>
        <w:t xml:space="preserve">guidelines </w:t>
      </w:r>
      <w:r w:rsidR="00AD2E4C" w:rsidRPr="00172374">
        <w:rPr>
          <w:rFonts w:ascii="Times New Roman" w:hAnsi="Times New Roman"/>
          <w:sz w:val="24"/>
          <w:lang w:val="en-US"/>
        </w:rPr>
        <w:t xml:space="preserve">(Churchill, 1979; </w:t>
      </w:r>
      <w:proofErr w:type="spellStart"/>
      <w:r w:rsidR="00AD2E4C" w:rsidRPr="00172374">
        <w:rPr>
          <w:rFonts w:ascii="Times New Roman" w:hAnsi="Times New Roman"/>
          <w:sz w:val="24"/>
          <w:lang w:val="en-US"/>
        </w:rPr>
        <w:lastRenderedPageBreak/>
        <w:t>Netemeyer</w:t>
      </w:r>
      <w:proofErr w:type="spellEnd"/>
      <w:r w:rsidR="00AD2E4C" w:rsidRPr="00172374">
        <w:rPr>
          <w:rFonts w:ascii="Times New Roman" w:hAnsi="Times New Roman"/>
          <w:sz w:val="24"/>
          <w:lang w:val="en-US"/>
        </w:rPr>
        <w:t>, Bearden</w:t>
      </w:r>
      <w:r w:rsidR="00702532" w:rsidRPr="00172374">
        <w:rPr>
          <w:rFonts w:ascii="Times New Roman" w:hAnsi="Times New Roman"/>
          <w:sz w:val="24"/>
          <w:lang w:val="en-US"/>
        </w:rPr>
        <w:t>,</w:t>
      </w:r>
      <w:r w:rsidR="00AD2E4C" w:rsidRPr="00172374">
        <w:rPr>
          <w:rFonts w:ascii="Times New Roman" w:hAnsi="Times New Roman"/>
          <w:sz w:val="24"/>
          <w:lang w:val="en-US"/>
        </w:rPr>
        <w:t xml:space="preserve"> </w:t>
      </w:r>
      <w:r w:rsidR="003A4178" w:rsidRPr="00172374">
        <w:rPr>
          <w:rFonts w:ascii="Times New Roman" w:hAnsi="Times New Roman"/>
          <w:sz w:val="24"/>
          <w:lang w:val="en-US"/>
        </w:rPr>
        <w:t>&amp;</w:t>
      </w:r>
      <w:r w:rsidR="00AD2E4C" w:rsidRPr="00172374">
        <w:rPr>
          <w:rFonts w:ascii="Times New Roman" w:hAnsi="Times New Roman"/>
          <w:sz w:val="24"/>
          <w:lang w:val="en-US"/>
        </w:rPr>
        <w:t xml:space="preserve"> Sharma, 2003) and conduct multiple complementary studies </w:t>
      </w:r>
      <w:r w:rsidR="003C747D" w:rsidRPr="00172374">
        <w:rPr>
          <w:rFonts w:ascii="Times New Roman" w:hAnsi="Times New Roman"/>
          <w:sz w:val="24"/>
          <w:lang w:val="en-US"/>
        </w:rPr>
        <w:t>to develop and refine the scale, test its stability</w:t>
      </w:r>
      <w:r w:rsidR="007B1125" w:rsidRPr="00172374">
        <w:rPr>
          <w:rFonts w:ascii="Times New Roman" w:hAnsi="Times New Roman"/>
          <w:sz w:val="24"/>
          <w:lang w:val="en-US"/>
        </w:rPr>
        <w:t>,</w:t>
      </w:r>
      <w:r w:rsidR="003C747D" w:rsidRPr="00172374">
        <w:rPr>
          <w:rFonts w:ascii="Times New Roman" w:hAnsi="Times New Roman"/>
          <w:sz w:val="24"/>
          <w:lang w:val="en-US"/>
        </w:rPr>
        <w:t xml:space="preserve"> and assess its psychometric properties</w:t>
      </w:r>
      <w:r w:rsidR="00E977CC" w:rsidRPr="00172374">
        <w:rPr>
          <w:rFonts w:ascii="Times New Roman" w:hAnsi="Times New Roman"/>
          <w:sz w:val="24"/>
          <w:lang w:val="en-US"/>
        </w:rPr>
        <w:t xml:space="preserve">. Second, </w:t>
      </w:r>
      <w:r w:rsidR="00FE4457" w:rsidRPr="00172374">
        <w:rPr>
          <w:rFonts w:ascii="Times New Roman" w:hAnsi="Times New Roman"/>
          <w:sz w:val="24"/>
          <w:lang w:val="en-US"/>
        </w:rPr>
        <w:t>in assessing</w:t>
      </w:r>
      <w:r w:rsidR="003C747D" w:rsidRPr="00172374">
        <w:rPr>
          <w:rFonts w:ascii="Times New Roman" w:hAnsi="Times New Roman"/>
          <w:sz w:val="24"/>
          <w:lang w:val="en-US"/>
        </w:rPr>
        <w:t xml:space="preserve"> the</w:t>
      </w:r>
      <w:r w:rsidR="00FE4457" w:rsidRPr="00172374">
        <w:rPr>
          <w:rFonts w:ascii="Times New Roman" w:hAnsi="Times New Roman"/>
          <w:sz w:val="24"/>
          <w:lang w:val="en-US"/>
        </w:rPr>
        <w:t xml:space="preserve"> nomological validity of the new scale, </w:t>
      </w:r>
      <w:r w:rsidR="00E977CC" w:rsidRPr="00172374">
        <w:rPr>
          <w:rFonts w:ascii="Times New Roman" w:hAnsi="Times New Roman"/>
          <w:sz w:val="24"/>
          <w:lang w:val="en-US"/>
        </w:rPr>
        <w:t xml:space="preserve">we develop and test </w:t>
      </w:r>
      <w:r w:rsidR="004E3888" w:rsidRPr="00172374">
        <w:rPr>
          <w:rFonts w:ascii="Times New Roman" w:hAnsi="Times New Roman"/>
          <w:sz w:val="24"/>
          <w:lang w:val="en-US"/>
        </w:rPr>
        <w:t xml:space="preserve">a </w:t>
      </w:r>
      <w:r w:rsidR="003C747D" w:rsidRPr="00172374">
        <w:rPr>
          <w:rFonts w:ascii="Times New Roman" w:hAnsi="Times New Roman"/>
          <w:sz w:val="24"/>
          <w:lang w:val="en-US"/>
        </w:rPr>
        <w:t>conceptual framework identifying key antecedents and consequences of b</w:t>
      </w:r>
      <w:r w:rsidR="00E977CC" w:rsidRPr="00172374">
        <w:rPr>
          <w:rFonts w:ascii="Times New Roman" w:hAnsi="Times New Roman"/>
          <w:sz w:val="24"/>
          <w:lang w:val="en-US"/>
        </w:rPr>
        <w:t xml:space="preserve">rand </w:t>
      </w:r>
      <w:r w:rsidR="003C747D" w:rsidRPr="00172374">
        <w:rPr>
          <w:rFonts w:ascii="Times New Roman" w:hAnsi="Times New Roman"/>
          <w:sz w:val="24"/>
          <w:lang w:val="en-US"/>
        </w:rPr>
        <w:t>o</w:t>
      </w:r>
      <w:r w:rsidR="00E977CC" w:rsidRPr="00172374">
        <w:rPr>
          <w:rFonts w:ascii="Times New Roman" w:hAnsi="Times New Roman"/>
          <w:sz w:val="24"/>
          <w:lang w:val="en-US"/>
        </w:rPr>
        <w:t>rientation</w:t>
      </w:r>
      <w:r w:rsidRPr="00172374">
        <w:rPr>
          <w:rFonts w:ascii="Times New Roman" w:hAnsi="Times New Roman"/>
          <w:sz w:val="24"/>
          <w:lang w:val="en-US"/>
        </w:rPr>
        <w:t>.</w:t>
      </w:r>
      <w:r w:rsidR="003C747D" w:rsidRPr="00172374">
        <w:rPr>
          <w:rFonts w:ascii="Times New Roman" w:hAnsi="Times New Roman"/>
          <w:sz w:val="24"/>
          <w:lang w:val="en-US"/>
        </w:rPr>
        <w:t xml:space="preserve"> </w:t>
      </w:r>
      <w:r w:rsidR="00B704FA" w:rsidRPr="00172374">
        <w:rPr>
          <w:rFonts w:ascii="Times New Roman" w:hAnsi="Times New Roman"/>
          <w:sz w:val="24"/>
          <w:lang w:val="en-US"/>
        </w:rPr>
        <w:t>W</w:t>
      </w:r>
      <w:r w:rsidRPr="00172374">
        <w:rPr>
          <w:rFonts w:ascii="Times New Roman" w:hAnsi="Times New Roman"/>
          <w:sz w:val="24"/>
          <w:lang w:val="en-US"/>
        </w:rPr>
        <w:t xml:space="preserve">e </w:t>
      </w:r>
      <w:r w:rsidR="003C747D" w:rsidRPr="00172374">
        <w:rPr>
          <w:rFonts w:ascii="Times New Roman" w:hAnsi="Times New Roman"/>
          <w:sz w:val="24"/>
          <w:lang w:val="en-US"/>
        </w:rPr>
        <w:t>show that brand orientation is driven by</w:t>
      </w:r>
      <w:r w:rsidR="00493C61" w:rsidRPr="00172374">
        <w:rPr>
          <w:rFonts w:ascii="Times New Roman" w:hAnsi="Times New Roman"/>
          <w:sz w:val="24"/>
          <w:lang w:val="en-US"/>
        </w:rPr>
        <w:t xml:space="preserve"> marketing department power</w:t>
      </w:r>
      <w:r w:rsidR="007B1125" w:rsidRPr="00172374">
        <w:rPr>
          <w:rFonts w:ascii="Times New Roman" w:hAnsi="Times New Roman"/>
          <w:sz w:val="24"/>
          <w:lang w:val="en-US"/>
        </w:rPr>
        <w:t xml:space="preserve"> and</w:t>
      </w:r>
      <w:r w:rsidR="00493C61" w:rsidRPr="00172374">
        <w:rPr>
          <w:rFonts w:ascii="Times New Roman" w:hAnsi="Times New Roman"/>
          <w:sz w:val="24"/>
          <w:lang w:val="en-US"/>
        </w:rPr>
        <w:t xml:space="preserve"> </w:t>
      </w:r>
      <w:r w:rsidR="003C747D" w:rsidRPr="00172374">
        <w:rPr>
          <w:rFonts w:ascii="Times New Roman" w:hAnsi="Times New Roman"/>
          <w:sz w:val="24"/>
          <w:lang w:val="en-US"/>
        </w:rPr>
        <w:t>market orientation and serially mediates their beneficial effects</w:t>
      </w:r>
      <w:r w:rsidR="0052178F" w:rsidRPr="00172374">
        <w:rPr>
          <w:rFonts w:ascii="Times New Roman" w:hAnsi="Times New Roman"/>
          <w:sz w:val="24"/>
          <w:lang w:val="en-US"/>
        </w:rPr>
        <w:t xml:space="preserve"> on</w:t>
      </w:r>
      <w:r w:rsidR="003C747D" w:rsidRPr="00172374">
        <w:rPr>
          <w:rFonts w:ascii="Times New Roman" w:hAnsi="Times New Roman"/>
          <w:sz w:val="24"/>
          <w:lang w:val="en-US"/>
        </w:rPr>
        <w:t xml:space="preserve"> </w:t>
      </w:r>
      <w:r w:rsidR="005B66EE" w:rsidRPr="00172374">
        <w:rPr>
          <w:rFonts w:ascii="Times New Roman" w:hAnsi="Times New Roman"/>
          <w:sz w:val="24"/>
          <w:lang w:val="en-US"/>
        </w:rPr>
        <w:t>financial</w:t>
      </w:r>
      <w:r w:rsidR="003C747D" w:rsidRPr="00172374">
        <w:rPr>
          <w:rFonts w:ascii="Times New Roman" w:hAnsi="Times New Roman"/>
          <w:sz w:val="24"/>
          <w:lang w:val="en-US"/>
        </w:rPr>
        <w:t xml:space="preserve"> performance. </w:t>
      </w:r>
      <w:r w:rsidR="00FC0A92" w:rsidRPr="00172374">
        <w:rPr>
          <w:rFonts w:ascii="Times New Roman" w:hAnsi="Times New Roman"/>
          <w:sz w:val="24"/>
          <w:lang w:val="en-US"/>
        </w:rPr>
        <w:t>The findings are</w:t>
      </w:r>
      <w:r w:rsidR="00EC617B" w:rsidRPr="00172374">
        <w:rPr>
          <w:rFonts w:ascii="Times New Roman" w:hAnsi="Times New Roman"/>
          <w:sz w:val="24"/>
          <w:lang w:val="en-US"/>
        </w:rPr>
        <w:t xml:space="preserve"> </w:t>
      </w:r>
      <w:r w:rsidR="00FC0A92" w:rsidRPr="00172374">
        <w:rPr>
          <w:rFonts w:ascii="Times New Roman" w:hAnsi="Times New Roman"/>
          <w:sz w:val="24"/>
          <w:lang w:val="en-US"/>
        </w:rPr>
        <w:t xml:space="preserve">also </w:t>
      </w:r>
      <w:r w:rsidR="00EC617B" w:rsidRPr="00172374">
        <w:rPr>
          <w:rFonts w:ascii="Times New Roman" w:hAnsi="Times New Roman"/>
          <w:sz w:val="24"/>
          <w:lang w:val="en-US"/>
        </w:rPr>
        <w:t xml:space="preserve">useful for practitioners </w:t>
      </w:r>
      <w:r w:rsidR="00FC0A92" w:rsidRPr="00172374">
        <w:rPr>
          <w:rFonts w:ascii="Times New Roman" w:hAnsi="Times New Roman"/>
          <w:sz w:val="24"/>
          <w:lang w:val="en-US"/>
        </w:rPr>
        <w:t>by providing</w:t>
      </w:r>
      <w:r w:rsidR="00EC617B" w:rsidRPr="00172374">
        <w:rPr>
          <w:rFonts w:ascii="Times New Roman" w:hAnsi="Times New Roman"/>
          <w:sz w:val="24"/>
          <w:lang w:val="en-US"/>
        </w:rPr>
        <w:t xml:space="preserve"> a comprehensive view of </w:t>
      </w:r>
      <w:r w:rsidR="00FC0A92" w:rsidRPr="00172374">
        <w:rPr>
          <w:rFonts w:ascii="Times New Roman" w:hAnsi="Times New Roman"/>
          <w:sz w:val="24"/>
          <w:lang w:val="en-US"/>
        </w:rPr>
        <w:t>the performance</w:t>
      </w:r>
      <w:r w:rsidR="007B1125" w:rsidRPr="00172374">
        <w:rPr>
          <w:rFonts w:ascii="Times New Roman" w:hAnsi="Times New Roman"/>
          <w:sz w:val="24"/>
          <w:lang w:val="en-US"/>
        </w:rPr>
        <w:t>-</w:t>
      </w:r>
      <w:r w:rsidR="00FC0A92" w:rsidRPr="00172374">
        <w:rPr>
          <w:rFonts w:ascii="Times New Roman" w:hAnsi="Times New Roman"/>
          <w:sz w:val="24"/>
          <w:lang w:val="en-US"/>
        </w:rPr>
        <w:t xml:space="preserve">enhancing behaviors of </w:t>
      </w:r>
      <w:r w:rsidR="00A92DEC" w:rsidRPr="00172374">
        <w:rPr>
          <w:rFonts w:ascii="Times New Roman" w:hAnsi="Times New Roman"/>
          <w:sz w:val="24"/>
          <w:lang w:val="en-US"/>
        </w:rPr>
        <w:t>brand-oriented</w:t>
      </w:r>
      <w:r w:rsidR="00493C61" w:rsidRPr="00172374">
        <w:rPr>
          <w:rFonts w:ascii="Times New Roman" w:hAnsi="Times New Roman"/>
          <w:sz w:val="24"/>
          <w:lang w:val="en-US"/>
        </w:rPr>
        <w:t xml:space="preserve"> companies. In addition, the findings provide </w:t>
      </w:r>
      <w:r w:rsidR="00FE4457" w:rsidRPr="00172374">
        <w:rPr>
          <w:rFonts w:ascii="Times New Roman" w:hAnsi="Times New Roman"/>
          <w:sz w:val="24"/>
          <w:lang w:val="en-US"/>
        </w:rPr>
        <w:t>initial</w:t>
      </w:r>
      <w:r w:rsidR="00B10387" w:rsidRPr="00172374">
        <w:rPr>
          <w:rFonts w:ascii="Times New Roman" w:hAnsi="Times New Roman"/>
          <w:sz w:val="24"/>
          <w:lang w:val="en-US"/>
        </w:rPr>
        <w:t xml:space="preserve"> evidence </w:t>
      </w:r>
      <w:r w:rsidR="00D75E98" w:rsidRPr="00172374">
        <w:rPr>
          <w:rFonts w:ascii="Times New Roman" w:hAnsi="Times New Roman"/>
          <w:sz w:val="24"/>
          <w:lang w:val="en-US"/>
        </w:rPr>
        <w:t xml:space="preserve">of the importance of </w:t>
      </w:r>
      <w:r w:rsidR="00FC0A92" w:rsidRPr="00172374">
        <w:rPr>
          <w:rFonts w:ascii="Times New Roman" w:hAnsi="Times New Roman"/>
          <w:sz w:val="24"/>
          <w:lang w:val="en-US"/>
        </w:rPr>
        <w:t xml:space="preserve">brand orientation </w:t>
      </w:r>
      <w:r w:rsidR="00493C61" w:rsidRPr="00172374">
        <w:rPr>
          <w:rFonts w:ascii="Times New Roman" w:hAnsi="Times New Roman"/>
          <w:sz w:val="24"/>
          <w:lang w:val="en-US"/>
        </w:rPr>
        <w:t xml:space="preserve">by </w:t>
      </w:r>
      <w:r w:rsidR="00FC0A92" w:rsidRPr="00172374">
        <w:rPr>
          <w:rFonts w:ascii="Times New Roman" w:hAnsi="Times New Roman"/>
          <w:sz w:val="24"/>
          <w:lang w:val="en-US"/>
        </w:rPr>
        <w:t>explaining how assigning more power to the marketing department ultimately leads to superior performance.</w:t>
      </w:r>
    </w:p>
    <w:p w14:paraId="53C3FEBF" w14:textId="77777777" w:rsidR="001F7A8D" w:rsidRPr="00172374" w:rsidRDefault="001F7A8D" w:rsidP="000D59B1">
      <w:pPr>
        <w:pStyle w:val="a3"/>
        <w:spacing w:after="0" w:line="480" w:lineRule="auto"/>
        <w:ind w:left="0" w:firstLine="567"/>
        <w:rPr>
          <w:rFonts w:ascii="Times New Roman" w:hAnsi="Times New Roman"/>
          <w:sz w:val="24"/>
          <w:lang w:val="en-US"/>
        </w:rPr>
      </w:pPr>
    </w:p>
    <w:p w14:paraId="2110D3FC" w14:textId="77777777" w:rsidR="00922393" w:rsidRPr="00172374" w:rsidRDefault="00922393" w:rsidP="000D59B1">
      <w:pPr>
        <w:pStyle w:val="a3"/>
        <w:spacing w:after="0" w:line="480" w:lineRule="auto"/>
        <w:ind w:left="0"/>
        <w:contextualSpacing w:val="0"/>
        <w:rPr>
          <w:rFonts w:ascii="Times New Roman" w:hAnsi="Times New Roman"/>
          <w:b/>
          <w:sz w:val="24"/>
          <w:lang w:val="en-US"/>
        </w:rPr>
      </w:pPr>
      <w:r w:rsidRPr="00172374">
        <w:rPr>
          <w:rFonts w:ascii="Times New Roman" w:hAnsi="Times New Roman"/>
          <w:b/>
          <w:sz w:val="24"/>
        </w:rPr>
        <w:t xml:space="preserve">2. </w:t>
      </w:r>
      <w:bookmarkStart w:id="6" w:name="_Hlk30438258"/>
      <w:r w:rsidRPr="00172374">
        <w:rPr>
          <w:rFonts w:ascii="Times New Roman" w:hAnsi="Times New Roman"/>
          <w:b/>
          <w:sz w:val="24"/>
        </w:rPr>
        <w:t>Theoretical background</w:t>
      </w:r>
      <w:r w:rsidR="00A859DD" w:rsidRPr="00172374">
        <w:rPr>
          <w:rFonts w:ascii="Times New Roman" w:hAnsi="Times New Roman"/>
          <w:b/>
          <w:sz w:val="24"/>
          <w:lang w:val="en-US"/>
        </w:rPr>
        <w:t xml:space="preserve"> and </w:t>
      </w:r>
      <w:r w:rsidR="00A859DD" w:rsidRPr="00172374">
        <w:rPr>
          <w:rFonts w:ascii="Times New Roman" w:hAnsi="Times New Roman"/>
          <w:b/>
          <w:sz w:val="24"/>
        </w:rPr>
        <w:t>conceptualization of brand orientation</w:t>
      </w:r>
    </w:p>
    <w:bookmarkEnd w:id="6"/>
    <w:p w14:paraId="1DA121EC" w14:textId="77777777" w:rsidR="00922393" w:rsidRPr="00172374" w:rsidRDefault="00B66B08" w:rsidP="001F7A8D">
      <w:pPr>
        <w:pStyle w:val="a3"/>
        <w:spacing w:before="120" w:after="0" w:line="480" w:lineRule="auto"/>
        <w:ind w:left="0"/>
        <w:contextualSpacing w:val="0"/>
        <w:rPr>
          <w:rFonts w:ascii="Times New Roman" w:hAnsi="Times New Roman"/>
          <w:i/>
          <w:sz w:val="24"/>
        </w:rPr>
      </w:pPr>
      <w:r w:rsidRPr="00172374">
        <w:rPr>
          <w:rFonts w:ascii="Times New Roman" w:hAnsi="Times New Roman"/>
          <w:i/>
          <w:sz w:val="24"/>
        </w:rPr>
        <w:t xml:space="preserve">2.1. </w:t>
      </w:r>
      <w:r w:rsidR="002472A4" w:rsidRPr="00172374">
        <w:rPr>
          <w:rFonts w:ascii="Times New Roman" w:hAnsi="Times New Roman"/>
          <w:i/>
          <w:sz w:val="24"/>
        </w:rPr>
        <w:t>B</w:t>
      </w:r>
      <w:r w:rsidR="007E2553" w:rsidRPr="00172374">
        <w:rPr>
          <w:rFonts w:ascii="Times New Roman" w:hAnsi="Times New Roman"/>
          <w:i/>
          <w:sz w:val="24"/>
        </w:rPr>
        <w:t xml:space="preserve">rand orientation </w:t>
      </w:r>
    </w:p>
    <w:p w14:paraId="78B3F68F" w14:textId="227D5D7E" w:rsidR="00CD0FED" w:rsidRPr="00172374" w:rsidRDefault="00CD0FED" w:rsidP="00CD0FED">
      <w:pPr>
        <w:pStyle w:val="mainabbody"/>
        <w:spacing w:after="0"/>
        <w:ind w:firstLine="567"/>
        <w:jc w:val="left"/>
      </w:pPr>
      <w:r w:rsidRPr="00172374">
        <w:t xml:space="preserve">The brand orientation concept appeared in the marketing literature as an important strategic orientation with significant effects on business success (e.g., </w:t>
      </w:r>
      <w:proofErr w:type="spellStart"/>
      <w:r w:rsidRPr="00172374">
        <w:t>Baumgarth</w:t>
      </w:r>
      <w:proofErr w:type="spellEnd"/>
      <w:r w:rsidRPr="00172374">
        <w:t xml:space="preserve">, 2010; Wong &amp; </w:t>
      </w:r>
      <w:proofErr w:type="spellStart"/>
      <w:r w:rsidRPr="00172374">
        <w:t>Merrilees</w:t>
      </w:r>
      <w:proofErr w:type="spellEnd"/>
      <w:r w:rsidRPr="00172374">
        <w:t>, 2007). Since the term was first introduced in the marketing and branding literature (</w:t>
      </w:r>
      <w:proofErr w:type="spellStart"/>
      <w:r w:rsidRPr="00172374">
        <w:t>Urde</w:t>
      </w:r>
      <w:proofErr w:type="spellEnd"/>
      <w:r w:rsidRPr="00172374">
        <w:t xml:space="preserve">, 1994), several definitions have been proposed. </w:t>
      </w:r>
      <w:bookmarkStart w:id="7" w:name="_Hlk31128311"/>
      <w:r w:rsidRPr="00172374">
        <w:t xml:space="preserve">Table 1 presents </w:t>
      </w:r>
      <w:bookmarkStart w:id="8" w:name="_Hlk31128119"/>
      <w:r w:rsidRPr="00172374">
        <w:t xml:space="preserve">all definitions of brand orientation proposed as part of a scale development procedure for the construct, in addition to the original definition of </w:t>
      </w:r>
      <w:proofErr w:type="spellStart"/>
      <w:r w:rsidRPr="00172374">
        <w:t>Urde</w:t>
      </w:r>
      <w:proofErr w:type="spellEnd"/>
      <w:r w:rsidRPr="00172374">
        <w:t xml:space="preserve"> (1999), who coined the term and formally defined the meaning of the concept.</w:t>
      </w:r>
      <w:bookmarkEnd w:id="8"/>
      <w:r w:rsidRPr="00172374">
        <w:t xml:space="preserve"> </w:t>
      </w:r>
      <w:bookmarkEnd w:id="7"/>
      <w:r w:rsidR="00EB3D43" w:rsidRPr="00172374">
        <w:t xml:space="preserve">As presented in Table 1, one approach views brand orientation as a “shared sense of brand meaning” that offers added value to stakeholders and superior performance to companies (Ewing &amp; Napoli, 2005). Another view considers brand orientation as a “mindset” that prioritizes branding in the organizational strategy (Wong &amp; </w:t>
      </w:r>
      <w:proofErr w:type="spellStart"/>
      <w:r w:rsidR="00EB3D43" w:rsidRPr="00172374">
        <w:t>Merrilees</w:t>
      </w:r>
      <w:proofErr w:type="spellEnd"/>
      <w:r w:rsidR="00EB3D43" w:rsidRPr="00172374">
        <w:t xml:space="preserve">, 2007), while other researchers propose that brand orientation is a “systematic approach to brand management” that guarantees a consistent, differentiated and relevant offer </w:t>
      </w:r>
      <w:r w:rsidR="00EB3D43" w:rsidRPr="00172374">
        <w:lastRenderedPageBreak/>
        <w:t>to customers (</w:t>
      </w:r>
      <w:proofErr w:type="spellStart"/>
      <w:r w:rsidR="00EB3D43" w:rsidRPr="00172374">
        <w:t>Baumgarth</w:t>
      </w:r>
      <w:proofErr w:type="spellEnd"/>
      <w:r w:rsidR="00EB3D43" w:rsidRPr="00172374">
        <w:t xml:space="preserve">, 2010).  </w:t>
      </w:r>
      <w:r w:rsidRPr="00172374">
        <w:t xml:space="preserve">Although </w:t>
      </w:r>
      <w:r w:rsidR="00EB3D43" w:rsidRPr="00172374">
        <w:t>it is evident that</w:t>
      </w:r>
      <w:r w:rsidRPr="00172374">
        <w:t xml:space="preserve"> differences exist in the way brand orientation is defined, </w:t>
      </w:r>
      <w:r w:rsidR="00EB3D43" w:rsidRPr="00172374">
        <w:t>a shared</w:t>
      </w:r>
      <w:r w:rsidRPr="00172374">
        <w:t xml:space="preserve"> view regards it as an integrated organizational approach that centers all business processes, resources, and strategies on the development and protection of powerful brands</w:t>
      </w:r>
      <w:r w:rsidR="00EB3D43" w:rsidRPr="00172374">
        <w:t xml:space="preserve"> (</w:t>
      </w:r>
      <w:proofErr w:type="spellStart"/>
      <w:r w:rsidR="00EB3D43" w:rsidRPr="00172374">
        <w:t>Urde</w:t>
      </w:r>
      <w:proofErr w:type="spellEnd"/>
      <w:r w:rsidR="00EB3D43" w:rsidRPr="00172374">
        <w:t>, 1999)</w:t>
      </w:r>
      <w:r w:rsidRPr="00172374">
        <w:t xml:space="preserve">. </w:t>
      </w:r>
      <w:r w:rsidR="00476768" w:rsidRPr="00172374">
        <w:t xml:space="preserve">Another common point of most definitions is that </w:t>
      </w:r>
      <w:r w:rsidRPr="00172374">
        <w:t>brand orientation is viewed as a strategic orientation aiming at building strong brand equity</w:t>
      </w:r>
      <w:r w:rsidR="00476768" w:rsidRPr="00172374">
        <w:t xml:space="preserve"> and increa</w:t>
      </w:r>
      <w:r w:rsidR="001E1333" w:rsidRPr="00172374">
        <w:t>sing</w:t>
      </w:r>
      <w:r w:rsidR="00476768" w:rsidRPr="00172374">
        <w:t xml:space="preserve"> competitiveness (Huang and Tsai, 2013)</w:t>
      </w:r>
      <w:r w:rsidRPr="00172374">
        <w:t xml:space="preserve">. </w:t>
      </w:r>
      <w:r w:rsidR="00476768" w:rsidRPr="00172374">
        <w:t>In other words, a</w:t>
      </w:r>
      <w:r w:rsidRPr="00172374">
        <w:t xml:space="preserve"> brand-oriented organization emphasizes the significance of the brand identity (mission, vision, and values) as a hub for organizational culture, behavior, and strategy (</w:t>
      </w:r>
      <w:proofErr w:type="spellStart"/>
      <w:r w:rsidRPr="00172374">
        <w:t>Urde</w:t>
      </w:r>
      <w:proofErr w:type="spellEnd"/>
      <w:r w:rsidRPr="00172374">
        <w:t xml:space="preserve">, </w:t>
      </w:r>
      <w:proofErr w:type="spellStart"/>
      <w:r w:rsidRPr="00172374">
        <w:t>Baumgarth</w:t>
      </w:r>
      <w:proofErr w:type="spellEnd"/>
      <w:r w:rsidRPr="00172374">
        <w:t xml:space="preserve">, &amp; </w:t>
      </w:r>
      <w:proofErr w:type="spellStart"/>
      <w:r w:rsidRPr="00172374">
        <w:t>Merrilees</w:t>
      </w:r>
      <w:proofErr w:type="spellEnd"/>
      <w:r w:rsidRPr="00172374">
        <w:t>, 2013).</w:t>
      </w:r>
    </w:p>
    <w:p w14:paraId="2B06BA2C" w14:textId="77777777" w:rsidR="00CD0FED" w:rsidRPr="00172374" w:rsidRDefault="00CD0FED" w:rsidP="00CD0FED">
      <w:pPr>
        <w:pStyle w:val="mainabbody"/>
        <w:spacing w:after="0"/>
        <w:jc w:val="center"/>
      </w:pPr>
      <w:r w:rsidRPr="00172374">
        <w:t>Table 1 here</w:t>
      </w:r>
    </w:p>
    <w:p w14:paraId="3C20E4F4" w14:textId="77777777" w:rsidR="00CD0FED" w:rsidRPr="00172374" w:rsidRDefault="00CD0FED" w:rsidP="00CD0FED">
      <w:pPr>
        <w:pStyle w:val="mainabbody"/>
        <w:spacing w:after="0"/>
        <w:ind w:firstLine="567"/>
        <w:jc w:val="left"/>
      </w:pPr>
      <w:r w:rsidRPr="00172374">
        <w:t>As a strategic orientation, brand orientation provides the guiding principles that influence a firm’s marketing and brand strategy activities, representing the elements of the organization’s culture that lead to interactions with the marketplace, both with customers and competitors (Noble, Sinha, &amp; Kumar, 2002). Brand orientation, therefore, guides managers in their effort to create powerful brands.</w:t>
      </w:r>
    </w:p>
    <w:p w14:paraId="505DFAC9" w14:textId="77777777" w:rsidR="00E6202F" w:rsidRPr="00172374" w:rsidRDefault="00E6202F" w:rsidP="000D59B1">
      <w:pPr>
        <w:pStyle w:val="mainabbody"/>
        <w:spacing w:after="0"/>
        <w:ind w:firstLine="567"/>
        <w:jc w:val="left"/>
      </w:pPr>
    </w:p>
    <w:p w14:paraId="406ABFC5" w14:textId="77777777" w:rsidR="002472A4" w:rsidRPr="00172374" w:rsidRDefault="002472A4" w:rsidP="002472A4">
      <w:pPr>
        <w:pStyle w:val="a3"/>
        <w:spacing w:before="120" w:after="0" w:line="480" w:lineRule="auto"/>
        <w:ind w:left="0"/>
        <w:contextualSpacing w:val="0"/>
        <w:rPr>
          <w:rFonts w:ascii="Times New Roman" w:hAnsi="Times New Roman"/>
          <w:i/>
          <w:sz w:val="24"/>
        </w:rPr>
      </w:pPr>
      <w:r w:rsidRPr="00172374">
        <w:rPr>
          <w:rFonts w:ascii="Times New Roman" w:hAnsi="Times New Roman"/>
          <w:i/>
          <w:sz w:val="24"/>
        </w:rPr>
        <w:t xml:space="preserve">2.2. Need for a new scale </w:t>
      </w:r>
    </w:p>
    <w:p w14:paraId="74789DB1" w14:textId="77777777" w:rsidR="00CD0FED" w:rsidRPr="00172374" w:rsidRDefault="00CD0FED" w:rsidP="00CD0FED">
      <w:pPr>
        <w:pStyle w:val="mainabbody"/>
        <w:spacing w:after="0"/>
        <w:ind w:firstLine="567"/>
        <w:jc w:val="left"/>
      </w:pPr>
      <w:bookmarkStart w:id="9" w:name="_Hlk34313682"/>
      <w:bookmarkStart w:id="10" w:name="_Hlk30591899"/>
      <w:r w:rsidRPr="00172374">
        <w:t xml:space="preserve">Prior studies on brand orientation provide a rich foundation on which to build. However, some of their limitations have prevented the concept from becoming a well-established field of academic inquiry. </w:t>
      </w:r>
      <w:bookmarkEnd w:id="9"/>
      <w:r w:rsidRPr="00172374">
        <w:t xml:space="preserve">First, the majority of relevant studies are conceptual in nature or rely on qualitative means of survey, such as in-depth interviews and case studies (e.g., Evans, </w:t>
      </w:r>
      <w:proofErr w:type="spellStart"/>
      <w:r w:rsidRPr="00172374">
        <w:t>Bridson</w:t>
      </w:r>
      <w:proofErr w:type="spellEnd"/>
      <w:r w:rsidRPr="00172374">
        <w:t xml:space="preserve">, &amp; </w:t>
      </w:r>
      <w:r w:rsidRPr="00172374">
        <w:rPr>
          <w:lang w:eastAsia="el-GR"/>
        </w:rPr>
        <w:t>Rentschler</w:t>
      </w:r>
      <w:r w:rsidRPr="00172374">
        <w:t xml:space="preserve">, 2012; </w:t>
      </w:r>
      <w:proofErr w:type="spellStart"/>
      <w:r w:rsidRPr="00172374">
        <w:t>M’zungu</w:t>
      </w:r>
      <w:proofErr w:type="spellEnd"/>
      <w:r w:rsidRPr="00172374">
        <w:t xml:space="preserve">, </w:t>
      </w:r>
      <w:proofErr w:type="spellStart"/>
      <w:r w:rsidRPr="00172374">
        <w:t>Merrilees</w:t>
      </w:r>
      <w:proofErr w:type="spellEnd"/>
      <w:r w:rsidRPr="00172374">
        <w:t xml:space="preserve">, &amp; Miller, 2017; </w:t>
      </w:r>
      <w:proofErr w:type="spellStart"/>
      <w:r w:rsidRPr="00172374">
        <w:t>Urde</w:t>
      </w:r>
      <w:proofErr w:type="spellEnd"/>
      <w:r w:rsidRPr="00172374">
        <w:t xml:space="preserve"> et al., 2013). Although these conceptual and qualitative works offer valuable insights, they mainly provide preliminary brand orientation frameworks for subsequent studies to test and thus impede essential generalizations. </w:t>
      </w:r>
    </w:p>
    <w:p w14:paraId="524688C2" w14:textId="77777777" w:rsidR="00CD0FED" w:rsidRPr="00172374" w:rsidRDefault="00CD0FED" w:rsidP="00CD0FED">
      <w:pPr>
        <w:pStyle w:val="mainabbody"/>
        <w:spacing w:after="0"/>
        <w:ind w:firstLine="567"/>
        <w:jc w:val="left"/>
      </w:pPr>
      <w:r w:rsidRPr="00172374">
        <w:lastRenderedPageBreak/>
        <w:t xml:space="preserve">Second, only a few studies focus on the empirical measurement of brand orientation. Most importantly, these valuable works present divergent views on the domain of the concept (see Table 2 for an overview). Specifically, some researchers approach brand orientation as a unidimensional construct that either captures the extent to which branding pervades organizational decisions (i.e., Wong &amp; </w:t>
      </w:r>
      <w:proofErr w:type="spellStart"/>
      <w:r w:rsidRPr="00172374">
        <w:t>Merrilees</w:t>
      </w:r>
      <w:proofErr w:type="spellEnd"/>
      <w:r w:rsidRPr="00172374">
        <w:t xml:space="preserve">, 2007), or reflects the extent to which the brand is considered as a strategic hub by all internal stakeholders in the organization (i.e., Huang &amp; Tsai, 2013). Such a unidimensional approach may limit the construct’s conceptual domain, which is likely to be broad and better reflected in multiple dimensions (Laukkanen et al., 2016). Important works suggesting a multidimensional structure for brand orientation also exist. However, they do not share a common perspective on the number and content of the dimensions (e.g., </w:t>
      </w:r>
      <w:proofErr w:type="spellStart"/>
      <w:r w:rsidRPr="00172374">
        <w:t>Baumgarth</w:t>
      </w:r>
      <w:proofErr w:type="spellEnd"/>
      <w:r w:rsidRPr="00172374">
        <w:t xml:space="preserve">, 2010; Hankinson, 2012). Specifically, we can find brand orientation scales consisting of three (i.e., Ewing &amp; Napoli, 2005), four (i.e., </w:t>
      </w:r>
      <w:proofErr w:type="spellStart"/>
      <w:r w:rsidRPr="00172374">
        <w:t>Baumgarth</w:t>
      </w:r>
      <w:proofErr w:type="spellEnd"/>
      <w:r w:rsidRPr="00172374">
        <w:t xml:space="preserve">, 2010) or five dimensions (i.e., Hankinson, 2012). Regarding their content, some common points exist. For example, the need for a brand-centered culture (i.e., Hankinson, 2012; </w:t>
      </w:r>
      <w:proofErr w:type="spellStart"/>
      <w:r w:rsidRPr="00172374">
        <w:t>Baumgarth</w:t>
      </w:r>
      <w:proofErr w:type="spellEnd"/>
      <w:r w:rsidRPr="00172374">
        <w:t>, 2010) and for brand coordination (i.e., Ewing &amp; Napoli, 2005; Hankinson, 2012) is shared among some scales. However, most of the dimensions proposed in those multidimensional constructs differ to great extent. For example, dimensions reflecting the need for the firm to understand the changing demands of stakeholders (i.e., Ewing &amp; Napoli, 2005), to safeguard the reality of the brand promise (Hankinson, 2012), or to ensure that the tangible symbols reinforce the positioning of the brand (</w:t>
      </w:r>
      <w:proofErr w:type="spellStart"/>
      <w:r w:rsidRPr="00172374">
        <w:t>Baumgarth</w:t>
      </w:r>
      <w:proofErr w:type="spellEnd"/>
      <w:r w:rsidRPr="00172374">
        <w:t>, 2010) are sporadically found.  These differences appearing in both the number and content of the dimensions between the existing brand orientation measures have impeded the relevant literature from presenting a commonly accepted scale of brand orientation.</w:t>
      </w:r>
    </w:p>
    <w:p w14:paraId="76F9653F" w14:textId="77777777" w:rsidR="00CD0FED" w:rsidRPr="00172374" w:rsidRDefault="00CD0FED" w:rsidP="00CD0FED">
      <w:pPr>
        <w:pStyle w:val="mainabbody"/>
        <w:spacing w:after="0"/>
        <w:ind w:firstLine="567"/>
        <w:jc w:val="left"/>
      </w:pPr>
      <w:r w:rsidRPr="00172374">
        <w:t xml:space="preserve">Finally, empirical works conceptualizing brand orientation as a multidimensional construct, apart from offering diverging views on the construct’s domain, have either taken an </w:t>
      </w:r>
      <w:r w:rsidRPr="00172374">
        <w:lastRenderedPageBreak/>
        <w:t xml:space="preserve">industry-specific perspective, such as the charity sector (e.g., Ewing &amp; Napoli, 2005), the retail sector (e.g., </w:t>
      </w:r>
      <w:proofErr w:type="spellStart"/>
      <w:r w:rsidRPr="00172374">
        <w:t>Bridson</w:t>
      </w:r>
      <w:proofErr w:type="spellEnd"/>
      <w:r w:rsidRPr="00172374">
        <w:t xml:space="preserve"> &amp; Evans, 2004), museums (</w:t>
      </w:r>
      <w:proofErr w:type="spellStart"/>
      <w:r w:rsidRPr="00172374">
        <w:t>Baumgarth</w:t>
      </w:r>
      <w:proofErr w:type="spellEnd"/>
      <w:r w:rsidRPr="00172374">
        <w:t>, 2009), and destinations in general (Hankinson, 2012), or developed constructs to be applied within particular contexts, such as the business-to-business (B2B) market (</w:t>
      </w:r>
      <w:proofErr w:type="spellStart"/>
      <w:r w:rsidRPr="00172374">
        <w:t>Baumgarth</w:t>
      </w:r>
      <w:proofErr w:type="spellEnd"/>
      <w:r w:rsidRPr="00172374">
        <w:t xml:space="preserve">, 2010). As a result, significant difficulties in generalizing research findings across contexts arise. </w:t>
      </w:r>
    </w:p>
    <w:p w14:paraId="4479D230" w14:textId="77777777" w:rsidR="00CD0FED" w:rsidRPr="00172374" w:rsidRDefault="00CD0FED" w:rsidP="000F7352">
      <w:pPr>
        <w:pStyle w:val="mainabbody"/>
        <w:spacing w:after="0"/>
        <w:ind w:firstLine="567"/>
        <w:jc w:val="left"/>
      </w:pPr>
      <w:r w:rsidRPr="00172374">
        <w:t xml:space="preserve">These shortcomings warrant a new study that offers a re-conceptualization and broad operationalization of brand orientation, after building on extant branding literature and expanding prior work. Through systematic scale development procedures, this research effort aims to add a theoretically sound and empirically rigorous new scale of brand orientation to the relevant literature that more broadly embodies the construct’s domain (see Table 2 for intended contributions of the new scale). The ultimate goal is to supplement extant literature with a reliable and valid scale of brand orientation that reflects both the attitudinal and behavioral perspective of brand orientation, can be applied across a wide range of contexts, offer generalizable results, and help advance the understanding of the impact of brand orientation.     </w:t>
      </w:r>
    </w:p>
    <w:p w14:paraId="2A7008C3" w14:textId="5AC14B7D" w:rsidR="00CD0FED" w:rsidRPr="00172374" w:rsidRDefault="00CD0FED" w:rsidP="00CD0FED">
      <w:pPr>
        <w:pStyle w:val="mainabbody"/>
        <w:jc w:val="center"/>
      </w:pPr>
      <w:r w:rsidRPr="00172374">
        <w:t>Table 2 here</w:t>
      </w:r>
    </w:p>
    <w:p w14:paraId="4F9CA486" w14:textId="77777777" w:rsidR="00922393" w:rsidRPr="00172374" w:rsidRDefault="00A859DD" w:rsidP="00A859DD">
      <w:pPr>
        <w:pStyle w:val="a3"/>
        <w:spacing w:before="120" w:after="0" w:line="480" w:lineRule="auto"/>
        <w:ind w:left="0"/>
        <w:contextualSpacing w:val="0"/>
        <w:rPr>
          <w:rFonts w:ascii="Times New Roman" w:hAnsi="Times New Roman"/>
          <w:i/>
          <w:sz w:val="24"/>
        </w:rPr>
      </w:pPr>
      <w:r w:rsidRPr="00172374">
        <w:rPr>
          <w:rFonts w:ascii="Times New Roman" w:hAnsi="Times New Roman"/>
          <w:i/>
          <w:sz w:val="24"/>
        </w:rPr>
        <w:t>2.</w:t>
      </w:r>
      <w:r w:rsidR="002472A4" w:rsidRPr="00172374">
        <w:rPr>
          <w:rFonts w:ascii="Times New Roman" w:hAnsi="Times New Roman"/>
          <w:i/>
          <w:sz w:val="24"/>
        </w:rPr>
        <w:t>3</w:t>
      </w:r>
      <w:r w:rsidR="00922393" w:rsidRPr="00172374">
        <w:rPr>
          <w:rFonts w:ascii="Times New Roman" w:hAnsi="Times New Roman"/>
          <w:i/>
          <w:sz w:val="24"/>
        </w:rPr>
        <w:t xml:space="preserve">. </w:t>
      </w:r>
      <w:r w:rsidRPr="00172374">
        <w:rPr>
          <w:rFonts w:ascii="Times New Roman" w:hAnsi="Times New Roman"/>
          <w:i/>
          <w:sz w:val="24"/>
        </w:rPr>
        <w:t>A new c</w:t>
      </w:r>
      <w:r w:rsidR="008E2FB4" w:rsidRPr="00172374">
        <w:rPr>
          <w:rFonts w:ascii="Times New Roman" w:hAnsi="Times New Roman"/>
          <w:i/>
          <w:sz w:val="24"/>
        </w:rPr>
        <w:t>onceptualization</w:t>
      </w:r>
      <w:r w:rsidR="00922393" w:rsidRPr="00172374">
        <w:rPr>
          <w:rFonts w:ascii="Times New Roman" w:hAnsi="Times New Roman"/>
          <w:i/>
          <w:sz w:val="24"/>
        </w:rPr>
        <w:t xml:space="preserve"> of brand orientation</w:t>
      </w:r>
    </w:p>
    <w:p w14:paraId="476080DF" w14:textId="3845AEDA" w:rsidR="003D4408" w:rsidRPr="00172374" w:rsidRDefault="007E5DA7" w:rsidP="000B5F87">
      <w:pPr>
        <w:spacing w:line="480" w:lineRule="auto"/>
        <w:ind w:firstLine="567"/>
      </w:pPr>
      <w:bookmarkStart w:id="11" w:name="_Hlk30591932"/>
      <w:bookmarkEnd w:id="10"/>
      <w:r w:rsidRPr="00172374">
        <w:t>As Ch</w:t>
      </w:r>
      <w:r w:rsidR="00A870AC" w:rsidRPr="00172374">
        <w:t>u</w:t>
      </w:r>
      <w:r w:rsidRPr="00172374">
        <w:t>rchill (1979</w:t>
      </w:r>
      <w:r w:rsidR="00A96762" w:rsidRPr="00172374">
        <w:t>, p. 67</w:t>
      </w:r>
      <w:r w:rsidRPr="00172374">
        <w:t>) suggests</w:t>
      </w:r>
      <w:r w:rsidR="00DF2D2A" w:rsidRPr="00172374">
        <w:t>,</w:t>
      </w:r>
      <w:r w:rsidRPr="00172374">
        <w:t xml:space="preserve"> “it is imperative that researchers consult the literature when conceptualizing constructs and specifying domains”</w:t>
      </w:r>
      <w:r w:rsidR="00A96762" w:rsidRPr="00172374">
        <w:t>;</w:t>
      </w:r>
      <w:r w:rsidRPr="00172374">
        <w:t xml:space="preserve"> therefore, </w:t>
      </w:r>
      <w:r w:rsidR="00A96762" w:rsidRPr="00172374">
        <w:t>we began</w:t>
      </w:r>
      <w:r w:rsidRPr="00172374">
        <w:t xml:space="preserve"> our construct re-conceptualization </w:t>
      </w:r>
      <w:r w:rsidR="00A96762" w:rsidRPr="00172374">
        <w:t xml:space="preserve">with </w:t>
      </w:r>
      <w:r w:rsidRPr="00172374">
        <w:t>a</w:t>
      </w:r>
      <w:r w:rsidR="00335B70" w:rsidRPr="00172374">
        <w:t xml:space="preserve"> literature review</w:t>
      </w:r>
      <w:r w:rsidR="000B5F87" w:rsidRPr="00172374">
        <w:t xml:space="preserve">. </w:t>
      </w:r>
      <w:r w:rsidR="00D94372" w:rsidRPr="00172374">
        <w:t xml:space="preserve">Given the richness of the branding research, a precise </w:t>
      </w:r>
      <w:r w:rsidR="00204CD4" w:rsidRPr="00172374">
        <w:t xml:space="preserve">understanding </w:t>
      </w:r>
      <w:r w:rsidR="00233C26" w:rsidRPr="00172374">
        <w:t>of</w:t>
      </w:r>
      <w:r w:rsidR="00D94372" w:rsidRPr="00172374">
        <w:t xml:space="preserve"> what brand orientation is</w:t>
      </w:r>
      <w:r w:rsidR="00A96762" w:rsidRPr="00172374">
        <w:t>—</w:t>
      </w:r>
      <w:r w:rsidR="00D94372" w:rsidRPr="00172374">
        <w:t>its boundaries, dimensions</w:t>
      </w:r>
      <w:r w:rsidR="00A96762" w:rsidRPr="00172374">
        <w:t>,</w:t>
      </w:r>
      <w:r w:rsidR="00D94372" w:rsidRPr="00172374">
        <w:t xml:space="preserve"> and content domain</w:t>
      </w:r>
      <w:r w:rsidR="00A96762" w:rsidRPr="00172374">
        <w:t>—must</w:t>
      </w:r>
      <w:r w:rsidR="00D94372" w:rsidRPr="00172374">
        <w:t xml:space="preserve"> first </w:t>
      </w:r>
      <w:r w:rsidR="00A96762" w:rsidRPr="00172374">
        <w:t xml:space="preserve">be </w:t>
      </w:r>
      <w:r w:rsidR="00D94372" w:rsidRPr="00172374">
        <w:t>grounded on a thorough review of the extant literature (</w:t>
      </w:r>
      <w:proofErr w:type="spellStart"/>
      <w:r w:rsidR="00D94372" w:rsidRPr="00172374">
        <w:t>Netemeyer</w:t>
      </w:r>
      <w:proofErr w:type="spellEnd"/>
      <w:r w:rsidR="00D94372" w:rsidRPr="00172374">
        <w:t xml:space="preserve"> et al., 2003).</w:t>
      </w:r>
      <w:r w:rsidR="00897A93" w:rsidRPr="00172374">
        <w:t xml:space="preserve"> </w:t>
      </w:r>
      <w:r w:rsidR="00D367AA" w:rsidRPr="00172374">
        <w:t>As such, and g</w:t>
      </w:r>
      <w:r w:rsidR="00965E8F" w:rsidRPr="00172374">
        <w:t xml:space="preserve">iven the multidimensional nature of the brand orientation concept, </w:t>
      </w:r>
      <w:r w:rsidR="00D367AA" w:rsidRPr="00172374">
        <w:t xml:space="preserve">we consulted </w:t>
      </w:r>
      <w:r w:rsidR="00754017" w:rsidRPr="00172374">
        <w:t xml:space="preserve">not only the relevant literature that delves explicitly </w:t>
      </w:r>
      <w:r w:rsidR="00E04ADA" w:rsidRPr="00172374">
        <w:t>into</w:t>
      </w:r>
      <w:r w:rsidR="00754017" w:rsidRPr="00172374">
        <w:t xml:space="preserve"> brand orientation but also the branding literature that implicitly reveals significant insights </w:t>
      </w:r>
      <w:r w:rsidR="009168A0" w:rsidRPr="00172374">
        <w:lastRenderedPageBreak/>
        <w:t>into</w:t>
      </w:r>
      <w:r w:rsidR="00754017" w:rsidRPr="00172374">
        <w:t xml:space="preserve"> brand building and management</w:t>
      </w:r>
      <w:r w:rsidR="00352883" w:rsidRPr="00172374">
        <w:t xml:space="preserve"> (e.g., Aaker</w:t>
      </w:r>
      <w:r w:rsidR="00702532" w:rsidRPr="00172374">
        <w:t>,</w:t>
      </w:r>
      <w:r w:rsidR="00352883" w:rsidRPr="00172374">
        <w:t xml:space="preserve"> 1996</w:t>
      </w:r>
      <w:r w:rsidR="009658FB" w:rsidRPr="00172374">
        <w:t>a</w:t>
      </w:r>
      <w:r w:rsidR="009168A0" w:rsidRPr="00172374">
        <w:t>,</w:t>
      </w:r>
      <w:r w:rsidR="00352883" w:rsidRPr="00172374">
        <w:t xml:space="preserve"> 20</w:t>
      </w:r>
      <w:r w:rsidR="009658FB" w:rsidRPr="00172374">
        <w:t>04</w:t>
      </w:r>
      <w:r w:rsidR="00352883" w:rsidRPr="00172374">
        <w:t xml:space="preserve">; </w:t>
      </w:r>
      <w:r w:rsidR="00904498" w:rsidRPr="00172374">
        <w:t>D</w:t>
      </w:r>
      <w:r w:rsidR="00352883" w:rsidRPr="00172374">
        <w:t xml:space="preserve">e </w:t>
      </w:r>
      <w:proofErr w:type="spellStart"/>
      <w:r w:rsidR="00352883" w:rsidRPr="00172374">
        <w:t>Chernatony</w:t>
      </w:r>
      <w:proofErr w:type="spellEnd"/>
      <w:r w:rsidR="00352883" w:rsidRPr="00172374">
        <w:t xml:space="preserve"> et al., 2011;</w:t>
      </w:r>
      <w:r w:rsidR="00445028" w:rsidRPr="00172374">
        <w:t xml:space="preserve"> Keller </w:t>
      </w:r>
      <w:r w:rsidR="00AE19AB" w:rsidRPr="00172374">
        <w:t>&amp;</w:t>
      </w:r>
      <w:r w:rsidR="002D7DC2" w:rsidRPr="00172374">
        <w:t xml:space="preserve"> Lehmann, 2006</w:t>
      </w:r>
      <w:r w:rsidR="00445028" w:rsidRPr="00172374">
        <w:t>)</w:t>
      </w:r>
      <w:r w:rsidR="00754017" w:rsidRPr="00172374">
        <w:t>.</w:t>
      </w:r>
      <w:r w:rsidR="00A9459A" w:rsidRPr="00172374">
        <w:t xml:space="preserve"> </w:t>
      </w:r>
    </w:p>
    <w:bookmarkEnd w:id="11"/>
    <w:p w14:paraId="5C3CBCD5" w14:textId="38118DAC" w:rsidR="00BD351F" w:rsidRPr="00172374" w:rsidRDefault="009168A0" w:rsidP="00BD351F">
      <w:pPr>
        <w:spacing w:line="480" w:lineRule="auto"/>
        <w:ind w:firstLine="567"/>
        <w:rPr>
          <w:lang w:val="en-GB"/>
        </w:rPr>
      </w:pPr>
      <w:r w:rsidRPr="00172374">
        <w:t xml:space="preserve">In </w:t>
      </w:r>
      <w:r w:rsidR="003D4408" w:rsidRPr="00172374">
        <w:t>this study</w:t>
      </w:r>
      <w:r w:rsidRPr="00172374">
        <w:t>,</w:t>
      </w:r>
      <w:r w:rsidR="003D4408" w:rsidRPr="00172374">
        <w:t xml:space="preserve"> </w:t>
      </w:r>
      <w:r w:rsidRPr="00172374">
        <w:t xml:space="preserve">we </w:t>
      </w:r>
      <w:r w:rsidR="003D4408" w:rsidRPr="00172374">
        <w:rPr>
          <w:lang w:val="en-GB"/>
        </w:rPr>
        <w:t xml:space="preserve">adopt </w:t>
      </w:r>
      <w:proofErr w:type="spellStart"/>
      <w:r w:rsidR="003D4408" w:rsidRPr="00172374">
        <w:rPr>
          <w:lang w:val="en-GB"/>
        </w:rPr>
        <w:t>Urde’s</w:t>
      </w:r>
      <w:proofErr w:type="spellEnd"/>
      <w:r w:rsidR="003D4408" w:rsidRPr="00172374">
        <w:rPr>
          <w:lang w:val="en-GB"/>
        </w:rPr>
        <w:t xml:space="preserve"> (1999</w:t>
      </w:r>
      <w:r w:rsidRPr="00172374">
        <w:rPr>
          <w:lang w:val="en-GB"/>
        </w:rPr>
        <w:t>, p. 117</w:t>
      </w:r>
      <w:r w:rsidR="003D4408" w:rsidRPr="00172374">
        <w:rPr>
          <w:lang w:val="en-GB"/>
        </w:rPr>
        <w:t xml:space="preserve">) broad definition of brand orientation as “an approach in which the processes of the organization revolve around the creation, development and protection of brand identity in an ongoing interaction with target customers with the aim of achieving lasting competitive advantages </w:t>
      </w:r>
      <w:bookmarkStart w:id="12" w:name="_Hlk32592821"/>
      <w:r w:rsidR="003D4408" w:rsidRPr="00172374">
        <w:rPr>
          <w:lang w:val="en-GB"/>
        </w:rPr>
        <w:t>in the form of brands</w:t>
      </w:r>
      <w:bookmarkEnd w:id="12"/>
      <w:r w:rsidR="003D4408" w:rsidRPr="00172374">
        <w:rPr>
          <w:lang w:val="en-GB"/>
        </w:rPr>
        <w:t>”</w:t>
      </w:r>
      <w:r w:rsidR="001007E9" w:rsidRPr="00172374">
        <w:rPr>
          <w:lang w:val="en-GB"/>
        </w:rPr>
        <w:t>.</w:t>
      </w:r>
      <w:r w:rsidR="003D4408" w:rsidRPr="00172374">
        <w:rPr>
          <w:lang w:val="en-GB"/>
        </w:rPr>
        <w:t xml:space="preserve"> </w:t>
      </w:r>
      <w:r w:rsidRPr="00172374">
        <w:rPr>
          <w:lang w:val="en-GB"/>
        </w:rPr>
        <w:t>This</w:t>
      </w:r>
      <w:r w:rsidR="003D4408" w:rsidRPr="00172374">
        <w:rPr>
          <w:lang w:val="en-GB"/>
        </w:rPr>
        <w:t xml:space="preserve"> definition clearly and effectively </w:t>
      </w:r>
      <w:r w:rsidRPr="00172374">
        <w:rPr>
          <w:lang w:val="en-GB"/>
        </w:rPr>
        <w:t xml:space="preserve">depicts </w:t>
      </w:r>
      <w:r w:rsidR="003D4408" w:rsidRPr="00172374">
        <w:rPr>
          <w:lang w:val="en-GB"/>
        </w:rPr>
        <w:t xml:space="preserve">the broad essence of brand orientation and therefore </w:t>
      </w:r>
      <w:r w:rsidRPr="00172374">
        <w:rPr>
          <w:lang w:val="en-GB"/>
        </w:rPr>
        <w:t xml:space="preserve">can serve </w:t>
      </w:r>
      <w:r w:rsidR="003D4408" w:rsidRPr="00172374">
        <w:rPr>
          <w:lang w:val="en-GB"/>
        </w:rPr>
        <w:t xml:space="preserve">as the starting point for </w:t>
      </w:r>
      <w:r w:rsidR="00335B70" w:rsidRPr="00172374">
        <w:rPr>
          <w:lang w:val="en-GB"/>
        </w:rPr>
        <w:t>better</w:t>
      </w:r>
      <w:r w:rsidR="00596DA1" w:rsidRPr="00172374">
        <w:rPr>
          <w:lang w:val="en-GB"/>
        </w:rPr>
        <w:t xml:space="preserve"> delineating the brand orientation domain. </w:t>
      </w:r>
      <w:r w:rsidRPr="00172374">
        <w:rPr>
          <w:lang w:val="en-GB"/>
        </w:rPr>
        <w:t>From</w:t>
      </w:r>
      <w:r w:rsidR="003B3C76" w:rsidRPr="00172374">
        <w:rPr>
          <w:lang w:val="en-GB"/>
        </w:rPr>
        <w:t xml:space="preserve"> this broad definition</w:t>
      </w:r>
      <w:r w:rsidRPr="00172374">
        <w:rPr>
          <w:lang w:val="en-GB"/>
        </w:rPr>
        <w:t>,</w:t>
      </w:r>
      <w:r w:rsidR="003B3C76" w:rsidRPr="00172374">
        <w:rPr>
          <w:lang w:val="en-GB"/>
        </w:rPr>
        <w:t xml:space="preserve"> and by carefully examining the extant brand management and brand orientation literature, we “organize” the fragmented insights into </w:t>
      </w:r>
      <w:r w:rsidRPr="00172374">
        <w:rPr>
          <w:lang w:val="en-GB"/>
        </w:rPr>
        <w:t>a</w:t>
      </w:r>
      <w:r w:rsidR="003B3C76" w:rsidRPr="00172374">
        <w:rPr>
          <w:lang w:val="en-GB"/>
        </w:rPr>
        <w:t xml:space="preserve"> description of </w:t>
      </w:r>
      <w:r w:rsidR="000E4CA4" w:rsidRPr="00172374">
        <w:rPr>
          <w:lang w:val="en-GB"/>
        </w:rPr>
        <w:t>four</w:t>
      </w:r>
      <w:r w:rsidR="003B3C76" w:rsidRPr="00172374">
        <w:rPr>
          <w:lang w:val="en-GB"/>
        </w:rPr>
        <w:t xml:space="preserve"> main dimensions </w:t>
      </w:r>
      <w:r w:rsidRPr="00172374">
        <w:rPr>
          <w:lang w:val="en-GB"/>
        </w:rPr>
        <w:t xml:space="preserve">that </w:t>
      </w:r>
      <w:r w:rsidR="003B3C76" w:rsidRPr="00172374">
        <w:rPr>
          <w:lang w:val="en-GB"/>
        </w:rPr>
        <w:t>embody the main pillars of a brand-oriented strategy</w:t>
      </w:r>
      <w:r w:rsidR="00233C26" w:rsidRPr="00172374">
        <w:rPr>
          <w:lang w:val="en-GB"/>
        </w:rPr>
        <w:t xml:space="preserve"> in a more integrative way</w:t>
      </w:r>
      <w:r w:rsidR="000E4CA4" w:rsidRPr="00172374">
        <w:rPr>
          <w:lang w:val="en-GB"/>
        </w:rPr>
        <w:t xml:space="preserve">. </w:t>
      </w:r>
      <w:r w:rsidR="009C55D7" w:rsidRPr="00172374">
        <w:rPr>
          <w:lang w:val="en-GB"/>
        </w:rPr>
        <w:t>Table 3</w:t>
      </w:r>
      <w:r w:rsidR="007134B5" w:rsidRPr="00172374">
        <w:rPr>
          <w:lang w:val="en-GB"/>
        </w:rPr>
        <w:t xml:space="preserve"> </w:t>
      </w:r>
      <w:r w:rsidR="000E4CA4" w:rsidRPr="00172374">
        <w:rPr>
          <w:lang w:val="en-GB"/>
        </w:rPr>
        <w:t xml:space="preserve">provides an outline of the </w:t>
      </w:r>
      <w:r w:rsidR="00826E38" w:rsidRPr="00172374">
        <w:rPr>
          <w:lang w:val="en-GB"/>
        </w:rPr>
        <w:t>received view from</w:t>
      </w:r>
      <w:r w:rsidR="000E4CA4" w:rsidRPr="00172374">
        <w:rPr>
          <w:lang w:val="en-GB"/>
        </w:rPr>
        <w:t xml:space="preserve"> literature that resulted in the identification of the brand orientation dimensions</w:t>
      </w:r>
      <w:r w:rsidR="00A92DEC" w:rsidRPr="00172374">
        <w:rPr>
          <w:lang w:val="en-GB"/>
        </w:rPr>
        <w:t>.</w:t>
      </w:r>
      <w:r w:rsidR="009C55D7" w:rsidRPr="00172374">
        <w:rPr>
          <w:lang w:val="en-GB"/>
        </w:rPr>
        <w:t xml:space="preserve"> </w:t>
      </w:r>
      <w:r w:rsidR="003D08FA" w:rsidRPr="00172374">
        <w:rPr>
          <w:lang w:val="en-GB"/>
        </w:rPr>
        <w:t>For each dimension, the table presents some indicative words of researchers that portray the domain of the dimension, as well as source examples where this dimension is implied in some way as an organizational branding imperative.</w:t>
      </w:r>
    </w:p>
    <w:p w14:paraId="21251EB5" w14:textId="04A289FF" w:rsidR="00BD351F" w:rsidRPr="00172374" w:rsidRDefault="00421DE7" w:rsidP="00421DE7">
      <w:pPr>
        <w:spacing w:before="60" w:after="60" w:line="480" w:lineRule="auto"/>
        <w:ind w:firstLine="567"/>
        <w:jc w:val="center"/>
        <w:rPr>
          <w:lang w:val="en-GB"/>
        </w:rPr>
      </w:pPr>
      <w:r w:rsidRPr="00172374">
        <w:rPr>
          <w:lang w:val="en-GB"/>
        </w:rPr>
        <w:t>Table 3 here</w:t>
      </w:r>
    </w:p>
    <w:p w14:paraId="2817CBBD" w14:textId="3A9CAF03" w:rsidR="00117EB9" w:rsidRPr="00172374" w:rsidRDefault="00A859DD"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2.</w:t>
      </w:r>
      <w:r w:rsidR="007B1125" w:rsidRPr="00172374">
        <w:rPr>
          <w:rFonts w:ascii="Times New Roman" w:hAnsi="Times New Roman"/>
          <w:i/>
          <w:sz w:val="24"/>
        </w:rPr>
        <w:t>3</w:t>
      </w:r>
      <w:r w:rsidR="00117EB9" w:rsidRPr="00172374">
        <w:rPr>
          <w:rFonts w:ascii="Times New Roman" w:hAnsi="Times New Roman"/>
          <w:i/>
          <w:sz w:val="24"/>
        </w:rPr>
        <w:t>.1. Brand importance</w:t>
      </w:r>
      <w:r w:rsidR="00653A2E" w:rsidRPr="00172374">
        <w:rPr>
          <w:rFonts w:ascii="Times New Roman" w:hAnsi="Times New Roman"/>
          <w:i/>
          <w:sz w:val="24"/>
        </w:rPr>
        <w:t xml:space="preserve"> </w:t>
      </w:r>
    </w:p>
    <w:p w14:paraId="33EFDE2A" w14:textId="0F72649E" w:rsidR="0058151B" w:rsidRPr="00172374" w:rsidRDefault="0058151B" w:rsidP="000D59B1">
      <w:pPr>
        <w:spacing w:line="480" w:lineRule="auto"/>
        <w:ind w:firstLine="567"/>
      </w:pPr>
      <w:r w:rsidRPr="00172374">
        <w:t xml:space="preserve">Brand </w:t>
      </w:r>
      <w:r w:rsidR="009168A0" w:rsidRPr="00172374">
        <w:t>i</w:t>
      </w:r>
      <w:r w:rsidRPr="00172374">
        <w:t xml:space="preserve">mportance (BIM) represents the attitudinal aspect of brand orientation that reflects a strong organizational mindset </w:t>
      </w:r>
      <w:r w:rsidR="009168A0" w:rsidRPr="00172374">
        <w:t>that</w:t>
      </w:r>
      <w:r w:rsidRPr="00172374">
        <w:t xml:space="preserve"> values brands as significant company assets and attaches great importance to branding efforts (</w:t>
      </w:r>
      <w:proofErr w:type="spellStart"/>
      <w:r w:rsidRPr="00172374">
        <w:t>Bridson</w:t>
      </w:r>
      <w:proofErr w:type="spellEnd"/>
      <w:r w:rsidRPr="00172374">
        <w:t xml:space="preserve"> </w:t>
      </w:r>
      <w:r w:rsidR="00D04D41" w:rsidRPr="00172374">
        <w:t>&amp;</w:t>
      </w:r>
      <w:r w:rsidRPr="00172374">
        <w:t xml:space="preserve"> Evans, 2004; </w:t>
      </w:r>
      <w:proofErr w:type="spellStart"/>
      <w:r w:rsidR="00BE5E74" w:rsidRPr="00172374">
        <w:t>Greyser</w:t>
      </w:r>
      <w:proofErr w:type="spellEnd"/>
      <w:r w:rsidR="00BE5E74" w:rsidRPr="00172374">
        <w:t xml:space="preserve"> &amp; </w:t>
      </w:r>
      <w:proofErr w:type="spellStart"/>
      <w:r w:rsidR="00BE5E74" w:rsidRPr="00172374">
        <w:t>Urde</w:t>
      </w:r>
      <w:proofErr w:type="spellEnd"/>
      <w:r w:rsidR="00BE5E74" w:rsidRPr="00172374">
        <w:t xml:space="preserve">, 2019; </w:t>
      </w:r>
      <w:proofErr w:type="spellStart"/>
      <w:r w:rsidR="003924BF" w:rsidRPr="00172374">
        <w:t>Urde</w:t>
      </w:r>
      <w:proofErr w:type="spellEnd"/>
      <w:r w:rsidR="003924BF" w:rsidRPr="00172374">
        <w:t xml:space="preserve"> et al., 2013</w:t>
      </w:r>
      <w:r w:rsidRPr="00172374">
        <w:t xml:space="preserve">). With such an attitude toward the company’s brands, a </w:t>
      </w:r>
      <w:r w:rsidR="00937299" w:rsidRPr="00172374">
        <w:t>deep</w:t>
      </w:r>
      <w:r w:rsidRPr="00172374">
        <w:t xml:space="preserve"> understanding of what branding is and means characterizes the entire company</w:t>
      </w:r>
      <w:r w:rsidR="009F4548" w:rsidRPr="00172374">
        <w:t>,</w:t>
      </w:r>
      <w:r w:rsidRPr="00172374">
        <w:t xml:space="preserve"> </w:t>
      </w:r>
      <w:r w:rsidR="009F4548" w:rsidRPr="00172374">
        <w:t>with</w:t>
      </w:r>
      <w:r w:rsidRPr="00172374">
        <w:t xml:space="preserve"> branding becom</w:t>
      </w:r>
      <w:r w:rsidR="009F4548" w:rsidRPr="00172374">
        <w:t>ing</w:t>
      </w:r>
      <w:r w:rsidRPr="00172374">
        <w:t xml:space="preserve"> a priority in business decisions and directions (</w:t>
      </w:r>
      <w:proofErr w:type="spellStart"/>
      <w:r w:rsidR="00A86EE7" w:rsidRPr="00172374">
        <w:t>Piha</w:t>
      </w:r>
      <w:proofErr w:type="spellEnd"/>
      <w:r w:rsidR="00A86EE7" w:rsidRPr="00172374">
        <w:t xml:space="preserve"> </w:t>
      </w:r>
      <w:r w:rsidR="004E0040" w:rsidRPr="00172374">
        <w:t>&amp;</w:t>
      </w:r>
      <w:r w:rsidR="00A86EE7" w:rsidRPr="00172374">
        <w:t xml:space="preserve"> </w:t>
      </w:r>
      <w:proofErr w:type="spellStart"/>
      <w:r w:rsidR="00A86EE7" w:rsidRPr="00172374">
        <w:t>Avlonitis</w:t>
      </w:r>
      <w:proofErr w:type="spellEnd"/>
      <w:r w:rsidR="00A86EE7" w:rsidRPr="00172374">
        <w:t>, 2018</w:t>
      </w:r>
      <w:r w:rsidRPr="00172374">
        <w:t xml:space="preserve">). </w:t>
      </w:r>
    </w:p>
    <w:p w14:paraId="142AB632" w14:textId="0FB95FC3" w:rsidR="00FD36D0" w:rsidRPr="00172374" w:rsidRDefault="009F4548" w:rsidP="000D59B1">
      <w:pPr>
        <w:spacing w:line="480" w:lineRule="auto"/>
        <w:ind w:firstLine="567"/>
      </w:pPr>
      <w:r w:rsidRPr="00172374">
        <w:lastRenderedPageBreak/>
        <w:t xml:space="preserve">To </w:t>
      </w:r>
      <w:r w:rsidR="00FD36D0" w:rsidRPr="00172374">
        <w:t xml:space="preserve">excel at building and managing </w:t>
      </w:r>
      <w:r w:rsidR="00937299" w:rsidRPr="00172374">
        <w:t>s</w:t>
      </w:r>
      <w:r w:rsidR="00FD36D0" w:rsidRPr="00172374">
        <w:t>trong brand</w:t>
      </w:r>
      <w:r w:rsidR="00937299" w:rsidRPr="00172374">
        <w:t>s</w:t>
      </w:r>
      <w:r w:rsidR="00FD36D0" w:rsidRPr="00172374">
        <w:t xml:space="preserve">, </w:t>
      </w:r>
      <w:r w:rsidR="00CE016C" w:rsidRPr="00172374">
        <w:t>acceptance that brands are assets and have equity is crucial (</w:t>
      </w:r>
      <w:r w:rsidR="00653A2E" w:rsidRPr="00172374">
        <w:t xml:space="preserve">Davis </w:t>
      </w:r>
      <w:r w:rsidR="00D04D41" w:rsidRPr="00172374">
        <w:t>&amp;</w:t>
      </w:r>
      <w:r w:rsidR="00352883" w:rsidRPr="00172374">
        <w:t xml:space="preserve"> Dunn, 2002</w:t>
      </w:r>
      <w:r w:rsidR="00CE016C" w:rsidRPr="00172374">
        <w:t xml:space="preserve">). </w:t>
      </w:r>
      <w:r w:rsidR="0012040D" w:rsidRPr="00172374">
        <w:t xml:space="preserve">A brand-oriented company views branding as </w:t>
      </w:r>
      <w:r w:rsidR="00E04ADA" w:rsidRPr="00172374">
        <w:t xml:space="preserve">a </w:t>
      </w:r>
      <w:r w:rsidR="0012040D" w:rsidRPr="00172374">
        <w:t>strategic</w:t>
      </w:r>
      <w:r w:rsidR="00E04ADA" w:rsidRPr="00172374">
        <w:t xml:space="preserve"> process</w:t>
      </w:r>
      <w:r w:rsidR="0012040D" w:rsidRPr="00172374">
        <w:t xml:space="preserve">, </w:t>
      </w:r>
      <w:r w:rsidR="00826E38" w:rsidRPr="00172374">
        <w:t xml:space="preserve">both </w:t>
      </w:r>
      <w:r w:rsidR="0012040D" w:rsidRPr="00172374">
        <w:t>reflecting and enabling the business strategy</w:t>
      </w:r>
      <w:r w:rsidR="006C3CD6" w:rsidRPr="00172374">
        <w:t xml:space="preserve">, and </w:t>
      </w:r>
      <w:r w:rsidR="00826E38" w:rsidRPr="00172374">
        <w:t xml:space="preserve">brands </w:t>
      </w:r>
      <w:r w:rsidR="00E04ADA" w:rsidRPr="00172374">
        <w:t>as</w:t>
      </w:r>
      <w:r w:rsidR="0012040D" w:rsidRPr="00172374">
        <w:t xml:space="preserve"> strategic resources</w:t>
      </w:r>
      <w:r w:rsidR="0058151B" w:rsidRPr="00172374">
        <w:t xml:space="preserve"> and hubs</w:t>
      </w:r>
      <w:r w:rsidR="0012040D" w:rsidRPr="00172374">
        <w:t xml:space="preserve"> that permeate an entire organization (</w:t>
      </w:r>
      <w:proofErr w:type="spellStart"/>
      <w:r w:rsidR="0012040D" w:rsidRPr="00172374">
        <w:t>Gromark</w:t>
      </w:r>
      <w:proofErr w:type="spellEnd"/>
      <w:r w:rsidR="0012040D" w:rsidRPr="00172374">
        <w:t xml:space="preserve"> </w:t>
      </w:r>
      <w:r w:rsidR="00D04D41" w:rsidRPr="00172374">
        <w:t>&amp;</w:t>
      </w:r>
      <w:r w:rsidR="0012040D" w:rsidRPr="00172374">
        <w:t xml:space="preserve"> </w:t>
      </w:r>
      <w:proofErr w:type="spellStart"/>
      <w:r w:rsidR="0012040D" w:rsidRPr="00172374">
        <w:t>Melin</w:t>
      </w:r>
      <w:proofErr w:type="spellEnd"/>
      <w:r w:rsidR="0012040D" w:rsidRPr="00172374">
        <w:t>, 2011</w:t>
      </w:r>
      <w:r w:rsidR="0058151B" w:rsidRPr="00172374">
        <w:t xml:space="preserve">; Huang </w:t>
      </w:r>
      <w:r w:rsidR="00D04D41" w:rsidRPr="00172374">
        <w:t>&amp;</w:t>
      </w:r>
      <w:r w:rsidR="0058151B" w:rsidRPr="00172374">
        <w:t xml:space="preserve"> Tsai, 2013</w:t>
      </w:r>
      <w:r w:rsidR="0012040D" w:rsidRPr="00172374">
        <w:t xml:space="preserve">). </w:t>
      </w:r>
      <w:r w:rsidR="008F379B" w:rsidRPr="00172374">
        <w:t>In such a company, the brand operates at a philosophical level, as an organizational culture and compass that guides decision</w:t>
      </w:r>
      <w:r w:rsidRPr="00172374">
        <w:t xml:space="preserve"> </w:t>
      </w:r>
      <w:r w:rsidR="008F379B" w:rsidRPr="00172374">
        <w:t xml:space="preserve">making, </w:t>
      </w:r>
      <w:r w:rsidR="00233C26" w:rsidRPr="00172374">
        <w:t xml:space="preserve">enabling </w:t>
      </w:r>
      <w:r w:rsidR="008F379B" w:rsidRPr="00172374">
        <w:t>the brand strategy to be developed in tandem with the business strategy (</w:t>
      </w:r>
      <w:r w:rsidRPr="00172374">
        <w:t xml:space="preserve">Aaker, 2004; </w:t>
      </w:r>
      <w:r w:rsidR="008F379B" w:rsidRPr="00172374">
        <w:t xml:space="preserve">Evans et al., 2012). </w:t>
      </w:r>
      <w:r w:rsidR="00653A2E" w:rsidRPr="00172374">
        <w:t xml:space="preserve">Firms </w:t>
      </w:r>
      <w:r w:rsidRPr="00172374">
        <w:t xml:space="preserve">successful </w:t>
      </w:r>
      <w:r w:rsidR="00653A2E" w:rsidRPr="00172374">
        <w:t>at developing and managing powerful brands usually have a strong</w:t>
      </w:r>
      <w:r w:rsidR="0012040D" w:rsidRPr="00172374">
        <w:t xml:space="preserve"> culture that make</w:t>
      </w:r>
      <w:r w:rsidR="00AA0B60" w:rsidRPr="00172374">
        <w:t>s</w:t>
      </w:r>
      <w:r w:rsidR="0012040D" w:rsidRPr="00172374">
        <w:t xml:space="preserve"> upholding the brand and its implicit promises everyone’s raison d’être </w:t>
      </w:r>
      <w:r w:rsidR="008811F4" w:rsidRPr="00172374">
        <w:t>(Aaker, 1996</w:t>
      </w:r>
      <w:r w:rsidR="009658FB" w:rsidRPr="00172374">
        <w:t>a</w:t>
      </w:r>
      <w:r w:rsidR="00653A2E" w:rsidRPr="00172374">
        <w:t xml:space="preserve">). </w:t>
      </w:r>
      <w:r w:rsidRPr="00172374">
        <w:t>T</w:t>
      </w:r>
      <w:r w:rsidR="00653A2E" w:rsidRPr="00172374">
        <w:t>herefore,</w:t>
      </w:r>
      <w:r w:rsidR="0012040D" w:rsidRPr="00172374">
        <w:t xml:space="preserve"> </w:t>
      </w:r>
      <w:r w:rsidR="00653A2E" w:rsidRPr="00172374">
        <w:t xml:space="preserve">firms </w:t>
      </w:r>
      <w:r w:rsidRPr="00172374">
        <w:t xml:space="preserve">must </w:t>
      </w:r>
      <w:r w:rsidR="00653A2E" w:rsidRPr="00172374">
        <w:t>perceive</w:t>
      </w:r>
      <w:r w:rsidR="0012040D" w:rsidRPr="00172374">
        <w:t xml:space="preserve"> brand management as a core competence and brand building </w:t>
      </w:r>
      <w:r w:rsidR="00653A2E" w:rsidRPr="00172374">
        <w:t xml:space="preserve">as an integral part of their </w:t>
      </w:r>
      <w:r w:rsidR="0012040D" w:rsidRPr="00172374">
        <w:t>business model</w:t>
      </w:r>
      <w:r w:rsidR="00653A2E" w:rsidRPr="00172374">
        <w:t xml:space="preserve"> (</w:t>
      </w:r>
      <w:r w:rsidR="009A5AC7" w:rsidRPr="00172374">
        <w:t>Balmer, 2013</w:t>
      </w:r>
      <w:r w:rsidR="00352883" w:rsidRPr="00172374">
        <w:t xml:space="preserve">; </w:t>
      </w:r>
      <w:proofErr w:type="spellStart"/>
      <w:r w:rsidR="00653A2E" w:rsidRPr="00172374">
        <w:t>Gromark</w:t>
      </w:r>
      <w:proofErr w:type="spellEnd"/>
      <w:r w:rsidR="00653A2E" w:rsidRPr="00172374">
        <w:t xml:space="preserve"> </w:t>
      </w:r>
      <w:r w:rsidR="00AA6587" w:rsidRPr="00172374">
        <w:t>&amp;</w:t>
      </w:r>
      <w:r w:rsidR="00653A2E" w:rsidRPr="00172374">
        <w:t xml:space="preserve"> </w:t>
      </w:r>
      <w:proofErr w:type="spellStart"/>
      <w:r w:rsidR="00653A2E" w:rsidRPr="00172374">
        <w:t>Melin</w:t>
      </w:r>
      <w:proofErr w:type="spellEnd"/>
      <w:r w:rsidR="00653A2E" w:rsidRPr="00172374">
        <w:t>, 2011)</w:t>
      </w:r>
      <w:r w:rsidR="0012040D" w:rsidRPr="00172374">
        <w:t>.</w:t>
      </w:r>
      <w:r w:rsidR="00653A2E" w:rsidRPr="00172374">
        <w:t xml:space="preserve"> </w:t>
      </w:r>
      <w:r w:rsidR="0012040D" w:rsidRPr="00172374">
        <w:t xml:space="preserve"> </w:t>
      </w:r>
    </w:p>
    <w:p w14:paraId="459C53D6" w14:textId="77777777" w:rsidR="00B2351B" w:rsidRPr="00172374" w:rsidRDefault="00B2351B" w:rsidP="000D59B1">
      <w:pPr>
        <w:spacing w:line="480" w:lineRule="auto"/>
        <w:ind w:firstLine="567"/>
      </w:pPr>
    </w:p>
    <w:p w14:paraId="19491103" w14:textId="0C3DEE33" w:rsidR="00117EB9" w:rsidRPr="00172374" w:rsidRDefault="00A859DD"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2.</w:t>
      </w:r>
      <w:r w:rsidR="007B1125" w:rsidRPr="00172374">
        <w:rPr>
          <w:rFonts w:ascii="Times New Roman" w:hAnsi="Times New Roman"/>
          <w:i/>
          <w:sz w:val="24"/>
        </w:rPr>
        <w:t>3</w:t>
      </w:r>
      <w:r w:rsidRPr="00172374">
        <w:rPr>
          <w:rFonts w:ascii="Times New Roman" w:hAnsi="Times New Roman"/>
          <w:i/>
          <w:sz w:val="24"/>
        </w:rPr>
        <w:t>.</w:t>
      </w:r>
      <w:r w:rsidR="00117EB9" w:rsidRPr="00172374">
        <w:rPr>
          <w:rFonts w:ascii="Times New Roman" w:hAnsi="Times New Roman"/>
          <w:i/>
          <w:sz w:val="24"/>
        </w:rPr>
        <w:t>2. Brand consistency</w:t>
      </w:r>
    </w:p>
    <w:p w14:paraId="231E5285" w14:textId="7074CD51" w:rsidR="00FA113A" w:rsidRPr="00172374" w:rsidRDefault="007B40FC" w:rsidP="000D59B1">
      <w:pPr>
        <w:spacing w:line="480" w:lineRule="auto"/>
        <w:ind w:firstLine="567"/>
      </w:pPr>
      <w:r w:rsidRPr="00172374">
        <w:t>Brand consistency (BCON)</w:t>
      </w:r>
      <w:r w:rsidR="005D37E3" w:rsidRPr="00172374">
        <w:t xml:space="preserve"> refers to the </w:t>
      </w:r>
      <w:r w:rsidR="00726EAE" w:rsidRPr="00172374">
        <w:t>standardization and preservation, over time and place, of a defined brand image and associated meanings (</w:t>
      </w:r>
      <w:r w:rsidR="007D4267" w:rsidRPr="00172374">
        <w:t>e.g.</w:t>
      </w:r>
      <w:r w:rsidR="00897A93" w:rsidRPr="00172374">
        <w:t>,</w:t>
      </w:r>
      <w:r w:rsidR="007D4267" w:rsidRPr="00172374">
        <w:t xml:space="preserve"> </w:t>
      </w:r>
      <w:r w:rsidR="005264E7" w:rsidRPr="00172374">
        <w:t xml:space="preserve">Bengtsson, </w:t>
      </w:r>
      <w:proofErr w:type="spellStart"/>
      <w:r w:rsidR="005264E7" w:rsidRPr="00172374">
        <w:t>Bardhi</w:t>
      </w:r>
      <w:proofErr w:type="spellEnd"/>
      <w:r w:rsidR="005264E7" w:rsidRPr="00172374">
        <w:t xml:space="preserve">, &amp; Venkatraman, 2010; </w:t>
      </w:r>
      <w:r w:rsidR="007D4267" w:rsidRPr="00172374">
        <w:t xml:space="preserve">Yan, Krista, </w:t>
      </w:r>
      <w:proofErr w:type="spellStart"/>
      <w:r w:rsidR="007D4267" w:rsidRPr="00172374">
        <w:t>Haipeng</w:t>
      </w:r>
      <w:proofErr w:type="spellEnd"/>
      <w:r w:rsidR="007D4267" w:rsidRPr="00172374">
        <w:t>,</w:t>
      </w:r>
      <w:r w:rsidR="001E5337" w:rsidRPr="00172374">
        <w:t xml:space="preserve"> &amp;</w:t>
      </w:r>
      <w:r w:rsidR="007D4267" w:rsidRPr="00172374">
        <w:t xml:space="preserve"> Subramanian, 2017</w:t>
      </w:r>
      <w:r w:rsidR="00726EAE" w:rsidRPr="00172374">
        <w:t xml:space="preserve">). It entails the synchronization of all company actions in accordance with the brand vision and position </w:t>
      </w:r>
      <w:r w:rsidR="005D37E3" w:rsidRPr="00172374">
        <w:t>(</w:t>
      </w:r>
      <w:proofErr w:type="spellStart"/>
      <w:r w:rsidR="005D37E3" w:rsidRPr="00172374">
        <w:t>Urde</w:t>
      </w:r>
      <w:proofErr w:type="spellEnd"/>
      <w:r w:rsidR="005D37E3" w:rsidRPr="00172374">
        <w:t>, 1994)</w:t>
      </w:r>
      <w:r w:rsidR="00F627C6" w:rsidRPr="00172374">
        <w:t>, so that the essence of the brand is the same in all activities (Keller, 2000</w:t>
      </w:r>
      <w:r w:rsidR="00F969B8" w:rsidRPr="00172374">
        <w:t>; Lee et al., 2017</w:t>
      </w:r>
      <w:r w:rsidR="00F627C6" w:rsidRPr="00172374">
        <w:t xml:space="preserve">). </w:t>
      </w:r>
      <w:r w:rsidR="00726EAE" w:rsidRPr="00172374">
        <w:t>Academics and practitioners have identified consistency, fortification, reinforcement</w:t>
      </w:r>
      <w:r w:rsidR="005264E7" w:rsidRPr="00172374">
        <w:t>,</w:t>
      </w:r>
      <w:r w:rsidR="00726EAE" w:rsidRPr="00172374">
        <w:t xml:space="preserve"> and preservation of brand identity as cornerstones of brand management practice (</w:t>
      </w:r>
      <w:proofErr w:type="spellStart"/>
      <w:r w:rsidR="00E3131A" w:rsidRPr="00172374">
        <w:t>Beverland</w:t>
      </w:r>
      <w:proofErr w:type="spellEnd"/>
      <w:r w:rsidR="00E3131A" w:rsidRPr="00172374">
        <w:t xml:space="preserve">, </w:t>
      </w:r>
      <w:proofErr w:type="spellStart"/>
      <w:r w:rsidR="00E3131A" w:rsidRPr="00172374">
        <w:t>Wilner</w:t>
      </w:r>
      <w:proofErr w:type="spellEnd"/>
      <w:r w:rsidR="00702532" w:rsidRPr="00172374">
        <w:t>,</w:t>
      </w:r>
      <w:r w:rsidR="00E3131A" w:rsidRPr="00172374">
        <w:t xml:space="preserve"> </w:t>
      </w:r>
      <w:r w:rsidR="00AA6587" w:rsidRPr="00172374">
        <w:t>&amp;</w:t>
      </w:r>
      <w:r w:rsidR="00E3131A" w:rsidRPr="00172374">
        <w:t xml:space="preserve"> </w:t>
      </w:r>
      <w:proofErr w:type="spellStart"/>
      <w:r w:rsidR="00E3131A" w:rsidRPr="00172374">
        <w:t>Micheli</w:t>
      </w:r>
      <w:proofErr w:type="spellEnd"/>
      <w:r w:rsidR="00E3131A" w:rsidRPr="00172374">
        <w:t>, 2015</w:t>
      </w:r>
      <w:r w:rsidR="00726EAE" w:rsidRPr="00172374">
        <w:t xml:space="preserve">). For example, </w:t>
      </w:r>
      <w:r w:rsidR="00F627C6" w:rsidRPr="00172374">
        <w:t xml:space="preserve">Quelch and Harding (1999) suggest that a consistent and clear positioning, supported by periodic improvements that keep the brand contemporary without distorting is fundamental promise, is essential. </w:t>
      </w:r>
      <w:r w:rsidR="00AC1F54" w:rsidRPr="00172374">
        <w:t>Despite tactical changes, company activities should retain the key brand elements and preserve a consistent brand meaning over time (Keller, 2008).</w:t>
      </w:r>
      <w:r w:rsidR="00897A93" w:rsidRPr="00172374">
        <w:t xml:space="preserve"> </w:t>
      </w:r>
      <w:r w:rsidR="00FA63F0" w:rsidRPr="00172374">
        <w:t xml:space="preserve">When consistency exists in both </w:t>
      </w:r>
      <w:r w:rsidR="00FA63F0" w:rsidRPr="00172374">
        <w:lastRenderedPageBreak/>
        <w:t>communication and operating tasks, synergy is more likely</w:t>
      </w:r>
      <w:r w:rsidR="005264E7" w:rsidRPr="00172374">
        <w:t>,</w:t>
      </w:r>
      <w:r w:rsidR="00FA63F0" w:rsidRPr="00172374">
        <w:t xml:space="preserve"> and the brand’s relative advantage should be more apparent to the target market (</w:t>
      </w:r>
      <w:r w:rsidR="00F969B8" w:rsidRPr="00172374">
        <w:t>Lee et al., 2017</w:t>
      </w:r>
      <w:r w:rsidR="00FA63F0" w:rsidRPr="00172374">
        <w:t>)</w:t>
      </w:r>
      <w:r w:rsidR="00FA113A" w:rsidRPr="00172374">
        <w:t xml:space="preserve">. </w:t>
      </w:r>
    </w:p>
    <w:p w14:paraId="5D507528" w14:textId="23BCDE89" w:rsidR="00F627C6" w:rsidRPr="00172374" w:rsidRDefault="005264E7" w:rsidP="000D59B1">
      <w:pPr>
        <w:spacing w:line="480" w:lineRule="auto"/>
        <w:ind w:firstLine="567"/>
      </w:pPr>
      <w:r w:rsidRPr="00172374">
        <w:t xml:space="preserve">To </w:t>
      </w:r>
      <w:r w:rsidR="00FA113A" w:rsidRPr="00172374">
        <w:t>create value, the brand must be evident at every step of the value chain and coherently transmitted in every customer touchpoint (</w:t>
      </w:r>
      <w:r w:rsidR="0063008A" w:rsidRPr="00172374">
        <w:t>Keller, 2000</w:t>
      </w:r>
      <w:r w:rsidR="00FA113A" w:rsidRPr="00172374">
        <w:t xml:space="preserve">). Companies </w:t>
      </w:r>
      <w:r w:rsidRPr="00172374">
        <w:t>need</w:t>
      </w:r>
      <w:r w:rsidR="00FA113A" w:rsidRPr="00172374">
        <w:t xml:space="preserve"> to realize that every time someone internally or externally touches the brand, there is an opportunity to reinforce the brand’s promise or denigrate it (Davis </w:t>
      </w:r>
      <w:r w:rsidR="00AA6587" w:rsidRPr="00172374">
        <w:t>&amp;</w:t>
      </w:r>
      <w:r w:rsidR="00FA113A" w:rsidRPr="00172374">
        <w:t xml:space="preserve"> Dunn, 2002). Success presupposes that companies know every way their brand</w:t>
      </w:r>
      <w:r w:rsidRPr="00172374">
        <w:t>s</w:t>
      </w:r>
      <w:r w:rsidR="00FA113A" w:rsidRPr="00172374">
        <w:t xml:space="preserve"> touch their various stakeholders</w:t>
      </w:r>
      <w:r w:rsidR="00CB6D1C" w:rsidRPr="00172374">
        <w:t xml:space="preserve"> (Kenyon, </w:t>
      </w:r>
      <w:proofErr w:type="spellStart"/>
      <w:r w:rsidR="00CB6D1C" w:rsidRPr="00172374">
        <w:t>Manoli</w:t>
      </w:r>
      <w:proofErr w:type="spellEnd"/>
      <w:r w:rsidR="00702532" w:rsidRPr="00172374">
        <w:t>,</w:t>
      </w:r>
      <w:r w:rsidR="00CB6D1C" w:rsidRPr="00172374">
        <w:t xml:space="preserve"> &amp; </w:t>
      </w:r>
      <w:proofErr w:type="spellStart"/>
      <w:r w:rsidR="00CB6D1C" w:rsidRPr="00172374">
        <w:t>Bodet</w:t>
      </w:r>
      <w:proofErr w:type="spellEnd"/>
      <w:r w:rsidR="00CB6D1C" w:rsidRPr="00172374">
        <w:t>, 2018)</w:t>
      </w:r>
      <w:r w:rsidR="00FA113A" w:rsidRPr="00172374">
        <w:t xml:space="preserve">, but also how to manage </w:t>
      </w:r>
      <w:r w:rsidR="006167F1" w:rsidRPr="00172374">
        <w:t>them</w:t>
      </w:r>
      <w:r w:rsidR="00FA113A" w:rsidRPr="00172374">
        <w:t xml:space="preserve"> consistently across the various channels and modes of communication, across the entire customer buying cycle</w:t>
      </w:r>
      <w:r w:rsidR="006167F1" w:rsidRPr="00172374">
        <w:t>,</w:t>
      </w:r>
      <w:r w:rsidR="00FA113A" w:rsidRPr="00172374">
        <w:t xml:space="preserve"> and across firm partners who participate in bringi</w:t>
      </w:r>
      <w:r w:rsidR="008811F4" w:rsidRPr="00172374">
        <w:t>ng the brand experience to life.</w:t>
      </w:r>
    </w:p>
    <w:p w14:paraId="72AB6C40" w14:textId="77777777" w:rsidR="00B2351B" w:rsidRPr="00172374" w:rsidRDefault="00B2351B" w:rsidP="000D59B1">
      <w:pPr>
        <w:spacing w:line="480" w:lineRule="auto"/>
        <w:ind w:firstLine="567"/>
      </w:pPr>
    </w:p>
    <w:p w14:paraId="3564C298" w14:textId="1FB1FBEC" w:rsidR="00117EB9" w:rsidRPr="00172374" w:rsidRDefault="00A859DD"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2.</w:t>
      </w:r>
      <w:r w:rsidR="007B1125" w:rsidRPr="00172374">
        <w:rPr>
          <w:rFonts w:ascii="Times New Roman" w:hAnsi="Times New Roman"/>
          <w:i/>
          <w:sz w:val="24"/>
        </w:rPr>
        <w:t>3</w:t>
      </w:r>
      <w:r w:rsidRPr="00172374">
        <w:rPr>
          <w:rFonts w:ascii="Times New Roman" w:hAnsi="Times New Roman"/>
          <w:i/>
          <w:sz w:val="24"/>
        </w:rPr>
        <w:t>.</w:t>
      </w:r>
      <w:r w:rsidR="00117EB9" w:rsidRPr="00172374">
        <w:rPr>
          <w:rFonts w:ascii="Times New Roman" w:hAnsi="Times New Roman"/>
          <w:i/>
          <w:sz w:val="24"/>
        </w:rPr>
        <w:t>3. Brand differentiation</w:t>
      </w:r>
    </w:p>
    <w:p w14:paraId="758A180F" w14:textId="2EB62B6B" w:rsidR="00B73E7E" w:rsidRPr="00172374" w:rsidRDefault="007B40FC" w:rsidP="000D59B1">
      <w:pPr>
        <w:spacing w:line="480" w:lineRule="auto"/>
        <w:ind w:firstLine="567"/>
      </w:pPr>
      <w:r w:rsidRPr="00172374">
        <w:t>Brand differentiation (BDIF)</w:t>
      </w:r>
      <w:r w:rsidR="00336575" w:rsidRPr="00172374">
        <w:t xml:space="preserve"> </w:t>
      </w:r>
      <w:r w:rsidR="008C0B1C" w:rsidRPr="00172374">
        <w:t xml:space="preserve">captures the extent to which </w:t>
      </w:r>
      <w:r w:rsidR="00EA201C" w:rsidRPr="00172374">
        <w:t xml:space="preserve">the company decisions and actions lead to the creation of </w:t>
      </w:r>
      <w:r w:rsidR="00937299" w:rsidRPr="00172374">
        <w:t>brands</w:t>
      </w:r>
      <w:r w:rsidR="00EA201C" w:rsidRPr="00172374">
        <w:t xml:space="preserve"> that customers perceive as distinct and unique relative to competition (</w:t>
      </w:r>
      <w:proofErr w:type="spellStart"/>
      <w:r w:rsidR="00C155C7" w:rsidRPr="00172374">
        <w:t>Davcik</w:t>
      </w:r>
      <w:proofErr w:type="spellEnd"/>
      <w:r w:rsidR="00C155C7" w:rsidRPr="00172374">
        <w:t xml:space="preserve"> &amp; Sharma, 2015</w:t>
      </w:r>
      <w:r w:rsidR="00EA201C" w:rsidRPr="00172374">
        <w:t xml:space="preserve">). </w:t>
      </w:r>
      <w:r w:rsidR="00A95590" w:rsidRPr="00172374">
        <w:t xml:space="preserve">Through </w:t>
      </w:r>
      <w:r w:rsidR="006167F1" w:rsidRPr="00172374">
        <w:t>BDIF</w:t>
      </w:r>
      <w:r w:rsidR="00A95590" w:rsidRPr="00172374">
        <w:t xml:space="preserve">, the company </w:t>
      </w:r>
      <w:r w:rsidR="006167F1" w:rsidRPr="00172374">
        <w:t>aims</w:t>
      </w:r>
      <w:r w:rsidR="00A95590" w:rsidRPr="00172374">
        <w:t xml:space="preserve"> to define the value associated with a brand as fundamentally different from its rivals with the ultimate goal of building a more attractive offer to the customer</w:t>
      </w:r>
      <w:r w:rsidR="00DC50EF" w:rsidRPr="00172374">
        <w:t xml:space="preserve"> (Pai, Lai, Chiu, &amp; Yang, 2015)</w:t>
      </w:r>
      <w:r w:rsidR="00A95590" w:rsidRPr="00172374">
        <w:t xml:space="preserve">. </w:t>
      </w:r>
      <w:r w:rsidR="00E54FE8" w:rsidRPr="00172374">
        <w:t>This brand offering can be unique and attractive either by delivering distinct value-for-money products and services or by promising a premium customer experience that justifies a higher price</w:t>
      </w:r>
      <w:r w:rsidR="00542136" w:rsidRPr="00172374">
        <w:t xml:space="preserve"> (</w:t>
      </w:r>
      <w:proofErr w:type="spellStart"/>
      <w:r w:rsidR="00DC50EF" w:rsidRPr="00172374">
        <w:t>Davcik</w:t>
      </w:r>
      <w:proofErr w:type="spellEnd"/>
      <w:r w:rsidR="00DC50EF" w:rsidRPr="00172374">
        <w:t xml:space="preserve"> &amp; Sharma, 2015; </w:t>
      </w:r>
      <w:r w:rsidR="00542136" w:rsidRPr="00172374">
        <w:t>Keller, 2008)</w:t>
      </w:r>
      <w:r w:rsidR="00E54FE8" w:rsidRPr="00172374">
        <w:t xml:space="preserve">. </w:t>
      </w:r>
      <w:r w:rsidR="003A13C3" w:rsidRPr="00172374">
        <w:t xml:space="preserve">Branding should direct attention to the unique characteristics that set a company and its brands </w:t>
      </w:r>
      <w:r w:rsidR="00F02B22" w:rsidRPr="00172374">
        <w:t>apart from its competitors (</w:t>
      </w:r>
      <w:r w:rsidR="00CA7E34" w:rsidRPr="00172374">
        <w:t xml:space="preserve">Coleman, de </w:t>
      </w:r>
      <w:proofErr w:type="spellStart"/>
      <w:r w:rsidR="00CA7E34" w:rsidRPr="00172374">
        <w:t>Chernatony</w:t>
      </w:r>
      <w:proofErr w:type="spellEnd"/>
      <w:r w:rsidR="00702532" w:rsidRPr="00172374">
        <w:t>,</w:t>
      </w:r>
      <w:r w:rsidR="00CA7E34" w:rsidRPr="00172374">
        <w:t xml:space="preserve"> &amp; Christodoulides, 2015</w:t>
      </w:r>
      <w:r w:rsidR="00F02B22" w:rsidRPr="00172374">
        <w:t xml:space="preserve">). </w:t>
      </w:r>
    </w:p>
    <w:p w14:paraId="4DC9E54B" w14:textId="1C50A90F" w:rsidR="00117EB9" w:rsidRPr="00172374" w:rsidRDefault="00DB69E9" w:rsidP="000D59B1">
      <w:pPr>
        <w:spacing w:line="480" w:lineRule="auto"/>
        <w:ind w:firstLine="567"/>
      </w:pPr>
      <w:r w:rsidRPr="00172374">
        <w:t>Thr</w:t>
      </w:r>
      <w:r w:rsidR="001309A5" w:rsidRPr="00172374">
        <w:t>o</w:t>
      </w:r>
      <w:r w:rsidRPr="00172374">
        <w:t>ugh</w:t>
      </w:r>
      <w:r w:rsidR="00DE5C73" w:rsidRPr="00172374">
        <w:t xml:space="preserve"> successful brand positioning decisions</w:t>
      </w:r>
      <w:r w:rsidRPr="00172374">
        <w:t>, firms</w:t>
      </w:r>
      <w:r w:rsidR="00DE5C73" w:rsidRPr="00172374">
        <w:t xml:space="preserve"> can </w:t>
      </w:r>
      <w:r w:rsidR="00F02B22" w:rsidRPr="00172374">
        <w:t>create key brand associations</w:t>
      </w:r>
      <w:r w:rsidR="00DE5C73" w:rsidRPr="00172374">
        <w:t xml:space="preserve"> in the minds of customers and other important constituents that differentiate the brand and establish competitive superiority (Keller </w:t>
      </w:r>
      <w:r w:rsidR="00927E01" w:rsidRPr="00172374">
        <w:t>&amp;</w:t>
      </w:r>
      <w:r w:rsidR="00DE5C73" w:rsidRPr="00172374">
        <w:t xml:space="preserve"> Lehmann, 2006).</w:t>
      </w:r>
      <w:r w:rsidR="003A13C3" w:rsidRPr="00172374">
        <w:t xml:space="preserve"> </w:t>
      </w:r>
      <w:r w:rsidR="00593846" w:rsidRPr="00172374">
        <w:t>Well-positioned b</w:t>
      </w:r>
      <w:r w:rsidR="00DE5C73" w:rsidRPr="00172374">
        <w:t xml:space="preserve">rands </w:t>
      </w:r>
      <w:r w:rsidR="003A13C3" w:rsidRPr="00172374">
        <w:t xml:space="preserve">occupy </w:t>
      </w:r>
      <w:proofErr w:type="gramStart"/>
      <w:r w:rsidR="003A13C3" w:rsidRPr="00172374">
        <w:lastRenderedPageBreak/>
        <w:t>particular niches</w:t>
      </w:r>
      <w:proofErr w:type="gramEnd"/>
      <w:r w:rsidR="003A13C3" w:rsidRPr="00172374">
        <w:t xml:space="preserve"> </w:t>
      </w:r>
      <w:r w:rsidR="00F02B22" w:rsidRPr="00172374">
        <w:t xml:space="preserve">in </w:t>
      </w:r>
      <w:r w:rsidRPr="00172374">
        <w:t>customer</w:t>
      </w:r>
      <w:r w:rsidR="006167F1" w:rsidRPr="00172374">
        <w:t>s</w:t>
      </w:r>
      <w:r w:rsidR="00F02B22" w:rsidRPr="00172374">
        <w:t>’ minds, by being similar to and different from competing brands in certain reliably identifiable ways (Keller, 2000</w:t>
      </w:r>
      <w:r w:rsidR="006167F1" w:rsidRPr="00172374">
        <w:t>,</w:t>
      </w:r>
      <w:r w:rsidRPr="00172374">
        <w:t xml:space="preserve"> 2008</w:t>
      </w:r>
      <w:r w:rsidR="00DE5C73" w:rsidRPr="00172374">
        <w:t>)</w:t>
      </w:r>
      <w:r w:rsidR="00F02B22" w:rsidRPr="00172374">
        <w:t xml:space="preserve">. </w:t>
      </w:r>
      <w:r w:rsidR="00937299" w:rsidRPr="00172374">
        <w:t xml:space="preserve">Regardless of how differentiation is formed, if a brand is considered unique, it can command a price premium in the marketplace </w:t>
      </w:r>
      <w:r w:rsidR="00E54FE8" w:rsidRPr="00172374">
        <w:t>and/</w:t>
      </w:r>
      <w:r w:rsidR="00334EA8" w:rsidRPr="00172374">
        <w:t xml:space="preserve">or develop economies of scale attributed to </w:t>
      </w:r>
      <w:r w:rsidR="00E54FE8" w:rsidRPr="00172374">
        <w:t xml:space="preserve">increased customer preference and loyalty </w:t>
      </w:r>
      <w:r w:rsidR="00937299" w:rsidRPr="00172374">
        <w:t xml:space="preserve">(Aaker, 1996b). </w:t>
      </w:r>
      <w:r w:rsidR="00EA201C" w:rsidRPr="00172374">
        <w:t xml:space="preserve">If </w:t>
      </w:r>
      <w:r w:rsidR="00937299" w:rsidRPr="00172374">
        <w:t>not</w:t>
      </w:r>
      <w:r w:rsidR="00EA201C" w:rsidRPr="00172374">
        <w:t>, it will have difficult</w:t>
      </w:r>
      <w:r w:rsidR="006167F1" w:rsidRPr="00172374">
        <w:t>y</w:t>
      </w:r>
      <w:r w:rsidR="00EA201C" w:rsidRPr="00172374">
        <w:t xml:space="preserve"> in supporting a </w:t>
      </w:r>
      <w:r w:rsidR="00E54FE8" w:rsidRPr="00172374">
        <w:t>distinct offering</w:t>
      </w:r>
      <w:r w:rsidR="00EA201C" w:rsidRPr="00172374">
        <w:t xml:space="preserve"> relative to other brands (</w:t>
      </w:r>
      <w:proofErr w:type="spellStart"/>
      <w:r w:rsidR="00702532" w:rsidRPr="00172374">
        <w:t>Netemeyer</w:t>
      </w:r>
      <w:proofErr w:type="spellEnd"/>
      <w:r w:rsidR="00702532" w:rsidRPr="00172374">
        <w:t xml:space="preserve"> et al.</w:t>
      </w:r>
      <w:r w:rsidR="00EA201C" w:rsidRPr="00172374">
        <w:t xml:space="preserve">, 2004). As such, brand </w:t>
      </w:r>
      <w:r w:rsidR="0058240F" w:rsidRPr="00172374">
        <w:t xml:space="preserve">differentiation </w:t>
      </w:r>
      <w:r w:rsidR="00937299" w:rsidRPr="00172374">
        <w:t xml:space="preserve">and </w:t>
      </w:r>
      <w:r w:rsidR="00EA201C" w:rsidRPr="00172374">
        <w:t xml:space="preserve">uniqueness </w:t>
      </w:r>
      <w:r w:rsidR="004D4E34" w:rsidRPr="00172374">
        <w:t>are</w:t>
      </w:r>
      <w:r w:rsidR="00EA201C" w:rsidRPr="00172374">
        <w:t xml:space="preserve"> </w:t>
      </w:r>
      <w:r w:rsidR="0058240F" w:rsidRPr="00172374">
        <w:t>primary</w:t>
      </w:r>
      <w:r w:rsidR="00EA201C" w:rsidRPr="00172374">
        <w:t xml:space="preserve"> facet</w:t>
      </w:r>
      <w:r w:rsidR="004D4E34" w:rsidRPr="00172374">
        <w:t>s</w:t>
      </w:r>
      <w:r w:rsidR="00EA201C" w:rsidRPr="00172374">
        <w:t xml:space="preserve"> </w:t>
      </w:r>
      <w:r w:rsidR="0058240F" w:rsidRPr="00172374">
        <w:t xml:space="preserve">of brand </w:t>
      </w:r>
      <w:r w:rsidR="00EF3C18" w:rsidRPr="00172374">
        <w:t>excellence</w:t>
      </w:r>
      <w:r w:rsidR="0058240F" w:rsidRPr="00172374">
        <w:t xml:space="preserve"> </w:t>
      </w:r>
      <w:r w:rsidR="002E5821" w:rsidRPr="00172374">
        <w:t>(Aaker, 1996b</w:t>
      </w:r>
      <w:r w:rsidR="00EA201C" w:rsidRPr="00172374">
        <w:t xml:space="preserve">). </w:t>
      </w:r>
    </w:p>
    <w:p w14:paraId="556E532C" w14:textId="77777777" w:rsidR="000F5B39" w:rsidRPr="00172374" w:rsidRDefault="000F5B39" w:rsidP="000D59B1">
      <w:pPr>
        <w:spacing w:line="480" w:lineRule="auto"/>
        <w:ind w:firstLine="567"/>
      </w:pPr>
    </w:p>
    <w:p w14:paraId="0479B287" w14:textId="04D3231C" w:rsidR="00117EB9" w:rsidRPr="00172374" w:rsidRDefault="00A859DD"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2.</w:t>
      </w:r>
      <w:r w:rsidR="007B1125" w:rsidRPr="00172374">
        <w:rPr>
          <w:rFonts w:ascii="Times New Roman" w:hAnsi="Times New Roman"/>
          <w:i/>
          <w:sz w:val="24"/>
        </w:rPr>
        <w:t>3</w:t>
      </w:r>
      <w:r w:rsidRPr="00172374">
        <w:rPr>
          <w:rFonts w:ascii="Times New Roman" w:hAnsi="Times New Roman"/>
          <w:i/>
          <w:sz w:val="24"/>
        </w:rPr>
        <w:t>.</w:t>
      </w:r>
      <w:r w:rsidR="00117EB9" w:rsidRPr="00172374">
        <w:rPr>
          <w:rFonts w:ascii="Times New Roman" w:hAnsi="Times New Roman"/>
          <w:i/>
          <w:sz w:val="24"/>
        </w:rPr>
        <w:t xml:space="preserve">4. Brand </w:t>
      </w:r>
      <w:r w:rsidR="00440E9A" w:rsidRPr="00172374">
        <w:rPr>
          <w:rFonts w:ascii="Times New Roman" w:hAnsi="Times New Roman"/>
          <w:i/>
          <w:sz w:val="24"/>
        </w:rPr>
        <w:t>intelligence</w:t>
      </w:r>
    </w:p>
    <w:p w14:paraId="4BC29BF7" w14:textId="3C7C601A" w:rsidR="00C31513" w:rsidRPr="00172374" w:rsidRDefault="007B40FC" w:rsidP="000D59B1">
      <w:pPr>
        <w:spacing w:line="480" w:lineRule="auto"/>
        <w:ind w:firstLine="567"/>
      </w:pPr>
      <w:r w:rsidRPr="00172374">
        <w:t>Brand intelligence (BINT)</w:t>
      </w:r>
      <w:r w:rsidR="005B7708" w:rsidRPr="00172374">
        <w:t xml:space="preserve"> refers to the development of thorough knowledge </w:t>
      </w:r>
      <w:r w:rsidR="007F02BE" w:rsidRPr="00172374">
        <w:t>of</w:t>
      </w:r>
      <w:r w:rsidR="005B7708" w:rsidRPr="00172374">
        <w:t xml:space="preserve"> customer</w:t>
      </w:r>
      <w:r w:rsidR="00AE3323" w:rsidRPr="00172374">
        <w:t>s</w:t>
      </w:r>
      <w:r w:rsidR="005B7708" w:rsidRPr="00172374">
        <w:t xml:space="preserve">’ perceptions </w:t>
      </w:r>
      <w:r w:rsidR="00AE3323" w:rsidRPr="00172374">
        <w:t xml:space="preserve">of </w:t>
      </w:r>
      <w:r w:rsidR="005B7708" w:rsidRPr="00172374">
        <w:t>the company’s brands and competitive offerings</w:t>
      </w:r>
      <w:r w:rsidR="007F02BE" w:rsidRPr="00172374">
        <w:t xml:space="preserve"> that provide valuable information for successful brand management (Aaker, </w:t>
      </w:r>
      <w:r w:rsidR="005C4787" w:rsidRPr="00172374">
        <w:t>2004</w:t>
      </w:r>
      <w:r w:rsidR="005E5B40" w:rsidRPr="00172374">
        <w:t>; Till, Baack, &amp; Waterman, 2011)</w:t>
      </w:r>
      <w:r w:rsidR="007F02BE" w:rsidRPr="00172374">
        <w:t>.</w:t>
      </w:r>
      <w:r w:rsidR="00190EF2" w:rsidRPr="00172374">
        <w:t xml:space="preserve"> </w:t>
      </w:r>
      <w:r w:rsidR="00C31513" w:rsidRPr="00172374">
        <w:t xml:space="preserve">To manage brands properly, Keller and Lehmann (2006) suggest that marketers should have a clear understanding of the equity of their brands, by specifying what makes them tick and what they are worth. </w:t>
      </w:r>
    </w:p>
    <w:p w14:paraId="03E6320B" w14:textId="22943924" w:rsidR="007E66E9" w:rsidRPr="00172374" w:rsidRDefault="006167F1" w:rsidP="004D227D">
      <w:pPr>
        <w:spacing w:after="120" w:line="480" w:lineRule="auto"/>
        <w:ind w:firstLine="561"/>
      </w:pPr>
      <w:r w:rsidRPr="00172374">
        <w:t>In general, s</w:t>
      </w:r>
      <w:r w:rsidR="0021286E" w:rsidRPr="00172374">
        <w:t>trong brands make frequent use of in-depth brand audits and ongoing brand-tracking studies (</w:t>
      </w:r>
      <w:r w:rsidRPr="00172374">
        <w:t>Keller, 2000; V</w:t>
      </w:r>
      <w:r w:rsidR="0000490E" w:rsidRPr="00172374">
        <w:t xml:space="preserve">an den Driest, </w:t>
      </w:r>
      <w:proofErr w:type="spellStart"/>
      <w:r w:rsidR="0000490E" w:rsidRPr="00172374">
        <w:t>Sthanunathan</w:t>
      </w:r>
      <w:proofErr w:type="spellEnd"/>
      <w:r w:rsidR="0000490E" w:rsidRPr="00172374">
        <w:t>, &amp; Weed, 2016</w:t>
      </w:r>
      <w:r w:rsidR="0021286E" w:rsidRPr="00172374">
        <w:t xml:space="preserve">). </w:t>
      </w:r>
      <w:r w:rsidR="00C31513" w:rsidRPr="00172374">
        <w:t xml:space="preserve">To gain the best returns from brands, firms should not design and implement their branding strategy isolated from what customers think and believe of the brands relative to </w:t>
      </w:r>
      <w:r w:rsidRPr="00172374">
        <w:t xml:space="preserve">the </w:t>
      </w:r>
      <w:r w:rsidR="00C31513" w:rsidRPr="00172374">
        <w:t>competition. Instead, firms must have a clear view of how their brands stand in the market, by continuously auditing their capabilities, evaluating external issues that influence their brands</w:t>
      </w:r>
      <w:r w:rsidRPr="00172374">
        <w:t>,</w:t>
      </w:r>
      <w:r w:rsidR="00C31513" w:rsidRPr="00172374">
        <w:t xml:space="preserve"> </w:t>
      </w:r>
      <w:r w:rsidR="00BE5EED" w:rsidRPr="00172374">
        <w:t>setting realistic brand-level</w:t>
      </w:r>
      <w:r w:rsidR="00C31513" w:rsidRPr="00172374">
        <w:t xml:space="preserve"> objectives</w:t>
      </w:r>
      <w:r w:rsidRPr="00172374">
        <w:t>,</w:t>
      </w:r>
      <w:r w:rsidR="00C31513" w:rsidRPr="00172374">
        <w:t xml:space="preserve"> and </w:t>
      </w:r>
      <w:r w:rsidRPr="00172374">
        <w:t xml:space="preserve">then </w:t>
      </w:r>
      <w:r w:rsidR="00C31513" w:rsidRPr="00172374">
        <w:t>developing effective strategies to achieve them (</w:t>
      </w:r>
      <w:r w:rsidRPr="00172374">
        <w:t>De</w:t>
      </w:r>
      <w:r w:rsidR="00C81130" w:rsidRPr="00172374">
        <w:t xml:space="preserve"> </w:t>
      </w:r>
      <w:proofErr w:type="spellStart"/>
      <w:r w:rsidR="00C81130" w:rsidRPr="00172374">
        <w:t>Chernatony</w:t>
      </w:r>
      <w:proofErr w:type="spellEnd"/>
      <w:r w:rsidR="00C81130" w:rsidRPr="00172374">
        <w:t xml:space="preserve"> et al., 2011; </w:t>
      </w:r>
      <w:proofErr w:type="spellStart"/>
      <w:r w:rsidR="00BC4FC2" w:rsidRPr="00172374">
        <w:t>Gromark</w:t>
      </w:r>
      <w:proofErr w:type="spellEnd"/>
      <w:r w:rsidR="00BC4FC2" w:rsidRPr="00172374">
        <w:t xml:space="preserve"> </w:t>
      </w:r>
      <w:r w:rsidR="002E5821" w:rsidRPr="00172374">
        <w:t>&amp;</w:t>
      </w:r>
      <w:r w:rsidR="00C81130" w:rsidRPr="00172374">
        <w:t xml:space="preserve"> </w:t>
      </w:r>
      <w:proofErr w:type="spellStart"/>
      <w:r w:rsidR="00C81130" w:rsidRPr="00172374">
        <w:t>Melin</w:t>
      </w:r>
      <w:proofErr w:type="spellEnd"/>
      <w:r w:rsidR="00C81130" w:rsidRPr="00172374">
        <w:t>, 201</w:t>
      </w:r>
      <w:r w:rsidR="00FE5DC5" w:rsidRPr="00172374">
        <w:t>1</w:t>
      </w:r>
      <w:r w:rsidR="00C31513" w:rsidRPr="00172374">
        <w:t xml:space="preserve">). </w:t>
      </w:r>
      <w:r w:rsidR="0021286E" w:rsidRPr="00172374">
        <w:t xml:space="preserve">Bringing the brand to life within an organization </w:t>
      </w:r>
      <w:r w:rsidR="007C296D" w:rsidRPr="00172374">
        <w:t>involves</w:t>
      </w:r>
      <w:r w:rsidR="0021286E" w:rsidRPr="00172374">
        <w:t xml:space="preserve"> establishing brand metrics, both internal and external, to monitor, </w:t>
      </w:r>
      <w:r w:rsidR="0021286E" w:rsidRPr="00172374">
        <w:lastRenderedPageBreak/>
        <w:t>benchmark</w:t>
      </w:r>
      <w:r w:rsidR="007C296D" w:rsidRPr="00172374">
        <w:t>,</w:t>
      </w:r>
      <w:r w:rsidR="0021286E" w:rsidRPr="00172374">
        <w:t xml:space="preserve"> and upgrade brand performance (</w:t>
      </w:r>
      <w:proofErr w:type="spellStart"/>
      <w:r w:rsidR="000F5B39" w:rsidRPr="00172374">
        <w:t>Brakus</w:t>
      </w:r>
      <w:proofErr w:type="spellEnd"/>
      <w:r w:rsidR="000F5B39" w:rsidRPr="00172374">
        <w:t xml:space="preserve">, Schmitt &amp; </w:t>
      </w:r>
      <w:proofErr w:type="spellStart"/>
      <w:r w:rsidR="000F5B39" w:rsidRPr="00172374">
        <w:t>Zarantonello</w:t>
      </w:r>
      <w:proofErr w:type="spellEnd"/>
      <w:r w:rsidR="000F5B39" w:rsidRPr="00172374">
        <w:t xml:space="preserve">, 2009; </w:t>
      </w:r>
      <w:r w:rsidR="0021286E" w:rsidRPr="00172374">
        <w:t xml:space="preserve">Davis </w:t>
      </w:r>
      <w:r w:rsidR="002E5821" w:rsidRPr="00172374">
        <w:t>&amp;</w:t>
      </w:r>
      <w:r w:rsidR="0021286E" w:rsidRPr="00172374">
        <w:t xml:space="preserve"> Dunn, 2002; Ewing </w:t>
      </w:r>
      <w:r w:rsidR="002E5821" w:rsidRPr="00172374">
        <w:t>&amp;</w:t>
      </w:r>
      <w:r w:rsidR="0021286E" w:rsidRPr="00172374">
        <w:t xml:space="preserve"> Napoli, 2005). </w:t>
      </w:r>
    </w:p>
    <w:p w14:paraId="41970941" w14:textId="39C46040" w:rsidR="00493C61" w:rsidRPr="00172374" w:rsidRDefault="00335B70" w:rsidP="00985C3F">
      <w:pPr>
        <w:spacing w:line="480" w:lineRule="auto"/>
        <w:ind w:firstLine="562"/>
        <w:rPr>
          <w:b/>
        </w:rPr>
      </w:pPr>
      <w:r w:rsidRPr="00172374">
        <w:t xml:space="preserve">All four brand orientation dimensions uncovered through the literature review </w:t>
      </w:r>
      <w:r w:rsidR="00E1620C" w:rsidRPr="00172374">
        <w:t>reflect</w:t>
      </w:r>
      <w:r w:rsidRPr="00172374">
        <w:t xml:space="preserve"> </w:t>
      </w:r>
      <w:proofErr w:type="spellStart"/>
      <w:r w:rsidRPr="00172374">
        <w:t>Urde’s</w:t>
      </w:r>
      <w:proofErr w:type="spellEnd"/>
      <w:r w:rsidRPr="00172374">
        <w:t xml:space="preserve"> (1999) definition of brand orientation</w:t>
      </w:r>
      <w:r w:rsidR="00E1620C" w:rsidRPr="00172374">
        <w:t xml:space="preserve">. </w:t>
      </w:r>
      <w:r w:rsidR="003169A6" w:rsidRPr="00172374">
        <w:t xml:space="preserve">Establishing the direct parallels between the four proposed dimensions and </w:t>
      </w:r>
      <w:proofErr w:type="spellStart"/>
      <w:r w:rsidR="003169A6" w:rsidRPr="00172374">
        <w:t>Urde’s</w:t>
      </w:r>
      <w:proofErr w:type="spellEnd"/>
      <w:r w:rsidR="003169A6" w:rsidRPr="00172374">
        <w:t xml:space="preserve"> broad conceptualization</w:t>
      </w:r>
      <w:r w:rsidR="004979D5" w:rsidRPr="00172374">
        <w:t xml:space="preserve"> (original definition components in quotation marks)</w:t>
      </w:r>
      <w:r w:rsidR="00E1620C" w:rsidRPr="00172374">
        <w:t xml:space="preserve">, </w:t>
      </w:r>
      <w:r w:rsidR="003169A6" w:rsidRPr="00172374">
        <w:t xml:space="preserve">the </w:t>
      </w:r>
      <w:r w:rsidR="009168A0" w:rsidRPr="00172374">
        <w:t>BIM</w:t>
      </w:r>
      <w:r w:rsidR="00E1620C" w:rsidRPr="00172374">
        <w:t xml:space="preserve"> dimension captures </w:t>
      </w:r>
      <w:r w:rsidR="003169A6" w:rsidRPr="00172374">
        <w:t>a firm’s commitment</w:t>
      </w:r>
      <w:r w:rsidR="00E1620C" w:rsidRPr="00172374">
        <w:t xml:space="preserve"> </w:t>
      </w:r>
      <w:r w:rsidR="003169A6" w:rsidRPr="00172374">
        <w:t>to build str</w:t>
      </w:r>
      <w:r w:rsidR="00F432DC" w:rsidRPr="00172374">
        <w:t>o</w:t>
      </w:r>
      <w:r w:rsidR="003169A6" w:rsidRPr="00172374">
        <w:t xml:space="preserve">ng </w:t>
      </w:r>
      <w:r w:rsidR="00E1620C" w:rsidRPr="00172374">
        <w:t xml:space="preserve">brand equity </w:t>
      </w:r>
      <w:r w:rsidR="003169A6" w:rsidRPr="00172374">
        <w:t xml:space="preserve">through the </w:t>
      </w:r>
      <w:r w:rsidR="00E1620C" w:rsidRPr="00172374">
        <w:t>“creation and development”</w:t>
      </w:r>
      <w:r w:rsidR="003169A6" w:rsidRPr="00172374">
        <w:t xml:space="preserve"> of </w:t>
      </w:r>
      <w:r w:rsidR="00F432DC" w:rsidRPr="00172374">
        <w:t>powerful</w:t>
      </w:r>
      <w:r w:rsidR="003169A6" w:rsidRPr="00172374">
        <w:t xml:space="preserve"> brands;</w:t>
      </w:r>
      <w:r w:rsidR="00E1620C" w:rsidRPr="00172374">
        <w:t xml:space="preserve"> </w:t>
      </w:r>
      <w:r w:rsidR="009F4548" w:rsidRPr="00172374">
        <w:t>BCON</w:t>
      </w:r>
      <w:r w:rsidR="009F4548" w:rsidRPr="00172374">
        <w:rPr>
          <w:i/>
          <w:iCs/>
        </w:rPr>
        <w:t xml:space="preserve"> </w:t>
      </w:r>
      <w:r w:rsidR="003169A6" w:rsidRPr="00172374">
        <w:t>ensures harmony, stability</w:t>
      </w:r>
      <w:r w:rsidR="007C296D" w:rsidRPr="00172374">
        <w:t>,</w:t>
      </w:r>
      <w:r w:rsidR="003169A6" w:rsidRPr="00172374">
        <w:t xml:space="preserve"> and coherence in the </w:t>
      </w:r>
      <w:r w:rsidR="00E1620C" w:rsidRPr="00172374">
        <w:t>“ongoing interaction of the brand with target customers</w:t>
      </w:r>
      <w:r w:rsidR="00BD351F" w:rsidRPr="00172374">
        <w:t>”</w:t>
      </w:r>
      <w:r w:rsidR="003169A6" w:rsidRPr="00172374">
        <w:t>;</w:t>
      </w:r>
      <w:r w:rsidR="00E1620C" w:rsidRPr="00172374">
        <w:t xml:space="preserve"> </w:t>
      </w:r>
      <w:r w:rsidR="006167F1" w:rsidRPr="00172374">
        <w:t>BDIF</w:t>
      </w:r>
      <w:r w:rsidR="006167F1" w:rsidRPr="00172374">
        <w:rPr>
          <w:i/>
          <w:iCs/>
        </w:rPr>
        <w:t xml:space="preserve"> </w:t>
      </w:r>
      <w:r w:rsidR="003169A6" w:rsidRPr="00172374">
        <w:t>corresponds to the organizational efforts to achieve</w:t>
      </w:r>
      <w:r w:rsidR="00E1620C" w:rsidRPr="00172374">
        <w:t xml:space="preserve"> “</w:t>
      </w:r>
      <w:r w:rsidR="00B35CB1" w:rsidRPr="00172374">
        <w:t>lasting competitive advantages</w:t>
      </w:r>
      <w:r w:rsidR="00F432DC" w:rsidRPr="00172374">
        <w:t xml:space="preserve"> in the form of brands</w:t>
      </w:r>
      <w:r w:rsidR="00E1620C" w:rsidRPr="00172374">
        <w:t>”</w:t>
      </w:r>
      <w:r w:rsidR="00B35CB1" w:rsidRPr="00172374">
        <w:t xml:space="preserve"> </w:t>
      </w:r>
      <w:r w:rsidR="003169A6" w:rsidRPr="00172374">
        <w:t>over the competition</w:t>
      </w:r>
      <w:r w:rsidR="007C296D" w:rsidRPr="00172374">
        <w:t>; and BINT</w:t>
      </w:r>
      <w:r w:rsidR="007C296D" w:rsidRPr="00172374">
        <w:rPr>
          <w:i/>
          <w:iCs/>
        </w:rPr>
        <w:t xml:space="preserve"> </w:t>
      </w:r>
      <w:r w:rsidR="007C296D" w:rsidRPr="00172374">
        <w:t>safeguards the “protection” of brand equity through monitoring, understanding, and organizing knowledge regarding the brand’s environment, customers, and competitors</w:t>
      </w:r>
      <w:r w:rsidR="00B35CB1" w:rsidRPr="00172374">
        <w:t xml:space="preserve">. </w:t>
      </w:r>
      <w:r w:rsidR="00204CD4" w:rsidRPr="00172374">
        <w:t>In essence, the four identified dimension</w:t>
      </w:r>
      <w:r w:rsidR="00F432DC" w:rsidRPr="00172374">
        <w:t>s</w:t>
      </w:r>
      <w:r w:rsidR="00204CD4" w:rsidRPr="00172374">
        <w:t xml:space="preserve"> reflect the organizational attitudes and behaviors </w:t>
      </w:r>
      <w:r w:rsidR="007C296D" w:rsidRPr="00172374">
        <w:t xml:space="preserve">of </w:t>
      </w:r>
      <w:r w:rsidR="00204CD4" w:rsidRPr="00172374">
        <w:t xml:space="preserve">firms that have a strategic approach </w:t>
      </w:r>
      <w:r w:rsidR="007C296D" w:rsidRPr="00172374">
        <w:t xml:space="preserve">to </w:t>
      </w:r>
      <w:r w:rsidR="00204CD4" w:rsidRPr="00172374">
        <w:t xml:space="preserve">branding </w:t>
      </w:r>
      <w:r w:rsidR="007C296D" w:rsidRPr="00172374">
        <w:t>(</w:t>
      </w:r>
      <w:proofErr w:type="spellStart"/>
      <w:r w:rsidR="00204CD4" w:rsidRPr="00172374">
        <w:t>Urde</w:t>
      </w:r>
      <w:proofErr w:type="spellEnd"/>
      <w:r w:rsidR="007C296D" w:rsidRPr="00172374">
        <w:t>,</w:t>
      </w:r>
      <w:r w:rsidR="003169A6" w:rsidRPr="00172374">
        <w:t xml:space="preserve"> 1999</w:t>
      </w:r>
      <w:r w:rsidR="00204CD4" w:rsidRPr="00172374">
        <w:t>)</w:t>
      </w:r>
      <w:r w:rsidR="00F432DC" w:rsidRPr="00172374">
        <w:t>. Such firms</w:t>
      </w:r>
      <w:r w:rsidR="00204CD4" w:rsidRPr="00172374">
        <w:t xml:space="preserve"> adjust their structures and </w:t>
      </w:r>
      <w:r w:rsidR="00630549" w:rsidRPr="00172374">
        <w:t>processes</w:t>
      </w:r>
      <w:r w:rsidR="00204CD4" w:rsidRPr="00172374">
        <w:t xml:space="preserve"> in ways that directly </w:t>
      </w:r>
      <w:r w:rsidR="00630549" w:rsidRPr="00172374">
        <w:t>manifest</w:t>
      </w:r>
      <w:r w:rsidR="00204CD4" w:rsidRPr="00172374">
        <w:t xml:space="preserve"> </w:t>
      </w:r>
      <w:r w:rsidR="00630549" w:rsidRPr="00172374">
        <w:t>in efforts to maximize their brands’ importance, consistency, differentiation</w:t>
      </w:r>
      <w:r w:rsidR="007C296D" w:rsidRPr="00172374">
        <w:t>,</w:t>
      </w:r>
      <w:r w:rsidR="00630549" w:rsidRPr="00172374">
        <w:t xml:space="preserve"> and intelligence. </w:t>
      </w:r>
      <w:r w:rsidR="00204CD4" w:rsidRPr="00172374">
        <w:t xml:space="preserve"> </w:t>
      </w:r>
    </w:p>
    <w:p w14:paraId="5A4AD9D4" w14:textId="77777777" w:rsidR="00493C61" w:rsidRPr="00172374" w:rsidRDefault="00493C61" w:rsidP="000D59B1">
      <w:pPr>
        <w:spacing w:line="480" w:lineRule="auto"/>
        <w:rPr>
          <w:b/>
        </w:rPr>
      </w:pPr>
    </w:p>
    <w:p w14:paraId="04938458" w14:textId="77777777" w:rsidR="00922393" w:rsidRPr="00172374" w:rsidRDefault="000F4976" w:rsidP="000D59B1">
      <w:pPr>
        <w:spacing w:line="480" w:lineRule="auto"/>
      </w:pPr>
      <w:r w:rsidRPr="00172374">
        <w:rPr>
          <w:b/>
        </w:rPr>
        <w:t>3</w:t>
      </w:r>
      <w:r w:rsidR="00922393" w:rsidRPr="00172374">
        <w:rPr>
          <w:b/>
        </w:rPr>
        <w:t>. Scale development methodology</w:t>
      </w:r>
    </w:p>
    <w:p w14:paraId="2A48CDC8" w14:textId="7FB39CD2" w:rsidR="007E66E9" w:rsidRPr="00172374" w:rsidRDefault="007E66E9" w:rsidP="00C12E8B">
      <w:pPr>
        <w:spacing w:line="480" w:lineRule="auto"/>
        <w:ind w:firstLine="567"/>
      </w:pPr>
      <w:r w:rsidRPr="00172374">
        <w:t>T</w:t>
      </w:r>
      <w:r w:rsidR="0040439C" w:rsidRPr="00172374">
        <w:t xml:space="preserve">o develop a scale of </w:t>
      </w:r>
      <w:r w:rsidR="00671BD9" w:rsidRPr="00172374">
        <w:t>b</w:t>
      </w:r>
      <w:r w:rsidR="0040439C" w:rsidRPr="00172374">
        <w:t xml:space="preserve">rand </w:t>
      </w:r>
      <w:r w:rsidR="00671BD9" w:rsidRPr="00172374">
        <w:t>o</w:t>
      </w:r>
      <w:r w:rsidR="0040439C" w:rsidRPr="00172374">
        <w:t xml:space="preserve">rientation for effectively measuring </w:t>
      </w:r>
      <w:r w:rsidR="00746B29" w:rsidRPr="00172374">
        <w:t>the intensity of its presence</w:t>
      </w:r>
      <w:r w:rsidR="0040439C" w:rsidRPr="00172374">
        <w:t xml:space="preserve"> within an organization, we followed rigorous scale development </w:t>
      </w:r>
      <w:r w:rsidR="00C06531" w:rsidRPr="00172374">
        <w:t xml:space="preserve">procedures </w:t>
      </w:r>
      <w:r w:rsidR="0040439C" w:rsidRPr="00172374">
        <w:t xml:space="preserve">(Churchill, 1979; </w:t>
      </w:r>
      <w:proofErr w:type="spellStart"/>
      <w:r w:rsidR="0040439C" w:rsidRPr="00172374">
        <w:t>Netemeyer</w:t>
      </w:r>
      <w:proofErr w:type="spellEnd"/>
      <w:r w:rsidR="0040439C" w:rsidRPr="00172374">
        <w:t xml:space="preserve"> et al., 2003) and relied on data from f</w:t>
      </w:r>
      <w:r w:rsidR="00A05F9D" w:rsidRPr="00172374">
        <w:t>ive</w:t>
      </w:r>
      <w:r w:rsidR="0040439C" w:rsidRPr="00172374">
        <w:t xml:space="preserve"> complementary studies. Table </w:t>
      </w:r>
      <w:r w:rsidR="009C55D7" w:rsidRPr="00172374">
        <w:t>4</w:t>
      </w:r>
      <w:r w:rsidR="0040439C" w:rsidRPr="00172374">
        <w:t xml:space="preserve"> outlines the process, which includes a qualitative study</w:t>
      </w:r>
      <w:r w:rsidR="00C06531" w:rsidRPr="00172374">
        <w:t xml:space="preserve"> to assist </w:t>
      </w:r>
      <w:r w:rsidR="009D02D0" w:rsidRPr="00172374">
        <w:t>in</w:t>
      </w:r>
      <w:r w:rsidR="00C06531" w:rsidRPr="00172374">
        <w:t xml:space="preserve"> the development of the conceptual definition</w:t>
      </w:r>
      <w:r w:rsidR="009D02D0" w:rsidRPr="00172374">
        <w:t>,</w:t>
      </w:r>
      <w:r w:rsidR="0040439C" w:rsidRPr="00172374">
        <w:t xml:space="preserve"> </w:t>
      </w:r>
      <w:r w:rsidR="00C06531" w:rsidRPr="00172374">
        <w:t xml:space="preserve">a study aimed at </w:t>
      </w:r>
      <w:r w:rsidR="00BE5EED" w:rsidRPr="00172374">
        <w:t>i</w:t>
      </w:r>
      <w:r w:rsidR="0040439C" w:rsidRPr="00172374">
        <w:t>tem</w:t>
      </w:r>
      <w:r w:rsidR="00C06531" w:rsidRPr="00172374">
        <w:t xml:space="preserve"> pool</w:t>
      </w:r>
      <w:r w:rsidR="0040439C" w:rsidRPr="00172374">
        <w:t xml:space="preserve"> generation and expert review</w:t>
      </w:r>
      <w:r w:rsidR="009D02D0" w:rsidRPr="00172374">
        <w:t>,</w:t>
      </w:r>
      <w:r w:rsidR="0040439C" w:rsidRPr="00172374">
        <w:t xml:space="preserve"> a quantitative study for the purification of the scale</w:t>
      </w:r>
      <w:r w:rsidR="009D02D0" w:rsidRPr="00172374">
        <w:t>,</w:t>
      </w:r>
      <w:r w:rsidR="00A92DEC" w:rsidRPr="00172374">
        <w:t xml:space="preserve"> a quantitative study for the comparison of the new scale with existing ones</w:t>
      </w:r>
      <w:r w:rsidR="009D02D0" w:rsidRPr="00172374">
        <w:t>,</w:t>
      </w:r>
      <w:r w:rsidR="00C06531" w:rsidRPr="00172374">
        <w:t xml:space="preserve"> and </w:t>
      </w:r>
      <w:r w:rsidR="00BE5EED" w:rsidRPr="00172374">
        <w:t xml:space="preserve">a </w:t>
      </w:r>
      <w:r w:rsidR="0040439C" w:rsidRPr="00172374">
        <w:t>quantitative study for the finalization of the scale</w:t>
      </w:r>
      <w:r w:rsidR="00C06531" w:rsidRPr="00172374">
        <w:t xml:space="preserve"> and </w:t>
      </w:r>
      <w:r w:rsidR="00C06531" w:rsidRPr="00172374">
        <w:lastRenderedPageBreak/>
        <w:t>the empirical assessment of its psychometric properties</w:t>
      </w:r>
      <w:r w:rsidR="0040439C" w:rsidRPr="00172374">
        <w:t>. In the following sections</w:t>
      </w:r>
      <w:r w:rsidR="009D02D0" w:rsidRPr="00172374">
        <w:t>,</w:t>
      </w:r>
      <w:r w:rsidR="0040439C" w:rsidRPr="00172374">
        <w:t xml:space="preserve"> we provide details on the entire process and the criteria used at each stage of the scale development. </w:t>
      </w:r>
      <w:r w:rsidR="00C12E8B" w:rsidRPr="00172374">
        <w:t>Appendix A</w:t>
      </w:r>
      <w:r w:rsidR="00315777" w:rsidRPr="00172374">
        <w:t>2</w:t>
      </w:r>
      <w:r w:rsidR="00C12E8B" w:rsidRPr="00172374">
        <w:t xml:space="preserve"> provides the full initial list of items of the </w:t>
      </w:r>
      <w:r w:rsidR="00202DDF" w:rsidRPr="00172374">
        <w:t>brand orientation</w:t>
      </w:r>
      <w:r w:rsidR="00C12E8B" w:rsidRPr="00172374">
        <w:t xml:space="preserve"> scale as well as its progression</w:t>
      </w:r>
      <w:r w:rsidR="00F93AFC" w:rsidRPr="00172374">
        <w:t xml:space="preserve"> through until the end of the scale development process</w:t>
      </w:r>
      <w:r w:rsidR="00C12E8B" w:rsidRPr="00172374">
        <w:t>.</w:t>
      </w:r>
    </w:p>
    <w:p w14:paraId="460B32C5" w14:textId="381BA231" w:rsidR="00B2351B" w:rsidRPr="00172374" w:rsidRDefault="00B21591" w:rsidP="00656899">
      <w:pPr>
        <w:spacing w:line="480" w:lineRule="auto"/>
        <w:jc w:val="center"/>
      </w:pPr>
      <w:r w:rsidRPr="00172374">
        <w:t xml:space="preserve">Table </w:t>
      </w:r>
      <w:r w:rsidR="009C55D7" w:rsidRPr="00172374">
        <w:t>4</w:t>
      </w:r>
      <w:r w:rsidRPr="00172374">
        <w:t xml:space="preserve"> here</w:t>
      </w:r>
    </w:p>
    <w:p w14:paraId="36A7837D" w14:textId="77777777" w:rsidR="00B2351B" w:rsidRPr="00172374" w:rsidRDefault="00B2351B" w:rsidP="000E1081">
      <w:pPr>
        <w:spacing w:line="480" w:lineRule="auto"/>
        <w:ind w:firstLine="567"/>
        <w:jc w:val="center"/>
      </w:pPr>
    </w:p>
    <w:p w14:paraId="536C16AB" w14:textId="77777777" w:rsidR="00207ED0" w:rsidRPr="00172374" w:rsidRDefault="000F4976" w:rsidP="00207ED0">
      <w:pPr>
        <w:spacing w:line="480" w:lineRule="auto"/>
      </w:pPr>
      <w:bookmarkStart w:id="13" w:name="_Hlk30596520"/>
      <w:bookmarkStart w:id="14" w:name="_Hlk32329304"/>
      <w:r w:rsidRPr="00172374">
        <w:rPr>
          <w:i/>
        </w:rPr>
        <w:t>3</w:t>
      </w:r>
      <w:r w:rsidR="00D547CD" w:rsidRPr="00172374">
        <w:rPr>
          <w:i/>
        </w:rPr>
        <w:t xml:space="preserve">.1. </w:t>
      </w:r>
      <w:bookmarkEnd w:id="13"/>
      <w:r w:rsidR="00207ED0" w:rsidRPr="00172374">
        <w:rPr>
          <w:i/>
        </w:rPr>
        <w:t>Study 1: Construct definition and content domain</w:t>
      </w:r>
      <w:r w:rsidR="00207ED0" w:rsidRPr="00172374">
        <w:t xml:space="preserve"> </w:t>
      </w:r>
    </w:p>
    <w:bookmarkEnd w:id="14"/>
    <w:p w14:paraId="74AE8A2A" w14:textId="6625A9C6" w:rsidR="003B2FD5" w:rsidRPr="00172374" w:rsidRDefault="009D02D0" w:rsidP="00985C3F">
      <w:pPr>
        <w:spacing w:line="480" w:lineRule="auto"/>
        <w:ind w:firstLine="562"/>
      </w:pPr>
      <w:r w:rsidRPr="00172374">
        <w:t>A c</w:t>
      </w:r>
      <w:r w:rsidR="00A96958" w:rsidRPr="00172374">
        <w:t xml:space="preserve">onstruct </w:t>
      </w:r>
      <w:r w:rsidR="00053002" w:rsidRPr="00172374">
        <w:t>definition demands a careful examination of the literature (</w:t>
      </w:r>
      <w:proofErr w:type="spellStart"/>
      <w:r w:rsidR="00053002" w:rsidRPr="00172374">
        <w:t>Netemeyer</w:t>
      </w:r>
      <w:proofErr w:type="spellEnd"/>
      <w:r w:rsidR="00053002" w:rsidRPr="00172374">
        <w:t xml:space="preserve"> et al., 2003). As </w:t>
      </w:r>
      <w:r w:rsidR="007E477A" w:rsidRPr="00172374">
        <w:t xml:space="preserve">discussed </w:t>
      </w:r>
      <w:r w:rsidR="00053002" w:rsidRPr="00172374">
        <w:t xml:space="preserve">in the theoretical section, this study </w:t>
      </w:r>
      <w:r w:rsidRPr="00172374">
        <w:t xml:space="preserve">began </w:t>
      </w:r>
      <w:r w:rsidR="000B2AC8" w:rsidRPr="00172374">
        <w:t>with</w:t>
      </w:r>
      <w:r w:rsidR="00053002" w:rsidRPr="00172374">
        <w:t xml:space="preserve"> a thorough review of the extant branding and brand orientation literature, </w:t>
      </w:r>
      <w:r w:rsidR="009E1F50" w:rsidRPr="00172374">
        <w:t xml:space="preserve">“organizing” current knowledge and </w:t>
      </w:r>
      <w:r w:rsidR="00053002" w:rsidRPr="00172374">
        <w:t xml:space="preserve">focusing on the </w:t>
      </w:r>
      <w:r w:rsidR="00531857" w:rsidRPr="00172374">
        <w:t>integrative</w:t>
      </w:r>
      <w:r w:rsidR="00053002" w:rsidRPr="00172374">
        <w:t xml:space="preserve"> way that organizations should work to build and manage powerful brands.</w:t>
      </w:r>
      <w:r w:rsidR="000B2AC8" w:rsidRPr="00172374">
        <w:t xml:space="preserve"> </w:t>
      </w:r>
      <w:r w:rsidRPr="00172374">
        <w:t xml:space="preserve">Following </w:t>
      </w:r>
      <w:r w:rsidR="00FC1D04" w:rsidRPr="00172374">
        <w:t>measurement theory</w:t>
      </w:r>
      <w:r w:rsidR="003B2FD5" w:rsidRPr="00172374">
        <w:t xml:space="preserve"> guidelines</w:t>
      </w:r>
      <w:r w:rsidR="00FC1D04" w:rsidRPr="00172374">
        <w:t xml:space="preserve"> (</w:t>
      </w:r>
      <w:proofErr w:type="spellStart"/>
      <w:r w:rsidR="00FC1D04" w:rsidRPr="00172374">
        <w:t>Netemeyer</w:t>
      </w:r>
      <w:proofErr w:type="spellEnd"/>
      <w:r w:rsidR="00FC1D04" w:rsidRPr="00172374">
        <w:t xml:space="preserve"> et al., 2003), </w:t>
      </w:r>
      <w:r w:rsidR="0030493A" w:rsidRPr="00172374">
        <w:t>we conducted a qualitative study</w:t>
      </w:r>
      <w:r w:rsidR="00FC1D04" w:rsidRPr="00172374">
        <w:t xml:space="preserve"> to complement the findings of </w:t>
      </w:r>
      <w:r w:rsidRPr="00172374">
        <w:t>the</w:t>
      </w:r>
      <w:r w:rsidR="00FC1D04" w:rsidRPr="00172374">
        <w:t xml:space="preserve"> literature review</w:t>
      </w:r>
      <w:r w:rsidR="00A62A92" w:rsidRPr="00172374">
        <w:t xml:space="preserve"> (</w:t>
      </w:r>
      <w:proofErr w:type="spellStart"/>
      <w:r w:rsidR="00A62A92" w:rsidRPr="00172374">
        <w:t>Papadas</w:t>
      </w:r>
      <w:proofErr w:type="spellEnd"/>
      <w:r w:rsidR="00A62A92" w:rsidRPr="00172374">
        <w:t xml:space="preserve">, </w:t>
      </w:r>
      <w:proofErr w:type="spellStart"/>
      <w:r w:rsidR="00A62A92" w:rsidRPr="00172374">
        <w:t>Avlonitis</w:t>
      </w:r>
      <w:proofErr w:type="spellEnd"/>
      <w:r w:rsidR="00A62A92" w:rsidRPr="00172374">
        <w:t>, &amp; Carrigan, 2017)</w:t>
      </w:r>
      <w:r w:rsidR="0030493A" w:rsidRPr="00172374">
        <w:t xml:space="preserve">. Specifically, we conducted </w:t>
      </w:r>
      <w:bookmarkStart w:id="15" w:name="_Hlk30594202"/>
      <w:r w:rsidRPr="00172374">
        <w:t>17</w:t>
      </w:r>
      <w:r w:rsidR="0030493A" w:rsidRPr="00172374">
        <w:t xml:space="preserve"> </w:t>
      </w:r>
      <w:r w:rsidR="00DC45AD" w:rsidRPr="00172374">
        <w:t xml:space="preserve">carefully planned </w:t>
      </w:r>
      <w:r w:rsidR="000B2AC8" w:rsidRPr="00172374">
        <w:t xml:space="preserve">in-depth interviews with experts from relevant populations in multinational companies (typically </w:t>
      </w:r>
      <w:r w:rsidR="000B17CC" w:rsidRPr="00172374">
        <w:t>c</w:t>
      </w:r>
      <w:r w:rsidR="000B2AC8" w:rsidRPr="00172374">
        <w:t xml:space="preserve">hief </w:t>
      </w:r>
      <w:r w:rsidR="000B17CC" w:rsidRPr="00172374">
        <w:t>m</w:t>
      </w:r>
      <w:r w:rsidR="000B2AC8" w:rsidRPr="00172374">
        <w:t xml:space="preserve">arketing </w:t>
      </w:r>
      <w:r w:rsidR="000B17CC" w:rsidRPr="00172374">
        <w:t>o</w:t>
      </w:r>
      <w:r w:rsidR="000B2AC8" w:rsidRPr="00172374">
        <w:t xml:space="preserve">fficers and </w:t>
      </w:r>
      <w:r w:rsidR="000B17CC" w:rsidRPr="00172374">
        <w:t>s</w:t>
      </w:r>
      <w:r w:rsidR="000B2AC8" w:rsidRPr="00172374">
        <w:t xml:space="preserve">enior </w:t>
      </w:r>
      <w:r w:rsidR="000B17CC" w:rsidRPr="00172374">
        <w:t>b</w:t>
      </w:r>
      <w:r w:rsidR="000B2AC8" w:rsidRPr="00172374">
        <w:t xml:space="preserve">rand </w:t>
      </w:r>
      <w:r w:rsidR="000B17CC" w:rsidRPr="00172374">
        <w:t>m</w:t>
      </w:r>
      <w:r w:rsidR="000B2AC8" w:rsidRPr="00172374">
        <w:t>anagers)</w:t>
      </w:r>
      <w:bookmarkEnd w:id="15"/>
      <w:r w:rsidR="000B2AC8" w:rsidRPr="00172374">
        <w:t xml:space="preserve"> </w:t>
      </w:r>
      <w:r w:rsidR="00AC52C1" w:rsidRPr="00172374">
        <w:t xml:space="preserve">to </w:t>
      </w:r>
      <w:r w:rsidR="000B2AC8" w:rsidRPr="00172374">
        <w:t>enhance the accuracy and comprehensiveness of the construct</w:t>
      </w:r>
      <w:r w:rsidR="00DC45AD" w:rsidRPr="00172374">
        <w:t>’s</w:t>
      </w:r>
      <w:r w:rsidR="000B2AC8" w:rsidRPr="00172374">
        <w:t xml:space="preserve"> domain</w:t>
      </w:r>
      <w:r w:rsidR="00F214A1" w:rsidRPr="00172374">
        <w:t xml:space="preserve"> (</w:t>
      </w:r>
      <w:proofErr w:type="spellStart"/>
      <w:r w:rsidR="00F214A1" w:rsidRPr="00172374">
        <w:t>Netemeyer</w:t>
      </w:r>
      <w:proofErr w:type="spellEnd"/>
      <w:r w:rsidR="00F214A1" w:rsidRPr="00172374">
        <w:t xml:space="preserve"> et al., 2003)</w:t>
      </w:r>
      <w:r w:rsidR="000B2AC8" w:rsidRPr="00172374">
        <w:t xml:space="preserve">. </w:t>
      </w:r>
      <w:r w:rsidR="00BD351F" w:rsidRPr="00172374">
        <w:t xml:space="preserve">Using the list of the largest multinational companies operating </w:t>
      </w:r>
      <w:r w:rsidR="000B5532" w:rsidRPr="00172374">
        <w:t xml:space="preserve">in </w:t>
      </w:r>
      <w:r w:rsidR="00292A5E" w:rsidRPr="00172374">
        <w:t>Greece</w:t>
      </w:r>
      <w:r w:rsidR="000265B2" w:rsidRPr="00172374">
        <w:t xml:space="preserve"> </w:t>
      </w:r>
      <w:r w:rsidR="000B17CC" w:rsidRPr="00172374">
        <w:t>as a sampling frame</w:t>
      </w:r>
      <w:r w:rsidR="00BD351F" w:rsidRPr="00172374">
        <w:t xml:space="preserve">, </w:t>
      </w:r>
      <w:r w:rsidR="000B17CC" w:rsidRPr="00172374">
        <w:t xml:space="preserve">we </w:t>
      </w:r>
      <w:r w:rsidR="00356157" w:rsidRPr="00172374">
        <w:t xml:space="preserve">first contacted </w:t>
      </w:r>
      <w:r w:rsidR="000B17CC" w:rsidRPr="00172374">
        <w:t xml:space="preserve">interviewees </w:t>
      </w:r>
      <w:r w:rsidR="00356157" w:rsidRPr="00172374">
        <w:t>via telephone to outline the purpose of the study</w:t>
      </w:r>
      <w:r w:rsidR="000B17CC" w:rsidRPr="00172374">
        <w:t>,</w:t>
      </w:r>
      <w:r w:rsidR="00356157" w:rsidRPr="00172374">
        <w:t xml:space="preserve"> and on acceptance to participate, a member of the research team visited each interviewee for an in-depth interview in person. </w:t>
      </w:r>
      <w:r w:rsidR="00BC03C8" w:rsidRPr="00172374">
        <w:t xml:space="preserve">Interviews concluded when </w:t>
      </w:r>
      <w:r w:rsidR="00202DDF" w:rsidRPr="00172374">
        <w:t>brand orientation</w:t>
      </w:r>
      <w:r w:rsidR="00BC03C8" w:rsidRPr="00172374">
        <w:t xml:space="preserve"> themes </w:t>
      </w:r>
      <w:r w:rsidR="000B17CC" w:rsidRPr="00172374">
        <w:t>reached</w:t>
      </w:r>
      <w:r w:rsidR="00BC03C8" w:rsidRPr="00172374">
        <w:t xml:space="preserve"> saturat</w:t>
      </w:r>
      <w:r w:rsidR="000B17CC" w:rsidRPr="00172374">
        <w:t>ion</w:t>
      </w:r>
      <w:r w:rsidR="00BC03C8" w:rsidRPr="00172374">
        <w:t xml:space="preserve"> (Lee, Mitchell</w:t>
      </w:r>
      <w:r w:rsidR="00702532" w:rsidRPr="00172374">
        <w:t>,</w:t>
      </w:r>
      <w:r w:rsidR="00BC03C8" w:rsidRPr="00172374">
        <w:t xml:space="preserve"> &amp; </w:t>
      </w:r>
      <w:proofErr w:type="spellStart"/>
      <w:r w:rsidR="00BC03C8" w:rsidRPr="00172374">
        <w:t>Sablynski</w:t>
      </w:r>
      <w:proofErr w:type="spellEnd"/>
      <w:r w:rsidR="00BC03C8" w:rsidRPr="00172374">
        <w:t xml:space="preserve">, 1999). </w:t>
      </w:r>
    </w:p>
    <w:p w14:paraId="44BC43C7" w14:textId="2D4FD7B1" w:rsidR="008931AE" w:rsidRPr="00172374" w:rsidRDefault="00284729" w:rsidP="008931AE">
      <w:pPr>
        <w:spacing w:line="480" w:lineRule="auto"/>
        <w:ind w:firstLine="562"/>
      </w:pPr>
      <w:r w:rsidRPr="00172374">
        <w:t xml:space="preserve">Recognizing the need for representativeness within the sample, </w:t>
      </w:r>
      <w:r w:rsidR="00DC45AD" w:rsidRPr="00172374">
        <w:t xml:space="preserve">and </w:t>
      </w:r>
      <w:r w:rsidR="000B17CC" w:rsidRPr="00172374">
        <w:t>because</w:t>
      </w:r>
      <w:r w:rsidR="00DC45AD" w:rsidRPr="00172374">
        <w:t xml:space="preserve"> branding is a priority for companies in all types of industries and markets (Keller, 2000), </w:t>
      </w:r>
      <w:r w:rsidRPr="00172374">
        <w:t xml:space="preserve">we included as many sectors as possible </w:t>
      </w:r>
      <w:r w:rsidR="000B17CC" w:rsidRPr="00172374">
        <w:t xml:space="preserve">to obtain </w:t>
      </w:r>
      <w:r w:rsidR="00FD5885" w:rsidRPr="00172374">
        <w:t>a</w:t>
      </w:r>
      <w:r w:rsidR="00A654B0" w:rsidRPr="00172374">
        <w:t xml:space="preserve"> sample </w:t>
      </w:r>
      <w:r w:rsidR="00FD5885" w:rsidRPr="00172374">
        <w:t>of</w:t>
      </w:r>
      <w:r w:rsidR="00A654B0" w:rsidRPr="00172374">
        <w:t xml:space="preserve"> key</w:t>
      </w:r>
      <w:r w:rsidR="000B17CC" w:rsidRPr="00172374">
        <w:t xml:space="preserve"> </w:t>
      </w:r>
      <w:r w:rsidR="00A654B0" w:rsidRPr="00172374">
        <w:t xml:space="preserve">informants </w:t>
      </w:r>
      <w:r w:rsidR="00FD5885" w:rsidRPr="00172374">
        <w:t>from</w:t>
      </w:r>
      <w:r w:rsidR="00A654B0" w:rsidRPr="00172374">
        <w:t xml:space="preserve"> consumer, industrial</w:t>
      </w:r>
      <w:r w:rsidR="000B17CC" w:rsidRPr="00172374">
        <w:t>,</w:t>
      </w:r>
      <w:r w:rsidR="00A654B0" w:rsidRPr="00172374">
        <w:t xml:space="preserve"> and </w:t>
      </w:r>
      <w:r w:rsidR="00A654B0" w:rsidRPr="00172374">
        <w:lastRenderedPageBreak/>
        <w:t>services industries (Food</w:t>
      </w:r>
      <w:r w:rsidR="00694C01" w:rsidRPr="00172374">
        <w:t xml:space="preserve"> &amp;</w:t>
      </w:r>
      <w:r w:rsidR="00A654B0" w:rsidRPr="00172374">
        <w:t xml:space="preserve"> Drinks: </w:t>
      </w:r>
      <w:r w:rsidR="00694C01" w:rsidRPr="00172374">
        <w:t>4</w:t>
      </w:r>
      <w:r w:rsidR="000B17CC" w:rsidRPr="00172374">
        <w:t>;</w:t>
      </w:r>
      <w:r w:rsidR="00A654B0" w:rsidRPr="00172374">
        <w:t xml:space="preserve"> Cosmetics: 2</w:t>
      </w:r>
      <w:r w:rsidR="000B17CC" w:rsidRPr="00172374">
        <w:t>;</w:t>
      </w:r>
      <w:r w:rsidR="00A654B0" w:rsidRPr="00172374">
        <w:t xml:space="preserve"> Industrial</w:t>
      </w:r>
      <w:r w:rsidR="001B728F" w:rsidRPr="00172374">
        <w:t xml:space="preserve"> &amp; Manufacturing</w:t>
      </w:r>
      <w:r w:rsidR="00A654B0" w:rsidRPr="00172374">
        <w:t xml:space="preserve">: </w:t>
      </w:r>
      <w:r w:rsidR="00694C01" w:rsidRPr="00172374">
        <w:t>4</w:t>
      </w:r>
      <w:r w:rsidR="000B17CC" w:rsidRPr="00172374">
        <w:t>;</w:t>
      </w:r>
      <w:r w:rsidR="00A654B0" w:rsidRPr="00172374">
        <w:t xml:space="preserve"> Financial services: </w:t>
      </w:r>
      <w:r w:rsidR="00694C01" w:rsidRPr="00172374">
        <w:t>2</w:t>
      </w:r>
      <w:r w:rsidR="000B17CC" w:rsidRPr="00172374">
        <w:t>;</w:t>
      </w:r>
      <w:r w:rsidR="00A654B0" w:rsidRPr="00172374">
        <w:t xml:space="preserve"> Airline services: </w:t>
      </w:r>
      <w:r w:rsidR="00694C01" w:rsidRPr="00172374">
        <w:t>1</w:t>
      </w:r>
      <w:r w:rsidR="000B17CC" w:rsidRPr="00172374">
        <w:t>;</w:t>
      </w:r>
      <w:r w:rsidR="00A654B0" w:rsidRPr="00172374">
        <w:t xml:space="preserve"> Telecoms: </w:t>
      </w:r>
      <w:r w:rsidR="00694C01" w:rsidRPr="00172374">
        <w:t>2</w:t>
      </w:r>
      <w:r w:rsidR="000B17CC" w:rsidRPr="00172374">
        <w:t>;</w:t>
      </w:r>
      <w:r w:rsidR="00A654B0" w:rsidRPr="00172374">
        <w:t xml:space="preserve"> </w:t>
      </w:r>
      <w:r w:rsidR="00694C01" w:rsidRPr="00172374">
        <w:t>Pharmaceutical:</w:t>
      </w:r>
      <w:r w:rsidR="000B17CC" w:rsidRPr="00172374">
        <w:t xml:space="preserve"> </w:t>
      </w:r>
      <w:r w:rsidR="00694C01" w:rsidRPr="00172374">
        <w:t>1</w:t>
      </w:r>
      <w:r w:rsidR="000B17CC" w:rsidRPr="00172374">
        <w:t>;</w:t>
      </w:r>
      <w:r w:rsidR="00694C01" w:rsidRPr="00172374">
        <w:t xml:space="preserve"> </w:t>
      </w:r>
      <w:r w:rsidR="00A654B0" w:rsidRPr="00172374">
        <w:t>Supermarkets:</w:t>
      </w:r>
      <w:r w:rsidR="000B17CC" w:rsidRPr="00172374">
        <w:t xml:space="preserve"> </w:t>
      </w:r>
      <w:r w:rsidR="00694C01" w:rsidRPr="00172374">
        <w:t>1).</w:t>
      </w:r>
      <w:r w:rsidR="00A654B0" w:rsidRPr="00172374">
        <w:t xml:space="preserve"> </w:t>
      </w:r>
      <w:r w:rsidR="005B5AF2" w:rsidRPr="00172374">
        <w:t>Most of the</w:t>
      </w:r>
      <w:r w:rsidR="00BC03C8" w:rsidRPr="00172374">
        <w:t xml:space="preserve"> </w:t>
      </w:r>
      <w:r w:rsidR="00A96958" w:rsidRPr="00172374">
        <w:t xml:space="preserve">informants </w:t>
      </w:r>
      <w:r w:rsidR="005B5AF2" w:rsidRPr="00172374">
        <w:t>were</w:t>
      </w:r>
      <w:r w:rsidR="00BC03C8" w:rsidRPr="00172374">
        <w:t xml:space="preserve"> 40 years of age </w:t>
      </w:r>
      <w:r w:rsidR="0030493A" w:rsidRPr="00172374">
        <w:t>or</w:t>
      </w:r>
      <w:r w:rsidR="00BC03C8" w:rsidRPr="00172374">
        <w:t xml:space="preserve"> older</w:t>
      </w:r>
      <w:r w:rsidR="007F5252" w:rsidRPr="00172374">
        <w:t xml:space="preserve"> (M</w:t>
      </w:r>
      <w:r w:rsidR="000B17CC" w:rsidRPr="00172374">
        <w:t xml:space="preserve"> </w:t>
      </w:r>
      <w:r w:rsidR="007F5252" w:rsidRPr="00172374">
        <w:t>=</w:t>
      </w:r>
      <w:r w:rsidR="000B17CC" w:rsidRPr="00172374">
        <w:t xml:space="preserve"> </w:t>
      </w:r>
      <w:r w:rsidR="007F5252" w:rsidRPr="00172374">
        <w:t>41.8 years)</w:t>
      </w:r>
      <w:r w:rsidR="00BC03C8" w:rsidRPr="00172374">
        <w:t>, held at least one post</w:t>
      </w:r>
      <w:r w:rsidR="000B17CC" w:rsidRPr="00172374">
        <w:t>-</w:t>
      </w:r>
      <w:r w:rsidR="00BC03C8" w:rsidRPr="00172374">
        <w:t>graduate degree, and had several year</w:t>
      </w:r>
      <w:r w:rsidR="0030493A" w:rsidRPr="00172374">
        <w:t>s of branding experience (M</w:t>
      </w:r>
      <w:r w:rsidR="000B17CC" w:rsidRPr="00172374">
        <w:t xml:space="preserve"> </w:t>
      </w:r>
      <w:r w:rsidR="0030493A" w:rsidRPr="00172374">
        <w:t>= 10.</w:t>
      </w:r>
      <w:r w:rsidR="00BC03C8" w:rsidRPr="00172374">
        <w:t>2 years) working on the strategy and marketing planning of strong brands</w:t>
      </w:r>
      <w:r w:rsidR="00D65BB7" w:rsidRPr="00172374">
        <w:t xml:space="preserve"> (see Table </w:t>
      </w:r>
      <w:r w:rsidR="009C55D7" w:rsidRPr="00172374">
        <w:t>5</w:t>
      </w:r>
      <w:r w:rsidR="00D65BB7" w:rsidRPr="00172374">
        <w:t xml:space="preserve"> for detailed sample characteristics).</w:t>
      </w:r>
      <w:r w:rsidR="006B0747" w:rsidRPr="00172374">
        <w:t xml:space="preserve"> </w:t>
      </w:r>
      <w:bookmarkStart w:id="16" w:name="_Hlk30594915"/>
    </w:p>
    <w:p w14:paraId="23A72B48" w14:textId="426C6B7E" w:rsidR="008931AE" w:rsidRPr="00172374" w:rsidRDefault="008931AE" w:rsidP="008931AE">
      <w:pPr>
        <w:spacing w:line="480" w:lineRule="auto"/>
        <w:jc w:val="center"/>
      </w:pPr>
      <w:r w:rsidRPr="00172374">
        <w:t xml:space="preserve">Table </w:t>
      </w:r>
      <w:r w:rsidR="009C55D7" w:rsidRPr="00172374">
        <w:t>5</w:t>
      </w:r>
      <w:r w:rsidRPr="00172374">
        <w:t xml:space="preserve"> here</w:t>
      </w:r>
    </w:p>
    <w:p w14:paraId="3CC1DE87" w14:textId="536BC86C" w:rsidR="003B2FD5" w:rsidRPr="00172374" w:rsidRDefault="000305C2" w:rsidP="00985C3F">
      <w:pPr>
        <w:spacing w:line="480" w:lineRule="auto"/>
        <w:ind w:firstLine="562"/>
      </w:pPr>
      <w:r w:rsidRPr="00172374">
        <w:t>We encouraged r</w:t>
      </w:r>
      <w:r w:rsidR="00CB7E2A" w:rsidRPr="00172374">
        <w:t>espondents to freely express their views on brand orientation and the way it is manifested in organizations</w:t>
      </w:r>
      <w:r w:rsidR="00FE75E1" w:rsidRPr="00172374">
        <w:t>, without discussing with them the findings of our literature review to avoid prompted responses</w:t>
      </w:r>
      <w:bookmarkEnd w:id="16"/>
      <w:r w:rsidR="00CB7E2A" w:rsidRPr="00172374">
        <w:t xml:space="preserve"> (see Appendix A</w:t>
      </w:r>
      <w:r w:rsidR="00315777" w:rsidRPr="00172374">
        <w:t>3</w:t>
      </w:r>
      <w:r w:rsidR="00CB7E2A" w:rsidRPr="00172374">
        <w:t xml:space="preserve"> for interview guide). </w:t>
      </w:r>
      <w:r w:rsidRPr="00172374">
        <w:t>We incorporated t</w:t>
      </w:r>
      <w:r w:rsidR="003B67FE" w:rsidRPr="00172374">
        <w:t>heir spontaneous insights into the existing knowledge on brand orientation to further clarify the construct and its domain</w:t>
      </w:r>
      <w:r w:rsidR="00432D97" w:rsidRPr="00172374">
        <w:t xml:space="preserve"> (</w:t>
      </w:r>
      <w:proofErr w:type="spellStart"/>
      <w:r w:rsidR="00432D97" w:rsidRPr="00172374">
        <w:t>Netemeyer</w:t>
      </w:r>
      <w:proofErr w:type="spellEnd"/>
      <w:r w:rsidR="00432D97" w:rsidRPr="00172374">
        <w:t xml:space="preserve"> et al., 2003)</w:t>
      </w:r>
      <w:r w:rsidR="003B67FE" w:rsidRPr="00172374">
        <w:t xml:space="preserve">. </w:t>
      </w:r>
      <w:r w:rsidR="005D397B" w:rsidRPr="00172374">
        <w:t>Each in-depth interview typically lasted 45–60 min</w:t>
      </w:r>
      <w:r w:rsidRPr="00172374">
        <w:t>utes</w:t>
      </w:r>
      <w:r w:rsidR="005D397B" w:rsidRPr="00172374">
        <w:t xml:space="preserve">, was </w:t>
      </w:r>
      <w:r w:rsidR="0030493A" w:rsidRPr="00172374">
        <w:t>recorded</w:t>
      </w:r>
      <w:r w:rsidR="005D397B" w:rsidRPr="00172374">
        <w:t xml:space="preserve"> (</w:t>
      </w:r>
      <w:proofErr w:type="gramStart"/>
      <w:r w:rsidR="005B5AF2" w:rsidRPr="00172374">
        <w:t>with the exception of</w:t>
      </w:r>
      <w:proofErr w:type="gramEnd"/>
      <w:r w:rsidR="005D397B" w:rsidRPr="00172374">
        <w:t xml:space="preserve"> four interviews </w:t>
      </w:r>
      <w:r w:rsidRPr="00172374">
        <w:t xml:space="preserve">in which </w:t>
      </w:r>
      <w:r w:rsidR="005D397B" w:rsidRPr="00172374">
        <w:t xml:space="preserve">the interviewees </w:t>
      </w:r>
      <w:r w:rsidR="003B2FD5" w:rsidRPr="00172374">
        <w:t>refused to be recorded</w:t>
      </w:r>
      <w:r w:rsidRPr="00172374">
        <w:t>,</w:t>
      </w:r>
      <w:r w:rsidR="005D397B" w:rsidRPr="00172374">
        <w:t xml:space="preserve"> and therefore extensive notes were taken </w:t>
      </w:r>
      <w:r w:rsidR="005B5AF2" w:rsidRPr="00172374">
        <w:t>instead</w:t>
      </w:r>
      <w:r w:rsidR="005D397B" w:rsidRPr="00172374">
        <w:t>)</w:t>
      </w:r>
      <w:r w:rsidRPr="00172374">
        <w:t>,</w:t>
      </w:r>
      <w:r w:rsidR="005D397B" w:rsidRPr="00172374">
        <w:t xml:space="preserve"> and </w:t>
      </w:r>
      <w:r w:rsidRPr="00172374">
        <w:t xml:space="preserve">was </w:t>
      </w:r>
      <w:r w:rsidR="005D397B" w:rsidRPr="00172374">
        <w:t xml:space="preserve">subsequently transcribed. </w:t>
      </w:r>
    </w:p>
    <w:p w14:paraId="7482C48B" w14:textId="1DC64A88" w:rsidR="003B2FD5" w:rsidRPr="00172374" w:rsidRDefault="000305C2" w:rsidP="00985C3F">
      <w:pPr>
        <w:spacing w:line="480" w:lineRule="auto"/>
        <w:ind w:firstLine="562"/>
      </w:pPr>
      <w:r w:rsidRPr="00172374">
        <w:t>We then subjected a</w:t>
      </w:r>
      <w:r w:rsidR="00CB7E2A" w:rsidRPr="00172374">
        <w:t xml:space="preserve">ll interview transcripts to detailed content analysis (Paisley, 1969), to identify and </w:t>
      </w:r>
      <w:r w:rsidRPr="00172374">
        <w:t>assess</w:t>
      </w:r>
      <w:r w:rsidR="00CB7E2A" w:rsidRPr="00172374">
        <w:t xml:space="preserve"> the presence and meanings of common themes (</w:t>
      </w:r>
      <w:proofErr w:type="spellStart"/>
      <w:r w:rsidR="00CB7E2A" w:rsidRPr="00172374">
        <w:t>Kassarjian</w:t>
      </w:r>
      <w:proofErr w:type="spellEnd"/>
      <w:r w:rsidR="00CB7E2A" w:rsidRPr="00172374">
        <w:t xml:space="preserve">, 1977) related to a successful brand orientation strategy. More precisely, </w:t>
      </w:r>
      <w:r w:rsidRPr="00172374">
        <w:t xml:space="preserve">we conducted </w:t>
      </w:r>
      <w:r w:rsidR="00CB7E2A" w:rsidRPr="00172374">
        <w:t xml:space="preserve">a conceptual content analysis for all interview transcripts through which </w:t>
      </w:r>
      <w:r w:rsidRPr="00172374">
        <w:t xml:space="preserve">we </w:t>
      </w:r>
      <w:r w:rsidR="00174F00" w:rsidRPr="00172374">
        <w:t xml:space="preserve">could </w:t>
      </w:r>
      <w:r w:rsidRPr="00172374">
        <w:t>identif</w:t>
      </w:r>
      <w:r w:rsidR="00174F00" w:rsidRPr="00172374">
        <w:t>y</w:t>
      </w:r>
      <w:r w:rsidRPr="00172374">
        <w:t xml:space="preserve"> </w:t>
      </w:r>
      <w:r w:rsidR="00CB7E2A" w:rsidRPr="00172374">
        <w:t xml:space="preserve">the main brand orientation </w:t>
      </w:r>
      <w:r w:rsidR="003B2FD5" w:rsidRPr="00172374">
        <w:t xml:space="preserve">themes </w:t>
      </w:r>
      <w:r w:rsidR="00CB7E2A" w:rsidRPr="00172374">
        <w:t xml:space="preserve">and </w:t>
      </w:r>
      <w:r w:rsidRPr="00172374">
        <w:t xml:space="preserve">develop </w:t>
      </w:r>
      <w:r w:rsidR="00CB7E2A" w:rsidRPr="00172374">
        <w:t>relevant conclusions (</w:t>
      </w:r>
      <w:proofErr w:type="spellStart"/>
      <w:r w:rsidR="00CB7E2A" w:rsidRPr="00172374">
        <w:t>Krippendorff</w:t>
      </w:r>
      <w:proofErr w:type="spellEnd"/>
      <w:r w:rsidR="00CB7E2A" w:rsidRPr="00172374">
        <w:t xml:space="preserve">, 1980). </w:t>
      </w:r>
      <w:r w:rsidR="00174F00" w:rsidRPr="00172374">
        <w:t xml:space="preserve">We used </w:t>
      </w:r>
      <w:r w:rsidR="00CB7E2A" w:rsidRPr="00172374">
        <w:t>NVivo software to systemati</w:t>
      </w:r>
      <w:r w:rsidR="0094027E" w:rsidRPr="00172374">
        <w:t>z</w:t>
      </w:r>
      <w:r w:rsidR="00CB7E2A" w:rsidRPr="00172374">
        <w:t>e, categori</w:t>
      </w:r>
      <w:r w:rsidR="0094027E" w:rsidRPr="00172374">
        <w:t>z</w:t>
      </w:r>
      <w:r w:rsidR="00CB7E2A" w:rsidRPr="00172374">
        <w:t>e</w:t>
      </w:r>
      <w:r w:rsidR="00174F00" w:rsidRPr="00172374">
        <w:t>,</w:t>
      </w:r>
      <w:r w:rsidR="00CB7E2A" w:rsidRPr="00172374">
        <w:t xml:space="preserve"> and code the interview data. </w:t>
      </w:r>
      <w:r w:rsidR="005311A5" w:rsidRPr="00172374">
        <w:t>Several factors dictated the</w:t>
      </w:r>
      <w:r w:rsidR="00CB7E2A" w:rsidRPr="00172374">
        <w:t xml:space="preserve"> choice of NVivo</w:t>
      </w:r>
      <w:r w:rsidR="005311A5" w:rsidRPr="00172374">
        <w:t>,</w:t>
      </w:r>
      <w:r w:rsidR="00CB7E2A" w:rsidRPr="00172374">
        <w:t xml:space="preserve"> including the sample size (1</w:t>
      </w:r>
      <w:r w:rsidR="003B67FE" w:rsidRPr="00172374">
        <w:t>7</w:t>
      </w:r>
      <w:r w:rsidR="00CB7E2A" w:rsidRPr="00172374">
        <w:t xml:space="preserve"> interviews), the type of interviews (semi-structured)</w:t>
      </w:r>
      <w:r w:rsidR="004979D5" w:rsidRPr="00172374">
        <w:t>,</w:t>
      </w:r>
      <w:r w:rsidR="00CB7E2A" w:rsidRPr="00172374">
        <w:t xml:space="preserve"> and </w:t>
      </w:r>
      <w:r w:rsidR="00174F00" w:rsidRPr="00172374">
        <w:t xml:space="preserve">our </w:t>
      </w:r>
      <w:r w:rsidR="00CB7E2A" w:rsidRPr="00172374">
        <w:t>plan for high proximity to the data and meaningful engagement in the analysis process and data interpretation (</w:t>
      </w:r>
      <w:proofErr w:type="spellStart"/>
      <w:r w:rsidR="00CB7E2A" w:rsidRPr="00172374">
        <w:t>Sotiriadou</w:t>
      </w:r>
      <w:proofErr w:type="spellEnd"/>
      <w:r w:rsidR="008F5B52" w:rsidRPr="00172374">
        <w:t xml:space="preserve">, </w:t>
      </w:r>
      <w:r w:rsidR="008F5B52" w:rsidRPr="00172374">
        <w:rPr>
          <w:bCs/>
          <w:iCs/>
        </w:rPr>
        <w:t>Brouwers, &amp; Le</w:t>
      </w:r>
      <w:r w:rsidR="00CB7E2A" w:rsidRPr="00172374">
        <w:t xml:space="preserve">, 2014). </w:t>
      </w:r>
      <w:r w:rsidR="003B67FE" w:rsidRPr="00172374">
        <w:t>T</w:t>
      </w:r>
      <w:r w:rsidR="00CB7E2A" w:rsidRPr="00172374">
        <w:t xml:space="preserve">ranscripts were coded with the aid of the concepts identified by </w:t>
      </w:r>
      <w:r w:rsidR="005311A5" w:rsidRPr="00172374">
        <w:t xml:space="preserve">the </w:t>
      </w:r>
      <w:r w:rsidR="00EB58A5" w:rsidRPr="00172374">
        <w:t>individual researchers</w:t>
      </w:r>
      <w:r w:rsidR="00CB7E2A" w:rsidRPr="00172374">
        <w:t xml:space="preserve"> and the relevant </w:t>
      </w:r>
      <w:r w:rsidR="00CB7E2A" w:rsidRPr="00172374">
        <w:lastRenderedPageBreak/>
        <w:t xml:space="preserve">literature. </w:t>
      </w:r>
      <w:r w:rsidR="00EB58A5" w:rsidRPr="00172374">
        <w:t xml:space="preserve">To </w:t>
      </w:r>
      <w:r w:rsidR="00174F00" w:rsidRPr="00172374">
        <w:t>ensure</w:t>
      </w:r>
      <w:r w:rsidR="00EB58A5" w:rsidRPr="00172374">
        <w:t xml:space="preserve"> inter</w:t>
      </w:r>
      <w:r w:rsidR="00174F00" w:rsidRPr="00172374">
        <w:t>-</w:t>
      </w:r>
      <w:r w:rsidR="00EB58A5" w:rsidRPr="00172374">
        <w:t xml:space="preserve">coder agreement (Campbell, </w:t>
      </w:r>
      <w:r w:rsidR="0035406B" w:rsidRPr="00172374">
        <w:t xml:space="preserve">Quincy, </w:t>
      </w:r>
      <w:proofErr w:type="spellStart"/>
      <w:r w:rsidR="0035406B" w:rsidRPr="00172374">
        <w:t>Osserman</w:t>
      </w:r>
      <w:proofErr w:type="spellEnd"/>
      <w:r w:rsidR="0035406B" w:rsidRPr="00172374">
        <w:t xml:space="preserve">, &amp; Pedersen, </w:t>
      </w:r>
      <w:r w:rsidR="00EB58A5" w:rsidRPr="00172374">
        <w:t xml:space="preserve">2013), </w:t>
      </w:r>
      <w:r w:rsidR="00174F00" w:rsidRPr="00172374">
        <w:t xml:space="preserve">the research team engaged in </w:t>
      </w:r>
      <w:r w:rsidR="00EB58A5" w:rsidRPr="00172374">
        <w:t xml:space="preserve">an iterative process of group discussion </w:t>
      </w:r>
      <w:r w:rsidR="00174F00" w:rsidRPr="00172374">
        <w:t>to reach agreement on the final coding</w:t>
      </w:r>
      <w:r w:rsidR="00EB58A5" w:rsidRPr="00172374">
        <w:t xml:space="preserve">. </w:t>
      </w:r>
      <w:r w:rsidR="005311A5" w:rsidRPr="00172374">
        <w:t>To ascertain e</w:t>
      </w:r>
      <w:r w:rsidR="00CB7E2A" w:rsidRPr="00172374">
        <w:t>xternal validity</w:t>
      </w:r>
      <w:r w:rsidR="005311A5" w:rsidRPr="00172374">
        <w:t>,</w:t>
      </w:r>
      <w:r w:rsidR="00CB7E2A" w:rsidRPr="00172374">
        <w:t xml:space="preserve"> </w:t>
      </w:r>
      <w:bookmarkStart w:id="17" w:name="_Hlk30595910"/>
      <w:r w:rsidR="00CB7E2A" w:rsidRPr="00172374">
        <w:t>an independent researcher re-code</w:t>
      </w:r>
      <w:r w:rsidR="005311A5" w:rsidRPr="00172374">
        <w:t>d</w:t>
      </w:r>
      <w:r w:rsidR="00CB7E2A" w:rsidRPr="00172374">
        <w:t xml:space="preserve"> at a given code all individual passages of interview</w:t>
      </w:r>
      <w:r w:rsidR="005311A5" w:rsidRPr="00172374">
        <w:t>ed text</w:t>
      </w:r>
      <w:r w:rsidR="00CB7E2A" w:rsidRPr="00172374">
        <w:t xml:space="preserve"> that the research team had identified as critical for </w:t>
      </w:r>
      <w:r w:rsidR="0094027E" w:rsidRPr="00172374">
        <w:t>brand orientation</w:t>
      </w:r>
      <w:r w:rsidR="00CB7E2A" w:rsidRPr="00172374">
        <w:t xml:space="preserve"> (</w:t>
      </w:r>
      <w:proofErr w:type="spellStart"/>
      <w:r w:rsidR="00CB7E2A" w:rsidRPr="00172374">
        <w:t>Sandelowski</w:t>
      </w:r>
      <w:proofErr w:type="spellEnd"/>
      <w:r w:rsidR="00CB7E2A" w:rsidRPr="00172374">
        <w:t xml:space="preserve">, </w:t>
      </w:r>
      <w:r w:rsidR="00617011" w:rsidRPr="00172374">
        <w:t>2004</w:t>
      </w:r>
      <w:r w:rsidR="00CB7E2A" w:rsidRPr="00172374">
        <w:t xml:space="preserve">). A high degree of consensus was </w:t>
      </w:r>
      <w:r w:rsidR="007E477A" w:rsidRPr="00172374">
        <w:t>achieved</w:t>
      </w:r>
      <w:r w:rsidR="00CB7E2A" w:rsidRPr="00172374">
        <w:t>, given that the independent rater followed a similar decision trail and arrived at the same or comparable, but not contradictory, conclusions (</w:t>
      </w:r>
      <w:proofErr w:type="spellStart"/>
      <w:r w:rsidR="00CB7E2A" w:rsidRPr="00172374">
        <w:t>Sendjaya</w:t>
      </w:r>
      <w:proofErr w:type="spellEnd"/>
      <w:r w:rsidR="00617011" w:rsidRPr="00172374">
        <w:t xml:space="preserve">, </w:t>
      </w:r>
      <w:proofErr w:type="spellStart"/>
      <w:r w:rsidR="00617011" w:rsidRPr="00172374">
        <w:rPr>
          <w:bCs/>
          <w:iCs/>
        </w:rPr>
        <w:t>Sarros</w:t>
      </w:r>
      <w:proofErr w:type="spellEnd"/>
      <w:r w:rsidR="00617011" w:rsidRPr="00172374">
        <w:rPr>
          <w:bCs/>
          <w:iCs/>
        </w:rPr>
        <w:t>, &amp; Santora</w:t>
      </w:r>
      <w:r w:rsidR="00CB7E2A" w:rsidRPr="00172374">
        <w:t xml:space="preserve">, 2008). Specifically, </w:t>
      </w:r>
      <w:r w:rsidR="005311A5" w:rsidRPr="00172374">
        <w:t>the</w:t>
      </w:r>
      <w:r w:rsidR="00CB7E2A" w:rsidRPr="00172374">
        <w:t xml:space="preserve"> </w:t>
      </w:r>
      <w:r w:rsidR="005311A5" w:rsidRPr="00172374">
        <w:t xml:space="preserve">average </w:t>
      </w:r>
      <w:r w:rsidR="00CB7E2A" w:rsidRPr="00172374">
        <w:t xml:space="preserve">inter-rater reliability coefficient </w:t>
      </w:r>
      <w:r w:rsidR="005311A5" w:rsidRPr="00172374">
        <w:t>was</w:t>
      </w:r>
      <w:r w:rsidR="00CB7E2A" w:rsidRPr="00172374">
        <w:t xml:space="preserve"> 0.</w:t>
      </w:r>
      <w:r w:rsidR="003B67FE" w:rsidRPr="00172374">
        <w:t>92</w:t>
      </w:r>
      <w:r w:rsidR="00CB7E2A" w:rsidRPr="00172374">
        <w:t xml:space="preserve">, which exceeds Miles and Huberman’s (1994) recommended rate of 0.70. </w:t>
      </w:r>
      <w:bookmarkEnd w:id="17"/>
    </w:p>
    <w:p w14:paraId="57BB1117" w14:textId="20CC4863" w:rsidR="003B67FE" w:rsidRPr="00172374" w:rsidRDefault="00CB7E2A" w:rsidP="00985C3F">
      <w:pPr>
        <w:spacing w:line="480" w:lineRule="auto"/>
        <w:ind w:firstLine="562"/>
      </w:pPr>
      <w:r w:rsidRPr="00172374">
        <w:t xml:space="preserve">Table </w:t>
      </w:r>
      <w:r w:rsidR="00415A50" w:rsidRPr="00172374">
        <w:t>6</w:t>
      </w:r>
      <w:r w:rsidRPr="00172374">
        <w:t xml:space="preserve"> presents </w:t>
      </w:r>
      <w:r w:rsidR="0094027E" w:rsidRPr="00172374">
        <w:t>the interview data analysis.</w:t>
      </w:r>
      <w:r w:rsidR="003B67FE" w:rsidRPr="00172374">
        <w:t xml:space="preserve"> </w:t>
      </w:r>
      <w:r w:rsidRPr="00172374">
        <w:t xml:space="preserve">For each </w:t>
      </w:r>
      <w:r w:rsidR="003B67FE" w:rsidRPr="00172374">
        <w:t>theme (node in NVivo)</w:t>
      </w:r>
      <w:r w:rsidRPr="00172374">
        <w:t xml:space="preserve">, the table provides </w:t>
      </w:r>
      <w:r w:rsidR="003B2FD5" w:rsidRPr="00172374">
        <w:t>(</w:t>
      </w:r>
      <w:r w:rsidR="008931AE" w:rsidRPr="00172374">
        <w:t>1</w:t>
      </w:r>
      <w:r w:rsidRPr="00172374">
        <w:t xml:space="preserve">) indicative direct quotes from the </w:t>
      </w:r>
      <w:r w:rsidR="008931AE" w:rsidRPr="00172374">
        <w:t xml:space="preserve">interviewees </w:t>
      </w:r>
      <w:r w:rsidRPr="00172374">
        <w:t xml:space="preserve">to increase “trustworthiness” (Miles and Huberman, 1994), </w:t>
      </w:r>
      <w:r w:rsidR="003B2FD5" w:rsidRPr="00172374">
        <w:t>(</w:t>
      </w:r>
      <w:r w:rsidR="008931AE" w:rsidRPr="00172374">
        <w:t>2</w:t>
      </w:r>
      <w:r w:rsidRPr="00172374">
        <w:t xml:space="preserve">) the </w:t>
      </w:r>
      <w:r w:rsidR="00493C61" w:rsidRPr="00172374">
        <w:t xml:space="preserve">number of interviews </w:t>
      </w:r>
      <w:r w:rsidR="008931AE" w:rsidRPr="00172374">
        <w:t>in which</w:t>
      </w:r>
      <w:r w:rsidR="00493C61" w:rsidRPr="00172374">
        <w:t xml:space="preserve"> the </w:t>
      </w:r>
      <w:r w:rsidR="00A066CD" w:rsidRPr="00172374">
        <w:t xml:space="preserve">node </w:t>
      </w:r>
      <w:r w:rsidRPr="00172374">
        <w:t xml:space="preserve">appeared at least once, </w:t>
      </w:r>
      <w:r w:rsidR="002E644F" w:rsidRPr="00172374">
        <w:t>(</w:t>
      </w:r>
      <w:r w:rsidR="008931AE" w:rsidRPr="00172374">
        <w:t>3</w:t>
      </w:r>
      <w:r w:rsidRPr="00172374">
        <w:t xml:space="preserve">) the number of individual passages of text within </w:t>
      </w:r>
      <w:r w:rsidR="00493C61" w:rsidRPr="00172374">
        <w:t xml:space="preserve">these interviews coded at this </w:t>
      </w:r>
      <w:r w:rsidR="00A066CD" w:rsidRPr="00172374">
        <w:t>node</w:t>
      </w:r>
      <w:r w:rsidRPr="00172374">
        <w:t xml:space="preserve">, </w:t>
      </w:r>
      <w:r w:rsidR="0094027E" w:rsidRPr="00172374">
        <w:t xml:space="preserve">and </w:t>
      </w:r>
      <w:r w:rsidR="002E644F" w:rsidRPr="00172374">
        <w:t>(</w:t>
      </w:r>
      <w:r w:rsidR="008931AE" w:rsidRPr="00172374">
        <w:t>4</w:t>
      </w:r>
      <w:r w:rsidRPr="00172374">
        <w:t>) the respective inter-rater reliability indicator.</w:t>
      </w:r>
      <w:r w:rsidR="00897A93" w:rsidRPr="00172374">
        <w:t xml:space="preserve"> </w:t>
      </w:r>
      <w:r w:rsidR="0094027E" w:rsidRPr="00172374">
        <w:t xml:space="preserve">Finally, </w:t>
      </w:r>
      <w:r w:rsidR="008931AE" w:rsidRPr="00172374">
        <w:t xml:space="preserve">we combined </w:t>
      </w:r>
      <w:r w:rsidR="00F0054F" w:rsidRPr="00172374">
        <w:t xml:space="preserve">the </w:t>
      </w:r>
      <w:r w:rsidR="0094027E" w:rsidRPr="00172374">
        <w:t>insights</w:t>
      </w:r>
      <w:r w:rsidR="00F0054F" w:rsidRPr="00172374">
        <w:t xml:space="preserve"> </w:t>
      </w:r>
      <w:r w:rsidR="008931AE" w:rsidRPr="00172374">
        <w:t>gleaned</w:t>
      </w:r>
      <w:r w:rsidR="00F0054F" w:rsidRPr="00172374">
        <w:t xml:space="preserve"> from the qualitative study</w:t>
      </w:r>
      <w:r w:rsidR="0094027E" w:rsidRPr="00172374">
        <w:t xml:space="preserve"> with existing knowledge on brand orientation to further clarify </w:t>
      </w:r>
      <w:r w:rsidR="00F0054F" w:rsidRPr="00172374">
        <w:t>the construct and its domain</w:t>
      </w:r>
      <w:r w:rsidR="008931AE" w:rsidRPr="00172374">
        <w:t>. This process</w:t>
      </w:r>
      <w:r w:rsidR="00401A40" w:rsidRPr="00172374">
        <w:t xml:space="preserve"> led to a formal definition of each brand</w:t>
      </w:r>
      <w:r w:rsidR="008931AE" w:rsidRPr="00172374">
        <w:t xml:space="preserve"> </w:t>
      </w:r>
      <w:r w:rsidR="00401A40" w:rsidRPr="00172374">
        <w:t xml:space="preserve">orientation dimension (see </w:t>
      </w:r>
      <w:r w:rsidR="00356157" w:rsidRPr="00172374">
        <w:t>T</w:t>
      </w:r>
      <w:r w:rsidR="00401A40" w:rsidRPr="00172374">
        <w:t xml:space="preserve">able </w:t>
      </w:r>
      <w:r w:rsidR="009C55D7" w:rsidRPr="00172374">
        <w:t>6</w:t>
      </w:r>
      <w:r w:rsidR="00401A40" w:rsidRPr="00172374">
        <w:t>)</w:t>
      </w:r>
      <w:r w:rsidR="00F0054F" w:rsidRPr="00172374">
        <w:t xml:space="preserve">. </w:t>
      </w:r>
    </w:p>
    <w:p w14:paraId="0878BC0C" w14:textId="32920A73" w:rsidR="00B21591" w:rsidRPr="00172374" w:rsidRDefault="00B21591" w:rsidP="003B67FE">
      <w:pPr>
        <w:spacing w:after="120" w:line="480" w:lineRule="auto"/>
        <w:ind w:firstLine="284"/>
        <w:jc w:val="center"/>
      </w:pPr>
      <w:r w:rsidRPr="00172374">
        <w:t xml:space="preserve">Table </w:t>
      </w:r>
      <w:r w:rsidR="009C55D7" w:rsidRPr="00172374">
        <w:t>6</w:t>
      </w:r>
      <w:r w:rsidRPr="00172374">
        <w:t xml:space="preserve"> here</w:t>
      </w:r>
    </w:p>
    <w:p w14:paraId="1AD2BFB3" w14:textId="38E1A1C7" w:rsidR="008E2FB4" w:rsidRPr="00172374" w:rsidRDefault="008931AE" w:rsidP="007236E8">
      <w:pPr>
        <w:spacing w:line="480" w:lineRule="auto"/>
        <w:ind w:firstLine="567"/>
      </w:pPr>
      <w:r w:rsidRPr="00172374">
        <w:t>Drawing on our</w:t>
      </w:r>
      <w:r w:rsidR="0029035D" w:rsidRPr="00172374">
        <w:t xml:space="preserve"> review of </w:t>
      </w:r>
      <w:r w:rsidRPr="00172374">
        <w:t xml:space="preserve">the </w:t>
      </w:r>
      <w:r w:rsidR="00287C35" w:rsidRPr="00172374">
        <w:t>brand orientation</w:t>
      </w:r>
      <w:r w:rsidR="0029035D" w:rsidRPr="00172374">
        <w:t xml:space="preserve"> </w:t>
      </w:r>
      <w:r w:rsidRPr="00172374">
        <w:t xml:space="preserve">literature </w:t>
      </w:r>
      <w:r w:rsidR="0029035D" w:rsidRPr="00172374">
        <w:t>and the findings of the qualitative study,</w:t>
      </w:r>
      <w:r w:rsidR="00287C35" w:rsidRPr="00172374">
        <w:t xml:space="preserve"> we were able to refine </w:t>
      </w:r>
      <w:r w:rsidRPr="00172374">
        <w:t xml:space="preserve">the </w:t>
      </w:r>
      <w:r w:rsidR="00287C35" w:rsidRPr="00172374">
        <w:t>definition of brand orientation. Specifically,</w:t>
      </w:r>
      <w:r w:rsidR="0029035D" w:rsidRPr="00172374">
        <w:t xml:space="preserve"> we </w:t>
      </w:r>
      <w:r w:rsidR="00287C35" w:rsidRPr="00172374">
        <w:t xml:space="preserve">approach </w:t>
      </w:r>
      <w:r w:rsidR="0029035D" w:rsidRPr="00172374">
        <w:rPr>
          <w:i/>
        </w:rPr>
        <w:t>brand orientation</w:t>
      </w:r>
      <w:r w:rsidR="0029035D" w:rsidRPr="00172374">
        <w:t xml:space="preserve"> as</w:t>
      </w:r>
      <w:r w:rsidR="00A15DA5" w:rsidRPr="00172374">
        <w:t xml:space="preserve"> a</w:t>
      </w:r>
      <w:r w:rsidR="0029035D" w:rsidRPr="00172374">
        <w:t xml:space="preserve"> multidimensional superordinate construct (Edwards, 2001)</w:t>
      </w:r>
      <w:r w:rsidRPr="00172374">
        <w:t xml:space="preserve"> that</w:t>
      </w:r>
      <w:r w:rsidR="0029035D" w:rsidRPr="00172374">
        <w:t xml:space="preserve"> captures the degree to which an organization strives to (1) </w:t>
      </w:r>
      <w:r w:rsidR="004F47D1" w:rsidRPr="00172374">
        <w:t xml:space="preserve">adopt </w:t>
      </w:r>
      <w:r w:rsidR="0029035D" w:rsidRPr="00172374">
        <w:t xml:space="preserve">an attitude </w:t>
      </w:r>
      <w:r w:rsidR="004F47D1" w:rsidRPr="00172374">
        <w:t xml:space="preserve">toward </w:t>
      </w:r>
      <w:r w:rsidR="0029035D" w:rsidRPr="00172374">
        <w:t>brands as important marketing assets (</w:t>
      </w:r>
      <w:r w:rsidR="009168A0" w:rsidRPr="00172374">
        <w:t>BIM</w:t>
      </w:r>
      <w:r w:rsidR="0029035D" w:rsidRPr="00172374">
        <w:t>), (2) achieve a brand character that remains consistent and aligned with brand values over time (</w:t>
      </w:r>
      <w:r w:rsidR="009F4548" w:rsidRPr="00172374">
        <w:t>BCON</w:t>
      </w:r>
      <w:r w:rsidR="0029035D" w:rsidRPr="00172374">
        <w:t xml:space="preserve">), (3) develop brands </w:t>
      </w:r>
      <w:r w:rsidRPr="00172374">
        <w:t xml:space="preserve">that </w:t>
      </w:r>
      <w:r w:rsidR="0029035D" w:rsidRPr="00172374">
        <w:t>are distinct, unique</w:t>
      </w:r>
      <w:r w:rsidRPr="00172374">
        <w:t>,</w:t>
      </w:r>
      <w:r w:rsidR="0029035D" w:rsidRPr="00172374">
        <w:t xml:space="preserve"> and sufficiently differentiated from the competition (</w:t>
      </w:r>
      <w:r w:rsidR="006167F1" w:rsidRPr="00172374">
        <w:t>BDIF</w:t>
      </w:r>
      <w:r w:rsidR="0029035D" w:rsidRPr="00172374">
        <w:t>)</w:t>
      </w:r>
      <w:r w:rsidRPr="00172374">
        <w:t>,</w:t>
      </w:r>
      <w:r w:rsidR="0029035D" w:rsidRPr="00172374">
        <w:t xml:space="preserve"> and (4) engage </w:t>
      </w:r>
      <w:r w:rsidR="0029035D" w:rsidRPr="00172374">
        <w:lastRenderedPageBreak/>
        <w:t>in activities that pool brand knowledge and organize it in a way that sustains the brand’s understanding of its target market (</w:t>
      </w:r>
      <w:r w:rsidR="006167F1" w:rsidRPr="00172374">
        <w:t>BINT</w:t>
      </w:r>
      <w:r w:rsidR="0029035D" w:rsidRPr="00172374">
        <w:t xml:space="preserve">). </w:t>
      </w:r>
    </w:p>
    <w:p w14:paraId="2210F75E" w14:textId="3EB98BE8" w:rsidR="007236E8" w:rsidRPr="00172374" w:rsidRDefault="008E2FB4" w:rsidP="003244A5">
      <w:pPr>
        <w:spacing w:line="480" w:lineRule="auto"/>
        <w:ind w:firstLine="567"/>
      </w:pPr>
      <w:r w:rsidRPr="00172374">
        <w:t xml:space="preserve">From a content </w:t>
      </w:r>
      <w:r w:rsidR="004535D1" w:rsidRPr="00172374">
        <w:t xml:space="preserve">domain </w:t>
      </w:r>
      <w:r w:rsidR="004F47D1" w:rsidRPr="00172374">
        <w:t>standpoint</w:t>
      </w:r>
      <w:r w:rsidRPr="00172374">
        <w:t xml:space="preserve">, </w:t>
      </w:r>
      <w:r w:rsidR="00006102" w:rsidRPr="00172374">
        <w:t>most conceptualizations of brand orientation limit themselves to either a behavioral or a cultural perspective</w:t>
      </w:r>
      <w:r w:rsidR="004542EC" w:rsidRPr="00172374">
        <w:t>.</w:t>
      </w:r>
      <w:r w:rsidR="00006102" w:rsidRPr="00172374">
        <w:t xml:space="preserve"> </w:t>
      </w:r>
      <w:r w:rsidR="004542EC" w:rsidRPr="00172374">
        <w:t>W</w:t>
      </w:r>
      <w:r w:rsidR="00006102" w:rsidRPr="00172374">
        <w:t xml:space="preserve">e take the view that a comprehensive construct of brand orientation should capture </w:t>
      </w:r>
      <w:r w:rsidRPr="00172374">
        <w:t>a</w:t>
      </w:r>
      <w:r w:rsidR="00006102" w:rsidRPr="00172374">
        <w:t xml:space="preserve"> basic underlying belief </w:t>
      </w:r>
      <w:r w:rsidR="004F47D1" w:rsidRPr="00172374">
        <w:t xml:space="preserve">that </w:t>
      </w:r>
      <w:r w:rsidRPr="00172374">
        <w:t xml:space="preserve">effectively manifests </w:t>
      </w:r>
      <w:r w:rsidR="004F47D1" w:rsidRPr="00172374">
        <w:t>itself in</w:t>
      </w:r>
      <w:r w:rsidRPr="00172374">
        <w:t xml:space="preserve"> organizational attitudes, </w:t>
      </w:r>
      <w:r w:rsidR="00006102" w:rsidRPr="00172374">
        <w:t>processes</w:t>
      </w:r>
      <w:r w:rsidR="004F47D1" w:rsidRPr="00172374">
        <w:t>,</w:t>
      </w:r>
      <w:r w:rsidR="00006102" w:rsidRPr="00172374">
        <w:t xml:space="preserve"> and practices </w:t>
      </w:r>
      <w:r w:rsidRPr="00172374">
        <w:t>that</w:t>
      </w:r>
      <w:r w:rsidR="00006102" w:rsidRPr="00172374">
        <w:t xml:space="preserve"> </w:t>
      </w:r>
      <w:r w:rsidRPr="00172374">
        <w:t>encompass</w:t>
      </w:r>
      <w:r w:rsidR="00006102" w:rsidRPr="00172374">
        <w:t xml:space="preserve"> all aspects of </w:t>
      </w:r>
      <w:r w:rsidR="004F47D1" w:rsidRPr="00172374">
        <w:t xml:space="preserve">the </w:t>
      </w:r>
      <w:r w:rsidR="00006102" w:rsidRPr="00172374">
        <w:t>branding strategy (</w:t>
      </w:r>
      <w:r w:rsidR="001F5D7E" w:rsidRPr="00172374">
        <w:t>e.g.</w:t>
      </w:r>
      <w:r w:rsidR="00897A93" w:rsidRPr="00172374">
        <w:t>,</w:t>
      </w:r>
      <w:r w:rsidR="001F5D7E" w:rsidRPr="00172374">
        <w:t xml:space="preserve"> </w:t>
      </w:r>
      <w:r w:rsidR="00006102" w:rsidRPr="00172374">
        <w:t xml:space="preserve">Homburg </w:t>
      </w:r>
      <w:r w:rsidR="00702532" w:rsidRPr="00172374">
        <w:t>&amp;</w:t>
      </w:r>
      <w:r w:rsidR="00006102" w:rsidRPr="00172374">
        <w:t xml:space="preserve"> </w:t>
      </w:r>
      <w:proofErr w:type="spellStart"/>
      <w:r w:rsidR="00006102" w:rsidRPr="00172374">
        <w:t>Pflesser</w:t>
      </w:r>
      <w:proofErr w:type="spellEnd"/>
      <w:r w:rsidR="00D46F16" w:rsidRPr="00172374">
        <w:t>,</w:t>
      </w:r>
      <w:r w:rsidR="00006102" w:rsidRPr="00172374">
        <w:t xml:space="preserve"> 2000). </w:t>
      </w:r>
      <w:r w:rsidR="004535D1" w:rsidRPr="00172374">
        <w:t xml:space="preserve">From a construct dimensionality </w:t>
      </w:r>
      <w:r w:rsidR="004F47D1" w:rsidRPr="00172374">
        <w:t>standpoint</w:t>
      </w:r>
      <w:r w:rsidR="004535D1" w:rsidRPr="00172374">
        <w:t xml:space="preserve">, given that the four </w:t>
      </w:r>
      <w:r w:rsidR="004F47D1" w:rsidRPr="00172374">
        <w:t xml:space="preserve">brand orientation </w:t>
      </w:r>
      <w:r w:rsidR="004535D1" w:rsidRPr="00172374">
        <w:t>dimensions are different manifestations of the same construct (Wong, Law</w:t>
      </w:r>
      <w:r w:rsidR="004F47D1" w:rsidRPr="00172374">
        <w:t>,</w:t>
      </w:r>
      <w:r w:rsidR="004535D1" w:rsidRPr="00172374">
        <w:t xml:space="preserve"> &amp; Huang, 2008) and “eliminating any of them would restrict the conceptual domain of the construct” (</w:t>
      </w:r>
      <w:proofErr w:type="spellStart"/>
      <w:r w:rsidR="004535D1" w:rsidRPr="00172374">
        <w:t>MacKenzie</w:t>
      </w:r>
      <w:proofErr w:type="spellEnd"/>
      <w:r w:rsidR="004535D1" w:rsidRPr="00172374">
        <w:t>, Podsakoff</w:t>
      </w:r>
      <w:r w:rsidR="00702532" w:rsidRPr="00172374">
        <w:t>,</w:t>
      </w:r>
      <w:r w:rsidR="004535D1" w:rsidRPr="00172374">
        <w:t xml:space="preserve"> &amp; Podsakoff, 2011, p. 301), </w:t>
      </w:r>
      <w:r w:rsidR="004F47D1" w:rsidRPr="00172374">
        <w:t xml:space="preserve">we </w:t>
      </w:r>
      <w:r w:rsidR="004535D1" w:rsidRPr="00172374">
        <w:t>formally define brand orientation as a reflective second-order construct consisting of four reflective first-order dimensions</w:t>
      </w:r>
      <w:r w:rsidR="00BE331A" w:rsidRPr="00172374">
        <w:t xml:space="preserve">. </w:t>
      </w:r>
      <w:r w:rsidR="005B5AF2" w:rsidRPr="00172374">
        <w:t>In essence, b</w:t>
      </w:r>
      <w:r w:rsidR="004535D1" w:rsidRPr="00172374">
        <w:t xml:space="preserve">rand orientation </w:t>
      </w:r>
      <w:r w:rsidR="004F47D1" w:rsidRPr="00172374">
        <w:t xml:space="preserve">reflects </w:t>
      </w:r>
      <w:r w:rsidR="004535D1" w:rsidRPr="00172374">
        <w:t xml:space="preserve">an abstract representation of the four dimensions and </w:t>
      </w:r>
      <w:r w:rsidR="00A15DA5" w:rsidRPr="00172374">
        <w:t>explains</w:t>
      </w:r>
      <w:r w:rsidR="004535D1" w:rsidRPr="00172374">
        <w:t xml:space="preserve"> their common variance</w:t>
      </w:r>
      <w:r w:rsidR="004F47D1" w:rsidRPr="00172374">
        <w:t>,</w:t>
      </w:r>
      <w:r w:rsidR="004535D1" w:rsidRPr="00172374">
        <w:t xml:space="preserve"> or, equivalently, the four dimensions are “subcomponents of a higher order organizing concept”</w:t>
      </w:r>
      <w:r w:rsidR="002E765E">
        <w:t>,</w:t>
      </w:r>
      <w:r w:rsidR="004535D1" w:rsidRPr="00172374">
        <w:t xml:space="preserve"> in line with a partial disaggregation model (</w:t>
      </w:r>
      <w:proofErr w:type="spellStart"/>
      <w:r w:rsidR="004535D1" w:rsidRPr="00172374">
        <w:t>Bagozzi</w:t>
      </w:r>
      <w:proofErr w:type="spellEnd"/>
      <w:r w:rsidR="004535D1" w:rsidRPr="00172374">
        <w:t xml:space="preserve"> &amp; Heatherton, 1994, p. 42). </w:t>
      </w:r>
    </w:p>
    <w:p w14:paraId="7FEE939B" w14:textId="25ED31CC" w:rsidR="00B2351B" w:rsidRPr="00172374" w:rsidRDefault="00BE331A" w:rsidP="003244A5">
      <w:pPr>
        <w:spacing w:line="480" w:lineRule="auto"/>
        <w:ind w:firstLine="567"/>
      </w:pPr>
      <w:r w:rsidRPr="00172374">
        <w:t xml:space="preserve">This conceptualization </w:t>
      </w:r>
      <w:r w:rsidR="004F47D1" w:rsidRPr="00172374">
        <w:t>receives</w:t>
      </w:r>
      <w:r w:rsidRPr="00172374">
        <w:t xml:space="preserve"> support </w:t>
      </w:r>
      <w:r w:rsidR="004F47D1" w:rsidRPr="00172374">
        <w:t>from</w:t>
      </w:r>
      <w:r w:rsidRPr="00172374">
        <w:t xml:space="preserve"> the three conditions Law, Wong, and Mobley (1998) </w:t>
      </w:r>
      <w:r w:rsidR="004F47D1" w:rsidRPr="00172374">
        <w:t xml:space="preserve">identify </w:t>
      </w:r>
      <w:r w:rsidRPr="00172374">
        <w:t xml:space="preserve">for latent multidimensional </w:t>
      </w:r>
      <w:r w:rsidR="007236E8" w:rsidRPr="00172374">
        <w:t>constructs</w:t>
      </w:r>
      <w:r w:rsidRPr="00172374">
        <w:t>. First, the “overall latent construct leads to various dimensions of the construct, because the dimensions are simply different ways the construct is realized”</w:t>
      </w:r>
      <w:r w:rsidR="00FB6BD6" w:rsidRPr="00172374">
        <w:t xml:space="preserve"> (p.</w:t>
      </w:r>
      <w:r w:rsidR="009267A8" w:rsidRPr="00172374">
        <w:t xml:space="preserve"> </w:t>
      </w:r>
      <w:r w:rsidR="00FB6BD6" w:rsidRPr="00172374">
        <w:t>747)</w:t>
      </w:r>
      <w:r w:rsidRPr="00172374">
        <w:t xml:space="preserve">. Translated in our context, </w:t>
      </w:r>
      <w:r w:rsidR="007236E8" w:rsidRPr="00172374">
        <w:t xml:space="preserve">this means that </w:t>
      </w:r>
      <w:r w:rsidRPr="00172374">
        <w:t>brand orientation</w:t>
      </w:r>
      <w:r w:rsidR="00FB6BD6" w:rsidRPr="00172374">
        <w:t xml:space="preserve"> </w:t>
      </w:r>
      <w:r w:rsidRPr="00172374">
        <w:rPr>
          <w:i/>
        </w:rPr>
        <w:t>leads</w:t>
      </w:r>
      <w:r w:rsidRPr="00172374">
        <w:t xml:space="preserve"> firms to (</w:t>
      </w:r>
      <w:r w:rsidR="009267A8" w:rsidRPr="00172374">
        <w:t>1</w:t>
      </w:r>
      <w:r w:rsidRPr="00172374">
        <w:t xml:space="preserve">) </w:t>
      </w:r>
      <w:r w:rsidR="009267A8" w:rsidRPr="00172374">
        <w:t>put</w:t>
      </w:r>
      <w:r w:rsidRPr="00172374">
        <w:t xml:space="preserve"> importance on brands as strategic assets, (</w:t>
      </w:r>
      <w:r w:rsidR="009267A8" w:rsidRPr="00172374">
        <w:t>2</w:t>
      </w:r>
      <w:r w:rsidRPr="00172374">
        <w:t>) build consistent brand values over time, (</w:t>
      </w:r>
      <w:r w:rsidR="009267A8" w:rsidRPr="00172374">
        <w:t>3</w:t>
      </w:r>
      <w:r w:rsidRPr="00172374">
        <w:t>) strive to achieve differential competitive advantage over their competitors, and (</w:t>
      </w:r>
      <w:r w:rsidR="009267A8" w:rsidRPr="00172374">
        <w:t>4</w:t>
      </w:r>
      <w:r w:rsidRPr="00172374">
        <w:t>) develop knowledge that help manag</w:t>
      </w:r>
      <w:r w:rsidR="009267A8" w:rsidRPr="00172374">
        <w:t>e</w:t>
      </w:r>
      <w:r w:rsidRPr="00172374">
        <w:t xml:space="preserve"> and grow the brand</w:t>
      </w:r>
      <w:r w:rsidR="00FB6BD6" w:rsidRPr="00172374">
        <w:t>. Second, “</w:t>
      </w:r>
      <w:r w:rsidR="007236E8" w:rsidRPr="00172374">
        <w:t xml:space="preserve">the </w:t>
      </w:r>
      <w:r w:rsidR="00FB6BD6" w:rsidRPr="00172374">
        <w:t>multidimensional construct exists at a deeper and more embedded level than its dimensions” such that “each dimension of the multidimensional construct is a different manifestation or realization of the construct” (p.</w:t>
      </w:r>
      <w:r w:rsidR="009267A8" w:rsidRPr="00172374">
        <w:t xml:space="preserve"> </w:t>
      </w:r>
      <w:r w:rsidR="00FB6BD6" w:rsidRPr="00172374">
        <w:t xml:space="preserve">742). In </w:t>
      </w:r>
      <w:r w:rsidR="007236E8" w:rsidRPr="00172374">
        <w:t>essence</w:t>
      </w:r>
      <w:r w:rsidR="00FB6BD6" w:rsidRPr="00172374">
        <w:t xml:space="preserve">, brand orientation is a more </w:t>
      </w:r>
      <w:r w:rsidR="00FB6BD6" w:rsidRPr="00172374">
        <w:lastRenderedPageBreak/>
        <w:t xml:space="preserve">abstract concept than the development of brand intelligence systems or the engagement in competitive efforts that </w:t>
      </w:r>
      <w:r w:rsidR="007236E8" w:rsidRPr="00172374">
        <w:t>differentiate the</w:t>
      </w:r>
      <w:r w:rsidR="00FB6BD6" w:rsidRPr="00172374">
        <w:t xml:space="preserve"> brand, that is, organizational behaviors that are more concrete in nature. </w:t>
      </w:r>
      <w:r w:rsidR="00766415" w:rsidRPr="00172374">
        <w:t>Third</w:t>
      </w:r>
      <w:r w:rsidR="00FB6BD6" w:rsidRPr="00172374">
        <w:t>, “under the latent model</w:t>
      </w:r>
      <w:r w:rsidR="00A066CD" w:rsidRPr="00172374">
        <w:t>,</w:t>
      </w:r>
      <w:r w:rsidR="009267A8" w:rsidRPr="00172374">
        <w:t xml:space="preserve"> </w:t>
      </w:r>
      <w:r w:rsidR="00FB6BD6" w:rsidRPr="00172374">
        <w:t xml:space="preserve">only common variances or covariances shared by all dimensions </w:t>
      </w:r>
      <w:r w:rsidR="009267A8" w:rsidRPr="00172374">
        <w:t>[are]</w:t>
      </w:r>
      <w:r w:rsidR="00FB6BD6" w:rsidRPr="00172374">
        <w:t xml:space="preserve"> true variances of the construct”</w:t>
      </w:r>
      <w:r w:rsidR="007236E8" w:rsidRPr="00172374">
        <w:t xml:space="preserve"> (p.</w:t>
      </w:r>
      <w:r w:rsidR="009267A8" w:rsidRPr="00172374">
        <w:t xml:space="preserve"> </w:t>
      </w:r>
      <w:r w:rsidR="007236E8" w:rsidRPr="00172374">
        <w:t>748)</w:t>
      </w:r>
      <w:r w:rsidR="00FB6BD6" w:rsidRPr="00172374">
        <w:t xml:space="preserve">. Accordingly, </w:t>
      </w:r>
      <w:r w:rsidR="009267A8" w:rsidRPr="00172374">
        <w:t xml:space="preserve">in assessing </w:t>
      </w:r>
      <w:r w:rsidR="00FB6BD6" w:rsidRPr="00172374">
        <w:t xml:space="preserve">a firm’s strategic brand orientation, we are interested </w:t>
      </w:r>
      <w:r w:rsidR="007E477A" w:rsidRPr="00172374">
        <w:t xml:space="preserve">not </w:t>
      </w:r>
      <w:r w:rsidR="00FB6BD6" w:rsidRPr="00172374">
        <w:t xml:space="preserve">in the unique variance of only one dimension or variance shared by a couple of the dimensions but in the variance shared by all dimensions together, as brand orientation is realized when these behaviors are jointly manifested. </w:t>
      </w:r>
    </w:p>
    <w:p w14:paraId="7EA1A5EE" w14:textId="77777777" w:rsidR="00FB6BD6" w:rsidRPr="00172374" w:rsidRDefault="00FB6BD6" w:rsidP="000D59B1">
      <w:pPr>
        <w:spacing w:line="480" w:lineRule="auto"/>
        <w:jc w:val="center"/>
      </w:pPr>
    </w:p>
    <w:p w14:paraId="1A6788C9" w14:textId="77777777" w:rsidR="00207ED0" w:rsidRPr="00172374" w:rsidRDefault="000F4976" w:rsidP="00207ED0">
      <w:pPr>
        <w:pStyle w:val="a3"/>
        <w:spacing w:after="0" w:line="480" w:lineRule="auto"/>
        <w:ind w:left="0"/>
        <w:contextualSpacing w:val="0"/>
        <w:outlineLvl w:val="0"/>
        <w:rPr>
          <w:rFonts w:ascii="Times New Roman" w:hAnsi="Times New Roman"/>
          <w:i/>
          <w:sz w:val="24"/>
        </w:rPr>
      </w:pPr>
      <w:bookmarkStart w:id="18" w:name="_Hlk31972581"/>
      <w:r w:rsidRPr="00172374">
        <w:rPr>
          <w:rFonts w:ascii="Times New Roman" w:hAnsi="Times New Roman"/>
          <w:i/>
          <w:sz w:val="24"/>
        </w:rPr>
        <w:t>3</w:t>
      </w:r>
      <w:r w:rsidR="00D547CD" w:rsidRPr="00172374">
        <w:rPr>
          <w:rFonts w:ascii="Times New Roman" w:hAnsi="Times New Roman"/>
          <w:i/>
          <w:sz w:val="24"/>
        </w:rPr>
        <w:t xml:space="preserve">.2. </w:t>
      </w:r>
      <w:r w:rsidR="00207ED0" w:rsidRPr="00172374">
        <w:rPr>
          <w:rFonts w:ascii="Times New Roman" w:hAnsi="Times New Roman"/>
          <w:i/>
          <w:sz w:val="24"/>
        </w:rPr>
        <w:t>Study 2: Initial item generation and reduction</w:t>
      </w:r>
    </w:p>
    <w:bookmarkEnd w:id="18"/>
    <w:p w14:paraId="10F73B19" w14:textId="5C16F86B" w:rsidR="00A000EF" w:rsidRPr="00172374" w:rsidRDefault="00263F6D" w:rsidP="000D59B1">
      <w:pPr>
        <w:spacing w:line="480" w:lineRule="auto"/>
        <w:ind w:firstLine="567"/>
      </w:pPr>
      <w:r w:rsidRPr="00172374">
        <w:t xml:space="preserve">Accurately defining </w:t>
      </w:r>
      <w:r w:rsidR="00202DDF" w:rsidRPr="00172374">
        <w:t>brand orientation</w:t>
      </w:r>
      <w:r w:rsidRPr="00172374">
        <w:t xml:space="preserve"> and delineating its domain allows the development of scale items that can measure the strength with which each dimension </w:t>
      </w:r>
      <w:r w:rsidR="00244BA5" w:rsidRPr="00172374">
        <w:t>is manifested with</w:t>
      </w:r>
      <w:r w:rsidRPr="00172374">
        <w:t xml:space="preserve">in an organization. To generate an initial pool of items, we conducted </w:t>
      </w:r>
      <w:r w:rsidR="00AA0476" w:rsidRPr="00172374">
        <w:t xml:space="preserve">an </w:t>
      </w:r>
      <w:r w:rsidRPr="00172374">
        <w:t xml:space="preserve">extensive literature search and </w:t>
      </w:r>
      <w:r w:rsidR="00AA0476" w:rsidRPr="00172374">
        <w:t xml:space="preserve">carefully </w:t>
      </w:r>
      <w:r w:rsidRPr="00172374">
        <w:t xml:space="preserve">read all views expressed in the interviews (Churchill, 1979); this process generated 56 items. At this stage, </w:t>
      </w:r>
      <w:r w:rsidR="00AA0476" w:rsidRPr="00172374">
        <w:t xml:space="preserve">we took </w:t>
      </w:r>
      <w:r w:rsidRPr="00172374">
        <w:t>several issues into consideration, including wording clarity and response format (</w:t>
      </w:r>
      <w:proofErr w:type="spellStart"/>
      <w:r w:rsidR="009A3FE3" w:rsidRPr="00172374">
        <w:t>Netemeyer</w:t>
      </w:r>
      <w:proofErr w:type="spellEnd"/>
      <w:r w:rsidR="009A3FE3" w:rsidRPr="00172374">
        <w:t xml:space="preserve"> et al., 2003</w:t>
      </w:r>
      <w:r w:rsidRPr="00172374">
        <w:t xml:space="preserve">). Given the large pool of potential items, </w:t>
      </w:r>
      <w:r w:rsidR="00AA0476" w:rsidRPr="00172374">
        <w:t xml:space="preserve">we </w:t>
      </w:r>
      <w:r w:rsidRPr="00172374">
        <w:t>eliminate</w:t>
      </w:r>
      <w:r w:rsidR="00244BA5" w:rsidRPr="00172374">
        <w:t>d</w:t>
      </w:r>
      <w:r w:rsidRPr="00172374">
        <w:t xml:space="preserve"> redundant items and select</w:t>
      </w:r>
      <w:r w:rsidR="00244BA5" w:rsidRPr="00172374">
        <w:t>ed</w:t>
      </w:r>
      <w:r w:rsidRPr="00172374">
        <w:t xml:space="preserve"> items that had good face validity for expert review</w:t>
      </w:r>
      <w:r w:rsidR="00207ED0" w:rsidRPr="00172374">
        <w:t>.</w:t>
      </w:r>
      <w:r w:rsidR="00AA3595" w:rsidRPr="00172374">
        <w:t xml:space="preserve"> </w:t>
      </w:r>
      <w:r w:rsidR="00EF4742" w:rsidRPr="00172374">
        <w:t xml:space="preserve">In particular, each researcher generated a set of items </w:t>
      </w:r>
      <w:r w:rsidR="00AA0476" w:rsidRPr="00172374">
        <w:t xml:space="preserve">that </w:t>
      </w:r>
      <w:r w:rsidR="00EF4742" w:rsidRPr="00172374">
        <w:t xml:space="preserve">was then passed to another team </w:t>
      </w:r>
      <w:r w:rsidR="00AA0476" w:rsidRPr="00172374">
        <w:t xml:space="preserve">member </w:t>
      </w:r>
      <w:r w:rsidR="00EF4742" w:rsidRPr="00172374">
        <w:t>for initial screening (e.g.</w:t>
      </w:r>
      <w:r w:rsidR="00897A93" w:rsidRPr="00172374">
        <w:t>,</w:t>
      </w:r>
      <w:r w:rsidR="00EF4742" w:rsidRPr="00172374">
        <w:t xml:space="preserve"> redundant items, low face and content validity) to minimize potential bias (e.g.</w:t>
      </w:r>
      <w:r w:rsidR="00897A93" w:rsidRPr="00172374">
        <w:t>,</w:t>
      </w:r>
      <w:r w:rsidR="00EF4742" w:rsidRPr="00172374">
        <w:t xml:space="preserve"> Baldus, Voorhe</w:t>
      </w:r>
      <w:r w:rsidR="00AA0476" w:rsidRPr="00172374">
        <w:t>e</w:t>
      </w:r>
      <w:r w:rsidR="00EF4742" w:rsidRPr="00172374">
        <w:t>s</w:t>
      </w:r>
      <w:r w:rsidR="00897A93" w:rsidRPr="00172374">
        <w:t>, &amp;</w:t>
      </w:r>
      <w:r w:rsidR="00EF4742" w:rsidRPr="00172374">
        <w:t xml:space="preserve"> </w:t>
      </w:r>
      <w:proofErr w:type="spellStart"/>
      <w:r w:rsidR="00EF4742" w:rsidRPr="00172374">
        <w:t>Calantone</w:t>
      </w:r>
      <w:proofErr w:type="spellEnd"/>
      <w:r w:rsidR="00EF4742" w:rsidRPr="00172374">
        <w:t>, 2015).</w:t>
      </w:r>
      <w:r w:rsidR="00207ED0" w:rsidRPr="00172374">
        <w:t xml:space="preserve"> </w:t>
      </w:r>
    </w:p>
    <w:p w14:paraId="40158CB7" w14:textId="47DC7758" w:rsidR="00263F6D" w:rsidRPr="00172374" w:rsidRDefault="00263F6D" w:rsidP="000D59B1">
      <w:pPr>
        <w:spacing w:line="480" w:lineRule="auto"/>
        <w:ind w:firstLine="567"/>
      </w:pPr>
      <w:r w:rsidRPr="00172374">
        <w:t xml:space="preserve">After this screening, we retained 40 applicable items. We then further established content and face validity </w:t>
      </w:r>
      <w:r w:rsidR="00F57540" w:rsidRPr="00172374">
        <w:t xml:space="preserve">by asking </w:t>
      </w:r>
      <w:r w:rsidRPr="00172374">
        <w:t xml:space="preserve">14 judges (10 expert marketing practitioners and </w:t>
      </w:r>
      <w:r w:rsidR="00F57540" w:rsidRPr="00172374">
        <w:t>four</w:t>
      </w:r>
      <w:r w:rsidRPr="00172374">
        <w:t xml:space="preserve"> marketing faculty members) to </w:t>
      </w:r>
      <w:bookmarkStart w:id="19" w:name="_Hlk31974929"/>
      <w:r w:rsidR="00244BA5" w:rsidRPr="00172374">
        <w:t>assess</w:t>
      </w:r>
      <w:r w:rsidRPr="00172374">
        <w:t xml:space="preserve"> the items </w:t>
      </w:r>
      <w:r w:rsidR="00F57540" w:rsidRPr="00172374">
        <w:t>on</w:t>
      </w:r>
      <w:r w:rsidRPr="00172374">
        <w:t xml:space="preserve"> a 5-point evaluation scale </w:t>
      </w:r>
      <w:r w:rsidR="00F57540" w:rsidRPr="00172374">
        <w:t>for</w:t>
      </w:r>
      <w:r w:rsidRPr="00172374">
        <w:t xml:space="preserve"> representativeness and clarity (e.g., Haynes, Richard</w:t>
      </w:r>
      <w:r w:rsidR="00702532" w:rsidRPr="00172374">
        <w:t>,</w:t>
      </w:r>
      <w:r w:rsidRPr="00172374">
        <w:t xml:space="preserve"> &amp; </w:t>
      </w:r>
      <w:proofErr w:type="spellStart"/>
      <w:r w:rsidRPr="00172374">
        <w:t>Kubany</w:t>
      </w:r>
      <w:proofErr w:type="spellEnd"/>
      <w:r w:rsidRPr="00172374">
        <w:t xml:space="preserve">, 1995). The judges </w:t>
      </w:r>
      <w:r w:rsidR="00F57540" w:rsidRPr="00172374">
        <w:t>could</w:t>
      </w:r>
      <w:r w:rsidRPr="00172374">
        <w:t xml:space="preserve"> </w:t>
      </w:r>
      <w:r w:rsidRPr="00172374">
        <w:lastRenderedPageBreak/>
        <w:t>raise any concerns while completing the scale</w:t>
      </w:r>
      <w:bookmarkEnd w:id="19"/>
      <w:r w:rsidRPr="00172374">
        <w:t xml:space="preserve">. After this step, </w:t>
      </w:r>
      <w:r w:rsidR="00F57540" w:rsidRPr="00172374">
        <w:t xml:space="preserve">we retained </w:t>
      </w:r>
      <w:r w:rsidRPr="00172374">
        <w:t xml:space="preserve">25 items that scored above 4 </w:t>
      </w:r>
      <w:r w:rsidR="00F57540" w:rsidRPr="00172374">
        <w:t xml:space="preserve">on the </w:t>
      </w:r>
      <w:r w:rsidRPr="00172374">
        <w:t>5</w:t>
      </w:r>
      <w:r w:rsidR="00F57540" w:rsidRPr="00172374">
        <w:t>-point scale</w:t>
      </w:r>
      <w:r w:rsidRPr="00172374">
        <w:t xml:space="preserve"> in </w:t>
      </w:r>
      <w:r w:rsidR="004D4E34" w:rsidRPr="00172374">
        <w:t>both</w:t>
      </w:r>
      <w:r w:rsidRPr="00172374">
        <w:t xml:space="preserve"> criteria (e.g., Bearden, Hardesty</w:t>
      </w:r>
      <w:r w:rsidR="00702532" w:rsidRPr="00172374">
        <w:t>,</w:t>
      </w:r>
      <w:r w:rsidRPr="00172374">
        <w:t xml:space="preserve"> &amp; Rose, 2001). Following the experts’ suggestions, </w:t>
      </w:r>
      <w:r w:rsidR="00F57540" w:rsidRPr="00172374">
        <w:t xml:space="preserve">we refined </w:t>
      </w:r>
      <w:r w:rsidRPr="00172374">
        <w:t xml:space="preserve">some of the remaining items and </w:t>
      </w:r>
      <w:r w:rsidR="00F57540" w:rsidRPr="00172374">
        <w:t xml:space="preserve">added </w:t>
      </w:r>
      <w:r w:rsidRPr="00172374">
        <w:t xml:space="preserve">two new items. Finally, </w:t>
      </w:r>
      <w:r w:rsidR="009E4F33" w:rsidRPr="00172374">
        <w:t xml:space="preserve">in </w:t>
      </w:r>
      <w:r w:rsidRPr="00172374">
        <w:t>a second round of judgments</w:t>
      </w:r>
      <w:r w:rsidR="009E4F33" w:rsidRPr="00172374">
        <w:t>,</w:t>
      </w:r>
      <w:r w:rsidRPr="00172374">
        <w:t xml:space="preserve"> </w:t>
      </w:r>
      <w:r w:rsidR="009E4F33" w:rsidRPr="00172374">
        <w:t>we asked</w:t>
      </w:r>
      <w:r w:rsidRPr="00172374">
        <w:t xml:space="preserve"> </w:t>
      </w:r>
      <w:r w:rsidR="009E4F33" w:rsidRPr="00172374">
        <w:t>five</w:t>
      </w:r>
      <w:r w:rsidRPr="00172374">
        <w:t xml:space="preserve"> marketing doctoral </w:t>
      </w:r>
      <w:r w:rsidR="009E4F33" w:rsidRPr="00172374">
        <w:t>students</w:t>
      </w:r>
      <w:r w:rsidRPr="00172374">
        <w:t xml:space="preserve"> to </w:t>
      </w:r>
      <w:bookmarkStart w:id="20" w:name="_Hlk31975047"/>
      <w:r w:rsidR="009E4F33" w:rsidRPr="00172374">
        <w:t xml:space="preserve">use their judgment and </w:t>
      </w:r>
      <w:r w:rsidRPr="00172374">
        <w:t xml:space="preserve">assign each </w:t>
      </w:r>
      <w:r w:rsidR="0005536B" w:rsidRPr="00172374">
        <w:t>of the resulting 27 items</w:t>
      </w:r>
      <w:r w:rsidRPr="00172374">
        <w:t xml:space="preserve"> to the most appropriate dimension</w:t>
      </w:r>
      <w:bookmarkEnd w:id="20"/>
      <w:r w:rsidRPr="00172374">
        <w:t xml:space="preserve">. The </w:t>
      </w:r>
      <w:bookmarkStart w:id="21" w:name="_Hlk31975214"/>
      <w:r w:rsidRPr="00172374">
        <w:t xml:space="preserve">average inter-judge reliability </w:t>
      </w:r>
      <w:bookmarkEnd w:id="21"/>
      <w:r w:rsidR="009E4F33" w:rsidRPr="00172374">
        <w:t>(</w:t>
      </w:r>
      <w:r w:rsidR="009E4F33" w:rsidRPr="00172374">
        <w:rPr>
          <w:i/>
          <w:iCs/>
        </w:rPr>
        <w:t>k</w:t>
      </w:r>
      <w:r w:rsidR="009E4F33" w:rsidRPr="00172374">
        <w:t>)</w:t>
      </w:r>
      <w:r w:rsidR="009E4F33" w:rsidRPr="00172374">
        <w:rPr>
          <w:i/>
          <w:iCs/>
        </w:rPr>
        <w:t xml:space="preserve"> </w:t>
      </w:r>
      <w:r w:rsidRPr="00172374">
        <w:t>for the five panelists was 0.8</w:t>
      </w:r>
      <w:r w:rsidR="00700733" w:rsidRPr="00172374">
        <w:t>8</w:t>
      </w:r>
      <w:r w:rsidRPr="00172374">
        <w:t xml:space="preserve"> (</w:t>
      </w:r>
      <w:r w:rsidRPr="00172374">
        <w:rPr>
          <w:i/>
          <w:iCs/>
        </w:rPr>
        <w:t>p</w:t>
      </w:r>
      <w:r w:rsidRPr="00172374">
        <w:t xml:space="preserve"> &lt;</w:t>
      </w:r>
      <w:r w:rsidR="009E4F33" w:rsidRPr="00172374">
        <w:t xml:space="preserve"> </w:t>
      </w:r>
      <w:r w:rsidRPr="00172374">
        <w:t>0.001), which indicates almost perfect agreement (</w:t>
      </w:r>
      <w:bookmarkStart w:id="22" w:name="_Hlk31976127"/>
      <w:r w:rsidRPr="00172374">
        <w:t>Landis &amp; Koch, 1977</w:t>
      </w:r>
      <w:bookmarkEnd w:id="22"/>
      <w:r w:rsidRPr="00172374">
        <w:t xml:space="preserve">). </w:t>
      </w:r>
      <w:r w:rsidR="009E4F33" w:rsidRPr="00172374">
        <w:t>We used t</w:t>
      </w:r>
      <w:r w:rsidRPr="00172374">
        <w:t xml:space="preserve">his set of 27 items for the </w:t>
      </w:r>
      <w:r w:rsidR="009E4F33" w:rsidRPr="00172374">
        <w:t xml:space="preserve">third </w:t>
      </w:r>
      <w:r w:rsidRPr="00172374">
        <w:t xml:space="preserve">step of scale development process. </w:t>
      </w:r>
      <w:bookmarkStart w:id="23" w:name="_Hlk31972609"/>
      <w:r w:rsidR="00AA3595" w:rsidRPr="00172374">
        <w:t>Appendix A</w:t>
      </w:r>
      <w:r w:rsidR="00315777" w:rsidRPr="00172374">
        <w:t>4</w:t>
      </w:r>
      <w:r w:rsidR="00AA3595" w:rsidRPr="00172374">
        <w:t xml:space="preserve"> </w:t>
      </w:r>
      <w:r w:rsidR="00647F80" w:rsidRPr="00172374">
        <w:t xml:space="preserve">presents the detailed profile of our 14 judges and </w:t>
      </w:r>
      <w:r w:rsidR="009E4F33" w:rsidRPr="00172374">
        <w:t>five</w:t>
      </w:r>
      <w:r w:rsidR="00647F80" w:rsidRPr="00172374">
        <w:t xml:space="preserve"> doctoral </w:t>
      </w:r>
      <w:r w:rsidR="009E4F33" w:rsidRPr="00172374">
        <w:t>students</w:t>
      </w:r>
      <w:r w:rsidR="00647F80" w:rsidRPr="00172374">
        <w:t>.</w:t>
      </w:r>
    </w:p>
    <w:p w14:paraId="6FDB427B" w14:textId="77777777" w:rsidR="004E67F7" w:rsidRPr="00172374" w:rsidRDefault="004E67F7" w:rsidP="000D59B1">
      <w:pPr>
        <w:spacing w:line="480" w:lineRule="auto"/>
        <w:ind w:firstLine="567"/>
      </w:pPr>
    </w:p>
    <w:p w14:paraId="1F1DC435" w14:textId="77777777" w:rsidR="00A93C57" w:rsidRPr="00172374" w:rsidRDefault="000F4976" w:rsidP="00A93C57">
      <w:pPr>
        <w:pStyle w:val="a3"/>
        <w:spacing w:after="0" w:line="480" w:lineRule="auto"/>
        <w:ind w:left="0"/>
        <w:contextualSpacing w:val="0"/>
      </w:pPr>
      <w:bookmarkStart w:id="24" w:name="_Hlk31985781"/>
      <w:bookmarkStart w:id="25" w:name="_Hlk31987595"/>
      <w:bookmarkEnd w:id="23"/>
      <w:r w:rsidRPr="00172374">
        <w:rPr>
          <w:rFonts w:ascii="Times New Roman" w:hAnsi="Times New Roman"/>
          <w:i/>
          <w:sz w:val="24"/>
        </w:rPr>
        <w:t>3</w:t>
      </w:r>
      <w:r w:rsidR="00D547CD" w:rsidRPr="00172374">
        <w:rPr>
          <w:rFonts w:ascii="Times New Roman" w:hAnsi="Times New Roman"/>
          <w:i/>
          <w:sz w:val="24"/>
        </w:rPr>
        <w:t xml:space="preserve">.3. </w:t>
      </w:r>
      <w:bookmarkStart w:id="26" w:name="_Hlk31985891"/>
      <w:bookmarkEnd w:id="24"/>
      <w:bookmarkEnd w:id="25"/>
      <w:r w:rsidR="00A93C57" w:rsidRPr="00172374">
        <w:rPr>
          <w:rFonts w:ascii="Times New Roman" w:hAnsi="Times New Roman"/>
          <w:i/>
          <w:sz w:val="24"/>
        </w:rPr>
        <w:t xml:space="preserve">Study 3: Scale purification </w:t>
      </w:r>
    </w:p>
    <w:p w14:paraId="53FCE1B8" w14:textId="3167220C" w:rsidR="009F063E" w:rsidRPr="00172374" w:rsidRDefault="009E4F33" w:rsidP="000D59B1">
      <w:pPr>
        <w:spacing w:line="480" w:lineRule="auto"/>
        <w:ind w:firstLine="567"/>
      </w:pPr>
      <w:r w:rsidRPr="00172374">
        <w:t xml:space="preserve">After </w:t>
      </w:r>
      <w:r w:rsidR="004A15C3" w:rsidRPr="00172374">
        <w:t>the item pool was thoroughly judged, modified</w:t>
      </w:r>
      <w:r w:rsidRPr="00172374">
        <w:t>,</w:t>
      </w:r>
      <w:r w:rsidR="004A15C3" w:rsidRPr="00172374">
        <w:t xml:space="preserve"> and trimmed, </w:t>
      </w:r>
      <w:r w:rsidRPr="00172374">
        <w:t xml:space="preserve">we </w:t>
      </w:r>
      <w:r w:rsidR="003D0174" w:rsidRPr="00172374">
        <w:t>pre-</w:t>
      </w:r>
      <w:r w:rsidR="004A15C3" w:rsidRPr="00172374">
        <w:t>test</w:t>
      </w:r>
      <w:r w:rsidRPr="00172374">
        <w:t>ed</w:t>
      </w:r>
      <w:r w:rsidR="004A15C3" w:rsidRPr="00172374">
        <w:t xml:space="preserve"> the items on a larger sample (100–200) from a relevant population (e.g., Clark </w:t>
      </w:r>
      <w:r w:rsidR="00F244E7" w:rsidRPr="00172374">
        <w:t>&amp;</w:t>
      </w:r>
      <w:r w:rsidR="004A15C3" w:rsidRPr="00172374">
        <w:t xml:space="preserve"> Watson, 1995). </w:t>
      </w:r>
      <w:bookmarkEnd w:id="26"/>
      <w:r w:rsidR="004A15C3" w:rsidRPr="00172374">
        <w:t xml:space="preserve">This further testing and scale purification helps reduce the items to a more manageable </w:t>
      </w:r>
      <w:r w:rsidRPr="00172374">
        <w:t>number</w:t>
      </w:r>
      <w:r w:rsidR="004A15C3" w:rsidRPr="00172374">
        <w:t xml:space="preserve"> by deleting items that do not meet certain psychometric criteria. </w:t>
      </w:r>
      <w:bookmarkStart w:id="27" w:name="_Hlk31985941"/>
      <w:r w:rsidR="004A15C3" w:rsidRPr="00172374">
        <w:t xml:space="preserve">For </w:t>
      </w:r>
      <w:r w:rsidR="003D0174" w:rsidRPr="00172374">
        <w:t>pre-</w:t>
      </w:r>
      <w:r w:rsidR="004A15C3" w:rsidRPr="00172374">
        <w:t>testing, convenience samples (e.g., university students) may suffice, but a sample from a relevant population of interest is preferable (</w:t>
      </w:r>
      <w:proofErr w:type="spellStart"/>
      <w:r w:rsidR="004A15C3" w:rsidRPr="00172374">
        <w:t>Netemeyer</w:t>
      </w:r>
      <w:proofErr w:type="spellEnd"/>
      <w:r w:rsidR="004A15C3" w:rsidRPr="00172374">
        <w:t xml:space="preserve"> et al., 2003).</w:t>
      </w:r>
      <w:bookmarkEnd w:id="27"/>
      <w:r w:rsidR="004A15C3" w:rsidRPr="00172374">
        <w:t xml:space="preserve"> </w:t>
      </w:r>
    </w:p>
    <w:p w14:paraId="276C4017" w14:textId="5725E983" w:rsidR="00D547CD" w:rsidRPr="00172374" w:rsidRDefault="004A15C3" w:rsidP="000D59B1">
      <w:pPr>
        <w:spacing w:line="480" w:lineRule="auto"/>
        <w:ind w:firstLine="567"/>
      </w:pPr>
      <w:r w:rsidRPr="00172374">
        <w:t xml:space="preserve">To guarantee sample representativeness, we chose </w:t>
      </w:r>
      <w:r w:rsidR="009E3FDE" w:rsidRPr="00172374">
        <w:t xml:space="preserve">three </w:t>
      </w:r>
      <w:r w:rsidR="009F063E" w:rsidRPr="00172374">
        <w:t xml:space="preserve">executive </w:t>
      </w:r>
      <w:r w:rsidR="009E3FDE" w:rsidRPr="00172374">
        <w:t>MBA classes from two</w:t>
      </w:r>
      <w:r w:rsidRPr="00172374">
        <w:t xml:space="preserve"> local </w:t>
      </w:r>
      <w:r w:rsidR="009E3FDE" w:rsidRPr="00172374">
        <w:t>universities</w:t>
      </w:r>
      <w:r w:rsidR="009E4F33" w:rsidRPr="00172374">
        <w:t>; at this stage,</w:t>
      </w:r>
      <w:r w:rsidR="009E3FDE" w:rsidRPr="00172374">
        <w:t xml:space="preserve"> 134 </w:t>
      </w:r>
      <w:r w:rsidR="00E6559C" w:rsidRPr="00172374">
        <w:t>managers</w:t>
      </w:r>
      <w:r w:rsidR="009E3FDE" w:rsidRPr="00172374">
        <w:t xml:space="preserve"> attending part-time programs </w:t>
      </w:r>
      <w:r w:rsidR="009E4F33" w:rsidRPr="00172374">
        <w:t xml:space="preserve">agreed to </w:t>
      </w:r>
      <w:r w:rsidR="009E3FDE" w:rsidRPr="00172374">
        <w:t>p</w:t>
      </w:r>
      <w:r w:rsidR="004D05F9" w:rsidRPr="00172374">
        <w:t>articipate (see T</w:t>
      </w:r>
      <w:r w:rsidR="009E3FDE" w:rsidRPr="00172374">
        <w:t xml:space="preserve">able </w:t>
      </w:r>
      <w:r w:rsidR="00415A50" w:rsidRPr="00172374">
        <w:t>7</w:t>
      </w:r>
      <w:r w:rsidR="009E3FDE" w:rsidRPr="00172374">
        <w:t xml:space="preserve"> for sample characteristics). </w:t>
      </w:r>
      <w:bookmarkStart w:id="28" w:name="_Hlk31985972"/>
      <w:r w:rsidR="009E3FDE" w:rsidRPr="00172374">
        <w:t xml:space="preserve">Given that </w:t>
      </w:r>
      <w:r w:rsidR="009E4F33" w:rsidRPr="00172374">
        <w:t xml:space="preserve">one of </w:t>
      </w:r>
      <w:r w:rsidR="009E3FDE" w:rsidRPr="00172374">
        <w:t xml:space="preserve">the entry criteria </w:t>
      </w:r>
      <w:r w:rsidR="009E4F33" w:rsidRPr="00172374">
        <w:t>for</w:t>
      </w:r>
      <w:r w:rsidR="009E3FDE" w:rsidRPr="00172374">
        <w:t xml:space="preserve"> these executive post-graduate programs included </w:t>
      </w:r>
      <w:r w:rsidR="009E4F33" w:rsidRPr="00172374">
        <w:t xml:space="preserve">five </w:t>
      </w:r>
      <w:r w:rsidR="009E3FDE" w:rsidRPr="00172374">
        <w:t>years</w:t>
      </w:r>
      <w:r w:rsidR="009E4F33" w:rsidRPr="00172374">
        <w:t>’</w:t>
      </w:r>
      <w:r w:rsidR="009E3FDE" w:rsidRPr="00172374">
        <w:t xml:space="preserve"> professional experience, </w:t>
      </w:r>
      <w:r w:rsidR="009E4F33" w:rsidRPr="00172374">
        <w:t xml:space="preserve">we considered </w:t>
      </w:r>
      <w:r w:rsidR="009E3FDE" w:rsidRPr="00172374">
        <w:t xml:space="preserve">the </w:t>
      </w:r>
      <w:r w:rsidR="00F63B37" w:rsidRPr="00172374">
        <w:t xml:space="preserve">respondents </w:t>
      </w:r>
      <w:r w:rsidR="009E3FDE" w:rsidRPr="00172374">
        <w:t xml:space="preserve">appropriate for the </w:t>
      </w:r>
      <w:r w:rsidR="003D0174" w:rsidRPr="00172374">
        <w:t>pre-</w:t>
      </w:r>
      <w:r w:rsidR="009E3FDE" w:rsidRPr="00172374">
        <w:t xml:space="preserve">test. </w:t>
      </w:r>
      <w:bookmarkStart w:id="29" w:name="_Hlk31987680"/>
      <w:bookmarkEnd w:id="28"/>
      <w:r w:rsidR="00E6559C" w:rsidRPr="00172374">
        <w:t xml:space="preserve">More specifically, 71.6% of </w:t>
      </w:r>
      <w:r w:rsidR="00F63B37" w:rsidRPr="00172374">
        <w:t xml:space="preserve">the </w:t>
      </w:r>
      <w:r w:rsidR="00E6559C" w:rsidRPr="00172374">
        <w:t xml:space="preserve">respondents worked in consumer companies </w:t>
      </w:r>
      <w:r w:rsidR="00F63B37" w:rsidRPr="00172374">
        <w:t>and</w:t>
      </w:r>
      <w:r w:rsidR="00E6559C" w:rsidRPr="00172374">
        <w:t xml:space="preserve"> 28.4% in business markets, 56.7% were </w:t>
      </w:r>
      <w:r w:rsidR="00F63B37" w:rsidRPr="00172374">
        <w:t xml:space="preserve">employed </w:t>
      </w:r>
      <w:r w:rsidR="00E6559C" w:rsidRPr="00172374">
        <w:t>in domestic compan</w:t>
      </w:r>
      <w:r w:rsidR="004B48CE" w:rsidRPr="00172374">
        <w:t>ies</w:t>
      </w:r>
      <w:r w:rsidR="00E6559C" w:rsidRPr="00172374">
        <w:t xml:space="preserve"> and 43.3% in multinational</w:t>
      </w:r>
      <w:r w:rsidR="00F63B37" w:rsidRPr="00172374">
        <w:t xml:space="preserve"> companies</w:t>
      </w:r>
      <w:r w:rsidR="00E6559C" w:rsidRPr="00172374">
        <w:t>, and 53.7% had a marketing</w:t>
      </w:r>
      <w:r w:rsidR="00F63B37" w:rsidRPr="00172374">
        <w:t>-</w:t>
      </w:r>
      <w:r w:rsidR="00E6559C" w:rsidRPr="00172374">
        <w:t xml:space="preserve">related position (marketing/product manager) </w:t>
      </w:r>
      <w:r w:rsidR="00F63B37" w:rsidRPr="00172374">
        <w:t xml:space="preserve">and </w:t>
      </w:r>
      <w:r w:rsidR="00E6559C" w:rsidRPr="00172374">
        <w:t>46.3% other managerial job</w:t>
      </w:r>
      <w:r w:rsidR="004B48CE" w:rsidRPr="00172374">
        <w:t>s</w:t>
      </w:r>
      <w:r w:rsidR="00E6559C" w:rsidRPr="00172374">
        <w:t xml:space="preserve">. </w:t>
      </w:r>
      <w:r w:rsidR="006C6573" w:rsidRPr="00172374">
        <w:lastRenderedPageBreak/>
        <w:t>The questionnaire</w:t>
      </w:r>
      <w:r w:rsidR="00F63B37" w:rsidRPr="00172374">
        <w:t>,</w:t>
      </w:r>
      <w:r w:rsidR="006C6573" w:rsidRPr="00172374">
        <w:t xml:space="preserve"> including the 27 </w:t>
      </w:r>
      <w:r w:rsidR="00202DDF" w:rsidRPr="00172374">
        <w:t>brand orientation</w:t>
      </w:r>
      <w:r w:rsidR="006C6573" w:rsidRPr="00172374">
        <w:t xml:space="preserve"> items</w:t>
      </w:r>
      <w:r w:rsidR="00F63B37" w:rsidRPr="00172374">
        <w:t>,</w:t>
      </w:r>
      <w:r w:rsidR="006C6573" w:rsidRPr="00172374">
        <w:t xml:space="preserve"> was distributed in person. </w:t>
      </w:r>
      <w:bookmarkEnd w:id="29"/>
      <w:r w:rsidR="009E3FDE" w:rsidRPr="00172374">
        <w:t>After familiariz</w:t>
      </w:r>
      <w:r w:rsidR="00F63B37" w:rsidRPr="00172374">
        <w:t>ing themselves</w:t>
      </w:r>
      <w:r w:rsidR="009E3FDE" w:rsidRPr="00172374">
        <w:t xml:space="preserve"> with the </w:t>
      </w:r>
      <w:r w:rsidR="00202DDF" w:rsidRPr="00172374">
        <w:t>brand orientation</w:t>
      </w:r>
      <w:r w:rsidR="009E3FDE" w:rsidRPr="00172374">
        <w:t xml:space="preserve"> concept, respondents evaluated the extent to which the 27 items describe</w:t>
      </w:r>
      <w:r w:rsidR="00F63B37" w:rsidRPr="00172374">
        <w:t>d</w:t>
      </w:r>
      <w:r w:rsidR="009E3FDE" w:rsidRPr="00172374">
        <w:t xml:space="preserve"> behaviors</w:t>
      </w:r>
      <w:r w:rsidR="009F063E" w:rsidRPr="00172374">
        <w:t xml:space="preserve"> observed</w:t>
      </w:r>
      <w:r w:rsidR="009E3FDE" w:rsidRPr="00172374">
        <w:t xml:space="preserve"> in their company. </w:t>
      </w:r>
    </w:p>
    <w:p w14:paraId="7EE36993" w14:textId="648CEA2A" w:rsidR="003B3D7A" w:rsidRPr="00172374" w:rsidRDefault="00B21591" w:rsidP="00656899">
      <w:pPr>
        <w:spacing w:line="480" w:lineRule="auto"/>
        <w:jc w:val="center"/>
      </w:pPr>
      <w:r w:rsidRPr="00172374">
        <w:t xml:space="preserve">Table </w:t>
      </w:r>
      <w:r w:rsidR="009C55D7" w:rsidRPr="00172374">
        <w:t>7</w:t>
      </w:r>
      <w:r w:rsidRPr="00172374">
        <w:t xml:space="preserve"> here</w:t>
      </w:r>
    </w:p>
    <w:p w14:paraId="75562795" w14:textId="317C76AE" w:rsidR="00EC052D" w:rsidRPr="00172374" w:rsidRDefault="009E3FDE" w:rsidP="006D16FC">
      <w:pPr>
        <w:spacing w:line="480" w:lineRule="auto"/>
        <w:ind w:firstLine="567"/>
      </w:pPr>
      <w:r w:rsidRPr="00172374">
        <w:t xml:space="preserve">Next, </w:t>
      </w:r>
      <w:r w:rsidR="00F63B37" w:rsidRPr="00172374">
        <w:t xml:space="preserve">we ran </w:t>
      </w:r>
      <w:r w:rsidRPr="00172374">
        <w:t xml:space="preserve">exploratory factor analysis </w:t>
      </w:r>
      <w:r w:rsidR="00AD4B9D" w:rsidRPr="00172374">
        <w:t xml:space="preserve">(EFA) </w:t>
      </w:r>
      <w:r w:rsidRPr="00172374">
        <w:t xml:space="preserve">to reduce the number of items and test the underlying dimensions of the construct. </w:t>
      </w:r>
      <w:bookmarkStart w:id="30" w:name="_Hlk31992051"/>
      <w:r w:rsidR="00841E0B" w:rsidRPr="00172374">
        <w:t>Specifically, we conducted</w:t>
      </w:r>
      <w:r w:rsidRPr="00172374">
        <w:t xml:space="preserve"> </w:t>
      </w:r>
      <w:r w:rsidR="00841E0B" w:rsidRPr="00172374">
        <w:t>principal components factor analysis with varimax rotation</w:t>
      </w:r>
      <w:r w:rsidR="005C187E" w:rsidRPr="00172374">
        <w:t>,</w:t>
      </w:r>
      <w:r w:rsidR="00841E0B" w:rsidRPr="00172374">
        <w:t xml:space="preserve"> which </w:t>
      </w:r>
      <w:r w:rsidRPr="00172374">
        <w:t xml:space="preserve">revealed a four-factor solution with eigenvalues </w:t>
      </w:r>
      <w:r w:rsidR="00FD67DD" w:rsidRPr="00172374">
        <w:t>above</w:t>
      </w:r>
      <w:r w:rsidR="00FF0CA2" w:rsidRPr="00172374">
        <w:t xml:space="preserve"> 1 (variance explained = </w:t>
      </w:r>
      <w:r w:rsidR="00852B15" w:rsidRPr="00172374">
        <w:t>7</w:t>
      </w:r>
      <w:r w:rsidR="003E43F1" w:rsidRPr="00172374">
        <w:t>6</w:t>
      </w:r>
      <w:r w:rsidR="00FF0CA2" w:rsidRPr="00172374">
        <w:t>%)</w:t>
      </w:r>
      <w:r w:rsidR="005C187E" w:rsidRPr="00172374">
        <w:t>, consistent with our expectations of the construct’s dimensional structure</w:t>
      </w:r>
      <w:r w:rsidR="00FF0CA2" w:rsidRPr="00172374">
        <w:t xml:space="preserve">. </w:t>
      </w:r>
      <w:bookmarkEnd w:id="30"/>
      <w:r w:rsidR="005C187E" w:rsidRPr="00172374">
        <w:t xml:space="preserve">Using </w:t>
      </w:r>
      <w:r w:rsidR="00FF0CA2" w:rsidRPr="00172374">
        <w:t>specific psychometric criteria (Robinson, Shaver</w:t>
      </w:r>
      <w:r w:rsidR="00702532" w:rsidRPr="00172374">
        <w:t>,</w:t>
      </w:r>
      <w:r w:rsidR="00FF0CA2" w:rsidRPr="00172374">
        <w:t xml:space="preserve"> &amp; </w:t>
      </w:r>
      <w:proofErr w:type="spellStart"/>
      <w:r w:rsidR="00FF0CA2" w:rsidRPr="00172374">
        <w:t>Wrightsman</w:t>
      </w:r>
      <w:proofErr w:type="spellEnd"/>
      <w:r w:rsidR="00FF0CA2" w:rsidRPr="00172374">
        <w:t>, 1991)</w:t>
      </w:r>
      <w:r w:rsidR="005C187E" w:rsidRPr="00172374">
        <w:t>,</w:t>
      </w:r>
      <w:r w:rsidR="00FF0CA2" w:rsidRPr="00172374">
        <w:t xml:space="preserve"> </w:t>
      </w:r>
      <w:r w:rsidR="00EC052D" w:rsidRPr="00172374">
        <w:t>including</w:t>
      </w:r>
      <w:r w:rsidR="00FF0CA2" w:rsidRPr="00172374">
        <w:t xml:space="preserve"> avoidance of cross</w:t>
      </w:r>
      <w:r w:rsidR="005C187E" w:rsidRPr="00172374">
        <w:t>-</w:t>
      </w:r>
      <w:r w:rsidR="00FF0CA2" w:rsidRPr="00172374">
        <w:t>loadings, factor loadings ra</w:t>
      </w:r>
      <w:r w:rsidR="005C187E" w:rsidRPr="00172374">
        <w:t>n</w:t>
      </w:r>
      <w:r w:rsidR="00FF0CA2" w:rsidRPr="00172374">
        <w:t xml:space="preserve">ging between 0.40 and 0.90, and corrected item-to-total correlations of 0.50 and above, </w:t>
      </w:r>
      <w:r w:rsidR="005C187E" w:rsidRPr="00172374">
        <w:t>we deleted six</w:t>
      </w:r>
      <w:r w:rsidR="00FF0CA2" w:rsidRPr="00172374">
        <w:t xml:space="preserve"> items. </w:t>
      </w:r>
      <w:r w:rsidR="005C187E" w:rsidRPr="00172374">
        <w:t>Thus, we retained a</w:t>
      </w:r>
      <w:r w:rsidR="00FF0CA2" w:rsidRPr="00172374">
        <w:t xml:space="preserve"> final set of 21 items for the next step of </w:t>
      </w:r>
      <w:r w:rsidR="005C187E" w:rsidRPr="00172374">
        <w:t xml:space="preserve">the </w:t>
      </w:r>
      <w:r w:rsidR="00FF0CA2" w:rsidRPr="00172374">
        <w:t xml:space="preserve">scale development process. </w:t>
      </w:r>
      <w:r w:rsidR="001007E9" w:rsidRPr="00172374">
        <w:t>Interpreting the four-factor solution, t</w:t>
      </w:r>
      <w:r w:rsidR="005C187E" w:rsidRPr="00172374">
        <w:t xml:space="preserve">he </w:t>
      </w:r>
      <w:r w:rsidR="004D05F9" w:rsidRPr="00172374">
        <w:t>items support the four proposed dimensions.</w:t>
      </w:r>
    </w:p>
    <w:p w14:paraId="40D2D119" w14:textId="6715A082" w:rsidR="0049095B" w:rsidRPr="00172374" w:rsidRDefault="005C187E" w:rsidP="00A3618A">
      <w:pPr>
        <w:spacing w:line="480" w:lineRule="auto"/>
        <w:ind w:firstLine="567"/>
      </w:pPr>
      <w:bookmarkStart w:id="31" w:name="_Hlk32061739"/>
      <w:r w:rsidRPr="00172374">
        <w:t>We assessed i</w:t>
      </w:r>
      <w:r w:rsidR="002C4731" w:rsidRPr="00172374">
        <w:t xml:space="preserve">nternal reliability of the four </w:t>
      </w:r>
      <w:r w:rsidR="00202DDF" w:rsidRPr="00172374">
        <w:t>brand orientation</w:t>
      </w:r>
      <w:r w:rsidR="002C4731" w:rsidRPr="00172374">
        <w:t xml:space="preserve"> dimensions by calculating Cronbach</w:t>
      </w:r>
      <w:r w:rsidRPr="00172374">
        <w:t>’s</w:t>
      </w:r>
      <w:r w:rsidR="002C4731" w:rsidRPr="00172374">
        <w:t xml:space="preserve"> alpha</w:t>
      </w:r>
      <w:r w:rsidR="00D34899" w:rsidRPr="00172374">
        <w:rPr>
          <w:lang w:val="en-GB"/>
        </w:rPr>
        <w:t>.</w:t>
      </w:r>
      <w:r w:rsidR="002C4731" w:rsidRPr="00172374">
        <w:rPr>
          <w:lang w:val="en-GB"/>
        </w:rPr>
        <w:t xml:space="preserve"> </w:t>
      </w:r>
      <w:r w:rsidRPr="00172374">
        <w:rPr>
          <w:lang w:val="en-GB"/>
        </w:rPr>
        <w:t>All v</w:t>
      </w:r>
      <w:proofErr w:type="spellStart"/>
      <w:r w:rsidR="002C4731" w:rsidRPr="00172374">
        <w:t>alues</w:t>
      </w:r>
      <w:proofErr w:type="spellEnd"/>
      <w:r w:rsidR="002C4731" w:rsidRPr="00172374">
        <w:t xml:space="preserve"> were satisfactory (BIM: </w:t>
      </w:r>
      <w:r w:rsidR="002C4731" w:rsidRPr="00172374">
        <w:rPr>
          <w:lang w:val="el-GR"/>
        </w:rPr>
        <w:t>α</w:t>
      </w:r>
      <w:r w:rsidRPr="00172374">
        <w:t xml:space="preserve"> </w:t>
      </w:r>
      <w:r w:rsidR="002C4731" w:rsidRPr="00172374">
        <w:t>=</w:t>
      </w:r>
      <w:r w:rsidR="002C4731" w:rsidRPr="00172374">
        <w:rPr>
          <w:lang w:val="en-GB"/>
        </w:rPr>
        <w:t xml:space="preserve"> </w:t>
      </w:r>
      <w:r w:rsidR="002C4731" w:rsidRPr="00172374">
        <w:t xml:space="preserve">0.94; BCON: </w:t>
      </w:r>
      <w:r w:rsidR="002C4731" w:rsidRPr="00172374">
        <w:rPr>
          <w:lang w:val="el-GR"/>
        </w:rPr>
        <w:t>α</w:t>
      </w:r>
      <w:r w:rsidR="002C4731" w:rsidRPr="00172374">
        <w:t xml:space="preserve"> =</w:t>
      </w:r>
      <w:r w:rsidR="002C4731" w:rsidRPr="00172374">
        <w:rPr>
          <w:lang w:val="en-GB"/>
        </w:rPr>
        <w:t xml:space="preserve"> </w:t>
      </w:r>
      <w:r w:rsidR="002C4731" w:rsidRPr="00172374">
        <w:t xml:space="preserve">0.93; BDIF: </w:t>
      </w:r>
      <w:r w:rsidR="002C4731" w:rsidRPr="00172374">
        <w:rPr>
          <w:lang w:val="el-GR"/>
        </w:rPr>
        <w:t>α</w:t>
      </w:r>
      <w:r w:rsidR="002C4731" w:rsidRPr="00172374">
        <w:t xml:space="preserve"> =</w:t>
      </w:r>
      <w:r w:rsidR="002C4731" w:rsidRPr="00172374">
        <w:rPr>
          <w:lang w:val="en-GB"/>
        </w:rPr>
        <w:t xml:space="preserve"> </w:t>
      </w:r>
      <w:r w:rsidR="002C4731" w:rsidRPr="00172374">
        <w:t xml:space="preserve">0.91; BINT: </w:t>
      </w:r>
      <w:r w:rsidR="002C4731" w:rsidRPr="00172374">
        <w:rPr>
          <w:lang w:val="el-GR"/>
        </w:rPr>
        <w:t>α</w:t>
      </w:r>
      <w:r w:rsidR="002C4731" w:rsidRPr="00172374">
        <w:t xml:space="preserve"> =</w:t>
      </w:r>
      <w:r w:rsidR="002C4731" w:rsidRPr="00172374">
        <w:rPr>
          <w:lang w:val="en-GB"/>
        </w:rPr>
        <w:t xml:space="preserve"> </w:t>
      </w:r>
      <w:r w:rsidR="002C4731" w:rsidRPr="00172374">
        <w:t xml:space="preserve">0.91), </w:t>
      </w:r>
      <w:r w:rsidRPr="00172374">
        <w:t xml:space="preserve">as they </w:t>
      </w:r>
      <w:r w:rsidR="002C4731" w:rsidRPr="00172374">
        <w:t>exceed</w:t>
      </w:r>
      <w:r w:rsidRPr="00172374">
        <w:t>ed</w:t>
      </w:r>
      <w:r w:rsidR="002C4731" w:rsidRPr="00172374">
        <w:t xml:space="preserve"> the </w:t>
      </w:r>
      <w:bookmarkStart w:id="32" w:name="_Hlk32064040"/>
      <w:r w:rsidR="002C4731" w:rsidRPr="00172374">
        <w:t>accepted reliability thresholds</w:t>
      </w:r>
      <w:bookmarkEnd w:id="32"/>
      <w:r w:rsidR="006D16FC" w:rsidRPr="00172374">
        <w:t xml:space="preserve"> (e.g., </w:t>
      </w:r>
      <w:bookmarkStart w:id="33" w:name="_Hlk32064009"/>
      <w:r w:rsidR="006D16FC" w:rsidRPr="00172374">
        <w:t xml:space="preserve">Clark </w:t>
      </w:r>
      <w:r w:rsidRPr="00172374">
        <w:t xml:space="preserve">&amp; </w:t>
      </w:r>
      <w:r w:rsidR="006D16FC" w:rsidRPr="00172374">
        <w:t>Watson, 1995</w:t>
      </w:r>
      <w:bookmarkEnd w:id="33"/>
      <w:r w:rsidR="006D16FC" w:rsidRPr="00172374">
        <w:t xml:space="preserve">; </w:t>
      </w:r>
      <w:bookmarkStart w:id="34" w:name="_Hlk32064056"/>
      <w:bookmarkStart w:id="35" w:name="_Hlk32841090"/>
      <w:r w:rsidR="006D16FC" w:rsidRPr="00172374">
        <w:t xml:space="preserve">Hair, </w:t>
      </w:r>
      <w:r w:rsidR="009A3FE3" w:rsidRPr="00172374">
        <w:t>Black</w:t>
      </w:r>
      <w:r w:rsidR="006D16FC" w:rsidRPr="00172374">
        <w:t xml:space="preserve">, </w:t>
      </w:r>
      <w:proofErr w:type="spellStart"/>
      <w:r w:rsidR="009A3FE3" w:rsidRPr="00172374">
        <w:t>Babin</w:t>
      </w:r>
      <w:proofErr w:type="spellEnd"/>
      <w:r w:rsidRPr="00172374">
        <w:t>,</w:t>
      </w:r>
      <w:r w:rsidR="006D16FC" w:rsidRPr="00172374">
        <w:t xml:space="preserve"> </w:t>
      </w:r>
      <w:r w:rsidR="009A3FE3" w:rsidRPr="00172374">
        <w:t>&amp; Anderson</w:t>
      </w:r>
      <w:r w:rsidR="006D16FC" w:rsidRPr="00172374">
        <w:t>,</w:t>
      </w:r>
      <w:r w:rsidR="009A3FE3" w:rsidRPr="00172374">
        <w:t xml:space="preserve"> </w:t>
      </w:r>
      <w:bookmarkEnd w:id="34"/>
      <w:r w:rsidR="009A3FE3" w:rsidRPr="00172374">
        <w:t>2014</w:t>
      </w:r>
      <w:bookmarkEnd w:id="35"/>
      <w:r w:rsidR="006D16FC" w:rsidRPr="00172374">
        <w:t>)</w:t>
      </w:r>
      <w:r w:rsidR="002C4731" w:rsidRPr="00172374">
        <w:t xml:space="preserve">. All individual items </w:t>
      </w:r>
      <w:r w:rsidR="002C4731" w:rsidRPr="00172374">
        <w:rPr>
          <w:lang w:val="en-GB"/>
        </w:rPr>
        <w:t xml:space="preserve">falling </w:t>
      </w:r>
      <w:r w:rsidRPr="00172374">
        <w:rPr>
          <w:lang w:val="en-GB"/>
        </w:rPr>
        <w:t>within</w:t>
      </w:r>
      <w:r w:rsidR="002C4731" w:rsidRPr="00172374">
        <w:t xml:space="preserve"> each dimension show an average item-to-total correlation of 0.79 (all exceeding 0.59), indicating </w:t>
      </w:r>
      <w:bookmarkStart w:id="36" w:name="_Hlk32064141"/>
      <w:r w:rsidR="002C4731" w:rsidRPr="00172374">
        <w:t>satisfactory levels of internal consistency</w:t>
      </w:r>
      <w:r w:rsidR="006A1078" w:rsidRPr="00172374">
        <w:t xml:space="preserve"> </w:t>
      </w:r>
      <w:bookmarkEnd w:id="36"/>
      <w:r w:rsidR="006A1078" w:rsidRPr="00172374">
        <w:t>(</w:t>
      </w:r>
      <w:bookmarkStart w:id="37" w:name="_Hlk32064117"/>
      <w:r w:rsidR="006A1078" w:rsidRPr="00172374">
        <w:t xml:space="preserve">Bearden </w:t>
      </w:r>
      <w:r w:rsidRPr="00172374">
        <w:t>&amp;</w:t>
      </w:r>
      <w:r w:rsidR="006A1078" w:rsidRPr="00172374">
        <w:t xml:space="preserve"> </w:t>
      </w:r>
      <w:proofErr w:type="spellStart"/>
      <w:r w:rsidR="006A1078" w:rsidRPr="00172374">
        <w:t>Netemeyer</w:t>
      </w:r>
      <w:proofErr w:type="spellEnd"/>
      <w:r w:rsidR="006A1078" w:rsidRPr="00172374">
        <w:t>, 1998</w:t>
      </w:r>
      <w:bookmarkEnd w:id="37"/>
      <w:r w:rsidR="006A1078" w:rsidRPr="00172374">
        <w:t>)</w:t>
      </w:r>
      <w:r w:rsidR="002C4731" w:rsidRPr="00172374">
        <w:t xml:space="preserve">. </w:t>
      </w:r>
      <w:bookmarkEnd w:id="31"/>
      <w:r w:rsidR="00FF0CA2" w:rsidRPr="00172374">
        <w:t xml:space="preserve">Table </w:t>
      </w:r>
      <w:r w:rsidR="009C55D7" w:rsidRPr="00172374">
        <w:t xml:space="preserve">8 </w:t>
      </w:r>
      <w:r w:rsidR="00FF0CA2" w:rsidRPr="00172374">
        <w:t>provides a complete list of all the items retained for the next step, as well as their respective ranges, means, standard deviations, factor loadin</w:t>
      </w:r>
      <w:r w:rsidR="00E46F4F" w:rsidRPr="00172374">
        <w:t>g</w:t>
      </w:r>
      <w:r w:rsidR="00FF0CA2" w:rsidRPr="00172374">
        <w:t>s</w:t>
      </w:r>
      <w:r w:rsidRPr="00172374">
        <w:t>,</w:t>
      </w:r>
      <w:r w:rsidR="002C4731" w:rsidRPr="00172374">
        <w:t xml:space="preserve"> and communalities</w:t>
      </w:r>
      <w:r w:rsidR="00FF0CA2" w:rsidRPr="00172374">
        <w:t>.</w:t>
      </w:r>
      <w:r w:rsidR="0049095B" w:rsidRPr="00172374">
        <w:t xml:space="preserve"> Also, we conducted </w:t>
      </w:r>
      <w:r w:rsidR="001007E9" w:rsidRPr="00172374">
        <w:t>confirmatory factor analysis (</w:t>
      </w:r>
      <w:r w:rsidR="0049095B" w:rsidRPr="00172374">
        <w:t>CFA</w:t>
      </w:r>
      <w:r w:rsidR="001007E9" w:rsidRPr="00172374">
        <w:t>)</w:t>
      </w:r>
      <w:r w:rsidR="0049095B" w:rsidRPr="00172374">
        <w:t xml:space="preserve"> which </w:t>
      </w:r>
      <w:r w:rsidR="001007E9" w:rsidRPr="00172374">
        <w:t>supported</w:t>
      </w:r>
      <w:r w:rsidR="0049095B" w:rsidRPr="00172374">
        <w:t xml:space="preserve"> the hypothesized factor structure and the </w:t>
      </w:r>
      <w:r w:rsidR="000227D4" w:rsidRPr="00172374">
        <w:t>appropriateness</w:t>
      </w:r>
      <w:r w:rsidR="0049095B" w:rsidRPr="00172374">
        <w:t xml:space="preserve"> of all 21 items. The results of CFA are reported in detail in Appendix </w:t>
      </w:r>
      <w:r w:rsidR="009F1021" w:rsidRPr="00172374">
        <w:t>A</w:t>
      </w:r>
      <w:r w:rsidR="00315777" w:rsidRPr="00172374">
        <w:t>5</w:t>
      </w:r>
      <w:r w:rsidR="0049095B" w:rsidRPr="00172374">
        <w:t xml:space="preserve">. </w:t>
      </w:r>
    </w:p>
    <w:p w14:paraId="07A34AFA" w14:textId="5B86A921" w:rsidR="00B2351B" w:rsidRPr="00172374" w:rsidRDefault="00B21591" w:rsidP="00D245E3">
      <w:pPr>
        <w:spacing w:after="120" w:line="480" w:lineRule="auto"/>
        <w:jc w:val="center"/>
      </w:pPr>
      <w:r w:rsidRPr="00172374">
        <w:t xml:space="preserve">Table </w:t>
      </w:r>
      <w:r w:rsidR="009C55D7" w:rsidRPr="00172374">
        <w:t>8</w:t>
      </w:r>
      <w:r w:rsidRPr="00172374">
        <w:t xml:space="preserve"> here</w:t>
      </w:r>
    </w:p>
    <w:p w14:paraId="44603180" w14:textId="0DBCCE5B" w:rsidR="00D245E3" w:rsidRPr="00172374" w:rsidRDefault="00D245E3" w:rsidP="00D245E3">
      <w:pPr>
        <w:spacing w:line="480" w:lineRule="auto"/>
        <w:ind w:firstLine="567"/>
      </w:pPr>
      <w:r w:rsidRPr="00172374">
        <w:lastRenderedPageBreak/>
        <w:t xml:space="preserve">Having conducted exploratory and confirmatory analyses, we then tested whether the second-order reflective specification is supported using the empirical criteria proposed by Johnson, </w:t>
      </w:r>
      <w:proofErr w:type="gramStart"/>
      <w:r w:rsidRPr="00172374">
        <w:t>Rosen</w:t>
      </w:r>
      <w:proofErr w:type="gramEnd"/>
      <w:r w:rsidRPr="00172374">
        <w:t xml:space="preserve"> and Chang (2011) as well as Johnson et al. (2012). Specifically, these authors outline four empirically testable conditions that must be met for a superordinate, second-order specification to be viable. These conditions were: (1) the indicator variables should have significant and substantive loadings on the second-order factor ( ≥ .70) to ensure that the items fall under the domain of the second-order construct which explains their variance, (2) the higher-order factor model should exhibit acceptable fit, (3) the set of indicators should be unidimensional, with high internal consistency, according to the composite latent variable reliability (CLVR) and (4) the second-order model should show better fit compared to the first-order model. We conducted these additional CFAs and found consistent evidence that our indicators are appropriate as evidenced by high loadings of all indicators to the higher-order factor (when modeled as indicators of a unidimensional latent brand orientation construct)</w:t>
      </w:r>
      <w:r w:rsidR="00310FBC" w:rsidRPr="00172374">
        <w:t>, high levels of composite latent variable reliability,</w:t>
      </w:r>
      <w:r w:rsidRPr="00172374">
        <w:t xml:space="preserve"> as well as satisfactory model fit for the second-order superordinate construct specification (which is also superior to the single-order model with one latent variable explaining variance in the indicators). </w:t>
      </w:r>
      <w:bookmarkStart w:id="38" w:name="_Hlk34220947"/>
      <w:r w:rsidRPr="00172374">
        <w:t xml:space="preserve">The results of all these analyses – conducted across all quantitative studies – are reported in detail in Appendix </w:t>
      </w:r>
      <w:r w:rsidR="009F1021" w:rsidRPr="00172374">
        <w:t>A</w:t>
      </w:r>
      <w:r w:rsidR="00315777" w:rsidRPr="00172374">
        <w:t>6</w:t>
      </w:r>
      <w:r w:rsidRPr="00172374">
        <w:t xml:space="preserve">. </w:t>
      </w:r>
    </w:p>
    <w:bookmarkEnd w:id="38"/>
    <w:p w14:paraId="3957E42D" w14:textId="77777777" w:rsidR="00D245E3" w:rsidRPr="00172374" w:rsidRDefault="00D245E3" w:rsidP="00D245E3">
      <w:pPr>
        <w:spacing w:line="480" w:lineRule="auto"/>
        <w:ind w:firstLine="720"/>
      </w:pPr>
      <w:r w:rsidRPr="00172374">
        <w:t>Additionally, following Edwards (2001), we calculated the total coefficient of determination (</w:t>
      </w:r>
      <m:oMath>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2</m:t>
            </m:r>
          </m:sup>
        </m:sSubSup>
      </m:oMath>
      <w:r w:rsidRPr="00172374">
        <w:t>) – a measure similar to R</w:t>
      </w:r>
      <w:r w:rsidRPr="00172374">
        <w:rPr>
          <w:vertAlign w:val="superscript"/>
        </w:rPr>
        <w:t>2</w:t>
      </w:r>
      <w:r w:rsidRPr="00172374">
        <w:t xml:space="preserve"> in typical regression analyses which demonstrates the strength of the second-order latent factor in explaining variance in the four first-order dimensions using the formula of Cohen (1982):</w:t>
      </w:r>
    </w:p>
    <w:p w14:paraId="7BD96E22" w14:textId="77777777" w:rsidR="00D245E3" w:rsidRPr="00172374" w:rsidRDefault="00030D82" w:rsidP="00D245E3">
      <w:pPr>
        <w:spacing w:after="240" w:line="360" w:lineRule="auto"/>
        <w:ind w:firstLine="567"/>
        <w:contextualSpacing/>
        <w:jc w:val="both"/>
      </w:pPr>
      <m:oMathPara>
        <m:oMath>
          <m:sSubSup>
            <m:sSubSupPr>
              <m:ctrlPr>
                <w:rPr>
                  <w:rFonts w:ascii="Cambria Math" w:hAnsi="Cambria Math"/>
                  <w:i/>
                </w:rPr>
              </m:ctrlPr>
            </m:sSubSupPr>
            <m:e>
              <m:r>
                <w:rPr>
                  <w:rFonts w:ascii="Cambria Math" w:hAnsi="Cambria Math"/>
                </w:rPr>
                <m:t>R</m:t>
              </m:r>
            </m:e>
            <m:sub>
              <m:r>
                <w:rPr>
                  <w:rFonts w:ascii="Cambria Math" w:hAnsi="Cambria Math"/>
                </w:rPr>
                <m:t>m</m:t>
              </m:r>
            </m:sub>
            <m:sup>
              <m:r>
                <w:rPr>
                  <w:rFonts w:ascii="Cambria Math" w:hAnsi="Cambria Math"/>
                </w:rPr>
                <m:t>2</m:t>
              </m:r>
            </m:sup>
          </m:sSubSup>
          <m:r>
            <w:rPr>
              <w:rFonts w:ascii="Cambria Math" w:hAnsi="Cambria Math"/>
            </w:rPr>
            <m:t xml:space="preserve">=1- </m:t>
          </m:r>
          <m:f>
            <m:fPr>
              <m:ctrlPr>
                <w:rPr>
                  <w:rFonts w:ascii="Cambria Math" w:hAnsi="Cambria Math"/>
                  <w:i/>
                </w:rPr>
              </m:ctrlPr>
            </m:fPr>
            <m:num>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XY</m:t>
                      </m:r>
                    </m:sub>
                  </m:sSub>
                </m:e>
              </m:d>
            </m:num>
            <m:den>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Y</m:t>
                      </m:r>
                    </m:sub>
                  </m:sSub>
                </m:e>
              </m:d>
              <m:r>
                <w:rPr>
                  <w:rFonts w:ascii="Cambria Math" w:hAnsi="Cambria Math"/>
                </w:rPr>
                <m:t>×</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X</m:t>
                      </m:r>
                    </m:sub>
                  </m:sSub>
                </m:e>
              </m:d>
            </m:den>
          </m:f>
        </m:oMath>
      </m:oMathPara>
    </w:p>
    <w:p w14:paraId="5F62FBBF" w14:textId="77777777" w:rsidR="00D245E3" w:rsidRPr="00172374" w:rsidRDefault="00D245E3" w:rsidP="00D245E3">
      <w:pPr>
        <w:spacing w:after="240" w:line="360" w:lineRule="auto"/>
        <w:contextualSpacing/>
        <w:jc w:val="both"/>
      </w:pPr>
    </w:p>
    <w:p w14:paraId="7360AFB7" w14:textId="77777777" w:rsidR="00D245E3" w:rsidRPr="00172374" w:rsidRDefault="00D245E3" w:rsidP="00D245E3">
      <w:pPr>
        <w:spacing w:after="240" w:line="360" w:lineRule="auto"/>
        <w:contextualSpacing/>
        <w:jc w:val="both"/>
      </w:pPr>
      <w:r w:rsidRPr="00172374">
        <w:t>Where:</w:t>
      </w:r>
    </w:p>
    <w:p w14:paraId="5F41FDCF" w14:textId="77777777" w:rsidR="00D245E3" w:rsidRPr="00172374" w:rsidRDefault="00D245E3" w:rsidP="00D245E3">
      <w:pPr>
        <w:spacing w:after="240" w:line="360" w:lineRule="auto"/>
        <w:ind w:left="1276" w:hanging="709"/>
        <w:contextualSpacing/>
        <w:jc w:val="both"/>
      </w:pPr>
      <w:r w:rsidRPr="00172374">
        <w:lastRenderedPageBreak/>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XY</m:t>
                </m:r>
              </m:sub>
            </m:sSub>
          </m:e>
        </m:d>
      </m:oMath>
      <w:r w:rsidRPr="00172374">
        <w:t xml:space="preserve"> is the determinant of the covariance matrix of the multidimensional construct and its dimensions</w:t>
      </w:r>
    </w:p>
    <w:p w14:paraId="01B2D1A2" w14:textId="77777777" w:rsidR="00D245E3" w:rsidRPr="00172374" w:rsidRDefault="00D245E3" w:rsidP="00D245E3">
      <w:pPr>
        <w:spacing w:after="240" w:line="360" w:lineRule="auto"/>
        <w:ind w:firstLine="567"/>
        <w:contextualSpacing/>
        <w:jc w:val="both"/>
      </w:pPr>
      <w:r w:rsidRPr="00172374">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Y</m:t>
                </m:r>
              </m:sub>
            </m:sSub>
          </m:e>
        </m:d>
      </m:oMath>
      <w:r w:rsidRPr="00172374">
        <w:t xml:space="preserve"> is the variance of the multidimensional construct</w:t>
      </w:r>
    </w:p>
    <w:p w14:paraId="4420E8C0" w14:textId="77777777" w:rsidR="00D245E3" w:rsidRPr="00172374" w:rsidRDefault="00D245E3" w:rsidP="00D245E3">
      <w:pPr>
        <w:spacing w:after="240" w:line="360" w:lineRule="auto"/>
        <w:ind w:firstLine="567"/>
        <w:contextualSpacing/>
        <w:jc w:val="both"/>
      </w:pPr>
      <w:r w:rsidRPr="00172374">
        <w:t xml:space="preserve"> </w:t>
      </w:r>
      <m:oMath>
        <m:d>
          <m:dPr>
            <m:begChr m:val="|"/>
            <m:endChr m:val="|"/>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X</m:t>
                </m:r>
              </m:sub>
            </m:sSub>
          </m:e>
        </m:d>
      </m:oMath>
      <w:r w:rsidRPr="00172374">
        <w:t xml:space="preserve"> is the determinant of the covariance matrix of the dimensions alone</w:t>
      </w:r>
    </w:p>
    <w:p w14:paraId="3D8DF0BC" w14:textId="77777777" w:rsidR="00D245E3" w:rsidRPr="00172374" w:rsidRDefault="00D245E3" w:rsidP="00D245E3">
      <w:pPr>
        <w:spacing w:after="240" w:line="360" w:lineRule="auto"/>
        <w:ind w:firstLine="567"/>
        <w:contextualSpacing/>
        <w:jc w:val="both"/>
      </w:pPr>
    </w:p>
    <w:p w14:paraId="095924C2" w14:textId="77777777" w:rsidR="00D245E3" w:rsidRPr="00172374" w:rsidRDefault="00D245E3" w:rsidP="00D245E3">
      <w:pPr>
        <w:spacing w:line="480" w:lineRule="auto"/>
        <w:ind w:firstLine="567"/>
      </w:pPr>
      <w:r w:rsidRPr="00172374">
        <w:t xml:space="preserve"> The estimated value for the coefficient was 0.742, exceeding by far Cohen’s (1988) threshold for high R</w:t>
      </w:r>
      <w:r w:rsidRPr="00172374">
        <w:rPr>
          <w:vertAlign w:val="superscript"/>
        </w:rPr>
        <w:t>2</w:t>
      </w:r>
      <w:r w:rsidRPr="00172374">
        <w:t xml:space="preserve"> effect sizes, thus providing further evidence that a second-order model specification is appropriate. </w:t>
      </w:r>
    </w:p>
    <w:p w14:paraId="1E8014EA" w14:textId="77777777" w:rsidR="005D673D" w:rsidRPr="00172374" w:rsidRDefault="005D673D" w:rsidP="003843AA">
      <w:pPr>
        <w:spacing w:line="480" w:lineRule="auto"/>
        <w:ind w:firstLine="567"/>
      </w:pPr>
    </w:p>
    <w:p w14:paraId="32AF2269" w14:textId="77777777" w:rsidR="005D673D" w:rsidRPr="00172374" w:rsidRDefault="005D673D" w:rsidP="005D673D">
      <w:pPr>
        <w:spacing w:line="480" w:lineRule="auto"/>
      </w:pPr>
      <w:bookmarkStart w:id="39" w:name="_Hlk31734430"/>
      <w:r w:rsidRPr="00172374">
        <w:rPr>
          <w:i/>
        </w:rPr>
        <w:t xml:space="preserve">3.4. </w:t>
      </w:r>
      <w:r w:rsidR="00A93C57" w:rsidRPr="00172374">
        <w:rPr>
          <w:i/>
        </w:rPr>
        <w:t>Study 4: Scale c</w:t>
      </w:r>
      <w:r w:rsidRPr="00172374">
        <w:rPr>
          <w:i/>
        </w:rPr>
        <w:t xml:space="preserve">omparison with existing measures </w:t>
      </w:r>
    </w:p>
    <w:bookmarkEnd w:id="39"/>
    <w:p w14:paraId="03C7E1FA" w14:textId="4C7620A3" w:rsidR="00DC3A03" w:rsidRPr="00172374" w:rsidRDefault="00B0179C" w:rsidP="005D673D">
      <w:pPr>
        <w:spacing w:line="480" w:lineRule="auto"/>
        <w:ind w:firstLine="567"/>
      </w:pPr>
      <w:r w:rsidRPr="00172374">
        <w:t xml:space="preserve">As part of our scale development process, we conducted another quantitative study </w:t>
      </w:r>
      <w:r w:rsidR="00DC3A03" w:rsidRPr="00172374">
        <w:t xml:space="preserve">with a sample of </w:t>
      </w:r>
      <w:r w:rsidRPr="00172374">
        <w:t xml:space="preserve">118 marketing and brand/product managers. The </w:t>
      </w:r>
      <w:r w:rsidR="00C82D98" w:rsidRPr="00172374">
        <w:t>aims</w:t>
      </w:r>
      <w:r w:rsidRPr="00172374">
        <w:t xml:space="preserve"> of </w:t>
      </w:r>
      <w:r w:rsidR="00C82D98" w:rsidRPr="00172374">
        <w:t>S</w:t>
      </w:r>
      <w:r w:rsidRPr="00172374">
        <w:t xml:space="preserve">tudy 4 </w:t>
      </w:r>
      <w:r w:rsidR="00C82D98" w:rsidRPr="00172374">
        <w:t>were</w:t>
      </w:r>
      <w:r w:rsidRPr="00172374">
        <w:t xml:space="preserve"> to </w:t>
      </w:r>
      <w:r w:rsidR="00C82D98" w:rsidRPr="00172374">
        <w:t xml:space="preserve">assess </w:t>
      </w:r>
      <w:r w:rsidRPr="00172374">
        <w:t xml:space="preserve">the new scale in comparison </w:t>
      </w:r>
      <w:r w:rsidR="00C82D98" w:rsidRPr="00172374">
        <w:t>with</w:t>
      </w:r>
      <w:r w:rsidRPr="00172374">
        <w:t xml:space="preserve"> existing measures of brand orientation</w:t>
      </w:r>
      <w:r w:rsidR="00C82D98" w:rsidRPr="00172374">
        <w:t>,</w:t>
      </w:r>
      <w:r w:rsidRPr="00172374">
        <w:t xml:space="preserve"> establish convergent </w:t>
      </w:r>
      <w:r w:rsidR="00C82D98" w:rsidRPr="00172374">
        <w:t>and</w:t>
      </w:r>
      <w:r w:rsidRPr="00172374">
        <w:t xml:space="preserve"> </w:t>
      </w:r>
      <w:r w:rsidR="00B949F7" w:rsidRPr="00172374">
        <w:t xml:space="preserve">discriminant validity, </w:t>
      </w:r>
      <w:r w:rsidR="00C82D98" w:rsidRPr="00172374">
        <w:t xml:space="preserve">and </w:t>
      </w:r>
      <w:r w:rsidRPr="00172374">
        <w:t xml:space="preserve">provide preliminary evidence of </w:t>
      </w:r>
      <w:r w:rsidR="00DC3A03" w:rsidRPr="00172374">
        <w:t xml:space="preserve">the scale’s </w:t>
      </w:r>
      <w:r w:rsidRPr="00172374">
        <w:t xml:space="preserve">predictive validity. </w:t>
      </w:r>
    </w:p>
    <w:p w14:paraId="2634E068" w14:textId="3A1848F8" w:rsidR="00DC3A03" w:rsidRPr="00172374" w:rsidRDefault="00324DCA" w:rsidP="004C0200">
      <w:pPr>
        <w:spacing w:line="480" w:lineRule="auto"/>
        <w:ind w:firstLine="567"/>
      </w:pPr>
      <w:r w:rsidRPr="00172374">
        <w:t>W</w:t>
      </w:r>
      <w:r w:rsidR="00962129" w:rsidRPr="00172374">
        <w:t xml:space="preserve">e included in the questionnaire the new 21-item scale of brand orientation </w:t>
      </w:r>
      <w:r w:rsidR="00C979A4" w:rsidRPr="00172374">
        <w:t>and</w:t>
      </w:r>
      <w:r w:rsidR="00962129" w:rsidRPr="00172374">
        <w:t xml:space="preserve"> two other </w:t>
      </w:r>
      <w:r w:rsidR="00202DDF" w:rsidRPr="00172374">
        <w:t>brand orientation</w:t>
      </w:r>
      <w:r w:rsidR="00962129" w:rsidRPr="00172374">
        <w:t xml:space="preserve"> scales proposed by Wong and </w:t>
      </w:r>
      <w:proofErr w:type="spellStart"/>
      <w:r w:rsidR="00962129" w:rsidRPr="00172374">
        <w:t>Me</w:t>
      </w:r>
      <w:r w:rsidR="009D6D3D" w:rsidRPr="00172374">
        <w:t>r</w:t>
      </w:r>
      <w:r w:rsidR="00962129" w:rsidRPr="00172374">
        <w:t>ril</w:t>
      </w:r>
      <w:r w:rsidR="009D6D3D" w:rsidRPr="00172374">
        <w:t>e</w:t>
      </w:r>
      <w:r w:rsidR="00962129" w:rsidRPr="00172374">
        <w:t>es</w:t>
      </w:r>
      <w:proofErr w:type="spellEnd"/>
      <w:r w:rsidR="00962129" w:rsidRPr="00172374">
        <w:t xml:space="preserve"> (2007) and Huang and Tsai (2013). </w:t>
      </w:r>
      <w:r w:rsidR="00C979A4" w:rsidRPr="00172374">
        <w:t>O</w:t>
      </w:r>
      <w:r w:rsidR="00962129" w:rsidRPr="00172374">
        <w:t xml:space="preserve">ur choice </w:t>
      </w:r>
      <w:r w:rsidR="00C82D98" w:rsidRPr="00172374">
        <w:t xml:space="preserve">of </w:t>
      </w:r>
      <w:r w:rsidR="00C979A4" w:rsidRPr="00172374">
        <w:t xml:space="preserve">which </w:t>
      </w:r>
      <w:r w:rsidR="00962129" w:rsidRPr="00172374">
        <w:t>existing scales to include for comparison purposes</w:t>
      </w:r>
      <w:r w:rsidR="00C979A4" w:rsidRPr="00172374">
        <w:t xml:space="preserve"> was </w:t>
      </w:r>
      <w:proofErr w:type="gramStart"/>
      <w:r w:rsidR="00C979A4" w:rsidRPr="00172374">
        <w:t xml:space="preserve">based on </w:t>
      </w:r>
      <w:r w:rsidR="004C0200" w:rsidRPr="00172374">
        <w:t>the fact that</w:t>
      </w:r>
      <w:proofErr w:type="gramEnd"/>
      <w:r w:rsidR="00962129" w:rsidRPr="00172374">
        <w:t xml:space="preserve">, </w:t>
      </w:r>
      <w:r w:rsidR="009D6D3D" w:rsidRPr="00172374">
        <w:t xml:space="preserve">to our knowledge, </w:t>
      </w:r>
      <w:r w:rsidR="00962129" w:rsidRPr="00172374">
        <w:t xml:space="preserve">these two scales are </w:t>
      </w:r>
      <w:r w:rsidR="009D6D3D" w:rsidRPr="00172374">
        <w:t>the only non-context</w:t>
      </w:r>
      <w:r w:rsidR="00C82D98" w:rsidRPr="00172374">
        <w:t>-</w:t>
      </w:r>
      <w:r w:rsidR="009D6D3D" w:rsidRPr="00172374">
        <w:t xml:space="preserve">specific </w:t>
      </w:r>
      <w:r w:rsidR="00DC3A03" w:rsidRPr="00172374">
        <w:t xml:space="preserve">brand orientation scales </w:t>
      </w:r>
      <w:r w:rsidR="009D6D3D" w:rsidRPr="00172374">
        <w:t xml:space="preserve">proposed in </w:t>
      </w:r>
      <w:r w:rsidR="00C82D98" w:rsidRPr="00172374">
        <w:t xml:space="preserve">the </w:t>
      </w:r>
      <w:r w:rsidR="009D6D3D" w:rsidRPr="00172374">
        <w:t>literature</w:t>
      </w:r>
      <w:r w:rsidR="004C0200" w:rsidRPr="00172374">
        <w:t>.</w:t>
      </w:r>
      <w:r w:rsidR="009D6D3D" w:rsidRPr="00172374">
        <w:t xml:space="preserve"> </w:t>
      </w:r>
      <w:r w:rsidR="00735E94" w:rsidRPr="00172374">
        <w:t xml:space="preserve">We also included the 6-item scale of competitive advantage (Chang, 2011) </w:t>
      </w:r>
      <w:r w:rsidR="00C82D98" w:rsidRPr="00172374">
        <w:t xml:space="preserve">in the questionnaire </w:t>
      </w:r>
      <w:r w:rsidR="00735E94" w:rsidRPr="00172374">
        <w:t>for predictive validity testing purposes</w:t>
      </w:r>
      <w:r w:rsidR="00912315" w:rsidRPr="00172374">
        <w:t xml:space="preserve"> (</w:t>
      </w:r>
      <w:r w:rsidR="00C82D98" w:rsidRPr="00172374">
        <w:t xml:space="preserve">see </w:t>
      </w:r>
      <w:r w:rsidR="00912315" w:rsidRPr="00172374">
        <w:t>Appendix A</w:t>
      </w:r>
      <w:r w:rsidR="00315777" w:rsidRPr="00172374">
        <w:t>7</w:t>
      </w:r>
      <w:r w:rsidR="00C82D98" w:rsidRPr="00172374">
        <w:t xml:space="preserve"> for items of </w:t>
      </w:r>
      <w:r w:rsidR="00F871B4" w:rsidRPr="00172374">
        <w:t xml:space="preserve">the </w:t>
      </w:r>
      <w:r w:rsidR="00C82D98" w:rsidRPr="00172374">
        <w:t>additional scales</w:t>
      </w:r>
      <w:r w:rsidR="00912315" w:rsidRPr="00172374">
        <w:t>)</w:t>
      </w:r>
      <w:r w:rsidR="00735E94" w:rsidRPr="00172374">
        <w:t xml:space="preserve">. </w:t>
      </w:r>
    </w:p>
    <w:p w14:paraId="38A0769D" w14:textId="329C1C68" w:rsidR="00440084" w:rsidRPr="00172374" w:rsidRDefault="00C82D98" w:rsidP="00440084">
      <w:pPr>
        <w:spacing w:line="480" w:lineRule="auto"/>
        <w:ind w:firstLine="567"/>
      </w:pPr>
      <w:r w:rsidRPr="00172374">
        <w:t xml:space="preserve">Through </w:t>
      </w:r>
      <w:r w:rsidR="009D6D3D" w:rsidRPr="00172374">
        <w:t xml:space="preserve">online data collection, </w:t>
      </w:r>
      <w:r w:rsidRPr="00172374">
        <w:t xml:space="preserve">over </w:t>
      </w:r>
      <w:r w:rsidR="009D6D3D" w:rsidRPr="00172374">
        <w:t>a two</w:t>
      </w:r>
      <w:r w:rsidRPr="00172374">
        <w:t>-</w:t>
      </w:r>
      <w:r w:rsidR="009D6D3D" w:rsidRPr="00172374">
        <w:t>week</w:t>
      </w:r>
      <w:r w:rsidRPr="00172374">
        <w:t xml:space="preserve"> period</w:t>
      </w:r>
      <w:r w:rsidR="00324DCA" w:rsidRPr="00172374">
        <w:t>,</w:t>
      </w:r>
      <w:r w:rsidR="009D6D3D" w:rsidRPr="00172374">
        <w:t xml:space="preserve"> we received completed and usable questionnaires from 118 members of </w:t>
      </w:r>
      <w:r w:rsidR="00DC3A03" w:rsidRPr="00172374">
        <w:t>the M</w:t>
      </w:r>
      <w:r w:rsidR="009D6D3D" w:rsidRPr="00172374">
        <w:t xml:space="preserve">arketing </w:t>
      </w:r>
      <w:r w:rsidR="00DC3A03" w:rsidRPr="00172374">
        <w:t>Science Institute of the country of study</w:t>
      </w:r>
      <w:r w:rsidR="009D6D3D" w:rsidRPr="00172374">
        <w:t>. Our sample consist</w:t>
      </w:r>
      <w:r w:rsidRPr="00172374">
        <w:t>ed</w:t>
      </w:r>
      <w:r w:rsidR="009D6D3D" w:rsidRPr="00172374">
        <w:t xml:space="preserve"> of </w:t>
      </w:r>
      <w:r w:rsidR="00423BBA" w:rsidRPr="00172374">
        <w:t>marketing managers (38.1%) and brand/product managers (</w:t>
      </w:r>
      <w:r w:rsidR="00075AEB" w:rsidRPr="00172374">
        <w:t>61.9%) working mainly for large companies with more than 50 employees (76.3%)</w:t>
      </w:r>
      <w:r w:rsidR="00226D38" w:rsidRPr="00172374">
        <w:t>,</w:t>
      </w:r>
      <w:r w:rsidR="00075AEB" w:rsidRPr="00172374">
        <w:t xml:space="preserve"> in the </w:t>
      </w:r>
      <w:r w:rsidRPr="00172374">
        <w:t>fast-moving consumer goods (</w:t>
      </w:r>
      <w:r w:rsidR="00075AEB" w:rsidRPr="00172374">
        <w:t>FMCG</w:t>
      </w:r>
      <w:r w:rsidRPr="00172374">
        <w:t>)</w:t>
      </w:r>
      <w:r w:rsidR="00075AEB" w:rsidRPr="00172374">
        <w:t xml:space="preserve"> or </w:t>
      </w:r>
      <w:r w:rsidRPr="00172374">
        <w:t>s</w:t>
      </w:r>
      <w:r w:rsidR="00075AEB" w:rsidRPr="00172374">
        <w:t>ervices sector</w:t>
      </w:r>
      <w:r w:rsidRPr="00172374">
        <w:t>s</w:t>
      </w:r>
      <w:r w:rsidR="00075AEB" w:rsidRPr="00172374">
        <w:t xml:space="preserve"> (28% and 30.5%</w:t>
      </w:r>
      <w:r w:rsidR="00AD4B9D" w:rsidRPr="00172374">
        <w:t>,</w:t>
      </w:r>
      <w:r w:rsidR="00075AEB" w:rsidRPr="00172374">
        <w:t xml:space="preserve"> respectively). </w:t>
      </w:r>
      <w:r w:rsidR="00C979A4" w:rsidRPr="00172374">
        <w:t>Appendix A</w:t>
      </w:r>
      <w:r w:rsidR="00315777" w:rsidRPr="00172374">
        <w:t>8</w:t>
      </w:r>
      <w:r w:rsidR="00912315" w:rsidRPr="00172374">
        <w:t xml:space="preserve"> </w:t>
      </w:r>
      <w:r w:rsidR="00C979A4" w:rsidRPr="00172374">
        <w:t>presents d</w:t>
      </w:r>
      <w:r w:rsidR="00075AEB" w:rsidRPr="00172374">
        <w:t>etailed sample characteristics</w:t>
      </w:r>
      <w:r w:rsidR="00C979A4" w:rsidRPr="00172374">
        <w:t>.</w:t>
      </w:r>
      <w:r w:rsidR="00075AEB" w:rsidRPr="00172374">
        <w:t xml:space="preserve"> </w:t>
      </w:r>
      <w:r w:rsidR="00735E94" w:rsidRPr="00172374">
        <w:t>Before conducting our main analys</w:t>
      </w:r>
      <w:r w:rsidR="004979D5" w:rsidRPr="00172374">
        <w:t>e</w:t>
      </w:r>
      <w:r w:rsidR="00735E94" w:rsidRPr="00172374">
        <w:t xml:space="preserve">s </w:t>
      </w:r>
      <w:r w:rsidR="00735E94" w:rsidRPr="00172374">
        <w:lastRenderedPageBreak/>
        <w:t>for convergent</w:t>
      </w:r>
      <w:r w:rsidR="004979D5" w:rsidRPr="00172374">
        <w:t>, discriminant</w:t>
      </w:r>
      <w:r w:rsidR="00AD4B9D" w:rsidRPr="00172374">
        <w:t>,</w:t>
      </w:r>
      <w:r w:rsidR="00735E94" w:rsidRPr="00172374">
        <w:t xml:space="preserve"> and predictive validity, we conducted EFA and </w:t>
      </w:r>
      <w:r w:rsidR="00AD4B9D" w:rsidRPr="00172374">
        <w:t xml:space="preserve">CFA </w:t>
      </w:r>
      <w:r w:rsidR="00735E94" w:rsidRPr="00172374">
        <w:t xml:space="preserve">to test </w:t>
      </w:r>
      <w:r w:rsidR="00324DCA" w:rsidRPr="00172374">
        <w:t xml:space="preserve">again </w:t>
      </w:r>
      <w:r w:rsidR="00735E94" w:rsidRPr="00172374">
        <w:t>our new construct</w:t>
      </w:r>
      <w:r w:rsidR="00226D38" w:rsidRPr="00172374">
        <w:t>’s</w:t>
      </w:r>
      <w:r w:rsidR="00735E94" w:rsidRPr="00172374">
        <w:t xml:space="preserve"> dimensionality. </w:t>
      </w:r>
      <w:r w:rsidR="00512C25" w:rsidRPr="00172374">
        <w:t>The r</w:t>
      </w:r>
      <w:r w:rsidR="00735E94" w:rsidRPr="00172374">
        <w:t xml:space="preserve">esults of both analyses </w:t>
      </w:r>
      <w:r w:rsidR="00512C25" w:rsidRPr="00172374">
        <w:t xml:space="preserve">confirm </w:t>
      </w:r>
      <w:r w:rsidR="00735E94" w:rsidRPr="00172374">
        <w:t xml:space="preserve">our four-factor structure with </w:t>
      </w:r>
      <w:r w:rsidR="00512C25" w:rsidRPr="00172374">
        <w:t xml:space="preserve">a </w:t>
      </w:r>
      <w:r w:rsidR="00735E94" w:rsidRPr="00172374">
        <w:t>high degree of internal reliability</w:t>
      </w:r>
      <w:r w:rsidR="00CD2C55" w:rsidRPr="00172374">
        <w:t xml:space="preserve">. </w:t>
      </w:r>
      <w:r w:rsidR="00512C25" w:rsidRPr="00172374">
        <w:t>The</w:t>
      </w:r>
      <w:r w:rsidR="00CD2C55" w:rsidRPr="00172374">
        <w:t xml:space="preserve"> </w:t>
      </w:r>
      <w:r w:rsidR="00512C25" w:rsidRPr="00172374">
        <w:t xml:space="preserve">EFA </w:t>
      </w:r>
      <w:r w:rsidR="00CD2C55" w:rsidRPr="00172374">
        <w:t>revealed the same four-factor structure with eigenvalues above 1, explaining 60% of the total variance.</w:t>
      </w:r>
      <w:r w:rsidR="00897A93" w:rsidRPr="00172374">
        <w:t xml:space="preserve"> </w:t>
      </w:r>
      <w:r w:rsidR="00CD2C55" w:rsidRPr="00172374">
        <w:t xml:space="preserve">All 21 items loaded predominantly on a single factor, with factor loadings ranging </w:t>
      </w:r>
      <w:r w:rsidR="00512C25" w:rsidRPr="00172374">
        <w:t xml:space="preserve">from </w:t>
      </w:r>
      <w:r w:rsidR="00CD2C55" w:rsidRPr="00172374">
        <w:t xml:space="preserve">0.55 </w:t>
      </w:r>
      <w:r w:rsidR="00512C25" w:rsidRPr="00172374">
        <w:t>to</w:t>
      </w:r>
      <w:r w:rsidR="00CD2C55" w:rsidRPr="00172374">
        <w:t xml:space="preserve"> 0.84 and an average item-to-total correlation of </w:t>
      </w:r>
      <w:r w:rsidR="00670797" w:rsidRPr="00172374">
        <w:t>0.63</w:t>
      </w:r>
      <w:r w:rsidR="00CD2C55" w:rsidRPr="00172374">
        <w:t xml:space="preserve"> (all exceeding </w:t>
      </w:r>
      <w:r w:rsidR="00670797" w:rsidRPr="00172374">
        <w:t>0.51</w:t>
      </w:r>
      <w:r w:rsidR="00CD2C55" w:rsidRPr="00172374">
        <w:t xml:space="preserve">). </w:t>
      </w:r>
      <w:r w:rsidR="00D57765" w:rsidRPr="00172374">
        <w:t>Cronbach’s alpha values were also satisfactory (BIM</w:t>
      </w:r>
      <w:r w:rsidR="00512C25" w:rsidRPr="00172374">
        <w:t xml:space="preserve"> </w:t>
      </w:r>
      <w:r w:rsidR="00D57765" w:rsidRPr="00172374">
        <w:t>=</w:t>
      </w:r>
      <w:r w:rsidR="00512C25" w:rsidRPr="00172374">
        <w:t xml:space="preserve"> </w:t>
      </w:r>
      <w:r w:rsidR="00D57765" w:rsidRPr="00172374">
        <w:t>0.83, BCON</w:t>
      </w:r>
      <w:r w:rsidR="00512C25" w:rsidRPr="00172374">
        <w:t xml:space="preserve"> </w:t>
      </w:r>
      <w:r w:rsidR="00D57765" w:rsidRPr="00172374">
        <w:t>=</w:t>
      </w:r>
      <w:r w:rsidR="00512C25" w:rsidRPr="00172374">
        <w:t xml:space="preserve"> </w:t>
      </w:r>
      <w:r w:rsidR="00D57765" w:rsidRPr="00172374">
        <w:t>0.84, BDIF</w:t>
      </w:r>
      <w:r w:rsidR="00512C25" w:rsidRPr="00172374">
        <w:t xml:space="preserve"> </w:t>
      </w:r>
      <w:r w:rsidR="00D57765" w:rsidRPr="00172374">
        <w:t>=</w:t>
      </w:r>
      <w:r w:rsidR="00512C25" w:rsidRPr="00172374">
        <w:t xml:space="preserve"> </w:t>
      </w:r>
      <w:r w:rsidR="00D57765" w:rsidRPr="00172374">
        <w:t>0.86, BINT</w:t>
      </w:r>
      <w:r w:rsidR="00512C25" w:rsidRPr="00172374">
        <w:t xml:space="preserve"> </w:t>
      </w:r>
      <w:r w:rsidR="00D57765" w:rsidRPr="00172374">
        <w:t>=</w:t>
      </w:r>
      <w:r w:rsidR="00512C25" w:rsidRPr="00172374">
        <w:t xml:space="preserve"> </w:t>
      </w:r>
      <w:r w:rsidR="00D57765" w:rsidRPr="00172374">
        <w:t xml:space="preserve">0.83). </w:t>
      </w:r>
      <w:r w:rsidR="00512C25" w:rsidRPr="00172374">
        <w:t>The CFA showed that</w:t>
      </w:r>
      <w:r w:rsidR="00D57765" w:rsidRPr="00172374">
        <w:t xml:space="preserve"> the measurement model provided a good fit to the data (χ² = 258.9</w:t>
      </w:r>
      <w:r w:rsidR="00512C25" w:rsidRPr="00172374">
        <w:t>,</w:t>
      </w:r>
      <w:r w:rsidR="00D57765" w:rsidRPr="00172374">
        <w:t xml:space="preserve"> </w:t>
      </w:r>
      <w:r w:rsidR="00D57765" w:rsidRPr="00172374">
        <w:rPr>
          <w:i/>
          <w:iCs/>
        </w:rPr>
        <w:t>df</w:t>
      </w:r>
      <w:r w:rsidR="00D57765" w:rsidRPr="00172374">
        <w:t xml:space="preserve"> = 185</w:t>
      </w:r>
      <w:r w:rsidR="00512C25" w:rsidRPr="00172374">
        <w:t>,</w:t>
      </w:r>
      <w:r w:rsidR="00D57765" w:rsidRPr="00172374">
        <w:t xml:space="preserve"> </w:t>
      </w:r>
      <w:r w:rsidR="00D57765" w:rsidRPr="00172374">
        <w:rPr>
          <w:i/>
          <w:iCs/>
        </w:rPr>
        <w:t>p</w:t>
      </w:r>
      <w:r w:rsidR="00D57765" w:rsidRPr="00172374">
        <w:t xml:space="preserve"> &lt; 0.001; CFI = 0.925; RMSEA = 0.058; SRMR = 0.08). The hypothesized factor structure of the construct was again supported. The loadings of items on their hypothesized latent construct </w:t>
      </w:r>
      <w:proofErr w:type="gramStart"/>
      <w:r w:rsidR="00D57765" w:rsidRPr="00172374">
        <w:t>were are</w:t>
      </w:r>
      <w:proofErr w:type="gramEnd"/>
      <w:r w:rsidR="00D57765" w:rsidRPr="00172374">
        <w:t xml:space="preserve"> all positive and statistically significant, ranging </w:t>
      </w:r>
      <w:r w:rsidR="00512C25" w:rsidRPr="00172374">
        <w:t>from</w:t>
      </w:r>
      <w:r w:rsidR="00D57765" w:rsidRPr="00172374">
        <w:t xml:space="preserve"> 0.60 </w:t>
      </w:r>
      <w:r w:rsidR="00512C25" w:rsidRPr="00172374">
        <w:t>to</w:t>
      </w:r>
      <w:r w:rsidR="00D57765" w:rsidRPr="00172374">
        <w:t xml:space="preserve"> 0.88. The paths from the second-order factor to the first-order dimensions </w:t>
      </w:r>
      <w:r w:rsidR="0000019A" w:rsidRPr="00172374">
        <w:t>were</w:t>
      </w:r>
      <w:r w:rsidR="00D57765" w:rsidRPr="00172374">
        <w:t xml:space="preserve"> also positive and significant (</w:t>
      </w:r>
      <w:r w:rsidR="00512C25" w:rsidRPr="00172374">
        <w:t>brand orientation [</w:t>
      </w:r>
      <w:r w:rsidR="00D57765" w:rsidRPr="00172374">
        <w:t>BO</w:t>
      </w:r>
      <w:r w:rsidR="00512C25" w:rsidRPr="00172374">
        <w:t>]</w:t>
      </w:r>
      <w:r w:rsidR="00D57765" w:rsidRPr="00172374">
        <w:t xml:space="preserve">→BIM: β = .63, </w:t>
      </w:r>
      <w:r w:rsidR="00D57765" w:rsidRPr="00172374">
        <w:rPr>
          <w:i/>
          <w:iCs/>
        </w:rPr>
        <w:t>p</w:t>
      </w:r>
      <w:r w:rsidR="00D57765" w:rsidRPr="00172374">
        <w:t xml:space="preserve"> &lt; .0</w:t>
      </w:r>
      <w:r w:rsidR="0000019A" w:rsidRPr="00172374">
        <w:t>01</w:t>
      </w:r>
      <w:r w:rsidR="00D57765" w:rsidRPr="00172374">
        <w:t>; BO→BCON: β = .</w:t>
      </w:r>
      <w:r w:rsidR="0000019A" w:rsidRPr="00172374">
        <w:t>86</w:t>
      </w:r>
      <w:r w:rsidR="00D57765" w:rsidRPr="00172374">
        <w:t xml:space="preserve">, </w:t>
      </w:r>
      <w:r w:rsidR="00D57765" w:rsidRPr="00172374">
        <w:rPr>
          <w:i/>
          <w:iCs/>
        </w:rPr>
        <w:t>p</w:t>
      </w:r>
      <w:r w:rsidR="00D57765" w:rsidRPr="00172374">
        <w:t xml:space="preserve"> &lt; .0</w:t>
      </w:r>
      <w:r w:rsidR="0000019A" w:rsidRPr="00172374">
        <w:t>01</w:t>
      </w:r>
      <w:r w:rsidR="00D57765" w:rsidRPr="00172374">
        <w:t>; BO→BDIF: β = .</w:t>
      </w:r>
      <w:r w:rsidR="0000019A" w:rsidRPr="00172374">
        <w:t>84</w:t>
      </w:r>
      <w:r w:rsidR="00D57765" w:rsidRPr="00172374">
        <w:t xml:space="preserve">, </w:t>
      </w:r>
      <w:r w:rsidR="00D57765" w:rsidRPr="00172374">
        <w:rPr>
          <w:i/>
          <w:iCs/>
        </w:rPr>
        <w:t>p</w:t>
      </w:r>
      <w:r w:rsidR="00D57765" w:rsidRPr="00172374">
        <w:t xml:space="preserve"> &lt; .0</w:t>
      </w:r>
      <w:r w:rsidR="0000019A" w:rsidRPr="00172374">
        <w:t>01</w:t>
      </w:r>
      <w:r w:rsidR="00D57765" w:rsidRPr="00172374">
        <w:t>; BO→BINT: β = .</w:t>
      </w:r>
      <w:r w:rsidR="0000019A" w:rsidRPr="00172374">
        <w:t>55</w:t>
      </w:r>
      <w:r w:rsidR="00D57765" w:rsidRPr="00172374">
        <w:t xml:space="preserve">, </w:t>
      </w:r>
      <w:r w:rsidR="00D57765" w:rsidRPr="00172374">
        <w:rPr>
          <w:i/>
          <w:iCs/>
        </w:rPr>
        <w:t>p</w:t>
      </w:r>
      <w:r w:rsidR="00D57765" w:rsidRPr="00172374">
        <w:t xml:space="preserve"> &lt; .0</w:t>
      </w:r>
      <w:r w:rsidR="0000019A" w:rsidRPr="00172374">
        <w:t>1</w:t>
      </w:r>
      <w:r w:rsidR="00D57765" w:rsidRPr="00172374">
        <w:t xml:space="preserve">). </w:t>
      </w:r>
      <w:r w:rsidR="0000019A" w:rsidRPr="00172374">
        <w:t xml:space="preserve">Finally, </w:t>
      </w:r>
      <w:r w:rsidR="00512C25" w:rsidRPr="00172374">
        <w:t>c</w:t>
      </w:r>
      <w:r w:rsidR="0000019A" w:rsidRPr="00172374">
        <w:t xml:space="preserve">omposite </w:t>
      </w:r>
      <w:r w:rsidR="00512C25" w:rsidRPr="00172374">
        <w:t>r</w:t>
      </w:r>
      <w:r w:rsidR="0000019A" w:rsidRPr="00172374">
        <w:t xml:space="preserve">eliabilities (CR) and </w:t>
      </w:r>
      <w:r w:rsidR="00512C25" w:rsidRPr="00172374">
        <w:t>a</w:t>
      </w:r>
      <w:r w:rsidR="0000019A" w:rsidRPr="00172374">
        <w:t xml:space="preserve">verage </w:t>
      </w:r>
      <w:r w:rsidR="00512C25" w:rsidRPr="00172374">
        <w:t>v</w:t>
      </w:r>
      <w:r w:rsidR="0000019A" w:rsidRPr="00172374">
        <w:t xml:space="preserve">ariance </w:t>
      </w:r>
      <w:r w:rsidR="00512C25" w:rsidRPr="00172374">
        <w:t>e</w:t>
      </w:r>
      <w:r w:rsidR="0000019A" w:rsidRPr="00172374">
        <w:t>xtracted (AVE) values for all four brand orientation dimensions were satisfactory (BIM: CR</w:t>
      </w:r>
      <w:r w:rsidR="00512C25" w:rsidRPr="00172374">
        <w:t xml:space="preserve"> </w:t>
      </w:r>
      <w:r w:rsidR="0000019A" w:rsidRPr="00172374">
        <w:t>=</w:t>
      </w:r>
      <w:r w:rsidR="0000019A" w:rsidRPr="00172374">
        <w:rPr>
          <w:lang w:val="en-GB"/>
        </w:rPr>
        <w:t xml:space="preserve"> </w:t>
      </w:r>
      <w:r w:rsidR="0000019A" w:rsidRPr="00172374">
        <w:t>0.84, AVE</w:t>
      </w:r>
      <w:r w:rsidR="00512C25" w:rsidRPr="00172374">
        <w:t xml:space="preserve"> </w:t>
      </w:r>
      <w:r w:rsidR="0000019A" w:rsidRPr="00172374">
        <w:t>= 0.51; BCON: CR</w:t>
      </w:r>
      <w:r w:rsidR="00512C25" w:rsidRPr="00172374">
        <w:t xml:space="preserve"> </w:t>
      </w:r>
      <w:r w:rsidR="0000019A" w:rsidRPr="00172374">
        <w:t>=</w:t>
      </w:r>
      <w:r w:rsidR="0000019A" w:rsidRPr="00172374">
        <w:rPr>
          <w:lang w:val="en-GB"/>
        </w:rPr>
        <w:t xml:space="preserve"> </w:t>
      </w:r>
      <w:r w:rsidR="0000019A" w:rsidRPr="00172374">
        <w:t>0.85, AVE</w:t>
      </w:r>
      <w:r w:rsidR="00512C25" w:rsidRPr="00172374">
        <w:t xml:space="preserve"> </w:t>
      </w:r>
      <w:r w:rsidR="0000019A" w:rsidRPr="00172374">
        <w:t>= 0.45; BDIF: CR</w:t>
      </w:r>
      <w:r w:rsidR="00512C25" w:rsidRPr="00172374">
        <w:t xml:space="preserve"> </w:t>
      </w:r>
      <w:r w:rsidR="0000019A" w:rsidRPr="00172374">
        <w:t>=</w:t>
      </w:r>
      <w:r w:rsidR="0000019A" w:rsidRPr="00172374">
        <w:rPr>
          <w:lang w:val="en-GB"/>
        </w:rPr>
        <w:t xml:space="preserve"> </w:t>
      </w:r>
      <w:r w:rsidR="0000019A" w:rsidRPr="00172374">
        <w:t>0.86, AVE</w:t>
      </w:r>
      <w:r w:rsidR="00512C25" w:rsidRPr="00172374">
        <w:t xml:space="preserve"> </w:t>
      </w:r>
      <w:r w:rsidR="0000019A" w:rsidRPr="00172374">
        <w:t>= 0.55; BINT: CR</w:t>
      </w:r>
      <w:r w:rsidR="00512C25" w:rsidRPr="00172374">
        <w:t xml:space="preserve"> </w:t>
      </w:r>
      <w:r w:rsidR="0000019A" w:rsidRPr="00172374">
        <w:t>=</w:t>
      </w:r>
      <w:r w:rsidR="0000019A" w:rsidRPr="00172374">
        <w:rPr>
          <w:lang w:val="en-GB"/>
        </w:rPr>
        <w:t xml:space="preserve"> </w:t>
      </w:r>
      <w:r w:rsidR="0000019A" w:rsidRPr="00172374">
        <w:t>0.</w:t>
      </w:r>
      <w:r w:rsidR="000B7895" w:rsidRPr="00172374">
        <w:t>85</w:t>
      </w:r>
      <w:r w:rsidR="0000019A" w:rsidRPr="00172374">
        <w:t>, AVE</w:t>
      </w:r>
      <w:r w:rsidR="00512C25" w:rsidRPr="00172374">
        <w:t xml:space="preserve"> </w:t>
      </w:r>
      <w:r w:rsidR="0000019A" w:rsidRPr="00172374">
        <w:t>= 0.</w:t>
      </w:r>
      <w:r w:rsidR="000B7895" w:rsidRPr="00172374">
        <w:t>59</w:t>
      </w:r>
      <w:r w:rsidR="0000019A" w:rsidRPr="00172374">
        <w:t xml:space="preserve">). </w:t>
      </w:r>
      <w:r w:rsidR="00226D38" w:rsidRPr="00172374">
        <w:t>Appendix A</w:t>
      </w:r>
      <w:r w:rsidR="00315777" w:rsidRPr="00172374">
        <w:t>5</w:t>
      </w:r>
      <w:r w:rsidR="00226D38" w:rsidRPr="00172374">
        <w:t xml:space="preserve"> </w:t>
      </w:r>
      <w:r w:rsidR="00CD2C55" w:rsidRPr="00172374">
        <w:t>presents</w:t>
      </w:r>
      <w:r w:rsidR="00226D38" w:rsidRPr="00172374">
        <w:t xml:space="preserve"> </w:t>
      </w:r>
      <w:r w:rsidR="005A1373" w:rsidRPr="00172374">
        <w:t xml:space="preserve">the </w:t>
      </w:r>
      <w:r w:rsidR="00B949F7" w:rsidRPr="00172374">
        <w:t xml:space="preserve">detailed </w:t>
      </w:r>
      <w:r w:rsidR="00CD2C55" w:rsidRPr="00172374">
        <w:t xml:space="preserve">EFA and CFA </w:t>
      </w:r>
      <w:r w:rsidR="00226D38" w:rsidRPr="00172374">
        <w:t>results</w:t>
      </w:r>
      <w:r w:rsidR="0000019A" w:rsidRPr="00172374">
        <w:t xml:space="preserve"> of Study 4</w:t>
      </w:r>
      <w:r w:rsidR="001C539B" w:rsidRPr="00172374">
        <w:t xml:space="preserve"> (along with </w:t>
      </w:r>
      <w:r w:rsidR="005A1373" w:rsidRPr="00172374">
        <w:t xml:space="preserve">the </w:t>
      </w:r>
      <w:r w:rsidR="001C539B" w:rsidRPr="00172374">
        <w:t xml:space="preserve">EFA and CFA results of all </w:t>
      </w:r>
      <w:r w:rsidR="005A1373" w:rsidRPr="00172374">
        <w:t xml:space="preserve">the </w:t>
      </w:r>
      <w:r w:rsidR="001C539B" w:rsidRPr="00172374">
        <w:t>quantitative studies)</w:t>
      </w:r>
      <w:r w:rsidR="00735E94" w:rsidRPr="00172374">
        <w:t>.</w:t>
      </w:r>
      <w:r w:rsidR="00440084" w:rsidRPr="00172374">
        <w:t xml:space="preserve"> Finally, similar analyses as those presented in Study 3 to establish the viability of the second-order reflective measurement specification were conducted in this study. The results empirically support the superordinate construct specification (see Appendix </w:t>
      </w:r>
      <w:r w:rsidR="009F1021" w:rsidRPr="00172374">
        <w:t>A</w:t>
      </w:r>
      <w:r w:rsidR="00315777" w:rsidRPr="00172374">
        <w:t>6</w:t>
      </w:r>
      <w:r w:rsidR="00440084" w:rsidRPr="00172374">
        <w:t xml:space="preserve"> for details). </w:t>
      </w:r>
    </w:p>
    <w:p w14:paraId="5087359B" w14:textId="77777777" w:rsidR="00226D38" w:rsidRPr="00172374" w:rsidRDefault="00226D38" w:rsidP="005D673D">
      <w:pPr>
        <w:spacing w:line="480" w:lineRule="auto"/>
        <w:ind w:firstLine="567"/>
      </w:pPr>
    </w:p>
    <w:p w14:paraId="6E204D6D" w14:textId="77777777" w:rsidR="00226D38" w:rsidRPr="00172374" w:rsidRDefault="00226D38" w:rsidP="00226D38">
      <w:pPr>
        <w:pStyle w:val="a3"/>
        <w:spacing w:after="0" w:line="480" w:lineRule="auto"/>
        <w:ind w:left="0"/>
        <w:contextualSpacing w:val="0"/>
        <w:rPr>
          <w:rFonts w:ascii="Times New Roman" w:hAnsi="Times New Roman"/>
          <w:i/>
          <w:sz w:val="24"/>
        </w:rPr>
      </w:pPr>
      <w:r w:rsidRPr="00172374">
        <w:rPr>
          <w:rFonts w:ascii="Times New Roman" w:hAnsi="Times New Roman"/>
          <w:i/>
          <w:sz w:val="24"/>
        </w:rPr>
        <w:t xml:space="preserve">3.4.1. Convergent </w:t>
      </w:r>
      <w:r w:rsidR="00093323" w:rsidRPr="00172374">
        <w:rPr>
          <w:rFonts w:ascii="Times New Roman" w:hAnsi="Times New Roman"/>
          <w:i/>
          <w:sz w:val="24"/>
        </w:rPr>
        <w:t xml:space="preserve">and discriminant </w:t>
      </w:r>
      <w:r w:rsidR="00A93859" w:rsidRPr="00172374">
        <w:rPr>
          <w:rFonts w:ascii="Times New Roman" w:hAnsi="Times New Roman"/>
          <w:i/>
          <w:sz w:val="24"/>
        </w:rPr>
        <w:t>v</w:t>
      </w:r>
      <w:r w:rsidRPr="00172374">
        <w:rPr>
          <w:rFonts w:ascii="Times New Roman" w:hAnsi="Times New Roman"/>
          <w:i/>
          <w:sz w:val="24"/>
        </w:rPr>
        <w:t>alidity</w:t>
      </w:r>
    </w:p>
    <w:p w14:paraId="684751CC" w14:textId="69B94027" w:rsidR="003843AA" w:rsidRPr="00172374" w:rsidRDefault="00226D38" w:rsidP="00226D38">
      <w:pPr>
        <w:spacing w:line="480" w:lineRule="auto"/>
        <w:ind w:firstLine="567"/>
      </w:pPr>
      <w:r w:rsidRPr="00172374">
        <w:t>“</w:t>
      </w:r>
      <w:r w:rsidRPr="00172374">
        <w:rPr>
          <w:iCs/>
        </w:rPr>
        <w:t>A measure is said to possess convergent validity if independent measures of the same construct are highly correlated</w:t>
      </w:r>
      <w:r w:rsidRPr="00172374">
        <w:t>” (</w:t>
      </w:r>
      <w:proofErr w:type="spellStart"/>
      <w:r w:rsidRPr="00172374">
        <w:t>Netemeyer</w:t>
      </w:r>
      <w:proofErr w:type="spellEnd"/>
      <w:r w:rsidRPr="00172374">
        <w:t xml:space="preserve"> et al., 2003, p. 77). Therefore, convergent </w:t>
      </w:r>
      <w:r w:rsidRPr="00172374">
        <w:lastRenderedPageBreak/>
        <w:t xml:space="preserve">validity is </w:t>
      </w:r>
      <w:r w:rsidR="00F871B4" w:rsidRPr="00172374">
        <w:t>evidenced</w:t>
      </w:r>
      <w:r w:rsidRPr="00172374">
        <w:t xml:space="preserve"> by </w:t>
      </w:r>
      <w:r w:rsidR="00F871B4" w:rsidRPr="00172374">
        <w:t xml:space="preserve">the </w:t>
      </w:r>
      <w:r w:rsidRPr="00172374">
        <w:t xml:space="preserve">significant and strong correlations between different measures of the same construct. </w:t>
      </w:r>
      <w:r w:rsidR="0093077F" w:rsidRPr="00172374">
        <w:t>The results show</w:t>
      </w:r>
      <w:r w:rsidRPr="00172374">
        <w:t xml:space="preserve"> </w:t>
      </w:r>
      <w:r w:rsidR="006B15E2" w:rsidRPr="00172374">
        <w:t xml:space="preserve">significant </w:t>
      </w:r>
      <w:r w:rsidRPr="00172374">
        <w:t>correlation coefficient</w:t>
      </w:r>
      <w:r w:rsidR="006B15E2" w:rsidRPr="00172374">
        <w:t>s</w:t>
      </w:r>
      <w:r w:rsidRPr="00172374">
        <w:t xml:space="preserve"> of</w:t>
      </w:r>
      <w:r w:rsidR="0093077F" w:rsidRPr="00172374">
        <w:t xml:space="preserve"> our scale with the</w:t>
      </w:r>
      <w:r w:rsidRPr="00172374">
        <w:t xml:space="preserve"> </w:t>
      </w:r>
      <w:r w:rsidR="006B15E2" w:rsidRPr="00172374">
        <w:t>scale</w:t>
      </w:r>
      <w:r w:rsidR="00741639" w:rsidRPr="00172374">
        <w:t>s</w:t>
      </w:r>
      <w:r w:rsidR="006B15E2" w:rsidRPr="00172374">
        <w:t xml:space="preserve"> of Wong and </w:t>
      </w:r>
      <w:proofErr w:type="spellStart"/>
      <w:r w:rsidR="006B15E2" w:rsidRPr="00172374">
        <w:t>Mer</w:t>
      </w:r>
      <w:r w:rsidR="00741639" w:rsidRPr="00172374">
        <w:t>r</w:t>
      </w:r>
      <w:r w:rsidR="006B15E2" w:rsidRPr="00172374">
        <w:t>ilees</w:t>
      </w:r>
      <w:proofErr w:type="spellEnd"/>
      <w:r w:rsidR="006B15E2" w:rsidRPr="00172374">
        <w:t xml:space="preserve"> (2007) </w:t>
      </w:r>
      <w:r w:rsidR="0093077F" w:rsidRPr="00172374">
        <w:t>(</w:t>
      </w:r>
      <w:r w:rsidR="0093077F" w:rsidRPr="00172374">
        <w:rPr>
          <w:i/>
        </w:rPr>
        <w:t>r</w:t>
      </w:r>
      <w:r w:rsidR="0093077F" w:rsidRPr="00172374">
        <w:t xml:space="preserve"> = 0.769) </w:t>
      </w:r>
      <w:r w:rsidR="006B15E2" w:rsidRPr="00172374">
        <w:t>and Huang and Tsai (2013)</w:t>
      </w:r>
      <w:r w:rsidR="0093077F" w:rsidRPr="00172374">
        <w:t xml:space="preserve"> (</w:t>
      </w:r>
      <w:r w:rsidR="0093077F" w:rsidRPr="00172374">
        <w:rPr>
          <w:i/>
        </w:rPr>
        <w:t>r =</w:t>
      </w:r>
      <w:r w:rsidR="0093077F" w:rsidRPr="00172374">
        <w:t xml:space="preserve"> 0.685)</w:t>
      </w:r>
      <w:r w:rsidR="006B15E2" w:rsidRPr="00172374">
        <w:t>. The magnitude of the</w:t>
      </w:r>
      <w:r w:rsidR="00003D56" w:rsidRPr="00172374">
        <w:t>se</w:t>
      </w:r>
      <w:r w:rsidR="006B15E2" w:rsidRPr="00172374">
        <w:t xml:space="preserve"> correlation coefficients is high </w:t>
      </w:r>
      <w:r w:rsidR="0093077F" w:rsidRPr="00172374">
        <w:t xml:space="preserve">enough </w:t>
      </w:r>
      <w:r w:rsidR="006B15E2" w:rsidRPr="00172374">
        <w:t xml:space="preserve">to support convergent validity </w:t>
      </w:r>
      <w:r w:rsidR="0093077F" w:rsidRPr="00172374">
        <w:t xml:space="preserve">(our scale shares between 47% and 60% of the variance of the other two scales supposed to capture the same concept) </w:t>
      </w:r>
      <w:r w:rsidR="006B15E2" w:rsidRPr="00172374">
        <w:t xml:space="preserve">but </w:t>
      </w:r>
      <w:r w:rsidR="0093077F" w:rsidRPr="00172374">
        <w:t>also low enough</w:t>
      </w:r>
      <w:r w:rsidR="006B15E2" w:rsidRPr="00172374">
        <w:t xml:space="preserve"> to </w:t>
      </w:r>
      <w:r w:rsidR="0093077F" w:rsidRPr="00172374">
        <w:t xml:space="preserve">suggest </w:t>
      </w:r>
      <w:r w:rsidR="006B15E2" w:rsidRPr="00172374">
        <w:t xml:space="preserve">that </w:t>
      </w:r>
      <w:r w:rsidR="0093077F" w:rsidRPr="00172374">
        <w:t>our scale is</w:t>
      </w:r>
      <w:r w:rsidR="006B15E2" w:rsidRPr="00172374">
        <w:t xml:space="preserve"> </w:t>
      </w:r>
      <w:r w:rsidR="0093077F" w:rsidRPr="00172374">
        <w:t xml:space="preserve">not </w:t>
      </w:r>
      <w:r w:rsidR="006B15E2" w:rsidRPr="00172374">
        <w:t xml:space="preserve">identical </w:t>
      </w:r>
      <w:r w:rsidR="00741639" w:rsidRPr="00172374">
        <w:t>to</w:t>
      </w:r>
      <w:r w:rsidR="0093077F" w:rsidRPr="00172374">
        <w:t xml:space="preserve"> the existing measures and thus </w:t>
      </w:r>
      <w:r w:rsidR="00741639" w:rsidRPr="00172374">
        <w:t xml:space="preserve">is </w:t>
      </w:r>
      <w:r w:rsidR="0093077F" w:rsidRPr="00172374">
        <w:t>not redundant</w:t>
      </w:r>
      <w:r w:rsidR="006B15E2" w:rsidRPr="00172374">
        <w:t xml:space="preserve">. </w:t>
      </w:r>
    </w:p>
    <w:p w14:paraId="1319DB0D" w14:textId="0870B396" w:rsidR="00003D56" w:rsidRPr="00172374" w:rsidRDefault="00003D56" w:rsidP="00226D38">
      <w:pPr>
        <w:spacing w:line="480" w:lineRule="auto"/>
        <w:ind w:firstLine="567"/>
      </w:pPr>
      <w:r w:rsidRPr="00172374">
        <w:t>As a further test</w:t>
      </w:r>
      <w:r w:rsidR="0093077F" w:rsidRPr="00172374">
        <w:t xml:space="preserve"> of convergent and discriminant validity</w:t>
      </w:r>
      <w:r w:rsidRPr="00172374">
        <w:t xml:space="preserve">, we conducted a series of formal chi-square comparisons with CFA tests. More specifically, we compared the base </w:t>
      </w:r>
      <w:r w:rsidR="00741639" w:rsidRPr="00172374">
        <w:t>m</w:t>
      </w:r>
      <w:r w:rsidRPr="00172374">
        <w:t xml:space="preserve">odel </w:t>
      </w:r>
      <w:r w:rsidR="00324DCA" w:rsidRPr="00172374">
        <w:t>(</w:t>
      </w:r>
      <w:r w:rsidR="00741639" w:rsidRPr="00172374">
        <w:t xml:space="preserve">in which </w:t>
      </w:r>
      <w:r w:rsidRPr="00172374">
        <w:t xml:space="preserve">the correlation of our new scale with that of Wong and </w:t>
      </w:r>
      <w:proofErr w:type="spellStart"/>
      <w:r w:rsidR="00741639" w:rsidRPr="00172374">
        <w:t>Merrilees</w:t>
      </w:r>
      <w:proofErr w:type="spellEnd"/>
      <w:r w:rsidR="00741639" w:rsidRPr="00172374">
        <w:t xml:space="preserve"> [</w:t>
      </w:r>
      <w:r w:rsidRPr="00172374">
        <w:t>2007</w:t>
      </w:r>
      <w:r w:rsidR="00741639" w:rsidRPr="00172374">
        <w:t>]</w:t>
      </w:r>
      <w:r w:rsidRPr="00172374">
        <w:t xml:space="preserve"> was freely estimated</w:t>
      </w:r>
      <w:r w:rsidR="00324DCA" w:rsidRPr="00172374">
        <w:t>)</w:t>
      </w:r>
      <w:r w:rsidRPr="00172374">
        <w:t xml:space="preserve"> with </w:t>
      </w:r>
      <w:r w:rsidR="00C06F14" w:rsidRPr="00172374">
        <w:t>two</w:t>
      </w:r>
      <w:r w:rsidRPr="00172374">
        <w:t xml:space="preserve"> model</w:t>
      </w:r>
      <w:r w:rsidR="00C06F14" w:rsidRPr="00172374">
        <w:t xml:space="preserve">s </w:t>
      </w:r>
      <w:r w:rsidR="00741639" w:rsidRPr="00172374">
        <w:t xml:space="preserve">whose </w:t>
      </w:r>
      <w:r w:rsidR="00C06F14" w:rsidRPr="00172374">
        <w:t xml:space="preserve">correlation was set </w:t>
      </w:r>
      <w:r w:rsidR="00FB6EF9" w:rsidRPr="00172374">
        <w:t>equal to</w:t>
      </w:r>
      <w:r w:rsidR="00C06F14" w:rsidRPr="00172374">
        <w:t xml:space="preserve"> </w:t>
      </w:r>
      <w:r w:rsidR="00741639" w:rsidRPr="00172374">
        <w:t>0</w:t>
      </w:r>
      <w:r w:rsidRPr="00172374">
        <w:t xml:space="preserve"> </w:t>
      </w:r>
      <w:r w:rsidR="0093077F" w:rsidRPr="00172374">
        <w:t xml:space="preserve">(test of convergence) </w:t>
      </w:r>
      <w:r w:rsidR="00C06F14" w:rsidRPr="00172374">
        <w:t xml:space="preserve">and </w:t>
      </w:r>
      <w:r w:rsidR="00FB6EF9" w:rsidRPr="00172374">
        <w:t xml:space="preserve">equal to </w:t>
      </w:r>
      <w:r w:rsidR="00741639" w:rsidRPr="00172374">
        <w:t>1</w:t>
      </w:r>
      <w:r w:rsidR="00C06F14" w:rsidRPr="00172374">
        <w:t xml:space="preserve"> </w:t>
      </w:r>
      <w:r w:rsidR="0093077F" w:rsidRPr="00172374">
        <w:t>(test of divergence)</w:t>
      </w:r>
      <w:r w:rsidR="00741639" w:rsidRPr="00172374">
        <w:t>, respectively</w:t>
      </w:r>
      <w:r w:rsidR="00C06F14" w:rsidRPr="00172374">
        <w:t xml:space="preserve">. </w:t>
      </w:r>
      <w:r w:rsidR="00741639" w:rsidRPr="00172374">
        <w:t>We followed the</w:t>
      </w:r>
      <w:r w:rsidR="00C06F14" w:rsidRPr="00172374">
        <w:t xml:space="preserve"> same process for the comparison of our new scale with that of Huang and Tsai (2013). Table </w:t>
      </w:r>
      <w:r w:rsidR="00415A50" w:rsidRPr="00172374">
        <w:t>9</w:t>
      </w:r>
      <w:r w:rsidR="00C06F14" w:rsidRPr="00172374">
        <w:t xml:space="preserve"> present</w:t>
      </w:r>
      <w:r w:rsidR="00FB6EF9" w:rsidRPr="00172374">
        <w:t>s</w:t>
      </w:r>
      <w:r w:rsidR="00C06F14" w:rsidRPr="00172374">
        <w:t xml:space="preserve"> the results of our chi-square comparisons. The change in model fit </w:t>
      </w:r>
      <w:r w:rsidR="00CC5233" w:rsidRPr="00172374">
        <w:t xml:space="preserve">between the base model and </w:t>
      </w:r>
      <w:r w:rsidR="00741639" w:rsidRPr="00172374">
        <w:t xml:space="preserve">the </w:t>
      </w:r>
      <w:r w:rsidR="00CC5233" w:rsidRPr="00172374">
        <w:t xml:space="preserve">“zero correlation” model </w:t>
      </w:r>
      <w:r w:rsidR="00C06F14" w:rsidRPr="00172374">
        <w:t>is significant</w:t>
      </w:r>
      <w:r w:rsidR="00291638" w:rsidRPr="00172374">
        <w:t xml:space="preserve"> (</w:t>
      </w:r>
      <w:proofErr w:type="spellStart"/>
      <w:r w:rsidR="00291638" w:rsidRPr="00172374">
        <w:rPr>
          <w:i/>
          <w:lang w:val="el-GR"/>
        </w:rPr>
        <w:t>Δχ</w:t>
      </w:r>
      <w:proofErr w:type="spellEnd"/>
      <w:r w:rsidR="00291638" w:rsidRPr="00172374">
        <w:rPr>
          <w:i/>
          <w:vertAlign w:val="superscript"/>
          <w:lang w:val="en-GB"/>
        </w:rPr>
        <w:t>2</w:t>
      </w:r>
      <w:r w:rsidR="00291638" w:rsidRPr="00172374">
        <w:rPr>
          <w:i/>
          <w:lang w:val="en-GB"/>
        </w:rPr>
        <w:t xml:space="preserve"> =</w:t>
      </w:r>
      <w:r w:rsidR="00530DFC" w:rsidRPr="00172374">
        <w:rPr>
          <w:lang w:val="en-GB"/>
        </w:rPr>
        <w:t xml:space="preserve"> 98.05, </w:t>
      </w:r>
      <w:r w:rsidR="00530DFC" w:rsidRPr="00172374">
        <w:rPr>
          <w:i/>
          <w:lang w:val="el-GR"/>
        </w:rPr>
        <w:t>Δ</w:t>
      </w:r>
      <w:r w:rsidR="00530DFC" w:rsidRPr="00172374">
        <w:rPr>
          <w:i/>
          <w:lang w:val="en-GB"/>
        </w:rPr>
        <w:t>(df) =</w:t>
      </w:r>
      <w:r w:rsidR="00530DFC" w:rsidRPr="00172374">
        <w:rPr>
          <w:lang w:val="en-GB"/>
        </w:rPr>
        <w:t xml:space="preserve"> 1, </w:t>
      </w:r>
      <w:r w:rsidR="00530DFC" w:rsidRPr="00172374">
        <w:rPr>
          <w:i/>
          <w:lang w:val="en-GB"/>
        </w:rPr>
        <w:t>p &lt;</w:t>
      </w:r>
      <w:r w:rsidR="00530DFC" w:rsidRPr="00172374">
        <w:rPr>
          <w:lang w:val="en-GB"/>
        </w:rPr>
        <w:t xml:space="preserve"> .001; </w:t>
      </w:r>
      <w:proofErr w:type="spellStart"/>
      <w:r w:rsidR="00530DFC" w:rsidRPr="00172374">
        <w:rPr>
          <w:i/>
          <w:lang w:val="el-GR"/>
        </w:rPr>
        <w:t>Δχ</w:t>
      </w:r>
      <w:proofErr w:type="spellEnd"/>
      <w:r w:rsidR="00530DFC" w:rsidRPr="00172374">
        <w:rPr>
          <w:i/>
          <w:vertAlign w:val="superscript"/>
          <w:lang w:val="en-GB"/>
        </w:rPr>
        <w:t>2</w:t>
      </w:r>
      <w:r w:rsidR="00530DFC" w:rsidRPr="00172374">
        <w:rPr>
          <w:i/>
          <w:lang w:val="en-GB"/>
        </w:rPr>
        <w:t xml:space="preserve"> =</w:t>
      </w:r>
      <w:r w:rsidR="00530DFC" w:rsidRPr="00172374">
        <w:rPr>
          <w:lang w:val="en-GB"/>
        </w:rPr>
        <w:t xml:space="preserve"> 64.33, </w:t>
      </w:r>
      <w:r w:rsidR="00530DFC" w:rsidRPr="00172374">
        <w:rPr>
          <w:i/>
          <w:lang w:val="el-GR"/>
        </w:rPr>
        <w:t>Δ</w:t>
      </w:r>
      <w:r w:rsidR="00530DFC" w:rsidRPr="00172374">
        <w:rPr>
          <w:i/>
          <w:lang w:val="en-GB"/>
        </w:rPr>
        <w:t>(df) =</w:t>
      </w:r>
      <w:r w:rsidR="00530DFC" w:rsidRPr="00172374">
        <w:rPr>
          <w:lang w:val="en-GB"/>
        </w:rPr>
        <w:t xml:space="preserve"> 1, </w:t>
      </w:r>
      <w:r w:rsidR="00530DFC" w:rsidRPr="00172374">
        <w:rPr>
          <w:i/>
          <w:lang w:val="en-GB"/>
        </w:rPr>
        <w:t>p &lt;</w:t>
      </w:r>
      <w:r w:rsidR="00530DFC" w:rsidRPr="00172374">
        <w:rPr>
          <w:lang w:val="en-GB"/>
        </w:rPr>
        <w:t xml:space="preserve"> .001)</w:t>
      </w:r>
      <w:r w:rsidR="00C06F14" w:rsidRPr="00172374">
        <w:t xml:space="preserve">, </w:t>
      </w:r>
      <w:r w:rsidR="00CC5233" w:rsidRPr="00172374">
        <w:t xml:space="preserve">thus </w:t>
      </w:r>
      <w:r w:rsidR="00C06F14" w:rsidRPr="00172374">
        <w:t xml:space="preserve">confirming convergent validity </w:t>
      </w:r>
      <w:r w:rsidR="00741639" w:rsidRPr="00172374">
        <w:t>of</w:t>
      </w:r>
      <w:r w:rsidR="00C06F14" w:rsidRPr="00172374">
        <w:t xml:space="preserve"> our new brand orientation scale. </w:t>
      </w:r>
      <w:r w:rsidR="00741639" w:rsidRPr="00172374">
        <w:t>In a</w:t>
      </w:r>
      <w:r w:rsidR="00FB6EF9" w:rsidRPr="00172374">
        <w:t>ddition</w:t>
      </w:r>
      <w:r w:rsidR="00C06F14" w:rsidRPr="00172374">
        <w:t xml:space="preserve">, the significant model fit change between the base model and the </w:t>
      </w:r>
      <w:r w:rsidR="00741639" w:rsidRPr="00172374">
        <w:t xml:space="preserve">model in which </w:t>
      </w:r>
      <w:r w:rsidR="00C06F14" w:rsidRPr="00172374">
        <w:t xml:space="preserve">the correlation was set equal to </w:t>
      </w:r>
      <w:r w:rsidR="00741639" w:rsidRPr="00172374">
        <w:t>1</w:t>
      </w:r>
      <w:r w:rsidR="00C06F14" w:rsidRPr="00172374">
        <w:t xml:space="preserve"> provides evidence of discriminant validity for our new scale compared </w:t>
      </w:r>
      <w:r w:rsidR="00741639" w:rsidRPr="00172374">
        <w:t>with</w:t>
      </w:r>
      <w:r w:rsidR="00C06F14" w:rsidRPr="00172374">
        <w:t xml:space="preserve"> the existing measures tested</w:t>
      </w:r>
      <w:r w:rsidR="00530DFC" w:rsidRPr="00172374">
        <w:t xml:space="preserve"> (</w:t>
      </w:r>
      <w:proofErr w:type="spellStart"/>
      <w:r w:rsidR="00530DFC" w:rsidRPr="00172374">
        <w:rPr>
          <w:i/>
          <w:lang w:val="el-GR"/>
        </w:rPr>
        <w:t>Δχ</w:t>
      </w:r>
      <w:proofErr w:type="spellEnd"/>
      <w:r w:rsidR="00530DFC" w:rsidRPr="00172374">
        <w:rPr>
          <w:i/>
          <w:vertAlign w:val="superscript"/>
          <w:lang w:val="en-GB"/>
        </w:rPr>
        <w:t>2</w:t>
      </w:r>
      <w:r w:rsidR="00530DFC" w:rsidRPr="00172374">
        <w:rPr>
          <w:i/>
          <w:lang w:val="en-GB"/>
        </w:rPr>
        <w:t xml:space="preserve"> =</w:t>
      </w:r>
      <w:r w:rsidR="00530DFC" w:rsidRPr="00172374">
        <w:rPr>
          <w:lang w:val="en-GB"/>
        </w:rPr>
        <w:t xml:space="preserve"> 3.92, </w:t>
      </w:r>
      <w:r w:rsidR="00530DFC" w:rsidRPr="00172374">
        <w:rPr>
          <w:i/>
          <w:lang w:val="el-GR"/>
        </w:rPr>
        <w:t>Δ</w:t>
      </w:r>
      <w:r w:rsidR="00530DFC" w:rsidRPr="00172374">
        <w:rPr>
          <w:i/>
          <w:lang w:val="en-GB"/>
        </w:rPr>
        <w:t>(df) =</w:t>
      </w:r>
      <w:r w:rsidR="00530DFC" w:rsidRPr="00172374">
        <w:rPr>
          <w:lang w:val="en-GB"/>
        </w:rPr>
        <w:t xml:space="preserve"> 1, </w:t>
      </w:r>
      <w:r w:rsidR="00530DFC" w:rsidRPr="00172374">
        <w:rPr>
          <w:i/>
          <w:lang w:val="en-GB"/>
        </w:rPr>
        <w:t>p &lt;</w:t>
      </w:r>
      <w:r w:rsidR="00530DFC" w:rsidRPr="00172374">
        <w:rPr>
          <w:lang w:val="en-GB"/>
        </w:rPr>
        <w:t xml:space="preserve"> .05; </w:t>
      </w:r>
      <w:proofErr w:type="spellStart"/>
      <w:r w:rsidR="00530DFC" w:rsidRPr="00172374">
        <w:rPr>
          <w:i/>
          <w:lang w:val="el-GR"/>
        </w:rPr>
        <w:t>Δχ</w:t>
      </w:r>
      <w:proofErr w:type="spellEnd"/>
      <w:r w:rsidR="00530DFC" w:rsidRPr="00172374">
        <w:rPr>
          <w:i/>
          <w:vertAlign w:val="superscript"/>
          <w:lang w:val="en-GB"/>
        </w:rPr>
        <w:t>2</w:t>
      </w:r>
      <w:r w:rsidR="00530DFC" w:rsidRPr="00172374">
        <w:rPr>
          <w:i/>
          <w:lang w:val="en-GB"/>
        </w:rPr>
        <w:t xml:space="preserve"> =</w:t>
      </w:r>
      <w:r w:rsidR="00530DFC" w:rsidRPr="00172374">
        <w:rPr>
          <w:lang w:val="en-GB"/>
        </w:rPr>
        <w:t xml:space="preserve"> 4.78, </w:t>
      </w:r>
      <w:r w:rsidR="00530DFC" w:rsidRPr="00172374">
        <w:rPr>
          <w:i/>
          <w:lang w:val="el-GR"/>
        </w:rPr>
        <w:t>Δ</w:t>
      </w:r>
      <w:r w:rsidR="00530DFC" w:rsidRPr="00172374">
        <w:rPr>
          <w:i/>
          <w:lang w:val="en-GB"/>
        </w:rPr>
        <w:t>(df) =</w:t>
      </w:r>
      <w:r w:rsidR="00530DFC" w:rsidRPr="00172374">
        <w:rPr>
          <w:lang w:val="en-GB"/>
        </w:rPr>
        <w:t xml:space="preserve"> 1, </w:t>
      </w:r>
      <w:r w:rsidR="00530DFC" w:rsidRPr="00172374">
        <w:rPr>
          <w:i/>
          <w:lang w:val="en-GB"/>
        </w:rPr>
        <w:t>p &lt;</w:t>
      </w:r>
      <w:r w:rsidR="00530DFC" w:rsidRPr="00172374">
        <w:rPr>
          <w:lang w:val="en-GB"/>
        </w:rPr>
        <w:t xml:space="preserve"> .05)</w:t>
      </w:r>
      <w:r w:rsidR="00C06F14" w:rsidRPr="00172374">
        <w:t xml:space="preserve">. </w:t>
      </w:r>
      <w:r w:rsidRPr="00172374">
        <w:t xml:space="preserve">  </w:t>
      </w:r>
    </w:p>
    <w:p w14:paraId="61F53054" w14:textId="08471FCE" w:rsidR="00A93859" w:rsidRPr="00172374" w:rsidRDefault="00A93859" w:rsidP="003A2597">
      <w:pPr>
        <w:spacing w:after="240" w:line="480" w:lineRule="auto"/>
        <w:jc w:val="center"/>
      </w:pPr>
      <w:r w:rsidRPr="00172374">
        <w:t xml:space="preserve">Table </w:t>
      </w:r>
      <w:r w:rsidR="009C55D7" w:rsidRPr="00172374">
        <w:t>9</w:t>
      </w:r>
      <w:r w:rsidRPr="00172374">
        <w:t xml:space="preserve"> here</w:t>
      </w:r>
    </w:p>
    <w:p w14:paraId="164BDF9C" w14:textId="77777777" w:rsidR="00A93859" w:rsidRPr="00172374" w:rsidRDefault="00A93859" w:rsidP="00A93859">
      <w:pPr>
        <w:pStyle w:val="a3"/>
        <w:spacing w:after="0" w:line="480" w:lineRule="auto"/>
        <w:ind w:left="0"/>
        <w:contextualSpacing w:val="0"/>
        <w:rPr>
          <w:rFonts w:ascii="Times New Roman" w:hAnsi="Times New Roman"/>
          <w:i/>
          <w:sz w:val="24"/>
        </w:rPr>
      </w:pPr>
      <w:r w:rsidRPr="00172374">
        <w:rPr>
          <w:rFonts w:ascii="Times New Roman" w:hAnsi="Times New Roman"/>
          <w:i/>
          <w:sz w:val="24"/>
        </w:rPr>
        <w:t>3.4.2. Predictive validity</w:t>
      </w:r>
    </w:p>
    <w:p w14:paraId="77CE1605" w14:textId="4425B659" w:rsidR="00A93859" w:rsidRPr="00172374" w:rsidRDefault="00A93859" w:rsidP="00006513">
      <w:pPr>
        <w:spacing w:line="480" w:lineRule="auto"/>
        <w:ind w:firstLine="567"/>
        <w:rPr>
          <w:lang w:val="en-GB"/>
        </w:rPr>
      </w:pPr>
      <w:r w:rsidRPr="00172374">
        <w:t>Predictive validity refers to the ability of a measure to effectively predict a subsequent criterion (</w:t>
      </w:r>
      <w:proofErr w:type="spellStart"/>
      <w:r w:rsidRPr="00172374">
        <w:t>Netemeyer</w:t>
      </w:r>
      <w:proofErr w:type="spellEnd"/>
      <w:r w:rsidRPr="00172374">
        <w:t xml:space="preserve"> et al., 2003). </w:t>
      </w:r>
      <w:r w:rsidR="00741639" w:rsidRPr="00172374">
        <w:t xml:space="preserve">According to </w:t>
      </w:r>
      <w:proofErr w:type="spellStart"/>
      <w:r w:rsidRPr="00172374">
        <w:t>Urde</w:t>
      </w:r>
      <w:proofErr w:type="spellEnd"/>
      <w:r w:rsidRPr="00172374">
        <w:t xml:space="preserve"> (1999</w:t>
      </w:r>
      <w:r w:rsidR="00741639" w:rsidRPr="00172374">
        <w:t>, p. 117</w:t>
      </w:r>
      <w:r w:rsidRPr="00172374">
        <w:t xml:space="preserve">), the aim of brand orientation is </w:t>
      </w:r>
      <w:r w:rsidR="00741639" w:rsidRPr="00172374">
        <w:t xml:space="preserve">to achieve </w:t>
      </w:r>
      <w:r w:rsidRPr="00172374">
        <w:t>“</w:t>
      </w:r>
      <w:r w:rsidRPr="00172374">
        <w:rPr>
          <w:lang w:val="en-GB"/>
        </w:rPr>
        <w:t>lasting competitive advantages in the form of brands”</w:t>
      </w:r>
      <w:r w:rsidR="00B87D03" w:rsidRPr="00172374">
        <w:rPr>
          <w:lang w:val="en-GB"/>
        </w:rPr>
        <w:t>.</w:t>
      </w:r>
      <w:r w:rsidRPr="00172374">
        <w:rPr>
          <w:lang w:val="en-GB"/>
        </w:rPr>
        <w:t xml:space="preserve"> Therefore, </w:t>
      </w:r>
      <w:r w:rsidRPr="00172374">
        <w:rPr>
          <w:lang w:val="en-GB"/>
        </w:rPr>
        <w:lastRenderedPageBreak/>
        <w:t xml:space="preserve">we </w:t>
      </w:r>
      <w:r w:rsidR="005A327A" w:rsidRPr="00172374">
        <w:rPr>
          <w:lang w:val="en-GB"/>
        </w:rPr>
        <w:t xml:space="preserve">conceptually </w:t>
      </w:r>
      <w:r w:rsidRPr="00172374">
        <w:rPr>
          <w:lang w:val="en-GB"/>
        </w:rPr>
        <w:t xml:space="preserve">expect brand orientation </w:t>
      </w:r>
      <w:r w:rsidR="00741639" w:rsidRPr="00172374">
        <w:rPr>
          <w:lang w:val="en-GB"/>
        </w:rPr>
        <w:t xml:space="preserve">to positively affect </w:t>
      </w:r>
      <w:r w:rsidR="005A327A" w:rsidRPr="00172374">
        <w:rPr>
          <w:lang w:val="en-GB"/>
        </w:rPr>
        <w:t xml:space="preserve">a firm’s </w:t>
      </w:r>
      <w:r w:rsidRPr="00172374">
        <w:rPr>
          <w:lang w:val="en-GB"/>
        </w:rPr>
        <w:t xml:space="preserve">competitive advantage. To assess the predictive validity of our new scale compared </w:t>
      </w:r>
      <w:r w:rsidR="00741639" w:rsidRPr="00172374">
        <w:rPr>
          <w:lang w:val="en-GB"/>
        </w:rPr>
        <w:t>with</w:t>
      </w:r>
      <w:r w:rsidRPr="00172374">
        <w:rPr>
          <w:lang w:val="en-GB"/>
        </w:rPr>
        <w:t xml:space="preserve"> the </w:t>
      </w:r>
      <w:r w:rsidR="00741639" w:rsidRPr="00172374">
        <w:rPr>
          <w:lang w:val="en-GB"/>
        </w:rPr>
        <w:t xml:space="preserve">other </w:t>
      </w:r>
      <w:r w:rsidRPr="00172374">
        <w:rPr>
          <w:lang w:val="en-GB"/>
        </w:rPr>
        <w:t>two existing measures</w:t>
      </w:r>
      <w:r w:rsidR="00006513" w:rsidRPr="00172374">
        <w:rPr>
          <w:lang w:val="en-GB"/>
        </w:rPr>
        <w:t>,</w:t>
      </w:r>
      <w:r w:rsidRPr="00172374">
        <w:rPr>
          <w:lang w:val="en-GB"/>
        </w:rPr>
        <w:t xml:space="preserve"> we </w:t>
      </w:r>
      <w:r w:rsidR="00006513" w:rsidRPr="00172374">
        <w:rPr>
          <w:lang w:val="en-GB"/>
        </w:rPr>
        <w:t xml:space="preserve">tested three respective structural </w:t>
      </w:r>
      <w:r w:rsidR="005A327A" w:rsidRPr="00172374">
        <w:rPr>
          <w:lang w:val="en-GB"/>
        </w:rPr>
        <w:t xml:space="preserve">equation </w:t>
      </w:r>
      <w:r w:rsidR="00006513" w:rsidRPr="00172374">
        <w:rPr>
          <w:lang w:val="en-GB"/>
        </w:rPr>
        <w:t xml:space="preserve">models and compared the path coefficients from each brand orientation scale </w:t>
      </w:r>
      <w:r w:rsidR="00B87D03" w:rsidRPr="00172374">
        <w:rPr>
          <w:lang w:val="en-GB"/>
        </w:rPr>
        <w:t>to</w:t>
      </w:r>
      <w:r w:rsidR="00006513" w:rsidRPr="00172374">
        <w:rPr>
          <w:lang w:val="en-GB"/>
        </w:rPr>
        <w:t xml:space="preserve"> competitive advantage as well as the model fit statistics. As Table </w:t>
      </w:r>
      <w:r w:rsidR="009C55D7" w:rsidRPr="00172374">
        <w:rPr>
          <w:lang w:val="en-GB"/>
        </w:rPr>
        <w:t>10</w:t>
      </w:r>
      <w:r w:rsidR="00741639" w:rsidRPr="00172374">
        <w:rPr>
          <w:lang w:val="en-GB"/>
        </w:rPr>
        <w:t xml:space="preserve"> shows</w:t>
      </w:r>
      <w:r w:rsidR="00006513" w:rsidRPr="00172374">
        <w:rPr>
          <w:lang w:val="en-GB"/>
        </w:rPr>
        <w:t xml:space="preserve">, </w:t>
      </w:r>
      <w:r w:rsidR="005A327A" w:rsidRPr="00172374">
        <w:rPr>
          <w:lang w:val="en-GB"/>
        </w:rPr>
        <w:t xml:space="preserve">the model estimates suggest that the path coefficient linking the </w:t>
      </w:r>
      <w:r w:rsidR="00006513" w:rsidRPr="00172374">
        <w:rPr>
          <w:lang w:val="en-GB"/>
        </w:rPr>
        <w:t xml:space="preserve">new scale </w:t>
      </w:r>
      <w:r w:rsidR="005A327A" w:rsidRPr="00172374">
        <w:rPr>
          <w:lang w:val="en-GB"/>
        </w:rPr>
        <w:t>to competitive advantage is stronger</w:t>
      </w:r>
      <w:r w:rsidR="00006513" w:rsidRPr="00172374">
        <w:rPr>
          <w:lang w:val="en-GB"/>
        </w:rPr>
        <w:t xml:space="preserve"> (</w:t>
      </w:r>
      <w:r w:rsidR="005A327A" w:rsidRPr="00172374">
        <w:rPr>
          <w:i/>
          <w:lang w:val="el-GR"/>
        </w:rPr>
        <w:t>β</w:t>
      </w:r>
      <w:r w:rsidR="005A327A" w:rsidRPr="00172374">
        <w:rPr>
          <w:i/>
          <w:lang w:val="en-GB"/>
        </w:rPr>
        <w:t xml:space="preserve"> </w:t>
      </w:r>
      <w:r w:rsidR="00006513" w:rsidRPr="00172374">
        <w:rPr>
          <w:i/>
          <w:lang w:val="en-GB"/>
        </w:rPr>
        <w:t>=</w:t>
      </w:r>
      <w:r w:rsidR="005A327A" w:rsidRPr="00172374">
        <w:rPr>
          <w:lang w:val="en-GB"/>
        </w:rPr>
        <w:t xml:space="preserve"> </w:t>
      </w:r>
      <w:r w:rsidR="00006513" w:rsidRPr="00172374">
        <w:rPr>
          <w:lang w:val="en-GB"/>
        </w:rPr>
        <w:t xml:space="preserve">0.718, </w:t>
      </w:r>
      <w:r w:rsidR="00006513" w:rsidRPr="00172374">
        <w:rPr>
          <w:i/>
          <w:lang w:val="en-GB"/>
        </w:rPr>
        <w:t>p</w:t>
      </w:r>
      <w:r w:rsidR="005A327A" w:rsidRPr="00172374">
        <w:rPr>
          <w:i/>
          <w:lang w:val="en-GB"/>
        </w:rPr>
        <w:t xml:space="preserve"> </w:t>
      </w:r>
      <w:r w:rsidR="00006513" w:rsidRPr="00172374">
        <w:rPr>
          <w:i/>
          <w:lang w:val="en-GB"/>
        </w:rPr>
        <w:t>&lt;</w:t>
      </w:r>
      <w:r w:rsidR="005A327A" w:rsidRPr="00172374">
        <w:rPr>
          <w:lang w:val="en-GB"/>
        </w:rPr>
        <w:t xml:space="preserve"> </w:t>
      </w:r>
      <w:r w:rsidR="00006513" w:rsidRPr="00172374">
        <w:rPr>
          <w:lang w:val="en-GB"/>
        </w:rPr>
        <w:t>0.00</w:t>
      </w:r>
      <w:r w:rsidR="003B3862" w:rsidRPr="00172374">
        <w:rPr>
          <w:lang w:val="en-GB"/>
        </w:rPr>
        <w:t>1</w:t>
      </w:r>
      <w:r w:rsidR="00006513" w:rsidRPr="00172374">
        <w:rPr>
          <w:lang w:val="en-GB"/>
        </w:rPr>
        <w:t xml:space="preserve">) </w:t>
      </w:r>
      <w:r w:rsidR="00C43C28" w:rsidRPr="00172374">
        <w:rPr>
          <w:lang w:val="en-GB"/>
        </w:rPr>
        <w:t xml:space="preserve">than </w:t>
      </w:r>
      <w:r w:rsidR="005A327A" w:rsidRPr="00172374">
        <w:rPr>
          <w:lang w:val="en-GB"/>
        </w:rPr>
        <w:t>the respective path</w:t>
      </w:r>
      <w:r w:rsidR="00C43C28" w:rsidRPr="00172374">
        <w:rPr>
          <w:lang w:val="en-GB"/>
        </w:rPr>
        <w:t>s</w:t>
      </w:r>
      <w:r w:rsidR="005A327A" w:rsidRPr="00172374">
        <w:rPr>
          <w:lang w:val="en-GB"/>
        </w:rPr>
        <w:t xml:space="preserve"> between </w:t>
      </w:r>
      <w:r w:rsidR="00006513" w:rsidRPr="00172374">
        <w:rPr>
          <w:lang w:val="en-GB"/>
        </w:rPr>
        <w:t xml:space="preserve">the scale of Wong and </w:t>
      </w:r>
      <w:proofErr w:type="spellStart"/>
      <w:r w:rsidR="00741639" w:rsidRPr="00172374">
        <w:t>Merrilees</w:t>
      </w:r>
      <w:proofErr w:type="spellEnd"/>
      <w:r w:rsidR="00741639" w:rsidRPr="00172374">
        <w:t xml:space="preserve"> </w:t>
      </w:r>
      <w:r w:rsidR="00006513" w:rsidRPr="00172374">
        <w:rPr>
          <w:lang w:val="en-GB"/>
        </w:rPr>
        <w:t>(</w:t>
      </w:r>
      <w:r w:rsidR="005A327A" w:rsidRPr="00172374">
        <w:rPr>
          <w:i/>
          <w:lang w:val="el-GR"/>
        </w:rPr>
        <w:t>β</w:t>
      </w:r>
      <w:r w:rsidR="005A327A" w:rsidRPr="00172374">
        <w:rPr>
          <w:i/>
          <w:lang w:val="en-GB"/>
        </w:rPr>
        <w:t xml:space="preserve"> </w:t>
      </w:r>
      <w:r w:rsidR="00006513" w:rsidRPr="00172374">
        <w:rPr>
          <w:i/>
          <w:lang w:val="en-GB"/>
        </w:rPr>
        <w:t>=</w:t>
      </w:r>
      <w:r w:rsidR="005A327A" w:rsidRPr="00172374">
        <w:rPr>
          <w:lang w:val="en-GB"/>
        </w:rPr>
        <w:t xml:space="preserve"> </w:t>
      </w:r>
      <w:r w:rsidR="00006513" w:rsidRPr="00172374">
        <w:rPr>
          <w:lang w:val="en-GB"/>
        </w:rPr>
        <w:t xml:space="preserve">0.554, </w:t>
      </w:r>
      <w:r w:rsidR="00006513" w:rsidRPr="00172374">
        <w:rPr>
          <w:i/>
          <w:lang w:val="en-GB"/>
        </w:rPr>
        <w:t>p</w:t>
      </w:r>
      <w:r w:rsidR="005A327A" w:rsidRPr="00172374">
        <w:rPr>
          <w:i/>
          <w:lang w:val="en-GB"/>
        </w:rPr>
        <w:t xml:space="preserve"> </w:t>
      </w:r>
      <w:r w:rsidR="00006513" w:rsidRPr="00172374">
        <w:rPr>
          <w:i/>
          <w:lang w:val="en-GB"/>
        </w:rPr>
        <w:t>&lt;</w:t>
      </w:r>
      <w:r w:rsidR="005A327A" w:rsidRPr="00172374">
        <w:rPr>
          <w:lang w:val="en-GB"/>
        </w:rPr>
        <w:t xml:space="preserve"> </w:t>
      </w:r>
      <w:r w:rsidR="00006513" w:rsidRPr="00172374">
        <w:rPr>
          <w:lang w:val="en-GB"/>
        </w:rPr>
        <w:t>0.00</w:t>
      </w:r>
      <w:r w:rsidR="003B3862" w:rsidRPr="00172374">
        <w:rPr>
          <w:lang w:val="en-GB"/>
        </w:rPr>
        <w:t>1</w:t>
      </w:r>
      <w:r w:rsidR="00006513" w:rsidRPr="00172374">
        <w:rPr>
          <w:lang w:val="en-GB"/>
        </w:rPr>
        <w:t xml:space="preserve">) and </w:t>
      </w:r>
      <w:r w:rsidR="005A327A" w:rsidRPr="00172374">
        <w:rPr>
          <w:lang w:val="en-GB"/>
        </w:rPr>
        <w:t xml:space="preserve">that of </w:t>
      </w:r>
      <w:r w:rsidR="00006513" w:rsidRPr="00172374">
        <w:rPr>
          <w:lang w:val="en-GB"/>
        </w:rPr>
        <w:t>Huang and Tsai (</w:t>
      </w:r>
      <w:r w:rsidR="005A327A" w:rsidRPr="00172374">
        <w:rPr>
          <w:i/>
          <w:lang w:val="el-GR"/>
        </w:rPr>
        <w:t>β</w:t>
      </w:r>
      <w:r w:rsidR="005A327A" w:rsidRPr="00172374">
        <w:rPr>
          <w:i/>
          <w:lang w:val="en-GB"/>
        </w:rPr>
        <w:t xml:space="preserve"> </w:t>
      </w:r>
      <w:r w:rsidR="00006513" w:rsidRPr="00172374">
        <w:rPr>
          <w:i/>
          <w:lang w:val="en-GB"/>
        </w:rPr>
        <w:t>=</w:t>
      </w:r>
      <w:r w:rsidR="005A327A" w:rsidRPr="00172374">
        <w:rPr>
          <w:lang w:val="en-GB"/>
        </w:rPr>
        <w:t xml:space="preserve"> </w:t>
      </w:r>
      <w:r w:rsidR="00006513" w:rsidRPr="00172374">
        <w:rPr>
          <w:lang w:val="en-GB"/>
        </w:rPr>
        <w:t xml:space="preserve">0.690, </w:t>
      </w:r>
      <w:r w:rsidR="00006513" w:rsidRPr="00172374">
        <w:rPr>
          <w:i/>
          <w:lang w:val="en-GB"/>
        </w:rPr>
        <w:t>p</w:t>
      </w:r>
      <w:r w:rsidR="005A327A" w:rsidRPr="00172374">
        <w:rPr>
          <w:i/>
          <w:lang w:val="en-GB"/>
        </w:rPr>
        <w:t xml:space="preserve"> </w:t>
      </w:r>
      <w:r w:rsidR="00006513" w:rsidRPr="00172374">
        <w:rPr>
          <w:i/>
          <w:lang w:val="en-GB"/>
        </w:rPr>
        <w:t>&lt;</w:t>
      </w:r>
      <w:r w:rsidR="005A327A" w:rsidRPr="00172374">
        <w:rPr>
          <w:lang w:val="en-GB"/>
        </w:rPr>
        <w:t xml:space="preserve"> </w:t>
      </w:r>
      <w:r w:rsidR="00006513" w:rsidRPr="00172374">
        <w:rPr>
          <w:lang w:val="en-GB"/>
        </w:rPr>
        <w:t>0.00</w:t>
      </w:r>
      <w:r w:rsidR="003B3862" w:rsidRPr="00172374">
        <w:rPr>
          <w:lang w:val="en-GB"/>
        </w:rPr>
        <w:t>1</w:t>
      </w:r>
      <w:r w:rsidR="00006513" w:rsidRPr="00172374">
        <w:rPr>
          <w:lang w:val="en-GB"/>
        </w:rPr>
        <w:t>)</w:t>
      </w:r>
      <w:r w:rsidR="004979D5" w:rsidRPr="00172374">
        <w:rPr>
          <w:lang w:val="en-GB"/>
        </w:rPr>
        <w:t xml:space="preserve"> and competitive advantage</w:t>
      </w:r>
      <w:r w:rsidR="002A69C6" w:rsidRPr="00172374">
        <w:rPr>
          <w:lang w:val="en-GB"/>
        </w:rPr>
        <w:t xml:space="preserve">, </w:t>
      </w:r>
      <w:r w:rsidR="00C2020B" w:rsidRPr="00172374">
        <w:rPr>
          <w:lang w:val="en-GB"/>
        </w:rPr>
        <w:t xml:space="preserve">showing strong evidence of high </w:t>
      </w:r>
      <w:r w:rsidR="002A69C6" w:rsidRPr="00172374">
        <w:rPr>
          <w:lang w:val="en-GB"/>
        </w:rPr>
        <w:t>predictive validity for the new scale</w:t>
      </w:r>
      <w:r w:rsidR="00006513" w:rsidRPr="00172374">
        <w:rPr>
          <w:lang w:val="en-GB"/>
        </w:rPr>
        <w:t xml:space="preserve">. </w:t>
      </w:r>
      <w:r w:rsidR="003429CB" w:rsidRPr="00172374">
        <w:rPr>
          <w:lang w:val="en-GB"/>
        </w:rPr>
        <w:t>Notably</w:t>
      </w:r>
      <w:r w:rsidR="00C2020B" w:rsidRPr="00172374">
        <w:rPr>
          <w:lang w:val="en-GB"/>
        </w:rPr>
        <w:t xml:space="preserve">, the </w:t>
      </w:r>
      <w:r w:rsidR="003429CB" w:rsidRPr="00172374">
        <w:rPr>
          <w:lang w:val="en-GB"/>
        </w:rPr>
        <w:t xml:space="preserve">model including the new scale </w:t>
      </w:r>
      <w:r w:rsidR="00EA77C1" w:rsidRPr="00172374">
        <w:rPr>
          <w:lang w:val="en-GB"/>
        </w:rPr>
        <w:t xml:space="preserve">was the only </w:t>
      </w:r>
      <w:r w:rsidR="00C43C28" w:rsidRPr="00172374">
        <w:rPr>
          <w:lang w:val="en-GB"/>
        </w:rPr>
        <w:t xml:space="preserve">one </w:t>
      </w:r>
      <w:r w:rsidR="00EA77C1" w:rsidRPr="00172374">
        <w:rPr>
          <w:lang w:val="en-GB"/>
        </w:rPr>
        <w:t>to obtain</w:t>
      </w:r>
      <w:r w:rsidR="003429CB" w:rsidRPr="00172374">
        <w:rPr>
          <w:lang w:val="en-GB"/>
        </w:rPr>
        <w:t xml:space="preserve"> </w:t>
      </w:r>
      <w:r w:rsidR="00EA77C1" w:rsidRPr="00172374">
        <w:rPr>
          <w:lang w:val="en-GB"/>
        </w:rPr>
        <w:t>RMSEA estimates within acceptable conventional thresholds (i.e.</w:t>
      </w:r>
      <w:r w:rsidR="00897A93" w:rsidRPr="00172374">
        <w:rPr>
          <w:lang w:val="en-GB"/>
        </w:rPr>
        <w:t>,</w:t>
      </w:r>
      <w:r w:rsidR="00EA77C1" w:rsidRPr="00172374">
        <w:rPr>
          <w:lang w:val="en-GB"/>
        </w:rPr>
        <w:t xml:space="preserve"> below 0.08)</w:t>
      </w:r>
      <w:r w:rsidR="003429CB" w:rsidRPr="00172374">
        <w:rPr>
          <w:lang w:val="en-GB"/>
        </w:rPr>
        <w:t xml:space="preserve">. </w:t>
      </w:r>
    </w:p>
    <w:p w14:paraId="382FC06B" w14:textId="627F1FB6" w:rsidR="00226D38" w:rsidRPr="00172374" w:rsidRDefault="00006513" w:rsidP="003A2597">
      <w:pPr>
        <w:spacing w:after="240" w:line="480" w:lineRule="auto"/>
        <w:jc w:val="center"/>
      </w:pPr>
      <w:r w:rsidRPr="00172374">
        <w:t xml:space="preserve">Table </w:t>
      </w:r>
      <w:r w:rsidR="009C55D7" w:rsidRPr="00172374">
        <w:t>10</w:t>
      </w:r>
      <w:r w:rsidRPr="00172374">
        <w:t xml:space="preserve"> here</w:t>
      </w:r>
    </w:p>
    <w:p w14:paraId="1E86CE08" w14:textId="3A31ED3C" w:rsidR="00440084" w:rsidRPr="00172374" w:rsidRDefault="00440084" w:rsidP="00440084">
      <w:pPr>
        <w:spacing w:line="480" w:lineRule="auto"/>
        <w:ind w:firstLine="567"/>
        <w:jc w:val="both"/>
      </w:pPr>
      <w:r w:rsidRPr="00172374">
        <w:t>Finally, we conducted several usefulness and incremental validity tests following similar scale development endeavors (Kinicki et al., 2013) and in line with the process described in Darlington (1990) to showcase the additional contribution of our scale on top of the existing scales of brand orientation. Specifically, we conducted a series of hierarchical regressions where we tested the increase in prediction in the criterion variable (i.e., competitive advantage) when our new scale is added as a predictor on top of each one of the other two existing scales. Subsequently, we reversed the order of variable inclusion in the regression models, and we conducted another set of hierarchical regression analyses to test what is the additional predictive validity of the existing scales when the criterion variable is already predicted using our own scale (see Table 1</w:t>
      </w:r>
      <w:r w:rsidR="009C55D7" w:rsidRPr="00172374">
        <w:t xml:space="preserve">1 </w:t>
      </w:r>
      <w:r w:rsidRPr="00172374">
        <w:t xml:space="preserve">for </w:t>
      </w:r>
      <w:r w:rsidR="004D5B97" w:rsidRPr="00172374">
        <w:t>results</w:t>
      </w:r>
      <w:r w:rsidRPr="00172374">
        <w:t>)</w:t>
      </w:r>
      <w:r w:rsidR="004D5B97" w:rsidRPr="00172374">
        <w:t>.</w:t>
      </w:r>
      <w:r w:rsidRPr="00172374">
        <w:t xml:space="preserve"> </w:t>
      </w:r>
    </w:p>
    <w:p w14:paraId="7E377396" w14:textId="77E4D458" w:rsidR="00440084" w:rsidRPr="00172374" w:rsidRDefault="00440084" w:rsidP="00440084">
      <w:pPr>
        <w:spacing w:before="120" w:after="120" w:line="480" w:lineRule="auto"/>
        <w:jc w:val="center"/>
      </w:pPr>
      <w:r w:rsidRPr="00172374">
        <w:t>Table 1</w:t>
      </w:r>
      <w:r w:rsidR="009C55D7" w:rsidRPr="00172374">
        <w:t>1</w:t>
      </w:r>
      <w:r w:rsidRPr="00172374">
        <w:t xml:space="preserve"> here</w:t>
      </w:r>
    </w:p>
    <w:p w14:paraId="349AB890" w14:textId="1F0AAA63" w:rsidR="00440084" w:rsidRPr="00172374" w:rsidRDefault="00440084" w:rsidP="00440084">
      <w:pPr>
        <w:spacing w:line="480" w:lineRule="auto"/>
        <w:ind w:firstLine="567"/>
        <w:jc w:val="both"/>
      </w:pPr>
      <w:r w:rsidRPr="00172374">
        <w:t>The results of the usefulness analysis suggest that the new brand orientation scale explains a significant amount of variance on the criterion variable (R</w:t>
      </w:r>
      <w:r w:rsidRPr="00172374">
        <w:rPr>
          <w:vertAlign w:val="superscript"/>
        </w:rPr>
        <w:t>2</w:t>
      </w:r>
      <w:r w:rsidRPr="00172374">
        <w:t xml:space="preserve"> = .309, p &lt; .001). Also, the </w:t>
      </w:r>
      <w:r w:rsidRPr="00172374">
        <w:lastRenderedPageBreak/>
        <w:t xml:space="preserve">inclusion of the new brand orientation scale in models with the existing scales as first-level predictors leads to explanation of substantial unique variance on top of that explained by the other two scales (55% more than the Wong and </w:t>
      </w:r>
      <w:proofErr w:type="spellStart"/>
      <w:r w:rsidRPr="00172374">
        <w:t>Merilees</w:t>
      </w:r>
      <w:proofErr w:type="spellEnd"/>
      <w:r w:rsidRPr="00172374">
        <w:t xml:space="preserve"> </w:t>
      </w:r>
      <w:r w:rsidR="009A0749" w:rsidRPr="00172374">
        <w:rPr>
          <w:rFonts w:ascii="Arial" w:hAnsi="Arial" w:cs="Arial"/>
        </w:rPr>
        <w:t>[</w:t>
      </w:r>
      <w:r w:rsidRPr="00172374">
        <w:t>2007</w:t>
      </w:r>
      <w:r w:rsidR="009A0749" w:rsidRPr="00172374">
        <w:rPr>
          <w:rFonts w:ascii="Arial" w:hAnsi="Arial" w:cs="Arial"/>
        </w:rPr>
        <w:t>]</w:t>
      </w:r>
      <w:r w:rsidRPr="00172374">
        <w:t xml:space="preserve"> scale and 16% more than the Huang and Tsai </w:t>
      </w:r>
      <w:r w:rsidR="009A0749" w:rsidRPr="00172374">
        <w:rPr>
          <w:rFonts w:ascii="Arial" w:hAnsi="Arial" w:cs="Arial"/>
        </w:rPr>
        <w:t>[</w:t>
      </w:r>
      <w:r w:rsidRPr="00172374">
        <w:t>2013</w:t>
      </w:r>
      <w:r w:rsidR="009A0749" w:rsidRPr="00172374">
        <w:rPr>
          <w:rFonts w:ascii="Arial" w:hAnsi="Arial" w:cs="Arial"/>
        </w:rPr>
        <w:t>]</w:t>
      </w:r>
      <w:r w:rsidRPr="00172374">
        <w:t xml:space="preserve"> scale). Finally, the new brand orientation scale exhibits evidence of superior predictive validity compared to the Wong and </w:t>
      </w:r>
      <w:proofErr w:type="spellStart"/>
      <w:r w:rsidRPr="00172374">
        <w:t>Merilees</w:t>
      </w:r>
      <w:proofErr w:type="spellEnd"/>
      <w:r w:rsidRPr="00172374">
        <w:t xml:space="preserve"> (2007) scale as the inclusion of the latter on top of our new scale does not lead to a significant increase in R</w:t>
      </w:r>
      <w:r w:rsidRPr="00172374">
        <w:rPr>
          <w:vertAlign w:val="superscript"/>
        </w:rPr>
        <w:t>2</w:t>
      </w:r>
      <w:r w:rsidRPr="00172374">
        <w:t>.</w:t>
      </w:r>
    </w:p>
    <w:p w14:paraId="03FD0B50" w14:textId="77777777" w:rsidR="004E0131" w:rsidRPr="00172374" w:rsidRDefault="004E0131" w:rsidP="000D59B1">
      <w:pPr>
        <w:spacing w:line="480" w:lineRule="auto"/>
        <w:rPr>
          <w:i/>
        </w:rPr>
      </w:pPr>
    </w:p>
    <w:p w14:paraId="1AF5936D" w14:textId="31A170DA" w:rsidR="00D547CD" w:rsidRPr="00172374" w:rsidRDefault="000F4976" w:rsidP="000D59B1">
      <w:pPr>
        <w:spacing w:line="480" w:lineRule="auto"/>
      </w:pPr>
      <w:r w:rsidRPr="00172374">
        <w:rPr>
          <w:i/>
        </w:rPr>
        <w:t>3</w:t>
      </w:r>
      <w:r w:rsidR="00D547CD" w:rsidRPr="00172374">
        <w:rPr>
          <w:i/>
        </w:rPr>
        <w:t>.</w:t>
      </w:r>
      <w:r w:rsidR="0022623B" w:rsidRPr="00172374">
        <w:rPr>
          <w:i/>
        </w:rPr>
        <w:t>5</w:t>
      </w:r>
      <w:r w:rsidR="00D547CD" w:rsidRPr="00172374">
        <w:rPr>
          <w:i/>
        </w:rPr>
        <w:t xml:space="preserve">. </w:t>
      </w:r>
      <w:r w:rsidR="00505FCB" w:rsidRPr="00172374">
        <w:rPr>
          <w:i/>
        </w:rPr>
        <w:t xml:space="preserve">Study </w:t>
      </w:r>
      <w:r w:rsidR="0022623B" w:rsidRPr="00172374">
        <w:rPr>
          <w:i/>
        </w:rPr>
        <w:t>5</w:t>
      </w:r>
      <w:r w:rsidR="001B509E" w:rsidRPr="00172374">
        <w:rPr>
          <w:i/>
        </w:rPr>
        <w:t xml:space="preserve">: </w:t>
      </w:r>
      <w:r w:rsidR="00343B2D" w:rsidRPr="00172374">
        <w:rPr>
          <w:i/>
        </w:rPr>
        <w:t xml:space="preserve">Scale </w:t>
      </w:r>
      <w:r w:rsidR="001B509E" w:rsidRPr="00172374">
        <w:rPr>
          <w:i/>
        </w:rPr>
        <w:t>validation</w:t>
      </w:r>
    </w:p>
    <w:p w14:paraId="5A258C2C" w14:textId="61780CD3" w:rsidR="00F607BC" w:rsidRPr="00172374" w:rsidRDefault="002A1D50" w:rsidP="00AA3595">
      <w:pPr>
        <w:spacing w:line="480" w:lineRule="auto"/>
        <w:ind w:firstLine="567"/>
      </w:pPr>
      <w:r w:rsidRPr="00172374">
        <w:t>We conducted a</w:t>
      </w:r>
      <w:r w:rsidR="00ED5870" w:rsidRPr="00172374">
        <w:t xml:space="preserve"> </w:t>
      </w:r>
      <w:r w:rsidR="0022623B" w:rsidRPr="00172374">
        <w:t>third</w:t>
      </w:r>
      <w:r w:rsidR="00ED5870" w:rsidRPr="00172374">
        <w:t xml:space="preserve"> quantitative study </w:t>
      </w:r>
      <w:r w:rsidR="00785208" w:rsidRPr="00172374">
        <w:t xml:space="preserve">to finalize the scale, further confirm its dimensionality, and test </w:t>
      </w:r>
      <w:r w:rsidR="00ED5870" w:rsidRPr="00172374">
        <w:t xml:space="preserve">its </w:t>
      </w:r>
      <w:r w:rsidR="00785208" w:rsidRPr="00172374">
        <w:t>psychometric properties</w:t>
      </w:r>
      <w:r w:rsidR="00ED5870" w:rsidRPr="00172374">
        <w:t xml:space="preserve">. </w:t>
      </w:r>
      <w:r w:rsidRPr="00172374">
        <w:t>We designed a</w:t>
      </w:r>
      <w:r w:rsidR="00ED5870" w:rsidRPr="00172374">
        <w:t xml:space="preserve"> formal questionnaire to include the</w:t>
      </w:r>
      <w:r w:rsidR="00785208" w:rsidRPr="00172374">
        <w:t xml:space="preserve"> developed</w:t>
      </w:r>
      <w:r w:rsidR="00ED5870" w:rsidRPr="00172374">
        <w:t xml:space="preserve"> </w:t>
      </w:r>
      <w:r w:rsidR="00202DDF" w:rsidRPr="00172374">
        <w:t>brand orientation</w:t>
      </w:r>
      <w:r w:rsidR="00ED5870" w:rsidRPr="00172374">
        <w:t xml:space="preserve"> scale, the market orientation</w:t>
      </w:r>
      <w:r w:rsidR="00F41583" w:rsidRPr="00172374">
        <w:t xml:space="preserve"> </w:t>
      </w:r>
      <w:r w:rsidR="00ED5870" w:rsidRPr="00172374">
        <w:t xml:space="preserve">scale </w:t>
      </w:r>
      <w:r w:rsidRPr="00172374">
        <w:t xml:space="preserve">of </w:t>
      </w:r>
      <w:proofErr w:type="spellStart"/>
      <w:r w:rsidR="00ED5870" w:rsidRPr="00172374">
        <w:t>Narver</w:t>
      </w:r>
      <w:proofErr w:type="spellEnd"/>
      <w:r w:rsidR="00ED5870" w:rsidRPr="00172374">
        <w:t xml:space="preserve"> </w:t>
      </w:r>
      <w:r w:rsidRPr="00172374">
        <w:t>and</w:t>
      </w:r>
      <w:r w:rsidR="004A32F4" w:rsidRPr="00172374">
        <w:t xml:space="preserve"> Slater </w:t>
      </w:r>
      <w:r w:rsidRPr="00172374">
        <w:t>(</w:t>
      </w:r>
      <w:r w:rsidR="004A32F4" w:rsidRPr="00172374">
        <w:t>1990), a scale measuring the power of the marketing department within the organization (</w:t>
      </w:r>
      <w:r w:rsidR="002F5AA2" w:rsidRPr="00172374">
        <w:t>Kohli, 1989</w:t>
      </w:r>
      <w:r w:rsidR="00A019C4" w:rsidRPr="00172374">
        <w:t>)</w:t>
      </w:r>
      <w:r w:rsidRPr="00172374">
        <w:t>,</w:t>
      </w:r>
      <w:r w:rsidR="00A019C4" w:rsidRPr="00172374">
        <w:t xml:space="preserve"> </w:t>
      </w:r>
      <w:r w:rsidR="00ED5870" w:rsidRPr="00172374">
        <w:t xml:space="preserve">and </w:t>
      </w:r>
      <w:r w:rsidRPr="00172374">
        <w:t xml:space="preserve">the </w:t>
      </w:r>
      <w:r w:rsidR="00F41583" w:rsidRPr="00172374">
        <w:t>financi</w:t>
      </w:r>
      <w:r w:rsidR="00702532" w:rsidRPr="00172374">
        <w:t xml:space="preserve">al performance scale </w:t>
      </w:r>
      <w:r w:rsidRPr="00172374">
        <w:t xml:space="preserve">of </w:t>
      </w:r>
      <w:proofErr w:type="spellStart"/>
      <w:r w:rsidR="00702532" w:rsidRPr="00172374">
        <w:t>Yau</w:t>
      </w:r>
      <w:proofErr w:type="spellEnd"/>
      <w:r w:rsidRPr="00172374">
        <w:t xml:space="preserve">, Chow, Sin, </w:t>
      </w:r>
      <w:proofErr w:type="spellStart"/>
      <w:r w:rsidRPr="00172374">
        <w:t>Tse</w:t>
      </w:r>
      <w:proofErr w:type="spellEnd"/>
      <w:r w:rsidRPr="00172374">
        <w:t xml:space="preserve">, </w:t>
      </w:r>
      <w:proofErr w:type="spellStart"/>
      <w:r w:rsidRPr="00172374">
        <w:t>Luk</w:t>
      </w:r>
      <w:proofErr w:type="spellEnd"/>
      <w:r w:rsidRPr="00172374">
        <w:t>, and Lee</w:t>
      </w:r>
      <w:r w:rsidR="00702532" w:rsidRPr="00172374">
        <w:t xml:space="preserve"> </w:t>
      </w:r>
      <w:r w:rsidRPr="00172374">
        <w:t>(</w:t>
      </w:r>
      <w:r w:rsidR="00F41583" w:rsidRPr="00172374">
        <w:t xml:space="preserve">2007). </w:t>
      </w:r>
    </w:p>
    <w:p w14:paraId="6D7F4A13" w14:textId="0DA0301E" w:rsidR="00DE7B86" w:rsidRPr="00172374" w:rsidRDefault="00F41583" w:rsidP="00AA3595">
      <w:pPr>
        <w:spacing w:line="480" w:lineRule="auto"/>
        <w:ind w:firstLine="567"/>
      </w:pPr>
      <w:r w:rsidRPr="00172374">
        <w:t xml:space="preserve">A representative proportion from different sectors was desirable, and </w:t>
      </w:r>
      <w:r w:rsidR="00B74783" w:rsidRPr="00172374">
        <w:t xml:space="preserve">we included </w:t>
      </w:r>
      <w:r w:rsidRPr="00172374">
        <w:t xml:space="preserve">large firms with a turnover </w:t>
      </w:r>
      <w:r w:rsidR="00B74783" w:rsidRPr="00172374">
        <w:t>of more than</w:t>
      </w:r>
      <w:r w:rsidRPr="00172374">
        <w:t xml:space="preserve"> </w:t>
      </w:r>
      <w:r w:rsidR="00B74783" w:rsidRPr="00172374">
        <w:t>€</w:t>
      </w:r>
      <w:r w:rsidRPr="00172374">
        <w:t>10 m</w:t>
      </w:r>
      <w:r w:rsidR="00A019C4" w:rsidRPr="00172374">
        <w:t>illion</w:t>
      </w:r>
      <w:r w:rsidRPr="00172374">
        <w:t xml:space="preserve"> in the study population to guarantee the minimum expectation of a branding strategy. To satisfy our criteria, </w:t>
      </w:r>
      <w:r w:rsidR="00B74783" w:rsidRPr="00172374">
        <w:t xml:space="preserve">our </w:t>
      </w:r>
      <w:r w:rsidR="004D4E34" w:rsidRPr="00172374">
        <w:t xml:space="preserve">sampling frame </w:t>
      </w:r>
      <w:r w:rsidR="00B74783" w:rsidRPr="00172374">
        <w:t xml:space="preserve">included </w:t>
      </w:r>
      <w:r w:rsidRPr="00172374">
        <w:t>a list of 1</w:t>
      </w:r>
      <w:r w:rsidR="00B74783" w:rsidRPr="00172374">
        <w:t>,</w:t>
      </w:r>
      <w:r w:rsidRPr="00172374">
        <w:t xml:space="preserve">431 firms from the database of a Gallup subsidiary </w:t>
      </w:r>
      <w:r w:rsidR="00574391" w:rsidRPr="00172374">
        <w:t xml:space="preserve">in </w:t>
      </w:r>
      <w:r w:rsidR="00292A5E" w:rsidRPr="00172374">
        <w:t>Greece</w:t>
      </w:r>
      <w:r w:rsidRPr="00172374">
        <w:t xml:space="preserve">. </w:t>
      </w:r>
      <w:r w:rsidR="00B74783" w:rsidRPr="00172374">
        <w:t>We selected a</w:t>
      </w:r>
      <w:r w:rsidRPr="00172374">
        <w:t xml:space="preserve"> stratified sample of 500 firms from these companies. A web-based survey </w:t>
      </w:r>
      <w:r w:rsidR="00B74783" w:rsidRPr="00172374">
        <w:t xml:space="preserve">collected the </w:t>
      </w:r>
      <w:r w:rsidRPr="00172374">
        <w:t xml:space="preserve">data </w:t>
      </w:r>
      <w:r w:rsidR="00B74783" w:rsidRPr="00172374">
        <w:t>from</w:t>
      </w:r>
      <w:r w:rsidRPr="00172374">
        <w:t xml:space="preserve"> </w:t>
      </w:r>
      <w:r w:rsidR="00B74783" w:rsidRPr="00172374">
        <w:t>m</w:t>
      </w:r>
      <w:r w:rsidRPr="00172374">
        <w:t xml:space="preserve">arketing or </w:t>
      </w:r>
      <w:r w:rsidR="00B74783" w:rsidRPr="00172374">
        <w:t>b</w:t>
      </w:r>
      <w:r w:rsidRPr="00172374">
        <w:t xml:space="preserve">rand </w:t>
      </w:r>
      <w:r w:rsidR="00B74783" w:rsidRPr="00172374">
        <w:t>m</w:t>
      </w:r>
      <w:r w:rsidRPr="00172374">
        <w:t>anagers of the selected firms. To maximize the response rate, we also adopted several elements of the “total method approach” to survey design</w:t>
      </w:r>
      <w:r w:rsidR="00A066CD" w:rsidRPr="00172374">
        <w:t xml:space="preserve"> (</w:t>
      </w:r>
      <w:proofErr w:type="spellStart"/>
      <w:r w:rsidR="00A066CD" w:rsidRPr="00172374">
        <w:t>Dillman</w:t>
      </w:r>
      <w:proofErr w:type="spellEnd"/>
      <w:r w:rsidR="00A066CD" w:rsidRPr="00172374">
        <w:t>, 2007)</w:t>
      </w:r>
      <w:r w:rsidR="00035A3A" w:rsidRPr="00172374">
        <w:t xml:space="preserve">, including a personal letter with signature, a reminder letter, and </w:t>
      </w:r>
      <w:r w:rsidR="00B74783" w:rsidRPr="00172374">
        <w:t xml:space="preserve">a </w:t>
      </w:r>
      <w:r w:rsidR="00035A3A" w:rsidRPr="00172374">
        <w:t xml:space="preserve">summary of the results as an incentive to participate. </w:t>
      </w:r>
      <w:r w:rsidR="00B74783" w:rsidRPr="00172374">
        <w:t xml:space="preserve">We received </w:t>
      </w:r>
      <w:r w:rsidR="00035A3A" w:rsidRPr="00172374">
        <w:t xml:space="preserve">242 usable </w:t>
      </w:r>
      <w:r w:rsidR="00A019C4" w:rsidRPr="00172374">
        <w:t>questionnaires</w:t>
      </w:r>
      <w:r w:rsidR="00B74783" w:rsidRPr="00172374">
        <w:t xml:space="preserve"> of the 500 sent, for</w:t>
      </w:r>
      <w:r w:rsidR="00A019C4" w:rsidRPr="00172374">
        <w:t xml:space="preserve"> a </w:t>
      </w:r>
      <w:r w:rsidR="00035A3A" w:rsidRPr="00172374">
        <w:t xml:space="preserve">response rate </w:t>
      </w:r>
      <w:r w:rsidR="00B74783" w:rsidRPr="00172374">
        <w:t xml:space="preserve">of 48.4% </w:t>
      </w:r>
      <w:r w:rsidR="00035A3A" w:rsidRPr="00172374">
        <w:t xml:space="preserve">(see </w:t>
      </w:r>
      <w:r w:rsidR="00867BA8" w:rsidRPr="00172374">
        <w:t>T</w:t>
      </w:r>
      <w:r w:rsidR="00A27938" w:rsidRPr="00172374">
        <w:t xml:space="preserve">able </w:t>
      </w:r>
      <w:r w:rsidR="008E1800" w:rsidRPr="00172374">
        <w:t>1</w:t>
      </w:r>
      <w:r w:rsidR="009C55D7" w:rsidRPr="00172374">
        <w:t>2</w:t>
      </w:r>
      <w:r w:rsidR="00A27938" w:rsidRPr="00172374">
        <w:t xml:space="preserve"> for sample characteristics</w:t>
      </w:r>
      <w:r w:rsidR="001B202B" w:rsidRPr="00172374">
        <w:t xml:space="preserve"> and Appendix A</w:t>
      </w:r>
      <w:r w:rsidR="00315777" w:rsidRPr="00172374">
        <w:t>9</w:t>
      </w:r>
      <w:r w:rsidR="001B202B" w:rsidRPr="00172374">
        <w:t xml:space="preserve"> for data collection process details</w:t>
      </w:r>
      <w:r w:rsidR="00035A3A" w:rsidRPr="00172374">
        <w:t>).</w:t>
      </w:r>
    </w:p>
    <w:p w14:paraId="4749AFCA" w14:textId="0D3950C6" w:rsidR="002A69C6" w:rsidRPr="00172374" w:rsidRDefault="00B21591" w:rsidP="003A2597">
      <w:pPr>
        <w:spacing w:after="240" w:line="480" w:lineRule="auto"/>
        <w:jc w:val="center"/>
      </w:pPr>
      <w:r w:rsidRPr="00172374">
        <w:lastRenderedPageBreak/>
        <w:t xml:space="preserve">Table </w:t>
      </w:r>
      <w:r w:rsidR="008E1800" w:rsidRPr="00172374">
        <w:t>1</w:t>
      </w:r>
      <w:r w:rsidR="009C55D7" w:rsidRPr="00172374">
        <w:t>2</w:t>
      </w:r>
      <w:r w:rsidRPr="00172374">
        <w:t xml:space="preserve"> here</w:t>
      </w:r>
    </w:p>
    <w:p w14:paraId="70E9C002" w14:textId="77777777" w:rsidR="0010573B" w:rsidRPr="00172374" w:rsidRDefault="0010573B" w:rsidP="0010573B">
      <w:pPr>
        <w:pStyle w:val="a3"/>
        <w:spacing w:after="0" w:line="480" w:lineRule="auto"/>
        <w:ind w:hanging="720"/>
        <w:rPr>
          <w:rFonts w:ascii="Times New Roman" w:hAnsi="Times New Roman"/>
          <w:i/>
          <w:sz w:val="24"/>
        </w:rPr>
      </w:pPr>
      <w:r w:rsidRPr="00172374">
        <w:rPr>
          <w:rFonts w:ascii="Times New Roman" w:hAnsi="Times New Roman"/>
          <w:i/>
          <w:sz w:val="24"/>
        </w:rPr>
        <w:t xml:space="preserve">3.5.1. Internal reliability </w:t>
      </w:r>
    </w:p>
    <w:p w14:paraId="5277EE95" w14:textId="6CA0E9EF" w:rsidR="0010573B" w:rsidRPr="00172374" w:rsidRDefault="00B74783" w:rsidP="00155E04">
      <w:pPr>
        <w:spacing w:line="480" w:lineRule="auto"/>
        <w:ind w:firstLine="567"/>
        <w:rPr>
          <w:i/>
        </w:rPr>
      </w:pPr>
      <w:r w:rsidRPr="00172374">
        <w:t>We assessed i</w:t>
      </w:r>
      <w:r w:rsidR="0010573B" w:rsidRPr="00172374">
        <w:t>nternal reliability of the four</w:t>
      </w:r>
      <w:r w:rsidR="00202DDF" w:rsidRPr="00172374">
        <w:t xml:space="preserve"> brand orientation</w:t>
      </w:r>
      <w:r w:rsidR="0010573B" w:rsidRPr="00172374">
        <w:t xml:space="preserve"> dimensions by calculating Cronbach’s alpha</w:t>
      </w:r>
      <w:r w:rsidRPr="00172374">
        <w:t>s</w:t>
      </w:r>
      <w:r w:rsidR="0010573B" w:rsidRPr="00172374">
        <w:t xml:space="preserve"> and the CR</w:t>
      </w:r>
      <w:r w:rsidR="005A1373" w:rsidRPr="00172374">
        <w:t>s</w:t>
      </w:r>
      <w:r w:rsidR="0010573B" w:rsidRPr="00172374">
        <w:t>. The values were satisfactory (BIM: α</w:t>
      </w:r>
      <w:r w:rsidRPr="00172374">
        <w:t xml:space="preserve"> </w:t>
      </w:r>
      <w:r w:rsidR="0010573B" w:rsidRPr="00172374">
        <w:t>= 0.90, CR = 0.</w:t>
      </w:r>
      <w:r w:rsidR="00567E59" w:rsidRPr="00172374">
        <w:t>90</w:t>
      </w:r>
      <w:r w:rsidR="0010573B" w:rsidRPr="00172374">
        <w:t>; BCON: α = 0.9</w:t>
      </w:r>
      <w:r w:rsidR="004979D5" w:rsidRPr="00172374">
        <w:t>0</w:t>
      </w:r>
      <w:r w:rsidR="0010573B" w:rsidRPr="00172374">
        <w:t>, CR = 0.</w:t>
      </w:r>
      <w:r w:rsidR="00567E59" w:rsidRPr="00172374">
        <w:t>9</w:t>
      </w:r>
      <w:r w:rsidR="004979D5" w:rsidRPr="00172374">
        <w:t>1</w:t>
      </w:r>
      <w:r w:rsidR="0010573B" w:rsidRPr="00172374">
        <w:t>; BDIF: α = 0.89, CR = 0.8</w:t>
      </w:r>
      <w:r w:rsidR="00567E59" w:rsidRPr="00172374">
        <w:t>8</w:t>
      </w:r>
      <w:r w:rsidR="0010573B" w:rsidRPr="00172374">
        <w:t>; BINT: α = 0.9</w:t>
      </w:r>
      <w:r w:rsidR="004979D5" w:rsidRPr="00172374">
        <w:t>1</w:t>
      </w:r>
      <w:r w:rsidR="0010573B" w:rsidRPr="00172374">
        <w:t>, CR = 0.89), exceeding the accepted reliability thresholds</w:t>
      </w:r>
      <w:r w:rsidR="00155E04" w:rsidRPr="00172374">
        <w:t xml:space="preserve"> (Hair et al., 2014).</w:t>
      </w:r>
      <w:r w:rsidR="0010573B" w:rsidRPr="00172374">
        <w:t xml:space="preserve"> All individual items falling </w:t>
      </w:r>
      <w:r w:rsidR="006E5A23" w:rsidRPr="00172374">
        <w:t xml:space="preserve">within </w:t>
      </w:r>
      <w:r w:rsidR="0010573B" w:rsidRPr="00172374">
        <w:t>each dimension show an average item-to-total correlation of 0.74 (all exceeding 0.53), indicating satisfactory levels of internal consistency</w:t>
      </w:r>
      <w:r w:rsidR="00155E04" w:rsidRPr="00172374">
        <w:t xml:space="preserve"> (Bearden &amp; </w:t>
      </w:r>
      <w:proofErr w:type="spellStart"/>
      <w:r w:rsidR="00155E04" w:rsidRPr="00172374">
        <w:t>Netemeyer</w:t>
      </w:r>
      <w:proofErr w:type="spellEnd"/>
      <w:r w:rsidR="00155E04" w:rsidRPr="00172374">
        <w:t>, 1998)</w:t>
      </w:r>
      <w:r w:rsidR="0010573B" w:rsidRPr="00172374">
        <w:t>.</w:t>
      </w:r>
      <w:r w:rsidR="0010573B" w:rsidRPr="00172374">
        <w:rPr>
          <w:i/>
        </w:rPr>
        <w:cr/>
      </w:r>
    </w:p>
    <w:p w14:paraId="5E08ACA8" w14:textId="77777777" w:rsidR="00D51802" w:rsidRPr="00172374" w:rsidRDefault="000F4976" w:rsidP="0010573B">
      <w:pPr>
        <w:spacing w:line="480" w:lineRule="auto"/>
      </w:pPr>
      <w:r w:rsidRPr="00172374">
        <w:rPr>
          <w:i/>
        </w:rPr>
        <w:t>3</w:t>
      </w:r>
      <w:r w:rsidR="00D51802" w:rsidRPr="00172374">
        <w:rPr>
          <w:i/>
        </w:rPr>
        <w:t>.</w:t>
      </w:r>
      <w:r w:rsidR="0022623B" w:rsidRPr="00172374">
        <w:rPr>
          <w:i/>
        </w:rPr>
        <w:t>5</w:t>
      </w:r>
      <w:r w:rsidR="00D51802" w:rsidRPr="00172374">
        <w:rPr>
          <w:i/>
        </w:rPr>
        <w:t>.</w:t>
      </w:r>
      <w:r w:rsidR="00567E59" w:rsidRPr="00172374">
        <w:rPr>
          <w:i/>
        </w:rPr>
        <w:t>2</w:t>
      </w:r>
      <w:r w:rsidR="00D51802" w:rsidRPr="00172374">
        <w:rPr>
          <w:i/>
        </w:rPr>
        <w:t xml:space="preserve">. </w:t>
      </w:r>
      <w:r w:rsidR="00C52CAD" w:rsidRPr="00172374">
        <w:rPr>
          <w:i/>
        </w:rPr>
        <w:t>D</w:t>
      </w:r>
      <w:r w:rsidR="00D51802" w:rsidRPr="00172374">
        <w:rPr>
          <w:i/>
        </w:rPr>
        <w:t>iscriminant validity</w:t>
      </w:r>
      <w:r w:rsidR="006431B4" w:rsidRPr="00172374">
        <w:rPr>
          <w:i/>
        </w:rPr>
        <w:t xml:space="preserve"> and construct dimensionality</w:t>
      </w:r>
    </w:p>
    <w:p w14:paraId="0DD4A3C4" w14:textId="5DA02D02" w:rsidR="006E0052" w:rsidRPr="00172374" w:rsidRDefault="00D51802" w:rsidP="000D59B1">
      <w:pPr>
        <w:spacing w:line="480" w:lineRule="auto"/>
        <w:ind w:firstLine="567"/>
      </w:pPr>
      <w:r w:rsidRPr="00172374">
        <w:t xml:space="preserve">In this phase of </w:t>
      </w:r>
      <w:r w:rsidR="00E52A3E" w:rsidRPr="00172374">
        <w:t xml:space="preserve">the </w:t>
      </w:r>
      <w:r w:rsidRPr="00172374">
        <w:t xml:space="preserve">scale development process, </w:t>
      </w:r>
      <w:r w:rsidR="00512C25" w:rsidRPr="00172374">
        <w:t>we</w:t>
      </w:r>
      <w:r w:rsidRPr="00172374">
        <w:t xml:space="preserve"> conducted </w:t>
      </w:r>
      <w:r w:rsidR="00512C25" w:rsidRPr="00172374">
        <w:t xml:space="preserve">CFA </w:t>
      </w:r>
      <w:r w:rsidR="00E52A3E" w:rsidRPr="00172374">
        <w:t>in which</w:t>
      </w:r>
      <w:r w:rsidRPr="00172374">
        <w:t xml:space="preserve"> all </w:t>
      </w:r>
      <w:r w:rsidR="00E52A3E" w:rsidRPr="00172374">
        <w:t xml:space="preserve">scale </w:t>
      </w:r>
      <w:r w:rsidRPr="00172374">
        <w:t xml:space="preserve">items loaded on their respective construct. The measurement model provided a good fit to the data </w:t>
      </w:r>
      <w:r w:rsidR="00173E29" w:rsidRPr="00172374">
        <w:t>(</w:t>
      </w:r>
      <w:r w:rsidR="00460071" w:rsidRPr="00172374">
        <w:t>χ² = 334.3</w:t>
      </w:r>
      <w:r w:rsidR="003B3862" w:rsidRPr="00172374">
        <w:t>;</w:t>
      </w:r>
      <w:r w:rsidR="00460071" w:rsidRPr="00172374">
        <w:t xml:space="preserve"> </w:t>
      </w:r>
      <w:r w:rsidR="00460071" w:rsidRPr="00172374">
        <w:rPr>
          <w:i/>
          <w:iCs/>
        </w:rPr>
        <w:t>df</w:t>
      </w:r>
      <w:r w:rsidR="00460071" w:rsidRPr="00172374">
        <w:t xml:space="preserve"> = 185</w:t>
      </w:r>
      <w:r w:rsidR="003B3862" w:rsidRPr="00172374">
        <w:t>;</w:t>
      </w:r>
      <w:r w:rsidR="00460071" w:rsidRPr="00172374">
        <w:t xml:space="preserve"> </w:t>
      </w:r>
      <w:r w:rsidR="00460071" w:rsidRPr="00172374">
        <w:rPr>
          <w:i/>
          <w:iCs/>
        </w:rPr>
        <w:t>p</w:t>
      </w:r>
      <w:r w:rsidR="00F607BC" w:rsidRPr="00172374">
        <w:t xml:space="preserve"> </w:t>
      </w:r>
      <w:r w:rsidR="00460071" w:rsidRPr="00172374">
        <w:t>&lt;</w:t>
      </w:r>
      <w:r w:rsidR="00F607BC" w:rsidRPr="00172374">
        <w:t xml:space="preserve"> </w:t>
      </w:r>
      <w:r w:rsidR="00460071" w:rsidRPr="00172374">
        <w:t>0.001</w:t>
      </w:r>
      <w:r w:rsidR="00173E29" w:rsidRPr="00172374">
        <w:t>;</w:t>
      </w:r>
      <w:r w:rsidR="00460071" w:rsidRPr="00172374">
        <w:t xml:space="preserve"> CFI = 0.961</w:t>
      </w:r>
      <w:r w:rsidR="00173E29" w:rsidRPr="00172374">
        <w:t>;</w:t>
      </w:r>
      <w:r w:rsidR="00460071" w:rsidRPr="00172374">
        <w:t xml:space="preserve"> RMSEA = 0.0</w:t>
      </w:r>
      <w:r w:rsidR="00B276F7" w:rsidRPr="00172374">
        <w:t>59</w:t>
      </w:r>
      <w:r w:rsidR="00173E29" w:rsidRPr="00172374">
        <w:t xml:space="preserve">; </w:t>
      </w:r>
      <w:r w:rsidR="00B276F7" w:rsidRPr="00172374">
        <w:t>SRMR</w:t>
      </w:r>
      <w:r w:rsidR="00E52D05" w:rsidRPr="00172374">
        <w:t xml:space="preserve"> </w:t>
      </w:r>
      <w:r w:rsidR="00B276F7" w:rsidRPr="00172374">
        <w:t>=</w:t>
      </w:r>
      <w:r w:rsidR="00E52D05" w:rsidRPr="00172374">
        <w:t xml:space="preserve"> </w:t>
      </w:r>
      <w:r w:rsidR="00B276F7" w:rsidRPr="00172374">
        <w:t>0.056</w:t>
      </w:r>
      <w:r w:rsidR="00173E29" w:rsidRPr="00172374">
        <w:t>)</w:t>
      </w:r>
      <w:r w:rsidR="00460071" w:rsidRPr="00172374">
        <w:t xml:space="preserve">. </w:t>
      </w:r>
      <w:r w:rsidR="00E52A3E" w:rsidRPr="00172374">
        <w:t xml:space="preserve">Given </w:t>
      </w:r>
      <w:r w:rsidR="006F5CD8" w:rsidRPr="00172374">
        <w:t>the model fit statistics</w:t>
      </w:r>
      <w:r w:rsidR="00173E29" w:rsidRPr="00172374">
        <w:t xml:space="preserve"> (Hair et al., </w:t>
      </w:r>
      <w:r w:rsidR="00E52A3E" w:rsidRPr="00172374">
        <w:t>2014</w:t>
      </w:r>
      <w:r w:rsidR="00173E29" w:rsidRPr="00172374">
        <w:t>)</w:t>
      </w:r>
      <w:r w:rsidR="006F5CD8" w:rsidRPr="00172374">
        <w:t>, no re</w:t>
      </w:r>
      <w:r w:rsidR="00E52A3E" w:rsidRPr="00172374">
        <w:t>-</w:t>
      </w:r>
      <w:r w:rsidR="006F5CD8" w:rsidRPr="00172374">
        <w:t xml:space="preserve">specification of the </w:t>
      </w:r>
      <w:r w:rsidR="00202DDF" w:rsidRPr="00172374">
        <w:t>brand orientation</w:t>
      </w:r>
      <w:r w:rsidR="006F5CD8" w:rsidRPr="00172374">
        <w:t xml:space="preserve"> measurement model </w:t>
      </w:r>
      <w:r w:rsidR="00B276F7" w:rsidRPr="00172374">
        <w:t xml:space="preserve">was </w:t>
      </w:r>
      <w:r w:rsidR="00E52A3E" w:rsidRPr="00172374">
        <w:t>necessary</w:t>
      </w:r>
      <w:r w:rsidR="00B276F7" w:rsidRPr="00172374">
        <w:t>. The hypothesiz</w:t>
      </w:r>
      <w:r w:rsidR="006F5CD8" w:rsidRPr="00172374">
        <w:t xml:space="preserve">ed factor structure of the construct is supported. </w:t>
      </w:r>
      <w:r w:rsidR="00E52A3E" w:rsidRPr="00172374">
        <w:t>As Fig. 1 shows, the</w:t>
      </w:r>
      <w:r w:rsidR="00460071" w:rsidRPr="00172374">
        <w:t xml:space="preserve"> loadings of items on their hypothesized latent construct are all positive, high in magnitude </w:t>
      </w:r>
      <w:r w:rsidR="002F398F" w:rsidRPr="00172374">
        <w:t>(from 0.64 to 0.89)</w:t>
      </w:r>
      <w:r w:rsidR="00E52A3E" w:rsidRPr="00172374">
        <w:t>,</w:t>
      </w:r>
      <w:r w:rsidR="002F398F" w:rsidRPr="00172374">
        <w:t xml:space="preserve"> </w:t>
      </w:r>
      <w:r w:rsidR="00460071" w:rsidRPr="00172374">
        <w:t xml:space="preserve">and statistically significant, </w:t>
      </w:r>
      <w:r w:rsidR="00E52A3E" w:rsidRPr="00172374">
        <w:t>thus</w:t>
      </w:r>
      <w:r w:rsidR="00460071" w:rsidRPr="00172374">
        <w:t xml:space="preserve"> demonstrat</w:t>
      </w:r>
      <w:r w:rsidR="00E52A3E" w:rsidRPr="00172374">
        <w:t>ing</w:t>
      </w:r>
      <w:r w:rsidR="00460071" w:rsidRPr="00172374">
        <w:t xml:space="preserve"> convergent validity (</w:t>
      </w:r>
      <w:proofErr w:type="spellStart"/>
      <w:r w:rsidR="00460071" w:rsidRPr="00172374">
        <w:t>Gerbing</w:t>
      </w:r>
      <w:proofErr w:type="spellEnd"/>
      <w:r w:rsidR="00460071" w:rsidRPr="00172374">
        <w:t xml:space="preserve"> &amp; Anderson, 1988). </w:t>
      </w:r>
    </w:p>
    <w:p w14:paraId="319B5DE9" w14:textId="77777777" w:rsidR="00B22AB4" w:rsidRPr="00172374" w:rsidRDefault="00B22AB4" w:rsidP="003A2597">
      <w:pPr>
        <w:spacing w:after="240" w:line="480" w:lineRule="auto"/>
        <w:jc w:val="center"/>
      </w:pPr>
      <w:r w:rsidRPr="00172374">
        <w:t>Figure 1 here</w:t>
      </w:r>
    </w:p>
    <w:p w14:paraId="306E86F7" w14:textId="27D2D5FC" w:rsidR="003D7EC4" w:rsidRPr="00172374" w:rsidRDefault="00BB07F1" w:rsidP="000D59B1">
      <w:pPr>
        <w:spacing w:line="480" w:lineRule="auto"/>
        <w:ind w:firstLine="567"/>
      </w:pPr>
      <w:r w:rsidRPr="00172374">
        <w:t>The paths from the second-order factor to the first-order dimensions are also positive and significant (BO</w:t>
      </w:r>
      <w:r w:rsidRPr="00172374">
        <w:rPr>
          <w:rFonts w:ascii="Cambria" w:hAnsi="Cambria"/>
        </w:rPr>
        <w:t>→</w:t>
      </w:r>
      <w:r w:rsidRPr="00172374">
        <w:t xml:space="preserve">BIM: </w:t>
      </w:r>
      <w:r w:rsidRPr="00172374">
        <w:rPr>
          <w:lang w:val="el-GR"/>
        </w:rPr>
        <w:t>β</w:t>
      </w:r>
      <w:r w:rsidRPr="00172374">
        <w:rPr>
          <w:lang w:val="en-GB"/>
        </w:rPr>
        <w:t xml:space="preserve"> = .75, </w:t>
      </w:r>
      <w:r w:rsidRPr="00172374">
        <w:rPr>
          <w:i/>
          <w:iCs/>
          <w:lang w:val="en-GB"/>
        </w:rPr>
        <w:t>p</w:t>
      </w:r>
      <w:r w:rsidRPr="00172374">
        <w:rPr>
          <w:lang w:val="en-GB"/>
        </w:rPr>
        <w:t xml:space="preserve"> &lt; .05; </w:t>
      </w:r>
      <w:r w:rsidRPr="00172374">
        <w:t>BO</w:t>
      </w:r>
      <w:r w:rsidRPr="00172374">
        <w:rPr>
          <w:rFonts w:ascii="Cambria" w:hAnsi="Cambria"/>
        </w:rPr>
        <w:t>→</w:t>
      </w:r>
      <w:r w:rsidRPr="00172374">
        <w:t xml:space="preserve">BCON: </w:t>
      </w:r>
      <w:r w:rsidRPr="00172374">
        <w:rPr>
          <w:lang w:val="el-GR"/>
        </w:rPr>
        <w:t>β</w:t>
      </w:r>
      <w:r w:rsidRPr="00172374">
        <w:rPr>
          <w:lang w:val="en-GB"/>
        </w:rPr>
        <w:t xml:space="preserve"> = .</w:t>
      </w:r>
      <w:r w:rsidR="00250B00" w:rsidRPr="00172374">
        <w:rPr>
          <w:lang w:val="en-GB"/>
        </w:rPr>
        <w:t>8</w:t>
      </w:r>
      <w:r w:rsidRPr="00172374">
        <w:rPr>
          <w:lang w:val="en-GB"/>
        </w:rPr>
        <w:t xml:space="preserve">0, </w:t>
      </w:r>
      <w:r w:rsidRPr="00172374">
        <w:rPr>
          <w:i/>
          <w:iCs/>
          <w:lang w:val="en-GB"/>
        </w:rPr>
        <w:t>p</w:t>
      </w:r>
      <w:r w:rsidRPr="00172374">
        <w:rPr>
          <w:lang w:val="en-GB"/>
        </w:rPr>
        <w:t xml:space="preserve"> &lt; .05; </w:t>
      </w:r>
      <w:r w:rsidRPr="00172374">
        <w:t>BO</w:t>
      </w:r>
      <w:r w:rsidRPr="00172374">
        <w:rPr>
          <w:rFonts w:ascii="Cambria" w:hAnsi="Cambria"/>
        </w:rPr>
        <w:t>→</w:t>
      </w:r>
      <w:r w:rsidRPr="00172374">
        <w:t xml:space="preserve">BDIF: </w:t>
      </w:r>
      <w:r w:rsidRPr="00172374">
        <w:rPr>
          <w:lang w:val="el-GR"/>
        </w:rPr>
        <w:t>β</w:t>
      </w:r>
      <w:r w:rsidRPr="00172374">
        <w:rPr>
          <w:lang w:val="en-GB"/>
        </w:rPr>
        <w:t xml:space="preserve"> = .</w:t>
      </w:r>
      <w:r w:rsidR="00250B00" w:rsidRPr="00172374">
        <w:rPr>
          <w:lang w:val="en-GB"/>
        </w:rPr>
        <w:t>7</w:t>
      </w:r>
      <w:r w:rsidRPr="00172374">
        <w:rPr>
          <w:lang w:val="en-GB"/>
        </w:rPr>
        <w:t xml:space="preserve">7, </w:t>
      </w:r>
      <w:r w:rsidRPr="00172374">
        <w:rPr>
          <w:i/>
          <w:iCs/>
          <w:lang w:val="en-GB"/>
        </w:rPr>
        <w:t>p</w:t>
      </w:r>
      <w:r w:rsidRPr="00172374">
        <w:rPr>
          <w:lang w:val="en-GB"/>
        </w:rPr>
        <w:t xml:space="preserve"> &lt; .05; </w:t>
      </w:r>
      <w:r w:rsidRPr="00172374">
        <w:t>BO</w:t>
      </w:r>
      <w:r w:rsidRPr="00172374">
        <w:rPr>
          <w:rFonts w:ascii="Cambria" w:hAnsi="Cambria"/>
        </w:rPr>
        <w:t>→</w:t>
      </w:r>
      <w:r w:rsidRPr="00172374">
        <w:t xml:space="preserve">BINT: </w:t>
      </w:r>
      <w:r w:rsidRPr="00172374">
        <w:rPr>
          <w:lang w:val="el-GR"/>
        </w:rPr>
        <w:t>β</w:t>
      </w:r>
      <w:r w:rsidRPr="00172374">
        <w:rPr>
          <w:lang w:val="en-GB"/>
        </w:rPr>
        <w:t xml:space="preserve"> = .63, </w:t>
      </w:r>
      <w:r w:rsidRPr="00172374">
        <w:rPr>
          <w:i/>
          <w:iCs/>
          <w:lang w:val="en-GB"/>
        </w:rPr>
        <w:t>p</w:t>
      </w:r>
      <w:r w:rsidRPr="00172374">
        <w:rPr>
          <w:lang w:val="en-GB"/>
        </w:rPr>
        <w:t xml:space="preserve"> &lt; .05). Th</w:t>
      </w:r>
      <w:r w:rsidR="009E59C6" w:rsidRPr="00172374">
        <w:rPr>
          <w:lang w:val="en-GB"/>
        </w:rPr>
        <w:t>ese</w:t>
      </w:r>
      <w:r w:rsidRPr="00172374">
        <w:rPr>
          <w:lang w:val="en-GB"/>
        </w:rPr>
        <w:t xml:space="preserve"> </w:t>
      </w:r>
      <w:r w:rsidR="009E59C6" w:rsidRPr="00172374">
        <w:rPr>
          <w:lang w:val="en-GB"/>
        </w:rPr>
        <w:t xml:space="preserve">results </w:t>
      </w:r>
      <w:r w:rsidRPr="00172374">
        <w:rPr>
          <w:lang w:val="en-GB"/>
        </w:rPr>
        <w:t xml:space="preserve">provide evidence in </w:t>
      </w:r>
      <w:proofErr w:type="spellStart"/>
      <w:r w:rsidRPr="00172374">
        <w:rPr>
          <w:lang w:val="en-GB"/>
        </w:rPr>
        <w:t>favor</w:t>
      </w:r>
      <w:proofErr w:type="spellEnd"/>
      <w:r w:rsidRPr="00172374">
        <w:rPr>
          <w:lang w:val="en-GB"/>
        </w:rPr>
        <w:t xml:space="preserve"> of a second-order reflective model specification for </w:t>
      </w:r>
      <w:r w:rsidR="00202DDF" w:rsidRPr="00172374">
        <w:rPr>
          <w:lang w:val="en-GB"/>
        </w:rPr>
        <w:t>brand orientation</w:t>
      </w:r>
      <w:r w:rsidRPr="00172374">
        <w:rPr>
          <w:lang w:val="en-GB"/>
        </w:rPr>
        <w:t xml:space="preserve">, </w:t>
      </w:r>
      <w:r w:rsidR="009E59C6" w:rsidRPr="00172374">
        <w:rPr>
          <w:lang w:val="en-GB"/>
        </w:rPr>
        <w:t xml:space="preserve">in which </w:t>
      </w:r>
      <w:r w:rsidRPr="00172374">
        <w:rPr>
          <w:lang w:val="en-GB"/>
        </w:rPr>
        <w:t xml:space="preserve">the superordinate construct of </w:t>
      </w:r>
      <w:r w:rsidR="00202DDF" w:rsidRPr="00172374">
        <w:rPr>
          <w:lang w:val="en-GB"/>
        </w:rPr>
        <w:t>brand orientation</w:t>
      </w:r>
      <w:r w:rsidRPr="00172374">
        <w:rPr>
          <w:lang w:val="en-GB"/>
        </w:rPr>
        <w:t xml:space="preserve"> </w:t>
      </w:r>
      <w:r w:rsidR="00F607BC" w:rsidRPr="00172374">
        <w:rPr>
          <w:lang w:val="en-GB"/>
        </w:rPr>
        <w:t>explain</w:t>
      </w:r>
      <w:r w:rsidR="009E59C6" w:rsidRPr="00172374">
        <w:rPr>
          <w:lang w:val="en-GB"/>
        </w:rPr>
        <w:t>s</w:t>
      </w:r>
      <w:r w:rsidR="00F607BC" w:rsidRPr="00172374">
        <w:rPr>
          <w:lang w:val="en-GB"/>
        </w:rPr>
        <w:t xml:space="preserve"> </w:t>
      </w:r>
      <w:r w:rsidR="009E59C6" w:rsidRPr="00172374">
        <w:rPr>
          <w:lang w:val="en-GB"/>
        </w:rPr>
        <w:t xml:space="preserve">the </w:t>
      </w:r>
      <w:r w:rsidR="007300B8" w:rsidRPr="00172374">
        <w:rPr>
          <w:lang w:val="en-GB"/>
        </w:rPr>
        <w:t xml:space="preserve">significant variance in each of its </w:t>
      </w:r>
      <w:r w:rsidR="00535DE9" w:rsidRPr="00172374">
        <w:rPr>
          <w:lang w:val="en-GB"/>
        </w:rPr>
        <w:t xml:space="preserve">subordinate </w:t>
      </w:r>
      <w:r w:rsidR="00535DE9" w:rsidRPr="00172374">
        <w:rPr>
          <w:lang w:val="en-GB"/>
        </w:rPr>
        <w:lastRenderedPageBreak/>
        <w:t>dimensions</w:t>
      </w:r>
      <w:r w:rsidR="007300B8" w:rsidRPr="00172374">
        <w:rPr>
          <w:lang w:val="en-GB"/>
        </w:rPr>
        <w:t xml:space="preserve"> by representing the “latent commonality underlying all the dimensions”</w:t>
      </w:r>
      <w:r w:rsidR="00535DE9" w:rsidRPr="00172374">
        <w:rPr>
          <w:lang w:val="en-GB"/>
        </w:rPr>
        <w:t xml:space="preserve"> (</w:t>
      </w:r>
      <w:r w:rsidR="007300B8" w:rsidRPr="00172374">
        <w:rPr>
          <w:lang w:val="en-GB"/>
        </w:rPr>
        <w:t xml:space="preserve">Law </w:t>
      </w:r>
      <w:r w:rsidR="0098098D" w:rsidRPr="00172374">
        <w:rPr>
          <w:lang w:val="en-GB"/>
        </w:rPr>
        <w:t>et al.</w:t>
      </w:r>
      <w:r w:rsidR="007300B8" w:rsidRPr="00172374">
        <w:rPr>
          <w:lang w:val="en-GB"/>
        </w:rPr>
        <w:t xml:space="preserve">, 1998, p. 747). </w:t>
      </w:r>
      <w:r w:rsidR="001B1881" w:rsidRPr="00172374">
        <w:rPr>
          <w:lang w:val="en-GB"/>
        </w:rPr>
        <w:t xml:space="preserve">The </w:t>
      </w:r>
      <w:r w:rsidR="001B1881" w:rsidRPr="00172374">
        <w:t>superordinate construct specification</w:t>
      </w:r>
      <w:r w:rsidR="001B1881" w:rsidRPr="00172374">
        <w:rPr>
          <w:lang w:val="en-GB"/>
        </w:rPr>
        <w:t xml:space="preserve"> is also supported by further analyses conducted similarly to previous studies (see Appendix </w:t>
      </w:r>
      <w:r w:rsidR="009F1021" w:rsidRPr="00172374">
        <w:rPr>
          <w:lang w:val="en-GB"/>
        </w:rPr>
        <w:t>A</w:t>
      </w:r>
      <w:r w:rsidR="00315777" w:rsidRPr="00172374">
        <w:rPr>
          <w:lang w:val="en-GB"/>
        </w:rPr>
        <w:t>6</w:t>
      </w:r>
      <w:r w:rsidR="001B1881" w:rsidRPr="00172374">
        <w:rPr>
          <w:lang w:val="en-GB"/>
        </w:rPr>
        <w:t>).</w:t>
      </w:r>
    </w:p>
    <w:p w14:paraId="1B3C8AF9" w14:textId="0FB79E13" w:rsidR="00D51802" w:rsidRPr="00172374" w:rsidRDefault="0069245B" w:rsidP="000D59B1">
      <w:pPr>
        <w:spacing w:line="480" w:lineRule="auto"/>
        <w:ind w:firstLine="567"/>
      </w:pPr>
      <w:r w:rsidRPr="00172374">
        <w:t>T</w:t>
      </w:r>
      <w:r w:rsidR="003D7EC4" w:rsidRPr="00172374">
        <w:t xml:space="preserve">he </w:t>
      </w:r>
      <w:r w:rsidR="00CA272B" w:rsidRPr="00172374">
        <w:t xml:space="preserve">AVE </w:t>
      </w:r>
      <w:r w:rsidRPr="00172374">
        <w:t xml:space="preserve">for each </w:t>
      </w:r>
      <w:r w:rsidR="00202DDF" w:rsidRPr="00172374">
        <w:t>brand orientation</w:t>
      </w:r>
      <w:r w:rsidRPr="00172374">
        <w:t xml:space="preserve"> dimension </w:t>
      </w:r>
      <w:r w:rsidR="00CA272B" w:rsidRPr="00172374">
        <w:t>exceeded the</w:t>
      </w:r>
      <w:r w:rsidR="005C4787" w:rsidRPr="00172374">
        <w:t xml:space="preserve"> suggested threshold value of</w:t>
      </w:r>
      <w:r w:rsidR="00CA272B" w:rsidRPr="00172374">
        <w:t xml:space="preserve"> 0.5</w:t>
      </w:r>
      <w:r w:rsidRPr="00172374">
        <w:t xml:space="preserve"> (</w:t>
      </w:r>
      <w:proofErr w:type="spellStart"/>
      <w:r w:rsidRPr="00172374">
        <w:t>Fornell</w:t>
      </w:r>
      <w:proofErr w:type="spellEnd"/>
      <w:r w:rsidRPr="00172374">
        <w:t xml:space="preserve"> </w:t>
      </w:r>
      <w:r w:rsidR="009E59C6" w:rsidRPr="00172374">
        <w:t xml:space="preserve">&amp; </w:t>
      </w:r>
      <w:proofErr w:type="spellStart"/>
      <w:r w:rsidRPr="00172374">
        <w:t>Larcker</w:t>
      </w:r>
      <w:proofErr w:type="spellEnd"/>
      <w:r w:rsidRPr="00172374">
        <w:t>, 1981)</w:t>
      </w:r>
      <w:r w:rsidR="00CA272B" w:rsidRPr="00172374">
        <w:t xml:space="preserve">. </w:t>
      </w:r>
      <w:r w:rsidRPr="00172374">
        <w:t>More specifically, AVE values ranged from 0.58 to 0.67 (BIM</w:t>
      </w:r>
      <w:r w:rsidR="009E59C6" w:rsidRPr="00172374">
        <w:t xml:space="preserve"> </w:t>
      </w:r>
      <w:r w:rsidR="00D57765" w:rsidRPr="00172374">
        <w:t>=</w:t>
      </w:r>
      <w:r w:rsidR="009E59C6" w:rsidRPr="00172374">
        <w:t xml:space="preserve"> </w:t>
      </w:r>
      <w:r w:rsidRPr="00172374">
        <w:t>0.65, BCON</w:t>
      </w:r>
      <w:r w:rsidR="009E59C6" w:rsidRPr="00172374">
        <w:t xml:space="preserve"> </w:t>
      </w:r>
      <w:r w:rsidR="00D57765" w:rsidRPr="00172374">
        <w:t>=</w:t>
      </w:r>
      <w:r w:rsidR="009E59C6" w:rsidRPr="00172374">
        <w:t xml:space="preserve"> </w:t>
      </w:r>
      <w:r w:rsidRPr="00172374">
        <w:t>0.58, BDIF</w:t>
      </w:r>
      <w:r w:rsidR="009E59C6" w:rsidRPr="00172374">
        <w:t xml:space="preserve"> </w:t>
      </w:r>
      <w:r w:rsidR="00D57765" w:rsidRPr="00172374">
        <w:t>=</w:t>
      </w:r>
      <w:r w:rsidR="009E59C6" w:rsidRPr="00172374">
        <w:t xml:space="preserve"> </w:t>
      </w:r>
      <w:r w:rsidRPr="00172374">
        <w:t>0.61, BINT</w:t>
      </w:r>
      <w:r w:rsidR="009E59C6" w:rsidRPr="00172374">
        <w:t xml:space="preserve"> </w:t>
      </w:r>
      <w:r w:rsidR="00D57765" w:rsidRPr="00172374">
        <w:t>=</w:t>
      </w:r>
      <w:r w:rsidR="009E59C6" w:rsidRPr="00172374">
        <w:t xml:space="preserve"> </w:t>
      </w:r>
      <w:r w:rsidRPr="00172374">
        <w:t xml:space="preserve">0.67). </w:t>
      </w:r>
      <w:r w:rsidR="00CA272B" w:rsidRPr="00172374">
        <w:t xml:space="preserve">In addition, the AVE for each </w:t>
      </w:r>
      <w:r w:rsidR="00202DDF" w:rsidRPr="00172374">
        <w:t>brand orientat</w:t>
      </w:r>
      <w:r w:rsidR="009E59C6" w:rsidRPr="00172374">
        <w:t>i</w:t>
      </w:r>
      <w:r w:rsidR="00202DDF" w:rsidRPr="00172374">
        <w:t>on</w:t>
      </w:r>
      <w:r w:rsidR="00CA272B" w:rsidRPr="00172374">
        <w:t xml:space="preserve"> construct was higher than the squared correlation between that construct and any other </w:t>
      </w:r>
      <w:r w:rsidR="006F5CD8" w:rsidRPr="00172374">
        <w:t xml:space="preserve">relevant </w:t>
      </w:r>
      <w:r w:rsidR="00CA272B" w:rsidRPr="00172374">
        <w:t>construct</w:t>
      </w:r>
      <w:r w:rsidR="003D7EC4" w:rsidRPr="00172374">
        <w:t xml:space="preserve"> measured and considered in the nomological network</w:t>
      </w:r>
      <w:r w:rsidR="00CA272B" w:rsidRPr="00172374">
        <w:t xml:space="preserve">, indicating discriminant validity </w:t>
      </w:r>
      <w:r w:rsidR="009E59C6" w:rsidRPr="00172374">
        <w:t xml:space="preserve">according to </w:t>
      </w:r>
      <w:proofErr w:type="spellStart"/>
      <w:r w:rsidR="00CA272B" w:rsidRPr="00172374">
        <w:t>Fornell</w:t>
      </w:r>
      <w:proofErr w:type="spellEnd"/>
      <w:r w:rsidR="00CA272B" w:rsidRPr="00172374">
        <w:t xml:space="preserve"> and </w:t>
      </w:r>
      <w:proofErr w:type="spellStart"/>
      <w:r w:rsidR="00CA272B" w:rsidRPr="00172374">
        <w:t>Larcker</w:t>
      </w:r>
      <w:r w:rsidR="009E59C6" w:rsidRPr="00172374">
        <w:t>’s</w:t>
      </w:r>
      <w:proofErr w:type="spellEnd"/>
      <w:r w:rsidR="00CA272B" w:rsidRPr="00172374">
        <w:t xml:space="preserve"> (</w:t>
      </w:r>
      <w:r w:rsidR="006F5CD8" w:rsidRPr="00172374">
        <w:t>1981)</w:t>
      </w:r>
      <w:r w:rsidR="003D7EC4" w:rsidRPr="00172374">
        <w:t xml:space="preserve"> criterion</w:t>
      </w:r>
      <w:r w:rsidR="006F5CD8" w:rsidRPr="00172374">
        <w:t xml:space="preserve">. Table </w:t>
      </w:r>
      <w:r w:rsidR="00D30A38" w:rsidRPr="00172374">
        <w:t>1</w:t>
      </w:r>
      <w:r w:rsidR="009C55D7" w:rsidRPr="00172374">
        <w:t>3</w:t>
      </w:r>
      <w:r w:rsidR="006F5CD8" w:rsidRPr="00172374">
        <w:t xml:space="preserve"> </w:t>
      </w:r>
      <w:r w:rsidR="0039636F" w:rsidRPr="00172374">
        <w:t>shows the statistics used for</w:t>
      </w:r>
      <w:r w:rsidR="006F5CD8" w:rsidRPr="00172374">
        <w:t xml:space="preserve"> discriminant validity test</w:t>
      </w:r>
      <w:r w:rsidR="0039636F" w:rsidRPr="00172374">
        <w:t>s</w:t>
      </w:r>
      <w:r w:rsidR="006F5CD8" w:rsidRPr="00172374">
        <w:t>.</w:t>
      </w:r>
      <w:r w:rsidR="00CE7A6E" w:rsidRPr="00172374">
        <w:t xml:space="preserve"> </w:t>
      </w:r>
    </w:p>
    <w:p w14:paraId="7CAC32BE" w14:textId="3687B629" w:rsidR="00BC5436" w:rsidRPr="00172374" w:rsidRDefault="00B22AB4" w:rsidP="000D59B1">
      <w:pPr>
        <w:spacing w:line="480" w:lineRule="auto"/>
        <w:jc w:val="center"/>
      </w:pPr>
      <w:r w:rsidRPr="00172374">
        <w:t xml:space="preserve">Table </w:t>
      </w:r>
      <w:r w:rsidR="002A69C6" w:rsidRPr="00172374">
        <w:t>1</w:t>
      </w:r>
      <w:r w:rsidR="009C55D7" w:rsidRPr="00172374">
        <w:t>3</w:t>
      </w:r>
      <w:r w:rsidRPr="00172374">
        <w:t xml:space="preserve"> here</w:t>
      </w:r>
    </w:p>
    <w:p w14:paraId="75239D61" w14:textId="07F57DEE" w:rsidR="003D7EC4" w:rsidRPr="00172374" w:rsidRDefault="003D7EC4" w:rsidP="000D59B1">
      <w:pPr>
        <w:spacing w:line="480" w:lineRule="auto"/>
        <w:ind w:firstLine="567"/>
      </w:pPr>
      <w:r w:rsidRPr="00172374">
        <w:t xml:space="preserve">Importantly, </w:t>
      </w:r>
      <w:r w:rsidR="00407693" w:rsidRPr="00172374">
        <w:t xml:space="preserve">using the same criterion, </w:t>
      </w:r>
      <w:r w:rsidR="009E59C6" w:rsidRPr="00172374">
        <w:t xml:space="preserve">we also assessed </w:t>
      </w:r>
      <w:r w:rsidRPr="00172374">
        <w:t xml:space="preserve">discriminant validity between each pair of the different </w:t>
      </w:r>
      <w:r w:rsidR="00202DDF" w:rsidRPr="00172374">
        <w:t>brand orientation</w:t>
      </w:r>
      <w:r w:rsidRPr="00172374">
        <w:t xml:space="preserve"> dimensions to establish that</w:t>
      </w:r>
      <w:r w:rsidR="00407693" w:rsidRPr="00172374">
        <w:t xml:space="preserve"> </w:t>
      </w:r>
      <w:r w:rsidR="009E59C6" w:rsidRPr="00172374">
        <w:t xml:space="preserve">the four dimensions remain sufficiently distinct, </w:t>
      </w:r>
      <w:r w:rsidRPr="00172374">
        <w:t>despite</w:t>
      </w:r>
      <w:r w:rsidR="00407693" w:rsidRPr="00172374">
        <w:t xml:space="preserve"> </w:t>
      </w:r>
      <w:r w:rsidRPr="00172374">
        <w:t xml:space="preserve">being correlated (as they conceptually should </w:t>
      </w:r>
      <w:r w:rsidR="009E59C6" w:rsidRPr="00172374">
        <w:t>be</w:t>
      </w:r>
      <w:r w:rsidR="00F871B4" w:rsidRPr="00172374">
        <w:t>,</w:t>
      </w:r>
      <w:r w:rsidR="009E59C6" w:rsidRPr="00172374">
        <w:t xml:space="preserve"> </w:t>
      </w:r>
      <w:r w:rsidRPr="00172374">
        <w:t>in line with the reflective second-order model)</w:t>
      </w:r>
      <w:r w:rsidR="009E59C6" w:rsidRPr="00172374">
        <w:t>,</w:t>
      </w:r>
      <w:r w:rsidR="00407693" w:rsidRPr="00172374">
        <w:t xml:space="preserve"> </w:t>
      </w:r>
      <w:r w:rsidRPr="00172374">
        <w:t xml:space="preserve">to rule out </w:t>
      </w:r>
      <w:r w:rsidR="00407693" w:rsidRPr="00172374">
        <w:t>the presence of redundant dimensions</w:t>
      </w:r>
      <w:r w:rsidRPr="00172374">
        <w:t xml:space="preserve">. </w:t>
      </w:r>
      <w:r w:rsidR="007A7CA2" w:rsidRPr="00172374">
        <w:t>The pairwise correlations are far from unity</w:t>
      </w:r>
      <w:r w:rsidR="009E59C6" w:rsidRPr="00172374">
        <w:t>,</w:t>
      </w:r>
      <w:r w:rsidR="007A7CA2" w:rsidRPr="00172374">
        <w:t xml:space="preserve"> while none of the squared correlations exceed the minimum corresponding AVEs</w:t>
      </w:r>
      <w:r w:rsidR="00063B06" w:rsidRPr="00172374">
        <w:t xml:space="preserve"> (Table </w:t>
      </w:r>
      <w:r w:rsidR="00E4103F" w:rsidRPr="00172374">
        <w:t>1</w:t>
      </w:r>
      <w:r w:rsidR="009C55D7" w:rsidRPr="00172374">
        <w:t>3</w:t>
      </w:r>
      <w:r w:rsidR="00063B06" w:rsidRPr="00172374">
        <w:t>)</w:t>
      </w:r>
      <w:r w:rsidR="007A7CA2" w:rsidRPr="00172374">
        <w:t xml:space="preserve">, </w:t>
      </w:r>
      <w:r w:rsidR="001401E0" w:rsidRPr="00172374">
        <w:t>drawing</w:t>
      </w:r>
      <w:r w:rsidR="007A7CA2" w:rsidRPr="00172374">
        <w:t xml:space="preserve"> </w:t>
      </w:r>
      <w:r w:rsidR="001401E0" w:rsidRPr="00172374">
        <w:t xml:space="preserve">a </w:t>
      </w:r>
      <w:r w:rsidR="007A7CA2" w:rsidRPr="00172374">
        <w:t xml:space="preserve">fine “line between </w:t>
      </w:r>
      <w:r w:rsidR="007A7CA2" w:rsidRPr="00172374">
        <w:rPr>
          <w:i/>
        </w:rPr>
        <w:t>high</w:t>
      </w:r>
      <w:r w:rsidR="007A7CA2" w:rsidRPr="00172374">
        <w:t xml:space="preserve"> and </w:t>
      </w:r>
      <w:r w:rsidR="007A7CA2" w:rsidRPr="00172374">
        <w:rPr>
          <w:i/>
        </w:rPr>
        <w:t xml:space="preserve">moderate </w:t>
      </w:r>
      <w:r w:rsidR="007A7CA2" w:rsidRPr="00172374">
        <w:t xml:space="preserve">correlations” </w:t>
      </w:r>
      <w:r w:rsidR="00930A10" w:rsidRPr="00172374">
        <w:t xml:space="preserve">required </w:t>
      </w:r>
      <w:r w:rsidR="007A7CA2" w:rsidRPr="00172374">
        <w:t xml:space="preserve">for this </w:t>
      </w:r>
      <w:r w:rsidR="00930A10" w:rsidRPr="00172374">
        <w:t xml:space="preserve">type </w:t>
      </w:r>
      <w:r w:rsidR="007A7CA2" w:rsidRPr="00172374">
        <w:t>of construct specification (</w:t>
      </w:r>
      <w:proofErr w:type="spellStart"/>
      <w:r w:rsidR="007A7CA2" w:rsidRPr="00172374">
        <w:t>Bagozzi</w:t>
      </w:r>
      <w:proofErr w:type="spellEnd"/>
      <w:r w:rsidR="007A7CA2" w:rsidRPr="00172374">
        <w:t xml:space="preserve"> &amp; Heatherton, 1994, p. 42).</w:t>
      </w:r>
    </w:p>
    <w:p w14:paraId="725983E7" w14:textId="77777777" w:rsidR="003843AA" w:rsidRPr="00172374" w:rsidRDefault="003843AA" w:rsidP="000D59B1">
      <w:pPr>
        <w:spacing w:line="480" w:lineRule="auto"/>
        <w:ind w:firstLine="567"/>
      </w:pPr>
    </w:p>
    <w:p w14:paraId="6F2623E2" w14:textId="77777777" w:rsidR="00652487" w:rsidRPr="00172374" w:rsidRDefault="000F4976"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3</w:t>
      </w:r>
      <w:r w:rsidR="00652487" w:rsidRPr="00172374">
        <w:rPr>
          <w:rFonts w:ascii="Times New Roman" w:hAnsi="Times New Roman"/>
          <w:i/>
          <w:sz w:val="24"/>
        </w:rPr>
        <w:t>.</w:t>
      </w:r>
      <w:r w:rsidR="0022623B" w:rsidRPr="00172374">
        <w:rPr>
          <w:rFonts w:ascii="Times New Roman" w:hAnsi="Times New Roman"/>
          <w:i/>
          <w:sz w:val="24"/>
        </w:rPr>
        <w:t>5</w:t>
      </w:r>
      <w:r w:rsidR="00652487" w:rsidRPr="00172374">
        <w:rPr>
          <w:rFonts w:ascii="Times New Roman" w:hAnsi="Times New Roman"/>
          <w:i/>
          <w:sz w:val="24"/>
        </w:rPr>
        <w:t>.</w:t>
      </w:r>
      <w:r w:rsidR="00567E59" w:rsidRPr="00172374">
        <w:rPr>
          <w:rFonts w:ascii="Times New Roman" w:hAnsi="Times New Roman"/>
          <w:i/>
          <w:sz w:val="24"/>
        </w:rPr>
        <w:t>3</w:t>
      </w:r>
      <w:r w:rsidR="00652487" w:rsidRPr="00172374">
        <w:rPr>
          <w:rFonts w:ascii="Times New Roman" w:hAnsi="Times New Roman"/>
          <w:i/>
          <w:sz w:val="24"/>
        </w:rPr>
        <w:t xml:space="preserve">. </w:t>
      </w:r>
      <w:r w:rsidR="001B509E" w:rsidRPr="00172374">
        <w:rPr>
          <w:rFonts w:ascii="Times New Roman" w:hAnsi="Times New Roman"/>
          <w:i/>
          <w:sz w:val="24"/>
        </w:rPr>
        <w:t>Non-response bias and common method bias</w:t>
      </w:r>
    </w:p>
    <w:p w14:paraId="253B95C1" w14:textId="52FC3726" w:rsidR="00652487" w:rsidRPr="00172374" w:rsidRDefault="00F34B21" w:rsidP="001B509E">
      <w:pPr>
        <w:spacing w:line="480" w:lineRule="auto"/>
        <w:ind w:firstLine="567"/>
      </w:pPr>
      <w:r w:rsidRPr="00172374">
        <w:t>We tested for p</w:t>
      </w:r>
      <w:r w:rsidR="00652487" w:rsidRPr="00172374">
        <w:t>ossible non-response bias following the method Armstrong and Overton (1977)</w:t>
      </w:r>
      <w:r w:rsidRPr="00172374">
        <w:t xml:space="preserve"> recommend</w:t>
      </w:r>
      <w:r w:rsidR="00652487" w:rsidRPr="00172374">
        <w:t xml:space="preserve">. </w:t>
      </w:r>
      <w:r w:rsidRPr="00172374">
        <w:t>We divided the</w:t>
      </w:r>
      <w:r w:rsidR="00652487" w:rsidRPr="00172374">
        <w:t xml:space="preserve"> dataset into two halves, based on the median return date, and </w:t>
      </w:r>
      <w:r w:rsidRPr="00172374">
        <w:t xml:space="preserve">compared </w:t>
      </w:r>
      <w:r w:rsidR="00652487" w:rsidRPr="00172374">
        <w:t>the answers of early and late respondents. The rational</w:t>
      </w:r>
      <w:r w:rsidRPr="00172374">
        <w:t>e</w:t>
      </w:r>
      <w:r w:rsidR="00652487" w:rsidRPr="00172374">
        <w:t xml:space="preserve"> for this procedure is that late respondents may be more similar </w:t>
      </w:r>
      <w:r w:rsidRPr="00172374">
        <w:t xml:space="preserve">than early respondents </w:t>
      </w:r>
      <w:r w:rsidR="00652487" w:rsidRPr="00172374">
        <w:t xml:space="preserve">to non-respondents. </w:t>
      </w:r>
      <w:r w:rsidR="00652487" w:rsidRPr="00172374">
        <w:lastRenderedPageBreak/>
        <w:t>However, t-tests analyses</w:t>
      </w:r>
      <w:r w:rsidRPr="00172374">
        <w:t xml:space="preserve"> found</w:t>
      </w:r>
      <w:r w:rsidR="00652487" w:rsidRPr="00172374">
        <w:t xml:space="preserve"> no significant differences between early and late respondents on key </w:t>
      </w:r>
      <w:r w:rsidRPr="00172374">
        <w:t xml:space="preserve">study </w:t>
      </w:r>
      <w:r w:rsidR="00652487" w:rsidRPr="00172374">
        <w:t xml:space="preserve">measures. </w:t>
      </w:r>
      <w:r w:rsidR="007D5492" w:rsidRPr="00172374">
        <w:t>More specifically, we divided our dataset in two halves (early respondents =</w:t>
      </w:r>
      <w:r w:rsidRPr="00172374">
        <w:t xml:space="preserve"> </w:t>
      </w:r>
      <w:r w:rsidR="007D5492" w:rsidRPr="00172374">
        <w:t>121</w:t>
      </w:r>
      <w:r w:rsidRPr="00172374">
        <w:t>,</w:t>
      </w:r>
      <w:r w:rsidR="007D5492" w:rsidRPr="00172374">
        <w:t xml:space="preserve"> late respondents =</w:t>
      </w:r>
      <w:r w:rsidRPr="00172374">
        <w:t xml:space="preserve"> </w:t>
      </w:r>
      <w:r w:rsidR="007D5492" w:rsidRPr="00172374">
        <w:t xml:space="preserve">121) and tested for significant differences </w:t>
      </w:r>
      <w:r w:rsidRPr="00172374">
        <w:t>o</w:t>
      </w:r>
      <w:r w:rsidR="00E66DCC" w:rsidRPr="00172374">
        <w:t xml:space="preserve">n </w:t>
      </w:r>
      <w:r w:rsidR="007D5492" w:rsidRPr="00172374">
        <w:t xml:space="preserve">our main constructs (i.e., </w:t>
      </w:r>
      <w:r w:rsidRPr="00172374">
        <w:t>marketing department power, market orientation,</w:t>
      </w:r>
      <w:r w:rsidR="007D5492" w:rsidRPr="00172374">
        <w:t xml:space="preserve"> BIM, BCON, BDIF, BINT, </w:t>
      </w:r>
      <w:r w:rsidRPr="00172374">
        <w:t xml:space="preserve">and </w:t>
      </w:r>
      <w:r w:rsidR="005B66EE" w:rsidRPr="00172374">
        <w:t>financial</w:t>
      </w:r>
      <w:r w:rsidRPr="00172374">
        <w:t xml:space="preserve"> performance</w:t>
      </w:r>
      <w:r w:rsidR="007D5492" w:rsidRPr="00172374">
        <w:t xml:space="preserve">). All t-test analyses </w:t>
      </w:r>
      <w:r w:rsidRPr="00172374">
        <w:t>showed</w:t>
      </w:r>
      <w:r w:rsidR="007D5492" w:rsidRPr="00172374">
        <w:t xml:space="preserve"> non-significant differences between the two groups, </w:t>
      </w:r>
      <w:r w:rsidRPr="00172374">
        <w:t xml:space="preserve">suggesting </w:t>
      </w:r>
      <w:r w:rsidR="007D5492" w:rsidRPr="00172374">
        <w:t xml:space="preserve">that </w:t>
      </w:r>
      <w:r w:rsidR="00652487" w:rsidRPr="00172374">
        <w:t xml:space="preserve">non-response bias </w:t>
      </w:r>
      <w:r w:rsidRPr="00172374">
        <w:t xml:space="preserve">is </w:t>
      </w:r>
      <w:r w:rsidR="00652487" w:rsidRPr="00172374">
        <w:t>not a concern</w:t>
      </w:r>
      <w:r w:rsidRPr="00172374">
        <w:t xml:space="preserve"> (see </w:t>
      </w:r>
      <w:r w:rsidR="007D5492" w:rsidRPr="00172374">
        <w:t>Appendix A1</w:t>
      </w:r>
      <w:r w:rsidR="00315777" w:rsidRPr="00172374">
        <w:t>0</w:t>
      </w:r>
      <w:r w:rsidRPr="00172374">
        <w:t xml:space="preserve"> for detailed results)</w:t>
      </w:r>
      <w:r w:rsidR="007D5492" w:rsidRPr="00172374">
        <w:t>.</w:t>
      </w:r>
    </w:p>
    <w:p w14:paraId="79ECE24E" w14:textId="30C07FC5" w:rsidR="00652487" w:rsidRPr="00172374" w:rsidRDefault="00652487" w:rsidP="000D59B1">
      <w:pPr>
        <w:spacing w:line="480" w:lineRule="auto"/>
        <w:ind w:firstLine="567"/>
      </w:pPr>
      <w:r w:rsidRPr="00172374">
        <w:t xml:space="preserve">We used </w:t>
      </w:r>
      <w:r w:rsidR="006F0F71" w:rsidRPr="00172374">
        <w:rPr>
          <w:iCs/>
        </w:rPr>
        <w:t>the marker variable approach (</w:t>
      </w:r>
      <w:r w:rsidR="006F0F71" w:rsidRPr="00172374">
        <w:rPr>
          <w:bCs/>
          <w:iCs/>
        </w:rPr>
        <w:t>Lind</w:t>
      </w:r>
      <w:r w:rsidR="006F0F71" w:rsidRPr="00172374">
        <w:rPr>
          <w:iCs/>
        </w:rPr>
        <w:t xml:space="preserve">ell &amp; Whitney, 2001) </w:t>
      </w:r>
      <w:r w:rsidRPr="00172374">
        <w:t xml:space="preserve">to address the issue of common method variance. </w:t>
      </w:r>
      <w:r w:rsidR="006F0F71" w:rsidRPr="00172374">
        <w:t>Our</w:t>
      </w:r>
      <w:r w:rsidR="00B77F79" w:rsidRPr="00172374">
        <w:rPr>
          <w:iCs/>
        </w:rPr>
        <w:t xml:space="preserve"> marker variable measured respondent</w:t>
      </w:r>
      <w:r w:rsidR="00F34B21" w:rsidRPr="00172374">
        <w:rPr>
          <w:iCs/>
        </w:rPr>
        <w:t>s</w:t>
      </w:r>
      <w:r w:rsidR="00B77F79" w:rsidRPr="00172374">
        <w:rPr>
          <w:iCs/>
        </w:rPr>
        <w:t xml:space="preserve">’ beliefs about the technology status in the industry </w:t>
      </w:r>
      <w:r w:rsidR="00F34B21" w:rsidRPr="00172374">
        <w:rPr>
          <w:iCs/>
        </w:rPr>
        <w:t>on</w:t>
      </w:r>
      <w:r w:rsidR="00B77F79" w:rsidRPr="00172374">
        <w:rPr>
          <w:iCs/>
        </w:rPr>
        <w:t xml:space="preserve"> the same 7-point scale format as the main variables in the model</w:t>
      </w:r>
      <w:r w:rsidR="006F0F71" w:rsidRPr="00172374">
        <w:rPr>
          <w:iCs/>
        </w:rPr>
        <w:t>.</w:t>
      </w:r>
      <w:r w:rsidR="00B77F79" w:rsidRPr="00172374">
        <w:rPr>
          <w:iCs/>
        </w:rPr>
        <w:t xml:space="preserve"> Specifically, after establishing that this variable is conceptually unrelated to the main constructs (all correlations between this variable and the four main model constructs range between .009 and .100 and are non-significant)</w:t>
      </w:r>
      <w:r w:rsidR="0091536A" w:rsidRPr="00172374">
        <w:rPr>
          <w:iCs/>
        </w:rPr>
        <w:t>,</w:t>
      </w:r>
      <w:r w:rsidR="00B77F79" w:rsidRPr="00172374">
        <w:rPr>
          <w:iCs/>
        </w:rPr>
        <w:t xml:space="preserve"> we calculated raw inter-construct correlations as well as corrected correlations after </w:t>
      </w:r>
      <w:proofErr w:type="spellStart"/>
      <w:r w:rsidR="00B77F79" w:rsidRPr="00172374">
        <w:rPr>
          <w:iCs/>
        </w:rPr>
        <w:t>partia</w:t>
      </w:r>
      <w:r w:rsidR="0091536A" w:rsidRPr="00172374">
        <w:rPr>
          <w:iCs/>
        </w:rPr>
        <w:t>l</w:t>
      </w:r>
      <w:r w:rsidR="00B77F79" w:rsidRPr="00172374">
        <w:rPr>
          <w:iCs/>
        </w:rPr>
        <w:t>ing</w:t>
      </w:r>
      <w:proofErr w:type="spellEnd"/>
      <w:r w:rsidR="00B77F79" w:rsidRPr="00172374">
        <w:rPr>
          <w:iCs/>
        </w:rPr>
        <w:t xml:space="preserve"> out the influence of the marker variable. Compari</w:t>
      </w:r>
      <w:r w:rsidR="0091536A" w:rsidRPr="00172374">
        <w:rPr>
          <w:iCs/>
        </w:rPr>
        <w:t>so</w:t>
      </w:r>
      <w:r w:rsidR="00B77F79" w:rsidRPr="00172374">
        <w:rPr>
          <w:iCs/>
        </w:rPr>
        <w:t xml:space="preserve">n </w:t>
      </w:r>
      <w:r w:rsidR="0091536A" w:rsidRPr="00172374">
        <w:rPr>
          <w:iCs/>
        </w:rPr>
        <w:t xml:space="preserve">of </w:t>
      </w:r>
      <w:r w:rsidR="00B77F79" w:rsidRPr="00172374">
        <w:rPr>
          <w:iCs/>
        </w:rPr>
        <w:t>these two sets of correlations reveals no changes in statistical significance</w:t>
      </w:r>
      <w:r w:rsidR="0091536A" w:rsidRPr="00172374">
        <w:rPr>
          <w:iCs/>
        </w:rPr>
        <w:t>,</w:t>
      </w:r>
      <w:r w:rsidR="00B77F79" w:rsidRPr="00172374">
        <w:rPr>
          <w:iCs/>
        </w:rPr>
        <w:t xml:space="preserve"> while the correlation sizes are practically identical</w:t>
      </w:r>
      <w:r w:rsidR="0091536A" w:rsidRPr="00172374">
        <w:rPr>
          <w:iCs/>
        </w:rPr>
        <w:t>,</w:t>
      </w:r>
      <w:r w:rsidR="00B77F79" w:rsidRPr="00172374">
        <w:rPr>
          <w:iCs/>
        </w:rPr>
        <w:t xml:space="preserve"> with only minor differences at the third decimal digit. These results suggest </w:t>
      </w:r>
      <w:r w:rsidR="0091536A" w:rsidRPr="00172374">
        <w:rPr>
          <w:iCs/>
        </w:rPr>
        <w:t xml:space="preserve">the </w:t>
      </w:r>
      <w:r w:rsidR="00B77F79" w:rsidRPr="00172374">
        <w:rPr>
          <w:iCs/>
        </w:rPr>
        <w:t>absence of common method variance and mean that our results are not driven merely by the format shared among different scales</w:t>
      </w:r>
      <w:r w:rsidR="00B77F79" w:rsidRPr="00172374">
        <w:t>.</w:t>
      </w:r>
      <w:r w:rsidR="00897A93" w:rsidRPr="00172374">
        <w:t xml:space="preserve"> </w:t>
      </w:r>
      <w:r w:rsidR="0091536A" w:rsidRPr="00172374">
        <w:t>The r</w:t>
      </w:r>
      <w:r w:rsidR="00B77F79" w:rsidRPr="00172374">
        <w:t>esults of this test are available in Appendix A</w:t>
      </w:r>
      <w:r w:rsidR="00812429" w:rsidRPr="00172374">
        <w:t>1</w:t>
      </w:r>
      <w:r w:rsidR="00315777" w:rsidRPr="00172374">
        <w:t>1</w:t>
      </w:r>
      <w:r w:rsidR="003433FF" w:rsidRPr="00172374">
        <w:t>.</w:t>
      </w:r>
    </w:p>
    <w:p w14:paraId="0FB2B855" w14:textId="77777777" w:rsidR="003843AA" w:rsidRPr="00172374" w:rsidRDefault="003843AA" w:rsidP="000D59B1">
      <w:pPr>
        <w:spacing w:line="480" w:lineRule="auto"/>
        <w:ind w:firstLine="567"/>
      </w:pPr>
    </w:p>
    <w:p w14:paraId="5656613B" w14:textId="77777777" w:rsidR="00652487" w:rsidRPr="00172374" w:rsidRDefault="000F4976"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3</w:t>
      </w:r>
      <w:r w:rsidR="00652487" w:rsidRPr="00172374">
        <w:rPr>
          <w:rFonts w:ascii="Times New Roman" w:hAnsi="Times New Roman"/>
          <w:i/>
          <w:sz w:val="24"/>
        </w:rPr>
        <w:t>.</w:t>
      </w:r>
      <w:r w:rsidR="0022623B" w:rsidRPr="00172374">
        <w:rPr>
          <w:rFonts w:ascii="Times New Roman" w:hAnsi="Times New Roman"/>
          <w:i/>
          <w:sz w:val="24"/>
        </w:rPr>
        <w:t>5</w:t>
      </w:r>
      <w:r w:rsidR="00652487" w:rsidRPr="00172374">
        <w:rPr>
          <w:rFonts w:ascii="Times New Roman" w:hAnsi="Times New Roman"/>
          <w:i/>
          <w:sz w:val="24"/>
        </w:rPr>
        <w:t>.</w:t>
      </w:r>
      <w:r w:rsidR="00567E59" w:rsidRPr="00172374">
        <w:rPr>
          <w:rFonts w:ascii="Times New Roman" w:hAnsi="Times New Roman"/>
          <w:i/>
          <w:sz w:val="24"/>
        </w:rPr>
        <w:t>4</w:t>
      </w:r>
      <w:r w:rsidR="00652487" w:rsidRPr="00172374">
        <w:rPr>
          <w:rFonts w:ascii="Times New Roman" w:hAnsi="Times New Roman"/>
          <w:i/>
          <w:sz w:val="24"/>
        </w:rPr>
        <w:t>. Known-group validity</w:t>
      </w:r>
    </w:p>
    <w:p w14:paraId="4ADCF1CB" w14:textId="648345B0" w:rsidR="00351AE2" w:rsidRPr="00172374" w:rsidRDefault="00D7512C" w:rsidP="00351AE2">
      <w:pPr>
        <w:spacing w:line="480" w:lineRule="auto"/>
        <w:ind w:firstLine="567"/>
      </w:pPr>
      <w:r w:rsidRPr="00172374">
        <w:t xml:space="preserve">Known-group validity involves a measure’s ability to differ as predicted between groups </w:t>
      </w:r>
      <w:r w:rsidR="0091536A" w:rsidRPr="00172374">
        <w:t xml:space="preserve">that </w:t>
      </w:r>
      <w:r w:rsidRPr="00172374">
        <w:t>should score low and high on a trait (</w:t>
      </w:r>
      <w:proofErr w:type="spellStart"/>
      <w:r w:rsidRPr="00172374">
        <w:t>Netemeyer</w:t>
      </w:r>
      <w:proofErr w:type="spellEnd"/>
      <w:r w:rsidRPr="00172374">
        <w:t xml:space="preserve"> et al., 2003). We expect multinational companies, </w:t>
      </w:r>
      <w:r w:rsidR="0091536A" w:rsidRPr="00172374">
        <w:t>given</w:t>
      </w:r>
      <w:r w:rsidRPr="00172374">
        <w:t xml:space="preserve"> their long-lasting branding experience</w:t>
      </w:r>
      <w:r w:rsidR="00243C5E" w:rsidRPr="00172374">
        <w:t xml:space="preserve">, </w:t>
      </w:r>
      <w:r w:rsidR="00F070BB" w:rsidRPr="00172374">
        <w:t>increased market knowl</w:t>
      </w:r>
      <w:r w:rsidR="00873778" w:rsidRPr="00172374">
        <w:t>edge</w:t>
      </w:r>
      <w:r w:rsidR="001401E0" w:rsidRPr="00172374">
        <w:t>,</w:t>
      </w:r>
      <w:r w:rsidR="00873778" w:rsidRPr="00172374">
        <w:t xml:space="preserve"> and access to information </w:t>
      </w:r>
      <w:r w:rsidR="00F070BB" w:rsidRPr="00172374">
        <w:t xml:space="preserve">(Swoboda &amp; </w:t>
      </w:r>
      <w:proofErr w:type="spellStart"/>
      <w:r w:rsidR="00F070BB" w:rsidRPr="00172374">
        <w:t>Hirschmann</w:t>
      </w:r>
      <w:proofErr w:type="spellEnd"/>
      <w:r w:rsidR="00F070BB" w:rsidRPr="00172374">
        <w:t>, 2016)</w:t>
      </w:r>
      <w:r w:rsidR="00B86BF4" w:rsidRPr="00172374">
        <w:t>,</w:t>
      </w:r>
      <w:r w:rsidRPr="00172374">
        <w:t xml:space="preserve"> </w:t>
      </w:r>
      <w:r w:rsidR="0091536A" w:rsidRPr="00172374">
        <w:t xml:space="preserve">to </w:t>
      </w:r>
      <w:r w:rsidRPr="00172374">
        <w:t>show higher mean-</w:t>
      </w:r>
      <w:r w:rsidRPr="00172374">
        <w:lastRenderedPageBreak/>
        <w:t>level scores on the brand orientatio</w:t>
      </w:r>
      <w:r w:rsidR="00AC3568" w:rsidRPr="00172374">
        <w:t xml:space="preserve">n scale than domestic companies. </w:t>
      </w:r>
      <w:r w:rsidR="00351AE2" w:rsidRPr="00172374">
        <w:t xml:space="preserve">Therefore, we tested for significant differences </w:t>
      </w:r>
      <w:r w:rsidR="009F6543" w:rsidRPr="00172374">
        <w:t>between multinational (N</w:t>
      </w:r>
      <w:r w:rsidR="0091536A" w:rsidRPr="00172374">
        <w:t xml:space="preserve"> </w:t>
      </w:r>
      <w:r w:rsidR="009F6543" w:rsidRPr="00172374">
        <w:t>=</w:t>
      </w:r>
      <w:r w:rsidR="0091536A" w:rsidRPr="00172374">
        <w:t xml:space="preserve"> </w:t>
      </w:r>
      <w:r w:rsidR="009F6543" w:rsidRPr="00172374">
        <w:t>118) and domestic (N</w:t>
      </w:r>
      <w:r w:rsidR="0091536A" w:rsidRPr="00172374">
        <w:t xml:space="preserve"> </w:t>
      </w:r>
      <w:r w:rsidR="009F6543" w:rsidRPr="00172374">
        <w:t>=</w:t>
      </w:r>
      <w:r w:rsidR="0091536A" w:rsidRPr="00172374">
        <w:t xml:space="preserve"> </w:t>
      </w:r>
      <w:r w:rsidR="009F6543" w:rsidRPr="00172374">
        <w:t xml:space="preserve">124) companies </w:t>
      </w:r>
      <w:r w:rsidR="00351AE2" w:rsidRPr="00172374">
        <w:t xml:space="preserve">on </w:t>
      </w:r>
      <w:r w:rsidR="009F6543" w:rsidRPr="00172374">
        <w:t xml:space="preserve">both our </w:t>
      </w:r>
      <w:r w:rsidR="00202DDF" w:rsidRPr="00172374">
        <w:t>brand orientation</w:t>
      </w:r>
      <w:r w:rsidR="009F6543" w:rsidRPr="00172374">
        <w:t xml:space="preserve"> dimensions and the aggregate measure of brand orientation</w:t>
      </w:r>
      <w:r w:rsidR="00351AE2" w:rsidRPr="00172374">
        <w:t xml:space="preserve">. All t-test analyses </w:t>
      </w:r>
      <w:r w:rsidR="009F6543" w:rsidRPr="00172374">
        <w:t xml:space="preserve">supported our hypothesis as they </w:t>
      </w:r>
      <w:r w:rsidR="0091536A" w:rsidRPr="00172374">
        <w:t>showed</w:t>
      </w:r>
      <w:r w:rsidR="00351AE2" w:rsidRPr="00172374">
        <w:t xml:space="preserve"> significant differences between the two groups, indicating that </w:t>
      </w:r>
      <w:r w:rsidR="009F6543" w:rsidRPr="00172374">
        <w:t xml:space="preserve">multinational firms present significantly higher mean scores on all four </w:t>
      </w:r>
      <w:r w:rsidR="00202DDF" w:rsidRPr="00172374">
        <w:t>brand orientation</w:t>
      </w:r>
      <w:r w:rsidR="009F6543" w:rsidRPr="00172374">
        <w:t xml:space="preserve"> dimensions than domestic companies</w:t>
      </w:r>
      <w:r w:rsidR="00351AE2" w:rsidRPr="00172374">
        <w:t xml:space="preserve">. Detailed results are </w:t>
      </w:r>
      <w:r w:rsidR="0091536A" w:rsidRPr="00172374">
        <w:t xml:space="preserve">available </w:t>
      </w:r>
      <w:r w:rsidR="00351AE2" w:rsidRPr="00172374">
        <w:t>in Appendix A1</w:t>
      </w:r>
      <w:r w:rsidR="00315777" w:rsidRPr="00172374">
        <w:t>2</w:t>
      </w:r>
      <w:r w:rsidR="00351AE2" w:rsidRPr="00172374">
        <w:t>.</w:t>
      </w:r>
    </w:p>
    <w:p w14:paraId="1934DF07" w14:textId="77777777" w:rsidR="007E66E9" w:rsidRPr="00172374" w:rsidRDefault="007E66E9" w:rsidP="000D59B1">
      <w:pPr>
        <w:spacing w:line="480" w:lineRule="auto"/>
        <w:jc w:val="center"/>
      </w:pPr>
    </w:p>
    <w:p w14:paraId="1C5CC0B3" w14:textId="77777777" w:rsidR="006F5CD8" w:rsidRPr="00172374" w:rsidRDefault="000F4976"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3</w:t>
      </w:r>
      <w:r w:rsidR="006F5CD8" w:rsidRPr="00172374">
        <w:rPr>
          <w:rFonts w:ascii="Times New Roman" w:hAnsi="Times New Roman"/>
          <w:i/>
          <w:sz w:val="24"/>
        </w:rPr>
        <w:t>.</w:t>
      </w:r>
      <w:r w:rsidR="0022623B" w:rsidRPr="00172374">
        <w:rPr>
          <w:rFonts w:ascii="Times New Roman" w:hAnsi="Times New Roman"/>
          <w:i/>
          <w:sz w:val="24"/>
        </w:rPr>
        <w:t>5</w:t>
      </w:r>
      <w:r w:rsidR="006F5CD8" w:rsidRPr="00172374">
        <w:rPr>
          <w:rFonts w:ascii="Times New Roman" w:hAnsi="Times New Roman"/>
          <w:i/>
          <w:sz w:val="24"/>
        </w:rPr>
        <w:t>.</w:t>
      </w:r>
      <w:r w:rsidR="00567E59" w:rsidRPr="00172374">
        <w:rPr>
          <w:rFonts w:ascii="Times New Roman" w:hAnsi="Times New Roman"/>
          <w:i/>
          <w:sz w:val="24"/>
        </w:rPr>
        <w:t>5</w:t>
      </w:r>
      <w:r w:rsidR="006F5CD8" w:rsidRPr="00172374">
        <w:rPr>
          <w:rFonts w:ascii="Times New Roman" w:hAnsi="Times New Roman"/>
          <w:i/>
          <w:sz w:val="24"/>
        </w:rPr>
        <w:t>. Nomological validity</w:t>
      </w:r>
    </w:p>
    <w:p w14:paraId="0A794374" w14:textId="2ED2BE8F" w:rsidR="00CD0FED" w:rsidRPr="00172374" w:rsidRDefault="00CD0FED" w:rsidP="00CD0FED">
      <w:pPr>
        <w:spacing w:line="480" w:lineRule="auto"/>
        <w:ind w:firstLine="720"/>
      </w:pPr>
      <w:r w:rsidRPr="00172374">
        <w:t xml:space="preserve">An important step in evaluating construct validity for a new scale is to examine the extent to which the scale fits “lawfully” into a nomological network (Cronbach &amp; </w:t>
      </w:r>
      <w:proofErr w:type="spellStart"/>
      <w:r w:rsidRPr="00172374">
        <w:t>Meehl</w:t>
      </w:r>
      <w:proofErr w:type="spellEnd"/>
      <w:r w:rsidRPr="00172374">
        <w:t>, 1955). Evidence of nomological validity is provided by a construct’s possession of distinct antecedents and consequences, depicting theoretical relationships between different constructs (</w:t>
      </w:r>
      <w:proofErr w:type="spellStart"/>
      <w:r w:rsidRPr="00172374">
        <w:t>Iacobucci</w:t>
      </w:r>
      <w:proofErr w:type="spellEnd"/>
      <w:r w:rsidRPr="00172374">
        <w:t xml:space="preserve">, Ostrom, &amp; Grayson, 1995; Islam &amp; Polonsky, 2020). Therefore, we tried to develop a nomological network that includes (1) a critical antecedent that would help explain what makes a firm brand-oriented, (2) a critical consequence representing a potential implication of being brand-oriented, and (3) a related strategic orientation to provide evidence of the distinctiveness between brand orientation and an established related construct such as market orientation. </w:t>
      </w:r>
      <w:bookmarkStart w:id="40" w:name="_Hlk32146774"/>
      <w:r w:rsidRPr="00172374">
        <w:t xml:space="preserve">Thus, drawing from relevant literature, </w:t>
      </w:r>
      <w:bookmarkEnd w:id="40"/>
      <w:r w:rsidRPr="00172374">
        <w:t xml:space="preserve">we propose that brand orientation </w:t>
      </w:r>
      <w:proofErr w:type="spellStart"/>
      <w:r w:rsidRPr="00172374">
        <w:t>nomologically</w:t>
      </w:r>
      <w:proofErr w:type="spellEnd"/>
      <w:r w:rsidRPr="00172374">
        <w:t xml:space="preserve"> relates to three constructs: marketing department power, market orientation, and </w:t>
      </w:r>
      <w:r w:rsidR="004C6197" w:rsidRPr="00172374">
        <w:t>financial</w:t>
      </w:r>
      <w:r w:rsidRPr="00172374">
        <w:t xml:space="preserve"> performance. More specifically, we expect that brand orientation serially mediates the effects of the former two constructs on the latter one.</w:t>
      </w:r>
    </w:p>
    <w:p w14:paraId="691D81AB" w14:textId="77777777" w:rsidR="00CD0FED" w:rsidRPr="00172374" w:rsidRDefault="00CD0FED" w:rsidP="00CD0FED">
      <w:pPr>
        <w:spacing w:after="120" w:line="480" w:lineRule="auto"/>
        <w:ind w:firstLine="567"/>
      </w:pPr>
      <w:bookmarkStart w:id="41" w:name="_Hlk32147881"/>
      <w:r w:rsidRPr="00172374">
        <w:t xml:space="preserve">We provide concrete theoretical predictions for the directionality of these relationships. First, we expect that the power of the marketing department is an antecedent of brand orientation, in line with the mechanisms Feng, Morgan, and Rego (2015) propose—namely, </w:t>
      </w:r>
      <w:r w:rsidRPr="00172374">
        <w:lastRenderedPageBreak/>
        <w:t xml:space="preserve">resource attraction, </w:t>
      </w:r>
      <w:proofErr w:type="spellStart"/>
      <w:r w:rsidRPr="00172374">
        <w:t>interfunctional</w:t>
      </w:r>
      <w:proofErr w:type="spellEnd"/>
      <w:r w:rsidRPr="00172374">
        <w:t xml:space="preserve"> coordination, and top management attention. In organizations in which the marketing department is well-respected and its “seat at the table” is guaranteed, marketing managers can exercise more pressure in budget allocation decisions so that more corporate resources are assigned to marketing activities, which typically include brand-oriented activities. Moreover, strong marketing departments are better able to prioritize branding activities by coordinating the efforts of other departments whose resources are collectively required to strengthen the brand. Finally, when the marketing department is strong enough to attract top management attention, the assets it manages (i.e., typically brands) are likely to be internally appreciated, rendering the whole organization more “brand-focused”. Therefore, we hypothesize that:</w:t>
      </w:r>
    </w:p>
    <w:p w14:paraId="2C0476BB" w14:textId="77777777" w:rsidR="00CD0FED" w:rsidRPr="00172374" w:rsidRDefault="00CD0FED" w:rsidP="00CD0FED">
      <w:pPr>
        <w:spacing w:after="120" w:line="480" w:lineRule="auto"/>
      </w:pPr>
      <w:r w:rsidRPr="00172374">
        <w:rPr>
          <w:b/>
          <w:bCs/>
        </w:rPr>
        <w:t>H1.</w:t>
      </w:r>
      <w:r w:rsidRPr="00172374">
        <w:t xml:space="preserve"> Marketing department power has a positive effect on brand orientation.</w:t>
      </w:r>
    </w:p>
    <w:p w14:paraId="424BB634" w14:textId="77777777" w:rsidR="00CD0FED" w:rsidRPr="00172374" w:rsidRDefault="00CD0FED" w:rsidP="00CD0FED">
      <w:pPr>
        <w:spacing w:after="120" w:line="480" w:lineRule="auto"/>
        <w:ind w:firstLine="567"/>
      </w:pPr>
      <w:r w:rsidRPr="00172374">
        <w:t xml:space="preserve">Second, we expect a positive relationship between market orientation and brand orientation. Brand orientation, as a new strategic orientation, can be conceptualized at the same level of abstraction as market orientation (Noble et al., 2002; </w:t>
      </w:r>
      <w:proofErr w:type="spellStart"/>
      <w:r w:rsidRPr="00172374">
        <w:t>Urde</w:t>
      </w:r>
      <w:proofErr w:type="spellEnd"/>
      <w:r w:rsidRPr="00172374">
        <w:t xml:space="preserve"> et al., 2013). We propose, though, that brand orientation, apart from market needs, takes into consideration the organization’s mission and values and ensures that the brand will be recognized, featured, and favored in the marketing strategy (</w:t>
      </w:r>
      <w:proofErr w:type="spellStart"/>
      <w:r w:rsidRPr="00172374">
        <w:t>Urde</w:t>
      </w:r>
      <w:proofErr w:type="spellEnd"/>
      <w:r w:rsidRPr="00172374">
        <w:t xml:space="preserve">, 1999; Wong &amp; </w:t>
      </w:r>
      <w:proofErr w:type="spellStart"/>
      <w:r w:rsidRPr="00172374">
        <w:t>Merrilees</w:t>
      </w:r>
      <w:proofErr w:type="spellEnd"/>
      <w:r w:rsidRPr="00172374">
        <w:t>, 2007). In this sense, brand orientation is conceptualized at an additional degree of sophistication (</w:t>
      </w:r>
      <w:proofErr w:type="spellStart"/>
      <w:r w:rsidRPr="00172374">
        <w:t>Urde</w:t>
      </w:r>
      <w:proofErr w:type="spellEnd"/>
      <w:r w:rsidRPr="00172374">
        <w:t>, 1999) and is regarded as market orientation “plus” (</w:t>
      </w:r>
      <w:proofErr w:type="spellStart"/>
      <w:r w:rsidRPr="00172374">
        <w:t>Urde</w:t>
      </w:r>
      <w:proofErr w:type="spellEnd"/>
      <w:r w:rsidRPr="00172374">
        <w:t xml:space="preserve">, 1994), meaning that a stronger focus on branding is more likely to be manifested in organizations with higher (vs. lower) levels of market orientation. A market orientation puts the customer at the center of all organizational activities, monitors competitive moves and ensures </w:t>
      </w:r>
      <w:proofErr w:type="spellStart"/>
      <w:r w:rsidRPr="00172374">
        <w:t>interfunctional</w:t>
      </w:r>
      <w:proofErr w:type="spellEnd"/>
      <w:r w:rsidRPr="00172374">
        <w:t xml:space="preserve"> coordination (</w:t>
      </w:r>
      <w:proofErr w:type="spellStart"/>
      <w:r w:rsidRPr="00172374">
        <w:t>Narver</w:t>
      </w:r>
      <w:proofErr w:type="spellEnd"/>
      <w:r w:rsidRPr="00172374">
        <w:t xml:space="preserve"> &amp; Slater, 1990). As such, it provides the necessary mechanisms </w:t>
      </w:r>
      <w:proofErr w:type="gramStart"/>
      <w:r w:rsidRPr="00172374">
        <w:t>in order to</w:t>
      </w:r>
      <w:proofErr w:type="gramEnd"/>
      <w:r w:rsidRPr="00172374">
        <w:t xml:space="preserve"> help a company fulfill its brand promises. When firms have carefully detected customer needs and outlined the competition, they should next be in a better position to develop and implement a brand </w:t>
      </w:r>
      <w:r w:rsidRPr="00172374">
        <w:lastRenderedPageBreak/>
        <w:t>orientation that satisfies the customer needs and desires with strong brands. In other words, brand orientation embraces the market orientation concept, but also considers the role of brand in achieving market leadership (</w:t>
      </w:r>
      <w:proofErr w:type="spellStart"/>
      <w:r w:rsidRPr="00172374">
        <w:t>Simões</w:t>
      </w:r>
      <w:proofErr w:type="spellEnd"/>
      <w:r w:rsidRPr="00172374">
        <w:t xml:space="preserve"> &amp; </w:t>
      </w:r>
      <w:proofErr w:type="spellStart"/>
      <w:r w:rsidRPr="00172374">
        <w:t>Dibb</w:t>
      </w:r>
      <w:proofErr w:type="spellEnd"/>
      <w:r w:rsidRPr="00172374">
        <w:t xml:space="preserve">, 2001).  The role of market orientation acting as an antecedent of brand orientation has also received support in prior research (Laukkanen et al., 2016; Reid et al., 2005; Wong &amp; </w:t>
      </w:r>
      <w:proofErr w:type="spellStart"/>
      <w:r w:rsidRPr="00172374">
        <w:t>Merrilees</w:t>
      </w:r>
      <w:proofErr w:type="spellEnd"/>
      <w:r w:rsidRPr="00172374">
        <w:t>, 2007). Thus, we hypothesize that:</w:t>
      </w:r>
    </w:p>
    <w:p w14:paraId="6D99D3A9" w14:textId="77777777" w:rsidR="00CD0FED" w:rsidRPr="00172374" w:rsidRDefault="00CD0FED" w:rsidP="00CD0FED">
      <w:pPr>
        <w:spacing w:after="120" w:line="480" w:lineRule="auto"/>
      </w:pPr>
      <w:r w:rsidRPr="00172374">
        <w:rPr>
          <w:b/>
          <w:bCs/>
        </w:rPr>
        <w:t>H2.</w:t>
      </w:r>
      <w:r w:rsidRPr="00172374">
        <w:t xml:space="preserve"> Market orientation positively influences brand orientation.</w:t>
      </w:r>
    </w:p>
    <w:p w14:paraId="4159F461" w14:textId="77777777" w:rsidR="00CD0FED" w:rsidRPr="00172374" w:rsidRDefault="00CD0FED" w:rsidP="00CD0FED">
      <w:pPr>
        <w:spacing w:after="120" w:line="480" w:lineRule="auto"/>
        <w:ind w:firstLine="567"/>
      </w:pPr>
      <w:r w:rsidRPr="00172374">
        <w:t xml:space="preserve">Finally, with regard to the effect of brand orientation on financial performance, the benefits resulting from strong brands include larger margins, increased marketing activity effectiveness, and greater trade support (e.g., Keller, 2008; Rehman, Johnston, &amp; James, 2019). Culture theory (Denison, 1984) suggests that a dominant organizational culture, such as that created through brand orientation, provides </w:t>
      </w:r>
      <w:proofErr w:type="gramStart"/>
      <w:r w:rsidRPr="00172374">
        <w:t>cohesiveness</w:t>
      </w:r>
      <w:proofErr w:type="gramEnd"/>
      <w:r w:rsidRPr="00172374">
        <w:t xml:space="preserve"> and focus in planning and tactical activities. This effectiveness should lead to superior organizational performance. Thus, the cultural impact of a brand focus should enhance overall firm effectiveness (Noble et al., 2002). Furthermore, empirical studies in contexts such as charity (e.g., Napoli, 2006), retail (e.g., </w:t>
      </w:r>
      <w:proofErr w:type="spellStart"/>
      <w:r w:rsidRPr="00172374">
        <w:t>Bridson</w:t>
      </w:r>
      <w:proofErr w:type="spellEnd"/>
      <w:r w:rsidRPr="00172374">
        <w:t xml:space="preserve"> &amp; Evans, 2004), museums (e.g., </w:t>
      </w:r>
      <w:proofErr w:type="spellStart"/>
      <w:r w:rsidRPr="00172374">
        <w:t>Baumgarth</w:t>
      </w:r>
      <w:proofErr w:type="spellEnd"/>
      <w:r w:rsidRPr="00172374">
        <w:t xml:space="preserve">, 2009), small business (e.g., Laukkanen et al., 2016), and industrial markets (e.g., </w:t>
      </w:r>
      <w:proofErr w:type="spellStart"/>
      <w:r w:rsidRPr="00172374">
        <w:t>Baumgarth</w:t>
      </w:r>
      <w:proofErr w:type="spellEnd"/>
      <w:r w:rsidRPr="00172374">
        <w:t>, 2010; Chang, Wang, &amp; Arnett, 2018) demonstrate a positive relationship between brand orientation and financial performance, and we expect to confirm this effect with the new brand orientation scale. This line of reasoning leads to the following hypothesis:</w:t>
      </w:r>
    </w:p>
    <w:p w14:paraId="3300FBFD" w14:textId="57D929A1" w:rsidR="00CD0FED" w:rsidRPr="00172374" w:rsidRDefault="00CD0FED" w:rsidP="00CD0FED">
      <w:pPr>
        <w:spacing w:after="120" w:line="480" w:lineRule="auto"/>
      </w:pPr>
      <w:r w:rsidRPr="00172374">
        <w:rPr>
          <w:b/>
          <w:bCs/>
        </w:rPr>
        <w:t>H3.</w:t>
      </w:r>
      <w:r w:rsidRPr="00172374">
        <w:t xml:space="preserve"> Brand orientation has a positive effect on financial performance.</w:t>
      </w:r>
    </w:p>
    <w:bookmarkEnd w:id="41"/>
    <w:p w14:paraId="47CFEF14" w14:textId="56AD9B8D" w:rsidR="00CD0FED" w:rsidRPr="00172374" w:rsidRDefault="00CD0FED" w:rsidP="001E71F4">
      <w:pPr>
        <w:spacing w:line="480" w:lineRule="auto"/>
        <w:ind w:firstLine="567"/>
      </w:pPr>
      <w:r w:rsidRPr="00172374">
        <w:t xml:space="preserve">To test these predictions and assess the nomological validity of the brand orientation scale, we estimate a structural equation model that includes the relationships of brand orientation to the three </w:t>
      </w:r>
      <w:proofErr w:type="gramStart"/>
      <w:r w:rsidRPr="00172374">
        <w:t>aforementioned constructs</w:t>
      </w:r>
      <w:proofErr w:type="gramEnd"/>
      <w:r w:rsidRPr="00172374">
        <w:t xml:space="preserve">. For the operationalization of market </w:t>
      </w:r>
      <w:r w:rsidRPr="00172374">
        <w:lastRenderedPageBreak/>
        <w:t xml:space="preserve">orientation, we use the well-established scale of </w:t>
      </w:r>
      <w:proofErr w:type="spellStart"/>
      <w:r w:rsidRPr="00172374">
        <w:t>Narver</w:t>
      </w:r>
      <w:proofErr w:type="spellEnd"/>
      <w:r w:rsidRPr="00172374">
        <w:t xml:space="preserve"> and Slater (1990), while the marketing department power scale was based on Kohli (1989). We adopted the financial performance scale from </w:t>
      </w:r>
      <w:proofErr w:type="spellStart"/>
      <w:r w:rsidRPr="00172374">
        <w:t>Yau</w:t>
      </w:r>
      <w:proofErr w:type="spellEnd"/>
      <w:r w:rsidRPr="00172374">
        <w:t xml:space="preserve"> et al. (2007), measuring company performance relative to competitors in terms of profits, sales, market share, and return on investment </w:t>
      </w:r>
      <w:bookmarkStart w:id="42" w:name="_Hlk32244447"/>
      <w:r w:rsidRPr="00172374">
        <w:t>(see Appendix A1</w:t>
      </w:r>
      <w:r w:rsidR="00315777" w:rsidRPr="00172374">
        <w:t>3</w:t>
      </w:r>
      <w:r w:rsidRPr="00172374">
        <w:t xml:space="preserve"> for detailed statistics on the additional measures used in the nomological validity assessment)</w:t>
      </w:r>
      <w:bookmarkEnd w:id="42"/>
      <w:r w:rsidRPr="00172374">
        <w:t xml:space="preserve">. The results of the model estimation (χ² = 2124.34, </w:t>
      </w:r>
      <w:r w:rsidRPr="00172374">
        <w:rPr>
          <w:i/>
          <w:iCs/>
        </w:rPr>
        <w:t>df</w:t>
      </w:r>
      <w:r w:rsidRPr="00172374">
        <w:t xml:space="preserve"> = 1196; </w:t>
      </w:r>
      <w:r w:rsidR="003B3862" w:rsidRPr="00172374">
        <w:rPr>
          <w:i/>
          <w:iCs/>
        </w:rPr>
        <w:t>p</w:t>
      </w:r>
      <w:r w:rsidR="003B3862" w:rsidRPr="00172374">
        <w:t xml:space="preserve"> &lt; 0.001; </w:t>
      </w:r>
      <w:r w:rsidRPr="00172374">
        <w:t xml:space="preserve">CFI = 0.91; RMSEA = 0.057; SRMR = 0.078) show satisfactory </w:t>
      </w:r>
      <w:r w:rsidR="00FB09B8" w:rsidRPr="00172374">
        <w:t xml:space="preserve">overall </w:t>
      </w:r>
      <w:r w:rsidRPr="00172374">
        <w:t>fit to the data (</w:t>
      </w:r>
      <w:proofErr w:type="spellStart"/>
      <w:r w:rsidR="00FB09B8" w:rsidRPr="00172374">
        <w:t>Davvetas</w:t>
      </w:r>
      <w:proofErr w:type="spellEnd"/>
      <w:r w:rsidR="00FB09B8" w:rsidRPr="00172374">
        <w:t xml:space="preserve"> et al., 2020; </w:t>
      </w:r>
      <w:r w:rsidRPr="00172374">
        <w:t xml:space="preserve">Hair et al., 2014). As hypothesized, marketing department power has a positive effect on market orientation (β = 0.46, </w:t>
      </w:r>
      <w:r w:rsidRPr="00172374">
        <w:rPr>
          <w:i/>
          <w:iCs/>
        </w:rPr>
        <w:t>p</w:t>
      </w:r>
      <w:r w:rsidRPr="00172374">
        <w:t xml:space="preserve"> &lt; 0.</w:t>
      </w:r>
      <w:r w:rsidRPr="00172374">
        <w:rPr>
          <w:lang w:val="en-GB"/>
        </w:rPr>
        <w:t>0</w:t>
      </w:r>
      <w:r w:rsidRPr="00172374">
        <w:t xml:space="preserve">01), which in turn has a positive effect on brand orientation (β = 0.79, </w:t>
      </w:r>
      <w:r w:rsidRPr="00172374">
        <w:rPr>
          <w:i/>
          <w:iCs/>
        </w:rPr>
        <w:t>p</w:t>
      </w:r>
      <w:r w:rsidRPr="00172374">
        <w:t xml:space="preserve"> &lt; 0.</w:t>
      </w:r>
      <w:r w:rsidRPr="00172374">
        <w:rPr>
          <w:lang w:val="en-GB"/>
        </w:rPr>
        <w:t>0</w:t>
      </w:r>
      <w:r w:rsidRPr="00172374">
        <w:t xml:space="preserve">01). Apart from the indirect effect through market orientation, marketing department power has a positive direct effect on brand orientation (β = 0.17, </w:t>
      </w:r>
      <w:r w:rsidRPr="00172374">
        <w:rPr>
          <w:i/>
          <w:iCs/>
        </w:rPr>
        <w:t>p</w:t>
      </w:r>
      <w:r w:rsidRPr="00172374">
        <w:t xml:space="preserve"> &lt; 0.</w:t>
      </w:r>
      <w:r w:rsidRPr="00172374">
        <w:rPr>
          <w:lang w:val="en-GB"/>
        </w:rPr>
        <w:t>0</w:t>
      </w:r>
      <w:r w:rsidRPr="00172374">
        <w:t>1). Importantly, when controlling for the direct effect of marketing department power, market orientation, and several control variables (</w:t>
      </w:r>
      <w:r w:rsidR="001E71F4" w:rsidRPr="00172374">
        <w:t>i.e.</w:t>
      </w:r>
      <w:r w:rsidRPr="00172374">
        <w:t xml:space="preserve">, </w:t>
      </w:r>
      <w:r w:rsidR="001E71F4" w:rsidRPr="00172374">
        <w:t>company age measured in years, company size measured in number of employees, and firm sector dummies to account for differences associated with industry category</w:t>
      </w:r>
      <w:r w:rsidRPr="00172374">
        <w:t xml:space="preserve">), the effect of brand orientation on financial performance is positive and significant (β = 0.54, </w:t>
      </w:r>
      <w:r w:rsidRPr="00172374">
        <w:rPr>
          <w:i/>
          <w:iCs/>
        </w:rPr>
        <w:t>p</w:t>
      </w:r>
      <w:r w:rsidRPr="00172374">
        <w:t xml:space="preserve"> &lt; 0.</w:t>
      </w:r>
      <w:r w:rsidRPr="00172374">
        <w:rPr>
          <w:lang w:val="en-GB"/>
        </w:rPr>
        <w:t>0</w:t>
      </w:r>
      <w:r w:rsidRPr="00172374">
        <w:t xml:space="preserve">1), suggesting that it serially (and, in our sample, fully, given the absence of significant direct effects) mediates the effect of market department power and market orientation on financial performance. Although we do not claim to have established complete mediation (see Rucker, Preacher, </w:t>
      </w:r>
      <w:proofErr w:type="spellStart"/>
      <w:r w:rsidRPr="00172374">
        <w:t>Tormala</w:t>
      </w:r>
      <w:proofErr w:type="spellEnd"/>
      <w:r w:rsidRPr="00172374">
        <w:t>, &amp; Petty, 2011), we find evidence of an important mechanism mediating how powerful marketing departments and market oriented firms achieve superior performance.</w:t>
      </w:r>
      <w:r w:rsidRPr="00172374">
        <w:rPr>
          <w:vertAlign w:val="superscript"/>
        </w:rPr>
        <w:footnoteReference w:id="1"/>
      </w:r>
      <w:r w:rsidRPr="00172374">
        <w:t xml:space="preserve"> We provide an overview of the model estimation results in Table 1</w:t>
      </w:r>
      <w:r w:rsidR="009C55D7" w:rsidRPr="00172374">
        <w:t>4</w:t>
      </w:r>
      <w:r w:rsidRPr="00172374">
        <w:t xml:space="preserve"> and depict the structural model of the </w:t>
      </w:r>
      <w:r w:rsidRPr="00172374">
        <w:lastRenderedPageBreak/>
        <w:t>estimated relationships in Fig. 2.</w:t>
      </w:r>
      <w:r w:rsidR="009E2C6C" w:rsidRPr="00172374">
        <w:t xml:space="preserve"> Appendix 14 presents correlations between higher order constructs and multicollinearity statistics.</w:t>
      </w:r>
    </w:p>
    <w:p w14:paraId="0F13A7C3" w14:textId="6AACAA71" w:rsidR="00CD0FED" w:rsidRPr="00172374" w:rsidRDefault="00CD0FED" w:rsidP="00CD0FED">
      <w:pPr>
        <w:spacing w:line="480" w:lineRule="auto"/>
        <w:jc w:val="center"/>
      </w:pPr>
      <w:r w:rsidRPr="00172374">
        <w:t>Table 1</w:t>
      </w:r>
      <w:r w:rsidR="009C55D7" w:rsidRPr="00172374">
        <w:t>4</w:t>
      </w:r>
      <w:r w:rsidRPr="00172374">
        <w:t xml:space="preserve"> and Figure 2 here</w:t>
      </w:r>
    </w:p>
    <w:p w14:paraId="2A8D3FC6" w14:textId="77777777" w:rsidR="00D10C8F" w:rsidRPr="00172374" w:rsidRDefault="000F4976" w:rsidP="000D59B1">
      <w:pPr>
        <w:spacing w:line="480" w:lineRule="auto"/>
        <w:rPr>
          <w:b/>
        </w:rPr>
      </w:pPr>
      <w:r w:rsidRPr="00172374">
        <w:rPr>
          <w:b/>
        </w:rPr>
        <w:t>4</w:t>
      </w:r>
      <w:r w:rsidR="00D10C8F" w:rsidRPr="00172374">
        <w:rPr>
          <w:b/>
        </w:rPr>
        <w:t>. Discussion</w:t>
      </w:r>
    </w:p>
    <w:p w14:paraId="07D4591D" w14:textId="782422FB" w:rsidR="00D10C8F" w:rsidRPr="00172374" w:rsidRDefault="00D10C8F" w:rsidP="000D59B1">
      <w:pPr>
        <w:spacing w:line="480" w:lineRule="auto"/>
        <w:ind w:firstLine="567"/>
      </w:pPr>
      <w:r w:rsidRPr="00172374">
        <w:t xml:space="preserve">Given the importance of branding in today’s competitive marketplace, the contribution of our study </w:t>
      </w:r>
      <w:r w:rsidR="000D2519" w:rsidRPr="00172374">
        <w:t xml:space="preserve">to </w:t>
      </w:r>
      <w:r w:rsidRPr="00172374">
        <w:t>the</w:t>
      </w:r>
      <w:r w:rsidR="003D67E7" w:rsidRPr="00172374">
        <w:t xml:space="preserve"> literature is threefold. First, </w:t>
      </w:r>
      <w:r w:rsidRPr="00172374">
        <w:t xml:space="preserve">we </w:t>
      </w:r>
      <w:r w:rsidR="003D67E7" w:rsidRPr="00172374">
        <w:t>develop a context-free and fully psychometrically as</w:t>
      </w:r>
      <w:r w:rsidR="002C6C53" w:rsidRPr="00172374">
        <w:t>sessed instrument to measure an</w:t>
      </w:r>
      <w:r w:rsidR="003D67E7" w:rsidRPr="00172374">
        <w:t xml:space="preserve"> organization’s degree of brand orientation</w:t>
      </w:r>
      <w:r w:rsidR="00CF3A1D" w:rsidRPr="00172374">
        <w:t xml:space="preserve"> using rigorous scale development procedures. </w:t>
      </w:r>
      <w:r w:rsidR="003D67E7" w:rsidRPr="00172374">
        <w:t xml:space="preserve">Second, </w:t>
      </w:r>
      <w:r w:rsidR="00CF3A1D" w:rsidRPr="00172374">
        <w:t xml:space="preserve">we uncover four distinct dimensions of a brand-oriented organizational strategy </w:t>
      </w:r>
      <w:r w:rsidR="003D67E7" w:rsidRPr="00172374">
        <w:t xml:space="preserve">by </w:t>
      </w:r>
      <w:r w:rsidR="005F70A8" w:rsidRPr="00172374">
        <w:t xml:space="preserve">juxtaposing </w:t>
      </w:r>
      <w:r w:rsidRPr="00172374">
        <w:t>the extant literature on branding and brand orientation</w:t>
      </w:r>
      <w:r w:rsidR="00CF3A1D" w:rsidRPr="00172374">
        <w:t xml:space="preserve"> </w:t>
      </w:r>
      <w:r w:rsidR="000D2519" w:rsidRPr="00172374">
        <w:t>with</w:t>
      </w:r>
      <w:r w:rsidR="005F70A8" w:rsidRPr="00172374">
        <w:t xml:space="preserve"> </w:t>
      </w:r>
      <w:r w:rsidR="00CF3A1D" w:rsidRPr="00172374">
        <w:t>fresh qualitative data</w:t>
      </w:r>
      <w:r w:rsidR="00B26FB6" w:rsidRPr="00172374">
        <w:t>.</w:t>
      </w:r>
      <w:r w:rsidR="003D67E7" w:rsidRPr="00172374">
        <w:t xml:space="preserve"> </w:t>
      </w:r>
      <w:r w:rsidR="005F70A8" w:rsidRPr="00172374">
        <w:t>By doing so</w:t>
      </w:r>
      <w:r w:rsidR="000D2519" w:rsidRPr="00172374">
        <w:t>,</w:t>
      </w:r>
      <w:r w:rsidR="005F70A8" w:rsidRPr="00172374">
        <w:t xml:space="preserve"> we extend </w:t>
      </w:r>
      <w:proofErr w:type="spellStart"/>
      <w:r w:rsidR="005F70A8" w:rsidRPr="00172374">
        <w:t>Urde</w:t>
      </w:r>
      <w:r w:rsidR="000D2519" w:rsidRPr="00172374">
        <w:t>’s</w:t>
      </w:r>
      <w:proofErr w:type="spellEnd"/>
      <w:r w:rsidR="005F70A8" w:rsidRPr="00172374">
        <w:t xml:space="preserve"> (1999) broad definition of brand orientation by unveiling four dimensions that reflect his proposed concept in a more concrete manner. </w:t>
      </w:r>
      <w:r w:rsidR="00466F85" w:rsidRPr="00172374">
        <w:t xml:space="preserve">The </w:t>
      </w:r>
      <w:r w:rsidR="009168A0" w:rsidRPr="00172374">
        <w:t xml:space="preserve">BIM </w:t>
      </w:r>
      <w:r w:rsidR="00466F85" w:rsidRPr="00172374">
        <w:t>dimension reflects the level of significance an organization attaches to its brands</w:t>
      </w:r>
      <w:r w:rsidR="000D2519" w:rsidRPr="00172374">
        <w:t>,</w:t>
      </w:r>
      <w:r w:rsidR="00466F85" w:rsidRPr="00172374">
        <w:t xml:space="preserve"> </w:t>
      </w:r>
      <w:r w:rsidR="005264E7" w:rsidRPr="00172374">
        <w:t xml:space="preserve">BCON </w:t>
      </w:r>
      <w:r w:rsidR="00466F85" w:rsidRPr="00172374">
        <w:t>mirrors the unvarying delivery of brand values across the multiple touchpoints</w:t>
      </w:r>
      <w:r w:rsidR="000D2519" w:rsidRPr="00172374">
        <w:t>,</w:t>
      </w:r>
      <w:r w:rsidR="00466F85" w:rsidRPr="00172374">
        <w:t xml:space="preserve"> </w:t>
      </w:r>
      <w:r w:rsidR="006167F1" w:rsidRPr="00172374">
        <w:t xml:space="preserve">BDIF </w:t>
      </w:r>
      <w:r w:rsidR="00466F85" w:rsidRPr="00172374">
        <w:t>refers to the extent to which an organization’s brands are sufficiently distinct from competition</w:t>
      </w:r>
      <w:r w:rsidR="000D2519" w:rsidRPr="00172374">
        <w:t>,</w:t>
      </w:r>
      <w:r w:rsidR="00466F85" w:rsidRPr="00172374">
        <w:t xml:space="preserve"> and </w:t>
      </w:r>
      <w:r w:rsidR="006167F1" w:rsidRPr="00172374">
        <w:t xml:space="preserve">BINT </w:t>
      </w:r>
      <w:r w:rsidR="00466F85" w:rsidRPr="00172374">
        <w:t xml:space="preserve">reflects the organization’s level of knowledge </w:t>
      </w:r>
      <w:r w:rsidR="000D2519" w:rsidRPr="00172374">
        <w:t xml:space="preserve">about </w:t>
      </w:r>
      <w:r w:rsidR="00466F85" w:rsidRPr="00172374">
        <w:t xml:space="preserve">brand perceptions in the target markets. </w:t>
      </w:r>
      <w:r w:rsidR="003D67E7" w:rsidRPr="00172374">
        <w:t>Third,</w:t>
      </w:r>
      <w:r w:rsidRPr="00172374">
        <w:t xml:space="preserve"> we corroborate previous studies </w:t>
      </w:r>
      <w:r w:rsidR="00E061E4" w:rsidRPr="00172374">
        <w:t xml:space="preserve">(e.g., Chang et al., 2018) </w:t>
      </w:r>
      <w:r w:rsidRPr="00172374">
        <w:t xml:space="preserve">on the positive effect of brand orientation on performance </w:t>
      </w:r>
      <w:r w:rsidR="00CF3A1D" w:rsidRPr="00172374">
        <w:t xml:space="preserve">and propose an empirically supported nomological network </w:t>
      </w:r>
      <w:r w:rsidR="000D2519" w:rsidRPr="00172374">
        <w:t xml:space="preserve">that </w:t>
      </w:r>
      <w:r w:rsidR="00CF3A1D" w:rsidRPr="00172374">
        <w:t xml:space="preserve">links brand orientation with related strategy constructs. </w:t>
      </w:r>
    </w:p>
    <w:p w14:paraId="786B5A44" w14:textId="77777777" w:rsidR="00675A3C" w:rsidRPr="00172374" w:rsidRDefault="00675A3C" w:rsidP="000D59B1">
      <w:pPr>
        <w:spacing w:line="480" w:lineRule="auto"/>
        <w:ind w:firstLine="567"/>
      </w:pPr>
    </w:p>
    <w:p w14:paraId="4972CD67" w14:textId="1D5F01CE" w:rsidR="00D10C8F" w:rsidRPr="00172374" w:rsidRDefault="000F4976" w:rsidP="000D59B1">
      <w:pPr>
        <w:pStyle w:val="a3"/>
        <w:spacing w:after="0" w:line="480" w:lineRule="auto"/>
        <w:ind w:left="0"/>
        <w:contextualSpacing w:val="0"/>
        <w:rPr>
          <w:rFonts w:ascii="Times New Roman" w:hAnsi="Times New Roman"/>
          <w:i/>
          <w:sz w:val="24"/>
          <w:lang w:val="en-US"/>
        </w:rPr>
      </w:pPr>
      <w:r w:rsidRPr="00172374">
        <w:rPr>
          <w:rFonts w:ascii="Times New Roman" w:hAnsi="Times New Roman"/>
          <w:i/>
          <w:sz w:val="24"/>
        </w:rPr>
        <w:t>4</w:t>
      </w:r>
      <w:r w:rsidR="00D10C8F" w:rsidRPr="00172374">
        <w:rPr>
          <w:rFonts w:ascii="Times New Roman" w:hAnsi="Times New Roman"/>
          <w:i/>
          <w:sz w:val="24"/>
        </w:rPr>
        <w:t xml:space="preserve">.1. Theoretical </w:t>
      </w:r>
      <w:r w:rsidR="004E3A05" w:rsidRPr="00172374">
        <w:rPr>
          <w:rFonts w:ascii="Times New Roman" w:hAnsi="Times New Roman"/>
          <w:i/>
          <w:sz w:val="24"/>
        </w:rPr>
        <w:t xml:space="preserve">and methodological </w:t>
      </w:r>
      <w:r w:rsidR="000D2519" w:rsidRPr="00172374">
        <w:rPr>
          <w:rFonts w:ascii="Times New Roman" w:hAnsi="Times New Roman"/>
          <w:i/>
          <w:sz w:val="24"/>
        </w:rPr>
        <w:t>contributions</w:t>
      </w:r>
      <w:r w:rsidR="00D10C8F" w:rsidRPr="00172374">
        <w:rPr>
          <w:rFonts w:ascii="Times New Roman" w:hAnsi="Times New Roman"/>
          <w:i/>
          <w:sz w:val="24"/>
          <w:lang w:val="en-US"/>
        </w:rPr>
        <w:t xml:space="preserve"> </w:t>
      </w:r>
    </w:p>
    <w:p w14:paraId="17D18E49" w14:textId="77777777" w:rsidR="00233011" w:rsidRPr="00172374" w:rsidRDefault="000D2519" w:rsidP="000D59B1">
      <w:pPr>
        <w:spacing w:line="480" w:lineRule="auto"/>
        <w:ind w:firstLine="567"/>
      </w:pPr>
      <w:r w:rsidRPr="00172374">
        <w:t xml:space="preserve">This </w:t>
      </w:r>
      <w:r w:rsidR="00D10C8F" w:rsidRPr="00172374">
        <w:t xml:space="preserve">study constitutes </w:t>
      </w:r>
      <w:r w:rsidR="001972E2" w:rsidRPr="00172374">
        <w:t xml:space="preserve">a </w:t>
      </w:r>
      <w:r w:rsidR="00D10C8F" w:rsidRPr="00172374">
        <w:t xml:space="preserve">first attempt to </w:t>
      </w:r>
      <w:r w:rsidR="009A6BBD" w:rsidRPr="00172374">
        <w:t>re-</w:t>
      </w:r>
      <w:r w:rsidR="00D10C8F" w:rsidRPr="00172374">
        <w:t>conceptualize and operationalize brand orientation</w:t>
      </w:r>
      <w:r w:rsidR="009A6BBD" w:rsidRPr="00172374">
        <w:t xml:space="preserve"> in higher depth</w:t>
      </w:r>
      <w:r w:rsidR="00D10C8F" w:rsidRPr="00172374">
        <w:t xml:space="preserve">, </w:t>
      </w:r>
      <w:r w:rsidR="00510A3C" w:rsidRPr="00172374">
        <w:t>as well as</w:t>
      </w:r>
      <w:r w:rsidR="00D10C8F" w:rsidRPr="00172374">
        <w:t xml:space="preserve"> construct a comprehensive and empirically tested </w:t>
      </w:r>
      <w:r w:rsidR="00510A3C" w:rsidRPr="00172374">
        <w:t>framework of its effects</w:t>
      </w:r>
      <w:r w:rsidR="00904498" w:rsidRPr="00172374">
        <w:t>;</w:t>
      </w:r>
      <w:r w:rsidRPr="00172374">
        <w:t xml:space="preserve"> thus</w:t>
      </w:r>
      <w:r w:rsidR="00904498" w:rsidRPr="00172374">
        <w:t>, it</w:t>
      </w:r>
      <w:r w:rsidR="00D10C8F" w:rsidRPr="00172374">
        <w:t xml:space="preserve"> contribut</w:t>
      </w:r>
      <w:r w:rsidR="00510A3C" w:rsidRPr="00172374">
        <w:t>es</w:t>
      </w:r>
      <w:r w:rsidR="00D10C8F" w:rsidRPr="00172374">
        <w:t xml:space="preserve"> to </w:t>
      </w:r>
      <w:r w:rsidR="00510A3C" w:rsidRPr="00172374">
        <w:t>brand strategy research</w:t>
      </w:r>
      <w:r w:rsidR="00904498" w:rsidRPr="00172374">
        <w:t xml:space="preserve"> in several ways</w:t>
      </w:r>
      <w:r w:rsidR="00D10C8F" w:rsidRPr="00172374">
        <w:t xml:space="preserve">. </w:t>
      </w:r>
      <w:r w:rsidR="00510A3C" w:rsidRPr="00172374">
        <w:t xml:space="preserve">First, this research proposed a new and unified conceptual definition of brand orientation </w:t>
      </w:r>
      <w:r w:rsidR="00904498" w:rsidRPr="00172374">
        <w:t>that</w:t>
      </w:r>
      <w:r w:rsidR="00510A3C" w:rsidRPr="00172374">
        <w:t xml:space="preserve"> </w:t>
      </w:r>
      <w:r w:rsidR="00510A3C" w:rsidRPr="00172374">
        <w:lastRenderedPageBreak/>
        <w:t>integrates previous literature finding</w:t>
      </w:r>
      <w:r w:rsidR="00B43A9B" w:rsidRPr="00172374">
        <w:t xml:space="preserve">s and is </w:t>
      </w:r>
      <w:r w:rsidR="00510A3C" w:rsidRPr="00172374">
        <w:t>informed by novel qualitative industry data</w:t>
      </w:r>
      <w:r w:rsidR="00B43A9B" w:rsidRPr="00172374">
        <w:t xml:space="preserve">. </w:t>
      </w:r>
      <w:r w:rsidR="00233011" w:rsidRPr="00172374">
        <w:t xml:space="preserve">Given the fragmented insights found in the relevant literature, this contribution is particularly important for the development of a consistent body of work in this area. </w:t>
      </w:r>
    </w:p>
    <w:p w14:paraId="395AFFF0" w14:textId="77F1F1AE" w:rsidR="00D10C8F" w:rsidRPr="00172374" w:rsidRDefault="00510A3C" w:rsidP="000D59B1">
      <w:pPr>
        <w:spacing w:line="480" w:lineRule="auto"/>
        <w:ind w:firstLine="567"/>
      </w:pPr>
      <w:r w:rsidRPr="00172374">
        <w:t xml:space="preserve">Second, from a methodological </w:t>
      </w:r>
      <w:r w:rsidR="00904498" w:rsidRPr="00172374">
        <w:t>standpoint</w:t>
      </w:r>
      <w:r w:rsidRPr="00172374">
        <w:t xml:space="preserve">, </w:t>
      </w:r>
      <w:r w:rsidR="00D10C8F" w:rsidRPr="00172374">
        <w:t xml:space="preserve">the development of a parsimonious, </w:t>
      </w:r>
      <w:r w:rsidRPr="00172374">
        <w:t>non</w:t>
      </w:r>
      <w:r w:rsidR="00904498" w:rsidRPr="00172374">
        <w:t>-</w:t>
      </w:r>
      <w:r w:rsidRPr="00172374">
        <w:t>context</w:t>
      </w:r>
      <w:r w:rsidR="00873778" w:rsidRPr="00172374">
        <w:t>-specific</w:t>
      </w:r>
      <w:r w:rsidR="00D10C8F" w:rsidRPr="00172374">
        <w:t xml:space="preserve"> brand orientation scale</w:t>
      </w:r>
      <w:r w:rsidRPr="00172374">
        <w:t xml:space="preserve"> </w:t>
      </w:r>
      <w:r w:rsidR="00D10C8F" w:rsidRPr="00172374">
        <w:t xml:space="preserve">benefits </w:t>
      </w:r>
      <w:r w:rsidR="009A6BBD" w:rsidRPr="00172374">
        <w:t xml:space="preserve">organizational </w:t>
      </w:r>
      <w:r w:rsidR="00D10C8F" w:rsidRPr="00172374">
        <w:t xml:space="preserve">branding research </w:t>
      </w:r>
      <w:r w:rsidRPr="00172374">
        <w:t xml:space="preserve">by offering a reliable and valid tool </w:t>
      </w:r>
      <w:r w:rsidR="00904498" w:rsidRPr="00172374">
        <w:t xml:space="preserve">for </w:t>
      </w:r>
      <w:r w:rsidRPr="00172374">
        <w:t>use in branding strategy research</w:t>
      </w:r>
      <w:r w:rsidR="00D10C8F" w:rsidRPr="00172374">
        <w:t>. F</w:t>
      </w:r>
      <w:r w:rsidR="00265686" w:rsidRPr="00172374">
        <w:t>ive</w:t>
      </w:r>
      <w:r w:rsidR="00D10C8F" w:rsidRPr="00172374">
        <w:t xml:space="preserve"> studies, including qualitative insights from interviews with managers and t</w:t>
      </w:r>
      <w:r w:rsidR="00265686" w:rsidRPr="00172374">
        <w:t>hree</w:t>
      </w:r>
      <w:r w:rsidR="00D10C8F" w:rsidRPr="00172374">
        <w:t xml:space="preserve"> quantitative studies from a relevant pop</w:t>
      </w:r>
      <w:r w:rsidR="00B43A9B" w:rsidRPr="00172374">
        <w:t>ulation</w:t>
      </w:r>
      <w:r w:rsidR="00873778" w:rsidRPr="00172374">
        <w:t>,</w:t>
      </w:r>
      <w:r w:rsidR="00B43A9B" w:rsidRPr="00172374">
        <w:t xml:space="preserve"> confirm the reliability, </w:t>
      </w:r>
      <w:r w:rsidR="00D10C8F" w:rsidRPr="00172374">
        <w:t>validity</w:t>
      </w:r>
      <w:r w:rsidR="00B43A9B" w:rsidRPr="00172374">
        <w:t>, and psychometric properties</w:t>
      </w:r>
      <w:r w:rsidR="00D10C8F" w:rsidRPr="00172374">
        <w:t xml:space="preserve"> of the scale and </w:t>
      </w:r>
      <w:r w:rsidR="00904498" w:rsidRPr="00172374">
        <w:t xml:space="preserve">thus </w:t>
      </w:r>
      <w:r w:rsidR="00D10C8F" w:rsidRPr="00172374">
        <w:t xml:space="preserve">offer confidence for </w:t>
      </w:r>
      <w:r w:rsidR="00B43A9B" w:rsidRPr="00172374">
        <w:t xml:space="preserve">its rigorous application in </w:t>
      </w:r>
      <w:r w:rsidR="00D10C8F" w:rsidRPr="00172374">
        <w:t xml:space="preserve">future </w:t>
      </w:r>
      <w:r w:rsidR="00B43A9B" w:rsidRPr="00172374">
        <w:t xml:space="preserve">research endeavors. </w:t>
      </w:r>
    </w:p>
    <w:p w14:paraId="73197333" w14:textId="5CAD6B90" w:rsidR="00D10C8F" w:rsidRPr="00172374" w:rsidRDefault="00403314" w:rsidP="000D59B1">
      <w:pPr>
        <w:spacing w:line="480" w:lineRule="auto"/>
        <w:ind w:firstLine="567"/>
      </w:pPr>
      <w:r w:rsidRPr="00172374">
        <w:t>Third</w:t>
      </w:r>
      <w:r w:rsidR="00D10C8F" w:rsidRPr="00172374">
        <w:t xml:space="preserve">, our </w:t>
      </w:r>
      <w:r w:rsidRPr="00172374">
        <w:t>findings</w:t>
      </w:r>
      <w:r w:rsidR="00D10C8F" w:rsidRPr="00172374">
        <w:t xml:space="preserve"> extend </w:t>
      </w:r>
      <w:r w:rsidR="00904498" w:rsidRPr="00172374">
        <w:t>previous</w:t>
      </w:r>
      <w:r w:rsidR="00D10C8F" w:rsidRPr="00172374">
        <w:t xml:space="preserve"> studies </w:t>
      </w:r>
      <w:r w:rsidR="0006026F" w:rsidRPr="00172374">
        <w:t>o</w:t>
      </w:r>
      <w:r w:rsidR="00D10C8F" w:rsidRPr="00172374">
        <w:t>n brand orientation (e.g., Ewing &amp; Napoli, 2005) by providing a more integrated and comprehensive investigation</w:t>
      </w:r>
      <w:r w:rsidRPr="00172374">
        <w:t xml:space="preserve"> on the concept</w:t>
      </w:r>
      <w:r w:rsidR="00D10C8F" w:rsidRPr="00172374">
        <w:t xml:space="preserve">. Our results suggest that a brand-oriented organization is one </w:t>
      </w:r>
      <w:r w:rsidR="00904498" w:rsidRPr="00172374">
        <w:t>that</w:t>
      </w:r>
      <w:r w:rsidR="00D10C8F" w:rsidRPr="00172374">
        <w:t xml:space="preserve"> has a well-established branding culture and employs branding initiatives </w:t>
      </w:r>
      <w:r w:rsidR="00904498" w:rsidRPr="00172374">
        <w:t>to achieve</w:t>
      </w:r>
      <w:r w:rsidR="00D10C8F" w:rsidRPr="00172374">
        <w:t xml:space="preserve"> consistency, differentiation</w:t>
      </w:r>
      <w:r w:rsidR="00904498" w:rsidRPr="00172374">
        <w:t>,</w:t>
      </w:r>
      <w:r w:rsidR="00D10C8F" w:rsidRPr="00172374">
        <w:t xml:space="preserve"> and intelligence. In particular, our research builds on previous studies </w:t>
      </w:r>
      <w:r w:rsidR="00675A3C" w:rsidRPr="00172374">
        <w:t>and provides</w:t>
      </w:r>
      <w:r w:rsidR="00D10C8F" w:rsidRPr="00172374">
        <w:t xml:space="preserve"> a holi</w:t>
      </w:r>
      <w:r w:rsidR="00A8610F" w:rsidRPr="00172374">
        <w:t xml:space="preserve">stic </w:t>
      </w:r>
      <w:r w:rsidR="001062B4" w:rsidRPr="00172374">
        <w:t>measurement tool</w:t>
      </w:r>
      <w:r w:rsidR="00A8610F" w:rsidRPr="00172374">
        <w:t xml:space="preserve"> that captures </w:t>
      </w:r>
      <w:r w:rsidR="00904498" w:rsidRPr="00172374">
        <w:t xml:space="preserve">(1) </w:t>
      </w:r>
      <w:r w:rsidR="00D10C8F" w:rsidRPr="00172374">
        <w:t>the perceived importance of brand management as an integr</w:t>
      </w:r>
      <w:r w:rsidR="00A8610F" w:rsidRPr="00172374">
        <w:t xml:space="preserve">al part of </w:t>
      </w:r>
      <w:r w:rsidRPr="00172374">
        <w:t>business strategy</w:t>
      </w:r>
      <w:r w:rsidR="001062B4" w:rsidRPr="00172374">
        <w:t>,</w:t>
      </w:r>
      <w:r w:rsidRPr="00172374">
        <w:t xml:space="preserve"> </w:t>
      </w:r>
      <w:r w:rsidR="00904498" w:rsidRPr="00172374">
        <w:t xml:space="preserve">(2) </w:t>
      </w:r>
      <w:r w:rsidR="00D10C8F" w:rsidRPr="00172374">
        <w:t xml:space="preserve">the consistency of this management </w:t>
      </w:r>
      <w:r w:rsidR="00A8610F" w:rsidRPr="00172374">
        <w:t>across all brand touchpoints</w:t>
      </w:r>
      <w:r w:rsidR="001062B4" w:rsidRPr="00172374">
        <w:t xml:space="preserve">, </w:t>
      </w:r>
      <w:r w:rsidR="00904498" w:rsidRPr="00172374">
        <w:t xml:space="preserve">(3) </w:t>
      </w:r>
      <w:r w:rsidR="00D10C8F" w:rsidRPr="00172374">
        <w:t xml:space="preserve">the value of differentiation </w:t>
      </w:r>
      <w:r w:rsidR="00904498" w:rsidRPr="00172374">
        <w:t>in</w:t>
      </w:r>
      <w:r w:rsidR="00A8610F" w:rsidRPr="00172374">
        <w:t xml:space="preserve"> brand excellence, and</w:t>
      </w:r>
      <w:r w:rsidR="00D10C8F" w:rsidRPr="00172374">
        <w:t xml:space="preserve"> </w:t>
      </w:r>
      <w:r w:rsidR="00904498" w:rsidRPr="00172374">
        <w:t xml:space="preserve">(4) </w:t>
      </w:r>
      <w:r w:rsidR="00D10C8F" w:rsidRPr="00172374">
        <w:t>the use of internal and external audit</w:t>
      </w:r>
      <w:r w:rsidR="00904498" w:rsidRPr="00172374">
        <w:t>s</w:t>
      </w:r>
      <w:r w:rsidR="00D10C8F" w:rsidRPr="00172374">
        <w:t xml:space="preserve"> to </w:t>
      </w:r>
      <w:r w:rsidR="00E061E4" w:rsidRPr="00172374">
        <w:t>inform brand strategy</w:t>
      </w:r>
      <w:r w:rsidR="00E061E4" w:rsidRPr="00172374" w:rsidDel="00E061E4">
        <w:t xml:space="preserve"> </w:t>
      </w:r>
      <w:r w:rsidR="00D10C8F" w:rsidRPr="00172374">
        <w:t>(e.g.</w:t>
      </w:r>
      <w:r w:rsidR="00897A93" w:rsidRPr="00172374">
        <w:t>,</w:t>
      </w:r>
      <w:r w:rsidR="00D10C8F" w:rsidRPr="00172374">
        <w:t xml:space="preserve"> </w:t>
      </w:r>
      <w:proofErr w:type="spellStart"/>
      <w:r w:rsidR="00D10C8F" w:rsidRPr="00172374">
        <w:t>Beverland</w:t>
      </w:r>
      <w:proofErr w:type="spellEnd"/>
      <w:r w:rsidR="00D10C8F" w:rsidRPr="00172374">
        <w:t xml:space="preserve"> et al., 2015</w:t>
      </w:r>
      <w:r w:rsidR="00904498" w:rsidRPr="00172374">
        <w:t xml:space="preserve">; De </w:t>
      </w:r>
      <w:proofErr w:type="spellStart"/>
      <w:r w:rsidR="00904498" w:rsidRPr="00172374">
        <w:t>Chernatony</w:t>
      </w:r>
      <w:proofErr w:type="spellEnd"/>
      <w:r w:rsidR="00904498" w:rsidRPr="00172374">
        <w:t xml:space="preserve"> et al., 2011</w:t>
      </w:r>
      <w:r w:rsidR="00D10C8F" w:rsidRPr="00172374">
        <w:t xml:space="preserve">). </w:t>
      </w:r>
    </w:p>
    <w:p w14:paraId="326563A3" w14:textId="10A03A43" w:rsidR="00D10C8F" w:rsidRPr="00172374" w:rsidRDefault="00166E47" w:rsidP="000D59B1">
      <w:pPr>
        <w:spacing w:line="480" w:lineRule="auto"/>
        <w:ind w:firstLine="567"/>
      </w:pPr>
      <w:r w:rsidRPr="00172374">
        <w:t>Fourth</w:t>
      </w:r>
      <w:r w:rsidR="00D10C8F" w:rsidRPr="00172374">
        <w:t xml:space="preserve">, the results of the nomological validity provide empirical support </w:t>
      </w:r>
      <w:r w:rsidR="00B85A87" w:rsidRPr="00172374">
        <w:t>for</w:t>
      </w:r>
      <w:r w:rsidR="00D10C8F" w:rsidRPr="00172374">
        <w:t xml:space="preserve"> the theoretical assertion that market orientation constitutes the foundation </w:t>
      </w:r>
      <w:r w:rsidR="00B85A87" w:rsidRPr="00172374">
        <w:t>of</w:t>
      </w:r>
      <w:r w:rsidR="00D10C8F" w:rsidRPr="00172374">
        <w:t xml:space="preserve"> a brand-oriented strategy (e.g., </w:t>
      </w:r>
      <w:proofErr w:type="spellStart"/>
      <w:r w:rsidR="00D10C8F" w:rsidRPr="00172374">
        <w:t>Urde</w:t>
      </w:r>
      <w:proofErr w:type="spellEnd"/>
      <w:r w:rsidR="00D10C8F" w:rsidRPr="00172374">
        <w:t xml:space="preserve"> et al., 2013; Wong &amp; </w:t>
      </w:r>
      <w:proofErr w:type="spellStart"/>
      <w:r w:rsidR="00D10C8F" w:rsidRPr="00172374">
        <w:t>Merrilees</w:t>
      </w:r>
      <w:proofErr w:type="spellEnd"/>
      <w:r w:rsidR="00D10C8F" w:rsidRPr="00172374">
        <w:t xml:space="preserve">, 2007). In addition, our findings further support prior empirical research regarding the crucial brand orientation–performance relationship (e.g., </w:t>
      </w:r>
      <w:proofErr w:type="spellStart"/>
      <w:r w:rsidR="00D10C8F" w:rsidRPr="00172374">
        <w:t>Baumgarth</w:t>
      </w:r>
      <w:proofErr w:type="spellEnd"/>
      <w:r w:rsidR="00D10C8F" w:rsidRPr="00172374">
        <w:t xml:space="preserve"> 2010; </w:t>
      </w:r>
      <w:proofErr w:type="spellStart"/>
      <w:r w:rsidR="00D10C8F" w:rsidRPr="00172374">
        <w:t>Gromark</w:t>
      </w:r>
      <w:proofErr w:type="spellEnd"/>
      <w:r w:rsidR="00D10C8F" w:rsidRPr="00172374">
        <w:t xml:space="preserve"> &amp; </w:t>
      </w:r>
      <w:proofErr w:type="spellStart"/>
      <w:r w:rsidR="00D10C8F" w:rsidRPr="00172374">
        <w:t>Melin</w:t>
      </w:r>
      <w:proofErr w:type="spellEnd"/>
      <w:r w:rsidR="00D10C8F" w:rsidRPr="00172374">
        <w:t xml:space="preserve">, 2011). We corroborate </w:t>
      </w:r>
      <w:r w:rsidR="00A41A96" w:rsidRPr="00172374">
        <w:t xml:space="preserve">these </w:t>
      </w:r>
      <w:r w:rsidR="00D10C8F" w:rsidRPr="00172374">
        <w:t>finding</w:t>
      </w:r>
      <w:r w:rsidR="00A41A96" w:rsidRPr="00172374">
        <w:t xml:space="preserve">s by </w:t>
      </w:r>
      <w:r w:rsidR="00B85A87" w:rsidRPr="00172374">
        <w:t xml:space="preserve">showing </w:t>
      </w:r>
      <w:r w:rsidR="00D10C8F" w:rsidRPr="00172374">
        <w:t xml:space="preserve">that </w:t>
      </w:r>
      <w:r w:rsidRPr="00172374">
        <w:t>brand orientation</w:t>
      </w:r>
      <w:r w:rsidR="00D10C8F" w:rsidRPr="00172374">
        <w:t xml:space="preserve"> is indeed driven by </w:t>
      </w:r>
      <w:r w:rsidRPr="00172374">
        <w:t>marketing</w:t>
      </w:r>
      <w:r w:rsidR="00D10C8F" w:rsidRPr="00172374">
        <w:t xml:space="preserve"> </w:t>
      </w:r>
      <w:r w:rsidR="00A41A96" w:rsidRPr="00172374">
        <w:t xml:space="preserve">orientation </w:t>
      </w:r>
      <w:r w:rsidR="00D10C8F" w:rsidRPr="00172374">
        <w:t xml:space="preserve">and may well be </w:t>
      </w:r>
      <w:r w:rsidR="00D10C8F" w:rsidRPr="00172374">
        <w:lastRenderedPageBreak/>
        <w:t xml:space="preserve">positively linked to better financial performance, enhancing the theoretical belief that brand orientation should be </w:t>
      </w:r>
      <w:r w:rsidR="007C6834" w:rsidRPr="00172374">
        <w:t xml:space="preserve">treated as </w:t>
      </w:r>
      <w:r w:rsidR="00D10C8F" w:rsidRPr="00172374">
        <w:t xml:space="preserve">a significant strategic </w:t>
      </w:r>
      <w:r w:rsidR="00A41A96" w:rsidRPr="00172374">
        <w:t>priority</w:t>
      </w:r>
      <w:r w:rsidR="00D10C8F" w:rsidRPr="00172374">
        <w:t xml:space="preserve">. </w:t>
      </w:r>
    </w:p>
    <w:p w14:paraId="76AC44A5" w14:textId="2EFB79D5" w:rsidR="00D10C8F" w:rsidRPr="00172374" w:rsidRDefault="00166E47" w:rsidP="000D59B1">
      <w:pPr>
        <w:spacing w:line="480" w:lineRule="auto"/>
        <w:ind w:firstLine="567"/>
      </w:pPr>
      <w:r w:rsidRPr="00172374">
        <w:t>Finally</w:t>
      </w:r>
      <w:r w:rsidR="00D10C8F" w:rsidRPr="00172374">
        <w:t xml:space="preserve">, </w:t>
      </w:r>
      <w:r w:rsidR="00BC1E5D" w:rsidRPr="00172374">
        <w:t>our nomological validity tests</w:t>
      </w:r>
      <w:r w:rsidRPr="00172374">
        <w:t xml:space="preserve"> reveal a novel relationship between brand orientation and marketing department power. This finding contributes to an emerging field o</w:t>
      </w:r>
      <w:r w:rsidR="00145C33" w:rsidRPr="00172374">
        <w:t>f</w:t>
      </w:r>
      <w:r w:rsidRPr="00172374">
        <w:t xml:space="preserve"> research investigating how the status, power</w:t>
      </w:r>
      <w:r w:rsidR="00EB5130" w:rsidRPr="00172374">
        <w:t xml:space="preserve">, and </w:t>
      </w:r>
      <w:r w:rsidRPr="00172374">
        <w:t xml:space="preserve">influence of the marketing department within an organization can </w:t>
      </w:r>
      <w:r w:rsidR="00EB5130" w:rsidRPr="00172374">
        <w:t xml:space="preserve">affect </w:t>
      </w:r>
      <w:r w:rsidRPr="00172374">
        <w:t>organizational outcomes (e.g.</w:t>
      </w:r>
      <w:r w:rsidR="00897A93" w:rsidRPr="00172374">
        <w:t>,</w:t>
      </w:r>
      <w:r w:rsidRPr="00172374">
        <w:t xml:space="preserve"> Feng</w:t>
      </w:r>
      <w:r w:rsidR="00B85A87" w:rsidRPr="00172374">
        <w:t xml:space="preserve"> et al.</w:t>
      </w:r>
      <w:r w:rsidRPr="00172374">
        <w:t>, 2015; Nath &amp; Mahajan, 2011)</w:t>
      </w:r>
      <w:r w:rsidR="00BC1E5D" w:rsidRPr="00172374">
        <w:t xml:space="preserve">. Specifically, we show that brand orientation mediates the effects of marketing department power (and subsequently market orientation) on </w:t>
      </w:r>
      <w:r w:rsidR="005B66EE" w:rsidRPr="00172374">
        <w:t>financial</w:t>
      </w:r>
      <w:r w:rsidR="00BC1E5D" w:rsidRPr="00172374">
        <w:t xml:space="preserve"> performance, thus offering an additional mechanism explaining how organizations that value, respect</w:t>
      </w:r>
      <w:r w:rsidR="00B85A87" w:rsidRPr="00172374">
        <w:t>,</w:t>
      </w:r>
      <w:r w:rsidR="00BC1E5D" w:rsidRPr="00172374">
        <w:t xml:space="preserve"> and empower their marketing departments manage to achieve superior outcomes to their competitors.</w:t>
      </w:r>
    </w:p>
    <w:p w14:paraId="49D26560" w14:textId="77777777" w:rsidR="007E66E9" w:rsidRPr="00172374" w:rsidRDefault="007E66E9" w:rsidP="000D59B1">
      <w:pPr>
        <w:spacing w:line="480" w:lineRule="auto"/>
        <w:ind w:firstLine="567"/>
      </w:pPr>
    </w:p>
    <w:p w14:paraId="27880265" w14:textId="77777777" w:rsidR="00D10C8F" w:rsidRPr="00172374" w:rsidRDefault="000F4976"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4</w:t>
      </w:r>
      <w:r w:rsidR="00D10C8F" w:rsidRPr="00172374">
        <w:rPr>
          <w:rFonts w:ascii="Times New Roman" w:hAnsi="Times New Roman"/>
          <w:i/>
          <w:sz w:val="24"/>
        </w:rPr>
        <w:t>.2. Managerial implications</w:t>
      </w:r>
    </w:p>
    <w:p w14:paraId="6BA24074" w14:textId="77777777" w:rsidR="006031DD" w:rsidRPr="00172374" w:rsidRDefault="006031DD" w:rsidP="006031DD">
      <w:pPr>
        <w:spacing w:line="480" w:lineRule="auto"/>
        <w:ind w:firstLine="567"/>
      </w:pPr>
      <w:r w:rsidRPr="00172374">
        <w:t xml:space="preserve">This study also offers useful insights for practitioners. First, the broad view of brand orientation, represented by the developed brand orientation construct, suggests that a firm competing in today’s fierce environment can respond to demanding marketplace challenges by implementing all aspects of a brand orientation. Our findings support the important role of such an orientation in achieving high levels of business performance. As a result, managers need to understand the opportunities that can arise from the development of brand-oriented attitudes and behaviors. In this sense, companies should support the creation of a branding culture, which values brands as significant company assets and, consequently, attaches great importance to branding efforts. Companies that share an understanding that brand values are critical to their success and make significant investments in growing and protecting them are more likely to be successful in the marketplace. Furthermore, managers should guarantee the unvarying delivery of brands’ values to the multiple touchpoints through a continuous </w:t>
      </w:r>
      <w:r w:rsidRPr="00172374">
        <w:lastRenderedPageBreak/>
        <w:t>coordination and alignment of all marketing activities with the brand values. For example, Burberry, one of the most successful global luxury brands, has one design director based in London who oversees everything offered to customers with no exceptions, as this is the only way to guarantee that the brand experience is the same for all customers across the world (Ahrendts, 2013). In addition, managers should understand that clearly defined and successfully differentiated brands can be effectively communicated to target audiences. In this light, they should try to create unique brands that stand out from the “cluttered” environment in a meaningful way and establish competitive superiority. Our findings also suggest that managers should continuously monitor brand performance to refine branding efforts. A good example is Hewlett-Packard, which implemented a brand audit online by developing a “Business Answers” LinkedIn group to monitor ongoing discussions about its brand (LinkedIn, 2011).</w:t>
      </w:r>
    </w:p>
    <w:p w14:paraId="4A8FA318" w14:textId="77777777" w:rsidR="006031DD" w:rsidRPr="00172374" w:rsidRDefault="006031DD" w:rsidP="006031DD">
      <w:pPr>
        <w:spacing w:line="480" w:lineRule="auto"/>
        <w:ind w:firstLine="567"/>
      </w:pPr>
      <w:r w:rsidRPr="00172374">
        <w:t xml:space="preserve">Second, senior managers could use the scale as a diagnostic tool to assess the degree to which their company is brand-oriented, pinpointing areas in which the company scores high but also those in which it falls short or needs to concentrate its efforts to achieve brand excellence. In other words, brand orientation could serve as a guide to help managers build powerful brands and thus obtain significant equity for their company. Considering that brand orientation is not easily imitated, such a strategic orientation could serve as an additional form of sustainable competitive advantage. </w:t>
      </w:r>
    </w:p>
    <w:p w14:paraId="03709A6D" w14:textId="77777777" w:rsidR="006031DD" w:rsidRPr="00172374" w:rsidRDefault="006031DD" w:rsidP="006031DD">
      <w:pPr>
        <w:spacing w:line="480" w:lineRule="auto"/>
        <w:ind w:firstLine="567"/>
      </w:pPr>
      <w:r w:rsidRPr="00172374">
        <w:t xml:space="preserve"> Third, our findings suggest that a high degree of market orientation facilitates brand orientation. Placing the customer at the center of the organizational strategy and ensuring an inter-functional integration seems a prerequisite for brand orientation. As such, strong market orientation will give managers the required knowledge on customer needs and competitive activities to adequately guide their branding efforts. Importantly, our findings also suggest that brand orientation is an important mechanism mediating how market-oriented firms </w:t>
      </w:r>
      <w:r w:rsidRPr="00172374">
        <w:lastRenderedPageBreak/>
        <w:t>achieve superior performance. Although more studies are needed to further confirm this role, this finding should alert managers that adopting brand-oriented attitudes and behaviors, in addition to being market-oriented, is crucial.</w:t>
      </w:r>
    </w:p>
    <w:p w14:paraId="11E0FEBF" w14:textId="77777777" w:rsidR="006031DD" w:rsidRPr="00172374" w:rsidRDefault="006031DD" w:rsidP="006031DD">
      <w:pPr>
        <w:spacing w:line="480" w:lineRule="auto"/>
        <w:ind w:firstLine="567"/>
      </w:pPr>
      <w:r w:rsidRPr="00172374">
        <w:t>Fourth, our analyses show a significant, positive effect of brand orientation on both competitive advantage and performance. These findings provide additional evidence to managers regarding the benefits attached to a brand orientation, as well as the possibilities offered for performance improvement based on a more consistent adoption of a brand-oriented strategy. In particular, these findings indicate that (1) putting branding among the top company priorities, (2) ensuring consistency of brand values and positioning by coordinating marketing activities to safeguard the brand image, (3) establishing competitive superiority through differentiation, and (4) developing detailed knowledge systems on brand perceptions can benefit company results significantly.</w:t>
      </w:r>
    </w:p>
    <w:p w14:paraId="7F99B33C" w14:textId="77777777" w:rsidR="006031DD" w:rsidRPr="00172374" w:rsidRDefault="006031DD" w:rsidP="006031DD">
      <w:pPr>
        <w:spacing w:line="480" w:lineRule="auto"/>
        <w:ind w:firstLine="567"/>
      </w:pPr>
      <w:r w:rsidRPr="00172374">
        <w:t>Finally, a finding relevant for top management is that the empowerment of the marketing department is an important condition for the positive effects of brand orientation to materialize. Brand-related activities typically fall under the responsibility of the marketing department, making it an important agent of brand orientation within the organization. Thus, enhancing its resources, access, and influence will more effectively lead to a brand-oriented culture. A strong marketing department with significant influence in the organizational strategy can help the entire organization embrace the brand values and successfully safeguard the branding efforts. This can be achieved through more active participation of marketing executives in inter-functional teams with direct impact on brand performance and the involvement of the chief marketing officer in corporate decision making.</w:t>
      </w:r>
    </w:p>
    <w:p w14:paraId="7FB019E5" w14:textId="77777777" w:rsidR="007E66E9" w:rsidRPr="00172374" w:rsidRDefault="007E66E9" w:rsidP="000D59B1">
      <w:pPr>
        <w:spacing w:line="480" w:lineRule="auto"/>
        <w:ind w:firstLine="567"/>
      </w:pPr>
    </w:p>
    <w:p w14:paraId="21DE54F0" w14:textId="0A86EF0F" w:rsidR="00D10C8F" w:rsidRPr="00172374" w:rsidRDefault="000F4976"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t>4</w:t>
      </w:r>
      <w:r w:rsidR="00D10C8F" w:rsidRPr="00172374">
        <w:rPr>
          <w:rFonts w:ascii="Times New Roman" w:hAnsi="Times New Roman"/>
          <w:i/>
          <w:sz w:val="24"/>
        </w:rPr>
        <w:t>.3. Limitations and directions for further research</w:t>
      </w:r>
    </w:p>
    <w:p w14:paraId="696D40A5" w14:textId="630B05F0" w:rsidR="001B509E" w:rsidRPr="00172374" w:rsidRDefault="00D10C8F" w:rsidP="000D59B1">
      <w:pPr>
        <w:spacing w:line="480" w:lineRule="auto"/>
        <w:ind w:firstLine="567"/>
      </w:pPr>
      <w:r w:rsidRPr="00172374">
        <w:lastRenderedPageBreak/>
        <w:t xml:space="preserve">This research </w:t>
      </w:r>
      <w:r w:rsidR="00A872B1" w:rsidRPr="00172374">
        <w:t>is not without</w:t>
      </w:r>
      <w:r w:rsidRPr="00172374">
        <w:t xml:space="preserve"> limitations. </w:t>
      </w:r>
      <w:r w:rsidR="001B509E" w:rsidRPr="00172374">
        <w:t>A</w:t>
      </w:r>
      <w:r w:rsidRPr="00172374">
        <w:t xml:space="preserve">lthough </w:t>
      </w:r>
      <w:r w:rsidR="006D167B" w:rsidRPr="00172374">
        <w:t xml:space="preserve">three </w:t>
      </w:r>
      <w:r w:rsidRPr="00172374">
        <w:t xml:space="preserve">quantitative studies provide </w:t>
      </w:r>
      <w:r w:rsidR="00A872B1" w:rsidRPr="00172374">
        <w:t xml:space="preserve">extensive evidence of the </w:t>
      </w:r>
      <w:r w:rsidR="00202DDF" w:rsidRPr="00172374">
        <w:t>brand orientation</w:t>
      </w:r>
      <w:r w:rsidR="00A872B1" w:rsidRPr="00172374">
        <w:t xml:space="preserve"> scale’s rigor</w:t>
      </w:r>
      <w:r w:rsidRPr="00172374">
        <w:t xml:space="preserve">, multiple tests and applications are required to </w:t>
      </w:r>
      <w:r w:rsidR="00A872B1" w:rsidRPr="00172374">
        <w:t>test the scale</w:t>
      </w:r>
      <w:r w:rsidR="00124FC0" w:rsidRPr="00172374">
        <w:t>’</w:t>
      </w:r>
      <w:r w:rsidR="00A872B1" w:rsidRPr="00172374">
        <w:t>s stability across contexts</w:t>
      </w:r>
      <w:r w:rsidRPr="00172374">
        <w:t xml:space="preserve">. </w:t>
      </w:r>
    </w:p>
    <w:p w14:paraId="1F55E265" w14:textId="04DB4FB9" w:rsidR="001B509E" w:rsidRPr="00172374" w:rsidRDefault="001B2A20" w:rsidP="000D59B1">
      <w:pPr>
        <w:spacing w:line="480" w:lineRule="auto"/>
        <w:ind w:firstLine="567"/>
      </w:pPr>
      <w:r w:rsidRPr="00172374">
        <w:t>H</w:t>
      </w:r>
      <w:r w:rsidR="00D10C8F" w:rsidRPr="00172374">
        <w:t xml:space="preserve">aving collected data from large companies with at least </w:t>
      </w:r>
      <w:r w:rsidR="00A67C2B" w:rsidRPr="00172374">
        <w:t>€</w:t>
      </w:r>
      <w:r w:rsidR="00D10C8F" w:rsidRPr="00172374">
        <w:t>10 m</w:t>
      </w:r>
      <w:r w:rsidR="00A872B1" w:rsidRPr="00172374">
        <w:t>illion</w:t>
      </w:r>
      <w:r w:rsidR="00D10C8F" w:rsidRPr="00172374">
        <w:t xml:space="preserve"> and 50 employees, </w:t>
      </w:r>
      <w:r w:rsidRPr="00172374">
        <w:t>our</w:t>
      </w:r>
      <w:r w:rsidR="00D10C8F" w:rsidRPr="00172374">
        <w:t xml:space="preserve"> ability to generalize the reported results to smaller companies is </w:t>
      </w:r>
      <w:r w:rsidR="00A872B1" w:rsidRPr="00172374">
        <w:t>limited</w:t>
      </w:r>
      <w:r w:rsidR="00D10C8F" w:rsidRPr="00172374">
        <w:t xml:space="preserve">. </w:t>
      </w:r>
      <w:r w:rsidR="00A872B1" w:rsidRPr="00172374">
        <w:t>However</w:t>
      </w:r>
      <w:proofErr w:type="gramStart"/>
      <w:r w:rsidR="00A872B1" w:rsidRPr="00172374">
        <w:t>, in reality, small</w:t>
      </w:r>
      <w:proofErr w:type="gramEnd"/>
      <w:r w:rsidR="00A872B1" w:rsidRPr="00172374">
        <w:t xml:space="preserve"> companies </w:t>
      </w:r>
      <w:r w:rsidR="00A67C2B" w:rsidRPr="00172374">
        <w:t xml:space="preserve">that have a </w:t>
      </w:r>
      <w:r w:rsidR="00A872B1" w:rsidRPr="00172374">
        <w:t>strong brand orient</w:t>
      </w:r>
      <w:r w:rsidR="00A67C2B" w:rsidRPr="00172374">
        <w:t>ation</w:t>
      </w:r>
      <w:r w:rsidR="00A872B1" w:rsidRPr="00172374">
        <w:t xml:space="preserve"> do exist. </w:t>
      </w:r>
      <w:r w:rsidR="00A67C2B" w:rsidRPr="00172374">
        <w:t>Thus</w:t>
      </w:r>
      <w:r w:rsidR="00D10C8F" w:rsidRPr="00172374">
        <w:t xml:space="preserve">, future studies </w:t>
      </w:r>
      <w:r w:rsidR="00A67C2B" w:rsidRPr="00172374">
        <w:t>c</w:t>
      </w:r>
      <w:r w:rsidR="00D10C8F" w:rsidRPr="00172374">
        <w:t>ould focus on firms of different size</w:t>
      </w:r>
      <w:r w:rsidR="00A67C2B" w:rsidRPr="00172374">
        <w:t>s</w:t>
      </w:r>
      <w:r w:rsidR="00D25F48" w:rsidRPr="00172374">
        <w:t>, such as small and medium-sized companies,</w:t>
      </w:r>
      <w:r w:rsidR="00D10C8F" w:rsidRPr="00172374">
        <w:t xml:space="preserve"> to investigate </w:t>
      </w:r>
      <w:r w:rsidR="00A872B1" w:rsidRPr="00172374">
        <w:t xml:space="preserve">how </w:t>
      </w:r>
      <w:r w:rsidR="00D10C8F" w:rsidRPr="00172374">
        <w:t xml:space="preserve">brand orientation </w:t>
      </w:r>
      <w:r w:rsidR="00A872B1" w:rsidRPr="00172374">
        <w:t>operates</w:t>
      </w:r>
      <w:r w:rsidR="00D10C8F" w:rsidRPr="00172374">
        <w:t xml:space="preserve"> in </w:t>
      </w:r>
      <w:r w:rsidR="00675A3C" w:rsidRPr="00172374">
        <w:t>such</w:t>
      </w:r>
      <w:r w:rsidR="00A872B1" w:rsidRPr="00172374">
        <w:t xml:space="preserve"> </w:t>
      </w:r>
      <w:r w:rsidR="00A67C2B" w:rsidRPr="00172374">
        <w:t xml:space="preserve">a </w:t>
      </w:r>
      <w:r w:rsidR="00A872B1" w:rsidRPr="00172374">
        <w:t>context</w:t>
      </w:r>
      <w:r w:rsidR="00D10C8F" w:rsidRPr="00172374">
        <w:t xml:space="preserve">. </w:t>
      </w:r>
    </w:p>
    <w:p w14:paraId="3CDAF81C" w14:textId="5CF281AD" w:rsidR="006D167B" w:rsidRPr="00172374" w:rsidRDefault="001B509E" w:rsidP="000D59B1">
      <w:pPr>
        <w:spacing w:line="480" w:lineRule="auto"/>
        <w:ind w:firstLine="567"/>
      </w:pPr>
      <w:r w:rsidRPr="00172374">
        <w:t>B</w:t>
      </w:r>
      <w:r w:rsidR="00A67C2B" w:rsidRPr="00172374">
        <w:t xml:space="preserve">2B </w:t>
      </w:r>
      <w:r w:rsidR="0065298C" w:rsidRPr="00172374">
        <w:t>organizations are under-represented in our sample</w:t>
      </w:r>
      <w:r w:rsidR="00C72C7F" w:rsidRPr="00172374">
        <w:t xml:space="preserve"> and</w:t>
      </w:r>
      <w:r w:rsidR="0065298C" w:rsidRPr="00172374">
        <w:t xml:space="preserve">, </w:t>
      </w:r>
      <w:r w:rsidR="00C72C7F" w:rsidRPr="00172374">
        <w:t xml:space="preserve">therefore, </w:t>
      </w:r>
      <w:r w:rsidR="00A67C2B" w:rsidRPr="00172374">
        <w:t xml:space="preserve">we cannot generalize the </w:t>
      </w:r>
      <w:r w:rsidR="0065298C" w:rsidRPr="00172374">
        <w:t xml:space="preserve">research findings with confidence </w:t>
      </w:r>
      <w:r w:rsidR="00A67C2B" w:rsidRPr="00172374">
        <w:t>to</w:t>
      </w:r>
      <w:r w:rsidR="0065298C" w:rsidRPr="00172374">
        <w:t xml:space="preserve"> a B2B context. Building and maintaining strong brands, though, is increasingly </w:t>
      </w:r>
      <w:r w:rsidR="00A67C2B" w:rsidRPr="00172374">
        <w:t xml:space="preserve">becoming a </w:t>
      </w:r>
      <w:r w:rsidR="0065298C" w:rsidRPr="00172374">
        <w:t>major objective and an integral part of marketing strategy in organizations operating in industrial markets (</w:t>
      </w:r>
      <w:proofErr w:type="spellStart"/>
      <w:r w:rsidR="0065298C" w:rsidRPr="00172374">
        <w:t>Seyedghorban</w:t>
      </w:r>
      <w:proofErr w:type="spellEnd"/>
      <w:r w:rsidR="0065298C" w:rsidRPr="00172374">
        <w:t xml:space="preserve">, </w:t>
      </w:r>
      <w:proofErr w:type="spellStart"/>
      <w:r w:rsidR="0065298C" w:rsidRPr="00172374">
        <w:t>Matanda</w:t>
      </w:r>
      <w:proofErr w:type="spellEnd"/>
      <w:r w:rsidR="00493C61" w:rsidRPr="00172374">
        <w:t>,</w:t>
      </w:r>
      <w:r w:rsidR="0065298C" w:rsidRPr="00172374">
        <w:t xml:space="preserve"> </w:t>
      </w:r>
      <w:r w:rsidR="002F0061" w:rsidRPr="00172374">
        <w:t>&amp;</w:t>
      </w:r>
      <w:r w:rsidR="0065298C" w:rsidRPr="00172374">
        <w:t xml:space="preserve"> </w:t>
      </w:r>
      <w:proofErr w:type="spellStart"/>
      <w:r w:rsidR="0065298C" w:rsidRPr="00172374">
        <w:t>LaPlaca</w:t>
      </w:r>
      <w:proofErr w:type="spellEnd"/>
      <w:r w:rsidR="0065298C" w:rsidRPr="00172374">
        <w:t xml:space="preserve">, 2016). As such, a possible avenue for future research </w:t>
      </w:r>
      <w:r w:rsidR="00A67C2B" w:rsidRPr="00172374">
        <w:t>is to</w:t>
      </w:r>
      <w:r w:rsidR="0065298C" w:rsidRPr="00172374">
        <w:t xml:space="preserve"> investigat</w:t>
      </w:r>
      <w:r w:rsidR="00A67C2B" w:rsidRPr="00172374">
        <w:t>e</w:t>
      </w:r>
      <w:r w:rsidR="0065298C" w:rsidRPr="00172374">
        <w:t xml:space="preserve"> whether and to what extend a </w:t>
      </w:r>
      <w:r w:rsidR="0085279C" w:rsidRPr="00172374">
        <w:t>brand-oriented</w:t>
      </w:r>
      <w:r w:rsidR="0065298C" w:rsidRPr="00172374">
        <w:t xml:space="preserve"> strategy is implemented in a </w:t>
      </w:r>
      <w:r w:rsidR="006D167B" w:rsidRPr="00172374">
        <w:t xml:space="preserve">substantially </w:t>
      </w:r>
      <w:r w:rsidR="0065298C" w:rsidRPr="00172374">
        <w:t>different way in industrial contexts.</w:t>
      </w:r>
      <w:r w:rsidRPr="00172374">
        <w:t xml:space="preserve"> </w:t>
      </w:r>
    </w:p>
    <w:p w14:paraId="376D2596" w14:textId="7DE4982D" w:rsidR="009C6226" w:rsidRPr="00172374" w:rsidRDefault="009C6226" w:rsidP="000D59B1">
      <w:pPr>
        <w:spacing w:line="480" w:lineRule="auto"/>
        <w:ind w:firstLine="567"/>
      </w:pPr>
      <w:r w:rsidRPr="00172374">
        <w:t xml:space="preserve">Similarly, </w:t>
      </w:r>
      <w:r w:rsidR="00AE3323" w:rsidRPr="00172374">
        <w:t>al</w:t>
      </w:r>
      <w:r w:rsidRPr="00172374">
        <w:t xml:space="preserve">though we do not expect major differences across countries and </w:t>
      </w:r>
      <w:r w:rsidR="004D4670" w:rsidRPr="00172374">
        <w:t xml:space="preserve">cultures </w:t>
      </w:r>
      <w:r w:rsidR="00AE3323" w:rsidRPr="00172374">
        <w:t xml:space="preserve">in terms of </w:t>
      </w:r>
      <w:r w:rsidR="004D4670" w:rsidRPr="00172374">
        <w:t>the theoretical content domain of the brand orientation construct</w:t>
      </w:r>
      <w:r w:rsidRPr="00172374">
        <w:t xml:space="preserve"> </w:t>
      </w:r>
      <w:r w:rsidR="004D4670" w:rsidRPr="00172374">
        <w:t>or its identified dimensions</w:t>
      </w:r>
      <w:r w:rsidRPr="00172374">
        <w:t xml:space="preserve">, our findings </w:t>
      </w:r>
      <w:r w:rsidR="00AE3323" w:rsidRPr="00172374">
        <w:t xml:space="preserve">derive from </w:t>
      </w:r>
      <w:r w:rsidR="004D4670" w:rsidRPr="00172374">
        <w:t xml:space="preserve">(and thus </w:t>
      </w:r>
      <w:r w:rsidR="00AE3323" w:rsidRPr="00172374">
        <w:t xml:space="preserve">are </w:t>
      </w:r>
      <w:r w:rsidRPr="00172374">
        <w:t xml:space="preserve">applicable </w:t>
      </w:r>
      <w:r w:rsidR="004D4670" w:rsidRPr="00172374">
        <w:t>with higher confidence</w:t>
      </w:r>
      <w:r w:rsidR="00AE3323" w:rsidRPr="00172374">
        <w:t xml:space="preserve"> in</w:t>
      </w:r>
      <w:r w:rsidR="004D4670" w:rsidRPr="00172374">
        <w:t>) a</w:t>
      </w:r>
      <w:r w:rsidRPr="00172374">
        <w:t xml:space="preserve"> European context. Future studies on brand orientation in other markets could provide valuable evidence </w:t>
      </w:r>
      <w:r w:rsidR="00AE3323" w:rsidRPr="00172374">
        <w:t>o</w:t>
      </w:r>
      <w:r w:rsidR="001972E2" w:rsidRPr="00172374">
        <w:t>n</w:t>
      </w:r>
      <w:r w:rsidRPr="00172374">
        <w:t xml:space="preserve"> the degree of its</w:t>
      </w:r>
      <w:r w:rsidR="004D4670" w:rsidRPr="00172374">
        <w:t xml:space="preserve"> cross-country</w:t>
      </w:r>
      <w:r w:rsidRPr="00172374">
        <w:t xml:space="preserve"> generalizability</w:t>
      </w:r>
      <w:r w:rsidR="004D4670" w:rsidRPr="00172374">
        <w:t xml:space="preserve"> and impact</w:t>
      </w:r>
      <w:r w:rsidRPr="00172374">
        <w:t xml:space="preserve">. </w:t>
      </w:r>
      <w:r w:rsidR="004D4670" w:rsidRPr="00172374">
        <w:t>On a similar note</w:t>
      </w:r>
      <w:r w:rsidRPr="00172374">
        <w:t xml:space="preserve">, future studies could also offer insights </w:t>
      </w:r>
      <w:r w:rsidR="00AE3323" w:rsidRPr="00172374">
        <w:t>into</w:t>
      </w:r>
      <w:r w:rsidRPr="00172374">
        <w:t xml:space="preserve"> how brand orientation affects international marketing </w:t>
      </w:r>
      <w:r w:rsidR="00050FA8" w:rsidRPr="00172374">
        <w:t>strategy (e.g.</w:t>
      </w:r>
      <w:r w:rsidR="00897A93" w:rsidRPr="00172374">
        <w:t>,</w:t>
      </w:r>
      <w:r w:rsidR="00050FA8" w:rsidRPr="00172374">
        <w:t xml:space="preserve"> cross-country brand adaptation vs. standardization)</w:t>
      </w:r>
      <w:r w:rsidRPr="00172374">
        <w:t>.</w:t>
      </w:r>
    </w:p>
    <w:p w14:paraId="7147B60B" w14:textId="67CD93B1" w:rsidR="00D10C8F" w:rsidRPr="00172374" w:rsidRDefault="00D10C8F" w:rsidP="000D59B1">
      <w:pPr>
        <w:spacing w:line="480" w:lineRule="auto"/>
        <w:ind w:firstLine="567"/>
      </w:pPr>
      <w:r w:rsidRPr="00172374">
        <w:t xml:space="preserve">It should also </w:t>
      </w:r>
      <w:r w:rsidR="001B2A20" w:rsidRPr="00172374">
        <w:t xml:space="preserve">be </w:t>
      </w:r>
      <w:r w:rsidRPr="00172374">
        <w:t xml:space="preserve">noted that </w:t>
      </w:r>
      <w:r w:rsidR="00AE3323" w:rsidRPr="00172374">
        <w:t xml:space="preserve">we used </w:t>
      </w:r>
      <w:r w:rsidRPr="00172374">
        <w:t xml:space="preserve">a subjective measure for financial performance. </w:t>
      </w:r>
      <w:r w:rsidR="00AE3323" w:rsidRPr="00172374">
        <w:t>F</w:t>
      </w:r>
      <w:r w:rsidR="001B2A20" w:rsidRPr="00172374">
        <w:t>uture</w:t>
      </w:r>
      <w:r w:rsidRPr="00172374">
        <w:t xml:space="preserve"> studies </w:t>
      </w:r>
      <w:r w:rsidR="00AE3323" w:rsidRPr="00172374">
        <w:t xml:space="preserve">could </w:t>
      </w:r>
      <w:r w:rsidRPr="00172374">
        <w:t xml:space="preserve">either use secondary </w:t>
      </w:r>
      <w:r w:rsidR="001B2A20" w:rsidRPr="00172374">
        <w:t xml:space="preserve">performance </w:t>
      </w:r>
      <w:r w:rsidRPr="00172374">
        <w:t xml:space="preserve">data or assess performance from the </w:t>
      </w:r>
      <w:r w:rsidRPr="00172374">
        <w:lastRenderedPageBreak/>
        <w:t xml:space="preserve">customer’s perspective, by collecting relevant primary data </w:t>
      </w:r>
      <w:r w:rsidR="00AE3323" w:rsidRPr="00172374">
        <w:t xml:space="preserve">on </w:t>
      </w:r>
      <w:r w:rsidR="001B2A20" w:rsidRPr="00172374">
        <w:t>consumer-based brand equity metrics</w:t>
      </w:r>
      <w:r w:rsidRPr="00172374">
        <w:t xml:space="preserve"> (e.g.</w:t>
      </w:r>
      <w:r w:rsidR="00897A93" w:rsidRPr="00172374">
        <w:t>,</w:t>
      </w:r>
      <w:r w:rsidRPr="00172374">
        <w:t xml:space="preserve"> image, awareness, reputation, loyalty).</w:t>
      </w:r>
    </w:p>
    <w:p w14:paraId="671FB9EE" w14:textId="7262F99A" w:rsidR="003843AA" w:rsidRPr="00172374" w:rsidRDefault="001B2A20" w:rsidP="000F4976">
      <w:pPr>
        <w:spacing w:line="480" w:lineRule="auto"/>
        <w:ind w:firstLine="567"/>
      </w:pPr>
      <w:bookmarkStart w:id="43" w:name="_Hlk31736309"/>
      <w:r w:rsidRPr="00172374">
        <w:t xml:space="preserve">Finally, although </w:t>
      </w:r>
      <w:r w:rsidR="00AE3323" w:rsidRPr="00172374">
        <w:t xml:space="preserve">we test </w:t>
      </w:r>
      <w:r w:rsidRPr="00172374">
        <w:t xml:space="preserve">an original </w:t>
      </w:r>
      <w:r w:rsidR="00D10C8F" w:rsidRPr="00172374">
        <w:t xml:space="preserve">nomological framework </w:t>
      </w:r>
      <w:r w:rsidRPr="00172374">
        <w:t xml:space="preserve">for brand orientation </w:t>
      </w:r>
      <w:r w:rsidR="00D10C8F" w:rsidRPr="00172374">
        <w:t xml:space="preserve">in this study, the proposed relationships are by no means exhaustive. Building on </w:t>
      </w:r>
      <w:r w:rsidR="00AE3323" w:rsidRPr="00172374">
        <w:t>our</w:t>
      </w:r>
      <w:r w:rsidR="00D10C8F" w:rsidRPr="00172374">
        <w:t xml:space="preserve"> </w:t>
      </w:r>
      <w:r w:rsidR="00FA7E53" w:rsidRPr="00172374">
        <w:t xml:space="preserve">conceptual </w:t>
      </w:r>
      <w:r w:rsidR="00D10C8F" w:rsidRPr="00172374">
        <w:t xml:space="preserve">framework, </w:t>
      </w:r>
      <w:r w:rsidR="00FA7E53" w:rsidRPr="00172374">
        <w:t xml:space="preserve">future </w:t>
      </w:r>
      <w:r w:rsidR="00D10C8F" w:rsidRPr="00172374">
        <w:t>research should confirm the novel findings of this study, but also explore the relevance of other external and internal factors to a firm’s brand</w:t>
      </w:r>
      <w:r w:rsidR="00AE3323" w:rsidRPr="00172374">
        <w:t>-</w:t>
      </w:r>
      <w:r w:rsidR="00D10C8F" w:rsidRPr="00172374">
        <w:t>oriented strategy.</w:t>
      </w:r>
      <w:r w:rsidR="00897A93" w:rsidRPr="00172374">
        <w:t xml:space="preserve"> </w:t>
      </w:r>
      <w:r w:rsidR="00A85B8D" w:rsidRPr="00172374">
        <w:t xml:space="preserve">In this line, measuring brand orientation antecedents and consequences at different time through multiple waves of data collection would significantly contribute in building a sound theory of brand orientation. </w:t>
      </w:r>
      <w:r w:rsidR="00AE3323" w:rsidRPr="00172374">
        <w:t>We h</w:t>
      </w:r>
      <w:r w:rsidR="00D10C8F" w:rsidRPr="00172374">
        <w:t xml:space="preserve">ope </w:t>
      </w:r>
      <w:r w:rsidR="00AE3323" w:rsidRPr="00172374">
        <w:t xml:space="preserve">that </w:t>
      </w:r>
      <w:r w:rsidR="00D10C8F" w:rsidRPr="00172374">
        <w:t xml:space="preserve">this study </w:t>
      </w:r>
      <w:r w:rsidRPr="00172374">
        <w:t xml:space="preserve">serves as a point of departure </w:t>
      </w:r>
      <w:r w:rsidR="00D10C8F" w:rsidRPr="00172374">
        <w:t xml:space="preserve">for future contributions in the </w:t>
      </w:r>
      <w:r w:rsidRPr="00172374">
        <w:t>brand management field.</w:t>
      </w:r>
    </w:p>
    <w:bookmarkEnd w:id="43"/>
    <w:p w14:paraId="472CDC11" w14:textId="77777777" w:rsidR="003843AA" w:rsidRPr="00172374" w:rsidRDefault="003843AA" w:rsidP="000D59B1">
      <w:pPr>
        <w:spacing w:line="480" w:lineRule="auto"/>
        <w:ind w:firstLine="567"/>
      </w:pPr>
    </w:p>
    <w:p w14:paraId="1F0354A4" w14:textId="77777777" w:rsidR="005D2065" w:rsidRPr="00172374" w:rsidRDefault="005D2065" w:rsidP="000D59B1">
      <w:pPr>
        <w:spacing w:line="480" w:lineRule="auto"/>
        <w:ind w:firstLine="567"/>
      </w:pPr>
    </w:p>
    <w:p w14:paraId="5DD2D099" w14:textId="77777777" w:rsidR="005D2065" w:rsidRPr="00172374" w:rsidRDefault="005D2065" w:rsidP="000D59B1">
      <w:pPr>
        <w:spacing w:line="480" w:lineRule="auto"/>
        <w:ind w:firstLine="567"/>
      </w:pPr>
    </w:p>
    <w:p w14:paraId="7B99602F" w14:textId="77777777" w:rsidR="008F5B52" w:rsidRPr="00172374" w:rsidRDefault="008F5B52" w:rsidP="009D7D1A">
      <w:pPr>
        <w:pStyle w:val="a3"/>
        <w:spacing w:after="0" w:line="480" w:lineRule="auto"/>
        <w:ind w:left="0"/>
        <w:contextualSpacing w:val="0"/>
        <w:rPr>
          <w:rFonts w:ascii="Times New Roman" w:hAnsi="Times New Roman"/>
          <w:b/>
          <w:sz w:val="24"/>
        </w:rPr>
      </w:pPr>
      <w:r w:rsidRPr="00172374">
        <w:rPr>
          <w:rFonts w:ascii="Times New Roman" w:hAnsi="Times New Roman"/>
          <w:b/>
          <w:sz w:val="24"/>
        </w:rPr>
        <w:br w:type="page"/>
      </w:r>
    </w:p>
    <w:p w14:paraId="460BECC6" w14:textId="77777777" w:rsidR="00293B8A" w:rsidRPr="00172374" w:rsidRDefault="00BE1430" w:rsidP="008F5B52">
      <w:pPr>
        <w:pStyle w:val="a3"/>
        <w:spacing w:after="240" w:line="480" w:lineRule="auto"/>
        <w:ind w:left="0"/>
        <w:contextualSpacing w:val="0"/>
        <w:rPr>
          <w:rFonts w:ascii="Times New Roman" w:hAnsi="Times New Roman"/>
          <w:b/>
          <w:sz w:val="24"/>
        </w:rPr>
      </w:pPr>
      <w:r w:rsidRPr="00172374">
        <w:rPr>
          <w:rFonts w:ascii="Times New Roman" w:hAnsi="Times New Roman"/>
          <w:b/>
          <w:sz w:val="24"/>
        </w:rPr>
        <w:lastRenderedPageBreak/>
        <w:t>References</w:t>
      </w:r>
    </w:p>
    <w:p w14:paraId="4C561B5D" w14:textId="77777777" w:rsidR="00DB468D" w:rsidRPr="00172374" w:rsidRDefault="00DB468D" w:rsidP="009D0C89">
      <w:pPr>
        <w:tabs>
          <w:tab w:val="left" w:pos="-284"/>
        </w:tabs>
        <w:spacing w:after="240" w:line="360" w:lineRule="auto"/>
        <w:ind w:left="426" w:hanging="426"/>
        <w:rPr>
          <w:i/>
        </w:rPr>
      </w:pPr>
      <w:r w:rsidRPr="00172374">
        <w:t xml:space="preserve">Aaker D. A. (1991). </w:t>
      </w:r>
      <w:r w:rsidRPr="00172374">
        <w:rPr>
          <w:i/>
        </w:rPr>
        <w:t>Managing Brand Equity:</w:t>
      </w:r>
      <w:r w:rsidRPr="00172374">
        <w:rPr>
          <w:i/>
          <w:iCs/>
          <w:lang w:eastAsia="el-GR"/>
        </w:rPr>
        <w:t xml:space="preserve"> Capitalizing on the Value of a Brand Name</w:t>
      </w:r>
      <w:r w:rsidRPr="00172374">
        <w:t>. New York: Free Press</w:t>
      </w:r>
      <w:r w:rsidRPr="00172374">
        <w:rPr>
          <w:i/>
        </w:rPr>
        <w:t>.</w:t>
      </w:r>
    </w:p>
    <w:p w14:paraId="1E64A703" w14:textId="77777777" w:rsidR="00DB468D" w:rsidRPr="00172374" w:rsidRDefault="00DB468D" w:rsidP="009D0C89">
      <w:pPr>
        <w:spacing w:after="240" w:line="360" w:lineRule="auto"/>
        <w:ind w:left="426" w:hanging="426"/>
      </w:pPr>
      <w:r w:rsidRPr="00172374">
        <w:t xml:space="preserve">Aaker D. A. (1996a). </w:t>
      </w:r>
      <w:r w:rsidRPr="00172374">
        <w:rPr>
          <w:i/>
        </w:rPr>
        <w:t>Building strong brands</w:t>
      </w:r>
      <w:r w:rsidRPr="00172374">
        <w:t xml:space="preserve">. New York: Free Press. </w:t>
      </w:r>
    </w:p>
    <w:p w14:paraId="1667EAF8" w14:textId="77777777" w:rsidR="00DB468D" w:rsidRPr="00172374" w:rsidRDefault="00DB468D" w:rsidP="009D0C89">
      <w:pPr>
        <w:spacing w:after="240" w:line="360" w:lineRule="auto"/>
        <w:ind w:left="426" w:hanging="426"/>
      </w:pPr>
      <w:r w:rsidRPr="00172374">
        <w:t xml:space="preserve">Aaker D. A. (1996b). Measuring brand equity across products and markets. </w:t>
      </w:r>
      <w:r w:rsidRPr="00172374">
        <w:rPr>
          <w:i/>
        </w:rPr>
        <w:t>California Management Review</w:t>
      </w:r>
      <w:r w:rsidRPr="00172374">
        <w:t xml:space="preserve">, </w:t>
      </w:r>
      <w:r w:rsidRPr="00172374">
        <w:rPr>
          <w:i/>
        </w:rPr>
        <w:t>38</w:t>
      </w:r>
      <w:r w:rsidRPr="00172374">
        <w:rPr>
          <w:iCs/>
        </w:rPr>
        <w:t>(3)</w:t>
      </w:r>
      <w:r w:rsidRPr="00172374">
        <w:t>, 102–120.</w:t>
      </w:r>
    </w:p>
    <w:p w14:paraId="2BADED82" w14:textId="77777777" w:rsidR="00DB468D" w:rsidRPr="00172374" w:rsidRDefault="00DB468D" w:rsidP="009D0C89">
      <w:pPr>
        <w:spacing w:after="240" w:line="360" w:lineRule="auto"/>
        <w:ind w:left="426" w:hanging="426"/>
      </w:pPr>
      <w:r w:rsidRPr="00172374">
        <w:t xml:space="preserve">Aaker D. A. (2004). </w:t>
      </w:r>
      <w:r w:rsidRPr="00172374">
        <w:rPr>
          <w:i/>
        </w:rPr>
        <w:t xml:space="preserve">Brand portfolio strategy: Creating relevance, differentiation, energy, </w:t>
      </w:r>
      <w:proofErr w:type="gramStart"/>
      <w:r w:rsidRPr="00172374">
        <w:rPr>
          <w:i/>
        </w:rPr>
        <w:t>leverage</w:t>
      </w:r>
      <w:proofErr w:type="gramEnd"/>
      <w:r w:rsidRPr="00172374">
        <w:rPr>
          <w:i/>
        </w:rPr>
        <w:t xml:space="preserve"> and clarity.</w:t>
      </w:r>
      <w:r w:rsidRPr="00172374">
        <w:t xml:space="preserve"> New York: Free Press.</w:t>
      </w:r>
    </w:p>
    <w:p w14:paraId="76C7FC77" w14:textId="77777777" w:rsidR="00DB468D" w:rsidRPr="00172374" w:rsidRDefault="00DB468D" w:rsidP="009D0C89">
      <w:pPr>
        <w:spacing w:after="240" w:line="288" w:lineRule="auto"/>
        <w:ind w:left="426" w:hanging="426"/>
      </w:pPr>
      <w:r w:rsidRPr="00172374">
        <w:t xml:space="preserve">Aaker D. A. &amp; </w:t>
      </w:r>
      <w:proofErr w:type="spellStart"/>
      <w:r w:rsidRPr="00172374">
        <w:t>Joachimsthaler</w:t>
      </w:r>
      <w:proofErr w:type="spellEnd"/>
      <w:r w:rsidRPr="00172374">
        <w:t>, E.  (2000),</w:t>
      </w:r>
      <w:r w:rsidRPr="00172374">
        <w:rPr>
          <w:i/>
        </w:rPr>
        <w:t xml:space="preserve"> Brand Leadership. </w:t>
      </w:r>
      <w:r w:rsidRPr="00172374">
        <w:rPr>
          <w:iCs/>
        </w:rPr>
        <w:t xml:space="preserve">New York: </w:t>
      </w:r>
      <w:r w:rsidRPr="00172374">
        <w:t xml:space="preserve">Free Press. </w:t>
      </w:r>
    </w:p>
    <w:p w14:paraId="4A7D5DA8" w14:textId="77777777" w:rsidR="00DB468D" w:rsidRPr="00172374" w:rsidRDefault="00DB468D" w:rsidP="009D0C89">
      <w:pPr>
        <w:spacing w:after="240" w:line="360" w:lineRule="auto"/>
        <w:ind w:left="426" w:hanging="426"/>
        <w:rPr>
          <w:rFonts w:eastAsia="Times New Roman"/>
        </w:rPr>
      </w:pPr>
      <w:r w:rsidRPr="00172374">
        <w:rPr>
          <w:rFonts w:eastAsia="Times New Roman"/>
          <w:shd w:val="clear" w:color="auto" w:fill="FFFFFF"/>
        </w:rPr>
        <w:t>Ahrendts, A. (2013). Burberry's CEO on turning an aging British icon into a global luxury brand.</w:t>
      </w:r>
      <w:r w:rsidRPr="00172374">
        <w:rPr>
          <w:rStyle w:val="apple-converted-space"/>
          <w:rFonts w:eastAsia="Times New Roman"/>
          <w:shd w:val="clear" w:color="auto" w:fill="FFFFFF"/>
        </w:rPr>
        <w:t> </w:t>
      </w:r>
      <w:r w:rsidRPr="00172374">
        <w:rPr>
          <w:rFonts w:eastAsia="Times New Roman"/>
          <w:i/>
          <w:iCs/>
        </w:rPr>
        <w:t>Harvard Business Review</w:t>
      </w:r>
      <w:r w:rsidRPr="00172374">
        <w:rPr>
          <w:rFonts w:eastAsia="Times New Roman"/>
          <w:shd w:val="clear" w:color="auto" w:fill="FFFFFF"/>
        </w:rPr>
        <w:t>,</w:t>
      </w:r>
      <w:r w:rsidRPr="00172374">
        <w:rPr>
          <w:rStyle w:val="apple-converted-space"/>
          <w:rFonts w:eastAsia="Times New Roman"/>
          <w:shd w:val="clear" w:color="auto" w:fill="FFFFFF"/>
        </w:rPr>
        <w:t> </w:t>
      </w:r>
      <w:r w:rsidRPr="00172374">
        <w:rPr>
          <w:rFonts w:eastAsia="Times New Roman"/>
          <w:i/>
          <w:iCs/>
        </w:rPr>
        <w:t>91</w:t>
      </w:r>
      <w:r w:rsidRPr="00172374">
        <w:rPr>
          <w:rFonts w:eastAsia="Times New Roman"/>
          <w:shd w:val="clear" w:color="auto" w:fill="FFFFFF"/>
        </w:rPr>
        <w:t>(1), 39</w:t>
      </w:r>
      <w:r w:rsidRPr="00172374">
        <w:t>–</w:t>
      </w:r>
      <w:r w:rsidRPr="00172374">
        <w:rPr>
          <w:rFonts w:eastAsia="Times New Roman"/>
          <w:shd w:val="clear" w:color="auto" w:fill="FFFFFF"/>
        </w:rPr>
        <w:t>42.</w:t>
      </w:r>
    </w:p>
    <w:p w14:paraId="467ED02B" w14:textId="77777777" w:rsidR="00DB468D" w:rsidRPr="00172374" w:rsidRDefault="00DB468D" w:rsidP="009D0C89">
      <w:pPr>
        <w:tabs>
          <w:tab w:val="left" w:pos="-284"/>
        </w:tabs>
        <w:spacing w:after="240" w:line="360" w:lineRule="auto"/>
        <w:ind w:left="426" w:hanging="426"/>
      </w:pPr>
      <w:r w:rsidRPr="00172374">
        <w:t xml:space="preserve">Anderson, J., &amp; Carpenter, G. (2005). Brand strategy for business markets. Chapter 9 in </w:t>
      </w:r>
      <w:r w:rsidRPr="00172374">
        <w:rPr>
          <w:i/>
        </w:rPr>
        <w:t>Kellogg on Branding</w:t>
      </w:r>
      <w:r w:rsidRPr="00172374">
        <w:t xml:space="preserve"> (Edited by </w:t>
      </w:r>
      <w:proofErr w:type="spellStart"/>
      <w:r w:rsidRPr="00172374">
        <w:t>Tybout</w:t>
      </w:r>
      <w:proofErr w:type="spellEnd"/>
      <w:r w:rsidRPr="00172374">
        <w:t xml:space="preserve"> A.M. &amp; Calkins T.), Wiley &amp; Sons. </w:t>
      </w:r>
    </w:p>
    <w:p w14:paraId="0A04EF2B" w14:textId="77777777" w:rsidR="00DB468D" w:rsidRPr="00172374" w:rsidRDefault="00DB468D" w:rsidP="009D0C89">
      <w:pPr>
        <w:tabs>
          <w:tab w:val="left" w:pos="-284"/>
        </w:tabs>
        <w:spacing w:after="240" w:line="360" w:lineRule="auto"/>
        <w:ind w:left="426" w:hanging="426"/>
      </w:pPr>
      <w:r w:rsidRPr="00172374">
        <w:t xml:space="preserve">Armstrong, J. S., &amp; Overton, T. S. (1977). Estimating nonresponse bias in mail surveys. </w:t>
      </w:r>
      <w:r w:rsidRPr="00172374">
        <w:rPr>
          <w:i/>
        </w:rPr>
        <w:t>Journal of Marketing Research</w:t>
      </w:r>
      <w:r w:rsidRPr="00172374">
        <w:t xml:space="preserve">, </w:t>
      </w:r>
      <w:r w:rsidRPr="00172374">
        <w:rPr>
          <w:i/>
          <w:iCs/>
        </w:rPr>
        <w:t>14</w:t>
      </w:r>
      <w:r w:rsidRPr="00172374">
        <w:t>(3), 396–402.</w:t>
      </w:r>
    </w:p>
    <w:p w14:paraId="7A580D86" w14:textId="77777777" w:rsidR="00DB468D" w:rsidRPr="00172374" w:rsidRDefault="00DB468D" w:rsidP="009D0C89">
      <w:pPr>
        <w:tabs>
          <w:tab w:val="left" w:pos="-284"/>
        </w:tabs>
        <w:spacing w:after="240" w:line="360" w:lineRule="auto"/>
        <w:ind w:left="426" w:hanging="426"/>
        <w:rPr>
          <w:lang w:eastAsia="el-GR"/>
        </w:rPr>
      </w:pPr>
      <w:proofErr w:type="spellStart"/>
      <w:r w:rsidRPr="00172374">
        <w:rPr>
          <w:lang w:eastAsia="el-GR"/>
        </w:rPr>
        <w:t>Bagozzi</w:t>
      </w:r>
      <w:proofErr w:type="spellEnd"/>
      <w:r w:rsidRPr="00172374">
        <w:rPr>
          <w:lang w:eastAsia="el-GR"/>
        </w:rPr>
        <w:t>, R. P., &amp; Heatherton, T. F. (1994). A general approach to representing multifaceted personality constructs: Application to state self</w:t>
      </w:r>
      <w:r w:rsidRPr="00172374">
        <w:rPr>
          <w:rFonts w:ascii="Cambria Math" w:hAnsi="Cambria Math" w:cs="Cambria Math"/>
          <w:lang w:eastAsia="el-GR"/>
        </w:rPr>
        <w:t>‐</w:t>
      </w:r>
      <w:r w:rsidRPr="00172374">
        <w:rPr>
          <w:lang w:eastAsia="el-GR"/>
        </w:rPr>
        <w:t>esteem. </w:t>
      </w:r>
      <w:r w:rsidRPr="00172374">
        <w:rPr>
          <w:i/>
          <w:iCs/>
          <w:lang w:eastAsia="el-GR"/>
        </w:rPr>
        <w:t>Structural Equation Modeling: A Multidisciplinary Journal</w:t>
      </w:r>
      <w:r w:rsidRPr="00172374">
        <w:rPr>
          <w:lang w:eastAsia="el-GR"/>
        </w:rPr>
        <w:t>, </w:t>
      </w:r>
      <w:r w:rsidRPr="00172374">
        <w:rPr>
          <w:i/>
          <w:iCs/>
          <w:lang w:eastAsia="el-GR"/>
        </w:rPr>
        <w:t>1</w:t>
      </w:r>
      <w:r w:rsidRPr="00172374">
        <w:rPr>
          <w:lang w:eastAsia="el-GR"/>
        </w:rPr>
        <w:t>(1), 35</w:t>
      </w:r>
      <w:r w:rsidRPr="00172374">
        <w:t>–</w:t>
      </w:r>
      <w:r w:rsidRPr="00172374">
        <w:rPr>
          <w:lang w:eastAsia="el-GR"/>
        </w:rPr>
        <w:t>67.</w:t>
      </w:r>
    </w:p>
    <w:p w14:paraId="1F0BC3C5" w14:textId="77777777" w:rsidR="00DB468D" w:rsidRPr="00172374" w:rsidRDefault="00DB468D" w:rsidP="009D0C89">
      <w:pPr>
        <w:spacing w:after="240" w:line="360" w:lineRule="auto"/>
        <w:ind w:left="426" w:hanging="426"/>
        <w:rPr>
          <w:rFonts w:eastAsia="Times New Roman"/>
          <w:shd w:val="clear" w:color="auto" w:fill="FFFFFF"/>
        </w:rPr>
      </w:pPr>
      <w:r w:rsidRPr="00172374">
        <w:rPr>
          <w:rFonts w:eastAsia="Times New Roman"/>
          <w:shd w:val="clear" w:color="auto" w:fill="FFFFFF"/>
        </w:rPr>
        <w:t xml:space="preserve">Baldus, B. J., Voorhees, C., &amp; </w:t>
      </w:r>
      <w:proofErr w:type="spellStart"/>
      <w:r w:rsidRPr="00172374">
        <w:rPr>
          <w:rFonts w:eastAsia="Times New Roman"/>
          <w:shd w:val="clear" w:color="auto" w:fill="FFFFFF"/>
        </w:rPr>
        <w:t>Calantone</w:t>
      </w:r>
      <w:proofErr w:type="spellEnd"/>
      <w:r w:rsidRPr="00172374">
        <w:rPr>
          <w:rFonts w:eastAsia="Times New Roman"/>
          <w:shd w:val="clear" w:color="auto" w:fill="FFFFFF"/>
        </w:rPr>
        <w:t>, R. (2015). Online brand community engagement: Scale development and validation. </w:t>
      </w:r>
      <w:r w:rsidRPr="00172374">
        <w:rPr>
          <w:rFonts w:eastAsia="Times New Roman"/>
          <w:i/>
          <w:iCs/>
        </w:rPr>
        <w:t>Journal of Business Research</w:t>
      </w:r>
      <w:r w:rsidRPr="00172374">
        <w:rPr>
          <w:rFonts w:eastAsia="Times New Roman"/>
          <w:shd w:val="clear" w:color="auto" w:fill="FFFFFF"/>
        </w:rPr>
        <w:t>, </w:t>
      </w:r>
      <w:r w:rsidRPr="00172374">
        <w:rPr>
          <w:rFonts w:eastAsia="Times New Roman"/>
          <w:i/>
          <w:iCs/>
        </w:rPr>
        <w:t>68</w:t>
      </w:r>
      <w:r w:rsidRPr="00172374">
        <w:rPr>
          <w:rFonts w:eastAsia="Times New Roman"/>
          <w:shd w:val="clear" w:color="auto" w:fill="FFFFFF"/>
        </w:rPr>
        <w:t>(5), 978</w:t>
      </w:r>
      <w:r w:rsidRPr="00172374">
        <w:t>–</w:t>
      </w:r>
      <w:r w:rsidRPr="00172374">
        <w:rPr>
          <w:rFonts w:eastAsia="Times New Roman"/>
          <w:shd w:val="clear" w:color="auto" w:fill="FFFFFF"/>
        </w:rPr>
        <w:t xml:space="preserve">985. </w:t>
      </w:r>
    </w:p>
    <w:p w14:paraId="21621A3C"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Balmer, J. (2013). Corporate brand orientation: What is it? What of it? </w:t>
      </w:r>
      <w:r w:rsidRPr="00172374">
        <w:rPr>
          <w:i/>
          <w:lang w:eastAsia="el-GR"/>
        </w:rPr>
        <w:t>Journal of Brand Management, 20</w:t>
      </w:r>
      <w:r w:rsidRPr="00172374">
        <w:rPr>
          <w:iCs/>
          <w:lang w:eastAsia="el-GR"/>
        </w:rPr>
        <w:t>(9),</w:t>
      </w:r>
      <w:r w:rsidRPr="00172374">
        <w:rPr>
          <w:lang w:eastAsia="el-GR"/>
        </w:rPr>
        <w:t xml:space="preserve"> 723–741.</w:t>
      </w:r>
    </w:p>
    <w:p w14:paraId="4B953614" w14:textId="77777777" w:rsidR="00DB468D" w:rsidRPr="00172374" w:rsidRDefault="00DB468D" w:rsidP="009D0C89">
      <w:pPr>
        <w:spacing w:after="240" w:line="360" w:lineRule="auto"/>
        <w:ind w:left="426" w:hanging="426"/>
      </w:pPr>
      <w:proofErr w:type="spellStart"/>
      <w:r w:rsidRPr="00172374">
        <w:t>Baumgarth</w:t>
      </w:r>
      <w:proofErr w:type="spellEnd"/>
      <w:r w:rsidRPr="00172374">
        <w:t xml:space="preserve">, C. (2009). Brand orientation of museums: Model and empirical results. </w:t>
      </w:r>
      <w:r w:rsidRPr="00172374">
        <w:rPr>
          <w:i/>
        </w:rPr>
        <w:t>International Journal of Arts Management, 11</w:t>
      </w:r>
      <w:r w:rsidRPr="00172374">
        <w:rPr>
          <w:iCs/>
        </w:rPr>
        <w:t>(3)</w:t>
      </w:r>
      <w:r w:rsidRPr="00172374">
        <w:t>, 30–45.</w:t>
      </w:r>
    </w:p>
    <w:p w14:paraId="364885A4" w14:textId="77777777" w:rsidR="00DB468D" w:rsidRPr="00172374" w:rsidRDefault="00DB468D" w:rsidP="009D0C89">
      <w:pPr>
        <w:spacing w:after="240" w:line="360" w:lineRule="auto"/>
        <w:ind w:left="426" w:hanging="426"/>
        <w:rPr>
          <w:lang w:val="sv-SE"/>
        </w:rPr>
      </w:pPr>
      <w:proofErr w:type="spellStart"/>
      <w:r w:rsidRPr="00172374">
        <w:t>Baumgarth</w:t>
      </w:r>
      <w:proofErr w:type="spellEnd"/>
      <w:r w:rsidRPr="00172374">
        <w:t xml:space="preserve">, C. (2010). “Living the brand”: Brand orientation in the business-to-business sector. </w:t>
      </w:r>
      <w:r w:rsidRPr="00172374">
        <w:rPr>
          <w:i/>
        </w:rPr>
        <w:t>European Journal of Marketing</w:t>
      </w:r>
      <w:r w:rsidRPr="00172374">
        <w:t xml:space="preserve">, </w:t>
      </w:r>
      <w:r w:rsidRPr="00172374">
        <w:rPr>
          <w:i/>
          <w:lang w:val="sv-SE"/>
        </w:rPr>
        <w:t>44</w:t>
      </w:r>
      <w:r w:rsidRPr="00172374">
        <w:rPr>
          <w:iCs/>
          <w:lang w:val="sv-SE"/>
        </w:rPr>
        <w:t>(5),</w:t>
      </w:r>
      <w:r w:rsidRPr="00172374">
        <w:rPr>
          <w:lang w:val="sv-SE"/>
        </w:rPr>
        <w:t xml:space="preserve"> 653</w:t>
      </w:r>
      <w:r w:rsidRPr="00172374">
        <w:t>–</w:t>
      </w:r>
      <w:r w:rsidRPr="00172374">
        <w:rPr>
          <w:lang w:val="sv-SE"/>
        </w:rPr>
        <w:t xml:space="preserve">671. </w:t>
      </w:r>
    </w:p>
    <w:p w14:paraId="173BBF65" w14:textId="77777777" w:rsidR="00DB468D" w:rsidRPr="00172374" w:rsidRDefault="00DB468D" w:rsidP="009D0C89">
      <w:pPr>
        <w:spacing w:after="240" w:line="360" w:lineRule="auto"/>
        <w:ind w:left="426" w:hanging="426"/>
      </w:pPr>
      <w:r w:rsidRPr="00172374">
        <w:lastRenderedPageBreak/>
        <w:t xml:space="preserve">Bearden, W. O., &amp; </w:t>
      </w:r>
      <w:proofErr w:type="spellStart"/>
      <w:r w:rsidRPr="00172374">
        <w:t>Netemeyer</w:t>
      </w:r>
      <w:proofErr w:type="spellEnd"/>
      <w:r w:rsidRPr="00172374">
        <w:t xml:space="preserve">, R. G. (1998). </w:t>
      </w:r>
      <w:r w:rsidRPr="00172374">
        <w:rPr>
          <w:i/>
          <w:iCs/>
        </w:rPr>
        <w:t>Handbook of marketing scales: Multiitem measures for marketing and consumer behavior research</w:t>
      </w:r>
      <w:r w:rsidRPr="00172374">
        <w:t>. Thousand Oaks, CA: Sage.</w:t>
      </w:r>
    </w:p>
    <w:p w14:paraId="6A2A3EDC" w14:textId="77777777" w:rsidR="00DB468D" w:rsidRPr="00172374" w:rsidRDefault="00DB468D" w:rsidP="009D0C89">
      <w:pPr>
        <w:spacing w:after="240" w:line="360" w:lineRule="auto"/>
        <w:ind w:left="426" w:hanging="426"/>
      </w:pPr>
      <w:r w:rsidRPr="00172374">
        <w:t xml:space="preserve">Bearden, W. O., Hardesty, D., &amp; Rose, R. (2001). Consumer self-confidence: Refinements in conceptualization and measurement. </w:t>
      </w:r>
      <w:r w:rsidRPr="00172374">
        <w:rPr>
          <w:i/>
        </w:rPr>
        <w:t>Journal of Consumer Research, 28</w:t>
      </w:r>
      <w:r w:rsidRPr="00172374">
        <w:rPr>
          <w:iCs/>
        </w:rPr>
        <w:t>(1)</w:t>
      </w:r>
      <w:r w:rsidRPr="00172374">
        <w:t>, 121–134.</w:t>
      </w:r>
    </w:p>
    <w:p w14:paraId="71BA6E76" w14:textId="77777777" w:rsidR="00DB468D" w:rsidRPr="00172374" w:rsidRDefault="00DB468D" w:rsidP="009D0C89">
      <w:pPr>
        <w:tabs>
          <w:tab w:val="left" w:pos="-284"/>
        </w:tabs>
        <w:spacing w:after="240" w:line="360" w:lineRule="auto"/>
        <w:ind w:left="426" w:hanging="426"/>
      </w:pPr>
      <w:proofErr w:type="spellStart"/>
      <w:r w:rsidRPr="00172374">
        <w:t>Bedbury</w:t>
      </w:r>
      <w:proofErr w:type="spellEnd"/>
      <w:r w:rsidRPr="00172374">
        <w:t xml:space="preserve">, S. (2002). </w:t>
      </w:r>
      <w:r w:rsidRPr="00172374">
        <w:rPr>
          <w:i/>
        </w:rPr>
        <w:t>A New Brand World: 8 principles for achieving brand leadership in the 21</w:t>
      </w:r>
      <w:r w:rsidRPr="00172374">
        <w:rPr>
          <w:i/>
          <w:vertAlign w:val="superscript"/>
        </w:rPr>
        <w:t>st</w:t>
      </w:r>
      <w:r w:rsidRPr="00172374">
        <w:rPr>
          <w:i/>
        </w:rPr>
        <w:t xml:space="preserve"> century. </w:t>
      </w:r>
      <w:r w:rsidRPr="00172374">
        <w:rPr>
          <w:iCs/>
        </w:rPr>
        <w:t xml:space="preserve">UK: </w:t>
      </w:r>
      <w:r w:rsidRPr="00172374">
        <w:t xml:space="preserve">Penguin books. </w:t>
      </w:r>
    </w:p>
    <w:p w14:paraId="182C9E54" w14:textId="77777777" w:rsidR="00DB468D" w:rsidRPr="00172374" w:rsidRDefault="00DB468D" w:rsidP="009D0C89">
      <w:pPr>
        <w:spacing w:after="240" w:line="360" w:lineRule="auto"/>
        <w:ind w:left="426" w:hanging="426"/>
        <w:rPr>
          <w:lang w:eastAsia="el-GR"/>
        </w:rPr>
      </w:pPr>
      <w:r w:rsidRPr="00172374">
        <w:rPr>
          <w:lang w:eastAsia="el-GR"/>
        </w:rPr>
        <w:t xml:space="preserve">Bengtsson, A., </w:t>
      </w:r>
      <w:proofErr w:type="spellStart"/>
      <w:r w:rsidRPr="00172374">
        <w:rPr>
          <w:lang w:eastAsia="el-GR"/>
        </w:rPr>
        <w:t>Bardhi</w:t>
      </w:r>
      <w:proofErr w:type="spellEnd"/>
      <w:r w:rsidRPr="00172374">
        <w:rPr>
          <w:lang w:eastAsia="el-GR"/>
        </w:rPr>
        <w:t xml:space="preserve">, F., &amp; Venkatraman, M. (2010). How global brands travel with consumers: An examination of the relationship between brand consistency and meaning across national boundaries. </w:t>
      </w:r>
      <w:r w:rsidRPr="00172374">
        <w:rPr>
          <w:i/>
          <w:lang w:eastAsia="el-GR"/>
        </w:rPr>
        <w:t>International Marketing Review</w:t>
      </w:r>
      <w:r w:rsidRPr="00172374">
        <w:rPr>
          <w:lang w:eastAsia="el-GR"/>
        </w:rPr>
        <w:t xml:space="preserve">, </w:t>
      </w:r>
      <w:r w:rsidRPr="00172374">
        <w:rPr>
          <w:i/>
          <w:lang w:eastAsia="el-GR"/>
        </w:rPr>
        <w:t>27</w:t>
      </w:r>
      <w:r w:rsidRPr="00172374">
        <w:rPr>
          <w:iCs/>
          <w:lang w:eastAsia="el-GR"/>
        </w:rPr>
        <w:t>(5)</w:t>
      </w:r>
      <w:r w:rsidRPr="00172374">
        <w:rPr>
          <w:lang w:eastAsia="el-GR"/>
        </w:rPr>
        <w:t>, 519</w:t>
      </w:r>
      <w:r w:rsidRPr="00172374">
        <w:t>–</w:t>
      </w:r>
      <w:r w:rsidRPr="00172374">
        <w:rPr>
          <w:lang w:eastAsia="el-GR"/>
        </w:rPr>
        <w:t>540.</w:t>
      </w:r>
    </w:p>
    <w:p w14:paraId="02C2C0EE" w14:textId="77777777" w:rsidR="00DB468D" w:rsidRPr="00172374" w:rsidRDefault="00DB468D" w:rsidP="009D0C89">
      <w:pPr>
        <w:tabs>
          <w:tab w:val="left" w:pos="-284"/>
        </w:tabs>
        <w:spacing w:after="240" w:line="360" w:lineRule="auto"/>
        <w:ind w:left="426" w:hanging="426"/>
        <w:rPr>
          <w:lang w:eastAsia="el-GR"/>
        </w:rPr>
      </w:pPr>
      <w:proofErr w:type="spellStart"/>
      <w:r w:rsidRPr="00172374">
        <w:rPr>
          <w:lang w:eastAsia="el-GR"/>
        </w:rPr>
        <w:t>Beverland</w:t>
      </w:r>
      <w:proofErr w:type="spellEnd"/>
      <w:r w:rsidRPr="00172374">
        <w:rPr>
          <w:lang w:eastAsia="el-GR"/>
        </w:rPr>
        <w:t xml:space="preserve">, M. B., </w:t>
      </w:r>
      <w:proofErr w:type="spellStart"/>
      <w:r w:rsidRPr="00172374">
        <w:rPr>
          <w:lang w:eastAsia="el-GR"/>
        </w:rPr>
        <w:t>Wilner</w:t>
      </w:r>
      <w:proofErr w:type="spellEnd"/>
      <w:r w:rsidRPr="00172374">
        <w:rPr>
          <w:lang w:eastAsia="el-GR"/>
        </w:rPr>
        <w:t xml:space="preserve">, S. J., &amp; </w:t>
      </w:r>
      <w:proofErr w:type="spellStart"/>
      <w:r w:rsidRPr="00172374">
        <w:rPr>
          <w:lang w:eastAsia="el-GR"/>
        </w:rPr>
        <w:t>Micheli</w:t>
      </w:r>
      <w:proofErr w:type="spellEnd"/>
      <w:r w:rsidRPr="00172374">
        <w:rPr>
          <w:lang w:eastAsia="el-GR"/>
        </w:rPr>
        <w:t xml:space="preserve">, P. (2015). Reconciling the tension between consistency and relevance: Design thinking as a mechanism for brand ambidexterity. </w:t>
      </w:r>
      <w:r w:rsidRPr="00172374">
        <w:rPr>
          <w:i/>
          <w:lang w:eastAsia="el-GR"/>
        </w:rPr>
        <w:t>Journal of the Academy of Marketing Science</w:t>
      </w:r>
      <w:r w:rsidRPr="00172374">
        <w:rPr>
          <w:lang w:eastAsia="el-GR"/>
        </w:rPr>
        <w:t xml:space="preserve">, </w:t>
      </w:r>
      <w:r w:rsidRPr="00172374">
        <w:rPr>
          <w:i/>
          <w:lang w:eastAsia="el-GR"/>
        </w:rPr>
        <w:t>43</w:t>
      </w:r>
      <w:r w:rsidRPr="00172374">
        <w:rPr>
          <w:iCs/>
          <w:lang w:eastAsia="el-GR"/>
        </w:rPr>
        <w:t>(5)</w:t>
      </w:r>
      <w:r w:rsidRPr="00172374">
        <w:rPr>
          <w:lang w:eastAsia="el-GR"/>
        </w:rPr>
        <w:t>, 589</w:t>
      </w:r>
      <w:r w:rsidRPr="00172374">
        <w:t>–</w:t>
      </w:r>
      <w:r w:rsidRPr="00172374">
        <w:rPr>
          <w:lang w:eastAsia="el-GR"/>
        </w:rPr>
        <w:t>609.</w:t>
      </w:r>
    </w:p>
    <w:p w14:paraId="047017B9" w14:textId="77777777" w:rsidR="00DB468D" w:rsidRPr="00172374" w:rsidRDefault="00DB468D" w:rsidP="009D0C89">
      <w:pPr>
        <w:tabs>
          <w:tab w:val="left" w:pos="-284"/>
          <w:tab w:val="left" w:pos="142"/>
        </w:tabs>
        <w:spacing w:after="240" w:line="360" w:lineRule="auto"/>
        <w:ind w:left="426" w:hanging="426"/>
      </w:pPr>
      <w:proofErr w:type="spellStart"/>
      <w:r w:rsidRPr="00172374">
        <w:t>Brakus</w:t>
      </w:r>
      <w:proofErr w:type="spellEnd"/>
      <w:r w:rsidRPr="00172374">
        <w:t xml:space="preserve">, J., Schmitt, B., &amp; </w:t>
      </w:r>
      <w:proofErr w:type="spellStart"/>
      <w:r w:rsidRPr="00172374">
        <w:t>Zarantonello</w:t>
      </w:r>
      <w:proofErr w:type="spellEnd"/>
      <w:r w:rsidRPr="00172374">
        <w:t xml:space="preserve">, L., (2009). Brand experience: What is it? How is it measured? Does it affect loyalty? </w:t>
      </w:r>
      <w:r w:rsidRPr="00172374">
        <w:rPr>
          <w:i/>
        </w:rPr>
        <w:t>Journal of Marketing, 73</w:t>
      </w:r>
      <w:r w:rsidRPr="00172374">
        <w:rPr>
          <w:iCs/>
        </w:rPr>
        <w:t>(3)</w:t>
      </w:r>
      <w:r w:rsidRPr="00172374">
        <w:t>, 52–68</w:t>
      </w:r>
    </w:p>
    <w:p w14:paraId="5B4ABC98" w14:textId="77777777" w:rsidR="00DB468D" w:rsidRPr="00172374" w:rsidRDefault="00DB468D" w:rsidP="009D0C89">
      <w:pPr>
        <w:tabs>
          <w:tab w:val="left" w:pos="-284"/>
        </w:tabs>
        <w:spacing w:after="240" w:line="360" w:lineRule="auto"/>
        <w:ind w:left="426" w:hanging="426"/>
      </w:pPr>
      <w:proofErr w:type="spellStart"/>
      <w:r w:rsidRPr="00172374">
        <w:t>Brexendorf</w:t>
      </w:r>
      <w:proofErr w:type="spellEnd"/>
      <w:r w:rsidRPr="00172374">
        <w:t xml:space="preserve">, T. &amp; Keller, K. (2017). Leveraging the corporate brand: The importance of corporate brand innovativeness and brand architecture. </w:t>
      </w:r>
      <w:r w:rsidRPr="00172374">
        <w:rPr>
          <w:i/>
          <w:iCs/>
        </w:rPr>
        <w:t>European Journal of Marketing, 51</w:t>
      </w:r>
      <w:r w:rsidRPr="00172374">
        <w:t>(9/10), 1530–1551.</w:t>
      </w:r>
    </w:p>
    <w:p w14:paraId="5D320061" w14:textId="77777777" w:rsidR="00DB468D" w:rsidRPr="00172374" w:rsidRDefault="00DB468D" w:rsidP="009D0C89">
      <w:pPr>
        <w:spacing w:after="240" w:line="360" w:lineRule="auto"/>
        <w:ind w:left="426" w:hanging="426"/>
      </w:pPr>
      <w:proofErr w:type="spellStart"/>
      <w:r w:rsidRPr="00172374">
        <w:t>Bridson</w:t>
      </w:r>
      <w:proofErr w:type="spellEnd"/>
      <w:r w:rsidRPr="00172374">
        <w:t xml:space="preserve">, K., &amp; Evans, J. (2004). The secret to a fashion advantage is brand orientation. </w:t>
      </w:r>
      <w:r w:rsidRPr="00172374">
        <w:rPr>
          <w:i/>
        </w:rPr>
        <w:t>International Journal of Retail and Distribution Management</w:t>
      </w:r>
      <w:r w:rsidRPr="00172374">
        <w:t xml:space="preserve">, </w:t>
      </w:r>
      <w:r w:rsidRPr="00172374">
        <w:rPr>
          <w:i/>
        </w:rPr>
        <w:t>32</w:t>
      </w:r>
      <w:r w:rsidRPr="00172374">
        <w:rPr>
          <w:iCs/>
        </w:rPr>
        <w:t>(8),</w:t>
      </w:r>
      <w:r w:rsidRPr="00172374">
        <w:t xml:space="preserve"> 403–411.</w:t>
      </w:r>
    </w:p>
    <w:p w14:paraId="62456CBE" w14:textId="77777777" w:rsidR="00DB468D" w:rsidRPr="00172374" w:rsidRDefault="00DB468D" w:rsidP="009D0C89">
      <w:pPr>
        <w:spacing w:after="240" w:line="360" w:lineRule="auto"/>
        <w:ind w:left="426" w:hanging="426"/>
      </w:pPr>
      <w:r w:rsidRPr="00172374">
        <w:t xml:space="preserve">Campbell, J. L., Quincy, C., </w:t>
      </w:r>
      <w:proofErr w:type="spellStart"/>
      <w:r w:rsidRPr="00172374">
        <w:t>Osserman</w:t>
      </w:r>
      <w:proofErr w:type="spellEnd"/>
      <w:r w:rsidRPr="00172374">
        <w:t xml:space="preserve">, J., &amp; Pedersen, O. K. (2013). Coding in-depth </w:t>
      </w:r>
      <w:proofErr w:type="spellStart"/>
      <w:r w:rsidRPr="00172374">
        <w:t>semistructured</w:t>
      </w:r>
      <w:proofErr w:type="spellEnd"/>
      <w:r w:rsidRPr="00172374">
        <w:t xml:space="preserve"> interviews: Problems of unitization and intercoder reliability and agreement. </w:t>
      </w:r>
      <w:r w:rsidRPr="00172374">
        <w:rPr>
          <w:bCs/>
          <w:i/>
        </w:rPr>
        <w:t>Sociological</w:t>
      </w:r>
      <w:r w:rsidRPr="00172374">
        <w:rPr>
          <w:i/>
        </w:rPr>
        <w:t xml:space="preserve"> Methods &amp; Research</w:t>
      </w:r>
      <w:r w:rsidRPr="00172374">
        <w:t xml:space="preserve">, </w:t>
      </w:r>
      <w:r w:rsidRPr="00172374">
        <w:rPr>
          <w:i/>
          <w:iCs/>
        </w:rPr>
        <w:t>42</w:t>
      </w:r>
      <w:r w:rsidRPr="00172374">
        <w:t>(3), 294–320.</w:t>
      </w:r>
    </w:p>
    <w:p w14:paraId="1C699742" w14:textId="77777777" w:rsidR="00DB468D" w:rsidRPr="00172374" w:rsidRDefault="00DB468D" w:rsidP="009D0C89">
      <w:pPr>
        <w:spacing w:after="240" w:line="360" w:lineRule="auto"/>
        <w:ind w:left="426" w:hanging="426"/>
      </w:pPr>
      <w:r w:rsidRPr="00172374">
        <w:t xml:space="preserve">Chang, C. H. (2011). The influence of corporate environmental ethics on competitive advantage: The mediation role of green innovation. </w:t>
      </w:r>
      <w:r w:rsidRPr="00172374">
        <w:rPr>
          <w:i/>
          <w:iCs/>
        </w:rPr>
        <w:t>Journal of Business Ethics</w:t>
      </w:r>
      <w:r w:rsidRPr="00172374">
        <w:t xml:space="preserve">, </w:t>
      </w:r>
      <w:r w:rsidRPr="00172374">
        <w:rPr>
          <w:i/>
          <w:iCs/>
        </w:rPr>
        <w:t>104</w:t>
      </w:r>
      <w:r w:rsidRPr="00172374">
        <w:t>(3), 361–370.</w:t>
      </w:r>
    </w:p>
    <w:p w14:paraId="19DC777A" w14:textId="77777777" w:rsidR="00DB468D" w:rsidRPr="00172374" w:rsidRDefault="00DB468D" w:rsidP="009D0C89">
      <w:pPr>
        <w:spacing w:after="240" w:line="360" w:lineRule="auto"/>
        <w:ind w:left="426" w:hanging="426"/>
        <w:rPr>
          <w:spacing w:val="-4"/>
        </w:rPr>
      </w:pPr>
      <w:r w:rsidRPr="00172374">
        <w:rPr>
          <w:spacing w:val="-4"/>
        </w:rPr>
        <w:t xml:space="preserve">Chang, Y., Wang, X., &amp; Arnett, D. B. (2018). Enhancing firm performance: The role of brand orientation in business-to-business marketing. </w:t>
      </w:r>
      <w:r w:rsidRPr="00172374">
        <w:rPr>
          <w:i/>
          <w:spacing w:val="-4"/>
        </w:rPr>
        <w:t>Industrial Marketing Management</w:t>
      </w:r>
      <w:r w:rsidRPr="00172374">
        <w:rPr>
          <w:i/>
          <w:iCs/>
          <w:spacing w:val="-4"/>
        </w:rPr>
        <w:t>, 72</w:t>
      </w:r>
      <w:r w:rsidRPr="00172374">
        <w:rPr>
          <w:spacing w:val="-4"/>
        </w:rPr>
        <w:t>, 17–25.</w:t>
      </w:r>
    </w:p>
    <w:p w14:paraId="39E03526" w14:textId="77777777" w:rsidR="00DB468D" w:rsidRPr="00172374" w:rsidRDefault="00DB468D" w:rsidP="009D0C89">
      <w:pPr>
        <w:spacing w:after="240" w:line="360" w:lineRule="auto"/>
        <w:ind w:left="426" w:hanging="426"/>
      </w:pPr>
      <w:r w:rsidRPr="00172374">
        <w:lastRenderedPageBreak/>
        <w:t xml:space="preserve">Churchill, G. A. (1979). A paradigm for developing better measures of marketing constructs. </w:t>
      </w:r>
      <w:r w:rsidRPr="00172374">
        <w:rPr>
          <w:i/>
        </w:rPr>
        <w:t>Journal of Marketing Research, 16</w:t>
      </w:r>
      <w:r w:rsidRPr="00172374">
        <w:rPr>
          <w:iCs/>
        </w:rPr>
        <w:t>(1)</w:t>
      </w:r>
      <w:r w:rsidRPr="00172374">
        <w:t xml:space="preserve">, 64–73. </w:t>
      </w:r>
    </w:p>
    <w:p w14:paraId="6963C4A0" w14:textId="77777777" w:rsidR="00DB468D" w:rsidRPr="00172374" w:rsidRDefault="00DB468D" w:rsidP="009D0C89">
      <w:pPr>
        <w:tabs>
          <w:tab w:val="left" w:pos="284"/>
        </w:tabs>
        <w:spacing w:after="240" w:line="360" w:lineRule="auto"/>
        <w:ind w:left="426" w:hanging="426"/>
      </w:pPr>
      <w:r w:rsidRPr="00172374">
        <w:t xml:space="preserve">Clark, L. A., &amp; Watson, D. (1995). Constructing validity: Basic issues in scale development. </w:t>
      </w:r>
      <w:r w:rsidRPr="00172374">
        <w:rPr>
          <w:i/>
        </w:rPr>
        <w:t>Psychological Assessment, 7</w:t>
      </w:r>
      <w:r w:rsidRPr="00172374">
        <w:rPr>
          <w:iCs/>
        </w:rPr>
        <w:t>(3)</w:t>
      </w:r>
      <w:r w:rsidRPr="00172374">
        <w:t>, 309–319.</w:t>
      </w:r>
    </w:p>
    <w:p w14:paraId="337B1574" w14:textId="77777777" w:rsidR="00DB468D" w:rsidRPr="00172374" w:rsidRDefault="00DB468D" w:rsidP="009D0C89">
      <w:pPr>
        <w:spacing w:after="240" w:line="360" w:lineRule="auto"/>
        <w:ind w:left="426" w:hanging="426"/>
      </w:pPr>
      <w:r w:rsidRPr="00172374">
        <w:t xml:space="preserve">Cohen, J. (1982). Set correlation as a general multivariate data-analytic method. </w:t>
      </w:r>
      <w:r w:rsidRPr="00172374">
        <w:rPr>
          <w:i/>
          <w:iCs/>
        </w:rPr>
        <w:t>Multivariate Behavioral Research, 17</w:t>
      </w:r>
      <w:r w:rsidRPr="00172374">
        <w:t>(3), 301–341.</w:t>
      </w:r>
    </w:p>
    <w:p w14:paraId="13F2C920" w14:textId="77777777" w:rsidR="00DB468D" w:rsidRPr="00172374" w:rsidRDefault="00DB468D" w:rsidP="009D0C89">
      <w:pPr>
        <w:spacing w:after="240" w:line="360" w:lineRule="auto"/>
        <w:ind w:left="426" w:hanging="426"/>
      </w:pPr>
      <w:r w:rsidRPr="00172374">
        <w:t xml:space="preserve">Cohen, J. (1988). </w:t>
      </w:r>
      <w:r w:rsidRPr="00172374">
        <w:rPr>
          <w:i/>
          <w:iCs/>
        </w:rPr>
        <w:t>Statistical power analysis for the behavioral sciences</w:t>
      </w:r>
      <w:r w:rsidRPr="00172374">
        <w:t>. Lawrence Erlbaum Associates.</w:t>
      </w:r>
    </w:p>
    <w:p w14:paraId="641A9D20" w14:textId="77777777" w:rsidR="00DB468D" w:rsidRPr="00172374" w:rsidRDefault="00DB468D" w:rsidP="009D0C89">
      <w:pPr>
        <w:spacing w:after="240" w:line="360" w:lineRule="auto"/>
        <w:ind w:left="426" w:hanging="426"/>
        <w:rPr>
          <w:rFonts w:eastAsia="Times New Roman"/>
          <w:szCs w:val="20"/>
          <w:shd w:val="clear" w:color="auto" w:fill="FFFFFF"/>
        </w:rPr>
      </w:pPr>
      <w:r w:rsidRPr="00172374">
        <w:rPr>
          <w:rFonts w:eastAsia="Times New Roman"/>
          <w:szCs w:val="20"/>
          <w:shd w:val="clear" w:color="auto" w:fill="FFFFFF"/>
        </w:rPr>
        <w:t xml:space="preserve">Coleman, D. A., de </w:t>
      </w:r>
      <w:proofErr w:type="spellStart"/>
      <w:r w:rsidRPr="00172374">
        <w:rPr>
          <w:rFonts w:eastAsia="Times New Roman"/>
          <w:szCs w:val="20"/>
          <w:shd w:val="clear" w:color="auto" w:fill="FFFFFF"/>
        </w:rPr>
        <w:t>Chernatony</w:t>
      </w:r>
      <w:proofErr w:type="spellEnd"/>
      <w:r w:rsidRPr="00172374">
        <w:rPr>
          <w:rFonts w:eastAsia="Times New Roman"/>
          <w:szCs w:val="20"/>
          <w:shd w:val="clear" w:color="auto" w:fill="FFFFFF"/>
        </w:rPr>
        <w:t>, L., &amp; Christodoulides, G. (2015). B2B service brand identity</w:t>
      </w:r>
      <w:r w:rsidRPr="00172374">
        <w:t xml:space="preserve"> </w:t>
      </w:r>
      <w:r w:rsidRPr="00172374">
        <w:rPr>
          <w:rFonts w:eastAsia="Times New Roman"/>
          <w:szCs w:val="20"/>
          <w:shd w:val="clear" w:color="auto" w:fill="FFFFFF"/>
        </w:rPr>
        <w:t xml:space="preserve">and brand performance: an empirical investigation in the UK’s B2B IT services sector. </w:t>
      </w:r>
      <w:r w:rsidRPr="00172374">
        <w:rPr>
          <w:rFonts w:eastAsia="Times New Roman"/>
          <w:i/>
          <w:szCs w:val="20"/>
          <w:shd w:val="clear" w:color="auto" w:fill="FFFFFF"/>
        </w:rPr>
        <w:t>European Journal of Marketing, 49</w:t>
      </w:r>
      <w:r w:rsidRPr="00172374">
        <w:rPr>
          <w:rFonts w:eastAsia="Times New Roman"/>
          <w:iCs/>
          <w:szCs w:val="20"/>
          <w:shd w:val="clear" w:color="auto" w:fill="FFFFFF"/>
        </w:rPr>
        <w:t>(7/8),</w:t>
      </w:r>
      <w:r w:rsidRPr="00172374">
        <w:rPr>
          <w:rFonts w:eastAsia="Times New Roman"/>
          <w:szCs w:val="20"/>
          <w:shd w:val="clear" w:color="auto" w:fill="FFFFFF"/>
        </w:rPr>
        <w:t xml:space="preserve"> 1139</w:t>
      </w:r>
      <w:r w:rsidRPr="00172374">
        <w:t>–</w:t>
      </w:r>
      <w:r w:rsidRPr="00172374">
        <w:rPr>
          <w:rFonts w:eastAsia="Times New Roman"/>
          <w:szCs w:val="20"/>
          <w:shd w:val="clear" w:color="auto" w:fill="FFFFFF"/>
        </w:rPr>
        <w:t xml:space="preserve">1162. </w:t>
      </w:r>
    </w:p>
    <w:p w14:paraId="6C0ABFEC" w14:textId="77777777" w:rsidR="00DB468D" w:rsidRPr="00172374" w:rsidRDefault="00DB468D" w:rsidP="009D0C89">
      <w:pPr>
        <w:tabs>
          <w:tab w:val="left" w:pos="-284"/>
        </w:tabs>
        <w:spacing w:after="240" w:line="360" w:lineRule="auto"/>
        <w:ind w:left="426" w:hanging="426"/>
      </w:pPr>
      <w:r w:rsidRPr="00172374">
        <w:t xml:space="preserve">Coolidge, E. D. (2005). Branding and the organization. Chapter 19 in </w:t>
      </w:r>
      <w:r w:rsidRPr="00172374">
        <w:rPr>
          <w:i/>
        </w:rPr>
        <w:t>Kellogg on Branding</w:t>
      </w:r>
      <w:r w:rsidRPr="00172374">
        <w:t xml:space="preserve"> (Edited by </w:t>
      </w:r>
      <w:proofErr w:type="spellStart"/>
      <w:r w:rsidRPr="00172374">
        <w:t>Tybout</w:t>
      </w:r>
      <w:proofErr w:type="spellEnd"/>
      <w:r w:rsidRPr="00172374">
        <w:t xml:space="preserve"> A.M. &amp; Calkins T.), Wiley &amp; Sons. </w:t>
      </w:r>
    </w:p>
    <w:p w14:paraId="73719EC4"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Cronbach, L. J., &amp; </w:t>
      </w:r>
      <w:proofErr w:type="spellStart"/>
      <w:r w:rsidRPr="00172374">
        <w:rPr>
          <w:lang w:eastAsia="el-GR"/>
        </w:rPr>
        <w:t>Meehl</w:t>
      </w:r>
      <w:proofErr w:type="spellEnd"/>
      <w:r w:rsidRPr="00172374">
        <w:rPr>
          <w:lang w:eastAsia="el-GR"/>
        </w:rPr>
        <w:t xml:space="preserve">, P. E. (1955). Construct validity in psychological tests. </w:t>
      </w:r>
      <w:r w:rsidRPr="00172374">
        <w:rPr>
          <w:i/>
          <w:iCs/>
          <w:lang w:eastAsia="el-GR"/>
        </w:rPr>
        <w:t>Psychological Bulletin</w:t>
      </w:r>
      <w:r w:rsidRPr="00172374">
        <w:rPr>
          <w:lang w:eastAsia="el-GR"/>
        </w:rPr>
        <w:t xml:space="preserve">, </w:t>
      </w:r>
      <w:r w:rsidRPr="00172374">
        <w:rPr>
          <w:i/>
          <w:iCs/>
          <w:lang w:eastAsia="el-GR"/>
        </w:rPr>
        <w:t>52</w:t>
      </w:r>
      <w:r w:rsidRPr="00172374">
        <w:rPr>
          <w:lang w:eastAsia="el-GR"/>
        </w:rPr>
        <w:t>(4), 281</w:t>
      </w:r>
      <w:r w:rsidRPr="00172374">
        <w:t>–</w:t>
      </w:r>
      <w:r w:rsidRPr="00172374">
        <w:rPr>
          <w:lang w:eastAsia="el-GR"/>
        </w:rPr>
        <w:t>302.</w:t>
      </w:r>
    </w:p>
    <w:p w14:paraId="68E4C3E8" w14:textId="77777777" w:rsidR="00DB468D" w:rsidRPr="00172374" w:rsidRDefault="00DB468D" w:rsidP="009D0C89">
      <w:pPr>
        <w:spacing w:after="240" w:line="360" w:lineRule="auto"/>
        <w:ind w:left="426" w:hanging="426"/>
      </w:pPr>
      <w:r w:rsidRPr="00172374">
        <w:t xml:space="preserve">Darlington, R. B. (1990). </w:t>
      </w:r>
      <w:r w:rsidRPr="00172374">
        <w:rPr>
          <w:i/>
          <w:iCs/>
        </w:rPr>
        <w:t>Regression and linear models</w:t>
      </w:r>
      <w:r w:rsidRPr="00172374">
        <w:t>. New York: McGraw-Hill.</w:t>
      </w:r>
    </w:p>
    <w:p w14:paraId="2B3C7B1E" w14:textId="77777777" w:rsidR="00DB468D" w:rsidRPr="00172374" w:rsidRDefault="00DB468D" w:rsidP="009D0C89">
      <w:pPr>
        <w:tabs>
          <w:tab w:val="left" w:pos="-284"/>
          <w:tab w:val="left" w:pos="0"/>
          <w:tab w:val="left" w:pos="142"/>
        </w:tabs>
        <w:spacing w:after="240" w:line="360" w:lineRule="auto"/>
        <w:ind w:left="426" w:hanging="426"/>
      </w:pPr>
      <w:proofErr w:type="spellStart"/>
      <w:r w:rsidRPr="00172374">
        <w:t>Davcik</w:t>
      </w:r>
      <w:proofErr w:type="spellEnd"/>
      <w:r w:rsidRPr="00172374">
        <w:t xml:space="preserve">, N. &amp; Sharma, P. (2015). Impact of product differentiation, marketing Investments and brand equity on pricing strategies: A brand level investigation. </w:t>
      </w:r>
      <w:r w:rsidRPr="00172374">
        <w:rPr>
          <w:i/>
        </w:rPr>
        <w:t>European Journal of Marketing, 49</w:t>
      </w:r>
      <w:r w:rsidRPr="00172374">
        <w:rPr>
          <w:iCs/>
        </w:rPr>
        <w:t>(5/6),</w:t>
      </w:r>
      <w:r w:rsidRPr="00172374">
        <w:t xml:space="preserve"> 760–781.</w:t>
      </w:r>
    </w:p>
    <w:p w14:paraId="4A4BED96" w14:textId="77777777" w:rsidR="00DB468D" w:rsidRPr="00172374" w:rsidRDefault="00DB468D" w:rsidP="009D0C89">
      <w:pPr>
        <w:tabs>
          <w:tab w:val="left" w:pos="-284"/>
        </w:tabs>
        <w:spacing w:after="240" w:line="360" w:lineRule="auto"/>
        <w:ind w:left="426" w:hanging="426"/>
      </w:pPr>
      <w:r w:rsidRPr="00172374">
        <w:t xml:space="preserve">Davis, S. (2005). </w:t>
      </w:r>
      <w:r w:rsidRPr="00172374">
        <w:rPr>
          <w:i/>
          <w:iCs/>
        </w:rPr>
        <w:t>Building a brand driven organization</w:t>
      </w:r>
      <w:r w:rsidRPr="00172374">
        <w:t xml:space="preserve">. Chapter 12 in Kellogg on Branding (Edited by </w:t>
      </w:r>
      <w:proofErr w:type="spellStart"/>
      <w:r w:rsidRPr="00172374">
        <w:t>Tybout</w:t>
      </w:r>
      <w:proofErr w:type="spellEnd"/>
      <w:r w:rsidRPr="00172374">
        <w:t xml:space="preserve"> A.M. &amp; Calkins T.), Wiley &amp; Sons.</w:t>
      </w:r>
    </w:p>
    <w:p w14:paraId="5DE67C77" w14:textId="77777777" w:rsidR="00DB468D" w:rsidRPr="00172374" w:rsidRDefault="00DB468D" w:rsidP="009D0C89">
      <w:pPr>
        <w:spacing w:after="240" w:line="360" w:lineRule="auto"/>
        <w:ind w:left="426" w:hanging="426"/>
      </w:pPr>
      <w:r w:rsidRPr="00172374">
        <w:t xml:space="preserve">Davis, S., &amp; Dunn M. (2002). </w:t>
      </w:r>
      <w:r w:rsidRPr="00172374">
        <w:rPr>
          <w:i/>
        </w:rPr>
        <w:t>Building the brand-driven business: Operationalize your brand to drive profitable growth.</w:t>
      </w:r>
      <w:r w:rsidRPr="00172374">
        <w:t xml:space="preserve"> San Francisco: Jossey-Bass.</w:t>
      </w:r>
    </w:p>
    <w:p w14:paraId="56BC2407" w14:textId="40D6CFA7" w:rsidR="00FB09B8" w:rsidRPr="00172374" w:rsidRDefault="00FB09B8" w:rsidP="009D0C89">
      <w:pPr>
        <w:tabs>
          <w:tab w:val="left" w:pos="-284"/>
        </w:tabs>
        <w:spacing w:after="240" w:line="360" w:lineRule="auto"/>
        <w:ind w:left="426" w:hanging="426"/>
      </w:pPr>
      <w:proofErr w:type="spellStart"/>
      <w:r w:rsidRPr="00172374">
        <w:t>Davvetas</w:t>
      </w:r>
      <w:proofErr w:type="spellEnd"/>
      <w:r w:rsidRPr="00172374">
        <w:t xml:space="preserve">, V., Diamantopoulos A., </w:t>
      </w:r>
      <w:proofErr w:type="spellStart"/>
      <w:r w:rsidRPr="00172374">
        <w:t>Zaefarian</w:t>
      </w:r>
      <w:proofErr w:type="spellEnd"/>
      <w:r w:rsidRPr="00172374">
        <w:t xml:space="preserve"> G., &amp; </w:t>
      </w:r>
      <w:proofErr w:type="spellStart"/>
      <w:r w:rsidRPr="00172374">
        <w:t>Sichtmann</w:t>
      </w:r>
      <w:proofErr w:type="spellEnd"/>
      <w:r w:rsidRPr="00172374">
        <w:t xml:space="preserve"> C. (2020). Ten basic questions about Structural Equations Modeling you should know the answers to – but perhaps you </w:t>
      </w:r>
      <w:proofErr w:type="gramStart"/>
      <w:r w:rsidRPr="00172374">
        <w:t>don’t</w:t>
      </w:r>
      <w:proofErr w:type="gramEnd"/>
      <w:r w:rsidRPr="00172374">
        <w:t xml:space="preserve">. </w:t>
      </w:r>
      <w:r w:rsidRPr="00172374">
        <w:rPr>
          <w:i/>
          <w:iCs/>
        </w:rPr>
        <w:t>Industrial Marketing Management</w:t>
      </w:r>
      <w:r w:rsidRPr="00172374">
        <w:t>, 90, 252</w:t>
      </w:r>
      <w:r w:rsidR="00142323" w:rsidRPr="00172374">
        <w:t>–</w:t>
      </w:r>
      <w:r w:rsidRPr="00172374">
        <w:t>263.</w:t>
      </w:r>
    </w:p>
    <w:p w14:paraId="6E41CD6D" w14:textId="77777777" w:rsidR="00DB468D" w:rsidRPr="00172374" w:rsidRDefault="00DB468D" w:rsidP="009D0C89">
      <w:pPr>
        <w:tabs>
          <w:tab w:val="left" w:pos="-284"/>
        </w:tabs>
        <w:spacing w:after="240" w:line="360" w:lineRule="auto"/>
        <w:ind w:left="426" w:hanging="426"/>
      </w:pPr>
      <w:r w:rsidRPr="00172374">
        <w:lastRenderedPageBreak/>
        <w:t xml:space="preserve">de </w:t>
      </w:r>
      <w:proofErr w:type="spellStart"/>
      <w:r w:rsidRPr="00172374">
        <w:t>Chernatony</w:t>
      </w:r>
      <w:proofErr w:type="spellEnd"/>
      <w:r w:rsidRPr="00172374">
        <w:t xml:space="preserve"> L. (2001). </w:t>
      </w:r>
      <w:r w:rsidRPr="00172374">
        <w:rPr>
          <w:i/>
          <w:iCs/>
        </w:rPr>
        <w:t>From Brand Vision to Brand Evaluation – Strategically building and sustaining brands</w:t>
      </w:r>
      <w:r w:rsidRPr="00172374">
        <w:t>. Oxford: Butterworth – Heinemann.</w:t>
      </w:r>
    </w:p>
    <w:p w14:paraId="6D72B386" w14:textId="77777777" w:rsidR="00DB468D" w:rsidRPr="00172374" w:rsidRDefault="00DB468D" w:rsidP="009D0C89">
      <w:pPr>
        <w:tabs>
          <w:tab w:val="left" w:pos="-284"/>
        </w:tabs>
        <w:spacing w:after="240" w:line="360" w:lineRule="auto"/>
        <w:ind w:left="426" w:hanging="426"/>
        <w:rPr>
          <w:i/>
        </w:rPr>
      </w:pPr>
      <w:r w:rsidRPr="00172374">
        <w:t xml:space="preserve">de </w:t>
      </w:r>
      <w:proofErr w:type="spellStart"/>
      <w:r w:rsidRPr="00172374">
        <w:t>Chernatony</w:t>
      </w:r>
      <w:proofErr w:type="spellEnd"/>
      <w:r w:rsidRPr="00172374">
        <w:t xml:space="preserve"> L., Drury, S., &amp; Segal-Horn, S. (2003). Building a services brand: stages, </w:t>
      </w:r>
      <w:proofErr w:type="gramStart"/>
      <w:r w:rsidRPr="00172374">
        <w:t>people</w:t>
      </w:r>
      <w:proofErr w:type="gramEnd"/>
      <w:r w:rsidRPr="00172374">
        <w:t xml:space="preserve"> and orientations. </w:t>
      </w:r>
      <w:r w:rsidRPr="00172374">
        <w:rPr>
          <w:i/>
        </w:rPr>
        <w:t xml:space="preserve">The Service Industries Journal, </w:t>
      </w:r>
      <w:r w:rsidRPr="00172374">
        <w:rPr>
          <w:i/>
          <w:iCs/>
        </w:rPr>
        <w:t>23</w:t>
      </w:r>
      <w:r w:rsidRPr="00172374">
        <w:t>(3), 1–21.</w:t>
      </w:r>
    </w:p>
    <w:p w14:paraId="645E0F4B" w14:textId="77777777" w:rsidR="00DB468D" w:rsidRPr="00172374" w:rsidRDefault="00DB468D" w:rsidP="009D0C89">
      <w:pPr>
        <w:tabs>
          <w:tab w:val="left" w:pos="284"/>
        </w:tabs>
        <w:spacing w:after="240" w:line="360" w:lineRule="auto"/>
        <w:ind w:left="426" w:hanging="426"/>
        <w:rPr>
          <w:i/>
        </w:rPr>
      </w:pPr>
      <w:r w:rsidRPr="00172374">
        <w:t xml:space="preserve">De </w:t>
      </w:r>
      <w:proofErr w:type="spellStart"/>
      <w:r w:rsidRPr="00172374">
        <w:t>Chernatony</w:t>
      </w:r>
      <w:proofErr w:type="spellEnd"/>
      <w:r w:rsidRPr="00172374">
        <w:t xml:space="preserve">, L., McDonald, M., &amp; Wallace, E. (2011). </w:t>
      </w:r>
      <w:r w:rsidRPr="00172374">
        <w:rPr>
          <w:i/>
        </w:rPr>
        <w:t xml:space="preserve">Creating powerful brands </w:t>
      </w:r>
      <w:r w:rsidRPr="00172374">
        <w:rPr>
          <w:iCs/>
        </w:rPr>
        <w:t>(</w:t>
      </w:r>
      <w:r w:rsidRPr="00172374">
        <w:t>4</w:t>
      </w:r>
      <w:r w:rsidRPr="00172374">
        <w:rPr>
          <w:vertAlign w:val="superscript"/>
        </w:rPr>
        <w:t>th</w:t>
      </w:r>
      <w:r w:rsidRPr="00172374">
        <w:t xml:space="preserve"> ed.). London: Taylor &amp; Francis.</w:t>
      </w:r>
    </w:p>
    <w:p w14:paraId="077D9494" w14:textId="77777777" w:rsidR="00DB468D" w:rsidRPr="00172374" w:rsidRDefault="00DB468D" w:rsidP="009D0C89">
      <w:pPr>
        <w:tabs>
          <w:tab w:val="left" w:pos="284"/>
        </w:tabs>
        <w:spacing w:after="240" w:line="360" w:lineRule="auto"/>
        <w:ind w:left="426" w:hanging="426"/>
      </w:pPr>
      <w:r w:rsidRPr="00172374">
        <w:t xml:space="preserve">Denison, D. R. (1984). Bringing corporate culture to the bottom line. </w:t>
      </w:r>
      <w:r w:rsidRPr="00172374">
        <w:rPr>
          <w:i/>
        </w:rPr>
        <w:t>Organizational Dynamics, 13</w:t>
      </w:r>
      <w:r w:rsidRPr="00172374">
        <w:rPr>
          <w:iCs/>
        </w:rPr>
        <w:t>(2),</w:t>
      </w:r>
      <w:r w:rsidRPr="00172374">
        <w:t xml:space="preserve"> 4–22.</w:t>
      </w:r>
    </w:p>
    <w:p w14:paraId="77B9AD8E" w14:textId="77777777" w:rsidR="00DB468D" w:rsidRPr="00172374" w:rsidRDefault="00DB468D" w:rsidP="009D0C89">
      <w:pPr>
        <w:tabs>
          <w:tab w:val="left" w:pos="284"/>
        </w:tabs>
        <w:spacing w:after="240" w:line="360" w:lineRule="auto"/>
        <w:ind w:left="426" w:hanging="426"/>
      </w:pPr>
      <w:proofErr w:type="spellStart"/>
      <w:r w:rsidRPr="00172374">
        <w:t>Dillman</w:t>
      </w:r>
      <w:proofErr w:type="spellEnd"/>
      <w:r w:rsidRPr="00172374">
        <w:t xml:space="preserve">, D. A. (2007). </w:t>
      </w:r>
      <w:r w:rsidRPr="00172374">
        <w:rPr>
          <w:i/>
          <w:iCs/>
        </w:rPr>
        <w:t>Mail and Internet Surveys: the tailored design method</w:t>
      </w:r>
      <w:r w:rsidRPr="00172374">
        <w:t xml:space="preserve">. 2nd ed. New </w:t>
      </w:r>
      <w:proofErr w:type="gramStart"/>
      <w:r w:rsidRPr="00172374">
        <w:t>York :</w:t>
      </w:r>
      <w:proofErr w:type="gramEnd"/>
      <w:r w:rsidRPr="00172374">
        <w:t xml:space="preserve"> John Wiley &amp; Sons, Inc.</w:t>
      </w:r>
    </w:p>
    <w:p w14:paraId="29441ED8" w14:textId="77777777" w:rsidR="00DB468D" w:rsidRPr="00172374" w:rsidRDefault="00DB468D" w:rsidP="009D0C89">
      <w:pPr>
        <w:tabs>
          <w:tab w:val="left" w:pos="-284"/>
        </w:tabs>
        <w:spacing w:after="240" w:line="360" w:lineRule="auto"/>
        <w:ind w:left="426" w:hanging="426"/>
      </w:pPr>
      <w:r w:rsidRPr="00172374">
        <w:t xml:space="preserve">Douglas, S., Craig, C. &amp; </w:t>
      </w:r>
      <w:proofErr w:type="spellStart"/>
      <w:r w:rsidRPr="00172374">
        <w:t>Nijssen</w:t>
      </w:r>
      <w:proofErr w:type="spellEnd"/>
      <w:r w:rsidRPr="00172374">
        <w:t xml:space="preserve">, E. (2001). Executive insights: integrating branding strategy across markets: building international brand architecture. </w:t>
      </w:r>
      <w:r w:rsidRPr="00172374">
        <w:rPr>
          <w:i/>
          <w:iCs/>
        </w:rPr>
        <w:t xml:space="preserve">Journal of International Marketing, </w:t>
      </w:r>
      <w:r w:rsidRPr="00172374">
        <w:t>9(2), 97–114.</w:t>
      </w:r>
    </w:p>
    <w:p w14:paraId="355FFA7E" w14:textId="77777777" w:rsidR="00DB468D" w:rsidRPr="00172374" w:rsidRDefault="00DB468D" w:rsidP="009D0C89">
      <w:pPr>
        <w:tabs>
          <w:tab w:val="left" w:pos="284"/>
        </w:tabs>
        <w:spacing w:after="240" w:line="288" w:lineRule="auto"/>
        <w:ind w:left="426" w:hanging="426"/>
        <w:rPr>
          <w:i/>
        </w:rPr>
      </w:pPr>
      <w:r w:rsidRPr="00172374">
        <w:t xml:space="preserve">Doyle P. (1989). Building Successful Brands: The strategic options. </w:t>
      </w:r>
      <w:r w:rsidRPr="00172374">
        <w:rPr>
          <w:i/>
        </w:rPr>
        <w:t>Journal of Marketing Management, 5</w:t>
      </w:r>
      <w:r w:rsidRPr="00172374">
        <w:t>(1), 77–95.</w:t>
      </w:r>
    </w:p>
    <w:p w14:paraId="3E198C30" w14:textId="77777777" w:rsidR="00DB468D" w:rsidRPr="00172374" w:rsidRDefault="00DB468D" w:rsidP="009D0C89">
      <w:pPr>
        <w:tabs>
          <w:tab w:val="left" w:pos="-284"/>
        </w:tabs>
        <w:spacing w:after="240" w:line="288" w:lineRule="auto"/>
        <w:ind w:left="426" w:hanging="426"/>
        <w:rPr>
          <w:lang w:eastAsia="el-GR"/>
        </w:rPr>
      </w:pPr>
      <w:r w:rsidRPr="00172374">
        <w:rPr>
          <w:lang w:eastAsia="el-GR"/>
        </w:rPr>
        <w:t xml:space="preserve">Dunn, M. &amp; Davis, S. (2003). Building brands from the inside. </w:t>
      </w:r>
      <w:r w:rsidRPr="00172374">
        <w:rPr>
          <w:i/>
          <w:lang w:eastAsia="el-GR"/>
        </w:rPr>
        <w:t>Marketing Management,</w:t>
      </w:r>
      <w:r w:rsidRPr="00172374">
        <w:rPr>
          <w:lang w:eastAsia="el-GR"/>
        </w:rPr>
        <w:t xml:space="preserve"> </w:t>
      </w:r>
      <w:r w:rsidRPr="00172374">
        <w:rPr>
          <w:i/>
          <w:iCs/>
          <w:lang w:eastAsia="el-GR"/>
        </w:rPr>
        <w:t>May – June</w:t>
      </w:r>
      <w:r w:rsidRPr="00172374">
        <w:rPr>
          <w:lang w:eastAsia="el-GR"/>
        </w:rPr>
        <w:t>, 32–37.</w:t>
      </w:r>
    </w:p>
    <w:p w14:paraId="7523F429" w14:textId="77777777" w:rsidR="00DB468D" w:rsidRPr="00172374" w:rsidRDefault="00DB468D" w:rsidP="009D0C89">
      <w:pPr>
        <w:spacing w:after="240" w:line="360" w:lineRule="auto"/>
        <w:ind w:left="426" w:hanging="426"/>
      </w:pPr>
      <w:r w:rsidRPr="00172374">
        <w:t xml:space="preserve">Edwards, J. R. (2001). Multidimensional constructs in organizational behavior research: An integrative analytical framework. </w:t>
      </w:r>
      <w:r w:rsidRPr="00172374">
        <w:rPr>
          <w:i/>
          <w:iCs/>
        </w:rPr>
        <w:t>Organizational Research Methods, 4</w:t>
      </w:r>
      <w:r w:rsidRPr="00172374">
        <w:t>(2), 144–192.</w:t>
      </w:r>
    </w:p>
    <w:p w14:paraId="7F5ACA38" w14:textId="77777777" w:rsidR="00DB468D" w:rsidRPr="00172374" w:rsidRDefault="00DB468D" w:rsidP="009D0C89">
      <w:pPr>
        <w:tabs>
          <w:tab w:val="left" w:pos="-284"/>
          <w:tab w:val="left" w:pos="0"/>
          <w:tab w:val="left" w:pos="142"/>
        </w:tabs>
        <w:spacing w:after="240" w:line="360" w:lineRule="auto"/>
        <w:ind w:left="426" w:hanging="426"/>
      </w:pPr>
      <w:proofErr w:type="spellStart"/>
      <w:r w:rsidRPr="00172374">
        <w:t>Ertekin</w:t>
      </w:r>
      <w:proofErr w:type="spellEnd"/>
      <w:r w:rsidRPr="00172374">
        <w:t xml:space="preserve">, L., </w:t>
      </w:r>
      <w:proofErr w:type="spellStart"/>
      <w:r w:rsidRPr="00172374">
        <w:t>Sorescu</w:t>
      </w:r>
      <w:proofErr w:type="spellEnd"/>
      <w:r w:rsidRPr="00172374">
        <w:t xml:space="preserve">, A., &amp; Houston, M. (2018). Hands off my brand! The financial consequences of protecting brands through trademark infringement lawsuits. </w:t>
      </w:r>
      <w:r w:rsidRPr="00172374">
        <w:rPr>
          <w:i/>
        </w:rPr>
        <w:t>Journal of Marketing, 82</w:t>
      </w:r>
      <w:r w:rsidRPr="00172374">
        <w:rPr>
          <w:iCs/>
        </w:rPr>
        <w:t>(5)</w:t>
      </w:r>
      <w:r w:rsidRPr="00172374">
        <w:t>, 45–65.</w:t>
      </w:r>
    </w:p>
    <w:p w14:paraId="590CB3F6"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Evans, J., </w:t>
      </w:r>
      <w:proofErr w:type="spellStart"/>
      <w:r w:rsidRPr="00172374">
        <w:rPr>
          <w:lang w:eastAsia="el-GR"/>
        </w:rPr>
        <w:t>Bridson</w:t>
      </w:r>
      <w:proofErr w:type="spellEnd"/>
      <w:r w:rsidRPr="00172374">
        <w:rPr>
          <w:lang w:eastAsia="el-GR"/>
        </w:rPr>
        <w:t xml:space="preserve">, K., &amp; Rentschler, R. (2012). Drivers, </w:t>
      </w:r>
      <w:proofErr w:type="gramStart"/>
      <w:r w:rsidRPr="00172374">
        <w:rPr>
          <w:lang w:eastAsia="el-GR"/>
        </w:rPr>
        <w:t>impediments</w:t>
      </w:r>
      <w:proofErr w:type="gramEnd"/>
      <w:r w:rsidRPr="00172374">
        <w:rPr>
          <w:lang w:eastAsia="el-GR"/>
        </w:rPr>
        <w:t xml:space="preserve"> and manifestations of brand orientation: An international museum study. </w:t>
      </w:r>
      <w:r w:rsidRPr="00172374">
        <w:rPr>
          <w:i/>
          <w:lang w:eastAsia="el-GR"/>
        </w:rPr>
        <w:t>European Journal of Marketing</w:t>
      </w:r>
      <w:r w:rsidRPr="00172374">
        <w:rPr>
          <w:lang w:eastAsia="el-GR"/>
        </w:rPr>
        <w:t xml:space="preserve">, </w:t>
      </w:r>
      <w:r w:rsidRPr="00172374">
        <w:rPr>
          <w:i/>
          <w:lang w:eastAsia="el-GR"/>
        </w:rPr>
        <w:t>46</w:t>
      </w:r>
      <w:r w:rsidRPr="00172374">
        <w:rPr>
          <w:iCs/>
          <w:lang w:eastAsia="el-GR"/>
        </w:rPr>
        <w:t>(11/12),</w:t>
      </w:r>
      <w:r w:rsidRPr="00172374">
        <w:rPr>
          <w:lang w:eastAsia="el-GR"/>
        </w:rPr>
        <w:t xml:space="preserve"> 1457</w:t>
      </w:r>
      <w:r w:rsidRPr="00172374">
        <w:t>–</w:t>
      </w:r>
      <w:r w:rsidRPr="00172374">
        <w:rPr>
          <w:lang w:eastAsia="el-GR"/>
        </w:rPr>
        <w:t>1475.</w:t>
      </w:r>
    </w:p>
    <w:p w14:paraId="5760DAAE"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Ewing, M. T., </w:t>
      </w:r>
      <w:r w:rsidRPr="00172374">
        <w:t>&amp;</w:t>
      </w:r>
      <w:r w:rsidRPr="00172374">
        <w:rPr>
          <w:lang w:eastAsia="el-GR"/>
        </w:rPr>
        <w:t xml:space="preserve"> Napoli, J. (2005). Developing and validating a multidimensional nonprofit brand orientation scale. </w:t>
      </w:r>
      <w:r w:rsidRPr="00172374">
        <w:rPr>
          <w:i/>
          <w:lang w:eastAsia="el-GR"/>
        </w:rPr>
        <w:t>Journal of Business Research</w:t>
      </w:r>
      <w:r w:rsidRPr="00172374">
        <w:rPr>
          <w:lang w:eastAsia="el-GR"/>
        </w:rPr>
        <w:t xml:space="preserve">, </w:t>
      </w:r>
      <w:r w:rsidRPr="00172374">
        <w:rPr>
          <w:i/>
          <w:lang w:eastAsia="el-GR"/>
        </w:rPr>
        <w:t>58</w:t>
      </w:r>
      <w:r w:rsidRPr="00172374">
        <w:rPr>
          <w:iCs/>
          <w:lang w:eastAsia="el-GR"/>
        </w:rPr>
        <w:t>(6),</w:t>
      </w:r>
      <w:r w:rsidRPr="00172374">
        <w:rPr>
          <w:lang w:eastAsia="el-GR"/>
        </w:rPr>
        <w:t xml:space="preserve"> 841</w:t>
      </w:r>
      <w:r w:rsidRPr="00172374">
        <w:t>–</w:t>
      </w:r>
      <w:r w:rsidRPr="00172374">
        <w:rPr>
          <w:lang w:eastAsia="el-GR"/>
        </w:rPr>
        <w:t xml:space="preserve">853. </w:t>
      </w:r>
    </w:p>
    <w:p w14:paraId="39B217C8"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lastRenderedPageBreak/>
        <w:t>Feng, H., Morgan, N. A., &amp; Rego, L. L. (2015). Marketing department power and firm performance. </w:t>
      </w:r>
      <w:r w:rsidRPr="00172374">
        <w:rPr>
          <w:i/>
          <w:iCs/>
          <w:lang w:eastAsia="el-GR"/>
        </w:rPr>
        <w:t>Journal of Marketing</w:t>
      </w:r>
      <w:r w:rsidRPr="00172374">
        <w:rPr>
          <w:lang w:eastAsia="el-GR"/>
        </w:rPr>
        <w:t>, </w:t>
      </w:r>
      <w:r w:rsidRPr="00172374">
        <w:rPr>
          <w:i/>
          <w:iCs/>
          <w:lang w:eastAsia="el-GR"/>
        </w:rPr>
        <w:t>79</w:t>
      </w:r>
      <w:r w:rsidRPr="00172374">
        <w:rPr>
          <w:lang w:eastAsia="el-GR"/>
        </w:rPr>
        <w:t>(5), 1</w:t>
      </w:r>
      <w:r w:rsidRPr="00172374">
        <w:t>–</w:t>
      </w:r>
      <w:r w:rsidRPr="00172374">
        <w:rPr>
          <w:lang w:eastAsia="el-GR"/>
        </w:rPr>
        <w:t>20.</w:t>
      </w:r>
    </w:p>
    <w:p w14:paraId="004733F1"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Fischer, M., </w:t>
      </w:r>
      <w:proofErr w:type="spellStart"/>
      <w:r w:rsidRPr="00172374">
        <w:rPr>
          <w:lang w:eastAsia="el-GR"/>
        </w:rPr>
        <w:t>Völckner</w:t>
      </w:r>
      <w:proofErr w:type="spellEnd"/>
      <w:r w:rsidRPr="00172374">
        <w:rPr>
          <w:lang w:eastAsia="el-GR"/>
        </w:rPr>
        <w:t xml:space="preserve">, F. &amp; Sattler, H. (2010). How important are brands? A cross-category, cross-country study. </w:t>
      </w:r>
      <w:r w:rsidRPr="00172374">
        <w:rPr>
          <w:i/>
          <w:lang w:eastAsia="el-GR"/>
        </w:rPr>
        <w:t>Journal of Marketing Research, 47</w:t>
      </w:r>
      <w:r w:rsidRPr="00172374">
        <w:rPr>
          <w:iCs/>
          <w:lang w:eastAsia="el-GR"/>
        </w:rPr>
        <w:t>(5),</w:t>
      </w:r>
      <w:r w:rsidRPr="00172374">
        <w:rPr>
          <w:lang w:eastAsia="el-GR"/>
        </w:rPr>
        <w:t xml:space="preserve"> 823</w:t>
      </w:r>
      <w:r w:rsidRPr="00172374">
        <w:t>–</w:t>
      </w:r>
      <w:r w:rsidRPr="00172374">
        <w:rPr>
          <w:lang w:eastAsia="el-GR"/>
        </w:rPr>
        <w:t>839.</w:t>
      </w:r>
    </w:p>
    <w:p w14:paraId="46A067B0" w14:textId="77777777" w:rsidR="00DB468D" w:rsidRPr="00172374" w:rsidRDefault="00DB468D" w:rsidP="009D0C89">
      <w:pPr>
        <w:tabs>
          <w:tab w:val="left" w:pos="-284"/>
        </w:tabs>
        <w:spacing w:after="240" w:line="360" w:lineRule="auto"/>
        <w:ind w:left="426" w:hanging="426"/>
        <w:rPr>
          <w:lang w:eastAsia="el-GR"/>
        </w:rPr>
      </w:pPr>
      <w:proofErr w:type="spellStart"/>
      <w:r w:rsidRPr="00172374">
        <w:rPr>
          <w:lang w:eastAsia="el-GR"/>
        </w:rPr>
        <w:t>Fornell</w:t>
      </w:r>
      <w:proofErr w:type="spellEnd"/>
      <w:r w:rsidRPr="00172374">
        <w:rPr>
          <w:lang w:eastAsia="el-GR"/>
        </w:rPr>
        <w:t xml:space="preserve">, C., &amp; </w:t>
      </w:r>
      <w:proofErr w:type="spellStart"/>
      <w:r w:rsidRPr="00172374">
        <w:rPr>
          <w:lang w:eastAsia="el-GR"/>
        </w:rPr>
        <w:t>Larcker</w:t>
      </w:r>
      <w:proofErr w:type="spellEnd"/>
      <w:r w:rsidRPr="00172374">
        <w:rPr>
          <w:lang w:eastAsia="el-GR"/>
        </w:rPr>
        <w:t xml:space="preserve">, D. F. (1981). Evaluating structural equation models with unobservable variables and measurement error. </w:t>
      </w:r>
      <w:r w:rsidRPr="00172374">
        <w:rPr>
          <w:i/>
          <w:lang w:eastAsia="el-GR"/>
        </w:rPr>
        <w:t>Journal of Marketing Research, 18</w:t>
      </w:r>
      <w:r w:rsidRPr="00172374">
        <w:rPr>
          <w:iCs/>
          <w:lang w:eastAsia="el-GR"/>
        </w:rPr>
        <w:t>(1),</w:t>
      </w:r>
      <w:r w:rsidRPr="00172374">
        <w:rPr>
          <w:lang w:eastAsia="el-GR"/>
        </w:rPr>
        <w:t xml:space="preserve"> 39–50.</w:t>
      </w:r>
    </w:p>
    <w:p w14:paraId="12B69B31" w14:textId="77777777" w:rsidR="00DB468D" w:rsidRPr="00172374" w:rsidRDefault="00DB468D" w:rsidP="009D0C89">
      <w:pPr>
        <w:pStyle w:val="a3"/>
        <w:spacing w:after="240" w:line="288" w:lineRule="auto"/>
        <w:ind w:left="426" w:hanging="426"/>
        <w:contextualSpacing w:val="0"/>
        <w:rPr>
          <w:rFonts w:ascii="Times New Roman" w:hAnsi="Times New Roman"/>
          <w:sz w:val="24"/>
          <w:szCs w:val="24"/>
          <w:lang w:val="en-US"/>
        </w:rPr>
      </w:pPr>
      <w:r w:rsidRPr="00172374">
        <w:rPr>
          <w:rFonts w:ascii="Times New Roman" w:hAnsi="Times New Roman"/>
          <w:sz w:val="24"/>
          <w:szCs w:val="24"/>
          <w:lang w:val="en-US"/>
        </w:rPr>
        <w:t xml:space="preserve">Fritz, K., </w:t>
      </w:r>
      <w:proofErr w:type="spellStart"/>
      <w:r w:rsidRPr="00172374">
        <w:rPr>
          <w:rFonts w:ascii="Times New Roman" w:hAnsi="Times New Roman"/>
          <w:sz w:val="24"/>
          <w:szCs w:val="24"/>
          <w:lang w:val="en-US"/>
        </w:rPr>
        <w:t>Schoenmueller</w:t>
      </w:r>
      <w:proofErr w:type="spellEnd"/>
      <w:r w:rsidRPr="00172374">
        <w:rPr>
          <w:rFonts w:ascii="Times New Roman" w:hAnsi="Times New Roman"/>
          <w:sz w:val="24"/>
          <w:szCs w:val="24"/>
          <w:lang w:val="en-US"/>
        </w:rPr>
        <w:t xml:space="preserve">, V. &amp; Bruhn, M. (2017). Authenticity in branding – exploring antecedents and consequences of brand authenticity. </w:t>
      </w:r>
      <w:r w:rsidRPr="00172374">
        <w:rPr>
          <w:rFonts w:ascii="Times New Roman" w:hAnsi="Times New Roman"/>
          <w:i/>
          <w:iCs/>
          <w:sz w:val="24"/>
          <w:szCs w:val="24"/>
          <w:lang w:val="en-US"/>
        </w:rPr>
        <w:t>European Journal of Marketing, 51</w:t>
      </w:r>
      <w:r w:rsidRPr="00172374">
        <w:rPr>
          <w:rFonts w:ascii="Times New Roman" w:hAnsi="Times New Roman"/>
          <w:sz w:val="24"/>
          <w:szCs w:val="24"/>
          <w:lang w:val="en-US"/>
        </w:rPr>
        <w:t>(2), 324–348.</w:t>
      </w:r>
    </w:p>
    <w:p w14:paraId="026C56E9" w14:textId="77777777" w:rsidR="00DB468D" w:rsidRPr="00172374" w:rsidRDefault="00DB468D" w:rsidP="009D0C89">
      <w:pPr>
        <w:tabs>
          <w:tab w:val="left" w:pos="0"/>
          <w:tab w:val="left" w:pos="142"/>
        </w:tabs>
        <w:spacing w:after="240" w:line="360" w:lineRule="auto"/>
        <w:ind w:left="426" w:hanging="426"/>
      </w:pPr>
      <w:r w:rsidRPr="00172374">
        <w:rPr>
          <w:lang w:val="sv-SE"/>
        </w:rPr>
        <w:t xml:space="preserve">Gerbing, D. P., </w:t>
      </w:r>
      <w:r w:rsidRPr="00172374">
        <w:t xml:space="preserve">&amp; </w:t>
      </w:r>
      <w:r w:rsidRPr="00172374">
        <w:rPr>
          <w:lang w:val="sv-SE"/>
        </w:rPr>
        <w:t xml:space="preserve">Anderson, J. C. (1988). </w:t>
      </w:r>
      <w:r w:rsidRPr="00172374">
        <w:t xml:space="preserve">An updated paradigm for scale development incorporating </w:t>
      </w:r>
      <w:proofErr w:type="spellStart"/>
      <w:r w:rsidRPr="00172374">
        <w:t>unidimensionality</w:t>
      </w:r>
      <w:proofErr w:type="spellEnd"/>
      <w:r w:rsidRPr="00172374">
        <w:t xml:space="preserve"> and its assessment. </w:t>
      </w:r>
      <w:r w:rsidRPr="00172374">
        <w:rPr>
          <w:i/>
        </w:rPr>
        <w:t>Journal of Marketing Research, 25</w:t>
      </w:r>
      <w:r w:rsidRPr="00172374">
        <w:rPr>
          <w:iCs/>
        </w:rPr>
        <w:t>(2),</w:t>
      </w:r>
      <w:r w:rsidRPr="00172374">
        <w:t xml:space="preserve"> 186</w:t>
      </w:r>
      <w:r w:rsidRPr="00172374">
        <w:sym w:font="Symbol" w:char="F02D"/>
      </w:r>
      <w:r w:rsidRPr="00172374">
        <w:t xml:space="preserve">192. </w:t>
      </w:r>
    </w:p>
    <w:p w14:paraId="114ECD4A" w14:textId="77777777" w:rsidR="00DB468D" w:rsidRPr="00172374" w:rsidRDefault="00DB468D" w:rsidP="009D0C89">
      <w:pPr>
        <w:tabs>
          <w:tab w:val="left" w:pos="-284"/>
          <w:tab w:val="left" w:pos="0"/>
          <w:tab w:val="left" w:pos="142"/>
        </w:tabs>
        <w:spacing w:after="240" w:line="360" w:lineRule="auto"/>
        <w:ind w:left="426" w:hanging="426"/>
      </w:pPr>
      <w:proofErr w:type="spellStart"/>
      <w:r w:rsidRPr="00172374">
        <w:t>Greyser</w:t>
      </w:r>
      <w:proofErr w:type="spellEnd"/>
      <w:r w:rsidRPr="00172374">
        <w:t xml:space="preserve">, S., &amp; </w:t>
      </w:r>
      <w:proofErr w:type="spellStart"/>
      <w:r w:rsidRPr="00172374">
        <w:t>Urde</w:t>
      </w:r>
      <w:proofErr w:type="spellEnd"/>
      <w:r w:rsidRPr="00172374">
        <w:t xml:space="preserve">, M. (2019). What does your corporate brand stand for? </w:t>
      </w:r>
      <w:r w:rsidRPr="00172374">
        <w:rPr>
          <w:i/>
        </w:rPr>
        <w:t>Harvard Business Review, 97</w:t>
      </w:r>
      <w:r w:rsidRPr="00172374">
        <w:rPr>
          <w:iCs/>
        </w:rPr>
        <w:t>(1),</w:t>
      </w:r>
      <w:r w:rsidRPr="00172374">
        <w:t xml:space="preserve"> 80–88.</w:t>
      </w:r>
    </w:p>
    <w:p w14:paraId="17263C8C" w14:textId="77777777" w:rsidR="00DB468D" w:rsidRPr="00172374" w:rsidRDefault="00DB468D" w:rsidP="009D0C89">
      <w:pPr>
        <w:tabs>
          <w:tab w:val="left" w:pos="-284"/>
        </w:tabs>
        <w:spacing w:after="240" w:line="360" w:lineRule="auto"/>
        <w:ind w:left="426" w:hanging="426"/>
        <w:rPr>
          <w:lang w:eastAsia="el-GR"/>
        </w:rPr>
      </w:pPr>
      <w:proofErr w:type="spellStart"/>
      <w:r w:rsidRPr="00172374">
        <w:rPr>
          <w:lang w:eastAsia="el-GR"/>
        </w:rPr>
        <w:t>Gromark</w:t>
      </w:r>
      <w:proofErr w:type="spellEnd"/>
      <w:r w:rsidRPr="00172374">
        <w:rPr>
          <w:lang w:eastAsia="el-GR"/>
        </w:rPr>
        <w:t xml:space="preserve"> J., &amp; </w:t>
      </w:r>
      <w:proofErr w:type="spellStart"/>
      <w:r w:rsidRPr="00172374">
        <w:rPr>
          <w:lang w:eastAsia="el-GR"/>
        </w:rPr>
        <w:t>Melin</w:t>
      </w:r>
      <w:proofErr w:type="spellEnd"/>
      <w:r w:rsidRPr="00172374">
        <w:rPr>
          <w:lang w:eastAsia="el-GR"/>
        </w:rPr>
        <w:t xml:space="preserve">, F. (2011). The underlying dimensions of brand orientation and its impact on financial performance. </w:t>
      </w:r>
      <w:r w:rsidRPr="00172374">
        <w:rPr>
          <w:i/>
          <w:lang w:eastAsia="el-GR"/>
        </w:rPr>
        <w:t>Journal of Brand Management, 18</w:t>
      </w:r>
      <w:r w:rsidRPr="00172374">
        <w:rPr>
          <w:iCs/>
          <w:lang w:eastAsia="el-GR"/>
        </w:rPr>
        <w:t>(6),</w:t>
      </w:r>
      <w:r w:rsidRPr="00172374">
        <w:rPr>
          <w:lang w:eastAsia="el-GR"/>
        </w:rPr>
        <w:t xml:space="preserve"> 394–410.</w:t>
      </w:r>
    </w:p>
    <w:p w14:paraId="30ED74DE" w14:textId="77777777" w:rsidR="00DB468D" w:rsidRPr="00172374" w:rsidRDefault="00DB468D" w:rsidP="009D0C89">
      <w:pPr>
        <w:pStyle w:val="a3"/>
        <w:spacing w:after="240" w:line="288" w:lineRule="auto"/>
        <w:ind w:left="426" w:hanging="426"/>
        <w:contextualSpacing w:val="0"/>
        <w:rPr>
          <w:rFonts w:ascii="Times New Roman" w:hAnsi="Times New Roman"/>
          <w:sz w:val="24"/>
          <w:szCs w:val="24"/>
          <w:lang w:val="en-US"/>
        </w:rPr>
      </w:pPr>
      <w:r w:rsidRPr="00172374">
        <w:rPr>
          <w:rFonts w:ascii="Times New Roman" w:hAnsi="Times New Roman"/>
          <w:sz w:val="24"/>
          <w:szCs w:val="24"/>
          <w:lang w:val="en-US"/>
        </w:rPr>
        <w:t xml:space="preserve">Gupta, S. &amp; Kumar, V. (2013). Sustainability as corporate culture of a brand for superior performance. </w:t>
      </w:r>
      <w:r w:rsidRPr="00172374">
        <w:rPr>
          <w:rFonts w:ascii="Times New Roman" w:hAnsi="Times New Roman"/>
          <w:i/>
          <w:iCs/>
          <w:sz w:val="24"/>
          <w:szCs w:val="24"/>
          <w:lang w:val="en-US"/>
        </w:rPr>
        <w:t>Journal of World Business, 48</w:t>
      </w:r>
      <w:r w:rsidRPr="00172374">
        <w:rPr>
          <w:rFonts w:ascii="Times New Roman" w:hAnsi="Times New Roman"/>
          <w:sz w:val="24"/>
          <w:szCs w:val="24"/>
          <w:lang w:val="en-US"/>
        </w:rPr>
        <w:t>(3), 311</w:t>
      </w:r>
      <w:r w:rsidRPr="00172374">
        <w:rPr>
          <w:lang w:val="en-US"/>
        </w:rPr>
        <w:t>–</w:t>
      </w:r>
      <w:r w:rsidRPr="00172374">
        <w:rPr>
          <w:rFonts w:ascii="Times New Roman" w:hAnsi="Times New Roman"/>
          <w:sz w:val="24"/>
          <w:szCs w:val="24"/>
          <w:lang w:val="en-US"/>
        </w:rPr>
        <w:t xml:space="preserve">320. </w:t>
      </w:r>
    </w:p>
    <w:p w14:paraId="20A9305B" w14:textId="77777777" w:rsidR="00DB468D" w:rsidRPr="00172374" w:rsidRDefault="00DB468D" w:rsidP="009D0C89">
      <w:pPr>
        <w:spacing w:after="240" w:line="360" w:lineRule="auto"/>
        <w:ind w:left="426" w:hanging="426"/>
      </w:pPr>
      <w:r w:rsidRPr="00172374">
        <w:t xml:space="preserve">Hair, J. F., Black, W. C., </w:t>
      </w:r>
      <w:proofErr w:type="spellStart"/>
      <w:r w:rsidRPr="00172374">
        <w:t>Babin</w:t>
      </w:r>
      <w:proofErr w:type="spellEnd"/>
      <w:r w:rsidRPr="00172374">
        <w:t xml:space="preserve">, B. J., &amp; Anderson, R. E. (2014). </w:t>
      </w:r>
      <w:r w:rsidRPr="00172374">
        <w:rPr>
          <w:i/>
        </w:rPr>
        <w:t>Multivariate data analysis</w:t>
      </w:r>
      <w:r w:rsidRPr="00172374">
        <w:t>. London: Pearson Education.</w:t>
      </w:r>
    </w:p>
    <w:p w14:paraId="15B0E662"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Hankinson, G. (2012). The measurement of brand orientation, its performance impact, and the role of leadership in the context of destination branding: An exploratory study. </w:t>
      </w:r>
      <w:r w:rsidRPr="00172374">
        <w:rPr>
          <w:i/>
          <w:lang w:eastAsia="el-GR"/>
        </w:rPr>
        <w:t>Journal of Marketing Management</w:t>
      </w:r>
      <w:r w:rsidRPr="00172374">
        <w:rPr>
          <w:lang w:eastAsia="el-GR"/>
        </w:rPr>
        <w:t xml:space="preserve">, </w:t>
      </w:r>
      <w:r w:rsidRPr="00172374">
        <w:rPr>
          <w:i/>
          <w:lang w:eastAsia="el-GR"/>
        </w:rPr>
        <w:t>28</w:t>
      </w:r>
      <w:r w:rsidRPr="00172374">
        <w:rPr>
          <w:iCs/>
          <w:lang w:eastAsia="el-GR"/>
        </w:rPr>
        <w:t>(7/8),</w:t>
      </w:r>
      <w:r w:rsidRPr="00172374">
        <w:rPr>
          <w:lang w:eastAsia="el-GR"/>
        </w:rPr>
        <w:t xml:space="preserve"> 974–999.</w:t>
      </w:r>
    </w:p>
    <w:p w14:paraId="3E82F07A" w14:textId="77777777" w:rsidR="00DB468D" w:rsidRPr="00172374" w:rsidRDefault="00DB468D" w:rsidP="009D0C89">
      <w:pPr>
        <w:tabs>
          <w:tab w:val="left" w:pos="-284"/>
          <w:tab w:val="left" w:pos="567"/>
        </w:tabs>
        <w:spacing w:after="240"/>
        <w:ind w:left="426" w:hanging="426"/>
        <w:rPr>
          <w:lang w:eastAsia="el-GR"/>
        </w:rPr>
      </w:pPr>
      <w:r w:rsidRPr="00172374">
        <w:rPr>
          <w:lang w:eastAsia="el-GR"/>
        </w:rPr>
        <w:t xml:space="preserve">Hankinson, P. (2001). Brand Orientation in the charity sector: a framework for discussion and research. </w:t>
      </w:r>
      <w:r w:rsidRPr="00172374">
        <w:rPr>
          <w:i/>
          <w:lang w:eastAsia="el-GR"/>
        </w:rPr>
        <w:t xml:space="preserve">International Journal of Nonprofit and Voluntary Sector Marketing, </w:t>
      </w:r>
      <w:r w:rsidRPr="00172374">
        <w:rPr>
          <w:i/>
          <w:iCs/>
          <w:lang w:eastAsia="el-GR"/>
        </w:rPr>
        <w:t>6</w:t>
      </w:r>
      <w:r w:rsidRPr="00172374">
        <w:rPr>
          <w:lang w:eastAsia="el-GR"/>
        </w:rPr>
        <w:t>(3), 231–242.</w:t>
      </w:r>
    </w:p>
    <w:p w14:paraId="40505EF9"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Hayes, A. F. (2009). </w:t>
      </w:r>
      <w:hyperlink r:id="rId11" w:history="1">
        <w:r w:rsidRPr="00172374">
          <w:rPr>
            <w:lang w:eastAsia="el-GR"/>
          </w:rPr>
          <w:t>Beyond Baron and Kenny: Statistical mediation analysis in the new millennium</w:t>
        </w:r>
      </w:hyperlink>
      <w:r w:rsidRPr="00172374">
        <w:rPr>
          <w:lang w:eastAsia="el-GR"/>
        </w:rPr>
        <w:t xml:space="preserve">. </w:t>
      </w:r>
      <w:r w:rsidRPr="00172374">
        <w:rPr>
          <w:i/>
          <w:lang w:eastAsia="el-GR"/>
        </w:rPr>
        <w:t>Communication Monographs</w:t>
      </w:r>
      <w:r w:rsidRPr="00172374">
        <w:rPr>
          <w:lang w:eastAsia="el-GR"/>
        </w:rPr>
        <w:t xml:space="preserve">, </w:t>
      </w:r>
      <w:r w:rsidRPr="00172374">
        <w:rPr>
          <w:i/>
          <w:lang w:eastAsia="el-GR"/>
        </w:rPr>
        <w:t>76</w:t>
      </w:r>
      <w:r w:rsidRPr="00172374">
        <w:rPr>
          <w:iCs/>
          <w:lang w:eastAsia="el-GR"/>
        </w:rPr>
        <w:t>(4),</w:t>
      </w:r>
      <w:r w:rsidRPr="00172374">
        <w:rPr>
          <w:lang w:eastAsia="el-GR"/>
        </w:rPr>
        <w:t xml:space="preserve"> 408–420.</w:t>
      </w:r>
    </w:p>
    <w:p w14:paraId="66584A73" w14:textId="77777777" w:rsidR="00DB468D" w:rsidRPr="00172374" w:rsidRDefault="00DB468D" w:rsidP="009D0C89">
      <w:pPr>
        <w:tabs>
          <w:tab w:val="left" w:pos="-284"/>
        </w:tabs>
        <w:spacing w:after="240" w:line="360" w:lineRule="auto"/>
        <w:ind w:left="426" w:hanging="426"/>
        <w:rPr>
          <w:spacing w:val="-6"/>
          <w:lang w:eastAsia="el-GR"/>
        </w:rPr>
      </w:pPr>
      <w:r w:rsidRPr="00172374">
        <w:rPr>
          <w:spacing w:val="-6"/>
          <w:lang w:eastAsia="el-GR"/>
        </w:rPr>
        <w:lastRenderedPageBreak/>
        <w:t xml:space="preserve">Haynes, S., Richard, D. C., &amp; </w:t>
      </w:r>
      <w:proofErr w:type="spellStart"/>
      <w:r w:rsidRPr="00172374">
        <w:rPr>
          <w:spacing w:val="-6"/>
          <w:lang w:eastAsia="el-GR"/>
        </w:rPr>
        <w:t>Kubany</w:t>
      </w:r>
      <w:proofErr w:type="spellEnd"/>
      <w:r w:rsidRPr="00172374">
        <w:rPr>
          <w:spacing w:val="-6"/>
          <w:lang w:eastAsia="el-GR"/>
        </w:rPr>
        <w:t xml:space="preserve">, E. S. (1995). Content validity in psychological assessment: A functional approach to concepts and methods. </w:t>
      </w:r>
      <w:r w:rsidRPr="00172374">
        <w:rPr>
          <w:i/>
          <w:spacing w:val="-6"/>
          <w:lang w:eastAsia="el-GR"/>
        </w:rPr>
        <w:t>Psychological Assessment</w:t>
      </w:r>
      <w:r w:rsidRPr="00172374">
        <w:rPr>
          <w:spacing w:val="-6"/>
          <w:lang w:eastAsia="el-GR"/>
        </w:rPr>
        <w:t xml:space="preserve">, </w:t>
      </w:r>
      <w:r w:rsidRPr="00172374">
        <w:rPr>
          <w:i/>
          <w:spacing w:val="-6"/>
          <w:lang w:eastAsia="el-GR"/>
        </w:rPr>
        <w:t>7</w:t>
      </w:r>
      <w:r w:rsidRPr="00172374">
        <w:rPr>
          <w:iCs/>
          <w:spacing w:val="-6"/>
          <w:lang w:eastAsia="el-GR"/>
        </w:rPr>
        <w:t>(3),</w:t>
      </w:r>
      <w:r w:rsidRPr="00172374">
        <w:rPr>
          <w:spacing w:val="-6"/>
          <w:lang w:eastAsia="el-GR"/>
        </w:rPr>
        <w:t xml:space="preserve"> 238–247.</w:t>
      </w:r>
    </w:p>
    <w:p w14:paraId="642D0F5E"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Homburg, C., </w:t>
      </w:r>
      <w:r w:rsidRPr="00172374">
        <w:t>&amp;</w:t>
      </w:r>
      <w:r w:rsidRPr="00172374">
        <w:rPr>
          <w:lang w:eastAsia="el-GR"/>
        </w:rPr>
        <w:t xml:space="preserve"> </w:t>
      </w:r>
      <w:proofErr w:type="spellStart"/>
      <w:r w:rsidRPr="00172374">
        <w:rPr>
          <w:lang w:eastAsia="el-GR"/>
        </w:rPr>
        <w:t>Pflesser</w:t>
      </w:r>
      <w:proofErr w:type="spellEnd"/>
      <w:r w:rsidRPr="00172374">
        <w:rPr>
          <w:lang w:eastAsia="el-GR"/>
        </w:rPr>
        <w:t xml:space="preserve">, C. (2000). A multiple-layer model of market-oriented organizational culture: measurement issues and performance outcomes. </w:t>
      </w:r>
      <w:r w:rsidRPr="00172374">
        <w:rPr>
          <w:i/>
          <w:lang w:eastAsia="el-GR"/>
        </w:rPr>
        <w:t>Journal of Marketing Research</w:t>
      </w:r>
      <w:r w:rsidRPr="00172374">
        <w:rPr>
          <w:lang w:eastAsia="el-GR"/>
        </w:rPr>
        <w:t xml:space="preserve">, </w:t>
      </w:r>
      <w:r w:rsidRPr="00172374">
        <w:rPr>
          <w:i/>
          <w:lang w:eastAsia="el-GR"/>
        </w:rPr>
        <w:t>37</w:t>
      </w:r>
      <w:r w:rsidRPr="00172374">
        <w:rPr>
          <w:iCs/>
          <w:lang w:eastAsia="el-GR"/>
        </w:rPr>
        <w:t>(4),</w:t>
      </w:r>
      <w:r w:rsidRPr="00172374">
        <w:rPr>
          <w:lang w:eastAsia="el-GR"/>
        </w:rPr>
        <w:t xml:space="preserve"> 449</w:t>
      </w:r>
      <w:r w:rsidRPr="00172374">
        <w:t>–</w:t>
      </w:r>
      <w:r w:rsidRPr="00172374">
        <w:rPr>
          <w:lang w:eastAsia="el-GR"/>
        </w:rPr>
        <w:t>462.</w:t>
      </w:r>
    </w:p>
    <w:p w14:paraId="2FB37113" w14:textId="77777777" w:rsidR="00DB468D" w:rsidRPr="00172374" w:rsidRDefault="00DB468D" w:rsidP="009D0C89">
      <w:pPr>
        <w:tabs>
          <w:tab w:val="left" w:pos="-284"/>
        </w:tabs>
        <w:spacing w:after="240" w:line="360" w:lineRule="auto"/>
        <w:ind w:left="426" w:hanging="426"/>
        <w:rPr>
          <w:lang w:eastAsia="el-GR"/>
        </w:rPr>
      </w:pPr>
      <w:r w:rsidRPr="00172374">
        <w:rPr>
          <w:lang w:eastAsia="el-GR"/>
        </w:rPr>
        <w:t xml:space="preserve">Huang, Y., &amp; Tsai, Y., (2013), Antecedents and consequences of brand-oriented companies. </w:t>
      </w:r>
      <w:r w:rsidRPr="00172374">
        <w:rPr>
          <w:i/>
          <w:lang w:eastAsia="el-GR"/>
        </w:rPr>
        <w:t>European Journal of Marketing</w:t>
      </w:r>
      <w:r w:rsidRPr="00172374">
        <w:rPr>
          <w:lang w:eastAsia="el-GR"/>
        </w:rPr>
        <w:t xml:space="preserve">, </w:t>
      </w:r>
      <w:r w:rsidRPr="00172374">
        <w:rPr>
          <w:i/>
          <w:lang w:eastAsia="el-GR"/>
        </w:rPr>
        <w:t>47</w:t>
      </w:r>
      <w:r w:rsidRPr="00172374">
        <w:rPr>
          <w:iCs/>
          <w:lang w:eastAsia="el-GR"/>
        </w:rPr>
        <w:t>(11/12),</w:t>
      </w:r>
      <w:r w:rsidRPr="00172374">
        <w:rPr>
          <w:lang w:eastAsia="el-GR"/>
        </w:rPr>
        <w:t xml:space="preserve"> 2020–2041.</w:t>
      </w:r>
    </w:p>
    <w:p w14:paraId="1205BD46" w14:textId="77777777" w:rsidR="00DB468D" w:rsidRPr="00172374" w:rsidRDefault="00DB468D" w:rsidP="009D0C89">
      <w:pPr>
        <w:tabs>
          <w:tab w:val="left" w:pos="-284"/>
        </w:tabs>
        <w:spacing w:after="240" w:line="360" w:lineRule="auto"/>
        <w:ind w:left="426" w:hanging="426"/>
        <w:rPr>
          <w:lang w:eastAsia="el-GR"/>
        </w:rPr>
      </w:pPr>
      <w:proofErr w:type="spellStart"/>
      <w:r w:rsidRPr="00172374">
        <w:rPr>
          <w:lang w:eastAsia="el-GR"/>
        </w:rPr>
        <w:t>Iacobucci</w:t>
      </w:r>
      <w:proofErr w:type="spellEnd"/>
      <w:r w:rsidRPr="00172374">
        <w:rPr>
          <w:lang w:eastAsia="el-GR"/>
        </w:rPr>
        <w:t xml:space="preserve">, D., Ostrom, A., &amp; Grayson, K. (1995). Distinguishing service quality and customer satisfaction: The voice of the consumer. </w:t>
      </w:r>
      <w:r w:rsidRPr="00172374">
        <w:rPr>
          <w:i/>
          <w:lang w:eastAsia="el-GR"/>
        </w:rPr>
        <w:t>Journal of Consumer Psychology</w:t>
      </w:r>
      <w:r w:rsidRPr="00172374">
        <w:rPr>
          <w:lang w:eastAsia="el-GR"/>
        </w:rPr>
        <w:t xml:space="preserve">, </w:t>
      </w:r>
      <w:r w:rsidRPr="00172374">
        <w:rPr>
          <w:i/>
          <w:lang w:eastAsia="el-GR"/>
        </w:rPr>
        <w:t>4</w:t>
      </w:r>
      <w:r w:rsidRPr="00172374">
        <w:rPr>
          <w:iCs/>
          <w:lang w:eastAsia="el-GR"/>
        </w:rPr>
        <w:t>(3),</w:t>
      </w:r>
      <w:r w:rsidRPr="00172374">
        <w:rPr>
          <w:lang w:eastAsia="el-GR"/>
        </w:rPr>
        <w:t xml:space="preserve"> 277</w:t>
      </w:r>
      <w:r w:rsidRPr="00172374">
        <w:t>–</w:t>
      </w:r>
      <w:r w:rsidRPr="00172374">
        <w:rPr>
          <w:lang w:eastAsia="el-GR"/>
        </w:rPr>
        <w:t>303.</w:t>
      </w:r>
    </w:p>
    <w:p w14:paraId="013AD1F8" w14:textId="77777777" w:rsidR="00DB468D" w:rsidRPr="00172374" w:rsidRDefault="00DB468D" w:rsidP="009D0C89">
      <w:pPr>
        <w:spacing w:after="240" w:line="360" w:lineRule="auto"/>
        <w:ind w:left="426" w:hanging="426"/>
      </w:pPr>
      <w:r w:rsidRPr="00172374">
        <w:t xml:space="preserve">Interbrand (2020). Best Global Brands 2019 Rankings. Retrieved February 19, 2020, from </w:t>
      </w:r>
      <w:hyperlink r:id="rId12" w:history="1">
        <w:r w:rsidRPr="00172374">
          <w:rPr>
            <w:rStyle w:val="-"/>
            <w:color w:val="000000" w:themeColor="text1"/>
            <w:u w:val="none"/>
          </w:rPr>
          <w:t>https://www.interbrand.com/best-brands/best-global-brands/2019/ranking/</w:t>
        </w:r>
      </w:hyperlink>
      <w:r w:rsidRPr="00172374">
        <w:t>.</w:t>
      </w:r>
    </w:p>
    <w:p w14:paraId="4895B8A9" w14:textId="77777777" w:rsidR="00DB468D" w:rsidRPr="00172374" w:rsidRDefault="00DB468D" w:rsidP="009D0C89">
      <w:pPr>
        <w:spacing w:after="240" w:line="360" w:lineRule="auto"/>
        <w:ind w:left="426" w:hanging="426"/>
        <w:rPr>
          <w:rFonts w:eastAsia="Times New Roman"/>
        </w:rPr>
      </w:pPr>
      <w:r w:rsidRPr="00172374">
        <w:rPr>
          <w:rFonts w:eastAsia="Times New Roman"/>
          <w:shd w:val="clear" w:color="auto" w:fill="FFFFFF"/>
        </w:rPr>
        <w:t xml:space="preserve">Islam, M. T., &amp; Polonsky, M. J. (2020). Validating scales for economic upgrading in global value chains and assessing the impact of upgrading on supplier firms’ performance. </w:t>
      </w:r>
      <w:r w:rsidRPr="00172374">
        <w:rPr>
          <w:rFonts w:eastAsia="Times New Roman"/>
          <w:i/>
          <w:iCs/>
        </w:rPr>
        <w:t>Journal of Business Research</w:t>
      </w:r>
      <w:r w:rsidRPr="00172374">
        <w:rPr>
          <w:rFonts w:eastAsia="Times New Roman"/>
          <w:shd w:val="clear" w:color="auto" w:fill="FFFFFF"/>
        </w:rPr>
        <w:t>, </w:t>
      </w:r>
      <w:r w:rsidRPr="00172374">
        <w:rPr>
          <w:rFonts w:eastAsia="Times New Roman"/>
          <w:i/>
          <w:iCs/>
        </w:rPr>
        <w:t>110</w:t>
      </w:r>
      <w:r w:rsidRPr="00172374">
        <w:rPr>
          <w:rFonts w:eastAsia="Times New Roman"/>
          <w:shd w:val="clear" w:color="auto" w:fill="FFFFFF"/>
        </w:rPr>
        <w:t>, 144</w:t>
      </w:r>
      <w:r w:rsidRPr="00172374">
        <w:rPr>
          <w:rFonts w:eastAsia="Times New Roman"/>
          <w:szCs w:val="20"/>
          <w:shd w:val="clear" w:color="auto" w:fill="FFFFFF"/>
        </w:rPr>
        <w:t>–</w:t>
      </w:r>
      <w:r w:rsidRPr="00172374">
        <w:rPr>
          <w:rFonts w:eastAsia="Times New Roman"/>
          <w:shd w:val="clear" w:color="auto" w:fill="FFFFFF"/>
        </w:rPr>
        <w:t>159.</w:t>
      </w:r>
    </w:p>
    <w:p w14:paraId="32DA139F" w14:textId="77777777" w:rsidR="00DB468D" w:rsidRPr="00172374" w:rsidRDefault="00DB468D" w:rsidP="009D0C89">
      <w:pPr>
        <w:spacing w:after="240" w:line="360" w:lineRule="auto"/>
        <w:ind w:left="426" w:hanging="426"/>
      </w:pPr>
      <w:r w:rsidRPr="00172374">
        <w:t xml:space="preserve">Johnson, R. E., Rosen, C. C., &amp; Chang, C. H. (2011). To aggregate or not to aggregate: Steps for developing and validating higher-order multidimensional constructs. </w:t>
      </w:r>
      <w:r w:rsidRPr="00172374">
        <w:rPr>
          <w:i/>
          <w:iCs/>
        </w:rPr>
        <w:t>Journal of Business and Psychology, 26</w:t>
      </w:r>
      <w:r w:rsidRPr="00172374">
        <w:t>(3), 241–248.</w:t>
      </w:r>
    </w:p>
    <w:p w14:paraId="732F9319" w14:textId="77777777" w:rsidR="00DB468D" w:rsidRPr="00172374" w:rsidRDefault="00DB468D" w:rsidP="009D0C89">
      <w:pPr>
        <w:spacing w:after="240" w:line="360" w:lineRule="auto"/>
        <w:ind w:left="426" w:hanging="426"/>
      </w:pPr>
      <w:r w:rsidRPr="00172374">
        <w:t xml:space="preserve">Johnson, R. E., Rosen, C. C., </w:t>
      </w:r>
      <w:proofErr w:type="spellStart"/>
      <w:r w:rsidRPr="00172374">
        <w:t>Djurdjevic</w:t>
      </w:r>
      <w:proofErr w:type="spellEnd"/>
      <w:r w:rsidRPr="00172374">
        <w:t xml:space="preserve">, E., &amp; </w:t>
      </w:r>
      <w:proofErr w:type="spellStart"/>
      <w:r w:rsidRPr="00172374">
        <w:t>Taing</w:t>
      </w:r>
      <w:proofErr w:type="spellEnd"/>
      <w:r w:rsidRPr="00172374">
        <w:t xml:space="preserve">, M. U. (2012). Recommendations for improving the construct clarity of higher-order multidimensional constructs. </w:t>
      </w:r>
      <w:r w:rsidRPr="00172374">
        <w:rPr>
          <w:i/>
          <w:iCs/>
        </w:rPr>
        <w:t>Human Resource Management Review, 22</w:t>
      </w:r>
      <w:r w:rsidRPr="00172374">
        <w:t>(2), 62–72.</w:t>
      </w:r>
    </w:p>
    <w:p w14:paraId="032B2C35" w14:textId="77777777" w:rsidR="00DB468D" w:rsidRPr="00172374" w:rsidRDefault="00DB468D" w:rsidP="009D0C89">
      <w:pPr>
        <w:spacing w:after="240" w:line="360" w:lineRule="auto"/>
        <w:ind w:left="426" w:hanging="426"/>
        <w:rPr>
          <w:rFonts w:eastAsia="Times New Roman"/>
          <w:szCs w:val="20"/>
          <w:shd w:val="clear" w:color="auto" w:fill="FFFFFF"/>
        </w:rPr>
      </w:pPr>
      <w:proofErr w:type="spellStart"/>
      <w:r w:rsidRPr="00172374">
        <w:rPr>
          <w:rFonts w:eastAsia="Times New Roman"/>
          <w:szCs w:val="20"/>
          <w:shd w:val="clear" w:color="auto" w:fill="FFFFFF"/>
        </w:rPr>
        <w:t>Kassarjian</w:t>
      </w:r>
      <w:proofErr w:type="spellEnd"/>
      <w:r w:rsidRPr="00172374">
        <w:rPr>
          <w:rFonts w:eastAsia="Times New Roman"/>
          <w:szCs w:val="20"/>
          <w:shd w:val="clear" w:color="auto" w:fill="FFFFFF"/>
        </w:rPr>
        <w:t xml:space="preserve">, H. H. (1977). Content analysis in consumer research. </w:t>
      </w:r>
      <w:r w:rsidRPr="00172374">
        <w:rPr>
          <w:rFonts w:eastAsia="Times New Roman"/>
          <w:i/>
          <w:szCs w:val="20"/>
          <w:shd w:val="clear" w:color="auto" w:fill="FFFFFF"/>
        </w:rPr>
        <w:t>Journal of Consumer Research, 4</w:t>
      </w:r>
      <w:r w:rsidRPr="00172374">
        <w:rPr>
          <w:rFonts w:eastAsia="Times New Roman"/>
          <w:iCs/>
          <w:szCs w:val="20"/>
          <w:shd w:val="clear" w:color="auto" w:fill="FFFFFF"/>
        </w:rPr>
        <w:t>(1),</w:t>
      </w:r>
      <w:r w:rsidRPr="00172374">
        <w:rPr>
          <w:rFonts w:eastAsia="Times New Roman"/>
          <w:szCs w:val="20"/>
          <w:shd w:val="clear" w:color="auto" w:fill="FFFFFF"/>
        </w:rPr>
        <w:t xml:space="preserve"> 8–18</w:t>
      </w:r>
    </w:p>
    <w:p w14:paraId="2A4BA620" w14:textId="77777777" w:rsidR="00DB468D" w:rsidRPr="00172374" w:rsidRDefault="00DB468D" w:rsidP="009D0C89">
      <w:pPr>
        <w:tabs>
          <w:tab w:val="left" w:pos="284"/>
        </w:tabs>
        <w:spacing w:after="240" w:line="360" w:lineRule="auto"/>
        <w:ind w:left="426" w:hanging="426"/>
      </w:pPr>
      <w:r w:rsidRPr="00172374">
        <w:t xml:space="preserve">Keller, K. L. (2000). The brand report card. </w:t>
      </w:r>
      <w:r w:rsidRPr="00172374">
        <w:rPr>
          <w:i/>
        </w:rPr>
        <w:t>Harvard Business Review,</w:t>
      </w:r>
      <w:r w:rsidRPr="00172374">
        <w:t xml:space="preserve"> </w:t>
      </w:r>
      <w:r w:rsidRPr="00172374">
        <w:rPr>
          <w:i/>
        </w:rPr>
        <w:t>78</w:t>
      </w:r>
      <w:r w:rsidRPr="00172374">
        <w:rPr>
          <w:iCs/>
        </w:rPr>
        <w:t>(1),</w:t>
      </w:r>
      <w:r w:rsidRPr="00172374">
        <w:t xml:space="preserve"> 147–157. </w:t>
      </w:r>
    </w:p>
    <w:p w14:paraId="3330EE4C" w14:textId="77777777" w:rsidR="00DB468D" w:rsidRPr="00172374" w:rsidRDefault="00DB468D" w:rsidP="009D0C89">
      <w:pPr>
        <w:tabs>
          <w:tab w:val="left" w:pos="-284"/>
        </w:tabs>
        <w:spacing w:after="240" w:line="360" w:lineRule="auto"/>
        <w:ind w:left="426" w:hanging="426"/>
      </w:pPr>
      <w:r w:rsidRPr="00172374">
        <w:t xml:space="preserve">Keller, K. L. (2008). </w:t>
      </w:r>
      <w:r w:rsidRPr="00172374">
        <w:rPr>
          <w:i/>
        </w:rPr>
        <w:t>Strategic brand management:</w:t>
      </w:r>
      <w:r w:rsidRPr="00172374">
        <w:rPr>
          <w:i/>
          <w:lang w:val="en-GB"/>
        </w:rPr>
        <w:t xml:space="preserve"> </w:t>
      </w:r>
      <w:r w:rsidRPr="00172374">
        <w:rPr>
          <w:i/>
        </w:rPr>
        <w:t>Building, measuring, and managing brand equity</w:t>
      </w:r>
      <w:r w:rsidRPr="00172374">
        <w:t>. New York: Pearson Prentice Hall.</w:t>
      </w:r>
    </w:p>
    <w:p w14:paraId="7732ADD3" w14:textId="77777777" w:rsidR="00DB468D" w:rsidRPr="00172374" w:rsidRDefault="00DB468D" w:rsidP="009D0C89">
      <w:pPr>
        <w:tabs>
          <w:tab w:val="left" w:pos="284"/>
        </w:tabs>
        <w:spacing w:after="240" w:line="360" w:lineRule="auto"/>
        <w:ind w:left="426" w:hanging="426"/>
      </w:pPr>
      <w:r w:rsidRPr="00172374">
        <w:rPr>
          <w:lang w:val="sv-SE"/>
        </w:rPr>
        <w:lastRenderedPageBreak/>
        <w:t xml:space="preserve">Keller, K. L., </w:t>
      </w:r>
      <w:r w:rsidRPr="00172374">
        <w:t>&amp;</w:t>
      </w:r>
      <w:r w:rsidRPr="00172374">
        <w:rPr>
          <w:lang w:val="sv-SE"/>
        </w:rPr>
        <w:t xml:space="preserve"> Lehmann, D. R. (2006). </w:t>
      </w:r>
      <w:r w:rsidRPr="00172374">
        <w:t xml:space="preserve">Brands and branding: Research findings and future priorities. </w:t>
      </w:r>
      <w:r w:rsidRPr="00172374">
        <w:rPr>
          <w:i/>
        </w:rPr>
        <w:t>Marketing Science,</w:t>
      </w:r>
      <w:r w:rsidRPr="00172374">
        <w:t xml:space="preserve"> </w:t>
      </w:r>
      <w:r w:rsidRPr="00172374">
        <w:rPr>
          <w:i/>
        </w:rPr>
        <w:t>25</w:t>
      </w:r>
      <w:r w:rsidRPr="00172374">
        <w:rPr>
          <w:iCs/>
        </w:rPr>
        <w:t>(6),</w:t>
      </w:r>
      <w:r w:rsidRPr="00172374">
        <w:t xml:space="preserve"> 740–759.</w:t>
      </w:r>
    </w:p>
    <w:p w14:paraId="6E437E25" w14:textId="77777777" w:rsidR="00DB468D" w:rsidRPr="00172374" w:rsidRDefault="00DB468D" w:rsidP="009D0C89">
      <w:pPr>
        <w:tabs>
          <w:tab w:val="left" w:pos="-284"/>
        </w:tabs>
        <w:spacing w:after="240" w:line="288" w:lineRule="auto"/>
        <w:ind w:left="426" w:hanging="426"/>
      </w:pPr>
      <w:r w:rsidRPr="00172374">
        <w:t xml:space="preserve">Keller, K., </w:t>
      </w:r>
      <w:proofErr w:type="spellStart"/>
      <w:r w:rsidRPr="00172374">
        <w:t>Sternthal</w:t>
      </w:r>
      <w:proofErr w:type="spellEnd"/>
      <w:r w:rsidRPr="00172374">
        <w:t xml:space="preserve">, B., &amp; </w:t>
      </w:r>
      <w:proofErr w:type="spellStart"/>
      <w:r w:rsidRPr="00172374">
        <w:t>Tybout</w:t>
      </w:r>
      <w:proofErr w:type="spellEnd"/>
      <w:r w:rsidRPr="00172374">
        <w:t xml:space="preserve">, A. (2002). Three questions you need to ask about your brand. </w:t>
      </w:r>
      <w:r w:rsidRPr="00172374">
        <w:rPr>
          <w:i/>
        </w:rPr>
        <w:t>Harvard Business Review,</w:t>
      </w:r>
      <w:r w:rsidRPr="00172374">
        <w:t xml:space="preserve"> </w:t>
      </w:r>
      <w:r w:rsidRPr="00172374">
        <w:rPr>
          <w:i/>
          <w:iCs/>
        </w:rPr>
        <w:t>80</w:t>
      </w:r>
      <w:r w:rsidRPr="00172374">
        <w:t>(9), 80–89.</w:t>
      </w:r>
    </w:p>
    <w:p w14:paraId="2E4B5372" w14:textId="77777777" w:rsidR="00DB468D" w:rsidRPr="00172374" w:rsidRDefault="00DB468D" w:rsidP="009D0C89">
      <w:pPr>
        <w:spacing w:after="240" w:line="360" w:lineRule="auto"/>
        <w:ind w:left="426" w:hanging="426"/>
        <w:rPr>
          <w:rFonts w:eastAsia="Times New Roman"/>
          <w:szCs w:val="20"/>
          <w:shd w:val="clear" w:color="auto" w:fill="FFFFFF"/>
        </w:rPr>
      </w:pPr>
      <w:r w:rsidRPr="00172374">
        <w:rPr>
          <w:rFonts w:eastAsia="Times New Roman"/>
          <w:szCs w:val="20"/>
          <w:shd w:val="clear" w:color="auto" w:fill="FFFFFF"/>
        </w:rPr>
        <w:t xml:space="preserve">Kenyon, J. A., </w:t>
      </w:r>
      <w:proofErr w:type="spellStart"/>
      <w:r w:rsidRPr="00172374">
        <w:rPr>
          <w:rFonts w:eastAsia="Times New Roman"/>
          <w:szCs w:val="20"/>
          <w:shd w:val="clear" w:color="auto" w:fill="FFFFFF"/>
        </w:rPr>
        <w:t>Manoli</w:t>
      </w:r>
      <w:proofErr w:type="spellEnd"/>
      <w:r w:rsidRPr="00172374">
        <w:rPr>
          <w:rFonts w:eastAsia="Times New Roman"/>
          <w:szCs w:val="20"/>
          <w:shd w:val="clear" w:color="auto" w:fill="FFFFFF"/>
        </w:rPr>
        <w:t xml:space="preserve">, A. E., &amp; </w:t>
      </w:r>
      <w:proofErr w:type="spellStart"/>
      <w:r w:rsidRPr="00172374">
        <w:rPr>
          <w:rFonts w:eastAsia="Times New Roman"/>
          <w:szCs w:val="20"/>
          <w:shd w:val="clear" w:color="auto" w:fill="FFFFFF"/>
        </w:rPr>
        <w:t>Bodet</w:t>
      </w:r>
      <w:proofErr w:type="spellEnd"/>
      <w:r w:rsidRPr="00172374">
        <w:rPr>
          <w:rFonts w:eastAsia="Times New Roman"/>
          <w:szCs w:val="20"/>
          <w:shd w:val="clear" w:color="auto" w:fill="FFFFFF"/>
        </w:rPr>
        <w:t>, G. (2018). Brand consistency and coherency at the London 2012 Olympic Games. </w:t>
      </w:r>
      <w:r w:rsidRPr="00172374">
        <w:rPr>
          <w:rFonts w:eastAsia="Times New Roman"/>
          <w:i/>
          <w:iCs/>
          <w:szCs w:val="20"/>
        </w:rPr>
        <w:t>Journal of Strategic Marketing</w:t>
      </w:r>
      <w:r w:rsidRPr="00172374">
        <w:rPr>
          <w:rFonts w:eastAsia="Times New Roman"/>
          <w:szCs w:val="20"/>
          <w:shd w:val="clear" w:color="auto" w:fill="FFFFFF"/>
        </w:rPr>
        <w:t>, </w:t>
      </w:r>
      <w:r w:rsidRPr="00172374">
        <w:rPr>
          <w:rFonts w:eastAsia="Times New Roman"/>
          <w:i/>
          <w:iCs/>
          <w:szCs w:val="20"/>
        </w:rPr>
        <w:t>26</w:t>
      </w:r>
      <w:r w:rsidRPr="00172374">
        <w:rPr>
          <w:rFonts w:eastAsia="Times New Roman"/>
          <w:szCs w:val="20"/>
          <w:shd w:val="clear" w:color="auto" w:fill="FFFFFF"/>
        </w:rPr>
        <w:t>(1), 6–18.</w:t>
      </w:r>
    </w:p>
    <w:p w14:paraId="43F645AC" w14:textId="77777777" w:rsidR="00DB468D" w:rsidRPr="00172374" w:rsidRDefault="00DB468D" w:rsidP="009D0C89">
      <w:pPr>
        <w:tabs>
          <w:tab w:val="left" w:pos="-284"/>
        </w:tabs>
        <w:spacing w:after="240" w:line="288" w:lineRule="auto"/>
        <w:ind w:left="426" w:hanging="426"/>
      </w:pPr>
      <w:r w:rsidRPr="00172374">
        <w:t xml:space="preserve">King, S. (1991). Brand Building in the 1990’s. </w:t>
      </w:r>
      <w:r w:rsidRPr="00172374">
        <w:rPr>
          <w:i/>
        </w:rPr>
        <w:t>Journal of Marketing Management,</w:t>
      </w:r>
      <w:r w:rsidRPr="00172374">
        <w:t xml:space="preserve"> </w:t>
      </w:r>
      <w:r w:rsidRPr="00172374">
        <w:rPr>
          <w:i/>
          <w:iCs/>
        </w:rPr>
        <w:t>7</w:t>
      </w:r>
      <w:r w:rsidRPr="00172374">
        <w:t>(1), 3–13.</w:t>
      </w:r>
    </w:p>
    <w:p w14:paraId="59DBAA94" w14:textId="77777777" w:rsidR="00DB468D" w:rsidRPr="00172374" w:rsidRDefault="00DB468D" w:rsidP="009D0C89">
      <w:pPr>
        <w:spacing w:after="240" w:line="360" w:lineRule="auto"/>
        <w:ind w:left="426" w:hanging="426"/>
      </w:pPr>
      <w:r w:rsidRPr="00172374">
        <w:t xml:space="preserve">Kinicki, A. J., Jacobson, K. J., Peterson, S. J., &amp; Prussia, G. E. (2013). Development and validation of the performance management behavior questionnaire. </w:t>
      </w:r>
      <w:r w:rsidRPr="00172374">
        <w:rPr>
          <w:i/>
          <w:iCs/>
        </w:rPr>
        <w:t>Personnel Psychology, 66</w:t>
      </w:r>
      <w:r w:rsidRPr="00172374">
        <w:t>(1), 1–45.</w:t>
      </w:r>
    </w:p>
    <w:p w14:paraId="5B2BDA76" w14:textId="77777777" w:rsidR="00DB468D" w:rsidRPr="00172374" w:rsidRDefault="00DB468D" w:rsidP="009D0C89">
      <w:pPr>
        <w:spacing w:after="240" w:line="360" w:lineRule="auto"/>
        <w:ind w:left="426" w:hanging="426"/>
      </w:pPr>
      <w:r w:rsidRPr="00172374">
        <w:t xml:space="preserve">Kohli, A. K. (1989). Determinants of influence in organizational buying: A contingency approach. </w:t>
      </w:r>
      <w:r w:rsidRPr="00172374">
        <w:rPr>
          <w:i/>
        </w:rPr>
        <w:t>Journal of Marketing</w:t>
      </w:r>
      <w:r w:rsidRPr="00172374">
        <w:rPr>
          <w:i/>
          <w:iCs/>
        </w:rPr>
        <w:t>, 53</w:t>
      </w:r>
      <w:r w:rsidRPr="00172374">
        <w:t>(3), 50</w:t>
      </w:r>
      <w:r w:rsidRPr="00172374">
        <w:rPr>
          <w:rFonts w:eastAsia="Times New Roman"/>
          <w:szCs w:val="20"/>
          <w:shd w:val="clear" w:color="auto" w:fill="FFFFFF"/>
        </w:rPr>
        <w:t>–</w:t>
      </w:r>
      <w:r w:rsidRPr="00172374">
        <w:t>65.</w:t>
      </w:r>
    </w:p>
    <w:p w14:paraId="3C68D3E2" w14:textId="77777777" w:rsidR="00DB468D" w:rsidRPr="00172374" w:rsidRDefault="00DB468D" w:rsidP="009D0C89">
      <w:pPr>
        <w:spacing w:after="240" w:line="360" w:lineRule="auto"/>
        <w:ind w:left="426" w:hanging="426"/>
        <w:jc w:val="both"/>
      </w:pPr>
      <w:proofErr w:type="spellStart"/>
      <w:r w:rsidRPr="00172374">
        <w:t>Krippendorff</w:t>
      </w:r>
      <w:proofErr w:type="spellEnd"/>
      <w:r w:rsidRPr="00172374">
        <w:t xml:space="preserve">, K. (1980). </w:t>
      </w:r>
      <w:r w:rsidRPr="00172374">
        <w:rPr>
          <w:i/>
          <w:iCs/>
        </w:rPr>
        <w:t>Content analysis: An introduction to its methodology</w:t>
      </w:r>
      <w:r w:rsidRPr="00172374">
        <w:t>. Beverly Hills: Sage.</w:t>
      </w:r>
    </w:p>
    <w:p w14:paraId="1C9557FA" w14:textId="77777777" w:rsidR="00DB468D" w:rsidRPr="00172374" w:rsidRDefault="00DB468D" w:rsidP="009D0C89">
      <w:pPr>
        <w:tabs>
          <w:tab w:val="left" w:pos="0"/>
          <w:tab w:val="left" w:pos="142"/>
        </w:tabs>
        <w:spacing w:after="240" w:line="360" w:lineRule="auto"/>
        <w:ind w:left="426" w:hanging="426"/>
      </w:pPr>
      <w:r w:rsidRPr="00172374">
        <w:rPr>
          <w:lang w:val="sv-SE"/>
        </w:rPr>
        <w:t xml:space="preserve">Landis, J. R., </w:t>
      </w:r>
      <w:r w:rsidRPr="00172374">
        <w:t xml:space="preserve">&amp; </w:t>
      </w:r>
      <w:r w:rsidRPr="00172374">
        <w:rPr>
          <w:lang w:val="sv-SE"/>
        </w:rPr>
        <w:t xml:space="preserve">Koch, G. G. (1977). </w:t>
      </w:r>
      <w:r w:rsidRPr="00172374">
        <w:t xml:space="preserve">The measurement of observer agreement for categorical data. </w:t>
      </w:r>
      <w:r w:rsidRPr="00172374">
        <w:rPr>
          <w:i/>
        </w:rPr>
        <w:t>Biometrics,</w:t>
      </w:r>
      <w:r w:rsidRPr="00172374">
        <w:t xml:space="preserve"> </w:t>
      </w:r>
      <w:r w:rsidRPr="00172374">
        <w:rPr>
          <w:i/>
        </w:rPr>
        <w:t>33</w:t>
      </w:r>
      <w:r w:rsidRPr="00172374">
        <w:rPr>
          <w:iCs/>
        </w:rPr>
        <w:t>(1)</w:t>
      </w:r>
      <w:r w:rsidRPr="00172374">
        <w:rPr>
          <w:i/>
        </w:rPr>
        <w:t>,</w:t>
      </w:r>
      <w:r w:rsidRPr="00172374">
        <w:t xml:space="preserve"> 159</w:t>
      </w:r>
      <w:r w:rsidRPr="00172374">
        <w:sym w:font="Symbol" w:char="F02D"/>
      </w:r>
      <w:r w:rsidRPr="00172374">
        <w:t xml:space="preserve">174. </w:t>
      </w:r>
    </w:p>
    <w:p w14:paraId="285CC140" w14:textId="77777777" w:rsidR="00DB468D" w:rsidRPr="00172374" w:rsidRDefault="00DB468D" w:rsidP="009D0C89">
      <w:pPr>
        <w:tabs>
          <w:tab w:val="left" w:pos="0"/>
          <w:tab w:val="left" w:pos="142"/>
        </w:tabs>
        <w:spacing w:after="240" w:line="360" w:lineRule="auto"/>
        <w:ind w:left="426" w:hanging="426"/>
      </w:pPr>
      <w:r w:rsidRPr="00172374">
        <w:t xml:space="preserve">Laukkanen, T., Tuominen, S., </w:t>
      </w:r>
      <w:proofErr w:type="spellStart"/>
      <w:r w:rsidRPr="00172374">
        <w:t>Reijonen</w:t>
      </w:r>
      <w:proofErr w:type="spellEnd"/>
      <w:r w:rsidRPr="00172374">
        <w:t xml:space="preserve">, H. &amp; </w:t>
      </w:r>
      <w:proofErr w:type="spellStart"/>
      <w:r w:rsidRPr="00172374">
        <w:t>Hirvonen</w:t>
      </w:r>
      <w:proofErr w:type="spellEnd"/>
      <w:r w:rsidRPr="00172374">
        <w:t xml:space="preserve">, S. (2016). Does market orientation pay off without brand orientation? A study of small business entrepreneurs. </w:t>
      </w:r>
      <w:r w:rsidRPr="00172374">
        <w:rPr>
          <w:i/>
        </w:rPr>
        <w:t>Journal of Marketing Management,</w:t>
      </w:r>
      <w:r w:rsidRPr="00172374">
        <w:t xml:space="preserve"> </w:t>
      </w:r>
      <w:r w:rsidRPr="00172374">
        <w:rPr>
          <w:i/>
        </w:rPr>
        <w:t>32</w:t>
      </w:r>
      <w:r w:rsidRPr="00172374">
        <w:rPr>
          <w:iCs/>
        </w:rPr>
        <w:t>(7/8),</w:t>
      </w:r>
      <w:r w:rsidRPr="00172374">
        <w:t xml:space="preserve"> 673</w:t>
      </w:r>
      <w:r w:rsidRPr="00172374">
        <w:sym w:font="Symbol" w:char="F02D"/>
      </w:r>
      <w:r w:rsidRPr="00172374">
        <w:t>694.</w:t>
      </w:r>
    </w:p>
    <w:p w14:paraId="096E8D45" w14:textId="77777777" w:rsidR="00DB468D" w:rsidRPr="00172374" w:rsidRDefault="00DB468D" w:rsidP="009D0C89">
      <w:pPr>
        <w:tabs>
          <w:tab w:val="left" w:pos="0"/>
          <w:tab w:val="left" w:pos="142"/>
        </w:tabs>
        <w:spacing w:after="240" w:line="360" w:lineRule="auto"/>
        <w:ind w:left="426" w:hanging="426"/>
      </w:pPr>
      <w:r w:rsidRPr="00172374">
        <w:t>Law, K. S., Wong, C. S., &amp; Mobley, W. M. (1998). Toward a taxonomy of multidimensional constructs. </w:t>
      </w:r>
      <w:r w:rsidRPr="00172374">
        <w:rPr>
          <w:i/>
        </w:rPr>
        <w:t>Academy of Management Review</w:t>
      </w:r>
      <w:r w:rsidRPr="00172374">
        <w:t>, </w:t>
      </w:r>
      <w:r w:rsidRPr="00172374">
        <w:rPr>
          <w:i/>
        </w:rPr>
        <w:t>23</w:t>
      </w:r>
      <w:r w:rsidRPr="00172374">
        <w:rPr>
          <w:iCs/>
        </w:rPr>
        <w:t>(4),</w:t>
      </w:r>
      <w:r w:rsidRPr="00172374">
        <w:t xml:space="preserve"> 741</w:t>
      </w:r>
      <w:r w:rsidRPr="00172374">
        <w:rPr>
          <w:rFonts w:eastAsia="Times New Roman"/>
          <w:szCs w:val="20"/>
          <w:shd w:val="clear" w:color="auto" w:fill="FFFFFF"/>
        </w:rPr>
        <w:t>–</w:t>
      </w:r>
      <w:r w:rsidRPr="00172374">
        <w:t>755.</w:t>
      </w:r>
    </w:p>
    <w:p w14:paraId="712E3B72" w14:textId="77777777" w:rsidR="00DB468D" w:rsidRPr="00172374" w:rsidRDefault="00DB468D" w:rsidP="009D0C89">
      <w:pPr>
        <w:tabs>
          <w:tab w:val="left" w:pos="0"/>
          <w:tab w:val="left" w:pos="142"/>
        </w:tabs>
        <w:spacing w:after="240" w:line="360" w:lineRule="auto"/>
        <w:ind w:left="426" w:hanging="426"/>
      </w:pPr>
      <w:r w:rsidRPr="00172374">
        <w:t xml:space="preserve">Lee, T. W., Mitchell, T. R., &amp; </w:t>
      </w:r>
      <w:proofErr w:type="spellStart"/>
      <w:r w:rsidRPr="00172374">
        <w:t>Sablynski</w:t>
      </w:r>
      <w:proofErr w:type="spellEnd"/>
      <w:r w:rsidRPr="00172374">
        <w:t xml:space="preserve">, C. J. (1999). Qualitative research in organizational and vocational psychology, 1979–1999. </w:t>
      </w:r>
      <w:r w:rsidRPr="00172374">
        <w:rPr>
          <w:i/>
        </w:rPr>
        <w:t>Journal of Vocational Behavior</w:t>
      </w:r>
      <w:r w:rsidRPr="00172374">
        <w:t xml:space="preserve">, </w:t>
      </w:r>
      <w:r w:rsidRPr="00172374">
        <w:rPr>
          <w:i/>
        </w:rPr>
        <w:t>55</w:t>
      </w:r>
      <w:r w:rsidRPr="00172374">
        <w:rPr>
          <w:iCs/>
        </w:rPr>
        <w:t>(2),</w:t>
      </w:r>
      <w:r w:rsidRPr="00172374">
        <w:t xml:space="preserve"> 161</w:t>
      </w:r>
      <w:r w:rsidRPr="00172374">
        <w:sym w:font="Symbol" w:char="F02D"/>
      </w:r>
      <w:r w:rsidRPr="00172374">
        <w:t xml:space="preserve">187. </w:t>
      </w:r>
    </w:p>
    <w:p w14:paraId="15AB8B23" w14:textId="77777777" w:rsidR="00DB468D" w:rsidRPr="00172374" w:rsidRDefault="00DB468D" w:rsidP="009D0C89">
      <w:pPr>
        <w:tabs>
          <w:tab w:val="left" w:pos="0"/>
          <w:tab w:val="left" w:pos="142"/>
        </w:tabs>
        <w:spacing w:after="240" w:line="360" w:lineRule="auto"/>
        <w:ind w:left="426" w:hanging="426"/>
        <w:rPr>
          <w:lang w:eastAsia="el-GR"/>
        </w:rPr>
      </w:pPr>
      <w:r w:rsidRPr="00172374">
        <w:rPr>
          <w:lang w:eastAsia="el-GR"/>
        </w:rPr>
        <w:t xml:space="preserve">Lee, W., </w:t>
      </w:r>
      <w:proofErr w:type="spellStart"/>
      <w:r w:rsidRPr="00172374">
        <w:rPr>
          <w:lang w:eastAsia="el-GR"/>
        </w:rPr>
        <w:t>O’Cass</w:t>
      </w:r>
      <w:proofErr w:type="spellEnd"/>
      <w:r w:rsidRPr="00172374">
        <w:rPr>
          <w:lang w:eastAsia="el-GR"/>
        </w:rPr>
        <w:t xml:space="preserve">, A., &amp; </w:t>
      </w:r>
      <w:proofErr w:type="spellStart"/>
      <w:r w:rsidRPr="00172374">
        <w:rPr>
          <w:lang w:eastAsia="el-GR"/>
        </w:rPr>
        <w:t>Sok</w:t>
      </w:r>
      <w:proofErr w:type="spellEnd"/>
      <w:r w:rsidRPr="00172374">
        <w:rPr>
          <w:lang w:eastAsia="el-GR"/>
        </w:rPr>
        <w:t xml:space="preserve">, P., (2017). Unpacking brand management superiority: Examining the interplay of brand management capability, brand orientation and formalization. </w:t>
      </w:r>
      <w:r w:rsidRPr="00172374">
        <w:rPr>
          <w:i/>
          <w:lang w:eastAsia="el-GR"/>
        </w:rPr>
        <w:t>European Journal of Marketing, 51</w:t>
      </w:r>
      <w:r w:rsidRPr="00172374">
        <w:rPr>
          <w:iCs/>
          <w:lang w:eastAsia="el-GR"/>
        </w:rPr>
        <w:t>(1),</w:t>
      </w:r>
      <w:r w:rsidRPr="00172374">
        <w:rPr>
          <w:lang w:eastAsia="el-GR"/>
        </w:rPr>
        <w:t xml:space="preserve"> 177</w:t>
      </w:r>
      <w:r w:rsidRPr="00172374">
        <w:rPr>
          <w:lang w:val="en-GB" w:eastAsia="el-GR"/>
        </w:rPr>
        <w:t>–</w:t>
      </w:r>
      <w:r w:rsidRPr="00172374">
        <w:rPr>
          <w:lang w:eastAsia="el-GR"/>
        </w:rPr>
        <w:t>199.</w:t>
      </w:r>
    </w:p>
    <w:p w14:paraId="710587F7" w14:textId="77777777" w:rsidR="00DB468D" w:rsidRPr="00172374" w:rsidRDefault="00DB468D" w:rsidP="009D0C89">
      <w:pPr>
        <w:spacing w:after="240" w:line="360" w:lineRule="auto"/>
        <w:ind w:left="426" w:hanging="426"/>
        <w:jc w:val="both"/>
      </w:pPr>
      <w:r w:rsidRPr="00172374">
        <w:lastRenderedPageBreak/>
        <w:t>Lindell, M. K., &amp; Whitney, D. J. (2001). Accounting for common method variance in cross-sectional research designs. </w:t>
      </w:r>
      <w:r w:rsidRPr="00172374">
        <w:rPr>
          <w:i/>
          <w:iCs/>
        </w:rPr>
        <w:t>Journal of Applied Psychology</w:t>
      </w:r>
      <w:r w:rsidRPr="00172374">
        <w:t>, </w:t>
      </w:r>
      <w:r w:rsidRPr="00172374">
        <w:rPr>
          <w:i/>
          <w:iCs/>
        </w:rPr>
        <w:t>86</w:t>
      </w:r>
      <w:r w:rsidRPr="00172374">
        <w:t>(1), 114</w:t>
      </w:r>
      <w:r w:rsidRPr="00172374">
        <w:rPr>
          <w:rFonts w:eastAsia="Times New Roman"/>
          <w:szCs w:val="20"/>
          <w:shd w:val="clear" w:color="auto" w:fill="FFFFFF"/>
        </w:rPr>
        <w:t>–</w:t>
      </w:r>
      <w:r w:rsidRPr="00172374">
        <w:t>121.</w:t>
      </w:r>
    </w:p>
    <w:p w14:paraId="7C3E0F27" w14:textId="77777777" w:rsidR="00DB468D" w:rsidRPr="00172374" w:rsidRDefault="00DB468D" w:rsidP="009D0C89">
      <w:pPr>
        <w:tabs>
          <w:tab w:val="left" w:pos="0"/>
          <w:tab w:val="left" w:pos="142"/>
        </w:tabs>
        <w:spacing w:after="240" w:line="360" w:lineRule="auto"/>
        <w:ind w:left="426" w:hanging="426"/>
        <w:rPr>
          <w:lang w:val="da-DK" w:eastAsia="el-GR"/>
        </w:rPr>
      </w:pPr>
      <w:r w:rsidRPr="00172374">
        <w:rPr>
          <w:lang w:val="da-DK" w:eastAsia="el-GR"/>
        </w:rPr>
        <w:t xml:space="preserve">Linkedin (2011). </w:t>
      </w:r>
      <w:r w:rsidRPr="00172374">
        <w:t>HP Personal Systems Group UK Case Study. Retrieved September 17, 2019, from https://business.linkedin.com/content/dam/business/marketing-solutions/regional/en-uk/.</w:t>
      </w:r>
    </w:p>
    <w:p w14:paraId="73D85841" w14:textId="77777777" w:rsidR="00DB468D" w:rsidRPr="00172374" w:rsidRDefault="00DB468D" w:rsidP="009D0C89">
      <w:pPr>
        <w:tabs>
          <w:tab w:val="left" w:pos="-284"/>
        </w:tabs>
        <w:spacing w:after="240" w:line="360" w:lineRule="auto"/>
        <w:ind w:left="426" w:hanging="426"/>
      </w:pPr>
      <w:r w:rsidRPr="00172374">
        <w:t xml:space="preserve">M’ </w:t>
      </w:r>
      <w:proofErr w:type="spellStart"/>
      <w:r w:rsidRPr="00172374">
        <w:t>Zungu</w:t>
      </w:r>
      <w:proofErr w:type="spellEnd"/>
      <w:r w:rsidRPr="00172374">
        <w:t xml:space="preserve">, S., </w:t>
      </w:r>
      <w:proofErr w:type="spellStart"/>
      <w:r w:rsidRPr="00172374">
        <w:t>Merrilees</w:t>
      </w:r>
      <w:proofErr w:type="spellEnd"/>
      <w:r w:rsidRPr="00172374">
        <w:t xml:space="preserve">, B., &amp; Miller, D. (2010). Brand management to protect brand equity: A conceptual model. </w:t>
      </w:r>
      <w:r w:rsidRPr="00172374">
        <w:rPr>
          <w:i/>
          <w:iCs/>
        </w:rPr>
        <w:t>Journal of Brand Management, 17,</w:t>
      </w:r>
      <w:r w:rsidRPr="00172374">
        <w:t xml:space="preserve"> 605–617.</w:t>
      </w:r>
    </w:p>
    <w:p w14:paraId="4DBEB704" w14:textId="61BE43C3" w:rsidR="00DB468D" w:rsidRPr="00172374" w:rsidRDefault="00DB468D" w:rsidP="009D0C89">
      <w:pPr>
        <w:tabs>
          <w:tab w:val="left" w:pos="284"/>
        </w:tabs>
        <w:spacing w:after="240" w:line="360" w:lineRule="auto"/>
        <w:ind w:left="426" w:hanging="426"/>
      </w:pPr>
      <w:proofErr w:type="spellStart"/>
      <w:r w:rsidRPr="00172374">
        <w:t>M’</w:t>
      </w:r>
      <w:r w:rsidR="00127FBB" w:rsidRPr="00172374">
        <w:t>Z</w:t>
      </w:r>
      <w:r w:rsidRPr="00172374">
        <w:t>ungu</w:t>
      </w:r>
      <w:proofErr w:type="spellEnd"/>
      <w:r w:rsidRPr="00172374">
        <w:t xml:space="preserve">, S., </w:t>
      </w:r>
      <w:proofErr w:type="spellStart"/>
      <w:r w:rsidRPr="00172374">
        <w:t>Merrilees</w:t>
      </w:r>
      <w:proofErr w:type="spellEnd"/>
      <w:r w:rsidRPr="00172374">
        <w:t xml:space="preserve">, B., &amp; Miller, D., (2017). Strategic hybrid orientation between market orientation and brand orientation: guiding principles. </w:t>
      </w:r>
      <w:r w:rsidRPr="00172374">
        <w:rPr>
          <w:i/>
        </w:rPr>
        <w:t>Journal of Strategic Marketing, 25</w:t>
      </w:r>
      <w:r w:rsidRPr="00172374">
        <w:rPr>
          <w:iCs/>
        </w:rPr>
        <w:t>(4),</w:t>
      </w:r>
      <w:r w:rsidRPr="00172374">
        <w:t xml:space="preserve"> 275</w:t>
      </w:r>
      <w:r w:rsidRPr="00172374">
        <w:rPr>
          <w:lang w:val="en-GB"/>
        </w:rPr>
        <w:t>–</w:t>
      </w:r>
      <w:r w:rsidRPr="00172374">
        <w:t>288.</w:t>
      </w:r>
    </w:p>
    <w:p w14:paraId="287FE29B" w14:textId="77777777" w:rsidR="00DB468D" w:rsidRPr="00172374" w:rsidRDefault="00DB468D" w:rsidP="009D0C89">
      <w:pPr>
        <w:tabs>
          <w:tab w:val="left" w:pos="0"/>
          <w:tab w:val="left" w:pos="142"/>
        </w:tabs>
        <w:spacing w:after="240" w:line="360" w:lineRule="auto"/>
        <w:ind w:left="426" w:hanging="426"/>
        <w:rPr>
          <w:lang w:eastAsia="el-GR"/>
        </w:rPr>
      </w:pPr>
      <w:r w:rsidRPr="00172374">
        <w:rPr>
          <w:lang w:val="da-DK" w:eastAsia="el-GR"/>
        </w:rPr>
        <w:t xml:space="preserve">MacKenzie, S. В., Podsakoff, P. M., &amp; Podsakoff, N. P. (2011). Construct measurement and validation procedures in MIS and behavioral research: Integrating new and existing techniques. </w:t>
      </w:r>
      <w:r w:rsidRPr="00172374">
        <w:rPr>
          <w:i/>
          <w:lang w:val="da-DK" w:eastAsia="el-GR"/>
        </w:rPr>
        <w:t>MIS Quarterly, 35</w:t>
      </w:r>
      <w:r w:rsidRPr="00172374">
        <w:rPr>
          <w:iCs/>
          <w:lang w:val="da-DK" w:eastAsia="el-GR"/>
        </w:rPr>
        <w:t>(2),</w:t>
      </w:r>
      <w:r w:rsidRPr="00172374">
        <w:rPr>
          <w:lang w:val="da-DK" w:eastAsia="el-GR"/>
        </w:rPr>
        <w:t xml:space="preserve"> 293</w:t>
      </w:r>
      <w:r w:rsidRPr="00172374">
        <w:sym w:font="Symbol" w:char="F02D"/>
      </w:r>
      <w:r w:rsidRPr="00172374">
        <w:rPr>
          <w:lang w:val="da-DK" w:eastAsia="el-GR"/>
        </w:rPr>
        <w:t xml:space="preserve">334. </w:t>
      </w:r>
    </w:p>
    <w:p w14:paraId="4D251918" w14:textId="77777777" w:rsidR="00DB468D" w:rsidRPr="00172374" w:rsidRDefault="00DB468D" w:rsidP="009D0C89">
      <w:pPr>
        <w:tabs>
          <w:tab w:val="left" w:pos="-284"/>
        </w:tabs>
        <w:spacing w:after="240" w:line="360" w:lineRule="auto"/>
        <w:ind w:left="426" w:hanging="426"/>
      </w:pPr>
      <w:proofErr w:type="spellStart"/>
      <w:r w:rsidRPr="00172374">
        <w:t>McAlexander</w:t>
      </w:r>
      <w:proofErr w:type="spellEnd"/>
      <w:r w:rsidRPr="00172374">
        <w:t xml:space="preserve">, J., Schouten, J. &amp; Koenig, H. (2002). Building Brand Community. </w:t>
      </w:r>
      <w:r w:rsidRPr="00172374">
        <w:rPr>
          <w:i/>
          <w:iCs/>
        </w:rPr>
        <w:t>Journal of Marketing. 66</w:t>
      </w:r>
      <w:r w:rsidRPr="00172374">
        <w:t>(June), 38–54.</w:t>
      </w:r>
    </w:p>
    <w:p w14:paraId="23407DD2" w14:textId="77777777" w:rsidR="00DB468D" w:rsidRPr="00172374" w:rsidRDefault="00DB468D" w:rsidP="009D0C89">
      <w:pPr>
        <w:tabs>
          <w:tab w:val="left" w:pos="-284"/>
        </w:tabs>
        <w:spacing w:after="240" w:line="360" w:lineRule="auto"/>
        <w:ind w:left="426" w:hanging="426"/>
      </w:pPr>
      <w:r w:rsidRPr="00172374">
        <w:t>McKinsey &amp; Company (2003). Building strong brands better, faster, cheaper. New York: McKinsey Marketing Solutions.</w:t>
      </w:r>
    </w:p>
    <w:p w14:paraId="7C279B6E" w14:textId="77777777" w:rsidR="00DB468D" w:rsidRPr="00172374" w:rsidRDefault="00DB468D" w:rsidP="009D0C89">
      <w:pPr>
        <w:tabs>
          <w:tab w:val="left" w:pos="-284"/>
        </w:tabs>
        <w:spacing w:after="240" w:line="360" w:lineRule="auto"/>
        <w:ind w:left="426" w:hanging="426"/>
      </w:pPr>
      <w:r w:rsidRPr="00172374">
        <w:t xml:space="preserve">Mecklenburg, G. A. (2005). </w:t>
      </w:r>
      <w:r w:rsidRPr="00172374">
        <w:rPr>
          <w:i/>
          <w:iCs/>
        </w:rPr>
        <w:t>Branding and organizational culture</w:t>
      </w:r>
      <w:r w:rsidRPr="00172374">
        <w:t xml:space="preserve">. Chapter 18 in Kellogg on Branding (Edited by </w:t>
      </w:r>
      <w:proofErr w:type="spellStart"/>
      <w:r w:rsidRPr="00172374">
        <w:t>Tybout</w:t>
      </w:r>
      <w:proofErr w:type="spellEnd"/>
      <w:r w:rsidRPr="00172374">
        <w:t xml:space="preserve"> A.M. &amp; Calkins T.), Wiley &amp; Sons. </w:t>
      </w:r>
    </w:p>
    <w:p w14:paraId="1682C95E" w14:textId="77777777" w:rsidR="00DB468D" w:rsidRPr="00172374" w:rsidRDefault="00DB468D" w:rsidP="009D0C89">
      <w:pPr>
        <w:spacing w:after="240" w:line="360" w:lineRule="auto"/>
        <w:ind w:left="426" w:hanging="426"/>
      </w:pPr>
      <w:r w:rsidRPr="00172374">
        <w:t xml:space="preserve">Miles, M. B., &amp; Huberman, A. M. (1994). </w:t>
      </w:r>
      <w:r w:rsidRPr="00172374">
        <w:rPr>
          <w:i/>
          <w:iCs/>
        </w:rPr>
        <w:t>Qualitative data analysis: An expanded sourcebook</w:t>
      </w:r>
      <w:r w:rsidRPr="00172374">
        <w:t xml:space="preserve"> (2nd ed.). </w:t>
      </w:r>
      <w:r w:rsidRPr="00172374">
        <w:rPr>
          <w:bCs/>
          <w:iCs/>
        </w:rPr>
        <w:t>Thousand</w:t>
      </w:r>
      <w:r w:rsidRPr="00172374">
        <w:t xml:space="preserve"> Oaks, CA: Sage.</w:t>
      </w:r>
    </w:p>
    <w:p w14:paraId="3273DF1C" w14:textId="77777777" w:rsidR="00DB468D" w:rsidRPr="00172374" w:rsidRDefault="00DB468D" w:rsidP="009D0C89">
      <w:pPr>
        <w:pStyle w:val="a3"/>
        <w:spacing w:after="240" w:line="288" w:lineRule="auto"/>
        <w:ind w:left="426" w:hanging="426"/>
        <w:contextualSpacing w:val="0"/>
        <w:rPr>
          <w:rFonts w:ascii="Times New Roman" w:hAnsi="Times New Roman"/>
          <w:sz w:val="24"/>
          <w:szCs w:val="24"/>
          <w:lang w:val="en-US"/>
        </w:rPr>
      </w:pPr>
      <w:proofErr w:type="spellStart"/>
      <w:r w:rsidRPr="00172374">
        <w:rPr>
          <w:rFonts w:ascii="Times New Roman" w:hAnsi="Times New Roman"/>
          <w:sz w:val="24"/>
          <w:szCs w:val="24"/>
          <w:lang w:val="en-US"/>
        </w:rPr>
        <w:t>Mosmans</w:t>
      </w:r>
      <w:proofErr w:type="spellEnd"/>
      <w:r w:rsidRPr="00172374">
        <w:rPr>
          <w:rFonts w:ascii="Times New Roman" w:hAnsi="Times New Roman"/>
          <w:sz w:val="24"/>
          <w:szCs w:val="24"/>
          <w:lang w:val="en-US"/>
        </w:rPr>
        <w:t xml:space="preserve">, A. &amp; van der Vorst, R. (1998). Brand based strategic management. </w:t>
      </w:r>
      <w:r w:rsidRPr="00172374">
        <w:rPr>
          <w:rFonts w:ascii="Times New Roman" w:hAnsi="Times New Roman"/>
          <w:i/>
          <w:iCs/>
          <w:sz w:val="24"/>
          <w:szCs w:val="24"/>
          <w:lang w:val="en-US"/>
        </w:rPr>
        <w:t>Journal of Brand Management, 6</w:t>
      </w:r>
      <w:r w:rsidRPr="00172374">
        <w:rPr>
          <w:rFonts w:ascii="Times New Roman" w:hAnsi="Times New Roman"/>
          <w:sz w:val="24"/>
          <w:szCs w:val="24"/>
          <w:lang w:val="en-US"/>
        </w:rPr>
        <w:t>(2), 99–110.</w:t>
      </w:r>
    </w:p>
    <w:p w14:paraId="22430559" w14:textId="77777777" w:rsidR="00DB468D" w:rsidRPr="00172374" w:rsidRDefault="00DB468D" w:rsidP="009D0C89">
      <w:pPr>
        <w:tabs>
          <w:tab w:val="left" w:pos="284"/>
        </w:tabs>
        <w:spacing w:after="240" w:line="360" w:lineRule="auto"/>
        <w:ind w:left="426" w:hanging="426"/>
      </w:pPr>
      <w:r w:rsidRPr="00172374">
        <w:t xml:space="preserve">Napoli, J. (2006). The impact of nonprofit brand orientation on organizational performance. </w:t>
      </w:r>
      <w:r w:rsidRPr="00172374">
        <w:rPr>
          <w:i/>
        </w:rPr>
        <w:t>Journal of Marketing Management, 22</w:t>
      </w:r>
      <w:r w:rsidRPr="00172374">
        <w:rPr>
          <w:iCs/>
        </w:rPr>
        <w:t>(7/8)</w:t>
      </w:r>
      <w:r w:rsidRPr="00172374">
        <w:t>, 673–694.</w:t>
      </w:r>
      <w:r w:rsidRPr="00172374">
        <w:rPr>
          <w:i/>
        </w:rPr>
        <w:t xml:space="preserve"> </w:t>
      </w:r>
    </w:p>
    <w:p w14:paraId="0030E873" w14:textId="77777777" w:rsidR="00DB468D" w:rsidRPr="00172374" w:rsidRDefault="00DB468D" w:rsidP="009D0C89">
      <w:pPr>
        <w:tabs>
          <w:tab w:val="left" w:pos="284"/>
        </w:tabs>
        <w:spacing w:after="240" w:line="360" w:lineRule="auto"/>
        <w:ind w:left="426" w:hanging="426"/>
      </w:pPr>
      <w:proofErr w:type="spellStart"/>
      <w:r w:rsidRPr="00172374">
        <w:t>Narver</w:t>
      </w:r>
      <w:proofErr w:type="spellEnd"/>
      <w:r w:rsidRPr="00172374">
        <w:t xml:space="preserve">, J. C., &amp; Slater, S.F. (1990). The effect of a market orientation on business profitability. </w:t>
      </w:r>
      <w:r w:rsidRPr="00172374">
        <w:rPr>
          <w:i/>
        </w:rPr>
        <w:t>Journal of Marketing, 54</w:t>
      </w:r>
      <w:r w:rsidRPr="00172374">
        <w:rPr>
          <w:iCs/>
        </w:rPr>
        <w:t>(4),</w:t>
      </w:r>
      <w:r w:rsidRPr="00172374">
        <w:t xml:space="preserve"> 20–35.</w:t>
      </w:r>
    </w:p>
    <w:p w14:paraId="6F523155" w14:textId="77777777" w:rsidR="00DB468D" w:rsidRPr="00172374" w:rsidRDefault="00DB468D" w:rsidP="009D0C89">
      <w:pPr>
        <w:tabs>
          <w:tab w:val="left" w:pos="284"/>
        </w:tabs>
        <w:spacing w:after="240" w:line="360" w:lineRule="auto"/>
        <w:ind w:left="426" w:hanging="426"/>
      </w:pPr>
      <w:r w:rsidRPr="00172374">
        <w:lastRenderedPageBreak/>
        <w:t>Nath, P., &amp; Mahajan, V. (2011). Marketing in the c-suite: A study of chief marketing officer power in firms' top management teams. </w:t>
      </w:r>
      <w:r w:rsidRPr="00172374">
        <w:rPr>
          <w:i/>
          <w:iCs/>
        </w:rPr>
        <w:t>Journal of Marketing</w:t>
      </w:r>
      <w:r w:rsidRPr="00172374">
        <w:t>, </w:t>
      </w:r>
      <w:r w:rsidRPr="00172374">
        <w:rPr>
          <w:i/>
          <w:iCs/>
        </w:rPr>
        <w:t>75</w:t>
      </w:r>
      <w:r w:rsidRPr="00172374">
        <w:t>(1), 60–77.</w:t>
      </w:r>
    </w:p>
    <w:p w14:paraId="3F3B7481" w14:textId="77777777" w:rsidR="00DB468D" w:rsidRPr="00172374" w:rsidRDefault="00DB468D" w:rsidP="009D0C89">
      <w:pPr>
        <w:tabs>
          <w:tab w:val="left" w:pos="284"/>
        </w:tabs>
        <w:spacing w:after="240" w:line="360" w:lineRule="auto"/>
        <w:ind w:left="426" w:hanging="426"/>
      </w:pPr>
      <w:proofErr w:type="spellStart"/>
      <w:r w:rsidRPr="00172374">
        <w:t>Netemeyer</w:t>
      </w:r>
      <w:proofErr w:type="spellEnd"/>
      <w:r w:rsidRPr="00172374">
        <w:t xml:space="preserve">, R. G., Bearden, W. O., &amp; Sharma, S. (2003). </w:t>
      </w:r>
      <w:r w:rsidRPr="00172374">
        <w:rPr>
          <w:i/>
        </w:rPr>
        <w:t>Scaling procedures: Issues and applications.</w:t>
      </w:r>
      <w:r w:rsidRPr="00172374">
        <w:rPr>
          <w:bCs/>
          <w:iCs/>
        </w:rPr>
        <w:t xml:space="preserve"> Thousand</w:t>
      </w:r>
      <w:r w:rsidRPr="00172374">
        <w:t xml:space="preserve"> Oaks, CA:</w:t>
      </w:r>
      <w:r w:rsidRPr="00172374">
        <w:rPr>
          <w:i/>
        </w:rPr>
        <w:t xml:space="preserve"> </w:t>
      </w:r>
      <w:r w:rsidRPr="00172374">
        <w:t>Sage.</w:t>
      </w:r>
    </w:p>
    <w:p w14:paraId="66F14D01" w14:textId="77777777" w:rsidR="00DB468D" w:rsidRPr="00172374" w:rsidRDefault="00DB468D" w:rsidP="009D0C89">
      <w:pPr>
        <w:tabs>
          <w:tab w:val="left" w:pos="-284"/>
        </w:tabs>
        <w:spacing w:after="240" w:line="360" w:lineRule="auto"/>
        <w:ind w:left="426" w:hanging="426"/>
        <w:rPr>
          <w:lang w:eastAsia="el-GR"/>
        </w:rPr>
      </w:pPr>
      <w:proofErr w:type="spellStart"/>
      <w:r w:rsidRPr="00172374">
        <w:rPr>
          <w:lang w:eastAsia="el-GR"/>
        </w:rPr>
        <w:t>Netemeyer</w:t>
      </w:r>
      <w:proofErr w:type="spellEnd"/>
      <w:r w:rsidRPr="00172374">
        <w:rPr>
          <w:lang w:eastAsia="el-GR"/>
        </w:rPr>
        <w:t xml:space="preserve">, R. G., Krishnan, B., </w:t>
      </w:r>
      <w:proofErr w:type="spellStart"/>
      <w:r w:rsidRPr="00172374">
        <w:rPr>
          <w:lang w:eastAsia="el-GR"/>
        </w:rPr>
        <w:t>Pullig</w:t>
      </w:r>
      <w:proofErr w:type="spellEnd"/>
      <w:r w:rsidRPr="00172374">
        <w:rPr>
          <w:lang w:eastAsia="el-GR"/>
        </w:rPr>
        <w:t xml:space="preserve">, C., Wang, G., </w:t>
      </w:r>
      <w:proofErr w:type="spellStart"/>
      <w:r w:rsidRPr="00172374">
        <w:rPr>
          <w:lang w:eastAsia="el-GR"/>
        </w:rPr>
        <w:t>Yagci</w:t>
      </w:r>
      <w:proofErr w:type="spellEnd"/>
      <w:r w:rsidRPr="00172374">
        <w:rPr>
          <w:lang w:eastAsia="el-GR"/>
        </w:rPr>
        <w:t xml:space="preserve">, M., Dean, D., Ricks, J., &amp; Wirth, F. (2004). Developing and validating measures of facets of customer-based brand equity. </w:t>
      </w:r>
      <w:r w:rsidRPr="00172374">
        <w:rPr>
          <w:i/>
          <w:lang w:eastAsia="el-GR"/>
        </w:rPr>
        <w:t>Journal of Business Research,</w:t>
      </w:r>
      <w:r w:rsidRPr="00172374">
        <w:rPr>
          <w:lang w:eastAsia="el-GR"/>
        </w:rPr>
        <w:t xml:space="preserve"> </w:t>
      </w:r>
      <w:r w:rsidRPr="00172374">
        <w:rPr>
          <w:i/>
          <w:lang w:eastAsia="el-GR"/>
        </w:rPr>
        <w:t>57</w:t>
      </w:r>
      <w:r w:rsidRPr="00172374">
        <w:rPr>
          <w:iCs/>
          <w:lang w:eastAsia="el-GR"/>
        </w:rPr>
        <w:t>(2),</w:t>
      </w:r>
      <w:r w:rsidRPr="00172374">
        <w:rPr>
          <w:lang w:eastAsia="el-GR"/>
        </w:rPr>
        <w:t xml:space="preserve"> 209</w:t>
      </w:r>
      <w:r w:rsidRPr="00172374">
        <w:t>–</w:t>
      </w:r>
      <w:r w:rsidRPr="00172374">
        <w:rPr>
          <w:lang w:eastAsia="el-GR"/>
        </w:rPr>
        <w:t>224.</w:t>
      </w:r>
    </w:p>
    <w:p w14:paraId="52241EE4" w14:textId="77777777" w:rsidR="00DB468D" w:rsidRPr="00172374" w:rsidRDefault="00DB468D" w:rsidP="009D0C89">
      <w:pPr>
        <w:tabs>
          <w:tab w:val="left" w:pos="284"/>
        </w:tabs>
        <w:spacing w:after="240" w:line="360" w:lineRule="auto"/>
        <w:ind w:left="426" w:hanging="426"/>
      </w:pPr>
      <w:r w:rsidRPr="00172374">
        <w:t xml:space="preserve">Noble, C. H., Sinha, R. K., &amp; Kumar, A. (2002). Market orientation and alternative strategic orientations: A longitudinal assessment of performance implications. </w:t>
      </w:r>
      <w:r w:rsidRPr="00172374">
        <w:rPr>
          <w:i/>
        </w:rPr>
        <w:t>Journal of Marketing, 66</w:t>
      </w:r>
      <w:r w:rsidRPr="00172374">
        <w:rPr>
          <w:iCs/>
        </w:rPr>
        <w:t>(4),</w:t>
      </w:r>
      <w:r w:rsidRPr="00172374">
        <w:t xml:space="preserve"> 25–39. </w:t>
      </w:r>
    </w:p>
    <w:p w14:paraId="4EC1F083" w14:textId="77777777" w:rsidR="00DB468D" w:rsidRPr="00172374" w:rsidRDefault="00DB468D" w:rsidP="009D0C89">
      <w:pPr>
        <w:tabs>
          <w:tab w:val="left" w:pos="284"/>
        </w:tabs>
        <w:spacing w:after="240" w:line="360" w:lineRule="auto"/>
        <w:ind w:left="426" w:hanging="426"/>
      </w:pPr>
      <w:r w:rsidRPr="00172374">
        <w:t xml:space="preserve">Pai, D., Lai, C., Chiu, C., &amp; Yang, C. (2015). Corporate social responsibility and brand advocacy in business-to-business market: The mediated moderating effect of attribution. </w:t>
      </w:r>
      <w:r w:rsidRPr="00172374">
        <w:rPr>
          <w:i/>
          <w:iCs/>
        </w:rPr>
        <w:t>Journal of Business Ethics, 126</w:t>
      </w:r>
      <w:r w:rsidRPr="00172374">
        <w:t>(4), 685–696.</w:t>
      </w:r>
    </w:p>
    <w:p w14:paraId="0134A9B6" w14:textId="77777777" w:rsidR="00DB468D" w:rsidRPr="00172374" w:rsidRDefault="00DB468D" w:rsidP="009D0C89">
      <w:pPr>
        <w:tabs>
          <w:tab w:val="left" w:pos="284"/>
        </w:tabs>
        <w:spacing w:after="240" w:line="360" w:lineRule="auto"/>
        <w:ind w:left="426" w:hanging="426"/>
      </w:pPr>
      <w:r w:rsidRPr="00172374">
        <w:t xml:space="preserve">Paisley, W. J. (1969). Studying style as deviation from encoding norms. In G. Gerbner, O. R. </w:t>
      </w:r>
      <w:proofErr w:type="spellStart"/>
      <w:r w:rsidRPr="00172374">
        <w:t>Holsti</w:t>
      </w:r>
      <w:proofErr w:type="spellEnd"/>
      <w:r w:rsidRPr="00172374">
        <w:t xml:space="preserve">, K. </w:t>
      </w:r>
      <w:proofErr w:type="spellStart"/>
      <w:r w:rsidRPr="00172374">
        <w:t>Krippendorff</w:t>
      </w:r>
      <w:proofErr w:type="spellEnd"/>
      <w:r w:rsidRPr="00172374">
        <w:t xml:space="preserve">, W. J. Paisley, &amp; P. J. Stone (Eds.), </w:t>
      </w:r>
      <w:r w:rsidRPr="00172374">
        <w:rPr>
          <w:i/>
          <w:iCs/>
        </w:rPr>
        <w:t>The analysis of communications content: Developments in scientific theories and computer techniques</w:t>
      </w:r>
      <w:r w:rsidRPr="00172374">
        <w:t xml:space="preserve"> (pp. 133–146). New York: Wiley.</w:t>
      </w:r>
    </w:p>
    <w:p w14:paraId="5C5F4F9B" w14:textId="77777777" w:rsidR="00DB468D" w:rsidRPr="00172374" w:rsidRDefault="00DB468D" w:rsidP="009D0C89">
      <w:pPr>
        <w:tabs>
          <w:tab w:val="left" w:pos="284"/>
        </w:tabs>
        <w:spacing w:after="240" w:line="360" w:lineRule="auto"/>
        <w:ind w:left="426" w:hanging="426"/>
      </w:pPr>
      <w:proofErr w:type="spellStart"/>
      <w:r w:rsidRPr="00172374">
        <w:t>Papadas</w:t>
      </w:r>
      <w:proofErr w:type="spellEnd"/>
      <w:r w:rsidRPr="00172374">
        <w:t xml:space="preserve">, K. K., </w:t>
      </w:r>
      <w:proofErr w:type="spellStart"/>
      <w:r w:rsidRPr="00172374">
        <w:t>Avlonitis</w:t>
      </w:r>
      <w:proofErr w:type="spellEnd"/>
      <w:r w:rsidRPr="00172374">
        <w:t>, G. J., &amp; Carrigan, M. (2017). Green marketing orientation: Conceptualization, scale development and validation. </w:t>
      </w:r>
      <w:r w:rsidRPr="00172374">
        <w:rPr>
          <w:i/>
          <w:iCs/>
        </w:rPr>
        <w:t>Journal of Business Research</w:t>
      </w:r>
      <w:r w:rsidRPr="00172374">
        <w:t>, </w:t>
      </w:r>
      <w:r w:rsidRPr="00172374">
        <w:rPr>
          <w:i/>
          <w:iCs/>
        </w:rPr>
        <w:t>80</w:t>
      </w:r>
      <w:r w:rsidRPr="00172374">
        <w:t xml:space="preserve">, 236–246. </w:t>
      </w:r>
    </w:p>
    <w:p w14:paraId="4F7DD8C2" w14:textId="77777777" w:rsidR="00DB468D" w:rsidRPr="00172374" w:rsidRDefault="00DB468D" w:rsidP="009D0C89">
      <w:pPr>
        <w:tabs>
          <w:tab w:val="left" w:pos="284"/>
        </w:tabs>
        <w:spacing w:after="240" w:line="288" w:lineRule="auto"/>
        <w:ind w:left="426" w:hanging="426"/>
      </w:pPr>
      <w:r w:rsidRPr="00172374">
        <w:t xml:space="preserve">Park, C. W., Jaworski, B. J., &amp; </w:t>
      </w:r>
      <w:proofErr w:type="spellStart"/>
      <w:r w:rsidRPr="00172374">
        <w:t>MacInnis</w:t>
      </w:r>
      <w:proofErr w:type="spellEnd"/>
      <w:r w:rsidRPr="00172374">
        <w:t xml:space="preserve">, D. J. (1986). Strategic brand concept-image management. </w:t>
      </w:r>
      <w:r w:rsidRPr="00172374">
        <w:rPr>
          <w:i/>
        </w:rPr>
        <w:t xml:space="preserve">Journal of Marketing, </w:t>
      </w:r>
      <w:r w:rsidRPr="00172374">
        <w:rPr>
          <w:i/>
          <w:iCs/>
        </w:rPr>
        <w:t>50</w:t>
      </w:r>
      <w:r w:rsidRPr="00172374">
        <w:t>(October), 135–145.</w:t>
      </w:r>
    </w:p>
    <w:p w14:paraId="29F15B8D" w14:textId="77777777" w:rsidR="00DB468D" w:rsidRPr="00172374" w:rsidRDefault="00DB468D" w:rsidP="009D0C89">
      <w:pPr>
        <w:tabs>
          <w:tab w:val="left" w:pos="-284"/>
          <w:tab w:val="left" w:pos="0"/>
          <w:tab w:val="left" w:pos="142"/>
        </w:tabs>
        <w:spacing w:after="240" w:line="360" w:lineRule="auto"/>
        <w:ind w:left="426" w:hanging="426"/>
      </w:pPr>
      <w:r w:rsidRPr="00172374">
        <w:t xml:space="preserve">Park, C., Eisingerich, A., Pol, G., &amp; Park, J. (2013). The role of brand logos in firm performance. </w:t>
      </w:r>
      <w:r w:rsidRPr="00172374">
        <w:rPr>
          <w:i/>
        </w:rPr>
        <w:t>Journal of Business Research, 66</w:t>
      </w:r>
      <w:r w:rsidRPr="00172374">
        <w:rPr>
          <w:iCs/>
        </w:rPr>
        <w:t>(2),</w:t>
      </w:r>
      <w:r w:rsidRPr="00172374">
        <w:t xml:space="preserve"> 180–187. </w:t>
      </w:r>
    </w:p>
    <w:p w14:paraId="2B51F83B" w14:textId="77777777" w:rsidR="00DB468D" w:rsidRPr="00172374" w:rsidRDefault="00DB468D" w:rsidP="009D0C89">
      <w:pPr>
        <w:tabs>
          <w:tab w:val="left" w:pos="-284"/>
          <w:tab w:val="left" w:pos="0"/>
          <w:tab w:val="left" w:pos="142"/>
        </w:tabs>
        <w:spacing w:after="240" w:line="360" w:lineRule="auto"/>
        <w:ind w:left="426" w:hanging="426"/>
      </w:pPr>
      <w:proofErr w:type="spellStart"/>
      <w:r w:rsidRPr="00172374">
        <w:t>Piha</w:t>
      </w:r>
      <w:proofErr w:type="spellEnd"/>
      <w:r w:rsidRPr="00172374">
        <w:t xml:space="preserve">, L., &amp; </w:t>
      </w:r>
      <w:proofErr w:type="spellStart"/>
      <w:r w:rsidRPr="00172374">
        <w:t>Avlonitis</w:t>
      </w:r>
      <w:proofErr w:type="spellEnd"/>
      <w:r w:rsidRPr="00172374">
        <w:t xml:space="preserve">, G. (2018). Internal brand orientation: </w:t>
      </w:r>
      <w:proofErr w:type="spellStart"/>
      <w:r w:rsidRPr="00172374">
        <w:t>Conceptualisation</w:t>
      </w:r>
      <w:proofErr w:type="spellEnd"/>
      <w:r w:rsidRPr="00172374">
        <w:t xml:space="preserve">, scale development and validation. </w:t>
      </w:r>
      <w:r w:rsidRPr="00172374">
        <w:rPr>
          <w:i/>
        </w:rPr>
        <w:t>Journal of Marketing Management, 34</w:t>
      </w:r>
      <w:r w:rsidRPr="00172374">
        <w:rPr>
          <w:iCs/>
        </w:rPr>
        <w:t>(3/4),</w:t>
      </w:r>
      <w:r w:rsidRPr="00172374">
        <w:t xml:space="preserve"> 370–394.</w:t>
      </w:r>
    </w:p>
    <w:p w14:paraId="02ACB845" w14:textId="77777777" w:rsidR="00DB468D" w:rsidRPr="00172374" w:rsidRDefault="00DB468D" w:rsidP="009D0C89">
      <w:pPr>
        <w:tabs>
          <w:tab w:val="left" w:pos="284"/>
        </w:tabs>
        <w:spacing w:after="240" w:line="360" w:lineRule="auto"/>
        <w:ind w:left="426" w:hanging="426"/>
      </w:pPr>
      <w:r w:rsidRPr="00172374">
        <w:lastRenderedPageBreak/>
        <w:t xml:space="preserve">Podsakoff, P. M., </w:t>
      </w:r>
      <w:proofErr w:type="spellStart"/>
      <w:r w:rsidRPr="00172374">
        <w:t>MacKenzie</w:t>
      </w:r>
      <w:proofErr w:type="spellEnd"/>
      <w:r w:rsidRPr="00172374">
        <w:t xml:space="preserve">, S. B., Lee, J. Y., &amp; Podsakoff, N. P. (2003). Common method biases in behavioral research: A critical review of the literature and recommended remedies. </w:t>
      </w:r>
      <w:r w:rsidRPr="00172374">
        <w:rPr>
          <w:i/>
        </w:rPr>
        <w:t>Journal of Applied Psychology</w:t>
      </w:r>
      <w:r w:rsidRPr="00172374">
        <w:t xml:space="preserve">, </w:t>
      </w:r>
      <w:r w:rsidRPr="00172374">
        <w:rPr>
          <w:i/>
          <w:iCs/>
        </w:rPr>
        <w:t>88</w:t>
      </w:r>
      <w:r w:rsidRPr="00172374">
        <w:t xml:space="preserve">(5), 879–903. </w:t>
      </w:r>
    </w:p>
    <w:p w14:paraId="3725D176" w14:textId="77777777" w:rsidR="00DB468D" w:rsidRPr="00172374" w:rsidRDefault="00DB468D" w:rsidP="009D0C89">
      <w:pPr>
        <w:tabs>
          <w:tab w:val="left" w:pos="284"/>
        </w:tabs>
        <w:spacing w:after="240" w:line="360" w:lineRule="auto"/>
        <w:ind w:left="426" w:hanging="426"/>
      </w:pPr>
      <w:r w:rsidRPr="00172374">
        <w:t xml:space="preserve">Quelch, J. A., &amp; Harding, D. (1999). Brands versus private labels: fighting to win. </w:t>
      </w:r>
      <w:r w:rsidRPr="00172374">
        <w:rPr>
          <w:i/>
        </w:rPr>
        <w:t>Harvard Business Review, 74</w:t>
      </w:r>
      <w:r w:rsidRPr="00172374">
        <w:rPr>
          <w:iCs/>
        </w:rPr>
        <w:t>(1), 99-109</w:t>
      </w:r>
      <w:r w:rsidRPr="00172374">
        <w:t>.</w:t>
      </w:r>
    </w:p>
    <w:p w14:paraId="40E15DA8" w14:textId="77777777" w:rsidR="00DB468D" w:rsidRPr="00172374" w:rsidRDefault="00DB468D" w:rsidP="009D0C89">
      <w:pPr>
        <w:tabs>
          <w:tab w:val="left" w:pos="-284"/>
          <w:tab w:val="left" w:pos="0"/>
          <w:tab w:val="left" w:pos="142"/>
        </w:tabs>
        <w:spacing w:after="240" w:line="360" w:lineRule="auto"/>
        <w:ind w:left="426" w:hanging="426"/>
      </w:pPr>
      <w:r w:rsidRPr="00172374">
        <w:t xml:space="preserve">Rehman, A., Johnston, M., &amp; James, W. (2019). How multiple strategic orientations impact brand equity of B2B SMEs. </w:t>
      </w:r>
      <w:r w:rsidRPr="00172374">
        <w:rPr>
          <w:i/>
        </w:rPr>
        <w:t>Journal of Strategic Marketing, 27</w:t>
      </w:r>
      <w:r w:rsidRPr="00172374">
        <w:rPr>
          <w:iCs/>
        </w:rPr>
        <w:t>(8),</w:t>
      </w:r>
      <w:r w:rsidRPr="00172374">
        <w:t xml:space="preserve"> 730–750.</w:t>
      </w:r>
    </w:p>
    <w:p w14:paraId="20D2D2F2" w14:textId="77777777" w:rsidR="00DB468D" w:rsidRPr="00172374" w:rsidRDefault="00DB468D" w:rsidP="009D0C89">
      <w:pPr>
        <w:tabs>
          <w:tab w:val="left" w:pos="284"/>
        </w:tabs>
        <w:spacing w:after="240" w:line="360" w:lineRule="auto"/>
        <w:ind w:left="426" w:hanging="426"/>
      </w:pPr>
      <w:r w:rsidRPr="00172374">
        <w:t xml:space="preserve">Reid, M., Luxton, S., &amp; </w:t>
      </w:r>
      <w:proofErr w:type="spellStart"/>
      <w:r w:rsidRPr="00172374">
        <w:t>Mavondo</w:t>
      </w:r>
      <w:proofErr w:type="spellEnd"/>
      <w:r w:rsidRPr="00172374">
        <w:t xml:space="preserve">, F. (2005). The relationship between integrated marketing communication, market orientation, and brand orientation. </w:t>
      </w:r>
      <w:r w:rsidRPr="00172374">
        <w:rPr>
          <w:i/>
        </w:rPr>
        <w:t>Journal of Advertising, 34</w:t>
      </w:r>
      <w:r w:rsidRPr="00172374">
        <w:rPr>
          <w:iCs/>
        </w:rPr>
        <w:t>(4),</w:t>
      </w:r>
      <w:r w:rsidRPr="00172374">
        <w:t xml:space="preserve"> 11–23</w:t>
      </w:r>
    </w:p>
    <w:p w14:paraId="52F34A61" w14:textId="77777777" w:rsidR="00DB468D" w:rsidRPr="00172374" w:rsidRDefault="00DB468D" w:rsidP="009D0C89">
      <w:pPr>
        <w:tabs>
          <w:tab w:val="left" w:pos="0"/>
          <w:tab w:val="left" w:pos="142"/>
        </w:tabs>
        <w:spacing w:after="240" w:line="360" w:lineRule="auto"/>
        <w:ind w:left="426" w:hanging="426"/>
      </w:pPr>
      <w:r w:rsidRPr="00172374">
        <w:t xml:space="preserve">Robinson, J. P., Shaver, P. R., &amp; </w:t>
      </w:r>
      <w:proofErr w:type="spellStart"/>
      <w:r w:rsidRPr="00172374">
        <w:t>Wrightsman</w:t>
      </w:r>
      <w:proofErr w:type="spellEnd"/>
      <w:r w:rsidRPr="00172374">
        <w:t xml:space="preserve">, L. S. (1991). Criteria for scale selection and evaluation. In J. P. Robinson, P. R. Shaver, &amp; L. S. </w:t>
      </w:r>
      <w:proofErr w:type="spellStart"/>
      <w:r w:rsidRPr="00172374">
        <w:t>Wrightsman</w:t>
      </w:r>
      <w:proofErr w:type="spellEnd"/>
      <w:r w:rsidRPr="00172374">
        <w:t xml:space="preserve"> (Eds.), </w:t>
      </w:r>
      <w:r w:rsidRPr="00172374">
        <w:rPr>
          <w:i/>
        </w:rPr>
        <w:t>Measures of personality and social psychological attitudes</w:t>
      </w:r>
      <w:r w:rsidRPr="00172374">
        <w:rPr>
          <w:iCs/>
        </w:rPr>
        <w:t xml:space="preserve"> (pp. 1-16)</w:t>
      </w:r>
      <w:r w:rsidRPr="00172374">
        <w:rPr>
          <w:i/>
        </w:rPr>
        <w:t xml:space="preserve">. </w:t>
      </w:r>
      <w:r w:rsidRPr="00172374">
        <w:t>San Diego: Academic Press.</w:t>
      </w:r>
    </w:p>
    <w:p w14:paraId="5A795B7B" w14:textId="77777777" w:rsidR="00DB468D" w:rsidRPr="00172374" w:rsidRDefault="00DB468D" w:rsidP="009D0C89">
      <w:pPr>
        <w:spacing w:after="240" w:line="360" w:lineRule="auto"/>
        <w:ind w:left="426" w:hanging="426"/>
      </w:pPr>
      <w:r w:rsidRPr="00172374">
        <w:t xml:space="preserve">Rucker, D. D., Preacher, K. J., </w:t>
      </w:r>
      <w:proofErr w:type="spellStart"/>
      <w:r w:rsidRPr="00172374">
        <w:t>Tormala</w:t>
      </w:r>
      <w:proofErr w:type="spellEnd"/>
      <w:r w:rsidRPr="00172374">
        <w:t xml:space="preserve">, Z. L., &amp; Petty, R. E. (2011). Mediation analysis in social psychology: Current practices and new recommendations. </w:t>
      </w:r>
      <w:r w:rsidRPr="00172374">
        <w:rPr>
          <w:i/>
        </w:rPr>
        <w:t>Social and Personality Psychology Compass,</w:t>
      </w:r>
      <w:r w:rsidRPr="00172374">
        <w:t xml:space="preserve"> </w:t>
      </w:r>
      <w:r w:rsidRPr="00172374">
        <w:rPr>
          <w:i/>
        </w:rPr>
        <w:t>5</w:t>
      </w:r>
      <w:r w:rsidRPr="00172374">
        <w:rPr>
          <w:iCs/>
        </w:rPr>
        <w:t>(6),</w:t>
      </w:r>
      <w:r w:rsidRPr="00172374">
        <w:t xml:space="preserve"> 359–371.</w:t>
      </w:r>
    </w:p>
    <w:p w14:paraId="7CB75B44" w14:textId="77777777" w:rsidR="00DB468D" w:rsidRPr="00172374" w:rsidRDefault="00DB468D" w:rsidP="009D0C89">
      <w:pPr>
        <w:spacing w:after="240" w:line="360" w:lineRule="auto"/>
        <w:ind w:left="426" w:hanging="426"/>
      </w:pPr>
      <w:proofErr w:type="spellStart"/>
      <w:r w:rsidRPr="00172374">
        <w:t>Sandelowski</w:t>
      </w:r>
      <w:proofErr w:type="spellEnd"/>
      <w:r w:rsidRPr="00172374">
        <w:t xml:space="preserve">, M. (2004). Using qualitative research. </w:t>
      </w:r>
      <w:r w:rsidRPr="00172374">
        <w:rPr>
          <w:i/>
          <w:iCs/>
        </w:rPr>
        <w:t>Qualitative Health Research</w:t>
      </w:r>
      <w:r w:rsidRPr="00172374">
        <w:t xml:space="preserve">, </w:t>
      </w:r>
      <w:r w:rsidRPr="00172374">
        <w:rPr>
          <w:i/>
          <w:iCs/>
        </w:rPr>
        <w:t>14</w:t>
      </w:r>
      <w:r w:rsidRPr="00172374">
        <w:t>(10), 1366–1386.</w:t>
      </w:r>
    </w:p>
    <w:p w14:paraId="21353AE3" w14:textId="77777777" w:rsidR="00DB468D" w:rsidRPr="00172374" w:rsidRDefault="00DB468D" w:rsidP="009D0C89">
      <w:pPr>
        <w:tabs>
          <w:tab w:val="left" w:pos="-284"/>
        </w:tabs>
        <w:spacing w:after="240" w:line="360" w:lineRule="auto"/>
        <w:ind w:left="426" w:hanging="426"/>
      </w:pPr>
      <w:r w:rsidRPr="00172374">
        <w:t xml:space="preserve">Sawhney, M. (2005). Branding in technology markets. Chapter 11 in </w:t>
      </w:r>
      <w:r w:rsidRPr="00172374">
        <w:rPr>
          <w:i/>
        </w:rPr>
        <w:t>Kellogg on Branding</w:t>
      </w:r>
      <w:r w:rsidRPr="00172374">
        <w:t xml:space="preserve"> (Edited by </w:t>
      </w:r>
      <w:proofErr w:type="spellStart"/>
      <w:r w:rsidRPr="00172374">
        <w:t>Tybout</w:t>
      </w:r>
      <w:proofErr w:type="spellEnd"/>
      <w:r w:rsidRPr="00172374">
        <w:t xml:space="preserve"> A.M. &amp; Calkins T.), Wiley &amp; Sons. </w:t>
      </w:r>
    </w:p>
    <w:p w14:paraId="1220E19F" w14:textId="77777777" w:rsidR="00DB468D" w:rsidRPr="00172374" w:rsidRDefault="00DB468D" w:rsidP="009D0C89">
      <w:pPr>
        <w:tabs>
          <w:tab w:val="left" w:pos="-284"/>
        </w:tabs>
        <w:spacing w:after="240" w:line="360" w:lineRule="auto"/>
        <w:ind w:left="426" w:hanging="426"/>
      </w:pPr>
      <w:r w:rsidRPr="00172374">
        <w:t xml:space="preserve">Schultz, D. E., Tannenbaum, S. I., &amp; </w:t>
      </w:r>
      <w:proofErr w:type="spellStart"/>
      <w:r w:rsidRPr="00172374">
        <w:t>Lauterborn</w:t>
      </w:r>
      <w:proofErr w:type="spellEnd"/>
      <w:r w:rsidRPr="00172374">
        <w:t xml:space="preserve">, R. F. (1993). </w:t>
      </w:r>
      <w:r w:rsidRPr="00172374">
        <w:rPr>
          <w:i/>
        </w:rPr>
        <w:t xml:space="preserve">Integrated Marketing Communications. </w:t>
      </w:r>
      <w:r w:rsidRPr="00172374">
        <w:t>Lincolnwood, IL: NTC Business Books.</w:t>
      </w:r>
    </w:p>
    <w:p w14:paraId="127C4B5C" w14:textId="77777777" w:rsidR="00DB468D" w:rsidRPr="00172374" w:rsidRDefault="00DB468D" w:rsidP="009D0C89">
      <w:pPr>
        <w:spacing w:after="240" w:line="360" w:lineRule="auto"/>
        <w:ind w:left="426" w:hanging="426"/>
        <w:rPr>
          <w:bCs/>
          <w:iCs/>
        </w:rPr>
      </w:pPr>
      <w:proofErr w:type="spellStart"/>
      <w:r w:rsidRPr="00172374">
        <w:rPr>
          <w:bCs/>
          <w:iCs/>
        </w:rPr>
        <w:t>Sendjaya</w:t>
      </w:r>
      <w:proofErr w:type="spellEnd"/>
      <w:r w:rsidRPr="00172374">
        <w:rPr>
          <w:bCs/>
          <w:iCs/>
        </w:rPr>
        <w:t xml:space="preserve">, S., </w:t>
      </w:r>
      <w:proofErr w:type="spellStart"/>
      <w:r w:rsidRPr="00172374">
        <w:rPr>
          <w:bCs/>
          <w:iCs/>
        </w:rPr>
        <w:t>Sarros</w:t>
      </w:r>
      <w:proofErr w:type="spellEnd"/>
      <w:r w:rsidRPr="00172374">
        <w:rPr>
          <w:bCs/>
          <w:iCs/>
        </w:rPr>
        <w:t xml:space="preserve">, J., &amp; Santora, J. (2008). Defining and measuring servant leadership </w:t>
      </w:r>
      <w:proofErr w:type="spellStart"/>
      <w:r w:rsidRPr="00172374">
        <w:rPr>
          <w:bCs/>
          <w:iCs/>
        </w:rPr>
        <w:t>behaviour</w:t>
      </w:r>
      <w:proofErr w:type="spellEnd"/>
      <w:r w:rsidRPr="00172374">
        <w:rPr>
          <w:bCs/>
          <w:iCs/>
        </w:rPr>
        <w:t xml:space="preserve"> in organizations. </w:t>
      </w:r>
      <w:r w:rsidRPr="00172374">
        <w:rPr>
          <w:bCs/>
          <w:i/>
        </w:rPr>
        <w:t>Journal of Management Studies</w:t>
      </w:r>
      <w:r w:rsidRPr="00172374">
        <w:rPr>
          <w:bCs/>
          <w:iCs/>
        </w:rPr>
        <w:t xml:space="preserve">, </w:t>
      </w:r>
      <w:r w:rsidRPr="00172374">
        <w:rPr>
          <w:bCs/>
          <w:i/>
        </w:rPr>
        <w:t>45</w:t>
      </w:r>
      <w:r w:rsidRPr="00172374">
        <w:rPr>
          <w:bCs/>
          <w:iCs/>
        </w:rPr>
        <w:t>(2), 402–424.</w:t>
      </w:r>
    </w:p>
    <w:p w14:paraId="4563BD8C" w14:textId="77777777" w:rsidR="00DB468D" w:rsidRPr="00172374" w:rsidRDefault="00DB468D" w:rsidP="009D0C89">
      <w:pPr>
        <w:tabs>
          <w:tab w:val="left" w:pos="-284"/>
        </w:tabs>
        <w:spacing w:after="240" w:line="360" w:lineRule="auto"/>
        <w:ind w:left="426" w:hanging="426"/>
      </w:pPr>
      <w:proofErr w:type="spellStart"/>
      <w:r w:rsidRPr="00172374">
        <w:t>Seyedghorban</w:t>
      </w:r>
      <w:proofErr w:type="spellEnd"/>
      <w:r w:rsidRPr="00172374">
        <w:t xml:space="preserve">, Z., </w:t>
      </w:r>
      <w:proofErr w:type="spellStart"/>
      <w:r w:rsidRPr="00172374">
        <w:t>Matanda</w:t>
      </w:r>
      <w:proofErr w:type="spellEnd"/>
      <w:r w:rsidRPr="00172374">
        <w:t xml:space="preserve">, M., &amp; </w:t>
      </w:r>
      <w:proofErr w:type="spellStart"/>
      <w:r w:rsidRPr="00172374">
        <w:t>LaPlaca</w:t>
      </w:r>
      <w:proofErr w:type="spellEnd"/>
      <w:r w:rsidRPr="00172374">
        <w:t xml:space="preserve">, P. (2016). Advancing theory and knowledge in the business-to-business branding literature. </w:t>
      </w:r>
      <w:r w:rsidRPr="00172374">
        <w:rPr>
          <w:i/>
          <w:iCs/>
        </w:rPr>
        <w:t>Journal of Business Research</w:t>
      </w:r>
      <w:r w:rsidRPr="00172374">
        <w:t xml:space="preserve">, </w:t>
      </w:r>
      <w:r w:rsidRPr="00172374">
        <w:rPr>
          <w:i/>
          <w:iCs/>
        </w:rPr>
        <w:t>69</w:t>
      </w:r>
      <w:r w:rsidRPr="00172374">
        <w:t>(8), 2664–2677.</w:t>
      </w:r>
    </w:p>
    <w:p w14:paraId="1E6B7562" w14:textId="77777777" w:rsidR="00DB468D" w:rsidRPr="00172374" w:rsidRDefault="00DB468D" w:rsidP="009D0C89">
      <w:pPr>
        <w:tabs>
          <w:tab w:val="left" w:pos="-284"/>
        </w:tabs>
        <w:spacing w:after="240" w:line="360" w:lineRule="auto"/>
        <w:ind w:left="426" w:hanging="426"/>
      </w:pPr>
      <w:r w:rsidRPr="00172374">
        <w:rPr>
          <w:lang w:val="sv-SE"/>
        </w:rPr>
        <w:lastRenderedPageBreak/>
        <w:t xml:space="preserve">Shocker A. D., Srivastava R. K., &amp; Ruekert R. W. (1994). </w:t>
      </w:r>
      <w:r w:rsidRPr="00172374">
        <w:t xml:space="preserve">Challenges and opportunities facing brand management. </w:t>
      </w:r>
      <w:r w:rsidRPr="00172374">
        <w:rPr>
          <w:i/>
        </w:rPr>
        <w:t>Journal of Marketing Research, 31</w:t>
      </w:r>
      <w:r w:rsidRPr="00172374">
        <w:rPr>
          <w:iCs/>
        </w:rPr>
        <w:t>(2),</w:t>
      </w:r>
      <w:r w:rsidRPr="00172374">
        <w:t xml:space="preserve"> 149–158.</w:t>
      </w:r>
    </w:p>
    <w:p w14:paraId="1B82FC0F" w14:textId="77777777" w:rsidR="00DB468D" w:rsidRPr="00172374" w:rsidRDefault="00DB468D" w:rsidP="009D0C89">
      <w:pPr>
        <w:tabs>
          <w:tab w:val="left" w:pos="709"/>
        </w:tabs>
        <w:spacing w:after="240" w:line="360" w:lineRule="auto"/>
        <w:ind w:left="426" w:hanging="426"/>
      </w:pPr>
      <w:proofErr w:type="spellStart"/>
      <w:r w:rsidRPr="00172374">
        <w:t>Simões</w:t>
      </w:r>
      <w:proofErr w:type="spellEnd"/>
      <w:r w:rsidRPr="00172374">
        <w:t xml:space="preserve">, C. &amp; </w:t>
      </w:r>
      <w:proofErr w:type="spellStart"/>
      <w:r w:rsidRPr="00172374">
        <w:t>Dibb</w:t>
      </w:r>
      <w:proofErr w:type="spellEnd"/>
      <w:r w:rsidRPr="00172374">
        <w:t xml:space="preserve">, S. (2001). Rethinking the brand concept: new brand orientation. </w:t>
      </w:r>
      <w:r w:rsidRPr="00172374">
        <w:rPr>
          <w:i/>
          <w:iCs/>
        </w:rPr>
        <w:t>Corporate Communications: an international journal</w:t>
      </w:r>
      <w:r w:rsidRPr="00172374">
        <w:t xml:space="preserve">, </w:t>
      </w:r>
      <w:r w:rsidRPr="00172374">
        <w:rPr>
          <w:i/>
          <w:iCs/>
        </w:rPr>
        <w:t>6</w:t>
      </w:r>
      <w:r w:rsidRPr="00172374">
        <w:t>(4), 217 – 224.</w:t>
      </w:r>
    </w:p>
    <w:p w14:paraId="0B0C7B8F" w14:textId="77777777" w:rsidR="00DB468D" w:rsidRPr="00172374" w:rsidRDefault="00DB468D" w:rsidP="009D0C89">
      <w:pPr>
        <w:tabs>
          <w:tab w:val="left" w:pos="709"/>
        </w:tabs>
        <w:spacing w:after="240" w:line="360" w:lineRule="auto"/>
        <w:ind w:left="426" w:hanging="426"/>
        <w:rPr>
          <w:bCs/>
          <w:iCs/>
        </w:rPr>
      </w:pPr>
      <w:proofErr w:type="spellStart"/>
      <w:r w:rsidRPr="00172374">
        <w:rPr>
          <w:bCs/>
          <w:iCs/>
        </w:rPr>
        <w:t>Sotiriadou</w:t>
      </w:r>
      <w:proofErr w:type="spellEnd"/>
      <w:r w:rsidRPr="00172374">
        <w:rPr>
          <w:bCs/>
          <w:iCs/>
        </w:rPr>
        <w:t xml:space="preserve">, P., Brouwers, J., &amp; Le, T. A. (2014). Choosing a qualitative data analysis tool: A comparison of NVivo and Leximancer. </w:t>
      </w:r>
      <w:r w:rsidRPr="00172374">
        <w:rPr>
          <w:bCs/>
          <w:i/>
        </w:rPr>
        <w:t>Annals of Leisure Research</w:t>
      </w:r>
      <w:r w:rsidRPr="00172374">
        <w:rPr>
          <w:bCs/>
          <w:iCs/>
        </w:rPr>
        <w:t xml:space="preserve">, </w:t>
      </w:r>
      <w:r w:rsidRPr="00172374">
        <w:rPr>
          <w:bCs/>
          <w:i/>
        </w:rPr>
        <w:t>17</w:t>
      </w:r>
      <w:r w:rsidRPr="00172374">
        <w:rPr>
          <w:bCs/>
          <w:iCs/>
        </w:rPr>
        <w:t>(2), 218</w:t>
      </w:r>
      <w:r w:rsidRPr="00172374">
        <w:t>–</w:t>
      </w:r>
      <w:r w:rsidRPr="00172374">
        <w:rPr>
          <w:bCs/>
          <w:iCs/>
        </w:rPr>
        <w:t>234.</w:t>
      </w:r>
    </w:p>
    <w:p w14:paraId="78ECC196" w14:textId="77777777" w:rsidR="00DB468D" w:rsidRPr="00172374" w:rsidRDefault="00DB468D" w:rsidP="009D0C89">
      <w:pPr>
        <w:tabs>
          <w:tab w:val="left" w:pos="-284"/>
        </w:tabs>
        <w:spacing w:after="240" w:line="360" w:lineRule="auto"/>
        <w:ind w:left="426" w:hanging="426"/>
      </w:pPr>
      <w:r w:rsidRPr="00172374">
        <w:t xml:space="preserve">Swoboda, B, &amp; </w:t>
      </w:r>
      <w:proofErr w:type="spellStart"/>
      <w:r w:rsidRPr="00172374">
        <w:t>Hirschmann</w:t>
      </w:r>
      <w:proofErr w:type="spellEnd"/>
      <w:r w:rsidRPr="00172374">
        <w:t xml:space="preserve">, J. (2016). Does being perceived as global pay off? An analysis of leading foreign and domestic multinational corporations in India, Japan, and the United States. </w:t>
      </w:r>
      <w:r w:rsidRPr="00172374">
        <w:rPr>
          <w:i/>
        </w:rPr>
        <w:t>Journal of International Marketing</w:t>
      </w:r>
      <w:r w:rsidRPr="00172374">
        <w:t xml:space="preserve">, </w:t>
      </w:r>
      <w:r w:rsidRPr="00172374">
        <w:rPr>
          <w:i/>
          <w:iCs/>
        </w:rPr>
        <w:t>24</w:t>
      </w:r>
      <w:r w:rsidRPr="00172374">
        <w:t>(3), 1–30.</w:t>
      </w:r>
    </w:p>
    <w:p w14:paraId="2DCB90E1" w14:textId="77777777" w:rsidR="00DB468D" w:rsidRPr="00172374" w:rsidRDefault="00DB468D" w:rsidP="009D0C89">
      <w:pPr>
        <w:tabs>
          <w:tab w:val="left" w:pos="-284"/>
          <w:tab w:val="left" w:pos="0"/>
          <w:tab w:val="left" w:pos="142"/>
        </w:tabs>
        <w:spacing w:after="240" w:line="360" w:lineRule="auto"/>
        <w:ind w:left="426" w:hanging="426"/>
      </w:pPr>
      <w:r w:rsidRPr="00172374">
        <w:t xml:space="preserve">Till, B., Baack, D., &amp; Waterman, B. (2011). Strategic brand association maps: Developing brand insight. </w:t>
      </w:r>
      <w:r w:rsidRPr="00172374">
        <w:rPr>
          <w:i/>
        </w:rPr>
        <w:t>Journal of Product &amp; Brand Management, 20</w:t>
      </w:r>
      <w:r w:rsidRPr="00172374">
        <w:rPr>
          <w:iCs/>
        </w:rPr>
        <w:t>(2),</w:t>
      </w:r>
      <w:r w:rsidRPr="00172374">
        <w:t xml:space="preserve"> 92–100.</w:t>
      </w:r>
    </w:p>
    <w:p w14:paraId="7581C51A" w14:textId="77777777" w:rsidR="00DB468D" w:rsidRPr="00172374" w:rsidRDefault="00DB468D" w:rsidP="009D0C89">
      <w:pPr>
        <w:tabs>
          <w:tab w:val="left" w:pos="-284"/>
        </w:tabs>
        <w:spacing w:after="240" w:line="288" w:lineRule="auto"/>
        <w:ind w:left="426" w:hanging="426"/>
      </w:pPr>
      <w:r w:rsidRPr="00172374">
        <w:t xml:space="preserve">Tilley, C. (1999). Built-in branding: how to engineer a leadership brand. </w:t>
      </w:r>
      <w:r w:rsidRPr="00172374">
        <w:rPr>
          <w:i/>
        </w:rPr>
        <w:t xml:space="preserve">Journal of Marketing Management, </w:t>
      </w:r>
      <w:r w:rsidRPr="00172374">
        <w:rPr>
          <w:i/>
          <w:iCs/>
        </w:rPr>
        <w:t>15</w:t>
      </w:r>
      <w:r w:rsidRPr="00172374">
        <w:t>(1-3), 181–191.</w:t>
      </w:r>
    </w:p>
    <w:p w14:paraId="0E736D96" w14:textId="77777777" w:rsidR="00DB468D" w:rsidRPr="00172374" w:rsidRDefault="00DB468D" w:rsidP="009D0C89">
      <w:pPr>
        <w:tabs>
          <w:tab w:val="left" w:pos="-284"/>
        </w:tabs>
        <w:spacing w:after="240" w:line="360" w:lineRule="auto"/>
        <w:ind w:left="426" w:hanging="426"/>
      </w:pPr>
      <w:proofErr w:type="spellStart"/>
      <w:r w:rsidRPr="00172374">
        <w:t>Urde</w:t>
      </w:r>
      <w:proofErr w:type="spellEnd"/>
      <w:r w:rsidRPr="00172374">
        <w:t xml:space="preserve">, M. (1994). Brand orientation: A strategy for survival. </w:t>
      </w:r>
      <w:r w:rsidRPr="00172374">
        <w:rPr>
          <w:i/>
        </w:rPr>
        <w:t>Journal of Consumer Marketing</w:t>
      </w:r>
      <w:r w:rsidRPr="00172374">
        <w:t xml:space="preserve">, </w:t>
      </w:r>
      <w:r w:rsidRPr="00172374">
        <w:rPr>
          <w:i/>
        </w:rPr>
        <w:t>11</w:t>
      </w:r>
      <w:r w:rsidRPr="00172374">
        <w:rPr>
          <w:iCs/>
        </w:rPr>
        <w:t>(3),</w:t>
      </w:r>
      <w:r w:rsidRPr="00172374">
        <w:t xml:space="preserve"> 18–32. </w:t>
      </w:r>
    </w:p>
    <w:p w14:paraId="7D3FBFC5" w14:textId="77777777" w:rsidR="00DB468D" w:rsidRPr="00172374" w:rsidRDefault="00DB468D" w:rsidP="009D0C89">
      <w:pPr>
        <w:tabs>
          <w:tab w:val="left" w:pos="-284"/>
        </w:tabs>
        <w:spacing w:after="240" w:line="360" w:lineRule="auto"/>
        <w:ind w:left="426" w:hanging="426"/>
      </w:pPr>
      <w:proofErr w:type="spellStart"/>
      <w:r w:rsidRPr="00172374">
        <w:t>Urde</w:t>
      </w:r>
      <w:proofErr w:type="spellEnd"/>
      <w:r w:rsidRPr="00172374">
        <w:t xml:space="preserve">, M. (1999). Brand orientation: A mindset for building brands into strategic resources. </w:t>
      </w:r>
      <w:r w:rsidRPr="00172374">
        <w:rPr>
          <w:i/>
        </w:rPr>
        <w:t>Journal of Marketing Management, 15</w:t>
      </w:r>
      <w:r w:rsidRPr="00172374">
        <w:rPr>
          <w:iCs/>
        </w:rPr>
        <w:t>(1),</w:t>
      </w:r>
      <w:r w:rsidRPr="00172374">
        <w:t xml:space="preserve"> 117–133.</w:t>
      </w:r>
    </w:p>
    <w:p w14:paraId="11ACF62F" w14:textId="77777777" w:rsidR="00DB468D" w:rsidRPr="00172374" w:rsidRDefault="00DB468D" w:rsidP="009D0C89">
      <w:pPr>
        <w:tabs>
          <w:tab w:val="left" w:pos="-284"/>
        </w:tabs>
        <w:spacing w:after="240" w:line="360" w:lineRule="auto"/>
        <w:ind w:left="426" w:hanging="426"/>
      </w:pPr>
      <w:proofErr w:type="spellStart"/>
      <w:r w:rsidRPr="00172374">
        <w:t>Urde</w:t>
      </w:r>
      <w:proofErr w:type="spellEnd"/>
      <w:r w:rsidRPr="00172374">
        <w:t xml:space="preserve">, M., </w:t>
      </w:r>
      <w:proofErr w:type="spellStart"/>
      <w:r w:rsidRPr="00172374">
        <w:t>Baumgarth</w:t>
      </w:r>
      <w:proofErr w:type="spellEnd"/>
      <w:r w:rsidRPr="00172374">
        <w:t xml:space="preserve">, C., &amp; </w:t>
      </w:r>
      <w:proofErr w:type="spellStart"/>
      <w:r w:rsidRPr="00172374">
        <w:t>Merrilees</w:t>
      </w:r>
      <w:proofErr w:type="spellEnd"/>
      <w:r w:rsidRPr="00172374">
        <w:t xml:space="preserve">, B. (2013). Brand orientation and market orientation: From alternatives to synergy. </w:t>
      </w:r>
      <w:r w:rsidRPr="00172374">
        <w:rPr>
          <w:i/>
        </w:rPr>
        <w:t>Journal of Business Research,</w:t>
      </w:r>
      <w:r w:rsidRPr="00172374">
        <w:t xml:space="preserve"> </w:t>
      </w:r>
      <w:r w:rsidRPr="00172374">
        <w:rPr>
          <w:i/>
        </w:rPr>
        <w:t>66</w:t>
      </w:r>
      <w:r w:rsidRPr="00172374">
        <w:rPr>
          <w:iCs/>
        </w:rPr>
        <w:t>(1),</w:t>
      </w:r>
      <w:r w:rsidRPr="00172374">
        <w:t xml:space="preserve"> 13–20.</w:t>
      </w:r>
    </w:p>
    <w:p w14:paraId="336D283D" w14:textId="77777777" w:rsidR="00DB468D" w:rsidRPr="00172374" w:rsidRDefault="00DB468D" w:rsidP="009D0C89">
      <w:pPr>
        <w:tabs>
          <w:tab w:val="left" w:pos="-284"/>
        </w:tabs>
        <w:spacing w:after="240" w:line="360" w:lineRule="auto"/>
        <w:ind w:left="426" w:hanging="426"/>
      </w:pPr>
      <w:proofErr w:type="spellStart"/>
      <w:r w:rsidRPr="00172374">
        <w:t>Vallaster</w:t>
      </w:r>
      <w:proofErr w:type="spellEnd"/>
      <w:r w:rsidRPr="00172374">
        <w:t xml:space="preserve">, C. &amp; de </w:t>
      </w:r>
      <w:proofErr w:type="spellStart"/>
      <w:r w:rsidRPr="00172374">
        <w:t>Chernatony</w:t>
      </w:r>
      <w:proofErr w:type="spellEnd"/>
      <w:r w:rsidRPr="00172374">
        <w:t xml:space="preserve"> (2005). Internationalization of services brands: the role of leadership during the internal brand building process. </w:t>
      </w:r>
      <w:r w:rsidRPr="00172374">
        <w:rPr>
          <w:i/>
        </w:rPr>
        <w:t>Journal of Marketing Management</w:t>
      </w:r>
      <w:r w:rsidRPr="00172374">
        <w:t xml:space="preserve">, </w:t>
      </w:r>
      <w:r w:rsidRPr="00172374">
        <w:rPr>
          <w:i/>
          <w:iCs/>
        </w:rPr>
        <w:t>21</w:t>
      </w:r>
      <w:r w:rsidRPr="00172374">
        <w:t>(1-2), 181–203.</w:t>
      </w:r>
    </w:p>
    <w:p w14:paraId="7DAD8AB7" w14:textId="77777777" w:rsidR="00DB468D" w:rsidRPr="00172374" w:rsidRDefault="00DB468D" w:rsidP="009D0C89">
      <w:pPr>
        <w:tabs>
          <w:tab w:val="left" w:pos="-284"/>
          <w:tab w:val="left" w:pos="0"/>
          <w:tab w:val="left" w:pos="142"/>
        </w:tabs>
        <w:spacing w:after="240" w:line="360" w:lineRule="auto"/>
        <w:ind w:left="426" w:hanging="426"/>
      </w:pPr>
      <w:r w:rsidRPr="00172374">
        <w:t xml:space="preserve">Van den Driest, F., </w:t>
      </w:r>
      <w:proofErr w:type="spellStart"/>
      <w:r w:rsidRPr="00172374">
        <w:t>Sthanunathan</w:t>
      </w:r>
      <w:proofErr w:type="spellEnd"/>
      <w:r w:rsidRPr="00172374">
        <w:t xml:space="preserve">, S., &amp; Weed, K. (2016). Building an insights engine. </w:t>
      </w:r>
      <w:r w:rsidRPr="00172374">
        <w:rPr>
          <w:i/>
        </w:rPr>
        <w:t>Harvard Business Review, 94</w:t>
      </w:r>
      <w:r w:rsidRPr="00172374">
        <w:rPr>
          <w:iCs/>
        </w:rPr>
        <w:t>(9),</w:t>
      </w:r>
      <w:r w:rsidRPr="00172374">
        <w:t xml:space="preserve"> 64–74.</w:t>
      </w:r>
    </w:p>
    <w:p w14:paraId="05AF9787" w14:textId="77777777" w:rsidR="00DB468D" w:rsidRPr="00172374" w:rsidRDefault="00DB468D" w:rsidP="009D0C89">
      <w:pPr>
        <w:tabs>
          <w:tab w:val="left" w:pos="-284"/>
        </w:tabs>
        <w:spacing w:after="240" w:line="360" w:lineRule="auto"/>
        <w:ind w:left="426" w:hanging="426"/>
      </w:pPr>
      <w:r w:rsidRPr="00172374">
        <w:t xml:space="preserve">Wong H.Y., &amp; </w:t>
      </w:r>
      <w:proofErr w:type="spellStart"/>
      <w:r w:rsidRPr="00172374">
        <w:t>Merrilees</w:t>
      </w:r>
      <w:proofErr w:type="spellEnd"/>
      <w:r w:rsidRPr="00172374">
        <w:t xml:space="preserve"> B. (2008). The performance benefits of being </w:t>
      </w:r>
      <w:proofErr w:type="gramStart"/>
      <w:r w:rsidRPr="00172374">
        <w:t>brand-oriented</w:t>
      </w:r>
      <w:proofErr w:type="gramEnd"/>
      <w:r w:rsidRPr="00172374">
        <w:t xml:space="preserve">. </w:t>
      </w:r>
      <w:r w:rsidRPr="00172374">
        <w:rPr>
          <w:i/>
          <w:iCs/>
        </w:rPr>
        <w:t>Journal of Product and Brand Management, 17</w:t>
      </w:r>
      <w:r w:rsidRPr="00172374">
        <w:t>(6), 372–383.</w:t>
      </w:r>
    </w:p>
    <w:p w14:paraId="3C54D210" w14:textId="77777777" w:rsidR="00DB468D" w:rsidRPr="00172374" w:rsidRDefault="00DB468D" w:rsidP="009D0C89">
      <w:pPr>
        <w:tabs>
          <w:tab w:val="left" w:pos="-284"/>
        </w:tabs>
        <w:spacing w:after="240" w:line="360" w:lineRule="auto"/>
        <w:ind w:left="426" w:hanging="426"/>
        <w:rPr>
          <w:lang w:eastAsia="el-GR"/>
        </w:rPr>
      </w:pPr>
      <w:r w:rsidRPr="00172374">
        <w:lastRenderedPageBreak/>
        <w:t>Wong, C. S., Law, K. S., &amp; Huang, G. H. (2008). On the importance of conducting construct-level analysis for multidimensional constructs in theory development and testing</w:t>
      </w:r>
      <w:r w:rsidRPr="00172374">
        <w:rPr>
          <w:i/>
        </w:rPr>
        <w:t>. Journal of Management, 34</w:t>
      </w:r>
      <w:r w:rsidRPr="00172374">
        <w:rPr>
          <w:iCs/>
        </w:rPr>
        <w:t>(4),</w:t>
      </w:r>
      <w:r w:rsidRPr="00172374">
        <w:t xml:space="preserve"> 744</w:t>
      </w:r>
      <w:r w:rsidRPr="00172374">
        <w:sym w:font="Symbol" w:char="F02D"/>
      </w:r>
      <w:r w:rsidRPr="00172374">
        <w:t xml:space="preserve">764. </w:t>
      </w:r>
    </w:p>
    <w:p w14:paraId="1D0B763F" w14:textId="77777777" w:rsidR="00DB468D" w:rsidRPr="00172374" w:rsidRDefault="00DB468D" w:rsidP="009D0C89">
      <w:pPr>
        <w:tabs>
          <w:tab w:val="left" w:pos="-284"/>
        </w:tabs>
        <w:spacing w:after="240" w:line="360" w:lineRule="auto"/>
        <w:ind w:left="426" w:hanging="426"/>
      </w:pPr>
      <w:r w:rsidRPr="00172374">
        <w:t xml:space="preserve">Wong, H. Y., &amp; </w:t>
      </w:r>
      <w:proofErr w:type="spellStart"/>
      <w:r w:rsidRPr="00172374">
        <w:t>Merrilees</w:t>
      </w:r>
      <w:proofErr w:type="spellEnd"/>
      <w:r w:rsidRPr="00172374">
        <w:t>, B. (2007). Multiple roles for branding in international marketing</w:t>
      </w:r>
      <w:r w:rsidRPr="00172374">
        <w:rPr>
          <w:i/>
        </w:rPr>
        <w:t xml:space="preserve">. </w:t>
      </w:r>
      <w:r w:rsidRPr="00172374">
        <w:rPr>
          <w:i/>
          <w:iCs/>
        </w:rPr>
        <w:t>International Marketing Review</w:t>
      </w:r>
      <w:r w:rsidRPr="00172374">
        <w:rPr>
          <w:iCs/>
        </w:rPr>
        <w:t xml:space="preserve">, </w:t>
      </w:r>
      <w:r w:rsidRPr="00172374">
        <w:rPr>
          <w:i/>
        </w:rPr>
        <w:t>24</w:t>
      </w:r>
      <w:r w:rsidRPr="00172374">
        <w:rPr>
          <w:iCs/>
        </w:rPr>
        <w:t>(4),</w:t>
      </w:r>
      <w:r w:rsidRPr="00172374">
        <w:t xml:space="preserve"> 384–408.</w:t>
      </w:r>
    </w:p>
    <w:p w14:paraId="5BC41ED5" w14:textId="77777777" w:rsidR="00DB468D" w:rsidRPr="00172374" w:rsidRDefault="00DB468D" w:rsidP="009D0C89">
      <w:pPr>
        <w:tabs>
          <w:tab w:val="left" w:pos="-284"/>
          <w:tab w:val="left" w:pos="0"/>
          <w:tab w:val="left" w:pos="142"/>
        </w:tabs>
        <w:spacing w:after="240" w:line="360" w:lineRule="auto"/>
        <w:ind w:left="426" w:hanging="426"/>
      </w:pPr>
      <w:r w:rsidRPr="00172374">
        <w:t xml:space="preserve">Yan, L., Krista, L., </w:t>
      </w:r>
      <w:proofErr w:type="spellStart"/>
      <w:r w:rsidRPr="00172374">
        <w:t>Haipeng</w:t>
      </w:r>
      <w:proofErr w:type="spellEnd"/>
      <w:r w:rsidRPr="00172374">
        <w:t xml:space="preserve">, C., &amp; Subramanian, B. (2017). The effects of products’ aesthetic design on demand and marketing-mix effectiveness: The role of segment prototypicality and brand consistency. </w:t>
      </w:r>
      <w:r w:rsidRPr="00172374">
        <w:rPr>
          <w:i/>
        </w:rPr>
        <w:t>Journal of Marketing, 81</w:t>
      </w:r>
      <w:r w:rsidRPr="00172374">
        <w:rPr>
          <w:iCs/>
        </w:rPr>
        <w:t>(1),</w:t>
      </w:r>
      <w:r w:rsidRPr="00172374">
        <w:t xml:space="preserve"> 83–102.</w:t>
      </w:r>
    </w:p>
    <w:p w14:paraId="0DDFCA51" w14:textId="77777777" w:rsidR="00DB468D" w:rsidRPr="00172374" w:rsidRDefault="00DB468D" w:rsidP="009D0C89">
      <w:pPr>
        <w:tabs>
          <w:tab w:val="left" w:pos="-284"/>
          <w:tab w:val="left" w:pos="0"/>
          <w:tab w:val="left" w:pos="142"/>
        </w:tabs>
        <w:spacing w:after="240" w:line="360" w:lineRule="auto"/>
        <w:ind w:left="426" w:hanging="426"/>
      </w:pPr>
      <w:proofErr w:type="spellStart"/>
      <w:r w:rsidRPr="00172374">
        <w:t>Yau</w:t>
      </w:r>
      <w:proofErr w:type="spellEnd"/>
      <w:r w:rsidRPr="00172374">
        <w:t xml:space="preserve">, O., Chow, R., Sin, L., </w:t>
      </w:r>
      <w:proofErr w:type="spellStart"/>
      <w:r w:rsidRPr="00172374">
        <w:t>Tse</w:t>
      </w:r>
      <w:proofErr w:type="spellEnd"/>
      <w:r w:rsidRPr="00172374">
        <w:t xml:space="preserve">, A., </w:t>
      </w:r>
      <w:proofErr w:type="spellStart"/>
      <w:r w:rsidRPr="00172374">
        <w:t>Luk</w:t>
      </w:r>
      <w:proofErr w:type="spellEnd"/>
      <w:r w:rsidRPr="00172374">
        <w:t xml:space="preserve">, C.L., &amp; Lee, J. (2007). Developing a scale for stakeholder orientation. </w:t>
      </w:r>
      <w:r w:rsidRPr="00172374">
        <w:rPr>
          <w:i/>
        </w:rPr>
        <w:t>European Journal of Marketing, 41</w:t>
      </w:r>
      <w:r w:rsidRPr="00172374">
        <w:rPr>
          <w:iCs/>
        </w:rPr>
        <w:t>(11/12),</w:t>
      </w:r>
      <w:r w:rsidRPr="00172374">
        <w:t xml:space="preserve"> 1306–1327. </w:t>
      </w:r>
    </w:p>
    <w:p w14:paraId="7E675AE2" w14:textId="77777777" w:rsidR="009856E5" w:rsidRPr="00172374" w:rsidRDefault="009856E5" w:rsidP="009D7D1A">
      <w:pPr>
        <w:tabs>
          <w:tab w:val="left" w:pos="-284"/>
          <w:tab w:val="left" w:pos="0"/>
          <w:tab w:val="left" w:pos="142"/>
        </w:tabs>
        <w:spacing w:line="480" w:lineRule="auto"/>
        <w:ind w:left="567" w:hanging="567"/>
      </w:pPr>
    </w:p>
    <w:p w14:paraId="5E1694CC" w14:textId="77777777" w:rsidR="002734C2" w:rsidRPr="00172374" w:rsidRDefault="002734C2">
      <w:pPr>
        <w:spacing w:after="160" w:line="259" w:lineRule="auto"/>
      </w:pPr>
      <w:r w:rsidRPr="00172374">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6804"/>
      </w:tblGrid>
      <w:tr w:rsidR="00B21591" w:rsidRPr="00172374" w14:paraId="19CE332F" w14:textId="77777777" w:rsidTr="007A0AEE">
        <w:tc>
          <w:tcPr>
            <w:tcW w:w="8931" w:type="dxa"/>
            <w:gridSpan w:val="2"/>
            <w:tcBorders>
              <w:top w:val="nil"/>
              <w:left w:val="nil"/>
              <w:bottom w:val="single" w:sz="4" w:space="0" w:color="auto"/>
              <w:right w:val="nil"/>
            </w:tcBorders>
          </w:tcPr>
          <w:p w14:paraId="23574A53" w14:textId="77777777" w:rsidR="00B21591" w:rsidRPr="00172374" w:rsidRDefault="00B21591" w:rsidP="00077542">
            <w:pPr>
              <w:pStyle w:val="figurestables"/>
              <w:spacing w:after="60" w:line="240" w:lineRule="auto"/>
              <w:jc w:val="both"/>
              <w:rPr>
                <w:lang w:eastAsia="el-GR"/>
              </w:rPr>
            </w:pPr>
            <w:r w:rsidRPr="00172374">
              <w:rPr>
                <w:lang w:eastAsia="el-GR"/>
              </w:rPr>
              <w:lastRenderedPageBreak/>
              <w:t>Table 1</w:t>
            </w:r>
          </w:p>
          <w:p w14:paraId="66CB216D" w14:textId="7F75BF8D" w:rsidR="00B21591" w:rsidRPr="00172374" w:rsidRDefault="00B21591" w:rsidP="00077542">
            <w:pPr>
              <w:pStyle w:val="mainabbody"/>
              <w:spacing w:after="60" w:line="240" w:lineRule="auto"/>
              <w:rPr>
                <w:b/>
                <w:sz w:val="22"/>
                <w:szCs w:val="22"/>
                <w:lang w:eastAsia="el-GR"/>
              </w:rPr>
            </w:pPr>
            <w:r w:rsidRPr="00172374">
              <w:rPr>
                <w:lang w:eastAsia="el-GR"/>
              </w:rPr>
              <w:t xml:space="preserve">Indicative definitions proposed for </w:t>
            </w:r>
            <w:r w:rsidR="00671BD9" w:rsidRPr="00172374">
              <w:rPr>
                <w:lang w:eastAsia="el-GR"/>
              </w:rPr>
              <w:t>b</w:t>
            </w:r>
            <w:r w:rsidRPr="00172374">
              <w:rPr>
                <w:lang w:eastAsia="el-GR"/>
              </w:rPr>
              <w:t xml:space="preserve">rand </w:t>
            </w:r>
            <w:r w:rsidR="00671BD9" w:rsidRPr="00172374">
              <w:rPr>
                <w:lang w:eastAsia="el-GR"/>
              </w:rPr>
              <w:t>o</w:t>
            </w:r>
            <w:r w:rsidRPr="00172374">
              <w:rPr>
                <w:lang w:eastAsia="el-GR"/>
              </w:rPr>
              <w:t>rientation</w:t>
            </w:r>
            <w:r w:rsidR="001766E5" w:rsidRPr="00172374">
              <w:rPr>
                <w:lang w:eastAsia="el-GR"/>
              </w:rPr>
              <w:t>.</w:t>
            </w:r>
          </w:p>
        </w:tc>
      </w:tr>
      <w:tr w:rsidR="00B21591" w:rsidRPr="00172374" w14:paraId="730FCC09" w14:textId="77777777" w:rsidTr="00985C3F">
        <w:tc>
          <w:tcPr>
            <w:tcW w:w="2127" w:type="dxa"/>
            <w:tcBorders>
              <w:top w:val="single" w:sz="4" w:space="0" w:color="auto"/>
              <w:left w:val="nil"/>
              <w:bottom w:val="single" w:sz="4" w:space="0" w:color="auto"/>
              <w:right w:val="nil"/>
            </w:tcBorders>
            <w:vAlign w:val="center"/>
          </w:tcPr>
          <w:p w14:paraId="168E4AB9" w14:textId="5F19CD85" w:rsidR="00B21591" w:rsidRPr="00172374" w:rsidRDefault="00B21591" w:rsidP="00077542">
            <w:pPr>
              <w:pStyle w:val="mainabbody"/>
              <w:spacing w:after="0" w:line="240" w:lineRule="auto"/>
              <w:rPr>
                <w:b/>
                <w:sz w:val="22"/>
                <w:szCs w:val="22"/>
                <w:lang w:eastAsia="el-GR"/>
              </w:rPr>
            </w:pPr>
            <w:r w:rsidRPr="00172374">
              <w:rPr>
                <w:b/>
                <w:sz w:val="22"/>
                <w:szCs w:val="22"/>
                <w:lang w:eastAsia="el-GR"/>
              </w:rPr>
              <w:t>Authors, date</w:t>
            </w:r>
          </w:p>
        </w:tc>
        <w:tc>
          <w:tcPr>
            <w:tcW w:w="6804" w:type="dxa"/>
            <w:tcBorders>
              <w:top w:val="single" w:sz="4" w:space="0" w:color="auto"/>
              <w:left w:val="nil"/>
              <w:bottom w:val="single" w:sz="4" w:space="0" w:color="auto"/>
              <w:right w:val="nil"/>
            </w:tcBorders>
            <w:vAlign w:val="center"/>
          </w:tcPr>
          <w:p w14:paraId="6BD55AF8" w14:textId="77777777" w:rsidR="00B21591" w:rsidRPr="00172374" w:rsidRDefault="00B21591" w:rsidP="00077542">
            <w:pPr>
              <w:pStyle w:val="mainabbody"/>
              <w:spacing w:after="0" w:line="240" w:lineRule="auto"/>
              <w:jc w:val="left"/>
              <w:rPr>
                <w:b/>
                <w:sz w:val="22"/>
                <w:szCs w:val="22"/>
                <w:lang w:eastAsia="el-GR"/>
              </w:rPr>
            </w:pPr>
            <w:r w:rsidRPr="00172374">
              <w:rPr>
                <w:b/>
                <w:sz w:val="22"/>
                <w:szCs w:val="22"/>
                <w:lang w:eastAsia="el-GR"/>
              </w:rPr>
              <w:t>Definition</w:t>
            </w:r>
          </w:p>
        </w:tc>
      </w:tr>
      <w:tr w:rsidR="00B21591" w:rsidRPr="00172374" w14:paraId="2D1BA0BD" w14:textId="77777777" w:rsidTr="00985C3F">
        <w:tc>
          <w:tcPr>
            <w:tcW w:w="2127" w:type="dxa"/>
            <w:tcBorders>
              <w:top w:val="single" w:sz="4" w:space="0" w:color="auto"/>
              <w:left w:val="nil"/>
              <w:bottom w:val="single" w:sz="12" w:space="0" w:color="FFFFFF"/>
              <w:right w:val="single" w:sz="12" w:space="0" w:color="FFFFFF"/>
            </w:tcBorders>
          </w:tcPr>
          <w:p w14:paraId="40135D7F" w14:textId="21CFDC77" w:rsidR="00B21591" w:rsidRPr="00172374" w:rsidRDefault="00B21591" w:rsidP="00985C3F">
            <w:pPr>
              <w:pStyle w:val="mainabbody"/>
              <w:spacing w:after="0" w:line="240" w:lineRule="auto"/>
              <w:jc w:val="left"/>
              <w:rPr>
                <w:sz w:val="22"/>
                <w:szCs w:val="22"/>
                <w:lang w:eastAsia="el-GR"/>
              </w:rPr>
            </w:pPr>
            <w:proofErr w:type="spellStart"/>
            <w:r w:rsidRPr="00172374">
              <w:rPr>
                <w:sz w:val="22"/>
                <w:szCs w:val="22"/>
                <w:lang w:eastAsia="el-GR"/>
              </w:rPr>
              <w:t>Urde</w:t>
            </w:r>
            <w:proofErr w:type="spellEnd"/>
            <w:r w:rsidRPr="00172374">
              <w:rPr>
                <w:sz w:val="22"/>
                <w:szCs w:val="22"/>
                <w:lang w:eastAsia="el-GR"/>
              </w:rPr>
              <w:t xml:space="preserve"> (1999</w:t>
            </w:r>
            <w:r w:rsidR="00233C26" w:rsidRPr="00172374">
              <w:rPr>
                <w:sz w:val="22"/>
                <w:szCs w:val="22"/>
                <w:lang w:eastAsia="el-GR"/>
              </w:rPr>
              <w:t>, p. 117</w:t>
            </w:r>
            <w:r w:rsidRPr="00172374">
              <w:rPr>
                <w:sz w:val="22"/>
                <w:szCs w:val="22"/>
                <w:lang w:eastAsia="el-GR"/>
              </w:rPr>
              <w:t>)</w:t>
            </w:r>
          </w:p>
        </w:tc>
        <w:tc>
          <w:tcPr>
            <w:tcW w:w="6804" w:type="dxa"/>
            <w:tcBorders>
              <w:top w:val="single" w:sz="4" w:space="0" w:color="auto"/>
              <w:left w:val="single" w:sz="12" w:space="0" w:color="FFFFFF"/>
              <w:bottom w:val="single" w:sz="12" w:space="0" w:color="FFFFFF"/>
              <w:right w:val="nil"/>
            </w:tcBorders>
          </w:tcPr>
          <w:p w14:paraId="41F69E17" w14:textId="685ADC79" w:rsidR="00B21591" w:rsidRPr="00172374" w:rsidRDefault="00B21591" w:rsidP="00077542">
            <w:pPr>
              <w:pStyle w:val="mainabbody"/>
              <w:spacing w:after="0" w:line="240" w:lineRule="auto"/>
              <w:rPr>
                <w:sz w:val="22"/>
                <w:szCs w:val="22"/>
                <w:lang w:eastAsia="el-GR"/>
              </w:rPr>
            </w:pPr>
            <w:r w:rsidRPr="00172374">
              <w:rPr>
                <w:sz w:val="22"/>
                <w:szCs w:val="22"/>
              </w:rPr>
              <w:t>An approach in which the processes of the organization revolve around the creation, development</w:t>
            </w:r>
            <w:r w:rsidR="001766E5" w:rsidRPr="00172374">
              <w:rPr>
                <w:sz w:val="22"/>
                <w:szCs w:val="22"/>
              </w:rPr>
              <w:t>,</w:t>
            </w:r>
            <w:r w:rsidRPr="00172374">
              <w:rPr>
                <w:sz w:val="22"/>
                <w:szCs w:val="22"/>
              </w:rPr>
              <w:t xml:space="preserve"> and protection of brand identity in an ongoing interaction with target customers with the aim of achieving lasting competitive advantages in the form of brands.</w:t>
            </w:r>
          </w:p>
        </w:tc>
      </w:tr>
      <w:tr w:rsidR="00B21591" w:rsidRPr="00172374" w14:paraId="11AFC756" w14:textId="77777777" w:rsidTr="00985C3F">
        <w:tc>
          <w:tcPr>
            <w:tcW w:w="2127" w:type="dxa"/>
            <w:tcBorders>
              <w:top w:val="single" w:sz="12" w:space="0" w:color="FFFFFF"/>
              <w:left w:val="nil"/>
              <w:bottom w:val="single" w:sz="12" w:space="0" w:color="FFFFFF"/>
              <w:right w:val="single" w:sz="12" w:space="0" w:color="FFFFFF"/>
            </w:tcBorders>
          </w:tcPr>
          <w:p w14:paraId="17F237F9" w14:textId="75D26C8F" w:rsidR="00B21591" w:rsidRPr="00172374" w:rsidRDefault="00B21591" w:rsidP="00077542">
            <w:pPr>
              <w:pStyle w:val="mainabbody"/>
              <w:spacing w:after="0" w:line="240" w:lineRule="auto"/>
              <w:rPr>
                <w:sz w:val="22"/>
                <w:szCs w:val="22"/>
                <w:lang w:eastAsia="el-GR"/>
              </w:rPr>
            </w:pPr>
            <w:r w:rsidRPr="00172374">
              <w:rPr>
                <w:sz w:val="22"/>
                <w:szCs w:val="22"/>
                <w:lang w:eastAsia="el-GR"/>
              </w:rPr>
              <w:t>Ewing and Napoli (2005</w:t>
            </w:r>
            <w:r w:rsidR="00282304" w:rsidRPr="00172374">
              <w:rPr>
                <w:sz w:val="22"/>
                <w:szCs w:val="22"/>
                <w:lang w:eastAsia="el-GR"/>
              </w:rPr>
              <w:t>, p. 842</w:t>
            </w:r>
            <w:r w:rsidRPr="00172374">
              <w:rPr>
                <w:sz w:val="22"/>
                <w:szCs w:val="22"/>
                <w:lang w:eastAsia="el-GR"/>
              </w:rPr>
              <w:t>)</w:t>
            </w:r>
          </w:p>
        </w:tc>
        <w:tc>
          <w:tcPr>
            <w:tcW w:w="6804" w:type="dxa"/>
            <w:tcBorders>
              <w:top w:val="single" w:sz="12" w:space="0" w:color="FFFFFF"/>
              <w:left w:val="single" w:sz="12" w:space="0" w:color="FFFFFF"/>
              <w:bottom w:val="single" w:sz="12" w:space="0" w:color="FFFFFF"/>
              <w:right w:val="nil"/>
            </w:tcBorders>
          </w:tcPr>
          <w:p w14:paraId="4259FF9B" w14:textId="7BEE535C" w:rsidR="00B21591" w:rsidRPr="00172374" w:rsidRDefault="00B21591" w:rsidP="00077542">
            <w:pPr>
              <w:pStyle w:val="mainabbody"/>
              <w:spacing w:after="0" w:line="240" w:lineRule="auto"/>
              <w:rPr>
                <w:sz w:val="22"/>
                <w:szCs w:val="22"/>
                <w:lang w:eastAsia="el-GR"/>
              </w:rPr>
            </w:pPr>
            <w:r w:rsidRPr="00172374">
              <w:rPr>
                <w:sz w:val="22"/>
                <w:szCs w:val="22"/>
                <w:lang w:eastAsia="el-GR"/>
              </w:rPr>
              <w:t>The organization</w:t>
            </w:r>
            <w:r w:rsidR="001766E5" w:rsidRPr="00172374">
              <w:rPr>
                <w:sz w:val="22"/>
                <w:szCs w:val="22"/>
                <w:lang w:eastAsia="el-GR"/>
              </w:rPr>
              <w:t>-</w:t>
            </w:r>
            <w:r w:rsidRPr="00172374">
              <w:rPr>
                <w:sz w:val="22"/>
                <w:szCs w:val="22"/>
                <w:lang w:eastAsia="el-GR"/>
              </w:rPr>
              <w:t>wide process of generating and sustaining a shared sense of brand meaning that provides superior value to stakeholders and superior performance to the organization.</w:t>
            </w:r>
          </w:p>
        </w:tc>
      </w:tr>
      <w:tr w:rsidR="00B21591" w:rsidRPr="00172374" w14:paraId="7A672B23" w14:textId="77777777" w:rsidTr="00985C3F">
        <w:tc>
          <w:tcPr>
            <w:tcW w:w="2127" w:type="dxa"/>
            <w:tcBorders>
              <w:top w:val="single" w:sz="12" w:space="0" w:color="FFFFFF"/>
              <w:left w:val="nil"/>
              <w:bottom w:val="single" w:sz="12" w:space="0" w:color="FFFFFF"/>
              <w:right w:val="single" w:sz="12" w:space="0" w:color="FFFFFF"/>
            </w:tcBorders>
          </w:tcPr>
          <w:p w14:paraId="1F7EE28B" w14:textId="512A7C2E" w:rsidR="00B21591" w:rsidRPr="00172374" w:rsidRDefault="00532454" w:rsidP="00493C61">
            <w:pPr>
              <w:pStyle w:val="mainabbody"/>
              <w:spacing w:after="0" w:line="240" w:lineRule="auto"/>
              <w:jc w:val="left"/>
              <w:rPr>
                <w:sz w:val="22"/>
                <w:szCs w:val="22"/>
                <w:lang w:eastAsia="el-GR"/>
              </w:rPr>
            </w:pPr>
            <w:r w:rsidRPr="00172374">
              <w:rPr>
                <w:sz w:val="22"/>
                <w:szCs w:val="22"/>
                <w:lang w:eastAsia="el-GR"/>
              </w:rPr>
              <w:t xml:space="preserve">Wong and </w:t>
            </w:r>
            <w:proofErr w:type="spellStart"/>
            <w:r w:rsidR="00B21591" w:rsidRPr="00172374">
              <w:rPr>
                <w:sz w:val="22"/>
                <w:szCs w:val="22"/>
                <w:lang w:eastAsia="el-GR"/>
              </w:rPr>
              <w:t>Merrilees</w:t>
            </w:r>
            <w:proofErr w:type="spellEnd"/>
            <w:r w:rsidR="00B21591" w:rsidRPr="00172374">
              <w:rPr>
                <w:sz w:val="22"/>
                <w:szCs w:val="22"/>
                <w:lang w:eastAsia="el-GR"/>
              </w:rPr>
              <w:t xml:space="preserve"> (200</w:t>
            </w:r>
            <w:r w:rsidRPr="00172374">
              <w:rPr>
                <w:sz w:val="22"/>
                <w:szCs w:val="22"/>
                <w:lang w:eastAsia="el-GR"/>
              </w:rPr>
              <w:t>7</w:t>
            </w:r>
            <w:r w:rsidR="00282304" w:rsidRPr="00172374">
              <w:rPr>
                <w:sz w:val="22"/>
                <w:szCs w:val="22"/>
                <w:lang w:eastAsia="el-GR"/>
              </w:rPr>
              <w:t>, p. 388</w:t>
            </w:r>
            <w:r w:rsidR="00B21591" w:rsidRPr="00172374">
              <w:rPr>
                <w:sz w:val="22"/>
                <w:szCs w:val="22"/>
                <w:lang w:eastAsia="el-GR"/>
              </w:rPr>
              <w:t>)</w:t>
            </w:r>
          </w:p>
        </w:tc>
        <w:tc>
          <w:tcPr>
            <w:tcW w:w="6804" w:type="dxa"/>
            <w:tcBorders>
              <w:top w:val="single" w:sz="12" w:space="0" w:color="FFFFFF"/>
              <w:left w:val="single" w:sz="12" w:space="0" w:color="FFFFFF"/>
              <w:bottom w:val="single" w:sz="12" w:space="0" w:color="FFFFFF"/>
              <w:right w:val="nil"/>
            </w:tcBorders>
          </w:tcPr>
          <w:p w14:paraId="61C5C017" w14:textId="0100EDC8" w:rsidR="00B21591" w:rsidRPr="00172374" w:rsidRDefault="00532454" w:rsidP="00077542">
            <w:pPr>
              <w:pStyle w:val="mainabbody"/>
              <w:spacing w:after="0" w:line="240" w:lineRule="auto"/>
              <w:rPr>
                <w:sz w:val="22"/>
                <w:szCs w:val="22"/>
                <w:lang w:eastAsia="el-GR"/>
              </w:rPr>
            </w:pPr>
            <w:r w:rsidRPr="00172374">
              <w:rPr>
                <w:sz w:val="22"/>
                <w:szCs w:val="22"/>
                <w:lang w:eastAsia="el-GR"/>
              </w:rPr>
              <w:t>A mindset that ensures that the brand will be recognized, featured</w:t>
            </w:r>
            <w:r w:rsidR="001766E5" w:rsidRPr="00172374">
              <w:rPr>
                <w:sz w:val="22"/>
                <w:szCs w:val="22"/>
                <w:lang w:eastAsia="el-GR"/>
              </w:rPr>
              <w:t>,</w:t>
            </w:r>
            <w:r w:rsidRPr="00172374">
              <w:rPr>
                <w:sz w:val="22"/>
                <w:szCs w:val="22"/>
                <w:lang w:eastAsia="el-GR"/>
              </w:rPr>
              <w:t xml:space="preserve"> and favored in the marketing strategy (based on </w:t>
            </w:r>
            <w:proofErr w:type="spellStart"/>
            <w:r w:rsidRPr="00172374">
              <w:rPr>
                <w:sz w:val="22"/>
                <w:szCs w:val="22"/>
                <w:lang w:eastAsia="el-GR"/>
              </w:rPr>
              <w:t>Urde</w:t>
            </w:r>
            <w:proofErr w:type="spellEnd"/>
            <w:r w:rsidRPr="00172374">
              <w:rPr>
                <w:sz w:val="22"/>
                <w:szCs w:val="22"/>
                <w:lang w:eastAsia="el-GR"/>
              </w:rPr>
              <w:t xml:space="preserve"> 1994,</w:t>
            </w:r>
            <w:r w:rsidR="001766E5" w:rsidRPr="00172374">
              <w:rPr>
                <w:sz w:val="22"/>
                <w:szCs w:val="22"/>
                <w:lang w:eastAsia="el-GR"/>
              </w:rPr>
              <w:t xml:space="preserve"> </w:t>
            </w:r>
            <w:r w:rsidRPr="00172374">
              <w:rPr>
                <w:sz w:val="22"/>
                <w:szCs w:val="22"/>
                <w:lang w:eastAsia="el-GR"/>
              </w:rPr>
              <w:t>1999)</w:t>
            </w:r>
          </w:p>
        </w:tc>
      </w:tr>
      <w:tr w:rsidR="00B21591" w:rsidRPr="00172374" w14:paraId="730DCC30" w14:textId="77777777" w:rsidTr="00985C3F">
        <w:tc>
          <w:tcPr>
            <w:tcW w:w="2127" w:type="dxa"/>
            <w:tcBorders>
              <w:top w:val="single" w:sz="12" w:space="0" w:color="FFFFFF"/>
              <w:left w:val="nil"/>
              <w:bottom w:val="single" w:sz="12" w:space="0" w:color="FFFFFF"/>
              <w:right w:val="single" w:sz="12" w:space="0" w:color="FFFFFF"/>
            </w:tcBorders>
          </w:tcPr>
          <w:p w14:paraId="62EED66C" w14:textId="69AB8382" w:rsidR="00B21591" w:rsidRPr="00172374" w:rsidRDefault="00B21591" w:rsidP="00493C61">
            <w:pPr>
              <w:pStyle w:val="mainabbody"/>
              <w:spacing w:after="0" w:line="240" w:lineRule="auto"/>
              <w:jc w:val="left"/>
              <w:rPr>
                <w:sz w:val="22"/>
                <w:szCs w:val="22"/>
                <w:lang w:eastAsia="el-GR"/>
              </w:rPr>
            </w:pPr>
            <w:proofErr w:type="spellStart"/>
            <w:r w:rsidRPr="00172374">
              <w:rPr>
                <w:sz w:val="22"/>
                <w:szCs w:val="22"/>
                <w:lang w:eastAsia="el-GR"/>
              </w:rPr>
              <w:t>Baumgarth</w:t>
            </w:r>
            <w:proofErr w:type="spellEnd"/>
            <w:r w:rsidRPr="00172374">
              <w:rPr>
                <w:sz w:val="22"/>
                <w:szCs w:val="22"/>
                <w:lang w:eastAsia="el-GR"/>
              </w:rPr>
              <w:t xml:space="preserve"> (2010</w:t>
            </w:r>
            <w:r w:rsidR="00631345" w:rsidRPr="00172374">
              <w:rPr>
                <w:sz w:val="22"/>
                <w:szCs w:val="22"/>
                <w:lang w:eastAsia="el-GR"/>
              </w:rPr>
              <w:t>, p. 656</w:t>
            </w:r>
            <w:r w:rsidRPr="00172374">
              <w:rPr>
                <w:sz w:val="22"/>
                <w:szCs w:val="22"/>
                <w:lang w:eastAsia="el-GR"/>
              </w:rPr>
              <w:t>)</w:t>
            </w:r>
          </w:p>
        </w:tc>
        <w:tc>
          <w:tcPr>
            <w:tcW w:w="6804" w:type="dxa"/>
            <w:tcBorders>
              <w:top w:val="single" w:sz="12" w:space="0" w:color="FFFFFF"/>
              <w:left w:val="single" w:sz="12" w:space="0" w:color="FFFFFF"/>
              <w:bottom w:val="single" w:sz="12" w:space="0" w:color="FFFFFF"/>
              <w:right w:val="nil"/>
            </w:tcBorders>
          </w:tcPr>
          <w:p w14:paraId="7FA4DF0C" w14:textId="0F2BC61C" w:rsidR="00B21591" w:rsidRPr="00172374" w:rsidRDefault="00B21591" w:rsidP="00077542">
            <w:pPr>
              <w:pStyle w:val="mainabbody"/>
              <w:spacing w:after="0" w:line="240" w:lineRule="auto"/>
              <w:rPr>
                <w:sz w:val="22"/>
                <w:szCs w:val="22"/>
                <w:lang w:eastAsia="el-GR"/>
              </w:rPr>
            </w:pPr>
            <w:r w:rsidRPr="00172374">
              <w:rPr>
                <w:sz w:val="22"/>
                <w:szCs w:val="22"/>
                <w:lang w:eastAsia="el-GR"/>
              </w:rPr>
              <w:t>A specific type of marketing orientation, which is distinguished by the high relevance accorded to branding by top management. It also implies a strongly systematic approach to brand management, characterized by an offer that is relatively constant, consistent, relevant to the buyer and clearly differentiated from the competition.</w:t>
            </w:r>
          </w:p>
        </w:tc>
      </w:tr>
      <w:tr w:rsidR="00532454" w:rsidRPr="00172374" w14:paraId="7B706403" w14:textId="77777777" w:rsidTr="00985C3F">
        <w:trPr>
          <w:trHeight w:val="894"/>
        </w:trPr>
        <w:tc>
          <w:tcPr>
            <w:tcW w:w="2127" w:type="dxa"/>
            <w:tcBorders>
              <w:top w:val="single" w:sz="12" w:space="0" w:color="FFFFFF"/>
              <w:left w:val="nil"/>
              <w:bottom w:val="single" w:sz="4" w:space="0" w:color="auto"/>
              <w:right w:val="single" w:sz="12" w:space="0" w:color="FFFFFF"/>
            </w:tcBorders>
          </w:tcPr>
          <w:p w14:paraId="735F3EF3" w14:textId="16F869A3" w:rsidR="00532454" w:rsidRPr="00172374" w:rsidRDefault="007C6E7D" w:rsidP="00493C61">
            <w:pPr>
              <w:pStyle w:val="mainabbody"/>
              <w:spacing w:after="0" w:line="240" w:lineRule="auto"/>
              <w:jc w:val="left"/>
              <w:rPr>
                <w:sz w:val="22"/>
                <w:szCs w:val="22"/>
                <w:lang w:eastAsia="el-GR"/>
              </w:rPr>
            </w:pPr>
            <w:r w:rsidRPr="00172374">
              <w:rPr>
                <w:sz w:val="22"/>
                <w:szCs w:val="22"/>
                <w:lang w:eastAsia="el-GR"/>
              </w:rPr>
              <w:t>Huang and Tsai (2013</w:t>
            </w:r>
            <w:r w:rsidR="00631345" w:rsidRPr="00172374">
              <w:rPr>
                <w:sz w:val="22"/>
                <w:szCs w:val="22"/>
                <w:lang w:eastAsia="el-GR"/>
              </w:rPr>
              <w:t>, p. 2021</w:t>
            </w:r>
            <w:r w:rsidRPr="00172374">
              <w:rPr>
                <w:sz w:val="22"/>
                <w:szCs w:val="22"/>
                <w:lang w:eastAsia="el-GR"/>
              </w:rPr>
              <w:t>)</w:t>
            </w:r>
          </w:p>
        </w:tc>
        <w:tc>
          <w:tcPr>
            <w:tcW w:w="6804" w:type="dxa"/>
            <w:tcBorders>
              <w:top w:val="single" w:sz="12" w:space="0" w:color="FFFFFF"/>
              <w:left w:val="single" w:sz="12" w:space="0" w:color="FFFFFF"/>
              <w:bottom w:val="single" w:sz="4" w:space="0" w:color="auto"/>
              <w:right w:val="nil"/>
            </w:tcBorders>
          </w:tcPr>
          <w:p w14:paraId="27FEF7AD" w14:textId="1BAEC0CA" w:rsidR="00532454" w:rsidRPr="00172374" w:rsidRDefault="007C6E7D" w:rsidP="00077542">
            <w:pPr>
              <w:pStyle w:val="mainabbody"/>
              <w:spacing w:after="0" w:line="240" w:lineRule="auto"/>
              <w:rPr>
                <w:sz w:val="22"/>
                <w:szCs w:val="22"/>
                <w:lang w:eastAsia="el-GR"/>
              </w:rPr>
            </w:pPr>
            <w:r w:rsidRPr="00172374">
              <w:rPr>
                <w:sz w:val="22"/>
                <w:szCs w:val="22"/>
                <w:lang w:eastAsia="el-GR"/>
              </w:rPr>
              <w:t xml:space="preserve">Brand orientation is a strategic orientation, in which companies seek to create value and increase their competitiveness through building brand equity (based on </w:t>
            </w:r>
            <w:proofErr w:type="spellStart"/>
            <w:r w:rsidRPr="00172374">
              <w:rPr>
                <w:sz w:val="22"/>
                <w:szCs w:val="22"/>
                <w:lang w:eastAsia="el-GR"/>
              </w:rPr>
              <w:t>Urde</w:t>
            </w:r>
            <w:proofErr w:type="spellEnd"/>
            <w:r w:rsidRPr="00172374">
              <w:rPr>
                <w:sz w:val="22"/>
                <w:szCs w:val="22"/>
                <w:lang w:eastAsia="el-GR"/>
              </w:rPr>
              <w:t xml:space="preserve"> et al., 201</w:t>
            </w:r>
            <w:r w:rsidR="009F5597" w:rsidRPr="00172374">
              <w:rPr>
                <w:sz w:val="22"/>
                <w:szCs w:val="22"/>
                <w:lang w:eastAsia="el-GR"/>
              </w:rPr>
              <w:t>3</w:t>
            </w:r>
            <w:r w:rsidRPr="00172374">
              <w:rPr>
                <w:sz w:val="22"/>
                <w:szCs w:val="22"/>
                <w:lang w:eastAsia="el-GR"/>
              </w:rPr>
              <w:t>).</w:t>
            </w:r>
          </w:p>
        </w:tc>
      </w:tr>
      <w:tr w:rsidR="00810086" w:rsidRPr="00172374" w14:paraId="2EBAF37C" w14:textId="77777777" w:rsidTr="007C6E7D">
        <w:tc>
          <w:tcPr>
            <w:tcW w:w="8931" w:type="dxa"/>
            <w:gridSpan w:val="2"/>
            <w:tcBorders>
              <w:top w:val="single" w:sz="4" w:space="0" w:color="auto"/>
              <w:left w:val="nil"/>
              <w:bottom w:val="nil"/>
              <w:right w:val="nil"/>
            </w:tcBorders>
          </w:tcPr>
          <w:p w14:paraId="6E4D8382" w14:textId="7328AB50" w:rsidR="007C6E7D" w:rsidRPr="00172374" w:rsidRDefault="007C6E7D" w:rsidP="001766E5">
            <w:pPr>
              <w:pStyle w:val="mainabbody"/>
              <w:spacing w:after="0" w:line="240" w:lineRule="auto"/>
              <w:rPr>
                <w:sz w:val="20"/>
                <w:szCs w:val="20"/>
                <w:lang w:eastAsia="el-GR"/>
              </w:rPr>
            </w:pPr>
            <w:r w:rsidRPr="00172374">
              <w:rPr>
                <w:b/>
                <w:bCs/>
                <w:sz w:val="20"/>
                <w:szCs w:val="20"/>
                <w:lang w:eastAsia="el-GR"/>
              </w:rPr>
              <w:t>Notes</w:t>
            </w:r>
            <w:r w:rsidRPr="00172374">
              <w:rPr>
                <w:sz w:val="20"/>
                <w:szCs w:val="20"/>
                <w:lang w:eastAsia="el-GR"/>
              </w:rPr>
              <w:t>: Th</w:t>
            </w:r>
            <w:r w:rsidR="009168A0" w:rsidRPr="00172374">
              <w:rPr>
                <w:sz w:val="20"/>
                <w:szCs w:val="20"/>
                <w:lang w:eastAsia="el-GR"/>
              </w:rPr>
              <w:t>e</w:t>
            </w:r>
            <w:r w:rsidRPr="00172374">
              <w:rPr>
                <w:sz w:val="20"/>
                <w:szCs w:val="20"/>
                <w:lang w:eastAsia="el-GR"/>
              </w:rPr>
              <w:t xml:space="preserve"> table includes all definitions proposed by researchers </w:t>
            </w:r>
            <w:r w:rsidR="007C3122" w:rsidRPr="00172374">
              <w:rPr>
                <w:sz w:val="20"/>
                <w:szCs w:val="20"/>
                <w:lang w:eastAsia="el-GR"/>
              </w:rPr>
              <w:t>as part of</w:t>
            </w:r>
            <w:r w:rsidRPr="00172374">
              <w:rPr>
                <w:sz w:val="20"/>
                <w:szCs w:val="20"/>
                <w:lang w:eastAsia="el-GR"/>
              </w:rPr>
              <w:t xml:space="preserve"> a scale </w:t>
            </w:r>
            <w:r w:rsidR="007C3122" w:rsidRPr="00172374">
              <w:rPr>
                <w:sz w:val="20"/>
                <w:szCs w:val="20"/>
                <w:lang w:eastAsia="el-GR"/>
              </w:rPr>
              <w:t xml:space="preserve">development procedure </w:t>
            </w:r>
            <w:r w:rsidR="00994268" w:rsidRPr="00172374">
              <w:rPr>
                <w:sz w:val="20"/>
                <w:szCs w:val="20"/>
                <w:lang w:eastAsia="el-GR"/>
              </w:rPr>
              <w:t>for</w:t>
            </w:r>
            <w:r w:rsidRPr="00172374">
              <w:rPr>
                <w:sz w:val="20"/>
                <w:szCs w:val="20"/>
                <w:lang w:eastAsia="el-GR"/>
              </w:rPr>
              <w:t xml:space="preserve"> brand orientation </w:t>
            </w:r>
            <w:r w:rsidR="003244A5" w:rsidRPr="00172374">
              <w:rPr>
                <w:sz w:val="20"/>
                <w:szCs w:val="20"/>
                <w:lang w:eastAsia="el-GR"/>
              </w:rPr>
              <w:t>(</w:t>
            </w:r>
            <w:r w:rsidRPr="00172374">
              <w:rPr>
                <w:sz w:val="20"/>
                <w:szCs w:val="20"/>
                <w:lang w:eastAsia="el-GR"/>
              </w:rPr>
              <w:t>as shown in Table 2</w:t>
            </w:r>
            <w:r w:rsidR="003244A5" w:rsidRPr="00172374">
              <w:rPr>
                <w:sz w:val="20"/>
                <w:szCs w:val="20"/>
                <w:lang w:eastAsia="el-GR"/>
              </w:rPr>
              <w:t>)</w:t>
            </w:r>
            <w:r w:rsidR="00994268" w:rsidRPr="00172374">
              <w:rPr>
                <w:sz w:val="20"/>
                <w:szCs w:val="20"/>
                <w:lang w:eastAsia="el-GR"/>
              </w:rPr>
              <w:t xml:space="preserve">, plus the </w:t>
            </w:r>
            <w:r w:rsidR="003244A5" w:rsidRPr="00172374">
              <w:rPr>
                <w:sz w:val="20"/>
                <w:szCs w:val="20"/>
                <w:lang w:eastAsia="el-GR"/>
              </w:rPr>
              <w:t xml:space="preserve">original </w:t>
            </w:r>
            <w:r w:rsidR="00994268" w:rsidRPr="00172374">
              <w:rPr>
                <w:sz w:val="20"/>
                <w:szCs w:val="20"/>
                <w:lang w:eastAsia="el-GR"/>
              </w:rPr>
              <w:t xml:space="preserve">definition of </w:t>
            </w:r>
            <w:proofErr w:type="spellStart"/>
            <w:r w:rsidR="00994268" w:rsidRPr="00172374">
              <w:rPr>
                <w:sz w:val="20"/>
                <w:szCs w:val="20"/>
                <w:lang w:eastAsia="el-GR"/>
              </w:rPr>
              <w:t>Urde</w:t>
            </w:r>
            <w:proofErr w:type="spellEnd"/>
            <w:r w:rsidR="00994268" w:rsidRPr="00172374">
              <w:rPr>
                <w:sz w:val="20"/>
                <w:szCs w:val="20"/>
                <w:lang w:eastAsia="el-GR"/>
              </w:rPr>
              <w:t xml:space="preserve"> (1999)</w:t>
            </w:r>
            <w:r w:rsidRPr="00172374">
              <w:rPr>
                <w:sz w:val="20"/>
                <w:szCs w:val="20"/>
                <w:lang w:eastAsia="el-GR"/>
              </w:rPr>
              <w:t>.</w:t>
            </w:r>
            <w:r w:rsidR="00994268" w:rsidRPr="00172374">
              <w:rPr>
                <w:sz w:val="20"/>
                <w:szCs w:val="20"/>
                <w:lang w:eastAsia="el-GR"/>
              </w:rPr>
              <w:t xml:space="preserve"> </w:t>
            </w:r>
            <w:r w:rsidRPr="00172374">
              <w:rPr>
                <w:sz w:val="20"/>
                <w:szCs w:val="20"/>
                <w:lang w:eastAsia="el-GR"/>
              </w:rPr>
              <w:t>Hankinson (2012) adopt</w:t>
            </w:r>
            <w:r w:rsidR="001766E5" w:rsidRPr="00172374">
              <w:rPr>
                <w:sz w:val="20"/>
                <w:szCs w:val="20"/>
                <w:lang w:eastAsia="el-GR"/>
              </w:rPr>
              <w:t>s</w:t>
            </w:r>
            <w:r w:rsidRPr="00172374">
              <w:rPr>
                <w:sz w:val="20"/>
                <w:szCs w:val="20"/>
                <w:lang w:eastAsia="el-GR"/>
              </w:rPr>
              <w:t xml:space="preserve"> </w:t>
            </w:r>
            <w:proofErr w:type="spellStart"/>
            <w:r w:rsidRPr="00172374">
              <w:rPr>
                <w:sz w:val="20"/>
                <w:szCs w:val="20"/>
                <w:lang w:eastAsia="el-GR"/>
              </w:rPr>
              <w:t>Urde’s</w:t>
            </w:r>
            <w:proofErr w:type="spellEnd"/>
            <w:r w:rsidRPr="00172374">
              <w:rPr>
                <w:sz w:val="20"/>
                <w:szCs w:val="20"/>
                <w:lang w:eastAsia="el-GR"/>
              </w:rPr>
              <w:t xml:space="preserve"> (1999) definition of brand orientation</w:t>
            </w:r>
            <w:r w:rsidR="001766E5" w:rsidRPr="00172374">
              <w:rPr>
                <w:sz w:val="20"/>
                <w:szCs w:val="20"/>
                <w:lang w:eastAsia="el-GR"/>
              </w:rPr>
              <w:t>,</w:t>
            </w:r>
            <w:r w:rsidRPr="00172374">
              <w:rPr>
                <w:sz w:val="20"/>
                <w:szCs w:val="20"/>
                <w:lang w:eastAsia="el-GR"/>
              </w:rPr>
              <w:t xml:space="preserve"> and therefore </w:t>
            </w:r>
            <w:r w:rsidR="001766E5" w:rsidRPr="00172374">
              <w:rPr>
                <w:sz w:val="20"/>
                <w:szCs w:val="20"/>
                <w:lang w:eastAsia="el-GR"/>
              </w:rPr>
              <w:t xml:space="preserve">we do </w:t>
            </w:r>
            <w:r w:rsidRPr="00172374">
              <w:rPr>
                <w:sz w:val="20"/>
                <w:szCs w:val="20"/>
                <w:lang w:eastAsia="el-GR"/>
              </w:rPr>
              <w:t xml:space="preserve">not include </w:t>
            </w:r>
            <w:r w:rsidR="001766E5" w:rsidRPr="00172374">
              <w:rPr>
                <w:sz w:val="20"/>
                <w:szCs w:val="20"/>
                <w:lang w:eastAsia="el-GR"/>
              </w:rPr>
              <w:t>it here</w:t>
            </w:r>
            <w:r w:rsidRPr="00172374">
              <w:rPr>
                <w:sz w:val="20"/>
                <w:szCs w:val="20"/>
                <w:lang w:eastAsia="el-GR"/>
              </w:rPr>
              <w:t>.</w:t>
            </w:r>
          </w:p>
        </w:tc>
      </w:tr>
    </w:tbl>
    <w:p w14:paraId="551BAD31" w14:textId="77777777" w:rsidR="00B21591" w:rsidRPr="00172374" w:rsidRDefault="00B21591" w:rsidP="000D59B1">
      <w:pPr>
        <w:tabs>
          <w:tab w:val="left" w:pos="-284"/>
          <w:tab w:val="left" w:pos="0"/>
          <w:tab w:val="left" w:pos="142"/>
        </w:tabs>
        <w:spacing w:line="480" w:lineRule="auto"/>
        <w:ind w:hanging="360"/>
      </w:pPr>
    </w:p>
    <w:p w14:paraId="21D02624" w14:textId="77777777" w:rsidR="002C29CF" w:rsidRPr="00172374" w:rsidRDefault="002C29CF" w:rsidP="005B1E4D">
      <w:pPr>
        <w:spacing w:line="480" w:lineRule="auto"/>
        <w:sectPr w:rsidR="002C29CF" w:rsidRPr="00172374" w:rsidSect="002E4048">
          <w:headerReference w:type="even" r:id="rId13"/>
          <w:headerReference w:type="default" r:id="rId14"/>
          <w:footerReference w:type="default" r:id="rId15"/>
          <w:footerReference w:type="first" r:id="rId16"/>
          <w:pgSz w:w="11906" w:h="16838"/>
          <w:pgMar w:top="1418" w:right="1418" w:bottom="1418" w:left="1418" w:header="708" w:footer="708" w:gutter="0"/>
          <w:pgNumType w:start="0"/>
          <w:cols w:space="708"/>
          <w:titlePg/>
          <w:docGrid w:linePitch="360"/>
        </w:sectPr>
      </w:pPr>
    </w:p>
    <w:tbl>
      <w:tblPr>
        <w:tblW w:w="13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1"/>
        <w:gridCol w:w="3022"/>
        <w:gridCol w:w="3969"/>
        <w:gridCol w:w="1276"/>
        <w:gridCol w:w="3969"/>
      </w:tblGrid>
      <w:tr w:rsidR="00C057DA" w:rsidRPr="00172374" w14:paraId="37208B38" w14:textId="77777777" w:rsidTr="007A0AEE">
        <w:tc>
          <w:tcPr>
            <w:tcW w:w="13467" w:type="dxa"/>
            <w:gridSpan w:val="5"/>
            <w:tcBorders>
              <w:top w:val="nil"/>
              <w:left w:val="nil"/>
              <w:bottom w:val="single" w:sz="4" w:space="0" w:color="auto"/>
              <w:right w:val="single" w:sz="12" w:space="0" w:color="FFFFFF"/>
            </w:tcBorders>
          </w:tcPr>
          <w:p w14:paraId="4953F7CA" w14:textId="77777777" w:rsidR="00C057DA" w:rsidRPr="00172374" w:rsidRDefault="00C057DA" w:rsidP="00077542">
            <w:pPr>
              <w:tabs>
                <w:tab w:val="left" w:pos="284"/>
              </w:tabs>
              <w:spacing w:after="60"/>
              <w:jc w:val="both"/>
              <w:rPr>
                <w:rFonts w:eastAsia="Times New Roman"/>
                <w:b/>
                <w:bCs/>
              </w:rPr>
            </w:pPr>
            <w:r w:rsidRPr="00172374">
              <w:rPr>
                <w:rFonts w:eastAsia="Times New Roman"/>
                <w:b/>
                <w:bCs/>
              </w:rPr>
              <w:lastRenderedPageBreak/>
              <w:t>Table 2</w:t>
            </w:r>
          </w:p>
          <w:p w14:paraId="3555C984" w14:textId="1D28B47A" w:rsidR="00C057DA" w:rsidRPr="00172374" w:rsidRDefault="00C057DA" w:rsidP="00905C8A">
            <w:pPr>
              <w:pStyle w:val="mainabbody"/>
              <w:spacing w:after="60" w:line="240" w:lineRule="auto"/>
              <w:rPr>
                <w:b/>
                <w:sz w:val="22"/>
                <w:szCs w:val="22"/>
                <w:lang w:eastAsia="el-GR"/>
              </w:rPr>
            </w:pPr>
            <w:bookmarkStart w:id="44" w:name="_Hlk31043244"/>
            <w:r w:rsidRPr="00172374">
              <w:rPr>
                <w:lang w:eastAsia="el-GR"/>
              </w:rPr>
              <w:t xml:space="preserve">Existing </w:t>
            </w:r>
            <w:r w:rsidR="00905C8A" w:rsidRPr="00172374">
              <w:rPr>
                <w:lang w:eastAsia="el-GR"/>
              </w:rPr>
              <w:t xml:space="preserve">conceptualizations/operationalizations </w:t>
            </w:r>
            <w:r w:rsidRPr="00172374">
              <w:rPr>
                <w:lang w:eastAsia="el-GR"/>
              </w:rPr>
              <w:t xml:space="preserve">of </w:t>
            </w:r>
            <w:r w:rsidR="00E6202F" w:rsidRPr="00172374">
              <w:rPr>
                <w:lang w:eastAsia="el-GR"/>
              </w:rPr>
              <w:t xml:space="preserve">brand orientation </w:t>
            </w:r>
            <w:r w:rsidRPr="00172374">
              <w:rPr>
                <w:lang w:eastAsia="el-GR"/>
              </w:rPr>
              <w:t xml:space="preserve">and </w:t>
            </w:r>
            <w:r w:rsidR="00905C8A" w:rsidRPr="00172374">
              <w:rPr>
                <w:lang w:eastAsia="el-GR"/>
              </w:rPr>
              <w:t xml:space="preserve">opportunities for a </w:t>
            </w:r>
            <w:r w:rsidRPr="00172374">
              <w:rPr>
                <w:lang w:eastAsia="el-GR"/>
              </w:rPr>
              <w:t>new scale</w:t>
            </w:r>
            <w:bookmarkEnd w:id="44"/>
            <w:r w:rsidR="001766E5" w:rsidRPr="00172374">
              <w:rPr>
                <w:lang w:eastAsia="el-GR"/>
              </w:rPr>
              <w:t>.</w:t>
            </w:r>
          </w:p>
        </w:tc>
      </w:tr>
      <w:tr w:rsidR="00E056A3" w:rsidRPr="00172374" w14:paraId="1677596F" w14:textId="77777777" w:rsidTr="007A0AEE">
        <w:tc>
          <w:tcPr>
            <w:tcW w:w="1231" w:type="dxa"/>
            <w:tcBorders>
              <w:top w:val="single" w:sz="4" w:space="0" w:color="auto"/>
              <w:left w:val="nil"/>
              <w:bottom w:val="single" w:sz="4" w:space="0" w:color="auto"/>
              <w:right w:val="nil"/>
            </w:tcBorders>
          </w:tcPr>
          <w:p w14:paraId="7689BB02" w14:textId="2CF7C4B2" w:rsidR="00E056A3" w:rsidRPr="00172374" w:rsidRDefault="00E056A3" w:rsidP="00C057DA">
            <w:pPr>
              <w:pStyle w:val="mainabbody"/>
              <w:spacing w:before="120" w:after="0" w:line="240" w:lineRule="auto"/>
              <w:jc w:val="left"/>
              <w:rPr>
                <w:b/>
                <w:sz w:val="20"/>
                <w:szCs w:val="20"/>
                <w:lang w:eastAsia="el-GR"/>
              </w:rPr>
            </w:pPr>
            <w:r w:rsidRPr="00172374">
              <w:rPr>
                <w:b/>
                <w:sz w:val="20"/>
                <w:szCs w:val="20"/>
                <w:lang w:eastAsia="el-GR"/>
              </w:rPr>
              <w:t>Authors, date</w:t>
            </w:r>
          </w:p>
        </w:tc>
        <w:tc>
          <w:tcPr>
            <w:tcW w:w="3022" w:type="dxa"/>
            <w:tcBorders>
              <w:top w:val="single" w:sz="4" w:space="0" w:color="auto"/>
              <w:left w:val="nil"/>
              <w:bottom w:val="single" w:sz="4" w:space="0" w:color="auto"/>
              <w:right w:val="nil"/>
            </w:tcBorders>
          </w:tcPr>
          <w:p w14:paraId="1CD82980" w14:textId="3841AD04" w:rsidR="00E056A3" w:rsidRPr="00172374" w:rsidRDefault="00E056A3" w:rsidP="00C057DA">
            <w:pPr>
              <w:pStyle w:val="mainabbody"/>
              <w:spacing w:before="120" w:after="0" w:line="240" w:lineRule="auto"/>
              <w:jc w:val="left"/>
              <w:rPr>
                <w:b/>
                <w:sz w:val="20"/>
                <w:szCs w:val="20"/>
                <w:lang w:eastAsia="el-GR"/>
              </w:rPr>
            </w:pPr>
            <w:r w:rsidRPr="00172374">
              <w:rPr>
                <w:b/>
                <w:sz w:val="20"/>
                <w:szCs w:val="20"/>
                <w:lang w:eastAsia="el-GR"/>
              </w:rPr>
              <w:t>Overview/</w:t>
            </w:r>
            <w:r w:rsidR="001766E5" w:rsidRPr="00172374">
              <w:rPr>
                <w:b/>
                <w:sz w:val="20"/>
                <w:szCs w:val="20"/>
                <w:lang w:eastAsia="el-GR"/>
              </w:rPr>
              <w:t>p</w:t>
            </w:r>
            <w:r w:rsidRPr="00172374">
              <w:rPr>
                <w:b/>
                <w:sz w:val="20"/>
                <w:szCs w:val="20"/>
                <w:lang w:eastAsia="el-GR"/>
              </w:rPr>
              <w:t>roposed dimensionality</w:t>
            </w:r>
          </w:p>
        </w:tc>
        <w:tc>
          <w:tcPr>
            <w:tcW w:w="3969" w:type="dxa"/>
            <w:tcBorders>
              <w:top w:val="single" w:sz="4" w:space="0" w:color="auto"/>
              <w:left w:val="nil"/>
              <w:bottom w:val="single" w:sz="4" w:space="0" w:color="auto"/>
              <w:right w:val="nil"/>
            </w:tcBorders>
          </w:tcPr>
          <w:p w14:paraId="2BBCCB06" w14:textId="77777777" w:rsidR="00E056A3" w:rsidRPr="00172374" w:rsidRDefault="00E056A3" w:rsidP="00C057DA">
            <w:pPr>
              <w:pStyle w:val="mainabbody"/>
              <w:spacing w:before="120" w:after="0" w:line="240" w:lineRule="auto"/>
              <w:jc w:val="left"/>
              <w:rPr>
                <w:b/>
                <w:sz w:val="20"/>
                <w:szCs w:val="20"/>
                <w:lang w:eastAsia="el-GR"/>
              </w:rPr>
            </w:pPr>
            <w:r w:rsidRPr="00172374">
              <w:rPr>
                <w:b/>
                <w:sz w:val="20"/>
                <w:szCs w:val="20"/>
                <w:lang w:eastAsia="el-GR"/>
              </w:rPr>
              <w:t>Indicative items</w:t>
            </w:r>
            <w:r w:rsidR="001830CD" w:rsidRPr="00172374">
              <w:rPr>
                <w:b/>
                <w:sz w:val="20"/>
                <w:szCs w:val="20"/>
                <w:lang w:eastAsia="el-GR"/>
              </w:rPr>
              <w:t>*</w:t>
            </w:r>
          </w:p>
        </w:tc>
        <w:tc>
          <w:tcPr>
            <w:tcW w:w="1276" w:type="dxa"/>
            <w:tcBorders>
              <w:top w:val="single" w:sz="4" w:space="0" w:color="auto"/>
              <w:left w:val="nil"/>
              <w:bottom w:val="single" w:sz="4" w:space="0" w:color="auto"/>
              <w:right w:val="nil"/>
            </w:tcBorders>
          </w:tcPr>
          <w:p w14:paraId="04C56F83" w14:textId="4A974FD0" w:rsidR="00E056A3" w:rsidRPr="00172374" w:rsidRDefault="00E056A3" w:rsidP="00C057DA">
            <w:pPr>
              <w:pStyle w:val="mainabbody"/>
              <w:spacing w:before="120" w:after="0" w:line="240" w:lineRule="auto"/>
              <w:jc w:val="left"/>
              <w:rPr>
                <w:b/>
                <w:sz w:val="20"/>
                <w:szCs w:val="20"/>
                <w:lang w:eastAsia="el-GR"/>
              </w:rPr>
            </w:pPr>
            <w:r w:rsidRPr="00172374">
              <w:rPr>
                <w:b/>
                <w:sz w:val="20"/>
                <w:szCs w:val="20"/>
                <w:lang w:eastAsia="el-GR"/>
              </w:rPr>
              <w:t>Context- specific</w:t>
            </w:r>
          </w:p>
        </w:tc>
        <w:tc>
          <w:tcPr>
            <w:tcW w:w="3969" w:type="dxa"/>
            <w:tcBorders>
              <w:top w:val="single" w:sz="4" w:space="0" w:color="auto"/>
              <w:left w:val="nil"/>
              <w:bottom w:val="single" w:sz="4" w:space="0" w:color="auto"/>
              <w:right w:val="nil"/>
            </w:tcBorders>
          </w:tcPr>
          <w:p w14:paraId="2553AF43" w14:textId="362E4E74" w:rsidR="00E056A3" w:rsidRPr="00172374" w:rsidRDefault="00AF0605" w:rsidP="00C057DA">
            <w:pPr>
              <w:pStyle w:val="mainabbody"/>
              <w:spacing w:before="120" w:after="0" w:line="240" w:lineRule="auto"/>
              <w:jc w:val="left"/>
              <w:rPr>
                <w:b/>
                <w:sz w:val="20"/>
                <w:szCs w:val="20"/>
                <w:lang w:eastAsia="el-GR"/>
              </w:rPr>
            </w:pPr>
            <w:r w:rsidRPr="00172374">
              <w:rPr>
                <w:b/>
                <w:sz w:val="20"/>
                <w:szCs w:val="20"/>
                <w:lang w:eastAsia="el-GR"/>
              </w:rPr>
              <w:t xml:space="preserve">Relation to </w:t>
            </w:r>
            <w:r w:rsidR="00697ACB">
              <w:rPr>
                <w:b/>
                <w:sz w:val="20"/>
                <w:szCs w:val="20"/>
                <w:lang w:eastAsia="el-GR"/>
              </w:rPr>
              <w:t>n</w:t>
            </w:r>
            <w:r w:rsidRPr="00172374">
              <w:rPr>
                <w:b/>
                <w:sz w:val="20"/>
                <w:szCs w:val="20"/>
                <w:lang w:eastAsia="el-GR"/>
              </w:rPr>
              <w:t xml:space="preserve">ew </w:t>
            </w:r>
            <w:r w:rsidR="00697ACB">
              <w:rPr>
                <w:b/>
                <w:sz w:val="20"/>
                <w:szCs w:val="20"/>
                <w:lang w:eastAsia="el-GR"/>
              </w:rPr>
              <w:t>b</w:t>
            </w:r>
            <w:r w:rsidRPr="00172374">
              <w:rPr>
                <w:b/>
                <w:sz w:val="20"/>
                <w:szCs w:val="20"/>
                <w:lang w:eastAsia="el-GR"/>
              </w:rPr>
              <w:t xml:space="preserve">rand </w:t>
            </w:r>
            <w:r w:rsidR="00697ACB">
              <w:rPr>
                <w:b/>
                <w:sz w:val="20"/>
                <w:szCs w:val="20"/>
                <w:lang w:eastAsia="el-GR"/>
              </w:rPr>
              <w:t>o</w:t>
            </w:r>
            <w:r w:rsidRPr="00172374">
              <w:rPr>
                <w:b/>
                <w:sz w:val="20"/>
                <w:szCs w:val="20"/>
                <w:lang w:eastAsia="el-GR"/>
              </w:rPr>
              <w:t xml:space="preserve">rientation </w:t>
            </w:r>
            <w:r w:rsidR="00697ACB">
              <w:rPr>
                <w:b/>
                <w:sz w:val="20"/>
                <w:szCs w:val="20"/>
                <w:lang w:eastAsia="el-GR"/>
              </w:rPr>
              <w:t>s</w:t>
            </w:r>
            <w:r w:rsidRPr="00172374">
              <w:rPr>
                <w:b/>
                <w:sz w:val="20"/>
                <w:szCs w:val="20"/>
                <w:lang w:eastAsia="el-GR"/>
              </w:rPr>
              <w:t>cale</w:t>
            </w:r>
          </w:p>
        </w:tc>
      </w:tr>
      <w:tr w:rsidR="00E056A3" w:rsidRPr="00172374" w14:paraId="013B004F" w14:textId="77777777" w:rsidTr="007A0AEE">
        <w:tc>
          <w:tcPr>
            <w:tcW w:w="1231" w:type="dxa"/>
            <w:tcBorders>
              <w:top w:val="single" w:sz="4" w:space="0" w:color="auto"/>
              <w:left w:val="nil"/>
              <w:bottom w:val="single" w:sz="12" w:space="0" w:color="FFFFFF"/>
              <w:right w:val="single" w:sz="12" w:space="0" w:color="FFFFFF"/>
            </w:tcBorders>
          </w:tcPr>
          <w:p w14:paraId="7BAEC4B9" w14:textId="77777777" w:rsidR="00E056A3" w:rsidRPr="00172374" w:rsidRDefault="00E056A3" w:rsidP="00656827">
            <w:pPr>
              <w:pStyle w:val="mainabbody"/>
              <w:spacing w:before="60" w:after="0" w:line="240" w:lineRule="auto"/>
              <w:ind w:left="32" w:firstLine="2"/>
              <w:jc w:val="left"/>
              <w:rPr>
                <w:sz w:val="20"/>
                <w:szCs w:val="20"/>
                <w:lang w:eastAsia="el-GR"/>
              </w:rPr>
            </w:pPr>
            <w:r w:rsidRPr="00172374">
              <w:rPr>
                <w:sz w:val="20"/>
                <w:szCs w:val="20"/>
                <w:lang w:eastAsia="el-GR"/>
              </w:rPr>
              <w:t>Ewing and Napoli (2005)</w:t>
            </w:r>
          </w:p>
        </w:tc>
        <w:tc>
          <w:tcPr>
            <w:tcW w:w="3022" w:type="dxa"/>
            <w:tcBorders>
              <w:top w:val="single" w:sz="4" w:space="0" w:color="auto"/>
              <w:left w:val="single" w:sz="12" w:space="0" w:color="FFFFFF"/>
              <w:bottom w:val="single" w:sz="12" w:space="0" w:color="FFFFFF"/>
              <w:right w:val="nil"/>
            </w:tcBorders>
          </w:tcPr>
          <w:p w14:paraId="7ABDDF65" w14:textId="32DF1613"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 xml:space="preserve">Scale conceptualization mainly </w:t>
            </w:r>
            <w:r w:rsidR="001766E5" w:rsidRPr="00172374">
              <w:rPr>
                <w:sz w:val="20"/>
                <w:szCs w:val="20"/>
                <w:lang w:eastAsia="el-GR"/>
              </w:rPr>
              <w:t xml:space="preserve">from </w:t>
            </w:r>
            <w:r w:rsidRPr="00172374">
              <w:rPr>
                <w:sz w:val="20"/>
                <w:szCs w:val="20"/>
                <w:lang w:eastAsia="el-GR"/>
              </w:rPr>
              <w:t>Keller’s (2000) brand report card. Its operationalization consists of three latent variables</w:t>
            </w:r>
            <w:r w:rsidR="00AF0605" w:rsidRPr="00172374">
              <w:rPr>
                <w:sz w:val="20"/>
                <w:szCs w:val="20"/>
                <w:lang w:eastAsia="el-GR"/>
              </w:rPr>
              <w:t xml:space="preserve">: </w:t>
            </w:r>
            <w:r w:rsidR="001766E5" w:rsidRPr="00172374">
              <w:rPr>
                <w:sz w:val="20"/>
                <w:szCs w:val="20"/>
                <w:lang w:eastAsia="el-GR"/>
              </w:rPr>
              <w:t>i</w:t>
            </w:r>
            <w:r w:rsidRPr="00172374">
              <w:rPr>
                <w:sz w:val="20"/>
                <w:szCs w:val="20"/>
                <w:lang w:eastAsia="el-GR"/>
              </w:rPr>
              <w:t xml:space="preserve">nteraction, </w:t>
            </w:r>
            <w:r w:rsidR="001766E5" w:rsidRPr="00172374">
              <w:rPr>
                <w:sz w:val="20"/>
                <w:szCs w:val="20"/>
                <w:lang w:eastAsia="el-GR"/>
              </w:rPr>
              <w:t>o</w:t>
            </w:r>
            <w:r w:rsidRPr="00172374">
              <w:rPr>
                <w:sz w:val="20"/>
                <w:szCs w:val="20"/>
                <w:lang w:eastAsia="el-GR"/>
              </w:rPr>
              <w:t xml:space="preserve">rchestration, </w:t>
            </w:r>
            <w:r w:rsidR="001766E5" w:rsidRPr="00172374">
              <w:rPr>
                <w:sz w:val="20"/>
                <w:szCs w:val="20"/>
                <w:lang w:eastAsia="el-GR"/>
              </w:rPr>
              <w:t>and a</w:t>
            </w:r>
            <w:r w:rsidRPr="00172374">
              <w:rPr>
                <w:sz w:val="20"/>
                <w:szCs w:val="20"/>
                <w:lang w:eastAsia="el-GR"/>
              </w:rPr>
              <w:t xml:space="preserve">ffect. </w:t>
            </w:r>
          </w:p>
        </w:tc>
        <w:tc>
          <w:tcPr>
            <w:tcW w:w="3969" w:type="dxa"/>
            <w:tcBorders>
              <w:top w:val="single" w:sz="4" w:space="0" w:color="auto"/>
              <w:left w:val="single" w:sz="12" w:space="0" w:color="FFFFFF"/>
              <w:bottom w:val="single" w:sz="12" w:space="0" w:color="FFFFFF"/>
              <w:right w:val="single" w:sz="12" w:space="0" w:color="FFFFFF"/>
            </w:tcBorders>
          </w:tcPr>
          <w:p w14:paraId="61301F00" w14:textId="62627292" w:rsidR="00E056A3" w:rsidRPr="00172374" w:rsidRDefault="00E056A3" w:rsidP="00985C3F">
            <w:pPr>
              <w:pStyle w:val="mainabbody"/>
              <w:spacing w:before="60" w:after="0" w:line="240" w:lineRule="auto"/>
              <w:ind w:left="35" w:hanging="1"/>
              <w:jc w:val="left"/>
              <w:rPr>
                <w:sz w:val="20"/>
                <w:szCs w:val="20"/>
                <w:lang w:eastAsia="el-GR"/>
              </w:rPr>
            </w:pPr>
            <w:r w:rsidRPr="00172374">
              <w:rPr>
                <w:sz w:val="20"/>
                <w:szCs w:val="20"/>
                <w:lang w:eastAsia="el-GR"/>
              </w:rPr>
              <w:t>Keep “in touch” with our stakeholders’ needs</w:t>
            </w:r>
          </w:p>
          <w:p w14:paraId="0E221FD7" w14:textId="75D227B9" w:rsidR="00E056A3" w:rsidRPr="00172374" w:rsidRDefault="00E056A3" w:rsidP="00985C3F">
            <w:pPr>
              <w:pStyle w:val="mainabbody"/>
              <w:spacing w:before="60" w:after="0" w:line="240" w:lineRule="auto"/>
              <w:ind w:left="35" w:hanging="1"/>
              <w:jc w:val="left"/>
              <w:rPr>
                <w:sz w:val="20"/>
                <w:szCs w:val="20"/>
                <w:lang w:eastAsia="el-GR"/>
              </w:rPr>
            </w:pPr>
            <w:r w:rsidRPr="00172374">
              <w:rPr>
                <w:sz w:val="20"/>
                <w:szCs w:val="20"/>
                <w:lang w:eastAsia="el-GR"/>
              </w:rPr>
              <w:t>Design our integrated marketing activities to encourage our suppliers, distributors</w:t>
            </w:r>
            <w:r w:rsidR="001766E5" w:rsidRPr="00172374">
              <w:rPr>
                <w:sz w:val="20"/>
                <w:szCs w:val="20"/>
                <w:lang w:eastAsia="el-GR"/>
              </w:rPr>
              <w:t>,</w:t>
            </w:r>
            <w:r w:rsidRPr="00172374">
              <w:rPr>
                <w:sz w:val="20"/>
                <w:szCs w:val="20"/>
                <w:lang w:eastAsia="el-GR"/>
              </w:rPr>
              <w:t xml:space="preserve"> and other key stakeholders to promote our products/services to customers</w:t>
            </w:r>
          </w:p>
          <w:p w14:paraId="4E2C309B" w14:textId="1A4AD880" w:rsidR="00E056A3" w:rsidRPr="00172374" w:rsidRDefault="00E056A3" w:rsidP="00985C3F">
            <w:pPr>
              <w:pStyle w:val="mainabbody"/>
              <w:spacing w:before="60" w:after="0" w:line="240" w:lineRule="auto"/>
              <w:ind w:left="35" w:hanging="1"/>
              <w:jc w:val="left"/>
              <w:rPr>
                <w:sz w:val="20"/>
                <w:szCs w:val="20"/>
                <w:lang w:eastAsia="el-GR"/>
              </w:rPr>
            </w:pPr>
            <w:r w:rsidRPr="00172374">
              <w:rPr>
                <w:sz w:val="20"/>
                <w:szCs w:val="20"/>
                <w:lang w:eastAsia="el-GR"/>
              </w:rPr>
              <w:t>Develop detailed knowledge of what our stakeholders dislike about the brand</w:t>
            </w:r>
          </w:p>
          <w:p w14:paraId="10517850" w14:textId="77777777" w:rsidR="00E056A3" w:rsidRPr="00172374" w:rsidRDefault="00E056A3" w:rsidP="00656827">
            <w:pPr>
              <w:pStyle w:val="mainabbody"/>
              <w:spacing w:before="60" w:after="0" w:line="240" w:lineRule="auto"/>
              <w:jc w:val="left"/>
              <w:rPr>
                <w:sz w:val="20"/>
                <w:szCs w:val="20"/>
                <w:lang w:eastAsia="el-GR"/>
              </w:rPr>
            </w:pPr>
          </w:p>
        </w:tc>
        <w:tc>
          <w:tcPr>
            <w:tcW w:w="1276" w:type="dxa"/>
            <w:tcBorders>
              <w:top w:val="single" w:sz="4" w:space="0" w:color="auto"/>
              <w:left w:val="single" w:sz="12" w:space="0" w:color="FFFFFF"/>
              <w:bottom w:val="single" w:sz="12" w:space="0" w:color="FFFFFF"/>
              <w:right w:val="single" w:sz="12" w:space="0" w:color="FFFFFF"/>
            </w:tcBorders>
          </w:tcPr>
          <w:p w14:paraId="20814BEA" w14:textId="77777777"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Yes: non-profit sector</w:t>
            </w:r>
          </w:p>
        </w:tc>
        <w:tc>
          <w:tcPr>
            <w:tcW w:w="3969" w:type="dxa"/>
            <w:tcBorders>
              <w:top w:val="single" w:sz="4" w:space="0" w:color="auto"/>
              <w:left w:val="single" w:sz="12" w:space="0" w:color="FFFFFF"/>
              <w:bottom w:val="single" w:sz="12" w:space="0" w:color="FFFFFF"/>
              <w:right w:val="single" w:sz="12" w:space="0" w:color="FFFFFF"/>
            </w:tcBorders>
          </w:tcPr>
          <w:p w14:paraId="1B4A01FD" w14:textId="44605661" w:rsidR="00E056A3" w:rsidRPr="00172374" w:rsidRDefault="00E6202F" w:rsidP="00656827">
            <w:pPr>
              <w:pStyle w:val="mainabbody"/>
              <w:spacing w:before="60" w:after="0" w:line="240" w:lineRule="auto"/>
              <w:rPr>
                <w:sz w:val="20"/>
                <w:szCs w:val="20"/>
                <w:lang w:eastAsia="el-GR"/>
              </w:rPr>
            </w:pPr>
            <w:r w:rsidRPr="00172374">
              <w:rPr>
                <w:sz w:val="20"/>
                <w:szCs w:val="20"/>
                <w:lang w:eastAsia="el-GR"/>
              </w:rPr>
              <w:t>The new</w:t>
            </w:r>
            <w:r w:rsidR="00E056A3" w:rsidRPr="00172374">
              <w:rPr>
                <w:sz w:val="20"/>
                <w:szCs w:val="20"/>
                <w:lang w:eastAsia="el-GR"/>
              </w:rPr>
              <w:t xml:space="preserve"> </w:t>
            </w:r>
            <w:r w:rsidRPr="00172374">
              <w:rPr>
                <w:sz w:val="20"/>
                <w:szCs w:val="20"/>
                <w:lang w:eastAsia="el-GR"/>
              </w:rPr>
              <w:t>scale</w:t>
            </w:r>
            <w:r w:rsidR="00E056A3" w:rsidRPr="00172374">
              <w:rPr>
                <w:sz w:val="20"/>
                <w:szCs w:val="20"/>
                <w:lang w:eastAsia="el-GR"/>
              </w:rPr>
              <w:t xml:space="preserve"> incorporates the insights provided by Keller’s brand report card but is not limited to it. </w:t>
            </w:r>
            <w:proofErr w:type="gramStart"/>
            <w:r w:rsidRPr="00172374">
              <w:rPr>
                <w:sz w:val="20"/>
                <w:szCs w:val="20"/>
                <w:lang w:eastAsia="el-GR"/>
              </w:rPr>
              <w:t>T</w:t>
            </w:r>
            <w:r w:rsidR="00E056A3" w:rsidRPr="00172374">
              <w:rPr>
                <w:sz w:val="20"/>
                <w:szCs w:val="20"/>
                <w:lang w:eastAsia="el-GR"/>
              </w:rPr>
              <w:t>ake</w:t>
            </w:r>
            <w:r w:rsidRPr="00172374">
              <w:rPr>
                <w:sz w:val="20"/>
                <w:szCs w:val="20"/>
                <w:lang w:eastAsia="el-GR"/>
              </w:rPr>
              <w:t>s</w:t>
            </w:r>
            <w:r w:rsidR="00E056A3" w:rsidRPr="00172374">
              <w:rPr>
                <w:sz w:val="20"/>
                <w:szCs w:val="20"/>
                <w:lang w:eastAsia="el-GR"/>
              </w:rPr>
              <w:t xml:space="preserve"> into account</w:t>
            </w:r>
            <w:proofErr w:type="gramEnd"/>
            <w:r w:rsidR="00E056A3" w:rsidRPr="00172374">
              <w:rPr>
                <w:sz w:val="20"/>
                <w:szCs w:val="20"/>
                <w:lang w:eastAsia="el-GR"/>
              </w:rPr>
              <w:t xml:space="preserve"> </w:t>
            </w:r>
            <w:r w:rsidR="001766E5" w:rsidRPr="00172374">
              <w:rPr>
                <w:sz w:val="20"/>
                <w:szCs w:val="20"/>
                <w:lang w:eastAsia="el-GR"/>
              </w:rPr>
              <w:t xml:space="preserve">most </w:t>
            </w:r>
            <w:r w:rsidR="00E056A3" w:rsidRPr="00172374">
              <w:rPr>
                <w:sz w:val="20"/>
                <w:szCs w:val="20"/>
                <w:lang w:eastAsia="el-GR"/>
              </w:rPr>
              <w:t xml:space="preserve">of the relevant insights in the branding literature, without focusing on a </w:t>
            </w:r>
            <w:r w:rsidR="00295754" w:rsidRPr="00172374">
              <w:rPr>
                <w:sz w:val="20"/>
                <w:szCs w:val="20"/>
                <w:lang w:eastAsia="el-GR"/>
              </w:rPr>
              <w:t>specific</w:t>
            </w:r>
            <w:r w:rsidR="00E056A3" w:rsidRPr="00172374">
              <w:rPr>
                <w:sz w:val="20"/>
                <w:szCs w:val="20"/>
                <w:lang w:eastAsia="el-GR"/>
              </w:rPr>
              <w:t xml:space="preserve"> context.</w:t>
            </w:r>
          </w:p>
        </w:tc>
      </w:tr>
      <w:tr w:rsidR="00E056A3" w:rsidRPr="00172374" w14:paraId="09ABD2EF" w14:textId="77777777" w:rsidTr="002614EF">
        <w:tc>
          <w:tcPr>
            <w:tcW w:w="1231" w:type="dxa"/>
            <w:tcBorders>
              <w:top w:val="single" w:sz="12" w:space="0" w:color="FFFFFF"/>
              <w:left w:val="nil"/>
              <w:bottom w:val="single" w:sz="12" w:space="0" w:color="FFFFFF"/>
              <w:right w:val="single" w:sz="12" w:space="0" w:color="FFFFFF"/>
            </w:tcBorders>
          </w:tcPr>
          <w:p w14:paraId="4F878F6B" w14:textId="77777777" w:rsidR="00E056A3" w:rsidRPr="00172374" w:rsidRDefault="00E056A3" w:rsidP="00656827">
            <w:pPr>
              <w:pStyle w:val="mainabbody"/>
              <w:spacing w:before="60" w:after="0" w:line="240" w:lineRule="auto"/>
              <w:ind w:left="32" w:firstLine="2"/>
              <w:jc w:val="left"/>
              <w:rPr>
                <w:sz w:val="20"/>
                <w:szCs w:val="20"/>
                <w:lang w:eastAsia="el-GR"/>
              </w:rPr>
            </w:pPr>
            <w:r w:rsidRPr="00172374">
              <w:rPr>
                <w:sz w:val="20"/>
                <w:szCs w:val="20"/>
                <w:lang w:eastAsia="el-GR"/>
              </w:rPr>
              <w:t xml:space="preserve">Wong and </w:t>
            </w:r>
            <w:proofErr w:type="spellStart"/>
            <w:r w:rsidRPr="00172374">
              <w:rPr>
                <w:sz w:val="20"/>
                <w:szCs w:val="20"/>
                <w:lang w:eastAsia="el-GR"/>
              </w:rPr>
              <w:t>Merrilees</w:t>
            </w:r>
            <w:proofErr w:type="spellEnd"/>
            <w:r w:rsidRPr="00172374">
              <w:rPr>
                <w:sz w:val="20"/>
                <w:szCs w:val="20"/>
                <w:lang w:eastAsia="el-GR"/>
              </w:rPr>
              <w:t xml:space="preserve"> (2007)</w:t>
            </w:r>
          </w:p>
          <w:p w14:paraId="1E95E8F8" w14:textId="77777777" w:rsidR="00E056A3" w:rsidRPr="00172374" w:rsidRDefault="00E056A3" w:rsidP="00656827">
            <w:pPr>
              <w:pStyle w:val="mainabbody"/>
              <w:spacing w:before="60" w:after="0" w:line="240" w:lineRule="auto"/>
              <w:ind w:left="32" w:firstLine="2"/>
              <w:jc w:val="left"/>
              <w:rPr>
                <w:sz w:val="20"/>
                <w:szCs w:val="20"/>
                <w:lang w:eastAsia="el-GR"/>
              </w:rPr>
            </w:pPr>
          </w:p>
        </w:tc>
        <w:tc>
          <w:tcPr>
            <w:tcW w:w="3022" w:type="dxa"/>
            <w:tcBorders>
              <w:top w:val="single" w:sz="12" w:space="0" w:color="FFFFFF"/>
              <w:left w:val="single" w:sz="12" w:space="0" w:color="FFFFFF"/>
              <w:bottom w:val="single" w:sz="12" w:space="0" w:color="FFFFFF"/>
              <w:right w:val="nil"/>
            </w:tcBorders>
          </w:tcPr>
          <w:p w14:paraId="78174303" w14:textId="3EDEA3B3"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 xml:space="preserve">Operationalization based explicitly on </w:t>
            </w:r>
            <w:r w:rsidR="00E6202F" w:rsidRPr="00172374">
              <w:rPr>
                <w:sz w:val="20"/>
                <w:szCs w:val="20"/>
                <w:lang w:eastAsia="el-GR"/>
              </w:rPr>
              <w:t>brand orientation’s</w:t>
            </w:r>
            <w:r w:rsidRPr="00172374">
              <w:rPr>
                <w:sz w:val="20"/>
                <w:szCs w:val="20"/>
                <w:lang w:eastAsia="el-GR"/>
              </w:rPr>
              <w:t xml:space="preserve"> philosophical/attitudinal aspect. The unidimensional construct consists of six items measuring the extent to which branding is a significant issue in business decisions and directions.</w:t>
            </w:r>
          </w:p>
        </w:tc>
        <w:tc>
          <w:tcPr>
            <w:tcW w:w="3969" w:type="dxa"/>
            <w:tcBorders>
              <w:top w:val="single" w:sz="12" w:space="0" w:color="FFFFFF"/>
              <w:left w:val="single" w:sz="12" w:space="0" w:color="FFFFFF"/>
              <w:bottom w:val="single" w:sz="12" w:space="0" w:color="FFFFFF"/>
              <w:right w:val="single" w:sz="12" w:space="0" w:color="FFFFFF"/>
            </w:tcBorders>
          </w:tcPr>
          <w:p w14:paraId="2F72D0E3" w14:textId="7E3AE968"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Branding flows through all our marketing activities</w:t>
            </w:r>
          </w:p>
          <w:p w14:paraId="62C4659C" w14:textId="351943C0"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Branding is essential to our strategy</w:t>
            </w:r>
          </w:p>
          <w:p w14:paraId="237B0703" w14:textId="2548F817"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Branding is essential in running this company</w:t>
            </w:r>
          </w:p>
          <w:p w14:paraId="41C8C2CD" w14:textId="7B624DF0"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Long term brand planning is critical to our future success</w:t>
            </w:r>
          </w:p>
          <w:p w14:paraId="4DE5FB9A" w14:textId="0554EA40"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The brand is an important asset for us</w:t>
            </w:r>
          </w:p>
          <w:p w14:paraId="0AF22794" w14:textId="25AB48AE"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Everyone in this firm understands that branding our product/service is a top priority for our business</w:t>
            </w:r>
          </w:p>
          <w:p w14:paraId="06E50A12" w14:textId="77777777" w:rsidR="00E056A3" w:rsidRPr="00172374" w:rsidRDefault="00E056A3" w:rsidP="00656827">
            <w:pPr>
              <w:pStyle w:val="mainabbody"/>
              <w:spacing w:before="60" w:after="0" w:line="240" w:lineRule="auto"/>
              <w:jc w:val="left"/>
              <w:rPr>
                <w:sz w:val="20"/>
                <w:szCs w:val="20"/>
                <w:lang w:eastAsia="el-GR"/>
              </w:rPr>
            </w:pPr>
          </w:p>
        </w:tc>
        <w:tc>
          <w:tcPr>
            <w:tcW w:w="1276" w:type="dxa"/>
            <w:tcBorders>
              <w:top w:val="single" w:sz="12" w:space="0" w:color="FFFFFF"/>
              <w:left w:val="single" w:sz="12" w:space="0" w:color="FFFFFF"/>
              <w:bottom w:val="single" w:sz="12" w:space="0" w:color="FFFFFF"/>
              <w:right w:val="single" w:sz="12" w:space="0" w:color="FFFFFF"/>
            </w:tcBorders>
          </w:tcPr>
          <w:p w14:paraId="1BC01BF3" w14:textId="77777777"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No</w:t>
            </w:r>
          </w:p>
        </w:tc>
        <w:tc>
          <w:tcPr>
            <w:tcW w:w="3969" w:type="dxa"/>
            <w:tcBorders>
              <w:top w:val="single" w:sz="12" w:space="0" w:color="FFFFFF"/>
              <w:left w:val="single" w:sz="12" w:space="0" w:color="FFFFFF"/>
              <w:bottom w:val="single" w:sz="12" w:space="0" w:color="FFFFFF"/>
              <w:right w:val="single" w:sz="12" w:space="0" w:color="FFFFFF"/>
            </w:tcBorders>
          </w:tcPr>
          <w:p w14:paraId="33FCF0BA" w14:textId="3710143A" w:rsidR="00E056A3" w:rsidRPr="00172374" w:rsidRDefault="00E056A3" w:rsidP="00656827">
            <w:pPr>
              <w:pStyle w:val="mainabbody"/>
              <w:spacing w:before="60" w:after="0" w:line="240" w:lineRule="auto"/>
              <w:rPr>
                <w:sz w:val="20"/>
                <w:szCs w:val="20"/>
                <w:lang w:eastAsia="el-GR"/>
              </w:rPr>
            </w:pPr>
            <w:r w:rsidRPr="00172374">
              <w:rPr>
                <w:sz w:val="20"/>
                <w:szCs w:val="20"/>
                <w:lang w:eastAsia="el-GR"/>
              </w:rPr>
              <w:t xml:space="preserve">The “brand importance” dimension of </w:t>
            </w:r>
            <w:r w:rsidR="0082128C" w:rsidRPr="00172374">
              <w:rPr>
                <w:sz w:val="20"/>
                <w:szCs w:val="20"/>
                <w:lang w:eastAsia="el-GR"/>
              </w:rPr>
              <w:t>the new</w:t>
            </w:r>
            <w:r w:rsidRPr="00172374">
              <w:rPr>
                <w:sz w:val="20"/>
                <w:szCs w:val="20"/>
                <w:lang w:eastAsia="el-GR"/>
              </w:rPr>
              <w:t xml:space="preserve"> scale reflects the attitudinal aspect of </w:t>
            </w:r>
            <w:r w:rsidR="00E6202F" w:rsidRPr="00172374">
              <w:rPr>
                <w:sz w:val="20"/>
                <w:szCs w:val="20"/>
                <w:lang w:eastAsia="el-GR"/>
              </w:rPr>
              <w:t>brand orientation</w:t>
            </w:r>
            <w:r w:rsidRPr="00172374">
              <w:rPr>
                <w:sz w:val="20"/>
                <w:szCs w:val="20"/>
                <w:lang w:eastAsia="el-GR"/>
              </w:rPr>
              <w:t xml:space="preserve">, but </w:t>
            </w:r>
            <w:r w:rsidR="0082128C" w:rsidRPr="00172374">
              <w:rPr>
                <w:sz w:val="20"/>
                <w:szCs w:val="20"/>
                <w:lang w:eastAsia="el-GR"/>
              </w:rPr>
              <w:t>the</w:t>
            </w:r>
            <w:r w:rsidRPr="00172374">
              <w:rPr>
                <w:sz w:val="20"/>
                <w:szCs w:val="20"/>
                <w:lang w:eastAsia="el-GR"/>
              </w:rPr>
              <w:t xml:space="preserve"> other three dimensions </w:t>
            </w:r>
            <w:r w:rsidR="001766E5" w:rsidRPr="00172374">
              <w:rPr>
                <w:sz w:val="20"/>
                <w:szCs w:val="20"/>
                <w:lang w:eastAsia="el-GR"/>
              </w:rPr>
              <w:t xml:space="preserve">also </w:t>
            </w:r>
            <w:r w:rsidRPr="00172374">
              <w:rPr>
                <w:sz w:val="20"/>
                <w:szCs w:val="20"/>
                <w:lang w:eastAsia="el-GR"/>
              </w:rPr>
              <w:t>reflect its behavioral perspectives, capturing the richness of the concept.</w:t>
            </w:r>
          </w:p>
        </w:tc>
      </w:tr>
      <w:tr w:rsidR="00E056A3" w:rsidRPr="00172374" w14:paraId="6B550652" w14:textId="77777777" w:rsidTr="002614EF">
        <w:tc>
          <w:tcPr>
            <w:tcW w:w="1231" w:type="dxa"/>
            <w:tcBorders>
              <w:top w:val="single" w:sz="12" w:space="0" w:color="FFFFFF"/>
              <w:left w:val="nil"/>
              <w:bottom w:val="single" w:sz="12" w:space="0" w:color="FFFFFF"/>
              <w:right w:val="single" w:sz="12" w:space="0" w:color="FFFFFF"/>
            </w:tcBorders>
          </w:tcPr>
          <w:p w14:paraId="1FC7D99E" w14:textId="77777777" w:rsidR="00E056A3" w:rsidRPr="00172374" w:rsidRDefault="00E056A3" w:rsidP="00656827">
            <w:pPr>
              <w:pStyle w:val="mainabbody"/>
              <w:spacing w:before="60" w:after="0" w:line="240" w:lineRule="auto"/>
              <w:ind w:left="32" w:firstLine="2"/>
              <w:jc w:val="left"/>
              <w:rPr>
                <w:sz w:val="20"/>
                <w:szCs w:val="20"/>
                <w:lang w:eastAsia="el-GR"/>
              </w:rPr>
            </w:pPr>
            <w:proofErr w:type="spellStart"/>
            <w:r w:rsidRPr="00172374">
              <w:rPr>
                <w:sz w:val="20"/>
                <w:szCs w:val="20"/>
                <w:lang w:eastAsia="el-GR"/>
              </w:rPr>
              <w:t>Baumgarth</w:t>
            </w:r>
            <w:proofErr w:type="spellEnd"/>
            <w:r w:rsidRPr="00172374">
              <w:rPr>
                <w:sz w:val="20"/>
                <w:szCs w:val="20"/>
                <w:lang w:eastAsia="el-GR"/>
              </w:rPr>
              <w:t xml:space="preserve"> (2010)</w:t>
            </w:r>
          </w:p>
        </w:tc>
        <w:tc>
          <w:tcPr>
            <w:tcW w:w="3022" w:type="dxa"/>
            <w:tcBorders>
              <w:top w:val="single" w:sz="12" w:space="0" w:color="FFFFFF"/>
              <w:left w:val="single" w:sz="12" w:space="0" w:color="FFFFFF"/>
              <w:bottom w:val="single" w:sz="12" w:space="0" w:color="FFFFFF"/>
              <w:right w:val="nil"/>
            </w:tcBorders>
          </w:tcPr>
          <w:p w14:paraId="50F43E1E" w14:textId="5A1BB651"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 xml:space="preserve">Scale </w:t>
            </w:r>
            <w:r w:rsidR="001766E5" w:rsidRPr="00172374">
              <w:rPr>
                <w:sz w:val="20"/>
                <w:szCs w:val="20"/>
                <w:lang w:eastAsia="el-GR"/>
              </w:rPr>
              <w:t xml:space="preserve">largely </w:t>
            </w:r>
            <w:r w:rsidRPr="00172374">
              <w:rPr>
                <w:sz w:val="20"/>
                <w:szCs w:val="20"/>
                <w:lang w:eastAsia="el-GR"/>
              </w:rPr>
              <w:t xml:space="preserve">conceptualized </w:t>
            </w:r>
            <w:r w:rsidR="001766E5" w:rsidRPr="00172374">
              <w:rPr>
                <w:sz w:val="20"/>
                <w:szCs w:val="20"/>
                <w:lang w:eastAsia="el-GR"/>
              </w:rPr>
              <w:t>with</w:t>
            </w:r>
            <w:r w:rsidRPr="00172374">
              <w:rPr>
                <w:sz w:val="20"/>
                <w:szCs w:val="20"/>
                <w:lang w:eastAsia="el-GR"/>
              </w:rPr>
              <w:t xml:space="preserve"> the existing market orientation model of Homburg </w:t>
            </w:r>
            <w:r w:rsidR="001766E5" w:rsidRPr="00172374">
              <w:rPr>
                <w:sz w:val="20"/>
                <w:szCs w:val="20"/>
                <w:lang w:eastAsia="el-GR"/>
              </w:rPr>
              <w:t>and</w:t>
            </w:r>
            <w:r w:rsidRPr="00172374">
              <w:rPr>
                <w:sz w:val="20"/>
                <w:szCs w:val="20"/>
                <w:lang w:eastAsia="el-GR"/>
              </w:rPr>
              <w:t xml:space="preserve"> </w:t>
            </w:r>
            <w:proofErr w:type="spellStart"/>
            <w:r w:rsidRPr="00172374">
              <w:rPr>
                <w:sz w:val="20"/>
                <w:szCs w:val="20"/>
                <w:lang w:eastAsia="el-GR"/>
              </w:rPr>
              <w:t>Pflesser</w:t>
            </w:r>
            <w:proofErr w:type="spellEnd"/>
            <w:r w:rsidRPr="00172374">
              <w:rPr>
                <w:sz w:val="20"/>
                <w:szCs w:val="20"/>
                <w:lang w:eastAsia="el-GR"/>
              </w:rPr>
              <w:t xml:space="preserve"> (2000), by translating the marketing framework to the branding context. The construct consists of four dimensions</w:t>
            </w:r>
            <w:r w:rsidR="00AF0605" w:rsidRPr="00172374">
              <w:rPr>
                <w:sz w:val="20"/>
                <w:szCs w:val="20"/>
                <w:lang w:eastAsia="el-GR"/>
              </w:rPr>
              <w:t xml:space="preserve">: </w:t>
            </w:r>
            <w:r w:rsidRPr="00172374">
              <w:rPr>
                <w:sz w:val="20"/>
                <w:szCs w:val="20"/>
                <w:lang w:eastAsia="el-GR"/>
              </w:rPr>
              <w:t xml:space="preserve">values, norms, artefacts, </w:t>
            </w:r>
            <w:r w:rsidR="001766E5" w:rsidRPr="00172374">
              <w:rPr>
                <w:sz w:val="20"/>
                <w:szCs w:val="20"/>
                <w:lang w:eastAsia="el-GR"/>
              </w:rPr>
              <w:t xml:space="preserve">and </w:t>
            </w:r>
            <w:r w:rsidRPr="00172374">
              <w:rPr>
                <w:sz w:val="20"/>
                <w:szCs w:val="20"/>
                <w:lang w:eastAsia="el-GR"/>
              </w:rPr>
              <w:t>behaviors</w:t>
            </w:r>
            <w:r w:rsidR="00AF0605" w:rsidRPr="00172374">
              <w:rPr>
                <w:sz w:val="20"/>
                <w:szCs w:val="20"/>
                <w:lang w:eastAsia="el-GR"/>
              </w:rPr>
              <w:t>.</w:t>
            </w:r>
          </w:p>
        </w:tc>
        <w:tc>
          <w:tcPr>
            <w:tcW w:w="3969" w:type="dxa"/>
            <w:tcBorders>
              <w:top w:val="single" w:sz="12" w:space="0" w:color="FFFFFF"/>
              <w:left w:val="single" w:sz="12" w:space="0" w:color="FFFFFF"/>
              <w:bottom w:val="single" w:sz="12" w:space="0" w:color="FFFFFF"/>
              <w:right w:val="single" w:sz="12" w:space="0" w:color="FFFFFF"/>
            </w:tcBorders>
          </w:tcPr>
          <w:p w14:paraId="44FFD5D2" w14:textId="25F50539" w:rsidR="00E056A3" w:rsidRPr="00172374" w:rsidRDefault="00E056A3" w:rsidP="00985C3F">
            <w:pPr>
              <w:pStyle w:val="mainabbody"/>
              <w:spacing w:before="60" w:after="0" w:line="240" w:lineRule="auto"/>
              <w:ind w:left="35" w:hanging="1"/>
              <w:jc w:val="left"/>
              <w:rPr>
                <w:sz w:val="20"/>
                <w:szCs w:val="20"/>
                <w:lang w:eastAsia="el-GR"/>
              </w:rPr>
            </w:pPr>
            <w:r w:rsidRPr="00172374">
              <w:rPr>
                <w:sz w:val="20"/>
                <w:szCs w:val="20"/>
                <w:lang w:eastAsia="el-GR"/>
              </w:rPr>
              <w:t>We also invest in our brand in times of scarce financial resources</w:t>
            </w:r>
          </w:p>
          <w:p w14:paraId="25BAB9B9" w14:textId="43D62B0F" w:rsidR="00E056A3" w:rsidRPr="00172374" w:rsidRDefault="00E056A3" w:rsidP="00985C3F">
            <w:pPr>
              <w:pStyle w:val="mainabbody"/>
              <w:spacing w:before="60" w:after="0" w:line="240" w:lineRule="auto"/>
              <w:ind w:left="35" w:hanging="1"/>
              <w:jc w:val="left"/>
              <w:rPr>
                <w:sz w:val="20"/>
                <w:szCs w:val="20"/>
                <w:lang w:eastAsia="el-GR"/>
              </w:rPr>
            </w:pPr>
            <w:r w:rsidRPr="00172374">
              <w:rPr>
                <w:sz w:val="20"/>
                <w:szCs w:val="20"/>
                <w:lang w:eastAsia="el-GR"/>
              </w:rPr>
              <w:t>We check regularly that the corporate design guidelines of our brand are adhered to</w:t>
            </w:r>
          </w:p>
          <w:p w14:paraId="0773BF49" w14:textId="0A3EB6A5" w:rsidR="00E056A3" w:rsidRPr="00172374" w:rsidRDefault="00E056A3" w:rsidP="00985C3F">
            <w:pPr>
              <w:pStyle w:val="mainabbody"/>
              <w:spacing w:before="60" w:after="0" w:line="240" w:lineRule="auto"/>
              <w:ind w:left="35" w:hanging="1"/>
              <w:jc w:val="left"/>
              <w:rPr>
                <w:sz w:val="20"/>
                <w:szCs w:val="20"/>
                <w:lang w:eastAsia="el-GR"/>
              </w:rPr>
            </w:pPr>
            <w:r w:rsidRPr="00172374">
              <w:rPr>
                <w:sz w:val="20"/>
                <w:szCs w:val="20"/>
                <w:lang w:eastAsia="el-GR"/>
              </w:rPr>
              <w:t>Our stands at trade fairs reflect our brand</w:t>
            </w:r>
          </w:p>
          <w:p w14:paraId="7E7DF529" w14:textId="22F18367" w:rsidR="00E056A3" w:rsidRPr="00172374" w:rsidRDefault="00E056A3" w:rsidP="00985C3F">
            <w:pPr>
              <w:pStyle w:val="mainabbody"/>
              <w:spacing w:before="60" w:after="0" w:line="240" w:lineRule="auto"/>
              <w:ind w:left="35" w:hanging="1"/>
              <w:jc w:val="left"/>
              <w:rPr>
                <w:sz w:val="20"/>
                <w:szCs w:val="20"/>
                <w:lang w:eastAsia="el-GR"/>
              </w:rPr>
            </w:pPr>
            <w:r w:rsidRPr="00172374">
              <w:rPr>
                <w:sz w:val="20"/>
                <w:szCs w:val="20"/>
                <w:lang w:eastAsia="el-GR"/>
              </w:rPr>
              <w:t>We invest in image advertising</w:t>
            </w:r>
          </w:p>
        </w:tc>
        <w:tc>
          <w:tcPr>
            <w:tcW w:w="1276" w:type="dxa"/>
            <w:tcBorders>
              <w:top w:val="single" w:sz="12" w:space="0" w:color="FFFFFF"/>
              <w:left w:val="single" w:sz="12" w:space="0" w:color="FFFFFF"/>
              <w:bottom w:val="single" w:sz="12" w:space="0" w:color="FFFFFF"/>
              <w:right w:val="single" w:sz="12" w:space="0" w:color="FFFFFF"/>
            </w:tcBorders>
          </w:tcPr>
          <w:p w14:paraId="41331517" w14:textId="264AC762"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Yes: B</w:t>
            </w:r>
            <w:r w:rsidR="001766E5" w:rsidRPr="00172374">
              <w:rPr>
                <w:sz w:val="20"/>
                <w:szCs w:val="20"/>
                <w:lang w:eastAsia="el-GR"/>
              </w:rPr>
              <w:t>2B</w:t>
            </w:r>
            <w:r w:rsidRPr="00172374">
              <w:rPr>
                <w:sz w:val="20"/>
                <w:szCs w:val="20"/>
                <w:lang w:eastAsia="el-GR"/>
              </w:rPr>
              <w:t xml:space="preserve"> context</w:t>
            </w:r>
          </w:p>
        </w:tc>
        <w:tc>
          <w:tcPr>
            <w:tcW w:w="3969" w:type="dxa"/>
            <w:tcBorders>
              <w:top w:val="single" w:sz="12" w:space="0" w:color="FFFFFF"/>
              <w:left w:val="single" w:sz="12" w:space="0" w:color="FFFFFF"/>
              <w:bottom w:val="single" w:sz="12" w:space="0" w:color="FFFFFF"/>
              <w:right w:val="single" w:sz="12" w:space="0" w:color="FFFFFF"/>
            </w:tcBorders>
          </w:tcPr>
          <w:p w14:paraId="5FBCDC1C" w14:textId="3C452992" w:rsidR="00E056A3" w:rsidRPr="00172374" w:rsidRDefault="00E056A3" w:rsidP="00656827">
            <w:pPr>
              <w:pStyle w:val="mainabbody"/>
              <w:spacing w:before="60" w:after="0" w:line="240" w:lineRule="auto"/>
              <w:rPr>
                <w:sz w:val="20"/>
                <w:szCs w:val="20"/>
                <w:lang w:eastAsia="el-GR"/>
              </w:rPr>
            </w:pPr>
            <w:r w:rsidRPr="00172374">
              <w:rPr>
                <w:sz w:val="20"/>
                <w:szCs w:val="20"/>
                <w:lang w:eastAsia="el-GR"/>
              </w:rPr>
              <w:t xml:space="preserve">Following relevant suggestions found in literature, </w:t>
            </w:r>
            <w:r w:rsidR="00E6202F" w:rsidRPr="00172374">
              <w:rPr>
                <w:sz w:val="20"/>
                <w:szCs w:val="20"/>
                <w:lang w:eastAsia="el-GR"/>
              </w:rPr>
              <w:t>brand orientation</w:t>
            </w:r>
            <w:r w:rsidRPr="00172374">
              <w:rPr>
                <w:sz w:val="20"/>
                <w:szCs w:val="20"/>
                <w:lang w:eastAsia="el-GR"/>
              </w:rPr>
              <w:t xml:space="preserve"> </w:t>
            </w:r>
            <w:r w:rsidR="0082128C" w:rsidRPr="00172374">
              <w:rPr>
                <w:sz w:val="20"/>
                <w:szCs w:val="20"/>
                <w:lang w:eastAsia="el-GR"/>
              </w:rPr>
              <w:t xml:space="preserve">is conceptualized </w:t>
            </w:r>
            <w:r w:rsidRPr="00172374">
              <w:rPr>
                <w:sz w:val="20"/>
                <w:szCs w:val="20"/>
                <w:lang w:eastAsia="el-GR"/>
              </w:rPr>
              <w:t xml:space="preserve">as a construct </w:t>
            </w:r>
            <w:r w:rsidR="001766E5" w:rsidRPr="00172374">
              <w:rPr>
                <w:sz w:val="20"/>
                <w:szCs w:val="20"/>
                <w:lang w:eastAsia="el-GR"/>
              </w:rPr>
              <w:t>distinct from</w:t>
            </w:r>
            <w:r w:rsidRPr="00172374">
              <w:rPr>
                <w:sz w:val="20"/>
                <w:szCs w:val="20"/>
                <w:lang w:eastAsia="el-GR"/>
              </w:rPr>
              <w:t xml:space="preserve"> market orientation</w:t>
            </w:r>
            <w:r w:rsidR="00E6202F" w:rsidRPr="00172374">
              <w:rPr>
                <w:sz w:val="20"/>
                <w:szCs w:val="20"/>
                <w:lang w:eastAsia="el-GR"/>
              </w:rPr>
              <w:t>.</w:t>
            </w:r>
            <w:r w:rsidRPr="00172374">
              <w:rPr>
                <w:sz w:val="20"/>
                <w:szCs w:val="20"/>
                <w:lang w:eastAsia="el-GR"/>
              </w:rPr>
              <w:t xml:space="preserve"> </w:t>
            </w:r>
            <w:r w:rsidR="00E6202F" w:rsidRPr="00172374">
              <w:rPr>
                <w:sz w:val="20"/>
                <w:szCs w:val="20"/>
                <w:lang w:eastAsia="el-GR"/>
              </w:rPr>
              <w:t>This</w:t>
            </w:r>
            <w:r w:rsidRPr="00172374">
              <w:rPr>
                <w:sz w:val="20"/>
                <w:szCs w:val="20"/>
                <w:lang w:eastAsia="el-GR"/>
              </w:rPr>
              <w:t xml:space="preserve"> permits investigation of their nomological relationship and the establishment of </w:t>
            </w:r>
            <w:r w:rsidR="00E6202F" w:rsidRPr="00172374">
              <w:rPr>
                <w:sz w:val="20"/>
                <w:szCs w:val="20"/>
                <w:lang w:eastAsia="el-GR"/>
              </w:rPr>
              <w:t>brand orientation</w:t>
            </w:r>
            <w:r w:rsidRPr="00172374">
              <w:rPr>
                <w:sz w:val="20"/>
                <w:szCs w:val="20"/>
                <w:lang w:eastAsia="el-GR"/>
              </w:rPr>
              <w:t xml:space="preserve"> as a new strategic orientation. </w:t>
            </w:r>
          </w:p>
        </w:tc>
      </w:tr>
      <w:tr w:rsidR="00E056A3" w:rsidRPr="00172374" w14:paraId="4BA87B3E" w14:textId="77777777" w:rsidTr="002614EF">
        <w:tc>
          <w:tcPr>
            <w:tcW w:w="1231" w:type="dxa"/>
            <w:tcBorders>
              <w:top w:val="single" w:sz="12" w:space="0" w:color="FFFFFF"/>
              <w:left w:val="nil"/>
              <w:bottom w:val="single" w:sz="12" w:space="0" w:color="FFFFFF"/>
              <w:right w:val="single" w:sz="12" w:space="0" w:color="FFFFFF"/>
            </w:tcBorders>
          </w:tcPr>
          <w:p w14:paraId="37E06410" w14:textId="77777777" w:rsidR="00E056A3" w:rsidRPr="00172374" w:rsidRDefault="00E056A3" w:rsidP="00656827">
            <w:pPr>
              <w:pStyle w:val="mainabbody"/>
              <w:spacing w:before="60" w:after="0" w:line="240" w:lineRule="auto"/>
              <w:ind w:left="32" w:firstLine="2"/>
              <w:jc w:val="left"/>
              <w:rPr>
                <w:sz w:val="20"/>
                <w:szCs w:val="20"/>
                <w:lang w:eastAsia="el-GR"/>
              </w:rPr>
            </w:pPr>
            <w:r w:rsidRPr="00172374">
              <w:rPr>
                <w:sz w:val="20"/>
                <w:szCs w:val="20"/>
              </w:rPr>
              <w:lastRenderedPageBreak/>
              <w:t>Hankinson (2012)</w:t>
            </w:r>
          </w:p>
        </w:tc>
        <w:tc>
          <w:tcPr>
            <w:tcW w:w="3022" w:type="dxa"/>
            <w:tcBorders>
              <w:top w:val="single" w:sz="12" w:space="0" w:color="FFFFFF"/>
              <w:left w:val="single" w:sz="12" w:space="0" w:color="FFFFFF"/>
              <w:bottom w:val="single" w:sz="12" w:space="0" w:color="FFFFFF"/>
              <w:right w:val="nil"/>
            </w:tcBorders>
          </w:tcPr>
          <w:p w14:paraId="366B7F6C" w14:textId="168B6848"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The construct consists of five dimensions</w:t>
            </w:r>
            <w:r w:rsidR="00AF0605" w:rsidRPr="00172374">
              <w:rPr>
                <w:sz w:val="20"/>
                <w:szCs w:val="20"/>
                <w:lang w:eastAsia="el-GR"/>
              </w:rPr>
              <w:t xml:space="preserve">: </w:t>
            </w:r>
            <w:r w:rsidRPr="00172374">
              <w:rPr>
                <w:sz w:val="20"/>
                <w:szCs w:val="20"/>
                <w:lang w:eastAsia="el-GR"/>
              </w:rPr>
              <w:t xml:space="preserve">brand culture, departmental coordination, brand communication, brand reality, </w:t>
            </w:r>
            <w:r w:rsidR="001766E5" w:rsidRPr="00172374">
              <w:rPr>
                <w:sz w:val="20"/>
                <w:szCs w:val="20"/>
                <w:lang w:eastAsia="el-GR"/>
              </w:rPr>
              <w:t xml:space="preserve">and </w:t>
            </w:r>
            <w:r w:rsidRPr="00172374">
              <w:rPr>
                <w:sz w:val="20"/>
                <w:szCs w:val="20"/>
                <w:lang w:eastAsia="el-GR"/>
              </w:rPr>
              <w:t>brand partnership.</w:t>
            </w:r>
          </w:p>
        </w:tc>
        <w:tc>
          <w:tcPr>
            <w:tcW w:w="3969" w:type="dxa"/>
            <w:tcBorders>
              <w:top w:val="single" w:sz="12" w:space="0" w:color="FFFFFF"/>
              <w:left w:val="single" w:sz="12" w:space="0" w:color="FFFFFF"/>
              <w:bottom w:val="single" w:sz="12" w:space="0" w:color="FFFFFF"/>
              <w:right w:val="single" w:sz="12" w:space="0" w:color="FFFFFF"/>
            </w:tcBorders>
          </w:tcPr>
          <w:p w14:paraId="55042242" w14:textId="3AB95B69"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We ensure that all managers within the organization are aware of the marketing activities and support of the brand</w:t>
            </w:r>
          </w:p>
          <w:p w14:paraId="1AA31785" w14:textId="73F4AE59"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We have regular team meetings at senior level to try to get things joined up</w:t>
            </w:r>
          </w:p>
          <w:p w14:paraId="7DC9FF1D" w14:textId="0CD1790E"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Our brand communications are aimed at a wide range of audiences, not just customers</w:t>
            </w:r>
          </w:p>
          <w:p w14:paraId="494CE569" w14:textId="5B1DD724"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The customer experience is at the heart of all we do</w:t>
            </w:r>
          </w:p>
          <w:p w14:paraId="2609B9F3" w14:textId="22D35DBE"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To develop our brand, we bring together public and private sector partners under the same banner in support of a common brand</w:t>
            </w:r>
          </w:p>
        </w:tc>
        <w:tc>
          <w:tcPr>
            <w:tcW w:w="1276" w:type="dxa"/>
            <w:tcBorders>
              <w:top w:val="single" w:sz="12" w:space="0" w:color="FFFFFF"/>
              <w:left w:val="single" w:sz="12" w:space="0" w:color="FFFFFF"/>
              <w:bottom w:val="single" w:sz="12" w:space="0" w:color="FFFFFF"/>
              <w:right w:val="single" w:sz="12" w:space="0" w:color="FFFFFF"/>
            </w:tcBorders>
          </w:tcPr>
          <w:p w14:paraId="5E2F59B8" w14:textId="77777777"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Yes: Destination branding context</w:t>
            </w:r>
          </w:p>
        </w:tc>
        <w:tc>
          <w:tcPr>
            <w:tcW w:w="3969" w:type="dxa"/>
            <w:tcBorders>
              <w:top w:val="single" w:sz="12" w:space="0" w:color="FFFFFF"/>
              <w:left w:val="single" w:sz="12" w:space="0" w:color="FFFFFF"/>
              <w:bottom w:val="single" w:sz="12" w:space="0" w:color="FFFFFF"/>
              <w:right w:val="single" w:sz="12" w:space="0" w:color="FFFFFF"/>
            </w:tcBorders>
          </w:tcPr>
          <w:p w14:paraId="5991DBC2" w14:textId="77777777" w:rsidR="00E056A3" w:rsidRPr="00172374" w:rsidRDefault="0082128C" w:rsidP="00656827">
            <w:pPr>
              <w:pStyle w:val="mainabbody"/>
              <w:spacing w:before="60" w:after="0" w:line="240" w:lineRule="auto"/>
              <w:rPr>
                <w:sz w:val="20"/>
                <w:szCs w:val="20"/>
                <w:lang w:eastAsia="el-GR"/>
              </w:rPr>
            </w:pPr>
            <w:r w:rsidRPr="00172374">
              <w:rPr>
                <w:sz w:val="20"/>
                <w:szCs w:val="20"/>
                <w:lang w:eastAsia="el-GR"/>
              </w:rPr>
              <w:t>The new scale</w:t>
            </w:r>
            <w:r w:rsidR="00E056A3" w:rsidRPr="00172374">
              <w:rPr>
                <w:sz w:val="20"/>
                <w:szCs w:val="20"/>
                <w:lang w:eastAsia="el-GR"/>
              </w:rPr>
              <w:t xml:space="preserve"> is not context-specific, facilitating the generalization of the scale.</w:t>
            </w:r>
          </w:p>
        </w:tc>
      </w:tr>
      <w:tr w:rsidR="00E056A3" w:rsidRPr="00172374" w14:paraId="49B0690E" w14:textId="77777777" w:rsidTr="002614EF">
        <w:tc>
          <w:tcPr>
            <w:tcW w:w="1231" w:type="dxa"/>
            <w:tcBorders>
              <w:top w:val="single" w:sz="12" w:space="0" w:color="FFFFFF"/>
              <w:left w:val="nil"/>
              <w:bottom w:val="single" w:sz="4" w:space="0" w:color="auto"/>
              <w:right w:val="single" w:sz="12" w:space="0" w:color="FFFFFF"/>
            </w:tcBorders>
          </w:tcPr>
          <w:p w14:paraId="198CC43B" w14:textId="77777777" w:rsidR="00E056A3" w:rsidRPr="00172374" w:rsidRDefault="00E056A3" w:rsidP="00656827">
            <w:pPr>
              <w:pStyle w:val="mainabbody"/>
              <w:spacing w:before="60" w:after="0" w:line="240" w:lineRule="auto"/>
              <w:ind w:left="32" w:firstLine="2"/>
              <w:jc w:val="left"/>
              <w:rPr>
                <w:sz w:val="20"/>
                <w:szCs w:val="20"/>
              </w:rPr>
            </w:pPr>
            <w:r w:rsidRPr="00172374">
              <w:rPr>
                <w:sz w:val="20"/>
                <w:szCs w:val="20"/>
              </w:rPr>
              <w:t>Huang and Tsai (2013)</w:t>
            </w:r>
          </w:p>
        </w:tc>
        <w:tc>
          <w:tcPr>
            <w:tcW w:w="3022" w:type="dxa"/>
            <w:tcBorders>
              <w:top w:val="single" w:sz="12" w:space="0" w:color="FFFFFF"/>
              <w:left w:val="single" w:sz="12" w:space="0" w:color="FFFFFF"/>
              <w:bottom w:val="single" w:sz="4" w:space="0" w:color="auto"/>
              <w:right w:val="nil"/>
            </w:tcBorders>
          </w:tcPr>
          <w:p w14:paraId="4850C295" w14:textId="5C84BDCF"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 xml:space="preserve">A one-dimensional scale consisting of five items was developed </w:t>
            </w:r>
            <w:r w:rsidR="00212CAF" w:rsidRPr="00172374">
              <w:rPr>
                <w:sz w:val="20"/>
                <w:szCs w:val="20"/>
                <w:lang w:eastAsia="el-GR"/>
              </w:rPr>
              <w:t xml:space="preserve">from </w:t>
            </w:r>
            <w:r w:rsidRPr="00172374">
              <w:rPr>
                <w:sz w:val="20"/>
                <w:szCs w:val="20"/>
                <w:lang w:eastAsia="el-GR"/>
              </w:rPr>
              <w:t xml:space="preserve">the conceptual definition of </w:t>
            </w:r>
            <w:proofErr w:type="spellStart"/>
            <w:r w:rsidRPr="00172374">
              <w:rPr>
                <w:sz w:val="20"/>
                <w:szCs w:val="20"/>
                <w:lang w:eastAsia="el-GR"/>
              </w:rPr>
              <w:t>Urde</w:t>
            </w:r>
            <w:proofErr w:type="spellEnd"/>
            <w:r w:rsidRPr="00172374">
              <w:rPr>
                <w:sz w:val="20"/>
                <w:szCs w:val="20"/>
                <w:lang w:eastAsia="el-GR"/>
              </w:rPr>
              <w:t xml:space="preserve"> (1994</w:t>
            </w:r>
            <w:r w:rsidR="00212CAF" w:rsidRPr="00172374">
              <w:rPr>
                <w:sz w:val="20"/>
                <w:szCs w:val="20"/>
                <w:lang w:eastAsia="el-GR"/>
              </w:rPr>
              <w:t>,</w:t>
            </w:r>
            <w:r w:rsidRPr="00172374">
              <w:rPr>
                <w:sz w:val="20"/>
                <w:szCs w:val="20"/>
                <w:lang w:eastAsia="el-GR"/>
              </w:rPr>
              <w:t xml:space="preserve"> 1999) and Reid et al. (2005). </w:t>
            </w:r>
          </w:p>
        </w:tc>
        <w:tc>
          <w:tcPr>
            <w:tcW w:w="3969" w:type="dxa"/>
            <w:tcBorders>
              <w:top w:val="single" w:sz="12" w:space="0" w:color="FFFFFF"/>
              <w:left w:val="single" w:sz="12" w:space="0" w:color="FFFFFF"/>
              <w:bottom w:val="single" w:sz="4" w:space="0" w:color="auto"/>
              <w:right w:val="single" w:sz="12" w:space="0" w:color="FFFFFF"/>
            </w:tcBorders>
          </w:tcPr>
          <w:p w14:paraId="5D459BFA" w14:textId="6B728F87"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Brand is the core for the company’s mission and strategic development</w:t>
            </w:r>
          </w:p>
          <w:p w14:paraId="527DBB75" w14:textId="24F92C60"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The company’s objective is to create competitive advantage through brands</w:t>
            </w:r>
          </w:p>
          <w:p w14:paraId="3C8D5816" w14:textId="06281BF2"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All members of the company have knowledge of the company’s positioning and value and apply the knowledge to their work</w:t>
            </w:r>
          </w:p>
          <w:p w14:paraId="15792301" w14:textId="4BC4C7D0"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All company members are aware that the brand differentiates them from their competitors</w:t>
            </w:r>
          </w:p>
          <w:p w14:paraId="63409D20" w14:textId="5732598B" w:rsidR="00E056A3" w:rsidRPr="00172374" w:rsidRDefault="00E056A3" w:rsidP="00985C3F">
            <w:pPr>
              <w:pStyle w:val="mainabbody"/>
              <w:spacing w:before="60" w:after="0" w:line="240" w:lineRule="auto"/>
              <w:ind w:left="35"/>
              <w:jc w:val="left"/>
              <w:rPr>
                <w:sz w:val="20"/>
                <w:szCs w:val="20"/>
                <w:lang w:eastAsia="el-GR"/>
              </w:rPr>
            </w:pPr>
            <w:r w:rsidRPr="00172374">
              <w:rPr>
                <w:sz w:val="20"/>
                <w:szCs w:val="20"/>
                <w:lang w:eastAsia="el-GR"/>
              </w:rPr>
              <w:t>The company integrates various communication channels, conveys information of company brand positioning and value to customers, and establishes added value for the brand</w:t>
            </w:r>
          </w:p>
        </w:tc>
        <w:tc>
          <w:tcPr>
            <w:tcW w:w="1276" w:type="dxa"/>
            <w:tcBorders>
              <w:top w:val="single" w:sz="12" w:space="0" w:color="FFFFFF"/>
              <w:left w:val="single" w:sz="12" w:space="0" w:color="FFFFFF"/>
              <w:bottom w:val="single" w:sz="4" w:space="0" w:color="auto"/>
              <w:right w:val="single" w:sz="12" w:space="0" w:color="FFFFFF"/>
            </w:tcBorders>
          </w:tcPr>
          <w:p w14:paraId="40D8C491" w14:textId="77777777" w:rsidR="00E056A3" w:rsidRPr="00172374" w:rsidRDefault="00E056A3" w:rsidP="00656827">
            <w:pPr>
              <w:pStyle w:val="mainabbody"/>
              <w:spacing w:before="60" w:after="0" w:line="240" w:lineRule="auto"/>
              <w:jc w:val="left"/>
              <w:rPr>
                <w:sz w:val="20"/>
                <w:szCs w:val="20"/>
                <w:lang w:eastAsia="el-GR"/>
              </w:rPr>
            </w:pPr>
            <w:r w:rsidRPr="00172374">
              <w:rPr>
                <w:sz w:val="20"/>
                <w:szCs w:val="20"/>
                <w:lang w:eastAsia="el-GR"/>
              </w:rPr>
              <w:t>No</w:t>
            </w:r>
          </w:p>
        </w:tc>
        <w:tc>
          <w:tcPr>
            <w:tcW w:w="3969" w:type="dxa"/>
            <w:tcBorders>
              <w:top w:val="single" w:sz="12" w:space="0" w:color="FFFFFF"/>
              <w:left w:val="single" w:sz="12" w:space="0" w:color="FFFFFF"/>
              <w:bottom w:val="single" w:sz="4" w:space="0" w:color="auto"/>
              <w:right w:val="single" w:sz="12" w:space="0" w:color="FFFFFF"/>
            </w:tcBorders>
          </w:tcPr>
          <w:p w14:paraId="56F9D6C0" w14:textId="043C7E5A" w:rsidR="00E056A3" w:rsidRPr="00172374" w:rsidRDefault="0082128C" w:rsidP="00656827">
            <w:pPr>
              <w:pStyle w:val="mainabbody"/>
              <w:spacing w:before="60" w:after="0" w:line="240" w:lineRule="auto"/>
              <w:rPr>
                <w:sz w:val="20"/>
                <w:szCs w:val="20"/>
                <w:lang w:eastAsia="el-GR"/>
              </w:rPr>
            </w:pPr>
            <w:r w:rsidRPr="00172374">
              <w:rPr>
                <w:sz w:val="20"/>
                <w:szCs w:val="20"/>
                <w:lang w:eastAsia="el-GR"/>
              </w:rPr>
              <w:t>The new</w:t>
            </w:r>
            <w:r w:rsidR="00E056A3" w:rsidRPr="00172374">
              <w:rPr>
                <w:sz w:val="20"/>
                <w:szCs w:val="20"/>
                <w:lang w:eastAsia="el-GR"/>
              </w:rPr>
              <w:t xml:space="preserve"> scale provides a holistic view of brand orientation </w:t>
            </w:r>
            <w:r w:rsidR="00295754" w:rsidRPr="00172374">
              <w:rPr>
                <w:sz w:val="20"/>
                <w:szCs w:val="20"/>
                <w:lang w:eastAsia="el-GR"/>
              </w:rPr>
              <w:t>under a multidimensional structure that better reflects the broadness of the concept</w:t>
            </w:r>
            <w:r w:rsidR="00E056A3" w:rsidRPr="00172374">
              <w:rPr>
                <w:sz w:val="20"/>
                <w:szCs w:val="20"/>
                <w:lang w:eastAsia="el-GR"/>
              </w:rPr>
              <w:t xml:space="preserve">. </w:t>
            </w:r>
            <w:r w:rsidRPr="00172374">
              <w:rPr>
                <w:sz w:val="20"/>
                <w:szCs w:val="20"/>
                <w:lang w:eastAsia="el-GR"/>
              </w:rPr>
              <w:t>Its</w:t>
            </w:r>
            <w:r w:rsidR="00E056A3" w:rsidRPr="00172374">
              <w:rPr>
                <w:sz w:val="20"/>
                <w:szCs w:val="20"/>
                <w:lang w:eastAsia="el-GR"/>
              </w:rPr>
              <w:t xml:space="preserve"> operationalization strictly follows measurement theory and is based on </w:t>
            </w:r>
            <w:r w:rsidR="00212CAF" w:rsidRPr="00172374">
              <w:rPr>
                <w:sz w:val="20"/>
                <w:szCs w:val="20"/>
                <w:lang w:eastAsia="el-GR"/>
              </w:rPr>
              <w:t>five</w:t>
            </w:r>
            <w:r w:rsidR="00E056A3" w:rsidRPr="00172374">
              <w:rPr>
                <w:sz w:val="20"/>
                <w:szCs w:val="20"/>
                <w:lang w:eastAsia="el-GR"/>
              </w:rPr>
              <w:t xml:space="preserve"> complementary studies.</w:t>
            </w:r>
          </w:p>
        </w:tc>
      </w:tr>
      <w:tr w:rsidR="00810086" w:rsidRPr="00172374" w14:paraId="3FCDF693" w14:textId="77777777" w:rsidTr="007C6E7D">
        <w:tc>
          <w:tcPr>
            <w:tcW w:w="13467" w:type="dxa"/>
            <w:gridSpan w:val="5"/>
            <w:tcBorders>
              <w:top w:val="single" w:sz="4" w:space="0" w:color="auto"/>
              <w:left w:val="nil"/>
              <w:bottom w:val="nil"/>
              <w:right w:val="nil"/>
            </w:tcBorders>
          </w:tcPr>
          <w:p w14:paraId="0FBB07BE" w14:textId="7508FC4A" w:rsidR="007C6E7D" w:rsidRPr="00172374" w:rsidRDefault="007C6E7D" w:rsidP="002614EF">
            <w:pPr>
              <w:pStyle w:val="mainabbody"/>
              <w:spacing w:after="0" w:line="240" w:lineRule="auto"/>
              <w:rPr>
                <w:sz w:val="20"/>
                <w:szCs w:val="20"/>
                <w:lang w:eastAsia="el-GR"/>
              </w:rPr>
            </w:pPr>
            <w:bookmarkStart w:id="45" w:name="_Hlk31128876"/>
            <w:r w:rsidRPr="00172374">
              <w:rPr>
                <w:b/>
                <w:bCs/>
                <w:sz w:val="20"/>
                <w:szCs w:val="20"/>
                <w:lang w:eastAsia="el-GR"/>
              </w:rPr>
              <w:t>Note</w:t>
            </w:r>
            <w:r w:rsidRPr="00172374">
              <w:rPr>
                <w:sz w:val="20"/>
                <w:szCs w:val="20"/>
                <w:lang w:eastAsia="el-GR"/>
              </w:rPr>
              <w:t xml:space="preserve">: The table includes all </w:t>
            </w:r>
            <w:r w:rsidR="002614EF" w:rsidRPr="00172374">
              <w:rPr>
                <w:sz w:val="20"/>
                <w:szCs w:val="20"/>
                <w:lang w:eastAsia="el-GR"/>
              </w:rPr>
              <w:t xml:space="preserve">proposed operationalizations of brand orientation that </w:t>
            </w:r>
            <w:r w:rsidR="005B0B7B" w:rsidRPr="00172374">
              <w:rPr>
                <w:sz w:val="20"/>
                <w:szCs w:val="20"/>
                <w:lang w:eastAsia="el-GR"/>
              </w:rPr>
              <w:t>presented</w:t>
            </w:r>
            <w:r w:rsidR="00905C8A" w:rsidRPr="00172374">
              <w:rPr>
                <w:sz w:val="20"/>
                <w:szCs w:val="20"/>
                <w:lang w:eastAsia="el-GR"/>
              </w:rPr>
              <w:t xml:space="preserve"> </w:t>
            </w:r>
            <w:r w:rsidR="002614EF" w:rsidRPr="00172374">
              <w:rPr>
                <w:sz w:val="20"/>
                <w:szCs w:val="20"/>
                <w:lang w:eastAsia="el-GR"/>
              </w:rPr>
              <w:t>critical reliability and validity assessments</w:t>
            </w:r>
            <w:r w:rsidRPr="00172374">
              <w:rPr>
                <w:sz w:val="20"/>
                <w:szCs w:val="20"/>
                <w:lang w:eastAsia="el-GR"/>
              </w:rPr>
              <w:t>.</w:t>
            </w:r>
            <w:r w:rsidR="002614EF" w:rsidRPr="00172374">
              <w:rPr>
                <w:sz w:val="20"/>
                <w:szCs w:val="20"/>
                <w:lang w:eastAsia="el-GR"/>
              </w:rPr>
              <w:t xml:space="preserve"> Research </w:t>
            </w:r>
            <w:r w:rsidR="00905C8A" w:rsidRPr="00172374">
              <w:rPr>
                <w:sz w:val="20"/>
                <w:szCs w:val="20"/>
                <w:lang w:eastAsia="el-GR"/>
              </w:rPr>
              <w:t xml:space="preserve">efforts </w:t>
            </w:r>
            <w:r w:rsidR="002614EF" w:rsidRPr="00172374">
              <w:rPr>
                <w:sz w:val="20"/>
                <w:szCs w:val="20"/>
                <w:lang w:eastAsia="el-GR"/>
              </w:rPr>
              <w:t xml:space="preserve">for scale development that </w:t>
            </w:r>
            <w:r w:rsidR="00AE5D1F" w:rsidRPr="00172374">
              <w:rPr>
                <w:sz w:val="20"/>
                <w:szCs w:val="20"/>
                <w:lang w:eastAsia="el-GR"/>
              </w:rPr>
              <w:t xml:space="preserve">presented only </w:t>
            </w:r>
            <w:r w:rsidR="00697657" w:rsidRPr="00172374">
              <w:rPr>
                <w:sz w:val="20"/>
                <w:szCs w:val="20"/>
                <w:lang w:eastAsia="el-GR"/>
              </w:rPr>
              <w:t>preliminary</w:t>
            </w:r>
            <w:r w:rsidR="002614EF" w:rsidRPr="00172374">
              <w:rPr>
                <w:sz w:val="20"/>
                <w:szCs w:val="20"/>
                <w:lang w:eastAsia="el-GR"/>
              </w:rPr>
              <w:t xml:space="preserve"> dimensionality tests (</w:t>
            </w:r>
            <w:r w:rsidR="00697657" w:rsidRPr="00172374">
              <w:rPr>
                <w:sz w:val="20"/>
                <w:szCs w:val="20"/>
                <w:lang w:eastAsia="el-GR"/>
              </w:rPr>
              <w:t>i.e.,</w:t>
            </w:r>
            <w:r w:rsidR="002614EF" w:rsidRPr="00172374">
              <w:rPr>
                <w:sz w:val="20"/>
                <w:szCs w:val="20"/>
                <w:lang w:eastAsia="el-GR"/>
              </w:rPr>
              <w:t xml:space="preserve"> only EFA) are not reported.</w:t>
            </w:r>
            <w:bookmarkEnd w:id="45"/>
          </w:p>
          <w:p w14:paraId="1524CCB5" w14:textId="4C4EE269" w:rsidR="001830CD" w:rsidRPr="00172374" w:rsidRDefault="001830CD" w:rsidP="001830CD">
            <w:pPr>
              <w:pStyle w:val="mainabbody"/>
              <w:spacing w:after="0" w:line="240" w:lineRule="auto"/>
              <w:rPr>
                <w:sz w:val="20"/>
                <w:szCs w:val="20"/>
                <w:lang w:eastAsia="el-GR"/>
              </w:rPr>
            </w:pPr>
            <w:r w:rsidRPr="00172374">
              <w:rPr>
                <w:b/>
                <w:sz w:val="20"/>
                <w:szCs w:val="20"/>
                <w:lang w:eastAsia="el-GR"/>
              </w:rPr>
              <w:t>*</w:t>
            </w:r>
            <w:r w:rsidRPr="00172374">
              <w:rPr>
                <w:sz w:val="20"/>
                <w:szCs w:val="20"/>
                <w:lang w:eastAsia="el-GR"/>
              </w:rPr>
              <w:t xml:space="preserve"> For </w:t>
            </w:r>
            <w:r w:rsidR="004A05A9" w:rsidRPr="00172374">
              <w:rPr>
                <w:sz w:val="20"/>
                <w:szCs w:val="20"/>
                <w:lang w:eastAsia="el-GR"/>
              </w:rPr>
              <w:t>the</w:t>
            </w:r>
            <w:r w:rsidRPr="00172374">
              <w:rPr>
                <w:sz w:val="20"/>
                <w:szCs w:val="20"/>
                <w:lang w:eastAsia="el-GR"/>
              </w:rPr>
              <w:t xml:space="preserve"> full list of items of previous brand orientation scales, </w:t>
            </w:r>
            <w:r w:rsidR="001766E5" w:rsidRPr="00172374">
              <w:rPr>
                <w:sz w:val="20"/>
                <w:szCs w:val="20"/>
                <w:lang w:eastAsia="el-GR"/>
              </w:rPr>
              <w:t xml:space="preserve">see </w:t>
            </w:r>
            <w:r w:rsidRPr="00172374">
              <w:rPr>
                <w:sz w:val="20"/>
                <w:szCs w:val="20"/>
                <w:lang w:eastAsia="el-GR"/>
              </w:rPr>
              <w:t>Appendix A</w:t>
            </w:r>
            <w:r w:rsidR="004A05A9" w:rsidRPr="00172374">
              <w:rPr>
                <w:sz w:val="20"/>
                <w:szCs w:val="20"/>
                <w:lang w:eastAsia="el-GR"/>
              </w:rPr>
              <w:t>1.</w:t>
            </w:r>
          </w:p>
        </w:tc>
      </w:tr>
    </w:tbl>
    <w:p w14:paraId="5B792F6E" w14:textId="77777777" w:rsidR="002C29CF" w:rsidRPr="00172374" w:rsidRDefault="002C29CF" w:rsidP="009D7D1A">
      <w:pPr>
        <w:tabs>
          <w:tab w:val="left" w:pos="954"/>
        </w:tabs>
        <w:rPr>
          <w:lang w:val="en-GB"/>
        </w:rPr>
        <w:sectPr w:rsidR="002C29CF" w:rsidRPr="00172374" w:rsidSect="008F2AE7">
          <w:pgSz w:w="16838" w:h="11906" w:orient="landscape"/>
          <w:pgMar w:top="1418" w:right="1418" w:bottom="1418" w:left="1418" w:header="709" w:footer="709" w:gutter="0"/>
          <w:cols w:space="708"/>
          <w:titlePg/>
          <w:docGrid w:linePitch="360"/>
        </w:sectPr>
      </w:pPr>
    </w:p>
    <w:tbl>
      <w:tblPr>
        <w:tblW w:w="0" w:type="auto"/>
        <w:tblLook w:val="04A0" w:firstRow="1" w:lastRow="0" w:firstColumn="1" w:lastColumn="0" w:noHBand="0" w:noVBand="1"/>
      </w:tblPr>
      <w:tblGrid>
        <w:gridCol w:w="6890"/>
        <w:gridCol w:w="2170"/>
      </w:tblGrid>
      <w:tr w:rsidR="00421DE7" w:rsidRPr="00172374" w14:paraId="1F61C429" w14:textId="77777777" w:rsidTr="009D0C89">
        <w:tc>
          <w:tcPr>
            <w:tcW w:w="9060" w:type="dxa"/>
            <w:gridSpan w:val="2"/>
            <w:tcBorders>
              <w:bottom w:val="single" w:sz="4" w:space="0" w:color="auto"/>
            </w:tcBorders>
            <w:vAlign w:val="center"/>
          </w:tcPr>
          <w:p w14:paraId="22684EE2" w14:textId="578F0826" w:rsidR="00421DE7" w:rsidRPr="00172374" w:rsidRDefault="00421DE7" w:rsidP="009C55D7">
            <w:pPr>
              <w:spacing w:after="60"/>
              <w:rPr>
                <w:b/>
                <w:bCs/>
              </w:rPr>
            </w:pPr>
            <w:r w:rsidRPr="00172374">
              <w:lastRenderedPageBreak/>
              <w:br w:type="page"/>
            </w:r>
            <w:r w:rsidRPr="00172374">
              <w:rPr>
                <w:b/>
                <w:bCs/>
              </w:rPr>
              <w:t>Table 3</w:t>
            </w:r>
          </w:p>
          <w:p w14:paraId="16A6FDC2" w14:textId="77777777" w:rsidR="00421DE7" w:rsidRPr="00172374" w:rsidRDefault="00421DE7" w:rsidP="009C55D7">
            <w:pPr>
              <w:spacing w:after="60"/>
              <w:rPr>
                <w:bCs/>
              </w:rPr>
            </w:pPr>
            <w:r w:rsidRPr="00172374">
              <w:rPr>
                <w:bCs/>
              </w:rPr>
              <w:t>Brand orientation dimensions based on extant literature</w:t>
            </w:r>
          </w:p>
        </w:tc>
      </w:tr>
      <w:tr w:rsidR="00421DE7" w:rsidRPr="00172374" w14:paraId="18C66554" w14:textId="77777777" w:rsidTr="009D0C89">
        <w:tc>
          <w:tcPr>
            <w:tcW w:w="6890" w:type="dxa"/>
            <w:tcBorders>
              <w:top w:val="single" w:sz="4" w:space="0" w:color="auto"/>
              <w:bottom w:val="single" w:sz="4" w:space="0" w:color="auto"/>
            </w:tcBorders>
            <w:vAlign w:val="center"/>
          </w:tcPr>
          <w:p w14:paraId="04AF13B8" w14:textId="77777777" w:rsidR="00421DE7" w:rsidRPr="00172374" w:rsidRDefault="00421DE7" w:rsidP="009C55D7"/>
        </w:tc>
        <w:tc>
          <w:tcPr>
            <w:tcW w:w="2170" w:type="dxa"/>
            <w:tcBorders>
              <w:top w:val="single" w:sz="4" w:space="0" w:color="auto"/>
              <w:bottom w:val="single" w:sz="4" w:space="0" w:color="auto"/>
            </w:tcBorders>
          </w:tcPr>
          <w:p w14:paraId="4B941D82" w14:textId="77777777" w:rsidR="00421DE7" w:rsidRPr="00172374" w:rsidRDefault="00421DE7" w:rsidP="009C55D7">
            <w:pPr>
              <w:jc w:val="center"/>
              <w:rPr>
                <w:b/>
                <w:sz w:val="22"/>
                <w:szCs w:val="22"/>
              </w:rPr>
            </w:pPr>
            <w:r w:rsidRPr="00172374">
              <w:rPr>
                <w:b/>
                <w:sz w:val="22"/>
                <w:szCs w:val="22"/>
              </w:rPr>
              <w:t>Literature Sources</w:t>
            </w:r>
          </w:p>
          <w:p w14:paraId="0C3CEFC1" w14:textId="77777777" w:rsidR="00421DE7" w:rsidRPr="00172374" w:rsidRDefault="00421DE7" w:rsidP="009C55D7">
            <w:pPr>
              <w:jc w:val="center"/>
              <w:rPr>
                <w:sz w:val="22"/>
                <w:szCs w:val="22"/>
              </w:rPr>
            </w:pPr>
            <w:r w:rsidRPr="00172374">
              <w:rPr>
                <w:sz w:val="22"/>
                <w:szCs w:val="22"/>
              </w:rPr>
              <w:t>(examples)</w:t>
            </w:r>
          </w:p>
        </w:tc>
      </w:tr>
      <w:tr w:rsidR="00421DE7" w:rsidRPr="00172374" w14:paraId="1A44FCAA" w14:textId="77777777" w:rsidTr="009D0C89">
        <w:tc>
          <w:tcPr>
            <w:tcW w:w="6890" w:type="dxa"/>
            <w:tcBorders>
              <w:top w:val="single" w:sz="4" w:space="0" w:color="auto"/>
              <w:bottom w:val="single" w:sz="4" w:space="0" w:color="auto"/>
            </w:tcBorders>
            <w:vAlign w:val="center"/>
          </w:tcPr>
          <w:p w14:paraId="0E2A136C" w14:textId="77777777" w:rsidR="00421DE7" w:rsidRPr="00172374" w:rsidRDefault="00421DE7" w:rsidP="009C55D7">
            <w:pPr>
              <w:rPr>
                <w:sz w:val="22"/>
                <w:szCs w:val="22"/>
              </w:rPr>
            </w:pPr>
            <w:r w:rsidRPr="00172374">
              <w:rPr>
                <w:b/>
                <w:sz w:val="22"/>
                <w:szCs w:val="22"/>
              </w:rPr>
              <w:t>Brand Importance</w:t>
            </w:r>
          </w:p>
        </w:tc>
        <w:tc>
          <w:tcPr>
            <w:tcW w:w="2170" w:type="dxa"/>
            <w:tcBorders>
              <w:top w:val="single" w:sz="4" w:space="0" w:color="auto"/>
              <w:bottom w:val="single" w:sz="4" w:space="0" w:color="auto"/>
            </w:tcBorders>
          </w:tcPr>
          <w:p w14:paraId="7F37C9C8" w14:textId="77777777" w:rsidR="00421DE7" w:rsidRPr="00172374" w:rsidRDefault="00421DE7" w:rsidP="009C55D7">
            <w:pPr>
              <w:jc w:val="both"/>
            </w:pPr>
          </w:p>
        </w:tc>
      </w:tr>
      <w:tr w:rsidR="00421DE7" w:rsidRPr="00172374" w14:paraId="49EB9F5A" w14:textId="77777777" w:rsidTr="009C55D7">
        <w:tc>
          <w:tcPr>
            <w:tcW w:w="6890" w:type="dxa"/>
            <w:tcBorders>
              <w:top w:val="single" w:sz="4" w:space="0" w:color="auto"/>
            </w:tcBorders>
            <w:vAlign w:val="center"/>
          </w:tcPr>
          <w:p w14:paraId="342B8C3B"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 xml:space="preserve">An internal culture must first be created that makes upholding the brand and its implicit promises and representations everyone’s very raison d’ </w:t>
            </w:r>
            <w:proofErr w:type="spellStart"/>
            <w:r w:rsidRPr="00172374">
              <w:rPr>
                <w:rFonts w:ascii="Arial" w:hAnsi="Arial" w:cs="Arial"/>
                <w:i/>
                <w:sz w:val="18"/>
                <w:szCs w:val="18"/>
              </w:rPr>
              <w:t>ê</w:t>
            </w:r>
            <w:r w:rsidRPr="00172374">
              <w:rPr>
                <w:i/>
                <w:sz w:val="20"/>
                <w:szCs w:val="20"/>
              </w:rPr>
              <w:t>tre</w:t>
            </w:r>
            <w:proofErr w:type="spellEnd"/>
            <w:r w:rsidRPr="00172374">
              <w:rPr>
                <w:i/>
                <w:sz w:val="20"/>
                <w:szCs w:val="20"/>
              </w:rPr>
              <w:t>” (Davis, 2005; p. 227)</w:t>
            </w:r>
          </w:p>
          <w:p w14:paraId="05AF778C" w14:textId="77777777" w:rsidR="00421DE7" w:rsidRPr="00172374" w:rsidRDefault="00421DE7" w:rsidP="009C55D7">
            <w:pPr>
              <w:spacing w:before="120"/>
              <w:rPr>
                <w:i/>
                <w:sz w:val="20"/>
                <w:szCs w:val="20"/>
              </w:rPr>
            </w:pPr>
            <w:r w:rsidRPr="00172374">
              <w:rPr>
                <w:i/>
                <w:sz w:val="20"/>
                <w:szCs w:val="20"/>
              </w:rPr>
              <w:t>-“…</w:t>
            </w:r>
            <w:r w:rsidRPr="00172374">
              <w:t xml:space="preserve"> </w:t>
            </w:r>
            <w:r w:rsidRPr="00172374">
              <w:rPr>
                <w:i/>
                <w:sz w:val="20"/>
                <w:szCs w:val="20"/>
              </w:rPr>
              <w:t xml:space="preserve">top management members should be actively involved in brand building efforts, treat branding issues as being of high priority and continuously work across the </w:t>
            </w:r>
            <w:proofErr w:type="spellStart"/>
            <w:r w:rsidRPr="00172374">
              <w:rPr>
                <w:i/>
                <w:sz w:val="20"/>
                <w:szCs w:val="20"/>
              </w:rPr>
              <w:t>organisation</w:t>
            </w:r>
            <w:proofErr w:type="spellEnd"/>
            <w:r w:rsidRPr="00172374">
              <w:rPr>
                <w:i/>
                <w:sz w:val="20"/>
                <w:szCs w:val="20"/>
              </w:rPr>
              <w:t xml:space="preserve"> to ensure enthusiasm in delivering the brand values” (</w:t>
            </w:r>
            <w:proofErr w:type="spellStart"/>
            <w:r w:rsidRPr="00172374">
              <w:rPr>
                <w:i/>
                <w:sz w:val="20"/>
                <w:szCs w:val="20"/>
              </w:rPr>
              <w:t>Piha</w:t>
            </w:r>
            <w:proofErr w:type="spellEnd"/>
            <w:r w:rsidRPr="00172374">
              <w:rPr>
                <w:i/>
                <w:sz w:val="20"/>
                <w:szCs w:val="20"/>
              </w:rPr>
              <w:t xml:space="preserve"> and </w:t>
            </w:r>
            <w:proofErr w:type="spellStart"/>
            <w:r w:rsidRPr="00172374">
              <w:rPr>
                <w:i/>
                <w:sz w:val="20"/>
                <w:szCs w:val="20"/>
              </w:rPr>
              <w:t>Avlonitis</w:t>
            </w:r>
            <w:proofErr w:type="spellEnd"/>
            <w:r w:rsidRPr="00172374">
              <w:rPr>
                <w:i/>
                <w:sz w:val="20"/>
                <w:szCs w:val="20"/>
              </w:rPr>
              <w:t>, 2018; p. 18).</w:t>
            </w:r>
          </w:p>
          <w:p w14:paraId="3789ED9B"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…brands cease to be tactical tools that are owned by marketing departments and instead become strategic resources that permeate an entire organization” (</w:t>
            </w:r>
            <w:proofErr w:type="spellStart"/>
            <w:r w:rsidRPr="00172374">
              <w:rPr>
                <w:i/>
                <w:sz w:val="20"/>
                <w:szCs w:val="20"/>
              </w:rPr>
              <w:t>Gromark</w:t>
            </w:r>
            <w:proofErr w:type="spellEnd"/>
            <w:r w:rsidRPr="00172374">
              <w:rPr>
                <w:i/>
                <w:sz w:val="20"/>
                <w:szCs w:val="20"/>
              </w:rPr>
              <w:t xml:space="preserve"> and </w:t>
            </w:r>
            <w:proofErr w:type="spellStart"/>
            <w:r w:rsidRPr="00172374">
              <w:rPr>
                <w:i/>
                <w:sz w:val="20"/>
                <w:szCs w:val="20"/>
              </w:rPr>
              <w:t>Melin</w:t>
            </w:r>
            <w:proofErr w:type="spellEnd"/>
            <w:r w:rsidRPr="00172374">
              <w:rPr>
                <w:i/>
                <w:sz w:val="20"/>
                <w:szCs w:val="20"/>
              </w:rPr>
              <w:t>, 2011; p. 400). “…strong brands should be associated with good profitability, brand management should be perceived as a core competence, and brand building should be an integral part of the company’s business model” (p. 401).</w:t>
            </w:r>
          </w:p>
          <w:p w14:paraId="416D328B" w14:textId="77777777" w:rsidR="00421DE7" w:rsidRPr="00172374" w:rsidRDefault="00421DE7" w:rsidP="009C55D7">
            <w:pPr>
              <w:spacing w:before="120"/>
              <w:rPr>
                <w:i/>
                <w:sz w:val="20"/>
                <w:szCs w:val="20"/>
              </w:rPr>
            </w:pPr>
            <w:r w:rsidRPr="00172374">
              <w:rPr>
                <w:i/>
                <w:sz w:val="20"/>
                <w:szCs w:val="20"/>
              </w:rPr>
              <w:t xml:space="preserve">-“Brand managers should understand the culture of their target consumers and investigate the symbols and behavior which represent their values and norms, to integrate these aspects within the brand culture” (Fritz, </w:t>
            </w:r>
            <w:proofErr w:type="spellStart"/>
            <w:r w:rsidRPr="00172374">
              <w:rPr>
                <w:i/>
                <w:sz w:val="20"/>
                <w:szCs w:val="20"/>
              </w:rPr>
              <w:t>Schoenmueller</w:t>
            </w:r>
            <w:proofErr w:type="spellEnd"/>
            <w:r w:rsidRPr="00172374">
              <w:rPr>
                <w:i/>
                <w:sz w:val="20"/>
                <w:szCs w:val="20"/>
              </w:rPr>
              <w:t>, &amp; Bruhn, 2017; p. 340).</w:t>
            </w:r>
          </w:p>
          <w:p w14:paraId="1538D32B"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Firms that are good at developing strong brands usually have a strong brand-building culture, including clearly defined rules, norms and organizational symbols. Brand building is accepted in these firms… and actions that put brands at risk are questioned as a matter of course” (Aaker, 1996; p. 343).</w:t>
            </w:r>
          </w:p>
          <w:p w14:paraId="4009D5D6"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 xml:space="preserve">…strategic decisions should be driven by the brand, which is a central focus of a firm” (Wong and </w:t>
            </w:r>
            <w:proofErr w:type="spellStart"/>
            <w:r w:rsidRPr="00172374">
              <w:rPr>
                <w:i/>
                <w:sz w:val="20"/>
                <w:szCs w:val="20"/>
              </w:rPr>
              <w:t>Merrilees</w:t>
            </w:r>
            <w:proofErr w:type="spellEnd"/>
            <w:r w:rsidRPr="00172374">
              <w:rPr>
                <w:i/>
                <w:sz w:val="20"/>
                <w:szCs w:val="20"/>
              </w:rPr>
              <w:t>, 2008; 372).</w:t>
            </w:r>
          </w:p>
          <w:p w14:paraId="545D5BF1"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The most successful brands begin internally with a strong, accepted, and omnipresent organizational brand culture. And, at its core, that culture needs a clearly articulated and lived mission that captures the commitment of every person in the organization” (</w:t>
            </w:r>
            <w:smartTag w:uri="urn:schemas-microsoft-com:office:smarttags" w:element="place">
              <w:r w:rsidRPr="00172374">
                <w:rPr>
                  <w:i/>
                  <w:sz w:val="20"/>
                  <w:szCs w:val="20"/>
                </w:rPr>
                <w:t>Mecklenburg</w:t>
              </w:r>
            </w:smartTag>
            <w:r w:rsidRPr="00172374">
              <w:rPr>
                <w:i/>
                <w:sz w:val="20"/>
                <w:szCs w:val="20"/>
              </w:rPr>
              <w:t>, G. A., 2005; 304).</w:t>
            </w:r>
          </w:p>
        </w:tc>
        <w:tc>
          <w:tcPr>
            <w:tcW w:w="2170" w:type="dxa"/>
            <w:tcBorders>
              <w:top w:val="single" w:sz="4" w:space="0" w:color="auto"/>
            </w:tcBorders>
          </w:tcPr>
          <w:p w14:paraId="1C9D074B" w14:textId="2A235420" w:rsidR="00421DE7" w:rsidRPr="00172374" w:rsidRDefault="00421DE7" w:rsidP="009C55D7">
            <w:pPr>
              <w:rPr>
                <w:sz w:val="20"/>
                <w:szCs w:val="20"/>
              </w:rPr>
            </w:pPr>
            <w:r w:rsidRPr="00172374">
              <w:rPr>
                <w:sz w:val="20"/>
                <w:szCs w:val="20"/>
              </w:rPr>
              <w:t>Aaker, 1996</w:t>
            </w:r>
            <w:r w:rsidR="000B5532" w:rsidRPr="00172374">
              <w:rPr>
                <w:sz w:val="20"/>
                <w:szCs w:val="20"/>
              </w:rPr>
              <w:t>a</w:t>
            </w:r>
          </w:p>
          <w:p w14:paraId="4F2D7A73" w14:textId="77777777" w:rsidR="00421DE7" w:rsidRPr="00172374" w:rsidRDefault="00421DE7" w:rsidP="009C55D7">
            <w:pPr>
              <w:rPr>
                <w:sz w:val="20"/>
                <w:szCs w:val="20"/>
              </w:rPr>
            </w:pPr>
            <w:r w:rsidRPr="00172374">
              <w:rPr>
                <w:sz w:val="20"/>
                <w:szCs w:val="20"/>
              </w:rPr>
              <w:t>Davis &amp; Dunn, 2002</w:t>
            </w:r>
          </w:p>
          <w:p w14:paraId="1EBF5C14" w14:textId="77777777" w:rsidR="00421DE7" w:rsidRPr="00172374" w:rsidRDefault="00421DE7" w:rsidP="009C55D7">
            <w:pPr>
              <w:rPr>
                <w:sz w:val="20"/>
                <w:szCs w:val="20"/>
              </w:rPr>
            </w:pPr>
            <w:r w:rsidRPr="00172374">
              <w:rPr>
                <w:sz w:val="20"/>
                <w:szCs w:val="20"/>
              </w:rPr>
              <w:t>Davis, 2005</w:t>
            </w:r>
          </w:p>
          <w:p w14:paraId="2E3C3DFD" w14:textId="77777777" w:rsidR="00421DE7" w:rsidRPr="00172374" w:rsidRDefault="00421DE7" w:rsidP="009C55D7">
            <w:pPr>
              <w:rPr>
                <w:sz w:val="20"/>
                <w:szCs w:val="20"/>
              </w:rPr>
            </w:pPr>
            <w:r w:rsidRPr="00172374">
              <w:rPr>
                <w:sz w:val="20"/>
                <w:szCs w:val="20"/>
              </w:rPr>
              <w:t xml:space="preserve">de </w:t>
            </w:r>
            <w:proofErr w:type="spellStart"/>
            <w:r w:rsidRPr="00172374">
              <w:rPr>
                <w:sz w:val="20"/>
                <w:szCs w:val="20"/>
              </w:rPr>
              <w:t>Chernatony</w:t>
            </w:r>
            <w:proofErr w:type="spellEnd"/>
            <w:r w:rsidRPr="00172374">
              <w:rPr>
                <w:sz w:val="20"/>
                <w:szCs w:val="20"/>
              </w:rPr>
              <w:t>, 2001</w:t>
            </w:r>
          </w:p>
          <w:p w14:paraId="5822DAC4" w14:textId="77777777" w:rsidR="00421DE7" w:rsidRPr="00172374" w:rsidRDefault="00421DE7" w:rsidP="009C55D7">
            <w:pPr>
              <w:rPr>
                <w:sz w:val="20"/>
                <w:szCs w:val="20"/>
              </w:rPr>
            </w:pPr>
            <w:r w:rsidRPr="00172374">
              <w:rPr>
                <w:sz w:val="20"/>
                <w:szCs w:val="20"/>
              </w:rPr>
              <w:t xml:space="preserve">Douglas, Craig, &amp; </w:t>
            </w:r>
            <w:proofErr w:type="spellStart"/>
            <w:r w:rsidRPr="00172374">
              <w:rPr>
                <w:sz w:val="20"/>
                <w:szCs w:val="20"/>
              </w:rPr>
              <w:t>Nijssen</w:t>
            </w:r>
            <w:proofErr w:type="spellEnd"/>
            <w:r w:rsidRPr="00172374">
              <w:rPr>
                <w:sz w:val="20"/>
                <w:szCs w:val="20"/>
              </w:rPr>
              <w:t>, 2001</w:t>
            </w:r>
          </w:p>
          <w:p w14:paraId="4C2F7276" w14:textId="77777777" w:rsidR="00421DE7" w:rsidRPr="00172374" w:rsidRDefault="00421DE7" w:rsidP="009C55D7">
            <w:pPr>
              <w:rPr>
                <w:sz w:val="20"/>
                <w:szCs w:val="20"/>
              </w:rPr>
            </w:pPr>
            <w:r w:rsidRPr="00172374">
              <w:rPr>
                <w:sz w:val="20"/>
                <w:szCs w:val="20"/>
              </w:rPr>
              <w:t xml:space="preserve">Fritz, </w:t>
            </w:r>
            <w:proofErr w:type="spellStart"/>
            <w:r w:rsidRPr="00172374">
              <w:rPr>
                <w:sz w:val="20"/>
                <w:szCs w:val="20"/>
              </w:rPr>
              <w:t>Schoenmueller</w:t>
            </w:r>
            <w:proofErr w:type="spellEnd"/>
            <w:r w:rsidRPr="00172374">
              <w:rPr>
                <w:sz w:val="20"/>
                <w:szCs w:val="20"/>
              </w:rPr>
              <w:t>, &amp; Bruhn (2017)</w:t>
            </w:r>
          </w:p>
          <w:p w14:paraId="5346E9DD" w14:textId="77777777" w:rsidR="00421DE7" w:rsidRPr="00172374" w:rsidRDefault="00421DE7" w:rsidP="009C55D7">
            <w:pPr>
              <w:rPr>
                <w:sz w:val="20"/>
                <w:szCs w:val="20"/>
              </w:rPr>
            </w:pPr>
            <w:proofErr w:type="spellStart"/>
            <w:r w:rsidRPr="00172374">
              <w:rPr>
                <w:sz w:val="20"/>
                <w:szCs w:val="20"/>
              </w:rPr>
              <w:t>Gromark</w:t>
            </w:r>
            <w:proofErr w:type="spellEnd"/>
            <w:r w:rsidRPr="00172374">
              <w:rPr>
                <w:sz w:val="20"/>
                <w:szCs w:val="20"/>
              </w:rPr>
              <w:t xml:space="preserve"> &amp; </w:t>
            </w:r>
            <w:proofErr w:type="spellStart"/>
            <w:r w:rsidRPr="00172374">
              <w:rPr>
                <w:sz w:val="20"/>
                <w:szCs w:val="20"/>
              </w:rPr>
              <w:t>Melin</w:t>
            </w:r>
            <w:proofErr w:type="spellEnd"/>
            <w:r w:rsidRPr="00172374">
              <w:rPr>
                <w:sz w:val="20"/>
                <w:szCs w:val="20"/>
              </w:rPr>
              <w:t>, 2011</w:t>
            </w:r>
          </w:p>
          <w:p w14:paraId="6286AAAF" w14:textId="77777777" w:rsidR="00421DE7" w:rsidRPr="00172374" w:rsidRDefault="00421DE7" w:rsidP="009C55D7">
            <w:pPr>
              <w:rPr>
                <w:sz w:val="20"/>
                <w:szCs w:val="20"/>
              </w:rPr>
            </w:pPr>
            <w:r w:rsidRPr="00172374">
              <w:rPr>
                <w:sz w:val="20"/>
                <w:szCs w:val="20"/>
              </w:rPr>
              <w:t>Gupta &amp; Kumar, 2013</w:t>
            </w:r>
          </w:p>
          <w:p w14:paraId="634EEEE3" w14:textId="77777777" w:rsidR="00421DE7" w:rsidRPr="00172374" w:rsidRDefault="00421DE7" w:rsidP="009C55D7">
            <w:pPr>
              <w:rPr>
                <w:sz w:val="20"/>
                <w:szCs w:val="20"/>
              </w:rPr>
            </w:pPr>
            <w:r w:rsidRPr="00172374">
              <w:rPr>
                <w:sz w:val="20"/>
                <w:szCs w:val="20"/>
              </w:rPr>
              <w:t>Keller, 2008</w:t>
            </w:r>
          </w:p>
          <w:p w14:paraId="662F6935" w14:textId="77777777" w:rsidR="00421DE7" w:rsidRPr="00172374" w:rsidRDefault="00421DE7" w:rsidP="009C55D7">
            <w:pPr>
              <w:rPr>
                <w:sz w:val="20"/>
                <w:szCs w:val="20"/>
              </w:rPr>
            </w:pPr>
            <w:proofErr w:type="spellStart"/>
            <w:r w:rsidRPr="00172374">
              <w:rPr>
                <w:sz w:val="20"/>
                <w:szCs w:val="20"/>
              </w:rPr>
              <w:t>M’Zungu</w:t>
            </w:r>
            <w:proofErr w:type="spellEnd"/>
            <w:r w:rsidRPr="00172374">
              <w:rPr>
                <w:sz w:val="20"/>
                <w:szCs w:val="20"/>
              </w:rPr>
              <w:t xml:space="preserve">, </w:t>
            </w:r>
            <w:proofErr w:type="spellStart"/>
            <w:r w:rsidRPr="00172374">
              <w:rPr>
                <w:sz w:val="20"/>
                <w:szCs w:val="20"/>
              </w:rPr>
              <w:t>Merrilees</w:t>
            </w:r>
            <w:proofErr w:type="spellEnd"/>
            <w:r w:rsidRPr="00172374">
              <w:rPr>
                <w:sz w:val="20"/>
                <w:szCs w:val="20"/>
              </w:rPr>
              <w:t>, &amp; Miller, 2010; 2017</w:t>
            </w:r>
          </w:p>
          <w:p w14:paraId="43E401ED" w14:textId="77777777" w:rsidR="00421DE7" w:rsidRPr="00172374" w:rsidRDefault="00421DE7" w:rsidP="009C55D7">
            <w:pPr>
              <w:rPr>
                <w:sz w:val="20"/>
                <w:szCs w:val="20"/>
              </w:rPr>
            </w:pPr>
            <w:r w:rsidRPr="00172374">
              <w:rPr>
                <w:sz w:val="20"/>
                <w:szCs w:val="20"/>
              </w:rPr>
              <w:t>Mecklenburg, G., 2005</w:t>
            </w:r>
          </w:p>
          <w:p w14:paraId="1D2ABB9D" w14:textId="77777777" w:rsidR="00421DE7" w:rsidRPr="00172374" w:rsidRDefault="00421DE7" w:rsidP="009C55D7">
            <w:pPr>
              <w:rPr>
                <w:sz w:val="20"/>
                <w:szCs w:val="20"/>
              </w:rPr>
            </w:pPr>
            <w:proofErr w:type="spellStart"/>
            <w:r w:rsidRPr="00172374">
              <w:rPr>
                <w:sz w:val="20"/>
                <w:szCs w:val="20"/>
              </w:rPr>
              <w:t>Mosmans</w:t>
            </w:r>
            <w:proofErr w:type="spellEnd"/>
            <w:r w:rsidRPr="00172374">
              <w:rPr>
                <w:sz w:val="20"/>
                <w:szCs w:val="20"/>
              </w:rPr>
              <w:t xml:space="preserve"> &amp; van der Vorst, 1998</w:t>
            </w:r>
          </w:p>
          <w:p w14:paraId="0B6C39B3" w14:textId="77777777" w:rsidR="00421DE7" w:rsidRPr="00172374" w:rsidRDefault="00421DE7" w:rsidP="009C55D7">
            <w:pPr>
              <w:rPr>
                <w:sz w:val="20"/>
                <w:szCs w:val="20"/>
              </w:rPr>
            </w:pPr>
            <w:proofErr w:type="spellStart"/>
            <w:r w:rsidRPr="00172374">
              <w:rPr>
                <w:sz w:val="20"/>
                <w:szCs w:val="20"/>
              </w:rPr>
              <w:t>Piha</w:t>
            </w:r>
            <w:proofErr w:type="spellEnd"/>
            <w:r w:rsidRPr="00172374">
              <w:rPr>
                <w:sz w:val="20"/>
                <w:szCs w:val="20"/>
              </w:rPr>
              <w:t xml:space="preserve"> &amp; </w:t>
            </w:r>
            <w:proofErr w:type="spellStart"/>
            <w:r w:rsidRPr="00172374">
              <w:rPr>
                <w:sz w:val="20"/>
                <w:szCs w:val="20"/>
              </w:rPr>
              <w:t>Avlonitis</w:t>
            </w:r>
            <w:proofErr w:type="spellEnd"/>
            <w:r w:rsidRPr="00172374">
              <w:rPr>
                <w:sz w:val="20"/>
                <w:szCs w:val="20"/>
              </w:rPr>
              <w:t>, 2018</w:t>
            </w:r>
          </w:p>
          <w:p w14:paraId="51EE3C54" w14:textId="77777777" w:rsidR="00421DE7" w:rsidRPr="00172374" w:rsidRDefault="00421DE7" w:rsidP="009C55D7">
            <w:pPr>
              <w:rPr>
                <w:sz w:val="20"/>
                <w:szCs w:val="20"/>
              </w:rPr>
            </w:pPr>
            <w:proofErr w:type="spellStart"/>
            <w:r w:rsidRPr="00172374">
              <w:rPr>
                <w:sz w:val="20"/>
                <w:szCs w:val="20"/>
              </w:rPr>
              <w:t>Urde</w:t>
            </w:r>
            <w:proofErr w:type="spellEnd"/>
            <w:r w:rsidRPr="00172374">
              <w:rPr>
                <w:sz w:val="20"/>
                <w:szCs w:val="20"/>
              </w:rPr>
              <w:t>, 1999</w:t>
            </w:r>
          </w:p>
          <w:p w14:paraId="3B8D341D" w14:textId="77777777" w:rsidR="00421DE7" w:rsidRPr="00172374" w:rsidRDefault="00421DE7" w:rsidP="009C55D7">
            <w:pPr>
              <w:rPr>
                <w:sz w:val="20"/>
                <w:szCs w:val="20"/>
              </w:rPr>
            </w:pPr>
            <w:r w:rsidRPr="00172374">
              <w:rPr>
                <w:sz w:val="20"/>
                <w:szCs w:val="20"/>
              </w:rPr>
              <w:t xml:space="preserve">Wong &amp; </w:t>
            </w:r>
            <w:proofErr w:type="spellStart"/>
            <w:r w:rsidRPr="00172374">
              <w:rPr>
                <w:sz w:val="20"/>
                <w:szCs w:val="20"/>
              </w:rPr>
              <w:t>Merrilees</w:t>
            </w:r>
            <w:proofErr w:type="spellEnd"/>
            <w:r w:rsidRPr="00172374">
              <w:rPr>
                <w:sz w:val="20"/>
                <w:szCs w:val="20"/>
              </w:rPr>
              <w:t>, 2007; 2008</w:t>
            </w:r>
          </w:p>
          <w:p w14:paraId="33150EF5" w14:textId="77777777" w:rsidR="00421DE7" w:rsidRPr="00172374" w:rsidRDefault="00421DE7" w:rsidP="009C55D7"/>
        </w:tc>
      </w:tr>
      <w:tr w:rsidR="00421DE7" w:rsidRPr="00172374" w14:paraId="79AEA766" w14:textId="77777777" w:rsidTr="009C55D7">
        <w:tc>
          <w:tcPr>
            <w:tcW w:w="9060" w:type="dxa"/>
            <w:gridSpan w:val="2"/>
            <w:vAlign w:val="center"/>
          </w:tcPr>
          <w:p w14:paraId="6F4D0B12" w14:textId="77777777" w:rsidR="00421DE7" w:rsidRPr="00172374" w:rsidRDefault="00421DE7" w:rsidP="009C55D7">
            <w:pPr>
              <w:jc w:val="both"/>
              <w:rPr>
                <w:sz w:val="10"/>
                <w:szCs w:val="10"/>
              </w:rPr>
            </w:pPr>
          </w:p>
        </w:tc>
      </w:tr>
      <w:tr w:rsidR="00421DE7" w:rsidRPr="00172374" w14:paraId="40333217" w14:textId="77777777" w:rsidTr="009C55D7">
        <w:tc>
          <w:tcPr>
            <w:tcW w:w="6890" w:type="dxa"/>
            <w:tcBorders>
              <w:bottom w:val="single" w:sz="4" w:space="0" w:color="auto"/>
            </w:tcBorders>
            <w:vAlign w:val="center"/>
          </w:tcPr>
          <w:p w14:paraId="3C58E99E" w14:textId="77777777" w:rsidR="00421DE7" w:rsidRPr="00172374" w:rsidRDefault="00421DE7" w:rsidP="009C55D7">
            <w:pPr>
              <w:rPr>
                <w:sz w:val="22"/>
                <w:szCs w:val="22"/>
              </w:rPr>
            </w:pPr>
            <w:r w:rsidRPr="00172374">
              <w:rPr>
                <w:b/>
                <w:sz w:val="22"/>
                <w:szCs w:val="22"/>
              </w:rPr>
              <w:t>Brand Consistency</w:t>
            </w:r>
          </w:p>
        </w:tc>
        <w:tc>
          <w:tcPr>
            <w:tcW w:w="2170" w:type="dxa"/>
            <w:tcBorders>
              <w:bottom w:val="single" w:sz="4" w:space="0" w:color="auto"/>
            </w:tcBorders>
          </w:tcPr>
          <w:p w14:paraId="3A072C17" w14:textId="77777777" w:rsidR="00421DE7" w:rsidRPr="00172374" w:rsidRDefault="00421DE7" w:rsidP="009C55D7">
            <w:pPr>
              <w:jc w:val="both"/>
            </w:pPr>
          </w:p>
        </w:tc>
      </w:tr>
      <w:tr w:rsidR="00421DE7" w:rsidRPr="00172374" w14:paraId="4BA61B40" w14:textId="77777777" w:rsidTr="009C55D7">
        <w:tc>
          <w:tcPr>
            <w:tcW w:w="6890" w:type="dxa"/>
            <w:tcBorders>
              <w:top w:val="single" w:sz="4" w:space="0" w:color="auto"/>
            </w:tcBorders>
            <w:vAlign w:val="center"/>
          </w:tcPr>
          <w:p w14:paraId="07157DFE"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w:t>
            </w:r>
            <w:r w:rsidRPr="00172374">
              <w:t xml:space="preserve"> </w:t>
            </w:r>
            <w:r w:rsidRPr="00172374">
              <w:rPr>
                <w:i/>
                <w:sz w:val="20"/>
                <w:szCs w:val="20"/>
              </w:rPr>
              <w:t xml:space="preserve">brand managers should therefore implement a policy that presents an unchanging/enduring brand image/identity that covers the brand’s values, norms and mission as well as all its communication activities. In particular, to avoid the pitfalls of inconsistent brand behavior and to ensure a brand’s authenticity, companies are advised to abstain from some – often short-termed – marketing actions: no brand can afford to engage in implementing short-term price-campaigns, aggressive or unsubstantiated advertising campaigns, unbelievable testimonials, use communication instruments or distribution channels that conflict with its original essential identity” (Fritz, </w:t>
            </w:r>
            <w:proofErr w:type="spellStart"/>
            <w:r w:rsidRPr="00172374">
              <w:rPr>
                <w:i/>
                <w:sz w:val="20"/>
                <w:szCs w:val="20"/>
              </w:rPr>
              <w:t>Schoenmueller</w:t>
            </w:r>
            <w:proofErr w:type="spellEnd"/>
            <w:r w:rsidRPr="00172374">
              <w:rPr>
                <w:i/>
                <w:sz w:val="20"/>
                <w:szCs w:val="20"/>
              </w:rPr>
              <w:t>, &amp; Bruhn, 2017; p. 340).</w:t>
            </w:r>
          </w:p>
          <w:p w14:paraId="5E8F2062" w14:textId="77777777" w:rsidR="00421DE7" w:rsidRPr="00172374" w:rsidRDefault="00421DE7" w:rsidP="009C55D7">
            <w:pPr>
              <w:spacing w:before="120"/>
              <w:rPr>
                <w:i/>
                <w:sz w:val="20"/>
                <w:szCs w:val="20"/>
              </w:rPr>
            </w:pPr>
            <w:r w:rsidRPr="00172374">
              <w:rPr>
                <w:i/>
                <w:sz w:val="20"/>
                <w:szCs w:val="20"/>
              </w:rPr>
              <w:t>-“When a brand makes good use of all its resources and also takes particular care to ensure that the essence of the brand is the same in all activities, it is hard to beat” (Keller, 2000; p. 152).</w:t>
            </w:r>
          </w:p>
          <w:p w14:paraId="33DA48C3"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 xml:space="preserve">…the strategic positioning of many leading brands has remained remarkably consistent over time. A contributing factor to their success is that despite tactical changes, certain key elements of the marketing program are always </w:t>
            </w:r>
            <w:proofErr w:type="gramStart"/>
            <w:r w:rsidRPr="00172374">
              <w:rPr>
                <w:i/>
                <w:sz w:val="20"/>
                <w:szCs w:val="20"/>
              </w:rPr>
              <w:t>retained</w:t>
            </w:r>
            <w:proofErr w:type="gramEnd"/>
            <w:r w:rsidRPr="00172374">
              <w:rPr>
                <w:i/>
                <w:sz w:val="20"/>
                <w:szCs w:val="20"/>
              </w:rPr>
              <w:t xml:space="preserve"> and brand meaning has remained consistent over time” (Keller, 2008; p. 549).</w:t>
            </w:r>
          </w:p>
          <w:p w14:paraId="58262FAA"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 xml:space="preserve">When marketing mix elements are consistent with both communication and operating tasks and complementary to one another, synergy in the marketing mix is more likely. If the mix successfully coordinates communication, the brand’s </w:t>
            </w:r>
            <w:r w:rsidRPr="00172374">
              <w:rPr>
                <w:i/>
                <w:sz w:val="20"/>
                <w:szCs w:val="20"/>
              </w:rPr>
              <w:lastRenderedPageBreak/>
              <w:t>relative advantage should be apparent to the target market (Park et al., 1986; p.138).</w:t>
            </w:r>
          </w:p>
          <w:p w14:paraId="4BFF69E5"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 xml:space="preserve">The image of the brand-oriented company is a reflection of all its actions. Accordingly, it is vital that all its operations and all communication are synchronized in accordance with the brand vision. </w:t>
            </w:r>
            <w:proofErr w:type="gramStart"/>
            <w:r w:rsidRPr="00172374">
              <w:rPr>
                <w:i/>
                <w:sz w:val="20"/>
                <w:szCs w:val="20"/>
              </w:rPr>
              <w:t>Uniform,</w:t>
            </w:r>
            <w:proofErr w:type="gramEnd"/>
            <w:r w:rsidRPr="00172374">
              <w:rPr>
                <w:i/>
                <w:sz w:val="20"/>
                <w:szCs w:val="20"/>
              </w:rPr>
              <w:t xml:space="preserve"> harmonized and consistent communication with the target group should be strived for” (</w:t>
            </w:r>
            <w:proofErr w:type="spellStart"/>
            <w:r w:rsidRPr="00172374">
              <w:rPr>
                <w:i/>
                <w:sz w:val="20"/>
                <w:szCs w:val="20"/>
              </w:rPr>
              <w:t>Urde</w:t>
            </w:r>
            <w:proofErr w:type="spellEnd"/>
            <w:r w:rsidRPr="00172374">
              <w:rPr>
                <w:i/>
                <w:sz w:val="20"/>
                <w:szCs w:val="20"/>
              </w:rPr>
              <w:t>, 1994; p. 31).</w:t>
            </w:r>
          </w:p>
          <w:p w14:paraId="208E4791" w14:textId="77777777" w:rsidR="00421DE7" w:rsidRPr="00172374" w:rsidRDefault="00421DE7" w:rsidP="009C55D7">
            <w:pPr>
              <w:spacing w:before="120"/>
              <w:rPr>
                <w:i/>
                <w:sz w:val="20"/>
                <w:szCs w:val="20"/>
              </w:rPr>
            </w:pPr>
            <w:proofErr w:type="gramStart"/>
            <w:r w:rsidRPr="00172374">
              <w:rPr>
                <w:i/>
                <w:sz w:val="20"/>
                <w:szCs w:val="20"/>
              </w:rPr>
              <w:t>-“</w:t>
            </w:r>
            <w:r w:rsidRPr="00172374">
              <w:t xml:space="preserve"> </w:t>
            </w:r>
            <w:r w:rsidRPr="00172374">
              <w:rPr>
                <w:i/>
                <w:sz w:val="20"/>
                <w:szCs w:val="20"/>
              </w:rPr>
              <w:t>Training</w:t>
            </w:r>
            <w:proofErr w:type="gramEnd"/>
            <w:r w:rsidRPr="00172374">
              <w:rPr>
                <w:i/>
                <w:sz w:val="20"/>
                <w:szCs w:val="20"/>
              </w:rPr>
              <w:t xml:space="preserve"> and development programs are essential to […] bring consistency to the external brand experience” (</w:t>
            </w:r>
            <w:proofErr w:type="spellStart"/>
            <w:r w:rsidRPr="00172374">
              <w:rPr>
                <w:i/>
                <w:sz w:val="20"/>
                <w:szCs w:val="20"/>
              </w:rPr>
              <w:t>Piha</w:t>
            </w:r>
            <w:proofErr w:type="spellEnd"/>
            <w:r w:rsidRPr="00172374">
              <w:rPr>
                <w:i/>
                <w:sz w:val="20"/>
                <w:szCs w:val="20"/>
              </w:rPr>
              <w:t xml:space="preserve"> and </w:t>
            </w:r>
            <w:proofErr w:type="spellStart"/>
            <w:r w:rsidRPr="00172374">
              <w:rPr>
                <w:i/>
                <w:sz w:val="20"/>
                <w:szCs w:val="20"/>
              </w:rPr>
              <w:t>Avlonitis</w:t>
            </w:r>
            <w:proofErr w:type="spellEnd"/>
            <w:r w:rsidRPr="00172374">
              <w:rPr>
                <w:i/>
                <w:sz w:val="20"/>
                <w:szCs w:val="20"/>
              </w:rPr>
              <w:t>, 2018; p. 5).</w:t>
            </w:r>
          </w:p>
          <w:p w14:paraId="0D5C4332" w14:textId="77777777" w:rsidR="00421DE7" w:rsidRPr="00172374" w:rsidRDefault="00421DE7" w:rsidP="009C55D7">
            <w:pPr>
              <w:spacing w:before="120"/>
              <w:rPr>
                <w:i/>
                <w:sz w:val="20"/>
                <w:szCs w:val="20"/>
              </w:rPr>
            </w:pPr>
            <w:proofErr w:type="gramStart"/>
            <w:r w:rsidRPr="00172374">
              <w:rPr>
                <w:i/>
                <w:sz w:val="20"/>
                <w:szCs w:val="20"/>
              </w:rPr>
              <w:t>-“ …</w:t>
            </w:r>
            <w:proofErr w:type="gramEnd"/>
            <w:r w:rsidRPr="00172374">
              <w:rPr>
                <w:i/>
                <w:sz w:val="20"/>
                <w:szCs w:val="20"/>
              </w:rPr>
              <w:t>in order to create value, the brand must be evident at every step in the value chain, from the processing of raw materials to the final product. Communication, which follows on from the brand-building process, must be coherently and effectively transmitted whenever there is contact with the various publics” (</w:t>
            </w:r>
            <w:proofErr w:type="spellStart"/>
            <w:r w:rsidRPr="00172374">
              <w:rPr>
                <w:i/>
                <w:sz w:val="20"/>
                <w:szCs w:val="20"/>
              </w:rPr>
              <w:t>Simoes</w:t>
            </w:r>
            <w:proofErr w:type="spellEnd"/>
            <w:r w:rsidRPr="00172374">
              <w:rPr>
                <w:i/>
                <w:sz w:val="20"/>
                <w:szCs w:val="20"/>
              </w:rPr>
              <w:t xml:space="preserve"> and </w:t>
            </w:r>
            <w:proofErr w:type="spellStart"/>
            <w:r w:rsidRPr="00172374">
              <w:rPr>
                <w:i/>
                <w:sz w:val="20"/>
                <w:szCs w:val="20"/>
              </w:rPr>
              <w:t>Dibb</w:t>
            </w:r>
            <w:proofErr w:type="spellEnd"/>
            <w:r w:rsidRPr="00172374">
              <w:rPr>
                <w:i/>
                <w:sz w:val="20"/>
                <w:szCs w:val="20"/>
              </w:rPr>
              <w:t>, 2001; p. 220).</w:t>
            </w:r>
          </w:p>
          <w:p w14:paraId="278A8D83" w14:textId="77777777" w:rsidR="00421DE7" w:rsidRPr="00172374" w:rsidRDefault="00421DE7" w:rsidP="009C55D7">
            <w:pPr>
              <w:spacing w:before="120"/>
              <w:rPr>
                <w:i/>
                <w:sz w:val="20"/>
                <w:szCs w:val="20"/>
              </w:rPr>
            </w:pPr>
            <w:r w:rsidRPr="00172374">
              <w:rPr>
                <w:i/>
                <w:sz w:val="20"/>
                <w:szCs w:val="20"/>
              </w:rPr>
              <w:t>-“Consistent investment in brand improvements enhances a brand’s perceived superiority, provides the basis for informative and provocative advertising, increases the brand’s sustainable price premium over the competition, and raises the costs to private-label imitators who are constantly forced to play catch-up” (Quelch and Harding, 1999; p. 39).</w:t>
            </w:r>
          </w:p>
          <w:p w14:paraId="0963A4D9" w14:textId="77777777" w:rsidR="00421DE7" w:rsidRPr="00172374" w:rsidRDefault="00421DE7" w:rsidP="009C55D7">
            <w:pPr>
              <w:spacing w:before="120"/>
              <w:rPr>
                <w:i/>
                <w:sz w:val="20"/>
                <w:szCs w:val="20"/>
              </w:rPr>
            </w:pPr>
            <w:r w:rsidRPr="00172374">
              <w:rPr>
                <w:i/>
                <w:sz w:val="20"/>
                <w:szCs w:val="20"/>
              </w:rPr>
              <w:t>-“The brand experience should be consistent across the various channels and modes of communication that customers may use to interact with the brand, across the entire customer buying and ownership cycle, and across all the firm’s partners who participate in bringing the brand experience to life” (Sawhney, 2005; p. 223).</w:t>
            </w:r>
          </w:p>
          <w:p w14:paraId="7C2E63FB" w14:textId="64300A5E"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Consistent, clear positioning – supported by periodic improvements that keep the brand contemporary without distorting its fundamental promise – is essential” (Quelch and Harding, 1999; p. 39).</w:t>
            </w:r>
          </w:p>
        </w:tc>
        <w:tc>
          <w:tcPr>
            <w:tcW w:w="2170" w:type="dxa"/>
            <w:tcBorders>
              <w:top w:val="single" w:sz="4" w:space="0" w:color="auto"/>
            </w:tcBorders>
          </w:tcPr>
          <w:p w14:paraId="1ABE8793" w14:textId="77777777" w:rsidR="00421DE7" w:rsidRPr="00172374" w:rsidRDefault="00421DE7" w:rsidP="009C55D7">
            <w:pPr>
              <w:rPr>
                <w:sz w:val="20"/>
                <w:szCs w:val="20"/>
              </w:rPr>
            </w:pPr>
            <w:r w:rsidRPr="00172374">
              <w:rPr>
                <w:sz w:val="20"/>
                <w:szCs w:val="20"/>
              </w:rPr>
              <w:lastRenderedPageBreak/>
              <w:t>Aaker, 1991; 1996</w:t>
            </w:r>
          </w:p>
          <w:p w14:paraId="1A63E1C1" w14:textId="77777777" w:rsidR="00421DE7" w:rsidRPr="00172374" w:rsidRDefault="00421DE7" w:rsidP="009C55D7">
            <w:pPr>
              <w:rPr>
                <w:sz w:val="20"/>
                <w:szCs w:val="20"/>
              </w:rPr>
            </w:pPr>
            <w:proofErr w:type="spellStart"/>
            <w:r w:rsidRPr="00172374">
              <w:rPr>
                <w:sz w:val="20"/>
                <w:szCs w:val="20"/>
              </w:rPr>
              <w:t>Baumgarth</w:t>
            </w:r>
            <w:proofErr w:type="spellEnd"/>
            <w:r w:rsidRPr="00172374">
              <w:rPr>
                <w:sz w:val="20"/>
                <w:szCs w:val="20"/>
              </w:rPr>
              <w:t>. 2010</w:t>
            </w:r>
          </w:p>
          <w:p w14:paraId="04D86A4E" w14:textId="77777777" w:rsidR="00421DE7" w:rsidRPr="00172374" w:rsidRDefault="00421DE7" w:rsidP="009C55D7">
            <w:pPr>
              <w:rPr>
                <w:sz w:val="20"/>
                <w:szCs w:val="20"/>
              </w:rPr>
            </w:pPr>
            <w:proofErr w:type="spellStart"/>
            <w:r w:rsidRPr="00172374">
              <w:rPr>
                <w:sz w:val="20"/>
                <w:szCs w:val="20"/>
              </w:rPr>
              <w:t>Bedbury</w:t>
            </w:r>
            <w:proofErr w:type="spellEnd"/>
            <w:r w:rsidRPr="00172374">
              <w:rPr>
                <w:sz w:val="20"/>
                <w:szCs w:val="20"/>
              </w:rPr>
              <w:t>, 2002</w:t>
            </w:r>
          </w:p>
          <w:p w14:paraId="7D72E6DB" w14:textId="77777777" w:rsidR="00421DE7" w:rsidRPr="00172374" w:rsidRDefault="00421DE7" w:rsidP="009C55D7">
            <w:pPr>
              <w:rPr>
                <w:sz w:val="20"/>
                <w:szCs w:val="20"/>
              </w:rPr>
            </w:pPr>
            <w:proofErr w:type="spellStart"/>
            <w:r w:rsidRPr="00172374">
              <w:rPr>
                <w:sz w:val="20"/>
                <w:szCs w:val="20"/>
              </w:rPr>
              <w:t>Brexendorf</w:t>
            </w:r>
            <w:proofErr w:type="spellEnd"/>
            <w:r w:rsidRPr="00172374">
              <w:rPr>
                <w:sz w:val="20"/>
                <w:szCs w:val="20"/>
              </w:rPr>
              <w:t>, &amp; Keller, 2017</w:t>
            </w:r>
          </w:p>
          <w:p w14:paraId="3C0F6C6D" w14:textId="77777777" w:rsidR="00421DE7" w:rsidRPr="00172374" w:rsidRDefault="00421DE7" w:rsidP="009C55D7">
            <w:pPr>
              <w:rPr>
                <w:sz w:val="20"/>
                <w:szCs w:val="20"/>
              </w:rPr>
            </w:pPr>
            <w:r w:rsidRPr="00172374">
              <w:rPr>
                <w:sz w:val="20"/>
                <w:szCs w:val="20"/>
              </w:rPr>
              <w:t>Davis &amp; Dunn, 2002</w:t>
            </w:r>
          </w:p>
          <w:p w14:paraId="36BF57A8" w14:textId="77777777" w:rsidR="00421DE7" w:rsidRPr="00172374" w:rsidRDefault="00421DE7" w:rsidP="009C55D7">
            <w:pPr>
              <w:rPr>
                <w:sz w:val="20"/>
                <w:szCs w:val="20"/>
              </w:rPr>
            </w:pPr>
            <w:r w:rsidRPr="00172374">
              <w:rPr>
                <w:sz w:val="20"/>
                <w:szCs w:val="20"/>
              </w:rPr>
              <w:t>Dunn &amp; Davis, 2003</w:t>
            </w:r>
          </w:p>
          <w:p w14:paraId="65929B80" w14:textId="77777777" w:rsidR="00421DE7" w:rsidRPr="00172374" w:rsidRDefault="00421DE7" w:rsidP="009C55D7">
            <w:pPr>
              <w:rPr>
                <w:sz w:val="20"/>
                <w:szCs w:val="20"/>
              </w:rPr>
            </w:pPr>
            <w:r w:rsidRPr="00172374">
              <w:rPr>
                <w:sz w:val="20"/>
                <w:szCs w:val="20"/>
              </w:rPr>
              <w:t xml:space="preserve">Fritz, </w:t>
            </w:r>
            <w:proofErr w:type="spellStart"/>
            <w:r w:rsidRPr="00172374">
              <w:rPr>
                <w:sz w:val="20"/>
                <w:szCs w:val="20"/>
              </w:rPr>
              <w:t>Schoenmueller</w:t>
            </w:r>
            <w:proofErr w:type="spellEnd"/>
            <w:r w:rsidRPr="00172374">
              <w:rPr>
                <w:sz w:val="20"/>
                <w:szCs w:val="20"/>
              </w:rPr>
              <w:t>, &amp; Bruhn, 2017</w:t>
            </w:r>
          </w:p>
          <w:p w14:paraId="446464AD" w14:textId="77777777" w:rsidR="00421DE7" w:rsidRPr="00172374" w:rsidRDefault="00421DE7" w:rsidP="009C55D7">
            <w:pPr>
              <w:rPr>
                <w:sz w:val="20"/>
                <w:szCs w:val="20"/>
              </w:rPr>
            </w:pPr>
            <w:r w:rsidRPr="00172374">
              <w:rPr>
                <w:sz w:val="20"/>
                <w:szCs w:val="20"/>
              </w:rPr>
              <w:t>Keller, 2000; 2008</w:t>
            </w:r>
          </w:p>
          <w:p w14:paraId="5A771F42" w14:textId="77777777" w:rsidR="00421DE7" w:rsidRPr="00172374" w:rsidRDefault="00421DE7" w:rsidP="009C55D7">
            <w:pPr>
              <w:rPr>
                <w:sz w:val="20"/>
                <w:szCs w:val="20"/>
              </w:rPr>
            </w:pPr>
            <w:r w:rsidRPr="00172374">
              <w:rPr>
                <w:sz w:val="20"/>
                <w:szCs w:val="20"/>
              </w:rPr>
              <w:t xml:space="preserve">Kenyon, </w:t>
            </w:r>
            <w:proofErr w:type="spellStart"/>
            <w:r w:rsidRPr="00172374">
              <w:rPr>
                <w:sz w:val="20"/>
                <w:szCs w:val="20"/>
              </w:rPr>
              <w:t>Manoli</w:t>
            </w:r>
            <w:proofErr w:type="spellEnd"/>
            <w:r w:rsidRPr="00172374">
              <w:rPr>
                <w:sz w:val="20"/>
                <w:szCs w:val="20"/>
              </w:rPr>
              <w:t xml:space="preserve">, &amp; </w:t>
            </w:r>
            <w:proofErr w:type="spellStart"/>
            <w:r w:rsidRPr="00172374">
              <w:rPr>
                <w:sz w:val="20"/>
                <w:szCs w:val="20"/>
              </w:rPr>
              <w:t>Bodet</w:t>
            </w:r>
            <w:proofErr w:type="spellEnd"/>
            <w:r w:rsidRPr="00172374">
              <w:rPr>
                <w:sz w:val="20"/>
                <w:szCs w:val="20"/>
              </w:rPr>
              <w:t>, 2018</w:t>
            </w:r>
          </w:p>
          <w:p w14:paraId="26F6FBB9" w14:textId="77777777" w:rsidR="00421DE7" w:rsidRPr="00172374" w:rsidRDefault="00421DE7" w:rsidP="009C55D7">
            <w:pPr>
              <w:rPr>
                <w:sz w:val="20"/>
                <w:szCs w:val="20"/>
              </w:rPr>
            </w:pPr>
            <w:r w:rsidRPr="00172374">
              <w:rPr>
                <w:sz w:val="20"/>
                <w:szCs w:val="20"/>
              </w:rPr>
              <w:t>King, 1991</w:t>
            </w:r>
          </w:p>
          <w:p w14:paraId="6C23AC64" w14:textId="77777777" w:rsidR="00421DE7" w:rsidRPr="00172374" w:rsidRDefault="00421DE7" w:rsidP="009C55D7">
            <w:pPr>
              <w:rPr>
                <w:sz w:val="20"/>
                <w:szCs w:val="20"/>
              </w:rPr>
            </w:pPr>
            <w:r w:rsidRPr="00172374">
              <w:rPr>
                <w:sz w:val="20"/>
                <w:szCs w:val="20"/>
              </w:rPr>
              <w:t xml:space="preserve">Lee, </w:t>
            </w:r>
            <w:proofErr w:type="spellStart"/>
            <w:r w:rsidRPr="00172374">
              <w:rPr>
                <w:sz w:val="20"/>
                <w:szCs w:val="20"/>
              </w:rPr>
              <w:t>O’Cass</w:t>
            </w:r>
            <w:proofErr w:type="spellEnd"/>
            <w:r w:rsidRPr="00172374">
              <w:rPr>
                <w:sz w:val="20"/>
                <w:szCs w:val="20"/>
              </w:rPr>
              <w:t xml:space="preserve">, &amp; </w:t>
            </w:r>
            <w:proofErr w:type="spellStart"/>
            <w:r w:rsidRPr="00172374">
              <w:rPr>
                <w:sz w:val="20"/>
                <w:szCs w:val="20"/>
              </w:rPr>
              <w:t>Sok</w:t>
            </w:r>
            <w:proofErr w:type="spellEnd"/>
            <w:r w:rsidRPr="00172374">
              <w:rPr>
                <w:sz w:val="20"/>
                <w:szCs w:val="20"/>
              </w:rPr>
              <w:t>, 2017</w:t>
            </w:r>
          </w:p>
          <w:p w14:paraId="2F995D68" w14:textId="77777777" w:rsidR="00421DE7" w:rsidRPr="00172374" w:rsidRDefault="00421DE7" w:rsidP="009C55D7">
            <w:pPr>
              <w:rPr>
                <w:sz w:val="20"/>
                <w:szCs w:val="20"/>
              </w:rPr>
            </w:pPr>
            <w:proofErr w:type="spellStart"/>
            <w:r w:rsidRPr="00172374">
              <w:rPr>
                <w:sz w:val="20"/>
                <w:szCs w:val="20"/>
              </w:rPr>
              <w:t>M’Zungu</w:t>
            </w:r>
            <w:proofErr w:type="spellEnd"/>
            <w:r w:rsidRPr="00172374">
              <w:rPr>
                <w:sz w:val="20"/>
                <w:szCs w:val="20"/>
              </w:rPr>
              <w:t xml:space="preserve">, </w:t>
            </w:r>
            <w:proofErr w:type="spellStart"/>
            <w:r w:rsidRPr="00172374">
              <w:rPr>
                <w:sz w:val="20"/>
                <w:szCs w:val="20"/>
              </w:rPr>
              <w:t>Merrilees</w:t>
            </w:r>
            <w:proofErr w:type="spellEnd"/>
            <w:r w:rsidRPr="00172374">
              <w:rPr>
                <w:sz w:val="20"/>
                <w:szCs w:val="20"/>
              </w:rPr>
              <w:t>, &amp;Miller, 2010</w:t>
            </w:r>
          </w:p>
          <w:p w14:paraId="29A139F8" w14:textId="77777777" w:rsidR="00421DE7" w:rsidRPr="00172374" w:rsidRDefault="00421DE7" w:rsidP="009C55D7">
            <w:pPr>
              <w:rPr>
                <w:sz w:val="20"/>
                <w:szCs w:val="20"/>
              </w:rPr>
            </w:pPr>
            <w:r w:rsidRPr="00172374">
              <w:rPr>
                <w:sz w:val="20"/>
                <w:szCs w:val="20"/>
              </w:rPr>
              <w:t>Napoli, 2006</w:t>
            </w:r>
          </w:p>
          <w:p w14:paraId="2939BB1B" w14:textId="77777777" w:rsidR="00421DE7" w:rsidRPr="00172374" w:rsidRDefault="00421DE7" w:rsidP="009C55D7">
            <w:pPr>
              <w:rPr>
                <w:sz w:val="20"/>
                <w:szCs w:val="20"/>
              </w:rPr>
            </w:pPr>
            <w:r w:rsidRPr="00172374">
              <w:rPr>
                <w:sz w:val="20"/>
                <w:szCs w:val="20"/>
              </w:rPr>
              <w:t xml:space="preserve">Park, Jaworski &amp; </w:t>
            </w:r>
            <w:proofErr w:type="spellStart"/>
            <w:r w:rsidRPr="00172374">
              <w:rPr>
                <w:sz w:val="20"/>
                <w:szCs w:val="20"/>
              </w:rPr>
              <w:t>Maclnnis</w:t>
            </w:r>
            <w:proofErr w:type="spellEnd"/>
            <w:r w:rsidRPr="00172374">
              <w:rPr>
                <w:sz w:val="20"/>
                <w:szCs w:val="20"/>
              </w:rPr>
              <w:t>, 1986</w:t>
            </w:r>
          </w:p>
          <w:p w14:paraId="26CBD6BF" w14:textId="77777777" w:rsidR="00421DE7" w:rsidRPr="00172374" w:rsidRDefault="00421DE7" w:rsidP="009C55D7">
            <w:pPr>
              <w:rPr>
                <w:sz w:val="20"/>
                <w:szCs w:val="20"/>
              </w:rPr>
            </w:pPr>
            <w:proofErr w:type="spellStart"/>
            <w:r w:rsidRPr="00172374">
              <w:rPr>
                <w:sz w:val="20"/>
                <w:szCs w:val="20"/>
              </w:rPr>
              <w:t>Piha</w:t>
            </w:r>
            <w:proofErr w:type="spellEnd"/>
            <w:r w:rsidRPr="00172374">
              <w:rPr>
                <w:sz w:val="20"/>
                <w:szCs w:val="20"/>
              </w:rPr>
              <w:t xml:space="preserve"> &amp; </w:t>
            </w:r>
            <w:proofErr w:type="spellStart"/>
            <w:r w:rsidRPr="00172374">
              <w:rPr>
                <w:sz w:val="20"/>
                <w:szCs w:val="20"/>
              </w:rPr>
              <w:t>Avlonitis</w:t>
            </w:r>
            <w:proofErr w:type="spellEnd"/>
            <w:r w:rsidRPr="00172374">
              <w:rPr>
                <w:sz w:val="20"/>
                <w:szCs w:val="20"/>
              </w:rPr>
              <w:t>, 2018</w:t>
            </w:r>
          </w:p>
          <w:p w14:paraId="74FA325A" w14:textId="77777777" w:rsidR="00421DE7" w:rsidRPr="00172374" w:rsidRDefault="00421DE7" w:rsidP="009C55D7">
            <w:pPr>
              <w:rPr>
                <w:sz w:val="20"/>
                <w:szCs w:val="20"/>
              </w:rPr>
            </w:pPr>
            <w:r w:rsidRPr="00172374">
              <w:rPr>
                <w:sz w:val="20"/>
                <w:szCs w:val="20"/>
              </w:rPr>
              <w:lastRenderedPageBreak/>
              <w:t>Quelch &amp; Harding, 1999</w:t>
            </w:r>
          </w:p>
          <w:p w14:paraId="3D6AA626" w14:textId="77777777" w:rsidR="00421DE7" w:rsidRPr="00172374" w:rsidRDefault="00421DE7" w:rsidP="009C55D7">
            <w:pPr>
              <w:rPr>
                <w:sz w:val="20"/>
                <w:szCs w:val="20"/>
              </w:rPr>
            </w:pPr>
            <w:r w:rsidRPr="00172374">
              <w:rPr>
                <w:sz w:val="20"/>
                <w:szCs w:val="20"/>
              </w:rPr>
              <w:t>Sawhney, 2005</w:t>
            </w:r>
          </w:p>
          <w:p w14:paraId="3F74D898" w14:textId="77777777" w:rsidR="00421DE7" w:rsidRPr="00172374" w:rsidRDefault="00421DE7" w:rsidP="009C55D7">
            <w:pPr>
              <w:rPr>
                <w:sz w:val="20"/>
                <w:szCs w:val="20"/>
              </w:rPr>
            </w:pPr>
            <w:r w:rsidRPr="00172374">
              <w:rPr>
                <w:sz w:val="20"/>
                <w:szCs w:val="20"/>
              </w:rPr>
              <w:t xml:space="preserve">Schultz, Tannenbaum, &amp; </w:t>
            </w:r>
            <w:proofErr w:type="spellStart"/>
            <w:r w:rsidRPr="00172374">
              <w:rPr>
                <w:sz w:val="20"/>
                <w:szCs w:val="20"/>
              </w:rPr>
              <w:t>Lauterborn</w:t>
            </w:r>
            <w:proofErr w:type="spellEnd"/>
            <w:r w:rsidRPr="00172374">
              <w:rPr>
                <w:sz w:val="20"/>
                <w:szCs w:val="20"/>
              </w:rPr>
              <w:t>, 1993</w:t>
            </w:r>
          </w:p>
          <w:p w14:paraId="00A6226E" w14:textId="77777777" w:rsidR="00421DE7" w:rsidRPr="00172374" w:rsidRDefault="00421DE7" w:rsidP="009C55D7">
            <w:pPr>
              <w:rPr>
                <w:sz w:val="20"/>
                <w:szCs w:val="20"/>
              </w:rPr>
            </w:pPr>
            <w:proofErr w:type="spellStart"/>
            <w:r w:rsidRPr="00172374">
              <w:rPr>
                <w:sz w:val="20"/>
                <w:szCs w:val="20"/>
              </w:rPr>
              <w:t>Simoes</w:t>
            </w:r>
            <w:proofErr w:type="spellEnd"/>
            <w:r w:rsidRPr="00172374">
              <w:rPr>
                <w:sz w:val="20"/>
                <w:szCs w:val="20"/>
              </w:rPr>
              <w:t xml:space="preserve"> &amp; </w:t>
            </w:r>
            <w:proofErr w:type="spellStart"/>
            <w:r w:rsidRPr="00172374">
              <w:rPr>
                <w:sz w:val="20"/>
                <w:szCs w:val="20"/>
              </w:rPr>
              <w:t>Dibb</w:t>
            </w:r>
            <w:proofErr w:type="spellEnd"/>
            <w:r w:rsidRPr="00172374">
              <w:rPr>
                <w:sz w:val="20"/>
                <w:szCs w:val="20"/>
              </w:rPr>
              <w:t>, 2001</w:t>
            </w:r>
          </w:p>
          <w:p w14:paraId="008375F6" w14:textId="77777777" w:rsidR="00421DE7" w:rsidRPr="00172374" w:rsidRDefault="00421DE7" w:rsidP="009C55D7">
            <w:pPr>
              <w:rPr>
                <w:sz w:val="20"/>
                <w:szCs w:val="20"/>
              </w:rPr>
            </w:pPr>
            <w:r w:rsidRPr="00172374">
              <w:rPr>
                <w:sz w:val="20"/>
                <w:szCs w:val="20"/>
              </w:rPr>
              <w:t>Tilley, 1999</w:t>
            </w:r>
          </w:p>
          <w:p w14:paraId="4E5100FC" w14:textId="77777777" w:rsidR="00421DE7" w:rsidRPr="00172374" w:rsidRDefault="00421DE7" w:rsidP="009C55D7">
            <w:pPr>
              <w:rPr>
                <w:sz w:val="20"/>
                <w:szCs w:val="20"/>
              </w:rPr>
            </w:pPr>
            <w:proofErr w:type="spellStart"/>
            <w:r w:rsidRPr="00172374">
              <w:rPr>
                <w:sz w:val="20"/>
                <w:szCs w:val="20"/>
              </w:rPr>
              <w:t>Urde</w:t>
            </w:r>
            <w:proofErr w:type="spellEnd"/>
            <w:r w:rsidRPr="00172374">
              <w:rPr>
                <w:sz w:val="20"/>
                <w:szCs w:val="20"/>
              </w:rPr>
              <w:t>, 1994</w:t>
            </w:r>
          </w:p>
          <w:p w14:paraId="149FA5BE" w14:textId="77777777" w:rsidR="00421DE7" w:rsidRPr="00172374" w:rsidRDefault="00421DE7" w:rsidP="009C55D7"/>
        </w:tc>
      </w:tr>
      <w:tr w:rsidR="00421DE7" w:rsidRPr="00172374" w14:paraId="7548CDA7" w14:textId="77777777" w:rsidTr="009C55D7">
        <w:tc>
          <w:tcPr>
            <w:tcW w:w="9060" w:type="dxa"/>
            <w:gridSpan w:val="2"/>
            <w:vAlign w:val="center"/>
          </w:tcPr>
          <w:p w14:paraId="3E704D0D" w14:textId="77777777" w:rsidR="00421DE7" w:rsidRPr="00172374" w:rsidRDefault="00421DE7" w:rsidP="009C55D7">
            <w:pPr>
              <w:rPr>
                <w:sz w:val="10"/>
                <w:szCs w:val="10"/>
              </w:rPr>
            </w:pPr>
          </w:p>
        </w:tc>
      </w:tr>
      <w:tr w:rsidR="00421DE7" w:rsidRPr="00172374" w14:paraId="74D92D0D" w14:textId="77777777" w:rsidTr="009C55D7">
        <w:tc>
          <w:tcPr>
            <w:tcW w:w="6890" w:type="dxa"/>
            <w:tcBorders>
              <w:bottom w:val="single" w:sz="4" w:space="0" w:color="auto"/>
            </w:tcBorders>
            <w:vAlign w:val="center"/>
          </w:tcPr>
          <w:p w14:paraId="05066905" w14:textId="77777777" w:rsidR="00421DE7" w:rsidRPr="00172374" w:rsidRDefault="00421DE7" w:rsidP="009C55D7">
            <w:pPr>
              <w:rPr>
                <w:b/>
                <w:sz w:val="22"/>
                <w:szCs w:val="22"/>
              </w:rPr>
            </w:pPr>
            <w:r w:rsidRPr="00172374">
              <w:rPr>
                <w:b/>
                <w:sz w:val="22"/>
                <w:szCs w:val="22"/>
              </w:rPr>
              <w:t>Brand Differentiation</w:t>
            </w:r>
          </w:p>
        </w:tc>
        <w:tc>
          <w:tcPr>
            <w:tcW w:w="2170" w:type="dxa"/>
            <w:tcBorders>
              <w:bottom w:val="single" w:sz="4" w:space="0" w:color="auto"/>
            </w:tcBorders>
          </w:tcPr>
          <w:p w14:paraId="61F7A747" w14:textId="77777777" w:rsidR="00421DE7" w:rsidRPr="00172374" w:rsidRDefault="00421DE7" w:rsidP="009C55D7">
            <w:pPr>
              <w:rPr>
                <w:sz w:val="20"/>
                <w:szCs w:val="20"/>
              </w:rPr>
            </w:pPr>
          </w:p>
        </w:tc>
      </w:tr>
      <w:tr w:rsidR="00421DE7" w:rsidRPr="00172374" w14:paraId="414186DB" w14:textId="77777777" w:rsidTr="009C55D7">
        <w:tc>
          <w:tcPr>
            <w:tcW w:w="6890" w:type="dxa"/>
            <w:tcBorders>
              <w:top w:val="single" w:sz="4" w:space="0" w:color="auto"/>
            </w:tcBorders>
            <w:vAlign w:val="center"/>
          </w:tcPr>
          <w:p w14:paraId="4AA238E5" w14:textId="77777777" w:rsidR="00421DE7" w:rsidRPr="00172374" w:rsidRDefault="00421DE7" w:rsidP="009C55D7">
            <w:pPr>
              <w:spacing w:before="120"/>
              <w:rPr>
                <w:i/>
                <w:sz w:val="20"/>
                <w:szCs w:val="20"/>
              </w:rPr>
            </w:pPr>
            <w:r w:rsidRPr="00172374">
              <w:rPr>
                <w:i/>
                <w:sz w:val="20"/>
                <w:szCs w:val="20"/>
              </w:rPr>
              <w:t>- “Brand differentiation seeks to define the value associated with a brand as fundamentally different from its rivals… with the ultimate goal of building a more attractive brand to the customer” (Anderson and Carpenter, 2005; p. 178).</w:t>
            </w:r>
          </w:p>
          <w:p w14:paraId="4C6D75B1" w14:textId="77777777" w:rsidR="00421DE7" w:rsidRPr="00172374" w:rsidRDefault="00421DE7" w:rsidP="009C55D7">
            <w:pPr>
              <w:spacing w:before="120"/>
              <w:rPr>
                <w:i/>
                <w:sz w:val="20"/>
                <w:szCs w:val="20"/>
              </w:rPr>
            </w:pPr>
            <w:proofErr w:type="gramStart"/>
            <w:r w:rsidRPr="00172374">
              <w:rPr>
                <w:i/>
                <w:sz w:val="20"/>
                <w:szCs w:val="20"/>
              </w:rPr>
              <w:t>-“ Differentiation</w:t>
            </w:r>
            <w:proofErr w:type="gramEnd"/>
            <w:r w:rsidRPr="00172374">
              <w:rPr>
                <w:i/>
                <w:sz w:val="20"/>
                <w:szCs w:val="20"/>
              </w:rPr>
              <w:t>, based on market and technology innovation, drives the brand performance output (e.g., price premium).” (</w:t>
            </w:r>
            <w:proofErr w:type="spellStart"/>
            <w:r w:rsidRPr="00172374">
              <w:rPr>
                <w:i/>
                <w:sz w:val="20"/>
                <w:szCs w:val="20"/>
              </w:rPr>
              <w:t>Davcik</w:t>
            </w:r>
            <w:proofErr w:type="spellEnd"/>
            <w:r w:rsidRPr="00172374">
              <w:rPr>
                <w:i/>
                <w:sz w:val="20"/>
                <w:szCs w:val="20"/>
              </w:rPr>
              <w:t xml:space="preserve"> &amp; Sharma, 2015; p.13)</w:t>
            </w:r>
          </w:p>
          <w:p w14:paraId="1E48F29A" w14:textId="77777777" w:rsidR="00421DE7" w:rsidRPr="00172374" w:rsidRDefault="00421DE7" w:rsidP="009C55D7">
            <w:pPr>
              <w:spacing w:before="120"/>
              <w:rPr>
                <w:i/>
                <w:sz w:val="20"/>
                <w:szCs w:val="20"/>
              </w:rPr>
            </w:pPr>
            <w:r w:rsidRPr="00172374">
              <w:rPr>
                <w:i/>
                <w:sz w:val="20"/>
                <w:szCs w:val="20"/>
              </w:rPr>
              <w:t>- “The key to branding is that consumers perceive differences among brands in a product category. These differences can be related to attributes or benefits of the product itself, or they may be related to more intangible image considerations” (Keller, 2008; p. 10).</w:t>
            </w:r>
          </w:p>
          <w:p w14:paraId="6F8FB59D"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 xml:space="preserve">Industrial marketers have increasingly recognized the value of brands and actively create brand differentiation to face challenges brought by escalating competition in globalization” (Pai, Lai, Chiu, &amp; Yang, 2015; p 685). </w:t>
            </w:r>
            <w:proofErr w:type="gramStart"/>
            <w:r w:rsidRPr="00172374">
              <w:rPr>
                <w:i/>
                <w:sz w:val="20"/>
                <w:szCs w:val="20"/>
              </w:rPr>
              <w:t>…“</w:t>
            </w:r>
            <w:proofErr w:type="gramEnd"/>
            <w:r w:rsidRPr="00172374">
              <w:rPr>
                <w:i/>
                <w:sz w:val="20"/>
                <w:szCs w:val="20"/>
              </w:rPr>
              <w:t>Recently, many business marketers have begun to recognize the value and potential of brands as a way to create competitive advantages by establishing differentiation. Brands differentiation is valuable as it is difficult for the competitors to imitate, and brand thus creates important competitive advantages for B2B marketers. (p 687).</w:t>
            </w:r>
          </w:p>
          <w:p w14:paraId="773746A9" w14:textId="77777777" w:rsidR="00421DE7" w:rsidRPr="00172374" w:rsidRDefault="00421DE7" w:rsidP="009C55D7">
            <w:pPr>
              <w:spacing w:before="120"/>
              <w:rPr>
                <w:i/>
                <w:sz w:val="20"/>
                <w:szCs w:val="20"/>
              </w:rPr>
            </w:pPr>
            <w:r w:rsidRPr="00172374">
              <w:rPr>
                <w:i/>
                <w:sz w:val="20"/>
                <w:szCs w:val="20"/>
              </w:rPr>
              <w:t xml:space="preserve">- “Brands that are well positioned occupy particular niches in consumers’ mind. They are </w:t>
            </w:r>
            <w:proofErr w:type="gramStart"/>
            <w:r w:rsidRPr="00172374">
              <w:rPr>
                <w:i/>
                <w:sz w:val="20"/>
                <w:szCs w:val="20"/>
              </w:rPr>
              <w:t>similar to</w:t>
            </w:r>
            <w:proofErr w:type="gramEnd"/>
            <w:r w:rsidRPr="00172374">
              <w:rPr>
                <w:i/>
                <w:sz w:val="20"/>
                <w:szCs w:val="20"/>
              </w:rPr>
              <w:t xml:space="preserve"> and different from competing brands in certain reliably identifiable ways. The most successful brands in this regard keep up with competitors by creating points of parity in those areas where competitors are trying to find an advantage while at the same time creating points of difference to achieve advantages over competitors in some other areas (Keller, 2000; p. 150)</w:t>
            </w:r>
          </w:p>
          <w:p w14:paraId="1E9EC0B3"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Brand positioning involves establishing key brand associations in the minds of customers and other important constituents to differentiate the brand and establish competitive superiority” (Keller and Lehmann, 2006; p. 740).</w:t>
            </w:r>
          </w:p>
          <w:p w14:paraId="4B535DE1" w14:textId="77777777" w:rsidR="00421DE7" w:rsidRPr="00172374" w:rsidRDefault="00421DE7" w:rsidP="009C55D7">
            <w:pPr>
              <w:spacing w:before="120"/>
              <w:rPr>
                <w:i/>
                <w:sz w:val="20"/>
                <w:szCs w:val="20"/>
              </w:rPr>
            </w:pPr>
            <w:r w:rsidRPr="00172374">
              <w:rPr>
                <w:i/>
                <w:sz w:val="20"/>
                <w:szCs w:val="20"/>
              </w:rPr>
              <w:lastRenderedPageBreak/>
              <w:t>- “Cracking your brand’s genetic code is not strictly about product, about the past, or even about things – it is about tapping into an essence and an ethos that defines who you are to the folks who matter: your core customers, your potential customers, and your employees” (</w:t>
            </w:r>
            <w:proofErr w:type="spellStart"/>
            <w:r w:rsidRPr="00172374">
              <w:rPr>
                <w:i/>
                <w:sz w:val="20"/>
                <w:szCs w:val="20"/>
              </w:rPr>
              <w:t>Bedbury</w:t>
            </w:r>
            <w:proofErr w:type="spellEnd"/>
            <w:r w:rsidRPr="00172374">
              <w:rPr>
                <w:i/>
                <w:sz w:val="20"/>
                <w:szCs w:val="20"/>
              </w:rPr>
              <w:t>, 2002; p. 41).</w:t>
            </w:r>
          </w:p>
          <w:p w14:paraId="58456C2F" w14:textId="77777777" w:rsidR="00421DE7" w:rsidRPr="00172374" w:rsidRDefault="00421DE7" w:rsidP="009C55D7">
            <w:pPr>
              <w:spacing w:before="120"/>
              <w:rPr>
                <w:i/>
                <w:sz w:val="20"/>
                <w:szCs w:val="20"/>
              </w:rPr>
            </w:pPr>
            <w:r w:rsidRPr="00172374">
              <w:rPr>
                <w:i/>
                <w:sz w:val="20"/>
                <w:szCs w:val="20"/>
              </w:rPr>
              <w:t xml:space="preserve">- “A strong brand should have a rich, clear brand identity – a set of associations the brand strategist seeks to create or maintain” (Aaker and </w:t>
            </w:r>
            <w:proofErr w:type="spellStart"/>
            <w:r w:rsidRPr="00172374">
              <w:rPr>
                <w:i/>
                <w:sz w:val="20"/>
                <w:szCs w:val="20"/>
              </w:rPr>
              <w:t>Joachimsthaler</w:t>
            </w:r>
            <w:proofErr w:type="spellEnd"/>
            <w:r w:rsidRPr="00172374">
              <w:rPr>
                <w:i/>
                <w:sz w:val="20"/>
                <w:szCs w:val="20"/>
              </w:rPr>
              <w:t xml:space="preserve">, </w:t>
            </w:r>
            <w:proofErr w:type="gramStart"/>
            <w:r w:rsidRPr="00172374">
              <w:rPr>
                <w:i/>
                <w:sz w:val="20"/>
                <w:szCs w:val="20"/>
              </w:rPr>
              <w:t>2000;</w:t>
            </w:r>
            <w:proofErr w:type="gramEnd"/>
            <w:r w:rsidRPr="00172374">
              <w:rPr>
                <w:i/>
                <w:sz w:val="20"/>
                <w:szCs w:val="20"/>
              </w:rPr>
              <w:t xml:space="preserve"> p.40)</w:t>
            </w:r>
          </w:p>
          <w:p w14:paraId="7A54330B"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In building brands the principle is to invest in markets which are highly differentiated or where such differentiation can be created” (Doyle, 1989; p. 88)</w:t>
            </w:r>
          </w:p>
        </w:tc>
        <w:tc>
          <w:tcPr>
            <w:tcW w:w="2170" w:type="dxa"/>
            <w:tcBorders>
              <w:top w:val="single" w:sz="4" w:space="0" w:color="auto"/>
            </w:tcBorders>
          </w:tcPr>
          <w:p w14:paraId="0B372363" w14:textId="77777777" w:rsidR="00421DE7" w:rsidRPr="00172374" w:rsidRDefault="00421DE7" w:rsidP="009C55D7">
            <w:pPr>
              <w:rPr>
                <w:sz w:val="20"/>
                <w:szCs w:val="20"/>
              </w:rPr>
            </w:pPr>
            <w:r w:rsidRPr="00172374">
              <w:rPr>
                <w:sz w:val="20"/>
                <w:szCs w:val="20"/>
              </w:rPr>
              <w:lastRenderedPageBreak/>
              <w:t xml:space="preserve">Aaker &amp; </w:t>
            </w:r>
            <w:proofErr w:type="spellStart"/>
            <w:r w:rsidRPr="00172374">
              <w:rPr>
                <w:sz w:val="20"/>
                <w:szCs w:val="20"/>
              </w:rPr>
              <w:t>Joachimsthaler</w:t>
            </w:r>
            <w:proofErr w:type="spellEnd"/>
            <w:r w:rsidRPr="00172374">
              <w:rPr>
                <w:sz w:val="20"/>
                <w:szCs w:val="20"/>
              </w:rPr>
              <w:t>, 2000</w:t>
            </w:r>
          </w:p>
          <w:p w14:paraId="5D554024" w14:textId="77777777" w:rsidR="00421DE7" w:rsidRPr="00172374" w:rsidRDefault="00421DE7" w:rsidP="009C55D7">
            <w:pPr>
              <w:rPr>
                <w:sz w:val="20"/>
                <w:szCs w:val="20"/>
              </w:rPr>
            </w:pPr>
            <w:r w:rsidRPr="00172374">
              <w:rPr>
                <w:sz w:val="20"/>
                <w:szCs w:val="20"/>
              </w:rPr>
              <w:t>Aaker, 2004; 2010</w:t>
            </w:r>
          </w:p>
          <w:p w14:paraId="2A8A813E" w14:textId="77777777" w:rsidR="00421DE7" w:rsidRPr="00172374" w:rsidRDefault="00421DE7" w:rsidP="009C55D7">
            <w:pPr>
              <w:rPr>
                <w:sz w:val="20"/>
                <w:szCs w:val="20"/>
              </w:rPr>
            </w:pPr>
            <w:r w:rsidRPr="00172374">
              <w:rPr>
                <w:sz w:val="20"/>
                <w:szCs w:val="20"/>
              </w:rPr>
              <w:t>Anderson &amp; Carpenter, 2005</w:t>
            </w:r>
          </w:p>
          <w:p w14:paraId="1E8CEB09" w14:textId="77777777" w:rsidR="00421DE7" w:rsidRPr="00172374" w:rsidRDefault="00421DE7" w:rsidP="009C55D7">
            <w:pPr>
              <w:rPr>
                <w:sz w:val="20"/>
                <w:szCs w:val="20"/>
              </w:rPr>
            </w:pPr>
            <w:proofErr w:type="spellStart"/>
            <w:r w:rsidRPr="00172374">
              <w:rPr>
                <w:sz w:val="20"/>
                <w:szCs w:val="20"/>
              </w:rPr>
              <w:t>Baumgarth</w:t>
            </w:r>
            <w:proofErr w:type="spellEnd"/>
            <w:r w:rsidRPr="00172374">
              <w:rPr>
                <w:sz w:val="20"/>
                <w:szCs w:val="20"/>
              </w:rPr>
              <w:t>, 2010</w:t>
            </w:r>
          </w:p>
          <w:p w14:paraId="1F218500" w14:textId="77777777" w:rsidR="00421DE7" w:rsidRPr="00172374" w:rsidRDefault="00421DE7" w:rsidP="009C55D7">
            <w:pPr>
              <w:rPr>
                <w:sz w:val="20"/>
                <w:szCs w:val="20"/>
              </w:rPr>
            </w:pPr>
            <w:proofErr w:type="spellStart"/>
            <w:r w:rsidRPr="00172374">
              <w:rPr>
                <w:sz w:val="20"/>
                <w:szCs w:val="20"/>
              </w:rPr>
              <w:t>Bedbury</w:t>
            </w:r>
            <w:proofErr w:type="spellEnd"/>
            <w:r w:rsidRPr="00172374">
              <w:rPr>
                <w:sz w:val="20"/>
                <w:szCs w:val="20"/>
              </w:rPr>
              <w:t>, 2002</w:t>
            </w:r>
          </w:p>
          <w:p w14:paraId="63F80479" w14:textId="77777777" w:rsidR="00421DE7" w:rsidRPr="00172374" w:rsidRDefault="00421DE7" w:rsidP="009C55D7">
            <w:pPr>
              <w:rPr>
                <w:sz w:val="20"/>
                <w:szCs w:val="20"/>
              </w:rPr>
            </w:pPr>
            <w:proofErr w:type="spellStart"/>
            <w:r w:rsidRPr="00172374">
              <w:rPr>
                <w:sz w:val="20"/>
                <w:szCs w:val="20"/>
              </w:rPr>
              <w:t>Bridson</w:t>
            </w:r>
            <w:proofErr w:type="spellEnd"/>
            <w:r w:rsidRPr="00172374">
              <w:rPr>
                <w:sz w:val="20"/>
                <w:szCs w:val="20"/>
              </w:rPr>
              <w:t xml:space="preserve"> &amp; Evans, 2004</w:t>
            </w:r>
          </w:p>
          <w:p w14:paraId="3CD08DFE" w14:textId="77777777" w:rsidR="00421DE7" w:rsidRPr="00172374" w:rsidRDefault="00421DE7" w:rsidP="009C55D7">
            <w:pPr>
              <w:rPr>
                <w:sz w:val="20"/>
                <w:szCs w:val="20"/>
              </w:rPr>
            </w:pPr>
            <w:r w:rsidRPr="00172374">
              <w:rPr>
                <w:sz w:val="20"/>
                <w:szCs w:val="20"/>
              </w:rPr>
              <w:t xml:space="preserve">Coleman, de </w:t>
            </w:r>
            <w:proofErr w:type="spellStart"/>
            <w:r w:rsidRPr="00172374">
              <w:rPr>
                <w:sz w:val="20"/>
                <w:szCs w:val="20"/>
              </w:rPr>
              <w:t>Chernatony</w:t>
            </w:r>
            <w:proofErr w:type="spellEnd"/>
            <w:r w:rsidRPr="00172374">
              <w:rPr>
                <w:sz w:val="20"/>
                <w:szCs w:val="20"/>
              </w:rPr>
              <w:t>, &amp; Christodoulides, 2015</w:t>
            </w:r>
          </w:p>
          <w:p w14:paraId="27E422AA" w14:textId="77777777" w:rsidR="00421DE7" w:rsidRPr="00172374" w:rsidRDefault="00421DE7" w:rsidP="009C55D7">
            <w:pPr>
              <w:rPr>
                <w:sz w:val="20"/>
                <w:szCs w:val="20"/>
              </w:rPr>
            </w:pPr>
            <w:r w:rsidRPr="00172374">
              <w:rPr>
                <w:sz w:val="20"/>
                <w:szCs w:val="20"/>
              </w:rPr>
              <w:t>Coolidge, 2005</w:t>
            </w:r>
          </w:p>
          <w:p w14:paraId="7612A1FB" w14:textId="77777777" w:rsidR="00421DE7" w:rsidRPr="00172374" w:rsidRDefault="00421DE7" w:rsidP="009C55D7">
            <w:pPr>
              <w:rPr>
                <w:sz w:val="20"/>
                <w:szCs w:val="20"/>
              </w:rPr>
            </w:pPr>
            <w:proofErr w:type="spellStart"/>
            <w:r w:rsidRPr="00172374">
              <w:rPr>
                <w:sz w:val="20"/>
                <w:szCs w:val="20"/>
              </w:rPr>
              <w:t>Davcik</w:t>
            </w:r>
            <w:proofErr w:type="spellEnd"/>
            <w:r w:rsidRPr="00172374">
              <w:rPr>
                <w:sz w:val="20"/>
                <w:szCs w:val="20"/>
              </w:rPr>
              <w:t xml:space="preserve"> &amp; Sharma, 2015</w:t>
            </w:r>
          </w:p>
          <w:p w14:paraId="43DD0C4D" w14:textId="77777777" w:rsidR="00421DE7" w:rsidRPr="00172374" w:rsidRDefault="00421DE7" w:rsidP="009C55D7">
            <w:pPr>
              <w:rPr>
                <w:sz w:val="20"/>
                <w:szCs w:val="20"/>
              </w:rPr>
            </w:pPr>
            <w:r w:rsidRPr="00172374">
              <w:rPr>
                <w:sz w:val="20"/>
                <w:szCs w:val="20"/>
              </w:rPr>
              <w:t>Doyle, 1989</w:t>
            </w:r>
          </w:p>
          <w:p w14:paraId="122DB207" w14:textId="77777777" w:rsidR="00421DE7" w:rsidRPr="00172374" w:rsidRDefault="00421DE7" w:rsidP="009C55D7">
            <w:pPr>
              <w:rPr>
                <w:sz w:val="20"/>
                <w:szCs w:val="20"/>
              </w:rPr>
            </w:pPr>
            <w:r w:rsidRPr="00172374">
              <w:rPr>
                <w:sz w:val="20"/>
                <w:szCs w:val="20"/>
              </w:rPr>
              <w:t>Keller &amp; Lehmann, 2006</w:t>
            </w:r>
          </w:p>
          <w:p w14:paraId="7E137807" w14:textId="77777777" w:rsidR="00421DE7" w:rsidRPr="00172374" w:rsidRDefault="00421DE7" w:rsidP="009C55D7">
            <w:pPr>
              <w:rPr>
                <w:sz w:val="20"/>
                <w:szCs w:val="20"/>
              </w:rPr>
            </w:pPr>
            <w:r w:rsidRPr="00172374">
              <w:rPr>
                <w:sz w:val="20"/>
                <w:szCs w:val="20"/>
              </w:rPr>
              <w:t>Keller, 2000; 2008</w:t>
            </w:r>
          </w:p>
          <w:p w14:paraId="4BF09B4E" w14:textId="77777777" w:rsidR="00421DE7" w:rsidRPr="00172374" w:rsidRDefault="00421DE7" w:rsidP="009C55D7">
            <w:pPr>
              <w:rPr>
                <w:sz w:val="20"/>
                <w:szCs w:val="20"/>
              </w:rPr>
            </w:pPr>
            <w:r w:rsidRPr="00172374">
              <w:rPr>
                <w:sz w:val="20"/>
                <w:szCs w:val="20"/>
              </w:rPr>
              <w:t xml:space="preserve">Keller, </w:t>
            </w:r>
            <w:proofErr w:type="spellStart"/>
            <w:r w:rsidRPr="00172374">
              <w:rPr>
                <w:sz w:val="20"/>
                <w:szCs w:val="20"/>
              </w:rPr>
              <w:t>Sternthal</w:t>
            </w:r>
            <w:proofErr w:type="spellEnd"/>
            <w:r w:rsidRPr="00172374">
              <w:rPr>
                <w:sz w:val="20"/>
                <w:szCs w:val="20"/>
              </w:rPr>
              <w:t xml:space="preserve"> &amp; </w:t>
            </w:r>
            <w:proofErr w:type="spellStart"/>
            <w:r w:rsidRPr="00172374">
              <w:rPr>
                <w:sz w:val="20"/>
                <w:szCs w:val="20"/>
              </w:rPr>
              <w:t>Tybout</w:t>
            </w:r>
            <w:proofErr w:type="spellEnd"/>
            <w:r w:rsidRPr="00172374">
              <w:rPr>
                <w:sz w:val="20"/>
                <w:szCs w:val="20"/>
              </w:rPr>
              <w:t>, 2002</w:t>
            </w:r>
          </w:p>
          <w:p w14:paraId="6882D56D" w14:textId="77777777" w:rsidR="00421DE7" w:rsidRPr="00172374" w:rsidRDefault="00421DE7" w:rsidP="009C55D7">
            <w:pPr>
              <w:rPr>
                <w:sz w:val="20"/>
                <w:szCs w:val="20"/>
              </w:rPr>
            </w:pPr>
            <w:proofErr w:type="spellStart"/>
            <w:r w:rsidRPr="00172374">
              <w:rPr>
                <w:sz w:val="20"/>
                <w:szCs w:val="20"/>
              </w:rPr>
              <w:t>McAlexander</w:t>
            </w:r>
            <w:proofErr w:type="spellEnd"/>
            <w:r w:rsidRPr="00172374">
              <w:rPr>
                <w:sz w:val="20"/>
                <w:szCs w:val="20"/>
              </w:rPr>
              <w:t xml:space="preserve">, Schouten, &amp; </w:t>
            </w:r>
            <w:proofErr w:type="spellStart"/>
            <w:r w:rsidRPr="00172374">
              <w:rPr>
                <w:sz w:val="20"/>
                <w:szCs w:val="20"/>
              </w:rPr>
              <w:t>Koening</w:t>
            </w:r>
            <w:proofErr w:type="spellEnd"/>
            <w:r w:rsidRPr="00172374">
              <w:rPr>
                <w:sz w:val="20"/>
                <w:szCs w:val="20"/>
              </w:rPr>
              <w:t>, 2002</w:t>
            </w:r>
          </w:p>
          <w:p w14:paraId="7E42AB7B" w14:textId="77777777" w:rsidR="00421DE7" w:rsidRPr="00172374" w:rsidRDefault="00421DE7" w:rsidP="009C55D7">
            <w:pPr>
              <w:rPr>
                <w:sz w:val="20"/>
                <w:szCs w:val="20"/>
              </w:rPr>
            </w:pPr>
            <w:r w:rsidRPr="00172374">
              <w:rPr>
                <w:sz w:val="20"/>
                <w:szCs w:val="20"/>
              </w:rPr>
              <w:t>Pai, Lai, Chiu, &amp; Yang, 2015</w:t>
            </w:r>
          </w:p>
          <w:p w14:paraId="5EB99BAC" w14:textId="77777777" w:rsidR="00421DE7" w:rsidRPr="00172374" w:rsidRDefault="00421DE7" w:rsidP="009C55D7">
            <w:pPr>
              <w:rPr>
                <w:sz w:val="20"/>
                <w:szCs w:val="20"/>
              </w:rPr>
            </w:pPr>
            <w:proofErr w:type="spellStart"/>
            <w:r w:rsidRPr="00172374">
              <w:rPr>
                <w:sz w:val="20"/>
                <w:szCs w:val="20"/>
              </w:rPr>
              <w:t>Simoes</w:t>
            </w:r>
            <w:proofErr w:type="spellEnd"/>
            <w:r w:rsidRPr="00172374">
              <w:rPr>
                <w:sz w:val="20"/>
                <w:szCs w:val="20"/>
              </w:rPr>
              <w:t xml:space="preserve"> &amp; </w:t>
            </w:r>
            <w:proofErr w:type="spellStart"/>
            <w:r w:rsidRPr="00172374">
              <w:rPr>
                <w:sz w:val="20"/>
                <w:szCs w:val="20"/>
              </w:rPr>
              <w:t>Dibb</w:t>
            </w:r>
            <w:proofErr w:type="spellEnd"/>
            <w:r w:rsidRPr="00172374">
              <w:rPr>
                <w:sz w:val="20"/>
                <w:szCs w:val="20"/>
              </w:rPr>
              <w:t>, 2001</w:t>
            </w:r>
          </w:p>
          <w:p w14:paraId="1195F76B" w14:textId="77777777" w:rsidR="00421DE7" w:rsidRPr="00172374" w:rsidRDefault="00421DE7" w:rsidP="009C55D7">
            <w:pPr>
              <w:rPr>
                <w:sz w:val="20"/>
                <w:szCs w:val="20"/>
              </w:rPr>
            </w:pPr>
            <w:proofErr w:type="spellStart"/>
            <w:r w:rsidRPr="00172374">
              <w:rPr>
                <w:sz w:val="20"/>
                <w:szCs w:val="20"/>
              </w:rPr>
              <w:t>Urde</w:t>
            </w:r>
            <w:proofErr w:type="spellEnd"/>
            <w:r w:rsidRPr="00172374">
              <w:rPr>
                <w:sz w:val="20"/>
                <w:szCs w:val="20"/>
              </w:rPr>
              <w:t>, 1994; 1999</w:t>
            </w:r>
          </w:p>
        </w:tc>
      </w:tr>
      <w:tr w:rsidR="00421DE7" w:rsidRPr="00172374" w14:paraId="5AAE961E" w14:textId="77777777" w:rsidTr="009C55D7">
        <w:tc>
          <w:tcPr>
            <w:tcW w:w="9060" w:type="dxa"/>
            <w:gridSpan w:val="2"/>
            <w:vAlign w:val="center"/>
          </w:tcPr>
          <w:p w14:paraId="09DF683D" w14:textId="77777777" w:rsidR="00421DE7" w:rsidRPr="00172374" w:rsidRDefault="00421DE7" w:rsidP="009C55D7">
            <w:pPr>
              <w:jc w:val="both"/>
              <w:rPr>
                <w:sz w:val="10"/>
                <w:szCs w:val="10"/>
              </w:rPr>
            </w:pPr>
          </w:p>
        </w:tc>
      </w:tr>
      <w:tr w:rsidR="00421DE7" w:rsidRPr="00172374" w14:paraId="1CCAE82F" w14:textId="77777777" w:rsidTr="009C55D7">
        <w:tc>
          <w:tcPr>
            <w:tcW w:w="6890" w:type="dxa"/>
            <w:tcBorders>
              <w:bottom w:val="single" w:sz="4" w:space="0" w:color="auto"/>
            </w:tcBorders>
            <w:vAlign w:val="center"/>
          </w:tcPr>
          <w:p w14:paraId="76C1F24F" w14:textId="77777777" w:rsidR="00421DE7" w:rsidRPr="00172374" w:rsidRDefault="00421DE7" w:rsidP="009C55D7">
            <w:pPr>
              <w:rPr>
                <w:b/>
                <w:sz w:val="22"/>
                <w:szCs w:val="22"/>
              </w:rPr>
            </w:pPr>
            <w:r w:rsidRPr="00172374">
              <w:rPr>
                <w:b/>
                <w:sz w:val="22"/>
                <w:szCs w:val="22"/>
              </w:rPr>
              <w:t>Brand Intelligence</w:t>
            </w:r>
          </w:p>
        </w:tc>
        <w:tc>
          <w:tcPr>
            <w:tcW w:w="2170" w:type="dxa"/>
            <w:tcBorders>
              <w:bottom w:val="single" w:sz="4" w:space="0" w:color="auto"/>
            </w:tcBorders>
          </w:tcPr>
          <w:p w14:paraId="0979B2BE" w14:textId="77777777" w:rsidR="00421DE7" w:rsidRPr="00172374" w:rsidRDefault="00421DE7" w:rsidP="009C55D7">
            <w:pPr>
              <w:jc w:val="both"/>
            </w:pPr>
          </w:p>
        </w:tc>
      </w:tr>
      <w:tr w:rsidR="00421DE7" w:rsidRPr="00172374" w14:paraId="62D08503" w14:textId="77777777" w:rsidTr="009C55D7">
        <w:tc>
          <w:tcPr>
            <w:tcW w:w="6890" w:type="dxa"/>
            <w:tcBorders>
              <w:top w:val="single" w:sz="4" w:space="0" w:color="auto"/>
            </w:tcBorders>
            <w:vAlign w:val="center"/>
          </w:tcPr>
          <w:p w14:paraId="2F3A1FA7" w14:textId="77777777" w:rsidR="00421DE7" w:rsidRPr="00172374" w:rsidRDefault="00421DE7" w:rsidP="009C55D7">
            <w:pPr>
              <w:spacing w:before="120"/>
              <w:rPr>
                <w:i/>
                <w:sz w:val="20"/>
                <w:szCs w:val="20"/>
              </w:rPr>
            </w:pPr>
            <w:r w:rsidRPr="00172374">
              <w:rPr>
                <w:i/>
                <w:sz w:val="20"/>
                <w:szCs w:val="20"/>
              </w:rPr>
              <w:t>- “The brand strategy needs to be viewed from three perspectives: a customer analysis, a competitor analysis, and a self-analysis. The objective of a brand strategy, after all, is to create a business that resonates with customers, that avoids competitor strengths and exploits their weaknesses, and that exploits its own strengths and neutralizes its weaknesses. To create such a business, it is necessary to understand the viewpoints represented in these three analyses” (Aaker, 1996; p.190).</w:t>
            </w:r>
          </w:p>
          <w:p w14:paraId="63DD1592" w14:textId="77777777" w:rsidR="00421DE7" w:rsidRPr="00172374" w:rsidRDefault="00421DE7" w:rsidP="009C55D7">
            <w:pPr>
              <w:spacing w:before="120"/>
              <w:rPr>
                <w:i/>
                <w:sz w:val="20"/>
                <w:szCs w:val="20"/>
              </w:rPr>
            </w:pPr>
            <w:r w:rsidRPr="00172374">
              <w:rPr>
                <w:i/>
                <w:sz w:val="20"/>
                <w:szCs w:val="20"/>
              </w:rPr>
              <w:t>- “To choose which favorable and unique associations to link to the brand, marketers carefully analyze the consumer and the competition to determine the best positioning for the brand” (Keller, 2008; p. 58).</w:t>
            </w:r>
          </w:p>
          <w:p w14:paraId="33915BF4" w14:textId="77777777" w:rsidR="00421DE7" w:rsidRPr="00172374" w:rsidRDefault="00421DE7" w:rsidP="009C55D7">
            <w:pPr>
              <w:spacing w:before="120"/>
              <w:rPr>
                <w:i/>
                <w:sz w:val="20"/>
                <w:szCs w:val="20"/>
              </w:rPr>
            </w:pPr>
            <w:r w:rsidRPr="00172374">
              <w:rPr>
                <w:i/>
                <w:sz w:val="20"/>
                <w:szCs w:val="20"/>
              </w:rPr>
              <w:t xml:space="preserve">- “To gain the best return from their brands, firms must have a well-conceived vision for their brands and not just focus in isolation on tactical issues of design and promotion. Instead, they need to audit the capabilities of their firm, evaluate the external issues influencing their brand and then develop a brand plan that specifies realistic brand objectives and the strategy to achieve them” (de </w:t>
            </w:r>
            <w:proofErr w:type="spellStart"/>
            <w:r w:rsidRPr="00172374">
              <w:rPr>
                <w:i/>
                <w:sz w:val="20"/>
                <w:szCs w:val="20"/>
              </w:rPr>
              <w:t>Chernatony</w:t>
            </w:r>
            <w:proofErr w:type="spellEnd"/>
            <w:r w:rsidRPr="00172374">
              <w:rPr>
                <w:i/>
                <w:sz w:val="20"/>
                <w:szCs w:val="20"/>
              </w:rPr>
              <w:t xml:space="preserve"> et al., 2011; p.57).</w:t>
            </w:r>
          </w:p>
          <w:p w14:paraId="6A817847" w14:textId="77777777" w:rsidR="00421DE7" w:rsidRPr="00172374" w:rsidRDefault="00421DE7" w:rsidP="009C55D7">
            <w:pPr>
              <w:spacing w:before="120"/>
              <w:rPr>
                <w:i/>
                <w:sz w:val="20"/>
                <w:szCs w:val="20"/>
              </w:rPr>
            </w:pPr>
            <w:r w:rsidRPr="00172374">
              <w:rPr>
                <w:i/>
                <w:sz w:val="20"/>
                <w:szCs w:val="20"/>
              </w:rPr>
              <w:t>“In order to decide possible changes needed, companies should track brand equity over time, including awareness, perceived quality, brand loyalty and brand associations. …Especially note areas where the brand identity and position are not reflected in the brand image” (p.357).</w:t>
            </w:r>
          </w:p>
          <w:p w14:paraId="03F0376E"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To manage brands properly, marketers should have a clear understanding of the equity in their brands – what makes them tick and what they are worth” (Keller and Lehmann, 2006; 744).</w:t>
            </w:r>
          </w:p>
          <w:p w14:paraId="318B1F33" w14:textId="77777777" w:rsidR="00421DE7" w:rsidRPr="00172374" w:rsidRDefault="00421DE7" w:rsidP="009C55D7">
            <w:pPr>
              <w:spacing w:before="120"/>
              <w:rPr>
                <w:i/>
                <w:sz w:val="20"/>
                <w:szCs w:val="20"/>
              </w:rPr>
            </w:pPr>
            <w:proofErr w:type="gramStart"/>
            <w:r w:rsidRPr="00172374">
              <w:rPr>
                <w:i/>
                <w:sz w:val="20"/>
                <w:szCs w:val="20"/>
              </w:rPr>
              <w:t>-“</w:t>
            </w:r>
            <w:proofErr w:type="gramEnd"/>
            <w:r w:rsidRPr="00172374">
              <w:rPr>
                <w:i/>
                <w:sz w:val="20"/>
                <w:szCs w:val="20"/>
              </w:rPr>
              <w:t>It is critical for firms to implement a consistent measurement and reward system that allows companies to monitor, benchmark, and upgrade their brand performance” (Davis and Dunn, 2002; p. 5). …Bringing the brand to life within your organization has to include establishing brand metrics, both internal and external” (p.195).</w:t>
            </w:r>
          </w:p>
        </w:tc>
        <w:tc>
          <w:tcPr>
            <w:tcW w:w="2170" w:type="dxa"/>
            <w:tcBorders>
              <w:top w:val="single" w:sz="4" w:space="0" w:color="auto"/>
            </w:tcBorders>
          </w:tcPr>
          <w:p w14:paraId="4138AFC2" w14:textId="77777777" w:rsidR="00421DE7" w:rsidRPr="00172374" w:rsidRDefault="00421DE7" w:rsidP="009C55D7">
            <w:pPr>
              <w:rPr>
                <w:sz w:val="20"/>
                <w:szCs w:val="20"/>
              </w:rPr>
            </w:pPr>
            <w:r w:rsidRPr="00172374">
              <w:rPr>
                <w:sz w:val="20"/>
                <w:szCs w:val="20"/>
              </w:rPr>
              <w:t xml:space="preserve">Aaker &amp; </w:t>
            </w:r>
            <w:proofErr w:type="spellStart"/>
            <w:r w:rsidRPr="00172374">
              <w:rPr>
                <w:sz w:val="20"/>
                <w:szCs w:val="20"/>
              </w:rPr>
              <w:t>Joachimsthaler</w:t>
            </w:r>
            <w:proofErr w:type="spellEnd"/>
            <w:r w:rsidRPr="00172374">
              <w:rPr>
                <w:sz w:val="20"/>
                <w:szCs w:val="20"/>
              </w:rPr>
              <w:t xml:space="preserve">, 2000 </w:t>
            </w:r>
          </w:p>
          <w:p w14:paraId="36BB8336" w14:textId="77777777" w:rsidR="00421DE7" w:rsidRPr="00172374" w:rsidRDefault="00421DE7" w:rsidP="009C55D7">
            <w:pPr>
              <w:rPr>
                <w:sz w:val="20"/>
                <w:szCs w:val="20"/>
              </w:rPr>
            </w:pPr>
            <w:r w:rsidRPr="00172374">
              <w:rPr>
                <w:sz w:val="20"/>
                <w:szCs w:val="20"/>
              </w:rPr>
              <w:t xml:space="preserve">Aaker, 1991; 1996; 2004 </w:t>
            </w:r>
          </w:p>
          <w:p w14:paraId="52A5915F" w14:textId="77777777" w:rsidR="00421DE7" w:rsidRPr="00172374" w:rsidRDefault="00421DE7" w:rsidP="009C55D7">
            <w:pPr>
              <w:rPr>
                <w:lang w:val="sv-SE"/>
              </w:rPr>
            </w:pPr>
            <w:proofErr w:type="spellStart"/>
            <w:r w:rsidRPr="00172374">
              <w:rPr>
                <w:sz w:val="20"/>
                <w:szCs w:val="20"/>
              </w:rPr>
              <w:t>Brakus</w:t>
            </w:r>
            <w:proofErr w:type="spellEnd"/>
            <w:r w:rsidRPr="00172374">
              <w:rPr>
                <w:sz w:val="20"/>
                <w:szCs w:val="20"/>
              </w:rPr>
              <w:t xml:space="preserve">, Schmitt &amp; </w:t>
            </w:r>
            <w:proofErr w:type="spellStart"/>
            <w:r w:rsidRPr="00172374">
              <w:rPr>
                <w:sz w:val="20"/>
                <w:szCs w:val="20"/>
              </w:rPr>
              <w:t>Zarantonello</w:t>
            </w:r>
            <w:proofErr w:type="spellEnd"/>
            <w:r w:rsidRPr="00172374">
              <w:rPr>
                <w:sz w:val="20"/>
                <w:szCs w:val="20"/>
              </w:rPr>
              <w:t>, 2009</w:t>
            </w:r>
          </w:p>
          <w:p w14:paraId="34C6D2C9" w14:textId="77777777" w:rsidR="00421DE7" w:rsidRPr="00172374" w:rsidRDefault="00421DE7" w:rsidP="009C55D7">
            <w:pPr>
              <w:rPr>
                <w:sz w:val="20"/>
                <w:szCs w:val="20"/>
              </w:rPr>
            </w:pPr>
            <w:r w:rsidRPr="00172374">
              <w:rPr>
                <w:sz w:val="20"/>
                <w:szCs w:val="20"/>
              </w:rPr>
              <w:t>Davis &amp;Dunn, 2002</w:t>
            </w:r>
          </w:p>
          <w:p w14:paraId="4A914ABA" w14:textId="77777777" w:rsidR="00421DE7" w:rsidRPr="00172374" w:rsidRDefault="00421DE7" w:rsidP="009C55D7">
            <w:pPr>
              <w:rPr>
                <w:sz w:val="20"/>
                <w:szCs w:val="20"/>
              </w:rPr>
            </w:pPr>
            <w:r w:rsidRPr="00172374">
              <w:rPr>
                <w:sz w:val="20"/>
                <w:szCs w:val="20"/>
              </w:rPr>
              <w:t xml:space="preserve">de </w:t>
            </w:r>
            <w:proofErr w:type="spellStart"/>
            <w:r w:rsidRPr="00172374">
              <w:rPr>
                <w:sz w:val="20"/>
                <w:szCs w:val="20"/>
              </w:rPr>
              <w:t>Chernatony</w:t>
            </w:r>
            <w:proofErr w:type="spellEnd"/>
            <w:r w:rsidRPr="00172374">
              <w:rPr>
                <w:sz w:val="20"/>
                <w:szCs w:val="20"/>
              </w:rPr>
              <w:t>, Drury &amp; Segal-Horn, 2003</w:t>
            </w:r>
          </w:p>
          <w:p w14:paraId="42EC9604" w14:textId="77777777" w:rsidR="00421DE7" w:rsidRPr="00172374" w:rsidRDefault="00421DE7" w:rsidP="009C55D7">
            <w:pPr>
              <w:rPr>
                <w:sz w:val="20"/>
                <w:szCs w:val="20"/>
                <w:lang w:val="sv-SE"/>
              </w:rPr>
            </w:pPr>
            <w:r w:rsidRPr="00172374">
              <w:rPr>
                <w:sz w:val="20"/>
                <w:szCs w:val="20"/>
                <w:lang w:val="sv-SE"/>
              </w:rPr>
              <w:t>de Chernatony, McDonald, &amp; Wallace, 2011</w:t>
            </w:r>
          </w:p>
          <w:p w14:paraId="0943E622" w14:textId="77777777" w:rsidR="00421DE7" w:rsidRPr="00172374" w:rsidRDefault="00421DE7" w:rsidP="009C55D7">
            <w:pPr>
              <w:rPr>
                <w:sz w:val="20"/>
                <w:szCs w:val="20"/>
              </w:rPr>
            </w:pPr>
            <w:r w:rsidRPr="00172374">
              <w:rPr>
                <w:sz w:val="20"/>
                <w:szCs w:val="20"/>
              </w:rPr>
              <w:t>Ewing &amp; Napoli, 2005</w:t>
            </w:r>
          </w:p>
          <w:p w14:paraId="0CE04F31" w14:textId="77777777" w:rsidR="00421DE7" w:rsidRPr="00172374" w:rsidRDefault="00421DE7" w:rsidP="009C55D7">
            <w:pPr>
              <w:rPr>
                <w:sz w:val="20"/>
                <w:szCs w:val="20"/>
                <w:lang w:val="sv-SE"/>
              </w:rPr>
            </w:pPr>
            <w:proofErr w:type="spellStart"/>
            <w:r w:rsidRPr="00172374">
              <w:rPr>
                <w:sz w:val="20"/>
                <w:szCs w:val="20"/>
              </w:rPr>
              <w:t>Gromark</w:t>
            </w:r>
            <w:proofErr w:type="spellEnd"/>
            <w:r w:rsidRPr="00172374">
              <w:rPr>
                <w:sz w:val="20"/>
                <w:szCs w:val="20"/>
              </w:rPr>
              <w:t xml:space="preserve"> &amp; </w:t>
            </w:r>
            <w:proofErr w:type="spellStart"/>
            <w:r w:rsidRPr="00172374">
              <w:rPr>
                <w:sz w:val="20"/>
                <w:szCs w:val="20"/>
              </w:rPr>
              <w:t>Melin</w:t>
            </w:r>
            <w:proofErr w:type="spellEnd"/>
            <w:r w:rsidRPr="00172374">
              <w:rPr>
                <w:sz w:val="20"/>
                <w:szCs w:val="20"/>
              </w:rPr>
              <w:t>, 2011</w:t>
            </w:r>
          </w:p>
          <w:p w14:paraId="144ABE0E" w14:textId="77777777" w:rsidR="00421DE7" w:rsidRPr="00172374" w:rsidRDefault="00421DE7" w:rsidP="009C55D7">
            <w:pPr>
              <w:rPr>
                <w:sz w:val="20"/>
                <w:szCs w:val="20"/>
              </w:rPr>
            </w:pPr>
            <w:r w:rsidRPr="00172374">
              <w:rPr>
                <w:sz w:val="20"/>
                <w:szCs w:val="20"/>
              </w:rPr>
              <w:t>Hankinson, 2001</w:t>
            </w:r>
          </w:p>
          <w:p w14:paraId="1269DBDB" w14:textId="77777777" w:rsidR="00421DE7" w:rsidRPr="00172374" w:rsidRDefault="00421DE7" w:rsidP="009C55D7">
            <w:pPr>
              <w:rPr>
                <w:sz w:val="20"/>
                <w:szCs w:val="20"/>
              </w:rPr>
            </w:pPr>
            <w:r w:rsidRPr="00172374">
              <w:rPr>
                <w:sz w:val="20"/>
                <w:szCs w:val="20"/>
              </w:rPr>
              <w:t>Keller &amp; Lehmann, 2006</w:t>
            </w:r>
          </w:p>
          <w:p w14:paraId="02241FF4" w14:textId="77777777" w:rsidR="00421DE7" w:rsidRPr="00172374" w:rsidRDefault="00421DE7" w:rsidP="009C55D7">
            <w:pPr>
              <w:rPr>
                <w:sz w:val="20"/>
                <w:szCs w:val="20"/>
              </w:rPr>
            </w:pPr>
            <w:r w:rsidRPr="00172374">
              <w:rPr>
                <w:sz w:val="20"/>
                <w:szCs w:val="20"/>
              </w:rPr>
              <w:t>Keller, 2000; 2008</w:t>
            </w:r>
          </w:p>
          <w:p w14:paraId="3EEA7A61" w14:textId="77777777" w:rsidR="00421DE7" w:rsidRPr="00172374" w:rsidRDefault="00421DE7" w:rsidP="009C55D7">
            <w:pPr>
              <w:rPr>
                <w:sz w:val="20"/>
                <w:szCs w:val="20"/>
              </w:rPr>
            </w:pPr>
            <w:r w:rsidRPr="00172374">
              <w:rPr>
                <w:sz w:val="20"/>
                <w:szCs w:val="20"/>
              </w:rPr>
              <w:t>Till, Baack, &amp; Waterman, 2011</w:t>
            </w:r>
          </w:p>
          <w:p w14:paraId="4465B18F" w14:textId="77777777" w:rsidR="00421DE7" w:rsidRPr="00172374" w:rsidRDefault="00421DE7" w:rsidP="009C55D7">
            <w:pPr>
              <w:rPr>
                <w:sz w:val="20"/>
                <w:szCs w:val="20"/>
              </w:rPr>
            </w:pPr>
            <w:proofErr w:type="spellStart"/>
            <w:r w:rsidRPr="00172374">
              <w:rPr>
                <w:sz w:val="20"/>
                <w:szCs w:val="20"/>
              </w:rPr>
              <w:t>Vallaster</w:t>
            </w:r>
            <w:proofErr w:type="spellEnd"/>
            <w:r w:rsidRPr="00172374">
              <w:rPr>
                <w:sz w:val="20"/>
                <w:szCs w:val="20"/>
              </w:rPr>
              <w:t xml:space="preserve"> &amp; de </w:t>
            </w:r>
            <w:proofErr w:type="spellStart"/>
            <w:r w:rsidRPr="00172374">
              <w:rPr>
                <w:sz w:val="20"/>
                <w:szCs w:val="20"/>
              </w:rPr>
              <w:t>Chernatony</w:t>
            </w:r>
            <w:proofErr w:type="spellEnd"/>
            <w:r w:rsidRPr="00172374">
              <w:rPr>
                <w:sz w:val="20"/>
                <w:szCs w:val="20"/>
              </w:rPr>
              <w:t>, 2005</w:t>
            </w:r>
          </w:p>
          <w:p w14:paraId="0C598F06" w14:textId="77777777" w:rsidR="00421DE7" w:rsidRPr="00172374" w:rsidRDefault="00421DE7" w:rsidP="009C55D7">
            <w:pPr>
              <w:rPr>
                <w:lang w:val="sv-SE"/>
              </w:rPr>
            </w:pPr>
            <w:r w:rsidRPr="00172374">
              <w:rPr>
                <w:sz w:val="20"/>
                <w:szCs w:val="20"/>
              </w:rPr>
              <w:t xml:space="preserve">van den Driest, </w:t>
            </w:r>
            <w:proofErr w:type="spellStart"/>
            <w:r w:rsidRPr="00172374">
              <w:rPr>
                <w:sz w:val="20"/>
                <w:szCs w:val="20"/>
              </w:rPr>
              <w:t>Sthanunathan</w:t>
            </w:r>
            <w:proofErr w:type="spellEnd"/>
            <w:r w:rsidRPr="00172374">
              <w:rPr>
                <w:sz w:val="20"/>
                <w:szCs w:val="20"/>
              </w:rPr>
              <w:t>, &amp; Weed, 2016</w:t>
            </w:r>
          </w:p>
        </w:tc>
      </w:tr>
    </w:tbl>
    <w:p w14:paraId="7CDC1A68" w14:textId="5B2BD5C5" w:rsidR="00421DE7" w:rsidRPr="00172374" w:rsidRDefault="00421DE7"/>
    <w:p w14:paraId="394405A6" w14:textId="01998DFF" w:rsidR="00421DE7" w:rsidRPr="00172374" w:rsidRDefault="00421DE7"/>
    <w:p w14:paraId="7AE91732" w14:textId="77777777" w:rsidR="00421DE7" w:rsidRPr="00172374" w:rsidRDefault="00421DE7"/>
    <w:p w14:paraId="49FD9E90" w14:textId="77777777" w:rsidR="009C55D7" w:rsidRPr="00172374" w:rsidRDefault="009C55D7">
      <w:r w:rsidRPr="00172374">
        <w:br w:type="page"/>
      </w:r>
    </w:p>
    <w:tbl>
      <w:tblPr>
        <w:tblW w:w="9214" w:type="dxa"/>
        <w:tblBorders>
          <w:top w:val="single" w:sz="8" w:space="0" w:color="000000"/>
          <w:bottom w:val="single" w:sz="8" w:space="0" w:color="000000"/>
        </w:tblBorders>
        <w:shd w:val="clear" w:color="auto" w:fill="FFFFFF"/>
        <w:tblLook w:val="04A0" w:firstRow="1" w:lastRow="0" w:firstColumn="1" w:lastColumn="0" w:noHBand="0" w:noVBand="1"/>
      </w:tblPr>
      <w:tblGrid>
        <w:gridCol w:w="3686"/>
        <w:gridCol w:w="5528"/>
      </w:tblGrid>
      <w:tr w:rsidR="009D7D1A" w:rsidRPr="00172374" w14:paraId="2927CD07" w14:textId="77777777" w:rsidTr="007A0AEE">
        <w:tc>
          <w:tcPr>
            <w:tcW w:w="9214" w:type="dxa"/>
            <w:gridSpan w:val="2"/>
            <w:tcBorders>
              <w:top w:val="nil"/>
              <w:left w:val="nil"/>
              <w:bottom w:val="single" w:sz="4" w:space="0" w:color="auto"/>
              <w:right w:val="nil"/>
            </w:tcBorders>
            <w:shd w:val="clear" w:color="auto" w:fill="FFFFFF"/>
            <w:vAlign w:val="center"/>
          </w:tcPr>
          <w:p w14:paraId="531D7A7B" w14:textId="4B31A116" w:rsidR="009D7D1A" w:rsidRPr="00172374" w:rsidRDefault="009D7D1A" w:rsidP="00077542">
            <w:pPr>
              <w:tabs>
                <w:tab w:val="left" w:pos="284"/>
              </w:tabs>
              <w:spacing w:after="60"/>
              <w:jc w:val="both"/>
              <w:rPr>
                <w:rFonts w:eastAsia="Times New Roman"/>
                <w:b/>
                <w:bCs/>
              </w:rPr>
            </w:pPr>
            <w:r w:rsidRPr="00172374">
              <w:rPr>
                <w:rFonts w:eastAsia="Times New Roman"/>
                <w:b/>
                <w:bCs/>
              </w:rPr>
              <w:lastRenderedPageBreak/>
              <w:br w:type="page"/>
              <w:t xml:space="preserve">Table </w:t>
            </w:r>
            <w:r w:rsidR="009C55D7" w:rsidRPr="00172374">
              <w:rPr>
                <w:rFonts w:eastAsia="Times New Roman"/>
                <w:b/>
                <w:bCs/>
              </w:rPr>
              <w:t>4</w:t>
            </w:r>
          </w:p>
          <w:p w14:paraId="2CF0B3A0" w14:textId="34E196B8" w:rsidR="009D7D1A" w:rsidRPr="00172374" w:rsidRDefault="009D7D1A" w:rsidP="00077542">
            <w:pPr>
              <w:tabs>
                <w:tab w:val="left" w:pos="284"/>
              </w:tabs>
              <w:spacing w:after="60"/>
              <w:jc w:val="both"/>
              <w:rPr>
                <w:rFonts w:eastAsia="Times New Roman"/>
                <w:b/>
                <w:bCs/>
              </w:rPr>
            </w:pPr>
            <w:bookmarkStart w:id="46" w:name="_Hlk32255492"/>
            <w:r w:rsidRPr="00172374">
              <w:rPr>
                <w:rFonts w:eastAsia="Times New Roman"/>
                <w:bCs/>
              </w:rPr>
              <w:t>Scale development process</w:t>
            </w:r>
            <w:bookmarkEnd w:id="46"/>
            <w:r w:rsidR="00212CAF" w:rsidRPr="00172374">
              <w:rPr>
                <w:rFonts w:eastAsia="Times New Roman"/>
                <w:bCs/>
              </w:rPr>
              <w:t>.</w:t>
            </w:r>
          </w:p>
        </w:tc>
      </w:tr>
      <w:tr w:rsidR="009D7D1A" w:rsidRPr="00172374" w14:paraId="6F2834C8" w14:textId="77777777" w:rsidTr="007A0AEE">
        <w:tc>
          <w:tcPr>
            <w:tcW w:w="3686" w:type="dxa"/>
            <w:tcBorders>
              <w:top w:val="single" w:sz="4" w:space="0" w:color="auto"/>
              <w:left w:val="nil"/>
              <w:bottom w:val="single" w:sz="4" w:space="0" w:color="auto"/>
              <w:right w:val="nil"/>
            </w:tcBorders>
            <w:shd w:val="clear" w:color="auto" w:fill="FFFFFF"/>
            <w:vAlign w:val="center"/>
          </w:tcPr>
          <w:p w14:paraId="76F15F74" w14:textId="77777777" w:rsidR="009D7D1A" w:rsidRPr="00172374" w:rsidRDefault="009D7D1A" w:rsidP="00CF7CBC">
            <w:pPr>
              <w:tabs>
                <w:tab w:val="left" w:pos="284"/>
              </w:tabs>
              <w:spacing w:before="60" w:after="60"/>
              <w:rPr>
                <w:rFonts w:eastAsia="Times New Roman"/>
                <w:b/>
                <w:sz w:val="22"/>
                <w:szCs w:val="22"/>
              </w:rPr>
            </w:pPr>
            <w:r w:rsidRPr="00172374">
              <w:rPr>
                <w:rFonts w:eastAsia="Times New Roman"/>
                <w:b/>
                <w:sz w:val="22"/>
                <w:szCs w:val="22"/>
              </w:rPr>
              <w:t>Stages of scale development process</w:t>
            </w:r>
          </w:p>
        </w:tc>
        <w:tc>
          <w:tcPr>
            <w:tcW w:w="5528" w:type="dxa"/>
            <w:tcBorders>
              <w:top w:val="single" w:sz="4" w:space="0" w:color="auto"/>
              <w:left w:val="nil"/>
              <w:bottom w:val="single" w:sz="4" w:space="0" w:color="auto"/>
              <w:right w:val="nil"/>
            </w:tcBorders>
            <w:shd w:val="clear" w:color="auto" w:fill="FFFFFF"/>
          </w:tcPr>
          <w:p w14:paraId="24E7E425" w14:textId="77777777" w:rsidR="009D7D1A" w:rsidRPr="00172374" w:rsidRDefault="009D7D1A" w:rsidP="00CF7CBC">
            <w:pPr>
              <w:tabs>
                <w:tab w:val="left" w:pos="284"/>
              </w:tabs>
              <w:spacing w:before="60" w:after="60"/>
              <w:rPr>
                <w:rFonts w:eastAsia="Times New Roman"/>
                <w:b/>
                <w:sz w:val="22"/>
                <w:szCs w:val="22"/>
              </w:rPr>
            </w:pPr>
            <w:r w:rsidRPr="00172374">
              <w:rPr>
                <w:rFonts w:eastAsia="Times New Roman"/>
                <w:b/>
                <w:sz w:val="22"/>
                <w:szCs w:val="22"/>
              </w:rPr>
              <w:t>Details</w:t>
            </w:r>
          </w:p>
        </w:tc>
      </w:tr>
      <w:tr w:rsidR="009D7D1A" w:rsidRPr="00172374" w14:paraId="483F16A7" w14:textId="77777777" w:rsidTr="007A0AEE">
        <w:tc>
          <w:tcPr>
            <w:tcW w:w="3686" w:type="dxa"/>
            <w:tcBorders>
              <w:top w:val="single" w:sz="4" w:space="0" w:color="auto"/>
            </w:tcBorders>
            <w:shd w:val="clear" w:color="auto" w:fill="FFFFFF"/>
          </w:tcPr>
          <w:p w14:paraId="747DD896" w14:textId="77777777" w:rsidR="009D7D1A" w:rsidRPr="00172374" w:rsidRDefault="0096635F" w:rsidP="00726BDB">
            <w:pPr>
              <w:tabs>
                <w:tab w:val="left" w:pos="284"/>
              </w:tabs>
              <w:rPr>
                <w:rFonts w:eastAsia="Times New Roman"/>
                <w:b/>
                <w:bCs/>
                <w:sz w:val="20"/>
              </w:rPr>
            </w:pPr>
            <w:r w:rsidRPr="00172374">
              <w:rPr>
                <w:rFonts w:eastAsia="Times New Roman"/>
                <w:b/>
                <w:bCs/>
                <w:sz w:val="20"/>
              </w:rPr>
              <w:t xml:space="preserve">Study 1: Construct definition and content domain </w:t>
            </w:r>
          </w:p>
          <w:p w14:paraId="1AEADD1E" w14:textId="77777777" w:rsidR="009D7D1A" w:rsidRPr="00172374" w:rsidRDefault="009D7D1A" w:rsidP="00726BDB">
            <w:pPr>
              <w:tabs>
                <w:tab w:val="left" w:pos="284"/>
              </w:tabs>
              <w:rPr>
                <w:rFonts w:eastAsia="Times New Roman"/>
                <w:b/>
                <w:bCs/>
                <w:sz w:val="20"/>
              </w:rPr>
            </w:pPr>
          </w:p>
          <w:p w14:paraId="3F318DA8" w14:textId="77777777" w:rsidR="009D7D1A" w:rsidRPr="00172374" w:rsidRDefault="009D7D1A" w:rsidP="00726BDB">
            <w:pPr>
              <w:tabs>
                <w:tab w:val="left" w:pos="284"/>
              </w:tabs>
              <w:rPr>
                <w:rFonts w:eastAsia="Times New Roman"/>
                <w:b/>
                <w:bCs/>
                <w:sz w:val="20"/>
              </w:rPr>
            </w:pPr>
          </w:p>
          <w:p w14:paraId="6B1443FD" w14:textId="77777777" w:rsidR="009D7D1A" w:rsidRPr="00172374" w:rsidRDefault="009D7D1A" w:rsidP="00726BDB">
            <w:pPr>
              <w:tabs>
                <w:tab w:val="left" w:pos="284"/>
              </w:tabs>
              <w:rPr>
                <w:rFonts w:eastAsia="Times New Roman"/>
                <w:b/>
                <w:bCs/>
                <w:sz w:val="20"/>
              </w:rPr>
            </w:pPr>
          </w:p>
          <w:p w14:paraId="03813893" w14:textId="77777777" w:rsidR="009D7D1A" w:rsidRPr="00172374" w:rsidRDefault="009D7D1A" w:rsidP="00726BDB">
            <w:pPr>
              <w:tabs>
                <w:tab w:val="left" w:pos="284"/>
              </w:tabs>
              <w:rPr>
                <w:rFonts w:eastAsia="Times New Roman"/>
                <w:b/>
                <w:bCs/>
                <w:sz w:val="20"/>
              </w:rPr>
            </w:pPr>
          </w:p>
          <w:p w14:paraId="0F641607" w14:textId="77777777" w:rsidR="009D7D1A" w:rsidRPr="00172374" w:rsidRDefault="009D7D1A" w:rsidP="00726BDB">
            <w:pPr>
              <w:tabs>
                <w:tab w:val="left" w:pos="284"/>
              </w:tabs>
              <w:rPr>
                <w:rFonts w:eastAsia="Times New Roman"/>
                <w:b/>
                <w:bCs/>
                <w:sz w:val="20"/>
              </w:rPr>
            </w:pPr>
          </w:p>
        </w:tc>
        <w:tc>
          <w:tcPr>
            <w:tcW w:w="5528" w:type="dxa"/>
            <w:tcBorders>
              <w:top w:val="single" w:sz="4" w:space="0" w:color="auto"/>
            </w:tcBorders>
            <w:shd w:val="clear" w:color="auto" w:fill="FFFFFF"/>
          </w:tcPr>
          <w:p w14:paraId="0DADCDFB" w14:textId="77777777" w:rsidR="009D7D1A" w:rsidRPr="00172374" w:rsidRDefault="009D7D1A" w:rsidP="008A5746">
            <w:pPr>
              <w:numPr>
                <w:ilvl w:val="0"/>
                <w:numId w:val="2"/>
              </w:numPr>
              <w:tabs>
                <w:tab w:val="left" w:pos="148"/>
              </w:tabs>
              <w:ind w:left="178" w:hanging="178"/>
              <w:contextualSpacing/>
              <w:rPr>
                <w:rFonts w:eastAsia="Times New Roman"/>
                <w:sz w:val="20"/>
              </w:rPr>
            </w:pPr>
            <w:r w:rsidRPr="00172374">
              <w:rPr>
                <w:rFonts w:eastAsia="Times New Roman"/>
                <w:sz w:val="20"/>
              </w:rPr>
              <w:t xml:space="preserve">17 </w:t>
            </w:r>
            <w:r w:rsidR="0096635F" w:rsidRPr="00172374">
              <w:rPr>
                <w:rFonts w:eastAsia="Times New Roman"/>
                <w:sz w:val="20"/>
              </w:rPr>
              <w:t xml:space="preserve">in-depth </w:t>
            </w:r>
            <w:r w:rsidR="00726BDB" w:rsidRPr="00172374">
              <w:rPr>
                <w:rFonts w:eastAsia="Times New Roman"/>
                <w:sz w:val="20"/>
              </w:rPr>
              <w:t>i</w:t>
            </w:r>
            <w:r w:rsidRPr="00172374">
              <w:rPr>
                <w:rFonts w:eastAsia="Times New Roman"/>
                <w:sz w:val="20"/>
              </w:rPr>
              <w:t>nterviews</w:t>
            </w:r>
          </w:p>
          <w:p w14:paraId="5FC3DBF1" w14:textId="77777777" w:rsidR="009D7D1A" w:rsidRPr="00172374" w:rsidRDefault="009D7D1A" w:rsidP="008A5746">
            <w:pPr>
              <w:numPr>
                <w:ilvl w:val="0"/>
                <w:numId w:val="2"/>
              </w:numPr>
              <w:tabs>
                <w:tab w:val="left" w:pos="148"/>
              </w:tabs>
              <w:ind w:left="178" w:hanging="178"/>
              <w:contextualSpacing/>
              <w:rPr>
                <w:rFonts w:eastAsia="Times New Roman"/>
                <w:sz w:val="20"/>
              </w:rPr>
            </w:pPr>
            <w:r w:rsidRPr="00172374">
              <w:rPr>
                <w:rFonts w:eastAsia="Times New Roman"/>
                <w:sz w:val="20"/>
              </w:rPr>
              <w:t xml:space="preserve">Qualitative analysis of interview transcripts </w:t>
            </w:r>
            <w:r w:rsidR="00DE5410" w:rsidRPr="00172374">
              <w:rPr>
                <w:rFonts w:eastAsia="Times New Roman"/>
                <w:sz w:val="20"/>
              </w:rPr>
              <w:t>to further clarify the construct and its dimensions</w:t>
            </w:r>
          </w:p>
          <w:p w14:paraId="77D98A82" w14:textId="77777777" w:rsidR="00726BDB" w:rsidRPr="00172374" w:rsidRDefault="00726BDB" w:rsidP="008A5746">
            <w:pPr>
              <w:numPr>
                <w:ilvl w:val="0"/>
                <w:numId w:val="2"/>
              </w:numPr>
              <w:tabs>
                <w:tab w:val="left" w:pos="148"/>
              </w:tabs>
              <w:ind w:left="178" w:hanging="178"/>
              <w:contextualSpacing/>
              <w:rPr>
                <w:rFonts w:eastAsia="Times New Roman"/>
                <w:sz w:val="20"/>
              </w:rPr>
            </w:pPr>
            <w:r w:rsidRPr="00172374">
              <w:rPr>
                <w:rFonts w:eastAsia="Times New Roman"/>
                <w:sz w:val="20"/>
              </w:rPr>
              <w:t xml:space="preserve">This process results in the confirmation of the four-dimensional construct according to the literature review </w:t>
            </w:r>
          </w:p>
          <w:p w14:paraId="6FA394E2" w14:textId="77777777" w:rsidR="009D7D1A" w:rsidRPr="00172374" w:rsidRDefault="00726BDB" w:rsidP="008A5746">
            <w:pPr>
              <w:numPr>
                <w:ilvl w:val="0"/>
                <w:numId w:val="2"/>
              </w:numPr>
              <w:tabs>
                <w:tab w:val="left" w:pos="148"/>
              </w:tabs>
              <w:ind w:left="178" w:hanging="178"/>
              <w:contextualSpacing/>
              <w:rPr>
                <w:rFonts w:eastAsia="Times New Roman"/>
                <w:sz w:val="20"/>
              </w:rPr>
            </w:pPr>
            <w:r w:rsidRPr="00172374">
              <w:rPr>
                <w:rFonts w:eastAsia="Times New Roman"/>
                <w:sz w:val="20"/>
              </w:rPr>
              <w:t>Formal d</w:t>
            </w:r>
            <w:r w:rsidR="009D7D1A" w:rsidRPr="00172374">
              <w:rPr>
                <w:rFonts w:eastAsia="Times New Roman"/>
                <w:sz w:val="20"/>
              </w:rPr>
              <w:t>efinitions of construct and its dimensions</w:t>
            </w:r>
          </w:p>
          <w:p w14:paraId="7193A573" w14:textId="77777777" w:rsidR="009D7D1A" w:rsidRPr="00172374" w:rsidRDefault="009D7D1A" w:rsidP="008A5746">
            <w:pPr>
              <w:tabs>
                <w:tab w:val="left" w:pos="148"/>
              </w:tabs>
              <w:ind w:left="178" w:hanging="178"/>
              <w:contextualSpacing/>
              <w:rPr>
                <w:rFonts w:eastAsia="Times New Roman"/>
                <w:sz w:val="20"/>
              </w:rPr>
            </w:pPr>
          </w:p>
        </w:tc>
      </w:tr>
      <w:tr w:rsidR="009D7D1A" w:rsidRPr="00172374" w14:paraId="4C57B7FF" w14:textId="77777777" w:rsidTr="00540876">
        <w:tc>
          <w:tcPr>
            <w:tcW w:w="3686" w:type="dxa"/>
            <w:tcBorders>
              <w:left w:val="nil"/>
              <w:right w:val="nil"/>
            </w:tcBorders>
            <w:shd w:val="clear" w:color="auto" w:fill="FFFFFF"/>
          </w:tcPr>
          <w:p w14:paraId="3754D178" w14:textId="77777777" w:rsidR="0096635F" w:rsidRPr="00172374" w:rsidRDefault="0096635F" w:rsidP="00726BDB">
            <w:pPr>
              <w:tabs>
                <w:tab w:val="left" w:pos="284"/>
              </w:tabs>
              <w:rPr>
                <w:rFonts w:eastAsia="Times New Roman"/>
                <w:b/>
                <w:bCs/>
                <w:sz w:val="20"/>
              </w:rPr>
            </w:pPr>
            <w:r w:rsidRPr="00172374">
              <w:rPr>
                <w:rFonts w:eastAsia="Times New Roman"/>
                <w:b/>
                <w:bCs/>
                <w:sz w:val="20"/>
              </w:rPr>
              <w:t xml:space="preserve">Study 2: Initial item generation and reduction </w:t>
            </w:r>
          </w:p>
          <w:p w14:paraId="4BF4C967" w14:textId="77777777" w:rsidR="0096635F" w:rsidRPr="00172374" w:rsidRDefault="0096635F" w:rsidP="00726BDB">
            <w:pPr>
              <w:tabs>
                <w:tab w:val="left" w:pos="284"/>
              </w:tabs>
              <w:rPr>
                <w:rFonts w:eastAsia="Times New Roman"/>
                <w:b/>
                <w:bCs/>
                <w:sz w:val="20"/>
              </w:rPr>
            </w:pPr>
          </w:p>
          <w:p w14:paraId="08DF41F9" w14:textId="77777777" w:rsidR="0096635F" w:rsidRPr="00172374" w:rsidRDefault="0096635F" w:rsidP="00726BDB">
            <w:pPr>
              <w:tabs>
                <w:tab w:val="left" w:pos="284"/>
              </w:tabs>
              <w:rPr>
                <w:rFonts w:eastAsia="Times New Roman"/>
                <w:b/>
                <w:bCs/>
                <w:sz w:val="20"/>
              </w:rPr>
            </w:pPr>
          </w:p>
        </w:tc>
        <w:tc>
          <w:tcPr>
            <w:tcW w:w="5528" w:type="dxa"/>
            <w:tcBorders>
              <w:left w:val="nil"/>
              <w:right w:val="nil"/>
            </w:tcBorders>
            <w:shd w:val="clear" w:color="auto" w:fill="FFFFFF"/>
          </w:tcPr>
          <w:p w14:paraId="77F2A0DB" w14:textId="0950A5F2" w:rsidR="009D7D1A" w:rsidRPr="00172374" w:rsidRDefault="009D7D1A" w:rsidP="008A5746">
            <w:pPr>
              <w:numPr>
                <w:ilvl w:val="0"/>
                <w:numId w:val="3"/>
              </w:numPr>
              <w:tabs>
                <w:tab w:val="left" w:pos="148"/>
              </w:tabs>
              <w:ind w:left="178" w:hanging="178"/>
              <w:contextualSpacing/>
              <w:rPr>
                <w:rFonts w:eastAsia="Times New Roman"/>
                <w:sz w:val="20"/>
              </w:rPr>
            </w:pPr>
            <w:r w:rsidRPr="00172374">
              <w:rPr>
                <w:rFonts w:eastAsia="Times New Roman"/>
                <w:sz w:val="20"/>
              </w:rPr>
              <w:t xml:space="preserve">Generation of 56 items based on the </w:t>
            </w:r>
            <w:r w:rsidR="00212CAF" w:rsidRPr="00172374">
              <w:rPr>
                <w:rFonts w:eastAsia="Times New Roman"/>
                <w:sz w:val="20"/>
              </w:rPr>
              <w:t>four</w:t>
            </w:r>
            <w:r w:rsidRPr="00172374">
              <w:rPr>
                <w:rFonts w:eastAsia="Times New Roman"/>
                <w:sz w:val="20"/>
              </w:rPr>
              <w:t xml:space="preserve"> dimensions</w:t>
            </w:r>
          </w:p>
          <w:p w14:paraId="3211E2A0" w14:textId="77777777" w:rsidR="009D7D1A" w:rsidRPr="00172374" w:rsidRDefault="00726BDB" w:rsidP="008A5746">
            <w:pPr>
              <w:numPr>
                <w:ilvl w:val="0"/>
                <w:numId w:val="3"/>
              </w:numPr>
              <w:tabs>
                <w:tab w:val="left" w:pos="148"/>
              </w:tabs>
              <w:ind w:left="178" w:hanging="178"/>
              <w:contextualSpacing/>
              <w:rPr>
                <w:rFonts w:eastAsia="Times New Roman"/>
                <w:sz w:val="20"/>
              </w:rPr>
            </w:pPr>
            <w:r w:rsidRPr="00172374">
              <w:rPr>
                <w:rFonts w:eastAsia="Times New Roman"/>
                <w:sz w:val="20"/>
              </w:rPr>
              <w:t xml:space="preserve">We retain </w:t>
            </w:r>
            <w:r w:rsidR="009D7D1A" w:rsidRPr="00172374">
              <w:rPr>
                <w:rFonts w:eastAsia="Times New Roman"/>
                <w:sz w:val="20"/>
              </w:rPr>
              <w:t xml:space="preserve">40 items after initial screening, content and face validity </w:t>
            </w:r>
            <w:proofErr w:type="gramStart"/>
            <w:r w:rsidR="009D7D1A" w:rsidRPr="00172374">
              <w:rPr>
                <w:rFonts w:eastAsia="Times New Roman"/>
                <w:sz w:val="20"/>
              </w:rPr>
              <w:t>check</w:t>
            </w:r>
            <w:proofErr w:type="gramEnd"/>
          </w:p>
          <w:p w14:paraId="732FF1B5" w14:textId="38445863" w:rsidR="009D7D1A" w:rsidRPr="00172374" w:rsidRDefault="009D7D1A" w:rsidP="008A5746">
            <w:pPr>
              <w:numPr>
                <w:ilvl w:val="0"/>
                <w:numId w:val="3"/>
              </w:numPr>
              <w:tabs>
                <w:tab w:val="left" w:pos="148"/>
              </w:tabs>
              <w:ind w:left="178" w:hanging="178"/>
              <w:contextualSpacing/>
              <w:rPr>
                <w:rFonts w:eastAsia="Times New Roman"/>
                <w:sz w:val="20"/>
              </w:rPr>
            </w:pPr>
            <w:r w:rsidRPr="00172374">
              <w:rPr>
                <w:rFonts w:eastAsia="Times New Roman"/>
                <w:sz w:val="20"/>
              </w:rPr>
              <w:t xml:space="preserve">10 expert marketing practitioners and </w:t>
            </w:r>
            <w:r w:rsidR="00212CAF" w:rsidRPr="00172374">
              <w:rPr>
                <w:rFonts w:eastAsia="Times New Roman"/>
                <w:sz w:val="20"/>
              </w:rPr>
              <w:t>four</w:t>
            </w:r>
            <w:r w:rsidRPr="00172374">
              <w:rPr>
                <w:rFonts w:eastAsia="Times New Roman"/>
                <w:sz w:val="20"/>
              </w:rPr>
              <w:t xml:space="preserve"> marketing faculty members judge items </w:t>
            </w:r>
            <w:r w:rsidR="00212CAF" w:rsidRPr="00172374">
              <w:rPr>
                <w:rFonts w:eastAsia="Times New Roman"/>
                <w:sz w:val="20"/>
              </w:rPr>
              <w:t xml:space="preserve">for </w:t>
            </w:r>
            <w:r w:rsidRPr="00172374">
              <w:rPr>
                <w:rFonts w:eastAsia="Times New Roman"/>
                <w:sz w:val="20"/>
              </w:rPr>
              <w:t xml:space="preserve">representativeness and clarity </w:t>
            </w:r>
          </w:p>
          <w:p w14:paraId="1158A7F0" w14:textId="30FF906D" w:rsidR="009D7D1A" w:rsidRPr="00172374" w:rsidRDefault="00726BDB" w:rsidP="008A5746">
            <w:pPr>
              <w:numPr>
                <w:ilvl w:val="0"/>
                <w:numId w:val="3"/>
              </w:numPr>
              <w:tabs>
                <w:tab w:val="left" w:pos="148"/>
              </w:tabs>
              <w:ind w:left="178" w:hanging="178"/>
              <w:contextualSpacing/>
              <w:rPr>
                <w:rFonts w:eastAsia="Times New Roman"/>
                <w:sz w:val="20"/>
              </w:rPr>
            </w:pPr>
            <w:r w:rsidRPr="00172374">
              <w:rPr>
                <w:rFonts w:eastAsia="Times New Roman"/>
                <w:sz w:val="20"/>
              </w:rPr>
              <w:t xml:space="preserve">We retain </w:t>
            </w:r>
            <w:r w:rsidR="009D7D1A" w:rsidRPr="00172374">
              <w:rPr>
                <w:rFonts w:eastAsia="Times New Roman"/>
                <w:sz w:val="20"/>
              </w:rPr>
              <w:t xml:space="preserve">25 items and </w:t>
            </w:r>
            <w:r w:rsidRPr="00172374">
              <w:rPr>
                <w:rFonts w:eastAsia="Times New Roman"/>
                <w:sz w:val="20"/>
              </w:rPr>
              <w:t xml:space="preserve">add </w:t>
            </w:r>
            <w:r w:rsidR="00212CAF" w:rsidRPr="00172374">
              <w:rPr>
                <w:rFonts w:eastAsia="Times New Roman"/>
                <w:sz w:val="20"/>
              </w:rPr>
              <w:t>two</w:t>
            </w:r>
            <w:r w:rsidR="009D7D1A" w:rsidRPr="00172374">
              <w:rPr>
                <w:rFonts w:eastAsia="Times New Roman"/>
                <w:sz w:val="20"/>
              </w:rPr>
              <w:t xml:space="preserve"> </w:t>
            </w:r>
            <w:r w:rsidRPr="00172374">
              <w:rPr>
                <w:rFonts w:eastAsia="Times New Roman"/>
                <w:sz w:val="20"/>
              </w:rPr>
              <w:t xml:space="preserve">new </w:t>
            </w:r>
            <w:r w:rsidR="009D7D1A" w:rsidRPr="00172374">
              <w:rPr>
                <w:rFonts w:eastAsia="Times New Roman"/>
                <w:sz w:val="20"/>
              </w:rPr>
              <w:t xml:space="preserve">items following experts’ suggestions </w:t>
            </w:r>
          </w:p>
          <w:p w14:paraId="112F6D58" w14:textId="575483DB" w:rsidR="009D7D1A" w:rsidRPr="00172374" w:rsidRDefault="00212CAF" w:rsidP="008A5746">
            <w:pPr>
              <w:numPr>
                <w:ilvl w:val="0"/>
                <w:numId w:val="3"/>
              </w:numPr>
              <w:tabs>
                <w:tab w:val="left" w:pos="148"/>
              </w:tabs>
              <w:ind w:left="178" w:hanging="178"/>
              <w:contextualSpacing/>
              <w:rPr>
                <w:rFonts w:eastAsia="Times New Roman"/>
                <w:sz w:val="20"/>
              </w:rPr>
            </w:pPr>
            <w:r w:rsidRPr="00172374">
              <w:rPr>
                <w:rFonts w:eastAsia="Times New Roman"/>
                <w:sz w:val="20"/>
              </w:rPr>
              <w:t>Five</w:t>
            </w:r>
            <w:r w:rsidR="009D7D1A" w:rsidRPr="00172374">
              <w:rPr>
                <w:rFonts w:eastAsia="Times New Roman"/>
                <w:sz w:val="20"/>
              </w:rPr>
              <w:t xml:space="preserve"> marketing doctoral researchers judge items for dimensionality</w:t>
            </w:r>
          </w:p>
          <w:p w14:paraId="63828390" w14:textId="77777777" w:rsidR="009D7D1A" w:rsidRPr="00172374" w:rsidRDefault="00726BDB" w:rsidP="008A5746">
            <w:pPr>
              <w:numPr>
                <w:ilvl w:val="0"/>
                <w:numId w:val="3"/>
              </w:numPr>
              <w:tabs>
                <w:tab w:val="left" w:pos="148"/>
              </w:tabs>
              <w:ind w:left="178" w:hanging="178"/>
              <w:contextualSpacing/>
              <w:rPr>
                <w:rFonts w:eastAsia="Times New Roman"/>
                <w:sz w:val="20"/>
              </w:rPr>
            </w:pPr>
            <w:r w:rsidRPr="00172374">
              <w:rPr>
                <w:rFonts w:eastAsia="Times New Roman"/>
                <w:sz w:val="20"/>
              </w:rPr>
              <w:t xml:space="preserve">We retain </w:t>
            </w:r>
            <w:r w:rsidR="009D7D1A" w:rsidRPr="00172374">
              <w:rPr>
                <w:rFonts w:eastAsia="Times New Roman"/>
                <w:sz w:val="20"/>
              </w:rPr>
              <w:t>27 items for the next step</w:t>
            </w:r>
          </w:p>
          <w:p w14:paraId="20FE06CD" w14:textId="77777777" w:rsidR="009D7D1A" w:rsidRPr="00172374" w:rsidRDefault="009D7D1A" w:rsidP="008A5746">
            <w:pPr>
              <w:tabs>
                <w:tab w:val="left" w:pos="148"/>
              </w:tabs>
              <w:ind w:left="178" w:hanging="178"/>
              <w:contextualSpacing/>
              <w:rPr>
                <w:rFonts w:eastAsia="Times New Roman"/>
                <w:sz w:val="20"/>
              </w:rPr>
            </w:pPr>
          </w:p>
        </w:tc>
      </w:tr>
      <w:tr w:rsidR="009D7D1A" w:rsidRPr="00172374" w14:paraId="1DAFA982" w14:textId="77777777" w:rsidTr="00540876">
        <w:tc>
          <w:tcPr>
            <w:tcW w:w="3686" w:type="dxa"/>
            <w:shd w:val="clear" w:color="auto" w:fill="FFFFFF"/>
          </w:tcPr>
          <w:p w14:paraId="5C3A7D17" w14:textId="77777777" w:rsidR="009D7D1A" w:rsidRPr="00172374" w:rsidRDefault="0096635F" w:rsidP="00726BDB">
            <w:pPr>
              <w:tabs>
                <w:tab w:val="left" w:pos="284"/>
              </w:tabs>
              <w:rPr>
                <w:rFonts w:eastAsia="Times New Roman"/>
                <w:b/>
                <w:bCs/>
                <w:sz w:val="20"/>
              </w:rPr>
            </w:pPr>
            <w:r w:rsidRPr="00172374">
              <w:rPr>
                <w:rFonts w:eastAsia="Times New Roman"/>
                <w:b/>
                <w:bCs/>
                <w:sz w:val="20"/>
              </w:rPr>
              <w:t xml:space="preserve">Study 3: Scale purification </w:t>
            </w:r>
          </w:p>
        </w:tc>
        <w:tc>
          <w:tcPr>
            <w:tcW w:w="5528" w:type="dxa"/>
            <w:shd w:val="clear" w:color="auto" w:fill="FFFFFF"/>
          </w:tcPr>
          <w:p w14:paraId="4ADDB1D3" w14:textId="77777777" w:rsidR="009D7D1A" w:rsidRPr="00172374" w:rsidRDefault="009D7D1A" w:rsidP="008A5746">
            <w:pPr>
              <w:numPr>
                <w:ilvl w:val="0"/>
                <w:numId w:val="4"/>
              </w:numPr>
              <w:tabs>
                <w:tab w:val="left" w:pos="148"/>
              </w:tabs>
              <w:ind w:left="178" w:hanging="178"/>
              <w:contextualSpacing/>
              <w:rPr>
                <w:rFonts w:eastAsia="Times New Roman"/>
                <w:sz w:val="20"/>
              </w:rPr>
            </w:pPr>
            <w:r w:rsidRPr="00172374">
              <w:rPr>
                <w:rFonts w:eastAsia="Times New Roman"/>
                <w:sz w:val="20"/>
              </w:rPr>
              <w:t xml:space="preserve">Survey to 134 </w:t>
            </w:r>
            <w:r w:rsidR="00726BDB" w:rsidRPr="00172374">
              <w:rPr>
                <w:rFonts w:eastAsia="Times New Roman"/>
                <w:sz w:val="20"/>
              </w:rPr>
              <w:t>managers</w:t>
            </w:r>
          </w:p>
          <w:p w14:paraId="35FBB6A8" w14:textId="77777777" w:rsidR="009D7D1A" w:rsidRPr="00172374" w:rsidRDefault="009D7D1A" w:rsidP="008A5746">
            <w:pPr>
              <w:numPr>
                <w:ilvl w:val="0"/>
                <w:numId w:val="4"/>
              </w:numPr>
              <w:tabs>
                <w:tab w:val="left" w:pos="148"/>
              </w:tabs>
              <w:ind w:left="178" w:hanging="178"/>
              <w:contextualSpacing/>
              <w:rPr>
                <w:rFonts w:eastAsia="Times New Roman"/>
                <w:sz w:val="20"/>
              </w:rPr>
            </w:pPr>
            <w:r w:rsidRPr="00172374">
              <w:rPr>
                <w:rFonts w:eastAsia="Times New Roman"/>
                <w:sz w:val="20"/>
              </w:rPr>
              <w:t>21 items meet the psychometric criteria for the next step</w:t>
            </w:r>
          </w:p>
          <w:p w14:paraId="149B1E0E" w14:textId="77777777" w:rsidR="00726BDB" w:rsidRPr="00172374" w:rsidRDefault="00726BDB" w:rsidP="008A5746">
            <w:pPr>
              <w:numPr>
                <w:ilvl w:val="0"/>
                <w:numId w:val="4"/>
              </w:numPr>
              <w:tabs>
                <w:tab w:val="left" w:pos="148"/>
              </w:tabs>
              <w:ind w:left="178" w:hanging="178"/>
              <w:contextualSpacing/>
              <w:rPr>
                <w:rFonts w:eastAsia="Times New Roman"/>
                <w:sz w:val="20"/>
              </w:rPr>
            </w:pPr>
            <w:r w:rsidRPr="00172374">
              <w:rPr>
                <w:rFonts w:eastAsia="Times New Roman"/>
                <w:sz w:val="20"/>
              </w:rPr>
              <w:t>Initial reliability assessment</w:t>
            </w:r>
          </w:p>
          <w:p w14:paraId="1DDCBC74" w14:textId="77777777" w:rsidR="00726BDB" w:rsidRPr="00172374" w:rsidRDefault="00726BDB" w:rsidP="008A5746">
            <w:pPr>
              <w:numPr>
                <w:ilvl w:val="0"/>
                <w:numId w:val="4"/>
              </w:numPr>
              <w:tabs>
                <w:tab w:val="left" w:pos="148"/>
              </w:tabs>
              <w:ind w:left="178" w:hanging="178"/>
              <w:contextualSpacing/>
              <w:rPr>
                <w:rFonts w:eastAsia="Times New Roman"/>
                <w:sz w:val="20"/>
              </w:rPr>
            </w:pPr>
            <w:r w:rsidRPr="00172374">
              <w:rPr>
                <w:rFonts w:eastAsia="Times New Roman"/>
                <w:sz w:val="20"/>
              </w:rPr>
              <w:t>Dimensionality assessment</w:t>
            </w:r>
          </w:p>
          <w:p w14:paraId="38367EEA" w14:textId="77777777" w:rsidR="00726BDB" w:rsidRPr="00172374" w:rsidRDefault="00726BDB" w:rsidP="008A5746">
            <w:pPr>
              <w:tabs>
                <w:tab w:val="left" w:pos="148"/>
              </w:tabs>
              <w:ind w:left="178" w:hanging="178"/>
              <w:contextualSpacing/>
              <w:rPr>
                <w:rFonts w:eastAsia="Times New Roman"/>
                <w:sz w:val="20"/>
              </w:rPr>
            </w:pPr>
          </w:p>
        </w:tc>
      </w:tr>
      <w:tr w:rsidR="00265686" w:rsidRPr="00172374" w14:paraId="2DEC0634" w14:textId="77777777" w:rsidTr="007A0AEE">
        <w:tc>
          <w:tcPr>
            <w:tcW w:w="3686" w:type="dxa"/>
            <w:tcBorders>
              <w:bottom w:val="nil"/>
            </w:tcBorders>
            <w:shd w:val="clear" w:color="auto" w:fill="FFFFFF"/>
          </w:tcPr>
          <w:p w14:paraId="7706932D" w14:textId="77777777" w:rsidR="0096635F" w:rsidRPr="00172374" w:rsidRDefault="0096635F" w:rsidP="00726BDB">
            <w:pPr>
              <w:tabs>
                <w:tab w:val="left" w:pos="284"/>
              </w:tabs>
              <w:rPr>
                <w:rFonts w:eastAsia="Times New Roman"/>
                <w:b/>
                <w:bCs/>
                <w:sz w:val="20"/>
              </w:rPr>
            </w:pPr>
            <w:r w:rsidRPr="00172374">
              <w:rPr>
                <w:rFonts w:eastAsia="Times New Roman"/>
                <w:b/>
                <w:bCs/>
                <w:sz w:val="20"/>
              </w:rPr>
              <w:t xml:space="preserve">Study 4: Scale comparison with existing measures </w:t>
            </w:r>
          </w:p>
          <w:p w14:paraId="524912F8" w14:textId="77777777" w:rsidR="00265686" w:rsidRPr="00172374" w:rsidRDefault="00265686" w:rsidP="00726BDB">
            <w:pPr>
              <w:tabs>
                <w:tab w:val="left" w:pos="284"/>
              </w:tabs>
              <w:rPr>
                <w:rFonts w:eastAsia="Times New Roman"/>
                <w:b/>
                <w:bCs/>
                <w:sz w:val="20"/>
              </w:rPr>
            </w:pPr>
          </w:p>
          <w:p w14:paraId="5869840B" w14:textId="77777777" w:rsidR="00265686" w:rsidRPr="00172374" w:rsidRDefault="00265686" w:rsidP="00726BDB">
            <w:pPr>
              <w:tabs>
                <w:tab w:val="left" w:pos="284"/>
              </w:tabs>
              <w:contextualSpacing/>
              <w:rPr>
                <w:rFonts w:eastAsia="Times New Roman"/>
                <w:b/>
                <w:bCs/>
                <w:sz w:val="20"/>
              </w:rPr>
            </w:pPr>
          </w:p>
        </w:tc>
        <w:tc>
          <w:tcPr>
            <w:tcW w:w="5528" w:type="dxa"/>
            <w:tcBorders>
              <w:bottom w:val="nil"/>
            </w:tcBorders>
            <w:shd w:val="clear" w:color="auto" w:fill="FFFFFF"/>
          </w:tcPr>
          <w:p w14:paraId="62FB6C91" w14:textId="77777777" w:rsidR="00265686" w:rsidRPr="00172374" w:rsidRDefault="00265686" w:rsidP="008A5746">
            <w:pPr>
              <w:numPr>
                <w:ilvl w:val="0"/>
                <w:numId w:val="4"/>
              </w:numPr>
              <w:tabs>
                <w:tab w:val="left" w:pos="148"/>
              </w:tabs>
              <w:ind w:left="178" w:hanging="178"/>
              <w:contextualSpacing/>
              <w:rPr>
                <w:rFonts w:eastAsia="Times New Roman"/>
                <w:sz w:val="20"/>
              </w:rPr>
            </w:pPr>
            <w:r w:rsidRPr="00172374">
              <w:rPr>
                <w:rFonts w:eastAsia="Times New Roman"/>
                <w:sz w:val="20"/>
              </w:rPr>
              <w:t>Survey to 118 marketing</w:t>
            </w:r>
            <w:r w:rsidR="00726BDB" w:rsidRPr="00172374">
              <w:rPr>
                <w:rFonts w:eastAsia="Times New Roman"/>
                <w:sz w:val="20"/>
              </w:rPr>
              <w:t xml:space="preserve"> practitioners</w:t>
            </w:r>
          </w:p>
          <w:p w14:paraId="6280D6F5" w14:textId="77777777" w:rsidR="00265686" w:rsidRPr="00172374" w:rsidRDefault="00265686" w:rsidP="008A5746">
            <w:pPr>
              <w:numPr>
                <w:ilvl w:val="0"/>
                <w:numId w:val="4"/>
              </w:numPr>
              <w:tabs>
                <w:tab w:val="left" w:pos="148"/>
              </w:tabs>
              <w:ind w:left="178" w:hanging="178"/>
              <w:contextualSpacing/>
              <w:rPr>
                <w:rFonts w:eastAsia="Times New Roman"/>
                <w:sz w:val="20"/>
              </w:rPr>
            </w:pPr>
            <w:r w:rsidRPr="00172374">
              <w:rPr>
                <w:rFonts w:eastAsia="Times New Roman"/>
                <w:sz w:val="20"/>
              </w:rPr>
              <w:t xml:space="preserve">All 21 items meet the psychometric criteria </w:t>
            </w:r>
            <w:r w:rsidR="00726BDB" w:rsidRPr="00172374">
              <w:rPr>
                <w:rFonts w:eastAsia="Times New Roman"/>
                <w:sz w:val="20"/>
              </w:rPr>
              <w:t xml:space="preserve">for </w:t>
            </w:r>
            <w:r w:rsidRPr="00172374">
              <w:rPr>
                <w:rFonts w:eastAsia="Times New Roman"/>
                <w:sz w:val="20"/>
              </w:rPr>
              <w:t>validity tests</w:t>
            </w:r>
          </w:p>
          <w:p w14:paraId="03C35E82" w14:textId="605355BA" w:rsidR="00265686" w:rsidRPr="00172374" w:rsidRDefault="00726BDB" w:rsidP="008A5746">
            <w:pPr>
              <w:numPr>
                <w:ilvl w:val="0"/>
                <w:numId w:val="4"/>
              </w:numPr>
              <w:tabs>
                <w:tab w:val="left" w:pos="148"/>
              </w:tabs>
              <w:ind w:left="178" w:hanging="178"/>
              <w:contextualSpacing/>
              <w:rPr>
                <w:rFonts w:eastAsia="Times New Roman"/>
                <w:sz w:val="20"/>
              </w:rPr>
            </w:pPr>
            <w:r w:rsidRPr="00172374">
              <w:rPr>
                <w:rFonts w:eastAsia="Times New Roman"/>
                <w:sz w:val="20"/>
              </w:rPr>
              <w:t>We compare the</w:t>
            </w:r>
            <w:r w:rsidR="00265686" w:rsidRPr="00172374">
              <w:rPr>
                <w:rFonts w:eastAsia="Times New Roman"/>
                <w:sz w:val="20"/>
              </w:rPr>
              <w:t xml:space="preserve"> new scale </w:t>
            </w:r>
            <w:r w:rsidR="00212CAF" w:rsidRPr="00172374">
              <w:rPr>
                <w:rFonts w:eastAsia="Times New Roman"/>
                <w:sz w:val="20"/>
              </w:rPr>
              <w:t xml:space="preserve">with </w:t>
            </w:r>
            <w:r w:rsidR="00265686" w:rsidRPr="00172374">
              <w:rPr>
                <w:rFonts w:eastAsia="Times New Roman"/>
                <w:sz w:val="20"/>
              </w:rPr>
              <w:t xml:space="preserve">existing measures </w:t>
            </w:r>
          </w:p>
          <w:p w14:paraId="790D4B1C" w14:textId="77777777" w:rsidR="00726BDB" w:rsidRPr="00172374" w:rsidRDefault="00726BDB" w:rsidP="008A5746">
            <w:pPr>
              <w:numPr>
                <w:ilvl w:val="0"/>
                <w:numId w:val="4"/>
              </w:numPr>
              <w:tabs>
                <w:tab w:val="left" w:pos="148"/>
              </w:tabs>
              <w:ind w:left="178" w:hanging="178"/>
              <w:contextualSpacing/>
              <w:rPr>
                <w:rFonts w:eastAsia="Times New Roman"/>
                <w:sz w:val="20"/>
              </w:rPr>
            </w:pPr>
            <w:r w:rsidRPr="00172374">
              <w:rPr>
                <w:rFonts w:eastAsia="Times New Roman"/>
                <w:sz w:val="20"/>
              </w:rPr>
              <w:t>Convergent validity</w:t>
            </w:r>
          </w:p>
          <w:p w14:paraId="0E075F9F" w14:textId="77777777" w:rsidR="00726BDB" w:rsidRPr="00172374" w:rsidRDefault="00726BDB" w:rsidP="008A5746">
            <w:pPr>
              <w:numPr>
                <w:ilvl w:val="0"/>
                <w:numId w:val="4"/>
              </w:numPr>
              <w:tabs>
                <w:tab w:val="left" w:pos="148"/>
              </w:tabs>
              <w:ind w:left="178" w:hanging="178"/>
              <w:contextualSpacing/>
              <w:rPr>
                <w:rFonts w:eastAsia="Times New Roman"/>
                <w:sz w:val="20"/>
              </w:rPr>
            </w:pPr>
            <w:r w:rsidRPr="00172374">
              <w:rPr>
                <w:rFonts w:eastAsia="Times New Roman"/>
                <w:sz w:val="20"/>
              </w:rPr>
              <w:t>Discriminant validity</w:t>
            </w:r>
          </w:p>
          <w:p w14:paraId="4BEC0059" w14:textId="77777777" w:rsidR="00726BDB" w:rsidRPr="00172374" w:rsidRDefault="00726BDB" w:rsidP="008A5746">
            <w:pPr>
              <w:numPr>
                <w:ilvl w:val="0"/>
                <w:numId w:val="4"/>
              </w:numPr>
              <w:tabs>
                <w:tab w:val="left" w:pos="148"/>
              </w:tabs>
              <w:ind w:left="178" w:hanging="178"/>
              <w:contextualSpacing/>
              <w:rPr>
                <w:rFonts w:eastAsia="Times New Roman"/>
                <w:sz w:val="20"/>
              </w:rPr>
            </w:pPr>
            <w:r w:rsidRPr="00172374">
              <w:rPr>
                <w:rFonts w:eastAsia="Times New Roman"/>
                <w:sz w:val="20"/>
              </w:rPr>
              <w:t>Predictive validity</w:t>
            </w:r>
          </w:p>
          <w:p w14:paraId="37D628E7" w14:textId="77777777" w:rsidR="00726BDB" w:rsidRPr="00172374" w:rsidRDefault="00726BDB" w:rsidP="008A5746">
            <w:pPr>
              <w:tabs>
                <w:tab w:val="left" w:pos="148"/>
              </w:tabs>
              <w:ind w:left="178" w:hanging="178"/>
              <w:contextualSpacing/>
              <w:rPr>
                <w:rFonts w:eastAsia="Times New Roman"/>
                <w:sz w:val="20"/>
              </w:rPr>
            </w:pPr>
          </w:p>
        </w:tc>
      </w:tr>
      <w:tr w:rsidR="009D7D1A" w:rsidRPr="00172374" w14:paraId="46E2174A" w14:textId="77777777" w:rsidTr="007A0AEE">
        <w:tc>
          <w:tcPr>
            <w:tcW w:w="3686" w:type="dxa"/>
            <w:tcBorders>
              <w:top w:val="nil"/>
              <w:left w:val="nil"/>
              <w:bottom w:val="single" w:sz="4" w:space="0" w:color="auto"/>
              <w:right w:val="nil"/>
            </w:tcBorders>
            <w:shd w:val="clear" w:color="auto" w:fill="FFFFFF"/>
          </w:tcPr>
          <w:p w14:paraId="52B6BC07" w14:textId="77777777" w:rsidR="0096635F" w:rsidRPr="00172374" w:rsidRDefault="0096635F" w:rsidP="00726BDB">
            <w:pPr>
              <w:tabs>
                <w:tab w:val="left" w:pos="284"/>
              </w:tabs>
              <w:rPr>
                <w:rFonts w:eastAsia="Times New Roman"/>
                <w:b/>
                <w:bCs/>
                <w:sz w:val="20"/>
              </w:rPr>
            </w:pPr>
            <w:r w:rsidRPr="00172374">
              <w:rPr>
                <w:rFonts w:eastAsia="Times New Roman"/>
                <w:b/>
                <w:bCs/>
                <w:sz w:val="20"/>
              </w:rPr>
              <w:t xml:space="preserve">Study 5: Construct validation </w:t>
            </w:r>
          </w:p>
          <w:p w14:paraId="475828CB" w14:textId="77777777" w:rsidR="009D7D1A" w:rsidRPr="00172374" w:rsidRDefault="009D7D1A" w:rsidP="00E22DCA">
            <w:pPr>
              <w:tabs>
                <w:tab w:val="left" w:pos="284"/>
              </w:tabs>
              <w:ind w:left="720"/>
              <w:contextualSpacing/>
              <w:rPr>
                <w:rFonts w:eastAsia="Times New Roman"/>
                <w:b/>
                <w:bCs/>
                <w:sz w:val="20"/>
              </w:rPr>
            </w:pPr>
          </w:p>
        </w:tc>
        <w:tc>
          <w:tcPr>
            <w:tcW w:w="5528" w:type="dxa"/>
            <w:tcBorders>
              <w:top w:val="nil"/>
              <w:left w:val="nil"/>
              <w:bottom w:val="single" w:sz="4" w:space="0" w:color="auto"/>
              <w:right w:val="nil"/>
            </w:tcBorders>
            <w:shd w:val="clear" w:color="auto" w:fill="FFFFFF"/>
          </w:tcPr>
          <w:p w14:paraId="1C21BBD4" w14:textId="77777777" w:rsidR="009D7D1A" w:rsidRPr="00172374" w:rsidRDefault="009D7D1A" w:rsidP="008A5746">
            <w:pPr>
              <w:numPr>
                <w:ilvl w:val="0"/>
                <w:numId w:val="6"/>
              </w:numPr>
              <w:tabs>
                <w:tab w:val="left" w:pos="148"/>
              </w:tabs>
              <w:ind w:left="178" w:hanging="178"/>
              <w:contextualSpacing/>
              <w:jc w:val="both"/>
              <w:rPr>
                <w:rFonts w:eastAsia="Times New Roman"/>
                <w:sz w:val="20"/>
              </w:rPr>
            </w:pPr>
            <w:r w:rsidRPr="00172374">
              <w:rPr>
                <w:rFonts w:eastAsia="Times New Roman"/>
                <w:sz w:val="20"/>
              </w:rPr>
              <w:t xml:space="preserve">Survey to 242 firms </w:t>
            </w:r>
          </w:p>
          <w:p w14:paraId="552F83D0" w14:textId="77777777" w:rsidR="009D7D1A" w:rsidRPr="00172374" w:rsidRDefault="009D7D1A" w:rsidP="008A5746">
            <w:pPr>
              <w:numPr>
                <w:ilvl w:val="0"/>
                <w:numId w:val="6"/>
              </w:numPr>
              <w:tabs>
                <w:tab w:val="left" w:pos="148"/>
              </w:tabs>
              <w:ind w:left="178" w:hanging="178"/>
              <w:contextualSpacing/>
              <w:rPr>
                <w:rFonts w:eastAsia="Times New Roman"/>
                <w:sz w:val="20"/>
              </w:rPr>
            </w:pPr>
            <w:r w:rsidRPr="00172374">
              <w:rPr>
                <w:rFonts w:eastAsia="Times New Roman"/>
                <w:sz w:val="20"/>
              </w:rPr>
              <w:t>All 21 items meet the psychometric criteria for validity tests</w:t>
            </w:r>
          </w:p>
          <w:p w14:paraId="1AE0AD90" w14:textId="77777777" w:rsidR="00E22DCA" w:rsidRPr="00172374" w:rsidRDefault="00E22DCA" w:rsidP="008A5746">
            <w:pPr>
              <w:numPr>
                <w:ilvl w:val="0"/>
                <w:numId w:val="6"/>
              </w:numPr>
              <w:tabs>
                <w:tab w:val="left" w:pos="148"/>
              </w:tabs>
              <w:ind w:left="178" w:hanging="178"/>
              <w:contextualSpacing/>
              <w:rPr>
                <w:rFonts w:eastAsia="Times New Roman"/>
                <w:sz w:val="20"/>
              </w:rPr>
            </w:pPr>
            <w:r w:rsidRPr="00172374">
              <w:rPr>
                <w:rFonts w:eastAsia="Times New Roman"/>
                <w:sz w:val="20"/>
              </w:rPr>
              <w:t xml:space="preserve">Internal reliability </w:t>
            </w:r>
          </w:p>
          <w:p w14:paraId="386F2F7A" w14:textId="780CB35B" w:rsidR="00E22DCA" w:rsidRPr="00172374" w:rsidRDefault="00E22DCA" w:rsidP="008A5746">
            <w:pPr>
              <w:numPr>
                <w:ilvl w:val="0"/>
                <w:numId w:val="6"/>
              </w:numPr>
              <w:tabs>
                <w:tab w:val="left" w:pos="148"/>
              </w:tabs>
              <w:ind w:left="178" w:hanging="178"/>
              <w:contextualSpacing/>
              <w:rPr>
                <w:rFonts w:eastAsia="Times New Roman"/>
                <w:sz w:val="20"/>
              </w:rPr>
            </w:pPr>
            <w:r w:rsidRPr="00172374">
              <w:rPr>
                <w:rFonts w:eastAsia="Times New Roman"/>
                <w:sz w:val="20"/>
              </w:rPr>
              <w:t>Convergent</w:t>
            </w:r>
            <w:r w:rsidR="00212CAF" w:rsidRPr="00172374">
              <w:rPr>
                <w:rFonts w:eastAsia="Times New Roman"/>
                <w:sz w:val="20"/>
              </w:rPr>
              <w:t xml:space="preserve"> and</w:t>
            </w:r>
            <w:r w:rsidRPr="00172374">
              <w:rPr>
                <w:rFonts w:eastAsia="Times New Roman"/>
                <w:sz w:val="20"/>
              </w:rPr>
              <w:t xml:space="preserve"> discriminant validity and construct dimensionality</w:t>
            </w:r>
          </w:p>
          <w:p w14:paraId="1C7D1DB6" w14:textId="77777777" w:rsidR="00E22DCA" w:rsidRPr="00172374" w:rsidRDefault="00E22DCA" w:rsidP="008A5746">
            <w:pPr>
              <w:numPr>
                <w:ilvl w:val="0"/>
                <w:numId w:val="6"/>
              </w:numPr>
              <w:tabs>
                <w:tab w:val="left" w:pos="148"/>
              </w:tabs>
              <w:ind w:left="178" w:hanging="178"/>
              <w:contextualSpacing/>
              <w:rPr>
                <w:rFonts w:eastAsia="Times New Roman"/>
                <w:sz w:val="20"/>
              </w:rPr>
            </w:pPr>
            <w:r w:rsidRPr="00172374">
              <w:rPr>
                <w:rFonts w:eastAsia="Times New Roman"/>
                <w:sz w:val="20"/>
              </w:rPr>
              <w:t>Known-group validity</w:t>
            </w:r>
          </w:p>
          <w:p w14:paraId="06E9800D" w14:textId="77777777" w:rsidR="009D7D1A" w:rsidRPr="00172374" w:rsidRDefault="00E22DCA" w:rsidP="008A5746">
            <w:pPr>
              <w:numPr>
                <w:ilvl w:val="0"/>
                <w:numId w:val="6"/>
              </w:numPr>
              <w:tabs>
                <w:tab w:val="left" w:pos="148"/>
              </w:tabs>
              <w:ind w:left="178" w:hanging="178"/>
              <w:contextualSpacing/>
              <w:rPr>
                <w:rFonts w:eastAsia="Times New Roman"/>
                <w:sz w:val="20"/>
              </w:rPr>
            </w:pPr>
            <w:r w:rsidRPr="00172374">
              <w:rPr>
                <w:rFonts w:eastAsia="Times New Roman"/>
                <w:sz w:val="20"/>
              </w:rPr>
              <w:t>Nomological validity</w:t>
            </w:r>
          </w:p>
        </w:tc>
      </w:tr>
    </w:tbl>
    <w:p w14:paraId="6AA43DEF" w14:textId="77777777" w:rsidR="007F5252" w:rsidRPr="00172374" w:rsidRDefault="007F5252" w:rsidP="000D59B1">
      <w:pPr>
        <w:pStyle w:val="a3"/>
        <w:spacing w:after="0" w:line="480" w:lineRule="auto"/>
        <w:ind w:left="0"/>
        <w:contextualSpacing w:val="0"/>
        <w:rPr>
          <w:rFonts w:ascii="Times New Roman" w:hAnsi="Times New Roman"/>
          <w:i/>
          <w:sz w:val="24"/>
        </w:rPr>
      </w:pPr>
      <w:r w:rsidRPr="00172374">
        <w:rPr>
          <w:rFonts w:ascii="Times New Roman" w:hAnsi="Times New Roman"/>
          <w:i/>
          <w:sz w:val="24"/>
        </w:rPr>
        <w:br w:type="page"/>
      </w:r>
    </w:p>
    <w:tbl>
      <w:tblPr>
        <w:tblW w:w="0" w:type="auto"/>
        <w:tblLayout w:type="fixed"/>
        <w:tblLook w:val="04A0" w:firstRow="1" w:lastRow="0" w:firstColumn="1" w:lastColumn="0" w:noHBand="0" w:noVBand="1"/>
      </w:tblPr>
      <w:tblGrid>
        <w:gridCol w:w="3969"/>
        <w:gridCol w:w="2552"/>
        <w:gridCol w:w="992"/>
        <w:gridCol w:w="992"/>
      </w:tblGrid>
      <w:tr w:rsidR="00DD36C5" w:rsidRPr="00172374" w14:paraId="7D2C98E7" w14:textId="77777777" w:rsidTr="007A0AEE">
        <w:tc>
          <w:tcPr>
            <w:tcW w:w="8505" w:type="dxa"/>
            <w:gridSpan w:val="4"/>
            <w:tcBorders>
              <w:bottom w:val="single" w:sz="4" w:space="0" w:color="auto"/>
            </w:tcBorders>
            <w:shd w:val="clear" w:color="auto" w:fill="auto"/>
          </w:tcPr>
          <w:p w14:paraId="39E8E1AD" w14:textId="4AE08BA4" w:rsidR="00DD36C5" w:rsidRPr="00172374" w:rsidRDefault="00B21591" w:rsidP="003238D0">
            <w:pPr>
              <w:spacing w:after="60"/>
              <w:jc w:val="both"/>
              <w:rPr>
                <w:b/>
              </w:rPr>
            </w:pPr>
            <w:bookmarkStart w:id="47" w:name="_Hlk31644895"/>
            <w:r w:rsidRPr="00172374">
              <w:lastRenderedPageBreak/>
              <w:br w:type="page"/>
            </w:r>
            <w:r w:rsidR="00F27BEB" w:rsidRPr="00172374">
              <w:br w:type="page"/>
            </w:r>
            <w:r w:rsidR="00DD36C5" w:rsidRPr="00172374">
              <w:rPr>
                <w:b/>
              </w:rPr>
              <w:t xml:space="preserve">Table </w:t>
            </w:r>
            <w:r w:rsidR="009C55D7" w:rsidRPr="00172374">
              <w:rPr>
                <w:b/>
              </w:rPr>
              <w:t>5</w:t>
            </w:r>
          </w:p>
          <w:p w14:paraId="36267A3F" w14:textId="1A49B4C1" w:rsidR="00DD36C5" w:rsidRPr="00172374" w:rsidRDefault="00DD36C5" w:rsidP="003238D0">
            <w:pPr>
              <w:spacing w:after="60"/>
              <w:jc w:val="both"/>
            </w:pPr>
            <w:r w:rsidRPr="00172374">
              <w:t>Study 1</w:t>
            </w:r>
            <w:r w:rsidR="00212CAF" w:rsidRPr="00172374">
              <w:t>:</w:t>
            </w:r>
            <w:r w:rsidRPr="00172374">
              <w:t xml:space="preserve"> sample characteristics</w:t>
            </w:r>
            <w:r w:rsidR="00212CAF" w:rsidRPr="00172374">
              <w:t>.</w:t>
            </w:r>
          </w:p>
        </w:tc>
      </w:tr>
      <w:tr w:rsidR="00F27BEB" w:rsidRPr="00172374" w14:paraId="5A1AA12C" w14:textId="77777777" w:rsidTr="007A0AEE">
        <w:tc>
          <w:tcPr>
            <w:tcW w:w="3969" w:type="dxa"/>
            <w:tcBorders>
              <w:top w:val="single" w:sz="4" w:space="0" w:color="auto"/>
              <w:bottom w:val="single" w:sz="4" w:space="0" w:color="auto"/>
            </w:tcBorders>
            <w:shd w:val="clear" w:color="auto" w:fill="auto"/>
            <w:vAlign w:val="center"/>
          </w:tcPr>
          <w:p w14:paraId="32F2C3D7" w14:textId="77777777" w:rsidR="00F27BEB" w:rsidRPr="00172374" w:rsidRDefault="00F27BEB" w:rsidP="003238D0">
            <w:pPr>
              <w:spacing w:line="360" w:lineRule="auto"/>
              <w:rPr>
                <w:sz w:val="20"/>
                <w:szCs w:val="20"/>
              </w:rPr>
            </w:pPr>
          </w:p>
        </w:tc>
        <w:tc>
          <w:tcPr>
            <w:tcW w:w="2552" w:type="dxa"/>
            <w:tcBorders>
              <w:top w:val="single" w:sz="4" w:space="0" w:color="auto"/>
              <w:bottom w:val="single" w:sz="4" w:space="0" w:color="auto"/>
            </w:tcBorders>
            <w:shd w:val="clear" w:color="auto" w:fill="auto"/>
            <w:vAlign w:val="center"/>
          </w:tcPr>
          <w:p w14:paraId="264FD491" w14:textId="77777777" w:rsidR="00F27BEB" w:rsidRPr="00172374" w:rsidRDefault="00F27BEB" w:rsidP="003238D0">
            <w:pPr>
              <w:spacing w:line="360" w:lineRule="auto"/>
              <w:jc w:val="right"/>
              <w:rPr>
                <w:sz w:val="20"/>
                <w:szCs w:val="20"/>
              </w:rPr>
            </w:pPr>
          </w:p>
        </w:tc>
        <w:tc>
          <w:tcPr>
            <w:tcW w:w="992" w:type="dxa"/>
            <w:tcBorders>
              <w:top w:val="single" w:sz="4" w:space="0" w:color="auto"/>
              <w:bottom w:val="single" w:sz="4" w:space="0" w:color="auto"/>
            </w:tcBorders>
            <w:shd w:val="clear" w:color="auto" w:fill="auto"/>
            <w:vAlign w:val="center"/>
          </w:tcPr>
          <w:p w14:paraId="5F9A80C3" w14:textId="77777777" w:rsidR="00F27BEB" w:rsidRPr="00172374" w:rsidRDefault="00F27BEB" w:rsidP="00540876">
            <w:pPr>
              <w:rPr>
                <w:sz w:val="20"/>
                <w:szCs w:val="20"/>
              </w:rPr>
            </w:pPr>
            <w:r w:rsidRPr="00172374">
              <w:rPr>
                <w:sz w:val="20"/>
                <w:szCs w:val="20"/>
              </w:rPr>
              <w:t>(</w:t>
            </w:r>
            <w:r w:rsidRPr="00172374">
              <w:rPr>
                <w:i/>
                <w:sz w:val="20"/>
                <w:szCs w:val="20"/>
              </w:rPr>
              <w:t>N</w:t>
            </w:r>
            <w:r w:rsidRPr="00172374">
              <w:rPr>
                <w:sz w:val="20"/>
                <w:szCs w:val="20"/>
              </w:rPr>
              <w:t xml:space="preserve"> = 17)</w:t>
            </w:r>
          </w:p>
        </w:tc>
        <w:tc>
          <w:tcPr>
            <w:tcW w:w="992" w:type="dxa"/>
            <w:tcBorders>
              <w:top w:val="single" w:sz="4" w:space="0" w:color="auto"/>
              <w:bottom w:val="single" w:sz="4" w:space="0" w:color="auto"/>
            </w:tcBorders>
            <w:shd w:val="clear" w:color="auto" w:fill="auto"/>
            <w:vAlign w:val="center"/>
          </w:tcPr>
          <w:p w14:paraId="454A9A9F" w14:textId="77777777" w:rsidR="00F27BEB" w:rsidRPr="00172374" w:rsidRDefault="00F27BEB" w:rsidP="003238D0">
            <w:pPr>
              <w:jc w:val="right"/>
              <w:rPr>
                <w:sz w:val="20"/>
                <w:szCs w:val="20"/>
              </w:rPr>
            </w:pPr>
            <w:r w:rsidRPr="00172374">
              <w:rPr>
                <w:sz w:val="20"/>
                <w:szCs w:val="20"/>
              </w:rPr>
              <w:t>%</w:t>
            </w:r>
          </w:p>
        </w:tc>
      </w:tr>
      <w:tr w:rsidR="0070070B" w:rsidRPr="00172374" w14:paraId="5A464B9C" w14:textId="77777777" w:rsidTr="007A0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vMerge w:val="restart"/>
            <w:tcBorders>
              <w:top w:val="single" w:sz="4" w:space="0" w:color="auto"/>
              <w:left w:val="nil"/>
              <w:right w:val="nil"/>
            </w:tcBorders>
            <w:shd w:val="clear" w:color="auto" w:fill="auto"/>
          </w:tcPr>
          <w:p w14:paraId="4AA605E7" w14:textId="18A80BFC" w:rsidR="0070070B" w:rsidRPr="00172374" w:rsidRDefault="0070070B" w:rsidP="00E42398">
            <w:pPr>
              <w:rPr>
                <w:sz w:val="20"/>
                <w:szCs w:val="20"/>
              </w:rPr>
            </w:pPr>
            <w:bookmarkStart w:id="48" w:name="_Hlk30596261"/>
            <w:r w:rsidRPr="00172374">
              <w:rPr>
                <w:sz w:val="20"/>
                <w:szCs w:val="20"/>
              </w:rPr>
              <w:t xml:space="preserve">Company </w:t>
            </w:r>
            <w:r w:rsidR="00E43BD3" w:rsidRPr="00172374">
              <w:rPr>
                <w:sz w:val="20"/>
                <w:szCs w:val="20"/>
              </w:rPr>
              <w:t>geographic scope</w:t>
            </w:r>
          </w:p>
        </w:tc>
        <w:tc>
          <w:tcPr>
            <w:tcW w:w="2552" w:type="dxa"/>
            <w:tcBorders>
              <w:top w:val="single" w:sz="4" w:space="0" w:color="auto"/>
              <w:left w:val="nil"/>
              <w:bottom w:val="nil"/>
              <w:right w:val="nil"/>
            </w:tcBorders>
            <w:shd w:val="clear" w:color="auto" w:fill="auto"/>
          </w:tcPr>
          <w:p w14:paraId="5E3D3E7E" w14:textId="2C42E32B" w:rsidR="0070070B" w:rsidRPr="00172374" w:rsidRDefault="0070070B" w:rsidP="00E42398">
            <w:pPr>
              <w:rPr>
                <w:sz w:val="20"/>
                <w:szCs w:val="20"/>
              </w:rPr>
            </w:pPr>
            <w:r w:rsidRPr="00172374">
              <w:rPr>
                <w:sz w:val="20"/>
                <w:szCs w:val="20"/>
              </w:rPr>
              <w:t>Multinational</w:t>
            </w:r>
          </w:p>
        </w:tc>
        <w:tc>
          <w:tcPr>
            <w:tcW w:w="992" w:type="dxa"/>
            <w:tcBorders>
              <w:top w:val="single" w:sz="4" w:space="0" w:color="auto"/>
              <w:left w:val="nil"/>
              <w:bottom w:val="nil"/>
              <w:right w:val="nil"/>
            </w:tcBorders>
            <w:shd w:val="clear" w:color="auto" w:fill="auto"/>
            <w:vAlign w:val="center"/>
          </w:tcPr>
          <w:p w14:paraId="6E933DDD" w14:textId="77777777" w:rsidR="0070070B" w:rsidRPr="00172374" w:rsidRDefault="0070070B" w:rsidP="003238D0">
            <w:pPr>
              <w:jc w:val="center"/>
              <w:rPr>
                <w:sz w:val="20"/>
                <w:szCs w:val="20"/>
              </w:rPr>
            </w:pPr>
            <w:r w:rsidRPr="00172374">
              <w:rPr>
                <w:sz w:val="20"/>
                <w:szCs w:val="20"/>
              </w:rPr>
              <w:t>17</w:t>
            </w:r>
          </w:p>
        </w:tc>
        <w:tc>
          <w:tcPr>
            <w:tcW w:w="992" w:type="dxa"/>
            <w:tcBorders>
              <w:top w:val="single" w:sz="4" w:space="0" w:color="auto"/>
              <w:left w:val="nil"/>
              <w:bottom w:val="nil"/>
              <w:right w:val="nil"/>
            </w:tcBorders>
            <w:shd w:val="clear" w:color="auto" w:fill="auto"/>
            <w:vAlign w:val="center"/>
          </w:tcPr>
          <w:p w14:paraId="21B93C2D" w14:textId="77777777" w:rsidR="0070070B" w:rsidRPr="00172374" w:rsidRDefault="0070070B" w:rsidP="003238D0">
            <w:pPr>
              <w:jc w:val="right"/>
              <w:rPr>
                <w:sz w:val="20"/>
                <w:szCs w:val="20"/>
              </w:rPr>
            </w:pPr>
            <w:r w:rsidRPr="00172374">
              <w:rPr>
                <w:sz w:val="20"/>
                <w:szCs w:val="20"/>
              </w:rPr>
              <w:t>100%</w:t>
            </w:r>
          </w:p>
        </w:tc>
      </w:tr>
      <w:tr w:rsidR="0070070B" w:rsidRPr="00172374" w14:paraId="27B43C22" w14:textId="77777777" w:rsidTr="003238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69" w:type="dxa"/>
            <w:vMerge/>
            <w:tcBorders>
              <w:left w:val="nil"/>
              <w:bottom w:val="nil"/>
              <w:right w:val="nil"/>
            </w:tcBorders>
            <w:shd w:val="clear" w:color="auto" w:fill="auto"/>
          </w:tcPr>
          <w:p w14:paraId="55CF8187" w14:textId="77777777" w:rsidR="0070070B" w:rsidRPr="00172374" w:rsidRDefault="0070070B" w:rsidP="00E42398">
            <w:pPr>
              <w:rPr>
                <w:sz w:val="20"/>
                <w:szCs w:val="20"/>
              </w:rPr>
            </w:pPr>
          </w:p>
        </w:tc>
        <w:tc>
          <w:tcPr>
            <w:tcW w:w="2552" w:type="dxa"/>
            <w:tcBorders>
              <w:top w:val="nil"/>
              <w:left w:val="nil"/>
              <w:bottom w:val="nil"/>
              <w:right w:val="nil"/>
            </w:tcBorders>
            <w:shd w:val="clear" w:color="auto" w:fill="auto"/>
          </w:tcPr>
          <w:p w14:paraId="14A8FA6D" w14:textId="77777777" w:rsidR="0070070B" w:rsidRPr="00172374" w:rsidRDefault="0070070B" w:rsidP="00E42398">
            <w:pPr>
              <w:rPr>
                <w:sz w:val="20"/>
                <w:szCs w:val="20"/>
              </w:rPr>
            </w:pPr>
            <w:r w:rsidRPr="00172374">
              <w:rPr>
                <w:sz w:val="20"/>
                <w:szCs w:val="20"/>
              </w:rPr>
              <w:t>Domestic</w:t>
            </w:r>
          </w:p>
        </w:tc>
        <w:tc>
          <w:tcPr>
            <w:tcW w:w="992" w:type="dxa"/>
            <w:tcBorders>
              <w:top w:val="nil"/>
              <w:left w:val="nil"/>
              <w:bottom w:val="nil"/>
              <w:right w:val="nil"/>
            </w:tcBorders>
            <w:shd w:val="clear" w:color="auto" w:fill="auto"/>
            <w:vAlign w:val="center"/>
          </w:tcPr>
          <w:p w14:paraId="319BEE08" w14:textId="77777777" w:rsidR="0070070B" w:rsidRPr="00172374" w:rsidRDefault="0070070B" w:rsidP="003238D0">
            <w:pPr>
              <w:jc w:val="center"/>
              <w:rPr>
                <w:sz w:val="20"/>
                <w:szCs w:val="20"/>
              </w:rPr>
            </w:pPr>
            <w:r w:rsidRPr="00172374">
              <w:rPr>
                <w:sz w:val="20"/>
                <w:szCs w:val="20"/>
              </w:rPr>
              <w:t>0</w:t>
            </w:r>
          </w:p>
        </w:tc>
        <w:tc>
          <w:tcPr>
            <w:tcW w:w="992" w:type="dxa"/>
            <w:tcBorders>
              <w:top w:val="nil"/>
              <w:left w:val="nil"/>
              <w:bottom w:val="nil"/>
              <w:right w:val="nil"/>
            </w:tcBorders>
            <w:shd w:val="clear" w:color="auto" w:fill="auto"/>
            <w:vAlign w:val="center"/>
          </w:tcPr>
          <w:p w14:paraId="460778DB" w14:textId="77777777" w:rsidR="0070070B" w:rsidRPr="00172374" w:rsidRDefault="0070070B" w:rsidP="003238D0">
            <w:pPr>
              <w:jc w:val="right"/>
              <w:rPr>
                <w:sz w:val="20"/>
                <w:szCs w:val="20"/>
              </w:rPr>
            </w:pPr>
            <w:r w:rsidRPr="00172374">
              <w:rPr>
                <w:sz w:val="20"/>
                <w:szCs w:val="20"/>
              </w:rPr>
              <w:t>0%</w:t>
            </w:r>
          </w:p>
        </w:tc>
      </w:tr>
      <w:tr w:rsidR="0070070B" w:rsidRPr="00172374" w14:paraId="4751E882" w14:textId="77777777" w:rsidTr="003238D0">
        <w:tc>
          <w:tcPr>
            <w:tcW w:w="3969" w:type="dxa"/>
            <w:vMerge w:val="restart"/>
            <w:shd w:val="clear" w:color="auto" w:fill="auto"/>
          </w:tcPr>
          <w:p w14:paraId="48739E45" w14:textId="77777777" w:rsidR="0070070B" w:rsidRPr="00172374" w:rsidRDefault="0070070B" w:rsidP="00E42398">
            <w:pPr>
              <w:rPr>
                <w:sz w:val="20"/>
                <w:szCs w:val="20"/>
              </w:rPr>
            </w:pPr>
            <w:r w:rsidRPr="00172374">
              <w:rPr>
                <w:sz w:val="20"/>
                <w:szCs w:val="20"/>
              </w:rPr>
              <w:t>Company sector</w:t>
            </w:r>
          </w:p>
        </w:tc>
        <w:tc>
          <w:tcPr>
            <w:tcW w:w="2552" w:type="dxa"/>
            <w:shd w:val="clear" w:color="auto" w:fill="auto"/>
            <w:vAlign w:val="center"/>
          </w:tcPr>
          <w:p w14:paraId="168BA691" w14:textId="77777777" w:rsidR="0070070B" w:rsidRPr="00172374" w:rsidRDefault="0070070B" w:rsidP="00E42398">
            <w:pPr>
              <w:rPr>
                <w:sz w:val="20"/>
                <w:szCs w:val="20"/>
              </w:rPr>
            </w:pPr>
            <w:r w:rsidRPr="00172374">
              <w:rPr>
                <w:sz w:val="20"/>
                <w:szCs w:val="20"/>
              </w:rPr>
              <w:t>Food &amp; Drinks</w:t>
            </w:r>
          </w:p>
        </w:tc>
        <w:tc>
          <w:tcPr>
            <w:tcW w:w="992" w:type="dxa"/>
            <w:shd w:val="clear" w:color="auto" w:fill="auto"/>
            <w:vAlign w:val="center"/>
          </w:tcPr>
          <w:p w14:paraId="0681D8EE" w14:textId="77777777" w:rsidR="0070070B" w:rsidRPr="00172374" w:rsidRDefault="0070070B" w:rsidP="003238D0">
            <w:pPr>
              <w:jc w:val="center"/>
              <w:rPr>
                <w:sz w:val="20"/>
                <w:szCs w:val="20"/>
              </w:rPr>
            </w:pPr>
            <w:r w:rsidRPr="00172374">
              <w:rPr>
                <w:sz w:val="20"/>
                <w:szCs w:val="20"/>
              </w:rPr>
              <w:t>4</w:t>
            </w:r>
          </w:p>
        </w:tc>
        <w:tc>
          <w:tcPr>
            <w:tcW w:w="992" w:type="dxa"/>
            <w:shd w:val="clear" w:color="auto" w:fill="auto"/>
            <w:vAlign w:val="center"/>
          </w:tcPr>
          <w:p w14:paraId="3E6BC42E" w14:textId="77777777" w:rsidR="0070070B" w:rsidRPr="00172374" w:rsidRDefault="0070070B" w:rsidP="003238D0">
            <w:pPr>
              <w:jc w:val="right"/>
              <w:rPr>
                <w:sz w:val="20"/>
                <w:szCs w:val="20"/>
              </w:rPr>
            </w:pPr>
            <w:r w:rsidRPr="00172374">
              <w:rPr>
                <w:sz w:val="20"/>
                <w:szCs w:val="20"/>
              </w:rPr>
              <w:t>23.5%</w:t>
            </w:r>
          </w:p>
        </w:tc>
      </w:tr>
      <w:tr w:rsidR="0070070B" w:rsidRPr="00172374" w14:paraId="55A80813" w14:textId="77777777" w:rsidTr="003238D0">
        <w:tc>
          <w:tcPr>
            <w:tcW w:w="3969" w:type="dxa"/>
            <w:vMerge/>
            <w:shd w:val="clear" w:color="auto" w:fill="auto"/>
          </w:tcPr>
          <w:p w14:paraId="2C51AE3A" w14:textId="77777777" w:rsidR="0070070B" w:rsidRPr="00172374" w:rsidRDefault="0070070B" w:rsidP="00E42398">
            <w:pPr>
              <w:rPr>
                <w:sz w:val="20"/>
                <w:szCs w:val="20"/>
              </w:rPr>
            </w:pPr>
          </w:p>
        </w:tc>
        <w:tc>
          <w:tcPr>
            <w:tcW w:w="2552" w:type="dxa"/>
            <w:shd w:val="clear" w:color="auto" w:fill="auto"/>
            <w:vAlign w:val="center"/>
          </w:tcPr>
          <w:p w14:paraId="5495A93B" w14:textId="77777777" w:rsidR="0070070B" w:rsidRPr="00172374" w:rsidRDefault="0070070B" w:rsidP="00E42398">
            <w:pPr>
              <w:rPr>
                <w:sz w:val="20"/>
                <w:szCs w:val="20"/>
              </w:rPr>
            </w:pPr>
            <w:r w:rsidRPr="00172374">
              <w:rPr>
                <w:sz w:val="20"/>
                <w:szCs w:val="20"/>
              </w:rPr>
              <w:t>Cosmetics</w:t>
            </w:r>
          </w:p>
        </w:tc>
        <w:tc>
          <w:tcPr>
            <w:tcW w:w="992" w:type="dxa"/>
            <w:shd w:val="clear" w:color="auto" w:fill="auto"/>
            <w:vAlign w:val="center"/>
          </w:tcPr>
          <w:p w14:paraId="0C8A2530" w14:textId="77777777" w:rsidR="0070070B" w:rsidRPr="00172374" w:rsidRDefault="0070070B" w:rsidP="003238D0">
            <w:pPr>
              <w:jc w:val="center"/>
              <w:rPr>
                <w:sz w:val="20"/>
                <w:szCs w:val="20"/>
              </w:rPr>
            </w:pPr>
            <w:r w:rsidRPr="00172374">
              <w:rPr>
                <w:sz w:val="20"/>
                <w:szCs w:val="20"/>
              </w:rPr>
              <w:t>2</w:t>
            </w:r>
          </w:p>
        </w:tc>
        <w:tc>
          <w:tcPr>
            <w:tcW w:w="992" w:type="dxa"/>
            <w:shd w:val="clear" w:color="auto" w:fill="auto"/>
            <w:vAlign w:val="center"/>
          </w:tcPr>
          <w:p w14:paraId="2AC1535E" w14:textId="77777777" w:rsidR="0070070B" w:rsidRPr="00172374" w:rsidRDefault="0070070B" w:rsidP="003238D0">
            <w:pPr>
              <w:jc w:val="right"/>
              <w:rPr>
                <w:sz w:val="20"/>
                <w:szCs w:val="20"/>
              </w:rPr>
            </w:pPr>
            <w:r w:rsidRPr="00172374">
              <w:rPr>
                <w:sz w:val="20"/>
                <w:szCs w:val="20"/>
              </w:rPr>
              <w:t>11.8%</w:t>
            </w:r>
          </w:p>
        </w:tc>
      </w:tr>
      <w:tr w:rsidR="0070070B" w:rsidRPr="00172374" w14:paraId="305306D9" w14:textId="77777777" w:rsidTr="003238D0">
        <w:tc>
          <w:tcPr>
            <w:tcW w:w="3969" w:type="dxa"/>
            <w:vMerge/>
            <w:shd w:val="clear" w:color="auto" w:fill="auto"/>
          </w:tcPr>
          <w:p w14:paraId="2A4AB352" w14:textId="77777777" w:rsidR="0070070B" w:rsidRPr="00172374" w:rsidRDefault="0070070B" w:rsidP="00E42398">
            <w:pPr>
              <w:rPr>
                <w:sz w:val="20"/>
                <w:szCs w:val="20"/>
              </w:rPr>
            </w:pPr>
          </w:p>
        </w:tc>
        <w:tc>
          <w:tcPr>
            <w:tcW w:w="2552" w:type="dxa"/>
            <w:shd w:val="clear" w:color="auto" w:fill="auto"/>
            <w:vAlign w:val="center"/>
          </w:tcPr>
          <w:p w14:paraId="0ECE1248" w14:textId="77777777" w:rsidR="0070070B" w:rsidRPr="00172374" w:rsidRDefault="0070070B" w:rsidP="00E42398">
            <w:pPr>
              <w:rPr>
                <w:sz w:val="20"/>
                <w:szCs w:val="20"/>
              </w:rPr>
            </w:pPr>
            <w:r w:rsidRPr="00172374">
              <w:rPr>
                <w:sz w:val="20"/>
                <w:szCs w:val="20"/>
              </w:rPr>
              <w:t>Industrial &amp; Manufacturing</w:t>
            </w:r>
          </w:p>
        </w:tc>
        <w:tc>
          <w:tcPr>
            <w:tcW w:w="992" w:type="dxa"/>
            <w:shd w:val="clear" w:color="auto" w:fill="auto"/>
            <w:vAlign w:val="center"/>
          </w:tcPr>
          <w:p w14:paraId="129FFE32" w14:textId="77777777" w:rsidR="0070070B" w:rsidRPr="00172374" w:rsidRDefault="0070070B" w:rsidP="003238D0">
            <w:pPr>
              <w:jc w:val="center"/>
              <w:rPr>
                <w:sz w:val="20"/>
                <w:szCs w:val="20"/>
              </w:rPr>
            </w:pPr>
            <w:r w:rsidRPr="00172374">
              <w:rPr>
                <w:sz w:val="20"/>
                <w:szCs w:val="20"/>
              </w:rPr>
              <w:t>4</w:t>
            </w:r>
          </w:p>
        </w:tc>
        <w:tc>
          <w:tcPr>
            <w:tcW w:w="992" w:type="dxa"/>
            <w:shd w:val="clear" w:color="auto" w:fill="auto"/>
            <w:vAlign w:val="center"/>
          </w:tcPr>
          <w:p w14:paraId="1EE773D2" w14:textId="77777777" w:rsidR="0070070B" w:rsidRPr="00172374" w:rsidRDefault="0070070B" w:rsidP="003238D0">
            <w:pPr>
              <w:jc w:val="right"/>
              <w:rPr>
                <w:sz w:val="20"/>
                <w:szCs w:val="20"/>
              </w:rPr>
            </w:pPr>
            <w:r w:rsidRPr="00172374">
              <w:rPr>
                <w:sz w:val="20"/>
                <w:szCs w:val="20"/>
              </w:rPr>
              <w:t>23.5%</w:t>
            </w:r>
          </w:p>
        </w:tc>
      </w:tr>
      <w:tr w:rsidR="0070070B" w:rsidRPr="00172374" w14:paraId="02FB1947" w14:textId="77777777" w:rsidTr="003238D0">
        <w:tc>
          <w:tcPr>
            <w:tcW w:w="3969" w:type="dxa"/>
            <w:vMerge/>
            <w:shd w:val="clear" w:color="auto" w:fill="auto"/>
          </w:tcPr>
          <w:p w14:paraId="7C3A7836" w14:textId="77777777" w:rsidR="0070070B" w:rsidRPr="00172374" w:rsidRDefault="0070070B" w:rsidP="00E42398">
            <w:pPr>
              <w:rPr>
                <w:sz w:val="20"/>
                <w:szCs w:val="20"/>
              </w:rPr>
            </w:pPr>
          </w:p>
        </w:tc>
        <w:tc>
          <w:tcPr>
            <w:tcW w:w="2552" w:type="dxa"/>
            <w:shd w:val="clear" w:color="auto" w:fill="auto"/>
            <w:vAlign w:val="center"/>
          </w:tcPr>
          <w:p w14:paraId="6A22B776" w14:textId="77777777" w:rsidR="0070070B" w:rsidRPr="00172374" w:rsidRDefault="0070070B" w:rsidP="00E42398">
            <w:pPr>
              <w:rPr>
                <w:sz w:val="20"/>
                <w:szCs w:val="20"/>
              </w:rPr>
            </w:pPr>
            <w:r w:rsidRPr="00172374">
              <w:rPr>
                <w:sz w:val="20"/>
                <w:szCs w:val="20"/>
              </w:rPr>
              <w:t>Financial Services</w:t>
            </w:r>
          </w:p>
        </w:tc>
        <w:tc>
          <w:tcPr>
            <w:tcW w:w="992" w:type="dxa"/>
            <w:shd w:val="clear" w:color="auto" w:fill="auto"/>
            <w:vAlign w:val="center"/>
          </w:tcPr>
          <w:p w14:paraId="50E50FD8" w14:textId="77777777" w:rsidR="0070070B" w:rsidRPr="00172374" w:rsidRDefault="0070070B" w:rsidP="003238D0">
            <w:pPr>
              <w:jc w:val="center"/>
              <w:rPr>
                <w:sz w:val="20"/>
                <w:szCs w:val="20"/>
              </w:rPr>
            </w:pPr>
            <w:r w:rsidRPr="00172374">
              <w:rPr>
                <w:sz w:val="20"/>
                <w:szCs w:val="20"/>
              </w:rPr>
              <w:t>2</w:t>
            </w:r>
          </w:p>
        </w:tc>
        <w:tc>
          <w:tcPr>
            <w:tcW w:w="992" w:type="dxa"/>
            <w:shd w:val="clear" w:color="auto" w:fill="auto"/>
            <w:vAlign w:val="center"/>
          </w:tcPr>
          <w:p w14:paraId="7E9DB379" w14:textId="77777777" w:rsidR="0070070B" w:rsidRPr="00172374" w:rsidRDefault="0070070B" w:rsidP="003238D0">
            <w:pPr>
              <w:jc w:val="right"/>
              <w:rPr>
                <w:sz w:val="20"/>
                <w:szCs w:val="20"/>
              </w:rPr>
            </w:pPr>
            <w:r w:rsidRPr="00172374">
              <w:rPr>
                <w:sz w:val="20"/>
                <w:szCs w:val="20"/>
              </w:rPr>
              <w:t>11.8%</w:t>
            </w:r>
          </w:p>
        </w:tc>
      </w:tr>
      <w:tr w:rsidR="0070070B" w:rsidRPr="00172374" w14:paraId="33A2017E" w14:textId="77777777" w:rsidTr="003238D0">
        <w:tc>
          <w:tcPr>
            <w:tcW w:w="3969" w:type="dxa"/>
            <w:vMerge/>
            <w:shd w:val="clear" w:color="auto" w:fill="auto"/>
          </w:tcPr>
          <w:p w14:paraId="7605770E" w14:textId="77777777" w:rsidR="0070070B" w:rsidRPr="00172374" w:rsidRDefault="0070070B" w:rsidP="00E42398">
            <w:pPr>
              <w:rPr>
                <w:sz w:val="20"/>
                <w:szCs w:val="20"/>
              </w:rPr>
            </w:pPr>
          </w:p>
        </w:tc>
        <w:tc>
          <w:tcPr>
            <w:tcW w:w="2552" w:type="dxa"/>
            <w:shd w:val="clear" w:color="auto" w:fill="auto"/>
            <w:vAlign w:val="center"/>
          </w:tcPr>
          <w:p w14:paraId="4AB5521E" w14:textId="77777777" w:rsidR="0070070B" w:rsidRPr="00172374" w:rsidRDefault="0070070B" w:rsidP="00E42398">
            <w:pPr>
              <w:rPr>
                <w:sz w:val="20"/>
                <w:szCs w:val="20"/>
              </w:rPr>
            </w:pPr>
            <w:r w:rsidRPr="00172374">
              <w:rPr>
                <w:sz w:val="20"/>
                <w:szCs w:val="20"/>
              </w:rPr>
              <w:t>Airline services</w:t>
            </w:r>
          </w:p>
        </w:tc>
        <w:tc>
          <w:tcPr>
            <w:tcW w:w="992" w:type="dxa"/>
            <w:shd w:val="clear" w:color="auto" w:fill="auto"/>
            <w:vAlign w:val="center"/>
          </w:tcPr>
          <w:p w14:paraId="291C2762" w14:textId="77777777" w:rsidR="0070070B" w:rsidRPr="00172374" w:rsidRDefault="0070070B" w:rsidP="003238D0">
            <w:pPr>
              <w:jc w:val="center"/>
              <w:rPr>
                <w:sz w:val="20"/>
                <w:szCs w:val="20"/>
              </w:rPr>
            </w:pPr>
            <w:r w:rsidRPr="00172374">
              <w:rPr>
                <w:sz w:val="20"/>
                <w:szCs w:val="20"/>
              </w:rPr>
              <w:t>1</w:t>
            </w:r>
          </w:p>
        </w:tc>
        <w:tc>
          <w:tcPr>
            <w:tcW w:w="992" w:type="dxa"/>
            <w:shd w:val="clear" w:color="auto" w:fill="auto"/>
            <w:vAlign w:val="center"/>
          </w:tcPr>
          <w:p w14:paraId="381FB651" w14:textId="77777777" w:rsidR="0070070B" w:rsidRPr="00172374" w:rsidRDefault="0070070B" w:rsidP="003238D0">
            <w:pPr>
              <w:jc w:val="right"/>
              <w:rPr>
                <w:sz w:val="20"/>
                <w:szCs w:val="20"/>
              </w:rPr>
            </w:pPr>
            <w:r w:rsidRPr="00172374">
              <w:rPr>
                <w:sz w:val="20"/>
                <w:szCs w:val="20"/>
              </w:rPr>
              <w:t>5.9%</w:t>
            </w:r>
          </w:p>
        </w:tc>
      </w:tr>
      <w:tr w:rsidR="0070070B" w:rsidRPr="00172374" w14:paraId="39433B25" w14:textId="77777777" w:rsidTr="003238D0">
        <w:tc>
          <w:tcPr>
            <w:tcW w:w="3969" w:type="dxa"/>
            <w:vMerge/>
            <w:shd w:val="clear" w:color="auto" w:fill="auto"/>
          </w:tcPr>
          <w:p w14:paraId="691FFDDC" w14:textId="77777777" w:rsidR="0070070B" w:rsidRPr="00172374" w:rsidRDefault="0070070B" w:rsidP="00E42398">
            <w:pPr>
              <w:rPr>
                <w:sz w:val="20"/>
                <w:szCs w:val="20"/>
              </w:rPr>
            </w:pPr>
          </w:p>
        </w:tc>
        <w:tc>
          <w:tcPr>
            <w:tcW w:w="2552" w:type="dxa"/>
            <w:shd w:val="clear" w:color="auto" w:fill="auto"/>
            <w:vAlign w:val="center"/>
          </w:tcPr>
          <w:p w14:paraId="0B5ADEE1" w14:textId="77777777" w:rsidR="0070070B" w:rsidRPr="00172374" w:rsidRDefault="0070070B" w:rsidP="00E42398">
            <w:pPr>
              <w:rPr>
                <w:sz w:val="20"/>
                <w:szCs w:val="20"/>
              </w:rPr>
            </w:pPr>
            <w:r w:rsidRPr="00172374">
              <w:rPr>
                <w:sz w:val="20"/>
                <w:szCs w:val="20"/>
              </w:rPr>
              <w:t>Telecoms</w:t>
            </w:r>
          </w:p>
        </w:tc>
        <w:tc>
          <w:tcPr>
            <w:tcW w:w="992" w:type="dxa"/>
            <w:shd w:val="clear" w:color="auto" w:fill="auto"/>
            <w:vAlign w:val="center"/>
          </w:tcPr>
          <w:p w14:paraId="38251E2D" w14:textId="77777777" w:rsidR="0070070B" w:rsidRPr="00172374" w:rsidRDefault="0070070B" w:rsidP="003238D0">
            <w:pPr>
              <w:jc w:val="center"/>
              <w:rPr>
                <w:sz w:val="20"/>
                <w:szCs w:val="20"/>
              </w:rPr>
            </w:pPr>
            <w:r w:rsidRPr="00172374">
              <w:rPr>
                <w:sz w:val="20"/>
                <w:szCs w:val="20"/>
              </w:rPr>
              <w:t>2</w:t>
            </w:r>
          </w:p>
        </w:tc>
        <w:tc>
          <w:tcPr>
            <w:tcW w:w="992" w:type="dxa"/>
            <w:shd w:val="clear" w:color="auto" w:fill="auto"/>
            <w:vAlign w:val="center"/>
          </w:tcPr>
          <w:p w14:paraId="03038648" w14:textId="77777777" w:rsidR="0070070B" w:rsidRPr="00172374" w:rsidRDefault="0070070B" w:rsidP="003238D0">
            <w:pPr>
              <w:jc w:val="right"/>
              <w:rPr>
                <w:sz w:val="20"/>
                <w:szCs w:val="20"/>
              </w:rPr>
            </w:pPr>
            <w:r w:rsidRPr="00172374">
              <w:rPr>
                <w:sz w:val="20"/>
                <w:szCs w:val="20"/>
              </w:rPr>
              <w:t>11.8%</w:t>
            </w:r>
          </w:p>
        </w:tc>
      </w:tr>
      <w:tr w:rsidR="0070070B" w:rsidRPr="00172374" w14:paraId="7DE699DC" w14:textId="77777777" w:rsidTr="003238D0">
        <w:tc>
          <w:tcPr>
            <w:tcW w:w="3969" w:type="dxa"/>
            <w:vMerge/>
            <w:shd w:val="clear" w:color="auto" w:fill="auto"/>
          </w:tcPr>
          <w:p w14:paraId="6340BCC1" w14:textId="77777777" w:rsidR="0070070B" w:rsidRPr="00172374" w:rsidRDefault="0070070B" w:rsidP="00E42398">
            <w:pPr>
              <w:rPr>
                <w:sz w:val="20"/>
                <w:szCs w:val="20"/>
              </w:rPr>
            </w:pPr>
          </w:p>
        </w:tc>
        <w:tc>
          <w:tcPr>
            <w:tcW w:w="2552" w:type="dxa"/>
            <w:shd w:val="clear" w:color="auto" w:fill="auto"/>
            <w:vAlign w:val="center"/>
          </w:tcPr>
          <w:p w14:paraId="45961F70" w14:textId="77777777" w:rsidR="0070070B" w:rsidRPr="00172374" w:rsidRDefault="0070070B" w:rsidP="00E42398">
            <w:pPr>
              <w:rPr>
                <w:sz w:val="20"/>
                <w:szCs w:val="20"/>
              </w:rPr>
            </w:pPr>
            <w:r w:rsidRPr="00172374">
              <w:rPr>
                <w:sz w:val="20"/>
                <w:szCs w:val="20"/>
              </w:rPr>
              <w:t>Pharmaceutical</w:t>
            </w:r>
          </w:p>
        </w:tc>
        <w:tc>
          <w:tcPr>
            <w:tcW w:w="992" w:type="dxa"/>
            <w:shd w:val="clear" w:color="auto" w:fill="auto"/>
            <w:vAlign w:val="center"/>
          </w:tcPr>
          <w:p w14:paraId="2B40F809" w14:textId="77777777" w:rsidR="0070070B" w:rsidRPr="00172374" w:rsidRDefault="0070070B" w:rsidP="003238D0">
            <w:pPr>
              <w:jc w:val="center"/>
              <w:rPr>
                <w:sz w:val="20"/>
                <w:szCs w:val="20"/>
              </w:rPr>
            </w:pPr>
            <w:r w:rsidRPr="00172374">
              <w:rPr>
                <w:sz w:val="20"/>
                <w:szCs w:val="20"/>
              </w:rPr>
              <w:t>1</w:t>
            </w:r>
          </w:p>
        </w:tc>
        <w:tc>
          <w:tcPr>
            <w:tcW w:w="992" w:type="dxa"/>
            <w:shd w:val="clear" w:color="auto" w:fill="auto"/>
            <w:vAlign w:val="center"/>
          </w:tcPr>
          <w:p w14:paraId="76783DC5" w14:textId="77777777" w:rsidR="0070070B" w:rsidRPr="00172374" w:rsidRDefault="0070070B" w:rsidP="003238D0">
            <w:pPr>
              <w:jc w:val="right"/>
              <w:rPr>
                <w:sz w:val="20"/>
                <w:szCs w:val="20"/>
              </w:rPr>
            </w:pPr>
            <w:r w:rsidRPr="00172374">
              <w:rPr>
                <w:sz w:val="20"/>
                <w:szCs w:val="20"/>
              </w:rPr>
              <w:t>5.9%</w:t>
            </w:r>
          </w:p>
        </w:tc>
      </w:tr>
      <w:tr w:rsidR="0070070B" w:rsidRPr="00172374" w14:paraId="3F03D2B1" w14:textId="77777777" w:rsidTr="003238D0">
        <w:tc>
          <w:tcPr>
            <w:tcW w:w="3969" w:type="dxa"/>
            <w:vMerge/>
            <w:shd w:val="clear" w:color="auto" w:fill="auto"/>
          </w:tcPr>
          <w:p w14:paraId="12A99153" w14:textId="77777777" w:rsidR="0070070B" w:rsidRPr="00172374" w:rsidRDefault="0070070B" w:rsidP="00E42398">
            <w:pPr>
              <w:rPr>
                <w:sz w:val="20"/>
                <w:szCs w:val="20"/>
              </w:rPr>
            </w:pPr>
          </w:p>
        </w:tc>
        <w:tc>
          <w:tcPr>
            <w:tcW w:w="2552" w:type="dxa"/>
            <w:shd w:val="clear" w:color="auto" w:fill="auto"/>
            <w:vAlign w:val="center"/>
          </w:tcPr>
          <w:p w14:paraId="0E38CF22" w14:textId="77777777" w:rsidR="0070070B" w:rsidRPr="00172374" w:rsidRDefault="0070070B" w:rsidP="00E42398">
            <w:pPr>
              <w:rPr>
                <w:sz w:val="20"/>
                <w:szCs w:val="20"/>
              </w:rPr>
            </w:pPr>
            <w:r w:rsidRPr="00172374">
              <w:rPr>
                <w:sz w:val="20"/>
                <w:szCs w:val="20"/>
              </w:rPr>
              <w:t>Retail (Supermarkets)</w:t>
            </w:r>
          </w:p>
        </w:tc>
        <w:tc>
          <w:tcPr>
            <w:tcW w:w="992" w:type="dxa"/>
            <w:shd w:val="clear" w:color="auto" w:fill="auto"/>
            <w:vAlign w:val="center"/>
          </w:tcPr>
          <w:p w14:paraId="346F04BF" w14:textId="77777777" w:rsidR="0070070B" w:rsidRPr="00172374" w:rsidRDefault="0070070B" w:rsidP="003238D0">
            <w:pPr>
              <w:jc w:val="center"/>
              <w:rPr>
                <w:sz w:val="20"/>
                <w:szCs w:val="20"/>
              </w:rPr>
            </w:pPr>
            <w:r w:rsidRPr="00172374">
              <w:rPr>
                <w:sz w:val="20"/>
                <w:szCs w:val="20"/>
              </w:rPr>
              <w:t>1</w:t>
            </w:r>
          </w:p>
        </w:tc>
        <w:tc>
          <w:tcPr>
            <w:tcW w:w="992" w:type="dxa"/>
            <w:shd w:val="clear" w:color="auto" w:fill="auto"/>
            <w:vAlign w:val="center"/>
          </w:tcPr>
          <w:p w14:paraId="2215F279" w14:textId="77777777" w:rsidR="0070070B" w:rsidRPr="00172374" w:rsidRDefault="0070070B" w:rsidP="003238D0">
            <w:pPr>
              <w:jc w:val="right"/>
              <w:rPr>
                <w:sz w:val="20"/>
                <w:szCs w:val="20"/>
              </w:rPr>
            </w:pPr>
            <w:r w:rsidRPr="00172374">
              <w:rPr>
                <w:sz w:val="20"/>
                <w:szCs w:val="20"/>
              </w:rPr>
              <w:t>5.9%</w:t>
            </w:r>
          </w:p>
        </w:tc>
      </w:tr>
      <w:tr w:rsidR="0070070B" w:rsidRPr="00172374" w14:paraId="6F84DDB8" w14:textId="77777777" w:rsidTr="003238D0">
        <w:tc>
          <w:tcPr>
            <w:tcW w:w="3969" w:type="dxa"/>
            <w:vMerge w:val="restart"/>
            <w:shd w:val="clear" w:color="auto" w:fill="auto"/>
          </w:tcPr>
          <w:p w14:paraId="10B695C3" w14:textId="77777777" w:rsidR="0070070B" w:rsidRPr="00172374" w:rsidRDefault="0070070B" w:rsidP="00E42398">
            <w:pPr>
              <w:rPr>
                <w:sz w:val="20"/>
                <w:szCs w:val="20"/>
              </w:rPr>
            </w:pPr>
            <w:r w:rsidRPr="00172374">
              <w:rPr>
                <w:sz w:val="20"/>
                <w:szCs w:val="20"/>
              </w:rPr>
              <w:t>Position of interviewees in company</w:t>
            </w:r>
          </w:p>
        </w:tc>
        <w:tc>
          <w:tcPr>
            <w:tcW w:w="2552" w:type="dxa"/>
            <w:shd w:val="clear" w:color="auto" w:fill="auto"/>
            <w:vAlign w:val="center"/>
          </w:tcPr>
          <w:p w14:paraId="479C1BED" w14:textId="1BDD2D30" w:rsidR="0070070B" w:rsidRPr="00172374" w:rsidRDefault="0070070B" w:rsidP="00E42398">
            <w:pPr>
              <w:rPr>
                <w:sz w:val="20"/>
                <w:szCs w:val="20"/>
              </w:rPr>
            </w:pPr>
            <w:r w:rsidRPr="00172374">
              <w:rPr>
                <w:sz w:val="20"/>
                <w:szCs w:val="20"/>
              </w:rPr>
              <w:t xml:space="preserve">Chief </w:t>
            </w:r>
            <w:r w:rsidR="00212CAF" w:rsidRPr="00172374">
              <w:rPr>
                <w:sz w:val="20"/>
                <w:szCs w:val="20"/>
              </w:rPr>
              <w:t>m</w:t>
            </w:r>
            <w:r w:rsidRPr="00172374">
              <w:rPr>
                <w:sz w:val="20"/>
                <w:szCs w:val="20"/>
              </w:rPr>
              <w:t xml:space="preserve">arketing </w:t>
            </w:r>
            <w:r w:rsidR="00212CAF" w:rsidRPr="00172374">
              <w:rPr>
                <w:sz w:val="20"/>
                <w:szCs w:val="20"/>
              </w:rPr>
              <w:t>o</w:t>
            </w:r>
            <w:r w:rsidRPr="00172374">
              <w:rPr>
                <w:sz w:val="20"/>
                <w:szCs w:val="20"/>
              </w:rPr>
              <w:t>fficer</w:t>
            </w:r>
          </w:p>
        </w:tc>
        <w:tc>
          <w:tcPr>
            <w:tcW w:w="992" w:type="dxa"/>
            <w:shd w:val="clear" w:color="auto" w:fill="auto"/>
            <w:vAlign w:val="center"/>
          </w:tcPr>
          <w:p w14:paraId="4AE834E1" w14:textId="77777777" w:rsidR="0070070B" w:rsidRPr="00172374" w:rsidRDefault="00E858D3" w:rsidP="003238D0">
            <w:pPr>
              <w:jc w:val="center"/>
              <w:rPr>
                <w:sz w:val="20"/>
                <w:szCs w:val="20"/>
              </w:rPr>
            </w:pPr>
            <w:r w:rsidRPr="00172374">
              <w:rPr>
                <w:sz w:val="20"/>
                <w:szCs w:val="20"/>
              </w:rPr>
              <w:t>9</w:t>
            </w:r>
          </w:p>
        </w:tc>
        <w:tc>
          <w:tcPr>
            <w:tcW w:w="992" w:type="dxa"/>
            <w:shd w:val="clear" w:color="auto" w:fill="auto"/>
            <w:vAlign w:val="center"/>
          </w:tcPr>
          <w:p w14:paraId="49417727" w14:textId="77777777" w:rsidR="0070070B" w:rsidRPr="00172374" w:rsidRDefault="00E858D3" w:rsidP="003238D0">
            <w:pPr>
              <w:jc w:val="right"/>
              <w:rPr>
                <w:sz w:val="20"/>
                <w:szCs w:val="20"/>
              </w:rPr>
            </w:pPr>
            <w:r w:rsidRPr="00172374">
              <w:rPr>
                <w:sz w:val="20"/>
                <w:szCs w:val="20"/>
              </w:rPr>
              <w:t>52</w:t>
            </w:r>
            <w:r w:rsidR="0070070B" w:rsidRPr="00172374">
              <w:rPr>
                <w:sz w:val="20"/>
                <w:szCs w:val="20"/>
              </w:rPr>
              <w:t>.</w:t>
            </w:r>
            <w:r w:rsidRPr="00172374">
              <w:rPr>
                <w:sz w:val="20"/>
                <w:szCs w:val="20"/>
              </w:rPr>
              <w:t>9</w:t>
            </w:r>
            <w:r w:rsidR="0070070B" w:rsidRPr="00172374">
              <w:rPr>
                <w:sz w:val="20"/>
                <w:szCs w:val="20"/>
              </w:rPr>
              <w:t>%</w:t>
            </w:r>
          </w:p>
        </w:tc>
      </w:tr>
      <w:tr w:rsidR="0070070B" w:rsidRPr="00172374" w14:paraId="27F0275A" w14:textId="77777777" w:rsidTr="003238D0">
        <w:tc>
          <w:tcPr>
            <w:tcW w:w="3969" w:type="dxa"/>
            <w:vMerge/>
            <w:shd w:val="clear" w:color="auto" w:fill="auto"/>
          </w:tcPr>
          <w:p w14:paraId="573AD1C8" w14:textId="77777777" w:rsidR="0070070B" w:rsidRPr="00172374" w:rsidRDefault="0070070B" w:rsidP="00E42398">
            <w:pPr>
              <w:rPr>
                <w:sz w:val="20"/>
                <w:szCs w:val="20"/>
              </w:rPr>
            </w:pPr>
          </w:p>
        </w:tc>
        <w:tc>
          <w:tcPr>
            <w:tcW w:w="2552" w:type="dxa"/>
            <w:shd w:val="clear" w:color="auto" w:fill="auto"/>
            <w:vAlign w:val="center"/>
          </w:tcPr>
          <w:p w14:paraId="068EBBE7" w14:textId="27AF4E4F" w:rsidR="0070070B" w:rsidRPr="00172374" w:rsidRDefault="0070070B" w:rsidP="00E42398">
            <w:pPr>
              <w:rPr>
                <w:sz w:val="20"/>
                <w:szCs w:val="20"/>
              </w:rPr>
            </w:pPr>
            <w:r w:rsidRPr="00172374">
              <w:rPr>
                <w:sz w:val="20"/>
                <w:szCs w:val="20"/>
              </w:rPr>
              <w:t xml:space="preserve">Senior </w:t>
            </w:r>
            <w:r w:rsidR="00212CAF" w:rsidRPr="00172374">
              <w:rPr>
                <w:sz w:val="20"/>
                <w:szCs w:val="20"/>
              </w:rPr>
              <w:t>b</w:t>
            </w:r>
            <w:r w:rsidRPr="00172374">
              <w:rPr>
                <w:sz w:val="20"/>
                <w:szCs w:val="20"/>
              </w:rPr>
              <w:t xml:space="preserve">rand </w:t>
            </w:r>
            <w:r w:rsidR="00212CAF" w:rsidRPr="00172374">
              <w:rPr>
                <w:sz w:val="20"/>
                <w:szCs w:val="20"/>
              </w:rPr>
              <w:t>m</w:t>
            </w:r>
            <w:r w:rsidRPr="00172374">
              <w:rPr>
                <w:sz w:val="20"/>
                <w:szCs w:val="20"/>
              </w:rPr>
              <w:t>anager</w:t>
            </w:r>
          </w:p>
        </w:tc>
        <w:tc>
          <w:tcPr>
            <w:tcW w:w="992" w:type="dxa"/>
            <w:shd w:val="clear" w:color="auto" w:fill="auto"/>
            <w:vAlign w:val="center"/>
          </w:tcPr>
          <w:p w14:paraId="2CCB4305" w14:textId="77777777" w:rsidR="0070070B" w:rsidRPr="00172374" w:rsidRDefault="00E858D3" w:rsidP="003238D0">
            <w:pPr>
              <w:jc w:val="center"/>
              <w:rPr>
                <w:sz w:val="20"/>
                <w:szCs w:val="20"/>
              </w:rPr>
            </w:pPr>
            <w:r w:rsidRPr="00172374">
              <w:rPr>
                <w:sz w:val="20"/>
                <w:szCs w:val="20"/>
              </w:rPr>
              <w:t>8</w:t>
            </w:r>
          </w:p>
        </w:tc>
        <w:tc>
          <w:tcPr>
            <w:tcW w:w="992" w:type="dxa"/>
            <w:shd w:val="clear" w:color="auto" w:fill="auto"/>
            <w:vAlign w:val="center"/>
          </w:tcPr>
          <w:p w14:paraId="0CD6CFD7" w14:textId="77777777" w:rsidR="0070070B" w:rsidRPr="00172374" w:rsidRDefault="00E858D3" w:rsidP="003238D0">
            <w:pPr>
              <w:jc w:val="right"/>
              <w:rPr>
                <w:sz w:val="20"/>
                <w:szCs w:val="20"/>
              </w:rPr>
            </w:pPr>
            <w:r w:rsidRPr="00172374">
              <w:rPr>
                <w:sz w:val="20"/>
                <w:szCs w:val="20"/>
              </w:rPr>
              <w:t>47</w:t>
            </w:r>
            <w:r w:rsidR="0070070B" w:rsidRPr="00172374">
              <w:rPr>
                <w:sz w:val="20"/>
                <w:szCs w:val="20"/>
              </w:rPr>
              <w:t>.</w:t>
            </w:r>
            <w:r w:rsidRPr="00172374">
              <w:rPr>
                <w:sz w:val="20"/>
                <w:szCs w:val="20"/>
              </w:rPr>
              <w:t>1</w:t>
            </w:r>
            <w:r w:rsidR="0070070B" w:rsidRPr="00172374">
              <w:rPr>
                <w:sz w:val="20"/>
                <w:szCs w:val="20"/>
              </w:rPr>
              <w:t>%</w:t>
            </w:r>
          </w:p>
        </w:tc>
      </w:tr>
      <w:tr w:rsidR="0070070B" w:rsidRPr="00172374" w14:paraId="622044FF" w14:textId="77777777" w:rsidTr="003238D0">
        <w:tc>
          <w:tcPr>
            <w:tcW w:w="3969" w:type="dxa"/>
            <w:vMerge w:val="restart"/>
            <w:shd w:val="clear" w:color="auto" w:fill="auto"/>
          </w:tcPr>
          <w:p w14:paraId="43225CAB" w14:textId="77777777" w:rsidR="0070070B" w:rsidRPr="00172374" w:rsidRDefault="0070070B" w:rsidP="00E42398">
            <w:pPr>
              <w:rPr>
                <w:sz w:val="20"/>
                <w:szCs w:val="20"/>
              </w:rPr>
            </w:pPr>
            <w:r w:rsidRPr="00172374">
              <w:rPr>
                <w:sz w:val="20"/>
                <w:szCs w:val="20"/>
              </w:rPr>
              <w:t>Gender</w:t>
            </w:r>
          </w:p>
        </w:tc>
        <w:tc>
          <w:tcPr>
            <w:tcW w:w="2552" w:type="dxa"/>
            <w:shd w:val="clear" w:color="auto" w:fill="auto"/>
            <w:vAlign w:val="center"/>
          </w:tcPr>
          <w:p w14:paraId="1849F613" w14:textId="77777777" w:rsidR="0070070B" w:rsidRPr="00172374" w:rsidRDefault="0070070B" w:rsidP="00E42398">
            <w:pPr>
              <w:rPr>
                <w:sz w:val="20"/>
                <w:szCs w:val="20"/>
              </w:rPr>
            </w:pPr>
            <w:r w:rsidRPr="00172374">
              <w:rPr>
                <w:sz w:val="20"/>
                <w:szCs w:val="20"/>
              </w:rPr>
              <w:t>Male</w:t>
            </w:r>
          </w:p>
        </w:tc>
        <w:tc>
          <w:tcPr>
            <w:tcW w:w="992" w:type="dxa"/>
            <w:shd w:val="clear" w:color="auto" w:fill="auto"/>
            <w:vAlign w:val="center"/>
          </w:tcPr>
          <w:p w14:paraId="6871E43B" w14:textId="77777777" w:rsidR="0070070B" w:rsidRPr="00172374" w:rsidRDefault="0070070B" w:rsidP="003238D0">
            <w:pPr>
              <w:jc w:val="center"/>
              <w:rPr>
                <w:sz w:val="20"/>
                <w:szCs w:val="20"/>
              </w:rPr>
            </w:pPr>
            <w:r w:rsidRPr="00172374">
              <w:rPr>
                <w:sz w:val="20"/>
                <w:szCs w:val="20"/>
              </w:rPr>
              <w:t>10</w:t>
            </w:r>
          </w:p>
        </w:tc>
        <w:tc>
          <w:tcPr>
            <w:tcW w:w="992" w:type="dxa"/>
            <w:shd w:val="clear" w:color="auto" w:fill="auto"/>
            <w:vAlign w:val="center"/>
          </w:tcPr>
          <w:p w14:paraId="744DA783" w14:textId="77777777" w:rsidR="0070070B" w:rsidRPr="00172374" w:rsidRDefault="0070070B" w:rsidP="003238D0">
            <w:pPr>
              <w:jc w:val="right"/>
              <w:rPr>
                <w:sz w:val="20"/>
                <w:szCs w:val="20"/>
              </w:rPr>
            </w:pPr>
            <w:r w:rsidRPr="00172374">
              <w:rPr>
                <w:sz w:val="20"/>
                <w:szCs w:val="20"/>
              </w:rPr>
              <w:t>58.8%</w:t>
            </w:r>
          </w:p>
        </w:tc>
      </w:tr>
      <w:tr w:rsidR="0070070B" w:rsidRPr="00172374" w14:paraId="47B7CA0A" w14:textId="77777777" w:rsidTr="003238D0">
        <w:tc>
          <w:tcPr>
            <w:tcW w:w="3969" w:type="dxa"/>
            <w:vMerge/>
            <w:shd w:val="clear" w:color="auto" w:fill="auto"/>
          </w:tcPr>
          <w:p w14:paraId="0B03E6F2" w14:textId="77777777" w:rsidR="0070070B" w:rsidRPr="00172374" w:rsidRDefault="0070070B" w:rsidP="00E42398">
            <w:pPr>
              <w:rPr>
                <w:sz w:val="20"/>
                <w:szCs w:val="20"/>
              </w:rPr>
            </w:pPr>
          </w:p>
        </w:tc>
        <w:tc>
          <w:tcPr>
            <w:tcW w:w="2552" w:type="dxa"/>
            <w:shd w:val="clear" w:color="auto" w:fill="auto"/>
            <w:vAlign w:val="center"/>
          </w:tcPr>
          <w:p w14:paraId="2FBF9281" w14:textId="77777777" w:rsidR="0070070B" w:rsidRPr="00172374" w:rsidRDefault="0070070B" w:rsidP="00E42398">
            <w:pPr>
              <w:rPr>
                <w:sz w:val="20"/>
                <w:szCs w:val="20"/>
              </w:rPr>
            </w:pPr>
            <w:r w:rsidRPr="00172374">
              <w:rPr>
                <w:sz w:val="20"/>
                <w:szCs w:val="20"/>
              </w:rPr>
              <w:t>Female</w:t>
            </w:r>
          </w:p>
        </w:tc>
        <w:tc>
          <w:tcPr>
            <w:tcW w:w="992" w:type="dxa"/>
            <w:shd w:val="clear" w:color="auto" w:fill="auto"/>
            <w:vAlign w:val="center"/>
          </w:tcPr>
          <w:p w14:paraId="6364285E" w14:textId="77777777" w:rsidR="0070070B" w:rsidRPr="00172374" w:rsidRDefault="0070070B" w:rsidP="003238D0">
            <w:pPr>
              <w:jc w:val="center"/>
              <w:rPr>
                <w:sz w:val="20"/>
                <w:szCs w:val="20"/>
              </w:rPr>
            </w:pPr>
            <w:r w:rsidRPr="00172374">
              <w:rPr>
                <w:sz w:val="20"/>
                <w:szCs w:val="20"/>
              </w:rPr>
              <w:t>7</w:t>
            </w:r>
          </w:p>
        </w:tc>
        <w:tc>
          <w:tcPr>
            <w:tcW w:w="992" w:type="dxa"/>
            <w:shd w:val="clear" w:color="auto" w:fill="auto"/>
            <w:vAlign w:val="center"/>
          </w:tcPr>
          <w:p w14:paraId="146D7F42" w14:textId="77777777" w:rsidR="0070070B" w:rsidRPr="00172374" w:rsidRDefault="0070070B" w:rsidP="003238D0">
            <w:pPr>
              <w:jc w:val="right"/>
              <w:rPr>
                <w:sz w:val="20"/>
                <w:szCs w:val="20"/>
              </w:rPr>
            </w:pPr>
            <w:r w:rsidRPr="00172374">
              <w:rPr>
                <w:sz w:val="20"/>
                <w:szCs w:val="20"/>
              </w:rPr>
              <w:t>41.2%</w:t>
            </w:r>
          </w:p>
        </w:tc>
      </w:tr>
      <w:tr w:rsidR="0070070B" w:rsidRPr="00172374" w14:paraId="1F9588D4" w14:textId="77777777" w:rsidTr="003238D0">
        <w:tc>
          <w:tcPr>
            <w:tcW w:w="3969" w:type="dxa"/>
            <w:vMerge w:val="restart"/>
            <w:shd w:val="clear" w:color="auto" w:fill="auto"/>
          </w:tcPr>
          <w:p w14:paraId="70CEAAE9" w14:textId="77777777" w:rsidR="0070070B" w:rsidRPr="00172374" w:rsidRDefault="0070070B" w:rsidP="00E42398">
            <w:pPr>
              <w:rPr>
                <w:sz w:val="20"/>
                <w:szCs w:val="20"/>
              </w:rPr>
            </w:pPr>
            <w:r w:rsidRPr="00172374">
              <w:rPr>
                <w:sz w:val="20"/>
                <w:szCs w:val="20"/>
              </w:rPr>
              <w:t>Age of interviewees</w:t>
            </w:r>
          </w:p>
        </w:tc>
        <w:tc>
          <w:tcPr>
            <w:tcW w:w="2552" w:type="dxa"/>
            <w:shd w:val="clear" w:color="auto" w:fill="auto"/>
            <w:vAlign w:val="center"/>
          </w:tcPr>
          <w:p w14:paraId="437F9F36" w14:textId="77777777" w:rsidR="0070070B" w:rsidRPr="00172374" w:rsidRDefault="0070070B" w:rsidP="00E42398">
            <w:pPr>
              <w:rPr>
                <w:sz w:val="20"/>
                <w:szCs w:val="20"/>
              </w:rPr>
            </w:pPr>
            <w:r w:rsidRPr="00172374">
              <w:rPr>
                <w:sz w:val="20"/>
                <w:szCs w:val="20"/>
              </w:rPr>
              <w:t>35-40</w:t>
            </w:r>
          </w:p>
        </w:tc>
        <w:tc>
          <w:tcPr>
            <w:tcW w:w="992" w:type="dxa"/>
            <w:shd w:val="clear" w:color="auto" w:fill="auto"/>
            <w:vAlign w:val="center"/>
          </w:tcPr>
          <w:p w14:paraId="120BAA1F" w14:textId="77777777" w:rsidR="0070070B" w:rsidRPr="00172374" w:rsidRDefault="0070070B" w:rsidP="003238D0">
            <w:pPr>
              <w:jc w:val="center"/>
              <w:rPr>
                <w:sz w:val="20"/>
                <w:szCs w:val="20"/>
              </w:rPr>
            </w:pPr>
            <w:r w:rsidRPr="00172374">
              <w:rPr>
                <w:sz w:val="20"/>
                <w:szCs w:val="20"/>
              </w:rPr>
              <w:t>4</w:t>
            </w:r>
          </w:p>
        </w:tc>
        <w:tc>
          <w:tcPr>
            <w:tcW w:w="992" w:type="dxa"/>
            <w:shd w:val="clear" w:color="auto" w:fill="auto"/>
            <w:vAlign w:val="center"/>
          </w:tcPr>
          <w:p w14:paraId="648A1005" w14:textId="77777777" w:rsidR="0070070B" w:rsidRPr="00172374" w:rsidRDefault="0070070B" w:rsidP="003238D0">
            <w:pPr>
              <w:jc w:val="right"/>
              <w:rPr>
                <w:sz w:val="20"/>
                <w:szCs w:val="20"/>
              </w:rPr>
            </w:pPr>
            <w:r w:rsidRPr="00172374">
              <w:rPr>
                <w:sz w:val="20"/>
                <w:szCs w:val="20"/>
              </w:rPr>
              <w:t>23.5%</w:t>
            </w:r>
          </w:p>
        </w:tc>
      </w:tr>
      <w:tr w:rsidR="0070070B" w:rsidRPr="00172374" w14:paraId="72A2DE9D" w14:textId="77777777" w:rsidTr="003238D0">
        <w:tc>
          <w:tcPr>
            <w:tcW w:w="3969" w:type="dxa"/>
            <w:vMerge/>
            <w:shd w:val="clear" w:color="auto" w:fill="auto"/>
          </w:tcPr>
          <w:p w14:paraId="46AEEDE7" w14:textId="77777777" w:rsidR="0070070B" w:rsidRPr="00172374" w:rsidRDefault="0070070B" w:rsidP="00E42398">
            <w:pPr>
              <w:rPr>
                <w:sz w:val="20"/>
                <w:szCs w:val="20"/>
              </w:rPr>
            </w:pPr>
          </w:p>
        </w:tc>
        <w:tc>
          <w:tcPr>
            <w:tcW w:w="2552" w:type="dxa"/>
            <w:shd w:val="clear" w:color="auto" w:fill="auto"/>
            <w:vAlign w:val="center"/>
          </w:tcPr>
          <w:p w14:paraId="3FE99C4C" w14:textId="77777777" w:rsidR="0070070B" w:rsidRPr="00172374" w:rsidRDefault="0070070B" w:rsidP="00E42398">
            <w:pPr>
              <w:rPr>
                <w:sz w:val="20"/>
                <w:szCs w:val="20"/>
              </w:rPr>
            </w:pPr>
            <w:r w:rsidRPr="00172374">
              <w:rPr>
                <w:sz w:val="20"/>
                <w:szCs w:val="20"/>
              </w:rPr>
              <w:t>&gt;40</w:t>
            </w:r>
          </w:p>
        </w:tc>
        <w:tc>
          <w:tcPr>
            <w:tcW w:w="992" w:type="dxa"/>
            <w:shd w:val="clear" w:color="auto" w:fill="auto"/>
            <w:vAlign w:val="center"/>
          </w:tcPr>
          <w:p w14:paraId="001DE03D" w14:textId="77777777" w:rsidR="0070070B" w:rsidRPr="00172374" w:rsidRDefault="0070070B" w:rsidP="003238D0">
            <w:pPr>
              <w:jc w:val="center"/>
              <w:rPr>
                <w:sz w:val="20"/>
                <w:szCs w:val="20"/>
              </w:rPr>
            </w:pPr>
            <w:r w:rsidRPr="00172374">
              <w:rPr>
                <w:sz w:val="20"/>
                <w:szCs w:val="20"/>
              </w:rPr>
              <w:t>13</w:t>
            </w:r>
          </w:p>
        </w:tc>
        <w:tc>
          <w:tcPr>
            <w:tcW w:w="992" w:type="dxa"/>
            <w:shd w:val="clear" w:color="auto" w:fill="auto"/>
            <w:vAlign w:val="center"/>
          </w:tcPr>
          <w:p w14:paraId="1530225C" w14:textId="77777777" w:rsidR="0070070B" w:rsidRPr="00172374" w:rsidRDefault="0070070B" w:rsidP="003238D0">
            <w:pPr>
              <w:jc w:val="right"/>
              <w:rPr>
                <w:sz w:val="20"/>
                <w:szCs w:val="20"/>
              </w:rPr>
            </w:pPr>
            <w:r w:rsidRPr="00172374">
              <w:rPr>
                <w:sz w:val="20"/>
                <w:szCs w:val="20"/>
              </w:rPr>
              <w:t>76.5%</w:t>
            </w:r>
          </w:p>
        </w:tc>
      </w:tr>
      <w:tr w:rsidR="0070070B" w:rsidRPr="00172374" w14:paraId="71798A3E" w14:textId="77777777" w:rsidTr="003238D0">
        <w:tc>
          <w:tcPr>
            <w:tcW w:w="3969" w:type="dxa"/>
            <w:vMerge w:val="restart"/>
            <w:shd w:val="clear" w:color="auto" w:fill="auto"/>
          </w:tcPr>
          <w:p w14:paraId="6D432845" w14:textId="0B5BE99F" w:rsidR="0070070B" w:rsidRPr="00172374" w:rsidRDefault="0070070B" w:rsidP="00E42398">
            <w:pPr>
              <w:rPr>
                <w:sz w:val="20"/>
                <w:szCs w:val="20"/>
              </w:rPr>
            </w:pPr>
            <w:r w:rsidRPr="00172374">
              <w:rPr>
                <w:sz w:val="20"/>
                <w:szCs w:val="20"/>
              </w:rPr>
              <w:t>Educational level</w:t>
            </w:r>
          </w:p>
        </w:tc>
        <w:tc>
          <w:tcPr>
            <w:tcW w:w="2552" w:type="dxa"/>
            <w:shd w:val="clear" w:color="auto" w:fill="auto"/>
            <w:vAlign w:val="center"/>
          </w:tcPr>
          <w:p w14:paraId="446CDF6B" w14:textId="77777777" w:rsidR="0070070B" w:rsidRPr="00172374" w:rsidRDefault="0070070B" w:rsidP="00E42398">
            <w:pPr>
              <w:rPr>
                <w:sz w:val="20"/>
                <w:szCs w:val="20"/>
              </w:rPr>
            </w:pPr>
            <w:r w:rsidRPr="00172374">
              <w:rPr>
                <w:sz w:val="20"/>
                <w:szCs w:val="20"/>
              </w:rPr>
              <w:t>Graduate degree</w:t>
            </w:r>
          </w:p>
        </w:tc>
        <w:tc>
          <w:tcPr>
            <w:tcW w:w="992" w:type="dxa"/>
            <w:shd w:val="clear" w:color="auto" w:fill="auto"/>
            <w:vAlign w:val="center"/>
          </w:tcPr>
          <w:p w14:paraId="1FC3EB8F" w14:textId="77777777" w:rsidR="0070070B" w:rsidRPr="00172374" w:rsidRDefault="0070070B" w:rsidP="003238D0">
            <w:pPr>
              <w:jc w:val="center"/>
              <w:rPr>
                <w:sz w:val="20"/>
                <w:szCs w:val="20"/>
              </w:rPr>
            </w:pPr>
            <w:r w:rsidRPr="00172374">
              <w:rPr>
                <w:sz w:val="20"/>
                <w:szCs w:val="20"/>
              </w:rPr>
              <w:t>3</w:t>
            </w:r>
          </w:p>
        </w:tc>
        <w:tc>
          <w:tcPr>
            <w:tcW w:w="992" w:type="dxa"/>
            <w:shd w:val="clear" w:color="auto" w:fill="auto"/>
            <w:vAlign w:val="center"/>
          </w:tcPr>
          <w:p w14:paraId="3A307EB4" w14:textId="77777777" w:rsidR="0070070B" w:rsidRPr="00172374" w:rsidRDefault="0070070B" w:rsidP="003238D0">
            <w:pPr>
              <w:jc w:val="right"/>
              <w:rPr>
                <w:sz w:val="20"/>
                <w:szCs w:val="20"/>
              </w:rPr>
            </w:pPr>
            <w:r w:rsidRPr="00172374">
              <w:rPr>
                <w:sz w:val="20"/>
                <w:szCs w:val="20"/>
              </w:rPr>
              <w:t>17.6%</w:t>
            </w:r>
          </w:p>
        </w:tc>
      </w:tr>
      <w:tr w:rsidR="0070070B" w:rsidRPr="00172374" w14:paraId="4F447FBE" w14:textId="77777777" w:rsidTr="003238D0">
        <w:tc>
          <w:tcPr>
            <w:tcW w:w="3969" w:type="dxa"/>
            <w:vMerge/>
            <w:shd w:val="clear" w:color="auto" w:fill="auto"/>
          </w:tcPr>
          <w:p w14:paraId="5EB957F8" w14:textId="77777777" w:rsidR="0070070B" w:rsidRPr="00172374" w:rsidRDefault="0070070B" w:rsidP="00E42398">
            <w:pPr>
              <w:rPr>
                <w:sz w:val="20"/>
                <w:szCs w:val="20"/>
              </w:rPr>
            </w:pPr>
          </w:p>
        </w:tc>
        <w:tc>
          <w:tcPr>
            <w:tcW w:w="2552" w:type="dxa"/>
            <w:shd w:val="clear" w:color="auto" w:fill="auto"/>
            <w:vAlign w:val="center"/>
          </w:tcPr>
          <w:p w14:paraId="0770B138" w14:textId="77777777" w:rsidR="0070070B" w:rsidRPr="00172374" w:rsidRDefault="0070070B" w:rsidP="00E42398">
            <w:pPr>
              <w:rPr>
                <w:sz w:val="20"/>
                <w:szCs w:val="20"/>
              </w:rPr>
            </w:pPr>
            <w:r w:rsidRPr="00172374">
              <w:rPr>
                <w:sz w:val="20"/>
                <w:szCs w:val="20"/>
              </w:rPr>
              <w:t>1 Post-graduate degree</w:t>
            </w:r>
          </w:p>
        </w:tc>
        <w:tc>
          <w:tcPr>
            <w:tcW w:w="992" w:type="dxa"/>
            <w:shd w:val="clear" w:color="auto" w:fill="auto"/>
            <w:vAlign w:val="center"/>
          </w:tcPr>
          <w:p w14:paraId="094B68F2" w14:textId="77777777" w:rsidR="0070070B" w:rsidRPr="00172374" w:rsidRDefault="0070070B" w:rsidP="003238D0">
            <w:pPr>
              <w:jc w:val="center"/>
              <w:rPr>
                <w:sz w:val="20"/>
                <w:szCs w:val="20"/>
              </w:rPr>
            </w:pPr>
            <w:r w:rsidRPr="00172374">
              <w:rPr>
                <w:sz w:val="20"/>
                <w:szCs w:val="20"/>
              </w:rPr>
              <w:t>11</w:t>
            </w:r>
          </w:p>
        </w:tc>
        <w:tc>
          <w:tcPr>
            <w:tcW w:w="992" w:type="dxa"/>
            <w:shd w:val="clear" w:color="auto" w:fill="auto"/>
            <w:vAlign w:val="center"/>
          </w:tcPr>
          <w:p w14:paraId="2D05B6D9" w14:textId="77777777" w:rsidR="0070070B" w:rsidRPr="00172374" w:rsidRDefault="0070070B" w:rsidP="003238D0">
            <w:pPr>
              <w:jc w:val="right"/>
              <w:rPr>
                <w:sz w:val="20"/>
                <w:szCs w:val="20"/>
              </w:rPr>
            </w:pPr>
            <w:r w:rsidRPr="00172374">
              <w:rPr>
                <w:sz w:val="20"/>
                <w:szCs w:val="20"/>
              </w:rPr>
              <w:t>64.8%</w:t>
            </w:r>
          </w:p>
        </w:tc>
      </w:tr>
      <w:tr w:rsidR="0070070B" w:rsidRPr="00172374" w14:paraId="0C9A6768" w14:textId="77777777" w:rsidTr="007A0AEE">
        <w:tc>
          <w:tcPr>
            <w:tcW w:w="3969" w:type="dxa"/>
            <w:vMerge/>
            <w:shd w:val="clear" w:color="auto" w:fill="auto"/>
          </w:tcPr>
          <w:p w14:paraId="11E57EDB" w14:textId="77777777" w:rsidR="0070070B" w:rsidRPr="00172374" w:rsidRDefault="0070070B" w:rsidP="00E42398">
            <w:pPr>
              <w:rPr>
                <w:sz w:val="20"/>
                <w:szCs w:val="20"/>
              </w:rPr>
            </w:pPr>
          </w:p>
        </w:tc>
        <w:tc>
          <w:tcPr>
            <w:tcW w:w="2552" w:type="dxa"/>
            <w:shd w:val="clear" w:color="auto" w:fill="auto"/>
            <w:vAlign w:val="center"/>
          </w:tcPr>
          <w:p w14:paraId="2C406170" w14:textId="77777777" w:rsidR="0070070B" w:rsidRPr="00172374" w:rsidRDefault="0070070B" w:rsidP="00E42398">
            <w:pPr>
              <w:rPr>
                <w:sz w:val="20"/>
                <w:szCs w:val="20"/>
              </w:rPr>
            </w:pPr>
            <w:r w:rsidRPr="00172374">
              <w:rPr>
                <w:sz w:val="20"/>
                <w:szCs w:val="20"/>
              </w:rPr>
              <w:t>&gt;1 Post-graduate degrees</w:t>
            </w:r>
          </w:p>
        </w:tc>
        <w:tc>
          <w:tcPr>
            <w:tcW w:w="992" w:type="dxa"/>
            <w:shd w:val="clear" w:color="auto" w:fill="auto"/>
            <w:vAlign w:val="center"/>
          </w:tcPr>
          <w:p w14:paraId="3CE6E346" w14:textId="77777777" w:rsidR="0070070B" w:rsidRPr="00172374" w:rsidRDefault="0070070B" w:rsidP="003238D0">
            <w:pPr>
              <w:jc w:val="center"/>
              <w:rPr>
                <w:sz w:val="20"/>
                <w:szCs w:val="20"/>
              </w:rPr>
            </w:pPr>
            <w:r w:rsidRPr="00172374">
              <w:rPr>
                <w:sz w:val="20"/>
                <w:szCs w:val="20"/>
              </w:rPr>
              <w:t>3</w:t>
            </w:r>
          </w:p>
        </w:tc>
        <w:tc>
          <w:tcPr>
            <w:tcW w:w="992" w:type="dxa"/>
            <w:shd w:val="clear" w:color="auto" w:fill="auto"/>
            <w:vAlign w:val="center"/>
          </w:tcPr>
          <w:p w14:paraId="00A9C941" w14:textId="77777777" w:rsidR="0070070B" w:rsidRPr="00172374" w:rsidRDefault="0070070B" w:rsidP="003238D0">
            <w:pPr>
              <w:jc w:val="right"/>
              <w:rPr>
                <w:sz w:val="20"/>
                <w:szCs w:val="20"/>
              </w:rPr>
            </w:pPr>
            <w:r w:rsidRPr="00172374">
              <w:rPr>
                <w:sz w:val="20"/>
                <w:szCs w:val="20"/>
              </w:rPr>
              <w:t>17.6%</w:t>
            </w:r>
          </w:p>
        </w:tc>
      </w:tr>
      <w:tr w:rsidR="0070070B" w:rsidRPr="00172374" w14:paraId="5DAB99D3" w14:textId="77777777" w:rsidTr="007A0AEE">
        <w:tc>
          <w:tcPr>
            <w:tcW w:w="3969" w:type="dxa"/>
            <w:vMerge w:val="restart"/>
            <w:tcBorders>
              <w:bottom w:val="single" w:sz="4" w:space="0" w:color="auto"/>
            </w:tcBorders>
            <w:shd w:val="clear" w:color="auto" w:fill="auto"/>
          </w:tcPr>
          <w:p w14:paraId="1A7DBB61" w14:textId="601E1FB9" w:rsidR="0070070B" w:rsidRPr="00172374" w:rsidRDefault="0070070B" w:rsidP="00E42398">
            <w:pPr>
              <w:rPr>
                <w:sz w:val="20"/>
                <w:szCs w:val="20"/>
              </w:rPr>
            </w:pPr>
            <w:r w:rsidRPr="00172374">
              <w:rPr>
                <w:sz w:val="20"/>
                <w:szCs w:val="20"/>
              </w:rPr>
              <w:t>Professional experience in marketing</w:t>
            </w:r>
            <w:r w:rsidR="00212CAF" w:rsidRPr="00172374">
              <w:rPr>
                <w:sz w:val="20"/>
                <w:szCs w:val="20"/>
              </w:rPr>
              <w:t>-</w:t>
            </w:r>
            <w:r w:rsidRPr="00172374">
              <w:rPr>
                <w:sz w:val="20"/>
                <w:szCs w:val="20"/>
              </w:rPr>
              <w:t>/branding</w:t>
            </w:r>
            <w:r w:rsidR="00212CAF" w:rsidRPr="00172374">
              <w:rPr>
                <w:sz w:val="20"/>
                <w:szCs w:val="20"/>
              </w:rPr>
              <w:t>-</w:t>
            </w:r>
            <w:r w:rsidRPr="00172374">
              <w:rPr>
                <w:sz w:val="20"/>
                <w:szCs w:val="20"/>
              </w:rPr>
              <w:t>related position</w:t>
            </w:r>
          </w:p>
        </w:tc>
        <w:tc>
          <w:tcPr>
            <w:tcW w:w="2552" w:type="dxa"/>
            <w:shd w:val="clear" w:color="auto" w:fill="auto"/>
            <w:vAlign w:val="center"/>
          </w:tcPr>
          <w:p w14:paraId="648A38DD" w14:textId="77777777" w:rsidR="0070070B" w:rsidRPr="00172374" w:rsidRDefault="0070070B" w:rsidP="00E42398">
            <w:pPr>
              <w:rPr>
                <w:sz w:val="20"/>
                <w:szCs w:val="20"/>
              </w:rPr>
            </w:pPr>
            <w:r w:rsidRPr="00172374">
              <w:rPr>
                <w:sz w:val="20"/>
                <w:szCs w:val="20"/>
              </w:rPr>
              <w:t>&lt;5 years</w:t>
            </w:r>
          </w:p>
        </w:tc>
        <w:tc>
          <w:tcPr>
            <w:tcW w:w="992" w:type="dxa"/>
            <w:shd w:val="clear" w:color="auto" w:fill="auto"/>
            <w:vAlign w:val="center"/>
          </w:tcPr>
          <w:p w14:paraId="25B45675" w14:textId="77777777" w:rsidR="0070070B" w:rsidRPr="00172374" w:rsidRDefault="0070070B" w:rsidP="003238D0">
            <w:pPr>
              <w:jc w:val="center"/>
              <w:rPr>
                <w:sz w:val="20"/>
                <w:szCs w:val="20"/>
              </w:rPr>
            </w:pPr>
            <w:r w:rsidRPr="00172374">
              <w:rPr>
                <w:sz w:val="20"/>
                <w:szCs w:val="20"/>
              </w:rPr>
              <w:t>0</w:t>
            </w:r>
          </w:p>
        </w:tc>
        <w:tc>
          <w:tcPr>
            <w:tcW w:w="992" w:type="dxa"/>
            <w:shd w:val="clear" w:color="auto" w:fill="auto"/>
            <w:vAlign w:val="center"/>
          </w:tcPr>
          <w:p w14:paraId="12659256" w14:textId="77777777" w:rsidR="0070070B" w:rsidRPr="00172374" w:rsidRDefault="0070070B" w:rsidP="003238D0">
            <w:pPr>
              <w:jc w:val="right"/>
              <w:rPr>
                <w:sz w:val="20"/>
                <w:szCs w:val="20"/>
              </w:rPr>
            </w:pPr>
            <w:r w:rsidRPr="00172374">
              <w:rPr>
                <w:sz w:val="20"/>
                <w:szCs w:val="20"/>
              </w:rPr>
              <w:t>0%</w:t>
            </w:r>
          </w:p>
        </w:tc>
      </w:tr>
      <w:bookmarkEnd w:id="48"/>
      <w:tr w:rsidR="0070070B" w:rsidRPr="00172374" w14:paraId="0F96D3F6" w14:textId="77777777" w:rsidTr="007A0AEE">
        <w:tc>
          <w:tcPr>
            <w:tcW w:w="3969" w:type="dxa"/>
            <w:vMerge/>
            <w:tcBorders>
              <w:bottom w:val="single" w:sz="4" w:space="0" w:color="auto"/>
            </w:tcBorders>
            <w:shd w:val="clear" w:color="auto" w:fill="auto"/>
          </w:tcPr>
          <w:p w14:paraId="1B39106B" w14:textId="77777777" w:rsidR="0070070B" w:rsidRPr="00172374" w:rsidRDefault="0070070B" w:rsidP="00E42398">
            <w:pPr>
              <w:rPr>
                <w:sz w:val="20"/>
                <w:szCs w:val="20"/>
              </w:rPr>
            </w:pPr>
          </w:p>
        </w:tc>
        <w:tc>
          <w:tcPr>
            <w:tcW w:w="2552" w:type="dxa"/>
            <w:shd w:val="clear" w:color="auto" w:fill="auto"/>
            <w:vAlign w:val="center"/>
          </w:tcPr>
          <w:p w14:paraId="77378766" w14:textId="7EB3E76D" w:rsidR="0070070B" w:rsidRPr="00172374" w:rsidRDefault="0070070B" w:rsidP="00E42398">
            <w:pPr>
              <w:rPr>
                <w:sz w:val="20"/>
                <w:szCs w:val="20"/>
              </w:rPr>
            </w:pPr>
            <w:r w:rsidRPr="00172374">
              <w:rPr>
                <w:sz w:val="20"/>
                <w:szCs w:val="20"/>
              </w:rPr>
              <w:t>5</w:t>
            </w:r>
            <w:r w:rsidR="00212CAF" w:rsidRPr="00172374">
              <w:rPr>
                <w:sz w:val="20"/>
                <w:szCs w:val="20"/>
              </w:rPr>
              <w:t>–</w:t>
            </w:r>
            <w:r w:rsidRPr="00172374">
              <w:rPr>
                <w:sz w:val="20"/>
                <w:szCs w:val="20"/>
              </w:rPr>
              <w:t>10 years</w:t>
            </w:r>
          </w:p>
        </w:tc>
        <w:tc>
          <w:tcPr>
            <w:tcW w:w="992" w:type="dxa"/>
            <w:shd w:val="clear" w:color="auto" w:fill="auto"/>
            <w:vAlign w:val="center"/>
          </w:tcPr>
          <w:p w14:paraId="28524C8B" w14:textId="77777777" w:rsidR="0070070B" w:rsidRPr="00172374" w:rsidRDefault="0070070B" w:rsidP="003238D0">
            <w:pPr>
              <w:jc w:val="center"/>
              <w:rPr>
                <w:sz w:val="20"/>
                <w:szCs w:val="20"/>
              </w:rPr>
            </w:pPr>
            <w:r w:rsidRPr="00172374">
              <w:rPr>
                <w:sz w:val="20"/>
                <w:szCs w:val="20"/>
              </w:rPr>
              <w:t>8</w:t>
            </w:r>
          </w:p>
        </w:tc>
        <w:tc>
          <w:tcPr>
            <w:tcW w:w="992" w:type="dxa"/>
            <w:shd w:val="clear" w:color="auto" w:fill="auto"/>
            <w:vAlign w:val="center"/>
          </w:tcPr>
          <w:p w14:paraId="784F26F7" w14:textId="77777777" w:rsidR="0070070B" w:rsidRPr="00172374" w:rsidRDefault="0070070B" w:rsidP="003238D0">
            <w:pPr>
              <w:jc w:val="right"/>
              <w:rPr>
                <w:sz w:val="20"/>
                <w:szCs w:val="20"/>
              </w:rPr>
            </w:pPr>
            <w:r w:rsidRPr="00172374">
              <w:rPr>
                <w:sz w:val="20"/>
                <w:szCs w:val="20"/>
              </w:rPr>
              <w:t>23.5%</w:t>
            </w:r>
          </w:p>
        </w:tc>
      </w:tr>
      <w:tr w:rsidR="0070070B" w:rsidRPr="00172374" w14:paraId="1DA4907B" w14:textId="77777777" w:rsidTr="007A0AEE">
        <w:tc>
          <w:tcPr>
            <w:tcW w:w="3969" w:type="dxa"/>
            <w:vMerge/>
            <w:tcBorders>
              <w:bottom w:val="single" w:sz="4" w:space="0" w:color="auto"/>
            </w:tcBorders>
            <w:shd w:val="clear" w:color="auto" w:fill="auto"/>
          </w:tcPr>
          <w:p w14:paraId="284E2C28" w14:textId="77777777" w:rsidR="0070070B" w:rsidRPr="00172374" w:rsidRDefault="0070070B" w:rsidP="00E42398">
            <w:pPr>
              <w:rPr>
                <w:sz w:val="20"/>
                <w:szCs w:val="20"/>
              </w:rPr>
            </w:pPr>
          </w:p>
        </w:tc>
        <w:tc>
          <w:tcPr>
            <w:tcW w:w="2552" w:type="dxa"/>
            <w:shd w:val="clear" w:color="auto" w:fill="auto"/>
            <w:vAlign w:val="center"/>
          </w:tcPr>
          <w:p w14:paraId="5A00BF50" w14:textId="56C23E07" w:rsidR="0070070B" w:rsidRPr="00172374" w:rsidRDefault="0070070B" w:rsidP="00E42398">
            <w:pPr>
              <w:rPr>
                <w:sz w:val="20"/>
                <w:szCs w:val="20"/>
              </w:rPr>
            </w:pPr>
            <w:r w:rsidRPr="00172374">
              <w:rPr>
                <w:sz w:val="20"/>
                <w:szCs w:val="20"/>
              </w:rPr>
              <w:t>11</w:t>
            </w:r>
            <w:r w:rsidR="00212CAF" w:rsidRPr="00172374">
              <w:rPr>
                <w:sz w:val="20"/>
                <w:szCs w:val="20"/>
              </w:rPr>
              <w:t>–</w:t>
            </w:r>
            <w:r w:rsidRPr="00172374">
              <w:rPr>
                <w:sz w:val="20"/>
                <w:szCs w:val="20"/>
              </w:rPr>
              <w:t>15</w:t>
            </w:r>
          </w:p>
        </w:tc>
        <w:tc>
          <w:tcPr>
            <w:tcW w:w="992" w:type="dxa"/>
            <w:shd w:val="clear" w:color="auto" w:fill="auto"/>
            <w:vAlign w:val="center"/>
          </w:tcPr>
          <w:p w14:paraId="69B85686" w14:textId="77777777" w:rsidR="0070070B" w:rsidRPr="00172374" w:rsidRDefault="0070070B" w:rsidP="003238D0">
            <w:pPr>
              <w:jc w:val="center"/>
              <w:rPr>
                <w:sz w:val="20"/>
                <w:szCs w:val="20"/>
              </w:rPr>
            </w:pPr>
            <w:r w:rsidRPr="00172374">
              <w:rPr>
                <w:sz w:val="20"/>
                <w:szCs w:val="20"/>
              </w:rPr>
              <w:t>4</w:t>
            </w:r>
          </w:p>
        </w:tc>
        <w:tc>
          <w:tcPr>
            <w:tcW w:w="992" w:type="dxa"/>
            <w:shd w:val="clear" w:color="auto" w:fill="auto"/>
            <w:vAlign w:val="center"/>
          </w:tcPr>
          <w:p w14:paraId="5FDC3330" w14:textId="77777777" w:rsidR="0070070B" w:rsidRPr="00172374" w:rsidRDefault="0070070B" w:rsidP="003238D0">
            <w:pPr>
              <w:jc w:val="right"/>
              <w:rPr>
                <w:sz w:val="20"/>
                <w:szCs w:val="20"/>
              </w:rPr>
            </w:pPr>
            <w:r w:rsidRPr="00172374">
              <w:rPr>
                <w:sz w:val="20"/>
                <w:szCs w:val="20"/>
              </w:rPr>
              <w:t>35.3%</w:t>
            </w:r>
          </w:p>
        </w:tc>
      </w:tr>
      <w:tr w:rsidR="0070070B" w:rsidRPr="00172374" w14:paraId="53CF3EFB" w14:textId="77777777" w:rsidTr="007A0AEE">
        <w:tc>
          <w:tcPr>
            <w:tcW w:w="3969" w:type="dxa"/>
            <w:vMerge/>
            <w:tcBorders>
              <w:bottom w:val="single" w:sz="4" w:space="0" w:color="auto"/>
            </w:tcBorders>
            <w:shd w:val="clear" w:color="auto" w:fill="auto"/>
          </w:tcPr>
          <w:p w14:paraId="4D478291" w14:textId="77777777" w:rsidR="0070070B" w:rsidRPr="00172374" w:rsidRDefault="0070070B" w:rsidP="00E42398">
            <w:pPr>
              <w:rPr>
                <w:sz w:val="20"/>
                <w:szCs w:val="20"/>
              </w:rPr>
            </w:pPr>
          </w:p>
        </w:tc>
        <w:tc>
          <w:tcPr>
            <w:tcW w:w="2552" w:type="dxa"/>
            <w:tcBorders>
              <w:bottom w:val="single" w:sz="4" w:space="0" w:color="auto"/>
            </w:tcBorders>
            <w:shd w:val="clear" w:color="auto" w:fill="auto"/>
            <w:vAlign w:val="center"/>
          </w:tcPr>
          <w:p w14:paraId="4B68E43E" w14:textId="74D26F14" w:rsidR="0070070B" w:rsidRPr="00172374" w:rsidRDefault="0070070B" w:rsidP="00E42398">
            <w:pPr>
              <w:rPr>
                <w:sz w:val="20"/>
                <w:szCs w:val="20"/>
              </w:rPr>
            </w:pPr>
            <w:r w:rsidRPr="00172374">
              <w:rPr>
                <w:sz w:val="20"/>
                <w:szCs w:val="20"/>
              </w:rPr>
              <w:t>&gt;15 years</w:t>
            </w:r>
          </w:p>
        </w:tc>
        <w:tc>
          <w:tcPr>
            <w:tcW w:w="992" w:type="dxa"/>
            <w:tcBorders>
              <w:bottom w:val="single" w:sz="4" w:space="0" w:color="auto"/>
            </w:tcBorders>
            <w:shd w:val="clear" w:color="auto" w:fill="auto"/>
            <w:vAlign w:val="center"/>
          </w:tcPr>
          <w:p w14:paraId="12090A20" w14:textId="77777777" w:rsidR="0070070B" w:rsidRPr="00172374" w:rsidRDefault="0070070B" w:rsidP="003238D0">
            <w:pPr>
              <w:jc w:val="center"/>
              <w:rPr>
                <w:sz w:val="20"/>
                <w:szCs w:val="20"/>
              </w:rPr>
            </w:pPr>
            <w:r w:rsidRPr="00172374">
              <w:rPr>
                <w:sz w:val="20"/>
                <w:szCs w:val="20"/>
              </w:rPr>
              <w:t>5</w:t>
            </w:r>
          </w:p>
        </w:tc>
        <w:tc>
          <w:tcPr>
            <w:tcW w:w="992" w:type="dxa"/>
            <w:tcBorders>
              <w:bottom w:val="single" w:sz="4" w:space="0" w:color="auto"/>
            </w:tcBorders>
            <w:shd w:val="clear" w:color="auto" w:fill="auto"/>
            <w:vAlign w:val="center"/>
          </w:tcPr>
          <w:p w14:paraId="7FD61ACE" w14:textId="77777777" w:rsidR="0070070B" w:rsidRPr="00172374" w:rsidRDefault="0070070B" w:rsidP="003238D0">
            <w:pPr>
              <w:jc w:val="right"/>
              <w:rPr>
                <w:sz w:val="20"/>
                <w:szCs w:val="20"/>
              </w:rPr>
            </w:pPr>
            <w:r w:rsidRPr="00172374">
              <w:rPr>
                <w:sz w:val="20"/>
                <w:szCs w:val="20"/>
              </w:rPr>
              <w:t>41.2%%</w:t>
            </w:r>
          </w:p>
        </w:tc>
      </w:tr>
      <w:bookmarkEnd w:id="47"/>
    </w:tbl>
    <w:p w14:paraId="50AFFD9F" w14:textId="77777777" w:rsidR="00B21591" w:rsidRPr="00172374" w:rsidRDefault="00B21591" w:rsidP="000D59B1">
      <w:pPr>
        <w:spacing w:line="480" w:lineRule="auto"/>
      </w:pPr>
    </w:p>
    <w:p w14:paraId="0AA19FD2" w14:textId="77777777" w:rsidR="008430F0" w:rsidRPr="00172374" w:rsidRDefault="008430F0" w:rsidP="000D59B1">
      <w:pPr>
        <w:spacing w:line="480" w:lineRule="auto"/>
        <w:rPr>
          <w:b/>
        </w:rPr>
        <w:sectPr w:rsidR="008430F0" w:rsidRPr="00172374" w:rsidSect="008F2AE7">
          <w:pgSz w:w="11906" w:h="16838"/>
          <w:pgMar w:top="1418" w:right="1418" w:bottom="1418" w:left="1418" w:header="708" w:footer="708" w:gutter="0"/>
          <w:cols w:space="708"/>
          <w:titlePg/>
          <w:docGrid w:linePitch="360"/>
        </w:sectPr>
      </w:pPr>
    </w:p>
    <w:p w14:paraId="757CF3B5" w14:textId="77777777" w:rsidR="007E4ABA" w:rsidRPr="00172374" w:rsidRDefault="007E4ABA" w:rsidP="000D59B1">
      <w:pPr>
        <w:tabs>
          <w:tab w:val="left" w:pos="-284"/>
          <w:tab w:val="left" w:pos="0"/>
          <w:tab w:val="left" w:pos="142"/>
        </w:tabs>
        <w:spacing w:line="480" w:lineRule="auto"/>
        <w:ind w:hanging="360"/>
      </w:pPr>
    </w:p>
    <w:tbl>
      <w:tblPr>
        <w:tblW w:w="14884" w:type="dxa"/>
        <w:tblInd w:w="-709" w:type="dxa"/>
        <w:tblLayout w:type="fixed"/>
        <w:tblLook w:val="04A0" w:firstRow="1" w:lastRow="0" w:firstColumn="1" w:lastColumn="0" w:noHBand="0" w:noVBand="1"/>
      </w:tblPr>
      <w:tblGrid>
        <w:gridCol w:w="2269"/>
        <w:gridCol w:w="7229"/>
        <w:gridCol w:w="2126"/>
        <w:gridCol w:w="2126"/>
        <w:gridCol w:w="1134"/>
      </w:tblGrid>
      <w:tr w:rsidR="007E4ABA" w:rsidRPr="00172374" w14:paraId="115FB2D0" w14:textId="77777777" w:rsidTr="00985C3F">
        <w:trPr>
          <w:trHeight w:val="535"/>
        </w:trPr>
        <w:tc>
          <w:tcPr>
            <w:tcW w:w="14884" w:type="dxa"/>
            <w:gridSpan w:val="5"/>
            <w:tcBorders>
              <w:bottom w:val="single" w:sz="4" w:space="0" w:color="auto"/>
            </w:tcBorders>
          </w:tcPr>
          <w:p w14:paraId="559E5E57" w14:textId="4CBE2BCF" w:rsidR="00077542" w:rsidRPr="00172374" w:rsidRDefault="007E4ABA" w:rsidP="00077542">
            <w:pPr>
              <w:spacing w:after="60"/>
              <w:rPr>
                <w:b/>
              </w:rPr>
            </w:pPr>
            <w:bookmarkStart w:id="49" w:name="_Hlk26452952"/>
            <w:r w:rsidRPr="00172374">
              <w:rPr>
                <w:b/>
              </w:rPr>
              <w:t xml:space="preserve">Table </w:t>
            </w:r>
            <w:r w:rsidR="009C55D7" w:rsidRPr="00172374">
              <w:rPr>
                <w:b/>
              </w:rPr>
              <w:t>6</w:t>
            </w:r>
          </w:p>
          <w:p w14:paraId="3796058D" w14:textId="257BDA0B" w:rsidR="007E4ABA" w:rsidRPr="00172374" w:rsidRDefault="009D0C89" w:rsidP="00077542">
            <w:pPr>
              <w:spacing w:after="60"/>
              <w:rPr>
                <w:b/>
              </w:rPr>
            </w:pPr>
            <w:r w:rsidRPr="00172374">
              <w:t xml:space="preserve">Study 1: </w:t>
            </w:r>
            <w:r w:rsidR="007E4ABA" w:rsidRPr="00172374">
              <w:t xml:space="preserve">Analyzing interview data/coding scheme </w:t>
            </w:r>
            <w:r w:rsidR="00212CAF" w:rsidRPr="00172374">
              <w:t>(</w:t>
            </w:r>
            <w:r w:rsidR="007E4ABA" w:rsidRPr="00172374">
              <w:t xml:space="preserve">brand orientation </w:t>
            </w:r>
            <w:r w:rsidR="008306BB" w:rsidRPr="00172374">
              <w:t>dimensions</w:t>
            </w:r>
            <w:r w:rsidR="007E4ABA" w:rsidRPr="00172374">
              <w:t xml:space="preserve"> as reported by </w:t>
            </w:r>
            <w:bookmarkEnd w:id="49"/>
            <w:r w:rsidR="00212CAF" w:rsidRPr="00172374">
              <w:t>chief marketing officers and senior brand managers).</w:t>
            </w:r>
            <w:r w:rsidR="00212CAF" w:rsidRPr="00172374">
              <w:rPr>
                <w:i/>
                <w:iCs/>
              </w:rPr>
              <w:t xml:space="preserve"> </w:t>
            </w:r>
            <w:r>
              <w:rPr>
                <w:i/>
                <w:iCs/>
              </w:rPr>
              <w:t xml:space="preserve"> </w:t>
            </w:r>
          </w:p>
        </w:tc>
      </w:tr>
      <w:tr w:rsidR="008306BB" w:rsidRPr="00172374" w14:paraId="41298C59" w14:textId="77777777" w:rsidTr="005C14FF">
        <w:tc>
          <w:tcPr>
            <w:tcW w:w="2269" w:type="dxa"/>
            <w:tcBorders>
              <w:top w:val="single" w:sz="4" w:space="0" w:color="auto"/>
              <w:bottom w:val="single" w:sz="4" w:space="0" w:color="auto"/>
            </w:tcBorders>
            <w:vAlign w:val="center"/>
          </w:tcPr>
          <w:p w14:paraId="1F5B9F12" w14:textId="2196D1DB" w:rsidR="008306BB" w:rsidRPr="00172374" w:rsidRDefault="00212CAF" w:rsidP="008306BB">
            <w:pPr>
              <w:jc w:val="center"/>
              <w:rPr>
                <w:b/>
                <w:sz w:val="22"/>
                <w:szCs w:val="22"/>
              </w:rPr>
            </w:pPr>
            <w:r w:rsidRPr="00172374">
              <w:rPr>
                <w:b/>
                <w:i/>
                <w:sz w:val="22"/>
                <w:szCs w:val="22"/>
              </w:rPr>
              <w:t>First-</w:t>
            </w:r>
            <w:r w:rsidR="008306BB" w:rsidRPr="00172374">
              <w:rPr>
                <w:b/>
                <w:i/>
                <w:sz w:val="22"/>
                <w:szCs w:val="22"/>
              </w:rPr>
              <w:t xml:space="preserve">order </w:t>
            </w:r>
            <w:r w:rsidR="00F35EEC" w:rsidRPr="00172374">
              <w:rPr>
                <w:b/>
                <w:i/>
                <w:sz w:val="22"/>
                <w:szCs w:val="22"/>
              </w:rPr>
              <w:t>themes</w:t>
            </w:r>
          </w:p>
        </w:tc>
        <w:tc>
          <w:tcPr>
            <w:tcW w:w="7229" w:type="dxa"/>
            <w:tcBorders>
              <w:top w:val="single" w:sz="4" w:space="0" w:color="auto"/>
              <w:bottom w:val="single" w:sz="4" w:space="0" w:color="auto"/>
            </w:tcBorders>
            <w:shd w:val="clear" w:color="auto" w:fill="auto"/>
            <w:vAlign w:val="center"/>
          </w:tcPr>
          <w:p w14:paraId="18F23049" w14:textId="77777777" w:rsidR="008306BB" w:rsidRPr="00172374" w:rsidRDefault="008306BB" w:rsidP="007E4ABA">
            <w:pPr>
              <w:jc w:val="center"/>
              <w:rPr>
                <w:b/>
                <w:sz w:val="22"/>
                <w:szCs w:val="22"/>
              </w:rPr>
            </w:pPr>
            <w:r w:rsidRPr="00172374">
              <w:rPr>
                <w:b/>
                <w:sz w:val="22"/>
                <w:szCs w:val="22"/>
              </w:rPr>
              <w:t>Indicative quotes of interviewees</w:t>
            </w:r>
          </w:p>
        </w:tc>
        <w:tc>
          <w:tcPr>
            <w:tcW w:w="4252" w:type="dxa"/>
            <w:gridSpan w:val="2"/>
            <w:tcBorders>
              <w:top w:val="single" w:sz="4" w:space="0" w:color="auto"/>
              <w:bottom w:val="single" w:sz="4" w:space="0" w:color="auto"/>
            </w:tcBorders>
            <w:shd w:val="clear" w:color="auto" w:fill="auto"/>
            <w:vAlign w:val="center"/>
          </w:tcPr>
          <w:p w14:paraId="1E332395" w14:textId="210865C4" w:rsidR="008306BB" w:rsidRPr="00172374" w:rsidRDefault="008306BB" w:rsidP="007E4ABA">
            <w:pPr>
              <w:jc w:val="center"/>
              <w:rPr>
                <w:b/>
                <w:sz w:val="22"/>
                <w:szCs w:val="22"/>
              </w:rPr>
            </w:pPr>
            <w:r w:rsidRPr="00172374">
              <w:rPr>
                <w:b/>
                <w:sz w:val="22"/>
                <w:szCs w:val="22"/>
              </w:rPr>
              <w:t xml:space="preserve">Distribution of </w:t>
            </w:r>
            <w:r w:rsidR="004518C6" w:rsidRPr="00172374">
              <w:rPr>
                <w:b/>
                <w:sz w:val="22"/>
                <w:szCs w:val="22"/>
              </w:rPr>
              <w:t>n</w:t>
            </w:r>
            <w:r w:rsidRPr="00172374">
              <w:rPr>
                <w:b/>
                <w:sz w:val="22"/>
                <w:szCs w:val="22"/>
              </w:rPr>
              <w:t>odes within and across transcripts</w:t>
            </w:r>
          </w:p>
        </w:tc>
        <w:tc>
          <w:tcPr>
            <w:tcW w:w="1134" w:type="dxa"/>
            <w:tcBorders>
              <w:top w:val="single" w:sz="4" w:space="0" w:color="auto"/>
              <w:bottom w:val="single" w:sz="4" w:space="0" w:color="auto"/>
            </w:tcBorders>
            <w:shd w:val="clear" w:color="auto" w:fill="auto"/>
          </w:tcPr>
          <w:p w14:paraId="2AE8D469" w14:textId="77777777" w:rsidR="008306BB" w:rsidRPr="00172374" w:rsidRDefault="008306BB" w:rsidP="007E4ABA">
            <w:pPr>
              <w:jc w:val="center"/>
              <w:rPr>
                <w:b/>
                <w:sz w:val="22"/>
                <w:szCs w:val="22"/>
              </w:rPr>
            </w:pPr>
          </w:p>
        </w:tc>
      </w:tr>
      <w:tr w:rsidR="007E4ABA" w:rsidRPr="00172374" w14:paraId="73C33516" w14:textId="77777777" w:rsidTr="005C14FF">
        <w:tc>
          <w:tcPr>
            <w:tcW w:w="2269" w:type="dxa"/>
            <w:tcBorders>
              <w:top w:val="single" w:sz="4" w:space="0" w:color="auto"/>
              <w:bottom w:val="single" w:sz="4" w:space="0" w:color="auto"/>
            </w:tcBorders>
          </w:tcPr>
          <w:p w14:paraId="71FA01C1" w14:textId="77777777" w:rsidR="007E4ABA" w:rsidRPr="00172374" w:rsidRDefault="007E4ABA" w:rsidP="007E4ABA">
            <w:pPr>
              <w:spacing w:before="40" w:after="40"/>
              <w:jc w:val="center"/>
              <w:rPr>
                <w:b/>
              </w:rPr>
            </w:pPr>
          </w:p>
        </w:tc>
        <w:tc>
          <w:tcPr>
            <w:tcW w:w="7229" w:type="dxa"/>
            <w:tcBorders>
              <w:top w:val="single" w:sz="4" w:space="0" w:color="auto"/>
              <w:bottom w:val="single" w:sz="4" w:space="0" w:color="auto"/>
            </w:tcBorders>
            <w:shd w:val="clear" w:color="auto" w:fill="auto"/>
          </w:tcPr>
          <w:p w14:paraId="1F2237A3" w14:textId="77777777" w:rsidR="007E4ABA" w:rsidRPr="00172374" w:rsidRDefault="007E4ABA" w:rsidP="007E4ABA">
            <w:pPr>
              <w:spacing w:before="40" w:after="40"/>
              <w:jc w:val="center"/>
              <w:rPr>
                <w:b/>
              </w:rPr>
            </w:pPr>
          </w:p>
        </w:tc>
        <w:tc>
          <w:tcPr>
            <w:tcW w:w="2126" w:type="dxa"/>
            <w:tcBorders>
              <w:top w:val="single" w:sz="4" w:space="0" w:color="auto"/>
              <w:bottom w:val="single" w:sz="4" w:space="0" w:color="auto"/>
            </w:tcBorders>
            <w:shd w:val="clear" w:color="auto" w:fill="auto"/>
            <w:vAlign w:val="center"/>
          </w:tcPr>
          <w:p w14:paraId="7EBD18B1" w14:textId="77777777" w:rsidR="007E4ABA" w:rsidRPr="00172374" w:rsidRDefault="007E4ABA" w:rsidP="007E4ABA">
            <w:pPr>
              <w:jc w:val="center"/>
              <w:rPr>
                <w:b/>
                <w:sz w:val="22"/>
                <w:szCs w:val="22"/>
              </w:rPr>
            </w:pPr>
            <w:r w:rsidRPr="00172374">
              <w:rPr>
                <w:b/>
                <w:sz w:val="22"/>
                <w:szCs w:val="22"/>
              </w:rPr>
              <w:t>Files</w:t>
            </w:r>
          </w:p>
          <w:p w14:paraId="37692C26" w14:textId="321E2461" w:rsidR="007E4ABA" w:rsidRPr="00172374" w:rsidRDefault="007E4ABA" w:rsidP="007E4ABA">
            <w:pPr>
              <w:jc w:val="center"/>
              <w:rPr>
                <w:bCs/>
                <w:sz w:val="20"/>
                <w:szCs w:val="20"/>
              </w:rPr>
            </w:pPr>
            <w:r w:rsidRPr="00172374">
              <w:rPr>
                <w:bCs/>
                <w:sz w:val="20"/>
                <w:szCs w:val="20"/>
              </w:rPr>
              <w:t xml:space="preserve">(Number of Interviews where the </w:t>
            </w:r>
            <w:r w:rsidR="00F35EEC" w:rsidRPr="00172374">
              <w:rPr>
                <w:bCs/>
                <w:sz w:val="20"/>
                <w:szCs w:val="20"/>
              </w:rPr>
              <w:t>theme/</w:t>
            </w:r>
            <w:r w:rsidR="009862A9" w:rsidRPr="00172374">
              <w:rPr>
                <w:bCs/>
                <w:sz w:val="20"/>
                <w:szCs w:val="20"/>
              </w:rPr>
              <w:t>n</w:t>
            </w:r>
            <w:r w:rsidRPr="00172374">
              <w:rPr>
                <w:bCs/>
                <w:sz w:val="20"/>
                <w:szCs w:val="20"/>
              </w:rPr>
              <w:t>ode appeared at least once)</w:t>
            </w:r>
          </w:p>
        </w:tc>
        <w:tc>
          <w:tcPr>
            <w:tcW w:w="2126" w:type="dxa"/>
            <w:tcBorders>
              <w:top w:val="single" w:sz="4" w:space="0" w:color="auto"/>
              <w:bottom w:val="single" w:sz="4" w:space="0" w:color="auto"/>
            </w:tcBorders>
            <w:shd w:val="clear" w:color="auto" w:fill="auto"/>
            <w:vAlign w:val="center"/>
          </w:tcPr>
          <w:p w14:paraId="58CF6C5E" w14:textId="77777777" w:rsidR="007E4ABA" w:rsidRPr="00172374" w:rsidRDefault="007E4ABA" w:rsidP="007E4ABA">
            <w:pPr>
              <w:jc w:val="center"/>
              <w:rPr>
                <w:b/>
                <w:sz w:val="22"/>
                <w:szCs w:val="22"/>
              </w:rPr>
            </w:pPr>
            <w:r w:rsidRPr="00172374">
              <w:rPr>
                <w:b/>
                <w:sz w:val="22"/>
                <w:szCs w:val="22"/>
              </w:rPr>
              <w:t>References</w:t>
            </w:r>
          </w:p>
          <w:p w14:paraId="287D45B1" w14:textId="77E24F3E" w:rsidR="007E4ABA" w:rsidRPr="00172374" w:rsidRDefault="007E4ABA" w:rsidP="00493C61">
            <w:pPr>
              <w:jc w:val="center"/>
              <w:rPr>
                <w:bCs/>
                <w:sz w:val="20"/>
                <w:szCs w:val="20"/>
              </w:rPr>
            </w:pPr>
            <w:r w:rsidRPr="00172374">
              <w:rPr>
                <w:bCs/>
                <w:sz w:val="20"/>
                <w:szCs w:val="20"/>
              </w:rPr>
              <w:t>(Individual passages of text wit</w:t>
            </w:r>
            <w:r w:rsidR="00493C61" w:rsidRPr="00172374">
              <w:rPr>
                <w:bCs/>
                <w:sz w:val="20"/>
                <w:szCs w:val="20"/>
              </w:rPr>
              <w:t xml:space="preserve">hin interviews coded at a given </w:t>
            </w:r>
            <w:r w:rsidR="009862A9" w:rsidRPr="00172374">
              <w:rPr>
                <w:bCs/>
                <w:sz w:val="20"/>
                <w:szCs w:val="20"/>
              </w:rPr>
              <w:t>n</w:t>
            </w:r>
            <w:r w:rsidRPr="00172374">
              <w:rPr>
                <w:bCs/>
                <w:sz w:val="20"/>
                <w:szCs w:val="20"/>
              </w:rPr>
              <w:t>ode)</w:t>
            </w:r>
          </w:p>
        </w:tc>
        <w:tc>
          <w:tcPr>
            <w:tcW w:w="1134" w:type="dxa"/>
            <w:tcBorders>
              <w:top w:val="single" w:sz="4" w:space="0" w:color="auto"/>
              <w:bottom w:val="single" w:sz="4" w:space="0" w:color="auto"/>
            </w:tcBorders>
            <w:shd w:val="clear" w:color="auto" w:fill="auto"/>
          </w:tcPr>
          <w:p w14:paraId="0CB0C005" w14:textId="4A549E38" w:rsidR="007E4ABA" w:rsidRPr="00172374" w:rsidRDefault="007E4ABA" w:rsidP="00212CAF">
            <w:pPr>
              <w:jc w:val="center"/>
              <w:rPr>
                <w:bCs/>
                <w:sz w:val="20"/>
                <w:szCs w:val="20"/>
              </w:rPr>
            </w:pPr>
            <w:r w:rsidRPr="00172374">
              <w:rPr>
                <w:b/>
                <w:sz w:val="20"/>
                <w:szCs w:val="20"/>
              </w:rPr>
              <w:t xml:space="preserve">Inter-rated </w:t>
            </w:r>
            <w:r w:rsidR="00212CAF" w:rsidRPr="00172374">
              <w:rPr>
                <w:b/>
                <w:sz w:val="20"/>
                <w:szCs w:val="20"/>
              </w:rPr>
              <w:t>r</w:t>
            </w:r>
            <w:r w:rsidRPr="00172374">
              <w:rPr>
                <w:b/>
                <w:sz w:val="20"/>
                <w:szCs w:val="20"/>
              </w:rPr>
              <w:t>eliability</w:t>
            </w:r>
          </w:p>
        </w:tc>
      </w:tr>
      <w:tr w:rsidR="00800B6C" w:rsidRPr="00172374" w14:paraId="18075A0D" w14:textId="77777777" w:rsidTr="005C14FF">
        <w:trPr>
          <w:trHeight w:val="430"/>
        </w:trPr>
        <w:tc>
          <w:tcPr>
            <w:tcW w:w="2269" w:type="dxa"/>
            <w:vMerge w:val="restart"/>
            <w:tcBorders>
              <w:top w:val="single" w:sz="4" w:space="0" w:color="auto"/>
            </w:tcBorders>
            <w:shd w:val="clear" w:color="auto" w:fill="auto"/>
            <w:vAlign w:val="center"/>
          </w:tcPr>
          <w:p w14:paraId="22D892D1" w14:textId="4FC4F45E" w:rsidR="00800B6C" w:rsidRPr="00172374" w:rsidRDefault="00800B6C" w:rsidP="003244DA">
            <w:pPr>
              <w:spacing w:after="60"/>
              <w:ind w:left="34"/>
              <w:rPr>
                <w:b/>
                <w:sz w:val="20"/>
                <w:szCs w:val="20"/>
              </w:rPr>
            </w:pPr>
            <w:r w:rsidRPr="00172374">
              <w:rPr>
                <w:b/>
                <w:sz w:val="20"/>
                <w:szCs w:val="20"/>
              </w:rPr>
              <w:t>B</w:t>
            </w:r>
            <w:r w:rsidR="009168A0" w:rsidRPr="00172374">
              <w:rPr>
                <w:b/>
                <w:sz w:val="20"/>
                <w:szCs w:val="20"/>
              </w:rPr>
              <w:t>IM</w:t>
            </w:r>
            <w:r w:rsidRPr="00172374">
              <w:rPr>
                <w:b/>
                <w:sz w:val="20"/>
                <w:szCs w:val="20"/>
              </w:rPr>
              <w:t xml:space="preserve">: </w:t>
            </w:r>
          </w:p>
          <w:p w14:paraId="69851F49" w14:textId="77777777" w:rsidR="00800B6C" w:rsidRPr="00172374" w:rsidRDefault="00800B6C" w:rsidP="00F35EEC">
            <w:pPr>
              <w:spacing w:after="120"/>
              <w:ind w:left="34"/>
              <w:rPr>
                <w:b/>
                <w:i/>
                <w:iCs/>
                <w:sz w:val="20"/>
                <w:szCs w:val="20"/>
              </w:rPr>
            </w:pPr>
            <w:r w:rsidRPr="00172374">
              <w:rPr>
                <w:bCs/>
                <w:i/>
                <w:iCs/>
                <w:sz w:val="20"/>
                <w:szCs w:val="20"/>
              </w:rPr>
              <w:t>The</w:t>
            </w:r>
            <w:r w:rsidRPr="00172374">
              <w:rPr>
                <w:b/>
                <w:i/>
                <w:iCs/>
                <w:sz w:val="20"/>
                <w:szCs w:val="20"/>
              </w:rPr>
              <w:t xml:space="preserve"> </w:t>
            </w:r>
            <w:r w:rsidRPr="00172374">
              <w:rPr>
                <w:i/>
                <w:iCs/>
                <w:sz w:val="20"/>
                <w:szCs w:val="20"/>
              </w:rPr>
              <w:t>level of importance an organization attaches to its brands.</w:t>
            </w:r>
          </w:p>
          <w:p w14:paraId="330E18AD" w14:textId="77777777" w:rsidR="00800B6C" w:rsidRPr="00172374" w:rsidRDefault="00800B6C" w:rsidP="00800B6C">
            <w:pPr>
              <w:ind w:left="34"/>
              <w:rPr>
                <w:sz w:val="20"/>
                <w:szCs w:val="20"/>
              </w:rPr>
            </w:pPr>
          </w:p>
        </w:tc>
        <w:tc>
          <w:tcPr>
            <w:tcW w:w="7229" w:type="dxa"/>
            <w:shd w:val="clear" w:color="auto" w:fill="auto"/>
          </w:tcPr>
          <w:p w14:paraId="3ED56091" w14:textId="77777777" w:rsidR="00800B6C" w:rsidRPr="00172374" w:rsidRDefault="00800B6C" w:rsidP="00800B6C">
            <w:pPr>
              <w:spacing w:after="120"/>
              <w:jc w:val="both"/>
              <w:rPr>
                <w:i/>
                <w:sz w:val="20"/>
                <w:szCs w:val="20"/>
              </w:rPr>
            </w:pPr>
            <w:r w:rsidRPr="00172374">
              <w:rPr>
                <w:sz w:val="20"/>
                <w:szCs w:val="20"/>
              </w:rPr>
              <w:t xml:space="preserve">“...our brands constitute an unseparated part of our firm’s value and we consider them an important strategic asset. </w:t>
            </w:r>
            <w:r w:rsidRPr="00172374">
              <w:rPr>
                <w:rFonts w:ascii="Calibri" w:hAnsi="Calibri" w:cs="Calibri"/>
                <w:sz w:val="20"/>
                <w:szCs w:val="20"/>
              </w:rPr>
              <w:t>[…]</w:t>
            </w:r>
            <w:r w:rsidRPr="00172374">
              <w:rPr>
                <w:sz w:val="20"/>
                <w:szCs w:val="20"/>
              </w:rPr>
              <w:t xml:space="preserve"> They can even be argued to be the driver of our whole strategic planning process.” – M4</w:t>
            </w:r>
          </w:p>
        </w:tc>
        <w:tc>
          <w:tcPr>
            <w:tcW w:w="2126" w:type="dxa"/>
            <w:vMerge w:val="restart"/>
            <w:shd w:val="clear" w:color="auto" w:fill="auto"/>
          </w:tcPr>
          <w:p w14:paraId="1AE66B9A" w14:textId="77777777" w:rsidR="00800B6C" w:rsidRPr="00172374" w:rsidRDefault="00F35EEC" w:rsidP="00800B6C">
            <w:pPr>
              <w:jc w:val="center"/>
              <w:rPr>
                <w:sz w:val="20"/>
                <w:szCs w:val="20"/>
              </w:rPr>
            </w:pPr>
            <w:r w:rsidRPr="00172374">
              <w:rPr>
                <w:sz w:val="20"/>
                <w:szCs w:val="20"/>
              </w:rPr>
              <w:t>12</w:t>
            </w:r>
          </w:p>
        </w:tc>
        <w:tc>
          <w:tcPr>
            <w:tcW w:w="2126" w:type="dxa"/>
            <w:vMerge w:val="restart"/>
            <w:shd w:val="clear" w:color="auto" w:fill="auto"/>
          </w:tcPr>
          <w:p w14:paraId="14BAAD05" w14:textId="77777777" w:rsidR="00800B6C" w:rsidRPr="00172374" w:rsidRDefault="00800B6C" w:rsidP="00800B6C">
            <w:pPr>
              <w:jc w:val="center"/>
              <w:rPr>
                <w:sz w:val="20"/>
                <w:szCs w:val="20"/>
              </w:rPr>
            </w:pPr>
            <w:r w:rsidRPr="00172374">
              <w:rPr>
                <w:sz w:val="20"/>
                <w:szCs w:val="20"/>
              </w:rPr>
              <w:t>2</w:t>
            </w:r>
            <w:r w:rsidR="00F35EEC" w:rsidRPr="00172374">
              <w:rPr>
                <w:sz w:val="20"/>
                <w:szCs w:val="20"/>
              </w:rPr>
              <w:t>1</w:t>
            </w:r>
          </w:p>
        </w:tc>
        <w:tc>
          <w:tcPr>
            <w:tcW w:w="1134" w:type="dxa"/>
            <w:vMerge w:val="restart"/>
            <w:shd w:val="clear" w:color="auto" w:fill="auto"/>
          </w:tcPr>
          <w:p w14:paraId="588C4386" w14:textId="77777777" w:rsidR="00800B6C" w:rsidRPr="00172374" w:rsidRDefault="00800B6C" w:rsidP="00800B6C">
            <w:pPr>
              <w:jc w:val="center"/>
              <w:rPr>
                <w:sz w:val="20"/>
                <w:szCs w:val="20"/>
              </w:rPr>
            </w:pPr>
            <w:r w:rsidRPr="00172374">
              <w:rPr>
                <w:sz w:val="20"/>
                <w:szCs w:val="20"/>
              </w:rPr>
              <w:t>0.9</w:t>
            </w:r>
            <w:r w:rsidR="005C14FF" w:rsidRPr="00172374">
              <w:rPr>
                <w:sz w:val="20"/>
                <w:szCs w:val="20"/>
              </w:rPr>
              <w:t>0</w:t>
            </w:r>
          </w:p>
        </w:tc>
      </w:tr>
      <w:tr w:rsidR="00800B6C" w:rsidRPr="00172374" w14:paraId="469FDCC2" w14:textId="77777777" w:rsidTr="005C14FF">
        <w:trPr>
          <w:trHeight w:val="430"/>
        </w:trPr>
        <w:tc>
          <w:tcPr>
            <w:tcW w:w="2269" w:type="dxa"/>
            <w:vMerge/>
            <w:shd w:val="clear" w:color="auto" w:fill="auto"/>
            <w:vAlign w:val="center"/>
          </w:tcPr>
          <w:p w14:paraId="6D166D8D" w14:textId="77777777" w:rsidR="00800B6C" w:rsidRPr="00172374" w:rsidRDefault="00800B6C" w:rsidP="00800B6C">
            <w:pPr>
              <w:ind w:left="34"/>
              <w:rPr>
                <w:b/>
                <w:sz w:val="20"/>
                <w:szCs w:val="20"/>
              </w:rPr>
            </w:pPr>
          </w:p>
        </w:tc>
        <w:tc>
          <w:tcPr>
            <w:tcW w:w="7229" w:type="dxa"/>
            <w:shd w:val="clear" w:color="auto" w:fill="auto"/>
          </w:tcPr>
          <w:p w14:paraId="1075A958" w14:textId="77777777" w:rsidR="00800B6C" w:rsidRPr="00172374" w:rsidRDefault="00800B6C" w:rsidP="00800B6C">
            <w:pPr>
              <w:spacing w:after="120"/>
              <w:jc w:val="both"/>
              <w:rPr>
                <w:i/>
                <w:sz w:val="20"/>
                <w:szCs w:val="20"/>
              </w:rPr>
            </w:pPr>
            <w:r w:rsidRPr="00172374">
              <w:rPr>
                <w:sz w:val="20"/>
                <w:szCs w:val="20"/>
              </w:rPr>
              <w:t>“We view brand building as a critical element of our whole business strategy, directly attached to our company’s vision.” M7</w:t>
            </w:r>
          </w:p>
        </w:tc>
        <w:tc>
          <w:tcPr>
            <w:tcW w:w="2126" w:type="dxa"/>
            <w:vMerge/>
            <w:shd w:val="clear" w:color="auto" w:fill="auto"/>
          </w:tcPr>
          <w:p w14:paraId="0CEE56D6" w14:textId="77777777" w:rsidR="00800B6C" w:rsidRPr="00172374" w:rsidRDefault="00800B6C" w:rsidP="00800B6C">
            <w:pPr>
              <w:jc w:val="center"/>
              <w:rPr>
                <w:sz w:val="20"/>
                <w:szCs w:val="20"/>
              </w:rPr>
            </w:pPr>
          </w:p>
        </w:tc>
        <w:tc>
          <w:tcPr>
            <w:tcW w:w="2126" w:type="dxa"/>
            <w:vMerge/>
            <w:shd w:val="clear" w:color="auto" w:fill="auto"/>
          </w:tcPr>
          <w:p w14:paraId="2E85F642" w14:textId="77777777" w:rsidR="00800B6C" w:rsidRPr="00172374" w:rsidRDefault="00800B6C" w:rsidP="00800B6C">
            <w:pPr>
              <w:jc w:val="center"/>
              <w:rPr>
                <w:sz w:val="20"/>
                <w:szCs w:val="20"/>
              </w:rPr>
            </w:pPr>
          </w:p>
        </w:tc>
        <w:tc>
          <w:tcPr>
            <w:tcW w:w="1134" w:type="dxa"/>
            <w:vMerge/>
            <w:shd w:val="clear" w:color="auto" w:fill="auto"/>
          </w:tcPr>
          <w:p w14:paraId="64450363" w14:textId="77777777" w:rsidR="00800B6C" w:rsidRPr="00172374" w:rsidRDefault="00800B6C" w:rsidP="00800B6C">
            <w:pPr>
              <w:jc w:val="center"/>
              <w:rPr>
                <w:sz w:val="20"/>
                <w:szCs w:val="20"/>
              </w:rPr>
            </w:pPr>
          </w:p>
        </w:tc>
      </w:tr>
      <w:tr w:rsidR="00800B6C" w:rsidRPr="00172374" w14:paraId="39536006" w14:textId="77777777" w:rsidTr="005C14FF">
        <w:trPr>
          <w:trHeight w:val="430"/>
        </w:trPr>
        <w:tc>
          <w:tcPr>
            <w:tcW w:w="2269" w:type="dxa"/>
            <w:vMerge/>
            <w:shd w:val="clear" w:color="auto" w:fill="auto"/>
            <w:vAlign w:val="center"/>
          </w:tcPr>
          <w:p w14:paraId="7DE4D89D" w14:textId="77777777" w:rsidR="00800B6C" w:rsidRPr="00172374" w:rsidRDefault="00800B6C" w:rsidP="00800B6C">
            <w:pPr>
              <w:ind w:left="34"/>
              <w:rPr>
                <w:b/>
                <w:sz w:val="20"/>
                <w:szCs w:val="20"/>
              </w:rPr>
            </w:pPr>
          </w:p>
        </w:tc>
        <w:tc>
          <w:tcPr>
            <w:tcW w:w="7229" w:type="dxa"/>
            <w:shd w:val="clear" w:color="auto" w:fill="auto"/>
          </w:tcPr>
          <w:p w14:paraId="4F56EC94" w14:textId="77777777" w:rsidR="00800B6C" w:rsidRPr="00172374" w:rsidRDefault="00800B6C" w:rsidP="00800B6C">
            <w:pPr>
              <w:spacing w:after="120"/>
              <w:jc w:val="both"/>
              <w:rPr>
                <w:i/>
                <w:sz w:val="20"/>
                <w:szCs w:val="20"/>
              </w:rPr>
            </w:pPr>
            <w:r w:rsidRPr="00172374">
              <w:rPr>
                <w:sz w:val="20"/>
                <w:szCs w:val="20"/>
              </w:rPr>
              <w:t xml:space="preserve">We </w:t>
            </w:r>
            <w:proofErr w:type="gramStart"/>
            <w:r w:rsidRPr="00172374">
              <w:rPr>
                <w:sz w:val="20"/>
                <w:szCs w:val="20"/>
              </w:rPr>
              <w:t>don’t</w:t>
            </w:r>
            <w:proofErr w:type="gramEnd"/>
            <w:r w:rsidRPr="00172374">
              <w:rPr>
                <w:sz w:val="20"/>
                <w:szCs w:val="20"/>
              </w:rPr>
              <w:t xml:space="preserve"> see branding as a marketing communication issue. […] For us it is strategic and perceived as a core competence.” – M12</w:t>
            </w:r>
          </w:p>
        </w:tc>
        <w:tc>
          <w:tcPr>
            <w:tcW w:w="2126" w:type="dxa"/>
            <w:vMerge/>
            <w:shd w:val="clear" w:color="auto" w:fill="auto"/>
          </w:tcPr>
          <w:p w14:paraId="54BED92F" w14:textId="77777777" w:rsidR="00800B6C" w:rsidRPr="00172374" w:rsidRDefault="00800B6C" w:rsidP="00800B6C">
            <w:pPr>
              <w:jc w:val="center"/>
              <w:rPr>
                <w:sz w:val="20"/>
                <w:szCs w:val="20"/>
              </w:rPr>
            </w:pPr>
          </w:p>
        </w:tc>
        <w:tc>
          <w:tcPr>
            <w:tcW w:w="2126" w:type="dxa"/>
            <w:vMerge/>
            <w:shd w:val="clear" w:color="auto" w:fill="auto"/>
          </w:tcPr>
          <w:p w14:paraId="389EBDBC" w14:textId="77777777" w:rsidR="00800B6C" w:rsidRPr="00172374" w:rsidRDefault="00800B6C" w:rsidP="00800B6C">
            <w:pPr>
              <w:jc w:val="center"/>
              <w:rPr>
                <w:sz w:val="20"/>
                <w:szCs w:val="20"/>
              </w:rPr>
            </w:pPr>
          </w:p>
        </w:tc>
        <w:tc>
          <w:tcPr>
            <w:tcW w:w="1134" w:type="dxa"/>
            <w:vMerge/>
            <w:shd w:val="clear" w:color="auto" w:fill="auto"/>
          </w:tcPr>
          <w:p w14:paraId="3CE1B116" w14:textId="77777777" w:rsidR="00800B6C" w:rsidRPr="00172374" w:rsidRDefault="00800B6C" w:rsidP="00800B6C">
            <w:pPr>
              <w:jc w:val="center"/>
              <w:rPr>
                <w:sz w:val="20"/>
                <w:szCs w:val="20"/>
              </w:rPr>
            </w:pPr>
          </w:p>
        </w:tc>
      </w:tr>
      <w:tr w:rsidR="00800B6C" w:rsidRPr="00172374" w14:paraId="3D59C82E" w14:textId="77777777" w:rsidTr="005C14FF">
        <w:trPr>
          <w:trHeight w:val="570"/>
        </w:trPr>
        <w:tc>
          <w:tcPr>
            <w:tcW w:w="2269" w:type="dxa"/>
            <w:vMerge w:val="restart"/>
            <w:shd w:val="clear" w:color="auto" w:fill="auto"/>
          </w:tcPr>
          <w:p w14:paraId="4E97A783" w14:textId="093762D8" w:rsidR="00800B6C" w:rsidRPr="00172374" w:rsidRDefault="00800B6C" w:rsidP="003244DA">
            <w:pPr>
              <w:spacing w:after="60"/>
              <w:ind w:left="34"/>
              <w:rPr>
                <w:b/>
                <w:sz w:val="20"/>
                <w:szCs w:val="20"/>
              </w:rPr>
            </w:pPr>
            <w:r w:rsidRPr="00172374">
              <w:rPr>
                <w:b/>
                <w:sz w:val="20"/>
                <w:szCs w:val="20"/>
              </w:rPr>
              <w:t>B</w:t>
            </w:r>
            <w:r w:rsidR="005264E7" w:rsidRPr="00172374">
              <w:rPr>
                <w:b/>
                <w:sz w:val="20"/>
                <w:szCs w:val="20"/>
              </w:rPr>
              <w:t>CON</w:t>
            </w:r>
            <w:r w:rsidRPr="00172374">
              <w:rPr>
                <w:b/>
                <w:sz w:val="20"/>
                <w:szCs w:val="20"/>
              </w:rPr>
              <w:t xml:space="preserve">: </w:t>
            </w:r>
          </w:p>
          <w:p w14:paraId="2B02248F" w14:textId="2CD7B3BD" w:rsidR="00800B6C" w:rsidRPr="00172374" w:rsidRDefault="00800B6C" w:rsidP="00F35EEC">
            <w:pPr>
              <w:spacing w:after="120"/>
              <w:ind w:left="34"/>
              <w:rPr>
                <w:sz w:val="20"/>
                <w:szCs w:val="20"/>
              </w:rPr>
            </w:pPr>
            <w:r w:rsidRPr="00172374">
              <w:rPr>
                <w:bCs/>
                <w:i/>
                <w:iCs/>
                <w:sz w:val="20"/>
                <w:szCs w:val="20"/>
              </w:rPr>
              <w:t xml:space="preserve">The </w:t>
            </w:r>
            <w:r w:rsidRPr="00172374">
              <w:rPr>
                <w:i/>
                <w:iCs/>
                <w:sz w:val="20"/>
                <w:szCs w:val="20"/>
              </w:rPr>
              <w:t>extent to which an organization continuously coordinates all marketing activities in a way that guarantees the unvarying delivery of the brand values to the multiple touchpoints.</w:t>
            </w:r>
          </w:p>
        </w:tc>
        <w:tc>
          <w:tcPr>
            <w:tcW w:w="7229" w:type="dxa"/>
            <w:shd w:val="clear" w:color="auto" w:fill="auto"/>
          </w:tcPr>
          <w:p w14:paraId="0C413EDF" w14:textId="77777777" w:rsidR="00800B6C" w:rsidRPr="00172374" w:rsidRDefault="00800B6C" w:rsidP="00800B6C">
            <w:pPr>
              <w:spacing w:after="120"/>
              <w:jc w:val="both"/>
              <w:rPr>
                <w:sz w:val="20"/>
                <w:szCs w:val="20"/>
              </w:rPr>
            </w:pPr>
            <w:r w:rsidRPr="00172374">
              <w:rPr>
                <w:sz w:val="20"/>
                <w:szCs w:val="20"/>
              </w:rPr>
              <w:t>“</w:t>
            </w:r>
            <w:r w:rsidRPr="00172374">
              <w:rPr>
                <w:rFonts w:ascii="Calibri" w:hAnsi="Calibri" w:cs="Calibri"/>
                <w:sz w:val="20"/>
                <w:szCs w:val="20"/>
              </w:rPr>
              <w:t>[…]</w:t>
            </w:r>
            <w:r w:rsidRPr="00172374">
              <w:rPr>
                <w:sz w:val="20"/>
                <w:szCs w:val="20"/>
              </w:rPr>
              <w:t xml:space="preserve"> everything we do with our brand – every piece of paper, every ad, every press release, even the music that callers hear when placed on hold – are always connected to our brand values.” – M11 </w:t>
            </w:r>
          </w:p>
        </w:tc>
        <w:tc>
          <w:tcPr>
            <w:tcW w:w="2126" w:type="dxa"/>
            <w:vMerge w:val="restart"/>
            <w:shd w:val="clear" w:color="auto" w:fill="auto"/>
          </w:tcPr>
          <w:p w14:paraId="3E1597FA" w14:textId="77777777" w:rsidR="00800B6C" w:rsidRPr="00172374" w:rsidRDefault="00800B6C" w:rsidP="00800B6C">
            <w:pPr>
              <w:jc w:val="center"/>
              <w:rPr>
                <w:sz w:val="20"/>
                <w:szCs w:val="20"/>
              </w:rPr>
            </w:pPr>
            <w:r w:rsidRPr="00172374">
              <w:rPr>
                <w:sz w:val="20"/>
                <w:szCs w:val="20"/>
              </w:rPr>
              <w:t>1</w:t>
            </w:r>
            <w:r w:rsidR="00F35EEC" w:rsidRPr="00172374">
              <w:rPr>
                <w:sz w:val="20"/>
                <w:szCs w:val="20"/>
              </w:rPr>
              <w:t>5</w:t>
            </w:r>
          </w:p>
        </w:tc>
        <w:tc>
          <w:tcPr>
            <w:tcW w:w="2126" w:type="dxa"/>
            <w:vMerge w:val="restart"/>
            <w:shd w:val="clear" w:color="auto" w:fill="auto"/>
          </w:tcPr>
          <w:p w14:paraId="5D7416AE" w14:textId="77777777" w:rsidR="00800B6C" w:rsidRPr="00172374" w:rsidRDefault="00F35EEC" w:rsidP="00800B6C">
            <w:pPr>
              <w:jc w:val="center"/>
              <w:rPr>
                <w:sz w:val="20"/>
                <w:szCs w:val="20"/>
              </w:rPr>
            </w:pPr>
            <w:r w:rsidRPr="00172374">
              <w:rPr>
                <w:sz w:val="20"/>
                <w:szCs w:val="20"/>
              </w:rPr>
              <w:t>32</w:t>
            </w:r>
          </w:p>
        </w:tc>
        <w:tc>
          <w:tcPr>
            <w:tcW w:w="1134" w:type="dxa"/>
            <w:vMerge w:val="restart"/>
            <w:shd w:val="clear" w:color="auto" w:fill="auto"/>
          </w:tcPr>
          <w:p w14:paraId="4996E847" w14:textId="77777777" w:rsidR="00800B6C" w:rsidRPr="00172374" w:rsidRDefault="00800B6C" w:rsidP="00800B6C">
            <w:pPr>
              <w:jc w:val="center"/>
              <w:rPr>
                <w:sz w:val="20"/>
                <w:szCs w:val="20"/>
              </w:rPr>
            </w:pPr>
            <w:r w:rsidRPr="00172374">
              <w:rPr>
                <w:sz w:val="20"/>
                <w:szCs w:val="20"/>
              </w:rPr>
              <w:t>0.</w:t>
            </w:r>
            <w:r w:rsidR="005C14FF" w:rsidRPr="00172374">
              <w:rPr>
                <w:sz w:val="20"/>
                <w:szCs w:val="20"/>
              </w:rPr>
              <w:t>9</w:t>
            </w:r>
            <w:r w:rsidRPr="00172374">
              <w:rPr>
                <w:sz w:val="20"/>
                <w:szCs w:val="20"/>
              </w:rPr>
              <w:t>4</w:t>
            </w:r>
          </w:p>
        </w:tc>
      </w:tr>
      <w:tr w:rsidR="00800B6C" w:rsidRPr="00172374" w14:paraId="38167A51" w14:textId="77777777" w:rsidTr="005C14FF">
        <w:trPr>
          <w:trHeight w:val="570"/>
        </w:trPr>
        <w:tc>
          <w:tcPr>
            <w:tcW w:w="2269" w:type="dxa"/>
            <w:vMerge/>
            <w:shd w:val="clear" w:color="auto" w:fill="auto"/>
          </w:tcPr>
          <w:p w14:paraId="38616521" w14:textId="77777777" w:rsidR="00800B6C" w:rsidRPr="00172374" w:rsidRDefault="00800B6C" w:rsidP="00800B6C">
            <w:pPr>
              <w:ind w:left="34"/>
              <w:rPr>
                <w:b/>
                <w:sz w:val="20"/>
                <w:szCs w:val="20"/>
              </w:rPr>
            </w:pPr>
          </w:p>
        </w:tc>
        <w:tc>
          <w:tcPr>
            <w:tcW w:w="7229" w:type="dxa"/>
            <w:shd w:val="clear" w:color="auto" w:fill="auto"/>
          </w:tcPr>
          <w:p w14:paraId="0B71635B" w14:textId="77777777" w:rsidR="00800B6C" w:rsidRPr="00172374" w:rsidRDefault="00800B6C" w:rsidP="00800B6C">
            <w:pPr>
              <w:spacing w:after="120"/>
              <w:jc w:val="both"/>
              <w:rPr>
                <w:sz w:val="20"/>
                <w:szCs w:val="20"/>
              </w:rPr>
            </w:pPr>
            <w:r w:rsidRPr="00172374">
              <w:rPr>
                <w:sz w:val="20"/>
                <w:szCs w:val="20"/>
              </w:rPr>
              <w:t>“Our marketing mix elements are always coordinated to make sure that our brand’s relative advantage is clear and apparent to our target market.” – M7</w:t>
            </w:r>
          </w:p>
        </w:tc>
        <w:tc>
          <w:tcPr>
            <w:tcW w:w="2126" w:type="dxa"/>
            <w:vMerge/>
            <w:shd w:val="clear" w:color="auto" w:fill="auto"/>
          </w:tcPr>
          <w:p w14:paraId="17FD4EA9" w14:textId="77777777" w:rsidR="00800B6C" w:rsidRPr="00172374" w:rsidRDefault="00800B6C" w:rsidP="00800B6C">
            <w:pPr>
              <w:jc w:val="center"/>
              <w:rPr>
                <w:sz w:val="20"/>
                <w:szCs w:val="20"/>
              </w:rPr>
            </w:pPr>
          </w:p>
        </w:tc>
        <w:tc>
          <w:tcPr>
            <w:tcW w:w="2126" w:type="dxa"/>
            <w:vMerge/>
            <w:shd w:val="clear" w:color="auto" w:fill="auto"/>
          </w:tcPr>
          <w:p w14:paraId="6BBF7080" w14:textId="77777777" w:rsidR="00800B6C" w:rsidRPr="00172374" w:rsidRDefault="00800B6C" w:rsidP="00800B6C">
            <w:pPr>
              <w:jc w:val="center"/>
              <w:rPr>
                <w:sz w:val="20"/>
                <w:szCs w:val="20"/>
              </w:rPr>
            </w:pPr>
          </w:p>
        </w:tc>
        <w:tc>
          <w:tcPr>
            <w:tcW w:w="1134" w:type="dxa"/>
            <w:vMerge/>
            <w:shd w:val="clear" w:color="auto" w:fill="auto"/>
          </w:tcPr>
          <w:p w14:paraId="2A4BC6CD" w14:textId="77777777" w:rsidR="00800B6C" w:rsidRPr="00172374" w:rsidRDefault="00800B6C" w:rsidP="00800B6C">
            <w:pPr>
              <w:jc w:val="center"/>
              <w:rPr>
                <w:sz w:val="20"/>
                <w:szCs w:val="20"/>
              </w:rPr>
            </w:pPr>
          </w:p>
        </w:tc>
      </w:tr>
      <w:tr w:rsidR="00800B6C" w:rsidRPr="00172374" w14:paraId="615D6392" w14:textId="77777777" w:rsidTr="005C14FF">
        <w:trPr>
          <w:trHeight w:val="570"/>
        </w:trPr>
        <w:tc>
          <w:tcPr>
            <w:tcW w:w="2269" w:type="dxa"/>
            <w:vMerge/>
            <w:shd w:val="clear" w:color="auto" w:fill="auto"/>
          </w:tcPr>
          <w:p w14:paraId="515F5914" w14:textId="77777777" w:rsidR="00800B6C" w:rsidRPr="00172374" w:rsidRDefault="00800B6C" w:rsidP="00800B6C">
            <w:pPr>
              <w:ind w:left="34"/>
              <w:rPr>
                <w:b/>
                <w:sz w:val="20"/>
                <w:szCs w:val="20"/>
              </w:rPr>
            </w:pPr>
          </w:p>
        </w:tc>
        <w:tc>
          <w:tcPr>
            <w:tcW w:w="7229" w:type="dxa"/>
            <w:shd w:val="clear" w:color="auto" w:fill="auto"/>
          </w:tcPr>
          <w:p w14:paraId="51E9446F" w14:textId="77777777" w:rsidR="00800B6C" w:rsidRPr="00172374" w:rsidRDefault="00800B6C" w:rsidP="00800B6C">
            <w:pPr>
              <w:spacing w:after="120"/>
              <w:jc w:val="both"/>
              <w:rPr>
                <w:sz w:val="20"/>
                <w:szCs w:val="20"/>
              </w:rPr>
            </w:pPr>
            <w:r w:rsidRPr="00172374">
              <w:rPr>
                <w:sz w:val="20"/>
                <w:szCs w:val="20"/>
              </w:rPr>
              <w:t xml:space="preserve">“Consistent and clear positioning is essential. </w:t>
            </w:r>
            <w:r w:rsidRPr="00172374">
              <w:rPr>
                <w:rFonts w:ascii="Calibri" w:hAnsi="Calibri" w:cs="Calibri"/>
                <w:sz w:val="20"/>
                <w:szCs w:val="20"/>
              </w:rPr>
              <w:t xml:space="preserve">[…] </w:t>
            </w:r>
            <w:r w:rsidRPr="00172374">
              <w:rPr>
                <w:sz w:val="20"/>
                <w:szCs w:val="20"/>
              </w:rPr>
              <w:t>We try to coherently communicate our brand promise wherever there is contact with our customers.” – M9</w:t>
            </w:r>
          </w:p>
        </w:tc>
        <w:tc>
          <w:tcPr>
            <w:tcW w:w="2126" w:type="dxa"/>
            <w:vMerge/>
            <w:shd w:val="clear" w:color="auto" w:fill="auto"/>
          </w:tcPr>
          <w:p w14:paraId="7CF32CF0" w14:textId="77777777" w:rsidR="00800B6C" w:rsidRPr="00172374" w:rsidRDefault="00800B6C" w:rsidP="00800B6C">
            <w:pPr>
              <w:jc w:val="center"/>
              <w:rPr>
                <w:sz w:val="20"/>
                <w:szCs w:val="20"/>
              </w:rPr>
            </w:pPr>
          </w:p>
        </w:tc>
        <w:tc>
          <w:tcPr>
            <w:tcW w:w="2126" w:type="dxa"/>
            <w:vMerge/>
            <w:shd w:val="clear" w:color="auto" w:fill="auto"/>
          </w:tcPr>
          <w:p w14:paraId="180FF27E" w14:textId="77777777" w:rsidR="00800B6C" w:rsidRPr="00172374" w:rsidRDefault="00800B6C" w:rsidP="00800B6C">
            <w:pPr>
              <w:jc w:val="center"/>
              <w:rPr>
                <w:sz w:val="20"/>
                <w:szCs w:val="20"/>
              </w:rPr>
            </w:pPr>
          </w:p>
        </w:tc>
        <w:tc>
          <w:tcPr>
            <w:tcW w:w="1134" w:type="dxa"/>
            <w:vMerge/>
            <w:shd w:val="clear" w:color="auto" w:fill="auto"/>
          </w:tcPr>
          <w:p w14:paraId="36D696A1" w14:textId="77777777" w:rsidR="00800B6C" w:rsidRPr="00172374" w:rsidRDefault="00800B6C" w:rsidP="00800B6C">
            <w:pPr>
              <w:jc w:val="center"/>
              <w:rPr>
                <w:sz w:val="20"/>
                <w:szCs w:val="20"/>
              </w:rPr>
            </w:pPr>
          </w:p>
        </w:tc>
      </w:tr>
      <w:tr w:rsidR="00800B6C" w:rsidRPr="00172374" w14:paraId="65E81DA9" w14:textId="77777777" w:rsidTr="005C14FF">
        <w:trPr>
          <w:trHeight w:val="570"/>
        </w:trPr>
        <w:tc>
          <w:tcPr>
            <w:tcW w:w="2269" w:type="dxa"/>
            <w:vMerge/>
            <w:shd w:val="clear" w:color="auto" w:fill="auto"/>
          </w:tcPr>
          <w:p w14:paraId="56C1C402" w14:textId="77777777" w:rsidR="00800B6C" w:rsidRPr="00172374" w:rsidRDefault="00800B6C" w:rsidP="00800B6C">
            <w:pPr>
              <w:ind w:left="34"/>
              <w:rPr>
                <w:b/>
                <w:sz w:val="20"/>
                <w:szCs w:val="20"/>
              </w:rPr>
            </w:pPr>
          </w:p>
        </w:tc>
        <w:tc>
          <w:tcPr>
            <w:tcW w:w="7229" w:type="dxa"/>
            <w:shd w:val="clear" w:color="auto" w:fill="auto"/>
          </w:tcPr>
          <w:p w14:paraId="6289771D" w14:textId="77777777" w:rsidR="00800B6C" w:rsidRPr="00172374" w:rsidRDefault="00800B6C" w:rsidP="00800B6C">
            <w:pPr>
              <w:spacing w:after="120"/>
              <w:jc w:val="both"/>
              <w:rPr>
                <w:sz w:val="20"/>
                <w:szCs w:val="20"/>
              </w:rPr>
            </w:pPr>
            <w:r w:rsidRPr="00172374">
              <w:rPr>
                <w:sz w:val="20"/>
                <w:szCs w:val="20"/>
              </w:rPr>
              <w:t>“No matter how many employees come and go, our brand values remain the same.” – M1</w:t>
            </w:r>
          </w:p>
        </w:tc>
        <w:tc>
          <w:tcPr>
            <w:tcW w:w="2126" w:type="dxa"/>
            <w:vMerge/>
            <w:shd w:val="clear" w:color="auto" w:fill="auto"/>
          </w:tcPr>
          <w:p w14:paraId="4EAB6D13" w14:textId="77777777" w:rsidR="00800B6C" w:rsidRPr="00172374" w:rsidRDefault="00800B6C" w:rsidP="00800B6C">
            <w:pPr>
              <w:jc w:val="center"/>
              <w:rPr>
                <w:sz w:val="20"/>
                <w:szCs w:val="20"/>
              </w:rPr>
            </w:pPr>
          </w:p>
        </w:tc>
        <w:tc>
          <w:tcPr>
            <w:tcW w:w="2126" w:type="dxa"/>
            <w:vMerge/>
            <w:shd w:val="clear" w:color="auto" w:fill="auto"/>
          </w:tcPr>
          <w:p w14:paraId="21844E11" w14:textId="77777777" w:rsidR="00800B6C" w:rsidRPr="00172374" w:rsidRDefault="00800B6C" w:rsidP="00800B6C">
            <w:pPr>
              <w:jc w:val="center"/>
              <w:rPr>
                <w:sz w:val="20"/>
                <w:szCs w:val="20"/>
              </w:rPr>
            </w:pPr>
          </w:p>
        </w:tc>
        <w:tc>
          <w:tcPr>
            <w:tcW w:w="1134" w:type="dxa"/>
            <w:vMerge/>
            <w:shd w:val="clear" w:color="auto" w:fill="auto"/>
          </w:tcPr>
          <w:p w14:paraId="6BB3A5AF" w14:textId="77777777" w:rsidR="00800B6C" w:rsidRPr="00172374" w:rsidRDefault="00800B6C" w:rsidP="00800B6C">
            <w:pPr>
              <w:jc w:val="center"/>
              <w:rPr>
                <w:sz w:val="20"/>
                <w:szCs w:val="20"/>
              </w:rPr>
            </w:pPr>
          </w:p>
        </w:tc>
      </w:tr>
      <w:tr w:rsidR="00800B6C" w:rsidRPr="00172374" w14:paraId="4DF7E330" w14:textId="77777777" w:rsidTr="005C14FF">
        <w:trPr>
          <w:trHeight w:val="508"/>
        </w:trPr>
        <w:tc>
          <w:tcPr>
            <w:tcW w:w="2269" w:type="dxa"/>
            <w:vMerge w:val="restart"/>
            <w:shd w:val="clear" w:color="auto" w:fill="auto"/>
          </w:tcPr>
          <w:p w14:paraId="14C6DC9A" w14:textId="6A172722" w:rsidR="00F35EEC" w:rsidRPr="00172374" w:rsidRDefault="00800B6C" w:rsidP="003244DA">
            <w:pPr>
              <w:spacing w:after="60"/>
              <w:ind w:left="34"/>
              <w:rPr>
                <w:b/>
                <w:sz w:val="20"/>
                <w:szCs w:val="20"/>
              </w:rPr>
            </w:pPr>
            <w:r w:rsidRPr="00172374">
              <w:rPr>
                <w:b/>
                <w:sz w:val="20"/>
                <w:szCs w:val="20"/>
              </w:rPr>
              <w:t>B</w:t>
            </w:r>
            <w:r w:rsidR="006167F1" w:rsidRPr="00172374">
              <w:rPr>
                <w:b/>
                <w:sz w:val="20"/>
                <w:szCs w:val="20"/>
              </w:rPr>
              <w:t>DIF</w:t>
            </w:r>
            <w:r w:rsidRPr="00172374">
              <w:rPr>
                <w:b/>
                <w:sz w:val="20"/>
                <w:szCs w:val="20"/>
              </w:rPr>
              <w:t xml:space="preserve">: </w:t>
            </w:r>
          </w:p>
          <w:p w14:paraId="2C09AB41" w14:textId="77777777" w:rsidR="00800B6C" w:rsidRPr="00172374" w:rsidRDefault="00800B6C" w:rsidP="00F35EEC">
            <w:pPr>
              <w:spacing w:after="120"/>
              <w:ind w:left="34"/>
              <w:rPr>
                <w:sz w:val="20"/>
                <w:szCs w:val="20"/>
              </w:rPr>
            </w:pPr>
            <w:r w:rsidRPr="00172374">
              <w:rPr>
                <w:bCs/>
                <w:i/>
                <w:iCs/>
                <w:sz w:val="20"/>
                <w:szCs w:val="20"/>
              </w:rPr>
              <w:t>The</w:t>
            </w:r>
            <w:r w:rsidRPr="00172374">
              <w:rPr>
                <w:b/>
                <w:i/>
                <w:iCs/>
                <w:sz w:val="20"/>
                <w:szCs w:val="20"/>
              </w:rPr>
              <w:t xml:space="preserve"> </w:t>
            </w:r>
            <w:r w:rsidRPr="00172374">
              <w:rPr>
                <w:i/>
                <w:iCs/>
                <w:sz w:val="20"/>
                <w:szCs w:val="20"/>
              </w:rPr>
              <w:t>extent to which an organization differentiates its brands and establishes competitive superiority.</w:t>
            </w:r>
          </w:p>
        </w:tc>
        <w:tc>
          <w:tcPr>
            <w:tcW w:w="7229" w:type="dxa"/>
            <w:shd w:val="clear" w:color="auto" w:fill="auto"/>
          </w:tcPr>
          <w:p w14:paraId="09FBB602" w14:textId="77777777" w:rsidR="00800B6C" w:rsidRPr="00172374" w:rsidRDefault="00800B6C" w:rsidP="00800B6C">
            <w:pPr>
              <w:spacing w:after="120"/>
              <w:jc w:val="both"/>
              <w:rPr>
                <w:i/>
                <w:sz w:val="20"/>
                <w:szCs w:val="20"/>
              </w:rPr>
            </w:pPr>
            <w:r w:rsidRPr="00172374">
              <w:rPr>
                <w:sz w:val="20"/>
                <w:szCs w:val="20"/>
              </w:rPr>
              <w:t xml:space="preserve">“We try to give our brands unique personalities </w:t>
            </w:r>
            <w:r w:rsidRPr="00172374">
              <w:rPr>
                <w:rFonts w:ascii="Calibri" w:hAnsi="Calibri" w:cs="Calibri"/>
                <w:sz w:val="20"/>
                <w:szCs w:val="20"/>
              </w:rPr>
              <w:t>[…]</w:t>
            </w:r>
            <w:r w:rsidRPr="00172374">
              <w:rPr>
                <w:sz w:val="20"/>
                <w:szCs w:val="20"/>
              </w:rPr>
              <w:t xml:space="preserve"> without being different, there is no chance of success.” – M2</w:t>
            </w:r>
          </w:p>
        </w:tc>
        <w:tc>
          <w:tcPr>
            <w:tcW w:w="2126" w:type="dxa"/>
            <w:vMerge w:val="restart"/>
            <w:shd w:val="clear" w:color="auto" w:fill="auto"/>
          </w:tcPr>
          <w:p w14:paraId="18821297" w14:textId="77777777" w:rsidR="00800B6C" w:rsidRPr="00172374" w:rsidRDefault="00800B6C" w:rsidP="00800B6C">
            <w:pPr>
              <w:jc w:val="center"/>
              <w:rPr>
                <w:sz w:val="20"/>
                <w:szCs w:val="20"/>
              </w:rPr>
            </w:pPr>
            <w:r w:rsidRPr="00172374">
              <w:rPr>
                <w:sz w:val="20"/>
                <w:szCs w:val="20"/>
              </w:rPr>
              <w:t>1</w:t>
            </w:r>
            <w:r w:rsidR="00F35EEC" w:rsidRPr="00172374">
              <w:rPr>
                <w:sz w:val="20"/>
                <w:szCs w:val="20"/>
              </w:rPr>
              <w:t>4</w:t>
            </w:r>
          </w:p>
        </w:tc>
        <w:tc>
          <w:tcPr>
            <w:tcW w:w="2126" w:type="dxa"/>
            <w:vMerge w:val="restart"/>
            <w:shd w:val="clear" w:color="auto" w:fill="auto"/>
          </w:tcPr>
          <w:p w14:paraId="510FF69B" w14:textId="77777777" w:rsidR="00800B6C" w:rsidRPr="00172374" w:rsidRDefault="00F35EEC" w:rsidP="00800B6C">
            <w:pPr>
              <w:jc w:val="center"/>
              <w:rPr>
                <w:sz w:val="20"/>
                <w:szCs w:val="20"/>
              </w:rPr>
            </w:pPr>
            <w:r w:rsidRPr="00172374">
              <w:rPr>
                <w:sz w:val="20"/>
                <w:szCs w:val="20"/>
              </w:rPr>
              <w:t>25</w:t>
            </w:r>
          </w:p>
        </w:tc>
        <w:tc>
          <w:tcPr>
            <w:tcW w:w="1134" w:type="dxa"/>
            <w:vMerge w:val="restart"/>
            <w:shd w:val="clear" w:color="auto" w:fill="auto"/>
          </w:tcPr>
          <w:p w14:paraId="6C748AA6" w14:textId="77777777" w:rsidR="00800B6C" w:rsidRPr="00172374" w:rsidRDefault="00800B6C" w:rsidP="00800B6C">
            <w:pPr>
              <w:jc w:val="center"/>
              <w:rPr>
                <w:sz w:val="20"/>
                <w:szCs w:val="20"/>
              </w:rPr>
            </w:pPr>
            <w:r w:rsidRPr="00172374">
              <w:rPr>
                <w:sz w:val="20"/>
                <w:szCs w:val="20"/>
              </w:rPr>
              <w:t>0.88</w:t>
            </w:r>
          </w:p>
        </w:tc>
      </w:tr>
      <w:tr w:rsidR="00800B6C" w:rsidRPr="00172374" w14:paraId="02DB3581" w14:textId="77777777" w:rsidTr="005C14FF">
        <w:trPr>
          <w:trHeight w:val="506"/>
        </w:trPr>
        <w:tc>
          <w:tcPr>
            <w:tcW w:w="2269" w:type="dxa"/>
            <w:vMerge/>
            <w:shd w:val="clear" w:color="auto" w:fill="auto"/>
          </w:tcPr>
          <w:p w14:paraId="39D37D08" w14:textId="77777777" w:rsidR="00800B6C" w:rsidRPr="00172374" w:rsidRDefault="00800B6C" w:rsidP="00800B6C">
            <w:pPr>
              <w:ind w:left="34"/>
              <w:rPr>
                <w:b/>
                <w:sz w:val="20"/>
                <w:szCs w:val="20"/>
              </w:rPr>
            </w:pPr>
          </w:p>
        </w:tc>
        <w:tc>
          <w:tcPr>
            <w:tcW w:w="7229" w:type="dxa"/>
            <w:shd w:val="clear" w:color="auto" w:fill="auto"/>
          </w:tcPr>
          <w:p w14:paraId="01707886" w14:textId="77777777" w:rsidR="00800B6C" w:rsidRPr="00172374" w:rsidRDefault="00800B6C" w:rsidP="00800B6C">
            <w:pPr>
              <w:spacing w:after="120"/>
              <w:jc w:val="both"/>
              <w:rPr>
                <w:i/>
                <w:sz w:val="20"/>
                <w:szCs w:val="20"/>
              </w:rPr>
            </w:pPr>
            <w:r w:rsidRPr="00172374">
              <w:rPr>
                <w:sz w:val="20"/>
                <w:szCs w:val="20"/>
              </w:rPr>
              <w:t xml:space="preserve">“The key to successful branding is that customers perceive our brand as standing somehow out from competition.” – M11 </w:t>
            </w:r>
          </w:p>
        </w:tc>
        <w:tc>
          <w:tcPr>
            <w:tcW w:w="2126" w:type="dxa"/>
            <w:vMerge/>
            <w:shd w:val="clear" w:color="auto" w:fill="auto"/>
          </w:tcPr>
          <w:p w14:paraId="52CC4D46" w14:textId="77777777" w:rsidR="00800B6C" w:rsidRPr="00172374" w:rsidRDefault="00800B6C" w:rsidP="00800B6C">
            <w:pPr>
              <w:jc w:val="center"/>
              <w:rPr>
                <w:sz w:val="20"/>
                <w:szCs w:val="20"/>
              </w:rPr>
            </w:pPr>
          </w:p>
        </w:tc>
        <w:tc>
          <w:tcPr>
            <w:tcW w:w="2126" w:type="dxa"/>
            <w:vMerge/>
            <w:shd w:val="clear" w:color="auto" w:fill="auto"/>
          </w:tcPr>
          <w:p w14:paraId="02BD50CC" w14:textId="77777777" w:rsidR="00800B6C" w:rsidRPr="00172374" w:rsidRDefault="00800B6C" w:rsidP="00800B6C">
            <w:pPr>
              <w:jc w:val="center"/>
              <w:rPr>
                <w:sz w:val="20"/>
                <w:szCs w:val="20"/>
              </w:rPr>
            </w:pPr>
          </w:p>
        </w:tc>
        <w:tc>
          <w:tcPr>
            <w:tcW w:w="1134" w:type="dxa"/>
            <w:vMerge/>
            <w:shd w:val="clear" w:color="auto" w:fill="auto"/>
          </w:tcPr>
          <w:p w14:paraId="33D1634C" w14:textId="77777777" w:rsidR="00800B6C" w:rsidRPr="00172374" w:rsidRDefault="00800B6C" w:rsidP="00800B6C">
            <w:pPr>
              <w:jc w:val="center"/>
              <w:rPr>
                <w:sz w:val="20"/>
                <w:szCs w:val="20"/>
              </w:rPr>
            </w:pPr>
          </w:p>
        </w:tc>
      </w:tr>
      <w:tr w:rsidR="00800B6C" w:rsidRPr="00172374" w14:paraId="73E0842A" w14:textId="77777777" w:rsidTr="007D0B1E">
        <w:trPr>
          <w:trHeight w:val="506"/>
        </w:trPr>
        <w:tc>
          <w:tcPr>
            <w:tcW w:w="2269" w:type="dxa"/>
            <w:vMerge/>
            <w:shd w:val="clear" w:color="auto" w:fill="auto"/>
          </w:tcPr>
          <w:p w14:paraId="2EA046A5" w14:textId="77777777" w:rsidR="00800B6C" w:rsidRPr="00172374" w:rsidRDefault="00800B6C" w:rsidP="00800B6C">
            <w:pPr>
              <w:ind w:left="34"/>
              <w:rPr>
                <w:b/>
                <w:sz w:val="20"/>
                <w:szCs w:val="20"/>
              </w:rPr>
            </w:pPr>
          </w:p>
        </w:tc>
        <w:tc>
          <w:tcPr>
            <w:tcW w:w="7229" w:type="dxa"/>
            <w:shd w:val="clear" w:color="auto" w:fill="auto"/>
          </w:tcPr>
          <w:p w14:paraId="55C2E4EF" w14:textId="77777777" w:rsidR="00800B6C" w:rsidRPr="00172374" w:rsidRDefault="00800B6C" w:rsidP="00800B6C">
            <w:pPr>
              <w:spacing w:after="120"/>
              <w:jc w:val="both"/>
              <w:rPr>
                <w:i/>
                <w:sz w:val="20"/>
                <w:szCs w:val="20"/>
              </w:rPr>
            </w:pPr>
            <w:r w:rsidRPr="00172374">
              <w:rPr>
                <w:sz w:val="20"/>
                <w:szCs w:val="20"/>
              </w:rPr>
              <w:t>“Our brand positioning is clear in how our brand is superior to competitive offerings.” – M13</w:t>
            </w:r>
          </w:p>
        </w:tc>
        <w:tc>
          <w:tcPr>
            <w:tcW w:w="2126" w:type="dxa"/>
            <w:vMerge/>
            <w:shd w:val="clear" w:color="auto" w:fill="auto"/>
          </w:tcPr>
          <w:p w14:paraId="30D5901F" w14:textId="77777777" w:rsidR="00800B6C" w:rsidRPr="00172374" w:rsidRDefault="00800B6C" w:rsidP="00800B6C">
            <w:pPr>
              <w:jc w:val="center"/>
              <w:rPr>
                <w:sz w:val="20"/>
                <w:szCs w:val="20"/>
              </w:rPr>
            </w:pPr>
          </w:p>
        </w:tc>
        <w:tc>
          <w:tcPr>
            <w:tcW w:w="2126" w:type="dxa"/>
            <w:vMerge/>
            <w:shd w:val="clear" w:color="auto" w:fill="auto"/>
          </w:tcPr>
          <w:p w14:paraId="0C06D34D" w14:textId="77777777" w:rsidR="00800B6C" w:rsidRPr="00172374" w:rsidRDefault="00800B6C" w:rsidP="00800B6C">
            <w:pPr>
              <w:jc w:val="center"/>
              <w:rPr>
                <w:sz w:val="20"/>
                <w:szCs w:val="20"/>
              </w:rPr>
            </w:pPr>
          </w:p>
        </w:tc>
        <w:tc>
          <w:tcPr>
            <w:tcW w:w="1134" w:type="dxa"/>
            <w:vMerge/>
            <w:shd w:val="clear" w:color="auto" w:fill="auto"/>
          </w:tcPr>
          <w:p w14:paraId="7CE4E2DF" w14:textId="77777777" w:rsidR="00800B6C" w:rsidRPr="00172374" w:rsidRDefault="00800B6C" w:rsidP="00800B6C">
            <w:pPr>
              <w:jc w:val="center"/>
              <w:rPr>
                <w:sz w:val="20"/>
                <w:szCs w:val="20"/>
              </w:rPr>
            </w:pPr>
          </w:p>
        </w:tc>
      </w:tr>
      <w:tr w:rsidR="00800B6C" w:rsidRPr="00172374" w14:paraId="76079E7C" w14:textId="77777777" w:rsidTr="007D0B1E">
        <w:trPr>
          <w:trHeight w:val="508"/>
        </w:trPr>
        <w:tc>
          <w:tcPr>
            <w:tcW w:w="2269" w:type="dxa"/>
            <w:vMerge w:val="restart"/>
            <w:tcBorders>
              <w:bottom w:val="single" w:sz="4" w:space="0" w:color="auto"/>
            </w:tcBorders>
            <w:vAlign w:val="center"/>
          </w:tcPr>
          <w:p w14:paraId="073B228B" w14:textId="15453C83" w:rsidR="00800B6C" w:rsidRPr="00172374" w:rsidRDefault="00800B6C" w:rsidP="003244DA">
            <w:pPr>
              <w:spacing w:after="60"/>
              <w:ind w:left="34"/>
              <w:rPr>
                <w:b/>
                <w:sz w:val="20"/>
                <w:szCs w:val="20"/>
              </w:rPr>
            </w:pPr>
            <w:r w:rsidRPr="00172374">
              <w:rPr>
                <w:b/>
                <w:sz w:val="20"/>
                <w:szCs w:val="20"/>
              </w:rPr>
              <w:lastRenderedPageBreak/>
              <w:t>B</w:t>
            </w:r>
            <w:r w:rsidR="006167F1" w:rsidRPr="00172374">
              <w:rPr>
                <w:b/>
                <w:sz w:val="20"/>
                <w:szCs w:val="20"/>
              </w:rPr>
              <w:t>INT</w:t>
            </w:r>
            <w:r w:rsidRPr="00172374">
              <w:rPr>
                <w:b/>
                <w:sz w:val="20"/>
                <w:szCs w:val="20"/>
              </w:rPr>
              <w:t xml:space="preserve">: </w:t>
            </w:r>
          </w:p>
          <w:p w14:paraId="02A8D58A" w14:textId="5B2D8BA4" w:rsidR="00800B6C" w:rsidRPr="00172374" w:rsidRDefault="00800B6C" w:rsidP="00800B6C">
            <w:pPr>
              <w:ind w:left="34"/>
              <w:rPr>
                <w:b/>
                <w:i/>
                <w:iCs/>
                <w:sz w:val="20"/>
                <w:szCs w:val="20"/>
              </w:rPr>
            </w:pPr>
            <w:r w:rsidRPr="00172374">
              <w:rPr>
                <w:bCs/>
                <w:i/>
                <w:iCs/>
                <w:sz w:val="20"/>
                <w:szCs w:val="20"/>
              </w:rPr>
              <w:t xml:space="preserve">The </w:t>
            </w:r>
            <w:r w:rsidRPr="00172374">
              <w:rPr>
                <w:i/>
                <w:iCs/>
                <w:sz w:val="20"/>
                <w:szCs w:val="20"/>
              </w:rPr>
              <w:t xml:space="preserve">extent to which an organization develops a thorough knowledge </w:t>
            </w:r>
            <w:r w:rsidR="00212CAF" w:rsidRPr="00172374">
              <w:rPr>
                <w:i/>
                <w:iCs/>
                <w:sz w:val="20"/>
                <w:szCs w:val="20"/>
              </w:rPr>
              <w:t>about</w:t>
            </w:r>
            <w:r w:rsidRPr="00172374">
              <w:rPr>
                <w:i/>
                <w:iCs/>
                <w:sz w:val="20"/>
                <w:szCs w:val="20"/>
              </w:rPr>
              <w:t xml:space="preserve"> brand perceptions.</w:t>
            </w:r>
          </w:p>
        </w:tc>
        <w:tc>
          <w:tcPr>
            <w:tcW w:w="7229" w:type="dxa"/>
            <w:shd w:val="clear" w:color="auto" w:fill="auto"/>
          </w:tcPr>
          <w:p w14:paraId="2214B499" w14:textId="77777777" w:rsidR="00800B6C" w:rsidRPr="00172374" w:rsidRDefault="00800B6C" w:rsidP="00800B6C">
            <w:pPr>
              <w:spacing w:after="120"/>
              <w:jc w:val="both"/>
              <w:rPr>
                <w:i/>
                <w:sz w:val="20"/>
                <w:szCs w:val="20"/>
              </w:rPr>
            </w:pPr>
            <w:r w:rsidRPr="00172374">
              <w:rPr>
                <w:sz w:val="20"/>
                <w:szCs w:val="20"/>
              </w:rPr>
              <w:t xml:space="preserve">“It is critical to continuously identify any gaps between our customers’ brand perceptions and those of ourselves. </w:t>
            </w:r>
            <w:r w:rsidRPr="00172374">
              <w:rPr>
                <w:rFonts w:ascii="Calibri" w:hAnsi="Calibri" w:cs="Calibri"/>
                <w:sz w:val="20"/>
                <w:szCs w:val="20"/>
              </w:rPr>
              <w:t>[…]</w:t>
            </w:r>
            <w:r w:rsidRPr="00172374">
              <w:rPr>
                <w:sz w:val="20"/>
                <w:szCs w:val="20"/>
              </w:rPr>
              <w:t xml:space="preserve"> We run such surveys once a year and not more frequently, so that customers have the time to assimilate our branding activities.” – M5 </w:t>
            </w:r>
          </w:p>
        </w:tc>
        <w:tc>
          <w:tcPr>
            <w:tcW w:w="2126" w:type="dxa"/>
            <w:vMerge w:val="restart"/>
            <w:tcBorders>
              <w:bottom w:val="single" w:sz="4" w:space="0" w:color="auto"/>
            </w:tcBorders>
            <w:shd w:val="clear" w:color="auto" w:fill="auto"/>
          </w:tcPr>
          <w:p w14:paraId="0F612489" w14:textId="77777777" w:rsidR="00800B6C" w:rsidRPr="00172374" w:rsidRDefault="00800B6C" w:rsidP="00800B6C">
            <w:pPr>
              <w:jc w:val="center"/>
              <w:rPr>
                <w:sz w:val="20"/>
                <w:szCs w:val="20"/>
              </w:rPr>
            </w:pPr>
            <w:r w:rsidRPr="00172374">
              <w:rPr>
                <w:sz w:val="20"/>
                <w:szCs w:val="20"/>
              </w:rPr>
              <w:t>1</w:t>
            </w:r>
            <w:r w:rsidR="00F35EEC" w:rsidRPr="00172374">
              <w:rPr>
                <w:sz w:val="20"/>
                <w:szCs w:val="20"/>
              </w:rPr>
              <w:t>1</w:t>
            </w:r>
          </w:p>
        </w:tc>
        <w:tc>
          <w:tcPr>
            <w:tcW w:w="2126" w:type="dxa"/>
            <w:vMerge w:val="restart"/>
            <w:tcBorders>
              <w:bottom w:val="single" w:sz="4" w:space="0" w:color="auto"/>
            </w:tcBorders>
            <w:shd w:val="clear" w:color="auto" w:fill="auto"/>
          </w:tcPr>
          <w:p w14:paraId="1CC342CF" w14:textId="77777777" w:rsidR="00800B6C" w:rsidRPr="00172374" w:rsidRDefault="00F35EEC" w:rsidP="00800B6C">
            <w:pPr>
              <w:jc w:val="center"/>
              <w:rPr>
                <w:sz w:val="20"/>
                <w:szCs w:val="20"/>
              </w:rPr>
            </w:pPr>
            <w:r w:rsidRPr="00172374">
              <w:rPr>
                <w:sz w:val="20"/>
                <w:szCs w:val="20"/>
              </w:rPr>
              <w:t>20</w:t>
            </w:r>
          </w:p>
        </w:tc>
        <w:tc>
          <w:tcPr>
            <w:tcW w:w="1134" w:type="dxa"/>
            <w:vMerge w:val="restart"/>
            <w:tcBorders>
              <w:bottom w:val="single" w:sz="4" w:space="0" w:color="auto"/>
            </w:tcBorders>
            <w:shd w:val="clear" w:color="auto" w:fill="auto"/>
          </w:tcPr>
          <w:p w14:paraId="09E6CB08" w14:textId="77777777" w:rsidR="00800B6C" w:rsidRPr="00172374" w:rsidRDefault="00800B6C" w:rsidP="00800B6C">
            <w:pPr>
              <w:jc w:val="center"/>
              <w:rPr>
                <w:sz w:val="20"/>
                <w:szCs w:val="20"/>
              </w:rPr>
            </w:pPr>
            <w:r w:rsidRPr="00172374">
              <w:rPr>
                <w:sz w:val="20"/>
                <w:szCs w:val="20"/>
              </w:rPr>
              <w:t>0.</w:t>
            </w:r>
            <w:r w:rsidR="005C14FF" w:rsidRPr="00172374">
              <w:rPr>
                <w:sz w:val="20"/>
                <w:szCs w:val="20"/>
              </w:rPr>
              <w:t>95</w:t>
            </w:r>
          </w:p>
        </w:tc>
      </w:tr>
      <w:tr w:rsidR="00800B6C" w:rsidRPr="00172374" w14:paraId="3EA86F58" w14:textId="77777777" w:rsidTr="007D0B1E">
        <w:trPr>
          <w:trHeight w:val="506"/>
        </w:trPr>
        <w:tc>
          <w:tcPr>
            <w:tcW w:w="2269" w:type="dxa"/>
            <w:vMerge/>
            <w:tcBorders>
              <w:top w:val="single" w:sz="4" w:space="0" w:color="auto"/>
              <w:bottom w:val="single" w:sz="4" w:space="0" w:color="auto"/>
            </w:tcBorders>
            <w:vAlign w:val="center"/>
          </w:tcPr>
          <w:p w14:paraId="1D57FE2D" w14:textId="77777777" w:rsidR="00800B6C" w:rsidRPr="00172374" w:rsidRDefault="00800B6C" w:rsidP="00800B6C">
            <w:pPr>
              <w:ind w:left="34"/>
              <w:rPr>
                <w:b/>
                <w:sz w:val="20"/>
                <w:szCs w:val="20"/>
              </w:rPr>
            </w:pPr>
          </w:p>
        </w:tc>
        <w:tc>
          <w:tcPr>
            <w:tcW w:w="7229" w:type="dxa"/>
            <w:shd w:val="clear" w:color="auto" w:fill="auto"/>
          </w:tcPr>
          <w:p w14:paraId="53BEB307" w14:textId="77777777" w:rsidR="00800B6C" w:rsidRPr="00172374" w:rsidRDefault="00800B6C" w:rsidP="00800B6C">
            <w:pPr>
              <w:spacing w:after="120"/>
              <w:jc w:val="both"/>
              <w:rPr>
                <w:i/>
                <w:sz w:val="20"/>
                <w:szCs w:val="20"/>
              </w:rPr>
            </w:pPr>
            <w:r w:rsidRPr="00172374">
              <w:rPr>
                <w:sz w:val="20"/>
                <w:szCs w:val="20"/>
              </w:rPr>
              <w:t>“Just as important as creating and developing brands is the ability to continually understand how they are perceived by our various publics.” – M8</w:t>
            </w:r>
          </w:p>
        </w:tc>
        <w:tc>
          <w:tcPr>
            <w:tcW w:w="2126" w:type="dxa"/>
            <w:vMerge/>
            <w:tcBorders>
              <w:top w:val="single" w:sz="4" w:space="0" w:color="auto"/>
              <w:bottom w:val="single" w:sz="4" w:space="0" w:color="auto"/>
            </w:tcBorders>
            <w:shd w:val="clear" w:color="auto" w:fill="auto"/>
          </w:tcPr>
          <w:p w14:paraId="55E6F39A" w14:textId="77777777" w:rsidR="00800B6C" w:rsidRPr="00172374" w:rsidRDefault="00800B6C" w:rsidP="00800B6C">
            <w:pPr>
              <w:jc w:val="center"/>
              <w:rPr>
                <w:sz w:val="20"/>
                <w:szCs w:val="20"/>
              </w:rPr>
            </w:pPr>
          </w:p>
        </w:tc>
        <w:tc>
          <w:tcPr>
            <w:tcW w:w="2126" w:type="dxa"/>
            <w:vMerge/>
            <w:tcBorders>
              <w:top w:val="single" w:sz="4" w:space="0" w:color="auto"/>
              <w:bottom w:val="single" w:sz="4" w:space="0" w:color="auto"/>
            </w:tcBorders>
            <w:shd w:val="clear" w:color="auto" w:fill="auto"/>
          </w:tcPr>
          <w:p w14:paraId="181C2F8B" w14:textId="77777777" w:rsidR="00800B6C" w:rsidRPr="00172374" w:rsidRDefault="00800B6C" w:rsidP="00800B6C">
            <w:pPr>
              <w:jc w:val="center"/>
              <w:rPr>
                <w:sz w:val="20"/>
                <w:szCs w:val="20"/>
              </w:rPr>
            </w:pPr>
          </w:p>
        </w:tc>
        <w:tc>
          <w:tcPr>
            <w:tcW w:w="1134" w:type="dxa"/>
            <w:vMerge/>
            <w:tcBorders>
              <w:top w:val="single" w:sz="4" w:space="0" w:color="auto"/>
              <w:bottom w:val="single" w:sz="4" w:space="0" w:color="auto"/>
            </w:tcBorders>
            <w:shd w:val="clear" w:color="auto" w:fill="auto"/>
          </w:tcPr>
          <w:p w14:paraId="0C589DBF" w14:textId="77777777" w:rsidR="00800B6C" w:rsidRPr="00172374" w:rsidRDefault="00800B6C" w:rsidP="00800B6C">
            <w:pPr>
              <w:jc w:val="center"/>
              <w:rPr>
                <w:sz w:val="20"/>
                <w:szCs w:val="20"/>
              </w:rPr>
            </w:pPr>
          </w:p>
        </w:tc>
      </w:tr>
      <w:tr w:rsidR="00800B6C" w:rsidRPr="00172374" w14:paraId="6BCBB8FC" w14:textId="77777777" w:rsidTr="007D0B1E">
        <w:trPr>
          <w:trHeight w:val="506"/>
        </w:trPr>
        <w:tc>
          <w:tcPr>
            <w:tcW w:w="2269" w:type="dxa"/>
            <w:vMerge/>
            <w:tcBorders>
              <w:bottom w:val="single" w:sz="4" w:space="0" w:color="auto"/>
            </w:tcBorders>
            <w:vAlign w:val="center"/>
          </w:tcPr>
          <w:p w14:paraId="5EC45D55" w14:textId="77777777" w:rsidR="00800B6C" w:rsidRPr="00172374" w:rsidRDefault="00800B6C" w:rsidP="00800B6C">
            <w:pPr>
              <w:ind w:left="34"/>
              <w:rPr>
                <w:b/>
                <w:sz w:val="20"/>
                <w:szCs w:val="20"/>
              </w:rPr>
            </w:pPr>
          </w:p>
        </w:tc>
        <w:tc>
          <w:tcPr>
            <w:tcW w:w="7229" w:type="dxa"/>
            <w:tcBorders>
              <w:bottom w:val="single" w:sz="4" w:space="0" w:color="auto"/>
            </w:tcBorders>
            <w:shd w:val="clear" w:color="auto" w:fill="auto"/>
          </w:tcPr>
          <w:p w14:paraId="2E3D61F8" w14:textId="77777777" w:rsidR="00800B6C" w:rsidRPr="00172374" w:rsidRDefault="00800B6C" w:rsidP="00800B6C">
            <w:pPr>
              <w:spacing w:after="120"/>
              <w:jc w:val="both"/>
              <w:rPr>
                <w:i/>
                <w:sz w:val="20"/>
                <w:szCs w:val="20"/>
              </w:rPr>
            </w:pPr>
            <w:r w:rsidRPr="00172374">
              <w:rPr>
                <w:sz w:val="20"/>
                <w:szCs w:val="20"/>
              </w:rPr>
              <w:t>“To manage our brands effectively, we should always feedback our brand strategy with relevant data from our target markets.” – M10</w:t>
            </w:r>
          </w:p>
        </w:tc>
        <w:tc>
          <w:tcPr>
            <w:tcW w:w="2126" w:type="dxa"/>
            <w:vMerge/>
            <w:tcBorders>
              <w:bottom w:val="single" w:sz="4" w:space="0" w:color="auto"/>
            </w:tcBorders>
            <w:shd w:val="clear" w:color="auto" w:fill="auto"/>
          </w:tcPr>
          <w:p w14:paraId="03E423A4" w14:textId="77777777" w:rsidR="00800B6C" w:rsidRPr="00172374" w:rsidRDefault="00800B6C" w:rsidP="00800B6C">
            <w:pPr>
              <w:jc w:val="center"/>
              <w:rPr>
                <w:sz w:val="20"/>
                <w:szCs w:val="20"/>
              </w:rPr>
            </w:pPr>
          </w:p>
        </w:tc>
        <w:tc>
          <w:tcPr>
            <w:tcW w:w="2126" w:type="dxa"/>
            <w:vMerge/>
            <w:tcBorders>
              <w:bottom w:val="single" w:sz="4" w:space="0" w:color="auto"/>
            </w:tcBorders>
            <w:shd w:val="clear" w:color="auto" w:fill="auto"/>
          </w:tcPr>
          <w:p w14:paraId="6237F510" w14:textId="77777777" w:rsidR="00800B6C" w:rsidRPr="00172374" w:rsidRDefault="00800B6C" w:rsidP="00800B6C">
            <w:pPr>
              <w:jc w:val="center"/>
              <w:rPr>
                <w:sz w:val="20"/>
                <w:szCs w:val="20"/>
              </w:rPr>
            </w:pPr>
          </w:p>
        </w:tc>
        <w:tc>
          <w:tcPr>
            <w:tcW w:w="1134" w:type="dxa"/>
            <w:vMerge/>
            <w:tcBorders>
              <w:bottom w:val="single" w:sz="4" w:space="0" w:color="auto"/>
            </w:tcBorders>
            <w:shd w:val="clear" w:color="auto" w:fill="auto"/>
          </w:tcPr>
          <w:p w14:paraId="17C14048" w14:textId="77777777" w:rsidR="00800B6C" w:rsidRPr="00172374" w:rsidRDefault="00800B6C" w:rsidP="00800B6C">
            <w:pPr>
              <w:jc w:val="center"/>
              <w:rPr>
                <w:sz w:val="20"/>
                <w:szCs w:val="20"/>
              </w:rPr>
            </w:pPr>
          </w:p>
        </w:tc>
      </w:tr>
    </w:tbl>
    <w:p w14:paraId="0184898C" w14:textId="77777777" w:rsidR="007D0B1E" w:rsidRPr="00172374" w:rsidRDefault="007D0B1E" w:rsidP="000D59B1">
      <w:pPr>
        <w:tabs>
          <w:tab w:val="left" w:pos="-284"/>
          <w:tab w:val="left" w:pos="0"/>
          <w:tab w:val="left" w:pos="142"/>
        </w:tabs>
        <w:spacing w:line="480" w:lineRule="auto"/>
        <w:ind w:hanging="360"/>
        <w:sectPr w:rsidR="007D0B1E" w:rsidRPr="00172374" w:rsidSect="007D0B1E">
          <w:footerReference w:type="first" r:id="rId17"/>
          <w:pgSz w:w="16838" w:h="11906" w:orient="landscape"/>
          <w:pgMar w:top="1418" w:right="1418" w:bottom="1418" w:left="1843" w:header="709" w:footer="709" w:gutter="0"/>
          <w:cols w:space="708"/>
          <w:titlePg/>
          <w:docGrid w:linePitch="360"/>
        </w:sectPr>
      </w:pPr>
    </w:p>
    <w:tbl>
      <w:tblPr>
        <w:tblW w:w="0" w:type="auto"/>
        <w:tblLayout w:type="fixed"/>
        <w:tblLook w:val="04A0" w:firstRow="1" w:lastRow="0" w:firstColumn="1" w:lastColumn="0" w:noHBand="0" w:noVBand="1"/>
      </w:tblPr>
      <w:tblGrid>
        <w:gridCol w:w="2835"/>
        <w:gridCol w:w="3261"/>
        <w:gridCol w:w="1134"/>
        <w:gridCol w:w="850"/>
      </w:tblGrid>
      <w:tr w:rsidR="000417CB" w:rsidRPr="00172374" w14:paraId="3542308B" w14:textId="77777777" w:rsidTr="007A0AEE">
        <w:tc>
          <w:tcPr>
            <w:tcW w:w="8080" w:type="dxa"/>
            <w:gridSpan w:val="4"/>
            <w:tcBorders>
              <w:bottom w:val="single" w:sz="4" w:space="0" w:color="auto"/>
            </w:tcBorders>
            <w:shd w:val="clear" w:color="auto" w:fill="auto"/>
          </w:tcPr>
          <w:p w14:paraId="549D65D9" w14:textId="39917285" w:rsidR="000417CB" w:rsidRPr="00172374" w:rsidRDefault="000417CB" w:rsidP="003238D0">
            <w:pPr>
              <w:spacing w:after="60"/>
              <w:rPr>
                <w:b/>
              </w:rPr>
            </w:pPr>
            <w:r w:rsidRPr="00172374">
              <w:rPr>
                <w:b/>
              </w:rPr>
              <w:lastRenderedPageBreak/>
              <w:t xml:space="preserve">Table </w:t>
            </w:r>
            <w:r w:rsidR="009C55D7" w:rsidRPr="00172374">
              <w:rPr>
                <w:b/>
              </w:rPr>
              <w:t>7</w:t>
            </w:r>
          </w:p>
          <w:p w14:paraId="35591332" w14:textId="7D530A4F" w:rsidR="000417CB" w:rsidRPr="00172374" w:rsidRDefault="000417CB" w:rsidP="003238D0">
            <w:pPr>
              <w:spacing w:after="60"/>
            </w:pPr>
            <w:bookmarkStart w:id="50" w:name="_Hlk32253717"/>
            <w:r w:rsidRPr="00172374">
              <w:t>Study 3</w:t>
            </w:r>
            <w:r w:rsidR="00212CAF" w:rsidRPr="00172374">
              <w:t>:</w:t>
            </w:r>
            <w:r w:rsidRPr="00172374">
              <w:t xml:space="preserve"> sample characteristics</w:t>
            </w:r>
            <w:bookmarkEnd w:id="50"/>
            <w:r w:rsidR="00212CAF" w:rsidRPr="00172374">
              <w:t>.</w:t>
            </w:r>
          </w:p>
        </w:tc>
      </w:tr>
      <w:tr w:rsidR="00EE1B3B" w:rsidRPr="00172374" w14:paraId="508D73DB" w14:textId="77777777" w:rsidTr="00985C3F">
        <w:tc>
          <w:tcPr>
            <w:tcW w:w="2835" w:type="dxa"/>
            <w:tcBorders>
              <w:top w:val="single" w:sz="4" w:space="0" w:color="auto"/>
              <w:bottom w:val="single" w:sz="4" w:space="0" w:color="auto"/>
            </w:tcBorders>
            <w:shd w:val="clear" w:color="auto" w:fill="auto"/>
            <w:vAlign w:val="center"/>
          </w:tcPr>
          <w:p w14:paraId="474D13FF" w14:textId="77777777" w:rsidR="00EE1B3B" w:rsidRPr="00172374" w:rsidRDefault="00EE1B3B" w:rsidP="003238D0">
            <w:pPr>
              <w:spacing w:line="360" w:lineRule="auto"/>
              <w:rPr>
                <w:sz w:val="20"/>
                <w:szCs w:val="20"/>
              </w:rPr>
            </w:pPr>
          </w:p>
        </w:tc>
        <w:tc>
          <w:tcPr>
            <w:tcW w:w="3261" w:type="dxa"/>
            <w:tcBorders>
              <w:top w:val="single" w:sz="4" w:space="0" w:color="auto"/>
              <w:bottom w:val="single" w:sz="4" w:space="0" w:color="auto"/>
            </w:tcBorders>
            <w:shd w:val="clear" w:color="auto" w:fill="auto"/>
            <w:vAlign w:val="center"/>
          </w:tcPr>
          <w:p w14:paraId="7304ECC2" w14:textId="77777777" w:rsidR="00EE1B3B" w:rsidRPr="00172374" w:rsidRDefault="00EE1B3B" w:rsidP="003238D0">
            <w:pPr>
              <w:spacing w:line="360" w:lineRule="auto"/>
              <w:jc w:val="right"/>
              <w:rPr>
                <w:sz w:val="20"/>
                <w:szCs w:val="20"/>
              </w:rPr>
            </w:pPr>
          </w:p>
        </w:tc>
        <w:tc>
          <w:tcPr>
            <w:tcW w:w="1134" w:type="dxa"/>
            <w:tcBorders>
              <w:top w:val="single" w:sz="4" w:space="0" w:color="auto"/>
              <w:bottom w:val="single" w:sz="4" w:space="0" w:color="auto"/>
            </w:tcBorders>
            <w:shd w:val="clear" w:color="auto" w:fill="auto"/>
            <w:vAlign w:val="center"/>
          </w:tcPr>
          <w:p w14:paraId="1EFBC77D" w14:textId="77777777" w:rsidR="00EE1B3B" w:rsidRPr="00172374" w:rsidRDefault="00EE1B3B" w:rsidP="00540876">
            <w:pPr>
              <w:rPr>
                <w:sz w:val="20"/>
                <w:szCs w:val="20"/>
              </w:rPr>
            </w:pPr>
            <w:r w:rsidRPr="00172374">
              <w:rPr>
                <w:sz w:val="20"/>
                <w:szCs w:val="20"/>
              </w:rPr>
              <w:t>(</w:t>
            </w:r>
            <w:r w:rsidRPr="00172374">
              <w:rPr>
                <w:i/>
                <w:sz w:val="20"/>
                <w:szCs w:val="20"/>
              </w:rPr>
              <w:t>N</w:t>
            </w:r>
            <w:r w:rsidRPr="00172374">
              <w:rPr>
                <w:sz w:val="20"/>
                <w:szCs w:val="20"/>
              </w:rPr>
              <w:t xml:space="preserve"> = 134)</w:t>
            </w:r>
          </w:p>
        </w:tc>
        <w:tc>
          <w:tcPr>
            <w:tcW w:w="850" w:type="dxa"/>
            <w:tcBorders>
              <w:top w:val="single" w:sz="4" w:space="0" w:color="auto"/>
              <w:bottom w:val="single" w:sz="4" w:space="0" w:color="auto"/>
            </w:tcBorders>
            <w:shd w:val="clear" w:color="auto" w:fill="auto"/>
            <w:vAlign w:val="center"/>
          </w:tcPr>
          <w:p w14:paraId="3C20C760" w14:textId="77777777" w:rsidR="00EE1B3B" w:rsidRPr="00172374" w:rsidRDefault="00EE1B3B" w:rsidP="003238D0">
            <w:pPr>
              <w:jc w:val="right"/>
              <w:rPr>
                <w:sz w:val="20"/>
                <w:szCs w:val="20"/>
              </w:rPr>
            </w:pPr>
            <w:r w:rsidRPr="00172374">
              <w:rPr>
                <w:sz w:val="20"/>
                <w:szCs w:val="20"/>
              </w:rPr>
              <w:t>%</w:t>
            </w:r>
          </w:p>
        </w:tc>
      </w:tr>
      <w:tr w:rsidR="00EE1B3B" w:rsidRPr="00172374" w14:paraId="2393BB38" w14:textId="77777777" w:rsidTr="00985C3F">
        <w:tc>
          <w:tcPr>
            <w:tcW w:w="2835" w:type="dxa"/>
            <w:tcBorders>
              <w:top w:val="single" w:sz="4" w:space="0" w:color="auto"/>
            </w:tcBorders>
            <w:shd w:val="clear" w:color="auto" w:fill="auto"/>
          </w:tcPr>
          <w:p w14:paraId="5DA28B6C" w14:textId="77777777" w:rsidR="00EE1B3B" w:rsidRPr="00172374" w:rsidRDefault="00EE1B3B" w:rsidP="00A31449">
            <w:pPr>
              <w:rPr>
                <w:sz w:val="20"/>
                <w:szCs w:val="20"/>
              </w:rPr>
            </w:pPr>
            <w:r w:rsidRPr="00172374">
              <w:rPr>
                <w:sz w:val="20"/>
                <w:szCs w:val="20"/>
              </w:rPr>
              <w:t>Market</w:t>
            </w:r>
          </w:p>
        </w:tc>
        <w:tc>
          <w:tcPr>
            <w:tcW w:w="3261" w:type="dxa"/>
            <w:tcBorders>
              <w:top w:val="single" w:sz="4" w:space="0" w:color="auto"/>
            </w:tcBorders>
            <w:shd w:val="clear" w:color="auto" w:fill="auto"/>
            <w:vAlign w:val="center"/>
          </w:tcPr>
          <w:p w14:paraId="3FCB9988" w14:textId="77777777" w:rsidR="00EE1B3B" w:rsidRPr="00172374" w:rsidRDefault="00EE1B3B" w:rsidP="00A31449">
            <w:pPr>
              <w:rPr>
                <w:sz w:val="20"/>
                <w:szCs w:val="20"/>
              </w:rPr>
            </w:pPr>
            <w:r w:rsidRPr="00172374">
              <w:rPr>
                <w:sz w:val="20"/>
                <w:szCs w:val="20"/>
              </w:rPr>
              <w:t>B2C</w:t>
            </w:r>
          </w:p>
        </w:tc>
        <w:tc>
          <w:tcPr>
            <w:tcW w:w="1134" w:type="dxa"/>
            <w:tcBorders>
              <w:top w:val="single" w:sz="4" w:space="0" w:color="auto"/>
            </w:tcBorders>
            <w:shd w:val="clear" w:color="auto" w:fill="auto"/>
          </w:tcPr>
          <w:p w14:paraId="00CDD472" w14:textId="77777777" w:rsidR="00EE1B3B" w:rsidRPr="00172374" w:rsidRDefault="00EE1B3B" w:rsidP="00A31449">
            <w:pPr>
              <w:rPr>
                <w:sz w:val="20"/>
                <w:szCs w:val="20"/>
              </w:rPr>
            </w:pPr>
            <w:r w:rsidRPr="00172374">
              <w:rPr>
                <w:sz w:val="20"/>
                <w:szCs w:val="20"/>
              </w:rPr>
              <w:t>96</w:t>
            </w:r>
          </w:p>
        </w:tc>
        <w:tc>
          <w:tcPr>
            <w:tcW w:w="850" w:type="dxa"/>
            <w:tcBorders>
              <w:top w:val="single" w:sz="4" w:space="0" w:color="auto"/>
            </w:tcBorders>
            <w:shd w:val="clear" w:color="auto" w:fill="auto"/>
          </w:tcPr>
          <w:p w14:paraId="735BCB50" w14:textId="77777777" w:rsidR="00EE1B3B" w:rsidRPr="00172374" w:rsidRDefault="00EE1B3B" w:rsidP="003238D0">
            <w:pPr>
              <w:jc w:val="right"/>
              <w:rPr>
                <w:sz w:val="20"/>
                <w:szCs w:val="20"/>
              </w:rPr>
            </w:pPr>
            <w:r w:rsidRPr="00172374">
              <w:rPr>
                <w:sz w:val="20"/>
                <w:szCs w:val="20"/>
              </w:rPr>
              <w:t>71.6%</w:t>
            </w:r>
          </w:p>
        </w:tc>
      </w:tr>
      <w:tr w:rsidR="00EE1B3B" w:rsidRPr="00172374" w14:paraId="6FF2C13E" w14:textId="77777777" w:rsidTr="00985C3F">
        <w:tc>
          <w:tcPr>
            <w:tcW w:w="2835" w:type="dxa"/>
            <w:shd w:val="clear" w:color="auto" w:fill="auto"/>
          </w:tcPr>
          <w:p w14:paraId="75821BCC" w14:textId="77777777" w:rsidR="00EE1B3B" w:rsidRPr="00172374" w:rsidRDefault="00EE1B3B" w:rsidP="00A31449">
            <w:pPr>
              <w:rPr>
                <w:sz w:val="20"/>
                <w:szCs w:val="20"/>
              </w:rPr>
            </w:pPr>
          </w:p>
        </w:tc>
        <w:tc>
          <w:tcPr>
            <w:tcW w:w="3261" w:type="dxa"/>
            <w:shd w:val="clear" w:color="auto" w:fill="auto"/>
            <w:vAlign w:val="center"/>
          </w:tcPr>
          <w:p w14:paraId="1B7153C1" w14:textId="77777777" w:rsidR="00EE1B3B" w:rsidRPr="00172374" w:rsidRDefault="00EE1B3B" w:rsidP="00A31449">
            <w:pPr>
              <w:rPr>
                <w:sz w:val="20"/>
                <w:szCs w:val="20"/>
              </w:rPr>
            </w:pPr>
            <w:r w:rsidRPr="00172374">
              <w:rPr>
                <w:sz w:val="20"/>
                <w:szCs w:val="20"/>
              </w:rPr>
              <w:t>B2B</w:t>
            </w:r>
          </w:p>
        </w:tc>
        <w:tc>
          <w:tcPr>
            <w:tcW w:w="1134" w:type="dxa"/>
            <w:shd w:val="clear" w:color="auto" w:fill="auto"/>
          </w:tcPr>
          <w:p w14:paraId="65A6C34A" w14:textId="77777777" w:rsidR="00EE1B3B" w:rsidRPr="00172374" w:rsidRDefault="00EE1B3B" w:rsidP="00A31449">
            <w:pPr>
              <w:rPr>
                <w:sz w:val="20"/>
                <w:szCs w:val="20"/>
              </w:rPr>
            </w:pPr>
            <w:r w:rsidRPr="00172374">
              <w:rPr>
                <w:sz w:val="20"/>
                <w:szCs w:val="20"/>
              </w:rPr>
              <w:t>38</w:t>
            </w:r>
          </w:p>
        </w:tc>
        <w:tc>
          <w:tcPr>
            <w:tcW w:w="850" w:type="dxa"/>
            <w:shd w:val="clear" w:color="auto" w:fill="auto"/>
          </w:tcPr>
          <w:p w14:paraId="499EE638" w14:textId="77777777" w:rsidR="00EE1B3B" w:rsidRPr="00172374" w:rsidRDefault="00EE1B3B" w:rsidP="003238D0">
            <w:pPr>
              <w:jc w:val="right"/>
              <w:rPr>
                <w:sz w:val="20"/>
                <w:szCs w:val="20"/>
              </w:rPr>
            </w:pPr>
            <w:r w:rsidRPr="00172374">
              <w:rPr>
                <w:sz w:val="20"/>
                <w:szCs w:val="20"/>
              </w:rPr>
              <w:t>28.4%</w:t>
            </w:r>
          </w:p>
        </w:tc>
      </w:tr>
      <w:tr w:rsidR="00EE1B3B" w:rsidRPr="00172374" w14:paraId="3BB5582D" w14:textId="77777777" w:rsidTr="00985C3F">
        <w:tc>
          <w:tcPr>
            <w:tcW w:w="2835" w:type="dxa"/>
            <w:shd w:val="clear" w:color="auto" w:fill="auto"/>
          </w:tcPr>
          <w:p w14:paraId="4EEC4BA1" w14:textId="2B66B21D" w:rsidR="00EE1B3B" w:rsidRPr="00172374" w:rsidRDefault="001A3623" w:rsidP="00A31449">
            <w:pPr>
              <w:rPr>
                <w:sz w:val="20"/>
                <w:szCs w:val="20"/>
              </w:rPr>
            </w:pPr>
            <w:r w:rsidRPr="00172374">
              <w:rPr>
                <w:sz w:val="20"/>
                <w:szCs w:val="20"/>
              </w:rPr>
              <w:t>Firm’s geographic scope</w:t>
            </w:r>
          </w:p>
        </w:tc>
        <w:tc>
          <w:tcPr>
            <w:tcW w:w="3261" w:type="dxa"/>
            <w:shd w:val="clear" w:color="auto" w:fill="auto"/>
            <w:vAlign w:val="center"/>
          </w:tcPr>
          <w:p w14:paraId="5A1E2CBD" w14:textId="77777777" w:rsidR="00EE1B3B" w:rsidRPr="00172374" w:rsidRDefault="00EE1B3B" w:rsidP="00A31449">
            <w:pPr>
              <w:rPr>
                <w:sz w:val="20"/>
                <w:szCs w:val="20"/>
              </w:rPr>
            </w:pPr>
            <w:r w:rsidRPr="00172374">
              <w:rPr>
                <w:sz w:val="20"/>
                <w:szCs w:val="20"/>
              </w:rPr>
              <w:t>Domestic</w:t>
            </w:r>
          </w:p>
        </w:tc>
        <w:tc>
          <w:tcPr>
            <w:tcW w:w="1134" w:type="dxa"/>
            <w:shd w:val="clear" w:color="auto" w:fill="auto"/>
          </w:tcPr>
          <w:p w14:paraId="52A732EA" w14:textId="77777777" w:rsidR="00EE1B3B" w:rsidRPr="00172374" w:rsidRDefault="000417CB" w:rsidP="00A31449">
            <w:pPr>
              <w:rPr>
                <w:sz w:val="20"/>
                <w:szCs w:val="20"/>
              </w:rPr>
            </w:pPr>
            <w:r w:rsidRPr="00172374">
              <w:rPr>
                <w:sz w:val="20"/>
                <w:szCs w:val="20"/>
              </w:rPr>
              <w:t>76</w:t>
            </w:r>
          </w:p>
        </w:tc>
        <w:tc>
          <w:tcPr>
            <w:tcW w:w="850" w:type="dxa"/>
            <w:shd w:val="clear" w:color="auto" w:fill="auto"/>
          </w:tcPr>
          <w:p w14:paraId="73591631" w14:textId="77777777" w:rsidR="00EE1B3B" w:rsidRPr="00172374" w:rsidRDefault="00EE1B3B" w:rsidP="003238D0">
            <w:pPr>
              <w:jc w:val="right"/>
              <w:rPr>
                <w:sz w:val="20"/>
                <w:szCs w:val="20"/>
              </w:rPr>
            </w:pPr>
            <w:r w:rsidRPr="00172374">
              <w:rPr>
                <w:sz w:val="20"/>
                <w:szCs w:val="20"/>
              </w:rPr>
              <w:t>56.7%</w:t>
            </w:r>
          </w:p>
        </w:tc>
      </w:tr>
      <w:tr w:rsidR="00EE1B3B" w:rsidRPr="00172374" w14:paraId="38A8E438" w14:textId="77777777" w:rsidTr="00985C3F">
        <w:tc>
          <w:tcPr>
            <w:tcW w:w="2835" w:type="dxa"/>
            <w:shd w:val="clear" w:color="auto" w:fill="auto"/>
          </w:tcPr>
          <w:p w14:paraId="37049249" w14:textId="77777777" w:rsidR="00EE1B3B" w:rsidRPr="00172374" w:rsidRDefault="00EE1B3B" w:rsidP="00A31449">
            <w:pPr>
              <w:rPr>
                <w:sz w:val="20"/>
                <w:szCs w:val="20"/>
              </w:rPr>
            </w:pPr>
          </w:p>
        </w:tc>
        <w:tc>
          <w:tcPr>
            <w:tcW w:w="3261" w:type="dxa"/>
            <w:shd w:val="clear" w:color="auto" w:fill="auto"/>
            <w:vAlign w:val="center"/>
          </w:tcPr>
          <w:p w14:paraId="456CCF7D" w14:textId="3CE45E51" w:rsidR="00EE1B3B" w:rsidRPr="00172374" w:rsidRDefault="00EE1B3B" w:rsidP="00A31449">
            <w:pPr>
              <w:rPr>
                <w:sz w:val="20"/>
                <w:szCs w:val="20"/>
              </w:rPr>
            </w:pPr>
            <w:r w:rsidRPr="00172374">
              <w:rPr>
                <w:sz w:val="20"/>
                <w:szCs w:val="20"/>
              </w:rPr>
              <w:t>Multinational</w:t>
            </w:r>
          </w:p>
        </w:tc>
        <w:tc>
          <w:tcPr>
            <w:tcW w:w="1134" w:type="dxa"/>
            <w:shd w:val="clear" w:color="auto" w:fill="auto"/>
          </w:tcPr>
          <w:p w14:paraId="7A60C77F" w14:textId="77777777" w:rsidR="00EE1B3B" w:rsidRPr="00172374" w:rsidRDefault="000417CB" w:rsidP="00A31449">
            <w:pPr>
              <w:rPr>
                <w:sz w:val="20"/>
                <w:szCs w:val="20"/>
              </w:rPr>
            </w:pPr>
            <w:r w:rsidRPr="00172374">
              <w:rPr>
                <w:sz w:val="20"/>
                <w:szCs w:val="20"/>
              </w:rPr>
              <w:t>58</w:t>
            </w:r>
          </w:p>
        </w:tc>
        <w:tc>
          <w:tcPr>
            <w:tcW w:w="850" w:type="dxa"/>
            <w:shd w:val="clear" w:color="auto" w:fill="auto"/>
          </w:tcPr>
          <w:p w14:paraId="6DD25236" w14:textId="77777777" w:rsidR="00EE1B3B" w:rsidRPr="00172374" w:rsidRDefault="00EE1B3B" w:rsidP="003238D0">
            <w:pPr>
              <w:jc w:val="right"/>
              <w:rPr>
                <w:sz w:val="20"/>
                <w:szCs w:val="20"/>
              </w:rPr>
            </w:pPr>
            <w:r w:rsidRPr="00172374">
              <w:rPr>
                <w:sz w:val="20"/>
                <w:szCs w:val="20"/>
              </w:rPr>
              <w:t>43.3%</w:t>
            </w:r>
          </w:p>
        </w:tc>
      </w:tr>
      <w:tr w:rsidR="00EE1B3B" w:rsidRPr="00172374" w14:paraId="39B070CB" w14:textId="77777777" w:rsidTr="00985C3F">
        <w:tc>
          <w:tcPr>
            <w:tcW w:w="2835" w:type="dxa"/>
            <w:shd w:val="clear" w:color="auto" w:fill="auto"/>
          </w:tcPr>
          <w:p w14:paraId="424802E6" w14:textId="626310B6" w:rsidR="00EE1B3B" w:rsidRPr="00172374" w:rsidRDefault="00EE1B3B" w:rsidP="00A31449">
            <w:pPr>
              <w:rPr>
                <w:sz w:val="20"/>
                <w:szCs w:val="20"/>
              </w:rPr>
            </w:pPr>
            <w:bookmarkStart w:id="51" w:name="_Hlk32253915"/>
            <w:r w:rsidRPr="00172374">
              <w:rPr>
                <w:sz w:val="20"/>
                <w:szCs w:val="20"/>
              </w:rPr>
              <w:t xml:space="preserve">Job </w:t>
            </w:r>
            <w:r w:rsidR="001A3623" w:rsidRPr="00172374">
              <w:rPr>
                <w:sz w:val="20"/>
                <w:szCs w:val="20"/>
              </w:rPr>
              <w:t xml:space="preserve">position </w:t>
            </w:r>
            <w:r w:rsidR="0070598C" w:rsidRPr="00172374">
              <w:rPr>
                <w:sz w:val="20"/>
                <w:szCs w:val="20"/>
              </w:rPr>
              <w:t>of respondents</w:t>
            </w:r>
            <w:bookmarkEnd w:id="51"/>
          </w:p>
        </w:tc>
        <w:tc>
          <w:tcPr>
            <w:tcW w:w="3261" w:type="dxa"/>
            <w:shd w:val="clear" w:color="auto" w:fill="auto"/>
            <w:vAlign w:val="center"/>
          </w:tcPr>
          <w:p w14:paraId="5FA40120" w14:textId="302E583E" w:rsidR="00EE1B3B" w:rsidRPr="00172374" w:rsidRDefault="0034245A" w:rsidP="00A31449">
            <w:pPr>
              <w:rPr>
                <w:sz w:val="20"/>
                <w:szCs w:val="20"/>
              </w:rPr>
            </w:pPr>
            <w:r w:rsidRPr="00172374">
              <w:rPr>
                <w:sz w:val="20"/>
                <w:szCs w:val="20"/>
              </w:rPr>
              <w:t>Branding</w:t>
            </w:r>
            <w:r w:rsidR="00212CAF" w:rsidRPr="00172374">
              <w:rPr>
                <w:sz w:val="20"/>
                <w:szCs w:val="20"/>
              </w:rPr>
              <w:t>-</w:t>
            </w:r>
            <w:r w:rsidR="00EE1B3B" w:rsidRPr="00172374">
              <w:rPr>
                <w:sz w:val="20"/>
                <w:szCs w:val="20"/>
              </w:rPr>
              <w:t>/</w:t>
            </w:r>
            <w:r w:rsidR="00212CAF" w:rsidRPr="00172374">
              <w:rPr>
                <w:sz w:val="20"/>
                <w:szCs w:val="20"/>
              </w:rPr>
              <w:t>m</w:t>
            </w:r>
            <w:r w:rsidR="00EE1B3B" w:rsidRPr="00172374">
              <w:rPr>
                <w:sz w:val="20"/>
                <w:szCs w:val="20"/>
              </w:rPr>
              <w:t>arketing</w:t>
            </w:r>
            <w:r w:rsidR="00212CAF" w:rsidRPr="00172374">
              <w:rPr>
                <w:sz w:val="20"/>
                <w:szCs w:val="20"/>
              </w:rPr>
              <w:t>-</w:t>
            </w:r>
            <w:r w:rsidR="001A3623" w:rsidRPr="00172374">
              <w:rPr>
                <w:sz w:val="20"/>
                <w:szCs w:val="20"/>
              </w:rPr>
              <w:t>related position</w:t>
            </w:r>
          </w:p>
        </w:tc>
        <w:tc>
          <w:tcPr>
            <w:tcW w:w="1134" w:type="dxa"/>
            <w:shd w:val="clear" w:color="auto" w:fill="auto"/>
          </w:tcPr>
          <w:p w14:paraId="31CC2515" w14:textId="77777777" w:rsidR="00EE1B3B" w:rsidRPr="00172374" w:rsidRDefault="000417CB" w:rsidP="00A31449">
            <w:pPr>
              <w:rPr>
                <w:sz w:val="20"/>
                <w:szCs w:val="20"/>
              </w:rPr>
            </w:pPr>
            <w:r w:rsidRPr="00172374">
              <w:rPr>
                <w:sz w:val="20"/>
                <w:szCs w:val="20"/>
              </w:rPr>
              <w:t>72</w:t>
            </w:r>
          </w:p>
        </w:tc>
        <w:tc>
          <w:tcPr>
            <w:tcW w:w="850" w:type="dxa"/>
            <w:shd w:val="clear" w:color="auto" w:fill="auto"/>
          </w:tcPr>
          <w:p w14:paraId="7FB76526" w14:textId="77777777" w:rsidR="00EE1B3B" w:rsidRPr="00172374" w:rsidRDefault="00EE1B3B" w:rsidP="003238D0">
            <w:pPr>
              <w:jc w:val="right"/>
              <w:rPr>
                <w:sz w:val="20"/>
                <w:szCs w:val="20"/>
              </w:rPr>
            </w:pPr>
            <w:r w:rsidRPr="00172374">
              <w:rPr>
                <w:sz w:val="20"/>
                <w:szCs w:val="20"/>
              </w:rPr>
              <w:t>53.7%</w:t>
            </w:r>
          </w:p>
        </w:tc>
      </w:tr>
      <w:tr w:rsidR="00EE1B3B" w:rsidRPr="00172374" w14:paraId="2BDA0403" w14:textId="77777777" w:rsidTr="00985C3F">
        <w:tc>
          <w:tcPr>
            <w:tcW w:w="2835" w:type="dxa"/>
            <w:shd w:val="clear" w:color="auto" w:fill="auto"/>
          </w:tcPr>
          <w:p w14:paraId="40E3FDAD" w14:textId="77777777" w:rsidR="00EE1B3B" w:rsidRPr="00172374" w:rsidRDefault="00EE1B3B" w:rsidP="00A31449">
            <w:pPr>
              <w:rPr>
                <w:sz w:val="20"/>
                <w:szCs w:val="20"/>
              </w:rPr>
            </w:pPr>
          </w:p>
        </w:tc>
        <w:tc>
          <w:tcPr>
            <w:tcW w:w="3261" w:type="dxa"/>
            <w:shd w:val="clear" w:color="auto" w:fill="auto"/>
            <w:vAlign w:val="center"/>
          </w:tcPr>
          <w:p w14:paraId="0587BF33" w14:textId="77777777" w:rsidR="00EE1B3B" w:rsidRPr="00172374" w:rsidRDefault="00EE1B3B" w:rsidP="00A31449">
            <w:pPr>
              <w:rPr>
                <w:sz w:val="20"/>
                <w:szCs w:val="20"/>
              </w:rPr>
            </w:pPr>
            <w:r w:rsidRPr="00172374">
              <w:rPr>
                <w:sz w:val="20"/>
                <w:szCs w:val="20"/>
              </w:rPr>
              <w:t xml:space="preserve">Other managerial </w:t>
            </w:r>
            <w:r w:rsidR="001A3623" w:rsidRPr="00172374">
              <w:rPr>
                <w:sz w:val="20"/>
                <w:szCs w:val="20"/>
              </w:rPr>
              <w:t>position</w:t>
            </w:r>
          </w:p>
        </w:tc>
        <w:tc>
          <w:tcPr>
            <w:tcW w:w="1134" w:type="dxa"/>
            <w:shd w:val="clear" w:color="auto" w:fill="auto"/>
          </w:tcPr>
          <w:p w14:paraId="43BEC9D7" w14:textId="77777777" w:rsidR="00EE1B3B" w:rsidRPr="00172374" w:rsidRDefault="000417CB" w:rsidP="00A31449">
            <w:pPr>
              <w:rPr>
                <w:sz w:val="20"/>
                <w:szCs w:val="20"/>
              </w:rPr>
            </w:pPr>
            <w:r w:rsidRPr="00172374">
              <w:rPr>
                <w:sz w:val="20"/>
                <w:szCs w:val="20"/>
              </w:rPr>
              <w:t>62</w:t>
            </w:r>
          </w:p>
        </w:tc>
        <w:tc>
          <w:tcPr>
            <w:tcW w:w="850" w:type="dxa"/>
            <w:shd w:val="clear" w:color="auto" w:fill="auto"/>
          </w:tcPr>
          <w:p w14:paraId="09520D6F" w14:textId="77777777" w:rsidR="00EE1B3B" w:rsidRPr="00172374" w:rsidRDefault="00EE1B3B" w:rsidP="003238D0">
            <w:pPr>
              <w:jc w:val="right"/>
              <w:rPr>
                <w:sz w:val="20"/>
                <w:szCs w:val="20"/>
              </w:rPr>
            </w:pPr>
            <w:r w:rsidRPr="00172374">
              <w:rPr>
                <w:sz w:val="20"/>
                <w:szCs w:val="20"/>
              </w:rPr>
              <w:t>46.3%</w:t>
            </w:r>
          </w:p>
        </w:tc>
      </w:tr>
      <w:tr w:rsidR="001A3623" w:rsidRPr="00172374" w14:paraId="7BEA9243" w14:textId="77777777" w:rsidTr="00985C3F">
        <w:tc>
          <w:tcPr>
            <w:tcW w:w="2835" w:type="dxa"/>
            <w:shd w:val="clear" w:color="auto" w:fill="auto"/>
            <w:vAlign w:val="center"/>
          </w:tcPr>
          <w:p w14:paraId="65D8B2C4" w14:textId="77777777" w:rsidR="001A3623" w:rsidRPr="00172374" w:rsidRDefault="001A3623" w:rsidP="001A3623">
            <w:pPr>
              <w:rPr>
                <w:sz w:val="20"/>
                <w:szCs w:val="20"/>
              </w:rPr>
            </w:pPr>
            <w:r w:rsidRPr="00172374">
              <w:rPr>
                <w:sz w:val="20"/>
                <w:szCs w:val="20"/>
              </w:rPr>
              <w:t>Age of respondents (in years)</w:t>
            </w:r>
          </w:p>
        </w:tc>
        <w:tc>
          <w:tcPr>
            <w:tcW w:w="3261" w:type="dxa"/>
            <w:shd w:val="clear" w:color="auto" w:fill="auto"/>
            <w:vAlign w:val="center"/>
          </w:tcPr>
          <w:p w14:paraId="454EF493" w14:textId="6DF2F7CD" w:rsidR="001A3623" w:rsidRPr="00172374" w:rsidRDefault="001A3623" w:rsidP="001A3623">
            <w:pPr>
              <w:rPr>
                <w:sz w:val="20"/>
                <w:szCs w:val="20"/>
              </w:rPr>
            </w:pPr>
            <w:r w:rsidRPr="00172374">
              <w:rPr>
                <w:sz w:val="20"/>
                <w:szCs w:val="20"/>
              </w:rPr>
              <w:t>21–30</w:t>
            </w:r>
          </w:p>
        </w:tc>
        <w:tc>
          <w:tcPr>
            <w:tcW w:w="1134" w:type="dxa"/>
            <w:shd w:val="clear" w:color="auto" w:fill="auto"/>
            <w:vAlign w:val="center"/>
          </w:tcPr>
          <w:p w14:paraId="01099069" w14:textId="77777777" w:rsidR="001A3623" w:rsidRPr="00172374" w:rsidRDefault="00C36F86" w:rsidP="001A3623">
            <w:pPr>
              <w:rPr>
                <w:sz w:val="20"/>
                <w:szCs w:val="20"/>
              </w:rPr>
            </w:pPr>
            <w:r w:rsidRPr="00172374">
              <w:rPr>
                <w:sz w:val="20"/>
                <w:szCs w:val="20"/>
              </w:rPr>
              <w:t>45</w:t>
            </w:r>
          </w:p>
        </w:tc>
        <w:tc>
          <w:tcPr>
            <w:tcW w:w="850" w:type="dxa"/>
            <w:shd w:val="clear" w:color="auto" w:fill="auto"/>
            <w:vAlign w:val="center"/>
          </w:tcPr>
          <w:p w14:paraId="66F5B9EC" w14:textId="77777777" w:rsidR="001A3623" w:rsidRPr="00172374" w:rsidRDefault="00C36F86" w:rsidP="003238D0">
            <w:pPr>
              <w:jc w:val="right"/>
              <w:rPr>
                <w:sz w:val="20"/>
                <w:szCs w:val="20"/>
              </w:rPr>
            </w:pPr>
            <w:r w:rsidRPr="00172374">
              <w:rPr>
                <w:sz w:val="20"/>
                <w:szCs w:val="20"/>
              </w:rPr>
              <w:t>33</w:t>
            </w:r>
            <w:r w:rsidR="001A3623" w:rsidRPr="00172374">
              <w:rPr>
                <w:sz w:val="20"/>
                <w:szCs w:val="20"/>
              </w:rPr>
              <w:t>.</w:t>
            </w:r>
            <w:r w:rsidRPr="00172374">
              <w:rPr>
                <w:sz w:val="20"/>
                <w:szCs w:val="20"/>
              </w:rPr>
              <w:t>6</w:t>
            </w:r>
            <w:r w:rsidR="001A3623" w:rsidRPr="00172374">
              <w:rPr>
                <w:sz w:val="20"/>
                <w:szCs w:val="20"/>
              </w:rPr>
              <w:t>%</w:t>
            </w:r>
          </w:p>
        </w:tc>
      </w:tr>
      <w:tr w:rsidR="001A3623" w:rsidRPr="00172374" w14:paraId="07F5A4CA" w14:textId="77777777" w:rsidTr="00985C3F">
        <w:tc>
          <w:tcPr>
            <w:tcW w:w="2835" w:type="dxa"/>
            <w:shd w:val="clear" w:color="auto" w:fill="auto"/>
            <w:vAlign w:val="center"/>
          </w:tcPr>
          <w:p w14:paraId="70F9FF7C" w14:textId="77777777" w:rsidR="001A3623" w:rsidRPr="00172374" w:rsidRDefault="001A3623" w:rsidP="001A3623">
            <w:pPr>
              <w:rPr>
                <w:sz w:val="20"/>
                <w:szCs w:val="20"/>
              </w:rPr>
            </w:pPr>
          </w:p>
        </w:tc>
        <w:tc>
          <w:tcPr>
            <w:tcW w:w="3261" w:type="dxa"/>
            <w:shd w:val="clear" w:color="auto" w:fill="auto"/>
            <w:vAlign w:val="center"/>
          </w:tcPr>
          <w:p w14:paraId="41CB2EA9" w14:textId="72162102" w:rsidR="001A3623" w:rsidRPr="00172374" w:rsidRDefault="001A3623" w:rsidP="001A3623">
            <w:pPr>
              <w:rPr>
                <w:sz w:val="20"/>
                <w:szCs w:val="20"/>
              </w:rPr>
            </w:pPr>
            <w:r w:rsidRPr="00172374">
              <w:rPr>
                <w:sz w:val="20"/>
                <w:szCs w:val="20"/>
              </w:rPr>
              <w:t>31–40</w:t>
            </w:r>
          </w:p>
        </w:tc>
        <w:tc>
          <w:tcPr>
            <w:tcW w:w="1134" w:type="dxa"/>
            <w:shd w:val="clear" w:color="auto" w:fill="auto"/>
            <w:vAlign w:val="center"/>
          </w:tcPr>
          <w:p w14:paraId="2AC9D18D" w14:textId="77777777" w:rsidR="001A3623" w:rsidRPr="00172374" w:rsidRDefault="00C36F86" w:rsidP="001A3623">
            <w:pPr>
              <w:rPr>
                <w:sz w:val="20"/>
                <w:szCs w:val="20"/>
              </w:rPr>
            </w:pPr>
            <w:r w:rsidRPr="00172374">
              <w:rPr>
                <w:sz w:val="20"/>
                <w:szCs w:val="20"/>
              </w:rPr>
              <w:t>49</w:t>
            </w:r>
          </w:p>
        </w:tc>
        <w:tc>
          <w:tcPr>
            <w:tcW w:w="850" w:type="dxa"/>
            <w:shd w:val="clear" w:color="auto" w:fill="auto"/>
            <w:vAlign w:val="center"/>
          </w:tcPr>
          <w:p w14:paraId="1B78E4FE" w14:textId="77777777" w:rsidR="001A3623" w:rsidRPr="00172374" w:rsidRDefault="00C36F86" w:rsidP="003238D0">
            <w:pPr>
              <w:jc w:val="right"/>
              <w:rPr>
                <w:sz w:val="20"/>
                <w:szCs w:val="20"/>
              </w:rPr>
            </w:pPr>
            <w:r w:rsidRPr="00172374">
              <w:rPr>
                <w:sz w:val="20"/>
                <w:szCs w:val="20"/>
              </w:rPr>
              <w:t>36</w:t>
            </w:r>
            <w:r w:rsidR="001A3623" w:rsidRPr="00172374">
              <w:rPr>
                <w:sz w:val="20"/>
                <w:szCs w:val="20"/>
              </w:rPr>
              <w:t>.</w:t>
            </w:r>
            <w:r w:rsidRPr="00172374">
              <w:rPr>
                <w:sz w:val="20"/>
                <w:szCs w:val="20"/>
              </w:rPr>
              <w:t>5</w:t>
            </w:r>
            <w:r w:rsidR="001A3623" w:rsidRPr="00172374">
              <w:rPr>
                <w:sz w:val="20"/>
                <w:szCs w:val="20"/>
              </w:rPr>
              <w:t>%</w:t>
            </w:r>
          </w:p>
        </w:tc>
      </w:tr>
      <w:tr w:rsidR="001A3623" w:rsidRPr="00172374" w14:paraId="1F72555E" w14:textId="77777777" w:rsidTr="00985C3F">
        <w:tc>
          <w:tcPr>
            <w:tcW w:w="2835" w:type="dxa"/>
            <w:shd w:val="clear" w:color="auto" w:fill="auto"/>
            <w:vAlign w:val="center"/>
          </w:tcPr>
          <w:p w14:paraId="75BF9BEB" w14:textId="77777777" w:rsidR="001A3623" w:rsidRPr="00172374" w:rsidRDefault="001A3623" w:rsidP="001A3623">
            <w:pPr>
              <w:rPr>
                <w:sz w:val="20"/>
                <w:szCs w:val="20"/>
              </w:rPr>
            </w:pPr>
          </w:p>
        </w:tc>
        <w:tc>
          <w:tcPr>
            <w:tcW w:w="3261" w:type="dxa"/>
            <w:shd w:val="clear" w:color="auto" w:fill="auto"/>
            <w:vAlign w:val="center"/>
          </w:tcPr>
          <w:p w14:paraId="52CD6B99" w14:textId="70B6A508" w:rsidR="001A3623" w:rsidRPr="00172374" w:rsidRDefault="001A3623" w:rsidP="001A3623">
            <w:pPr>
              <w:rPr>
                <w:sz w:val="20"/>
                <w:szCs w:val="20"/>
              </w:rPr>
            </w:pPr>
            <w:r w:rsidRPr="00172374">
              <w:rPr>
                <w:sz w:val="20"/>
                <w:szCs w:val="20"/>
              </w:rPr>
              <w:t>41–50</w:t>
            </w:r>
          </w:p>
        </w:tc>
        <w:tc>
          <w:tcPr>
            <w:tcW w:w="1134" w:type="dxa"/>
            <w:shd w:val="clear" w:color="auto" w:fill="auto"/>
            <w:vAlign w:val="center"/>
          </w:tcPr>
          <w:p w14:paraId="2DA5B5B5" w14:textId="77777777" w:rsidR="001A3623" w:rsidRPr="00172374" w:rsidRDefault="000942AF" w:rsidP="001A3623">
            <w:pPr>
              <w:rPr>
                <w:sz w:val="20"/>
                <w:szCs w:val="20"/>
              </w:rPr>
            </w:pPr>
            <w:r w:rsidRPr="00172374">
              <w:rPr>
                <w:sz w:val="20"/>
                <w:szCs w:val="20"/>
              </w:rPr>
              <w:t>31</w:t>
            </w:r>
          </w:p>
        </w:tc>
        <w:tc>
          <w:tcPr>
            <w:tcW w:w="850" w:type="dxa"/>
            <w:shd w:val="clear" w:color="auto" w:fill="auto"/>
            <w:vAlign w:val="center"/>
          </w:tcPr>
          <w:p w14:paraId="4938B486" w14:textId="77777777" w:rsidR="001A3623" w:rsidRPr="00172374" w:rsidRDefault="000942AF" w:rsidP="003238D0">
            <w:pPr>
              <w:jc w:val="right"/>
              <w:rPr>
                <w:sz w:val="20"/>
                <w:szCs w:val="20"/>
              </w:rPr>
            </w:pPr>
            <w:r w:rsidRPr="00172374">
              <w:rPr>
                <w:sz w:val="20"/>
                <w:szCs w:val="20"/>
              </w:rPr>
              <w:t>23</w:t>
            </w:r>
            <w:r w:rsidR="001A3623" w:rsidRPr="00172374">
              <w:rPr>
                <w:sz w:val="20"/>
                <w:szCs w:val="20"/>
              </w:rPr>
              <w:t>.</w:t>
            </w:r>
            <w:r w:rsidR="00922B80" w:rsidRPr="00172374">
              <w:rPr>
                <w:sz w:val="20"/>
                <w:szCs w:val="20"/>
              </w:rPr>
              <w:t>2</w:t>
            </w:r>
            <w:r w:rsidR="001A3623" w:rsidRPr="00172374">
              <w:rPr>
                <w:sz w:val="20"/>
                <w:szCs w:val="20"/>
              </w:rPr>
              <w:t>%</w:t>
            </w:r>
          </w:p>
        </w:tc>
      </w:tr>
      <w:tr w:rsidR="001A3623" w:rsidRPr="00172374" w14:paraId="0B87DBC1" w14:textId="77777777" w:rsidTr="00985C3F">
        <w:tc>
          <w:tcPr>
            <w:tcW w:w="2835" w:type="dxa"/>
            <w:shd w:val="clear" w:color="auto" w:fill="auto"/>
            <w:vAlign w:val="center"/>
          </w:tcPr>
          <w:p w14:paraId="0041C514" w14:textId="77777777" w:rsidR="001A3623" w:rsidRPr="00172374" w:rsidRDefault="001A3623" w:rsidP="001A3623">
            <w:pPr>
              <w:rPr>
                <w:sz w:val="20"/>
                <w:szCs w:val="20"/>
              </w:rPr>
            </w:pPr>
          </w:p>
        </w:tc>
        <w:tc>
          <w:tcPr>
            <w:tcW w:w="3261" w:type="dxa"/>
            <w:shd w:val="clear" w:color="auto" w:fill="auto"/>
            <w:vAlign w:val="center"/>
          </w:tcPr>
          <w:p w14:paraId="76324024" w14:textId="79F35B4C" w:rsidR="001A3623" w:rsidRPr="00172374" w:rsidRDefault="001A3623" w:rsidP="001A3623">
            <w:pPr>
              <w:rPr>
                <w:sz w:val="20"/>
                <w:szCs w:val="20"/>
              </w:rPr>
            </w:pPr>
            <w:r w:rsidRPr="00172374">
              <w:rPr>
                <w:sz w:val="20"/>
                <w:szCs w:val="20"/>
              </w:rPr>
              <w:t>51–60</w:t>
            </w:r>
          </w:p>
        </w:tc>
        <w:tc>
          <w:tcPr>
            <w:tcW w:w="1134" w:type="dxa"/>
            <w:shd w:val="clear" w:color="auto" w:fill="auto"/>
            <w:vAlign w:val="center"/>
          </w:tcPr>
          <w:p w14:paraId="00D3A7E9" w14:textId="77777777" w:rsidR="001A3623" w:rsidRPr="00172374" w:rsidRDefault="000942AF" w:rsidP="001A3623">
            <w:pPr>
              <w:rPr>
                <w:sz w:val="20"/>
                <w:szCs w:val="20"/>
              </w:rPr>
            </w:pPr>
            <w:r w:rsidRPr="00172374">
              <w:rPr>
                <w:sz w:val="20"/>
                <w:szCs w:val="20"/>
              </w:rPr>
              <w:t>9</w:t>
            </w:r>
          </w:p>
        </w:tc>
        <w:tc>
          <w:tcPr>
            <w:tcW w:w="850" w:type="dxa"/>
            <w:shd w:val="clear" w:color="auto" w:fill="auto"/>
            <w:vAlign w:val="center"/>
          </w:tcPr>
          <w:p w14:paraId="52DD36B0" w14:textId="77777777" w:rsidR="001A3623" w:rsidRPr="00172374" w:rsidRDefault="000942AF" w:rsidP="003238D0">
            <w:pPr>
              <w:jc w:val="right"/>
              <w:rPr>
                <w:sz w:val="20"/>
                <w:szCs w:val="20"/>
              </w:rPr>
            </w:pPr>
            <w:r w:rsidRPr="00172374">
              <w:rPr>
                <w:sz w:val="20"/>
                <w:szCs w:val="20"/>
              </w:rPr>
              <w:t>6.7</w:t>
            </w:r>
            <w:r w:rsidR="001A3623" w:rsidRPr="00172374">
              <w:rPr>
                <w:sz w:val="20"/>
                <w:szCs w:val="20"/>
              </w:rPr>
              <w:t>%</w:t>
            </w:r>
          </w:p>
        </w:tc>
      </w:tr>
      <w:tr w:rsidR="00922B80" w:rsidRPr="00172374" w14:paraId="5E69D7C6" w14:textId="77777777" w:rsidTr="00985C3F">
        <w:tc>
          <w:tcPr>
            <w:tcW w:w="2835" w:type="dxa"/>
            <w:shd w:val="clear" w:color="auto" w:fill="auto"/>
            <w:vAlign w:val="center"/>
          </w:tcPr>
          <w:p w14:paraId="76062392" w14:textId="77777777" w:rsidR="00922B80" w:rsidRPr="00172374" w:rsidRDefault="00922B80" w:rsidP="001A3623">
            <w:pPr>
              <w:rPr>
                <w:sz w:val="20"/>
                <w:szCs w:val="20"/>
              </w:rPr>
            </w:pPr>
            <w:r w:rsidRPr="00172374">
              <w:rPr>
                <w:sz w:val="20"/>
                <w:szCs w:val="20"/>
              </w:rPr>
              <w:t>Gender</w:t>
            </w:r>
          </w:p>
        </w:tc>
        <w:tc>
          <w:tcPr>
            <w:tcW w:w="3261" w:type="dxa"/>
            <w:shd w:val="clear" w:color="auto" w:fill="auto"/>
            <w:vAlign w:val="center"/>
          </w:tcPr>
          <w:p w14:paraId="648F9B89" w14:textId="77777777" w:rsidR="00922B80" w:rsidRPr="00172374" w:rsidRDefault="00922B80" w:rsidP="001A3623">
            <w:pPr>
              <w:rPr>
                <w:sz w:val="20"/>
                <w:szCs w:val="20"/>
              </w:rPr>
            </w:pPr>
            <w:r w:rsidRPr="00172374">
              <w:rPr>
                <w:sz w:val="20"/>
                <w:szCs w:val="20"/>
              </w:rPr>
              <w:t>Male</w:t>
            </w:r>
          </w:p>
        </w:tc>
        <w:tc>
          <w:tcPr>
            <w:tcW w:w="1134" w:type="dxa"/>
            <w:shd w:val="clear" w:color="auto" w:fill="auto"/>
            <w:vAlign w:val="center"/>
          </w:tcPr>
          <w:p w14:paraId="744ECE94" w14:textId="77777777" w:rsidR="00922B80" w:rsidRPr="00172374" w:rsidRDefault="00922B80" w:rsidP="001A3623">
            <w:pPr>
              <w:rPr>
                <w:sz w:val="20"/>
                <w:szCs w:val="20"/>
              </w:rPr>
            </w:pPr>
            <w:r w:rsidRPr="00172374">
              <w:rPr>
                <w:sz w:val="20"/>
                <w:szCs w:val="20"/>
              </w:rPr>
              <w:t>60</w:t>
            </w:r>
          </w:p>
        </w:tc>
        <w:tc>
          <w:tcPr>
            <w:tcW w:w="850" w:type="dxa"/>
            <w:shd w:val="clear" w:color="auto" w:fill="auto"/>
            <w:vAlign w:val="center"/>
          </w:tcPr>
          <w:p w14:paraId="0E57EE9E" w14:textId="77777777" w:rsidR="00922B80" w:rsidRPr="00172374" w:rsidRDefault="00922B80" w:rsidP="003238D0">
            <w:pPr>
              <w:jc w:val="right"/>
              <w:rPr>
                <w:sz w:val="20"/>
                <w:szCs w:val="20"/>
              </w:rPr>
            </w:pPr>
            <w:r w:rsidRPr="00172374">
              <w:rPr>
                <w:sz w:val="20"/>
                <w:szCs w:val="20"/>
              </w:rPr>
              <w:t>44.7%</w:t>
            </w:r>
          </w:p>
        </w:tc>
      </w:tr>
      <w:tr w:rsidR="00922B80" w:rsidRPr="00172374" w14:paraId="502F8542" w14:textId="77777777" w:rsidTr="00985C3F">
        <w:tc>
          <w:tcPr>
            <w:tcW w:w="2835" w:type="dxa"/>
            <w:shd w:val="clear" w:color="auto" w:fill="auto"/>
            <w:vAlign w:val="center"/>
          </w:tcPr>
          <w:p w14:paraId="1D879F7F" w14:textId="77777777" w:rsidR="00922B80" w:rsidRPr="00172374" w:rsidRDefault="00922B80" w:rsidP="001A3623">
            <w:pPr>
              <w:rPr>
                <w:sz w:val="20"/>
                <w:szCs w:val="20"/>
              </w:rPr>
            </w:pPr>
          </w:p>
        </w:tc>
        <w:tc>
          <w:tcPr>
            <w:tcW w:w="3261" w:type="dxa"/>
            <w:shd w:val="clear" w:color="auto" w:fill="auto"/>
            <w:vAlign w:val="center"/>
          </w:tcPr>
          <w:p w14:paraId="76FE996F" w14:textId="77777777" w:rsidR="00922B80" w:rsidRPr="00172374" w:rsidRDefault="00922B80" w:rsidP="001A3623">
            <w:pPr>
              <w:rPr>
                <w:sz w:val="20"/>
                <w:szCs w:val="20"/>
              </w:rPr>
            </w:pPr>
            <w:r w:rsidRPr="00172374">
              <w:rPr>
                <w:sz w:val="20"/>
                <w:szCs w:val="20"/>
              </w:rPr>
              <w:t>Female</w:t>
            </w:r>
          </w:p>
        </w:tc>
        <w:tc>
          <w:tcPr>
            <w:tcW w:w="1134" w:type="dxa"/>
            <w:shd w:val="clear" w:color="auto" w:fill="auto"/>
            <w:vAlign w:val="center"/>
          </w:tcPr>
          <w:p w14:paraId="20513069" w14:textId="77777777" w:rsidR="00922B80" w:rsidRPr="00172374" w:rsidRDefault="00922B80" w:rsidP="001A3623">
            <w:pPr>
              <w:rPr>
                <w:sz w:val="20"/>
                <w:szCs w:val="20"/>
              </w:rPr>
            </w:pPr>
            <w:r w:rsidRPr="00172374">
              <w:rPr>
                <w:sz w:val="20"/>
                <w:szCs w:val="20"/>
              </w:rPr>
              <w:t>74</w:t>
            </w:r>
          </w:p>
        </w:tc>
        <w:tc>
          <w:tcPr>
            <w:tcW w:w="850" w:type="dxa"/>
            <w:shd w:val="clear" w:color="auto" w:fill="auto"/>
            <w:vAlign w:val="center"/>
          </w:tcPr>
          <w:p w14:paraId="65BAF400" w14:textId="77777777" w:rsidR="00922B80" w:rsidRPr="00172374" w:rsidRDefault="00922B80" w:rsidP="003238D0">
            <w:pPr>
              <w:jc w:val="right"/>
              <w:rPr>
                <w:sz w:val="20"/>
                <w:szCs w:val="20"/>
              </w:rPr>
            </w:pPr>
            <w:r w:rsidRPr="00172374">
              <w:rPr>
                <w:sz w:val="20"/>
                <w:szCs w:val="20"/>
              </w:rPr>
              <w:t>55.2%</w:t>
            </w:r>
          </w:p>
        </w:tc>
      </w:tr>
      <w:tr w:rsidR="00EE1B3B" w:rsidRPr="00172374" w14:paraId="186B38CA" w14:textId="77777777" w:rsidTr="00985C3F">
        <w:tc>
          <w:tcPr>
            <w:tcW w:w="2835" w:type="dxa"/>
            <w:tcBorders>
              <w:bottom w:val="single" w:sz="4" w:space="0" w:color="auto"/>
            </w:tcBorders>
            <w:shd w:val="clear" w:color="auto" w:fill="auto"/>
          </w:tcPr>
          <w:p w14:paraId="4A1805F9" w14:textId="77777777" w:rsidR="00EE1B3B" w:rsidRPr="00172374" w:rsidRDefault="00EE1B3B" w:rsidP="00A31449">
            <w:pPr>
              <w:rPr>
                <w:sz w:val="20"/>
                <w:szCs w:val="20"/>
              </w:rPr>
            </w:pPr>
            <w:r w:rsidRPr="00172374">
              <w:rPr>
                <w:sz w:val="20"/>
                <w:szCs w:val="20"/>
              </w:rPr>
              <w:t>Professional experience</w:t>
            </w:r>
          </w:p>
        </w:tc>
        <w:tc>
          <w:tcPr>
            <w:tcW w:w="3261" w:type="dxa"/>
            <w:tcBorders>
              <w:bottom w:val="single" w:sz="4" w:space="0" w:color="auto"/>
            </w:tcBorders>
            <w:shd w:val="clear" w:color="auto" w:fill="auto"/>
            <w:vAlign w:val="center"/>
          </w:tcPr>
          <w:p w14:paraId="16AA08DC" w14:textId="08026674" w:rsidR="00EE1B3B" w:rsidRPr="00172374" w:rsidRDefault="00EE1B3B" w:rsidP="00A31449">
            <w:pPr>
              <w:rPr>
                <w:sz w:val="20"/>
                <w:szCs w:val="20"/>
              </w:rPr>
            </w:pPr>
            <w:r w:rsidRPr="00172374">
              <w:rPr>
                <w:sz w:val="20"/>
                <w:szCs w:val="20"/>
              </w:rPr>
              <w:t>&gt;5 years</w:t>
            </w:r>
          </w:p>
        </w:tc>
        <w:tc>
          <w:tcPr>
            <w:tcW w:w="1134" w:type="dxa"/>
            <w:tcBorders>
              <w:bottom w:val="single" w:sz="4" w:space="0" w:color="auto"/>
            </w:tcBorders>
            <w:shd w:val="clear" w:color="auto" w:fill="auto"/>
          </w:tcPr>
          <w:p w14:paraId="1422ACE0" w14:textId="77777777" w:rsidR="00EE1B3B" w:rsidRPr="00172374" w:rsidRDefault="000417CB" w:rsidP="00A31449">
            <w:pPr>
              <w:rPr>
                <w:sz w:val="20"/>
                <w:szCs w:val="20"/>
              </w:rPr>
            </w:pPr>
            <w:r w:rsidRPr="00172374">
              <w:rPr>
                <w:sz w:val="20"/>
                <w:szCs w:val="20"/>
              </w:rPr>
              <w:t>134</w:t>
            </w:r>
          </w:p>
        </w:tc>
        <w:tc>
          <w:tcPr>
            <w:tcW w:w="850" w:type="dxa"/>
            <w:tcBorders>
              <w:bottom w:val="single" w:sz="4" w:space="0" w:color="auto"/>
            </w:tcBorders>
            <w:shd w:val="clear" w:color="auto" w:fill="auto"/>
          </w:tcPr>
          <w:p w14:paraId="114ED5C2" w14:textId="77777777" w:rsidR="00EE1B3B" w:rsidRPr="00172374" w:rsidRDefault="00EE1B3B" w:rsidP="003238D0">
            <w:pPr>
              <w:jc w:val="right"/>
              <w:rPr>
                <w:sz w:val="20"/>
                <w:szCs w:val="20"/>
              </w:rPr>
            </w:pPr>
            <w:r w:rsidRPr="00172374">
              <w:rPr>
                <w:sz w:val="20"/>
                <w:szCs w:val="20"/>
              </w:rPr>
              <w:t>100%</w:t>
            </w:r>
          </w:p>
        </w:tc>
      </w:tr>
    </w:tbl>
    <w:p w14:paraId="646E5188" w14:textId="77777777" w:rsidR="00B21591" w:rsidRPr="00172374" w:rsidRDefault="007D0B1E" w:rsidP="000D59B1">
      <w:pPr>
        <w:tabs>
          <w:tab w:val="left" w:pos="-284"/>
          <w:tab w:val="left" w:pos="0"/>
          <w:tab w:val="left" w:pos="142"/>
        </w:tabs>
        <w:spacing w:line="480" w:lineRule="auto"/>
        <w:ind w:hanging="360"/>
      </w:pPr>
      <w:r w:rsidRPr="00172374">
        <w:br w:type="page"/>
      </w:r>
    </w:p>
    <w:tbl>
      <w:tblPr>
        <w:tblW w:w="10206" w:type="dxa"/>
        <w:tblInd w:w="-426" w:type="dxa"/>
        <w:tblLook w:val="04A0" w:firstRow="1" w:lastRow="0" w:firstColumn="1" w:lastColumn="0" w:noHBand="0" w:noVBand="1"/>
      </w:tblPr>
      <w:tblGrid>
        <w:gridCol w:w="4574"/>
        <w:gridCol w:w="1365"/>
        <w:gridCol w:w="283"/>
        <w:gridCol w:w="843"/>
        <w:gridCol w:w="699"/>
        <w:gridCol w:w="930"/>
        <w:gridCol w:w="1512"/>
      </w:tblGrid>
      <w:tr w:rsidR="00077542" w:rsidRPr="00172374" w14:paraId="0E8381E0" w14:textId="77777777" w:rsidTr="007A0AEE">
        <w:tc>
          <w:tcPr>
            <w:tcW w:w="10206" w:type="dxa"/>
            <w:gridSpan w:val="7"/>
            <w:tcBorders>
              <w:bottom w:val="single" w:sz="4" w:space="0" w:color="auto"/>
            </w:tcBorders>
            <w:shd w:val="clear" w:color="auto" w:fill="auto"/>
            <w:vAlign w:val="center"/>
          </w:tcPr>
          <w:p w14:paraId="773AB86D" w14:textId="761C194B" w:rsidR="00077542" w:rsidRPr="00172374" w:rsidRDefault="00B21591" w:rsidP="003238D0">
            <w:pPr>
              <w:spacing w:after="60"/>
              <w:rPr>
                <w:b/>
              </w:rPr>
            </w:pPr>
            <w:r w:rsidRPr="00172374">
              <w:lastRenderedPageBreak/>
              <w:br w:type="page"/>
            </w:r>
            <w:r w:rsidR="00077542" w:rsidRPr="00172374">
              <w:rPr>
                <w:b/>
              </w:rPr>
              <w:t xml:space="preserve">Table </w:t>
            </w:r>
            <w:r w:rsidR="009C55D7" w:rsidRPr="00172374">
              <w:rPr>
                <w:b/>
              </w:rPr>
              <w:t>8</w:t>
            </w:r>
          </w:p>
          <w:p w14:paraId="22C22EA0" w14:textId="5F211CB9" w:rsidR="00077542" w:rsidRPr="00172374" w:rsidRDefault="00077542" w:rsidP="003238D0">
            <w:pPr>
              <w:spacing w:after="60"/>
              <w:rPr>
                <w:b/>
              </w:rPr>
            </w:pPr>
            <w:r w:rsidRPr="00172374">
              <w:t>Study 3</w:t>
            </w:r>
            <w:r w:rsidR="00212CAF" w:rsidRPr="00172374">
              <w:t>:</w:t>
            </w:r>
            <w:r w:rsidRPr="00172374">
              <w:t xml:space="preserve"> scale items, descriptive statistics, factor loadings</w:t>
            </w:r>
            <w:r w:rsidR="00212CAF" w:rsidRPr="00172374">
              <w:t>,</w:t>
            </w:r>
            <w:r w:rsidRPr="00172374">
              <w:t xml:space="preserve"> and communalities</w:t>
            </w:r>
            <w:r w:rsidR="00212CAF" w:rsidRPr="00172374">
              <w:t>.</w:t>
            </w:r>
          </w:p>
        </w:tc>
      </w:tr>
      <w:tr w:rsidR="001F1598" w:rsidRPr="00172374" w14:paraId="023683B8" w14:textId="77777777" w:rsidTr="007A0AEE">
        <w:tc>
          <w:tcPr>
            <w:tcW w:w="4621" w:type="dxa"/>
            <w:tcBorders>
              <w:top w:val="single" w:sz="4" w:space="0" w:color="auto"/>
              <w:bottom w:val="single" w:sz="4" w:space="0" w:color="auto"/>
            </w:tcBorders>
            <w:shd w:val="clear" w:color="auto" w:fill="auto"/>
            <w:vAlign w:val="center"/>
          </w:tcPr>
          <w:p w14:paraId="661A285E" w14:textId="77777777" w:rsidR="001F1598" w:rsidRPr="00172374" w:rsidRDefault="001F1598" w:rsidP="009D7D1A">
            <w:pPr>
              <w:rPr>
                <w:b/>
                <w:bCs/>
                <w:sz w:val="22"/>
                <w:szCs w:val="22"/>
              </w:rPr>
            </w:pPr>
            <w:r w:rsidRPr="00172374">
              <w:rPr>
                <w:b/>
                <w:bCs/>
                <w:sz w:val="22"/>
                <w:szCs w:val="22"/>
              </w:rPr>
              <w:t>Factor item</w:t>
            </w:r>
          </w:p>
        </w:tc>
        <w:tc>
          <w:tcPr>
            <w:tcW w:w="1658" w:type="dxa"/>
            <w:gridSpan w:val="2"/>
            <w:tcBorders>
              <w:top w:val="single" w:sz="4" w:space="0" w:color="auto"/>
              <w:bottom w:val="single" w:sz="4" w:space="0" w:color="auto"/>
            </w:tcBorders>
            <w:shd w:val="clear" w:color="auto" w:fill="auto"/>
            <w:vAlign w:val="center"/>
          </w:tcPr>
          <w:p w14:paraId="148B8E9E" w14:textId="1457C1F9" w:rsidR="001F1598" w:rsidRPr="00172374" w:rsidRDefault="001F1598" w:rsidP="003238D0">
            <w:pPr>
              <w:jc w:val="center"/>
              <w:rPr>
                <w:i/>
                <w:sz w:val="22"/>
                <w:szCs w:val="22"/>
              </w:rPr>
            </w:pPr>
            <w:r w:rsidRPr="00172374">
              <w:rPr>
                <w:i/>
                <w:sz w:val="22"/>
                <w:szCs w:val="22"/>
              </w:rPr>
              <w:t xml:space="preserve">Range: </w:t>
            </w:r>
            <w:r w:rsidRPr="00172374">
              <w:rPr>
                <w:sz w:val="22"/>
                <w:szCs w:val="22"/>
              </w:rPr>
              <w:t>1</w:t>
            </w:r>
            <w:r w:rsidR="00212CAF" w:rsidRPr="00172374">
              <w:rPr>
                <w:sz w:val="22"/>
                <w:szCs w:val="22"/>
              </w:rPr>
              <w:t>–</w:t>
            </w:r>
            <w:r w:rsidRPr="00172374">
              <w:rPr>
                <w:sz w:val="22"/>
                <w:szCs w:val="22"/>
              </w:rPr>
              <w:t>7</w:t>
            </w:r>
          </w:p>
        </w:tc>
        <w:tc>
          <w:tcPr>
            <w:tcW w:w="844" w:type="dxa"/>
            <w:tcBorders>
              <w:top w:val="single" w:sz="4" w:space="0" w:color="auto"/>
              <w:bottom w:val="single" w:sz="4" w:space="0" w:color="auto"/>
            </w:tcBorders>
            <w:shd w:val="clear" w:color="auto" w:fill="auto"/>
            <w:vAlign w:val="center"/>
          </w:tcPr>
          <w:p w14:paraId="48EB0F86" w14:textId="77777777" w:rsidR="001F1598" w:rsidRPr="00172374" w:rsidRDefault="001F1598" w:rsidP="003238D0">
            <w:pPr>
              <w:jc w:val="center"/>
              <w:rPr>
                <w:b/>
                <w:bCs/>
                <w:sz w:val="22"/>
                <w:szCs w:val="22"/>
              </w:rPr>
            </w:pPr>
            <w:r w:rsidRPr="00172374">
              <w:rPr>
                <w:b/>
                <w:bCs/>
                <w:sz w:val="22"/>
                <w:szCs w:val="22"/>
              </w:rPr>
              <w:t>Mean</w:t>
            </w:r>
          </w:p>
        </w:tc>
        <w:tc>
          <w:tcPr>
            <w:tcW w:w="701" w:type="dxa"/>
            <w:tcBorders>
              <w:top w:val="single" w:sz="4" w:space="0" w:color="auto"/>
              <w:bottom w:val="single" w:sz="4" w:space="0" w:color="auto"/>
            </w:tcBorders>
            <w:shd w:val="clear" w:color="auto" w:fill="auto"/>
            <w:vAlign w:val="center"/>
          </w:tcPr>
          <w:p w14:paraId="7CBF767F" w14:textId="77777777" w:rsidR="001F1598" w:rsidRPr="00172374" w:rsidRDefault="001F1598" w:rsidP="009D7D1A">
            <w:pPr>
              <w:rPr>
                <w:b/>
                <w:bCs/>
                <w:sz w:val="22"/>
                <w:szCs w:val="22"/>
              </w:rPr>
            </w:pPr>
            <w:r w:rsidRPr="00172374">
              <w:rPr>
                <w:b/>
                <w:bCs/>
                <w:sz w:val="22"/>
                <w:szCs w:val="22"/>
              </w:rPr>
              <w:t>SD</w:t>
            </w:r>
          </w:p>
        </w:tc>
        <w:tc>
          <w:tcPr>
            <w:tcW w:w="932" w:type="dxa"/>
            <w:tcBorders>
              <w:top w:val="single" w:sz="4" w:space="0" w:color="auto"/>
              <w:bottom w:val="single" w:sz="4" w:space="0" w:color="auto"/>
            </w:tcBorders>
            <w:shd w:val="clear" w:color="auto" w:fill="auto"/>
            <w:vAlign w:val="center"/>
          </w:tcPr>
          <w:p w14:paraId="5831D8C7" w14:textId="77777777" w:rsidR="001F1598" w:rsidRPr="00172374" w:rsidRDefault="001F1598" w:rsidP="003238D0">
            <w:pPr>
              <w:jc w:val="center"/>
              <w:rPr>
                <w:b/>
                <w:bCs/>
                <w:sz w:val="22"/>
                <w:szCs w:val="22"/>
              </w:rPr>
            </w:pPr>
            <w:r w:rsidRPr="00172374">
              <w:rPr>
                <w:b/>
                <w:bCs/>
                <w:sz w:val="22"/>
                <w:szCs w:val="22"/>
                <w:lang w:val="el-GR"/>
              </w:rPr>
              <w:t>λ</w:t>
            </w:r>
          </w:p>
        </w:tc>
        <w:tc>
          <w:tcPr>
            <w:tcW w:w="1450" w:type="dxa"/>
            <w:tcBorders>
              <w:top w:val="single" w:sz="4" w:space="0" w:color="auto"/>
              <w:bottom w:val="single" w:sz="4" w:space="0" w:color="auto"/>
            </w:tcBorders>
            <w:shd w:val="clear" w:color="auto" w:fill="auto"/>
          </w:tcPr>
          <w:p w14:paraId="0B5620D7" w14:textId="77777777" w:rsidR="001F1598" w:rsidRPr="00172374" w:rsidRDefault="001F1598" w:rsidP="00727001">
            <w:pPr>
              <w:jc w:val="center"/>
              <w:rPr>
                <w:b/>
                <w:bCs/>
                <w:sz w:val="22"/>
                <w:szCs w:val="22"/>
              </w:rPr>
            </w:pPr>
            <w:r w:rsidRPr="00172374">
              <w:rPr>
                <w:b/>
                <w:bCs/>
                <w:sz w:val="22"/>
                <w:szCs w:val="22"/>
              </w:rPr>
              <w:t>Communalit</w:t>
            </w:r>
            <w:r w:rsidR="00727001" w:rsidRPr="00172374">
              <w:rPr>
                <w:b/>
                <w:bCs/>
                <w:sz w:val="22"/>
                <w:szCs w:val="22"/>
              </w:rPr>
              <w:t>y</w:t>
            </w:r>
          </w:p>
        </w:tc>
      </w:tr>
      <w:tr w:rsidR="001F1598" w:rsidRPr="00172374" w14:paraId="4A20912B" w14:textId="77777777" w:rsidTr="007A0AEE">
        <w:tc>
          <w:tcPr>
            <w:tcW w:w="5996" w:type="dxa"/>
            <w:gridSpan w:val="2"/>
            <w:tcBorders>
              <w:top w:val="single" w:sz="4" w:space="0" w:color="auto"/>
            </w:tcBorders>
            <w:shd w:val="clear" w:color="auto" w:fill="auto"/>
            <w:vAlign w:val="center"/>
          </w:tcPr>
          <w:p w14:paraId="0067D262" w14:textId="05B91BFE" w:rsidR="001F1598" w:rsidRPr="00172374" w:rsidRDefault="001F1598" w:rsidP="003238D0">
            <w:pPr>
              <w:spacing w:before="60"/>
              <w:rPr>
                <w:i/>
                <w:sz w:val="20"/>
                <w:szCs w:val="20"/>
              </w:rPr>
            </w:pPr>
            <w:r w:rsidRPr="00172374">
              <w:rPr>
                <w:b/>
                <w:bCs/>
                <w:i/>
                <w:sz w:val="20"/>
                <w:szCs w:val="20"/>
              </w:rPr>
              <w:t>B</w:t>
            </w:r>
            <w:r w:rsidR="009168A0" w:rsidRPr="00172374">
              <w:rPr>
                <w:b/>
                <w:bCs/>
                <w:i/>
                <w:sz w:val="20"/>
                <w:szCs w:val="20"/>
              </w:rPr>
              <w:t>IM</w:t>
            </w:r>
            <w:r w:rsidRPr="00172374">
              <w:rPr>
                <w:i/>
                <w:sz w:val="20"/>
                <w:szCs w:val="20"/>
              </w:rPr>
              <w:t xml:space="preserve"> (alpha = 0.94)</w:t>
            </w:r>
          </w:p>
        </w:tc>
        <w:tc>
          <w:tcPr>
            <w:tcW w:w="283" w:type="dxa"/>
            <w:tcBorders>
              <w:top w:val="single" w:sz="4" w:space="0" w:color="auto"/>
            </w:tcBorders>
            <w:shd w:val="clear" w:color="auto" w:fill="auto"/>
            <w:vAlign w:val="center"/>
          </w:tcPr>
          <w:p w14:paraId="29FEB759" w14:textId="77777777" w:rsidR="001F1598" w:rsidRPr="00172374" w:rsidRDefault="001F1598" w:rsidP="003238D0">
            <w:pPr>
              <w:jc w:val="center"/>
              <w:rPr>
                <w:sz w:val="20"/>
                <w:szCs w:val="20"/>
              </w:rPr>
            </w:pPr>
          </w:p>
        </w:tc>
        <w:tc>
          <w:tcPr>
            <w:tcW w:w="844" w:type="dxa"/>
            <w:tcBorders>
              <w:top w:val="single" w:sz="4" w:space="0" w:color="auto"/>
            </w:tcBorders>
            <w:shd w:val="clear" w:color="auto" w:fill="auto"/>
            <w:vAlign w:val="center"/>
          </w:tcPr>
          <w:p w14:paraId="2BCC8F38" w14:textId="77777777" w:rsidR="001F1598" w:rsidRPr="00172374" w:rsidRDefault="001F1598" w:rsidP="003238D0">
            <w:pPr>
              <w:jc w:val="center"/>
              <w:rPr>
                <w:sz w:val="20"/>
                <w:szCs w:val="20"/>
              </w:rPr>
            </w:pPr>
          </w:p>
        </w:tc>
        <w:tc>
          <w:tcPr>
            <w:tcW w:w="701" w:type="dxa"/>
            <w:tcBorders>
              <w:top w:val="single" w:sz="4" w:space="0" w:color="auto"/>
            </w:tcBorders>
            <w:shd w:val="clear" w:color="auto" w:fill="auto"/>
            <w:vAlign w:val="center"/>
          </w:tcPr>
          <w:p w14:paraId="619F2245" w14:textId="77777777" w:rsidR="001F1598" w:rsidRPr="00172374" w:rsidRDefault="001F1598" w:rsidP="003238D0">
            <w:pPr>
              <w:jc w:val="center"/>
              <w:rPr>
                <w:sz w:val="20"/>
                <w:szCs w:val="20"/>
              </w:rPr>
            </w:pPr>
          </w:p>
        </w:tc>
        <w:tc>
          <w:tcPr>
            <w:tcW w:w="932" w:type="dxa"/>
            <w:tcBorders>
              <w:top w:val="single" w:sz="4" w:space="0" w:color="auto"/>
            </w:tcBorders>
            <w:shd w:val="clear" w:color="auto" w:fill="auto"/>
            <w:vAlign w:val="center"/>
          </w:tcPr>
          <w:p w14:paraId="30F2A37C" w14:textId="77777777" w:rsidR="001F1598" w:rsidRPr="00172374" w:rsidRDefault="001F1598" w:rsidP="003238D0">
            <w:pPr>
              <w:ind w:firstLine="176"/>
              <w:rPr>
                <w:sz w:val="20"/>
                <w:szCs w:val="20"/>
              </w:rPr>
            </w:pPr>
          </w:p>
        </w:tc>
        <w:tc>
          <w:tcPr>
            <w:tcW w:w="1450" w:type="dxa"/>
            <w:tcBorders>
              <w:top w:val="single" w:sz="4" w:space="0" w:color="auto"/>
            </w:tcBorders>
            <w:shd w:val="clear" w:color="auto" w:fill="auto"/>
          </w:tcPr>
          <w:p w14:paraId="67768D88" w14:textId="77777777" w:rsidR="001F1598" w:rsidRPr="00172374" w:rsidRDefault="001F1598" w:rsidP="003238D0">
            <w:pPr>
              <w:ind w:firstLine="176"/>
              <w:rPr>
                <w:sz w:val="20"/>
                <w:szCs w:val="20"/>
              </w:rPr>
            </w:pPr>
          </w:p>
        </w:tc>
      </w:tr>
      <w:tr w:rsidR="001F1598" w:rsidRPr="00172374" w14:paraId="569BE3F7" w14:textId="77777777" w:rsidTr="007D0B1E">
        <w:tc>
          <w:tcPr>
            <w:tcW w:w="5996" w:type="dxa"/>
            <w:gridSpan w:val="2"/>
            <w:shd w:val="clear" w:color="auto" w:fill="auto"/>
            <w:vAlign w:val="center"/>
          </w:tcPr>
          <w:p w14:paraId="5E6DF4A3" w14:textId="77777777" w:rsidR="001F1598" w:rsidRPr="00172374" w:rsidRDefault="001F1598" w:rsidP="003238D0">
            <w:pPr>
              <w:ind w:left="176" w:hanging="176"/>
              <w:rPr>
                <w:sz w:val="20"/>
                <w:szCs w:val="20"/>
              </w:rPr>
            </w:pPr>
            <w:r w:rsidRPr="00172374">
              <w:rPr>
                <w:sz w:val="20"/>
                <w:szCs w:val="20"/>
              </w:rPr>
              <w:t>1.</w:t>
            </w:r>
            <w:r w:rsidRPr="00172374">
              <w:rPr>
                <w:sz w:val="20"/>
                <w:szCs w:val="20"/>
              </w:rPr>
              <w:tab/>
              <w:t>Our brand is among our most valuable assets.</w:t>
            </w:r>
          </w:p>
        </w:tc>
        <w:tc>
          <w:tcPr>
            <w:tcW w:w="283" w:type="dxa"/>
            <w:shd w:val="clear" w:color="auto" w:fill="auto"/>
            <w:vAlign w:val="center"/>
          </w:tcPr>
          <w:p w14:paraId="3B4EFF23" w14:textId="77777777" w:rsidR="001F1598" w:rsidRPr="00172374" w:rsidRDefault="001F1598" w:rsidP="003238D0">
            <w:pPr>
              <w:jc w:val="center"/>
              <w:rPr>
                <w:sz w:val="20"/>
                <w:szCs w:val="20"/>
              </w:rPr>
            </w:pPr>
          </w:p>
        </w:tc>
        <w:tc>
          <w:tcPr>
            <w:tcW w:w="844" w:type="dxa"/>
            <w:shd w:val="clear" w:color="auto" w:fill="auto"/>
            <w:vAlign w:val="center"/>
          </w:tcPr>
          <w:p w14:paraId="609EA719" w14:textId="77777777" w:rsidR="001F1598" w:rsidRPr="00172374" w:rsidRDefault="001F1598" w:rsidP="003238D0">
            <w:pPr>
              <w:jc w:val="center"/>
              <w:rPr>
                <w:sz w:val="20"/>
                <w:szCs w:val="20"/>
              </w:rPr>
            </w:pPr>
            <w:r w:rsidRPr="00172374">
              <w:rPr>
                <w:sz w:val="20"/>
                <w:szCs w:val="20"/>
              </w:rPr>
              <w:t>5.87</w:t>
            </w:r>
          </w:p>
        </w:tc>
        <w:tc>
          <w:tcPr>
            <w:tcW w:w="701" w:type="dxa"/>
            <w:shd w:val="clear" w:color="auto" w:fill="auto"/>
            <w:vAlign w:val="center"/>
          </w:tcPr>
          <w:p w14:paraId="417D4B90" w14:textId="77777777" w:rsidR="001F1598" w:rsidRPr="00172374" w:rsidRDefault="001F1598" w:rsidP="003238D0">
            <w:pPr>
              <w:jc w:val="center"/>
              <w:rPr>
                <w:sz w:val="20"/>
                <w:szCs w:val="20"/>
              </w:rPr>
            </w:pPr>
            <w:r w:rsidRPr="00172374">
              <w:rPr>
                <w:sz w:val="20"/>
                <w:szCs w:val="20"/>
              </w:rPr>
              <w:t>1.46</w:t>
            </w:r>
          </w:p>
        </w:tc>
        <w:tc>
          <w:tcPr>
            <w:tcW w:w="932" w:type="dxa"/>
            <w:shd w:val="clear" w:color="auto" w:fill="auto"/>
            <w:vAlign w:val="center"/>
          </w:tcPr>
          <w:p w14:paraId="7EC8B936" w14:textId="77777777" w:rsidR="001F1598" w:rsidRPr="00172374" w:rsidRDefault="001F1598" w:rsidP="003238D0">
            <w:pPr>
              <w:ind w:firstLine="176"/>
              <w:rPr>
                <w:sz w:val="20"/>
                <w:szCs w:val="20"/>
              </w:rPr>
            </w:pPr>
            <w:r w:rsidRPr="00172374">
              <w:rPr>
                <w:sz w:val="20"/>
                <w:szCs w:val="20"/>
              </w:rPr>
              <w:t>0.84</w:t>
            </w:r>
          </w:p>
        </w:tc>
        <w:tc>
          <w:tcPr>
            <w:tcW w:w="1450" w:type="dxa"/>
            <w:shd w:val="clear" w:color="auto" w:fill="auto"/>
            <w:vAlign w:val="center"/>
          </w:tcPr>
          <w:p w14:paraId="75764E04" w14:textId="77777777" w:rsidR="001F1598" w:rsidRPr="00172374" w:rsidRDefault="001F1598" w:rsidP="003238D0">
            <w:pPr>
              <w:ind w:hanging="86"/>
              <w:jc w:val="center"/>
              <w:rPr>
                <w:sz w:val="20"/>
                <w:szCs w:val="20"/>
              </w:rPr>
            </w:pPr>
            <w:r w:rsidRPr="00172374">
              <w:rPr>
                <w:sz w:val="20"/>
                <w:szCs w:val="20"/>
              </w:rPr>
              <w:t>0.825</w:t>
            </w:r>
          </w:p>
        </w:tc>
      </w:tr>
      <w:tr w:rsidR="001F1598" w:rsidRPr="00172374" w14:paraId="0D370E57" w14:textId="77777777" w:rsidTr="007D0B1E">
        <w:tc>
          <w:tcPr>
            <w:tcW w:w="5996" w:type="dxa"/>
            <w:gridSpan w:val="2"/>
            <w:shd w:val="clear" w:color="auto" w:fill="auto"/>
            <w:vAlign w:val="center"/>
          </w:tcPr>
          <w:p w14:paraId="358565F4" w14:textId="77777777" w:rsidR="001F1598" w:rsidRPr="00172374" w:rsidRDefault="001F1598" w:rsidP="003238D0">
            <w:pPr>
              <w:ind w:left="176" w:hanging="176"/>
              <w:rPr>
                <w:sz w:val="20"/>
                <w:szCs w:val="20"/>
              </w:rPr>
            </w:pPr>
            <w:r w:rsidRPr="00172374">
              <w:rPr>
                <w:sz w:val="20"/>
                <w:szCs w:val="20"/>
              </w:rPr>
              <w:t>2.</w:t>
            </w:r>
            <w:r w:rsidRPr="00172374">
              <w:rPr>
                <w:sz w:val="20"/>
                <w:szCs w:val="20"/>
              </w:rPr>
              <w:tab/>
              <w:t>We believe that branding is one of the most important ways to acquire and maintain a good market position.</w:t>
            </w:r>
          </w:p>
        </w:tc>
        <w:tc>
          <w:tcPr>
            <w:tcW w:w="283" w:type="dxa"/>
            <w:shd w:val="clear" w:color="auto" w:fill="auto"/>
            <w:vAlign w:val="center"/>
          </w:tcPr>
          <w:p w14:paraId="59A518B5" w14:textId="77777777" w:rsidR="001F1598" w:rsidRPr="00172374" w:rsidRDefault="001F1598" w:rsidP="003238D0">
            <w:pPr>
              <w:jc w:val="center"/>
              <w:rPr>
                <w:sz w:val="20"/>
                <w:szCs w:val="20"/>
              </w:rPr>
            </w:pPr>
          </w:p>
        </w:tc>
        <w:tc>
          <w:tcPr>
            <w:tcW w:w="844" w:type="dxa"/>
            <w:shd w:val="clear" w:color="auto" w:fill="auto"/>
            <w:vAlign w:val="center"/>
          </w:tcPr>
          <w:p w14:paraId="2DB1B424" w14:textId="77777777" w:rsidR="001F1598" w:rsidRPr="00172374" w:rsidRDefault="001F1598" w:rsidP="003238D0">
            <w:pPr>
              <w:jc w:val="center"/>
              <w:rPr>
                <w:sz w:val="20"/>
                <w:szCs w:val="20"/>
              </w:rPr>
            </w:pPr>
            <w:r w:rsidRPr="00172374">
              <w:rPr>
                <w:sz w:val="20"/>
                <w:szCs w:val="20"/>
              </w:rPr>
              <w:t>6.07</w:t>
            </w:r>
          </w:p>
        </w:tc>
        <w:tc>
          <w:tcPr>
            <w:tcW w:w="701" w:type="dxa"/>
            <w:shd w:val="clear" w:color="auto" w:fill="auto"/>
            <w:vAlign w:val="center"/>
          </w:tcPr>
          <w:p w14:paraId="1558A17F" w14:textId="77777777" w:rsidR="001F1598" w:rsidRPr="00172374" w:rsidRDefault="001F1598" w:rsidP="003238D0">
            <w:pPr>
              <w:jc w:val="center"/>
              <w:rPr>
                <w:sz w:val="20"/>
                <w:szCs w:val="20"/>
              </w:rPr>
            </w:pPr>
            <w:r w:rsidRPr="00172374">
              <w:rPr>
                <w:sz w:val="20"/>
                <w:szCs w:val="20"/>
              </w:rPr>
              <w:t>1.27</w:t>
            </w:r>
          </w:p>
        </w:tc>
        <w:tc>
          <w:tcPr>
            <w:tcW w:w="932" w:type="dxa"/>
            <w:shd w:val="clear" w:color="auto" w:fill="auto"/>
            <w:vAlign w:val="center"/>
          </w:tcPr>
          <w:p w14:paraId="04384581" w14:textId="77777777" w:rsidR="001F1598" w:rsidRPr="00172374" w:rsidRDefault="001F1598" w:rsidP="003238D0">
            <w:pPr>
              <w:ind w:firstLine="176"/>
              <w:rPr>
                <w:sz w:val="20"/>
                <w:szCs w:val="20"/>
              </w:rPr>
            </w:pPr>
            <w:r w:rsidRPr="00172374">
              <w:rPr>
                <w:sz w:val="20"/>
                <w:szCs w:val="20"/>
              </w:rPr>
              <w:t>0.83</w:t>
            </w:r>
          </w:p>
        </w:tc>
        <w:tc>
          <w:tcPr>
            <w:tcW w:w="1450" w:type="dxa"/>
            <w:shd w:val="clear" w:color="auto" w:fill="auto"/>
            <w:vAlign w:val="center"/>
          </w:tcPr>
          <w:p w14:paraId="7DCF1A76" w14:textId="77777777" w:rsidR="001F1598" w:rsidRPr="00172374" w:rsidRDefault="001F1598" w:rsidP="003238D0">
            <w:pPr>
              <w:ind w:hanging="86"/>
              <w:jc w:val="center"/>
              <w:rPr>
                <w:sz w:val="20"/>
                <w:szCs w:val="20"/>
              </w:rPr>
            </w:pPr>
            <w:r w:rsidRPr="00172374">
              <w:rPr>
                <w:sz w:val="20"/>
                <w:szCs w:val="20"/>
              </w:rPr>
              <w:t>0.834</w:t>
            </w:r>
          </w:p>
        </w:tc>
      </w:tr>
      <w:tr w:rsidR="001F1598" w:rsidRPr="00172374" w14:paraId="680006FC" w14:textId="77777777" w:rsidTr="007D0B1E">
        <w:tc>
          <w:tcPr>
            <w:tcW w:w="5996" w:type="dxa"/>
            <w:gridSpan w:val="2"/>
            <w:shd w:val="clear" w:color="auto" w:fill="auto"/>
            <w:vAlign w:val="center"/>
          </w:tcPr>
          <w:p w14:paraId="142DE19F" w14:textId="77777777" w:rsidR="001F1598" w:rsidRPr="00172374" w:rsidRDefault="001F1598" w:rsidP="003238D0">
            <w:pPr>
              <w:ind w:left="176" w:hanging="176"/>
              <w:rPr>
                <w:sz w:val="20"/>
                <w:szCs w:val="20"/>
              </w:rPr>
            </w:pPr>
            <w:r w:rsidRPr="00172374">
              <w:rPr>
                <w:sz w:val="20"/>
                <w:szCs w:val="20"/>
              </w:rPr>
              <w:t>3.</w:t>
            </w:r>
            <w:r w:rsidRPr="00172374">
              <w:rPr>
                <w:sz w:val="20"/>
                <w:szCs w:val="20"/>
              </w:rPr>
              <w:tab/>
              <w:t>Our brand provides, in large, the reason for the existence of our company.</w:t>
            </w:r>
          </w:p>
        </w:tc>
        <w:tc>
          <w:tcPr>
            <w:tcW w:w="283" w:type="dxa"/>
            <w:shd w:val="clear" w:color="auto" w:fill="auto"/>
            <w:vAlign w:val="center"/>
          </w:tcPr>
          <w:p w14:paraId="3F354536" w14:textId="77777777" w:rsidR="001F1598" w:rsidRPr="00172374" w:rsidRDefault="001F1598" w:rsidP="003238D0">
            <w:pPr>
              <w:jc w:val="center"/>
              <w:rPr>
                <w:sz w:val="20"/>
                <w:szCs w:val="20"/>
              </w:rPr>
            </w:pPr>
          </w:p>
        </w:tc>
        <w:tc>
          <w:tcPr>
            <w:tcW w:w="844" w:type="dxa"/>
            <w:shd w:val="clear" w:color="auto" w:fill="auto"/>
            <w:vAlign w:val="center"/>
          </w:tcPr>
          <w:p w14:paraId="79AD0826" w14:textId="77777777" w:rsidR="001F1598" w:rsidRPr="00172374" w:rsidRDefault="001F1598" w:rsidP="003238D0">
            <w:pPr>
              <w:jc w:val="center"/>
              <w:rPr>
                <w:sz w:val="20"/>
                <w:szCs w:val="20"/>
              </w:rPr>
            </w:pPr>
            <w:r w:rsidRPr="00172374">
              <w:rPr>
                <w:sz w:val="20"/>
                <w:szCs w:val="20"/>
              </w:rPr>
              <w:t>5.82</w:t>
            </w:r>
          </w:p>
        </w:tc>
        <w:tc>
          <w:tcPr>
            <w:tcW w:w="701" w:type="dxa"/>
            <w:shd w:val="clear" w:color="auto" w:fill="auto"/>
            <w:vAlign w:val="center"/>
          </w:tcPr>
          <w:p w14:paraId="7E1E8A58" w14:textId="77777777" w:rsidR="001F1598" w:rsidRPr="00172374" w:rsidRDefault="001F1598" w:rsidP="003238D0">
            <w:pPr>
              <w:jc w:val="center"/>
              <w:rPr>
                <w:sz w:val="20"/>
                <w:szCs w:val="20"/>
              </w:rPr>
            </w:pPr>
            <w:r w:rsidRPr="00172374">
              <w:rPr>
                <w:sz w:val="20"/>
                <w:szCs w:val="20"/>
              </w:rPr>
              <w:t>1.46</w:t>
            </w:r>
          </w:p>
        </w:tc>
        <w:tc>
          <w:tcPr>
            <w:tcW w:w="932" w:type="dxa"/>
            <w:shd w:val="clear" w:color="auto" w:fill="auto"/>
            <w:vAlign w:val="center"/>
          </w:tcPr>
          <w:p w14:paraId="74AE4B93" w14:textId="77777777" w:rsidR="001F1598" w:rsidRPr="00172374" w:rsidRDefault="001F1598" w:rsidP="003238D0">
            <w:pPr>
              <w:ind w:firstLine="176"/>
              <w:rPr>
                <w:sz w:val="20"/>
                <w:szCs w:val="20"/>
              </w:rPr>
            </w:pPr>
            <w:r w:rsidRPr="00172374">
              <w:rPr>
                <w:sz w:val="20"/>
                <w:szCs w:val="20"/>
              </w:rPr>
              <w:t>0.82</w:t>
            </w:r>
          </w:p>
        </w:tc>
        <w:tc>
          <w:tcPr>
            <w:tcW w:w="1450" w:type="dxa"/>
            <w:shd w:val="clear" w:color="auto" w:fill="auto"/>
            <w:vAlign w:val="center"/>
          </w:tcPr>
          <w:p w14:paraId="5D963F1C" w14:textId="77777777" w:rsidR="001F1598" w:rsidRPr="00172374" w:rsidRDefault="001F1598" w:rsidP="003238D0">
            <w:pPr>
              <w:ind w:hanging="86"/>
              <w:jc w:val="center"/>
              <w:rPr>
                <w:sz w:val="20"/>
                <w:szCs w:val="20"/>
              </w:rPr>
            </w:pPr>
            <w:r w:rsidRPr="00172374">
              <w:rPr>
                <w:sz w:val="20"/>
                <w:szCs w:val="20"/>
              </w:rPr>
              <w:t>0.819</w:t>
            </w:r>
          </w:p>
        </w:tc>
      </w:tr>
      <w:tr w:rsidR="001F1598" w:rsidRPr="00172374" w14:paraId="2CCE9CCA" w14:textId="77777777" w:rsidTr="007D0B1E">
        <w:tc>
          <w:tcPr>
            <w:tcW w:w="5996" w:type="dxa"/>
            <w:gridSpan w:val="2"/>
            <w:shd w:val="clear" w:color="auto" w:fill="auto"/>
            <w:vAlign w:val="center"/>
          </w:tcPr>
          <w:p w14:paraId="6418EE60" w14:textId="77777777" w:rsidR="001F1598" w:rsidRPr="00172374" w:rsidRDefault="001F1598" w:rsidP="003238D0">
            <w:pPr>
              <w:ind w:left="176" w:hanging="176"/>
              <w:rPr>
                <w:sz w:val="20"/>
                <w:szCs w:val="20"/>
              </w:rPr>
            </w:pPr>
            <w:r w:rsidRPr="00172374">
              <w:rPr>
                <w:sz w:val="20"/>
                <w:szCs w:val="20"/>
              </w:rPr>
              <w:t>4.</w:t>
            </w:r>
            <w:r w:rsidRPr="00172374">
              <w:rPr>
                <w:sz w:val="20"/>
                <w:szCs w:val="20"/>
              </w:rPr>
              <w:tab/>
              <w:t>Branding is a top priority in our company.</w:t>
            </w:r>
          </w:p>
        </w:tc>
        <w:tc>
          <w:tcPr>
            <w:tcW w:w="283" w:type="dxa"/>
            <w:shd w:val="clear" w:color="auto" w:fill="auto"/>
            <w:vAlign w:val="center"/>
          </w:tcPr>
          <w:p w14:paraId="2B7DCA3E" w14:textId="77777777" w:rsidR="001F1598" w:rsidRPr="00172374" w:rsidRDefault="001F1598" w:rsidP="003238D0">
            <w:pPr>
              <w:jc w:val="center"/>
              <w:rPr>
                <w:sz w:val="20"/>
                <w:szCs w:val="20"/>
              </w:rPr>
            </w:pPr>
          </w:p>
        </w:tc>
        <w:tc>
          <w:tcPr>
            <w:tcW w:w="844" w:type="dxa"/>
            <w:shd w:val="clear" w:color="auto" w:fill="auto"/>
            <w:vAlign w:val="center"/>
          </w:tcPr>
          <w:p w14:paraId="13C47F8C" w14:textId="77777777" w:rsidR="001F1598" w:rsidRPr="00172374" w:rsidRDefault="001F1598" w:rsidP="003238D0">
            <w:pPr>
              <w:jc w:val="center"/>
              <w:rPr>
                <w:sz w:val="20"/>
                <w:szCs w:val="20"/>
              </w:rPr>
            </w:pPr>
            <w:r w:rsidRPr="00172374">
              <w:rPr>
                <w:sz w:val="20"/>
                <w:szCs w:val="20"/>
              </w:rPr>
              <w:t>5.81</w:t>
            </w:r>
          </w:p>
        </w:tc>
        <w:tc>
          <w:tcPr>
            <w:tcW w:w="701" w:type="dxa"/>
            <w:shd w:val="clear" w:color="auto" w:fill="auto"/>
            <w:vAlign w:val="center"/>
          </w:tcPr>
          <w:p w14:paraId="745DDB39" w14:textId="77777777" w:rsidR="001F1598" w:rsidRPr="00172374" w:rsidRDefault="001F1598" w:rsidP="003238D0">
            <w:pPr>
              <w:jc w:val="center"/>
              <w:rPr>
                <w:sz w:val="20"/>
                <w:szCs w:val="20"/>
              </w:rPr>
            </w:pPr>
            <w:r w:rsidRPr="00172374">
              <w:rPr>
                <w:sz w:val="20"/>
                <w:szCs w:val="20"/>
              </w:rPr>
              <w:t>1.36</w:t>
            </w:r>
          </w:p>
        </w:tc>
        <w:tc>
          <w:tcPr>
            <w:tcW w:w="932" w:type="dxa"/>
            <w:shd w:val="clear" w:color="auto" w:fill="auto"/>
            <w:vAlign w:val="center"/>
          </w:tcPr>
          <w:p w14:paraId="4FB010D8" w14:textId="77777777" w:rsidR="001F1598" w:rsidRPr="00172374" w:rsidRDefault="001F1598" w:rsidP="003238D0">
            <w:pPr>
              <w:ind w:firstLine="176"/>
              <w:rPr>
                <w:sz w:val="20"/>
                <w:szCs w:val="20"/>
              </w:rPr>
            </w:pPr>
            <w:r w:rsidRPr="00172374">
              <w:rPr>
                <w:sz w:val="20"/>
                <w:szCs w:val="20"/>
              </w:rPr>
              <w:t>0.80</w:t>
            </w:r>
          </w:p>
        </w:tc>
        <w:tc>
          <w:tcPr>
            <w:tcW w:w="1450" w:type="dxa"/>
            <w:shd w:val="clear" w:color="auto" w:fill="auto"/>
            <w:vAlign w:val="center"/>
          </w:tcPr>
          <w:p w14:paraId="3083011E" w14:textId="77777777" w:rsidR="001F1598" w:rsidRPr="00172374" w:rsidRDefault="001F1598" w:rsidP="003238D0">
            <w:pPr>
              <w:ind w:hanging="86"/>
              <w:jc w:val="center"/>
              <w:rPr>
                <w:sz w:val="20"/>
                <w:szCs w:val="20"/>
              </w:rPr>
            </w:pPr>
            <w:r w:rsidRPr="00172374">
              <w:rPr>
                <w:sz w:val="20"/>
                <w:szCs w:val="20"/>
              </w:rPr>
              <w:t>0.818</w:t>
            </w:r>
          </w:p>
        </w:tc>
      </w:tr>
      <w:tr w:rsidR="001F1598" w:rsidRPr="00172374" w14:paraId="5462C9CB" w14:textId="77777777" w:rsidTr="007D0B1E">
        <w:tc>
          <w:tcPr>
            <w:tcW w:w="5996" w:type="dxa"/>
            <w:gridSpan w:val="2"/>
            <w:shd w:val="clear" w:color="auto" w:fill="auto"/>
            <w:vAlign w:val="center"/>
          </w:tcPr>
          <w:p w14:paraId="0D61B067" w14:textId="77777777" w:rsidR="001F1598" w:rsidRPr="00172374" w:rsidRDefault="001F1598" w:rsidP="003238D0">
            <w:pPr>
              <w:ind w:left="176" w:hanging="176"/>
              <w:rPr>
                <w:sz w:val="20"/>
                <w:szCs w:val="20"/>
              </w:rPr>
            </w:pPr>
            <w:r w:rsidRPr="00172374">
              <w:rPr>
                <w:sz w:val="20"/>
                <w:szCs w:val="20"/>
              </w:rPr>
              <w:t>5.</w:t>
            </w:r>
            <w:r w:rsidRPr="00172374">
              <w:rPr>
                <w:sz w:val="20"/>
                <w:szCs w:val="20"/>
              </w:rPr>
              <w:tab/>
              <w:t xml:space="preserve">For </w:t>
            </w:r>
            <w:proofErr w:type="gramStart"/>
            <w:r w:rsidRPr="00172374">
              <w:rPr>
                <w:sz w:val="20"/>
                <w:szCs w:val="20"/>
              </w:rPr>
              <w:t>us</w:t>
            </w:r>
            <w:proofErr w:type="gramEnd"/>
            <w:r w:rsidRPr="00172374">
              <w:rPr>
                <w:sz w:val="20"/>
                <w:szCs w:val="20"/>
              </w:rPr>
              <w:t xml:space="preserve"> a brand is much more than just a name and a logo.</w:t>
            </w:r>
          </w:p>
        </w:tc>
        <w:tc>
          <w:tcPr>
            <w:tcW w:w="283" w:type="dxa"/>
            <w:shd w:val="clear" w:color="auto" w:fill="auto"/>
            <w:vAlign w:val="center"/>
          </w:tcPr>
          <w:p w14:paraId="77B909AD" w14:textId="77777777" w:rsidR="001F1598" w:rsidRPr="00172374" w:rsidRDefault="001F1598" w:rsidP="003238D0">
            <w:pPr>
              <w:jc w:val="center"/>
              <w:rPr>
                <w:sz w:val="20"/>
                <w:szCs w:val="20"/>
              </w:rPr>
            </w:pPr>
          </w:p>
        </w:tc>
        <w:tc>
          <w:tcPr>
            <w:tcW w:w="844" w:type="dxa"/>
            <w:shd w:val="clear" w:color="auto" w:fill="auto"/>
            <w:vAlign w:val="center"/>
          </w:tcPr>
          <w:p w14:paraId="10B51CC6" w14:textId="77777777" w:rsidR="001F1598" w:rsidRPr="00172374" w:rsidRDefault="001F1598" w:rsidP="003238D0">
            <w:pPr>
              <w:jc w:val="center"/>
              <w:rPr>
                <w:sz w:val="20"/>
                <w:szCs w:val="20"/>
              </w:rPr>
            </w:pPr>
            <w:r w:rsidRPr="00172374">
              <w:rPr>
                <w:sz w:val="20"/>
                <w:szCs w:val="20"/>
              </w:rPr>
              <w:t>6.22</w:t>
            </w:r>
          </w:p>
        </w:tc>
        <w:tc>
          <w:tcPr>
            <w:tcW w:w="701" w:type="dxa"/>
            <w:shd w:val="clear" w:color="auto" w:fill="auto"/>
            <w:vAlign w:val="center"/>
          </w:tcPr>
          <w:p w14:paraId="0F1D9334" w14:textId="77777777" w:rsidR="001F1598" w:rsidRPr="00172374" w:rsidRDefault="001F1598" w:rsidP="003238D0">
            <w:pPr>
              <w:jc w:val="center"/>
              <w:rPr>
                <w:sz w:val="20"/>
                <w:szCs w:val="20"/>
              </w:rPr>
            </w:pPr>
            <w:r w:rsidRPr="00172374">
              <w:rPr>
                <w:sz w:val="20"/>
                <w:szCs w:val="20"/>
              </w:rPr>
              <w:t>1.21</w:t>
            </w:r>
          </w:p>
        </w:tc>
        <w:tc>
          <w:tcPr>
            <w:tcW w:w="932" w:type="dxa"/>
            <w:shd w:val="clear" w:color="auto" w:fill="auto"/>
            <w:vAlign w:val="center"/>
          </w:tcPr>
          <w:p w14:paraId="7CA4D900" w14:textId="77777777" w:rsidR="001F1598" w:rsidRPr="00172374" w:rsidRDefault="001F1598" w:rsidP="003238D0">
            <w:pPr>
              <w:ind w:firstLine="176"/>
              <w:rPr>
                <w:sz w:val="20"/>
                <w:szCs w:val="20"/>
              </w:rPr>
            </w:pPr>
            <w:r w:rsidRPr="00172374">
              <w:rPr>
                <w:sz w:val="20"/>
                <w:szCs w:val="20"/>
              </w:rPr>
              <w:t>0.77</w:t>
            </w:r>
          </w:p>
        </w:tc>
        <w:tc>
          <w:tcPr>
            <w:tcW w:w="1450" w:type="dxa"/>
            <w:shd w:val="clear" w:color="auto" w:fill="auto"/>
            <w:vAlign w:val="center"/>
          </w:tcPr>
          <w:p w14:paraId="5B25CE28" w14:textId="77777777" w:rsidR="001F1598" w:rsidRPr="00172374" w:rsidRDefault="001F1598" w:rsidP="003238D0">
            <w:pPr>
              <w:ind w:hanging="86"/>
              <w:jc w:val="center"/>
              <w:rPr>
                <w:sz w:val="20"/>
                <w:szCs w:val="20"/>
              </w:rPr>
            </w:pPr>
            <w:r w:rsidRPr="00172374">
              <w:rPr>
                <w:sz w:val="20"/>
                <w:szCs w:val="20"/>
              </w:rPr>
              <w:t>0.775</w:t>
            </w:r>
          </w:p>
        </w:tc>
      </w:tr>
      <w:tr w:rsidR="001F1598" w:rsidRPr="00172374" w14:paraId="53EEB134" w14:textId="77777777" w:rsidTr="007D0B1E">
        <w:tc>
          <w:tcPr>
            <w:tcW w:w="5996" w:type="dxa"/>
            <w:gridSpan w:val="2"/>
            <w:shd w:val="clear" w:color="auto" w:fill="auto"/>
            <w:vAlign w:val="center"/>
          </w:tcPr>
          <w:p w14:paraId="6CE454D9" w14:textId="29738B09" w:rsidR="001F1598" w:rsidRPr="00172374" w:rsidRDefault="001F1598" w:rsidP="003238D0">
            <w:pPr>
              <w:spacing w:before="60"/>
              <w:ind w:left="176" w:hanging="176"/>
              <w:rPr>
                <w:sz w:val="20"/>
                <w:szCs w:val="20"/>
              </w:rPr>
            </w:pPr>
            <w:r w:rsidRPr="00172374">
              <w:rPr>
                <w:b/>
                <w:bCs/>
                <w:i/>
                <w:sz w:val="20"/>
                <w:szCs w:val="20"/>
              </w:rPr>
              <w:t>B</w:t>
            </w:r>
            <w:r w:rsidR="005264E7" w:rsidRPr="00172374">
              <w:rPr>
                <w:b/>
                <w:bCs/>
                <w:i/>
                <w:sz w:val="20"/>
                <w:szCs w:val="20"/>
              </w:rPr>
              <w:t>CON</w:t>
            </w:r>
            <w:r w:rsidRPr="00172374">
              <w:rPr>
                <w:i/>
                <w:sz w:val="20"/>
                <w:szCs w:val="20"/>
              </w:rPr>
              <w:t xml:space="preserve"> (alpha = 0.93)</w:t>
            </w:r>
          </w:p>
        </w:tc>
        <w:tc>
          <w:tcPr>
            <w:tcW w:w="283" w:type="dxa"/>
            <w:shd w:val="clear" w:color="auto" w:fill="auto"/>
            <w:vAlign w:val="center"/>
          </w:tcPr>
          <w:p w14:paraId="0E97FC73" w14:textId="77777777" w:rsidR="001F1598" w:rsidRPr="00172374" w:rsidRDefault="001F1598" w:rsidP="003238D0">
            <w:pPr>
              <w:jc w:val="center"/>
              <w:rPr>
                <w:sz w:val="20"/>
                <w:szCs w:val="20"/>
              </w:rPr>
            </w:pPr>
          </w:p>
        </w:tc>
        <w:tc>
          <w:tcPr>
            <w:tcW w:w="844" w:type="dxa"/>
            <w:shd w:val="clear" w:color="auto" w:fill="auto"/>
            <w:vAlign w:val="center"/>
          </w:tcPr>
          <w:p w14:paraId="77BC85BD" w14:textId="77777777" w:rsidR="001F1598" w:rsidRPr="00172374" w:rsidRDefault="001F1598" w:rsidP="003238D0">
            <w:pPr>
              <w:jc w:val="center"/>
              <w:rPr>
                <w:sz w:val="20"/>
                <w:szCs w:val="20"/>
              </w:rPr>
            </w:pPr>
          </w:p>
        </w:tc>
        <w:tc>
          <w:tcPr>
            <w:tcW w:w="701" w:type="dxa"/>
            <w:shd w:val="clear" w:color="auto" w:fill="auto"/>
            <w:vAlign w:val="center"/>
          </w:tcPr>
          <w:p w14:paraId="1663AC2F" w14:textId="77777777" w:rsidR="001F1598" w:rsidRPr="00172374" w:rsidRDefault="001F1598" w:rsidP="003238D0">
            <w:pPr>
              <w:jc w:val="center"/>
              <w:rPr>
                <w:sz w:val="20"/>
                <w:szCs w:val="20"/>
              </w:rPr>
            </w:pPr>
          </w:p>
        </w:tc>
        <w:tc>
          <w:tcPr>
            <w:tcW w:w="932" w:type="dxa"/>
            <w:shd w:val="clear" w:color="auto" w:fill="auto"/>
            <w:vAlign w:val="center"/>
          </w:tcPr>
          <w:p w14:paraId="08D138C1" w14:textId="77777777" w:rsidR="001F1598" w:rsidRPr="00172374" w:rsidRDefault="001F1598" w:rsidP="003238D0">
            <w:pPr>
              <w:ind w:firstLine="176"/>
              <w:rPr>
                <w:sz w:val="20"/>
                <w:szCs w:val="20"/>
              </w:rPr>
            </w:pPr>
          </w:p>
        </w:tc>
        <w:tc>
          <w:tcPr>
            <w:tcW w:w="1450" w:type="dxa"/>
            <w:shd w:val="clear" w:color="auto" w:fill="auto"/>
            <w:vAlign w:val="center"/>
          </w:tcPr>
          <w:p w14:paraId="5D7B07FF" w14:textId="77777777" w:rsidR="001F1598" w:rsidRPr="00172374" w:rsidRDefault="001F1598" w:rsidP="003238D0">
            <w:pPr>
              <w:ind w:hanging="86"/>
              <w:jc w:val="center"/>
              <w:rPr>
                <w:sz w:val="20"/>
                <w:szCs w:val="20"/>
              </w:rPr>
            </w:pPr>
          </w:p>
        </w:tc>
      </w:tr>
      <w:tr w:rsidR="001F1598" w:rsidRPr="00172374" w14:paraId="1B85E202" w14:textId="77777777" w:rsidTr="007D0B1E">
        <w:tc>
          <w:tcPr>
            <w:tcW w:w="5996" w:type="dxa"/>
            <w:gridSpan w:val="2"/>
            <w:shd w:val="clear" w:color="auto" w:fill="auto"/>
            <w:vAlign w:val="center"/>
          </w:tcPr>
          <w:p w14:paraId="0711037E" w14:textId="77777777" w:rsidR="001F1598" w:rsidRPr="00172374" w:rsidRDefault="001F1598" w:rsidP="003238D0">
            <w:pPr>
              <w:ind w:left="176" w:hanging="176"/>
              <w:rPr>
                <w:sz w:val="20"/>
                <w:szCs w:val="20"/>
              </w:rPr>
            </w:pPr>
            <w:r w:rsidRPr="00172374">
              <w:rPr>
                <w:sz w:val="20"/>
                <w:szCs w:val="20"/>
              </w:rPr>
              <w:t>1. Our marketing activities are constantly coordinated so that a unified image regarding our brand is given to our customers.</w:t>
            </w:r>
          </w:p>
        </w:tc>
        <w:tc>
          <w:tcPr>
            <w:tcW w:w="283" w:type="dxa"/>
            <w:shd w:val="clear" w:color="auto" w:fill="auto"/>
            <w:vAlign w:val="center"/>
          </w:tcPr>
          <w:p w14:paraId="32BFA5F5" w14:textId="77777777" w:rsidR="001F1598" w:rsidRPr="00172374" w:rsidRDefault="001F1598" w:rsidP="003238D0">
            <w:pPr>
              <w:jc w:val="center"/>
              <w:rPr>
                <w:sz w:val="20"/>
                <w:szCs w:val="20"/>
              </w:rPr>
            </w:pPr>
          </w:p>
        </w:tc>
        <w:tc>
          <w:tcPr>
            <w:tcW w:w="844" w:type="dxa"/>
            <w:shd w:val="clear" w:color="auto" w:fill="auto"/>
            <w:vAlign w:val="center"/>
          </w:tcPr>
          <w:p w14:paraId="7D4E6FC8" w14:textId="77777777" w:rsidR="001F1598" w:rsidRPr="00172374" w:rsidRDefault="001F1598" w:rsidP="003238D0">
            <w:pPr>
              <w:jc w:val="center"/>
              <w:rPr>
                <w:sz w:val="20"/>
                <w:szCs w:val="20"/>
              </w:rPr>
            </w:pPr>
            <w:r w:rsidRPr="00172374">
              <w:rPr>
                <w:sz w:val="20"/>
                <w:szCs w:val="20"/>
              </w:rPr>
              <w:t>5.77</w:t>
            </w:r>
          </w:p>
        </w:tc>
        <w:tc>
          <w:tcPr>
            <w:tcW w:w="701" w:type="dxa"/>
            <w:shd w:val="clear" w:color="auto" w:fill="auto"/>
            <w:vAlign w:val="center"/>
          </w:tcPr>
          <w:p w14:paraId="45234C4F" w14:textId="77777777" w:rsidR="001F1598" w:rsidRPr="00172374" w:rsidRDefault="001F1598" w:rsidP="003238D0">
            <w:pPr>
              <w:jc w:val="center"/>
              <w:rPr>
                <w:sz w:val="20"/>
                <w:szCs w:val="20"/>
              </w:rPr>
            </w:pPr>
            <w:r w:rsidRPr="00172374">
              <w:rPr>
                <w:sz w:val="20"/>
                <w:szCs w:val="20"/>
              </w:rPr>
              <w:t>1.18</w:t>
            </w:r>
          </w:p>
        </w:tc>
        <w:tc>
          <w:tcPr>
            <w:tcW w:w="932" w:type="dxa"/>
            <w:shd w:val="clear" w:color="auto" w:fill="auto"/>
            <w:vAlign w:val="center"/>
          </w:tcPr>
          <w:p w14:paraId="763347E4" w14:textId="77777777" w:rsidR="001F1598" w:rsidRPr="00172374" w:rsidRDefault="001F1598" w:rsidP="003238D0">
            <w:pPr>
              <w:ind w:firstLine="176"/>
              <w:rPr>
                <w:sz w:val="20"/>
                <w:szCs w:val="20"/>
              </w:rPr>
            </w:pPr>
            <w:r w:rsidRPr="00172374">
              <w:rPr>
                <w:sz w:val="20"/>
                <w:szCs w:val="20"/>
              </w:rPr>
              <w:t>0.81</w:t>
            </w:r>
          </w:p>
        </w:tc>
        <w:tc>
          <w:tcPr>
            <w:tcW w:w="1450" w:type="dxa"/>
            <w:shd w:val="clear" w:color="auto" w:fill="auto"/>
            <w:vAlign w:val="center"/>
          </w:tcPr>
          <w:p w14:paraId="2859E3D3" w14:textId="77777777" w:rsidR="001F1598" w:rsidRPr="00172374" w:rsidRDefault="001F1598" w:rsidP="003238D0">
            <w:pPr>
              <w:ind w:hanging="86"/>
              <w:jc w:val="center"/>
              <w:rPr>
                <w:sz w:val="20"/>
                <w:szCs w:val="20"/>
              </w:rPr>
            </w:pPr>
            <w:r w:rsidRPr="00172374">
              <w:rPr>
                <w:sz w:val="20"/>
                <w:szCs w:val="20"/>
              </w:rPr>
              <w:t>0.795</w:t>
            </w:r>
          </w:p>
        </w:tc>
      </w:tr>
      <w:tr w:rsidR="001F1598" w:rsidRPr="00172374" w14:paraId="0F02B00D" w14:textId="77777777" w:rsidTr="007D0B1E">
        <w:tc>
          <w:tcPr>
            <w:tcW w:w="5996" w:type="dxa"/>
            <w:gridSpan w:val="2"/>
            <w:shd w:val="clear" w:color="auto" w:fill="auto"/>
            <w:vAlign w:val="center"/>
          </w:tcPr>
          <w:p w14:paraId="7A3C1DB9" w14:textId="77777777" w:rsidR="001F1598" w:rsidRPr="00172374" w:rsidRDefault="001F1598" w:rsidP="003238D0">
            <w:pPr>
              <w:ind w:left="176" w:hanging="176"/>
              <w:rPr>
                <w:sz w:val="20"/>
                <w:szCs w:val="20"/>
              </w:rPr>
            </w:pPr>
            <w:r w:rsidRPr="00172374">
              <w:rPr>
                <w:sz w:val="20"/>
                <w:szCs w:val="20"/>
              </w:rPr>
              <w:t>2. One can identify our brand’s values in every marketing activity we do.</w:t>
            </w:r>
          </w:p>
        </w:tc>
        <w:tc>
          <w:tcPr>
            <w:tcW w:w="283" w:type="dxa"/>
            <w:shd w:val="clear" w:color="auto" w:fill="auto"/>
            <w:vAlign w:val="center"/>
          </w:tcPr>
          <w:p w14:paraId="6F4D287B" w14:textId="77777777" w:rsidR="001F1598" w:rsidRPr="00172374" w:rsidRDefault="001F1598" w:rsidP="003238D0">
            <w:pPr>
              <w:jc w:val="center"/>
              <w:rPr>
                <w:sz w:val="20"/>
                <w:szCs w:val="20"/>
              </w:rPr>
            </w:pPr>
          </w:p>
        </w:tc>
        <w:tc>
          <w:tcPr>
            <w:tcW w:w="844" w:type="dxa"/>
            <w:shd w:val="clear" w:color="auto" w:fill="auto"/>
            <w:vAlign w:val="center"/>
          </w:tcPr>
          <w:p w14:paraId="7E16F4A2" w14:textId="77777777" w:rsidR="001F1598" w:rsidRPr="00172374" w:rsidRDefault="001F1598" w:rsidP="003238D0">
            <w:pPr>
              <w:jc w:val="center"/>
              <w:rPr>
                <w:sz w:val="20"/>
                <w:szCs w:val="20"/>
              </w:rPr>
            </w:pPr>
            <w:r w:rsidRPr="00172374">
              <w:rPr>
                <w:sz w:val="20"/>
                <w:szCs w:val="20"/>
              </w:rPr>
              <w:t>5.65</w:t>
            </w:r>
          </w:p>
        </w:tc>
        <w:tc>
          <w:tcPr>
            <w:tcW w:w="701" w:type="dxa"/>
            <w:shd w:val="clear" w:color="auto" w:fill="auto"/>
            <w:vAlign w:val="center"/>
          </w:tcPr>
          <w:p w14:paraId="51B3F817" w14:textId="77777777" w:rsidR="001F1598" w:rsidRPr="00172374" w:rsidRDefault="001F1598" w:rsidP="003238D0">
            <w:pPr>
              <w:jc w:val="center"/>
              <w:rPr>
                <w:sz w:val="20"/>
                <w:szCs w:val="20"/>
              </w:rPr>
            </w:pPr>
            <w:r w:rsidRPr="00172374">
              <w:rPr>
                <w:sz w:val="20"/>
                <w:szCs w:val="20"/>
              </w:rPr>
              <w:t>1.29</w:t>
            </w:r>
          </w:p>
        </w:tc>
        <w:tc>
          <w:tcPr>
            <w:tcW w:w="932" w:type="dxa"/>
            <w:shd w:val="clear" w:color="auto" w:fill="auto"/>
            <w:vAlign w:val="center"/>
          </w:tcPr>
          <w:p w14:paraId="00417356" w14:textId="77777777" w:rsidR="001F1598" w:rsidRPr="00172374" w:rsidRDefault="001F1598" w:rsidP="003238D0">
            <w:pPr>
              <w:ind w:firstLine="176"/>
              <w:rPr>
                <w:sz w:val="20"/>
                <w:szCs w:val="20"/>
              </w:rPr>
            </w:pPr>
            <w:r w:rsidRPr="00172374">
              <w:rPr>
                <w:sz w:val="20"/>
                <w:szCs w:val="20"/>
              </w:rPr>
              <w:t>0.75</w:t>
            </w:r>
          </w:p>
        </w:tc>
        <w:tc>
          <w:tcPr>
            <w:tcW w:w="1450" w:type="dxa"/>
            <w:shd w:val="clear" w:color="auto" w:fill="auto"/>
            <w:vAlign w:val="center"/>
          </w:tcPr>
          <w:p w14:paraId="69F249B6" w14:textId="77777777" w:rsidR="001F1598" w:rsidRPr="00172374" w:rsidRDefault="001F1598" w:rsidP="003238D0">
            <w:pPr>
              <w:ind w:hanging="86"/>
              <w:jc w:val="center"/>
              <w:rPr>
                <w:sz w:val="20"/>
                <w:szCs w:val="20"/>
              </w:rPr>
            </w:pPr>
            <w:r w:rsidRPr="00172374">
              <w:rPr>
                <w:sz w:val="20"/>
                <w:szCs w:val="20"/>
              </w:rPr>
              <w:t>0.781</w:t>
            </w:r>
          </w:p>
        </w:tc>
      </w:tr>
      <w:tr w:rsidR="001F1598" w:rsidRPr="00172374" w14:paraId="58D03E25" w14:textId="77777777" w:rsidTr="007D0B1E">
        <w:tc>
          <w:tcPr>
            <w:tcW w:w="5996" w:type="dxa"/>
            <w:gridSpan w:val="2"/>
            <w:shd w:val="clear" w:color="auto" w:fill="auto"/>
            <w:vAlign w:val="center"/>
          </w:tcPr>
          <w:p w14:paraId="752897EB" w14:textId="77777777" w:rsidR="001F1598" w:rsidRPr="00172374" w:rsidRDefault="001F1598" w:rsidP="003238D0">
            <w:pPr>
              <w:ind w:left="176" w:hanging="176"/>
              <w:rPr>
                <w:sz w:val="20"/>
                <w:szCs w:val="20"/>
              </w:rPr>
            </w:pPr>
            <w:r w:rsidRPr="00172374">
              <w:rPr>
                <w:sz w:val="20"/>
                <w:szCs w:val="20"/>
              </w:rPr>
              <w:t>3. Even when we are really stressed about sales and numbers, we do not proceed to activities that may endanger our brand’s image.</w:t>
            </w:r>
          </w:p>
        </w:tc>
        <w:tc>
          <w:tcPr>
            <w:tcW w:w="283" w:type="dxa"/>
            <w:shd w:val="clear" w:color="auto" w:fill="auto"/>
            <w:vAlign w:val="center"/>
          </w:tcPr>
          <w:p w14:paraId="3159113A" w14:textId="77777777" w:rsidR="001F1598" w:rsidRPr="00172374" w:rsidRDefault="001F1598" w:rsidP="003238D0">
            <w:pPr>
              <w:jc w:val="center"/>
              <w:rPr>
                <w:sz w:val="20"/>
                <w:szCs w:val="20"/>
              </w:rPr>
            </w:pPr>
          </w:p>
        </w:tc>
        <w:tc>
          <w:tcPr>
            <w:tcW w:w="844" w:type="dxa"/>
            <w:shd w:val="clear" w:color="auto" w:fill="auto"/>
            <w:vAlign w:val="center"/>
          </w:tcPr>
          <w:p w14:paraId="40F6A57A" w14:textId="77777777" w:rsidR="001F1598" w:rsidRPr="00172374" w:rsidRDefault="001F1598" w:rsidP="003238D0">
            <w:pPr>
              <w:jc w:val="center"/>
              <w:rPr>
                <w:sz w:val="20"/>
                <w:szCs w:val="20"/>
              </w:rPr>
            </w:pPr>
            <w:r w:rsidRPr="00172374">
              <w:rPr>
                <w:sz w:val="20"/>
                <w:szCs w:val="20"/>
              </w:rPr>
              <w:t>5.60</w:t>
            </w:r>
          </w:p>
        </w:tc>
        <w:tc>
          <w:tcPr>
            <w:tcW w:w="701" w:type="dxa"/>
            <w:shd w:val="clear" w:color="auto" w:fill="auto"/>
            <w:vAlign w:val="center"/>
          </w:tcPr>
          <w:p w14:paraId="51371721" w14:textId="77777777" w:rsidR="001F1598" w:rsidRPr="00172374" w:rsidRDefault="001F1598" w:rsidP="003238D0">
            <w:pPr>
              <w:jc w:val="center"/>
              <w:rPr>
                <w:sz w:val="20"/>
                <w:szCs w:val="20"/>
              </w:rPr>
            </w:pPr>
            <w:r w:rsidRPr="00172374">
              <w:rPr>
                <w:sz w:val="20"/>
                <w:szCs w:val="20"/>
              </w:rPr>
              <w:t>1.46</w:t>
            </w:r>
          </w:p>
        </w:tc>
        <w:tc>
          <w:tcPr>
            <w:tcW w:w="932" w:type="dxa"/>
            <w:shd w:val="clear" w:color="auto" w:fill="auto"/>
            <w:vAlign w:val="center"/>
          </w:tcPr>
          <w:p w14:paraId="497F36B6" w14:textId="77777777" w:rsidR="001F1598" w:rsidRPr="00172374" w:rsidRDefault="001F1598" w:rsidP="003238D0">
            <w:pPr>
              <w:ind w:firstLine="176"/>
              <w:rPr>
                <w:sz w:val="20"/>
                <w:szCs w:val="20"/>
              </w:rPr>
            </w:pPr>
            <w:r w:rsidRPr="00172374">
              <w:rPr>
                <w:sz w:val="20"/>
                <w:szCs w:val="20"/>
              </w:rPr>
              <w:t>0.75</w:t>
            </w:r>
          </w:p>
        </w:tc>
        <w:tc>
          <w:tcPr>
            <w:tcW w:w="1450" w:type="dxa"/>
            <w:shd w:val="clear" w:color="auto" w:fill="auto"/>
            <w:vAlign w:val="center"/>
          </w:tcPr>
          <w:p w14:paraId="3062C946" w14:textId="77777777" w:rsidR="001F1598" w:rsidRPr="00172374" w:rsidRDefault="001F1598" w:rsidP="003238D0">
            <w:pPr>
              <w:ind w:hanging="86"/>
              <w:jc w:val="center"/>
              <w:rPr>
                <w:sz w:val="20"/>
                <w:szCs w:val="20"/>
              </w:rPr>
            </w:pPr>
            <w:r w:rsidRPr="00172374">
              <w:rPr>
                <w:sz w:val="20"/>
                <w:szCs w:val="20"/>
              </w:rPr>
              <w:t>0.667</w:t>
            </w:r>
          </w:p>
        </w:tc>
      </w:tr>
      <w:tr w:rsidR="001F1598" w:rsidRPr="00172374" w14:paraId="35428947" w14:textId="77777777" w:rsidTr="007D0B1E">
        <w:tc>
          <w:tcPr>
            <w:tcW w:w="5996" w:type="dxa"/>
            <w:gridSpan w:val="2"/>
            <w:shd w:val="clear" w:color="auto" w:fill="auto"/>
            <w:vAlign w:val="center"/>
          </w:tcPr>
          <w:p w14:paraId="47ED08BA" w14:textId="77777777" w:rsidR="001F1598" w:rsidRPr="00172374" w:rsidRDefault="001F1598" w:rsidP="003238D0">
            <w:pPr>
              <w:ind w:left="176" w:hanging="176"/>
              <w:rPr>
                <w:sz w:val="20"/>
                <w:szCs w:val="20"/>
              </w:rPr>
            </w:pPr>
            <w:r w:rsidRPr="00172374">
              <w:rPr>
                <w:sz w:val="20"/>
                <w:szCs w:val="20"/>
              </w:rPr>
              <w:t>4. Anything that may affect our brand’s image is aligned with their positioning.</w:t>
            </w:r>
          </w:p>
        </w:tc>
        <w:tc>
          <w:tcPr>
            <w:tcW w:w="283" w:type="dxa"/>
            <w:shd w:val="clear" w:color="auto" w:fill="auto"/>
            <w:vAlign w:val="center"/>
          </w:tcPr>
          <w:p w14:paraId="6B74A800" w14:textId="77777777" w:rsidR="001F1598" w:rsidRPr="00172374" w:rsidRDefault="001F1598" w:rsidP="003238D0">
            <w:pPr>
              <w:jc w:val="center"/>
              <w:rPr>
                <w:sz w:val="20"/>
                <w:szCs w:val="20"/>
              </w:rPr>
            </w:pPr>
          </w:p>
        </w:tc>
        <w:tc>
          <w:tcPr>
            <w:tcW w:w="844" w:type="dxa"/>
            <w:shd w:val="clear" w:color="auto" w:fill="auto"/>
            <w:vAlign w:val="center"/>
          </w:tcPr>
          <w:p w14:paraId="755DFF6F" w14:textId="77777777" w:rsidR="001F1598" w:rsidRPr="00172374" w:rsidRDefault="001F1598" w:rsidP="003238D0">
            <w:pPr>
              <w:jc w:val="center"/>
              <w:rPr>
                <w:sz w:val="20"/>
                <w:szCs w:val="20"/>
              </w:rPr>
            </w:pPr>
            <w:r w:rsidRPr="00172374">
              <w:rPr>
                <w:sz w:val="20"/>
                <w:szCs w:val="20"/>
              </w:rPr>
              <w:t>5.61</w:t>
            </w:r>
          </w:p>
        </w:tc>
        <w:tc>
          <w:tcPr>
            <w:tcW w:w="701" w:type="dxa"/>
            <w:shd w:val="clear" w:color="auto" w:fill="auto"/>
            <w:vAlign w:val="center"/>
          </w:tcPr>
          <w:p w14:paraId="321D33D8" w14:textId="77777777" w:rsidR="001F1598" w:rsidRPr="00172374" w:rsidRDefault="001F1598" w:rsidP="003238D0">
            <w:pPr>
              <w:jc w:val="center"/>
              <w:rPr>
                <w:sz w:val="20"/>
                <w:szCs w:val="20"/>
              </w:rPr>
            </w:pPr>
            <w:r w:rsidRPr="00172374">
              <w:rPr>
                <w:sz w:val="20"/>
                <w:szCs w:val="20"/>
              </w:rPr>
              <w:t>1.37</w:t>
            </w:r>
          </w:p>
        </w:tc>
        <w:tc>
          <w:tcPr>
            <w:tcW w:w="932" w:type="dxa"/>
            <w:shd w:val="clear" w:color="auto" w:fill="auto"/>
            <w:vAlign w:val="center"/>
          </w:tcPr>
          <w:p w14:paraId="255ABC50" w14:textId="77777777" w:rsidR="001F1598" w:rsidRPr="00172374" w:rsidRDefault="001F1598" w:rsidP="003238D0">
            <w:pPr>
              <w:ind w:firstLine="176"/>
              <w:rPr>
                <w:sz w:val="20"/>
                <w:szCs w:val="20"/>
              </w:rPr>
            </w:pPr>
            <w:r w:rsidRPr="00172374">
              <w:rPr>
                <w:sz w:val="20"/>
                <w:szCs w:val="20"/>
              </w:rPr>
              <w:t>0.74</w:t>
            </w:r>
          </w:p>
        </w:tc>
        <w:tc>
          <w:tcPr>
            <w:tcW w:w="1450" w:type="dxa"/>
            <w:shd w:val="clear" w:color="auto" w:fill="auto"/>
            <w:vAlign w:val="center"/>
          </w:tcPr>
          <w:p w14:paraId="24F7108C" w14:textId="77777777" w:rsidR="001F1598" w:rsidRPr="00172374" w:rsidRDefault="001F1598" w:rsidP="003238D0">
            <w:pPr>
              <w:ind w:hanging="86"/>
              <w:jc w:val="center"/>
              <w:rPr>
                <w:sz w:val="20"/>
                <w:szCs w:val="20"/>
              </w:rPr>
            </w:pPr>
            <w:r w:rsidRPr="00172374">
              <w:rPr>
                <w:sz w:val="20"/>
                <w:szCs w:val="20"/>
              </w:rPr>
              <w:t>0.658</w:t>
            </w:r>
          </w:p>
        </w:tc>
      </w:tr>
      <w:tr w:rsidR="001F1598" w:rsidRPr="00172374" w14:paraId="7D51B34E" w14:textId="77777777" w:rsidTr="007D0B1E">
        <w:tc>
          <w:tcPr>
            <w:tcW w:w="5996" w:type="dxa"/>
            <w:gridSpan w:val="2"/>
            <w:shd w:val="clear" w:color="auto" w:fill="auto"/>
            <w:vAlign w:val="center"/>
          </w:tcPr>
          <w:p w14:paraId="54992808" w14:textId="77777777" w:rsidR="001F1598" w:rsidRPr="00172374" w:rsidRDefault="001F1598" w:rsidP="003238D0">
            <w:pPr>
              <w:ind w:left="176" w:hanging="176"/>
              <w:rPr>
                <w:sz w:val="20"/>
                <w:szCs w:val="20"/>
              </w:rPr>
            </w:pPr>
            <w:r w:rsidRPr="00172374">
              <w:rPr>
                <w:sz w:val="20"/>
                <w:szCs w:val="20"/>
              </w:rPr>
              <w:t xml:space="preserve">5. No matter what changes are taking place in our </w:t>
            </w:r>
            <w:proofErr w:type="gramStart"/>
            <w:r w:rsidRPr="00172374">
              <w:rPr>
                <w:sz w:val="20"/>
                <w:szCs w:val="20"/>
              </w:rPr>
              <w:t>firm,</w:t>
            </w:r>
            <w:proofErr w:type="gramEnd"/>
            <w:r w:rsidRPr="00172374">
              <w:rPr>
                <w:sz w:val="20"/>
                <w:szCs w:val="20"/>
              </w:rPr>
              <w:t xml:space="preserve"> our brand values remain constant.  </w:t>
            </w:r>
          </w:p>
        </w:tc>
        <w:tc>
          <w:tcPr>
            <w:tcW w:w="283" w:type="dxa"/>
            <w:shd w:val="clear" w:color="auto" w:fill="auto"/>
            <w:vAlign w:val="center"/>
          </w:tcPr>
          <w:p w14:paraId="12A1A070" w14:textId="77777777" w:rsidR="001F1598" w:rsidRPr="00172374" w:rsidRDefault="001F1598" w:rsidP="003238D0">
            <w:pPr>
              <w:jc w:val="center"/>
              <w:rPr>
                <w:sz w:val="20"/>
                <w:szCs w:val="20"/>
              </w:rPr>
            </w:pPr>
          </w:p>
        </w:tc>
        <w:tc>
          <w:tcPr>
            <w:tcW w:w="844" w:type="dxa"/>
            <w:shd w:val="clear" w:color="auto" w:fill="auto"/>
            <w:vAlign w:val="center"/>
          </w:tcPr>
          <w:p w14:paraId="5D94A0E2" w14:textId="77777777" w:rsidR="001F1598" w:rsidRPr="00172374" w:rsidRDefault="001F1598" w:rsidP="003238D0">
            <w:pPr>
              <w:jc w:val="center"/>
              <w:rPr>
                <w:sz w:val="20"/>
                <w:szCs w:val="20"/>
              </w:rPr>
            </w:pPr>
            <w:r w:rsidRPr="00172374">
              <w:rPr>
                <w:sz w:val="20"/>
                <w:szCs w:val="20"/>
              </w:rPr>
              <w:t>5.93</w:t>
            </w:r>
          </w:p>
        </w:tc>
        <w:tc>
          <w:tcPr>
            <w:tcW w:w="701" w:type="dxa"/>
            <w:shd w:val="clear" w:color="auto" w:fill="auto"/>
            <w:vAlign w:val="center"/>
          </w:tcPr>
          <w:p w14:paraId="29ECE0C9" w14:textId="77777777" w:rsidR="001F1598" w:rsidRPr="00172374" w:rsidRDefault="001F1598" w:rsidP="003238D0">
            <w:pPr>
              <w:jc w:val="center"/>
              <w:rPr>
                <w:sz w:val="20"/>
                <w:szCs w:val="20"/>
              </w:rPr>
            </w:pPr>
            <w:r w:rsidRPr="00172374">
              <w:rPr>
                <w:sz w:val="20"/>
                <w:szCs w:val="20"/>
              </w:rPr>
              <w:t>1.28</w:t>
            </w:r>
          </w:p>
        </w:tc>
        <w:tc>
          <w:tcPr>
            <w:tcW w:w="932" w:type="dxa"/>
            <w:shd w:val="clear" w:color="auto" w:fill="auto"/>
            <w:vAlign w:val="center"/>
          </w:tcPr>
          <w:p w14:paraId="7F783AF5" w14:textId="77777777" w:rsidR="001F1598" w:rsidRPr="00172374" w:rsidRDefault="001F1598" w:rsidP="003238D0">
            <w:pPr>
              <w:ind w:firstLine="176"/>
              <w:rPr>
                <w:sz w:val="20"/>
                <w:szCs w:val="20"/>
              </w:rPr>
            </w:pPr>
            <w:r w:rsidRPr="00172374">
              <w:rPr>
                <w:sz w:val="20"/>
                <w:szCs w:val="20"/>
              </w:rPr>
              <w:t>0.73</w:t>
            </w:r>
          </w:p>
        </w:tc>
        <w:tc>
          <w:tcPr>
            <w:tcW w:w="1450" w:type="dxa"/>
            <w:shd w:val="clear" w:color="auto" w:fill="auto"/>
            <w:vAlign w:val="center"/>
          </w:tcPr>
          <w:p w14:paraId="427AD532" w14:textId="77777777" w:rsidR="001F1598" w:rsidRPr="00172374" w:rsidRDefault="001F1598" w:rsidP="003238D0">
            <w:pPr>
              <w:ind w:hanging="86"/>
              <w:jc w:val="center"/>
              <w:rPr>
                <w:sz w:val="20"/>
                <w:szCs w:val="20"/>
              </w:rPr>
            </w:pPr>
            <w:r w:rsidRPr="00172374">
              <w:rPr>
                <w:sz w:val="20"/>
                <w:szCs w:val="20"/>
              </w:rPr>
              <w:t>0.694</w:t>
            </w:r>
          </w:p>
        </w:tc>
      </w:tr>
      <w:tr w:rsidR="001F1598" w:rsidRPr="00172374" w14:paraId="4B60D938" w14:textId="77777777" w:rsidTr="007D0B1E">
        <w:tc>
          <w:tcPr>
            <w:tcW w:w="5996" w:type="dxa"/>
            <w:gridSpan w:val="2"/>
            <w:shd w:val="clear" w:color="auto" w:fill="auto"/>
            <w:vAlign w:val="center"/>
          </w:tcPr>
          <w:p w14:paraId="4258B6DD" w14:textId="77777777" w:rsidR="001F1598" w:rsidRPr="00172374" w:rsidRDefault="001F1598" w:rsidP="003238D0">
            <w:pPr>
              <w:ind w:left="176" w:hanging="176"/>
              <w:rPr>
                <w:sz w:val="20"/>
                <w:szCs w:val="20"/>
              </w:rPr>
            </w:pPr>
            <w:r w:rsidRPr="00172374">
              <w:rPr>
                <w:sz w:val="20"/>
                <w:szCs w:val="20"/>
              </w:rPr>
              <w:t>6. We make sure our brand’s image does not get muddled with conflicting marketing messages.</w:t>
            </w:r>
          </w:p>
        </w:tc>
        <w:tc>
          <w:tcPr>
            <w:tcW w:w="283" w:type="dxa"/>
            <w:shd w:val="clear" w:color="auto" w:fill="auto"/>
            <w:vAlign w:val="center"/>
          </w:tcPr>
          <w:p w14:paraId="606C1C1E" w14:textId="77777777" w:rsidR="001F1598" w:rsidRPr="00172374" w:rsidRDefault="001F1598" w:rsidP="003238D0">
            <w:pPr>
              <w:jc w:val="center"/>
              <w:rPr>
                <w:sz w:val="20"/>
                <w:szCs w:val="20"/>
              </w:rPr>
            </w:pPr>
          </w:p>
        </w:tc>
        <w:tc>
          <w:tcPr>
            <w:tcW w:w="844" w:type="dxa"/>
            <w:shd w:val="clear" w:color="auto" w:fill="auto"/>
            <w:vAlign w:val="center"/>
          </w:tcPr>
          <w:p w14:paraId="2E7F90F4" w14:textId="77777777" w:rsidR="001F1598" w:rsidRPr="00172374" w:rsidRDefault="001F1598" w:rsidP="003238D0">
            <w:pPr>
              <w:jc w:val="center"/>
              <w:rPr>
                <w:sz w:val="20"/>
                <w:szCs w:val="20"/>
              </w:rPr>
            </w:pPr>
            <w:r w:rsidRPr="00172374">
              <w:rPr>
                <w:sz w:val="20"/>
                <w:szCs w:val="20"/>
              </w:rPr>
              <w:t>5.72</w:t>
            </w:r>
          </w:p>
        </w:tc>
        <w:tc>
          <w:tcPr>
            <w:tcW w:w="701" w:type="dxa"/>
            <w:shd w:val="clear" w:color="auto" w:fill="auto"/>
            <w:vAlign w:val="center"/>
          </w:tcPr>
          <w:p w14:paraId="6EE8A340" w14:textId="77777777" w:rsidR="001F1598" w:rsidRPr="00172374" w:rsidRDefault="001F1598" w:rsidP="003238D0">
            <w:pPr>
              <w:jc w:val="center"/>
              <w:rPr>
                <w:sz w:val="20"/>
                <w:szCs w:val="20"/>
              </w:rPr>
            </w:pPr>
            <w:r w:rsidRPr="00172374">
              <w:rPr>
                <w:sz w:val="20"/>
                <w:szCs w:val="20"/>
              </w:rPr>
              <w:t>1.37</w:t>
            </w:r>
          </w:p>
        </w:tc>
        <w:tc>
          <w:tcPr>
            <w:tcW w:w="932" w:type="dxa"/>
            <w:shd w:val="clear" w:color="auto" w:fill="auto"/>
            <w:vAlign w:val="center"/>
          </w:tcPr>
          <w:p w14:paraId="6DCBBA72" w14:textId="77777777" w:rsidR="001F1598" w:rsidRPr="00172374" w:rsidRDefault="001F1598" w:rsidP="003238D0">
            <w:pPr>
              <w:ind w:firstLine="176"/>
              <w:rPr>
                <w:sz w:val="20"/>
                <w:szCs w:val="20"/>
              </w:rPr>
            </w:pPr>
            <w:r w:rsidRPr="00172374">
              <w:rPr>
                <w:sz w:val="20"/>
                <w:szCs w:val="20"/>
              </w:rPr>
              <w:t>0.69</w:t>
            </w:r>
          </w:p>
        </w:tc>
        <w:tc>
          <w:tcPr>
            <w:tcW w:w="1450" w:type="dxa"/>
            <w:shd w:val="clear" w:color="auto" w:fill="auto"/>
            <w:vAlign w:val="center"/>
          </w:tcPr>
          <w:p w14:paraId="3BBC8C58" w14:textId="77777777" w:rsidR="001F1598" w:rsidRPr="00172374" w:rsidRDefault="001F1598" w:rsidP="003238D0">
            <w:pPr>
              <w:ind w:hanging="86"/>
              <w:jc w:val="center"/>
              <w:rPr>
                <w:sz w:val="20"/>
                <w:szCs w:val="20"/>
              </w:rPr>
            </w:pPr>
            <w:r w:rsidRPr="00172374">
              <w:rPr>
                <w:sz w:val="20"/>
                <w:szCs w:val="20"/>
              </w:rPr>
              <w:t>0.701</w:t>
            </w:r>
          </w:p>
        </w:tc>
      </w:tr>
      <w:tr w:rsidR="001F1598" w:rsidRPr="00172374" w14:paraId="2A4AD732" w14:textId="77777777" w:rsidTr="007D0B1E">
        <w:tc>
          <w:tcPr>
            <w:tcW w:w="5996" w:type="dxa"/>
            <w:gridSpan w:val="2"/>
            <w:shd w:val="clear" w:color="auto" w:fill="auto"/>
            <w:vAlign w:val="center"/>
          </w:tcPr>
          <w:p w14:paraId="5D7A1D99" w14:textId="77777777" w:rsidR="001F1598" w:rsidRPr="00172374" w:rsidRDefault="001F1598" w:rsidP="003238D0">
            <w:pPr>
              <w:ind w:left="176" w:hanging="176"/>
              <w:rPr>
                <w:sz w:val="20"/>
                <w:szCs w:val="20"/>
              </w:rPr>
            </w:pPr>
            <w:r w:rsidRPr="00172374">
              <w:rPr>
                <w:sz w:val="20"/>
                <w:szCs w:val="20"/>
              </w:rPr>
              <w:t>7. Before making any change in our organizational strategy, we take into serious account the effect it may have on our brand.</w:t>
            </w:r>
          </w:p>
        </w:tc>
        <w:tc>
          <w:tcPr>
            <w:tcW w:w="283" w:type="dxa"/>
            <w:shd w:val="clear" w:color="auto" w:fill="auto"/>
            <w:vAlign w:val="center"/>
          </w:tcPr>
          <w:p w14:paraId="30CE51C5" w14:textId="77777777" w:rsidR="001F1598" w:rsidRPr="00172374" w:rsidRDefault="001F1598" w:rsidP="003238D0">
            <w:pPr>
              <w:jc w:val="center"/>
              <w:rPr>
                <w:sz w:val="20"/>
                <w:szCs w:val="20"/>
              </w:rPr>
            </w:pPr>
          </w:p>
        </w:tc>
        <w:tc>
          <w:tcPr>
            <w:tcW w:w="844" w:type="dxa"/>
            <w:shd w:val="clear" w:color="auto" w:fill="auto"/>
            <w:vAlign w:val="center"/>
          </w:tcPr>
          <w:p w14:paraId="7623CE93" w14:textId="77777777" w:rsidR="001F1598" w:rsidRPr="00172374" w:rsidRDefault="001F1598" w:rsidP="003238D0">
            <w:pPr>
              <w:jc w:val="center"/>
              <w:rPr>
                <w:sz w:val="20"/>
                <w:szCs w:val="20"/>
              </w:rPr>
            </w:pPr>
            <w:r w:rsidRPr="00172374">
              <w:rPr>
                <w:sz w:val="20"/>
                <w:szCs w:val="20"/>
              </w:rPr>
              <w:t>5.60</w:t>
            </w:r>
          </w:p>
        </w:tc>
        <w:tc>
          <w:tcPr>
            <w:tcW w:w="701" w:type="dxa"/>
            <w:shd w:val="clear" w:color="auto" w:fill="auto"/>
            <w:vAlign w:val="center"/>
          </w:tcPr>
          <w:p w14:paraId="56B8DFB4" w14:textId="77777777" w:rsidR="001F1598" w:rsidRPr="00172374" w:rsidRDefault="001F1598" w:rsidP="003238D0">
            <w:pPr>
              <w:jc w:val="center"/>
              <w:rPr>
                <w:sz w:val="20"/>
                <w:szCs w:val="20"/>
              </w:rPr>
            </w:pPr>
            <w:r w:rsidRPr="00172374">
              <w:rPr>
                <w:sz w:val="20"/>
                <w:szCs w:val="20"/>
              </w:rPr>
              <w:t>1.36</w:t>
            </w:r>
          </w:p>
        </w:tc>
        <w:tc>
          <w:tcPr>
            <w:tcW w:w="932" w:type="dxa"/>
            <w:shd w:val="clear" w:color="auto" w:fill="auto"/>
            <w:vAlign w:val="center"/>
          </w:tcPr>
          <w:p w14:paraId="0D6AD170" w14:textId="77777777" w:rsidR="001F1598" w:rsidRPr="00172374" w:rsidRDefault="001F1598" w:rsidP="003238D0">
            <w:pPr>
              <w:ind w:firstLine="176"/>
              <w:rPr>
                <w:sz w:val="20"/>
                <w:szCs w:val="20"/>
              </w:rPr>
            </w:pPr>
            <w:r w:rsidRPr="00172374">
              <w:rPr>
                <w:sz w:val="20"/>
                <w:szCs w:val="20"/>
              </w:rPr>
              <w:t>0.65</w:t>
            </w:r>
          </w:p>
        </w:tc>
        <w:tc>
          <w:tcPr>
            <w:tcW w:w="1450" w:type="dxa"/>
            <w:shd w:val="clear" w:color="auto" w:fill="auto"/>
            <w:vAlign w:val="center"/>
          </w:tcPr>
          <w:p w14:paraId="55F16F62" w14:textId="77777777" w:rsidR="001F1598" w:rsidRPr="00172374" w:rsidRDefault="001F1598" w:rsidP="003238D0">
            <w:pPr>
              <w:ind w:hanging="86"/>
              <w:jc w:val="center"/>
              <w:rPr>
                <w:sz w:val="20"/>
                <w:szCs w:val="20"/>
              </w:rPr>
            </w:pPr>
            <w:r w:rsidRPr="00172374">
              <w:rPr>
                <w:sz w:val="20"/>
                <w:szCs w:val="20"/>
              </w:rPr>
              <w:t>0.684</w:t>
            </w:r>
          </w:p>
        </w:tc>
      </w:tr>
      <w:tr w:rsidR="001F1598" w:rsidRPr="00172374" w14:paraId="3751D90F" w14:textId="77777777" w:rsidTr="007D0B1E">
        <w:tc>
          <w:tcPr>
            <w:tcW w:w="5996" w:type="dxa"/>
            <w:gridSpan w:val="2"/>
            <w:shd w:val="clear" w:color="auto" w:fill="auto"/>
            <w:vAlign w:val="center"/>
          </w:tcPr>
          <w:p w14:paraId="142E75C7" w14:textId="50A98EBE" w:rsidR="001F1598" w:rsidRPr="00172374" w:rsidRDefault="001F1598" w:rsidP="003238D0">
            <w:pPr>
              <w:spacing w:before="60"/>
              <w:rPr>
                <w:i/>
                <w:sz w:val="20"/>
                <w:szCs w:val="20"/>
              </w:rPr>
            </w:pPr>
            <w:r w:rsidRPr="00172374">
              <w:rPr>
                <w:b/>
                <w:bCs/>
                <w:i/>
                <w:sz w:val="20"/>
                <w:szCs w:val="20"/>
              </w:rPr>
              <w:t>B</w:t>
            </w:r>
            <w:r w:rsidR="006167F1" w:rsidRPr="00172374">
              <w:rPr>
                <w:b/>
                <w:bCs/>
                <w:i/>
                <w:sz w:val="20"/>
                <w:szCs w:val="20"/>
              </w:rPr>
              <w:t>DIF</w:t>
            </w:r>
            <w:r w:rsidRPr="00172374">
              <w:rPr>
                <w:i/>
                <w:sz w:val="20"/>
                <w:szCs w:val="20"/>
              </w:rPr>
              <w:t xml:space="preserve"> (alpha = 0.91)</w:t>
            </w:r>
          </w:p>
        </w:tc>
        <w:tc>
          <w:tcPr>
            <w:tcW w:w="283" w:type="dxa"/>
            <w:shd w:val="clear" w:color="auto" w:fill="auto"/>
            <w:vAlign w:val="center"/>
          </w:tcPr>
          <w:p w14:paraId="55691A40" w14:textId="77777777" w:rsidR="001F1598" w:rsidRPr="00172374" w:rsidRDefault="001F1598" w:rsidP="003238D0">
            <w:pPr>
              <w:jc w:val="center"/>
              <w:rPr>
                <w:sz w:val="20"/>
                <w:szCs w:val="20"/>
              </w:rPr>
            </w:pPr>
          </w:p>
        </w:tc>
        <w:tc>
          <w:tcPr>
            <w:tcW w:w="844" w:type="dxa"/>
            <w:shd w:val="clear" w:color="auto" w:fill="auto"/>
            <w:vAlign w:val="center"/>
          </w:tcPr>
          <w:p w14:paraId="3C20E39D" w14:textId="77777777" w:rsidR="001F1598" w:rsidRPr="00172374" w:rsidRDefault="001F1598" w:rsidP="003238D0">
            <w:pPr>
              <w:jc w:val="center"/>
              <w:rPr>
                <w:sz w:val="20"/>
                <w:szCs w:val="20"/>
              </w:rPr>
            </w:pPr>
          </w:p>
        </w:tc>
        <w:tc>
          <w:tcPr>
            <w:tcW w:w="701" w:type="dxa"/>
            <w:shd w:val="clear" w:color="auto" w:fill="auto"/>
            <w:vAlign w:val="center"/>
          </w:tcPr>
          <w:p w14:paraId="54C8DA1F" w14:textId="77777777" w:rsidR="001F1598" w:rsidRPr="00172374" w:rsidRDefault="001F1598" w:rsidP="003238D0">
            <w:pPr>
              <w:jc w:val="center"/>
              <w:rPr>
                <w:sz w:val="20"/>
                <w:szCs w:val="20"/>
              </w:rPr>
            </w:pPr>
          </w:p>
        </w:tc>
        <w:tc>
          <w:tcPr>
            <w:tcW w:w="932" w:type="dxa"/>
            <w:shd w:val="clear" w:color="auto" w:fill="auto"/>
            <w:vAlign w:val="center"/>
          </w:tcPr>
          <w:p w14:paraId="3864BA2B" w14:textId="77777777" w:rsidR="001F1598" w:rsidRPr="00172374" w:rsidRDefault="001F1598" w:rsidP="003238D0">
            <w:pPr>
              <w:ind w:firstLine="176"/>
              <w:rPr>
                <w:sz w:val="20"/>
                <w:szCs w:val="20"/>
              </w:rPr>
            </w:pPr>
          </w:p>
        </w:tc>
        <w:tc>
          <w:tcPr>
            <w:tcW w:w="1450" w:type="dxa"/>
            <w:shd w:val="clear" w:color="auto" w:fill="auto"/>
            <w:vAlign w:val="center"/>
          </w:tcPr>
          <w:p w14:paraId="0B46D479" w14:textId="77777777" w:rsidR="001F1598" w:rsidRPr="00172374" w:rsidRDefault="001F1598" w:rsidP="003238D0">
            <w:pPr>
              <w:ind w:hanging="86"/>
              <w:jc w:val="center"/>
              <w:rPr>
                <w:sz w:val="20"/>
                <w:szCs w:val="20"/>
              </w:rPr>
            </w:pPr>
          </w:p>
        </w:tc>
      </w:tr>
      <w:tr w:rsidR="001F1598" w:rsidRPr="00172374" w14:paraId="303E341A" w14:textId="77777777" w:rsidTr="007D0B1E">
        <w:tc>
          <w:tcPr>
            <w:tcW w:w="5996" w:type="dxa"/>
            <w:gridSpan w:val="2"/>
            <w:shd w:val="clear" w:color="auto" w:fill="auto"/>
            <w:vAlign w:val="center"/>
          </w:tcPr>
          <w:p w14:paraId="5A00E9A4" w14:textId="77777777" w:rsidR="001F1598" w:rsidRPr="00172374" w:rsidRDefault="001F1598" w:rsidP="003238D0">
            <w:pPr>
              <w:ind w:left="176" w:hanging="176"/>
              <w:rPr>
                <w:sz w:val="20"/>
                <w:szCs w:val="20"/>
              </w:rPr>
            </w:pPr>
            <w:r w:rsidRPr="00172374">
              <w:rPr>
                <w:sz w:val="20"/>
                <w:szCs w:val="20"/>
              </w:rPr>
              <w:t>1.</w:t>
            </w:r>
            <w:r w:rsidRPr="00172374">
              <w:rPr>
                <w:sz w:val="20"/>
                <w:szCs w:val="20"/>
              </w:rPr>
              <w:tab/>
              <w:t>We make sure our brand has distinct competitive advantages.</w:t>
            </w:r>
          </w:p>
        </w:tc>
        <w:tc>
          <w:tcPr>
            <w:tcW w:w="283" w:type="dxa"/>
            <w:shd w:val="clear" w:color="auto" w:fill="auto"/>
            <w:vAlign w:val="center"/>
          </w:tcPr>
          <w:p w14:paraId="70102692" w14:textId="77777777" w:rsidR="001F1598" w:rsidRPr="00172374" w:rsidRDefault="001F1598" w:rsidP="003238D0">
            <w:pPr>
              <w:jc w:val="center"/>
              <w:rPr>
                <w:sz w:val="20"/>
                <w:szCs w:val="20"/>
              </w:rPr>
            </w:pPr>
          </w:p>
        </w:tc>
        <w:tc>
          <w:tcPr>
            <w:tcW w:w="844" w:type="dxa"/>
            <w:shd w:val="clear" w:color="auto" w:fill="auto"/>
            <w:vAlign w:val="center"/>
          </w:tcPr>
          <w:p w14:paraId="36A4A1C1" w14:textId="77777777" w:rsidR="001F1598" w:rsidRPr="00172374" w:rsidRDefault="001F1598" w:rsidP="003238D0">
            <w:pPr>
              <w:jc w:val="center"/>
              <w:rPr>
                <w:sz w:val="20"/>
                <w:szCs w:val="20"/>
              </w:rPr>
            </w:pPr>
            <w:r w:rsidRPr="00172374">
              <w:rPr>
                <w:sz w:val="20"/>
                <w:szCs w:val="20"/>
              </w:rPr>
              <w:t>5.44</w:t>
            </w:r>
          </w:p>
        </w:tc>
        <w:tc>
          <w:tcPr>
            <w:tcW w:w="701" w:type="dxa"/>
            <w:shd w:val="clear" w:color="auto" w:fill="auto"/>
            <w:vAlign w:val="center"/>
          </w:tcPr>
          <w:p w14:paraId="64DE468C" w14:textId="77777777" w:rsidR="001F1598" w:rsidRPr="00172374" w:rsidRDefault="001F1598" w:rsidP="003238D0">
            <w:pPr>
              <w:jc w:val="center"/>
              <w:rPr>
                <w:sz w:val="20"/>
                <w:szCs w:val="20"/>
              </w:rPr>
            </w:pPr>
            <w:r w:rsidRPr="00172374">
              <w:rPr>
                <w:sz w:val="20"/>
                <w:szCs w:val="20"/>
              </w:rPr>
              <w:t>1.35</w:t>
            </w:r>
          </w:p>
        </w:tc>
        <w:tc>
          <w:tcPr>
            <w:tcW w:w="932" w:type="dxa"/>
            <w:shd w:val="clear" w:color="auto" w:fill="auto"/>
            <w:vAlign w:val="center"/>
          </w:tcPr>
          <w:p w14:paraId="3E45561B" w14:textId="77777777" w:rsidR="001F1598" w:rsidRPr="00172374" w:rsidRDefault="001F1598" w:rsidP="003238D0">
            <w:pPr>
              <w:ind w:firstLine="176"/>
              <w:rPr>
                <w:sz w:val="20"/>
                <w:szCs w:val="20"/>
              </w:rPr>
            </w:pPr>
            <w:r w:rsidRPr="00172374">
              <w:rPr>
                <w:sz w:val="20"/>
                <w:szCs w:val="20"/>
              </w:rPr>
              <w:t>0.82</w:t>
            </w:r>
          </w:p>
        </w:tc>
        <w:tc>
          <w:tcPr>
            <w:tcW w:w="1450" w:type="dxa"/>
            <w:shd w:val="clear" w:color="auto" w:fill="auto"/>
            <w:vAlign w:val="center"/>
          </w:tcPr>
          <w:p w14:paraId="05051D35" w14:textId="77777777" w:rsidR="001F1598" w:rsidRPr="00172374" w:rsidRDefault="001F1598" w:rsidP="003238D0">
            <w:pPr>
              <w:ind w:hanging="86"/>
              <w:jc w:val="center"/>
              <w:rPr>
                <w:sz w:val="20"/>
                <w:szCs w:val="20"/>
              </w:rPr>
            </w:pPr>
            <w:r w:rsidRPr="00172374">
              <w:rPr>
                <w:sz w:val="20"/>
                <w:szCs w:val="20"/>
              </w:rPr>
              <w:t>0.819</w:t>
            </w:r>
          </w:p>
        </w:tc>
      </w:tr>
      <w:tr w:rsidR="001F1598" w:rsidRPr="00172374" w14:paraId="23F0567C" w14:textId="77777777" w:rsidTr="007D0B1E">
        <w:tc>
          <w:tcPr>
            <w:tcW w:w="5996" w:type="dxa"/>
            <w:gridSpan w:val="2"/>
            <w:shd w:val="clear" w:color="auto" w:fill="auto"/>
            <w:vAlign w:val="center"/>
          </w:tcPr>
          <w:p w14:paraId="5D61859C" w14:textId="77777777" w:rsidR="001F1598" w:rsidRPr="00172374" w:rsidRDefault="001F1598" w:rsidP="003238D0">
            <w:pPr>
              <w:ind w:left="176" w:hanging="176"/>
              <w:rPr>
                <w:sz w:val="20"/>
                <w:szCs w:val="20"/>
              </w:rPr>
            </w:pPr>
            <w:r w:rsidRPr="00172374">
              <w:rPr>
                <w:sz w:val="20"/>
                <w:szCs w:val="20"/>
              </w:rPr>
              <w:t>2.</w:t>
            </w:r>
            <w:r w:rsidRPr="00172374">
              <w:rPr>
                <w:sz w:val="20"/>
                <w:szCs w:val="20"/>
              </w:rPr>
              <w:tab/>
              <w:t>We differentiate our brand from competition in an easily identifiable way.</w:t>
            </w:r>
          </w:p>
        </w:tc>
        <w:tc>
          <w:tcPr>
            <w:tcW w:w="283" w:type="dxa"/>
            <w:shd w:val="clear" w:color="auto" w:fill="auto"/>
            <w:vAlign w:val="center"/>
          </w:tcPr>
          <w:p w14:paraId="014FAC69" w14:textId="77777777" w:rsidR="001F1598" w:rsidRPr="00172374" w:rsidRDefault="001F1598" w:rsidP="003238D0">
            <w:pPr>
              <w:jc w:val="center"/>
              <w:rPr>
                <w:sz w:val="20"/>
                <w:szCs w:val="20"/>
              </w:rPr>
            </w:pPr>
          </w:p>
        </w:tc>
        <w:tc>
          <w:tcPr>
            <w:tcW w:w="844" w:type="dxa"/>
            <w:shd w:val="clear" w:color="auto" w:fill="auto"/>
            <w:vAlign w:val="center"/>
          </w:tcPr>
          <w:p w14:paraId="6895D97C" w14:textId="77777777" w:rsidR="001F1598" w:rsidRPr="00172374" w:rsidRDefault="001F1598" w:rsidP="003238D0">
            <w:pPr>
              <w:jc w:val="center"/>
              <w:rPr>
                <w:sz w:val="20"/>
                <w:szCs w:val="20"/>
              </w:rPr>
            </w:pPr>
            <w:r w:rsidRPr="00172374">
              <w:rPr>
                <w:sz w:val="20"/>
                <w:szCs w:val="20"/>
              </w:rPr>
              <w:t>5.27</w:t>
            </w:r>
          </w:p>
        </w:tc>
        <w:tc>
          <w:tcPr>
            <w:tcW w:w="701" w:type="dxa"/>
            <w:shd w:val="clear" w:color="auto" w:fill="auto"/>
            <w:vAlign w:val="center"/>
          </w:tcPr>
          <w:p w14:paraId="57C563BB" w14:textId="77777777" w:rsidR="001F1598" w:rsidRPr="00172374" w:rsidRDefault="001F1598" w:rsidP="003238D0">
            <w:pPr>
              <w:jc w:val="center"/>
              <w:rPr>
                <w:sz w:val="20"/>
                <w:szCs w:val="20"/>
              </w:rPr>
            </w:pPr>
            <w:r w:rsidRPr="00172374">
              <w:rPr>
                <w:sz w:val="20"/>
                <w:szCs w:val="20"/>
              </w:rPr>
              <w:t>1.39</w:t>
            </w:r>
          </w:p>
        </w:tc>
        <w:tc>
          <w:tcPr>
            <w:tcW w:w="932" w:type="dxa"/>
            <w:shd w:val="clear" w:color="auto" w:fill="auto"/>
            <w:vAlign w:val="center"/>
          </w:tcPr>
          <w:p w14:paraId="4A8FE1A3" w14:textId="77777777" w:rsidR="001F1598" w:rsidRPr="00172374" w:rsidRDefault="001F1598" w:rsidP="003238D0">
            <w:pPr>
              <w:ind w:firstLine="176"/>
              <w:rPr>
                <w:sz w:val="20"/>
                <w:szCs w:val="20"/>
              </w:rPr>
            </w:pPr>
            <w:r w:rsidRPr="00172374">
              <w:rPr>
                <w:sz w:val="20"/>
                <w:szCs w:val="20"/>
              </w:rPr>
              <w:t>0.75</w:t>
            </w:r>
          </w:p>
        </w:tc>
        <w:tc>
          <w:tcPr>
            <w:tcW w:w="1450" w:type="dxa"/>
            <w:shd w:val="clear" w:color="auto" w:fill="auto"/>
            <w:vAlign w:val="center"/>
          </w:tcPr>
          <w:p w14:paraId="0CD008DA" w14:textId="77777777" w:rsidR="001F1598" w:rsidRPr="00172374" w:rsidRDefault="001F1598" w:rsidP="003238D0">
            <w:pPr>
              <w:ind w:hanging="86"/>
              <w:jc w:val="center"/>
              <w:rPr>
                <w:sz w:val="20"/>
                <w:szCs w:val="20"/>
              </w:rPr>
            </w:pPr>
            <w:r w:rsidRPr="00172374">
              <w:rPr>
                <w:sz w:val="20"/>
                <w:szCs w:val="20"/>
              </w:rPr>
              <w:t>0.765</w:t>
            </w:r>
          </w:p>
        </w:tc>
      </w:tr>
      <w:tr w:rsidR="001F1598" w:rsidRPr="00172374" w14:paraId="35ACE492" w14:textId="77777777" w:rsidTr="007D0B1E">
        <w:tc>
          <w:tcPr>
            <w:tcW w:w="5996" w:type="dxa"/>
            <w:gridSpan w:val="2"/>
            <w:shd w:val="clear" w:color="auto" w:fill="auto"/>
            <w:vAlign w:val="center"/>
          </w:tcPr>
          <w:p w14:paraId="56328ADE" w14:textId="77777777" w:rsidR="001F1598" w:rsidRPr="00172374" w:rsidRDefault="001F1598" w:rsidP="003238D0">
            <w:pPr>
              <w:ind w:left="176" w:hanging="176"/>
              <w:rPr>
                <w:sz w:val="20"/>
                <w:szCs w:val="20"/>
              </w:rPr>
            </w:pPr>
            <w:r w:rsidRPr="00172374">
              <w:rPr>
                <w:sz w:val="20"/>
                <w:szCs w:val="20"/>
              </w:rPr>
              <w:t>3.</w:t>
            </w:r>
            <w:r w:rsidRPr="00172374">
              <w:rPr>
                <w:sz w:val="20"/>
                <w:szCs w:val="20"/>
              </w:rPr>
              <w:tab/>
              <w:t>Our brand’s positioning establishes competitive superiority.</w:t>
            </w:r>
          </w:p>
        </w:tc>
        <w:tc>
          <w:tcPr>
            <w:tcW w:w="283" w:type="dxa"/>
            <w:shd w:val="clear" w:color="auto" w:fill="auto"/>
            <w:vAlign w:val="center"/>
          </w:tcPr>
          <w:p w14:paraId="6C064CD9" w14:textId="77777777" w:rsidR="001F1598" w:rsidRPr="00172374" w:rsidRDefault="001F1598" w:rsidP="003238D0">
            <w:pPr>
              <w:jc w:val="center"/>
              <w:rPr>
                <w:sz w:val="20"/>
                <w:szCs w:val="20"/>
              </w:rPr>
            </w:pPr>
          </w:p>
        </w:tc>
        <w:tc>
          <w:tcPr>
            <w:tcW w:w="844" w:type="dxa"/>
            <w:shd w:val="clear" w:color="auto" w:fill="auto"/>
            <w:vAlign w:val="center"/>
          </w:tcPr>
          <w:p w14:paraId="48BF17BE" w14:textId="77777777" w:rsidR="001F1598" w:rsidRPr="00172374" w:rsidRDefault="001F1598" w:rsidP="003238D0">
            <w:pPr>
              <w:jc w:val="center"/>
              <w:rPr>
                <w:sz w:val="20"/>
                <w:szCs w:val="20"/>
              </w:rPr>
            </w:pPr>
            <w:r w:rsidRPr="00172374">
              <w:rPr>
                <w:sz w:val="20"/>
                <w:szCs w:val="20"/>
              </w:rPr>
              <w:t>5.51</w:t>
            </w:r>
          </w:p>
        </w:tc>
        <w:tc>
          <w:tcPr>
            <w:tcW w:w="701" w:type="dxa"/>
            <w:shd w:val="clear" w:color="auto" w:fill="auto"/>
            <w:vAlign w:val="center"/>
          </w:tcPr>
          <w:p w14:paraId="65FEB80D" w14:textId="77777777" w:rsidR="001F1598" w:rsidRPr="00172374" w:rsidRDefault="001F1598" w:rsidP="003238D0">
            <w:pPr>
              <w:jc w:val="center"/>
              <w:rPr>
                <w:sz w:val="20"/>
                <w:szCs w:val="20"/>
              </w:rPr>
            </w:pPr>
            <w:r w:rsidRPr="00172374">
              <w:rPr>
                <w:sz w:val="20"/>
                <w:szCs w:val="20"/>
              </w:rPr>
              <w:t>1.26</w:t>
            </w:r>
          </w:p>
        </w:tc>
        <w:tc>
          <w:tcPr>
            <w:tcW w:w="932" w:type="dxa"/>
            <w:shd w:val="clear" w:color="auto" w:fill="auto"/>
            <w:vAlign w:val="center"/>
          </w:tcPr>
          <w:p w14:paraId="77E7B75E" w14:textId="77777777" w:rsidR="001F1598" w:rsidRPr="00172374" w:rsidRDefault="001F1598" w:rsidP="003238D0">
            <w:pPr>
              <w:ind w:firstLine="176"/>
              <w:rPr>
                <w:sz w:val="20"/>
                <w:szCs w:val="20"/>
              </w:rPr>
            </w:pPr>
            <w:r w:rsidRPr="00172374">
              <w:rPr>
                <w:sz w:val="20"/>
                <w:szCs w:val="20"/>
              </w:rPr>
              <w:t>0.70</w:t>
            </w:r>
          </w:p>
        </w:tc>
        <w:tc>
          <w:tcPr>
            <w:tcW w:w="1450" w:type="dxa"/>
            <w:shd w:val="clear" w:color="auto" w:fill="auto"/>
            <w:vAlign w:val="center"/>
          </w:tcPr>
          <w:p w14:paraId="0F727987" w14:textId="77777777" w:rsidR="001F1598" w:rsidRPr="00172374" w:rsidRDefault="001F1598" w:rsidP="003238D0">
            <w:pPr>
              <w:ind w:hanging="86"/>
              <w:jc w:val="center"/>
              <w:rPr>
                <w:sz w:val="20"/>
                <w:szCs w:val="20"/>
              </w:rPr>
            </w:pPr>
            <w:r w:rsidRPr="00172374">
              <w:rPr>
                <w:sz w:val="20"/>
                <w:szCs w:val="20"/>
              </w:rPr>
              <w:t>0.765</w:t>
            </w:r>
          </w:p>
        </w:tc>
      </w:tr>
      <w:tr w:rsidR="001F1598" w:rsidRPr="00172374" w14:paraId="4C48F7A5" w14:textId="77777777" w:rsidTr="007D0B1E">
        <w:tc>
          <w:tcPr>
            <w:tcW w:w="5996" w:type="dxa"/>
            <w:gridSpan w:val="2"/>
            <w:shd w:val="clear" w:color="auto" w:fill="auto"/>
            <w:vAlign w:val="center"/>
          </w:tcPr>
          <w:p w14:paraId="44C9752D" w14:textId="77777777" w:rsidR="001F1598" w:rsidRPr="00172374" w:rsidRDefault="001F1598" w:rsidP="003238D0">
            <w:pPr>
              <w:ind w:left="176" w:hanging="176"/>
              <w:rPr>
                <w:sz w:val="20"/>
                <w:szCs w:val="20"/>
              </w:rPr>
            </w:pPr>
            <w:r w:rsidRPr="00172374">
              <w:rPr>
                <w:sz w:val="20"/>
                <w:szCs w:val="20"/>
              </w:rPr>
              <w:t>4.</w:t>
            </w:r>
            <w:r w:rsidRPr="00172374">
              <w:rPr>
                <w:sz w:val="20"/>
                <w:szCs w:val="20"/>
              </w:rPr>
              <w:tab/>
              <w:t>We create brands with unique identity.</w:t>
            </w:r>
          </w:p>
        </w:tc>
        <w:tc>
          <w:tcPr>
            <w:tcW w:w="283" w:type="dxa"/>
            <w:shd w:val="clear" w:color="auto" w:fill="auto"/>
            <w:vAlign w:val="center"/>
          </w:tcPr>
          <w:p w14:paraId="7FA12BC4" w14:textId="77777777" w:rsidR="001F1598" w:rsidRPr="00172374" w:rsidRDefault="001F1598" w:rsidP="003238D0">
            <w:pPr>
              <w:jc w:val="center"/>
              <w:rPr>
                <w:sz w:val="20"/>
                <w:szCs w:val="20"/>
              </w:rPr>
            </w:pPr>
          </w:p>
        </w:tc>
        <w:tc>
          <w:tcPr>
            <w:tcW w:w="844" w:type="dxa"/>
            <w:shd w:val="clear" w:color="auto" w:fill="auto"/>
            <w:vAlign w:val="center"/>
          </w:tcPr>
          <w:p w14:paraId="6518F809" w14:textId="77777777" w:rsidR="001F1598" w:rsidRPr="00172374" w:rsidRDefault="001F1598" w:rsidP="003238D0">
            <w:pPr>
              <w:jc w:val="center"/>
              <w:rPr>
                <w:sz w:val="20"/>
                <w:szCs w:val="20"/>
              </w:rPr>
            </w:pPr>
            <w:r w:rsidRPr="00172374">
              <w:rPr>
                <w:sz w:val="20"/>
                <w:szCs w:val="20"/>
              </w:rPr>
              <w:t>5.43</w:t>
            </w:r>
          </w:p>
        </w:tc>
        <w:tc>
          <w:tcPr>
            <w:tcW w:w="701" w:type="dxa"/>
            <w:shd w:val="clear" w:color="auto" w:fill="auto"/>
            <w:vAlign w:val="center"/>
          </w:tcPr>
          <w:p w14:paraId="09F05899" w14:textId="77777777" w:rsidR="001F1598" w:rsidRPr="00172374" w:rsidRDefault="001F1598" w:rsidP="003238D0">
            <w:pPr>
              <w:jc w:val="center"/>
              <w:rPr>
                <w:sz w:val="20"/>
                <w:szCs w:val="20"/>
              </w:rPr>
            </w:pPr>
            <w:r w:rsidRPr="00172374">
              <w:rPr>
                <w:sz w:val="20"/>
                <w:szCs w:val="20"/>
              </w:rPr>
              <w:t>1.28</w:t>
            </w:r>
          </w:p>
        </w:tc>
        <w:tc>
          <w:tcPr>
            <w:tcW w:w="932" w:type="dxa"/>
            <w:shd w:val="clear" w:color="auto" w:fill="auto"/>
            <w:vAlign w:val="center"/>
          </w:tcPr>
          <w:p w14:paraId="6483AB90" w14:textId="77777777" w:rsidR="001F1598" w:rsidRPr="00172374" w:rsidRDefault="001F1598" w:rsidP="003238D0">
            <w:pPr>
              <w:ind w:firstLine="176"/>
              <w:rPr>
                <w:sz w:val="20"/>
                <w:szCs w:val="20"/>
              </w:rPr>
            </w:pPr>
            <w:r w:rsidRPr="00172374">
              <w:rPr>
                <w:sz w:val="20"/>
                <w:szCs w:val="20"/>
              </w:rPr>
              <w:t>0.68</w:t>
            </w:r>
          </w:p>
        </w:tc>
        <w:tc>
          <w:tcPr>
            <w:tcW w:w="1450" w:type="dxa"/>
            <w:shd w:val="clear" w:color="auto" w:fill="auto"/>
            <w:vAlign w:val="center"/>
          </w:tcPr>
          <w:p w14:paraId="2A59A62E" w14:textId="77777777" w:rsidR="001F1598" w:rsidRPr="00172374" w:rsidRDefault="001F1598" w:rsidP="003238D0">
            <w:pPr>
              <w:ind w:hanging="86"/>
              <w:jc w:val="center"/>
              <w:rPr>
                <w:sz w:val="20"/>
                <w:szCs w:val="20"/>
              </w:rPr>
            </w:pPr>
            <w:r w:rsidRPr="00172374">
              <w:rPr>
                <w:sz w:val="20"/>
                <w:szCs w:val="20"/>
              </w:rPr>
              <w:t>0.716</w:t>
            </w:r>
          </w:p>
        </w:tc>
      </w:tr>
      <w:tr w:rsidR="001F1598" w:rsidRPr="00172374" w14:paraId="3438426D" w14:textId="77777777" w:rsidTr="007D0B1E">
        <w:tc>
          <w:tcPr>
            <w:tcW w:w="5996" w:type="dxa"/>
            <w:gridSpan w:val="2"/>
            <w:shd w:val="clear" w:color="auto" w:fill="auto"/>
            <w:vAlign w:val="center"/>
          </w:tcPr>
          <w:p w14:paraId="265152FA" w14:textId="77777777" w:rsidR="001F1598" w:rsidRPr="00172374" w:rsidRDefault="001F1598" w:rsidP="003238D0">
            <w:pPr>
              <w:ind w:left="176" w:hanging="176"/>
              <w:rPr>
                <w:sz w:val="20"/>
                <w:szCs w:val="20"/>
              </w:rPr>
            </w:pPr>
            <w:r w:rsidRPr="00172374">
              <w:rPr>
                <w:sz w:val="20"/>
                <w:szCs w:val="20"/>
              </w:rPr>
              <w:t>5.</w:t>
            </w:r>
            <w:r w:rsidRPr="00172374">
              <w:rPr>
                <w:sz w:val="20"/>
                <w:szCs w:val="20"/>
              </w:rPr>
              <w:tab/>
              <w:t>We have clearly defined our brand’s core values.</w:t>
            </w:r>
          </w:p>
        </w:tc>
        <w:tc>
          <w:tcPr>
            <w:tcW w:w="283" w:type="dxa"/>
            <w:shd w:val="clear" w:color="auto" w:fill="auto"/>
            <w:vAlign w:val="center"/>
          </w:tcPr>
          <w:p w14:paraId="18E91917" w14:textId="77777777" w:rsidR="001F1598" w:rsidRPr="00172374" w:rsidRDefault="001F1598" w:rsidP="003238D0">
            <w:pPr>
              <w:jc w:val="center"/>
              <w:rPr>
                <w:sz w:val="20"/>
                <w:szCs w:val="20"/>
              </w:rPr>
            </w:pPr>
          </w:p>
        </w:tc>
        <w:tc>
          <w:tcPr>
            <w:tcW w:w="844" w:type="dxa"/>
            <w:shd w:val="clear" w:color="auto" w:fill="auto"/>
            <w:vAlign w:val="center"/>
          </w:tcPr>
          <w:p w14:paraId="417439C8" w14:textId="77777777" w:rsidR="001F1598" w:rsidRPr="00172374" w:rsidRDefault="001F1598" w:rsidP="003238D0">
            <w:pPr>
              <w:jc w:val="center"/>
              <w:rPr>
                <w:sz w:val="20"/>
                <w:szCs w:val="20"/>
              </w:rPr>
            </w:pPr>
            <w:r w:rsidRPr="00172374">
              <w:rPr>
                <w:sz w:val="20"/>
                <w:szCs w:val="20"/>
              </w:rPr>
              <w:t>5.35</w:t>
            </w:r>
          </w:p>
        </w:tc>
        <w:tc>
          <w:tcPr>
            <w:tcW w:w="701" w:type="dxa"/>
            <w:shd w:val="clear" w:color="auto" w:fill="auto"/>
            <w:vAlign w:val="center"/>
          </w:tcPr>
          <w:p w14:paraId="22D990DD" w14:textId="77777777" w:rsidR="001F1598" w:rsidRPr="00172374" w:rsidRDefault="001F1598" w:rsidP="003238D0">
            <w:pPr>
              <w:jc w:val="center"/>
              <w:rPr>
                <w:sz w:val="20"/>
                <w:szCs w:val="20"/>
              </w:rPr>
            </w:pPr>
            <w:r w:rsidRPr="00172374">
              <w:rPr>
                <w:sz w:val="20"/>
                <w:szCs w:val="20"/>
              </w:rPr>
              <w:t>1.38</w:t>
            </w:r>
          </w:p>
        </w:tc>
        <w:tc>
          <w:tcPr>
            <w:tcW w:w="932" w:type="dxa"/>
            <w:shd w:val="clear" w:color="auto" w:fill="auto"/>
            <w:vAlign w:val="center"/>
          </w:tcPr>
          <w:p w14:paraId="0F9734A5" w14:textId="77777777" w:rsidR="001F1598" w:rsidRPr="00172374" w:rsidRDefault="001F1598" w:rsidP="003238D0">
            <w:pPr>
              <w:ind w:firstLine="176"/>
              <w:rPr>
                <w:sz w:val="20"/>
                <w:szCs w:val="20"/>
              </w:rPr>
            </w:pPr>
            <w:r w:rsidRPr="00172374">
              <w:rPr>
                <w:sz w:val="20"/>
                <w:szCs w:val="20"/>
              </w:rPr>
              <w:t>0.65</w:t>
            </w:r>
          </w:p>
        </w:tc>
        <w:tc>
          <w:tcPr>
            <w:tcW w:w="1450" w:type="dxa"/>
            <w:shd w:val="clear" w:color="auto" w:fill="auto"/>
            <w:vAlign w:val="center"/>
          </w:tcPr>
          <w:p w14:paraId="36CB66EC" w14:textId="77777777" w:rsidR="001F1598" w:rsidRPr="00172374" w:rsidRDefault="001F1598" w:rsidP="003238D0">
            <w:pPr>
              <w:ind w:hanging="86"/>
              <w:jc w:val="center"/>
              <w:rPr>
                <w:sz w:val="20"/>
                <w:szCs w:val="20"/>
              </w:rPr>
            </w:pPr>
            <w:r w:rsidRPr="00172374">
              <w:rPr>
                <w:sz w:val="20"/>
                <w:szCs w:val="20"/>
              </w:rPr>
              <w:t>0.691</w:t>
            </w:r>
          </w:p>
        </w:tc>
      </w:tr>
      <w:tr w:rsidR="001F1598" w:rsidRPr="00172374" w14:paraId="0E07305D" w14:textId="77777777" w:rsidTr="007D0B1E">
        <w:tc>
          <w:tcPr>
            <w:tcW w:w="5996" w:type="dxa"/>
            <w:gridSpan w:val="2"/>
            <w:shd w:val="clear" w:color="auto" w:fill="auto"/>
            <w:vAlign w:val="center"/>
          </w:tcPr>
          <w:p w14:paraId="6D592F81" w14:textId="13D5EAE3" w:rsidR="001F1598" w:rsidRPr="00172374" w:rsidRDefault="001F1598" w:rsidP="003238D0">
            <w:pPr>
              <w:spacing w:before="60"/>
              <w:rPr>
                <w:i/>
                <w:sz w:val="20"/>
                <w:szCs w:val="20"/>
              </w:rPr>
            </w:pPr>
            <w:r w:rsidRPr="00172374">
              <w:rPr>
                <w:b/>
                <w:bCs/>
                <w:i/>
                <w:sz w:val="20"/>
                <w:szCs w:val="20"/>
              </w:rPr>
              <w:t>B</w:t>
            </w:r>
            <w:r w:rsidR="006167F1" w:rsidRPr="00172374">
              <w:rPr>
                <w:b/>
                <w:bCs/>
                <w:i/>
                <w:sz w:val="20"/>
                <w:szCs w:val="20"/>
              </w:rPr>
              <w:t>INT</w:t>
            </w:r>
            <w:r w:rsidRPr="00172374">
              <w:rPr>
                <w:i/>
                <w:sz w:val="20"/>
                <w:szCs w:val="20"/>
              </w:rPr>
              <w:t xml:space="preserve"> (alpha = 0.91)</w:t>
            </w:r>
          </w:p>
        </w:tc>
        <w:tc>
          <w:tcPr>
            <w:tcW w:w="283" w:type="dxa"/>
            <w:shd w:val="clear" w:color="auto" w:fill="auto"/>
            <w:vAlign w:val="center"/>
          </w:tcPr>
          <w:p w14:paraId="118054E3" w14:textId="77777777" w:rsidR="001F1598" w:rsidRPr="00172374" w:rsidRDefault="001F1598" w:rsidP="003238D0">
            <w:pPr>
              <w:jc w:val="center"/>
              <w:rPr>
                <w:sz w:val="20"/>
                <w:szCs w:val="20"/>
              </w:rPr>
            </w:pPr>
          </w:p>
        </w:tc>
        <w:tc>
          <w:tcPr>
            <w:tcW w:w="844" w:type="dxa"/>
            <w:shd w:val="clear" w:color="auto" w:fill="auto"/>
            <w:vAlign w:val="center"/>
          </w:tcPr>
          <w:p w14:paraId="03454709" w14:textId="77777777" w:rsidR="001F1598" w:rsidRPr="00172374" w:rsidRDefault="001F1598" w:rsidP="003238D0">
            <w:pPr>
              <w:jc w:val="center"/>
              <w:rPr>
                <w:sz w:val="20"/>
                <w:szCs w:val="20"/>
              </w:rPr>
            </w:pPr>
          </w:p>
        </w:tc>
        <w:tc>
          <w:tcPr>
            <w:tcW w:w="701" w:type="dxa"/>
            <w:shd w:val="clear" w:color="auto" w:fill="auto"/>
            <w:vAlign w:val="center"/>
          </w:tcPr>
          <w:p w14:paraId="13C2CB16" w14:textId="77777777" w:rsidR="001F1598" w:rsidRPr="00172374" w:rsidRDefault="001F1598" w:rsidP="003238D0">
            <w:pPr>
              <w:jc w:val="center"/>
              <w:rPr>
                <w:sz w:val="20"/>
                <w:szCs w:val="20"/>
              </w:rPr>
            </w:pPr>
          </w:p>
        </w:tc>
        <w:tc>
          <w:tcPr>
            <w:tcW w:w="932" w:type="dxa"/>
            <w:shd w:val="clear" w:color="auto" w:fill="auto"/>
            <w:vAlign w:val="center"/>
          </w:tcPr>
          <w:p w14:paraId="32F5C1EB" w14:textId="77777777" w:rsidR="001F1598" w:rsidRPr="00172374" w:rsidRDefault="001F1598" w:rsidP="003238D0">
            <w:pPr>
              <w:ind w:firstLine="176"/>
              <w:rPr>
                <w:sz w:val="20"/>
                <w:szCs w:val="20"/>
              </w:rPr>
            </w:pPr>
          </w:p>
        </w:tc>
        <w:tc>
          <w:tcPr>
            <w:tcW w:w="1450" w:type="dxa"/>
            <w:shd w:val="clear" w:color="auto" w:fill="auto"/>
            <w:vAlign w:val="center"/>
          </w:tcPr>
          <w:p w14:paraId="191D2453" w14:textId="77777777" w:rsidR="001F1598" w:rsidRPr="00172374" w:rsidRDefault="001F1598" w:rsidP="003238D0">
            <w:pPr>
              <w:ind w:hanging="86"/>
              <w:jc w:val="center"/>
              <w:rPr>
                <w:sz w:val="20"/>
                <w:szCs w:val="20"/>
              </w:rPr>
            </w:pPr>
          </w:p>
        </w:tc>
      </w:tr>
      <w:tr w:rsidR="001F1598" w:rsidRPr="00172374" w14:paraId="6341E712" w14:textId="77777777" w:rsidTr="007D0B1E">
        <w:tc>
          <w:tcPr>
            <w:tcW w:w="5996" w:type="dxa"/>
            <w:gridSpan w:val="2"/>
            <w:shd w:val="clear" w:color="auto" w:fill="auto"/>
            <w:vAlign w:val="center"/>
          </w:tcPr>
          <w:p w14:paraId="44D719B4" w14:textId="77777777" w:rsidR="001F1598" w:rsidRPr="00172374" w:rsidRDefault="001F1598" w:rsidP="003238D0">
            <w:pPr>
              <w:ind w:left="176" w:hanging="176"/>
              <w:rPr>
                <w:sz w:val="20"/>
                <w:szCs w:val="20"/>
              </w:rPr>
            </w:pPr>
            <w:r w:rsidRPr="00172374">
              <w:rPr>
                <w:sz w:val="20"/>
                <w:szCs w:val="20"/>
              </w:rPr>
              <w:t>1.</w:t>
            </w:r>
            <w:r w:rsidRPr="00172374">
              <w:rPr>
                <w:sz w:val="20"/>
                <w:szCs w:val="20"/>
              </w:rPr>
              <w:tab/>
              <w:t>We periodically monitor customers’ perceptions regarding competitive brands.</w:t>
            </w:r>
          </w:p>
        </w:tc>
        <w:tc>
          <w:tcPr>
            <w:tcW w:w="283" w:type="dxa"/>
            <w:shd w:val="clear" w:color="auto" w:fill="auto"/>
            <w:vAlign w:val="center"/>
          </w:tcPr>
          <w:p w14:paraId="0B01F7E5" w14:textId="77777777" w:rsidR="001F1598" w:rsidRPr="00172374" w:rsidRDefault="001F1598" w:rsidP="003238D0">
            <w:pPr>
              <w:jc w:val="center"/>
              <w:rPr>
                <w:sz w:val="20"/>
                <w:szCs w:val="20"/>
              </w:rPr>
            </w:pPr>
          </w:p>
        </w:tc>
        <w:tc>
          <w:tcPr>
            <w:tcW w:w="844" w:type="dxa"/>
            <w:shd w:val="clear" w:color="auto" w:fill="auto"/>
            <w:vAlign w:val="center"/>
          </w:tcPr>
          <w:p w14:paraId="658FB613" w14:textId="77777777" w:rsidR="001F1598" w:rsidRPr="00172374" w:rsidRDefault="001F1598" w:rsidP="003238D0">
            <w:pPr>
              <w:jc w:val="center"/>
              <w:rPr>
                <w:sz w:val="20"/>
                <w:szCs w:val="20"/>
              </w:rPr>
            </w:pPr>
            <w:r w:rsidRPr="00172374">
              <w:rPr>
                <w:sz w:val="20"/>
                <w:szCs w:val="20"/>
              </w:rPr>
              <w:t>4.65</w:t>
            </w:r>
          </w:p>
        </w:tc>
        <w:tc>
          <w:tcPr>
            <w:tcW w:w="701" w:type="dxa"/>
            <w:shd w:val="clear" w:color="auto" w:fill="auto"/>
            <w:vAlign w:val="center"/>
          </w:tcPr>
          <w:p w14:paraId="5548E558" w14:textId="77777777" w:rsidR="001F1598" w:rsidRPr="00172374" w:rsidRDefault="001F1598" w:rsidP="003238D0">
            <w:pPr>
              <w:jc w:val="center"/>
              <w:rPr>
                <w:sz w:val="20"/>
                <w:szCs w:val="20"/>
              </w:rPr>
            </w:pPr>
            <w:r w:rsidRPr="00172374">
              <w:rPr>
                <w:sz w:val="20"/>
                <w:szCs w:val="20"/>
              </w:rPr>
              <w:t>1.74</w:t>
            </w:r>
          </w:p>
        </w:tc>
        <w:tc>
          <w:tcPr>
            <w:tcW w:w="932" w:type="dxa"/>
            <w:shd w:val="clear" w:color="auto" w:fill="auto"/>
            <w:vAlign w:val="center"/>
          </w:tcPr>
          <w:p w14:paraId="68935721" w14:textId="77777777" w:rsidR="001F1598" w:rsidRPr="00172374" w:rsidRDefault="001F1598" w:rsidP="003238D0">
            <w:pPr>
              <w:ind w:firstLine="176"/>
              <w:rPr>
                <w:sz w:val="20"/>
                <w:szCs w:val="20"/>
              </w:rPr>
            </w:pPr>
            <w:r w:rsidRPr="00172374">
              <w:rPr>
                <w:sz w:val="20"/>
                <w:szCs w:val="20"/>
              </w:rPr>
              <w:t>0.88</w:t>
            </w:r>
          </w:p>
        </w:tc>
        <w:tc>
          <w:tcPr>
            <w:tcW w:w="1450" w:type="dxa"/>
            <w:shd w:val="clear" w:color="auto" w:fill="auto"/>
            <w:vAlign w:val="center"/>
          </w:tcPr>
          <w:p w14:paraId="778277FC" w14:textId="77777777" w:rsidR="001F1598" w:rsidRPr="00172374" w:rsidRDefault="001F1598" w:rsidP="003238D0">
            <w:pPr>
              <w:ind w:hanging="86"/>
              <w:jc w:val="center"/>
              <w:rPr>
                <w:sz w:val="20"/>
                <w:szCs w:val="20"/>
              </w:rPr>
            </w:pPr>
            <w:r w:rsidRPr="00172374">
              <w:rPr>
                <w:sz w:val="20"/>
                <w:szCs w:val="20"/>
              </w:rPr>
              <w:t>0.916</w:t>
            </w:r>
          </w:p>
        </w:tc>
      </w:tr>
      <w:tr w:rsidR="001F1598" w:rsidRPr="00172374" w14:paraId="5CF44E59" w14:textId="77777777" w:rsidTr="007D0B1E">
        <w:tc>
          <w:tcPr>
            <w:tcW w:w="5996" w:type="dxa"/>
            <w:gridSpan w:val="2"/>
            <w:shd w:val="clear" w:color="auto" w:fill="auto"/>
            <w:vAlign w:val="center"/>
          </w:tcPr>
          <w:p w14:paraId="724A865C" w14:textId="77777777" w:rsidR="001F1598" w:rsidRPr="00172374" w:rsidRDefault="001F1598" w:rsidP="003238D0">
            <w:pPr>
              <w:ind w:left="176" w:hanging="176"/>
              <w:rPr>
                <w:sz w:val="20"/>
                <w:szCs w:val="20"/>
              </w:rPr>
            </w:pPr>
            <w:r w:rsidRPr="00172374">
              <w:rPr>
                <w:sz w:val="20"/>
                <w:szCs w:val="20"/>
              </w:rPr>
              <w:t>2.</w:t>
            </w:r>
            <w:r w:rsidRPr="00172374">
              <w:rPr>
                <w:sz w:val="20"/>
                <w:szCs w:val="20"/>
              </w:rPr>
              <w:tab/>
              <w:t>We develop detailed knowledge of customers’ perceptions for our brand.</w:t>
            </w:r>
          </w:p>
        </w:tc>
        <w:tc>
          <w:tcPr>
            <w:tcW w:w="283" w:type="dxa"/>
            <w:shd w:val="clear" w:color="auto" w:fill="auto"/>
            <w:vAlign w:val="center"/>
          </w:tcPr>
          <w:p w14:paraId="30117C0C" w14:textId="77777777" w:rsidR="001F1598" w:rsidRPr="00172374" w:rsidRDefault="001F1598" w:rsidP="003238D0">
            <w:pPr>
              <w:jc w:val="center"/>
              <w:rPr>
                <w:sz w:val="20"/>
                <w:szCs w:val="20"/>
              </w:rPr>
            </w:pPr>
          </w:p>
        </w:tc>
        <w:tc>
          <w:tcPr>
            <w:tcW w:w="844" w:type="dxa"/>
            <w:shd w:val="clear" w:color="auto" w:fill="auto"/>
            <w:vAlign w:val="center"/>
          </w:tcPr>
          <w:p w14:paraId="29D09F51" w14:textId="77777777" w:rsidR="001F1598" w:rsidRPr="00172374" w:rsidRDefault="001F1598" w:rsidP="003238D0">
            <w:pPr>
              <w:jc w:val="center"/>
              <w:rPr>
                <w:sz w:val="20"/>
                <w:szCs w:val="20"/>
              </w:rPr>
            </w:pPr>
            <w:r w:rsidRPr="00172374">
              <w:rPr>
                <w:sz w:val="20"/>
                <w:szCs w:val="20"/>
              </w:rPr>
              <w:t>4.75</w:t>
            </w:r>
          </w:p>
        </w:tc>
        <w:tc>
          <w:tcPr>
            <w:tcW w:w="701" w:type="dxa"/>
            <w:shd w:val="clear" w:color="auto" w:fill="auto"/>
            <w:vAlign w:val="center"/>
          </w:tcPr>
          <w:p w14:paraId="437CC0CA" w14:textId="77777777" w:rsidR="001F1598" w:rsidRPr="00172374" w:rsidRDefault="001F1598" w:rsidP="003238D0">
            <w:pPr>
              <w:jc w:val="center"/>
              <w:rPr>
                <w:sz w:val="20"/>
                <w:szCs w:val="20"/>
              </w:rPr>
            </w:pPr>
            <w:r w:rsidRPr="00172374">
              <w:rPr>
                <w:sz w:val="20"/>
                <w:szCs w:val="20"/>
              </w:rPr>
              <w:t>1.73</w:t>
            </w:r>
          </w:p>
        </w:tc>
        <w:tc>
          <w:tcPr>
            <w:tcW w:w="932" w:type="dxa"/>
            <w:shd w:val="clear" w:color="auto" w:fill="auto"/>
            <w:vAlign w:val="center"/>
          </w:tcPr>
          <w:p w14:paraId="23FCE179" w14:textId="77777777" w:rsidR="001F1598" w:rsidRPr="00172374" w:rsidRDefault="001F1598" w:rsidP="003238D0">
            <w:pPr>
              <w:ind w:firstLine="176"/>
              <w:rPr>
                <w:sz w:val="20"/>
                <w:szCs w:val="20"/>
              </w:rPr>
            </w:pPr>
            <w:r w:rsidRPr="00172374">
              <w:rPr>
                <w:sz w:val="20"/>
                <w:szCs w:val="20"/>
              </w:rPr>
              <w:t>0.88</w:t>
            </w:r>
          </w:p>
        </w:tc>
        <w:tc>
          <w:tcPr>
            <w:tcW w:w="1450" w:type="dxa"/>
            <w:shd w:val="clear" w:color="auto" w:fill="auto"/>
            <w:vAlign w:val="center"/>
          </w:tcPr>
          <w:p w14:paraId="37629B80" w14:textId="77777777" w:rsidR="001F1598" w:rsidRPr="00172374" w:rsidRDefault="001F1598" w:rsidP="003238D0">
            <w:pPr>
              <w:ind w:hanging="86"/>
              <w:jc w:val="center"/>
              <w:rPr>
                <w:sz w:val="20"/>
                <w:szCs w:val="20"/>
              </w:rPr>
            </w:pPr>
            <w:r w:rsidRPr="00172374">
              <w:rPr>
                <w:sz w:val="20"/>
                <w:szCs w:val="20"/>
              </w:rPr>
              <w:t>0.924</w:t>
            </w:r>
          </w:p>
        </w:tc>
      </w:tr>
      <w:tr w:rsidR="001F1598" w:rsidRPr="00172374" w14:paraId="4C1BE183" w14:textId="77777777" w:rsidTr="007A0AEE">
        <w:tc>
          <w:tcPr>
            <w:tcW w:w="5996" w:type="dxa"/>
            <w:gridSpan w:val="2"/>
            <w:shd w:val="clear" w:color="auto" w:fill="auto"/>
            <w:vAlign w:val="center"/>
          </w:tcPr>
          <w:p w14:paraId="236E85CC" w14:textId="77777777" w:rsidR="001F1598" w:rsidRPr="00172374" w:rsidRDefault="001F1598" w:rsidP="003238D0">
            <w:pPr>
              <w:ind w:left="176" w:hanging="176"/>
              <w:rPr>
                <w:sz w:val="20"/>
                <w:szCs w:val="20"/>
              </w:rPr>
            </w:pPr>
            <w:r w:rsidRPr="00172374">
              <w:rPr>
                <w:sz w:val="20"/>
                <w:szCs w:val="20"/>
              </w:rPr>
              <w:t>3.</w:t>
            </w:r>
            <w:r w:rsidRPr="00172374">
              <w:rPr>
                <w:sz w:val="20"/>
                <w:szCs w:val="20"/>
              </w:rPr>
              <w:tab/>
              <w:t xml:space="preserve">We run market studies on a frequent basis to define where we </w:t>
            </w:r>
            <w:proofErr w:type="gramStart"/>
            <w:r w:rsidRPr="00172374">
              <w:rPr>
                <w:sz w:val="20"/>
                <w:szCs w:val="20"/>
              </w:rPr>
              <w:t>have to</w:t>
            </w:r>
            <w:proofErr w:type="gramEnd"/>
            <w:r w:rsidRPr="00172374">
              <w:rPr>
                <w:sz w:val="20"/>
                <w:szCs w:val="20"/>
              </w:rPr>
              <w:t xml:space="preserve"> refine or redirect our brand building efforts.</w:t>
            </w:r>
          </w:p>
        </w:tc>
        <w:tc>
          <w:tcPr>
            <w:tcW w:w="283" w:type="dxa"/>
            <w:shd w:val="clear" w:color="auto" w:fill="auto"/>
            <w:vAlign w:val="center"/>
          </w:tcPr>
          <w:p w14:paraId="620FB84D" w14:textId="77777777" w:rsidR="001F1598" w:rsidRPr="00172374" w:rsidRDefault="001F1598" w:rsidP="003238D0">
            <w:pPr>
              <w:jc w:val="center"/>
              <w:rPr>
                <w:sz w:val="20"/>
                <w:szCs w:val="20"/>
              </w:rPr>
            </w:pPr>
          </w:p>
        </w:tc>
        <w:tc>
          <w:tcPr>
            <w:tcW w:w="844" w:type="dxa"/>
            <w:shd w:val="clear" w:color="auto" w:fill="auto"/>
            <w:vAlign w:val="center"/>
          </w:tcPr>
          <w:p w14:paraId="101E4FF8" w14:textId="77777777" w:rsidR="001F1598" w:rsidRPr="00172374" w:rsidRDefault="001F1598" w:rsidP="003238D0">
            <w:pPr>
              <w:jc w:val="center"/>
              <w:rPr>
                <w:sz w:val="20"/>
                <w:szCs w:val="20"/>
              </w:rPr>
            </w:pPr>
            <w:r w:rsidRPr="00172374">
              <w:rPr>
                <w:sz w:val="20"/>
                <w:szCs w:val="20"/>
              </w:rPr>
              <w:t>4.75</w:t>
            </w:r>
          </w:p>
        </w:tc>
        <w:tc>
          <w:tcPr>
            <w:tcW w:w="701" w:type="dxa"/>
            <w:shd w:val="clear" w:color="auto" w:fill="auto"/>
            <w:vAlign w:val="center"/>
          </w:tcPr>
          <w:p w14:paraId="75EEA971" w14:textId="77777777" w:rsidR="001F1598" w:rsidRPr="00172374" w:rsidRDefault="001F1598" w:rsidP="003238D0">
            <w:pPr>
              <w:jc w:val="center"/>
              <w:rPr>
                <w:sz w:val="20"/>
                <w:szCs w:val="20"/>
              </w:rPr>
            </w:pPr>
            <w:r w:rsidRPr="00172374">
              <w:rPr>
                <w:sz w:val="20"/>
                <w:szCs w:val="20"/>
              </w:rPr>
              <w:t>1.64</w:t>
            </w:r>
          </w:p>
        </w:tc>
        <w:tc>
          <w:tcPr>
            <w:tcW w:w="932" w:type="dxa"/>
            <w:shd w:val="clear" w:color="auto" w:fill="auto"/>
            <w:vAlign w:val="center"/>
          </w:tcPr>
          <w:p w14:paraId="5FE757C6" w14:textId="77777777" w:rsidR="001F1598" w:rsidRPr="00172374" w:rsidRDefault="001F1598" w:rsidP="003238D0">
            <w:pPr>
              <w:ind w:firstLine="176"/>
              <w:rPr>
                <w:sz w:val="20"/>
                <w:szCs w:val="20"/>
              </w:rPr>
            </w:pPr>
            <w:r w:rsidRPr="00172374">
              <w:rPr>
                <w:sz w:val="20"/>
                <w:szCs w:val="20"/>
              </w:rPr>
              <w:t>0.85</w:t>
            </w:r>
          </w:p>
        </w:tc>
        <w:tc>
          <w:tcPr>
            <w:tcW w:w="1450" w:type="dxa"/>
            <w:shd w:val="clear" w:color="auto" w:fill="auto"/>
            <w:vAlign w:val="center"/>
          </w:tcPr>
          <w:p w14:paraId="491F2D5B" w14:textId="77777777" w:rsidR="001F1598" w:rsidRPr="00172374" w:rsidRDefault="001F1598" w:rsidP="003238D0">
            <w:pPr>
              <w:ind w:hanging="86"/>
              <w:jc w:val="center"/>
              <w:rPr>
                <w:sz w:val="20"/>
                <w:szCs w:val="20"/>
              </w:rPr>
            </w:pPr>
            <w:r w:rsidRPr="00172374">
              <w:rPr>
                <w:sz w:val="20"/>
                <w:szCs w:val="20"/>
              </w:rPr>
              <w:t>0.860</w:t>
            </w:r>
          </w:p>
        </w:tc>
      </w:tr>
      <w:tr w:rsidR="001F1598" w:rsidRPr="00172374" w14:paraId="6E04B68E" w14:textId="77777777" w:rsidTr="007A0AEE">
        <w:tc>
          <w:tcPr>
            <w:tcW w:w="5996" w:type="dxa"/>
            <w:gridSpan w:val="2"/>
            <w:tcBorders>
              <w:bottom w:val="single" w:sz="4" w:space="0" w:color="auto"/>
            </w:tcBorders>
            <w:shd w:val="clear" w:color="auto" w:fill="auto"/>
            <w:vAlign w:val="center"/>
          </w:tcPr>
          <w:p w14:paraId="64A7362E" w14:textId="77777777" w:rsidR="001F1598" w:rsidRPr="00172374" w:rsidRDefault="001F1598" w:rsidP="003238D0">
            <w:pPr>
              <w:ind w:left="176" w:hanging="176"/>
              <w:rPr>
                <w:sz w:val="20"/>
                <w:szCs w:val="20"/>
              </w:rPr>
            </w:pPr>
            <w:r w:rsidRPr="00172374">
              <w:rPr>
                <w:sz w:val="20"/>
                <w:szCs w:val="20"/>
              </w:rPr>
              <w:t>4.</w:t>
            </w:r>
            <w:r w:rsidRPr="00172374">
              <w:rPr>
                <w:sz w:val="20"/>
                <w:szCs w:val="20"/>
              </w:rPr>
              <w:tab/>
              <w:t>We have a continuous system in place to monitor our employees’ perceptions regarding our brand.</w:t>
            </w:r>
          </w:p>
        </w:tc>
        <w:tc>
          <w:tcPr>
            <w:tcW w:w="283" w:type="dxa"/>
            <w:tcBorders>
              <w:bottom w:val="single" w:sz="4" w:space="0" w:color="auto"/>
            </w:tcBorders>
            <w:shd w:val="clear" w:color="auto" w:fill="auto"/>
            <w:vAlign w:val="center"/>
          </w:tcPr>
          <w:p w14:paraId="7DD66982" w14:textId="77777777" w:rsidR="001F1598" w:rsidRPr="00172374" w:rsidRDefault="001F1598" w:rsidP="003238D0">
            <w:pPr>
              <w:jc w:val="center"/>
              <w:rPr>
                <w:sz w:val="20"/>
                <w:szCs w:val="20"/>
              </w:rPr>
            </w:pPr>
          </w:p>
        </w:tc>
        <w:tc>
          <w:tcPr>
            <w:tcW w:w="844" w:type="dxa"/>
            <w:tcBorders>
              <w:bottom w:val="single" w:sz="4" w:space="0" w:color="auto"/>
            </w:tcBorders>
            <w:shd w:val="clear" w:color="auto" w:fill="auto"/>
            <w:vAlign w:val="center"/>
          </w:tcPr>
          <w:p w14:paraId="259AA886" w14:textId="77777777" w:rsidR="001F1598" w:rsidRPr="00172374" w:rsidRDefault="001F1598" w:rsidP="003238D0">
            <w:pPr>
              <w:jc w:val="center"/>
              <w:rPr>
                <w:sz w:val="20"/>
                <w:szCs w:val="20"/>
              </w:rPr>
            </w:pPr>
            <w:r w:rsidRPr="00172374">
              <w:rPr>
                <w:sz w:val="20"/>
                <w:szCs w:val="20"/>
              </w:rPr>
              <w:t>4.21</w:t>
            </w:r>
          </w:p>
        </w:tc>
        <w:tc>
          <w:tcPr>
            <w:tcW w:w="701" w:type="dxa"/>
            <w:tcBorders>
              <w:bottom w:val="single" w:sz="4" w:space="0" w:color="auto"/>
            </w:tcBorders>
            <w:shd w:val="clear" w:color="auto" w:fill="auto"/>
            <w:vAlign w:val="center"/>
          </w:tcPr>
          <w:p w14:paraId="393FDFBE" w14:textId="77777777" w:rsidR="001F1598" w:rsidRPr="00172374" w:rsidRDefault="001F1598" w:rsidP="003238D0">
            <w:pPr>
              <w:jc w:val="center"/>
              <w:rPr>
                <w:sz w:val="20"/>
                <w:szCs w:val="20"/>
              </w:rPr>
            </w:pPr>
            <w:r w:rsidRPr="00172374">
              <w:rPr>
                <w:sz w:val="20"/>
                <w:szCs w:val="20"/>
              </w:rPr>
              <w:t>1.73</w:t>
            </w:r>
          </w:p>
        </w:tc>
        <w:tc>
          <w:tcPr>
            <w:tcW w:w="932" w:type="dxa"/>
            <w:tcBorders>
              <w:bottom w:val="single" w:sz="4" w:space="0" w:color="auto"/>
            </w:tcBorders>
            <w:shd w:val="clear" w:color="auto" w:fill="auto"/>
            <w:vAlign w:val="center"/>
          </w:tcPr>
          <w:p w14:paraId="6277454D" w14:textId="77777777" w:rsidR="001F1598" w:rsidRPr="00172374" w:rsidRDefault="001F1598" w:rsidP="003238D0">
            <w:pPr>
              <w:ind w:firstLine="176"/>
              <w:rPr>
                <w:sz w:val="20"/>
                <w:szCs w:val="20"/>
              </w:rPr>
            </w:pPr>
            <w:r w:rsidRPr="00172374">
              <w:rPr>
                <w:sz w:val="20"/>
                <w:szCs w:val="20"/>
              </w:rPr>
              <w:t>0.55</w:t>
            </w:r>
          </w:p>
        </w:tc>
        <w:tc>
          <w:tcPr>
            <w:tcW w:w="1450" w:type="dxa"/>
            <w:tcBorders>
              <w:bottom w:val="single" w:sz="4" w:space="0" w:color="auto"/>
            </w:tcBorders>
            <w:shd w:val="clear" w:color="auto" w:fill="auto"/>
            <w:vAlign w:val="center"/>
          </w:tcPr>
          <w:p w14:paraId="14AA8D8A" w14:textId="77777777" w:rsidR="001F1598" w:rsidRPr="00172374" w:rsidRDefault="001F1598" w:rsidP="003238D0">
            <w:pPr>
              <w:ind w:hanging="86"/>
              <w:jc w:val="center"/>
              <w:rPr>
                <w:sz w:val="20"/>
                <w:szCs w:val="20"/>
              </w:rPr>
            </w:pPr>
            <w:r w:rsidRPr="00172374">
              <w:rPr>
                <w:sz w:val="20"/>
                <w:szCs w:val="20"/>
              </w:rPr>
              <w:t>0.567</w:t>
            </w:r>
          </w:p>
        </w:tc>
      </w:tr>
    </w:tbl>
    <w:p w14:paraId="45DC541B" w14:textId="77777777" w:rsidR="00B21591" w:rsidRPr="00172374" w:rsidRDefault="00B21591" w:rsidP="000D59B1">
      <w:pPr>
        <w:tabs>
          <w:tab w:val="left" w:pos="-284"/>
          <w:tab w:val="left" w:pos="0"/>
          <w:tab w:val="left" w:pos="142"/>
        </w:tabs>
        <w:spacing w:line="480" w:lineRule="auto"/>
        <w:ind w:hanging="360"/>
      </w:pPr>
    </w:p>
    <w:p w14:paraId="309366A7" w14:textId="77777777" w:rsidR="00B21591" w:rsidRPr="00172374" w:rsidRDefault="00B21591" w:rsidP="000D59B1">
      <w:pPr>
        <w:spacing w:line="480" w:lineRule="auto"/>
      </w:pPr>
      <w:r w:rsidRPr="00172374">
        <w:br w:type="page"/>
      </w:r>
    </w:p>
    <w:tbl>
      <w:tblPr>
        <w:tblW w:w="9072" w:type="dxa"/>
        <w:tblLayout w:type="fixed"/>
        <w:tblLook w:val="04A0" w:firstRow="1" w:lastRow="0" w:firstColumn="1" w:lastColumn="0" w:noHBand="0" w:noVBand="1"/>
      </w:tblPr>
      <w:tblGrid>
        <w:gridCol w:w="5387"/>
        <w:gridCol w:w="1134"/>
        <w:gridCol w:w="709"/>
        <w:gridCol w:w="992"/>
        <w:gridCol w:w="850"/>
      </w:tblGrid>
      <w:tr w:rsidR="009B6901" w:rsidRPr="00172374" w14:paraId="4B7D73BB" w14:textId="77777777" w:rsidTr="007A0AEE">
        <w:tc>
          <w:tcPr>
            <w:tcW w:w="9072" w:type="dxa"/>
            <w:gridSpan w:val="5"/>
            <w:tcBorders>
              <w:bottom w:val="single" w:sz="4" w:space="0" w:color="auto"/>
            </w:tcBorders>
            <w:shd w:val="clear" w:color="auto" w:fill="auto"/>
          </w:tcPr>
          <w:p w14:paraId="21D5DC27" w14:textId="2EDAA7CD" w:rsidR="009B6901" w:rsidRPr="00172374" w:rsidRDefault="009B6901" w:rsidP="003238D0">
            <w:pPr>
              <w:spacing w:after="60"/>
              <w:rPr>
                <w:b/>
              </w:rPr>
            </w:pPr>
            <w:r w:rsidRPr="00172374">
              <w:rPr>
                <w:b/>
              </w:rPr>
              <w:lastRenderedPageBreak/>
              <w:t xml:space="preserve">Table </w:t>
            </w:r>
            <w:r w:rsidR="009C55D7" w:rsidRPr="00172374">
              <w:rPr>
                <w:b/>
              </w:rPr>
              <w:t>9</w:t>
            </w:r>
          </w:p>
          <w:p w14:paraId="246B8296" w14:textId="10A0D478" w:rsidR="009B6901" w:rsidRPr="00172374" w:rsidRDefault="009B6901" w:rsidP="003238D0">
            <w:pPr>
              <w:spacing w:after="60"/>
            </w:pPr>
            <w:r w:rsidRPr="00172374">
              <w:t>Study 4</w:t>
            </w:r>
            <w:r w:rsidR="00212CAF" w:rsidRPr="00172374">
              <w:t>:</w:t>
            </w:r>
            <w:r w:rsidRPr="00172374">
              <w:t xml:space="preserve"> chi-square comparisons</w:t>
            </w:r>
            <w:r w:rsidR="00212CAF" w:rsidRPr="00172374">
              <w:t>.</w:t>
            </w:r>
          </w:p>
        </w:tc>
      </w:tr>
      <w:tr w:rsidR="00190C7F" w:rsidRPr="00172374" w14:paraId="0F1D87B8" w14:textId="77777777" w:rsidTr="007A0AEE">
        <w:tc>
          <w:tcPr>
            <w:tcW w:w="5387" w:type="dxa"/>
            <w:tcBorders>
              <w:top w:val="single" w:sz="4" w:space="0" w:color="auto"/>
              <w:bottom w:val="single" w:sz="4" w:space="0" w:color="auto"/>
            </w:tcBorders>
            <w:shd w:val="clear" w:color="auto" w:fill="auto"/>
            <w:vAlign w:val="center"/>
          </w:tcPr>
          <w:p w14:paraId="26CDB277" w14:textId="0503B672" w:rsidR="00190C7F" w:rsidRPr="00172374" w:rsidRDefault="00190C7F" w:rsidP="005163AB">
            <w:pPr>
              <w:rPr>
                <w:b/>
                <w:bCs/>
                <w:sz w:val="22"/>
                <w:szCs w:val="22"/>
              </w:rPr>
            </w:pPr>
            <w:bookmarkStart w:id="52" w:name="_Hlk31649321"/>
            <w:r w:rsidRPr="00172374">
              <w:rPr>
                <w:b/>
                <w:bCs/>
                <w:sz w:val="22"/>
                <w:szCs w:val="22"/>
              </w:rPr>
              <w:t xml:space="preserve">Correlation between new scale and Wong and </w:t>
            </w:r>
            <w:proofErr w:type="spellStart"/>
            <w:r w:rsidR="00741639" w:rsidRPr="00172374">
              <w:rPr>
                <w:b/>
                <w:bCs/>
                <w:sz w:val="22"/>
                <w:szCs w:val="22"/>
              </w:rPr>
              <w:t>Merrilees</w:t>
            </w:r>
            <w:proofErr w:type="spellEnd"/>
            <w:r w:rsidR="00741639" w:rsidRPr="00172374">
              <w:rPr>
                <w:b/>
                <w:bCs/>
                <w:sz w:val="22"/>
                <w:szCs w:val="22"/>
              </w:rPr>
              <w:t xml:space="preserve"> </w:t>
            </w:r>
            <w:r w:rsidRPr="00172374">
              <w:rPr>
                <w:b/>
                <w:bCs/>
                <w:sz w:val="22"/>
                <w:szCs w:val="22"/>
              </w:rPr>
              <w:t>(2007) scale</w:t>
            </w:r>
          </w:p>
        </w:tc>
        <w:tc>
          <w:tcPr>
            <w:tcW w:w="1134" w:type="dxa"/>
            <w:tcBorders>
              <w:top w:val="single" w:sz="4" w:space="0" w:color="auto"/>
              <w:bottom w:val="single" w:sz="4" w:space="0" w:color="auto"/>
            </w:tcBorders>
            <w:shd w:val="clear" w:color="auto" w:fill="auto"/>
            <w:vAlign w:val="center"/>
          </w:tcPr>
          <w:p w14:paraId="3C44376D" w14:textId="77777777" w:rsidR="00190C7F" w:rsidRPr="00172374" w:rsidRDefault="00190C7F" w:rsidP="003238D0">
            <w:pPr>
              <w:spacing w:line="360" w:lineRule="auto"/>
              <w:jc w:val="center"/>
              <w:rPr>
                <w:i/>
                <w:iCs/>
                <w:sz w:val="22"/>
                <w:szCs w:val="22"/>
              </w:rPr>
            </w:pPr>
            <w:r w:rsidRPr="00172374">
              <w:rPr>
                <w:i/>
                <w:iCs/>
                <w:sz w:val="22"/>
                <w:szCs w:val="22"/>
                <w:lang w:val="el-GR"/>
              </w:rPr>
              <w:t>χ2</w:t>
            </w:r>
          </w:p>
        </w:tc>
        <w:tc>
          <w:tcPr>
            <w:tcW w:w="709" w:type="dxa"/>
            <w:tcBorders>
              <w:top w:val="single" w:sz="4" w:space="0" w:color="auto"/>
              <w:bottom w:val="single" w:sz="4" w:space="0" w:color="auto"/>
            </w:tcBorders>
            <w:shd w:val="clear" w:color="auto" w:fill="auto"/>
            <w:vAlign w:val="center"/>
          </w:tcPr>
          <w:p w14:paraId="200F3348" w14:textId="77777777" w:rsidR="00190C7F" w:rsidRPr="00172374" w:rsidRDefault="00190C7F" w:rsidP="003238D0">
            <w:pPr>
              <w:spacing w:line="360" w:lineRule="auto"/>
              <w:jc w:val="center"/>
              <w:rPr>
                <w:sz w:val="20"/>
                <w:szCs w:val="20"/>
              </w:rPr>
            </w:pPr>
            <w:r w:rsidRPr="00172374">
              <w:rPr>
                <w:sz w:val="20"/>
                <w:szCs w:val="20"/>
              </w:rPr>
              <w:t>df</w:t>
            </w:r>
          </w:p>
        </w:tc>
        <w:tc>
          <w:tcPr>
            <w:tcW w:w="992" w:type="dxa"/>
            <w:tcBorders>
              <w:top w:val="single" w:sz="4" w:space="0" w:color="auto"/>
              <w:bottom w:val="single" w:sz="4" w:space="0" w:color="auto"/>
            </w:tcBorders>
            <w:shd w:val="clear" w:color="auto" w:fill="auto"/>
            <w:vAlign w:val="center"/>
          </w:tcPr>
          <w:p w14:paraId="022F0D1A" w14:textId="77777777" w:rsidR="00190C7F" w:rsidRPr="00172374" w:rsidRDefault="00190C7F" w:rsidP="003238D0">
            <w:pPr>
              <w:spacing w:line="360" w:lineRule="auto"/>
              <w:jc w:val="center"/>
              <w:rPr>
                <w:sz w:val="20"/>
                <w:szCs w:val="20"/>
              </w:rPr>
            </w:pPr>
            <w:r w:rsidRPr="00172374">
              <w:rPr>
                <w:sz w:val="20"/>
                <w:szCs w:val="20"/>
              </w:rPr>
              <w:t>p</w:t>
            </w:r>
          </w:p>
        </w:tc>
        <w:tc>
          <w:tcPr>
            <w:tcW w:w="850" w:type="dxa"/>
            <w:tcBorders>
              <w:top w:val="single" w:sz="4" w:space="0" w:color="auto"/>
              <w:bottom w:val="single" w:sz="4" w:space="0" w:color="auto"/>
            </w:tcBorders>
            <w:shd w:val="clear" w:color="auto" w:fill="auto"/>
            <w:vAlign w:val="center"/>
          </w:tcPr>
          <w:p w14:paraId="62165DE8" w14:textId="77777777" w:rsidR="00190C7F" w:rsidRPr="00172374" w:rsidRDefault="00190C7F" w:rsidP="003238D0">
            <w:pPr>
              <w:spacing w:line="360" w:lineRule="auto"/>
              <w:jc w:val="center"/>
              <w:rPr>
                <w:sz w:val="22"/>
                <w:szCs w:val="22"/>
              </w:rPr>
            </w:pPr>
            <w:r w:rsidRPr="00172374">
              <w:rPr>
                <w:sz w:val="22"/>
                <w:szCs w:val="22"/>
                <w:lang w:val="el-GR"/>
              </w:rPr>
              <w:t>Δχ</w:t>
            </w:r>
            <w:r w:rsidRPr="00172374">
              <w:rPr>
                <w:i/>
                <w:iCs/>
                <w:sz w:val="22"/>
                <w:szCs w:val="22"/>
                <w:lang w:val="el-GR"/>
              </w:rPr>
              <w:t>2</w:t>
            </w:r>
          </w:p>
        </w:tc>
      </w:tr>
      <w:bookmarkEnd w:id="52"/>
      <w:tr w:rsidR="00190C7F" w:rsidRPr="00172374" w14:paraId="4AC759F1" w14:textId="77777777" w:rsidTr="007A0AEE">
        <w:tc>
          <w:tcPr>
            <w:tcW w:w="5387" w:type="dxa"/>
            <w:tcBorders>
              <w:top w:val="single" w:sz="4" w:space="0" w:color="auto"/>
            </w:tcBorders>
            <w:shd w:val="clear" w:color="auto" w:fill="auto"/>
          </w:tcPr>
          <w:p w14:paraId="7AEC60AD" w14:textId="77413107" w:rsidR="00190C7F" w:rsidRPr="00172374" w:rsidRDefault="00190C7F" w:rsidP="00912315">
            <w:pPr>
              <w:rPr>
                <w:sz w:val="20"/>
                <w:szCs w:val="20"/>
              </w:rPr>
            </w:pPr>
            <w:r w:rsidRPr="00172374">
              <w:rPr>
                <w:sz w:val="20"/>
                <w:szCs w:val="20"/>
              </w:rPr>
              <w:t>Freely estimated (</w:t>
            </w:r>
            <w:r w:rsidR="00212CAF" w:rsidRPr="00172374">
              <w:rPr>
                <w:sz w:val="20"/>
                <w:szCs w:val="20"/>
              </w:rPr>
              <w:t>b</w:t>
            </w:r>
            <w:r w:rsidRPr="00172374">
              <w:rPr>
                <w:sz w:val="20"/>
                <w:szCs w:val="20"/>
              </w:rPr>
              <w:t xml:space="preserve">ase </w:t>
            </w:r>
            <w:r w:rsidR="00212CAF" w:rsidRPr="00172374">
              <w:rPr>
                <w:sz w:val="20"/>
                <w:szCs w:val="20"/>
              </w:rPr>
              <w:t>m</w:t>
            </w:r>
            <w:r w:rsidRPr="00172374">
              <w:rPr>
                <w:sz w:val="20"/>
                <w:szCs w:val="20"/>
              </w:rPr>
              <w:t>odel)</w:t>
            </w:r>
          </w:p>
        </w:tc>
        <w:tc>
          <w:tcPr>
            <w:tcW w:w="1134" w:type="dxa"/>
            <w:tcBorders>
              <w:top w:val="single" w:sz="4" w:space="0" w:color="auto"/>
            </w:tcBorders>
            <w:shd w:val="clear" w:color="auto" w:fill="auto"/>
            <w:vAlign w:val="center"/>
          </w:tcPr>
          <w:p w14:paraId="5945CDF3" w14:textId="77777777" w:rsidR="00190C7F" w:rsidRPr="00172374" w:rsidRDefault="00190C7F" w:rsidP="00912315">
            <w:pPr>
              <w:rPr>
                <w:sz w:val="20"/>
                <w:szCs w:val="20"/>
              </w:rPr>
            </w:pPr>
            <w:r w:rsidRPr="00172374">
              <w:rPr>
                <w:sz w:val="20"/>
                <w:szCs w:val="20"/>
              </w:rPr>
              <w:t>511.971</w:t>
            </w:r>
          </w:p>
        </w:tc>
        <w:tc>
          <w:tcPr>
            <w:tcW w:w="709" w:type="dxa"/>
            <w:tcBorders>
              <w:top w:val="single" w:sz="4" w:space="0" w:color="auto"/>
            </w:tcBorders>
            <w:shd w:val="clear" w:color="auto" w:fill="auto"/>
          </w:tcPr>
          <w:p w14:paraId="65FABBEA" w14:textId="77777777" w:rsidR="00190C7F" w:rsidRPr="00172374" w:rsidRDefault="00190C7F" w:rsidP="00912315">
            <w:pPr>
              <w:rPr>
                <w:sz w:val="20"/>
                <w:szCs w:val="20"/>
              </w:rPr>
            </w:pPr>
            <w:r w:rsidRPr="00172374">
              <w:rPr>
                <w:sz w:val="20"/>
                <w:szCs w:val="20"/>
              </w:rPr>
              <w:t>319</w:t>
            </w:r>
          </w:p>
        </w:tc>
        <w:tc>
          <w:tcPr>
            <w:tcW w:w="992" w:type="dxa"/>
            <w:tcBorders>
              <w:top w:val="single" w:sz="4" w:space="0" w:color="auto"/>
            </w:tcBorders>
            <w:shd w:val="clear" w:color="auto" w:fill="auto"/>
          </w:tcPr>
          <w:p w14:paraId="5F07FBA3" w14:textId="77777777" w:rsidR="00190C7F" w:rsidRPr="00172374" w:rsidRDefault="00190C7F" w:rsidP="00912315">
            <w:pPr>
              <w:rPr>
                <w:i/>
                <w:iCs/>
                <w:sz w:val="20"/>
                <w:szCs w:val="20"/>
              </w:rPr>
            </w:pPr>
            <w:r w:rsidRPr="00172374">
              <w:rPr>
                <w:i/>
                <w:iCs/>
                <w:sz w:val="20"/>
                <w:szCs w:val="20"/>
                <w:lang w:val="el-GR"/>
              </w:rPr>
              <w:t>p</w:t>
            </w:r>
            <w:r w:rsidRPr="00172374">
              <w:rPr>
                <w:i/>
                <w:iCs/>
                <w:sz w:val="20"/>
                <w:szCs w:val="20"/>
              </w:rPr>
              <w:t>&lt;0</w:t>
            </w:r>
            <w:r w:rsidRPr="00172374">
              <w:rPr>
                <w:i/>
                <w:iCs/>
                <w:sz w:val="20"/>
                <w:szCs w:val="20"/>
                <w:lang w:val="el-GR"/>
              </w:rPr>
              <w:t>.001</w:t>
            </w:r>
          </w:p>
        </w:tc>
        <w:tc>
          <w:tcPr>
            <w:tcW w:w="850" w:type="dxa"/>
            <w:tcBorders>
              <w:top w:val="single" w:sz="4" w:space="0" w:color="auto"/>
            </w:tcBorders>
            <w:shd w:val="clear" w:color="auto" w:fill="auto"/>
          </w:tcPr>
          <w:p w14:paraId="504D912D" w14:textId="77777777" w:rsidR="00190C7F" w:rsidRPr="00172374" w:rsidRDefault="00190C7F" w:rsidP="00912315">
            <w:pPr>
              <w:rPr>
                <w:sz w:val="20"/>
                <w:szCs w:val="20"/>
              </w:rPr>
            </w:pPr>
          </w:p>
        </w:tc>
      </w:tr>
      <w:tr w:rsidR="00190C7F" w:rsidRPr="00172374" w14:paraId="40E3B4B8" w14:textId="77777777" w:rsidTr="003238D0">
        <w:tc>
          <w:tcPr>
            <w:tcW w:w="5387" w:type="dxa"/>
            <w:shd w:val="clear" w:color="auto" w:fill="auto"/>
          </w:tcPr>
          <w:p w14:paraId="5CD25049" w14:textId="1B02DD6B" w:rsidR="00190C7F" w:rsidRPr="00172374" w:rsidRDefault="00190C7F" w:rsidP="00190C7F">
            <w:pPr>
              <w:rPr>
                <w:sz w:val="20"/>
                <w:szCs w:val="20"/>
              </w:rPr>
            </w:pPr>
            <w:r w:rsidRPr="00172374">
              <w:rPr>
                <w:sz w:val="20"/>
                <w:szCs w:val="20"/>
              </w:rPr>
              <w:t xml:space="preserve">Restrained to </w:t>
            </w:r>
            <w:r w:rsidR="00212CAF" w:rsidRPr="00172374">
              <w:rPr>
                <w:sz w:val="20"/>
                <w:szCs w:val="20"/>
              </w:rPr>
              <w:t>0</w:t>
            </w:r>
          </w:p>
        </w:tc>
        <w:tc>
          <w:tcPr>
            <w:tcW w:w="1134" w:type="dxa"/>
            <w:shd w:val="clear" w:color="auto" w:fill="auto"/>
            <w:vAlign w:val="center"/>
          </w:tcPr>
          <w:p w14:paraId="0B5EE347" w14:textId="77777777" w:rsidR="00190C7F" w:rsidRPr="00172374" w:rsidRDefault="00190C7F" w:rsidP="00190C7F">
            <w:pPr>
              <w:rPr>
                <w:sz w:val="20"/>
                <w:szCs w:val="20"/>
              </w:rPr>
            </w:pPr>
            <w:r w:rsidRPr="00172374">
              <w:rPr>
                <w:sz w:val="20"/>
                <w:szCs w:val="20"/>
              </w:rPr>
              <w:t>610.376</w:t>
            </w:r>
          </w:p>
        </w:tc>
        <w:tc>
          <w:tcPr>
            <w:tcW w:w="709" w:type="dxa"/>
            <w:shd w:val="clear" w:color="auto" w:fill="auto"/>
          </w:tcPr>
          <w:p w14:paraId="5241DDB4" w14:textId="77777777" w:rsidR="00190C7F" w:rsidRPr="00172374" w:rsidRDefault="00190C7F" w:rsidP="00190C7F">
            <w:pPr>
              <w:rPr>
                <w:sz w:val="20"/>
                <w:szCs w:val="20"/>
              </w:rPr>
            </w:pPr>
            <w:r w:rsidRPr="00172374">
              <w:rPr>
                <w:sz w:val="20"/>
                <w:szCs w:val="20"/>
              </w:rPr>
              <w:t>320</w:t>
            </w:r>
          </w:p>
        </w:tc>
        <w:tc>
          <w:tcPr>
            <w:tcW w:w="992" w:type="dxa"/>
            <w:shd w:val="clear" w:color="auto" w:fill="auto"/>
          </w:tcPr>
          <w:p w14:paraId="43E32419" w14:textId="77777777" w:rsidR="00190C7F" w:rsidRPr="00172374" w:rsidRDefault="00190C7F" w:rsidP="00190C7F">
            <w:pPr>
              <w:rPr>
                <w:sz w:val="20"/>
                <w:szCs w:val="20"/>
              </w:rPr>
            </w:pPr>
            <w:r w:rsidRPr="00172374">
              <w:rPr>
                <w:i/>
                <w:iCs/>
                <w:sz w:val="20"/>
                <w:szCs w:val="20"/>
                <w:lang w:val="el-GR"/>
              </w:rPr>
              <w:t>p</w:t>
            </w:r>
            <w:r w:rsidRPr="00172374">
              <w:rPr>
                <w:i/>
                <w:iCs/>
                <w:sz w:val="20"/>
                <w:szCs w:val="20"/>
              </w:rPr>
              <w:t>&lt;0</w:t>
            </w:r>
            <w:r w:rsidRPr="00172374">
              <w:rPr>
                <w:i/>
                <w:iCs/>
                <w:sz w:val="20"/>
                <w:szCs w:val="20"/>
                <w:lang w:val="el-GR"/>
              </w:rPr>
              <w:t>.001</w:t>
            </w:r>
          </w:p>
        </w:tc>
        <w:tc>
          <w:tcPr>
            <w:tcW w:w="850" w:type="dxa"/>
            <w:shd w:val="clear" w:color="auto" w:fill="auto"/>
          </w:tcPr>
          <w:p w14:paraId="7BECA786" w14:textId="77777777" w:rsidR="00190C7F" w:rsidRPr="00172374" w:rsidRDefault="00190C7F" w:rsidP="003238D0">
            <w:pPr>
              <w:jc w:val="right"/>
              <w:rPr>
                <w:sz w:val="20"/>
                <w:szCs w:val="20"/>
              </w:rPr>
            </w:pPr>
            <w:r w:rsidRPr="00172374">
              <w:rPr>
                <w:sz w:val="20"/>
                <w:szCs w:val="20"/>
              </w:rPr>
              <w:t>98.405</w:t>
            </w:r>
          </w:p>
        </w:tc>
      </w:tr>
      <w:tr w:rsidR="00190C7F" w:rsidRPr="00172374" w14:paraId="4AB3B485" w14:textId="77777777" w:rsidTr="007A0AEE">
        <w:tc>
          <w:tcPr>
            <w:tcW w:w="5387" w:type="dxa"/>
            <w:tcBorders>
              <w:bottom w:val="single" w:sz="4" w:space="0" w:color="auto"/>
            </w:tcBorders>
            <w:shd w:val="clear" w:color="auto" w:fill="auto"/>
          </w:tcPr>
          <w:p w14:paraId="7A98C631" w14:textId="57F51FB8" w:rsidR="00190C7F" w:rsidRPr="00172374" w:rsidRDefault="00190C7F" w:rsidP="00190C7F">
            <w:pPr>
              <w:rPr>
                <w:sz w:val="20"/>
                <w:szCs w:val="20"/>
              </w:rPr>
            </w:pPr>
            <w:r w:rsidRPr="00172374">
              <w:rPr>
                <w:sz w:val="20"/>
                <w:szCs w:val="20"/>
              </w:rPr>
              <w:t xml:space="preserve">Restrained to </w:t>
            </w:r>
            <w:r w:rsidR="00212CAF" w:rsidRPr="00172374">
              <w:rPr>
                <w:sz w:val="20"/>
                <w:szCs w:val="20"/>
              </w:rPr>
              <w:t>1</w:t>
            </w:r>
          </w:p>
        </w:tc>
        <w:tc>
          <w:tcPr>
            <w:tcW w:w="1134" w:type="dxa"/>
            <w:tcBorders>
              <w:bottom w:val="single" w:sz="4" w:space="0" w:color="auto"/>
            </w:tcBorders>
            <w:shd w:val="clear" w:color="auto" w:fill="auto"/>
            <w:vAlign w:val="center"/>
          </w:tcPr>
          <w:p w14:paraId="51F82D5A" w14:textId="77777777" w:rsidR="00190C7F" w:rsidRPr="00172374" w:rsidRDefault="00190C7F" w:rsidP="00190C7F">
            <w:pPr>
              <w:rPr>
                <w:sz w:val="20"/>
                <w:szCs w:val="20"/>
              </w:rPr>
            </w:pPr>
            <w:r w:rsidRPr="00172374">
              <w:rPr>
                <w:sz w:val="20"/>
                <w:szCs w:val="20"/>
              </w:rPr>
              <w:t>515.886</w:t>
            </w:r>
          </w:p>
        </w:tc>
        <w:tc>
          <w:tcPr>
            <w:tcW w:w="709" w:type="dxa"/>
            <w:tcBorders>
              <w:bottom w:val="single" w:sz="4" w:space="0" w:color="auto"/>
            </w:tcBorders>
            <w:shd w:val="clear" w:color="auto" w:fill="auto"/>
          </w:tcPr>
          <w:p w14:paraId="38F0B0BC" w14:textId="77777777" w:rsidR="00190C7F" w:rsidRPr="00172374" w:rsidRDefault="00190C7F" w:rsidP="00190C7F">
            <w:pPr>
              <w:rPr>
                <w:sz w:val="20"/>
                <w:szCs w:val="20"/>
              </w:rPr>
            </w:pPr>
            <w:r w:rsidRPr="00172374">
              <w:rPr>
                <w:sz w:val="20"/>
                <w:szCs w:val="20"/>
              </w:rPr>
              <w:t>320</w:t>
            </w:r>
          </w:p>
        </w:tc>
        <w:tc>
          <w:tcPr>
            <w:tcW w:w="992" w:type="dxa"/>
            <w:tcBorders>
              <w:bottom w:val="single" w:sz="4" w:space="0" w:color="auto"/>
            </w:tcBorders>
            <w:shd w:val="clear" w:color="auto" w:fill="auto"/>
          </w:tcPr>
          <w:p w14:paraId="04B8EA60" w14:textId="77777777" w:rsidR="00190C7F" w:rsidRPr="00172374" w:rsidRDefault="00190C7F" w:rsidP="00291638">
            <w:pPr>
              <w:rPr>
                <w:sz w:val="20"/>
                <w:szCs w:val="20"/>
              </w:rPr>
            </w:pPr>
            <w:r w:rsidRPr="00172374">
              <w:rPr>
                <w:i/>
                <w:iCs/>
                <w:sz w:val="20"/>
                <w:szCs w:val="20"/>
                <w:lang w:val="el-GR"/>
              </w:rPr>
              <w:t>p</w:t>
            </w:r>
            <w:r w:rsidRPr="00172374">
              <w:rPr>
                <w:i/>
                <w:iCs/>
                <w:sz w:val="20"/>
                <w:szCs w:val="20"/>
              </w:rPr>
              <w:t>&lt;0</w:t>
            </w:r>
            <w:r w:rsidRPr="00172374">
              <w:rPr>
                <w:i/>
                <w:iCs/>
                <w:sz w:val="20"/>
                <w:szCs w:val="20"/>
                <w:lang w:val="el-GR"/>
              </w:rPr>
              <w:t>.</w:t>
            </w:r>
            <w:r w:rsidR="00291638" w:rsidRPr="00172374">
              <w:rPr>
                <w:i/>
                <w:iCs/>
                <w:sz w:val="20"/>
                <w:szCs w:val="20"/>
                <w:lang w:val="el-GR"/>
              </w:rPr>
              <w:t>05</w:t>
            </w:r>
          </w:p>
        </w:tc>
        <w:tc>
          <w:tcPr>
            <w:tcW w:w="850" w:type="dxa"/>
            <w:tcBorders>
              <w:bottom w:val="single" w:sz="4" w:space="0" w:color="auto"/>
            </w:tcBorders>
            <w:shd w:val="clear" w:color="auto" w:fill="auto"/>
          </w:tcPr>
          <w:p w14:paraId="450422B1" w14:textId="77777777" w:rsidR="00190C7F" w:rsidRPr="00172374" w:rsidRDefault="00190C7F" w:rsidP="003238D0">
            <w:pPr>
              <w:jc w:val="right"/>
              <w:rPr>
                <w:sz w:val="20"/>
                <w:szCs w:val="20"/>
              </w:rPr>
            </w:pPr>
            <w:r w:rsidRPr="00172374">
              <w:rPr>
                <w:sz w:val="20"/>
                <w:szCs w:val="20"/>
              </w:rPr>
              <w:t>3.915</w:t>
            </w:r>
          </w:p>
        </w:tc>
      </w:tr>
      <w:tr w:rsidR="00190C7F" w:rsidRPr="00172374" w14:paraId="491C3479" w14:textId="77777777" w:rsidTr="007A0A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87" w:type="dxa"/>
            <w:tcBorders>
              <w:top w:val="single" w:sz="4" w:space="0" w:color="auto"/>
              <w:left w:val="nil"/>
              <w:bottom w:val="single" w:sz="4" w:space="0" w:color="auto"/>
              <w:right w:val="nil"/>
            </w:tcBorders>
            <w:shd w:val="clear" w:color="auto" w:fill="auto"/>
          </w:tcPr>
          <w:p w14:paraId="6B213272" w14:textId="77777777" w:rsidR="00190C7F" w:rsidRPr="00172374" w:rsidRDefault="00190C7F" w:rsidP="00912315">
            <w:pPr>
              <w:rPr>
                <w:b/>
                <w:bCs/>
                <w:sz w:val="22"/>
                <w:szCs w:val="22"/>
              </w:rPr>
            </w:pPr>
            <w:r w:rsidRPr="00172374">
              <w:rPr>
                <w:b/>
                <w:bCs/>
                <w:sz w:val="22"/>
                <w:szCs w:val="22"/>
              </w:rPr>
              <w:t>Correlation between new scale and Huang and Tsai (2013) scale</w:t>
            </w:r>
          </w:p>
        </w:tc>
        <w:tc>
          <w:tcPr>
            <w:tcW w:w="1134" w:type="dxa"/>
            <w:tcBorders>
              <w:top w:val="single" w:sz="4" w:space="0" w:color="auto"/>
              <w:left w:val="nil"/>
              <w:bottom w:val="single" w:sz="4" w:space="0" w:color="auto"/>
              <w:right w:val="nil"/>
            </w:tcBorders>
            <w:shd w:val="clear" w:color="auto" w:fill="auto"/>
          </w:tcPr>
          <w:p w14:paraId="73994156" w14:textId="77777777" w:rsidR="00190C7F" w:rsidRPr="00172374" w:rsidRDefault="00190C7F" w:rsidP="003238D0">
            <w:pPr>
              <w:spacing w:line="360" w:lineRule="auto"/>
              <w:jc w:val="center"/>
              <w:rPr>
                <w:i/>
                <w:iCs/>
                <w:sz w:val="22"/>
                <w:szCs w:val="22"/>
              </w:rPr>
            </w:pPr>
          </w:p>
        </w:tc>
        <w:tc>
          <w:tcPr>
            <w:tcW w:w="709" w:type="dxa"/>
            <w:tcBorders>
              <w:top w:val="single" w:sz="4" w:space="0" w:color="auto"/>
              <w:left w:val="nil"/>
              <w:bottom w:val="single" w:sz="4" w:space="0" w:color="auto"/>
              <w:right w:val="nil"/>
            </w:tcBorders>
            <w:shd w:val="clear" w:color="auto" w:fill="auto"/>
          </w:tcPr>
          <w:p w14:paraId="596C7F3F" w14:textId="77777777" w:rsidR="00190C7F" w:rsidRPr="00172374" w:rsidRDefault="00190C7F" w:rsidP="003238D0">
            <w:pPr>
              <w:spacing w:line="360" w:lineRule="auto"/>
              <w:jc w:val="center"/>
              <w:rPr>
                <w:sz w:val="20"/>
                <w:szCs w:val="20"/>
              </w:rPr>
            </w:pPr>
          </w:p>
        </w:tc>
        <w:tc>
          <w:tcPr>
            <w:tcW w:w="992" w:type="dxa"/>
            <w:tcBorders>
              <w:top w:val="single" w:sz="4" w:space="0" w:color="auto"/>
              <w:left w:val="nil"/>
              <w:bottom w:val="single" w:sz="4" w:space="0" w:color="auto"/>
              <w:right w:val="nil"/>
            </w:tcBorders>
            <w:shd w:val="clear" w:color="auto" w:fill="auto"/>
          </w:tcPr>
          <w:p w14:paraId="325A693B" w14:textId="77777777" w:rsidR="00190C7F" w:rsidRPr="00172374" w:rsidRDefault="00190C7F" w:rsidP="003238D0">
            <w:pPr>
              <w:spacing w:line="360" w:lineRule="auto"/>
              <w:jc w:val="center"/>
              <w:rPr>
                <w:sz w:val="22"/>
                <w:szCs w:val="22"/>
              </w:rPr>
            </w:pPr>
          </w:p>
        </w:tc>
        <w:tc>
          <w:tcPr>
            <w:tcW w:w="850" w:type="dxa"/>
            <w:tcBorders>
              <w:top w:val="single" w:sz="4" w:space="0" w:color="auto"/>
              <w:left w:val="nil"/>
              <w:bottom w:val="single" w:sz="4" w:space="0" w:color="auto"/>
              <w:right w:val="nil"/>
            </w:tcBorders>
            <w:shd w:val="clear" w:color="auto" w:fill="auto"/>
          </w:tcPr>
          <w:p w14:paraId="5183D200" w14:textId="77777777" w:rsidR="00190C7F" w:rsidRPr="00172374" w:rsidRDefault="00190C7F" w:rsidP="003238D0">
            <w:pPr>
              <w:spacing w:line="360" w:lineRule="auto"/>
              <w:jc w:val="right"/>
              <w:rPr>
                <w:sz w:val="22"/>
                <w:szCs w:val="22"/>
              </w:rPr>
            </w:pPr>
          </w:p>
        </w:tc>
      </w:tr>
      <w:tr w:rsidR="00190C7F" w:rsidRPr="00172374" w14:paraId="5B62DA88" w14:textId="77777777" w:rsidTr="007A0AEE">
        <w:tc>
          <w:tcPr>
            <w:tcW w:w="5387" w:type="dxa"/>
            <w:tcBorders>
              <w:top w:val="single" w:sz="4" w:space="0" w:color="auto"/>
            </w:tcBorders>
            <w:shd w:val="clear" w:color="auto" w:fill="auto"/>
          </w:tcPr>
          <w:p w14:paraId="5A15E411" w14:textId="25610E45" w:rsidR="00190C7F" w:rsidRPr="00172374" w:rsidRDefault="00190C7F" w:rsidP="00190C7F">
            <w:pPr>
              <w:rPr>
                <w:sz w:val="20"/>
                <w:szCs w:val="20"/>
              </w:rPr>
            </w:pPr>
            <w:r w:rsidRPr="00172374">
              <w:rPr>
                <w:sz w:val="20"/>
                <w:szCs w:val="20"/>
              </w:rPr>
              <w:t>Freely estimated (</w:t>
            </w:r>
            <w:r w:rsidR="00212CAF" w:rsidRPr="00172374">
              <w:rPr>
                <w:sz w:val="20"/>
                <w:szCs w:val="20"/>
              </w:rPr>
              <w:t>b</w:t>
            </w:r>
            <w:r w:rsidRPr="00172374">
              <w:rPr>
                <w:sz w:val="20"/>
                <w:szCs w:val="20"/>
              </w:rPr>
              <w:t xml:space="preserve">ase </w:t>
            </w:r>
            <w:r w:rsidR="00212CAF" w:rsidRPr="00172374">
              <w:rPr>
                <w:sz w:val="20"/>
                <w:szCs w:val="20"/>
              </w:rPr>
              <w:t>m</w:t>
            </w:r>
            <w:r w:rsidRPr="00172374">
              <w:rPr>
                <w:sz w:val="20"/>
                <w:szCs w:val="20"/>
              </w:rPr>
              <w:t>odel)</w:t>
            </w:r>
          </w:p>
        </w:tc>
        <w:tc>
          <w:tcPr>
            <w:tcW w:w="1134" w:type="dxa"/>
            <w:tcBorders>
              <w:top w:val="single" w:sz="4" w:space="0" w:color="auto"/>
            </w:tcBorders>
            <w:shd w:val="clear" w:color="auto" w:fill="auto"/>
            <w:vAlign w:val="center"/>
          </w:tcPr>
          <w:p w14:paraId="14DB3F6A" w14:textId="77777777" w:rsidR="00190C7F" w:rsidRPr="00172374" w:rsidRDefault="00190C7F" w:rsidP="00190C7F">
            <w:pPr>
              <w:rPr>
                <w:sz w:val="20"/>
                <w:szCs w:val="20"/>
              </w:rPr>
            </w:pPr>
            <w:r w:rsidRPr="00172374">
              <w:rPr>
                <w:sz w:val="20"/>
                <w:szCs w:val="20"/>
              </w:rPr>
              <w:t>512.769</w:t>
            </w:r>
          </w:p>
        </w:tc>
        <w:tc>
          <w:tcPr>
            <w:tcW w:w="709" w:type="dxa"/>
            <w:tcBorders>
              <w:top w:val="single" w:sz="4" w:space="0" w:color="auto"/>
            </w:tcBorders>
            <w:shd w:val="clear" w:color="auto" w:fill="auto"/>
          </w:tcPr>
          <w:p w14:paraId="3A1C73D0" w14:textId="77777777" w:rsidR="00190C7F" w:rsidRPr="00172374" w:rsidRDefault="00190C7F" w:rsidP="00190C7F">
            <w:pPr>
              <w:rPr>
                <w:sz w:val="20"/>
                <w:szCs w:val="20"/>
              </w:rPr>
            </w:pPr>
            <w:r w:rsidRPr="00172374">
              <w:rPr>
                <w:sz w:val="20"/>
                <w:szCs w:val="20"/>
              </w:rPr>
              <w:t>294</w:t>
            </w:r>
          </w:p>
        </w:tc>
        <w:tc>
          <w:tcPr>
            <w:tcW w:w="992" w:type="dxa"/>
            <w:tcBorders>
              <w:top w:val="single" w:sz="4" w:space="0" w:color="auto"/>
            </w:tcBorders>
            <w:shd w:val="clear" w:color="auto" w:fill="auto"/>
          </w:tcPr>
          <w:p w14:paraId="7093D624" w14:textId="77777777" w:rsidR="00190C7F" w:rsidRPr="00172374" w:rsidRDefault="00190C7F" w:rsidP="00190C7F">
            <w:pPr>
              <w:rPr>
                <w:sz w:val="20"/>
                <w:szCs w:val="20"/>
              </w:rPr>
            </w:pPr>
            <w:r w:rsidRPr="00172374">
              <w:rPr>
                <w:i/>
                <w:iCs/>
                <w:sz w:val="20"/>
                <w:szCs w:val="20"/>
                <w:lang w:val="el-GR"/>
              </w:rPr>
              <w:t>p</w:t>
            </w:r>
            <w:r w:rsidRPr="00172374">
              <w:rPr>
                <w:i/>
                <w:iCs/>
                <w:sz w:val="20"/>
                <w:szCs w:val="20"/>
              </w:rPr>
              <w:t>&lt;0</w:t>
            </w:r>
            <w:r w:rsidRPr="00172374">
              <w:rPr>
                <w:i/>
                <w:iCs/>
                <w:sz w:val="20"/>
                <w:szCs w:val="20"/>
                <w:lang w:val="el-GR"/>
              </w:rPr>
              <w:t>.001</w:t>
            </w:r>
          </w:p>
        </w:tc>
        <w:tc>
          <w:tcPr>
            <w:tcW w:w="850" w:type="dxa"/>
            <w:tcBorders>
              <w:top w:val="single" w:sz="4" w:space="0" w:color="auto"/>
            </w:tcBorders>
            <w:shd w:val="clear" w:color="auto" w:fill="auto"/>
          </w:tcPr>
          <w:p w14:paraId="728B0C46" w14:textId="77777777" w:rsidR="00190C7F" w:rsidRPr="00172374" w:rsidRDefault="00190C7F" w:rsidP="003238D0">
            <w:pPr>
              <w:jc w:val="right"/>
              <w:rPr>
                <w:sz w:val="20"/>
                <w:szCs w:val="20"/>
              </w:rPr>
            </w:pPr>
          </w:p>
        </w:tc>
      </w:tr>
      <w:tr w:rsidR="00190C7F" w:rsidRPr="00172374" w14:paraId="266FCE3C" w14:textId="77777777" w:rsidTr="003238D0">
        <w:tc>
          <w:tcPr>
            <w:tcW w:w="5387" w:type="dxa"/>
            <w:shd w:val="clear" w:color="auto" w:fill="auto"/>
          </w:tcPr>
          <w:p w14:paraId="7A666C0B" w14:textId="176D25CA" w:rsidR="00190C7F" w:rsidRPr="00172374" w:rsidRDefault="00190C7F" w:rsidP="00190C7F">
            <w:pPr>
              <w:rPr>
                <w:sz w:val="20"/>
                <w:szCs w:val="20"/>
              </w:rPr>
            </w:pPr>
            <w:r w:rsidRPr="00172374">
              <w:rPr>
                <w:sz w:val="20"/>
                <w:szCs w:val="20"/>
              </w:rPr>
              <w:t xml:space="preserve">Restrained to </w:t>
            </w:r>
            <w:r w:rsidR="00212CAF" w:rsidRPr="00172374">
              <w:rPr>
                <w:sz w:val="20"/>
                <w:szCs w:val="20"/>
              </w:rPr>
              <w:t>0</w:t>
            </w:r>
          </w:p>
        </w:tc>
        <w:tc>
          <w:tcPr>
            <w:tcW w:w="1134" w:type="dxa"/>
            <w:shd w:val="clear" w:color="auto" w:fill="auto"/>
            <w:vAlign w:val="center"/>
          </w:tcPr>
          <w:p w14:paraId="464BDDA1" w14:textId="77777777" w:rsidR="00190C7F" w:rsidRPr="00172374" w:rsidRDefault="00190C7F" w:rsidP="00190C7F">
            <w:pPr>
              <w:rPr>
                <w:sz w:val="20"/>
                <w:szCs w:val="20"/>
              </w:rPr>
            </w:pPr>
            <w:r w:rsidRPr="00172374">
              <w:rPr>
                <w:sz w:val="20"/>
                <w:szCs w:val="20"/>
              </w:rPr>
              <w:t>577.097</w:t>
            </w:r>
          </w:p>
        </w:tc>
        <w:tc>
          <w:tcPr>
            <w:tcW w:w="709" w:type="dxa"/>
            <w:shd w:val="clear" w:color="auto" w:fill="auto"/>
          </w:tcPr>
          <w:p w14:paraId="6782383C" w14:textId="77777777" w:rsidR="00190C7F" w:rsidRPr="00172374" w:rsidRDefault="00190C7F" w:rsidP="00190C7F">
            <w:pPr>
              <w:rPr>
                <w:sz w:val="20"/>
                <w:szCs w:val="20"/>
              </w:rPr>
            </w:pPr>
            <w:r w:rsidRPr="00172374">
              <w:rPr>
                <w:sz w:val="20"/>
                <w:szCs w:val="20"/>
              </w:rPr>
              <w:t>295</w:t>
            </w:r>
          </w:p>
        </w:tc>
        <w:tc>
          <w:tcPr>
            <w:tcW w:w="992" w:type="dxa"/>
            <w:shd w:val="clear" w:color="auto" w:fill="auto"/>
          </w:tcPr>
          <w:p w14:paraId="09B45255" w14:textId="77777777" w:rsidR="00190C7F" w:rsidRPr="00172374" w:rsidRDefault="00190C7F" w:rsidP="00190C7F">
            <w:pPr>
              <w:rPr>
                <w:sz w:val="20"/>
                <w:szCs w:val="20"/>
              </w:rPr>
            </w:pPr>
            <w:r w:rsidRPr="00172374">
              <w:rPr>
                <w:i/>
                <w:iCs/>
                <w:sz w:val="20"/>
                <w:szCs w:val="20"/>
                <w:lang w:val="el-GR"/>
              </w:rPr>
              <w:t>p</w:t>
            </w:r>
            <w:r w:rsidRPr="00172374">
              <w:rPr>
                <w:i/>
                <w:iCs/>
                <w:sz w:val="20"/>
                <w:szCs w:val="20"/>
              </w:rPr>
              <w:t>&lt;0</w:t>
            </w:r>
            <w:r w:rsidRPr="00172374">
              <w:rPr>
                <w:i/>
                <w:iCs/>
                <w:sz w:val="20"/>
                <w:szCs w:val="20"/>
                <w:lang w:val="el-GR"/>
              </w:rPr>
              <w:t>.001</w:t>
            </w:r>
          </w:p>
        </w:tc>
        <w:tc>
          <w:tcPr>
            <w:tcW w:w="850" w:type="dxa"/>
            <w:shd w:val="clear" w:color="auto" w:fill="auto"/>
          </w:tcPr>
          <w:p w14:paraId="65C73602" w14:textId="77777777" w:rsidR="00190C7F" w:rsidRPr="00172374" w:rsidRDefault="00190C7F" w:rsidP="003238D0">
            <w:pPr>
              <w:jc w:val="right"/>
              <w:rPr>
                <w:sz w:val="20"/>
                <w:szCs w:val="20"/>
              </w:rPr>
            </w:pPr>
            <w:r w:rsidRPr="00172374">
              <w:rPr>
                <w:sz w:val="20"/>
                <w:szCs w:val="20"/>
              </w:rPr>
              <w:t>64.328</w:t>
            </w:r>
          </w:p>
        </w:tc>
      </w:tr>
      <w:tr w:rsidR="00190C7F" w:rsidRPr="00172374" w14:paraId="6D3CDE54" w14:textId="77777777" w:rsidTr="003238D0">
        <w:tc>
          <w:tcPr>
            <w:tcW w:w="5387" w:type="dxa"/>
            <w:shd w:val="clear" w:color="auto" w:fill="auto"/>
          </w:tcPr>
          <w:p w14:paraId="2A478FAB" w14:textId="514F7D1D" w:rsidR="00190C7F" w:rsidRPr="00172374" w:rsidRDefault="00190C7F" w:rsidP="00190C7F">
            <w:pPr>
              <w:rPr>
                <w:sz w:val="20"/>
                <w:szCs w:val="20"/>
              </w:rPr>
            </w:pPr>
            <w:r w:rsidRPr="00172374">
              <w:rPr>
                <w:sz w:val="20"/>
                <w:szCs w:val="20"/>
              </w:rPr>
              <w:t xml:space="preserve">Restrained to </w:t>
            </w:r>
            <w:r w:rsidR="00212CAF" w:rsidRPr="00172374">
              <w:rPr>
                <w:sz w:val="20"/>
                <w:szCs w:val="20"/>
              </w:rPr>
              <w:t>1</w:t>
            </w:r>
          </w:p>
        </w:tc>
        <w:tc>
          <w:tcPr>
            <w:tcW w:w="1134" w:type="dxa"/>
            <w:shd w:val="clear" w:color="auto" w:fill="auto"/>
            <w:vAlign w:val="center"/>
          </w:tcPr>
          <w:p w14:paraId="165F4B9F" w14:textId="77777777" w:rsidR="00190C7F" w:rsidRPr="00172374" w:rsidRDefault="00190C7F" w:rsidP="00190C7F">
            <w:pPr>
              <w:rPr>
                <w:sz w:val="20"/>
                <w:szCs w:val="20"/>
              </w:rPr>
            </w:pPr>
            <w:r w:rsidRPr="00172374">
              <w:rPr>
                <w:sz w:val="20"/>
                <w:szCs w:val="20"/>
              </w:rPr>
              <w:t>517.502</w:t>
            </w:r>
          </w:p>
        </w:tc>
        <w:tc>
          <w:tcPr>
            <w:tcW w:w="709" w:type="dxa"/>
            <w:shd w:val="clear" w:color="auto" w:fill="auto"/>
          </w:tcPr>
          <w:p w14:paraId="60E4C496" w14:textId="77777777" w:rsidR="00190C7F" w:rsidRPr="00172374" w:rsidRDefault="00190C7F" w:rsidP="00190C7F">
            <w:pPr>
              <w:rPr>
                <w:sz w:val="20"/>
                <w:szCs w:val="20"/>
              </w:rPr>
            </w:pPr>
            <w:r w:rsidRPr="00172374">
              <w:rPr>
                <w:sz w:val="20"/>
                <w:szCs w:val="20"/>
              </w:rPr>
              <w:t>295</w:t>
            </w:r>
          </w:p>
        </w:tc>
        <w:tc>
          <w:tcPr>
            <w:tcW w:w="992" w:type="dxa"/>
            <w:shd w:val="clear" w:color="auto" w:fill="auto"/>
          </w:tcPr>
          <w:p w14:paraId="4356A6AD" w14:textId="77777777" w:rsidR="00190C7F" w:rsidRPr="00172374" w:rsidRDefault="00190C7F" w:rsidP="00291638">
            <w:pPr>
              <w:rPr>
                <w:sz w:val="20"/>
                <w:szCs w:val="20"/>
              </w:rPr>
            </w:pPr>
            <w:r w:rsidRPr="00172374">
              <w:rPr>
                <w:i/>
                <w:iCs/>
                <w:sz w:val="20"/>
                <w:szCs w:val="20"/>
                <w:lang w:val="el-GR"/>
              </w:rPr>
              <w:t>p</w:t>
            </w:r>
            <w:r w:rsidRPr="00172374">
              <w:rPr>
                <w:i/>
                <w:iCs/>
                <w:sz w:val="20"/>
                <w:szCs w:val="20"/>
              </w:rPr>
              <w:t>&lt;0</w:t>
            </w:r>
            <w:r w:rsidRPr="00172374">
              <w:rPr>
                <w:i/>
                <w:iCs/>
                <w:sz w:val="20"/>
                <w:szCs w:val="20"/>
                <w:lang w:val="el-GR"/>
              </w:rPr>
              <w:t>.</w:t>
            </w:r>
            <w:r w:rsidR="00291638" w:rsidRPr="00172374">
              <w:rPr>
                <w:i/>
                <w:iCs/>
                <w:sz w:val="20"/>
                <w:szCs w:val="20"/>
                <w:lang w:val="el-GR"/>
              </w:rPr>
              <w:t>05</w:t>
            </w:r>
          </w:p>
        </w:tc>
        <w:tc>
          <w:tcPr>
            <w:tcW w:w="850" w:type="dxa"/>
            <w:shd w:val="clear" w:color="auto" w:fill="auto"/>
          </w:tcPr>
          <w:p w14:paraId="6E45222C" w14:textId="77777777" w:rsidR="00190C7F" w:rsidRPr="00172374" w:rsidRDefault="00190C7F" w:rsidP="003238D0">
            <w:pPr>
              <w:jc w:val="right"/>
              <w:rPr>
                <w:sz w:val="20"/>
                <w:szCs w:val="20"/>
              </w:rPr>
            </w:pPr>
            <w:r w:rsidRPr="00172374">
              <w:rPr>
                <w:sz w:val="20"/>
                <w:szCs w:val="20"/>
              </w:rPr>
              <w:t>4.733</w:t>
            </w:r>
          </w:p>
        </w:tc>
      </w:tr>
    </w:tbl>
    <w:p w14:paraId="532A2F88" w14:textId="77777777" w:rsidR="009C526D" w:rsidRPr="00172374" w:rsidRDefault="009C526D">
      <w:r w:rsidRPr="00172374">
        <w:br w:type="page"/>
      </w:r>
    </w:p>
    <w:tbl>
      <w:tblPr>
        <w:tblW w:w="9266" w:type="dxa"/>
        <w:tblLook w:val="04A0" w:firstRow="1" w:lastRow="0" w:firstColumn="1" w:lastColumn="0" w:noHBand="0" w:noVBand="1"/>
      </w:tblPr>
      <w:tblGrid>
        <w:gridCol w:w="3221"/>
        <w:gridCol w:w="2158"/>
        <w:gridCol w:w="869"/>
        <w:gridCol w:w="548"/>
        <w:gridCol w:w="879"/>
        <w:gridCol w:w="685"/>
        <w:gridCol w:w="906"/>
      </w:tblGrid>
      <w:tr w:rsidR="002A69C6" w:rsidRPr="00172374" w14:paraId="4DFFE4B9" w14:textId="77777777" w:rsidTr="003238D0">
        <w:tc>
          <w:tcPr>
            <w:tcW w:w="5383" w:type="dxa"/>
            <w:gridSpan w:val="2"/>
            <w:tcBorders>
              <w:bottom w:val="single" w:sz="8" w:space="0" w:color="auto"/>
            </w:tcBorders>
            <w:shd w:val="clear" w:color="auto" w:fill="auto"/>
          </w:tcPr>
          <w:p w14:paraId="146E475B" w14:textId="4A1CAF3C" w:rsidR="002A69C6" w:rsidRPr="00172374" w:rsidRDefault="002A69C6" w:rsidP="003238D0">
            <w:pPr>
              <w:spacing w:after="60"/>
              <w:rPr>
                <w:b/>
              </w:rPr>
            </w:pPr>
            <w:r w:rsidRPr="00172374">
              <w:lastRenderedPageBreak/>
              <w:br w:type="page"/>
            </w:r>
            <w:r w:rsidRPr="00172374">
              <w:rPr>
                <w:b/>
              </w:rPr>
              <w:t xml:space="preserve">Table </w:t>
            </w:r>
            <w:r w:rsidR="009C55D7" w:rsidRPr="00172374">
              <w:rPr>
                <w:b/>
              </w:rPr>
              <w:t>10</w:t>
            </w:r>
          </w:p>
          <w:p w14:paraId="65B42474" w14:textId="717FAD5B" w:rsidR="002A69C6" w:rsidRPr="00172374" w:rsidRDefault="002A69C6" w:rsidP="003238D0">
            <w:pPr>
              <w:spacing w:after="60"/>
            </w:pPr>
            <w:r w:rsidRPr="00172374">
              <w:t>Study 4</w:t>
            </w:r>
            <w:r w:rsidR="00212CAF" w:rsidRPr="00172374">
              <w:t>:</w:t>
            </w:r>
            <w:r w:rsidRPr="00172374">
              <w:t xml:space="preserve"> statistics for predictive validity tests</w:t>
            </w:r>
            <w:r w:rsidR="00212CAF" w:rsidRPr="00172374">
              <w:t>.</w:t>
            </w:r>
            <w:r w:rsidRPr="00172374">
              <w:t xml:space="preserve"> </w:t>
            </w:r>
          </w:p>
        </w:tc>
        <w:tc>
          <w:tcPr>
            <w:tcW w:w="869" w:type="dxa"/>
            <w:tcBorders>
              <w:bottom w:val="single" w:sz="8" w:space="0" w:color="auto"/>
            </w:tcBorders>
            <w:shd w:val="clear" w:color="auto" w:fill="auto"/>
          </w:tcPr>
          <w:p w14:paraId="4AE77166" w14:textId="77777777" w:rsidR="002A69C6" w:rsidRPr="00172374" w:rsidRDefault="002A69C6" w:rsidP="003238D0">
            <w:pPr>
              <w:spacing w:line="360" w:lineRule="auto"/>
              <w:rPr>
                <w:b/>
              </w:rPr>
            </w:pPr>
          </w:p>
        </w:tc>
        <w:tc>
          <w:tcPr>
            <w:tcW w:w="548" w:type="dxa"/>
            <w:tcBorders>
              <w:bottom w:val="single" w:sz="8" w:space="0" w:color="auto"/>
            </w:tcBorders>
            <w:shd w:val="clear" w:color="auto" w:fill="auto"/>
          </w:tcPr>
          <w:p w14:paraId="2BF6282D" w14:textId="77777777" w:rsidR="002A69C6" w:rsidRPr="00172374" w:rsidRDefault="002A69C6" w:rsidP="003238D0">
            <w:pPr>
              <w:spacing w:line="360" w:lineRule="auto"/>
              <w:rPr>
                <w:b/>
              </w:rPr>
            </w:pPr>
          </w:p>
        </w:tc>
        <w:tc>
          <w:tcPr>
            <w:tcW w:w="879" w:type="dxa"/>
            <w:tcBorders>
              <w:bottom w:val="single" w:sz="8" w:space="0" w:color="auto"/>
            </w:tcBorders>
            <w:shd w:val="clear" w:color="auto" w:fill="auto"/>
          </w:tcPr>
          <w:p w14:paraId="1D702330" w14:textId="77777777" w:rsidR="002A69C6" w:rsidRPr="00172374" w:rsidRDefault="002A69C6" w:rsidP="003238D0">
            <w:pPr>
              <w:spacing w:line="360" w:lineRule="auto"/>
              <w:rPr>
                <w:b/>
              </w:rPr>
            </w:pPr>
          </w:p>
        </w:tc>
        <w:tc>
          <w:tcPr>
            <w:tcW w:w="685" w:type="dxa"/>
            <w:tcBorders>
              <w:bottom w:val="single" w:sz="8" w:space="0" w:color="auto"/>
            </w:tcBorders>
            <w:shd w:val="clear" w:color="auto" w:fill="auto"/>
          </w:tcPr>
          <w:p w14:paraId="72029DEF" w14:textId="77777777" w:rsidR="002A69C6" w:rsidRPr="00172374" w:rsidRDefault="002A69C6" w:rsidP="003238D0">
            <w:pPr>
              <w:spacing w:line="360" w:lineRule="auto"/>
              <w:rPr>
                <w:b/>
              </w:rPr>
            </w:pPr>
          </w:p>
        </w:tc>
        <w:tc>
          <w:tcPr>
            <w:tcW w:w="902" w:type="dxa"/>
            <w:tcBorders>
              <w:bottom w:val="single" w:sz="8" w:space="0" w:color="auto"/>
            </w:tcBorders>
            <w:shd w:val="clear" w:color="auto" w:fill="auto"/>
          </w:tcPr>
          <w:p w14:paraId="6971CE30" w14:textId="77777777" w:rsidR="002A69C6" w:rsidRPr="00172374" w:rsidRDefault="002A69C6" w:rsidP="003238D0">
            <w:pPr>
              <w:spacing w:line="360" w:lineRule="auto"/>
              <w:rPr>
                <w:b/>
              </w:rPr>
            </w:pPr>
          </w:p>
        </w:tc>
      </w:tr>
      <w:tr w:rsidR="002A69C6" w:rsidRPr="00172374" w14:paraId="3C647B10" w14:textId="77777777" w:rsidTr="003238D0">
        <w:tc>
          <w:tcPr>
            <w:tcW w:w="5383" w:type="dxa"/>
            <w:gridSpan w:val="2"/>
            <w:tcBorders>
              <w:top w:val="single" w:sz="8" w:space="0" w:color="auto"/>
              <w:bottom w:val="single" w:sz="8" w:space="0" w:color="auto"/>
            </w:tcBorders>
            <w:shd w:val="clear" w:color="auto" w:fill="auto"/>
          </w:tcPr>
          <w:p w14:paraId="6CF66C83" w14:textId="77777777" w:rsidR="002A69C6" w:rsidRPr="00172374" w:rsidRDefault="002A69C6" w:rsidP="003238D0">
            <w:pPr>
              <w:spacing w:line="360" w:lineRule="auto"/>
              <w:rPr>
                <w:b/>
                <w:bCs/>
                <w:sz w:val="22"/>
                <w:szCs w:val="22"/>
              </w:rPr>
            </w:pPr>
            <w:r w:rsidRPr="00172374">
              <w:rPr>
                <w:b/>
                <w:bCs/>
                <w:sz w:val="22"/>
                <w:szCs w:val="22"/>
              </w:rPr>
              <w:t>Structural models</w:t>
            </w:r>
          </w:p>
        </w:tc>
        <w:tc>
          <w:tcPr>
            <w:tcW w:w="869" w:type="dxa"/>
            <w:tcBorders>
              <w:top w:val="single" w:sz="8" w:space="0" w:color="auto"/>
              <w:bottom w:val="single" w:sz="8" w:space="0" w:color="auto"/>
            </w:tcBorders>
            <w:shd w:val="clear" w:color="auto" w:fill="auto"/>
          </w:tcPr>
          <w:p w14:paraId="44ADDF97" w14:textId="77777777" w:rsidR="002A69C6" w:rsidRPr="00172374" w:rsidRDefault="002A69C6" w:rsidP="003238D0">
            <w:pPr>
              <w:spacing w:line="360" w:lineRule="auto"/>
              <w:rPr>
                <w:b/>
                <w:bCs/>
                <w:sz w:val="22"/>
                <w:szCs w:val="22"/>
              </w:rPr>
            </w:pPr>
          </w:p>
        </w:tc>
        <w:tc>
          <w:tcPr>
            <w:tcW w:w="548" w:type="dxa"/>
            <w:tcBorders>
              <w:top w:val="single" w:sz="8" w:space="0" w:color="auto"/>
              <w:bottom w:val="single" w:sz="8" w:space="0" w:color="auto"/>
            </w:tcBorders>
            <w:shd w:val="clear" w:color="auto" w:fill="auto"/>
          </w:tcPr>
          <w:p w14:paraId="5D678363" w14:textId="77777777" w:rsidR="002A69C6" w:rsidRPr="00172374" w:rsidRDefault="002A69C6" w:rsidP="003238D0">
            <w:pPr>
              <w:spacing w:line="360" w:lineRule="auto"/>
              <w:rPr>
                <w:b/>
                <w:bCs/>
                <w:sz w:val="22"/>
                <w:szCs w:val="22"/>
              </w:rPr>
            </w:pPr>
          </w:p>
        </w:tc>
        <w:tc>
          <w:tcPr>
            <w:tcW w:w="879" w:type="dxa"/>
            <w:tcBorders>
              <w:top w:val="single" w:sz="8" w:space="0" w:color="auto"/>
              <w:bottom w:val="single" w:sz="8" w:space="0" w:color="auto"/>
            </w:tcBorders>
            <w:shd w:val="clear" w:color="auto" w:fill="auto"/>
          </w:tcPr>
          <w:p w14:paraId="67285D81" w14:textId="77777777" w:rsidR="002A69C6" w:rsidRPr="00172374" w:rsidRDefault="002A69C6" w:rsidP="003238D0">
            <w:pPr>
              <w:spacing w:line="360" w:lineRule="auto"/>
              <w:rPr>
                <w:b/>
                <w:bCs/>
                <w:sz w:val="22"/>
                <w:szCs w:val="22"/>
              </w:rPr>
            </w:pPr>
          </w:p>
        </w:tc>
        <w:tc>
          <w:tcPr>
            <w:tcW w:w="685" w:type="dxa"/>
            <w:tcBorders>
              <w:top w:val="single" w:sz="8" w:space="0" w:color="auto"/>
              <w:bottom w:val="single" w:sz="8" w:space="0" w:color="auto"/>
            </w:tcBorders>
            <w:shd w:val="clear" w:color="auto" w:fill="auto"/>
          </w:tcPr>
          <w:p w14:paraId="12981753" w14:textId="77777777" w:rsidR="002A69C6" w:rsidRPr="00172374" w:rsidRDefault="002A69C6" w:rsidP="003238D0">
            <w:pPr>
              <w:spacing w:line="360" w:lineRule="auto"/>
              <w:rPr>
                <w:b/>
                <w:bCs/>
                <w:sz w:val="22"/>
                <w:szCs w:val="22"/>
              </w:rPr>
            </w:pPr>
          </w:p>
        </w:tc>
        <w:tc>
          <w:tcPr>
            <w:tcW w:w="902" w:type="dxa"/>
            <w:tcBorders>
              <w:top w:val="single" w:sz="8" w:space="0" w:color="auto"/>
              <w:bottom w:val="single" w:sz="8" w:space="0" w:color="auto"/>
            </w:tcBorders>
            <w:shd w:val="clear" w:color="auto" w:fill="auto"/>
          </w:tcPr>
          <w:p w14:paraId="6FC38F7C" w14:textId="77777777" w:rsidR="002A69C6" w:rsidRPr="00172374" w:rsidRDefault="002A69C6" w:rsidP="003238D0">
            <w:pPr>
              <w:spacing w:line="360" w:lineRule="auto"/>
              <w:rPr>
                <w:b/>
                <w:bCs/>
                <w:sz w:val="22"/>
                <w:szCs w:val="22"/>
              </w:rPr>
            </w:pPr>
          </w:p>
        </w:tc>
      </w:tr>
      <w:tr w:rsidR="00B00AA6" w:rsidRPr="00172374" w14:paraId="64BF14E2" w14:textId="77777777" w:rsidTr="003238D0">
        <w:tc>
          <w:tcPr>
            <w:tcW w:w="3224" w:type="dxa"/>
            <w:shd w:val="clear" w:color="auto" w:fill="auto"/>
          </w:tcPr>
          <w:p w14:paraId="75D1E7C1" w14:textId="77777777" w:rsidR="00B00AA6" w:rsidRPr="00172374" w:rsidRDefault="00B00AA6" w:rsidP="003238D0">
            <w:pPr>
              <w:spacing w:line="360" w:lineRule="auto"/>
              <w:rPr>
                <w:i/>
                <w:sz w:val="20"/>
                <w:szCs w:val="20"/>
              </w:rPr>
            </w:pPr>
            <w:r w:rsidRPr="00172374">
              <w:rPr>
                <w:i/>
                <w:sz w:val="20"/>
                <w:szCs w:val="20"/>
              </w:rPr>
              <w:t>Path tested (direct effects)</w:t>
            </w:r>
          </w:p>
        </w:tc>
        <w:tc>
          <w:tcPr>
            <w:tcW w:w="2159" w:type="dxa"/>
            <w:shd w:val="clear" w:color="auto" w:fill="auto"/>
          </w:tcPr>
          <w:p w14:paraId="10B4DA3E" w14:textId="77777777" w:rsidR="00B00AA6" w:rsidRPr="00172374" w:rsidRDefault="00B00AA6" w:rsidP="004B6495">
            <w:pPr>
              <w:rPr>
                <w:i/>
                <w:sz w:val="20"/>
                <w:szCs w:val="20"/>
              </w:rPr>
            </w:pPr>
            <w:r w:rsidRPr="00172374">
              <w:rPr>
                <w:i/>
                <w:sz w:val="20"/>
                <w:szCs w:val="20"/>
              </w:rPr>
              <w:t>Standardized estimate (t-value)</w:t>
            </w:r>
          </w:p>
        </w:tc>
        <w:tc>
          <w:tcPr>
            <w:tcW w:w="869" w:type="dxa"/>
            <w:shd w:val="clear" w:color="auto" w:fill="auto"/>
            <w:vAlign w:val="center"/>
          </w:tcPr>
          <w:p w14:paraId="05252B35" w14:textId="77777777" w:rsidR="00B00AA6" w:rsidRPr="00172374" w:rsidRDefault="00B00AA6" w:rsidP="003238D0">
            <w:pPr>
              <w:spacing w:line="360" w:lineRule="auto"/>
              <w:rPr>
                <w:iCs/>
                <w:sz w:val="20"/>
                <w:szCs w:val="20"/>
              </w:rPr>
            </w:pPr>
            <w:r w:rsidRPr="00172374">
              <w:rPr>
                <w:i/>
                <w:iCs/>
                <w:sz w:val="22"/>
                <w:szCs w:val="22"/>
                <w:lang w:val="el-GR"/>
              </w:rPr>
              <w:t>χ2</w:t>
            </w:r>
          </w:p>
        </w:tc>
        <w:tc>
          <w:tcPr>
            <w:tcW w:w="548" w:type="dxa"/>
            <w:shd w:val="clear" w:color="auto" w:fill="auto"/>
            <w:vAlign w:val="center"/>
          </w:tcPr>
          <w:p w14:paraId="7DF749F2" w14:textId="77777777" w:rsidR="00B00AA6" w:rsidRPr="00172374" w:rsidRDefault="00B00AA6" w:rsidP="003238D0">
            <w:pPr>
              <w:spacing w:line="360" w:lineRule="auto"/>
              <w:rPr>
                <w:iCs/>
                <w:sz w:val="20"/>
                <w:szCs w:val="20"/>
              </w:rPr>
            </w:pPr>
            <w:r w:rsidRPr="00172374">
              <w:rPr>
                <w:sz w:val="20"/>
                <w:szCs w:val="20"/>
              </w:rPr>
              <w:t>df</w:t>
            </w:r>
          </w:p>
        </w:tc>
        <w:tc>
          <w:tcPr>
            <w:tcW w:w="879" w:type="dxa"/>
            <w:shd w:val="clear" w:color="auto" w:fill="auto"/>
            <w:vAlign w:val="center"/>
          </w:tcPr>
          <w:p w14:paraId="12DCC3E0" w14:textId="77777777" w:rsidR="00B00AA6" w:rsidRPr="00172374" w:rsidRDefault="00B00AA6" w:rsidP="003238D0">
            <w:pPr>
              <w:spacing w:line="360" w:lineRule="auto"/>
              <w:jc w:val="center"/>
              <w:rPr>
                <w:iCs/>
                <w:sz w:val="20"/>
                <w:szCs w:val="20"/>
              </w:rPr>
            </w:pPr>
            <w:r w:rsidRPr="00172374">
              <w:rPr>
                <w:sz w:val="20"/>
                <w:szCs w:val="20"/>
              </w:rPr>
              <w:t>p</w:t>
            </w:r>
          </w:p>
        </w:tc>
        <w:tc>
          <w:tcPr>
            <w:tcW w:w="685" w:type="dxa"/>
            <w:shd w:val="clear" w:color="auto" w:fill="auto"/>
            <w:vAlign w:val="center"/>
          </w:tcPr>
          <w:p w14:paraId="3A531EB3" w14:textId="77777777" w:rsidR="00B00AA6" w:rsidRPr="00172374" w:rsidRDefault="00B00AA6" w:rsidP="003238D0">
            <w:pPr>
              <w:spacing w:line="360" w:lineRule="auto"/>
              <w:rPr>
                <w:iCs/>
                <w:sz w:val="20"/>
                <w:szCs w:val="20"/>
              </w:rPr>
            </w:pPr>
            <w:r w:rsidRPr="00172374">
              <w:rPr>
                <w:sz w:val="20"/>
                <w:szCs w:val="20"/>
              </w:rPr>
              <w:t>CFI</w:t>
            </w:r>
          </w:p>
        </w:tc>
        <w:tc>
          <w:tcPr>
            <w:tcW w:w="902" w:type="dxa"/>
            <w:shd w:val="clear" w:color="auto" w:fill="auto"/>
            <w:vAlign w:val="center"/>
          </w:tcPr>
          <w:p w14:paraId="21CD86F4" w14:textId="77777777" w:rsidR="00B00AA6" w:rsidRPr="00172374" w:rsidRDefault="00B00AA6" w:rsidP="003238D0">
            <w:pPr>
              <w:spacing w:line="360" w:lineRule="auto"/>
              <w:rPr>
                <w:iCs/>
                <w:sz w:val="20"/>
                <w:szCs w:val="20"/>
              </w:rPr>
            </w:pPr>
            <w:r w:rsidRPr="00172374">
              <w:rPr>
                <w:sz w:val="20"/>
                <w:szCs w:val="20"/>
              </w:rPr>
              <w:t>RMSEA</w:t>
            </w:r>
          </w:p>
        </w:tc>
      </w:tr>
      <w:tr w:rsidR="00B053D3" w:rsidRPr="00172374" w14:paraId="51BD09CF" w14:textId="77777777" w:rsidTr="003238D0">
        <w:tc>
          <w:tcPr>
            <w:tcW w:w="3224" w:type="dxa"/>
            <w:shd w:val="clear" w:color="auto" w:fill="auto"/>
          </w:tcPr>
          <w:p w14:paraId="1190FE91" w14:textId="77777777" w:rsidR="002A69C6" w:rsidRPr="00172374" w:rsidRDefault="002A69C6" w:rsidP="001A27D0">
            <w:pPr>
              <w:rPr>
                <w:i/>
                <w:sz w:val="20"/>
                <w:szCs w:val="20"/>
              </w:rPr>
            </w:pPr>
            <w:r w:rsidRPr="00172374">
              <w:rPr>
                <w:sz w:val="20"/>
                <w:szCs w:val="20"/>
              </w:rPr>
              <w:t xml:space="preserve">New </w:t>
            </w:r>
            <w:r w:rsidR="00202DDF" w:rsidRPr="00172374">
              <w:rPr>
                <w:sz w:val="20"/>
                <w:szCs w:val="20"/>
              </w:rPr>
              <w:t>brand orientation</w:t>
            </w:r>
            <w:r w:rsidRPr="00172374">
              <w:rPr>
                <w:sz w:val="20"/>
                <w:szCs w:val="20"/>
              </w:rPr>
              <w:t xml:space="preserve"> scale </w:t>
            </w:r>
            <w:r w:rsidRPr="00172374">
              <w:rPr>
                <w:sz w:val="20"/>
                <w:szCs w:val="20"/>
              </w:rPr>
              <w:sym w:font="Wingdings" w:char="F0E0"/>
            </w:r>
            <w:r w:rsidRPr="00172374">
              <w:rPr>
                <w:sz w:val="20"/>
                <w:szCs w:val="20"/>
              </w:rPr>
              <w:t xml:space="preserve"> Competitive advantage</w:t>
            </w:r>
          </w:p>
        </w:tc>
        <w:tc>
          <w:tcPr>
            <w:tcW w:w="2159" w:type="dxa"/>
            <w:shd w:val="clear" w:color="auto" w:fill="auto"/>
          </w:tcPr>
          <w:p w14:paraId="0282B9B3" w14:textId="77777777" w:rsidR="002A69C6" w:rsidRPr="00172374" w:rsidRDefault="002A69C6" w:rsidP="001A27D0">
            <w:pPr>
              <w:rPr>
                <w:rFonts w:ascii="Calibri" w:hAnsi="Calibri"/>
                <w:sz w:val="22"/>
                <w:szCs w:val="22"/>
                <w:lang w:val="el-GR"/>
              </w:rPr>
            </w:pPr>
            <w:r w:rsidRPr="00172374">
              <w:rPr>
                <w:sz w:val="20"/>
                <w:szCs w:val="20"/>
              </w:rPr>
              <w:t>0.718 (</w:t>
            </w:r>
            <w:proofErr w:type="gramStart"/>
            <w:r w:rsidR="00B053D3" w:rsidRPr="00172374">
              <w:rPr>
                <w:sz w:val="20"/>
                <w:szCs w:val="20"/>
              </w:rPr>
              <w:t>3.62</w:t>
            </w:r>
            <w:r w:rsidRPr="00172374">
              <w:rPr>
                <w:sz w:val="20"/>
                <w:szCs w:val="20"/>
              </w:rPr>
              <w:t>)*</w:t>
            </w:r>
            <w:proofErr w:type="gramEnd"/>
            <w:r w:rsidRPr="00172374">
              <w:rPr>
                <w:sz w:val="20"/>
                <w:szCs w:val="20"/>
              </w:rPr>
              <w:t>**</w:t>
            </w:r>
          </w:p>
        </w:tc>
        <w:tc>
          <w:tcPr>
            <w:tcW w:w="869" w:type="dxa"/>
            <w:shd w:val="clear" w:color="auto" w:fill="auto"/>
          </w:tcPr>
          <w:p w14:paraId="6C1AC444" w14:textId="77777777" w:rsidR="002A69C6" w:rsidRPr="00172374" w:rsidRDefault="00B053D3" w:rsidP="001A27D0">
            <w:pPr>
              <w:rPr>
                <w:iCs/>
                <w:sz w:val="20"/>
                <w:szCs w:val="20"/>
              </w:rPr>
            </w:pPr>
            <w:r w:rsidRPr="00172374">
              <w:rPr>
                <w:iCs/>
                <w:sz w:val="20"/>
                <w:szCs w:val="20"/>
              </w:rPr>
              <w:t>476.602</w:t>
            </w:r>
          </w:p>
        </w:tc>
        <w:tc>
          <w:tcPr>
            <w:tcW w:w="548" w:type="dxa"/>
            <w:shd w:val="clear" w:color="auto" w:fill="auto"/>
          </w:tcPr>
          <w:p w14:paraId="59E86668" w14:textId="77777777" w:rsidR="002A69C6" w:rsidRPr="00172374" w:rsidRDefault="00B053D3" w:rsidP="001A27D0">
            <w:pPr>
              <w:rPr>
                <w:iCs/>
                <w:sz w:val="20"/>
                <w:szCs w:val="20"/>
              </w:rPr>
            </w:pPr>
            <w:r w:rsidRPr="00172374">
              <w:rPr>
                <w:iCs/>
                <w:sz w:val="20"/>
                <w:szCs w:val="20"/>
              </w:rPr>
              <w:t>319</w:t>
            </w:r>
          </w:p>
        </w:tc>
        <w:tc>
          <w:tcPr>
            <w:tcW w:w="879" w:type="dxa"/>
            <w:shd w:val="clear" w:color="auto" w:fill="auto"/>
          </w:tcPr>
          <w:p w14:paraId="43AD7E5F" w14:textId="279E1F76" w:rsidR="002A69C6" w:rsidRPr="00172374" w:rsidRDefault="00B053D3" w:rsidP="001A27D0">
            <w:pPr>
              <w:rPr>
                <w:iCs/>
                <w:sz w:val="20"/>
                <w:szCs w:val="20"/>
              </w:rPr>
            </w:pPr>
            <w:r w:rsidRPr="00172374">
              <w:rPr>
                <w:iCs/>
                <w:sz w:val="20"/>
                <w:szCs w:val="20"/>
              </w:rPr>
              <w:t>p&lt;0.00</w:t>
            </w:r>
            <w:r w:rsidR="003B3862" w:rsidRPr="00172374">
              <w:rPr>
                <w:iCs/>
                <w:sz w:val="20"/>
                <w:szCs w:val="20"/>
              </w:rPr>
              <w:t>1</w:t>
            </w:r>
          </w:p>
        </w:tc>
        <w:tc>
          <w:tcPr>
            <w:tcW w:w="685" w:type="dxa"/>
            <w:shd w:val="clear" w:color="auto" w:fill="auto"/>
          </w:tcPr>
          <w:p w14:paraId="71D5CD23" w14:textId="77777777" w:rsidR="002A69C6" w:rsidRPr="00172374" w:rsidRDefault="00B053D3" w:rsidP="001A27D0">
            <w:pPr>
              <w:rPr>
                <w:iCs/>
                <w:sz w:val="20"/>
                <w:szCs w:val="20"/>
              </w:rPr>
            </w:pPr>
            <w:r w:rsidRPr="00172374">
              <w:rPr>
                <w:iCs/>
                <w:sz w:val="20"/>
                <w:szCs w:val="20"/>
              </w:rPr>
              <w:t>0.9</w:t>
            </w:r>
            <w:r w:rsidR="000C517B" w:rsidRPr="00172374">
              <w:rPr>
                <w:iCs/>
                <w:sz w:val="20"/>
                <w:szCs w:val="20"/>
              </w:rPr>
              <w:t>1</w:t>
            </w:r>
            <w:r w:rsidRPr="00172374">
              <w:rPr>
                <w:iCs/>
                <w:sz w:val="20"/>
                <w:szCs w:val="20"/>
              </w:rPr>
              <w:t>1</w:t>
            </w:r>
          </w:p>
        </w:tc>
        <w:tc>
          <w:tcPr>
            <w:tcW w:w="902" w:type="dxa"/>
            <w:shd w:val="clear" w:color="auto" w:fill="auto"/>
          </w:tcPr>
          <w:p w14:paraId="322BB49F" w14:textId="77777777" w:rsidR="002A69C6" w:rsidRPr="00172374" w:rsidRDefault="00B053D3" w:rsidP="003238D0">
            <w:pPr>
              <w:jc w:val="center"/>
              <w:rPr>
                <w:iCs/>
                <w:sz w:val="20"/>
                <w:szCs w:val="20"/>
              </w:rPr>
            </w:pPr>
            <w:r w:rsidRPr="00172374">
              <w:rPr>
                <w:iCs/>
                <w:sz w:val="20"/>
                <w:szCs w:val="20"/>
              </w:rPr>
              <w:t>0.065</w:t>
            </w:r>
          </w:p>
        </w:tc>
      </w:tr>
      <w:tr w:rsidR="00B053D3" w:rsidRPr="00172374" w14:paraId="3B996B4D" w14:textId="77777777" w:rsidTr="003238D0">
        <w:trPr>
          <w:trHeight w:val="121"/>
        </w:trPr>
        <w:tc>
          <w:tcPr>
            <w:tcW w:w="3224" w:type="dxa"/>
            <w:shd w:val="clear" w:color="auto" w:fill="auto"/>
          </w:tcPr>
          <w:p w14:paraId="5C2E2011" w14:textId="4A2A6482" w:rsidR="00B053D3" w:rsidRPr="00172374" w:rsidRDefault="00B053D3" w:rsidP="001A27D0">
            <w:pPr>
              <w:rPr>
                <w:i/>
                <w:sz w:val="20"/>
                <w:szCs w:val="20"/>
              </w:rPr>
            </w:pPr>
            <w:r w:rsidRPr="00172374">
              <w:rPr>
                <w:sz w:val="20"/>
                <w:szCs w:val="20"/>
              </w:rPr>
              <w:t xml:space="preserve">Wong and </w:t>
            </w:r>
            <w:proofErr w:type="spellStart"/>
            <w:r w:rsidR="00741639" w:rsidRPr="00172374">
              <w:rPr>
                <w:sz w:val="20"/>
                <w:szCs w:val="20"/>
              </w:rPr>
              <w:t>Merrilees</w:t>
            </w:r>
            <w:proofErr w:type="spellEnd"/>
            <w:r w:rsidR="00741639" w:rsidRPr="00172374">
              <w:rPr>
                <w:sz w:val="20"/>
                <w:szCs w:val="20"/>
              </w:rPr>
              <w:t xml:space="preserve"> </w:t>
            </w:r>
            <w:r w:rsidRPr="00172374">
              <w:rPr>
                <w:sz w:val="20"/>
                <w:szCs w:val="20"/>
              </w:rPr>
              <w:t xml:space="preserve">(2007) scale </w:t>
            </w:r>
            <w:r w:rsidRPr="00172374">
              <w:rPr>
                <w:sz w:val="20"/>
                <w:szCs w:val="20"/>
              </w:rPr>
              <w:sym w:font="Wingdings" w:char="F0E0"/>
            </w:r>
            <w:r w:rsidRPr="00172374">
              <w:rPr>
                <w:sz w:val="20"/>
                <w:szCs w:val="20"/>
              </w:rPr>
              <w:t xml:space="preserve"> Competitive advantage</w:t>
            </w:r>
          </w:p>
        </w:tc>
        <w:tc>
          <w:tcPr>
            <w:tcW w:w="2159" w:type="dxa"/>
            <w:shd w:val="clear" w:color="auto" w:fill="auto"/>
          </w:tcPr>
          <w:p w14:paraId="70910C28" w14:textId="77777777" w:rsidR="00B053D3" w:rsidRPr="00172374" w:rsidRDefault="00B053D3" w:rsidP="001A27D0">
            <w:pPr>
              <w:rPr>
                <w:rFonts w:ascii="Calibri" w:hAnsi="Calibri"/>
                <w:sz w:val="22"/>
                <w:szCs w:val="22"/>
                <w:lang w:val="el-GR"/>
              </w:rPr>
            </w:pPr>
            <w:r w:rsidRPr="00172374">
              <w:rPr>
                <w:sz w:val="20"/>
                <w:szCs w:val="20"/>
              </w:rPr>
              <w:t>0.554 (</w:t>
            </w:r>
            <w:proofErr w:type="gramStart"/>
            <w:r w:rsidRPr="00172374">
              <w:rPr>
                <w:sz w:val="20"/>
                <w:szCs w:val="20"/>
              </w:rPr>
              <w:t>4.25)*</w:t>
            </w:r>
            <w:proofErr w:type="gramEnd"/>
            <w:r w:rsidRPr="00172374">
              <w:rPr>
                <w:sz w:val="20"/>
                <w:szCs w:val="20"/>
              </w:rPr>
              <w:t>**</w:t>
            </w:r>
          </w:p>
        </w:tc>
        <w:tc>
          <w:tcPr>
            <w:tcW w:w="869" w:type="dxa"/>
            <w:shd w:val="clear" w:color="auto" w:fill="auto"/>
          </w:tcPr>
          <w:p w14:paraId="078C4E86" w14:textId="77777777" w:rsidR="00B053D3" w:rsidRPr="00172374" w:rsidRDefault="00B053D3" w:rsidP="001A27D0">
            <w:pPr>
              <w:rPr>
                <w:iCs/>
                <w:sz w:val="20"/>
                <w:szCs w:val="20"/>
              </w:rPr>
            </w:pPr>
            <w:r w:rsidRPr="00172374">
              <w:rPr>
                <w:iCs/>
                <w:sz w:val="20"/>
                <w:szCs w:val="20"/>
              </w:rPr>
              <w:t>97.697</w:t>
            </w:r>
          </w:p>
        </w:tc>
        <w:tc>
          <w:tcPr>
            <w:tcW w:w="548" w:type="dxa"/>
            <w:shd w:val="clear" w:color="auto" w:fill="auto"/>
          </w:tcPr>
          <w:p w14:paraId="2CAD250D" w14:textId="77777777" w:rsidR="00B053D3" w:rsidRPr="00172374" w:rsidRDefault="00B053D3" w:rsidP="001A27D0">
            <w:pPr>
              <w:rPr>
                <w:iCs/>
                <w:sz w:val="20"/>
                <w:szCs w:val="20"/>
              </w:rPr>
            </w:pPr>
            <w:r w:rsidRPr="00172374">
              <w:rPr>
                <w:iCs/>
                <w:sz w:val="20"/>
                <w:szCs w:val="20"/>
              </w:rPr>
              <w:t>53</w:t>
            </w:r>
          </w:p>
        </w:tc>
        <w:tc>
          <w:tcPr>
            <w:tcW w:w="879" w:type="dxa"/>
            <w:shd w:val="clear" w:color="auto" w:fill="auto"/>
          </w:tcPr>
          <w:p w14:paraId="09732A4F" w14:textId="754ADE01" w:rsidR="00B053D3" w:rsidRPr="00172374" w:rsidRDefault="00B053D3" w:rsidP="001A27D0">
            <w:pPr>
              <w:rPr>
                <w:iCs/>
                <w:sz w:val="20"/>
                <w:szCs w:val="20"/>
              </w:rPr>
            </w:pPr>
            <w:r w:rsidRPr="00172374">
              <w:rPr>
                <w:iCs/>
                <w:sz w:val="20"/>
                <w:szCs w:val="20"/>
              </w:rPr>
              <w:t>p&lt;0.00</w:t>
            </w:r>
            <w:r w:rsidR="003B3862" w:rsidRPr="00172374">
              <w:rPr>
                <w:iCs/>
                <w:sz w:val="20"/>
                <w:szCs w:val="20"/>
              </w:rPr>
              <w:t>1</w:t>
            </w:r>
          </w:p>
        </w:tc>
        <w:tc>
          <w:tcPr>
            <w:tcW w:w="685" w:type="dxa"/>
            <w:shd w:val="clear" w:color="auto" w:fill="auto"/>
          </w:tcPr>
          <w:p w14:paraId="222AD039" w14:textId="77777777" w:rsidR="00B053D3" w:rsidRPr="00172374" w:rsidRDefault="00B053D3" w:rsidP="001A27D0">
            <w:pPr>
              <w:rPr>
                <w:iCs/>
                <w:sz w:val="20"/>
                <w:szCs w:val="20"/>
              </w:rPr>
            </w:pPr>
            <w:r w:rsidRPr="00172374">
              <w:rPr>
                <w:iCs/>
                <w:sz w:val="20"/>
                <w:szCs w:val="20"/>
              </w:rPr>
              <w:t>0.922</w:t>
            </w:r>
          </w:p>
        </w:tc>
        <w:tc>
          <w:tcPr>
            <w:tcW w:w="902" w:type="dxa"/>
            <w:shd w:val="clear" w:color="auto" w:fill="auto"/>
          </w:tcPr>
          <w:p w14:paraId="5F82E509" w14:textId="77777777" w:rsidR="00B053D3" w:rsidRPr="00172374" w:rsidRDefault="00B053D3" w:rsidP="003238D0">
            <w:pPr>
              <w:jc w:val="center"/>
              <w:rPr>
                <w:iCs/>
                <w:sz w:val="20"/>
                <w:szCs w:val="20"/>
              </w:rPr>
            </w:pPr>
            <w:r w:rsidRPr="00172374">
              <w:rPr>
                <w:iCs/>
                <w:sz w:val="20"/>
                <w:szCs w:val="20"/>
              </w:rPr>
              <w:t>0.085</w:t>
            </w:r>
          </w:p>
        </w:tc>
      </w:tr>
      <w:tr w:rsidR="00B053D3" w:rsidRPr="00172374" w14:paraId="2A8F667F" w14:textId="77777777" w:rsidTr="003238D0">
        <w:trPr>
          <w:trHeight w:val="253"/>
        </w:trPr>
        <w:tc>
          <w:tcPr>
            <w:tcW w:w="3224" w:type="dxa"/>
            <w:shd w:val="clear" w:color="auto" w:fill="auto"/>
          </w:tcPr>
          <w:p w14:paraId="07B64B6F" w14:textId="77777777" w:rsidR="00B053D3" w:rsidRPr="00172374" w:rsidRDefault="00B053D3" w:rsidP="001A27D0">
            <w:pPr>
              <w:rPr>
                <w:sz w:val="20"/>
                <w:szCs w:val="20"/>
              </w:rPr>
            </w:pPr>
            <w:r w:rsidRPr="00172374">
              <w:rPr>
                <w:sz w:val="20"/>
                <w:szCs w:val="20"/>
              </w:rPr>
              <w:t xml:space="preserve">Huang and Tsai (2013) scale </w:t>
            </w:r>
            <w:r w:rsidRPr="00172374">
              <w:rPr>
                <w:sz w:val="20"/>
                <w:szCs w:val="20"/>
              </w:rPr>
              <w:sym w:font="Wingdings" w:char="F0E0"/>
            </w:r>
            <w:r w:rsidRPr="00172374">
              <w:rPr>
                <w:sz w:val="20"/>
                <w:szCs w:val="20"/>
              </w:rPr>
              <w:t xml:space="preserve"> Competitive advantage</w:t>
            </w:r>
          </w:p>
        </w:tc>
        <w:tc>
          <w:tcPr>
            <w:tcW w:w="2159" w:type="dxa"/>
            <w:shd w:val="clear" w:color="auto" w:fill="auto"/>
          </w:tcPr>
          <w:p w14:paraId="7778885C" w14:textId="77777777" w:rsidR="00B053D3" w:rsidRPr="00172374" w:rsidRDefault="00B053D3" w:rsidP="001A27D0">
            <w:pPr>
              <w:rPr>
                <w:sz w:val="20"/>
                <w:szCs w:val="20"/>
              </w:rPr>
            </w:pPr>
            <w:r w:rsidRPr="00172374">
              <w:rPr>
                <w:sz w:val="20"/>
                <w:szCs w:val="20"/>
              </w:rPr>
              <w:t>0.69</w:t>
            </w:r>
            <w:r w:rsidR="003429CB" w:rsidRPr="00172374">
              <w:rPr>
                <w:sz w:val="20"/>
                <w:szCs w:val="20"/>
              </w:rPr>
              <w:t>0</w:t>
            </w:r>
            <w:r w:rsidRPr="00172374">
              <w:rPr>
                <w:sz w:val="20"/>
                <w:szCs w:val="20"/>
              </w:rPr>
              <w:t xml:space="preserve"> (</w:t>
            </w:r>
            <w:proofErr w:type="gramStart"/>
            <w:r w:rsidRPr="00172374">
              <w:rPr>
                <w:sz w:val="20"/>
                <w:szCs w:val="20"/>
              </w:rPr>
              <w:t>5.01)*</w:t>
            </w:r>
            <w:proofErr w:type="gramEnd"/>
            <w:r w:rsidRPr="00172374">
              <w:rPr>
                <w:sz w:val="20"/>
                <w:szCs w:val="20"/>
              </w:rPr>
              <w:t>**</w:t>
            </w:r>
          </w:p>
        </w:tc>
        <w:tc>
          <w:tcPr>
            <w:tcW w:w="869" w:type="dxa"/>
            <w:shd w:val="clear" w:color="auto" w:fill="auto"/>
          </w:tcPr>
          <w:p w14:paraId="6614239C" w14:textId="77777777" w:rsidR="00B053D3" w:rsidRPr="00172374" w:rsidRDefault="00B053D3" w:rsidP="001A27D0">
            <w:pPr>
              <w:rPr>
                <w:iCs/>
                <w:sz w:val="20"/>
                <w:szCs w:val="20"/>
              </w:rPr>
            </w:pPr>
            <w:r w:rsidRPr="00172374">
              <w:rPr>
                <w:iCs/>
                <w:sz w:val="20"/>
                <w:szCs w:val="20"/>
              </w:rPr>
              <w:t>136.782</w:t>
            </w:r>
          </w:p>
        </w:tc>
        <w:tc>
          <w:tcPr>
            <w:tcW w:w="548" w:type="dxa"/>
            <w:shd w:val="clear" w:color="auto" w:fill="auto"/>
          </w:tcPr>
          <w:p w14:paraId="2DA710FB" w14:textId="77777777" w:rsidR="00B053D3" w:rsidRPr="00172374" w:rsidRDefault="00B053D3" w:rsidP="001A27D0">
            <w:pPr>
              <w:rPr>
                <w:iCs/>
                <w:sz w:val="20"/>
                <w:szCs w:val="20"/>
              </w:rPr>
            </w:pPr>
            <w:r w:rsidRPr="00172374">
              <w:rPr>
                <w:iCs/>
                <w:sz w:val="20"/>
                <w:szCs w:val="20"/>
              </w:rPr>
              <w:t>43</w:t>
            </w:r>
          </w:p>
        </w:tc>
        <w:tc>
          <w:tcPr>
            <w:tcW w:w="879" w:type="dxa"/>
            <w:shd w:val="clear" w:color="auto" w:fill="auto"/>
          </w:tcPr>
          <w:p w14:paraId="7D4349F1" w14:textId="5E0898CA" w:rsidR="00B053D3" w:rsidRPr="00172374" w:rsidRDefault="00B053D3" w:rsidP="001A27D0">
            <w:pPr>
              <w:rPr>
                <w:iCs/>
                <w:sz w:val="20"/>
                <w:szCs w:val="20"/>
              </w:rPr>
            </w:pPr>
            <w:r w:rsidRPr="00172374">
              <w:rPr>
                <w:iCs/>
                <w:sz w:val="20"/>
                <w:szCs w:val="20"/>
              </w:rPr>
              <w:t>p&lt;0.00</w:t>
            </w:r>
            <w:r w:rsidR="003B3862" w:rsidRPr="00172374">
              <w:rPr>
                <w:iCs/>
                <w:sz w:val="20"/>
                <w:szCs w:val="20"/>
              </w:rPr>
              <w:t>1</w:t>
            </w:r>
          </w:p>
        </w:tc>
        <w:tc>
          <w:tcPr>
            <w:tcW w:w="685" w:type="dxa"/>
            <w:shd w:val="clear" w:color="auto" w:fill="auto"/>
          </w:tcPr>
          <w:p w14:paraId="19789DCF" w14:textId="77777777" w:rsidR="00B053D3" w:rsidRPr="00172374" w:rsidRDefault="00B053D3" w:rsidP="001A27D0">
            <w:pPr>
              <w:rPr>
                <w:iCs/>
                <w:sz w:val="20"/>
                <w:szCs w:val="20"/>
              </w:rPr>
            </w:pPr>
            <w:r w:rsidRPr="00172374">
              <w:rPr>
                <w:iCs/>
                <w:sz w:val="20"/>
                <w:szCs w:val="20"/>
              </w:rPr>
              <w:t>0.844</w:t>
            </w:r>
          </w:p>
        </w:tc>
        <w:tc>
          <w:tcPr>
            <w:tcW w:w="902" w:type="dxa"/>
            <w:shd w:val="clear" w:color="auto" w:fill="auto"/>
          </w:tcPr>
          <w:p w14:paraId="434AE065" w14:textId="77777777" w:rsidR="00B053D3" w:rsidRPr="00172374" w:rsidRDefault="00B053D3" w:rsidP="003238D0">
            <w:pPr>
              <w:jc w:val="center"/>
              <w:rPr>
                <w:iCs/>
                <w:sz w:val="20"/>
                <w:szCs w:val="20"/>
              </w:rPr>
            </w:pPr>
            <w:r w:rsidRPr="00172374">
              <w:rPr>
                <w:iCs/>
                <w:sz w:val="20"/>
                <w:szCs w:val="20"/>
              </w:rPr>
              <w:t>0.137</w:t>
            </w:r>
          </w:p>
        </w:tc>
      </w:tr>
      <w:tr w:rsidR="00B053D3" w:rsidRPr="00172374" w14:paraId="20659356" w14:textId="77777777" w:rsidTr="003238D0">
        <w:tc>
          <w:tcPr>
            <w:tcW w:w="5383" w:type="dxa"/>
            <w:gridSpan w:val="2"/>
            <w:tcBorders>
              <w:top w:val="single" w:sz="4" w:space="0" w:color="auto"/>
            </w:tcBorders>
            <w:shd w:val="clear" w:color="auto" w:fill="auto"/>
          </w:tcPr>
          <w:p w14:paraId="6353E22E" w14:textId="575EB128" w:rsidR="00212CAF" w:rsidRPr="00172374" w:rsidRDefault="002A69C6" w:rsidP="004B6495">
            <w:pPr>
              <w:rPr>
                <w:sz w:val="20"/>
                <w:szCs w:val="20"/>
              </w:rPr>
            </w:pPr>
            <w:r w:rsidRPr="00172374">
              <w:rPr>
                <w:sz w:val="20"/>
                <w:szCs w:val="20"/>
              </w:rPr>
              <w:t xml:space="preserve">*** </w:t>
            </w:r>
            <w:r w:rsidRPr="00172374">
              <w:rPr>
                <w:i/>
                <w:iCs/>
                <w:sz w:val="20"/>
                <w:szCs w:val="20"/>
              </w:rPr>
              <w:t>p</w:t>
            </w:r>
            <w:r w:rsidR="00212CAF" w:rsidRPr="00172374">
              <w:rPr>
                <w:sz w:val="20"/>
                <w:szCs w:val="20"/>
              </w:rPr>
              <w:t xml:space="preserve"> </w:t>
            </w:r>
            <w:r w:rsidRPr="00172374">
              <w:rPr>
                <w:sz w:val="20"/>
                <w:szCs w:val="20"/>
              </w:rPr>
              <w:t>&lt;</w:t>
            </w:r>
            <w:r w:rsidR="00212CAF" w:rsidRPr="00172374">
              <w:rPr>
                <w:sz w:val="20"/>
                <w:szCs w:val="20"/>
              </w:rPr>
              <w:t xml:space="preserve"> </w:t>
            </w:r>
            <w:r w:rsidRPr="00172374">
              <w:rPr>
                <w:sz w:val="20"/>
                <w:szCs w:val="20"/>
              </w:rPr>
              <w:t>0.001</w:t>
            </w:r>
            <w:r w:rsidR="00212CAF" w:rsidRPr="00172374">
              <w:rPr>
                <w:sz w:val="20"/>
                <w:szCs w:val="20"/>
              </w:rPr>
              <w:t>.</w:t>
            </w:r>
          </w:p>
          <w:p w14:paraId="5A5BEDE0" w14:textId="01A2B7DA" w:rsidR="002A69C6" w:rsidRPr="00172374" w:rsidRDefault="00212CAF" w:rsidP="003238D0">
            <w:pPr>
              <w:spacing w:line="360" w:lineRule="auto"/>
              <w:rPr>
                <w:sz w:val="20"/>
                <w:szCs w:val="20"/>
              </w:rPr>
            </w:pPr>
            <w:r w:rsidRPr="00172374">
              <w:rPr>
                <w:sz w:val="20"/>
                <w:szCs w:val="20"/>
              </w:rPr>
              <w:t xml:space="preserve">Notes: </w:t>
            </w:r>
            <w:r w:rsidR="00B053D3" w:rsidRPr="00172374">
              <w:rPr>
                <w:sz w:val="20"/>
                <w:szCs w:val="20"/>
              </w:rPr>
              <w:t>t-values in parentheses</w:t>
            </w:r>
            <w:r w:rsidRPr="00172374">
              <w:rPr>
                <w:sz w:val="20"/>
                <w:szCs w:val="20"/>
              </w:rPr>
              <w:t>.</w:t>
            </w:r>
          </w:p>
        </w:tc>
        <w:tc>
          <w:tcPr>
            <w:tcW w:w="869" w:type="dxa"/>
            <w:tcBorders>
              <w:top w:val="single" w:sz="4" w:space="0" w:color="auto"/>
            </w:tcBorders>
            <w:shd w:val="clear" w:color="auto" w:fill="auto"/>
          </w:tcPr>
          <w:p w14:paraId="13C19F1E" w14:textId="77777777" w:rsidR="002A69C6" w:rsidRPr="00172374" w:rsidRDefault="002A69C6" w:rsidP="003238D0">
            <w:pPr>
              <w:spacing w:line="360" w:lineRule="auto"/>
              <w:rPr>
                <w:sz w:val="20"/>
                <w:szCs w:val="20"/>
              </w:rPr>
            </w:pPr>
          </w:p>
        </w:tc>
        <w:tc>
          <w:tcPr>
            <w:tcW w:w="548" w:type="dxa"/>
            <w:tcBorders>
              <w:top w:val="single" w:sz="4" w:space="0" w:color="auto"/>
            </w:tcBorders>
            <w:shd w:val="clear" w:color="auto" w:fill="auto"/>
          </w:tcPr>
          <w:p w14:paraId="0601F53A" w14:textId="77777777" w:rsidR="002A69C6" w:rsidRPr="00172374" w:rsidRDefault="002A69C6" w:rsidP="003238D0">
            <w:pPr>
              <w:spacing w:line="360" w:lineRule="auto"/>
              <w:rPr>
                <w:sz w:val="20"/>
                <w:szCs w:val="20"/>
              </w:rPr>
            </w:pPr>
          </w:p>
        </w:tc>
        <w:tc>
          <w:tcPr>
            <w:tcW w:w="879" w:type="dxa"/>
            <w:tcBorders>
              <w:top w:val="single" w:sz="4" w:space="0" w:color="auto"/>
            </w:tcBorders>
            <w:shd w:val="clear" w:color="auto" w:fill="auto"/>
          </w:tcPr>
          <w:p w14:paraId="142975CF" w14:textId="77777777" w:rsidR="002A69C6" w:rsidRPr="00172374" w:rsidRDefault="002A69C6" w:rsidP="003238D0">
            <w:pPr>
              <w:spacing w:line="360" w:lineRule="auto"/>
              <w:rPr>
                <w:sz w:val="20"/>
                <w:szCs w:val="20"/>
              </w:rPr>
            </w:pPr>
          </w:p>
        </w:tc>
        <w:tc>
          <w:tcPr>
            <w:tcW w:w="685" w:type="dxa"/>
            <w:tcBorders>
              <w:top w:val="single" w:sz="4" w:space="0" w:color="auto"/>
            </w:tcBorders>
            <w:shd w:val="clear" w:color="auto" w:fill="auto"/>
          </w:tcPr>
          <w:p w14:paraId="15994178" w14:textId="77777777" w:rsidR="002A69C6" w:rsidRPr="00172374" w:rsidRDefault="002A69C6" w:rsidP="003238D0">
            <w:pPr>
              <w:spacing w:line="360" w:lineRule="auto"/>
              <w:rPr>
                <w:sz w:val="20"/>
                <w:szCs w:val="20"/>
              </w:rPr>
            </w:pPr>
          </w:p>
        </w:tc>
        <w:tc>
          <w:tcPr>
            <w:tcW w:w="902" w:type="dxa"/>
            <w:tcBorders>
              <w:top w:val="single" w:sz="4" w:space="0" w:color="auto"/>
            </w:tcBorders>
            <w:shd w:val="clear" w:color="auto" w:fill="auto"/>
          </w:tcPr>
          <w:p w14:paraId="33716612" w14:textId="77777777" w:rsidR="002A69C6" w:rsidRPr="00172374" w:rsidRDefault="002A69C6" w:rsidP="003238D0">
            <w:pPr>
              <w:spacing w:line="360" w:lineRule="auto"/>
              <w:rPr>
                <w:sz w:val="20"/>
                <w:szCs w:val="20"/>
              </w:rPr>
            </w:pPr>
          </w:p>
        </w:tc>
      </w:tr>
    </w:tbl>
    <w:p w14:paraId="28485CC9" w14:textId="058FDB0E" w:rsidR="00440084" w:rsidRPr="00172374" w:rsidRDefault="002A69C6">
      <w:r w:rsidRPr="00172374">
        <w:br w:type="page"/>
      </w:r>
    </w:p>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2552"/>
        <w:gridCol w:w="2205"/>
      </w:tblGrid>
      <w:tr w:rsidR="00440084" w:rsidRPr="00172374" w14:paraId="74786AB0" w14:textId="77777777" w:rsidTr="004B6495">
        <w:trPr>
          <w:trHeight w:val="601"/>
          <w:jc w:val="center"/>
        </w:trPr>
        <w:tc>
          <w:tcPr>
            <w:tcW w:w="8296" w:type="dxa"/>
            <w:gridSpan w:val="3"/>
            <w:tcBorders>
              <w:bottom w:val="single" w:sz="4" w:space="0" w:color="auto"/>
            </w:tcBorders>
            <w:vAlign w:val="center"/>
          </w:tcPr>
          <w:p w14:paraId="48B22872" w14:textId="1CB1582B" w:rsidR="00440084" w:rsidRPr="00172374" w:rsidRDefault="00440084" w:rsidP="009C337B">
            <w:pPr>
              <w:spacing w:after="60"/>
              <w:rPr>
                <w:b/>
                <w:lang w:val="en-GB"/>
              </w:rPr>
            </w:pPr>
            <w:r w:rsidRPr="00172374">
              <w:rPr>
                <w:b/>
                <w:lang w:val="en-GB"/>
              </w:rPr>
              <w:lastRenderedPageBreak/>
              <w:t>Table 1</w:t>
            </w:r>
            <w:r w:rsidR="009C55D7" w:rsidRPr="00172374">
              <w:rPr>
                <w:b/>
                <w:lang w:val="en-GB"/>
              </w:rPr>
              <w:t>1</w:t>
            </w:r>
          </w:p>
          <w:p w14:paraId="39CC7A31" w14:textId="26D4E763" w:rsidR="00440084" w:rsidRPr="00172374" w:rsidRDefault="00440084" w:rsidP="009C337B">
            <w:pPr>
              <w:spacing w:after="60"/>
              <w:rPr>
                <w:bCs/>
                <w:lang w:val="en-GB"/>
              </w:rPr>
            </w:pPr>
            <w:r w:rsidRPr="00172374">
              <w:rPr>
                <w:bCs/>
                <w:lang w:val="en-GB"/>
              </w:rPr>
              <w:t>Study 4: usefulness test</w:t>
            </w:r>
          </w:p>
        </w:tc>
      </w:tr>
      <w:tr w:rsidR="00440084" w:rsidRPr="00172374" w14:paraId="5873C5F1" w14:textId="77777777" w:rsidTr="004B6495">
        <w:trPr>
          <w:trHeight w:val="601"/>
          <w:jc w:val="center"/>
        </w:trPr>
        <w:tc>
          <w:tcPr>
            <w:tcW w:w="3539" w:type="dxa"/>
            <w:tcBorders>
              <w:top w:val="single" w:sz="4" w:space="0" w:color="auto"/>
              <w:bottom w:val="single" w:sz="4" w:space="0" w:color="auto"/>
            </w:tcBorders>
            <w:vAlign w:val="center"/>
          </w:tcPr>
          <w:p w14:paraId="1DE7FABE" w14:textId="77777777" w:rsidR="00440084" w:rsidRPr="00172374" w:rsidRDefault="00440084" w:rsidP="00F93AFC">
            <w:pPr>
              <w:jc w:val="both"/>
              <w:rPr>
                <w:lang w:val="en-GB"/>
              </w:rPr>
            </w:pPr>
          </w:p>
        </w:tc>
        <w:tc>
          <w:tcPr>
            <w:tcW w:w="2552" w:type="dxa"/>
            <w:tcBorders>
              <w:top w:val="single" w:sz="4" w:space="0" w:color="auto"/>
              <w:bottom w:val="single" w:sz="4" w:space="0" w:color="auto"/>
            </w:tcBorders>
            <w:vAlign w:val="center"/>
          </w:tcPr>
          <w:p w14:paraId="678B0517" w14:textId="77777777" w:rsidR="00440084" w:rsidRPr="00172374" w:rsidRDefault="00440084" w:rsidP="00F93AFC">
            <w:pPr>
              <w:jc w:val="center"/>
              <w:rPr>
                <w:b/>
                <w:sz w:val="22"/>
                <w:szCs w:val="22"/>
                <w:lang w:val="en-GB"/>
              </w:rPr>
            </w:pPr>
            <w:r w:rsidRPr="00172374">
              <w:rPr>
                <w:b/>
                <w:sz w:val="22"/>
                <w:szCs w:val="22"/>
                <w:lang w:val="en-GB"/>
              </w:rPr>
              <w:t>Explained variance using only the predictor of Step 1</w:t>
            </w:r>
          </w:p>
          <w:p w14:paraId="5B4F3ACA" w14:textId="77777777" w:rsidR="00440084" w:rsidRPr="00172374" w:rsidRDefault="00440084" w:rsidP="00F93AFC">
            <w:pPr>
              <w:jc w:val="center"/>
              <w:rPr>
                <w:b/>
                <w:sz w:val="22"/>
                <w:szCs w:val="22"/>
              </w:rPr>
            </w:pPr>
            <w:r w:rsidRPr="00172374">
              <w:rPr>
                <w:b/>
                <w:sz w:val="22"/>
                <w:szCs w:val="22"/>
              </w:rPr>
              <w:t>(R</w:t>
            </w:r>
            <w:r w:rsidRPr="00172374">
              <w:rPr>
                <w:b/>
                <w:sz w:val="22"/>
                <w:szCs w:val="22"/>
                <w:vertAlign w:val="superscript"/>
              </w:rPr>
              <w:t>2</w:t>
            </w:r>
            <w:r w:rsidRPr="00172374">
              <w:rPr>
                <w:b/>
                <w:sz w:val="22"/>
                <w:szCs w:val="22"/>
              </w:rPr>
              <w:t>)</w:t>
            </w:r>
          </w:p>
        </w:tc>
        <w:tc>
          <w:tcPr>
            <w:tcW w:w="2205" w:type="dxa"/>
            <w:tcBorders>
              <w:top w:val="single" w:sz="4" w:space="0" w:color="auto"/>
              <w:bottom w:val="single" w:sz="4" w:space="0" w:color="auto"/>
            </w:tcBorders>
            <w:vAlign w:val="center"/>
          </w:tcPr>
          <w:p w14:paraId="098F45C1" w14:textId="77777777" w:rsidR="00440084" w:rsidRPr="00172374" w:rsidRDefault="00440084" w:rsidP="00F93AFC">
            <w:pPr>
              <w:jc w:val="center"/>
              <w:rPr>
                <w:b/>
                <w:sz w:val="22"/>
                <w:szCs w:val="22"/>
                <w:lang w:val="en-GB"/>
              </w:rPr>
            </w:pPr>
            <w:r w:rsidRPr="00172374">
              <w:rPr>
                <w:b/>
                <w:sz w:val="22"/>
                <w:szCs w:val="22"/>
                <w:lang w:val="en-GB"/>
              </w:rPr>
              <w:t>Change in explained variance following the inclusion of the predictor in Step 2 (</w:t>
            </w:r>
            <w:r w:rsidRPr="00172374">
              <w:rPr>
                <w:b/>
                <w:sz w:val="22"/>
                <w:szCs w:val="22"/>
              </w:rPr>
              <w:t>Δ</w:t>
            </w:r>
            <w:r w:rsidRPr="00172374">
              <w:rPr>
                <w:b/>
                <w:sz w:val="22"/>
                <w:szCs w:val="22"/>
                <w:lang w:val="en-GB"/>
              </w:rPr>
              <w:t>R</w:t>
            </w:r>
            <w:r w:rsidRPr="00172374">
              <w:rPr>
                <w:b/>
                <w:sz w:val="22"/>
                <w:szCs w:val="22"/>
                <w:vertAlign w:val="superscript"/>
                <w:lang w:val="en-GB"/>
              </w:rPr>
              <w:t>2</w:t>
            </w:r>
            <w:r w:rsidRPr="00172374">
              <w:rPr>
                <w:b/>
                <w:sz w:val="22"/>
                <w:szCs w:val="22"/>
                <w:lang w:val="en-GB"/>
              </w:rPr>
              <w:t>)</w:t>
            </w:r>
          </w:p>
        </w:tc>
      </w:tr>
      <w:tr w:rsidR="00440084" w:rsidRPr="00172374" w14:paraId="0A2CA4EB" w14:textId="77777777" w:rsidTr="004B6495">
        <w:trPr>
          <w:jc w:val="center"/>
        </w:trPr>
        <w:tc>
          <w:tcPr>
            <w:tcW w:w="3539" w:type="dxa"/>
            <w:tcBorders>
              <w:top w:val="single" w:sz="4" w:space="0" w:color="auto"/>
            </w:tcBorders>
            <w:vAlign w:val="center"/>
          </w:tcPr>
          <w:p w14:paraId="2A169146" w14:textId="50BD8E84" w:rsidR="00440084" w:rsidRPr="00172374" w:rsidRDefault="00440084" w:rsidP="00F93AFC">
            <w:pPr>
              <w:jc w:val="both"/>
              <w:rPr>
                <w:b/>
                <w:sz w:val="20"/>
                <w:szCs w:val="20"/>
                <w:lang w:val="en-GB"/>
              </w:rPr>
            </w:pPr>
            <w:r w:rsidRPr="00172374">
              <w:rPr>
                <w:b/>
                <w:sz w:val="20"/>
                <w:szCs w:val="20"/>
                <w:lang w:val="en-GB"/>
              </w:rPr>
              <w:t xml:space="preserve">Step 1: </w:t>
            </w:r>
            <w:r w:rsidRPr="00172374">
              <w:rPr>
                <w:sz w:val="20"/>
                <w:szCs w:val="20"/>
                <w:lang w:val="en-GB"/>
              </w:rPr>
              <w:t xml:space="preserve">Wong and </w:t>
            </w:r>
            <w:proofErr w:type="spellStart"/>
            <w:r w:rsidRPr="00172374">
              <w:rPr>
                <w:sz w:val="20"/>
                <w:szCs w:val="20"/>
                <w:lang w:val="en-GB"/>
              </w:rPr>
              <w:t>Merrilees</w:t>
            </w:r>
            <w:proofErr w:type="spellEnd"/>
            <w:r w:rsidRPr="00172374">
              <w:rPr>
                <w:sz w:val="20"/>
                <w:szCs w:val="20"/>
                <w:lang w:val="en-GB"/>
              </w:rPr>
              <w:t xml:space="preserve"> (2007) scale</w:t>
            </w:r>
          </w:p>
        </w:tc>
        <w:tc>
          <w:tcPr>
            <w:tcW w:w="2552" w:type="dxa"/>
            <w:tcBorders>
              <w:top w:val="single" w:sz="4" w:space="0" w:color="auto"/>
            </w:tcBorders>
            <w:vAlign w:val="center"/>
          </w:tcPr>
          <w:p w14:paraId="3ECFF07D" w14:textId="2A1861FB" w:rsidR="00440084" w:rsidRPr="00172374" w:rsidRDefault="00440084" w:rsidP="00F93AFC">
            <w:pPr>
              <w:jc w:val="center"/>
              <w:rPr>
                <w:sz w:val="20"/>
                <w:szCs w:val="20"/>
              </w:rPr>
            </w:pPr>
            <w:r w:rsidRPr="00172374">
              <w:rPr>
                <w:sz w:val="20"/>
                <w:szCs w:val="20"/>
              </w:rPr>
              <w:t>0.200</w:t>
            </w:r>
            <w:r w:rsidRPr="00172374">
              <w:rPr>
                <w:sz w:val="20"/>
                <w:szCs w:val="20"/>
                <w:vertAlign w:val="superscript"/>
              </w:rPr>
              <w:t>***</w:t>
            </w:r>
          </w:p>
        </w:tc>
        <w:tc>
          <w:tcPr>
            <w:tcW w:w="2205" w:type="dxa"/>
            <w:tcBorders>
              <w:top w:val="single" w:sz="4" w:space="0" w:color="auto"/>
            </w:tcBorders>
            <w:vAlign w:val="center"/>
          </w:tcPr>
          <w:p w14:paraId="4A49BEE1" w14:textId="77777777" w:rsidR="00440084" w:rsidRPr="00172374" w:rsidRDefault="00440084" w:rsidP="00F93AFC">
            <w:pPr>
              <w:jc w:val="center"/>
              <w:rPr>
                <w:sz w:val="20"/>
                <w:szCs w:val="20"/>
              </w:rPr>
            </w:pPr>
          </w:p>
        </w:tc>
      </w:tr>
      <w:tr w:rsidR="00440084" w:rsidRPr="00172374" w14:paraId="67EDE841" w14:textId="77777777" w:rsidTr="00440084">
        <w:trPr>
          <w:jc w:val="center"/>
        </w:trPr>
        <w:tc>
          <w:tcPr>
            <w:tcW w:w="3539" w:type="dxa"/>
            <w:vAlign w:val="center"/>
          </w:tcPr>
          <w:p w14:paraId="6721749D" w14:textId="1693588D" w:rsidR="00440084" w:rsidRPr="00172374" w:rsidRDefault="00440084" w:rsidP="00F93AFC">
            <w:pPr>
              <w:jc w:val="both"/>
              <w:rPr>
                <w:b/>
                <w:sz w:val="20"/>
                <w:szCs w:val="20"/>
                <w:lang w:val="en-GB"/>
              </w:rPr>
            </w:pPr>
            <w:r w:rsidRPr="00172374">
              <w:rPr>
                <w:b/>
                <w:sz w:val="20"/>
                <w:szCs w:val="20"/>
                <w:lang w:val="en-GB"/>
              </w:rPr>
              <w:t xml:space="preserve">Step 2: </w:t>
            </w:r>
            <w:r w:rsidRPr="00172374">
              <w:rPr>
                <w:sz w:val="20"/>
                <w:szCs w:val="20"/>
                <w:lang w:val="en-GB"/>
              </w:rPr>
              <w:t>New Brand Orientation scale</w:t>
            </w:r>
          </w:p>
        </w:tc>
        <w:tc>
          <w:tcPr>
            <w:tcW w:w="2552" w:type="dxa"/>
            <w:vAlign w:val="center"/>
          </w:tcPr>
          <w:p w14:paraId="098395A9" w14:textId="77777777" w:rsidR="00440084" w:rsidRPr="00172374" w:rsidRDefault="00440084" w:rsidP="00F93AFC">
            <w:pPr>
              <w:jc w:val="center"/>
              <w:rPr>
                <w:sz w:val="20"/>
                <w:szCs w:val="20"/>
                <w:lang w:val="en-GB"/>
              </w:rPr>
            </w:pPr>
          </w:p>
        </w:tc>
        <w:tc>
          <w:tcPr>
            <w:tcW w:w="2205" w:type="dxa"/>
            <w:vAlign w:val="center"/>
          </w:tcPr>
          <w:p w14:paraId="18113A15" w14:textId="194C22B0" w:rsidR="00440084" w:rsidRPr="00172374" w:rsidRDefault="00440084" w:rsidP="00F93AFC">
            <w:pPr>
              <w:jc w:val="center"/>
              <w:rPr>
                <w:sz w:val="20"/>
                <w:szCs w:val="20"/>
              </w:rPr>
            </w:pPr>
            <w:r w:rsidRPr="00172374">
              <w:rPr>
                <w:sz w:val="20"/>
                <w:szCs w:val="20"/>
              </w:rPr>
              <w:t>+0.110</w:t>
            </w:r>
            <w:r w:rsidRPr="00172374">
              <w:rPr>
                <w:sz w:val="20"/>
                <w:szCs w:val="20"/>
                <w:vertAlign w:val="superscript"/>
              </w:rPr>
              <w:t xml:space="preserve">*** </w:t>
            </w:r>
            <w:r w:rsidRPr="00172374">
              <w:rPr>
                <w:sz w:val="20"/>
                <w:szCs w:val="20"/>
              </w:rPr>
              <w:t>(+55%)</w:t>
            </w:r>
          </w:p>
        </w:tc>
      </w:tr>
      <w:tr w:rsidR="00440084" w:rsidRPr="00172374" w14:paraId="302924B8" w14:textId="77777777" w:rsidTr="00440084">
        <w:trPr>
          <w:jc w:val="center"/>
        </w:trPr>
        <w:tc>
          <w:tcPr>
            <w:tcW w:w="3539" w:type="dxa"/>
            <w:vAlign w:val="center"/>
          </w:tcPr>
          <w:p w14:paraId="2CF40165" w14:textId="77777777" w:rsidR="00440084" w:rsidRPr="00172374" w:rsidRDefault="00440084" w:rsidP="00F93AFC">
            <w:pPr>
              <w:jc w:val="both"/>
              <w:rPr>
                <w:sz w:val="20"/>
                <w:szCs w:val="20"/>
              </w:rPr>
            </w:pPr>
          </w:p>
        </w:tc>
        <w:tc>
          <w:tcPr>
            <w:tcW w:w="2552" w:type="dxa"/>
            <w:vAlign w:val="center"/>
          </w:tcPr>
          <w:p w14:paraId="27E65C3B" w14:textId="77777777" w:rsidR="00440084" w:rsidRPr="00172374" w:rsidRDefault="00440084" w:rsidP="00F93AFC">
            <w:pPr>
              <w:jc w:val="center"/>
              <w:rPr>
                <w:sz w:val="20"/>
                <w:szCs w:val="20"/>
              </w:rPr>
            </w:pPr>
          </w:p>
        </w:tc>
        <w:tc>
          <w:tcPr>
            <w:tcW w:w="2205" w:type="dxa"/>
            <w:vAlign w:val="center"/>
          </w:tcPr>
          <w:p w14:paraId="4B6D036C" w14:textId="77777777" w:rsidR="00440084" w:rsidRPr="00172374" w:rsidRDefault="00440084" w:rsidP="00F93AFC">
            <w:pPr>
              <w:jc w:val="center"/>
              <w:rPr>
                <w:sz w:val="20"/>
                <w:szCs w:val="20"/>
              </w:rPr>
            </w:pPr>
          </w:p>
        </w:tc>
      </w:tr>
      <w:tr w:rsidR="00440084" w:rsidRPr="00172374" w14:paraId="4FAACECB" w14:textId="77777777" w:rsidTr="00440084">
        <w:trPr>
          <w:jc w:val="center"/>
        </w:trPr>
        <w:tc>
          <w:tcPr>
            <w:tcW w:w="3539" w:type="dxa"/>
            <w:vAlign w:val="center"/>
          </w:tcPr>
          <w:p w14:paraId="05076804" w14:textId="2A78188F" w:rsidR="00440084" w:rsidRPr="00172374" w:rsidRDefault="00440084" w:rsidP="00F93AFC">
            <w:pPr>
              <w:jc w:val="both"/>
              <w:rPr>
                <w:b/>
                <w:sz w:val="20"/>
                <w:szCs w:val="20"/>
                <w:lang w:val="en-GB"/>
              </w:rPr>
            </w:pPr>
            <w:r w:rsidRPr="00172374">
              <w:rPr>
                <w:b/>
                <w:sz w:val="20"/>
                <w:szCs w:val="20"/>
                <w:lang w:val="en-GB"/>
              </w:rPr>
              <w:t xml:space="preserve">Step 1: </w:t>
            </w:r>
            <w:r w:rsidRPr="00172374">
              <w:rPr>
                <w:sz w:val="20"/>
                <w:szCs w:val="20"/>
                <w:lang w:val="en-GB"/>
              </w:rPr>
              <w:t>Huang and Tsai (2013) scale</w:t>
            </w:r>
          </w:p>
        </w:tc>
        <w:tc>
          <w:tcPr>
            <w:tcW w:w="2552" w:type="dxa"/>
            <w:vAlign w:val="center"/>
          </w:tcPr>
          <w:p w14:paraId="082E208C" w14:textId="04739D79" w:rsidR="00440084" w:rsidRPr="00172374" w:rsidRDefault="00440084" w:rsidP="00F93AFC">
            <w:pPr>
              <w:jc w:val="center"/>
              <w:rPr>
                <w:sz w:val="20"/>
                <w:szCs w:val="20"/>
              </w:rPr>
            </w:pPr>
            <w:r w:rsidRPr="00172374">
              <w:rPr>
                <w:sz w:val="20"/>
                <w:szCs w:val="20"/>
              </w:rPr>
              <w:t>0.327</w:t>
            </w:r>
            <w:r w:rsidRPr="00172374">
              <w:rPr>
                <w:sz w:val="20"/>
                <w:szCs w:val="20"/>
                <w:vertAlign w:val="superscript"/>
              </w:rPr>
              <w:t>***</w:t>
            </w:r>
          </w:p>
        </w:tc>
        <w:tc>
          <w:tcPr>
            <w:tcW w:w="2205" w:type="dxa"/>
            <w:vAlign w:val="center"/>
          </w:tcPr>
          <w:p w14:paraId="6CA34C16" w14:textId="77777777" w:rsidR="00440084" w:rsidRPr="00172374" w:rsidRDefault="00440084" w:rsidP="00F93AFC">
            <w:pPr>
              <w:jc w:val="center"/>
              <w:rPr>
                <w:sz w:val="20"/>
                <w:szCs w:val="20"/>
              </w:rPr>
            </w:pPr>
          </w:p>
        </w:tc>
      </w:tr>
      <w:tr w:rsidR="00440084" w:rsidRPr="00172374" w14:paraId="45AB0A03" w14:textId="77777777" w:rsidTr="00440084">
        <w:trPr>
          <w:jc w:val="center"/>
        </w:trPr>
        <w:tc>
          <w:tcPr>
            <w:tcW w:w="3539" w:type="dxa"/>
            <w:vAlign w:val="center"/>
          </w:tcPr>
          <w:p w14:paraId="40818D32" w14:textId="57D96D08" w:rsidR="00440084" w:rsidRPr="00172374" w:rsidRDefault="00440084" w:rsidP="00F93AFC">
            <w:pPr>
              <w:jc w:val="both"/>
              <w:rPr>
                <w:b/>
                <w:sz w:val="20"/>
                <w:szCs w:val="20"/>
                <w:lang w:val="en-GB"/>
              </w:rPr>
            </w:pPr>
            <w:r w:rsidRPr="00172374">
              <w:rPr>
                <w:b/>
                <w:sz w:val="20"/>
                <w:szCs w:val="20"/>
                <w:lang w:val="en-GB"/>
              </w:rPr>
              <w:t xml:space="preserve">Step 2: </w:t>
            </w:r>
            <w:r w:rsidRPr="00172374">
              <w:rPr>
                <w:sz w:val="20"/>
                <w:szCs w:val="20"/>
                <w:lang w:val="en-GB"/>
              </w:rPr>
              <w:t>New Brand Orientation scale</w:t>
            </w:r>
          </w:p>
        </w:tc>
        <w:tc>
          <w:tcPr>
            <w:tcW w:w="2552" w:type="dxa"/>
            <w:vAlign w:val="center"/>
          </w:tcPr>
          <w:p w14:paraId="45129FD7" w14:textId="77777777" w:rsidR="00440084" w:rsidRPr="00172374" w:rsidRDefault="00440084" w:rsidP="00F93AFC">
            <w:pPr>
              <w:jc w:val="center"/>
              <w:rPr>
                <w:sz w:val="20"/>
                <w:szCs w:val="20"/>
                <w:lang w:val="en-GB"/>
              </w:rPr>
            </w:pPr>
          </w:p>
        </w:tc>
        <w:tc>
          <w:tcPr>
            <w:tcW w:w="2205" w:type="dxa"/>
            <w:vAlign w:val="center"/>
          </w:tcPr>
          <w:p w14:paraId="768ACB6D" w14:textId="18DB7788" w:rsidR="00440084" w:rsidRPr="00172374" w:rsidRDefault="00440084" w:rsidP="00F93AFC">
            <w:pPr>
              <w:jc w:val="center"/>
              <w:rPr>
                <w:sz w:val="20"/>
                <w:szCs w:val="20"/>
              </w:rPr>
            </w:pPr>
            <w:r w:rsidRPr="00172374">
              <w:rPr>
                <w:sz w:val="20"/>
                <w:szCs w:val="20"/>
              </w:rPr>
              <w:t>+0.051</w:t>
            </w:r>
            <w:r w:rsidRPr="00172374">
              <w:rPr>
                <w:sz w:val="20"/>
                <w:szCs w:val="20"/>
                <w:vertAlign w:val="superscript"/>
              </w:rPr>
              <w:t xml:space="preserve">** </w:t>
            </w:r>
            <w:r w:rsidRPr="00172374">
              <w:rPr>
                <w:sz w:val="20"/>
                <w:szCs w:val="20"/>
              </w:rPr>
              <w:t>(+16%)</w:t>
            </w:r>
          </w:p>
        </w:tc>
      </w:tr>
      <w:tr w:rsidR="00440084" w:rsidRPr="00172374" w14:paraId="5751F021" w14:textId="77777777" w:rsidTr="00440084">
        <w:trPr>
          <w:jc w:val="center"/>
        </w:trPr>
        <w:tc>
          <w:tcPr>
            <w:tcW w:w="3539" w:type="dxa"/>
            <w:vAlign w:val="center"/>
          </w:tcPr>
          <w:p w14:paraId="4DABE0D8" w14:textId="77777777" w:rsidR="00440084" w:rsidRPr="00172374" w:rsidRDefault="00440084" w:rsidP="00F93AFC">
            <w:pPr>
              <w:jc w:val="both"/>
              <w:rPr>
                <w:sz w:val="20"/>
                <w:szCs w:val="20"/>
              </w:rPr>
            </w:pPr>
          </w:p>
        </w:tc>
        <w:tc>
          <w:tcPr>
            <w:tcW w:w="2552" w:type="dxa"/>
            <w:vAlign w:val="center"/>
          </w:tcPr>
          <w:p w14:paraId="55DD8A72" w14:textId="77777777" w:rsidR="00440084" w:rsidRPr="00172374" w:rsidRDefault="00440084" w:rsidP="00F93AFC">
            <w:pPr>
              <w:jc w:val="center"/>
              <w:rPr>
                <w:sz w:val="20"/>
                <w:szCs w:val="20"/>
              </w:rPr>
            </w:pPr>
          </w:p>
        </w:tc>
        <w:tc>
          <w:tcPr>
            <w:tcW w:w="2205" w:type="dxa"/>
            <w:vAlign w:val="center"/>
          </w:tcPr>
          <w:p w14:paraId="2F15184C" w14:textId="77777777" w:rsidR="00440084" w:rsidRPr="00172374" w:rsidRDefault="00440084" w:rsidP="00F93AFC">
            <w:pPr>
              <w:jc w:val="center"/>
              <w:rPr>
                <w:sz w:val="20"/>
                <w:szCs w:val="20"/>
              </w:rPr>
            </w:pPr>
          </w:p>
        </w:tc>
      </w:tr>
      <w:tr w:rsidR="00440084" w:rsidRPr="00172374" w14:paraId="33D6E9E5" w14:textId="77777777" w:rsidTr="00440084">
        <w:trPr>
          <w:jc w:val="center"/>
        </w:trPr>
        <w:tc>
          <w:tcPr>
            <w:tcW w:w="3539" w:type="dxa"/>
            <w:vAlign w:val="center"/>
          </w:tcPr>
          <w:p w14:paraId="31A9CCEE" w14:textId="436EA72F" w:rsidR="00440084" w:rsidRPr="00172374" w:rsidRDefault="00440084" w:rsidP="00F93AFC">
            <w:pPr>
              <w:jc w:val="both"/>
              <w:rPr>
                <w:b/>
                <w:sz w:val="20"/>
                <w:szCs w:val="20"/>
                <w:lang w:val="en-GB"/>
              </w:rPr>
            </w:pPr>
            <w:r w:rsidRPr="00172374">
              <w:rPr>
                <w:b/>
                <w:sz w:val="20"/>
                <w:szCs w:val="20"/>
                <w:lang w:val="en-GB"/>
              </w:rPr>
              <w:t xml:space="preserve">Step 1: </w:t>
            </w:r>
            <w:r w:rsidRPr="00172374">
              <w:rPr>
                <w:sz w:val="20"/>
                <w:szCs w:val="20"/>
                <w:lang w:val="en-GB"/>
              </w:rPr>
              <w:t>New Brand Orientation scale</w:t>
            </w:r>
          </w:p>
        </w:tc>
        <w:tc>
          <w:tcPr>
            <w:tcW w:w="2552" w:type="dxa"/>
            <w:vAlign w:val="center"/>
          </w:tcPr>
          <w:p w14:paraId="5A27A099" w14:textId="626CE2C7" w:rsidR="00440084" w:rsidRPr="00172374" w:rsidRDefault="00440084" w:rsidP="00F93AFC">
            <w:pPr>
              <w:jc w:val="center"/>
              <w:rPr>
                <w:sz w:val="20"/>
                <w:szCs w:val="20"/>
              </w:rPr>
            </w:pPr>
            <w:r w:rsidRPr="00172374">
              <w:rPr>
                <w:sz w:val="20"/>
                <w:szCs w:val="20"/>
              </w:rPr>
              <w:t>0.309</w:t>
            </w:r>
            <w:r w:rsidRPr="00172374">
              <w:rPr>
                <w:sz w:val="20"/>
                <w:szCs w:val="20"/>
                <w:vertAlign w:val="superscript"/>
              </w:rPr>
              <w:t>***</w:t>
            </w:r>
          </w:p>
        </w:tc>
        <w:tc>
          <w:tcPr>
            <w:tcW w:w="2205" w:type="dxa"/>
            <w:vAlign w:val="center"/>
          </w:tcPr>
          <w:p w14:paraId="3D48FB21" w14:textId="77777777" w:rsidR="00440084" w:rsidRPr="00172374" w:rsidRDefault="00440084" w:rsidP="00F93AFC">
            <w:pPr>
              <w:jc w:val="center"/>
              <w:rPr>
                <w:sz w:val="20"/>
                <w:szCs w:val="20"/>
              </w:rPr>
            </w:pPr>
          </w:p>
        </w:tc>
      </w:tr>
      <w:tr w:rsidR="00440084" w:rsidRPr="00172374" w14:paraId="2166CA6B" w14:textId="77777777" w:rsidTr="00440084">
        <w:trPr>
          <w:jc w:val="center"/>
        </w:trPr>
        <w:tc>
          <w:tcPr>
            <w:tcW w:w="3539" w:type="dxa"/>
            <w:vAlign w:val="center"/>
          </w:tcPr>
          <w:p w14:paraId="2ED0860A" w14:textId="239E5C77" w:rsidR="00440084" w:rsidRPr="00172374" w:rsidRDefault="00440084" w:rsidP="00F93AFC">
            <w:pPr>
              <w:jc w:val="both"/>
              <w:rPr>
                <w:b/>
                <w:sz w:val="20"/>
                <w:szCs w:val="20"/>
                <w:lang w:val="en-GB"/>
              </w:rPr>
            </w:pPr>
            <w:r w:rsidRPr="00172374">
              <w:rPr>
                <w:b/>
                <w:sz w:val="20"/>
                <w:szCs w:val="20"/>
                <w:lang w:val="en-GB"/>
              </w:rPr>
              <w:t xml:space="preserve">Step 2: </w:t>
            </w:r>
            <w:r w:rsidRPr="00172374">
              <w:rPr>
                <w:sz w:val="20"/>
                <w:szCs w:val="20"/>
                <w:lang w:val="en-GB"/>
              </w:rPr>
              <w:t xml:space="preserve">Wong and </w:t>
            </w:r>
            <w:proofErr w:type="spellStart"/>
            <w:r w:rsidRPr="00172374">
              <w:rPr>
                <w:sz w:val="20"/>
                <w:szCs w:val="20"/>
                <w:lang w:val="en-GB"/>
              </w:rPr>
              <w:t>Merrilees</w:t>
            </w:r>
            <w:proofErr w:type="spellEnd"/>
            <w:r w:rsidRPr="00172374">
              <w:rPr>
                <w:sz w:val="20"/>
                <w:szCs w:val="20"/>
                <w:lang w:val="en-GB"/>
              </w:rPr>
              <w:t xml:space="preserve"> (2007) scale</w:t>
            </w:r>
          </w:p>
        </w:tc>
        <w:tc>
          <w:tcPr>
            <w:tcW w:w="2552" w:type="dxa"/>
            <w:vAlign w:val="center"/>
          </w:tcPr>
          <w:p w14:paraId="10B2F3EB" w14:textId="77777777" w:rsidR="00440084" w:rsidRPr="00172374" w:rsidRDefault="00440084" w:rsidP="00F93AFC">
            <w:pPr>
              <w:jc w:val="center"/>
              <w:rPr>
                <w:sz w:val="20"/>
                <w:szCs w:val="20"/>
                <w:lang w:val="en-GB"/>
              </w:rPr>
            </w:pPr>
          </w:p>
        </w:tc>
        <w:tc>
          <w:tcPr>
            <w:tcW w:w="2205" w:type="dxa"/>
            <w:vAlign w:val="center"/>
          </w:tcPr>
          <w:p w14:paraId="3C444062" w14:textId="238D7A0C" w:rsidR="00440084" w:rsidRPr="00172374" w:rsidRDefault="00440084" w:rsidP="00F93AFC">
            <w:pPr>
              <w:jc w:val="center"/>
              <w:rPr>
                <w:sz w:val="20"/>
                <w:szCs w:val="20"/>
              </w:rPr>
            </w:pPr>
            <w:r w:rsidRPr="00172374">
              <w:rPr>
                <w:sz w:val="20"/>
                <w:szCs w:val="20"/>
              </w:rPr>
              <w:t>+0.001</w:t>
            </w:r>
            <w:proofErr w:type="gramStart"/>
            <w:r w:rsidRPr="00172374">
              <w:rPr>
                <w:sz w:val="20"/>
                <w:szCs w:val="20"/>
                <w:vertAlign w:val="superscript"/>
              </w:rPr>
              <w:t xml:space="preserve">ns  </w:t>
            </w:r>
            <w:r w:rsidRPr="00172374">
              <w:rPr>
                <w:sz w:val="20"/>
                <w:szCs w:val="20"/>
              </w:rPr>
              <w:t>(</w:t>
            </w:r>
            <w:proofErr w:type="gramEnd"/>
            <w:r w:rsidRPr="00172374">
              <w:rPr>
                <w:sz w:val="20"/>
                <w:szCs w:val="20"/>
              </w:rPr>
              <w:t>+0%)</w:t>
            </w:r>
          </w:p>
        </w:tc>
      </w:tr>
      <w:tr w:rsidR="00440084" w:rsidRPr="00172374" w14:paraId="151BEA7E" w14:textId="77777777" w:rsidTr="00440084">
        <w:trPr>
          <w:jc w:val="center"/>
        </w:trPr>
        <w:tc>
          <w:tcPr>
            <w:tcW w:w="3539" w:type="dxa"/>
            <w:vAlign w:val="center"/>
          </w:tcPr>
          <w:p w14:paraId="7F70240A" w14:textId="77777777" w:rsidR="00440084" w:rsidRPr="00172374" w:rsidRDefault="00440084" w:rsidP="00F93AFC">
            <w:pPr>
              <w:jc w:val="both"/>
              <w:rPr>
                <w:sz w:val="20"/>
                <w:szCs w:val="20"/>
              </w:rPr>
            </w:pPr>
          </w:p>
        </w:tc>
        <w:tc>
          <w:tcPr>
            <w:tcW w:w="2552" w:type="dxa"/>
            <w:vAlign w:val="center"/>
          </w:tcPr>
          <w:p w14:paraId="0C23842E" w14:textId="77777777" w:rsidR="00440084" w:rsidRPr="00172374" w:rsidRDefault="00440084" w:rsidP="00F93AFC">
            <w:pPr>
              <w:jc w:val="center"/>
              <w:rPr>
                <w:sz w:val="20"/>
                <w:szCs w:val="20"/>
              </w:rPr>
            </w:pPr>
          </w:p>
        </w:tc>
        <w:tc>
          <w:tcPr>
            <w:tcW w:w="2205" w:type="dxa"/>
            <w:vAlign w:val="center"/>
          </w:tcPr>
          <w:p w14:paraId="49928598" w14:textId="77777777" w:rsidR="00440084" w:rsidRPr="00172374" w:rsidRDefault="00440084" w:rsidP="00F93AFC">
            <w:pPr>
              <w:jc w:val="center"/>
              <w:rPr>
                <w:sz w:val="20"/>
                <w:szCs w:val="20"/>
              </w:rPr>
            </w:pPr>
          </w:p>
        </w:tc>
      </w:tr>
      <w:tr w:rsidR="00440084" w:rsidRPr="00172374" w14:paraId="32DA8B4A" w14:textId="77777777" w:rsidTr="004B6495">
        <w:trPr>
          <w:jc w:val="center"/>
        </w:trPr>
        <w:tc>
          <w:tcPr>
            <w:tcW w:w="3539" w:type="dxa"/>
            <w:vAlign w:val="center"/>
          </w:tcPr>
          <w:p w14:paraId="6CE3E6B1" w14:textId="7D84FFB0" w:rsidR="00440084" w:rsidRPr="00172374" w:rsidRDefault="00440084" w:rsidP="00F93AFC">
            <w:pPr>
              <w:jc w:val="both"/>
              <w:rPr>
                <w:b/>
                <w:sz w:val="20"/>
                <w:szCs w:val="20"/>
                <w:lang w:val="en-GB"/>
              </w:rPr>
            </w:pPr>
            <w:r w:rsidRPr="00172374">
              <w:rPr>
                <w:b/>
                <w:sz w:val="20"/>
                <w:szCs w:val="20"/>
                <w:lang w:val="en-GB"/>
              </w:rPr>
              <w:t xml:space="preserve">Step 1: </w:t>
            </w:r>
            <w:r w:rsidRPr="00172374">
              <w:rPr>
                <w:sz w:val="20"/>
                <w:szCs w:val="20"/>
                <w:lang w:val="en-GB"/>
              </w:rPr>
              <w:t>New Brand Orientation scale</w:t>
            </w:r>
          </w:p>
        </w:tc>
        <w:tc>
          <w:tcPr>
            <w:tcW w:w="2552" w:type="dxa"/>
            <w:vAlign w:val="center"/>
          </w:tcPr>
          <w:p w14:paraId="7E160969" w14:textId="0644D280" w:rsidR="00440084" w:rsidRPr="00172374" w:rsidRDefault="00440084" w:rsidP="00F93AFC">
            <w:pPr>
              <w:jc w:val="center"/>
              <w:rPr>
                <w:sz w:val="20"/>
                <w:szCs w:val="20"/>
              </w:rPr>
            </w:pPr>
            <w:r w:rsidRPr="00172374">
              <w:rPr>
                <w:sz w:val="20"/>
                <w:szCs w:val="20"/>
              </w:rPr>
              <w:t>0.309</w:t>
            </w:r>
            <w:r w:rsidRPr="00172374">
              <w:rPr>
                <w:sz w:val="20"/>
                <w:szCs w:val="20"/>
                <w:vertAlign w:val="superscript"/>
              </w:rPr>
              <w:t>***</w:t>
            </w:r>
          </w:p>
        </w:tc>
        <w:tc>
          <w:tcPr>
            <w:tcW w:w="2205" w:type="dxa"/>
            <w:vAlign w:val="center"/>
          </w:tcPr>
          <w:p w14:paraId="2E73FDC0" w14:textId="77777777" w:rsidR="00440084" w:rsidRPr="00172374" w:rsidRDefault="00440084" w:rsidP="00F93AFC">
            <w:pPr>
              <w:jc w:val="center"/>
              <w:rPr>
                <w:sz w:val="20"/>
                <w:szCs w:val="20"/>
              </w:rPr>
            </w:pPr>
          </w:p>
        </w:tc>
      </w:tr>
      <w:tr w:rsidR="00440084" w:rsidRPr="00172374" w14:paraId="49FEB56E" w14:textId="77777777" w:rsidTr="004B6495">
        <w:trPr>
          <w:jc w:val="center"/>
        </w:trPr>
        <w:tc>
          <w:tcPr>
            <w:tcW w:w="3539" w:type="dxa"/>
            <w:tcBorders>
              <w:bottom w:val="single" w:sz="4" w:space="0" w:color="auto"/>
            </w:tcBorders>
            <w:vAlign w:val="center"/>
          </w:tcPr>
          <w:p w14:paraId="77D12A7E" w14:textId="4EBFAB38" w:rsidR="00440084" w:rsidRPr="00172374" w:rsidRDefault="00440084" w:rsidP="00F93AFC">
            <w:pPr>
              <w:jc w:val="both"/>
              <w:rPr>
                <w:b/>
                <w:sz w:val="20"/>
                <w:szCs w:val="20"/>
                <w:lang w:val="en-GB"/>
              </w:rPr>
            </w:pPr>
            <w:r w:rsidRPr="00172374">
              <w:rPr>
                <w:b/>
                <w:sz w:val="20"/>
                <w:szCs w:val="20"/>
                <w:lang w:val="en-GB"/>
              </w:rPr>
              <w:t xml:space="preserve">Step 2: </w:t>
            </w:r>
            <w:r w:rsidRPr="00172374">
              <w:rPr>
                <w:sz w:val="20"/>
                <w:szCs w:val="20"/>
                <w:lang w:val="en-GB"/>
              </w:rPr>
              <w:t>Huang and Tsai (2013) scale</w:t>
            </w:r>
          </w:p>
        </w:tc>
        <w:tc>
          <w:tcPr>
            <w:tcW w:w="2552" w:type="dxa"/>
            <w:tcBorders>
              <w:bottom w:val="single" w:sz="4" w:space="0" w:color="auto"/>
            </w:tcBorders>
            <w:vAlign w:val="center"/>
          </w:tcPr>
          <w:p w14:paraId="2E5825DA" w14:textId="77777777" w:rsidR="00440084" w:rsidRPr="00172374" w:rsidRDefault="00440084" w:rsidP="00F93AFC">
            <w:pPr>
              <w:jc w:val="center"/>
              <w:rPr>
                <w:sz w:val="20"/>
                <w:szCs w:val="20"/>
                <w:lang w:val="en-GB"/>
              </w:rPr>
            </w:pPr>
          </w:p>
        </w:tc>
        <w:tc>
          <w:tcPr>
            <w:tcW w:w="2205" w:type="dxa"/>
            <w:tcBorders>
              <w:bottom w:val="single" w:sz="4" w:space="0" w:color="auto"/>
            </w:tcBorders>
            <w:vAlign w:val="center"/>
          </w:tcPr>
          <w:p w14:paraId="06B0DC43" w14:textId="351C8E57" w:rsidR="00440084" w:rsidRPr="00172374" w:rsidRDefault="00440084" w:rsidP="00F93AFC">
            <w:pPr>
              <w:jc w:val="center"/>
              <w:rPr>
                <w:sz w:val="20"/>
                <w:szCs w:val="20"/>
              </w:rPr>
            </w:pPr>
            <w:r w:rsidRPr="00172374">
              <w:rPr>
                <w:sz w:val="20"/>
                <w:szCs w:val="20"/>
              </w:rPr>
              <w:t>+0.069</w:t>
            </w:r>
            <w:r w:rsidRPr="00172374">
              <w:rPr>
                <w:sz w:val="20"/>
                <w:szCs w:val="20"/>
                <w:vertAlign w:val="superscript"/>
              </w:rPr>
              <w:t>***</w:t>
            </w:r>
            <w:r w:rsidRPr="00172374">
              <w:rPr>
                <w:sz w:val="20"/>
                <w:szCs w:val="20"/>
              </w:rPr>
              <w:t xml:space="preserve"> (+22%)</w:t>
            </w:r>
          </w:p>
        </w:tc>
      </w:tr>
    </w:tbl>
    <w:p w14:paraId="73D21910" w14:textId="4B804F1D" w:rsidR="00440084" w:rsidRPr="00172374" w:rsidRDefault="00440084">
      <w:r w:rsidRPr="00172374">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6"/>
        <w:gridCol w:w="2054"/>
        <w:gridCol w:w="1594"/>
        <w:gridCol w:w="908"/>
        <w:gridCol w:w="776"/>
        <w:gridCol w:w="75"/>
        <w:gridCol w:w="701"/>
        <w:gridCol w:w="535"/>
      </w:tblGrid>
      <w:tr w:rsidR="0030726B" w:rsidRPr="00172374" w14:paraId="049AC9FB" w14:textId="77777777" w:rsidTr="00440084">
        <w:trPr>
          <w:jc w:val="center"/>
        </w:trPr>
        <w:tc>
          <w:tcPr>
            <w:tcW w:w="7419" w:type="dxa"/>
            <w:gridSpan w:val="8"/>
            <w:tcBorders>
              <w:top w:val="dashed" w:sz="4" w:space="0" w:color="FFFFFF"/>
              <w:left w:val="dashed" w:sz="4" w:space="0" w:color="FFFFFF"/>
              <w:right w:val="dashed" w:sz="4" w:space="0" w:color="FFFFFF"/>
            </w:tcBorders>
          </w:tcPr>
          <w:p w14:paraId="7A73556D" w14:textId="67964449" w:rsidR="0030726B" w:rsidRPr="00172374" w:rsidRDefault="0030726B" w:rsidP="00F93AFC">
            <w:pPr>
              <w:spacing w:after="60"/>
              <w:rPr>
                <w:b/>
              </w:rPr>
            </w:pPr>
            <w:r w:rsidRPr="00172374">
              <w:lastRenderedPageBreak/>
              <w:br w:type="page"/>
            </w:r>
            <w:r w:rsidRPr="00172374">
              <w:rPr>
                <w:b/>
              </w:rPr>
              <w:br w:type="page"/>
            </w:r>
            <w:bookmarkStart w:id="53" w:name="_Hlk32253760"/>
            <w:r w:rsidRPr="00172374">
              <w:rPr>
                <w:b/>
              </w:rPr>
              <w:t>Table 1</w:t>
            </w:r>
            <w:r w:rsidR="009C55D7" w:rsidRPr="00172374">
              <w:rPr>
                <w:b/>
              </w:rPr>
              <w:t>2</w:t>
            </w:r>
          </w:p>
          <w:p w14:paraId="35A135D4" w14:textId="2DDB5CEB" w:rsidR="0030726B" w:rsidRPr="00172374" w:rsidRDefault="0030726B" w:rsidP="00F93AFC">
            <w:pPr>
              <w:spacing w:after="60"/>
              <w:rPr>
                <w:b/>
              </w:rPr>
            </w:pPr>
            <w:r w:rsidRPr="00172374">
              <w:t>Study 5</w:t>
            </w:r>
            <w:r w:rsidR="00A76FE8" w:rsidRPr="00172374">
              <w:t>:</w:t>
            </w:r>
            <w:r w:rsidRPr="00172374">
              <w:rPr>
                <w:b/>
              </w:rPr>
              <w:t xml:space="preserve"> </w:t>
            </w:r>
            <w:r w:rsidR="00A76FE8" w:rsidRPr="00172374">
              <w:rPr>
                <w:b/>
              </w:rPr>
              <w:t>s</w:t>
            </w:r>
            <w:r w:rsidRPr="00172374">
              <w:t>ample characteristics</w:t>
            </w:r>
            <w:bookmarkEnd w:id="53"/>
          </w:p>
        </w:tc>
      </w:tr>
      <w:tr w:rsidR="0030726B" w:rsidRPr="00172374" w14:paraId="144085BF" w14:textId="77777777" w:rsidTr="00440084">
        <w:trPr>
          <w:jc w:val="center"/>
        </w:trPr>
        <w:tc>
          <w:tcPr>
            <w:tcW w:w="776" w:type="dxa"/>
            <w:tcBorders>
              <w:left w:val="dashed" w:sz="4" w:space="0" w:color="FFFFFF"/>
              <w:right w:val="dashed" w:sz="4" w:space="0" w:color="FFFFFF"/>
            </w:tcBorders>
          </w:tcPr>
          <w:p w14:paraId="41434BFE" w14:textId="77777777" w:rsidR="0030726B" w:rsidRPr="00172374" w:rsidRDefault="0030726B" w:rsidP="00F93AFC">
            <w:pPr>
              <w:ind w:right="352"/>
              <w:jc w:val="right"/>
              <w:rPr>
                <w:sz w:val="20"/>
                <w:szCs w:val="20"/>
              </w:rPr>
            </w:pPr>
          </w:p>
        </w:tc>
        <w:tc>
          <w:tcPr>
            <w:tcW w:w="5407" w:type="dxa"/>
            <w:gridSpan w:val="5"/>
            <w:tcBorders>
              <w:left w:val="dashed" w:sz="4" w:space="0" w:color="FFFFFF"/>
              <w:right w:val="dashed" w:sz="4" w:space="0" w:color="FFFFFF"/>
            </w:tcBorders>
          </w:tcPr>
          <w:p w14:paraId="4DC736C0" w14:textId="77777777" w:rsidR="0030726B" w:rsidRPr="00172374" w:rsidRDefault="0030726B" w:rsidP="00F93AFC">
            <w:pPr>
              <w:jc w:val="right"/>
              <w:rPr>
                <w:sz w:val="20"/>
                <w:szCs w:val="20"/>
              </w:rPr>
            </w:pPr>
            <w:r w:rsidRPr="00172374">
              <w:rPr>
                <w:sz w:val="20"/>
                <w:szCs w:val="20"/>
              </w:rPr>
              <w:t>(</w:t>
            </w:r>
            <w:r w:rsidRPr="00172374">
              <w:rPr>
                <w:i/>
                <w:sz w:val="20"/>
                <w:szCs w:val="20"/>
              </w:rPr>
              <w:t>N</w:t>
            </w:r>
            <w:r w:rsidRPr="00172374">
              <w:rPr>
                <w:sz w:val="20"/>
                <w:szCs w:val="20"/>
              </w:rPr>
              <w:t xml:space="preserve"> = 242)</w:t>
            </w:r>
          </w:p>
        </w:tc>
        <w:tc>
          <w:tcPr>
            <w:tcW w:w="1236" w:type="dxa"/>
            <w:gridSpan w:val="2"/>
            <w:tcBorders>
              <w:left w:val="dashed" w:sz="4" w:space="0" w:color="FFFFFF"/>
              <w:right w:val="dashed" w:sz="4" w:space="0" w:color="FFFFFF"/>
            </w:tcBorders>
          </w:tcPr>
          <w:p w14:paraId="6E8C37AB" w14:textId="77777777" w:rsidR="0030726B" w:rsidRPr="00172374" w:rsidRDefault="0030726B" w:rsidP="00F93AFC">
            <w:pPr>
              <w:ind w:right="276"/>
              <w:jc w:val="center"/>
              <w:rPr>
                <w:sz w:val="20"/>
                <w:szCs w:val="20"/>
              </w:rPr>
            </w:pPr>
            <w:r w:rsidRPr="00172374">
              <w:rPr>
                <w:sz w:val="20"/>
                <w:szCs w:val="20"/>
              </w:rPr>
              <w:t>%</w:t>
            </w:r>
          </w:p>
        </w:tc>
      </w:tr>
      <w:tr w:rsidR="0030726B" w:rsidRPr="00172374" w14:paraId="711DBE83" w14:textId="77777777" w:rsidTr="00440084">
        <w:trPr>
          <w:jc w:val="center"/>
        </w:trPr>
        <w:tc>
          <w:tcPr>
            <w:tcW w:w="2830" w:type="dxa"/>
            <w:gridSpan w:val="2"/>
            <w:tcBorders>
              <w:top w:val="nil"/>
              <w:left w:val="dashed" w:sz="4" w:space="0" w:color="FFFFFF"/>
              <w:bottom w:val="nil"/>
              <w:right w:val="nil"/>
            </w:tcBorders>
            <w:vAlign w:val="center"/>
          </w:tcPr>
          <w:p w14:paraId="0A57B626" w14:textId="77777777" w:rsidR="0030726B" w:rsidRPr="00172374" w:rsidRDefault="0030726B" w:rsidP="00F93AFC">
            <w:pPr>
              <w:rPr>
                <w:sz w:val="20"/>
                <w:szCs w:val="20"/>
              </w:rPr>
            </w:pPr>
            <w:r w:rsidRPr="00172374">
              <w:rPr>
                <w:sz w:val="20"/>
                <w:szCs w:val="20"/>
              </w:rPr>
              <w:t>Sales Volume (in m. €)</w:t>
            </w:r>
          </w:p>
        </w:tc>
        <w:tc>
          <w:tcPr>
            <w:tcW w:w="1594" w:type="dxa"/>
            <w:tcBorders>
              <w:top w:val="nil"/>
              <w:left w:val="nil"/>
              <w:bottom w:val="nil"/>
              <w:right w:val="single" w:sz="4" w:space="0" w:color="FFFFFF"/>
            </w:tcBorders>
            <w:vAlign w:val="center"/>
          </w:tcPr>
          <w:p w14:paraId="61F38766" w14:textId="77777777" w:rsidR="0030726B" w:rsidRPr="00172374" w:rsidRDefault="0030726B" w:rsidP="00F93AFC">
            <w:pPr>
              <w:rPr>
                <w:sz w:val="20"/>
                <w:szCs w:val="20"/>
              </w:rPr>
            </w:pPr>
            <w:r w:rsidRPr="00172374">
              <w:rPr>
                <w:sz w:val="20"/>
                <w:szCs w:val="20"/>
              </w:rPr>
              <w:t>10 – 30</w:t>
            </w:r>
          </w:p>
        </w:tc>
        <w:tc>
          <w:tcPr>
            <w:tcW w:w="908" w:type="dxa"/>
            <w:tcBorders>
              <w:top w:val="nil"/>
              <w:left w:val="single" w:sz="4" w:space="0" w:color="FFFFFF"/>
              <w:bottom w:val="nil"/>
              <w:right w:val="nil"/>
            </w:tcBorders>
            <w:vAlign w:val="center"/>
          </w:tcPr>
          <w:p w14:paraId="569E4BB7"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11CB8865" w14:textId="77777777" w:rsidR="0030726B" w:rsidRPr="00172374" w:rsidRDefault="0030726B" w:rsidP="00F93AFC">
            <w:pPr>
              <w:jc w:val="right"/>
              <w:rPr>
                <w:sz w:val="20"/>
                <w:szCs w:val="20"/>
              </w:rPr>
            </w:pPr>
            <w:r w:rsidRPr="00172374">
              <w:rPr>
                <w:sz w:val="20"/>
                <w:szCs w:val="20"/>
              </w:rPr>
              <w:t>56</w:t>
            </w:r>
          </w:p>
        </w:tc>
        <w:tc>
          <w:tcPr>
            <w:tcW w:w="776" w:type="dxa"/>
            <w:gridSpan w:val="2"/>
            <w:tcBorders>
              <w:top w:val="nil"/>
              <w:left w:val="nil"/>
              <w:bottom w:val="nil"/>
              <w:right w:val="single" w:sz="4" w:space="0" w:color="FFFFFF"/>
            </w:tcBorders>
            <w:vAlign w:val="center"/>
          </w:tcPr>
          <w:p w14:paraId="483C4729" w14:textId="77777777" w:rsidR="0030726B" w:rsidRPr="00172374" w:rsidRDefault="0030726B" w:rsidP="00F93AFC">
            <w:pPr>
              <w:jc w:val="right"/>
              <w:rPr>
                <w:sz w:val="20"/>
                <w:szCs w:val="20"/>
              </w:rPr>
            </w:pPr>
            <w:r w:rsidRPr="00172374">
              <w:rPr>
                <w:sz w:val="20"/>
                <w:szCs w:val="20"/>
              </w:rPr>
              <w:t>23.1%</w:t>
            </w:r>
          </w:p>
        </w:tc>
        <w:tc>
          <w:tcPr>
            <w:tcW w:w="535" w:type="dxa"/>
            <w:tcBorders>
              <w:top w:val="nil"/>
              <w:left w:val="single" w:sz="4" w:space="0" w:color="FFFFFF"/>
              <w:bottom w:val="nil"/>
              <w:right w:val="dashed" w:sz="4" w:space="0" w:color="FFFFFF"/>
            </w:tcBorders>
            <w:vAlign w:val="center"/>
          </w:tcPr>
          <w:p w14:paraId="4B82B9C6" w14:textId="77777777" w:rsidR="0030726B" w:rsidRPr="00172374" w:rsidRDefault="0030726B" w:rsidP="00F93AFC">
            <w:pPr>
              <w:jc w:val="center"/>
              <w:rPr>
                <w:sz w:val="20"/>
                <w:szCs w:val="20"/>
              </w:rPr>
            </w:pPr>
          </w:p>
        </w:tc>
      </w:tr>
      <w:tr w:rsidR="0030726B" w:rsidRPr="00172374" w14:paraId="669310B8" w14:textId="77777777" w:rsidTr="00440084">
        <w:trPr>
          <w:jc w:val="center"/>
        </w:trPr>
        <w:tc>
          <w:tcPr>
            <w:tcW w:w="2830" w:type="dxa"/>
            <w:gridSpan w:val="2"/>
            <w:tcBorders>
              <w:top w:val="nil"/>
              <w:left w:val="dashed" w:sz="4" w:space="0" w:color="FFFFFF"/>
              <w:bottom w:val="nil"/>
              <w:right w:val="nil"/>
            </w:tcBorders>
            <w:vAlign w:val="center"/>
          </w:tcPr>
          <w:p w14:paraId="1D22A2C6"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54CB5115" w14:textId="77777777" w:rsidR="0030726B" w:rsidRPr="00172374" w:rsidRDefault="0030726B" w:rsidP="00F93AFC">
            <w:pPr>
              <w:rPr>
                <w:sz w:val="20"/>
                <w:szCs w:val="20"/>
              </w:rPr>
            </w:pPr>
            <w:r w:rsidRPr="00172374">
              <w:rPr>
                <w:sz w:val="20"/>
                <w:szCs w:val="20"/>
              </w:rPr>
              <w:t>31 – 50</w:t>
            </w:r>
          </w:p>
        </w:tc>
        <w:tc>
          <w:tcPr>
            <w:tcW w:w="908" w:type="dxa"/>
            <w:tcBorders>
              <w:top w:val="nil"/>
              <w:left w:val="single" w:sz="4" w:space="0" w:color="FFFFFF"/>
              <w:bottom w:val="nil"/>
              <w:right w:val="nil"/>
            </w:tcBorders>
            <w:vAlign w:val="center"/>
          </w:tcPr>
          <w:p w14:paraId="16F27397"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6E491CFA" w14:textId="77777777" w:rsidR="0030726B" w:rsidRPr="00172374" w:rsidRDefault="0030726B" w:rsidP="00F93AFC">
            <w:pPr>
              <w:jc w:val="right"/>
              <w:rPr>
                <w:sz w:val="20"/>
                <w:szCs w:val="20"/>
              </w:rPr>
            </w:pPr>
            <w:r w:rsidRPr="00172374">
              <w:rPr>
                <w:sz w:val="20"/>
                <w:szCs w:val="20"/>
              </w:rPr>
              <w:t>37</w:t>
            </w:r>
          </w:p>
        </w:tc>
        <w:tc>
          <w:tcPr>
            <w:tcW w:w="776" w:type="dxa"/>
            <w:gridSpan w:val="2"/>
            <w:tcBorders>
              <w:top w:val="nil"/>
              <w:left w:val="nil"/>
              <w:bottom w:val="nil"/>
              <w:right w:val="single" w:sz="4" w:space="0" w:color="FFFFFF"/>
            </w:tcBorders>
            <w:vAlign w:val="center"/>
          </w:tcPr>
          <w:p w14:paraId="05E99AB6" w14:textId="77777777" w:rsidR="0030726B" w:rsidRPr="00172374" w:rsidRDefault="0030726B" w:rsidP="00F93AFC">
            <w:pPr>
              <w:jc w:val="right"/>
              <w:rPr>
                <w:sz w:val="20"/>
                <w:szCs w:val="20"/>
              </w:rPr>
            </w:pPr>
            <w:r w:rsidRPr="00172374">
              <w:rPr>
                <w:sz w:val="20"/>
                <w:szCs w:val="20"/>
              </w:rPr>
              <w:t>15.3%</w:t>
            </w:r>
          </w:p>
        </w:tc>
        <w:tc>
          <w:tcPr>
            <w:tcW w:w="535" w:type="dxa"/>
            <w:tcBorders>
              <w:top w:val="nil"/>
              <w:left w:val="single" w:sz="4" w:space="0" w:color="FFFFFF"/>
              <w:bottom w:val="nil"/>
              <w:right w:val="dashed" w:sz="4" w:space="0" w:color="FFFFFF"/>
            </w:tcBorders>
            <w:vAlign w:val="center"/>
          </w:tcPr>
          <w:p w14:paraId="6DE0DD34" w14:textId="77777777" w:rsidR="0030726B" w:rsidRPr="00172374" w:rsidRDefault="0030726B" w:rsidP="00F93AFC">
            <w:pPr>
              <w:jc w:val="center"/>
              <w:rPr>
                <w:sz w:val="20"/>
                <w:szCs w:val="20"/>
              </w:rPr>
            </w:pPr>
          </w:p>
        </w:tc>
      </w:tr>
      <w:tr w:rsidR="0030726B" w:rsidRPr="00172374" w14:paraId="4F9C5625" w14:textId="77777777" w:rsidTr="00440084">
        <w:trPr>
          <w:jc w:val="center"/>
        </w:trPr>
        <w:tc>
          <w:tcPr>
            <w:tcW w:w="2830" w:type="dxa"/>
            <w:gridSpan w:val="2"/>
            <w:tcBorders>
              <w:top w:val="nil"/>
              <w:left w:val="dashed" w:sz="4" w:space="0" w:color="FFFFFF"/>
              <w:bottom w:val="nil"/>
              <w:right w:val="nil"/>
            </w:tcBorders>
            <w:vAlign w:val="center"/>
          </w:tcPr>
          <w:p w14:paraId="32F5545C"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08B22E62" w14:textId="77777777" w:rsidR="0030726B" w:rsidRPr="00172374" w:rsidRDefault="0030726B" w:rsidP="00F93AFC">
            <w:pPr>
              <w:rPr>
                <w:sz w:val="20"/>
                <w:szCs w:val="20"/>
              </w:rPr>
            </w:pPr>
            <w:r w:rsidRPr="00172374">
              <w:rPr>
                <w:sz w:val="20"/>
                <w:szCs w:val="20"/>
              </w:rPr>
              <w:t xml:space="preserve">51 – 100 </w:t>
            </w:r>
          </w:p>
        </w:tc>
        <w:tc>
          <w:tcPr>
            <w:tcW w:w="908" w:type="dxa"/>
            <w:tcBorders>
              <w:top w:val="nil"/>
              <w:left w:val="single" w:sz="4" w:space="0" w:color="FFFFFF"/>
              <w:bottom w:val="nil"/>
              <w:right w:val="nil"/>
            </w:tcBorders>
            <w:vAlign w:val="center"/>
          </w:tcPr>
          <w:p w14:paraId="36AA1ABA"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36D02318" w14:textId="77777777" w:rsidR="0030726B" w:rsidRPr="00172374" w:rsidRDefault="0030726B" w:rsidP="00F93AFC">
            <w:pPr>
              <w:jc w:val="right"/>
              <w:rPr>
                <w:sz w:val="20"/>
                <w:szCs w:val="20"/>
              </w:rPr>
            </w:pPr>
            <w:r w:rsidRPr="00172374">
              <w:rPr>
                <w:sz w:val="20"/>
                <w:szCs w:val="20"/>
              </w:rPr>
              <w:t>44</w:t>
            </w:r>
          </w:p>
        </w:tc>
        <w:tc>
          <w:tcPr>
            <w:tcW w:w="776" w:type="dxa"/>
            <w:gridSpan w:val="2"/>
            <w:tcBorders>
              <w:top w:val="nil"/>
              <w:left w:val="nil"/>
              <w:bottom w:val="nil"/>
              <w:right w:val="single" w:sz="4" w:space="0" w:color="FFFFFF"/>
            </w:tcBorders>
            <w:vAlign w:val="center"/>
          </w:tcPr>
          <w:p w14:paraId="69DF1B2B" w14:textId="77777777" w:rsidR="0030726B" w:rsidRPr="00172374" w:rsidRDefault="0030726B" w:rsidP="00F93AFC">
            <w:pPr>
              <w:jc w:val="right"/>
              <w:rPr>
                <w:sz w:val="20"/>
                <w:szCs w:val="20"/>
              </w:rPr>
            </w:pPr>
            <w:r w:rsidRPr="00172374">
              <w:rPr>
                <w:sz w:val="20"/>
                <w:szCs w:val="20"/>
              </w:rPr>
              <w:t>18.2%</w:t>
            </w:r>
          </w:p>
        </w:tc>
        <w:tc>
          <w:tcPr>
            <w:tcW w:w="535" w:type="dxa"/>
            <w:tcBorders>
              <w:top w:val="nil"/>
              <w:left w:val="single" w:sz="4" w:space="0" w:color="FFFFFF"/>
              <w:bottom w:val="nil"/>
              <w:right w:val="dashed" w:sz="4" w:space="0" w:color="FFFFFF"/>
            </w:tcBorders>
            <w:vAlign w:val="center"/>
          </w:tcPr>
          <w:p w14:paraId="2F223D74" w14:textId="77777777" w:rsidR="0030726B" w:rsidRPr="00172374" w:rsidRDefault="0030726B" w:rsidP="00F93AFC">
            <w:pPr>
              <w:jc w:val="center"/>
              <w:rPr>
                <w:sz w:val="20"/>
                <w:szCs w:val="20"/>
              </w:rPr>
            </w:pPr>
          </w:p>
        </w:tc>
      </w:tr>
      <w:tr w:rsidR="0030726B" w:rsidRPr="00172374" w14:paraId="474E2C39" w14:textId="77777777" w:rsidTr="00440084">
        <w:trPr>
          <w:jc w:val="center"/>
        </w:trPr>
        <w:tc>
          <w:tcPr>
            <w:tcW w:w="2830" w:type="dxa"/>
            <w:gridSpan w:val="2"/>
            <w:tcBorders>
              <w:top w:val="nil"/>
              <w:left w:val="dashed" w:sz="4" w:space="0" w:color="FFFFFF"/>
              <w:bottom w:val="nil"/>
              <w:right w:val="nil"/>
            </w:tcBorders>
            <w:vAlign w:val="center"/>
          </w:tcPr>
          <w:p w14:paraId="3BA19C76"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41FC3E99" w14:textId="77777777" w:rsidR="0030726B" w:rsidRPr="00172374" w:rsidRDefault="0030726B" w:rsidP="00F93AFC">
            <w:pPr>
              <w:rPr>
                <w:sz w:val="20"/>
                <w:szCs w:val="20"/>
              </w:rPr>
            </w:pPr>
            <w:r w:rsidRPr="00172374">
              <w:rPr>
                <w:sz w:val="20"/>
                <w:szCs w:val="20"/>
              </w:rPr>
              <w:t xml:space="preserve">101 – 300 </w:t>
            </w:r>
          </w:p>
        </w:tc>
        <w:tc>
          <w:tcPr>
            <w:tcW w:w="908" w:type="dxa"/>
            <w:tcBorders>
              <w:top w:val="nil"/>
              <w:left w:val="single" w:sz="4" w:space="0" w:color="FFFFFF"/>
              <w:bottom w:val="nil"/>
              <w:right w:val="nil"/>
            </w:tcBorders>
            <w:vAlign w:val="center"/>
          </w:tcPr>
          <w:p w14:paraId="04FA445C"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101D298F" w14:textId="77777777" w:rsidR="0030726B" w:rsidRPr="00172374" w:rsidRDefault="0030726B" w:rsidP="00F93AFC">
            <w:pPr>
              <w:jc w:val="right"/>
              <w:rPr>
                <w:sz w:val="20"/>
                <w:szCs w:val="20"/>
              </w:rPr>
            </w:pPr>
            <w:r w:rsidRPr="00172374">
              <w:rPr>
                <w:sz w:val="20"/>
                <w:szCs w:val="20"/>
              </w:rPr>
              <w:t>60</w:t>
            </w:r>
          </w:p>
        </w:tc>
        <w:tc>
          <w:tcPr>
            <w:tcW w:w="776" w:type="dxa"/>
            <w:gridSpan w:val="2"/>
            <w:tcBorders>
              <w:top w:val="nil"/>
              <w:left w:val="nil"/>
              <w:bottom w:val="nil"/>
              <w:right w:val="single" w:sz="4" w:space="0" w:color="FFFFFF"/>
            </w:tcBorders>
            <w:vAlign w:val="center"/>
          </w:tcPr>
          <w:p w14:paraId="49D005E6" w14:textId="77777777" w:rsidR="0030726B" w:rsidRPr="00172374" w:rsidRDefault="0030726B" w:rsidP="00F93AFC">
            <w:pPr>
              <w:jc w:val="right"/>
              <w:rPr>
                <w:sz w:val="20"/>
                <w:szCs w:val="20"/>
              </w:rPr>
            </w:pPr>
            <w:r w:rsidRPr="00172374">
              <w:rPr>
                <w:sz w:val="20"/>
                <w:szCs w:val="20"/>
              </w:rPr>
              <w:t>24.8%</w:t>
            </w:r>
          </w:p>
        </w:tc>
        <w:tc>
          <w:tcPr>
            <w:tcW w:w="535" w:type="dxa"/>
            <w:tcBorders>
              <w:top w:val="nil"/>
              <w:left w:val="single" w:sz="4" w:space="0" w:color="FFFFFF"/>
              <w:bottom w:val="nil"/>
              <w:right w:val="dashed" w:sz="4" w:space="0" w:color="FFFFFF"/>
            </w:tcBorders>
            <w:vAlign w:val="center"/>
          </w:tcPr>
          <w:p w14:paraId="4C7F362D" w14:textId="77777777" w:rsidR="0030726B" w:rsidRPr="00172374" w:rsidRDefault="0030726B" w:rsidP="00F93AFC">
            <w:pPr>
              <w:jc w:val="center"/>
              <w:rPr>
                <w:sz w:val="20"/>
                <w:szCs w:val="20"/>
              </w:rPr>
            </w:pPr>
          </w:p>
        </w:tc>
      </w:tr>
      <w:tr w:rsidR="0030726B" w:rsidRPr="00172374" w14:paraId="23A57E64" w14:textId="77777777" w:rsidTr="00440084">
        <w:trPr>
          <w:jc w:val="center"/>
        </w:trPr>
        <w:tc>
          <w:tcPr>
            <w:tcW w:w="2830" w:type="dxa"/>
            <w:gridSpan w:val="2"/>
            <w:tcBorders>
              <w:top w:val="nil"/>
              <w:left w:val="dashed" w:sz="4" w:space="0" w:color="FFFFFF"/>
              <w:bottom w:val="nil"/>
              <w:right w:val="nil"/>
            </w:tcBorders>
            <w:vAlign w:val="center"/>
          </w:tcPr>
          <w:p w14:paraId="1D035250" w14:textId="77777777" w:rsidR="0030726B" w:rsidRPr="00172374" w:rsidRDefault="0030726B" w:rsidP="00F93AFC">
            <w:pPr>
              <w:rPr>
                <w:sz w:val="20"/>
                <w:szCs w:val="20"/>
              </w:rPr>
            </w:pPr>
          </w:p>
        </w:tc>
        <w:tc>
          <w:tcPr>
            <w:tcW w:w="2502" w:type="dxa"/>
            <w:gridSpan w:val="2"/>
            <w:tcBorders>
              <w:top w:val="nil"/>
              <w:left w:val="nil"/>
              <w:bottom w:val="nil"/>
              <w:right w:val="single" w:sz="4" w:space="0" w:color="FFFFFF"/>
            </w:tcBorders>
            <w:vAlign w:val="center"/>
          </w:tcPr>
          <w:p w14:paraId="2379851B" w14:textId="77777777" w:rsidR="0030726B" w:rsidRPr="00172374" w:rsidRDefault="0030726B" w:rsidP="00F93AFC">
            <w:pPr>
              <w:rPr>
                <w:sz w:val="20"/>
                <w:szCs w:val="20"/>
              </w:rPr>
            </w:pPr>
            <w:r w:rsidRPr="00172374">
              <w:rPr>
                <w:sz w:val="20"/>
                <w:szCs w:val="20"/>
              </w:rPr>
              <w:t>More than 300</w:t>
            </w:r>
          </w:p>
        </w:tc>
        <w:tc>
          <w:tcPr>
            <w:tcW w:w="776" w:type="dxa"/>
            <w:tcBorders>
              <w:top w:val="nil"/>
              <w:left w:val="nil"/>
              <w:bottom w:val="nil"/>
              <w:right w:val="nil"/>
            </w:tcBorders>
          </w:tcPr>
          <w:p w14:paraId="07F41F93" w14:textId="77777777" w:rsidR="0030726B" w:rsidRPr="00172374" w:rsidRDefault="0030726B" w:rsidP="00F93AFC">
            <w:pPr>
              <w:jc w:val="right"/>
              <w:rPr>
                <w:sz w:val="20"/>
                <w:szCs w:val="20"/>
              </w:rPr>
            </w:pPr>
            <w:r w:rsidRPr="00172374">
              <w:rPr>
                <w:sz w:val="20"/>
                <w:szCs w:val="20"/>
              </w:rPr>
              <w:t>45</w:t>
            </w:r>
          </w:p>
        </w:tc>
        <w:tc>
          <w:tcPr>
            <w:tcW w:w="776" w:type="dxa"/>
            <w:gridSpan w:val="2"/>
            <w:tcBorders>
              <w:top w:val="nil"/>
              <w:left w:val="nil"/>
              <w:bottom w:val="nil"/>
              <w:right w:val="single" w:sz="4" w:space="0" w:color="FFFFFF"/>
            </w:tcBorders>
            <w:vAlign w:val="center"/>
          </w:tcPr>
          <w:p w14:paraId="3B6BF7CF" w14:textId="77777777" w:rsidR="0030726B" w:rsidRPr="00172374" w:rsidRDefault="0030726B" w:rsidP="00F93AFC">
            <w:pPr>
              <w:jc w:val="right"/>
              <w:rPr>
                <w:sz w:val="20"/>
                <w:szCs w:val="20"/>
              </w:rPr>
            </w:pPr>
            <w:r w:rsidRPr="00172374">
              <w:rPr>
                <w:sz w:val="20"/>
                <w:szCs w:val="20"/>
              </w:rPr>
              <w:t>18.6%</w:t>
            </w:r>
          </w:p>
        </w:tc>
        <w:tc>
          <w:tcPr>
            <w:tcW w:w="535" w:type="dxa"/>
            <w:tcBorders>
              <w:top w:val="nil"/>
              <w:left w:val="single" w:sz="4" w:space="0" w:color="FFFFFF"/>
              <w:bottom w:val="nil"/>
              <w:right w:val="dashed" w:sz="4" w:space="0" w:color="FFFFFF"/>
            </w:tcBorders>
            <w:vAlign w:val="center"/>
          </w:tcPr>
          <w:p w14:paraId="380E9CE3" w14:textId="77777777" w:rsidR="0030726B" w:rsidRPr="00172374" w:rsidRDefault="0030726B" w:rsidP="00F93AFC">
            <w:pPr>
              <w:jc w:val="center"/>
              <w:rPr>
                <w:sz w:val="20"/>
                <w:szCs w:val="20"/>
              </w:rPr>
            </w:pPr>
          </w:p>
        </w:tc>
      </w:tr>
      <w:tr w:rsidR="0030726B" w:rsidRPr="00172374" w14:paraId="46AEB917" w14:textId="77777777" w:rsidTr="00440084">
        <w:trPr>
          <w:jc w:val="center"/>
        </w:trPr>
        <w:tc>
          <w:tcPr>
            <w:tcW w:w="2830" w:type="dxa"/>
            <w:gridSpan w:val="2"/>
            <w:tcBorders>
              <w:top w:val="nil"/>
              <w:left w:val="nil"/>
              <w:bottom w:val="nil"/>
              <w:right w:val="nil"/>
            </w:tcBorders>
            <w:shd w:val="clear" w:color="auto" w:fill="auto"/>
            <w:vAlign w:val="center"/>
          </w:tcPr>
          <w:p w14:paraId="1EEE9893" w14:textId="77777777" w:rsidR="0030726B" w:rsidRPr="00172374" w:rsidRDefault="0030726B" w:rsidP="00F93AFC">
            <w:pPr>
              <w:rPr>
                <w:sz w:val="8"/>
                <w:szCs w:val="8"/>
              </w:rPr>
            </w:pPr>
          </w:p>
        </w:tc>
        <w:tc>
          <w:tcPr>
            <w:tcW w:w="2502" w:type="dxa"/>
            <w:gridSpan w:val="2"/>
            <w:tcBorders>
              <w:top w:val="nil"/>
              <w:left w:val="nil"/>
              <w:bottom w:val="nil"/>
              <w:right w:val="nil"/>
            </w:tcBorders>
            <w:shd w:val="clear" w:color="auto" w:fill="auto"/>
          </w:tcPr>
          <w:p w14:paraId="425FF580" w14:textId="77777777" w:rsidR="0030726B" w:rsidRPr="00172374" w:rsidRDefault="0030726B" w:rsidP="00F93AFC">
            <w:pPr>
              <w:jc w:val="right"/>
              <w:rPr>
                <w:sz w:val="8"/>
                <w:szCs w:val="8"/>
              </w:rPr>
            </w:pPr>
          </w:p>
        </w:tc>
        <w:tc>
          <w:tcPr>
            <w:tcW w:w="776" w:type="dxa"/>
            <w:tcBorders>
              <w:top w:val="nil"/>
              <w:left w:val="nil"/>
              <w:bottom w:val="nil"/>
              <w:right w:val="nil"/>
            </w:tcBorders>
          </w:tcPr>
          <w:p w14:paraId="765A0EE1" w14:textId="77777777" w:rsidR="0030726B" w:rsidRPr="00172374" w:rsidRDefault="0030726B" w:rsidP="00F93AFC">
            <w:pPr>
              <w:jc w:val="right"/>
              <w:rPr>
                <w:sz w:val="8"/>
                <w:szCs w:val="8"/>
              </w:rPr>
            </w:pPr>
          </w:p>
        </w:tc>
        <w:tc>
          <w:tcPr>
            <w:tcW w:w="1311" w:type="dxa"/>
            <w:gridSpan w:val="3"/>
            <w:tcBorders>
              <w:top w:val="nil"/>
              <w:left w:val="nil"/>
              <w:bottom w:val="nil"/>
              <w:right w:val="nil"/>
            </w:tcBorders>
            <w:shd w:val="clear" w:color="auto" w:fill="auto"/>
          </w:tcPr>
          <w:p w14:paraId="77F9D6B4" w14:textId="77777777" w:rsidR="0030726B" w:rsidRPr="00172374" w:rsidRDefault="0030726B" w:rsidP="00F93AFC">
            <w:pPr>
              <w:jc w:val="both"/>
              <w:rPr>
                <w:sz w:val="8"/>
                <w:szCs w:val="8"/>
              </w:rPr>
            </w:pPr>
          </w:p>
        </w:tc>
      </w:tr>
      <w:tr w:rsidR="0030726B" w:rsidRPr="00172374" w14:paraId="0D3B677F" w14:textId="77777777" w:rsidTr="00440084">
        <w:trPr>
          <w:jc w:val="center"/>
        </w:trPr>
        <w:tc>
          <w:tcPr>
            <w:tcW w:w="2830" w:type="dxa"/>
            <w:gridSpan w:val="2"/>
            <w:tcBorders>
              <w:top w:val="nil"/>
              <w:left w:val="dashed" w:sz="4" w:space="0" w:color="FFFFFF"/>
              <w:bottom w:val="nil"/>
              <w:right w:val="nil"/>
            </w:tcBorders>
            <w:shd w:val="clear" w:color="auto" w:fill="auto"/>
            <w:vAlign w:val="center"/>
          </w:tcPr>
          <w:p w14:paraId="37FF9161" w14:textId="77777777" w:rsidR="0030726B" w:rsidRPr="00172374" w:rsidRDefault="0030726B" w:rsidP="00F93AFC">
            <w:pPr>
              <w:rPr>
                <w:sz w:val="20"/>
                <w:szCs w:val="20"/>
              </w:rPr>
            </w:pPr>
            <w:r w:rsidRPr="00172374">
              <w:rPr>
                <w:sz w:val="20"/>
                <w:szCs w:val="20"/>
              </w:rPr>
              <w:t>Number of Employees</w:t>
            </w:r>
          </w:p>
        </w:tc>
        <w:tc>
          <w:tcPr>
            <w:tcW w:w="1594" w:type="dxa"/>
            <w:tcBorders>
              <w:top w:val="nil"/>
              <w:left w:val="nil"/>
              <w:bottom w:val="nil"/>
              <w:right w:val="single" w:sz="4" w:space="0" w:color="FFFFFF"/>
            </w:tcBorders>
            <w:shd w:val="clear" w:color="auto" w:fill="auto"/>
            <w:vAlign w:val="center"/>
          </w:tcPr>
          <w:p w14:paraId="627910E6" w14:textId="77777777" w:rsidR="0030726B" w:rsidRPr="00172374" w:rsidRDefault="0030726B" w:rsidP="00F93AFC">
            <w:pPr>
              <w:rPr>
                <w:sz w:val="20"/>
                <w:szCs w:val="20"/>
              </w:rPr>
            </w:pPr>
            <w:r w:rsidRPr="00172374">
              <w:rPr>
                <w:sz w:val="20"/>
                <w:szCs w:val="20"/>
              </w:rPr>
              <w:t>50 – 99</w:t>
            </w:r>
          </w:p>
        </w:tc>
        <w:tc>
          <w:tcPr>
            <w:tcW w:w="908" w:type="dxa"/>
            <w:tcBorders>
              <w:top w:val="nil"/>
              <w:left w:val="single" w:sz="4" w:space="0" w:color="FFFFFF"/>
              <w:bottom w:val="nil"/>
              <w:right w:val="nil"/>
            </w:tcBorders>
            <w:shd w:val="clear" w:color="auto" w:fill="auto"/>
            <w:vAlign w:val="center"/>
          </w:tcPr>
          <w:p w14:paraId="598A3F83"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27B37D60" w14:textId="77777777" w:rsidR="0030726B" w:rsidRPr="00172374" w:rsidRDefault="0030726B" w:rsidP="00F93AFC">
            <w:pPr>
              <w:jc w:val="right"/>
              <w:rPr>
                <w:sz w:val="20"/>
                <w:szCs w:val="20"/>
              </w:rPr>
            </w:pPr>
            <w:r w:rsidRPr="00172374">
              <w:rPr>
                <w:sz w:val="20"/>
                <w:szCs w:val="20"/>
              </w:rPr>
              <w:t>51</w:t>
            </w:r>
          </w:p>
        </w:tc>
        <w:tc>
          <w:tcPr>
            <w:tcW w:w="776" w:type="dxa"/>
            <w:gridSpan w:val="2"/>
            <w:tcBorders>
              <w:top w:val="nil"/>
              <w:left w:val="nil"/>
              <w:bottom w:val="nil"/>
              <w:right w:val="single" w:sz="4" w:space="0" w:color="FFFFFF"/>
            </w:tcBorders>
            <w:shd w:val="clear" w:color="auto" w:fill="auto"/>
            <w:vAlign w:val="center"/>
          </w:tcPr>
          <w:p w14:paraId="2BDD9E39" w14:textId="77777777" w:rsidR="0030726B" w:rsidRPr="00172374" w:rsidRDefault="0030726B" w:rsidP="00F93AFC">
            <w:pPr>
              <w:jc w:val="right"/>
              <w:rPr>
                <w:sz w:val="20"/>
                <w:szCs w:val="20"/>
              </w:rPr>
            </w:pPr>
            <w:r w:rsidRPr="00172374">
              <w:rPr>
                <w:sz w:val="20"/>
                <w:szCs w:val="20"/>
              </w:rPr>
              <w:t>21.1%</w:t>
            </w:r>
          </w:p>
        </w:tc>
        <w:tc>
          <w:tcPr>
            <w:tcW w:w="535" w:type="dxa"/>
            <w:tcBorders>
              <w:top w:val="nil"/>
              <w:left w:val="single" w:sz="4" w:space="0" w:color="FFFFFF"/>
              <w:bottom w:val="nil"/>
              <w:right w:val="dashed" w:sz="4" w:space="0" w:color="FFFFFF"/>
            </w:tcBorders>
            <w:shd w:val="clear" w:color="auto" w:fill="auto"/>
            <w:vAlign w:val="center"/>
          </w:tcPr>
          <w:p w14:paraId="700BBC15" w14:textId="77777777" w:rsidR="0030726B" w:rsidRPr="00172374" w:rsidRDefault="0030726B" w:rsidP="00F93AFC">
            <w:pPr>
              <w:jc w:val="center"/>
              <w:rPr>
                <w:sz w:val="20"/>
                <w:szCs w:val="20"/>
              </w:rPr>
            </w:pPr>
          </w:p>
        </w:tc>
      </w:tr>
      <w:tr w:rsidR="0030726B" w:rsidRPr="00172374" w14:paraId="309F9B6D" w14:textId="77777777" w:rsidTr="00440084">
        <w:trPr>
          <w:jc w:val="center"/>
        </w:trPr>
        <w:tc>
          <w:tcPr>
            <w:tcW w:w="2830" w:type="dxa"/>
            <w:gridSpan w:val="2"/>
            <w:tcBorders>
              <w:top w:val="nil"/>
              <w:left w:val="dashed" w:sz="4" w:space="0" w:color="FFFFFF"/>
              <w:bottom w:val="nil"/>
              <w:right w:val="nil"/>
            </w:tcBorders>
            <w:vAlign w:val="center"/>
          </w:tcPr>
          <w:p w14:paraId="3AFE1BF9"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4183F912" w14:textId="77777777" w:rsidR="0030726B" w:rsidRPr="00172374" w:rsidRDefault="0030726B" w:rsidP="00F93AFC">
            <w:pPr>
              <w:rPr>
                <w:sz w:val="20"/>
                <w:szCs w:val="20"/>
              </w:rPr>
            </w:pPr>
            <w:r w:rsidRPr="00172374">
              <w:rPr>
                <w:sz w:val="20"/>
                <w:szCs w:val="20"/>
              </w:rPr>
              <w:t>100 – 199</w:t>
            </w:r>
          </w:p>
        </w:tc>
        <w:tc>
          <w:tcPr>
            <w:tcW w:w="908" w:type="dxa"/>
            <w:tcBorders>
              <w:top w:val="nil"/>
              <w:left w:val="single" w:sz="4" w:space="0" w:color="FFFFFF"/>
              <w:bottom w:val="nil"/>
              <w:right w:val="nil"/>
            </w:tcBorders>
            <w:vAlign w:val="center"/>
          </w:tcPr>
          <w:p w14:paraId="7EF70AAA"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666127DF" w14:textId="77777777" w:rsidR="0030726B" w:rsidRPr="00172374" w:rsidRDefault="0030726B" w:rsidP="00F93AFC">
            <w:pPr>
              <w:jc w:val="right"/>
              <w:rPr>
                <w:sz w:val="20"/>
                <w:szCs w:val="20"/>
              </w:rPr>
            </w:pPr>
            <w:r w:rsidRPr="00172374">
              <w:rPr>
                <w:sz w:val="20"/>
                <w:szCs w:val="20"/>
              </w:rPr>
              <w:t>52</w:t>
            </w:r>
          </w:p>
        </w:tc>
        <w:tc>
          <w:tcPr>
            <w:tcW w:w="776" w:type="dxa"/>
            <w:gridSpan w:val="2"/>
            <w:tcBorders>
              <w:top w:val="nil"/>
              <w:left w:val="nil"/>
              <w:bottom w:val="nil"/>
              <w:right w:val="single" w:sz="4" w:space="0" w:color="FFFFFF"/>
            </w:tcBorders>
            <w:vAlign w:val="center"/>
          </w:tcPr>
          <w:p w14:paraId="384389A0" w14:textId="77777777" w:rsidR="0030726B" w:rsidRPr="00172374" w:rsidRDefault="0030726B" w:rsidP="00F93AFC">
            <w:pPr>
              <w:jc w:val="right"/>
              <w:rPr>
                <w:sz w:val="20"/>
                <w:szCs w:val="20"/>
              </w:rPr>
            </w:pPr>
            <w:r w:rsidRPr="00172374">
              <w:rPr>
                <w:sz w:val="20"/>
                <w:szCs w:val="20"/>
              </w:rPr>
              <w:t>21.5%</w:t>
            </w:r>
          </w:p>
        </w:tc>
        <w:tc>
          <w:tcPr>
            <w:tcW w:w="535" w:type="dxa"/>
            <w:tcBorders>
              <w:top w:val="nil"/>
              <w:left w:val="single" w:sz="4" w:space="0" w:color="FFFFFF"/>
              <w:bottom w:val="nil"/>
              <w:right w:val="dashed" w:sz="4" w:space="0" w:color="FFFFFF"/>
            </w:tcBorders>
            <w:vAlign w:val="center"/>
          </w:tcPr>
          <w:p w14:paraId="1203A362" w14:textId="77777777" w:rsidR="0030726B" w:rsidRPr="00172374" w:rsidRDefault="0030726B" w:rsidP="00F93AFC">
            <w:pPr>
              <w:jc w:val="center"/>
              <w:rPr>
                <w:sz w:val="20"/>
                <w:szCs w:val="20"/>
              </w:rPr>
            </w:pPr>
          </w:p>
        </w:tc>
      </w:tr>
      <w:tr w:rsidR="0030726B" w:rsidRPr="00172374" w14:paraId="269B4D3C" w14:textId="77777777" w:rsidTr="00440084">
        <w:trPr>
          <w:jc w:val="center"/>
        </w:trPr>
        <w:tc>
          <w:tcPr>
            <w:tcW w:w="2830" w:type="dxa"/>
            <w:gridSpan w:val="2"/>
            <w:tcBorders>
              <w:top w:val="nil"/>
              <w:left w:val="dashed" w:sz="4" w:space="0" w:color="FFFFFF"/>
              <w:bottom w:val="nil"/>
              <w:right w:val="nil"/>
            </w:tcBorders>
            <w:vAlign w:val="center"/>
          </w:tcPr>
          <w:p w14:paraId="761A809B"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71C4BC9B" w14:textId="77777777" w:rsidR="0030726B" w:rsidRPr="00172374" w:rsidRDefault="0030726B" w:rsidP="00F93AFC">
            <w:pPr>
              <w:rPr>
                <w:sz w:val="20"/>
                <w:szCs w:val="20"/>
              </w:rPr>
            </w:pPr>
            <w:r w:rsidRPr="00172374">
              <w:rPr>
                <w:sz w:val="20"/>
                <w:szCs w:val="20"/>
              </w:rPr>
              <w:t>200 – 399</w:t>
            </w:r>
          </w:p>
        </w:tc>
        <w:tc>
          <w:tcPr>
            <w:tcW w:w="908" w:type="dxa"/>
            <w:tcBorders>
              <w:top w:val="nil"/>
              <w:left w:val="single" w:sz="4" w:space="0" w:color="FFFFFF"/>
              <w:bottom w:val="nil"/>
              <w:right w:val="nil"/>
            </w:tcBorders>
            <w:vAlign w:val="center"/>
          </w:tcPr>
          <w:p w14:paraId="238481B8"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2D71299D" w14:textId="77777777" w:rsidR="0030726B" w:rsidRPr="00172374" w:rsidRDefault="0030726B" w:rsidP="00F93AFC">
            <w:pPr>
              <w:jc w:val="right"/>
              <w:rPr>
                <w:sz w:val="20"/>
                <w:szCs w:val="20"/>
              </w:rPr>
            </w:pPr>
            <w:r w:rsidRPr="00172374">
              <w:rPr>
                <w:sz w:val="20"/>
                <w:szCs w:val="20"/>
              </w:rPr>
              <w:t>61</w:t>
            </w:r>
          </w:p>
        </w:tc>
        <w:tc>
          <w:tcPr>
            <w:tcW w:w="776" w:type="dxa"/>
            <w:gridSpan w:val="2"/>
            <w:tcBorders>
              <w:top w:val="nil"/>
              <w:left w:val="nil"/>
              <w:bottom w:val="nil"/>
              <w:right w:val="single" w:sz="4" w:space="0" w:color="FFFFFF"/>
            </w:tcBorders>
            <w:vAlign w:val="center"/>
          </w:tcPr>
          <w:p w14:paraId="69564798" w14:textId="77777777" w:rsidR="0030726B" w:rsidRPr="00172374" w:rsidRDefault="0030726B" w:rsidP="00F93AFC">
            <w:pPr>
              <w:jc w:val="right"/>
              <w:rPr>
                <w:sz w:val="20"/>
                <w:szCs w:val="20"/>
              </w:rPr>
            </w:pPr>
            <w:r w:rsidRPr="00172374">
              <w:rPr>
                <w:sz w:val="20"/>
                <w:szCs w:val="20"/>
              </w:rPr>
              <w:t>25.2%</w:t>
            </w:r>
          </w:p>
        </w:tc>
        <w:tc>
          <w:tcPr>
            <w:tcW w:w="535" w:type="dxa"/>
            <w:tcBorders>
              <w:top w:val="nil"/>
              <w:left w:val="single" w:sz="4" w:space="0" w:color="FFFFFF"/>
              <w:bottom w:val="nil"/>
              <w:right w:val="dashed" w:sz="4" w:space="0" w:color="FFFFFF"/>
            </w:tcBorders>
            <w:vAlign w:val="center"/>
          </w:tcPr>
          <w:p w14:paraId="2E059113" w14:textId="77777777" w:rsidR="0030726B" w:rsidRPr="00172374" w:rsidRDefault="0030726B" w:rsidP="00F93AFC">
            <w:pPr>
              <w:jc w:val="center"/>
              <w:rPr>
                <w:sz w:val="20"/>
                <w:szCs w:val="20"/>
              </w:rPr>
            </w:pPr>
          </w:p>
        </w:tc>
      </w:tr>
      <w:tr w:rsidR="0030726B" w:rsidRPr="00172374" w14:paraId="137A5BA7" w14:textId="77777777" w:rsidTr="00440084">
        <w:trPr>
          <w:jc w:val="center"/>
        </w:trPr>
        <w:tc>
          <w:tcPr>
            <w:tcW w:w="2830" w:type="dxa"/>
            <w:gridSpan w:val="2"/>
            <w:tcBorders>
              <w:top w:val="nil"/>
              <w:left w:val="dashed" w:sz="4" w:space="0" w:color="FFFFFF"/>
              <w:bottom w:val="nil"/>
              <w:right w:val="nil"/>
            </w:tcBorders>
            <w:vAlign w:val="center"/>
          </w:tcPr>
          <w:p w14:paraId="2EEECDA4" w14:textId="77777777" w:rsidR="0030726B" w:rsidRPr="00172374" w:rsidRDefault="0030726B" w:rsidP="00F93AFC">
            <w:pPr>
              <w:rPr>
                <w:sz w:val="20"/>
                <w:szCs w:val="20"/>
              </w:rPr>
            </w:pPr>
          </w:p>
        </w:tc>
        <w:tc>
          <w:tcPr>
            <w:tcW w:w="2502" w:type="dxa"/>
            <w:gridSpan w:val="2"/>
            <w:tcBorders>
              <w:top w:val="nil"/>
              <w:left w:val="nil"/>
              <w:bottom w:val="nil"/>
              <w:right w:val="single" w:sz="4" w:space="0" w:color="FFFFFF"/>
            </w:tcBorders>
            <w:vAlign w:val="center"/>
          </w:tcPr>
          <w:p w14:paraId="1A53D410" w14:textId="77777777" w:rsidR="0030726B" w:rsidRPr="00172374" w:rsidRDefault="0030726B" w:rsidP="00F93AFC">
            <w:pPr>
              <w:rPr>
                <w:sz w:val="20"/>
                <w:szCs w:val="20"/>
              </w:rPr>
            </w:pPr>
            <w:r w:rsidRPr="00172374">
              <w:rPr>
                <w:sz w:val="20"/>
                <w:szCs w:val="20"/>
              </w:rPr>
              <w:t>More than 400</w:t>
            </w:r>
          </w:p>
        </w:tc>
        <w:tc>
          <w:tcPr>
            <w:tcW w:w="776" w:type="dxa"/>
            <w:tcBorders>
              <w:top w:val="nil"/>
              <w:left w:val="nil"/>
              <w:bottom w:val="nil"/>
              <w:right w:val="nil"/>
            </w:tcBorders>
          </w:tcPr>
          <w:p w14:paraId="1CFB283B" w14:textId="77777777" w:rsidR="0030726B" w:rsidRPr="00172374" w:rsidRDefault="0030726B" w:rsidP="00F93AFC">
            <w:pPr>
              <w:ind w:hanging="107"/>
              <w:jc w:val="right"/>
              <w:rPr>
                <w:sz w:val="20"/>
                <w:szCs w:val="20"/>
              </w:rPr>
            </w:pPr>
            <w:r w:rsidRPr="00172374">
              <w:rPr>
                <w:sz w:val="20"/>
                <w:szCs w:val="20"/>
              </w:rPr>
              <w:t>78</w:t>
            </w:r>
          </w:p>
        </w:tc>
        <w:tc>
          <w:tcPr>
            <w:tcW w:w="776" w:type="dxa"/>
            <w:gridSpan w:val="2"/>
            <w:tcBorders>
              <w:top w:val="nil"/>
              <w:left w:val="nil"/>
              <w:bottom w:val="nil"/>
              <w:right w:val="single" w:sz="4" w:space="0" w:color="FFFFFF"/>
            </w:tcBorders>
            <w:vAlign w:val="center"/>
          </w:tcPr>
          <w:p w14:paraId="6A431EAC" w14:textId="77777777" w:rsidR="0030726B" w:rsidRPr="00172374" w:rsidRDefault="0030726B" w:rsidP="00F93AFC">
            <w:pPr>
              <w:jc w:val="right"/>
              <w:rPr>
                <w:sz w:val="20"/>
                <w:szCs w:val="20"/>
              </w:rPr>
            </w:pPr>
            <w:r w:rsidRPr="00172374">
              <w:rPr>
                <w:sz w:val="20"/>
                <w:szCs w:val="20"/>
              </w:rPr>
              <w:t>32.2%</w:t>
            </w:r>
          </w:p>
        </w:tc>
        <w:tc>
          <w:tcPr>
            <w:tcW w:w="535" w:type="dxa"/>
            <w:tcBorders>
              <w:top w:val="nil"/>
              <w:left w:val="single" w:sz="4" w:space="0" w:color="FFFFFF"/>
              <w:bottom w:val="nil"/>
              <w:right w:val="dashed" w:sz="4" w:space="0" w:color="FFFFFF"/>
            </w:tcBorders>
            <w:vAlign w:val="center"/>
          </w:tcPr>
          <w:p w14:paraId="2BFC9204" w14:textId="77777777" w:rsidR="0030726B" w:rsidRPr="00172374" w:rsidRDefault="0030726B" w:rsidP="00F93AFC">
            <w:pPr>
              <w:jc w:val="center"/>
              <w:rPr>
                <w:sz w:val="20"/>
                <w:szCs w:val="20"/>
              </w:rPr>
            </w:pPr>
          </w:p>
        </w:tc>
      </w:tr>
      <w:tr w:rsidR="0030726B" w:rsidRPr="00172374" w14:paraId="696C9B05" w14:textId="77777777" w:rsidTr="00440084">
        <w:trPr>
          <w:jc w:val="center"/>
        </w:trPr>
        <w:tc>
          <w:tcPr>
            <w:tcW w:w="776" w:type="dxa"/>
            <w:tcBorders>
              <w:top w:val="nil"/>
              <w:left w:val="nil"/>
              <w:bottom w:val="nil"/>
              <w:right w:val="nil"/>
            </w:tcBorders>
          </w:tcPr>
          <w:p w14:paraId="581AD1FC" w14:textId="77777777" w:rsidR="0030726B" w:rsidRPr="00172374" w:rsidRDefault="0030726B" w:rsidP="00F93AFC">
            <w:pPr>
              <w:jc w:val="right"/>
              <w:rPr>
                <w:sz w:val="8"/>
                <w:szCs w:val="8"/>
              </w:rPr>
            </w:pPr>
          </w:p>
        </w:tc>
        <w:tc>
          <w:tcPr>
            <w:tcW w:w="6643" w:type="dxa"/>
            <w:gridSpan w:val="7"/>
            <w:tcBorders>
              <w:top w:val="nil"/>
              <w:left w:val="nil"/>
              <w:bottom w:val="nil"/>
              <w:right w:val="nil"/>
            </w:tcBorders>
          </w:tcPr>
          <w:p w14:paraId="17F692DB" w14:textId="77777777" w:rsidR="0030726B" w:rsidRPr="00172374" w:rsidRDefault="0030726B" w:rsidP="00F93AFC">
            <w:pPr>
              <w:jc w:val="right"/>
              <w:rPr>
                <w:sz w:val="8"/>
                <w:szCs w:val="8"/>
              </w:rPr>
            </w:pPr>
          </w:p>
        </w:tc>
      </w:tr>
      <w:tr w:rsidR="0030726B" w:rsidRPr="00172374" w14:paraId="5F47C3EA" w14:textId="77777777" w:rsidTr="00440084">
        <w:trPr>
          <w:jc w:val="center"/>
        </w:trPr>
        <w:tc>
          <w:tcPr>
            <w:tcW w:w="2830" w:type="dxa"/>
            <w:gridSpan w:val="2"/>
            <w:tcBorders>
              <w:top w:val="nil"/>
              <w:left w:val="dashed" w:sz="4" w:space="0" w:color="FFFFFF"/>
              <w:bottom w:val="nil"/>
              <w:right w:val="nil"/>
            </w:tcBorders>
            <w:vAlign w:val="center"/>
          </w:tcPr>
          <w:p w14:paraId="06840941" w14:textId="77777777" w:rsidR="0030726B" w:rsidRPr="00172374" w:rsidRDefault="0030726B" w:rsidP="00F93AFC">
            <w:pPr>
              <w:rPr>
                <w:sz w:val="20"/>
                <w:szCs w:val="20"/>
              </w:rPr>
            </w:pPr>
            <w:r w:rsidRPr="00172374">
              <w:rPr>
                <w:sz w:val="20"/>
                <w:szCs w:val="20"/>
              </w:rPr>
              <w:t>Market</w:t>
            </w:r>
          </w:p>
        </w:tc>
        <w:tc>
          <w:tcPr>
            <w:tcW w:w="1594" w:type="dxa"/>
            <w:tcBorders>
              <w:top w:val="nil"/>
              <w:left w:val="nil"/>
              <w:bottom w:val="nil"/>
              <w:right w:val="single" w:sz="4" w:space="0" w:color="FFFFFF"/>
            </w:tcBorders>
            <w:vAlign w:val="center"/>
          </w:tcPr>
          <w:p w14:paraId="1263AE73" w14:textId="77777777" w:rsidR="0030726B" w:rsidRPr="00172374" w:rsidRDefault="0030726B" w:rsidP="00F93AFC">
            <w:pPr>
              <w:rPr>
                <w:sz w:val="20"/>
                <w:szCs w:val="20"/>
              </w:rPr>
            </w:pPr>
            <w:r w:rsidRPr="00172374">
              <w:rPr>
                <w:sz w:val="20"/>
                <w:szCs w:val="20"/>
              </w:rPr>
              <w:t>B2C</w:t>
            </w:r>
          </w:p>
        </w:tc>
        <w:tc>
          <w:tcPr>
            <w:tcW w:w="908" w:type="dxa"/>
            <w:tcBorders>
              <w:top w:val="nil"/>
              <w:left w:val="single" w:sz="4" w:space="0" w:color="FFFFFF"/>
              <w:bottom w:val="nil"/>
              <w:right w:val="nil"/>
            </w:tcBorders>
            <w:vAlign w:val="center"/>
          </w:tcPr>
          <w:p w14:paraId="15282F39"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41A84F16" w14:textId="77777777" w:rsidR="0030726B" w:rsidRPr="00172374" w:rsidRDefault="0030726B" w:rsidP="00F93AFC">
            <w:pPr>
              <w:jc w:val="right"/>
              <w:rPr>
                <w:sz w:val="20"/>
                <w:szCs w:val="20"/>
              </w:rPr>
            </w:pPr>
            <w:r w:rsidRPr="00172374">
              <w:rPr>
                <w:sz w:val="20"/>
                <w:szCs w:val="20"/>
              </w:rPr>
              <w:t>150</w:t>
            </w:r>
          </w:p>
        </w:tc>
        <w:tc>
          <w:tcPr>
            <w:tcW w:w="776" w:type="dxa"/>
            <w:gridSpan w:val="2"/>
            <w:tcBorders>
              <w:top w:val="nil"/>
              <w:left w:val="nil"/>
              <w:bottom w:val="nil"/>
              <w:right w:val="single" w:sz="4" w:space="0" w:color="FFFFFF"/>
            </w:tcBorders>
            <w:vAlign w:val="center"/>
          </w:tcPr>
          <w:p w14:paraId="70EECD5D" w14:textId="77777777" w:rsidR="0030726B" w:rsidRPr="00172374" w:rsidRDefault="0030726B" w:rsidP="00F93AFC">
            <w:pPr>
              <w:jc w:val="right"/>
              <w:rPr>
                <w:sz w:val="20"/>
                <w:szCs w:val="20"/>
              </w:rPr>
            </w:pPr>
            <w:r w:rsidRPr="00172374">
              <w:rPr>
                <w:sz w:val="20"/>
                <w:szCs w:val="20"/>
              </w:rPr>
              <w:t>61.9%</w:t>
            </w:r>
          </w:p>
        </w:tc>
        <w:tc>
          <w:tcPr>
            <w:tcW w:w="535" w:type="dxa"/>
            <w:tcBorders>
              <w:top w:val="nil"/>
              <w:left w:val="single" w:sz="4" w:space="0" w:color="FFFFFF"/>
              <w:bottom w:val="nil"/>
              <w:right w:val="dashed" w:sz="4" w:space="0" w:color="FFFFFF"/>
            </w:tcBorders>
            <w:vAlign w:val="center"/>
          </w:tcPr>
          <w:p w14:paraId="144968D7" w14:textId="77777777" w:rsidR="0030726B" w:rsidRPr="00172374" w:rsidRDefault="0030726B" w:rsidP="00F93AFC">
            <w:pPr>
              <w:jc w:val="center"/>
              <w:rPr>
                <w:sz w:val="20"/>
                <w:szCs w:val="20"/>
              </w:rPr>
            </w:pPr>
          </w:p>
        </w:tc>
      </w:tr>
      <w:tr w:rsidR="0030726B" w:rsidRPr="00172374" w14:paraId="5E1624DD" w14:textId="77777777" w:rsidTr="00440084">
        <w:trPr>
          <w:jc w:val="center"/>
        </w:trPr>
        <w:tc>
          <w:tcPr>
            <w:tcW w:w="2830" w:type="dxa"/>
            <w:gridSpan w:val="2"/>
            <w:tcBorders>
              <w:top w:val="nil"/>
              <w:left w:val="dashed" w:sz="4" w:space="0" w:color="FFFFFF"/>
              <w:bottom w:val="nil"/>
              <w:right w:val="nil"/>
            </w:tcBorders>
            <w:vAlign w:val="center"/>
          </w:tcPr>
          <w:p w14:paraId="5F33D09B"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61D6BA06" w14:textId="77777777" w:rsidR="0030726B" w:rsidRPr="00172374" w:rsidRDefault="0030726B" w:rsidP="00F93AFC">
            <w:pPr>
              <w:rPr>
                <w:sz w:val="20"/>
                <w:szCs w:val="20"/>
              </w:rPr>
            </w:pPr>
            <w:r w:rsidRPr="00172374">
              <w:rPr>
                <w:sz w:val="20"/>
                <w:szCs w:val="20"/>
              </w:rPr>
              <w:t>B2B</w:t>
            </w:r>
          </w:p>
        </w:tc>
        <w:tc>
          <w:tcPr>
            <w:tcW w:w="908" w:type="dxa"/>
            <w:tcBorders>
              <w:top w:val="nil"/>
              <w:left w:val="single" w:sz="4" w:space="0" w:color="FFFFFF"/>
              <w:bottom w:val="nil"/>
              <w:right w:val="nil"/>
            </w:tcBorders>
            <w:vAlign w:val="center"/>
          </w:tcPr>
          <w:p w14:paraId="05AB71B8"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1D3644C9" w14:textId="77777777" w:rsidR="0030726B" w:rsidRPr="00172374" w:rsidRDefault="0030726B" w:rsidP="00F93AFC">
            <w:pPr>
              <w:jc w:val="right"/>
              <w:rPr>
                <w:sz w:val="20"/>
                <w:szCs w:val="20"/>
              </w:rPr>
            </w:pPr>
            <w:r w:rsidRPr="00172374">
              <w:rPr>
                <w:sz w:val="20"/>
                <w:szCs w:val="20"/>
              </w:rPr>
              <w:t>51</w:t>
            </w:r>
          </w:p>
        </w:tc>
        <w:tc>
          <w:tcPr>
            <w:tcW w:w="776" w:type="dxa"/>
            <w:gridSpan w:val="2"/>
            <w:tcBorders>
              <w:top w:val="nil"/>
              <w:left w:val="nil"/>
              <w:bottom w:val="nil"/>
              <w:right w:val="single" w:sz="4" w:space="0" w:color="FFFFFF"/>
            </w:tcBorders>
            <w:vAlign w:val="center"/>
          </w:tcPr>
          <w:p w14:paraId="45F99B8D" w14:textId="77777777" w:rsidR="0030726B" w:rsidRPr="00172374" w:rsidRDefault="0030726B" w:rsidP="00F93AFC">
            <w:pPr>
              <w:jc w:val="right"/>
              <w:rPr>
                <w:sz w:val="20"/>
                <w:szCs w:val="20"/>
              </w:rPr>
            </w:pPr>
            <w:r w:rsidRPr="00172374">
              <w:rPr>
                <w:sz w:val="20"/>
                <w:szCs w:val="20"/>
              </w:rPr>
              <w:t>21.1%</w:t>
            </w:r>
          </w:p>
        </w:tc>
        <w:tc>
          <w:tcPr>
            <w:tcW w:w="535" w:type="dxa"/>
            <w:tcBorders>
              <w:top w:val="nil"/>
              <w:left w:val="single" w:sz="4" w:space="0" w:color="FFFFFF"/>
              <w:bottom w:val="nil"/>
              <w:right w:val="dashed" w:sz="4" w:space="0" w:color="FFFFFF"/>
            </w:tcBorders>
            <w:vAlign w:val="center"/>
          </w:tcPr>
          <w:p w14:paraId="13D14379" w14:textId="77777777" w:rsidR="0030726B" w:rsidRPr="00172374" w:rsidRDefault="0030726B" w:rsidP="00F93AFC">
            <w:pPr>
              <w:jc w:val="center"/>
              <w:rPr>
                <w:sz w:val="20"/>
                <w:szCs w:val="20"/>
              </w:rPr>
            </w:pPr>
          </w:p>
        </w:tc>
      </w:tr>
      <w:tr w:rsidR="0030726B" w:rsidRPr="00172374" w14:paraId="4ACBBA26" w14:textId="77777777" w:rsidTr="00440084">
        <w:trPr>
          <w:jc w:val="center"/>
        </w:trPr>
        <w:tc>
          <w:tcPr>
            <w:tcW w:w="2830" w:type="dxa"/>
            <w:gridSpan w:val="2"/>
            <w:tcBorders>
              <w:top w:val="nil"/>
              <w:left w:val="dashed" w:sz="4" w:space="0" w:color="FFFFFF"/>
              <w:bottom w:val="nil"/>
              <w:right w:val="nil"/>
            </w:tcBorders>
            <w:vAlign w:val="center"/>
          </w:tcPr>
          <w:p w14:paraId="12911D10"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64149C11" w14:textId="77777777" w:rsidR="0030726B" w:rsidRPr="00172374" w:rsidRDefault="0030726B" w:rsidP="00F93AFC">
            <w:pPr>
              <w:rPr>
                <w:sz w:val="20"/>
                <w:szCs w:val="20"/>
              </w:rPr>
            </w:pPr>
            <w:r w:rsidRPr="00172374">
              <w:rPr>
                <w:sz w:val="20"/>
                <w:szCs w:val="20"/>
              </w:rPr>
              <w:t>Both</w:t>
            </w:r>
          </w:p>
        </w:tc>
        <w:tc>
          <w:tcPr>
            <w:tcW w:w="908" w:type="dxa"/>
            <w:tcBorders>
              <w:top w:val="nil"/>
              <w:left w:val="single" w:sz="4" w:space="0" w:color="FFFFFF"/>
              <w:bottom w:val="nil"/>
              <w:right w:val="nil"/>
            </w:tcBorders>
            <w:vAlign w:val="center"/>
          </w:tcPr>
          <w:p w14:paraId="05B42D4B"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6C3A460C" w14:textId="77777777" w:rsidR="0030726B" w:rsidRPr="00172374" w:rsidRDefault="0030726B" w:rsidP="00F93AFC">
            <w:pPr>
              <w:jc w:val="right"/>
              <w:rPr>
                <w:sz w:val="20"/>
                <w:szCs w:val="20"/>
              </w:rPr>
            </w:pPr>
            <w:r w:rsidRPr="00172374">
              <w:rPr>
                <w:sz w:val="20"/>
                <w:szCs w:val="20"/>
              </w:rPr>
              <w:t>41</w:t>
            </w:r>
          </w:p>
        </w:tc>
        <w:tc>
          <w:tcPr>
            <w:tcW w:w="776" w:type="dxa"/>
            <w:gridSpan w:val="2"/>
            <w:tcBorders>
              <w:top w:val="nil"/>
              <w:left w:val="nil"/>
              <w:bottom w:val="nil"/>
              <w:right w:val="single" w:sz="4" w:space="0" w:color="FFFFFF"/>
            </w:tcBorders>
            <w:vAlign w:val="center"/>
          </w:tcPr>
          <w:p w14:paraId="129E3638" w14:textId="77777777" w:rsidR="0030726B" w:rsidRPr="00172374" w:rsidRDefault="0030726B" w:rsidP="00F93AFC">
            <w:pPr>
              <w:jc w:val="right"/>
              <w:rPr>
                <w:sz w:val="20"/>
                <w:szCs w:val="20"/>
              </w:rPr>
            </w:pPr>
            <w:r w:rsidRPr="00172374">
              <w:rPr>
                <w:sz w:val="20"/>
                <w:szCs w:val="20"/>
              </w:rPr>
              <w:t>17.0%</w:t>
            </w:r>
          </w:p>
        </w:tc>
        <w:tc>
          <w:tcPr>
            <w:tcW w:w="535" w:type="dxa"/>
            <w:tcBorders>
              <w:top w:val="nil"/>
              <w:left w:val="single" w:sz="4" w:space="0" w:color="FFFFFF"/>
              <w:bottom w:val="nil"/>
              <w:right w:val="dashed" w:sz="4" w:space="0" w:color="FFFFFF"/>
            </w:tcBorders>
            <w:vAlign w:val="center"/>
          </w:tcPr>
          <w:p w14:paraId="5A92BF8F" w14:textId="77777777" w:rsidR="0030726B" w:rsidRPr="00172374" w:rsidRDefault="0030726B" w:rsidP="00F93AFC">
            <w:pPr>
              <w:jc w:val="center"/>
              <w:rPr>
                <w:sz w:val="20"/>
                <w:szCs w:val="20"/>
              </w:rPr>
            </w:pPr>
          </w:p>
        </w:tc>
      </w:tr>
      <w:tr w:rsidR="0030726B" w:rsidRPr="00172374" w14:paraId="4A2F9B1D" w14:textId="77777777" w:rsidTr="00440084">
        <w:trPr>
          <w:jc w:val="center"/>
        </w:trPr>
        <w:tc>
          <w:tcPr>
            <w:tcW w:w="776" w:type="dxa"/>
            <w:tcBorders>
              <w:top w:val="nil"/>
              <w:left w:val="nil"/>
              <w:bottom w:val="nil"/>
              <w:right w:val="nil"/>
            </w:tcBorders>
          </w:tcPr>
          <w:p w14:paraId="04B11E8C" w14:textId="77777777" w:rsidR="0030726B" w:rsidRPr="00172374" w:rsidRDefault="0030726B" w:rsidP="00F93AFC">
            <w:pPr>
              <w:jc w:val="right"/>
              <w:rPr>
                <w:sz w:val="8"/>
                <w:szCs w:val="8"/>
              </w:rPr>
            </w:pPr>
          </w:p>
        </w:tc>
        <w:tc>
          <w:tcPr>
            <w:tcW w:w="6643" w:type="dxa"/>
            <w:gridSpan w:val="7"/>
            <w:tcBorders>
              <w:top w:val="nil"/>
              <w:left w:val="nil"/>
              <w:bottom w:val="nil"/>
              <w:right w:val="nil"/>
            </w:tcBorders>
          </w:tcPr>
          <w:p w14:paraId="19ED9310" w14:textId="77777777" w:rsidR="0030726B" w:rsidRPr="00172374" w:rsidRDefault="0030726B" w:rsidP="00F93AFC">
            <w:pPr>
              <w:jc w:val="right"/>
              <w:rPr>
                <w:sz w:val="8"/>
                <w:szCs w:val="8"/>
              </w:rPr>
            </w:pPr>
          </w:p>
        </w:tc>
      </w:tr>
      <w:tr w:rsidR="0030726B" w:rsidRPr="00172374" w14:paraId="0F585BF3" w14:textId="77777777" w:rsidTr="00440084">
        <w:trPr>
          <w:jc w:val="center"/>
        </w:trPr>
        <w:tc>
          <w:tcPr>
            <w:tcW w:w="2830" w:type="dxa"/>
            <w:gridSpan w:val="2"/>
            <w:tcBorders>
              <w:top w:val="nil"/>
              <w:left w:val="dashed" w:sz="4" w:space="0" w:color="FFFFFF"/>
              <w:bottom w:val="nil"/>
              <w:right w:val="nil"/>
            </w:tcBorders>
            <w:vAlign w:val="center"/>
          </w:tcPr>
          <w:p w14:paraId="1F5E7A42" w14:textId="77777777" w:rsidR="0030726B" w:rsidRPr="00172374" w:rsidRDefault="0030726B" w:rsidP="00F93AFC">
            <w:pPr>
              <w:rPr>
                <w:sz w:val="20"/>
                <w:szCs w:val="20"/>
              </w:rPr>
            </w:pPr>
            <w:r w:rsidRPr="00172374">
              <w:rPr>
                <w:sz w:val="20"/>
                <w:szCs w:val="20"/>
              </w:rPr>
              <w:t>Sector</w:t>
            </w:r>
          </w:p>
        </w:tc>
        <w:tc>
          <w:tcPr>
            <w:tcW w:w="1594" w:type="dxa"/>
            <w:tcBorders>
              <w:top w:val="nil"/>
              <w:left w:val="nil"/>
              <w:bottom w:val="nil"/>
              <w:right w:val="single" w:sz="4" w:space="0" w:color="FFFFFF"/>
            </w:tcBorders>
            <w:vAlign w:val="center"/>
          </w:tcPr>
          <w:p w14:paraId="0684FDD6" w14:textId="77777777" w:rsidR="0030726B" w:rsidRPr="00172374" w:rsidRDefault="0030726B" w:rsidP="00F93AFC">
            <w:pPr>
              <w:rPr>
                <w:sz w:val="20"/>
                <w:szCs w:val="20"/>
              </w:rPr>
            </w:pPr>
            <w:r w:rsidRPr="00172374">
              <w:rPr>
                <w:sz w:val="20"/>
                <w:szCs w:val="20"/>
              </w:rPr>
              <w:t>FMCG</w:t>
            </w:r>
          </w:p>
        </w:tc>
        <w:tc>
          <w:tcPr>
            <w:tcW w:w="908" w:type="dxa"/>
            <w:tcBorders>
              <w:top w:val="nil"/>
              <w:left w:val="single" w:sz="4" w:space="0" w:color="FFFFFF"/>
              <w:bottom w:val="nil"/>
              <w:right w:val="nil"/>
            </w:tcBorders>
            <w:vAlign w:val="center"/>
          </w:tcPr>
          <w:p w14:paraId="370AB5A3"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30E6FF37" w14:textId="77777777" w:rsidR="0030726B" w:rsidRPr="00172374" w:rsidRDefault="0030726B" w:rsidP="00F93AFC">
            <w:pPr>
              <w:jc w:val="right"/>
              <w:rPr>
                <w:sz w:val="20"/>
                <w:szCs w:val="20"/>
              </w:rPr>
            </w:pPr>
            <w:r w:rsidRPr="00172374">
              <w:rPr>
                <w:sz w:val="20"/>
                <w:szCs w:val="20"/>
              </w:rPr>
              <w:t>91</w:t>
            </w:r>
          </w:p>
        </w:tc>
        <w:tc>
          <w:tcPr>
            <w:tcW w:w="776" w:type="dxa"/>
            <w:gridSpan w:val="2"/>
            <w:tcBorders>
              <w:top w:val="nil"/>
              <w:left w:val="nil"/>
              <w:bottom w:val="nil"/>
              <w:right w:val="single" w:sz="4" w:space="0" w:color="FFFFFF"/>
            </w:tcBorders>
            <w:vAlign w:val="center"/>
          </w:tcPr>
          <w:p w14:paraId="28D9A205" w14:textId="77777777" w:rsidR="0030726B" w:rsidRPr="00172374" w:rsidRDefault="0030726B" w:rsidP="00F93AFC">
            <w:pPr>
              <w:jc w:val="right"/>
              <w:rPr>
                <w:sz w:val="20"/>
                <w:szCs w:val="20"/>
              </w:rPr>
            </w:pPr>
            <w:r w:rsidRPr="00172374">
              <w:rPr>
                <w:sz w:val="20"/>
                <w:szCs w:val="20"/>
              </w:rPr>
              <w:t>37.6%</w:t>
            </w:r>
          </w:p>
        </w:tc>
        <w:tc>
          <w:tcPr>
            <w:tcW w:w="535" w:type="dxa"/>
            <w:tcBorders>
              <w:top w:val="nil"/>
              <w:left w:val="single" w:sz="4" w:space="0" w:color="FFFFFF"/>
              <w:bottom w:val="nil"/>
              <w:right w:val="dashed" w:sz="4" w:space="0" w:color="FFFFFF"/>
            </w:tcBorders>
            <w:vAlign w:val="center"/>
          </w:tcPr>
          <w:p w14:paraId="402966C5" w14:textId="77777777" w:rsidR="0030726B" w:rsidRPr="00172374" w:rsidRDefault="0030726B" w:rsidP="00F93AFC">
            <w:pPr>
              <w:jc w:val="center"/>
              <w:rPr>
                <w:sz w:val="20"/>
                <w:szCs w:val="20"/>
              </w:rPr>
            </w:pPr>
          </w:p>
        </w:tc>
      </w:tr>
      <w:tr w:rsidR="0030726B" w:rsidRPr="00172374" w14:paraId="73FC2C0E" w14:textId="77777777" w:rsidTr="00440084">
        <w:trPr>
          <w:jc w:val="center"/>
        </w:trPr>
        <w:tc>
          <w:tcPr>
            <w:tcW w:w="2830" w:type="dxa"/>
            <w:gridSpan w:val="2"/>
            <w:tcBorders>
              <w:top w:val="nil"/>
              <w:left w:val="dashed" w:sz="4" w:space="0" w:color="FFFFFF"/>
              <w:bottom w:val="nil"/>
              <w:right w:val="nil"/>
            </w:tcBorders>
            <w:vAlign w:val="center"/>
          </w:tcPr>
          <w:p w14:paraId="4BCC3E96"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7589DB01" w14:textId="77777777" w:rsidR="0030726B" w:rsidRPr="00172374" w:rsidRDefault="0030726B" w:rsidP="00F93AFC">
            <w:pPr>
              <w:rPr>
                <w:sz w:val="20"/>
                <w:szCs w:val="20"/>
              </w:rPr>
            </w:pPr>
            <w:r w:rsidRPr="00172374">
              <w:rPr>
                <w:sz w:val="20"/>
                <w:szCs w:val="20"/>
              </w:rPr>
              <w:t>Services</w:t>
            </w:r>
          </w:p>
        </w:tc>
        <w:tc>
          <w:tcPr>
            <w:tcW w:w="908" w:type="dxa"/>
            <w:tcBorders>
              <w:top w:val="nil"/>
              <w:left w:val="single" w:sz="4" w:space="0" w:color="FFFFFF"/>
              <w:bottom w:val="nil"/>
              <w:right w:val="nil"/>
            </w:tcBorders>
            <w:vAlign w:val="center"/>
          </w:tcPr>
          <w:p w14:paraId="44A39F63"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542673B4" w14:textId="77777777" w:rsidR="0030726B" w:rsidRPr="00172374" w:rsidRDefault="0030726B" w:rsidP="00F93AFC">
            <w:pPr>
              <w:jc w:val="right"/>
              <w:rPr>
                <w:sz w:val="20"/>
                <w:szCs w:val="20"/>
              </w:rPr>
            </w:pPr>
            <w:r w:rsidRPr="00172374">
              <w:rPr>
                <w:sz w:val="20"/>
                <w:szCs w:val="20"/>
              </w:rPr>
              <w:t>68</w:t>
            </w:r>
          </w:p>
        </w:tc>
        <w:tc>
          <w:tcPr>
            <w:tcW w:w="776" w:type="dxa"/>
            <w:gridSpan w:val="2"/>
            <w:tcBorders>
              <w:top w:val="nil"/>
              <w:left w:val="nil"/>
              <w:bottom w:val="nil"/>
              <w:right w:val="single" w:sz="4" w:space="0" w:color="FFFFFF"/>
            </w:tcBorders>
            <w:vAlign w:val="center"/>
          </w:tcPr>
          <w:p w14:paraId="623198F4" w14:textId="77777777" w:rsidR="0030726B" w:rsidRPr="00172374" w:rsidRDefault="0030726B" w:rsidP="00F93AFC">
            <w:pPr>
              <w:jc w:val="right"/>
              <w:rPr>
                <w:sz w:val="20"/>
                <w:szCs w:val="20"/>
              </w:rPr>
            </w:pPr>
            <w:r w:rsidRPr="00172374">
              <w:rPr>
                <w:sz w:val="20"/>
                <w:szCs w:val="20"/>
              </w:rPr>
              <w:t>28.1%</w:t>
            </w:r>
          </w:p>
        </w:tc>
        <w:tc>
          <w:tcPr>
            <w:tcW w:w="535" w:type="dxa"/>
            <w:tcBorders>
              <w:top w:val="nil"/>
              <w:left w:val="single" w:sz="4" w:space="0" w:color="FFFFFF"/>
              <w:bottom w:val="nil"/>
              <w:right w:val="dashed" w:sz="4" w:space="0" w:color="FFFFFF"/>
            </w:tcBorders>
            <w:vAlign w:val="center"/>
          </w:tcPr>
          <w:p w14:paraId="23C5BD4E" w14:textId="77777777" w:rsidR="0030726B" w:rsidRPr="00172374" w:rsidRDefault="0030726B" w:rsidP="00F93AFC">
            <w:pPr>
              <w:jc w:val="center"/>
              <w:rPr>
                <w:sz w:val="20"/>
                <w:szCs w:val="20"/>
              </w:rPr>
            </w:pPr>
          </w:p>
        </w:tc>
      </w:tr>
      <w:tr w:rsidR="0030726B" w:rsidRPr="00172374" w14:paraId="6A805A4E" w14:textId="77777777" w:rsidTr="00440084">
        <w:trPr>
          <w:jc w:val="center"/>
        </w:trPr>
        <w:tc>
          <w:tcPr>
            <w:tcW w:w="2830" w:type="dxa"/>
            <w:gridSpan w:val="2"/>
            <w:tcBorders>
              <w:top w:val="nil"/>
              <w:left w:val="dashed" w:sz="4" w:space="0" w:color="FFFFFF"/>
              <w:bottom w:val="nil"/>
              <w:right w:val="nil"/>
            </w:tcBorders>
            <w:vAlign w:val="center"/>
          </w:tcPr>
          <w:p w14:paraId="2C33034F"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3C12A8AB" w14:textId="77777777" w:rsidR="0030726B" w:rsidRPr="00172374" w:rsidRDefault="0030726B" w:rsidP="00F93AFC">
            <w:pPr>
              <w:rPr>
                <w:sz w:val="20"/>
                <w:szCs w:val="20"/>
              </w:rPr>
            </w:pPr>
            <w:r w:rsidRPr="00172374">
              <w:rPr>
                <w:sz w:val="20"/>
                <w:szCs w:val="20"/>
              </w:rPr>
              <w:t>Wholesale/Retail</w:t>
            </w:r>
          </w:p>
        </w:tc>
        <w:tc>
          <w:tcPr>
            <w:tcW w:w="908" w:type="dxa"/>
            <w:tcBorders>
              <w:top w:val="nil"/>
              <w:left w:val="single" w:sz="4" w:space="0" w:color="FFFFFF"/>
              <w:bottom w:val="nil"/>
              <w:right w:val="nil"/>
            </w:tcBorders>
            <w:vAlign w:val="center"/>
          </w:tcPr>
          <w:p w14:paraId="32DD8017"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7687AF45" w14:textId="77777777" w:rsidR="0030726B" w:rsidRPr="00172374" w:rsidRDefault="0030726B" w:rsidP="00F93AFC">
            <w:pPr>
              <w:jc w:val="right"/>
              <w:rPr>
                <w:sz w:val="20"/>
                <w:szCs w:val="20"/>
              </w:rPr>
            </w:pPr>
            <w:r w:rsidRPr="00172374">
              <w:rPr>
                <w:sz w:val="20"/>
                <w:szCs w:val="20"/>
              </w:rPr>
              <w:t>24</w:t>
            </w:r>
          </w:p>
        </w:tc>
        <w:tc>
          <w:tcPr>
            <w:tcW w:w="776" w:type="dxa"/>
            <w:gridSpan w:val="2"/>
            <w:tcBorders>
              <w:top w:val="nil"/>
              <w:left w:val="nil"/>
              <w:bottom w:val="nil"/>
              <w:right w:val="single" w:sz="4" w:space="0" w:color="FFFFFF"/>
            </w:tcBorders>
            <w:vAlign w:val="center"/>
          </w:tcPr>
          <w:p w14:paraId="4E5BDDC1" w14:textId="77777777" w:rsidR="0030726B" w:rsidRPr="00172374" w:rsidRDefault="0030726B" w:rsidP="00F93AFC">
            <w:pPr>
              <w:jc w:val="right"/>
              <w:rPr>
                <w:sz w:val="20"/>
                <w:szCs w:val="20"/>
              </w:rPr>
            </w:pPr>
            <w:r w:rsidRPr="00172374">
              <w:rPr>
                <w:sz w:val="20"/>
                <w:szCs w:val="20"/>
              </w:rPr>
              <w:t>9.9%</w:t>
            </w:r>
          </w:p>
        </w:tc>
        <w:tc>
          <w:tcPr>
            <w:tcW w:w="535" w:type="dxa"/>
            <w:tcBorders>
              <w:top w:val="nil"/>
              <w:left w:val="single" w:sz="4" w:space="0" w:color="FFFFFF"/>
              <w:bottom w:val="nil"/>
              <w:right w:val="dashed" w:sz="4" w:space="0" w:color="FFFFFF"/>
            </w:tcBorders>
            <w:vAlign w:val="center"/>
          </w:tcPr>
          <w:p w14:paraId="35572056" w14:textId="77777777" w:rsidR="0030726B" w:rsidRPr="00172374" w:rsidRDefault="0030726B" w:rsidP="00F93AFC">
            <w:pPr>
              <w:jc w:val="center"/>
              <w:rPr>
                <w:sz w:val="20"/>
                <w:szCs w:val="20"/>
              </w:rPr>
            </w:pPr>
          </w:p>
        </w:tc>
      </w:tr>
      <w:tr w:rsidR="0030726B" w:rsidRPr="00172374" w14:paraId="2BEC2953" w14:textId="77777777" w:rsidTr="00440084">
        <w:trPr>
          <w:jc w:val="center"/>
        </w:trPr>
        <w:tc>
          <w:tcPr>
            <w:tcW w:w="2830" w:type="dxa"/>
            <w:gridSpan w:val="2"/>
            <w:tcBorders>
              <w:top w:val="nil"/>
              <w:left w:val="dashed" w:sz="4" w:space="0" w:color="FFFFFF"/>
              <w:bottom w:val="nil"/>
              <w:right w:val="nil"/>
            </w:tcBorders>
            <w:vAlign w:val="center"/>
          </w:tcPr>
          <w:p w14:paraId="59156516" w14:textId="77777777" w:rsidR="0030726B" w:rsidRPr="00172374" w:rsidRDefault="0030726B" w:rsidP="00F93AFC">
            <w:pPr>
              <w:rPr>
                <w:sz w:val="20"/>
                <w:szCs w:val="20"/>
              </w:rPr>
            </w:pPr>
          </w:p>
        </w:tc>
        <w:tc>
          <w:tcPr>
            <w:tcW w:w="2502" w:type="dxa"/>
            <w:gridSpan w:val="2"/>
            <w:tcBorders>
              <w:top w:val="nil"/>
              <w:left w:val="nil"/>
              <w:bottom w:val="nil"/>
              <w:right w:val="single" w:sz="4" w:space="0" w:color="FFFFFF"/>
            </w:tcBorders>
            <w:vAlign w:val="center"/>
          </w:tcPr>
          <w:p w14:paraId="24D3D569" w14:textId="77777777" w:rsidR="0030726B" w:rsidRPr="00172374" w:rsidRDefault="0030726B" w:rsidP="00F93AFC">
            <w:pPr>
              <w:rPr>
                <w:sz w:val="20"/>
                <w:szCs w:val="20"/>
              </w:rPr>
            </w:pPr>
            <w:r w:rsidRPr="00172374">
              <w:rPr>
                <w:sz w:val="20"/>
                <w:szCs w:val="20"/>
              </w:rPr>
              <w:t>Industrial products</w:t>
            </w:r>
          </w:p>
        </w:tc>
        <w:tc>
          <w:tcPr>
            <w:tcW w:w="776" w:type="dxa"/>
            <w:tcBorders>
              <w:top w:val="nil"/>
              <w:left w:val="nil"/>
              <w:bottom w:val="nil"/>
              <w:right w:val="nil"/>
            </w:tcBorders>
          </w:tcPr>
          <w:p w14:paraId="6DAEDD81" w14:textId="77777777" w:rsidR="0030726B" w:rsidRPr="00172374" w:rsidRDefault="0030726B" w:rsidP="00F93AFC">
            <w:pPr>
              <w:jc w:val="right"/>
              <w:rPr>
                <w:sz w:val="20"/>
                <w:szCs w:val="20"/>
              </w:rPr>
            </w:pPr>
            <w:r w:rsidRPr="00172374">
              <w:rPr>
                <w:sz w:val="20"/>
                <w:szCs w:val="20"/>
              </w:rPr>
              <w:t>39</w:t>
            </w:r>
          </w:p>
        </w:tc>
        <w:tc>
          <w:tcPr>
            <w:tcW w:w="776" w:type="dxa"/>
            <w:gridSpan w:val="2"/>
            <w:tcBorders>
              <w:top w:val="nil"/>
              <w:left w:val="nil"/>
              <w:bottom w:val="nil"/>
              <w:right w:val="single" w:sz="4" w:space="0" w:color="FFFFFF"/>
            </w:tcBorders>
            <w:vAlign w:val="center"/>
          </w:tcPr>
          <w:p w14:paraId="68749F30" w14:textId="77777777" w:rsidR="0030726B" w:rsidRPr="00172374" w:rsidRDefault="0030726B" w:rsidP="00F93AFC">
            <w:pPr>
              <w:jc w:val="right"/>
              <w:rPr>
                <w:sz w:val="20"/>
                <w:szCs w:val="20"/>
              </w:rPr>
            </w:pPr>
            <w:r w:rsidRPr="00172374">
              <w:rPr>
                <w:sz w:val="20"/>
                <w:szCs w:val="20"/>
              </w:rPr>
              <w:t>16.1%</w:t>
            </w:r>
          </w:p>
        </w:tc>
        <w:tc>
          <w:tcPr>
            <w:tcW w:w="535" w:type="dxa"/>
            <w:tcBorders>
              <w:top w:val="nil"/>
              <w:left w:val="single" w:sz="4" w:space="0" w:color="FFFFFF"/>
              <w:bottom w:val="nil"/>
              <w:right w:val="dashed" w:sz="4" w:space="0" w:color="FFFFFF"/>
            </w:tcBorders>
            <w:vAlign w:val="center"/>
          </w:tcPr>
          <w:p w14:paraId="5D0BE20E" w14:textId="77777777" w:rsidR="0030726B" w:rsidRPr="00172374" w:rsidRDefault="0030726B" w:rsidP="00F93AFC">
            <w:pPr>
              <w:jc w:val="center"/>
              <w:rPr>
                <w:sz w:val="20"/>
                <w:szCs w:val="20"/>
              </w:rPr>
            </w:pPr>
          </w:p>
        </w:tc>
      </w:tr>
      <w:tr w:rsidR="0030726B" w:rsidRPr="00172374" w14:paraId="0B3A55EF" w14:textId="77777777" w:rsidTr="00440084">
        <w:trPr>
          <w:jc w:val="center"/>
        </w:trPr>
        <w:tc>
          <w:tcPr>
            <w:tcW w:w="2830" w:type="dxa"/>
            <w:gridSpan w:val="2"/>
            <w:tcBorders>
              <w:top w:val="nil"/>
              <w:left w:val="dashed" w:sz="4" w:space="0" w:color="FFFFFF"/>
              <w:bottom w:val="nil"/>
              <w:right w:val="nil"/>
            </w:tcBorders>
            <w:vAlign w:val="center"/>
          </w:tcPr>
          <w:p w14:paraId="1DFA20C2" w14:textId="77777777" w:rsidR="0030726B" w:rsidRPr="00172374" w:rsidRDefault="0030726B" w:rsidP="00F93AFC">
            <w:pPr>
              <w:rPr>
                <w:sz w:val="20"/>
                <w:szCs w:val="20"/>
              </w:rPr>
            </w:pPr>
          </w:p>
        </w:tc>
        <w:tc>
          <w:tcPr>
            <w:tcW w:w="2502" w:type="dxa"/>
            <w:gridSpan w:val="2"/>
            <w:tcBorders>
              <w:top w:val="nil"/>
              <w:left w:val="nil"/>
              <w:bottom w:val="nil"/>
              <w:right w:val="single" w:sz="4" w:space="0" w:color="FFFFFF"/>
            </w:tcBorders>
            <w:vAlign w:val="center"/>
          </w:tcPr>
          <w:p w14:paraId="1FC77085" w14:textId="77777777" w:rsidR="0030726B" w:rsidRPr="00172374" w:rsidRDefault="0030726B" w:rsidP="00F93AFC">
            <w:pPr>
              <w:rPr>
                <w:sz w:val="20"/>
                <w:szCs w:val="20"/>
              </w:rPr>
            </w:pPr>
            <w:r w:rsidRPr="00172374">
              <w:rPr>
                <w:sz w:val="20"/>
                <w:szCs w:val="20"/>
              </w:rPr>
              <w:t>Other</w:t>
            </w:r>
          </w:p>
        </w:tc>
        <w:tc>
          <w:tcPr>
            <w:tcW w:w="776" w:type="dxa"/>
            <w:tcBorders>
              <w:top w:val="nil"/>
              <w:left w:val="nil"/>
              <w:bottom w:val="nil"/>
              <w:right w:val="nil"/>
            </w:tcBorders>
          </w:tcPr>
          <w:p w14:paraId="41346114" w14:textId="77777777" w:rsidR="0030726B" w:rsidRPr="00172374" w:rsidRDefault="0030726B" w:rsidP="00F93AFC">
            <w:pPr>
              <w:jc w:val="right"/>
              <w:rPr>
                <w:sz w:val="20"/>
                <w:szCs w:val="20"/>
              </w:rPr>
            </w:pPr>
            <w:r w:rsidRPr="00172374">
              <w:rPr>
                <w:sz w:val="20"/>
                <w:szCs w:val="20"/>
              </w:rPr>
              <w:t>20</w:t>
            </w:r>
          </w:p>
        </w:tc>
        <w:tc>
          <w:tcPr>
            <w:tcW w:w="776" w:type="dxa"/>
            <w:gridSpan w:val="2"/>
            <w:tcBorders>
              <w:top w:val="nil"/>
              <w:left w:val="nil"/>
              <w:bottom w:val="nil"/>
              <w:right w:val="single" w:sz="4" w:space="0" w:color="FFFFFF"/>
            </w:tcBorders>
            <w:vAlign w:val="center"/>
          </w:tcPr>
          <w:p w14:paraId="117D100A" w14:textId="77777777" w:rsidR="0030726B" w:rsidRPr="00172374" w:rsidRDefault="0030726B" w:rsidP="00F93AFC">
            <w:pPr>
              <w:jc w:val="right"/>
              <w:rPr>
                <w:sz w:val="20"/>
                <w:szCs w:val="20"/>
              </w:rPr>
            </w:pPr>
            <w:r w:rsidRPr="00172374">
              <w:rPr>
                <w:sz w:val="20"/>
                <w:szCs w:val="20"/>
              </w:rPr>
              <w:t>8.3%</w:t>
            </w:r>
          </w:p>
        </w:tc>
        <w:tc>
          <w:tcPr>
            <w:tcW w:w="535" w:type="dxa"/>
            <w:tcBorders>
              <w:top w:val="nil"/>
              <w:left w:val="single" w:sz="4" w:space="0" w:color="FFFFFF"/>
              <w:bottom w:val="nil"/>
              <w:right w:val="dashed" w:sz="4" w:space="0" w:color="FFFFFF"/>
            </w:tcBorders>
            <w:vAlign w:val="center"/>
          </w:tcPr>
          <w:p w14:paraId="05DD05F6" w14:textId="77777777" w:rsidR="0030726B" w:rsidRPr="00172374" w:rsidRDefault="0030726B" w:rsidP="00F93AFC">
            <w:pPr>
              <w:jc w:val="center"/>
              <w:rPr>
                <w:sz w:val="20"/>
                <w:szCs w:val="20"/>
              </w:rPr>
            </w:pPr>
          </w:p>
        </w:tc>
      </w:tr>
      <w:tr w:rsidR="0030726B" w:rsidRPr="00172374" w14:paraId="63641494" w14:textId="77777777" w:rsidTr="00440084">
        <w:trPr>
          <w:jc w:val="center"/>
        </w:trPr>
        <w:tc>
          <w:tcPr>
            <w:tcW w:w="776" w:type="dxa"/>
            <w:tcBorders>
              <w:top w:val="nil"/>
              <w:left w:val="dashed" w:sz="4" w:space="0" w:color="FFFFFF"/>
              <w:bottom w:val="nil"/>
              <w:right w:val="dashed" w:sz="4" w:space="0" w:color="FFFFFF"/>
            </w:tcBorders>
          </w:tcPr>
          <w:p w14:paraId="57FF61B4" w14:textId="77777777" w:rsidR="0030726B" w:rsidRPr="00172374" w:rsidRDefault="0030726B" w:rsidP="00F93AFC">
            <w:pPr>
              <w:jc w:val="right"/>
              <w:rPr>
                <w:sz w:val="8"/>
                <w:szCs w:val="8"/>
              </w:rPr>
            </w:pPr>
          </w:p>
        </w:tc>
        <w:tc>
          <w:tcPr>
            <w:tcW w:w="6643" w:type="dxa"/>
            <w:gridSpan w:val="7"/>
            <w:tcBorders>
              <w:top w:val="nil"/>
              <w:left w:val="dashed" w:sz="4" w:space="0" w:color="FFFFFF"/>
              <w:bottom w:val="nil"/>
              <w:right w:val="dashed" w:sz="4" w:space="0" w:color="FFFFFF"/>
            </w:tcBorders>
          </w:tcPr>
          <w:p w14:paraId="7B5412D9" w14:textId="77777777" w:rsidR="0030726B" w:rsidRPr="00172374" w:rsidRDefault="0030726B" w:rsidP="00F93AFC">
            <w:pPr>
              <w:jc w:val="right"/>
              <w:rPr>
                <w:sz w:val="8"/>
                <w:szCs w:val="8"/>
              </w:rPr>
            </w:pPr>
          </w:p>
        </w:tc>
      </w:tr>
      <w:tr w:rsidR="0030726B" w:rsidRPr="00172374" w14:paraId="5156AAC8" w14:textId="77777777" w:rsidTr="00440084">
        <w:trPr>
          <w:jc w:val="center"/>
        </w:trPr>
        <w:tc>
          <w:tcPr>
            <w:tcW w:w="2830" w:type="dxa"/>
            <w:gridSpan w:val="2"/>
            <w:tcBorders>
              <w:top w:val="nil"/>
              <w:left w:val="nil"/>
              <w:bottom w:val="nil"/>
              <w:right w:val="nil"/>
            </w:tcBorders>
            <w:shd w:val="clear" w:color="auto" w:fill="auto"/>
            <w:vAlign w:val="center"/>
          </w:tcPr>
          <w:p w14:paraId="11765473" w14:textId="77777777" w:rsidR="0030726B" w:rsidRPr="00172374" w:rsidRDefault="0030726B" w:rsidP="00F93AFC">
            <w:pPr>
              <w:rPr>
                <w:sz w:val="20"/>
                <w:szCs w:val="20"/>
              </w:rPr>
            </w:pPr>
            <w:r w:rsidRPr="00172374">
              <w:rPr>
                <w:sz w:val="20"/>
                <w:szCs w:val="20"/>
              </w:rPr>
              <w:t>Firm’s geographical scope</w:t>
            </w:r>
          </w:p>
        </w:tc>
        <w:tc>
          <w:tcPr>
            <w:tcW w:w="2502" w:type="dxa"/>
            <w:gridSpan w:val="2"/>
            <w:tcBorders>
              <w:top w:val="nil"/>
              <w:left w:val="nil"/>
              <w:bottom w:val="nil"/>
              <w:right w:val="nil"/>
            </w:tcBorders>
            <w:shd w:val="clear" w:color="auto" w:fill="auto"/>
            <w:vAlign w:val="center"/>
          </w:tcPr>
          <w:p w14:paraId="03927BB9" w14:textId="77777777" w:rsidR="0030726B" w:rsidRPr="00172374" w:rsidRDefault="0030726B" w:rsidP="00F93AFC">
            <w:pPr>
              <w:rPr>
                <w:sz w:val="20"/>
                <w:szCs w:val="20"/>
              </w:rPr>
            </w:pPr>
            <w:r w:rsidRPr="00172374">
              <w:rPr>
                <w:sz w:val="20"/>
                <w:szCs w:val="20"/>
              </w:rPr>
              <w:t>Domestic</w:t>
            </w:r>
          </w:p>
        </w:tc>
        <w:tc>
          <w:tcPr>
            <w:tcW w:w="776" w:type="dxa"/>
            <w:tcBorders>
              <w:top w:val="nil"/>
              <w:left w:val="nil"/>
              <w:bottom w:val="nil"/>
              <w:right w:val="nil"/>
            </w:tcBorders>
          </w:tcPr>
          <w:p w14:paraId="25A127AC" w14:textId="77777777" w:rsidR="0030726B" w:rsidRPr="00172374" w:rsidRDefault="0030726B" w:rsidP="00F93AFC">
            <w:pPr>
              <w:ind w:firstLine="34"/>
              <w:jc w:val="right"/>
              <w:rPr>
                <w:sz w:val="20"/>
                <w:szCs w:val="20"/>
              </w:rPr>
            </w:pPr>
            <w:r w:rsidRPr="00172374">
              <w:rPr>
                <w:sz w:val="20"/>
                <w:szCs w:val="20"/>
              </w:rPr>
              <w:t>124</w:t>
            </w:r>
          </w:p>
        </w:tc>
        <w:tc>
          <w:tcPr>
            <w:tcW w:w="1311" w:type="dxa"/>
            <w:gridSpan w:val="3"/>
            <w:tcBorders>
              <w:top w:val="nil"/>
              <w:left w:val="nil"/>
              <w:bottom w:val="nil"/>
              <w:right w:val="nil"/>
            </w:tcBorders>
            <w:shd w:val="clear" w:color="auto" w:fill="auto"/>
            <w:vAlign w:val="center"/>
          </w:tcPr>
          <w:p w14:paraId="327BC58E" w14:textId="77777777" w:rsidR="0030726B" w:rsidRPr="00172374" w:rsidRDefault="0030726B" w:rsidP="00F93AFC">
            <w:pPr>
              <w:ind w:firstLine="34"/>
              <w:rPr>
                <w:sz w:val="20"/>
                <w:szCs w:val="20"/>
              </w:rPr>
            </w:pPr>
            <w:r w:rsidRPr="00172374">
              <w:rPr>
                <w:sz w:val="20"/>
                <w:szCs w:val="20"/>
              </w:rPr>
              <w:t>51.2%</w:t>
            </w:r>
          </w:p>
        </w:tc>
      </w:tr>
      <w:tr w:rsidR="0030726B" w:rsidRPr="00172374" w14:paraId="6FFE8775" w14:textId="77777777" w:rsidTr="00440084">
        <w:trPr>
          <w:jc w:val="center"/>
        </w:trPr>
        <w:tc>
          <w:tcPr>
            <w:tcW w:w="2830" w:type="dxa"/>
            <w:gridSpan w:val="2"/>
            <w:tcBorders>
              <w:top w:val="nil"/>
              <w:left w:val="nil"/>
              <w:bottom w:val="nil"/>
              <w:right w:val="nil"/>
            </w:tcBorders>
            <w:shd w:val="clear" w:color="auto" w:fill="auto"/>
            <w:vAlign w:val="center"/>
          </w:tcPr>
          <w:p w14:paraId="04E29E77" w14:textId="77777777" w:rsidR="0030726B" w:rsidRPr="00172374" w:rsidRDefault="0030726B" w:rsidP="00F93AFC">
            <w:pPr>
              <w:rPr>
                <w:sz w:val="20"/>
                <w:szCs w:val="20"/>
              </w:rPr>
            </w:pPr>
          </w:p>
        </w:tc>
        <w:tc>
          <w:tcPr>
            <w:tcW w:w="2502" w:type="dxa"/>
            <w:gridSpan w:val="2"/>
            <w:tcBorders>
              <w:top w:val="nil"/>
              <w:left w:val="nil"/>
              <w:bottom w:val="nil"/>
              <w:right w:val="nil"/>
            </w:tcBorders>
            <w:shd w:val="clear" w:color="auto" w:fill="auto"/>
            <w:vAlign w:val="center"/>
          </w:tcPr>
          <w:p w14:paraId="04E5EC9D" w14:textId="77777777" w:rsidR="0030726B" w:rsidRPr="00172374" w:rsidRDefault="0030726B" w:rsidP="00F93AFC">
            <w:pPr>
              <w:rPr>
                <w:sz w:val="20"/>
                <w:szCs w:val="20"/>
              </w:rPr>
            </w:pPr>
            <w:r w:rsidRPr="00172374">
              <w:rPr>
                <w:sz w:val="20"/>
                <w:szCs w:val="20"/>
              </w:rPr>
              <w:t>Multinational</w:t>
            </w:r>
          </w:p>
        </w:tc>
        <w:tc>
          <w:tcPr>
            <w:tcW w:w="776" w:type="dxa"/>
            <w:tcBorders>
              <w:top w:val="nil"/>
              <w:left w:val="nil"/>
              <w:bottom w:val="nil"/>
              <w:right w:val="nil"/>
            </w:tcBorders>
          </w:tcPr>
          <w:p w14:paraId="03B2EB0D" w14:textId="77777777" w:rsidR="0030726B" w:rsidRPr="00172374" w:rsidRDefault="0030726B" w:rsidP="00F93AFC">
            <w:pPr>
              <w:ind w:firstLine="34"/>
              <w:jc w:val="right"/>
              <w:rPr>
                <w:sz w:val="20"/>
                <w:szCs w:val="20"/>
              </w:rPr>
            </w:pPr>
            <w:r w:rsidRPr="00172374">
              <w:rPr>
                <w:sz w:val="20"/>
                <w:szCs w:val="20"/>
              </w:rPr>
              <w:t>118</w:t>
            </w:r>
          </w:p>
        </w:tc>
        <w:tc>
          <w:tcPr>
            <w:tcW w:w="1311" w:type="dxa"/>
            <w:gridSpan w:val="3"/>
            <w:tcBorders>
              <w:top w:val="nil"/>
              <w:left w:val="nil"/>
              <w:bottom w:val="nil"/>
              <w:right w:val="nil"/>
            </w:tcBorders>
            <w:shd w:val="clear" w:color="auto" w:fill="auto"/>
            <w:vAlign w:val="center"/>
          </w:tcPr>
          <w:p w14:paraId="01F0050D" w14:textId="77777777" w:rsidR="0030726B" w:rsidRPr="00172374" w:rsidRDefault="0030726B" w:rsidP="00F93AFC">
            <w:pPr>
              <w:ind w:firstLine="34"/>
              <w:rPr>
                <w:sz w:val="20"/>
                <w:szCs w:val="20"/>
              </w:rPr>
            </w:pPr>
            <w:r w:rsidRPr="00172374">
              <w:rPr>
                <w:sz w:val="20"/>
                <w:szCs w:val="20"/>
              </w:rPr>
              <w:t>48.8%</w:t>
            </w:r>
          </w:p>
        </w:tc>
      </w:tr>
      <w:tr w:rsidR="0030726B" w:rsidRPr="00172374" w14:paraId="4570DBE5" w14:textId="77777777" w:rsidTr="00440084">
        <w:trPr>
          <w:jc w:val="center"/>
        </w:trPr>
        <w:tc>
          <w:tcPr>
            <w:tcW w:w="776" w:type="dxa"/>
            <w:tcBorders>
              <w:top w:val="nil"/>
              <w:left w:val="dashed" w:sz="4" w:space="0" w:color="FFFFFF"/>
              <w:bottom w:val="nil"/>
              <w:right w:val="dashed" w:sz="4" w:space="0" w:color="FFFFFF"/>
            </w:tcBorders>
          </w:tcPr>
          <w:p w14:paraId="129F7524" w14:textId="77777777" w:rsidR="0030726B" w:rsidRPr="00172374" w:rsidRDefault="0030726B" w:rsidP="00F93AFC">
            <w:pPr>
              <w:jc w:val="right"/>
              <w:rPr>
                <w:sz w:val="8"/>
                <w:szCs w:val="8"/>
              </w:rPr>
            </w:pPr>
          </w:p>
        </w:tc>
        <w:tc>
          <w:tcPr>
            <w:tcW w:w="6643" w:type="dxa"/>
            <w:gridSpan w:val="7"/>
            <w:tcBorders>
              <w:top w:val="nil"/>
              <w:left w:val="dashed" w:sz="4" w:space="0" w:color="FFFFFF"/>
              <w:bottom w:val="nil"/>
              <w:right w:val="dashed" w:sz="4" w:space="0" w:color="FFFFFF"/>
            </w:tcBorders>
          </w:tcPr>
          <w:p w14:paraId="0A5DA433" w14:textId="77777777" w:rsidR="0030726B" w:rsidRPr="00172374" w:rsidRDefault="0030726B" w:rsidP="00F93AFC">
            <w:pPr>
              <w:jc w:val="right"/>
              <w:rPr>
                <w:sz w:val="8"/>
                <w:szCs w:val="8"/>
              </w:rPr>
            </w:pPr>
          </w:p>
        </w:tc>
      </w:tr>
      <w:tr w:rsidR="0030726B" w:rsidRPr="00172374" w14:paraId="045D9E2D" w14:textId="77777777" w:rsidTr="00440084">
        <w:trPr>
          <w:jc w:val="center"/>
        </w:trPr>
        <w:tc>
          <w:tcPr>
            <w:tcW w:w="2830" w:type="dxa"/>
            <w:gridSpan w:val="2"/>
            <w:tcBorders>
              <w:top w:val="nil"/>
              <w:left w:val="dashed" w:sz="4" w:space="0" w:color="FFFFFF"/>
              <w:bottom w:val="nil"/>
              <w:right w:val="nil"/>
            </w:tcBorders>
            <w:vAlign w:val="center"/>
          </w:tcPr>
          <w:p w14:paraId="15B0AFD8" w14:textId="77777777" w:rsidR="0030726B" w:rsidRPr="00172374" w:rsidRDefault="0030726B" w:rsidP="00F93AFC">
            <w:pPr>
              <w:rPr>
                <w:sz w:val="20"/>
                <w:szCs w:val="20"/>
              </w:rPr>
            </w:pPr>
            <w:r w:rsidRPr="00172374">
              <w:rPr>
                <w:sz w:val="20"/>
                <w:szCs w:val="20"/>
              </w:rPr>
              <w:t>Age of company (in years)</w:t>
            </w:r>
          </w:p>
        </w:tc>
        <w:tc>
          <w:tcPr>
            <w:tcW w:w="1594" w:type="dxa"/>
            <w:tcBorders>
              <w:top w:val="nil"/>
              <w:left w:val="nil"/>
              <w:bottom w:val="nil"/>
              <w:right w:val="single" w:sz="4" w:space="0" w:color="FFFFFF"/>
            </w:tcBorders>
            <w:vAlign w:val="center"/>
          </w:tcPr>
          <w:p w14:paraId="3656A82B" w14:textId="77777777" w:rsidR="0030726B" w:rsidRPr="00172374" w:rsidRDefault="0030726B" w:rsidP="00F93AFC">
            <w:pPr>
              <w:rPr>
                <w:sz w:val="20"/>
                <w:szCs w:val="20"/>
              </w:rPr>
            </w:pPr>
            <w:r w:rsidRPr="00172374">
              <w:rPr>
                <w:sz w:val="20"/>
                <w:szCs w:val="20"/>
              </w:rPr>
              <w:t>5 – 10</w:t>
            </w:r>
          </w:p>
        </w:tc>
        <w:tc>
          <w:tcPr>
            <w:tcW w:w="908" w:type="dxa"/>
            <w:tcBorders>
              <w:top w:val="nil"/>
              <w:left w:val="single" w:sz="4" w:space="0" w:color="FFFFFF"/>
              <w:bottom w:val="nil"/>
              <w:right w:val="nil"/>
            </w:tcBorders>
            <w:vAlign w:val="center"/>
          </w:tcPr>
          <w:p w14:paraId="357E4407"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4804822E" w14:textId="77777777" w:rsidR="0030726B" w:rsidRPr="00172374" w:rsidRDefault="0030726B" w:rsidP="00F93AFC">
            <w:pPr>
              <w:jc w:val="right"/>
              <w:rPr>
                <w:sz w:val="20"/>
                <w:szCs w:val="20"/>
              </w:rPr>
            </w:pPr>
            <w:r w:rsidRPr="00172374">
              <w:rPr>
                <w:sz w:val="20"/>
                <w:szCs w:val="20"/>
              </w:rPr>
              <w:t>15</w:t>
            </w:r>
          </w:p>
        </w:tc>
        <w:tc>
          <w:tcPr>
            <w:tcW w:w="776" w:type="dxa"/>
            <w:gridSpan w:val="2"/>
            <w:tcBorders>
              <w:top w:val="nil"/>
              <w:left w:val="nil"/>
              <w:bottom w:val="nil"/>
              <w:right w:val="single" w:sz="4" w:space="0" w:color="FFFFFF"/>
            </w:tcBorders>
            <w:vAlign w:val="center"/>
          </w:tcPr>
          <w:p w14:paraId="7002FD0B" w14:textId="77777777" w:rsidR="0030726B" w:rsidRPr="00172374" w:rsidRDefault="0030726B" w:rsidP="00F93AFC">
            <w:pPr>
              <w:jc w:val="right"/>
              <w:rPr>
                <w:sz w:val="20"/>
                <w:szCs w:val="20"/>
              </w:rPr>
            </w:pPr>
            <w:r w:rsidRPr="00172374">
              <w:rPr>
                <w:sz w:val="20"/>
                <w:szCs w:val="20"/>
              </w:rPr>
              <w:t>6.2%</w:t>
            </w:r>
          </w:p>
        </w:tc>
        <w:tc>
          <w:tcPr>
            <w:tcW w:w="535" w:type="dxa"/>
            <w:tcBorders>
              <w:top w:val="nil"/>
              <w:left w:val="single" w:sz="4" w:space="0" w:color="FFFFFF"/>
              <w:bottom w:val="nil"/>
              <w:right w:val="dashed" w:sz="4" w:space="0" w:color="FFFFFF"/>
            </w:tcBorders>
            <w:vAlign w:val="center"/>
          </w:tcPr>
          <w:p w14:paraId="3DB28323" w14:textId="77777777" w:rsidR="0030726B" w:rsidRPr="00172374" w:rsidRDefault="0030726B" w:rsidP="00F93AFC">
            <w:pPr>
              <w:jc w:val="center"/>
              <w:rPr>
                <w:sz w:val="20"/>
                <w:szCs w:val="20"/>
              </w:rPr>
            </w:pPr>
          </w:p>
        </w:tc>
      </w:tr>
      <w:tr w:rsidR="0030726B" w:rsidRPr="00172374" w14:paraId="0BDE19F0" w14:textId="77777777" w:rsidTr="00440084">
        <w:trPr>
          <w:jc w:val="center"/>
        </w:trPr>
        <w:tc>
          <w:tcPr>
            <w:tcW w:w="2830" w:type="dxa"/>
            <w:gridSpan w:val="2"/>
            <w:tcBorders>
              <w:top w:val="nil"/>
              <w:left w:val="dashed" w:sz="4" w:space="0" w:color="FFFFFF"/>
              <w:bottom w:val="nil"/>
              <w:right w:val="nil"/>
            </w:tcBorders>
            <w:vAlign w:val="center"/>
          </w:tcPr>
          <w:p w14:paraId="1689CA44"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3F2142BC" w14:textId="77777777" w:rsidR="0030726B" w:rsidRPr="00172374" w:rsidRDefault="0030726B" w:rsidP="00F93AFC">
            <w:pPr>
              <w:rPr>
                <w:sz w:val="20"/>
                <w:szCs w:val="20"/>
              </w:rPr>
            </w:pPr>
            <w:r w:rsidRPr="00172374">
              <w:rPr>
                <w:sz w:val="20"/>
                <w:szCs w:val="20"/>
              </w:rPr>
              <w:t>11 – 20</w:t>
            </w:r>
          </w:p>
        </w:tc>
        <w:tc>
          <w:tcPr>
            <w:tcW w:w="908" w:type="dxa"/>
            <w:tcBorders>
              <w:top w:val="nil"/>
              <w:left w:val="single" w:sz="4" w:space="0" w:color="FFFFFF"/>
              <w:bottom w:val="nil"/>
              <w:right w:val="nil"/>
            </w:tcBorders>
            <w:vAlign w:val="center"/>
          </w:tcPr>
          <w:p w14:paraId="7A09EA54"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696F9605" w14:textId="77777777" w:rsidR="0030726B" w:rsidRPr="00172374" w:rsidRDefault="0030726B" w:rsidP="00F93AFC">
            <w:pPr>
              <w:jc w:val="right"/>
              <w:rPr>
                <w:sz w:val="20"/>
                <w:szCs w:val="20"/>
              </w:rPr>
            </w:pPr>
            <w:r w:rsidRPr="00172374">
              <w:rPr>
                <w:sz w:val="20"/>
                <w:szCs w:val="20"/>
              </w:rPr>
              <w:t>39</w:t>
            </w:r>
          </w:p>
        </w:tc>
        <w:tc>
          <w:tcPr>
            <w:tcW w:w="776" w:type="dxa"/>
            <w:gridSpan w:val="2"/>
            <w:tcBorders>
              <w:top w:val="nil"/>
              <w:left w:val="nil"/>
              <w:bottom w:val="nil"/>
              <w:right w:val="single" w:sz="4" w:space="0" w:color="FFFFFF"/>
            </w:tcBorders>
            <w:vAlign w:val="center"/>
          </w:tcPr>
          <w:p w14:paraId="78DB213E" w14:textId="77777777" w:rsidR="0030726B" w:rsidRPr="00172374" w:rsidRDefault="0030726B" w:rsidP="00F93AFC">
            <w:pPr>
              <w:jc w:val="right"/>
              <w:rPr>
                <w:sz w:val="20"/>
                <w:szCs w:val="20"/>
              </w:rPr>
            </w:pPr>
            <w:r w:rsidRPr="00172374">
              <w:rPr>
                <w:sz w:val="20"/>
                <w:szCs w:val="20"/>
              </w:rPr>
              <w:t>16.1%</w:t>
            </w:r>
          </w:p>
        </w:tc>
        <w:tc>
          <w:tcPr>
            <w:tcW w:w="535" w:type="dxa"/>
            <w:tcBorders>
              <w:top w:val="nil"/>
              <w:left w:val="single" w:sz="4" w:space="0" w:color="FFFFFF"/>
              <w:bottom w:val="nil"/>
              <w:right w:val="dashed" w:sz="4" w:space="0" w:color="FFFFFF"/>
            </w:tcBorders>
            <w:vAlign w:val="center"/>
          </w:tcPr>
          <w:p w14:paraId="09974927" w14:textId="77777777" w:rsidR="0030726B" w:rsidRPr="00172374" w:rsidRDefault="0030726B" w:rsidP="00F93AFC">
            <w:pPr>
              <w:jc w:val="center"/>
              <w:rPr>
                <w:sz w:val="20"/>
                <w:szCs w:val="20"/>
              </w:rPr>
            </w:pPr>
          </w:p>
        </w:tc>
      </w:tr>
      <w:tr w:rsidR="0030726B" w:rsidRPr="00172374" w14:paraId="75623867" w14:textId="77777777" w:rsidTr="00440084">
        <w:trPr>
          <w:jc w:val="center"/>
        </w:trPr>
        <w:tc>
          <w:tcPr>
            <w:tcW w:w="2830" w:type="dxa"/>
            <w:gridSpan w:val="2"/>
            <w:tcBorders>
              <w:top w:val="nil"/>
              <w:left w:val="dashed" w:sz="4" w:space="0" w:color="FFFFFF"/>
              <w:bottom w:val="nil"/>
              <w:right w:val="nil"/>
            </w:tcBorders>
            <w:vAlign w:val="center"/>
          </w:tcPr>
          <w:p w14:paraId="6295CB93"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27AFB9DE" w14:textId="77777777" w:rsidR="0030726B" w:rsidRPr="00172374" w:rsidRDefault="0030726B" w:rsidP="00F93AFC">
            <w:pPr>
              <w:rPr>
                <w:sz w:val="20"/>
                <w:szCs w:val="20"/>
              </w:rPr>
            </w:pPr>
            <w:r w:rsidRPr="00172374">
              <w:rPr>
                <w:sz w:val="20"/>
                <w:szCs w:val="20"/>
              </w:rPr>
              <w:t>21 – 40</w:t>
            </w:r>
          </w:p>
        </w:tc>
        <w:tc>
          <w:tcPr>
            <w:tcW w:w="908" w:type="dxa"/>
            <w:tcBorders>
              <w:top w:val="nil"/>
              <w:left w:val="single" w:sz="4" w:space="0" w:color="FFFFFF"/>
              <w:bottom w:val="nil"/>
              <w:right w:val="nil"/>
            </w:tcBorders>
            <w:vAlign w:val="center"/>
          </w:tcPr>
          <w:p w14:paraId="1B7A4FF8"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3E5A9A29" w14:textId="77777777" w:rsidR="0030726B" w:rsidRPr="00172374" w:rsidRDefault="0030726B" w:rsidP="00F93AFC">
            <w:pPr>
              <w:jc w:val="right"/>
              <w:rPr>
                <w:sz w:val="20"/>
                <w:szCs w:val="20"/>
              </w:rPr>
            </w:pPr>
            <w:r w:rsidRPr="00172374">
              <w:rPr>
                <w:sz w:val="20"/>
                <w:szCs w:val="20"/>
              </w:rPr>
              <w:t>65</w:t>
            </w:r>
          </w:p>
        </w:tc>
        <w:tc>
          <w:tcPr>
            <w:tcW w:w="776" w:type="dxa"/>
            <w:gridSpan w:val="2"/>
            <w:tcBorders>
              <w:top w:val="nil"/>
              <w:left w:val="nil"/>
              <w:bottom w:val="nil"/>
              <w:right w:val="single" w:sz="4" w:space="0" w:color="FFFFFF"/>
            </w:tcBorders>
            <w:vAlign w:val="center"/>
          </w:tcPr>
          <w:p w14:paraId="34D8F228" w14:textId="77777777" w:rsidR="0030726B" w:rsidRPr="00172374" w:rsidRDefault="0030726B" w:rsidP="00F93AFC">
            <w:pPr>
              <w:jc w:val="right"/>
              <w:rPr>
                <w:sz w:val="20"/>
                <w:szCs w:val="20"/>
              </w:rPr>
            </w:pPr>
            <w:r w:rsidRPr="00172374">
              <w:rPr>
                <w:sz w:val="20"/>
                <w:szCs w:val="20"/>
              </w:rPr>
              <w:t>26.9%</w:t>
            </w:r>
          </w:p>
        </w:tc>
        <w:tc>
          <w:tcPr>
            <w:tcW w:w="535" w:type="dxa"/>
            <w:tcBorders>
              <w:top w:val="nil"/>
              <w:left w:val="single" w:sz="4" w:space="0" w:color="FFFFFF"/>
              <w:bottom w:val="nil"/>
              <w:right w:val="dashed" w:sz="4" w:space="0" w:color="FFFFFF"/>
            </w:tcBorders>
            <w:vAlign w:val="center"/>
          </w:tcPr>
          <w:p w14:paraId="01CECB84" w14:textId="77777777" w:rsidR="0030726B" w:rsidRPr="00172374" w:rsidRDefault="0030726B" w:rsidP="00F93AFC">
            <w:pPr>
              <w:jc w:val="center"/>
              <w:rPr>
                <w:sz w:val="20"/>
                <w:szCs w:val="20"/>
              </w:rPr>
            </w:pPr>
          </w:p>
        </w:tc>
      </w:tr>
      <w:tr w:rsidR="0030726B" w:rsidRPr="00172374" w14:paraId="0801E9C9" w14:textId="77777777" w:rsidTr="00440084">
        <w:trPr>
          <w:jc w:val="center"/>
        </w:trPr>
        <w:tc>
          <w:tcPr>
            <w:tcW w:w="2830" w:type="dxa"/>
            <w:gridSpan w:val="2"/>
            <w:tcBorders>
              <w:top w:val="nil"/>
              <w:left w:val="dashed" w:sz="4" w:space="0" w:color="FFFFFF"/>
              <w:bottom w:val="nil"/>
              <w:right w:val="nil"/>
            </w:tcBorders>
            <w:vAlign w:val="center"/>
          </w:tcPr>
          <w:p w14:paraId="541AC320"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21BC8F33" w14:textId="77777777" w:rsidR="0030726B" w:rsidRPr="00172374" w:rsidRDefault="0030726B" w:rsidP="00F93AFC">
            <w:pPr>
              <w:rPr>
                <w:sz w:val="20"/>
                <w:szCs w:val="20"/>
              </w:rPr>
            </w:pPr>
            <w:r w:rsidRPr="00172374">
              <w:rPr>
                <w:sz w:val="20"/>
                <w:szCs w:val="20"/>
              </w:rPr>
              <w:t>More than 40</w:t>
            </w:r>
          </w:p>
        </w:tc>
        <w:tc>
          <w:tcPr>
            <w:tcW w:w="908" w:type="dxa"/>
            <w:tcBorders>
              <w:top w:val="nil"/>
              <w:left w:val="single" w:sz="4" w:space="0" w:color="FFFFFF"/>
              <w:bottom w:val="nil"/>
              <w:right w:val="nil"/>
            </w:tcBorders>
            <w:vAlign w:val="center"/>
          </w:tcPr>
          <w:p w14:paraId="59CE5292"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5B4289F9" w14:textId="77777777" w:rsidR="0030726B" w:rsidRPr="00172374" w:rsidRDefault="0030726B" w:rsidP="00F93AFC">
            <w:pPr>
              <w:jc w:val="right"/>
              <w:rPr>
                <w:sz w:val="20"/>
                <w:szCs w:val="20"/>
              </w:rPr>
            </w:pPr>
            <w:r w:rsidRPr="00172374">
              <w:rPr>
                <w:sz w:val="20"/>
                <w:szCs w:val="20"/>
              </w:rPr>
              <w:t>123</w:t>
            </w:r>
          </w:p>
        </w:tc>
        <w:tc>
          <w:tcPr>
            <w:tcW w:w="776" w:type="dxa"/>
            <w:gridSpan w:val="2"/>
            <w:tcBorders>
              <w:top w:val="nil"/>
              <w:left w:val="nil"/>
              <w:bottom w:val="nil"/>
              <w:right w:val="single" w:sz="4" w:space="0" w:color="FFFFFF"/>
            </w:tcBorders>
            <w:vAlign w:val="center"/>
          </w:tcPr>
          <w:p w14:paraId="22B3F49E" w14:textId="77777777" w:rsidR="0030726B" w:rsidRPr="00172374" w:rsidRDefault="0030726B" w:rsidP="00F93AFC">
            <w:pPr>
              <w:jc w:val="right"/>
              <w:rPr>
                <w:sz w:val="20"/>
                <w:szCs w:val="20"/>
              </w:rPr>
            </w:pPr>
            <w:r w:rsidRPr="00172374">
              <w:rPr>
                <w:sz w:val="20"/>
                <w:szCs w:val="20"/>
              </w:rPr>
              <w:t>50.8%</w:t>
            </w:r>
          </w:p>
        </w:tc>
        <w:tc>
          <w:tcPr>
            <w:tcW w:w="535" w:type="dxa"/>
            <w:tcBorders>
              <w:top w:val="nil"/>
              <w:left w:val="single" w:sz="4" w:space="0" w:color="FFFFFF"/>
              <w:bottom w:val="nil"/>
              <w:right w:val="dashed" w:sz="4" w:space="0" w:color="FFFFFF"/>
            </w:tcBorders>
            <w:vAlign w:val="center"/>
          </w:tcPr>
          <w:p w14:paraId="6CBC1F19" w14:textId="77777777" w:rsidR="0030726B" w:rsidRPr="00172374" w:rsidRDefault="0030726B" w:rsidP="00F93AFC">
            <w:pPr>
              <w:jc w:val="center"/>
              <w:rPr>
                <w:sz w:val="20"/>
                <w:szCs w:val="20"/>
              </w:rPr>
            </w:pPr>
          </w:p>
        </w:tc>
      </w:tr>
      <w:tr w:rsidR="0030726B" w:rsidRPr="00172374" w14:paraId="1549028B" w14:textId="77777777" w:rsidTr="00440084">
        <w:trPr>
          <w:jc w:val="center"/>
        </w:trPr>
        <w:tc>
          <w:tcPr>
            <w:tcW w:w="2830" w:type="dxa"/>
            <w:gridSpan w:val="2"/>
            <w:tcBorders>
              <w:top w:val="nil"/>
              <w:left w:val="nil"/>
              <w:bottom w:val="nil"/>
              <w:right w:val="nil"/>
            </w:tcBorders>
            <w:vAlign w:val="center"/>
          </w:tcPr>
          <w:p w14:paraId="4C72867B" w14:textId="77777777" w:rsidR="0030726B" w:rsidRPr="00172374" w:rsidRDefault="0030726B" w:rsidP="00F93AFC">
            <w:pPr>
              <w:rPr>
                <w:sz w:val="8"/>
                <w:szCs w:val="8"/>
              </w:rPr>
            </w:pPr>
          </w:p>
        </w:tc>
        <w:tc>
          <w:tcPr>
            <w:tcW w:w="1594" w:type="dxa"/>
            <w:tcBorders>
              <w:top w:val="nil"/>
              <w:left w:val="nil"/>
              <w:bottom w:val="nil"/>
              <w:right w:val="nil"/>
            </w:tcBorders>
            <w:vAlign w:val="center"/>
          </w:tcPr>
          <w:p w14:paraId="609DFAF1" w14:textId="77777777" w:rsidR="0030726B" w:rsidRPr="00172374" w:rsidRDefault="0030726B" w:rsidP="00F93AFC">
            <w:pPr>
              <w:jc w:val="right"/>
              <w:rPr>
                <w:sz w:val="8"/>
                <w:szCs w:val="8"/>
              </w:rPr>
            </w:pPr>
          </w:p>
        </w:tc>
        <w:tc>
          <w:tcPr>
            <w:tcW w:w="908" w:type="dxa"/>
            <w:tcBorders>
              <w:top w:val="nil"/>
              <w:left w:val="nil"/>
              <w:bottom w:val="nil"/>
              <w:right w:val="nil"/>
            </w:tcBorders>
            <w:vAlign w:val="center"/>
          </w:tcPr>
          <w:p w14:paraId="27B0DCB9" w14:textId="77777777" w:rsidR="0030726B" w:rsidRPr="00172374" w:rsidRDefault="0030726B" w:rsidP="00F93AFC">
            <w:pPr>
              <w:jc w:val="center"/>
              <w:rPr>
                <w:sz w:val="8"/>
                <w:szCs w:val="8"/>
              </w:rPr>
            </w:pPr>
          </w:p>
        </w:tc>
        <w:tc>
          <w:tcPr>
            <w:tcW w:w="776" w:type="dxa"/>
            <w:tcBorders>
              <w:top w:val="nil"/>
              <w:left w:val="nil"/>
              <w:bottom w:val="nil"/>
              <w:right w:val="nil"/>
            </w:tcBorders>
          </w:tcPr>
          <w:p w14:paraId="471071A2" w14:textId="77777777" w:rsidR="0030726B" w:rsidRPr="00172374" w:rsidRDefault="0030726B" w:rsidP="00F93AFC">
            <w:pPr>
              <w:jc w:val="right"/>
              <w:rPr>
                <w:sz w:val="8"/>
                <w:szCs w:val="8"/>
              </w:rPr>
            </w:pPr>
          </w:p>
        </w:tc>
        <w:tc>
          <w:tcPr>
            <w:tcW w:w="776" w:type="dxa"/>
            <w:gridSpan w:val="2"/>
            <w:tcBorders>
              <w:top w:val="nil"/>
              <w:left w:val="nil"/>
              <w:bottom w:val="nil"/>
              <w:right w:val="nil"/>
            </w:tcBorders>
            <w:vAlign w:val="center"/>
          </w:tcPr>
          <w:p w14:paraId="5CE4382E" w14:textId="77777777" w:rsidR="0030726B" w:rsidRPr="00172374" w:rsidRDefault="0030726B" w:rsidP="00F93AFC">
            <w:pPr>
              <w:jc w:val="right"/>
              <w:rPr>
                <w:sz w:val="8"/>
                <w:szCs w:val="8"/>
              </w:rPr>
            </w:pPr>
          </w:p>
        </w:tc>
        <w:tc>
          <w:tcPr>
            <w:tcW w:w="535" w:type="dxa"/>
            <w:tcBorders>
              <w:top w:val="nil"/>
              <w:left w:val="nil"/>
              <w:bottom w:val="nil"/>
              <w:right w:val="nil"/>
            </w:tcBorders>
            <w:vAlign w:val="center"/>
          </w:tcPr>
          <w:p w14:paraId="3A4C1EDE" w14:textId="77777777" w:rsidR="0030726B" w:rsidRPr="00172374" w:rsidRDefault="0030726B" w:rsidP="00F93AFC">
            <w:pPr>
              <w:jc w:val="center"/>
              <w:rPr>
                <w:sz w:val="8"/>
                <w:szCs w:val="8"/>
              </w:rPr>
            </w:pPr>
          </w:p>
        </w:tc>
      </w:tr>
      <w:tr w:rsidR="0030726B" w:rsidRPr="00172374" w14:paraId="046F8471" w14:textId="77777777" w:rsidTr="00440084">
        <w:trPr>
          <w:jc w:val="center"/>
        </w:trPr>
        <w:tc>
          <w:tcPr>
            <w:tcW w:w="2830" w:type="dxa"/>
            <w:gridSpan w:val="2"/>
            <w:tcBorders>
              <w:top w:val="nil"/>
              <w:left w:val="nil"/>
              <w:bottom w:val="nil"/>
              <w:right w:val="nil"/>
            </w:tcBorders>
            <w:vAlign w:val="center"/>
          </w:tcPr>
          <w:p w14:paraId="2CF34472" w14:textId="77777777" w:rsidR="0030726B" w:rsidRPr="00172374" w:rsidRDefault="0030726B" w:rsidP="00F93AFC">
            <w:pPr>
              <w:rPr>
                <w:sz w:val="20"/>
                <w:szCs w:val="20"/>
              </w:rPr>
            </w:pPr>
            <w:r w:rsidRPr="00172374">
              <w:rPr>
                <w:sz w:val="20"/>
                <w:szCs w:val="20"/>
              </w:rPr>
              <w:t>Job position of respondents</w:t>
            </w:r>
          </w:p>
        </w:tc>
        <w:tc>
          <w:tcPr>
            <w:tcW w:w="2502" w:type="dxa"/>
            <w:gridSpan w:val="2"/>
            <w:tcBorders>
              <w:top w:val="nil"/>
              <w:left w:val="nil"/>
              <w:bottom w:val="nil"/>
              <w:right w:val="single" w:sz="4" w:space="0" w:color="FFFFFF"/>
            </w:tcBorders>
            <w:vAlign w:val="center"/>
          </w:tcPr>
          <w:p w14:paraId="0B959ADD" w14:textId="77777777" w:rsidR="0030726B" w:rsidRPr="00172374" w:rsidRDefault="0030726B" w:rsidP="00F93AFC">
            <w:pPr>
              <w:rPr>
                <w:sz w:val="20"/>
                <w:szCs w:val="20"/>
              </w:rPr>
            </w:pPr>
            <w:r w:rsidRPr="00172374">
              <w:rPr>
                <w:sz w:val="20"/>
                <w:szCs w:val="20"/>
              </w:rPr>
              <w:t>Marketing Manager</w:t>
            </w:r>
          </w:p>
        </w:tc>
        <w:tc>
          <w:tcPr>
            <w:tcW w:w="776" w:type="dxa"/>
            <w:tcBorders>
              <w:top w:val="nil"/>
              <w:left w:val="nil"/>
              <w:bottom w:val="nil"/>
              <w:right w:val="nil"/>
            </w:tcBorders>
          </w:tcPr>
          <w:p w14:paraId="0562D4C6" w14:textId="77777777" w:rsidR="0030726B" w:rsidRPr="00172374" w:rsidRDefault="0030726B" w:rsidP="00F93AFC">
            <w:pPr>
              <w:jc w:val="right"/>
              <w:rPr>
                <w:sz w:val="20"/>
                <w:szCs w:val="20"/>
              </w:rPr>
            </w:pPr>
            <w:r w:rsidRPr="00172374">
              <w:rPr>
                <w:sz w:val="20"/>
                <w:szCs w:val="20"/>
              </w:rPr>
              <w:t>145</w:t>
            </w:r>
          </w:p>
        </w:tc>
        <w:tc>
          <w:tcPr>
            <w:tcW w:w="776" w:type="dxa"/>
            <w:gridSpan w:val="2"/>
            <w:tcBorders>
              <w:top w:val="nil"/>
              <w:left w:val="nil"/>
              <w:bottom w:val="nil"/>
              <w:right w:val="single" w:sz="4" w:space="0" w:color="FFFFFF"/>
            </w:tcBorders>
            <w:vAlign w:val="center"/>
          </w:tcPr>
          <w:p w14:paraId="3B896428" w14:textId="77777777" w:rsidR="0030726B" w:rsidRPr="00172374" w:rsidRDefault="0030726B" w:rsidP="00F93AFC">
            <w:pPr>
              <w:jc w:val="right"/>
              <w:rPr>
                <w:sz w:val="20"/>
                <w:szCs w:val="20"/>
              </w:rPr>
            </w:pPr>
            <w:r w:rsidRPr="00172374">
              <w:rPr>
                <w:sz w:val="20"/>
                <w:szCs w:val="20"/>
              </w:rPr>
              <w:t>59.9%</w:t>
            </w:r>
          </w:p>
        </w:tc>
        <w:tc>
          <w:tcPr>
            <w:tcW w:w="535" w:type="dxa"/>
            <w:tcBorders>
              <w:top w:val="nil"/>
              <w:left w:val="single" w:sz="4" w:space="0" w:color="FFFFFF"/>
              <w:bottom w:val="nil"/>
              <w:right w:val="dashed" w:sz="4" w:space="0" w:color="FFFFFF"/>
            </w:tcBorders>
            <w:vAlign w:val="center"/>
          </w:tcPr>
          <w:p w14:paraId="20D41D29" w14:textId="77777777" w:rsidR="0030726B" w:rsidRPr="00172374" w:rsidRDefault="0030726B" w:rsidP="00F93AFC">
            <w:pPr>
              <w:jc w:val="center"/>
              <w:rPr>
                <w:sz w:val="20"/>
                <w:szCs w:val="20"/>
              </w:rPr>
            </w:pPr>
          </w:p>
        </w:tc>
      </w:tr>
      <w:tr w:rsidR="0030726B" w:rsidRPr="00172374" w14:paraId="661B02F5" w14:textId="77777777" w:rsidTr="00440084">
        <w:trPr>
          <w:jc w:val="center"/>
        </w:trPr>
        <w:tc>
          <w:tcPr>
            <w:tcW w:w="2830" w:type="dxa"/>
            <w:gridSpan w:val="2"/>
            <w:tcBorders>
              <w:top w:val="nil"/>
              <w:left w:val="nil"/>
              <w:bottom w:val="nil"/>
              <w:right w:val="nil"/>
            </w:tcBorders>
            <w:vAlign w:val="center"/>
          </w:tcPr>
          <w:p w14:paraId="45388EA9" w14:textId="77777777" w:rsidR="0030726B" w:rsidRPr="00172374" w:rsidRDefault="0030726B" w:rsidP="00F93AFC">
            <w:pPr>
              <w:rPr>
                <w:sz w:val="20"/>
                <w:szCs w:val="20"/>
              </w:rPr>
            </w:pPr>
          </w:p>
        </w:tc>
        <w:tc>
          <w:tcPr>
            <w:tcW w:w="2502" w:type="dxa"/>
            <w:gridSpan w:val="2"/>
            <w:tcBorders>
              <w:top w:val="nil"/>
              <w:left w:val="nil"/>
              <w:bottom w:val="nil"/>
              <w:right w:val="single" w:sz="4" w:space="0" w:color="FFFFFF"/>
            </w:tcBorders>
            <w:vAlign w:val="center"/>
          </w:tcPr>
          <w:p w14:paraId="25C5B84C" w14:textId="77777777" w:rsidR="0030726B" w:rsidRPr="00172374" w:rsidRDefault="0030726B" w:rsidP="00F93AFC">
            <w:pPr>
              <w:rPr>
                <w:sz w:val="20"/>
                <w:szCs w:val="20"/>
              </w:rPr>
            </w:pPr>
            <w:r w:rsidRPr="00172374">
              <w:rPr>
                <w:sz w:val="20"/>
                <w:szCs w:val="20"/>
              </w:rPr>
              <w:t>Group Brand Manager</w:t>
            </w:r>
          </w:p>
        </w:tc>
        <w:tc>
          <w:tcPr>
            <w:tcW w:w="776" w:type="dxa"/>
            <w:tcBorders>
              <w:top w:val="nil"/>
              <w:left w:val="nil"/>
              <w:bottom w:val="nil"/>
              <w:right w:val="nil"/>
            </w:tcBorders>
          </w:tcPr>
          <w:p w14:paraId="2D3BF95A" w14:textId="77777777" w:rsidR="0030726B" w:rsidRPr="00172374" w:rsidRDefault="0030726B" w:rsidP="00F93AFC">
            <w:pPr>
              <w:jc w:val="right"/>
              <w:rPr>
                <w:sz w:val="20"/>
                <w:szCs w:val="20"/>
              </w:rPr>
            </w:pPr>
            <w:r w:rsidRPr="00172374">
              <w:rPr>
                <w:sz w:val="20"/>
                <w:szCs w:val="20"/>
              </w:rPr>
              <w:t>35</w:t>
            </w:r>
          </w:p>
        </w:tc>
        <w:tc>
          <w:tcPr>
            <w:tcW w:w="776" w:type="dxa"/>
            <w:gridSpan w:val="2"/>
            <w:tcBorders>
              <w:top w:val="nil"/>
              <w:left w:val="nil"/>
              <w:bottom w:val="nil"/>
              <w:right w:val="single" w:sz="4" w:space="0" w:color="FFFFFF"/>
            </w:tcBorders>
            <w:vAlign w:val="center"/>
          </w:tcPr>
          <w:p w14:paraId="70D9BEF2" w14:textId="77777777" w:rsidR="0030726B" w:rsidRPr="00172374" w:rsidRDefault="0030726B" w:rsidP="00F93AFC">
            <w:pPr>
              <w:jc w:val="right"/>
              <w:rPr>
                <w:sz w:val="20"/>
                <w:szCs w:val="20"/>
              </w:rPr>
            </w:pPr>
            <w:r w:rsidRPr="00172374">
              <w:rPr>
                <w:sz w:val="20"/>
                <w:szCs w:val="20"/>
              </w:rPr>
              <w:t>14.5%</w:t>
            </w:r>
          </w:p>
        </w:tc>
        <w:tc>
          <w:tcPr>
            <w:tcW w:w="535" w:type="dxa"/>
            <w:tcBorders>
              <w:top w:val="nil"/>
              <w:left w:val="single" w:sz="4" w:space="0" w:color="FFFFFF"/>
              <w:bottom w:val="nil"/>
              <w:right w:val="dashed" w:sz="4" w:space="0" w:color="FFFFFF"/>
            </w:tcBorders>
            <w:vAlign w:val="center"/>
          </w:tcPr>
          <w:p w14:paraId="6C7F2E2A" w14:textId="77777777" w:rsidR="0030726B" w:rsidRPr="00172374" w:rsidRDefault="0030726B" w:rsidP="00F93AFC">
            <w:pPr>
              <w:jc w:val="center"/>
              <w:rPr>
                <w:sz w:val="20"/>
                <w:szCs w:val="20"/>
              </w:rPr>
            </w:pPr>
          </w:p>
        </w:tc>
      </w:tr>
      <w:tr w:rsidR="0030726B" w:rsidRPr="00172374" w14:paraId="343FBCA8" w14:textId="77777777" w:rsidTr="00440084">
        <w:trPr>
          <w:jc w:val="center"/>
        </w:trPr>
        <w:tc>
          <w:tcPr>
            <w:tcW w:w="2830" w:type="dxa"/>
            <w:gridSpan w:val="2"/>
            <w:tcBorders>
              <w:top w:val="nil"/>
              <w:left w:val="nil"/>
              <w:bottom w:val="nil"/>
              <w:right w:val="nil"/>
            </w:tcBorders>
            <w:vAlign w:val="center"/>
          </w:tcPr>
          <w:p w14:paraId="354D5B07" w14:textId="77777777" w:rsidR="0030726B" w:rsidRPr="00172374" w:rsidRDefault="0030726B" w:rsidP="00F93AFC">
            <w:pPr>
              <w:rPr>
                <w:sz w:val="20"/>
                <w:szCs w:val="20"/>
              </w:rPr>
            </w:pPr>
          </w:p>
        </w:tc>
        <w:tc>
          <w:tcPr>
            <w:tcW w:w="2502" w:type="dxa"/>
            <w:gridSpan w:val="2"/>
            <w:tcBorders>
              <w:top w:val="nil"/>
              <w:left w:val="nil"/>
              <w:bottom w:val="nil"/>
              <w:right w:val="single" w:sz="4" w:space="0" w:color="FFFFFF"/>
            </w:tcBorders>
            <w:vAlign w:val="center"/>
          </w:tcPr>
          <w:p w14:paraId="73A9F634" w14:textId="77777777" w:rsidR="0030726B" w:rsidRPr="00172374" w:rsidRDefault="0030726B" w:rsidP="00F93AFC">
            <w:pPr>
              <w:rPr>
                <w:sz w:val="20"/>
                <w:szCs w:val="20"/>
              </w:rPr>
            </w:pPr>
            <w:r w:rsidRPr="00172374">
              <w:rPr>
                <w:sz w:val="20"/>
                <w:szCs w:val="20"/>
              </w:rPr>
              <w:t>Brand / Product Manager</w:t>
            </w:r>
          </w:p>
        </w:tc>
        <w:tc>
          <w:tcPr>
            <w:tcW w:w="776" w:type="dxa"/>
            <w:tcBorders>
              <w:top w:val="nil"/>
              <w:left w:val="nil"/>
              <w:bottom w:val="nil"/>
              <w:right w:val="nil"/>
            </w:tcBorders>
          </w:tcPr>
          <w:p w14:paraId="5A5720D9" w14:textId="77777777" w:rsidR="0030726B" w:rsidRPr="00172374" w:rsidRDefault="0030726B" w:rsidP="00F93AFC">
            <w:pPr>
              <w:jc w:val="right"/>
              <w:rPr>
                <w:sz w:val="20"/>
                <w:szCs w:val="20"/>
              </w:rPr>
            </w:pPr>
            <w:r w:rsidRPr="00172374">
              <w:rPr>
                <w:sz w:val="20"/>
                <w:szCs w:val="20"/>
              </w:rPr>
              <w:t>62</w:t>
            </w:r>
          </w:p>
        </w:tc>
        <w:tc>
          <w:tcPr>
            <w:tcW w:w="776" w:type="dxa"/>
            <w:gridSpan w:val="2"/>
            <w:tcBorders>
              <w:top w:val="nil"/>
              <w:left w:val="nil"/>
              <w:bottom w:val="nil"/>
              <w:right w:val="single" w:sz="4" w:space="0" w:color="FFFFFF"/>
            </w:tcBorders>
            <w:vAlign w:val="center"/>
          </w:tcPr>
          <w:p w14:paraId="5B941DB1" w14:textId="77777777" w:rsidR="0030726B" w:rsidRPr="00172374" w:rsidRDefault="0030726B" w:rsidP="00F93AFC">
            <w:pPr>
              <w:jc w:val="right"/>
              <w:rPr>
                <w:sz w:val="20"/>
                <w:szCs w:val="20"/>
              </w:rPr>
            </w:pPr>
            <w:r w:rsidRPr="00172374">
              <w:rPr>
                <w:sz w:val="20"/>
                <w:szCs w:val="20"/>
              </w:rPr>
              <w:t>25.6%</w:t>
            </w:r>
          </w:p>
        </w:tc>
        <w:tc>
          <w:tcPr>
            <w:tcW w:w="535" w:type="dxa"/>
            <w:tcBorders>
              <w:top w:val="nil"/>
              <w:left w:val="single" w:sz="4" w:space="0" w:color="FFFFFF"/>
              <w:bottom w:val="nil"/>
              <w:right w:val="dashed" w:sz="4" w:space="0" w:color="FFFFFF"/>
            </w:tcBorders>
            <w:vAlign w:val="center"/>
          </w:tcPr>
          <w:p w14:paraId="5C43E89D" w14:textId="77777777" w:rsidR="0030726B" w:rsidRPr="00172374" w:rsidRDefault="0030726B" w:rsidP="00F93AFC">
            <w:pPr>
              <w:jc w:val="center"/>
              <w:rPr>
                <w:sz w:val="20"/>
                <w:szCs w:val="20"/>
              </w:rPr>
            </w:pPr>
          </w:p>
        </w:tc>
      </w:tr>
      <w:tr w:rsidR="0030726B" w:rsidRPr="00172374" w14:paraId="00707B7C" w14:textId="77777777" w:rsidTr="00440084">
        <w:trPr>
          <w:trHeight w:val="130"/>
          <w:jc w:val="center"/>
        </w:trPr>
        <w:tc>
          <w:tcPr>
            <w:tcW w:w="2830" w:type="dxa"/>
            <w:gridSpan w:val="2"/>
            <w:tcBorders>
              <w:top w:val="nil"/>
              <w:left w:val="nil"/>
              <w:bottom w:val="nil"/>
              <w:right w:val="nil"/>
            </w:tcBorders>
            <w:vAlign w:val="center"/>
          </w:tcPr>
          <w:p w14:paraId="0C3548E9" w14:textId="77777777" w:rsidR="0030726B" w:rsidRPr="00172374" w:rsidRDefault="0030726B" w:rsidP="00F93AFC">
            <w:pPr>
              <w:rPr>
                <w:sz w:val="8"/>
                <w:szCs w:val="8"/>
              </w:rPr>
            </w:pPr>
          </w:p>
        </w:tc>
        <w:tc>
          <w:tcPr>
            <w:tcW w:w="1594" w:type="dxa"/>
            <w:tcBorders>
              <w:top w:val="nil"/>
              <w:left w:val="nil"/>
              <w:bottom w:val="nil"/>
              <w:right w:val="single" w:sz="4" w:space="0" w:color="FFFFFF"/>
            </w:tcBorders>
            <w:vAlign w:val="center"/>
          </w:tcPr>
          <w:p w14:paraId="733AB7E2" w14:textId="77777777" w:rsidR="0030726B" w:rsidRPr="00172374" w:rsidRDefault="0030726B" w:rsidP="00F93AFC">
            <w:pPr>
              <w:jc w:val="right"/>
              <w:rPr>
                <w:sz w:val="8"/>
                <w:szCs w:val="8"/>
              </w:rPr>
            </w:pPr>
          </w:p>
        </w:tc>
        <w:tc>
          <w:tcPr>
            <w:tcW w:w="908" w:type="dxa"/>
            <w:tcBorders>
              <w:top w:val="nil"/>
              <w:left w:val="single" w:sz="4" w:space="0" w:color="FFFFFF"/>
              <w:bottom w:val="nil"/>
              <w:right w:val="nil"/>
            </w:tcBorders>
            <w:vAlign w:val="center"/>
          </w:tcPr>
          <w:p w14:paraId="2EAD3D82" w14:textId="77777777" w:rsidR="0030726B" w:rsidRPr="00172374" w:rsidRDefault="0030726B" w:rsidP="00F93AFC">
            <w:pPr>
              <w:jc w:val="center"/>
              <w:rPr>
                <w:sz w:val="8"/>
                <w:szCs w:val="8"/>
              </w:rPr>
            </w:pPr>
          </w:p>
        </w:tc>
        <w:tc>
          <w:tcPr>
            <w:tcW w:w="776" w:type="dxa"/>
            <w:tcBorders>
              <w:top w:val="nil"/>
              <w:left w:val="nil"/>
              <w:bottom w:val="nil"/>
              <w:right w:val="nil"/>
            </w:tcBorders>
          </w:tcPr>
          <w:p w14:paraId="471D66FD" w14:textId="77777777" w:rsidR="0030726B" w:rsidRPr="00172374" w:rsidRDefault="0030726B" w:rsidP="00F93AFC">
            <w:pPr>
              <w:jc w:val="right"/>
              <w:rPr>
                <w:sz w:val="8"/>
                <w:szCs w:val="8"/>
              </w:rPr>
            </w:pPr>
          </w:p>
        </w:tc>
        <w:tc>
          <w:tcPr>
            <w:tcW w:w="776" w:type="dxa"/>
            <w:gridSpan w:val="2"/>
            <w:tcBorders>
              <w:top w:val="nil"/>
              <w:left w:val="nil"/>
              <w:bottom w:val="nil"/>
              <w:right w:val="single" w:sz="4" w:space="0" w:color="FFFFFF"/>
            </w:tcBorders>
            <w:vAlign w:val="center"/>
          </w:tcPr>
          <w:p w14:paraId="4E04CBAE" w14:textId="77777777" w:rsidR="0030726B" w:rsidRPr="00172374" w:rsidRDefault="0030726B" w:rsidP="00F93AFC">
            <w:pPr>
              <w:jc w:val="right"/>
              <w:rPr>
                <w:sz w:val="8"/>
                <w:szCs w:val="8"/>
              </w:rPr>
            </w:pPr>
          </w:p>
        </w:tc>
        <w:tc>
          <w:tcPr>
            <w:tcW w:w="535" w:type="dxa"/>
            <w:tcBorders>
              <w:top w:val="nil"/>
              <w:left w:val="single" w:sz="4" w:space="0" w:color="FFFFFF"/>
              <w:bottom w:val="nil"/>
              <w:right w:val="dashed" w:sz="4" w:space="0" w:color="FFFFFF"/>
            </w:tcBorders>
            <w:vAlign w:val="center"/>
          </w:tcPr>
          <w:p w14:paraId="2906AEE6" w14:textId="77777777" w:rsidR="0030726B" w:rsidRPr="00172374" w:rsidRDefault="0030726B" w:rsidP="00F93AFC">
            <w:pPr>
              <w:jc w:val="center"/>
              <w:rPr>
                <w:sz w:val="8"/>
                <w:szCs w:val="8"/>
              </w:rPr>
            </w:pPr>
          </w:p>
        </w:tc>
      </w:tr>
      <w:tr w:rsidR="0030726B" w:rsidRPr="00172374" w14:paraId="025037C8" w14:textId="77777777" w:rsidTr="00440084">
        <w:trPr>
          <w:trHeight w:val="130"/>
          <w:jc w:val="center"/>
        </w:trPr>
        <w:tc>
          <w:tcPr>
            <w:tcW w:w="2830" w:type="dxa"/>
            <w:gridSpan w:val="2"/>
            <w:tcBorders>
              <w:top w:val="nil"/>
              <w:left w:val="nil"/>
              <w:bottom w:val="nil"/>
              <w:right w:val="nil"/>
            </w:tcBorders>
            <w:vAlign w:val="center"/>
          </w:tcPr>
          <w:p w14:paraId="763DF3EC" w14:textId="737FDD49" w:rsidR="0030726B" w:rsidRPr="00172374" w:rsidRDefault="003B3862" w:rsidP="00F93AFC">
            <w:pPr>
              <w:rPr>
                <w:sz w:val="8"/>
                <w:szCs w:val="8"/>
              </w:rPr>
            </w:pPr>
            <w:r w:rsidRPr="00172374">
              <w:rPr>
                <w:sz w:val="20"/>
                <w:szCs w:val="20"/>
              </w:rPr>
              <w:t>Gender</w:t>
            </w:r>
            <w:r w:rsidR="0030726B" w:rsidRPr="00172374">
              <w:rPr>
                <w:sz w:val="20"/>
                <w:szCs w:val="20"/>
              </w:rPr>
              <w:t xml:space="preserve"> of respondents</w:t>
            </w:r>
          </w:p>
        </w:tc>
        <w:tc>
          <w:tcPr>
            <w:tcW w:w="2502" w:type="dxa"/>
            <w:gridSpan w:val="2"/>
            <w:tcBorders>
              <w:top w:val="nil"/>
              <w:left w:val="nil"/>
              <w:bottom w:val="nil"/>
              <w:right w:val="single" w:sz="4" w:space="0" w:color="FFFFFF"/>
            </w:tcBorders>
            <w:vAlign w:val="center"/>
          </w:tcPr>
          <w:p w14:paraId="41C3A790" w14:textId="77777777" w:rsidR="0030726B" w:rsidRPr="00172374" w:rsidRDefault="0030726B" w:rsidP="00F93AFC">
            <w:pPr>
              <w:rPr>
                <w:sz w:val="8"/>
                <w:szCs w:val="8"/>
              </w:rPr>
            </w:pPr>
            <w:r w:rsidRPr="00172374">
              <w:rPr>
                <w:sz w:val="20"/>
                <w:szCs w:val="20"/>
              </w:rPr>
              <w:t>Male</w:t>
            </w:r>
          </w:p>
        </w:tc>
        <w:tc>
          <w:tcPr>
            <w:tcW w:w="776" w:type="dxa"/>
            <w:tcBorders>
              <w:top w:val="nil"/>
              <w:left w:val="nil"/>
              <w:bottom w:val="nil"/>
              <w:right w:val="nil"/>
            </w:tcBorders>
          </w:tcPr>
          <w:p w14:paraId="0A0003E0" w14:textId="77777777" w:rsidR="0030726B" w:rsidRPr="00172374" w:rsidRDefault="0030726B" w:rsidP="00F93AFC">
            <w:pPr>
              <w:jc w:val="right"/>
              <w:rPr>
                <w:sz w:val="20"/>
                <w:szCs w:val="20"/>
              </w:rPr>
            </w:pPr>
            <w:r w:rsidRPr="00172374">
              <w:rPr>
                <w:sz w:val="20"/>
                <w:szCs w:val="20"/>
              </w:rPr>
              <w:t>130</w:t>
            </w:r>
          </w:p>
        </w:tc>
        <w:tc>
          <w:tcPr>
            <w:tcW w:w="776" w:type="dxa"/>
            <w:gridSpan w:val="2"/>
            <w:tcBorders>
              <w:top w:val="nil"/>
              <w:left w:val="nil"/>
              <w:bottom w:val="nil"/>
              <w:right w:val="single" w:sz="4" w:space="0" w:color="FFFFFF"/>
            </w:tcBorders>
            <w:vAlign w:val="center"/>
          </w:tcPr>
          <w:p w14:paraId="3DA16392" w14:textId="77777777" w:rsidR="0030726B" w:rsidRPr="00172374" w:rsidRDefault="0030726B" w:rsidP="00F93AFC">
            <w:pPr>
              <w:jc w:val="right"/>
              <w:rPr>
                <w:sz w:val="8"/>
                <w:szCs w:val="8"/>
              </w:rPr>
            </w:pPr>
            <w:r w:rsidRPr="00172374">
              <w:rPr>
                <w:sz w:val="20"/>
                <w:szCs w:val="20"/>
              </w:rPr>
              <w:t>53.7%</w:t>
            </w:r>
          </w:p>
        </w:tc>
        <w:tc>
          <w:tcPr>
            <w:tcW w:w="535" w:type="dxa"/>
            <w:tcBorders>
              <w:top w:val="nil"/>
              <w:left w:val="single" w:sz="4" w:space="0" w:color="FFFFFF"/>
              <w:bottom w:val="nil"/>
              <w:right w:val="dashed" w:sz="4" w:space="0" w:color="FFFFFF"/>
            </w:tcBorders>
            <w:vAlign w:val="center"/>
          </w:tcPr>
          <w:p w14:paraId="73759E8B" w14:textId="77777777" w:rsidR="0030726B" w:rsidRPr="00172374" w:rsidRDefault="0030726B" w:rsidP="00F93AFC">
            <w:pPr>
              <w:jc w:val="center"/>
              <w:rPr>
                <w:sz w:val="8"/>
                <w:szCs w:val="8"/>
              </w:rPr>
            </w:pPr>
          </w:p>
        </w:tc>
      </w:tr>
      <w:tr w:rsidR="0030726B" w:rsidRPr="00172374" w14:paraId="6CB41BF3" w14:textId="77777777" w:rsidTr="00440084">
        <w:trPr>
          <w:trHeight w:val="130"/>
          <w:jc w:val="center"/>
        </w:trPr>
        <w:tc>
          <w:tcPr>
            <w:tcW w:w="2830" w:type="dxa"/>
            <w:gridSpan w:val="2"/>
            <w:tcBorders>
              <w:top w:val="nil"/>
              <w:left w:val="nil"/>
              <w:bottom w:val="nil"/>
              <w:right w:val="nil"/>
            </w:tcBorders>
            <w:vAlign w:val="center"/>
          </w:tcPr>
          <w:p w14:paraId="5A789BBE" w14:textId="77777777" w:rsidR="0030726B" w:rsidRPr="00172374" w:rsidRDefault="0030726B" w:rsidP="00F93AFC">
            <w:pPr>
              <w:rPr>
                <w:sz w:val="8"/>
                <w:szCs w:val="8"/>
              </w:rPr>
            </w:pPr>
          </w:p>
        </w:tc>
        <w:tc>
          <w:tcPr>
            <w:tcW w:w="2502" w:type="dxa"/>
            <w:gridSpan w:val="2"/>
            <w:tcBorders>
              <w:top w:val="nil"/>
              <w:left w:val="nil"/>
              <w:bottom w:val="nil"/>
              <w:right w:val="single" w:sz="4" w:space="0" w:color="FFFFFF"/>
            </w:tcBorders>
            <w:vAlign w:val="center"/>
          </w:tcPr>
          <w:p w14:paraId="5FFBA8AF" w14:textId="77777777" w:rsidR="0030726B" w:rsidRPr="00172374" w:rsidRDefault="0030726B" w:rsidP="00F93AFC">
            <w:pPr>
              <w:rPr>
                <w:sz w:val="8"/>
                <w:szCs w:val="8"/>
              </w:rPr>
            </w:pPr>
            <w:r w:rsidRPr="00172374">
              <w:rPr>
                <w:sz w:val="20"/>
                <w:szCs w:val="20"/>
              </w:rPr>
              <w:t>Female</w:t>
            </w:r>
          </w:p>
        </w:tc>
        <w:tc>
          <w:tcPr>
            <w:tcW w:w="776" w:type="dxa"/>
            <w:tcBorders>
              <w:top w:val="nil"/>
              <w:left w:val="nil"/>
              <w:bottom w:val="nil"/>
              <w:right w:val="nil"/>
            </w:tcBorders>
          </w:tcPr>
          <w:p w14:paraId="54831831" w14:textId="77777777" w:rsidR="0030726B" w:rsidRPr="00172374" w:rsidRDefault="0030726B" w:rsidP="00F93AFC">
            <w:pPr>
              <w:jc w:val="right"/>
              <w:rPr>
                <w:sz w:val="20"/>
                <w:szCs w:val="20"/>
              </w:rPr>
            </w:pPr>
            <w:r w:rsidRPr="00172374">
              <w:rPr>
                <w:sz w:val="20"/>
                <w:szCs w:val="20"/>
              </w:rPr>
              <w:t>112</w:t>
            </w:r>
          </w:p>
        </w:tc>
        <w:tc>
          <w:tcPr>
            <w:tcW w:w="776" w:type="dxa"/>
            <w:gridSpan w:val="2"/>
            <w:tcBorders>
              <w:top w:val="nil"/>
              <w:left w:val="nil"/>
              <w:bottom w:val="nil"/>
              <w:right w:val="single" w:sz="4" w:space="0" w:color="FFFFFF"/>
            </w:tcBorders>
            <w:vAlign w:val="center"/>
          </w:tcPr>
          <w:p w14:paraId="4443E8BE" w14:textId="77777777" w:rsidR="0030726B" w:rsidRPr="00172374" w:rsidRDefault="0030726B" w:rsidP="00F93AFC">
            <w:pPr>
              <w:jc w:val="right"/>
              <w:rPr>
                <w:sz w:val="8"/>
                <w:szCs w:val="8"/>
              </w:rPr>
            </w:pPr>
            <w:r w:rsidRPr="00172374">
              <w:rPr>
                <w:sz w:val="20"/>
                <w:szCs w:val="20"/>
              </w:rPr>
              <w:t>46.3%</w:t>
            </w:r>
          </w:p>
        </w:tc>
        <w:tc>
          <w:tcPr>
            <w:tcW w:w="535" w:type="dxa"/>
            <w:tcBorders>
              <w:top w:val="nil"/>
              <w:left w:val="single" w:sz="4" w:space="0" w:color="FFFFFF"/>
              <w:bottom w:val="nil"/>
              <w:right w:val="dashed" w:sz="4" w:space="0" w:color="FFFFFF"/>
            </w:tcBorders>
            <w:vAlign w:val="center"/>
          </w:tcPr>
          <w:p w14:paraId="7C448BCC" w14:textId="77777777" w:rsidR="0030726B" w:rsidRPr="00172374" w:rsidRDefault="0030726B" w:rsidP="00F93AFC">
            <w:pPr>
              <w:jc w:val="center"/>
              <w:rPr>
                <w:sz w:val="8"/>
                <w:szCs w:val="8"/>
              </w:rPr>
            </w:pPr>
          </w:p>
        </w:tc>
      </w:tr>
      <w:tr w:rsidR="0030726B" w:rsidRPr="00172374" w14:paraId="2280A101" w14:textId="77777777" w:rsidTr="00440084">
        <w:trPr>
          <w:trHeight w:val="130"/>
          <w:jc w:val="center"/>
        </w:trPr>
        <w:tc>
          <w:tcPr>
            <w:tcW w:w="2830" w:type="dxa"/>
            <w:gridSpan w:val="2"/>
            <w:tcBorders>
              <w:top w:val="nil"/>
              <w:left w:val="nil"/>
              <w:bottom w:val="nil"/>
              <w:right w:val="nil"/>
            </w:tcBorders>
            <w:vAlign w:val="center"/>
          </w:tcPr>
          <w:p w14:paraId="54A12972" w14:textId="77777777" w:rsidR="0030726B" w:rsidRPr="00172374" w:rsidRDefault="0030726B" w:rsidP="00F93AFC">
            <w:pPr>
              <w:rPr>
                <w:sz w:val="8"/>
                <w:szCs w:val="8"/>
              </w:rPr>
            </w:pPr>
          </w:p>
        </w:tc>
        <w:tc>
          <w:tcPr>
            <w:tcW w:w="1594" w:type="dxa"/>
            <w:tcBorders>
              <w:top w:val="nil"/>
              <w:left w:val="nil"/>
              <w:bottom w:val="nil"/>
              <w:right w:val="single" w:sz="4" w:space="0" w:color="FFFFFF"/>
            </w:tcBorders>
            <w:vAlign w:val="center"/>
          </w:tcPr>
          <w:p w14:paraId="45BFD11B" w14:textId="77777777" w:rsidR="0030726B" w:rsidRPr="00172374" w:rsidRDefault="0030726B" w:rsidP="00F93AFC">
            <w:pPr>
              <w:jc w:val="right"/>
              <w:rPr>
                <w:sz w:val="8"/>
                <w:szCs w:val="8"/>
              </w:rPr>
            </w:pPr>
          </w:p>
        </w:tc>
        <w:tc>
          <w:tcPr>
            <w:tcW w:w="908" w:type="dxa"/>
            <w:tcBorders>
              <w:top w:val="nil"/>
              <w:left w:val="single" w:sz="4" w:space="0" w:color="FFFFFF"/>
              <w:bottom w:val="nil"/>
              <w:right w:val="nil"/>
            </w:tcBorders>
            <w:vAlign w:val="center"/>
          </w:tcPr>
          <w:p w14:paraId="6AC5D8B7" w14:textId="77777777" w:rsidR="0030726B" w:rsidRPr="00172374" w:rsidRDefault="0030726B" w:rsidP="00F93AFC">
            <w:pPr>
              <w:jc w:val="center"/>
              <w:rPr>
                <w:sz w:val="8"/>
                <w:szCs w:val="8"/>
              </w:rPr>
            </w:pPr>
          </w:p>
        </w:tc>
        <w:tc>
          <w:tcPr>
            <w:tcW w:w="776" w:type="dxa"/>
            <w:tcBorders>
              <w:top w:val="nil"/>
              <w:left w:val="nil"/>
              <w:bottom w:val="nil"/>
              <w:right w:val="nil"/>
            </w:tcBorders>
          </w:tcPr>
          <w:p w14:paraId="4317D180" w14:textId="77777777" w:rsidR="0030726B" w:rsidRPr="00172374" w:rsidRDefault="0030726B" w:rsidP="00F93AFC">
            <w:pPr>
              <w:jc w:val="right"/>
              <w:rPr>
                <w:sz w:val="8"/>
                <w:szCs w:val="8"/>
              </w:rPr>
            </w:pPr>
          </w:p>
        </w:tc>
        <w:tc>
          <w:tcPr>
            <w:tcW w:w="776" w:type="dxa"/>
            <w:gridSpan w:val="2"/>
            <w:tcBorders>
              <w:top w:val="nil"/>
              <w:left w:val="nil"/>
              <w:bottom w:val="nil"/>
              <w:right w:val="single" w:sz="4" w:space="0" w:color="FFFFFF"/>
            </w:tcBorders>
            <w:vAlign w:val="center"/>
          </w:tcPr>
          <w:p w14:paraId="03CD006F" w14:textId="77777777" w:rsidR="0030726B" w:rsidRPr="00172374" w:rsidRDefault="0030726B" w:rsidP="00F93AFC">
            <w:pPr>
              <w:jc w:val="right"/>
              <w:rPr>
                <w:sz w:val="8"/>
                <w:szCs w:val="8"/>
              </w:rPr>
            </w:pPr>
          </w:p>
        </w:tc>
        <w:tc>
          <w:tcPr>
            <w:tcW w:w="535" w:type="dxa"/>
            <w:tcBorders>
              <w:top w:val="nil"/>
              <w:left w:val="single" w:sz="4" w:space="0" w:color="FFFFFF"/>
              <w:bottom w:val="nil"/>
              <w:right w:val="dashed" w:sz="4" w:space="0" w:color="FFFFFF"/>
            </w:tcBorders>
            <w:vAlign w:val="center"/>
          </w:tcPr>
          <w:p w14:paraId="6A964923" w14:textId="77777777" w:rsidR="0030726B" w:rsidRPr="00172374" w:rsidRDefault="0030726B" w:rsidP="00F93AFC">
            <w:pPr>
              <w:jc w:val="center"/>
              <w:rPr>
                <w:sz w:val="8"/>
                <w:szCs w:val="8"/>
              </w:rPr>
            </w:pPr>
          </w:p>
        </w:tc>
      </w:tr>
      <w:tr w:rsidR="0030726B" w:rsidRPr="00172374" w14:paraId="60ECFE84" w14:textId="77777777" w:rsidTr="00440084">
        <w:trPr>
          <w:jc w:val="center"/>
        </w:trPr>
        <w:tc>
          <w:tcPr>
            <w:tcW w:w="2830" w:type="dxa"/>
            <w:gridSpan w:val="2"/>
            <w:tcBorders>
              <w:top w:val="nil"/>
              <w:left w:val="nil"/>
              <w:bottom w:val="nil"/>
              <w:right w:val="nil"/>
            </w:tcBorders>
            <w:vAlign w:val="center"/>
          </w:tcPr>
          <w:p w14:paraId="3BAD5C4F" w14:textId="77777777" w:rsidR="0030726B" w:rsidRPr="00172374" w:rsidRDefault="0030726B" w:rsidP="00F93AFC">
            <w:pPr>
              <w:rPr>
                <w:sz w:val="20"/>
                <w:szCs w:val="20"/>
              </w:rPr>
            </w:pPr>
            <w:r w:rsidRPr="00172374">
              <w:rPr>
                <w:sz w:val="20"/>
                <w:szCs w:val="20"/>
              </w:rPr>
              <w:t>Age of respondents (in years)</w:t>
            </w:r>
          </w:p>
        </w:tc>
        <w:tc>
          <w:tcPr>
            <w:tcW w:w="1594" w:type="dxa"/>
            <w:tcBorders>
              <w:top w:val="nil"/>
              <w:left w:val="nil"/>
              <w:bottom w:val="nil"/>
              <w:right w:val="single" w:sz="4" w:space="0" w:color="FFFFFF"/>
            </w:tcBorders>
            <w:vAlign w:val="center"/>
          </w:tcPr>
          <w:p w14:paraId="04BB1E57" w14:textId="77777777" w:rsidR="0030726B" w:rsidRPr="00172374" w:rsidRDefault="0030726B" w:rsidP="00F93AFC">
            <w:pPr>
              <w:rPr>
                <w:sz w:val="20"/>
                <w:szCs w:val="20"/>
              </w:rPr>
            </w:pPr>
            <w:r w:rsidRPr="00172374">
              <w:rPr>
                <w:sz w:val="20"/>
                <w:szCs w:val="20"/>
              </w:rPr>
              <w:t>21 – 30</w:t>
            </w:r>
          </w:p>
        </w:tc>
        <w:tc>
          <w:tcPr>
            <w:tcW w:w="908" w:type="dxa"/>
            <w:tcBorders>
              <w:top w:val="nil"/>
              <w:left w:val="single" w:sz="4" w:space="0" w:color="FFFFFF"/>
              <w:bottom w:val="nil"/>
              <w:right w:val="nil"/>
            </w:tcBorders>
            <w:vAlign w:val="center"/>
          </w:tcPr>
          <w:p w14:paraId="1987A8B4"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045FC49B" w14:textId="77777777" w:rsidR="0030726B" w:rsidRPr="00172374" w:rsidRDefault="0030726B" w:rsidP="00F93AFC">
            <w:pPr>
              <w:jc w:val="right"/>
              <w:rPr>
                <w:sz w:val="20"/>
                <w:szCs w:val="20"/>
              </w:rPr>
            </w:pPr>
            <w:r w:rsidRPr="00172374">
              <w:rPr>
                <w:sz w:val="20"/>
                <w:szCs w:val="20"/>
              </w:rPr>
              <w:t>50</w:t>
            </w:r>
          </w:p>
        </w:tc>
        <w:tc>
          <w:tcPr>
            <w:tcW w:w="776" w:type="dxa"/>
            <w:gridSpan w:val="2"/>
            <w:tcBorders>
              <w:top w:val="nil"/>
              <w:left w:val="nil"/>
              <w:bottom w:val="nil"/>
              <w:right w:val="single" w:sz="4" w:space="0" w:color="FFFFFF"/>
            </w:tcBorders>
            <w:vAlign w:val="center"/>
          </w:tcPr>
          <w:p w14:paraId="69061F29" w14:textId="77777777" w:rsidR="0030726B" w:rsidRPr="00172374" w:rsidRDefault="0030726B" w:rsidP="00F93AFC">
            <w:pPr>
              <w:jc w:val="right"/>
              <w:rPr>
                <w:sz w:val="20"/>
                <w:szCs w:val="20"/>
              </w:rPr>
            </w:pPr>
            <w:r w:rsidRPr="00172374">
              <w:rPr>
                <w:sz w:val="20"/>
                <w:szCs w:val="20"/>
              </w:rPr>
              <w:t>20.7%</w:t>
            </w:r>
          </w:p>
        </w:tc>
        <w:tc>
          <w:tcPr>
            <w:tcW w:w="535" w:type="dxa"/>
            <w:tcBorders>
              <w:top w:val="nil"/>
              <w:left w:val="single" w:sz="4" w:space="0" w:color="FFFFFF"/>
              <w:bottom w:val="nil"/>
              <w:right w:val="dashed" w:sz="4" w:space="0" w:color="FFFFFF"/>
            </w:tcBorders>
            <w:vAlign w:val="center"/>
          </w:tcPr>
          <w:p w14:paraId="2AE65238" w14:textId="77777777" w:rsidR="0030726B" w:rsidRPr="00172374" w:rsidRDefault="0030726B" w:rsidP="00F93AFC">
            <w:pPr>
              <w:jc w:val="center"/>
              <w:rPr>
                <w:sz w:val="20"/>
                <w:szCs w:val="20"/>
              </w:rPr>
            </w:pPr>
          </w:p>
        </w:tc>
      </w:tr>
      <w:tr w:rsidR="0030726B" w:rsidRPr="00172374" w14:paraId="3E82372E" w14:textId="77777777" w:rsidTr="00440084">
        <w:trPr>
          <w:jc w:val="center"/>
        </w:trPr>
        <w:tc>
          <w:tcPr>
            <w:tcW w:w="2830" w:type="dxa"/>
            <w:gridSpan w:val="2"/>
            <w:tcBorders>
              <w:top w:val="nil"/>
              <w:left w:val="nil"/>
              <w:bottom w:val="nil"/>
              <w:right w:val="nil"/>
            </w:tcBorders>
            <w:vAlign w:val="center"/>
          </w:tcPr>
          <w:p w14:paraId="7EECF56D"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639050E1" w14:textId="77777777" w:rsidR="0030726B" w:rsidRPr="00172374" w:rsidRDefault="0030726B" w:rsidP="00F93AFC">
            <w:pPr>
              <w:rPr>
                <w:sz w:val="20"/>
                <w:szCs w:val="20"/>
              </w:rPr>
            </w:pPr>
            <w:r w:rsidRPr="00172374">
              <w:rPr>
                <w:sz w:val="20"/>
                <w:szCs w:val="20"/>
              </w:rPr>
              <w:t>31 – 40</w:t>
            </w:r>
          </w:p>
        </w:tc>
        <w:tc>
          <w:tcPr>
            <w:tcW w:w="908" w:type="dxa"/>
            <w:tcBorders>
              <w:top w:val="nil"/>
              <w:left w:val="single" w:sz="4" w:space="0" w:color="FFFFFF"/>
              <w:bottom w:val="nil"/>
              <w:right w:val="nil"/>
            </w:tcBorders>
            <w:vAlign w:val="center"/>
          </w:tcPr>
          <w:p w14:paraId="327BB25D"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4E765F78" w14:textId="77777777" w:rsidR="0030726B" w:rsidRPr="00172374" w:rsidRDefault="0030726B" w:rsidP="00F93AFC">
            <w:pPr>
              <w:jc w:val="right"/>
              <w:rPr>
                <w:sz w:val="20"/>
                <w:szCs w:val="20"/>
              </w:rPr>
            </w:pPr>
            <w:r w:rsidRPr="00172374">
              <w:rPr>
                <w:sz w:val="20"/>
                <w:szCs w:val="20"/>
              </w:rPr>
              <w:t>129</w:t>
            </w:r>
          </w:p>
        </w:tc>
        <w:tc>
          <w:tcPr>
            <w:tcW w:w="776" w:type="dxa"/>
            <w:gridSpan w:val="2"/>
            <w:tcBorders>
              <w:top w:val="nil"/>
              <w:left w:val="nil"/>
              <w:bottom w:val="nil"/>
              <w:right w:val="single" w:sz="4" w:space="0" w:color="FFFFFF"/>
            </w:tcBorders>
            <w:vAlign w:val="center"/>
          </w:tcPr>
          <w:p w14:paraId="2E395596" w14:textId="77777777" w:rsidR="0030726B" w:rsidRPr="00172374" w:rsidRDefault="0030726B" w:rsidP="00F93AFC">
            <w:pPr>
              <w:jc w:val="right"/>
              <w:rPr>
                <w:sz w:val="20"/>
                <w:szCs w:val="20"/>
              </w:rPr>
            </w:pPr>
            <w:r w:rsidRPr="00172374">
              <w:rPr>
                <w:sz w:val="20"/>
                <w:szCs w:val="20"/>
              </w:rPr>
              <w:t>53.3%</w:t>
            </w:r>
          </w:p>
        </w:tc>
        <w:tc>
          <w:tcPr>
            <w:tcW w:w="535" w:type="dxa"/>
            <w:tcBorders>
              <w:top w:val="nil"/>
              <w:left w:val="single" w:sz="4" w:space="0" w:color="FFFFFF"/>
              <w:bottom w:val="nil"/>
              <w:right w:val="dashed" w:sz="4" w:space="0" w:color="FFFFFF"/>
            </w:tcBorders>
            <w:vAlign w:val="center"/>
          </w:tcPr>
          <w:p w14:paraId="689530E9" w14:textId="77777777" w:rsidR="0030726B" w:rsidRPr="00172374" w:rsidRDefault="0030726B" w:rsidP="00F93AFC">
            <w:pPr>
              <w:jc w:val="center"/>
              <w:rPr>
                <w:sz w:val="20"/>
                <w:szCs w:val="20"/>
              </w:rPr>
            </w:pPr>
          </w:p>
        </w:tc>
      </w:tr>
      <w:tr w:rsidR="0030726B" w:rsidRPr="00172374" w14:paraId="510510CF" w14:textId="77777777" w:rsidTr="00440084">
        <w:trPr>
          <w:jc w:val="center"/>
        </w:trPr>
        <w:tc>
          <w:tcPr>
            <w:tcW w:w="2830" w:type="dxa"/>
            <w:gridSpan w:val="2"/>
            <w:tcBorders>
              <w:top w:val="nil"/>
              <w:left w:val="nil"/>
              <w:bottom w:val="nil"/>
              <w:right w:val="nil"/>
            </w:tcBorders>
            <w:vAlign w:val="center"/>
          </w:tcPr>
          <w:p w14:paraId="248BC611" w14:textId="77777777" w:rsidR="0030726B" w:rsidRPr="00172374" w:rsidRDefault="0030726B" w:rsidP="00F93AFC">
            <w:pPr>
              <w:rPr>
                <w:sz w:val="20"/>
                <w:szCs w:val="20"/>
              </w:rPr>
            </w:pPr>
          </w:p>
        </w:tc>
        <w:tc>
          <w:tcPr>
            <w:tcW w:w="1594" w:type="dxa"/>
            <w:tcBorders>
              <w:top w:val="nil"/>
              <w:left w:val="nil"/>
              <w:bottom w:val="nil"/>
              <w:right w:val="single" w:sz="4" w:space="0" w:color="FFFFFF"/>
            </w:tcBorders>
            <w:vAlign w:val="center"/>
          </w:tcPr>
          <w:p w14:paraId="213A324D" w14:textId="77777777" w:rsidR="0030726B" w:rsidRPr="00172374" w:rsidRDefault="0030726B" w:rsidP="00F93AFC">
            <w:pPr>
              <w:rPr>
                <w:sz w:val="20"/>
                <w:szCs w:val="20"/>
              </w:rPr>
            </w:pPr>
            <w:r w:rsidRPr="00172374">
              <w:rPr>
                <w:sz w:val="20"/>
                <w:szCs w:val="20"/>
              </w:rPr>
              <w:t>41 – 50</w:t>
            </w:r>
          </w:p>
        </w:tc>
        <w:tc>
          <w:tcPr>
            <w:tcW w:w="908" w:type="dxa"/>
            <w:tcBorders>
              <w:top w:val="nil"/>
              <w:left w:val="single" w:sz="4" w:space="0" w:color="FFFFFF"/>
              <w:bottom w:val="nil"/>
              <w:right w:val="nil"/>
            </w:tcBorders>
            <w:vAlign w:val="center"/>
          </w:tcPr>
          <w:p w14:paraId="50A86952" w14:textId="77777777" w:rsidR="0030726B" w:rsidRPr="00172374" w:rsidRDefault="0030726B" w:rsidP="00F93AFC">
            <w:pPr>
              <w:jc w:val="center"/>
              <w:rPr>
                <w:sz w:val="20"/>
                <w:szCs w:val="20"/>
              </w:rPr>
            </w:pPr>
          </w:p>
        </w:tc>
        <w:tc>
          <w:tcPr>
            <w:tcW w:w="776" w:type="dxa"/>
            <w:tcBorders>
              <w:top w:val="nil"/>
              <w:left w:val="nil"/>
              <w:bottom w:val="nil"/>
              <w:right w:val="nil"/>
            </w:tcBorders>
          </w:tcPr>
          <w:p w14:paraId="67DD5537" w14:textId="77777777" w:rsidR="0030726B" w:rsidRPr="00172374" w:rsidRDefault="0030726B" w:rsidP="00F93AFC">
            <w:pPr>
              <w:jc w:val="right"/>
              <w:rPr>
                <w:sz w:val="20"/>
                <w:szCs w:val="20"/>
              </w:rPr>
            </w:pPr>
            <w:r w:rsidRPr="00172374">
              <w:rPr>
                <w:sz w:val="20"/>
                <w:szCs w:val="20"/>
              </w:rPr>
              <w:t>54</w:t>
            </w:r>
          </w:p>
        </w:tc>
        <w:tc>
          <w:tcPr>
            <w:tcW w:w="776" w:type="dxa"/>
            <w:gridSpan w:val="2"/>
            <w:tcBorders>
              <w:top w:val="nil"/>
              <w:left w:val="nil"/>
              <w:bottom w:val="nil"/>
              <w:right w:val="single" w:sz="4" w:space="0" w:color="FFFFFF"/>
            </w:tcBorders>
            <w:vAlign w:val="center"/>
          </w:tcPr>
          <w:p w14:paraId="311B046F" w14:textId="77777777" w:rsidR="0030726B" w:rsidRPr="00172374" w:rsidRDefault="0030726B" w:rsidP="00F93AFC">
            <w:pPr>
              <w:jc w:val="right"/>
              <w:rPr>
                <w:sz w:val="20"/>
                <w:szCs w:val="20"/>
              </w:rPr>
            </w:pPr>
            <w:r w:rsidRPr="00172374">
              <w:rPr>
                <w:sz w:val="20"/>
                <w:szCs w:val="20"/>
              </w:rPr>
              <w:t>22.3%</w:t>
            </w:r>
          </w:p>
        </w:tc>
        <w:tc>
          <w:tcPr>
            <w:tcW w:w="535" w:type="dxa"/>
            <w:tcBorders>
              <w:top w:val="nil"/>
              <w:left w:val="single" w:sz="4" w:space="0" w:color="FFFFFF"/>
              <w:bottom w:val="nil"/>
              <w:right w:val="dashed" w:sz="4" w:space="0" w:color="FFFFFF"/>
            </w:tcBorders>
            <w:vAlign w:val="center"/>
          </w:tcPr>
          <w:p w14:paraId="7485EDEA" w14:textId="77777777" w:rsidR="0030726B" w:rsidRPr="00172374" w:rsidRDefault="0030726B" w:rsidP="00F93AFC">
            <w:pPr>
              <w:jc w:val="center"/>
              <w:rPr>
                <w:sz w:val="20"/>
                <w:szCs w:val="20"/>
              </w:rPr>
            </w:pPr>
          </w:p>
        </w:tc>
      </w:tr>
      <w:tr w:rsidR="0030726B" w:rsidRPr="00172374" w14:paraId="72A150E7" w14:textId="77777777" w:rsidTr="00440084">
        <w:trPr>
          <w:jc w:val="center"/>
        </w:trPr>
        <w:tc>
          <w:tcPr>
            <w:tcW w:w="2830" w:type="dxa"/>
            <w:gridSpan w:val="2"/>
            <w:tcBorders>
              <w:top w:val="nil"/>
              <w:left w:val="nil"/>
              <w:bottom w:val="single" w:sz="4" w:space="0" w:color="auto"/>
              <w:right w:val="nil"/>
            </w:tcBorders>
            <w:vAlign w:val="center"/>
          </w:tcPr>
          <w:p w14:paraId="4A62B721" w14:textId="77777777" w:rsidR="0030726B" w:rsidRPr="00172374" w:rsidRDefault="0030726B" w:rsidP="00F93AFC">
            <w:pPr>
              <w:rPr>
                <w:sz w:val="20"/>
                <w:szCs w:val="20"/>
              </w:rPr>
            </w:pPr>
          </w:p>
        </w:tc>
        <w:tc>
          <w:tcPr>
            <w:tcW w:w="1594" w:type="dxa"/>
            <w:tcBorders>
              <w:top w:val="nil"/>
              <w:left w:val="nil"/>
              <w:bottom w:val="single" w:sz="4" w:space="0" w:color="auto"/>
              <w:right w:val="single" w:sz="4" w:space="0" w:color="FFFFFF"/>
            </w:tcBorders>
            <w:vAlign w:val="center"/>
          </w:tcPr>
          <w:p w14:paraId="48185656" w14:textId="77777777" w:rsidR="0030726B" w:rsidRPr="00172374" w:rsidRDefault="0030726B" w:rsidP="00F93AFC">
            <w:pPr>
              <w:rPr>
                <w:sz w:val="20"/>
                <w:szCs w:val="20"/>
              </w:rPr>
            </w:pPr>
            <w:r w:rsidRPr="00172374">
              <w:rPr>
                <w:sz w:val="20"/>
                <w:szCs w:val="20"/>
              </w:rPr>
              <w:t>51 – 60</w:t>
            </w:r>
          </w:p>
        </w:tc>
        <w:tc>
          <w:tcPr>
            <w:tcW w:w="908" w:type="dxa"/>
            <w:tcBorders>
              <w:top w:val="nil"/>
              <w:left w:val="single" w:sz="4" w:space="0" w:color="FFFFFF"/>
              <w:bottom w:val="single" w:sz="4" w:space="0" w:color="auto"/>
              <w:right w:val="nil"/>
            </w:tcBorders>
            <w:vAlign w:val="center"/>
          </w:tcPr>
          <w:p w14:paraId="68B509EA" w14:textId="77777777" w:rsidR="0030726B" w:rsidRPr="00172374" w:rsidRDefault="0030726B" w:rsidP="00F93AFC">
            <w:pPr>
              <w:jc w:val="center"/>
              <w:rPr>
                <w:sz w:val="20"/>
                <w:szCs w:val="20"/>
              </w:rPr>
            </w:pPr>
          </w:p>
        </w:tc>
        <w:tc>
          <w:tcPr>
            <w:tcW w:w="776" w:type="dxa"/>
            <w:tcBorders>
              <w:top w:val="nil"/>
              <w:left w:val="nil"/>
              <w:bottom w:val="single" w:sz="4" w:space="0" w:color="auto"/>
              <w:right w:val="nil"/>
            </w:tcBorders>
          </w:tcPr>
          <w:p w14:paraId="044A4CB3" w14:textId="77777777" w:rsidR="0030726B" w:rsidRPr="00172374" w:rsidRDefault="0030726B" w:rsidP="00F93AFC">
            <w:pPr>
              <w:jc w:val="right"/>
              <w:rPr>
                <w:sz w:val="20"/>
                <w:szCs w:val="20"/>
              </w:rPr>
            </w:pPr>
            <w:r w:rsidRPr="00172374">
              <w:rPr>
                <w:sz w:val="20"/>
                <w:szCs w:val="20"/>
              </w:rPr>
              <w:t>9</w:t>
            </w:r>
          </w:p>
        </w:tc>
        <w:tc>
          <w:tcPr>
            <w:tcW w:w="776" w:type="dxa"/>
            <w:gridSpan w:val="2"/>
            <w:tcBorders>
              <w:top w:val="nil"/>
              <w:left w:val="nil"/>
              <w:bottom w:val="single" w:sz="4" w:space="0" w:color="auto"/>
              <w:right w:val="single" w:sz="4" w:space="0" w:color="FFFFFF"/>
            </w:tcBorders>
            <w:vAlign w:val="center"/>
          </w:tcPr>
          <w:p w14:paraId="316D17B7" w14:textId="77777777" w:rsidR="0030726B" w:rsidRPr="00172374" w:rsidRDefault="0030726B" w:rsidP="00F93AFC">
            <w:pPr>
              <w:jc w:val="right"/>
              <w:rPr>
                <w:sz w:val="20"/>
                <w:szCs w:val="20"/>
              </w:rPr>
            </w:pPr>
            <w:r w:rsidRPr="00172374">
              <w:rPr>
                <w:sz w:val="20"/>
                <w:szCs w:val="20"/>
              </w:rPr>
              <w:t>3.7%</w:t>
            </w:r>
          </w:p>
        </w:tc>
        <w:tc>
          <w:tcPr>
            <w:tcW w:w="535" w:type="dxa"/>
            <w:tcBorders>
              <w:top w:val="nil"/>
              <w:left w:val="single" w:sz="4" w:space="0" w:color="FFFFFF"/>
              <w:bottom w:val="single" w:sz="4" w:space="0" w:color="auto"/>
              <w:right w:val="dashed" w:sz="4" w:space="0" w:color="FFFFFF"/>
            </w:tcBorders>
            <w:vAlign w:val="center"/>
          </w:tcPr>
          <w:p w14:paraId="41339329" w14:textId="77777777" w:rsidR="0030726B" w:rsidRPr="00172374" w:rsidRDefault="0030726B" w:rsidP="00F93AFC">
            <w:pPr>
              <w:jc w:val="center"/>
              <w:rPr>
                <w:sz w:val="20"/>
                <w:szCs w:val="20"/>
              </w:rPr>
            </w:pPr>
          </w:p>
        </w:tc>
      </w:tr>
    </w:tbl>
    <w:p w14:paraId="26307DD7" w14:textId="77942AB3" w:rsidR="00B21591" w:rsidRPr="00172374" w:rsidRDefault="004A7F54" w:rsidP="00985C3F">
      <w:pPr>
        <w:tabs>
          <w:tab w:val="left" w:pos="-284"/>
          <w:tab w:val="left" w:pos="0"/>
          <w:tab w:val="left" w:pos="142"/>
        </w:tabs>
        <w:spacing w:line="480" w:lineRule="auto"/>
        <w:ind w:left="864"/>
        <w:rPr>
          <w:sz w:val="20"/>
          <w:szCs w:val="20"/>
        </w:rPr>
      </w:pPr>
      <w:r w:rsidRPr="00172374">
        <w:rPr>
          <w:sz w:val="20"/>
          <w:szCs w:val="20"/>
        </w:rPr>
        <w:t>Notes: B2C = business-to-consumer.</w:t>
      </w:r>
    </w:p>
    <w:p w14:paraId="2D586883" w14:textId="77777777" w:rsidR="00B22AB4" w:rsidRPr="00172374" w:rsidRDefault="00B22AB4" w:rsidP="000D59B1">
      <w:pPr>
        <w:spacing w:line="480" w:lineRule="auto"/>
      </w:pPr>
      <w:r w:rsidRPr="00172374">
        <w:br w:type="page"/>
      </w:r>
    </w:p>
    <w:tbl>
      <w:tblPr>
        <w:tblW w:w="0" w:type="auto"/>
        <w:jc w:val="center"/>
        <w:tblLayout w:type="fixed"/>
        <w:tblLook w:val="04A0" w:firstRow="1" w:lastRow="0" w:firstColumn="1" w:lastColumn="0" w:noHBand="0" w:noVBand="1"/>
      </w:tblPr>
      <w:tblGrid>
        <w:gridCol w:w="2268"/>
        <w:gridCol w:w="1134"/>
        <w:gridCol w:w="709"/>
        <w:gridCol w:w="709"/>
        <w:gridCol w:w="709"/>
        <w:gridCol w:w="708"/>
      </w:tblGrid>
      <w:tr w:rsidR="009D7D1A" w:rsidRPr="00172374" w14:paraId="5B15A072" w14:textId="77777777" w:rsidTr="0070349F">
        <w:trPr>
          <w:jc w:val="center"/>
        </w:trPr>
        <w:tc>
          <w:tcPr>
            <w:tcW w:w="6237" w:type="dxa"/>
            <w:gridSpan w:val="6"/>
            <w:tcBorders>
              <w:bottom w:val="single" w:sz="4" w:space="0" w:color="auto"/>
            </w:tcBorders>
            <w:shd w:val="clear" w:color="auto" w:fill="auto"/>
          </w:tcPr>
          <w:p w14:paraId="33AE4767" w14:textId="1C72A3B2" w:rsidR="009D7D1A" w:rsidRPr="00172374" w:rsidRDefault="009D7D1A" w:rsidP="003238D0">
            <w:pPr>
              <w:spacing w:after="60"/>
              <w:rPr>
                <w:b/>
              </w:rPr>
            </w:pPr>
            <w:bookmarkStart w:id="54" w:name="_Hlk50455065"/>
            <w:r w:rsidRPr="00172374">
              <w:rPr>
                <w:b/>
              </w:rPr>
              <w:lastRenderedPageBreak/>
              <w:t xml:space="preserve">Table </w:t>
            </w:r>
            <w:r w:rsidR="002A69C6" w:rsidRPr="00172374">
              <w:rPr>
                <w:b/>
              </w:rPr>
              <w:t>1</w:t>
            </w:r>
            <w:r w:rsidR="009C55D7" w:rsidRPr="00172374">
              <w:rPr>
                <w:b/>
              </w:rPr>
              <w:t>3</w:t>
            </w:r>
          </w:p>
          <w:p w14:paraId="3FF5FDC7" w14:textId="058EC1B8" w:rsidR="009D7D1A" w:rsidRPr="00172374" w:rsidRDefault="009D7D1A" w:rsidP="003238D0">
            <w:pPr>
              <w:spacing w:after="60"/>
            </w:pPr>
            <w:r w:rsidRPr="00172374">
              <w:t xml:space="preserve">Study </w:t>
            </w:r>
            <w:r w:rsidR="002A69C6" w:rsidRPr="00172374">
              <w:t>5</w:t>
            </w:r>
            <w:r w:rsidR="004A7F54" w:rsidRPr="00172374">
              <w:t>:</w:t>
            </w:r>
            <w:r w:rsidRPr="00172374">
              <w:t xml:space="preserve"> discriminant validity test</w:t>
            </w:r>
            <w:r w:rsidR="004A7F54" w:rsidRPr="00172374">
              <w:t>.</w:t>
            </w:r>
          </w:p>
        </w:tc>
      </w:tr>
      <w:tr w:rsidR="009D7D1A" w:rsidRPr="00172374" w14:paraId="7A12C62C" w14:textId="77777777" w:rsidTr="0070349F">
        <w:trPr>
          <w:jc w:val="center"/>
        </w:trPr>
        <w:tc>
          <w:tcPr>
            <w:tcW w:w="2268" w:type="dxa"/>
            <w:tcBorders>
              <w:top w:val="single" w:sz="4" w:space="0" w:color="auto"/>
              <w:bottom w:val="single" w:sz="4" w:space="0" w:color="auto"/>
            </w:tcBorders>
            <w:shd w:val="clear" w:color="auto" w:fill="auto"/>
          </w:tcPr>
          <w:p w14:paraId="67B9177E" w14:textId="77777777" w:rsidR="009D7D1A" w:rsidRPr="00172374" w:rsidRDefault="009D7D1A" w:rsidP="00960B25">
            <w:pPr>
              <w:rPr>
                <w:b/>
                <w:bCs/>
                <w:sz w:val="22"/>
                <w:szCs w:val="22"/>
              </w:rPr>
            </w:pPr>
            <w:r w:rsidRPr="00172374">
              <w:rPr>
                <w:b/>
                <w:bCs/>
                <w:sz w:val="22"/>
                <w:szCs w:val="22"/>
              </w:rPr>
              <w:t>Construct</w:t>
            </w:r>
          </w:p>
        </w:tc>
        <w:tc>
          <w:tcPr>
            <w:tcW w:w="1134" w:type="dxa"/>
            <w:tcBorders>
              <w:top w:val="single" w:sz="4" w:space="0" w:color="auto"/>
              <w:bottom w:val="single" w:sz="4" w:space="0" w:color="auto"/>
            </w:tcBorders>
            <w:shd w:val="clear" w:color="auto" w:fill="auto"/>
          </w:tcPr>
          <w:p w14:paraId="42C7340F" w14:textId="77777777" w:rsidR="009D7D1A" w:rsidRPr="00172374" w:rsidRDefault="009D7D1A" w:rsidP="003238D0">
            <w:pPr>
              <w:jc w:val="center"/>
              <w:rPr>
                <w:b/>
                <w:bCs/>
                <w:sz w:val="22"/>
                <w:szCs w:val="22"/>
              </w:rPr>
            </w:pPr>
            <w:r w:rsidRPr="00172374">
              <w:rPr>
                <w:b/>
                <w:bCs/>
                <w:sz w:val="22"/>
                <w:szCs w:val="22"/>
              </w:rPr>
              <w:t>AVE</w:t>
            </w:r>
          </w:p>
        </w:tc>
        <w:tc>
          <w:tcPr>
            <w:tcW w:w="2835" w:type="dxa"/>
            <w:gridSpan w:val="4"/>
            <w:tcBorders>
              <w:top w:val="single" w:sz="4" w:space="0" w:color="auto"/>
              <w:bottom w:val="single" w:sz="4" w:space="0" w:color="auto"/>
            </w:tcBorders>
            <w:shd w:val="clear" w:color="auto" w:fill="auto"/>
          </w:tcPr>
          <w:p w14:paraId="6F2503E1" w14:textId="77777777" w:rsidR="009D7D1A" w:rsidRPr="00172374" w:rsidRDefault="009D7D1A" w:rsidP="00960B25">
            <w:pPr>
              <w:rPr>
                <w:b/>
                <w:bCs/>
                <w:sz w:val="22"/>
                <w:szCs w:val="22"/>
              </w:rPr>
            </w:pPr>
            <w:r w:rsidRPr="00172374">
              <w:rPr>
                <w:b/>
                <w:bCs/>
                <w:sz w:val="22"/>
                <w:szCs w:val="22"/>
              </w:rPr>
              <w:t>Squared correlations</w:t>
            </w:r>
          </w:p>
        </w:tc>
      </w:tr>
      <w:tr w:rsidR="009D7D1A" w:rsidRPr="00172374" w14:paraId="2D3D4164" w14:textId="77777777" w:rsidTr="0070349F">
        <w:trPr>
          <w:jc w:val="center"/>
        </w:trPr>
        <w:tc>
          <w:tcPr>
            <w:tcW w:w="2268" w:type="dxa"/>
            <w:tcBorders>
              <w:top w:val="single" w:sz="4" w:space="0" w:color="auto"/>
            </w:tcBorders>
            <w:shd w:val="clear" w:color="auto" w:fill="auto"/>
          </w:tcPr>
          <w:p w14:paraId="3D497481" w14:textId="77777777" w:rsidR="009D7D1A" w:rsidRPr="00172374" w:rsidRDefault="009D7D1A" w:rsidP="00960B25">
            <w:pPr>
              <w:rPr>
                <w:b/>
                <w:sz w:val="20"/>
                <w:szCs w:val="20"/>
              </w:rPr>
            </w:pPr>
          </w:p>
        </w:tc>
        <w:tc>
          <w:tcPr>
            <w:tcW w:w="1134" w:type="dxa"/>
            <w:tcBorders>
              <w:top w:val="single" w:sz="4" w:space="0" w:color="auto"/>
            </w:tcBorders>
            <w:shd w:val="clear" w:color="auto" w:fill="auto"/>
          </w:tcPr>
          <w:p w14:paraId="46074FB5" w14:textId="77777777" w:rsidR="009D7D1A" w:rsidRPr="00172374" w:rsidRDefault="009D7D1A" w:rsidP="003238D0">
            <w:pPr>
              <w:jc w:val="center"/>
              <w:rPr>
                <w:b/>
                <w:sz w:val="20"/>
                <w:szCs w:val="20"/>
              </w:rPr>
            </w:pPr>
          </w:p>
        </w:tc>
        <w:tc>
          <w:tcPr>
            <w:tcW w:w="709" w:type="dxa"/>
            <w:tcBorders>
              <w:top w:val="single" w:sz="4" w:space="0" w:color="auto"/>
            </w:tcBorders>
            <w:shd w:val="clear" w:color="auto" w:fill="auto"/>
          </w:tcPr>
          <w:p w14:paraId="21899A3D" w14:textId="77777777" w:rsidR="009D7D1A" w:rsidRPr="00172374" w:rsidRDefault="009D7D1A" w:rsidP="00960B25">
            <w:pPr>
              <w:rPr>
                <w:sz w:val="20"/>
                <w:szCs w:val="20"/>
              </w:rPr>
            </w:pPr>
            <w:r w:rsidRPr="00172374">
              <w:rPr>
                <w:sz w:val="20"/>
                <w:szCs w:val="20"/>
              </w:rPr>
              <w:t>1</w:t>
            </w:r>
          </w:p>
        </w:tc>
        <w:tc>
          <w:tcPr>
            <w:tcW w:w="709" w:type="dxa"/>
            <w:tcBorders>
              <w:top w:val="single" w:sz="4" w:space="0" w:color="auto"/>
            </w:tcBorders>
            <w:shd w:val="clear" w:color="auto" w:fill="auto"/>
          </w:tcPr>
          <w:p w14:paraId="36EED494" w14:textId="77777777" w:rsidR="009D7D1A" w:rsidRPr="00172374" w:rsidRDefault="009D7D1A" w:rsidP="00960B25">
            <w:pPr>
              <w:rPr>
                <w:sz w:val="20"/>
                <w:szCs w:val="20"/>
              </w:rPr>
            </w:pPr>
            <w:r w:rsidRPr="00172374">
              <w:rPr>
                <w:sz w:val="20"/>
                <w:szCs w:val="20"/>
              </w:rPr>
              <w:t>2</w:t>
            </w:r>
          </w:p>
        </w:tc>
        <w:tc>
          <w:tcPr>
            <w:tcW w:w="709" w:type="dxa"/>
            <w:tcBorders>
              <w:top w:val="single" w:sz="4" w:space="0" w:color="auto"/>
            </w:tcBorders>
            <w:shd w:val="clear" w:color="auto" w:fill="auto"/>
          </w:tcPr>
          <w:p w14:paraId="035DF102" w14:textId="77777777" w:rsidR="009D7D1A" w:rsidRPr="00172374" w:rsidRDefault="009D7D1A" w:rsidP="00960B25">
            <w:pPr>
              <w:rPr>
                <w:sz w:val="20"/>
                <w:szCs w:val="20"/>
              </w:rPr>
            </w:pPr>
            <w:r w:rsidRPr="00172374">
              <w:rPr>
                <w:sz w:val="20"/>
                <w:szCs w:val="20"/>
              </w:rPr>
              <w:t>3</w:t>
            </w:r>
          </w:p>
        </w:tc>
        <w:tc>
          <w:tcPr>
            <w:tcW w:w="708" w:type="dxa"/>
            <w:tcBorders>
              <w:top w:val="single" w:sz="4" w:space="0" w:color="auto"/>
            </w:tcBorders>
            <w:shd w:val="clear" w:color="auto" w:fill="auto"/>
          </w:tcPr>
          <w:p w14:paraId="45F398E4" w14:textId="77777777" w:rsidR="009D7D1A" w:rsidRPr="00172374" w:rsidRDefault="009D7D1A" w:rsidP="00960B25">
            <w:pPr>
              <w:rPr>
                <w:sz w:val="20"/>
                <w:szCs w:val="20"/>
              </w:rPr>
            </w:pPr>
            <w:r w:rsidRPr="00172374">
              <w:rPr>
                <w:sz w:val="20"/>
                <w:szCs w:val="20"/>
              </w:rPr>
              <w:t>4</w:t>
            </w:r>
          </w:p>
        </w:tc>
      </w:tr>
      <w:tr w:rsidR="009D7D1A" w:rsidRPr="00172374" w14:paraId="270A7A97" w14:textId="77777777" w:rsidTr="0070349F">
        <w:trPr>
          <w:jc w:val="center"/>
        </w:trPr>
        <w:tc>
          <w:tcPr>
            <w:tcW w:w="2268" w:type="dxa"/>
            <w:shd w:val="clear" w:color="auto" w:fill="auto"/>
          </w:tcPr>
          <w:p w14:paraId="220255A6" w14:textId="77777777" w:rsidR="009D7D1A" w:rsidRPr="00172374" w:rsidRDefault="009D7D1A" w:rsidP="00960B25">
            <w:pPr>
              <w:rPr>
                <w:sz w:val="20"/>
                <w:szCs w:val="20"/>
              </w:rPr>
            </w:pPr>
            <w:r w:rsidRPr="00172374">
              <w:rPr>
                <w:sz w:val="20"/>
                <w:szCs w:val="20"/>
              </w:rPr>
              <w:t>1. BIM</w:t>
            </w:r>
          </w:p>
        </w:tc>
        <w:tc>
          <w:tcPr>
            <w:tcW w:w="1134" w:type="dxa"/>
            <w:shd w:val="clear" w:color="auto" w:fill="auto"/>
          </w:tcPr>
          <w:p w14:paraId="4E9C7D3F" w14:textId="77777777" w:rsidR="009D7D1A" w:rsidRPr="00172374" w:rsidRDefault="009D7D1A" w:rsidP="003238D0">
            <w:pPr>
              <w:jc w:val="center"/>
              <w:rPr>
                <w:sz w:val="20"/>
                <w:szCs w:val="20"/>
              </w:rPr>
            </w:pPr>
            <w:r w:rsidRPr="00172374">
              <w:rPr>
                <w:sz w:val="20"/>
                <w:szCs w:val="20"/>
              </w:rPr>
              <w:t>0.65</w:t>
            </w:r>
          </w:p>
        </w:tc>
        <w:tc>
          <w:tcPr>
            <w:tcW w:w="709" w:type="dxa"/>
            <w:shd w:val="clear" w:color="auto" w:fill="auto"/>
          </w:tcPr>
          <w:p w14:paraId="647DBFB6" w14:textId="77777777" w:rsidR="009D7D1A" w:rsidRPr="00172374" w:rsidRDefault="009D7D1A" w:rsidP="00960B25">
            <w:pPr>
              <w:rPr>
                <w:sz w:val="20"/>
                <w:szCs w:val="20"/>
              </w:rPr>
            </w:pPr>
          </w:p>
        </w:tc>
        <w:tc>
          <w:tcPr>
            <w:tcW w:w="709" w:type="dxa"/>
            <w:shd w:val="clear" w:color="auto" w:fill="auto"/>
          </w:tcPr>
          <w:p w14:paraId="4730A38D" w14:textId="77777777" w:rsidR="009D7D1A" w:rsidRPr="00172374" w:rsidRDefault="009D7D1A" w:rsidP="00960B25">
            <w:pPr>
              <w:rPr>
                <w:sz w:val="20"/>
                <w:szCs w:val="20"/>
              </w:rPr>
            </w:pPr>
          </w:p>
        </w:tc>
        <w:tc>
          <w:tcPr>
            <w:tcW w:w="709" w:type="dxa"/>
            <w:shd w:val="clear" w:color="auto" w:fill="auto"/>
          </w:tcPr>
          <w:p w14:paraId="2FFF2A6C" w14:textId="77777777" w:rsidR="009D7D1A" w:rsidRPr="00172374" w:rsidRDefault="009D7D1A" w:rsidP="00960B25">
            <w:pPr>
              <w:rPr>
                <w:sz w:val="20"/>
                <w:szCs w:val="20"/>
              </w:rPr>
            </w:pPr>
          </w:p>
        </w:tc>
        <w:tc>
          <w:tcPr>
            <w:tcW w:w="708" w:type="dxa"/>
            <w:shd w:val="clear" w:color="auto" w:fill="auto"/>
          </w:tcPr>
          <w:p w14:paraId="6B0B2EAC" w14:textId="77777777" w:rsidR="009D7D1A" w:rsidRPr="00172374" w:rsidRDefault="009D7D1A" w:rsidP="00960B25">
            <w:pPr>
              <w:rPr>
                <w:sz w:val="20"/>
                <w:szCs w:val="20"/>
              </w:rPr>
            </w:pPr>
          </w:p>
        </w:tc>
      </w:tr>
      <w:tr w:rsidR="009D7D1A" w:rsidRPr="00172374" w14:paraId="17A76E06" w14:textId="77777777" w:rsidTr="003238D0">
        <w:trPr>
          <w:jc w:val="center"/>
        </w:trPr>
        <w:tc>
          <w:tcPr>
            <w:tcW w:w="2268" w:type="dxa"/>
            <w:shd w:val="clear" w:color="auto" w:fill="auto"/>
          </w:tcPr>
          <w:p w14:paraId="580DC14E" w14:textId="77777777" w:rsidR="009D7D1A" w:rsidRPr="00172374" w:rsidRDefault="009D7D1A" w:rsidP="00960B25">
            <w:pPr>
              <w:rPr>
                <w:sz w:val="20"/>
                <w:szCs w:val="20"/>
              </w:rPr>
            </w:pPr>
            <w:r w:rsidRPr="00172374">
              <w:rPr>
                <w:sz w:val="20"/>
                <w:szCs w:val="20"/>
              </w:rPr>
              <w:t>2. BCON</w:t>
            </w:r>
          </w:p>
        </w:tc>
        <w:tc>
          <w:tcPr>
            <w:tcW w:w="1134" w:type="dxa"/>
            <w:shd w:val="clear" w:color="auto" w:fill="auto"/>
          </w:tcPr>
          <w:p w14:paraId="22BDADFF" w14:textId="77777777" w:rsidR="009D7D1A" w:rsidRPr="00172374" w:rsidRDefault="009D7D1A" w:rsidP="003238D0">
            <w:pPr>
              <w:jc w:val="center"/>
              <w:rPr>
                <w:sz w:val="20"/>
                <w:szCs w:val="20"/>
              </w:rPr>
            </w:pPr>
            <w:r w:rsidRPr="00172374">
              <w:rPr>
                <w:sz w:val="20"/>
                <w:szCs w:val="20"/>
              </w:rPr>
              <w:t>0.58</w:t>
            </w:r>
          </w:p>
        </w:tc>
        <w:tc>
          <w:tcPr>
            <w:tcW w:w="709" w:type="dxa"/>
            <w:shd w:val="clear" w:color="auto" w:fill="auto"/>
          </w:tcPr>
          <w:p w14:paraId="61C8CF40" w14:textId="77777777" w:rsidR="009D7D1A" w:rsidRPr="00172374" w:rsidRDefault="00BB3577" w:rsidP="00960B25">
            <w:pPr>
              <w:rPr>
                <w:sz w:val="20"/>
                <w:szCs w:val="20"/>
              </w:rPr>
            </w:pPr>
            <w:r w:rsidRPr="00172374">
              <w:rPr>
                <w:sz w:val="20"/>
                <w:szCs w:val="20"/>
              </w:rPr>
              <w:t>0.45</w:t>
            </w:r>
          </w:p>
        </w:tc>
        <w:tc>
          <w:tcPr>
            <w:tcW w:w="709" w:type="dxa"/>
            <w:shd w:val="clear" w:color="auto" w:fill="auto"/>
          </w:tcPr>
          <w:p w14:paraId="6FC3AC41" w14:textId="77777777" w:rsidR="009D7D1A" w:rsidRPr="00172374" w:rsidRDefault="009D7D1A" w:rsidP="00960B25">
            <w:pPr>
              <w:rPr>
                <w:sz w:val="20"/>
                <w:szCs w:val="20"/>
              </w:rPr>
            </w:pPr>
          </w:p>
        </w:tc>
        <w:tc>
          <w:tcPr>
            <w:tcW w:w="709" w:type="dxa"/>
            <w:shd w:val="clear" w:color="auto" w:fill="auto"/>
          </w:tcPr>
          <w:p w14:paraId="40B429EE" w14:textId="77777777" w:rsidR="009D7D1A" w:rsidRPr="00172374" w:rsidRDefault="009D7D1A" w:rsidP="00960B25">
            <w:pPr>
              <w:rPr>
                <w:sz w:val="20"/>
                <w:szCs w:val="20"/>
              </w:rPr>
            </w:pPr>
          </w:p>
        </w:tc>
        <w:tc>
          <w:tcPr>
            <w:tcW w:w="708" w:type="dxa"/>
            <w:shd w:val="clear" w:color="auto" w:fill="auto"/>
          </w:tcPr>
          <w:p w14:paraId="5AB97417" w14:textId="77777777" w:rsidR="009D7D1A" w:rsidRPr="00172374" w:rsidRDefault="009D7D1A" w:rsidP="00960B25">
            <w:pPr>
              <w:rPr>
                <w:sz w:val="20"/>
                <w:szCs w:val="20"/>
              </w:rPr>
            </w:pPr>
          </w:p>
        </w:tc>
      </w:tr>
      <w:tr w:rsidR="009D7D1A" w:rsidRPr="00172374" w14:paraId="108538BE" w14:textId="77777777" w:rsidTr="003238D0">
        <w:trPr>
          <w:jc w:val="center"/>
        </w:trPr>
        <w:tc>
          <w:tcPr>
            <w:tcW w:w="2268" w:type="dxa"/>
            <w:shd w:val="clear" w:color="auto" w:fill="auto"/>
          </w:tcPr>
          <w:p w14:paraId="0D34A397" w14:textId="77777777" w:rsidR="009D7D1A" w:rsidRPr="00172374" w:rsidRDefault="009D7D1A" w:rsidP="00960B25">
            <w:pPr>
              <w:rPr>
                <w:sz w:val="20"/>
                <w:szCs w:val="20"/>
              </w:rPr>
            </w:pPr>
            <w:r w:rsidRPr="00172374">
              <w:rPr>
                <w:sz w:val="20"/>
                <w:szCs w:val="20"/>
              </w:rPr>
              <w:t>3. BDIF</w:t>
            </w:r>
          </w:p>
        </w:tc>
        <w:tc>
          <w:tcPr>
            <w:tcW w:w="1134" w:type="dxa"/>
            <w:shd w:val="clear" w:color="auto" w:fill="auto"/>
          </w:tcPr>
          <w:p w14:paraId="37748F4E" w14:textId="77777777" w:rsidR="009D7D1A" w:rsidRPr="00172374" w:rsidRDefault="009D7D1A" w:rsidP="003238D0">
            <w:pPr>
              <w:jc w:val="center"/>
              <w:rPr>
                <w:sz w:val="20"/>
                <w:szCs w:val="20"/>
              </w:rPr>
            </w:pPr>
            <w:r w:rsidRPr="00172374">
              <w:rPr>
                <w:sz w:val="20"/>
                <w:szCs w:val="20"/>
              </w:rPr>
              <w:t>0.61</w:t>
            </w:r>
          </w:p>
        </w:tc>
        <w:tc>
          <w:tcPr>
            <w:tcW w:w="709" w:type="dxa"/>
            <w:shd w:val="clear" w:color="auto" w:fill="auto"/>
          </w:tcPr>
          <w:p w14:paraId="0DAA66B3" w14:textId="77777777" w:rsidR="009D7D1A" w:rsidRPr="00172374" w:rsidRDefault="00BB3577" w:rsidP="00960B25">
            <w:pPr>
              <w:rPr>
                <w:sz w:val="20"/>
                <w:szCs w:val="20"/>
              </w:rPr>
            </w:pPr>
            <w:r w:rsidRPr="00172374">
              <w:rPr>
                <w:sz w:val="20"/>
                <w:szCs w:val="20"/>
              </w:rPr>
              <w:t>0.43</w:t>
            </w:r>
          </w:p>
        </w:tc>
        <w:tc>
          <w:tcPr>
            <w:tcW w:w="709" w:type="dxa"/>
            <w:shd w:val="clear" w:color="auto" w:fill="auto"/>
          </w:tcPr>
          <w:p w14:paraId="5D329FD1" w14:textId="77777777" w:rsidR="009D7D1A" w:rsidRPr="00172374" w:rsidRDefault="00BB3577" w:rsidP="00960B25">
            <w:pPr>
              <w:rPr>
                <w:sz w:val="20"/>
                <w:szCs w:val="20"/>
              </w:rPr>
            </w:pPr>
            <w:r w:rsidRPr="00172374">
              <w:rPr>
                <w:sz w:val="20"/>
                <w:szCs w:val="20"/>
              </w:rPr>
              <w:t>0.52</w:t>
            </w:r>
          </w:p>
        </w:tc>
        <w:tc>
          <w:tcPr>
            <w:tcW w:w="709" w:type="dxa"/>
            <w:shd w:val="clear" w:color="auto" w:fill="auto"/>
          </w:tcPr>
          <w:p w14:paraId="7A29F701" w14:textId="77777777" w:rsidR="009D7D1A" w:rsidRPr="00172374" w:rsidRDefault="009D7D1A" w:rsidP="00960B25">
            <w:pPr>
              <w:rPr>
                <w:sz w:val="20"/>
                <w:szCs w:val="20"/>
              </w:rPr>
            </w:pPr>
          </w:p>
        </w:tc>
        <w:tc>
          <w:tcPr>
            <w:tcW w:w="708" w:type="dxa"/>
            <w:shd w:val="clear" w:color="auto" w:fill="auto"/>
          </w:tcPr>
          <w:p w14:paraId="36F5D8A6" w14:textId="77777777" w:rsidR="009D7D1A" w:rsidRPr="00172374" w:rsidRDefault="009D7D1A" w:rsidP="00960B25">
            <w:pPr>
              <w:rPr>
                <w:sz w:val="20"/>
                <w:szCs w:val="20"/>
              </w:rPr>
            </w:pPr>
          </w:p>
        </w:tc>
      </w:tr>
      <w:tr w:rsidR="009D7D1A" w:rsidRPr="00172374" w14:paraId="1C3A26AD" w14:textId="77777777" w:rsidTr="003238D0">
        <w:trPr>
          <w:jc w:val="center"/>
        </w:trPr>
        <w:tc>
          <w:tcPr>
            <w:tcW w:w="2268" w:type="dxa"/>
            <w:shd w:val="clear" w:color="auto" w:fill="auto"/>
          </w:tcPr>
          <w:p w14:paraId="61DE7BBB" w14:textId="77777777" w:rsidR="009D7D1A" w:rsidRPr="00172374" w:rsidRDefault="009D7D1A" w:rsidP="00960B25">
            <w:pPr>
              <w:rPr>
                <w:sz w:val="20"/>
                <w:szCs w:val="20"/>
              </w:rPr>
            </w:pPr>
            <w:r w:rsidRPr="00172374">
              <w:rPr>
                <w:sz w:val="20"/>
                <w:szCs w:val="20"/>
              </w:rPr>
              <w:t>4. BINT</w:t>
            </w:r>
          </w:p>
        </w:tc>
        <w:tc>
          <w:tcPr>
            <w:tcW w:w="1134" w:type="dxa"/>
            <w:shd w:val="clear" w:color="auto" w:fill="auto"/>
          </w:tcPr>
          <w:p w14:paraId="2F3DA34E" w14:textId="77777777" w:rsidR="009D7D1A" w:rsidRPr="00172374" w:rsidRDefault="009D7D1A" w:rsidP="003238D0">
            <w:pPr>
              <w:jc w:val="center"/>
              <w:rPr>
                <w:sz w:val="20"/>
                <w:szCs w:val="20"/>
              </w:rPr>
            </w:pPr>
            <w:r w:rsidRPr="00172374">
              <w:rPr>
                <w:sz w:val="20"/>
                <w:szCs w:val="20"/>
              </w:rPr>
              <w:t>0.67</w:t>
            </w:r>
          </w:p>
        </w:tc>
        <w:tc>
          <w:tcPr>
            <w:tcW w:w="709" w:type="dxa"/>
            <w:shd w:val="clear" w:color="auto" w:fill="auto"/>
          </w:tcPr>
          <w:p w14:paraId="6AAEB02A" w14:textId="77777777" w:rsidR="009D7D1A" w:rsidRPr="00172374" w:rsidRDefault="00BB3577" w:rsidP="00960B25">
            <w:pPr>
              <w:rPr>
                <w:sz w:val="20"/>
                <w:szCs w:val="20"/>
              </w:rPr>
            </w:pPr>
            <w:r w:rsidRPr="00172374">
              <w:rPr>
                <w:sz w:val="20"/>
                <w:szCs w:val="20"/>
              </w:rPr>
              <w:t>0.15</w:t>
            </w:r>
          </w:p>
        </w:tc>
        <w:tc>
          <w:tcPr>
            <w:tcW w:w="709" w:type="dxa"/>
            <w:shd w:val="clear" w:color="auto" w:fill="auto"/>
          </w:tcPr>
          <w:p w14:paraId="4AA92A60" w14:textId="77777777" w:rsidR="009D7D1A" w:rsidRPr="00172374" w:rsidRDefault="00BB3577" w:rsidP="00960B25">
            <w:pPr>
              <w:rPr>
                <w:sz w:val="20"/>
                <w:szCs w:val="20"/>
              </w:rPr>
            </w:pPr>
            <w:r w:rsidRPr="00172374">
              <w:rPr>
                <w:sz w:val="20"/>
                <w:szCs w:val="20"/>
              </w:rPr>
              <w:t>0.24</w:t>
            </w:r>
          </w:p>
        </w:tc>
        <w:tc>
          <w:tcPr>
            <w:tcW w:w="709" w:type="dxa"/>
            <w:shd w:val="clear" w:color="auto" w:fill="auto"/>
          </w:tcPr>
          <w:p w14:paraId="56CB8D06" w14:textId="77777777" w:rsidR="009D7D1A" w:rsidRPr="00172374" w:rsidRDefault="00BB3577" w:rsidP="00960B25">
            <w:pPr>
              <w:rPr>
                <w:sz w:val="20"/>
                <w:szCs w:val="20"/>
              </w:rPr>
            </w:pPr>
            <w:r w:rsidRPr="00172374">
              <w:rPr>
                <w:sz w:val="20"/>
                <w:szCs w:val="20"/>
              </w:rPr>
              <w:t>0.21</w:t>
            </w:r>
          </w:p>
        </w:tc>
        <w:tc>
          <w:tcPr>
            <w:tcW w:w="708" w:type="dxa"/>
            <w:shd w:val="clear" w:color="auto" w:fill="auto"/>
          </w:tcPr>
          <w:p w14:paraId="59EE0B73" w14:textId="77777777" w:rsidR="009D7D1A" w:rsidRPr="00172374" w:rsidRDefault="009D7D1A" w:rsidP="00960B25">
            <w:pPr>
              <w:rPr>
                <w:sz w:val="20"/>
                <w:szCs w:val="20"/>
              </w:rPr>
            </w:pPr>
          </w:p>
        </w:tc>
      </w:tr>
      <w:tr w:rsidR="00A71E88" w:rsidRPr="00172374" w14:paraId="6B16F971" w14:textId="77777777" w:rsidTr="003238D0">
        <w:trPr>
          <w:jc w:val="center"/>
        </w:trPr>
        <w:tc>
          <w:tcPr>
            <w:tcW w:w="2268" w:type="dxa"/>
            <w:shd w:val="clear" w:color="auto" w:fill="auto"/>
          </w:tcPr>
          <w:p w14:paraId="7DEA83E6" w14:textId="77777777" w:rsidR="00A71E88" w:rsidRPr="00172374" w:rsidRDefault="00A71E88" w:rsidP="00960B25">
            <w:pPr>
              <w:rPr>
                <w:sz w:val="20"/>
                <w:szCs w:val="20"/>
              </w:rPr>
            </w:pPr>
            <w:r w:rsidRPr="00172374">
              <w:rPr>
                <w:sz w:val="20"/>
                <w:szCs w:val="20"/>
              </w:rPr>
              <w:t>5. MKTDP</w:t>
            </w:r>
          </w:p>
        </w:tc>
        <w:tc>
          <w:tcPr>
            <w:tcW w:w="1134" w:type="dxa"/>
            <w:shd w:val="clear" w:color="auto" w:fill="auto"/>
          </w:tcPr>
          <w:p w14:paraId="28D31295" w14:textId="77777777" w:rsidR="00A71E88" w:rsidRPr="00172374" w:rsidRDefault="00BB7E75" w:rsidP="003238D0">
            <w:pPr>
              <w:jc w:val="center"/>
              <w:rPr>
                <w:sz w:val="20"/>
                <w:szCs w:val="20"/>
              </w:rPr>
            </w:pPr>
            <w:r w:rsidRPr="00172374">
              <w:rPr>
                <w:sz w:val="20"/>
                <w:szCs w:val="20"/>
              </w:rPr>
              <w:t>0.62</w:t>
            </w:r>
          </w:p>
        </w:tc>
        <w:tc>
          <w:tcPr>
            <w:tcW w:w="709" w:type="dxa"/>
            <w:shd w:val="clear" w:color="auto" w:fill="auto"/>
          </w:tcPr>
          <w:p w14:paraId="447C93B4" w14:textId="77777777" w:rsidR="00A71E88" w:rsidRPr="00172374" w:rsidRDefault="00BB3577" w:rsidP="00960B25">
            <w:pPr>
              <w:rPr>
                <w:sz w:val="20"/>
                <w:szCs w:val="20"/>
              </w:rPr>
            </w:pPr>
            <w:r w:rsidRPr="00172374">
              <w:rPr>
                <w:sz w:val="20"/>
                <w:szCs w:val="20"/>
              </w:rPr>
              <w:t>0.16</w:t>
            </w:r>
          </w:p>
        </w:tc>
        <w:tc>
          <w:tcPr>
            <w:tcW w:w="709" w:type="dxa"/>
            <w:shd w:val="clear" w:color="auto" w:fill="auto"/>
          </w:tcPr>
          <w:p w14:paraId="7A3B355B" w14:textId="77777777" w:rsidR="00A71E88" w:rsidRPr="00172374" w:rsidRDefault="00BB3577" w:rsidP="00960B25">
            <w:pPr>
              <w:rPr>
                <w:sz w:val="20"/>
                <w:szCs w:val="20"/>
              </w:rPr>
            </w:pPr>
            <w:r w:rsidRPr="00172374">
              <w:rPr>
                <w:sz w:val="20"/>
                <w:szCs w:val="20"/>
              </w:rPr>
              <w:t>0.18</w:t>
            </w:r>
          </w:p>
        </w:tc>
        <w:tc>
          <w:tcPr>
            <w:tcW w:w="709" w:type="dxa"/>
            <w:shd w:val="clear" w:color="auto" w:fill="auto"/>
          </w:tcPr>
          <w:p w14:paraId="4C7AE383" w14:textId="77777777" w:rsidR="00A71E88" w:rsidRPr="00172374" w:rsidRDefault="00BB3577" w:rsidP="00960B25">
            <w:pPr>
              <w:rPr>
                <w:sz w:val="20"/>
                <w:szCs w:val="20"/>
              </w:rPr>
            </w:pPr>
            <w:r w:rsidRPr="00172374">
              <w:rPr>
                <w:sz w:val="20"/>
                <w:szCs w:val="20"/>
              </w:rPr>
              <w:t>0.25</w:t>
            </w:r>
          </w:p>
        </w:tc>
        <w:tc>
          <w:tcPr>
            <w:tcW w:w="708" w:type="dxa"/>
            <w:shd w:val="clear" w:color="auto" w:fill="auto"/>
          </w:tcPr>
          <w:p w14:paraId="2176F162" w14:textId="77777777" w:rsidR="00A71E88" w:rsidRPr="00172374" w:rsidRDefault="00BB3577" w:rsidP="00960B25">
            <w:pPr>
              <w:rPr>
                <w:sz w:val="20"/>
                <w:szCs w:val="20"/>
              </w:rPr>
            </w:pPr>
            <w:r w:rsidRPr="00172374">
              <w:rPr>
                <w:sz w:val="20"/>
                <w:szCs w:val="20"/>
              </w:rPr>
              <w:t>0.18</w:t>
            </w:r>
          </w:p>
        </w:tc>
      </w:tr>
      <w:tr w:rsidR="009D7D1A" w:rsidRPr="00172374" w14:paraId="6A9694B5" w14:textId="77777777" w:rsidTr="003238D0">
        <w:trPr>
          <w:jc w:val="center"/>
        </w:trPr>
        <w:tc>
          <w:tcPr>
            <w:tcW w:w="2268" w:type="dxa"/>
            <w:shd w:val="clear" w:color="auto" w:fill="auto"/>
          </w:tcPr>
          <w:p w14:paraId="6B6C50C5" w14:textId="77777777" w:rsidR="009D7D1A" w:rsidRPr="00172374" w:rsidRDefault="009D7D1A" w:rsidP="00960B25">
            <w:pPr>
              <w:rPr>
                <w:sz w:val="20"/>
                <w:szCs w:val="20"/>
              </w:rPr>
            </w:pPr>
            <w:r w:rsidRPr="00172374">
              <w:rPr>
                <w:sz w:val="20"/>
                <w:szCs w:val="20"/>
              </w:rPr>
              <w:t>5. CUSTOR</w:t>
            </w:r>
          </w:p>
        </w:tc>
        <w:tc>
          <w:tcPr>
            <w:tcW w:w="1134" w:type="dxa"/>
            <w:shd w:val="clear" w:color="auto" w:fill="auto"/>
          </w:tcPr>
          <w:p w14:paraId="356384FC" w14:textId="77777777" w:rsidR="009D7D1A" w:rsidRPr="00172374" w:rsidRDefault="009D7D1A" w:rsidP="003238D0">
            <w:pPr>
              <w:jc w:val="center"/>
              <w:rPr>
                <w:sz w:val="20"/>
                <w:szCs w:val="20"/>
              </w:rPr>
            </w:pPr>
            <w:r w:rsidRPr="00172374">
              <w:rPr>
                <w:sz w:val="20"/>
                <w:szCs w:val="20"/>
              </w:rPr>
              <w:t>0.64</w:t>
            </w:r>
          </w:p>
        </w:tc>
        <w:tc>
          <w:tcPr>
            <w:tcW w:w="709" w:type="dxa"/>
            <w:shd w:val="clear" w:color="auto" w:fill="auto"/>
          </w:tcPr>
          <w:p w14:paraId="45F19548" w14:textId="77777777" w:rsidR="009D7D1A" w:rsidRPr="00172374" w:rsidRDefault="00BB3577" w:rsidP="00960B25">
            <w:pPr>
              <w:rPr>
                <w:sz w:val="20"/>
                <w:szCs w:val="20"/>
              </w:rPr>
            </w:pPr>
            <w:r w:rsidRPr="00172374">
              <w:rPr>
                <w:sz w:val="20"/>
                <w:szCs w:val="20"/>
              </w:rPr>
              <w:t>0.31</w:t>
            </w:r>
          </w:p>
        </w:tc>
        <w:tc>
          <w:tcPr>
            <w:tcW w:w="709" w:type="dxa"/>
            <w:shd w:val="clear" w:color="auto" w:fill="auto"/>
          </w:tcPr>
          <w:p w14:paraId="5FF8CDE9" w14:textId="77777777" w:rsidR="009D7D1A" w:rsidRPr="00172374" w:rsidRDefault="00BB3577" w:rsidP="00960B25">
            <w:pPr>
              <w:rPr>
                <w:sz w:val="20"/>
                <w:szCs w:val="20"/>
              </w:rPr>
            </w:pPr>
            <w:r w:rsidRPr="00172374">
              <w:rPr>
                <w:sz w:val="20"/>
                <w:szCs w:val="20"/>
              </w:rPr>
              <w:t>0.50</w:t>
            </w:r>
          </w:p>
        </w:tc>
        <w:tc>
          <w:tcPr>
            <w:tcW w:w="709" w:type="dxa"/>
            <w:shd w:val="clear" w:color="auto" w:fill="auto"/>
          </w:tcPr>
          <w:p w14:paraId="67004CEB" w14:textId="77777777" w:rsidR="009D7D1A" w:rsidRPr="00172374" w:rsidRDefault="00BB3577" w:rsidP="00960B25">
            <w:pPr>
              <w:rPr>
                <w:sz w:val="20"/>
                <w:szCs w:val="20"/>
              </w:rPr>
            </w:pPr>
            <w:r w:rsidRPr="00172374">
              <w:rPr>
                <w:sz w:val="20"/>
                <w:szCs w:val="20"/>
              </w:rPr>
              <w:t>0.37</w:t>
            </w:r>
          </w:p>
        </w:tc>
        <w:tc>
          <w:tcPr>
            <w:tcW w:w="708" w:type="dxa"/>
            <w:shd w:val="clear" w:color="auto" w:fill="auto"/>
          </w:tcPr>
          <w:p w14:paraId="1193B515" w14:textId="77777777" w:rsidR="009D7D1A" w:rsidRPr="00172374" w:rsidRDefault="00BB3577" w:rsidP="00960B25">
            <w:pPr>
              <w:rPr>
                <w:sz w:val="20"/>
                <w:szCs w:val="20"/>
              </w:rPr>
            </w:pPr>
            <w:r w:rsidRPr="00172374">
              <w:rPr>
                <w:sz w:val="20"/>
                <w:szCs w:val="20"/>
              </w:rPr>
              <w:t>0.11</w:t>
            </w:r>
          </w:p>
        </w:tc>
      </w:tr>
      <w:tr w:rsidR="009D7D1A" w:rsidRPr="00172374" w14:paraId="4436EE0C" w14:textId="77777777" w:rsidTr="003238D0">
        <w:trPr>
          <w:jc w:val="center"/>
        </w:trPr>
        <w:tc>
          <w:tcPr>
            <w:tcW w:w="2268" w:type="dxa"/>
            <w:shd w:val="clear" w:color="auto" w:fill="auto"/>
          </w:tcPr>
          <w:p w14:paraId="2DD3D8CB" w14:textId="77777777" w:rsidR="009D7D1A" w:rsidRPr="00172374" w:rsidRDefault="009D7D1A" w:rsidP="00960B25">
            <w:pPr>
              <w:rPr>
                <w:sz w:val="20"/>
                <w:szCs w:val="20"/>
              </w:rPr>
            </w:pPr>
            <w:r w:rsidRPr="00172374">
              <w:rPr>
                <w:sz w:val="20"/>
                <w:szCs w:val="20"/>
              </w:rPr>
              <w:t>6. COMPOR</w:t>
            </w:r>
          </w:p>
        </w:tc>
        <w:tc>
          <w:tcPr>
            <w:tcW w:w="1134" w:type="dxa"/>
            <w:shd w:val="clear" w:color="auto" w:fill="auto"/>
          </w:tcPr>
          <w:p w14:paraId="3330B2F2" w14:textId="77777777" w:rsidR="009D7D1A" w:rsidRPr="00172374" w:rsidRDefault="009D7D1A" w:rsidP="003238D0">
            <w:pPr>
              <w:jc w:val="center"/>
              <w:rPr>
                <w:sz w:val="20"/>
                <w:szCs w:val="20"/>
              </w:rPr>
            </w:pPr>
            <w:r w:rsidRPr="00172374">
              <w:rPr>
                <w:sz w:val="20"/>
                <w:szCs w:val="20"/>
              </w:rPr>
              <w:t>0.59</w:t>
            </w:r>
          </w:p>
        </w:tc>
        <w:tc>
          <w:tcPr>
            <w:tcW w:w="709" w:type="dxa"/>
            <w:shd w:val="clear" w:color="auto" w:fill="auto"/>
          </w:tcPr>
          <w:p w14:paraId="6E4DC787" w14:textId="77777777" w:rsidR="009D7D1A" w:rsidRPr="00172374" w:rsidRDefault="00BB3577" w:rsidP="00960B25">
            <w:pPr>
              <w:rPr>
                <w:sz w:val="20"/>
                <w:szCs w:val="20"/>
              </w:rPr>
            </w:pPr>
            <w:r w:rsidRPr="00172374">
              <w:rPr>
                <w:sz w:val="20"/>
                <w:szCs w:val="20"/>
              </w:rPr>
              <w:t>0.32</w:t>
            </w:r>
          </w:p>
        </w:tc>
        <w:tc>
          <w:tcPr>
            <w:tcW w:w="709" w:type="dxa"/>
            <w:shd w:val="clear" w:color="auto" w:fill="auto"/>
          </w:tcPr>
          <w:p w14:paraId="38EC692D" w14:textId="77777777" w:rsidR="009D7D1A" w:rsidRPr="00172374" w:rsidRDefault="00BB3577" w:rsidP="00960B25">
            <w:pPr>
              <w:rPr>
                <w:sz w:val="20"/>
                <w:szCs w:val="20"/>
              </w:rPr>
            </w:pPr>
            <w:r w:rsidRPr="00172374">
              <w:rPr>
                <w:sz w:val="20"/>
                <w:szCs w:val="20"/>
              </w:rPr>
              <w:t>0.47</w:t>
            </w:r>
          </w:p>
        </w:tc>
        <w:tc>
          <w:tcPr>
            <w:tcW w:w="709" w:type="dxa"/>
            <w:shd w:val="clear" w:color="auto" w:fill="auto"/>
          </w:tcPr>
          <w:p w14:paraId="608BA2CF" w14:textId="77777777" w:rsidR="009D7D1A" w:rsidRPr="00172374" w:rsidRDefault="00BB3577" w:rsidP="00960B25">
            <w:pPr>
              <w:rPr>
                <w:sz w:val="20"/>
                <w:szCs w:val="20"/>
              </w:rPr>
            </w:pPr>
            <w:r w:rsidRPr="00172374">
              <w:rPr>
                <w:sz w:val="20"/>
                <w:szCs w:val="20"/>
              </w:rPr>
              <w:t>0.34</w:t>
            </w:r>
          </w:p>
        </w:tc>
        <w:tc>
          <w:tcPr>
            <w:tcW w:w="708" w:type="dxa"/>
            <w:shd w:val="clear" w:color="auto" w:fill="auto"/>
          </w:tcPr>
          <w:p w14:paraId="67F1D9A1" w14:textId="77777777" w:rsidR="009D7D1A" w:rsidRPr="00172374" w:rsidRDefault="00BB3577" w:rsidP="00960B25">
            <w:pPr>
              <w:rPr>
                <w:sz w:val="20"/>
                <w:szCs w:val="20"/>
              </w:rPr>
            </w:pPr>
            <w:r w:rsidRPr="00172374">
              <w:rPr>
                <w:sz w:val="20"/>
                <w:szCs w:val="20"/>
              </w:rPr>
              <w:t>0.27</w:t>
            </w:r>
          </w:p>
        </w:tc>
      </w:tr>
      <w:tr w:rsidR="009D7D1A" w:rsidRPr="00172374" w14:paraId="31850DD8" w14:textId="77777777" w:rsidTr="003238D0">
        <w:trPr>
          <w:jc w:val="center"/>
        </w:trPr>
        <w:tc>
          <w:tcPr>
            <w:tcW w:w="2268" w:type="dxa"/>
            <w:shd w:val="clear" w:color="auto" w:fill="auto"/>
          </w:tcPr>
          <w:p w14:paraId="0A57262B" w14:textId="77777777" w:rsidR="009D7D1A" w:rsidRPr="00172374" w:rsidRDefault="009D7D1A" w:rsidP="00960B25">
            <w:pPr>
              <w:rPr>
                <w:sz w:val="20"/>
                <w:szCs w:val="20"/>
              </w:rPr>
            </w:pPr>
            <w:r w:rsidRPr="00172374">
              <w:rPr>
                <w:sz w:val="20"/>
                <w:szCs w:val="20"/>
              </w:rPr>
              <w:t>7.INTCO</w:t>
            </w:r>
          </w:p>
        </w:tc>
        <w:tc>
          <w:tcPr>
            <w:tcW w:w="1134" w:type="dxa"/>
            <w:shd w:val="clear" w:color="auto" w:fill="auto"/>
          </w:tcPr>
          <w:p w14:paraId="4C5FF100" w14:textId="77777777" w:rsidR="009D7D1A" w:rsidRPr="00172374" w:rsidRDefault="009D7D1A" w:rsidP="003238D0">
            <w:pPr>
              <w:jc w:val="center"/>
              <w:rPr>
                <w:sz w:val="20"/>
                <w:szCs w:val="20"/>
              </w:rPr>
            </w:pPr>
            <w:r w:rsidRPr="00172374">
              <w:rPr>
                <w:sz w:val="20"/>
                <w:szCs w:val="20"/>
              </w:rPr>
              <w:t>0.69</w:t>
            </w:r>
          </w:p>
        </w:tc>
        <w:tc>
          <w:tcPr>
            <w:tcW w:w="709" w:type="dxa"/>
            <w:shd w:val="clear" w:color="auto" w:fill="auto"/>
          </w:tcPr>
          <w:p w14:paraId="17AD5B61" w14:textId="77777777" w:rsidR="009D7D1A" w:rsidRPr="00172374" w:rsidRDefault="00BB3577" w:rsidP="00960B25">
            <w:pPr>
              <w:rPr>
                <w:sz w:val="20"/>
                <w:szCs w:val="20"/>
              </w:rPr>
            </w:pPr>
            <w:r w:rsidRPr="00172374">
              <w:rPr>
                <w:sz w:val="20"/>
                <w:szCs w:val="20"/>
              </w:rPr>
              <w:t>0.29</w:t>
            </w:r>
          </w:p>
        </w:tc>
        <w:tc>
          <w:tcPr>
            <w:tcW w:w="709" w:type="dxa"/>
            <w:shd w:val="clear" w:color="auto" w:fill="auto"/>
          </w:tcPr>
          <w:p w14:paraId="70974B90" w14:textId="77777777" w:rsidR="009D7D1A" w:rsidRPr="00172374" w:rsidRDefault="00BB3577" w:rsidP="00960B25">
            <w:pPr>
              <w:rPr>
                <w:sz w:val="20"/>
                <w:szCs w:val="20"/>
              </w:rPr>
            </w:pPr>
            <w:r w:rsidRPr="00172374">
              <w:rPr>
                <w:sz w:val="20"/>
                <w:szCs w:val="20"/>
              </w:rPr>
              <w:t>0.46</w:t>
            </w:r>
          </w:p>
        </w:tc>
        <w:tc>
          <w:tcPr>
            <w:tcW w:w="709" w:type="dxa"/>
            <w:shd w:val="clear" w:color="auto" w:fill="auto"/>
          </w:tcPr>
          <w:p w14:paraId="773ABD68" w14:textId="77777777" w:rsidR="009D7D1A" w:rsidRPr="00172374" w:rsidRDefault="00BB3577" w:rsidP="00960B25">
            <w:pPr>
              <w:rPr>
                <w:sz w:val="20"/>
                <w:szCs w:val="20"/>
              </w:rPr>
            </w:pPr>
            <w:r w:rsidRPr="00172374">
              <w:rPr>
                <w:sz w:val="20"/>
                <w:szCs w:val="20"/>
              </w:rPr>
              <w:t>0.44</w:t>
            </w:r>
          </w:p>
        </w:tc>
        <w:tc>
          <w:tcPr>
            <w:tcW w:w="708" w:type="dxa"/>
            <w:shd w:val="clear" w:color="auto" w:fill="auto"/>
          </w:tcPr>
          <w:p w14:paraId="238146C7" w14:textId="77777777" w:rsidR="009D7D1A" w:rsidRPr="00172374" w:rsidRDefault="00BB3577" w:rsidP="00960B25">
            <w:pPr>
              <w:rPr>
                <w:sz w:val="20"/>
                <w:szCs w:val="20"/>
              </w:rPr>
            </w:pPr>
            <w:r w:rsidRPr="00172374">
              <w:rPr>
                <w:sz w:val="20"/>
                <w:szCs w:val="20"/>
              </w:rPr>
              <w:t>0.21</w:t>
            </w:r>
          </w:p>
        </w:tc>
      </w:tr>
      <w:tr w:rsidR="009D7D1A" w:rsidRPr="00172374" w14:paraId="69E108E1" w14:textId="77777777" w:rsidTr="003238D0">
        <w:trPr>
          <w:jc w:val="center"/>
        </w:trPr>
        <w:tc>
          <w:tcPr>
            <w:tcW w:w="2268" w:type="dxa"/>
            <w:shd w:val="clear" w:color="auto" w:fill="auto"/>
          </w:tcPr>
          <w:p w14:paraId="5870F13B" w14:textId="77777777" w:rsidR="009D7D1A" w:rsidRPr="00172374" w:rsidRDefault="009D7D1A" w:rsidP="00960B25">
            <w:pPr>
              <w:rPr>
                <w:sz w:val="20"/>
                <w:szCs w:val="20"/>
              </w:rPr>
            </w:pPr>
            <w:r w:rsidRPr="00172374">
              <w:rPr>
                <w:sz w:val="20"/>
                <w:szCs w:val="20"/>
              </w:rPr>
              <w:t>8. FP</w:t>
            </w:r>
          </w:p>
        </w:tc>
        <w:tc>
          <w:tcPr>
            <w:tcW w:w="1134" w:type="dxa"/>
            <w:shd w:val="clear" w:color="auto" w:fill="auto"/>
          </w:tcPr>
          <w:p w14:paraId="7FE3557F" w14:textId="77777777" w:rsidR="009D7D1A" w:rsidRPr="00172374" w:rsidRDefault="009D7D1A" w:rsidP="003238D0">
            <w:pPr>
              <w:jc w:val="center"/>
              <w:rPr>
                <w:sz w:val="20"/>
                <w:szCs w:val="20"/>
              </w:rPr>
            </w:pPr>
            <w:r w:rsidRPr="00172374">
              <w:rPr>
                <w:sz w:val="20"/>
                <w:szCs w:val="20"/>
              </w:rPr>
              <w:t>0.70</w:t>
            </w:r>
          </w:p>
        </w:tc>
        <w:tc>
          <w:tcPr>
            <w:tcW w:w="709" w:type="dxa"/>
            <w:shd w:val="clear" w:color="auto" w:fill="auto"/>
          </w:tcPr>
          <w:p w14:paraId="4F53ED03" w14:textId="77777777" w:rsidR="009D7D1A" w:rsidRPr="00172374" w:rsidRDefault="00BB3577" w:rsidP="00960B25">
            <w:pPr>
              <w:rPr>
                <w:sz w:val="20"/>
                <w:szCs w:val="20"/>
              </w:rPr>
            </w:pPr>
            <w:r w:rsidRPr="00172374">
              <w:rPr>
                <w:sz w:val="20"/>
                <w:szCs w:val="20"/>
              </w:rPr>
              <w:t>0.20</w:t>
            </w:r>
          </w:p>
        </w:tc>
        <w:tc>
          <w:tcPr>
            <w:tcW w:w="709" w:type="dxa"/>
            <w:shd w:val="clear" w:color="auto" w:fill="auto"/>
          </w:tcPr>
          <w:p w14:paraId="61B859F0" w14:textId="77777777" w:rsidR="009D7D1A" w:rsidRPr="00172374" w:rsidRDefault="00BB3577" w:rsidP="00960B25">
            <w:pPr>
              <w:rPr>
                <w:sz w:val="20"/>
                <w:szCs w:val="20"/>
              </w:rPr>
            </w:pPr>
            <w:r w:rsidRPr="00172374">
              <w:rPr>
                <w:sz w:val="20"/>
                <w:szCs w:val="20"/>
              </w:rPr>
              <w:t>0.19</w:t>
            </w:r>
          </w:p>
        </w:tc>
        <w:tc>
          <w:tcPr>
            <w:tcW w:w="709" w:type="dxa"/>
            <w:shd w:val="clear" w:color="auto" w:fill="auto"/>
          </w:tcPr>
          <w:p w14:paraId="785F41D2" w14:textId="77777777" w:rsidR="009D7D1A" w:rsidRPr="00172374" w:rsidRDefault="00BB3577" w:rsidP="00960B25">
            <w:pPr>
              <w:rPr>
                <w:sz w:val="20"/>
                <w:szCs w:val="20"/>
              </w:rPr>
            </w:pPr>
            <w:r w:rsidRPr="00172374">
              <w:rPr>
                <w:sz w:val="20"/>
                <w:szCs w:val="20"/>
              </w:rPr>
              <w:t>0.21</w:t>
            </w:r>
          </w:p>
        </w:tc>
        <w:tc>
          <w:tcPr>
            <w:tcW w:w="708" w:type="dxa"/>
            <w:shd w:val="clear" w:color="auto" w:fill="auto"/>
          </w:tcPr>
          <w:p w14:paraId="796D1C3B" w14:textId="77777777" w:rsidR="009D7D1A" w:rsidRPr="00172374" w:rsidRDefault="00BB3577" w:rsidP="00960B25">
            <w:pPr>
              <w:rPr>
                <w:sz w:val="20"/>
                <w:szCs w:val="20"/>
              </w:rPr>
            </w:pPr>
            <w:r w:rsidRPr="00172374">
              <w:rPr>
                <w:sz w:val="20"/>
                <w:szCs w:val="20"/>
              </w:rPr>
              <w:t>0.07</w:t>
            </w:r>
          </w:p>
        </w:tc>
      </w:tr>
      <w:tr w:rsidR="009D7D1A" w:rsidRPr="00172374" w14:paraId="6765AF6B" w14:textId="77777777" w:rsidTr="003238D0">
        <w:trPr>
          <w:jc w:val="center"/>
        </w:trPr>
        <w:tc>
          <w:tcPr>
            <w:tcW w:w="2268" w:type="dxa"/>
            <w:shd w:val="clear" w:color="auto" w:fill="auto"/>
          </w:tcPr>
          <w:p w14:paraId="791E8CE8" w14:textId="77777777" w:rsidR="009D7D1A" w:rsidRPr="00172374" w:rsidRDefault="009D7D1A" w:rsidP="00960B25">
            <w:pPr>
              <w:rPr>
                <w:sz w:val="10"/>
                <w:szCs w:val="10"/>
              </w:rPr>
            </w:pPr>
          </w:p>
        </w:tc>
        <w:tc>
          <w:tcPr>
            <w:tcW w:w="1134" w:type="dxa"/>
            <w:shd w:val="clear" w:color="auto" w:fill="auto"/>
          </w:tcPr>
          <w:p w14:paraId="24109313" w14:textId="77777777" w:rsidR="009D7D1A" w:rsidRPr="00172374" w:rsidRDefault="009D7D1A" w:rsidP="00960B25">
            <w:pPr>
              <w:rPr>
                <w:sz w:val="10"/>
                <w:szCs w:val="10"/>
              </w:rPr>
            </w:pPr>
          </w:p>
        </w:tc>
        <w:tc>
          <w:tcPr>
            <w:tcW w:w="709" w:type="dxa"/>
            <w:shd w:val="clear" w:color="auto" w:fill="auto"/>
          </w:tcPr>
          <w:p w14:paraId="2AE6FDDF" w14:textId="77777777" w:rsidR="009D7D1A" w:rsidRPr="00172374" w:rsidRDefault="009D7D1A" w:rsidP="00960B25">
            <w:pPr>
              <w:rPr>
                <w:sz w:val="10"/>
                <w:szCs w:val="10"/>
              </w:rPr>
            </w:pPr>
          </w:p>
        </w:tc>
        <w:tc>
          <w:tcPr>
            <w:tcW w:w="709" w:type="dxa"/>
            <w:shd w:val="clear" w:color="auto" w:fill="auto"/>
          </w:tcPr>
          <w:p w14:paraId="7AA60FCD" w14:textId="77777777" w:rsidR="009D7D1A" w:rsidRPr="00172374" w:rsidRDefault="009D7D1A" w:rsidP="00960B25">
            <w:pPr>
              <w:rPr>
                <w:sz w:val="10"/>
                <w:szCs w:val="10"/>
              </w:rPr>
            </w:pPr>
          </w:p>
        </w:tc>
        <w:tc>
          <w:tcPr>
            <w:tcW w:w="709" w:type="dxa"/>
            <w:shd w:val="clear" w:color="auto" w:fill="auto"/>
          </w:tcPr>
          <w:p w14:paraId="4FB929BA" w14:textId="77777777" w:rsidR="009D7D1A" w:rsidRPr="00172374" w:rsidRDefault="009D7D1A" w:rsidP="00960B25">
            <w:pPr>
              <w:rPr>
                <w:sz w:val="10"/>
                <w:szCs w:val="10"/>
              </w:rPr>
            </w:pPr>
          </w:p>
        </w:tc>
        <w:tc>
          <w:tcPr>
            <w:tcW w:w="708" w:type="dxa"/>
            <w:shd w:val="clear" w:color="auto" w:fill="auto"/>
          </w:tcPr>
          <w:p w14:paraId="0D82A0F6" w14:textId="77777777" w:rsidR="009D7D1A" w:rsidRPr="00172374" w:rsidRDefault="009D7D1A" w:rsidP="00960B25">
            <w:pPr>
              <w:rPr>
                <w:sz w:val="10"/>
                <w:szCs w:val="10"/>
              </w:rPr>
            </w:pPr>
          </w:p>
        </w:tc>
      </w:tr>
      <w:tr w:rsidR="009D7D1A" w:rsidRPr="00172374" w14:paraId="28B081BD" w14:textId="77777777" w:rsidTr="007A0AEE">
        <w:trPr>
          <w:jc w:val="center"/>
        </w:trPr>
        <w:tc>
          <w:tcPr>
            <w:tcW w:w="2268" w:type="dxa"/>
            <w:shd w:val="clear" w:color="auto" w:fill="auto"/>
          </w:tcPr>
          <w:p w14:paraId="43078299" w14:textId="50AA748D" w:rsidR="009D7D1A" w:rsidRPr="00172374" w:rsidRDefault="009D7D1A" w:rsidP="00960B25">
            <w:pPr>
              <w:rPr>
                <w:i/>
                <w:sz w:val="20"/>
                <w:szCs w:val="20"/>
              </w:rPr>
            </w:pPr>
            <w:r w:rsidRPr="00172374">
              <w:rPr>
                <w:i/>
                <w:sz w:val="20"/>
                <w:szCs w:val="20"/>
              </w:rPr>
              <w:t xml:space="preserve">Fit </w:t>
            </w:r>
            <w:r w:rsidR="004A7F54" w:rsidRPr="00172374">
              <w:rPr>
                <w:i/>
                <w:sz w:val="20"/>
                <w:szCs w:val="20"/>
              </w:rPr>
              <w:t>s</w:t>
            </w:r>
            <w:r w:rsidRPr="00172374">
              <w:rPr>
                <w:i/>
                <w:sz w:val="20"/>
                <w:szCs w:val="20"/>
              </w:rPr>
              <w:t>tatistics</w:t>
            </w:r>
          </w:p>
        </w:tc>
        <w:tc>
          <w:tcPr>
            <w:tcW w:w="1134" w:type="dxa"/>
            <w:shd w:val="clear" w:color="auto" w:fill="auto"/>
          </w:tcPr>
          <w:p w14:paraId="122A028C" w14:textId="77777777" w:rsidR="009D7D1A" w:rsidRPr="00172374" w:rsidRDefault="009D7D1A" w:rsidP="00960B25">
            <w:pPr>
              <w:rPr>
                <w:sz w:val="20"/>
                <w:szCs w:val="20"/>
              </w:rPr>
            </w:pPr>
          </w:p>
        </w:tc>
        <w:tc>
          <w:tcPr>
            <w:tcW w:w="709" w:type="dxa"/>
            <w:shd w:val="clear" w:color="auto" w:fill="auto"/>
          </w:tcPr>
          <w:p w14:paraId="70B07BF7" w14:textId="77777777" w:rsidR="009D7D1A" w:rsidRPr="00172374" w:rsidRDefault="009D7D1A" w:rsidP="00960B25">
            <w:pPr>
              <w:rPr>
                <w:sz w:val="20"/>
                <w:szCs w:val="20"/>
              </w:rPr>
            </w:pPr>
          </w:p>
        </w:tc>
        <w:tc>
          <w:tcPr>
            <w:tcW w:w="709" w:type="dxa"/>
            <w:shd w:val="clear" w:color="auto" w:fill="auto"/>
          </w:tcPr>
          <w:p w14:paraId="3D909B08" w14:textId="77777777" w:rsidR="009D7D1A" w:rsidRPr="00172374" w:rsidRDefault="009D7D1A" w:rsidP="00960B25">
            <w:pPr>
              <w:rPr>
                <w:sz w:val="20"/>
                <w:szCs w:val="20"/>
              </w:rPr>
            </w:pPr>
          </w:p>
        </w:tc>
        <w:tc>
          <w:tcPr>
            <w:tcW w:w="709" w:type="dxa"/>
            <w:shd w:val="clear" w:color="auto" w:fill="auto"/>
          </w:tcPr>
          <w:p w14:paraId="6F9855C0" w14:textId="77777777" w:rsidR="009D7D1A" w:rsidRPr="00172374" w:rsidRDefault="009D7D1A" w:rsidP="00960B25">
            <w:pPr>
              <w:rPr>
                <w:sz w:val="20"/>
                <w:szCs w:val="20"/>
              </w:rPr>
            </w:pPr>
          </w:p>
        </w:tc>
        <w:tc>
          <w:tcPr>
            <w:tcW w:w="708" w:type="dxa"/>
            <w:shd w:val="clear" w:color="auto" w:fill="auto"/>
          </w:tcPr>
          <w:p w14:paraId="421E8A68" w14:textId="77777777" w:rsidR="009D7D1A" w:rsidRPr="00172374" w:rsidRDefault="009D7D1A" w:rsidP="00960B25">
            <w:pPr>
              <w:rPr>
                <w:sz w:val="20"/>
                <w:szCs w:val="20"/>
              </w:rPr>
            </w:pPr>
          </w:p>
        </w:tc>
      </w:tr>
      <w:tr w:rsidR="009D7D1A" w:rsidRPr="00172374" w14:paraId="124A94E5" w14:textId="77777777" w:rsidTr="007A0AEE">
        <w:trPr>
          <w:jc w:val="center"/>
        </w:trPr>
        <w:tc>
          <w:tcPr>
            <w:tcW w:w="6237" w:type="dxa"/>
            <w:gridSpan w:val="6"/>
            <w:tcBorders>
              <w:bottom w:val="single" w:sz="4" w:space="0" w:color="auto"/>
            </w:tcBorders>
            <w:shd w:val="clear" w:color="auto" w:fill="auto"/>
          </w:tcPr>
          <w:p w14:paraId="166DEDDA" w14:textId="323F4AD7" w:rsidR="009D7D1A" w:rsidRPr="00172374" w:rsidRDefault="009D7D1A" w:rsidP="007A0AEE">
            <w:pPr>
              <w:spacing w:after="60"/>
              <w:rPr>
                <w:sz w:val="20"/>
                <w:szCs w:val="20"/>
              </w:rPr>
            </w:pPr>
            <w:r w:rsidRPr="00172374">
              <w:rPr>
                <w:sz w:val="20"/>
                <w:szCs w:val="20"/>
              </w:rPr>
              <w:t>χ² = 1</w:t>
            </w:r>
            <w:r w:rsidR="00BB3577" w:rsidRPr="00172374">
              <w:rPr>
                <w:sz w:val="20"/>
                <w:szCs w:val="20"/>
              </w:rPr>
              <w:t>5</w:t>
            </w:r>
            <w:r w:rsidRPr="00172374">
              <w:rPr>
                <w:sz w:val="20"/>
                <w:szCs w:val="20"/>
              </w:rPr>
              <w:t>79.</w:t>
            </w:r>
            <w:r w:rsidR="00BB3577" w:rsidRPr="00172374">
              <w:rPr>
                <w:sz w:val="20"/>
                <w:szCs w:val="20"/>
              </w:rPr>
              <w:t>88</w:t>
            </w:r>
            <w:r w:rsidRPr="00172374">
              <w:rPr>
                <w:sz w:val="20"/>
                <w:szCs w:val="20"/>
              </w:rPr>
              <w:t xml:space="preserve">, </w:t>
            </w:r>
            <w:r w:rsidRPr="00172374">
              <w:rPr>
                <w:i/>
                <w:iCs/>
                <w:sz w:val="20"/>
                <w:szCs w:val="20"/>
              </w:rPr>
              <w:t>df</w:t>
            </w:r>
            <w:r w:rsidRPr="00172374">
              <w:rPr>
                <w:sz w:val="20"/>
                <w:szCs w:val="20"/>
              </w:rPr>
              <w:t xml:space="preserve"> = </w:t>
            </w:r>
            <w:r w:rsidR="00BB3577" w:rsidRPr="00172374">
              <w:rPr>
                <w:sz w:val="20"/>
                <w:szCs w:val="20"/>
              </w:rPr>
              <w:t>909</w:t>
            </w:r>
            <w:r w:rsidR="004A7F54" w:rsidRPr="00172374">
              <w:rPr>
                <w:sz w:val="20"/>
                <w:szCs w:val="20"/>
              </w:rPr>
              <w:t>;</w:t>
            </w:r>
            <w:r w:rsidRPr="00172374">
              <w:rPr>
                <w:sz w:val="20"/>
                <w:szCs w:val="20"/>
              </w:rPr>
              <w:t xml:space="preserve"> CFI = 0.93</w:t>
            </w:r>
            <w:r w:rsidR="004A7F54" w:rsidRPr="00172374">
              <w:rPr>
                <w:sz w:val="20"/>
                <w:szCs w:val="20"/>
              </w:rPr>
              <w:t>;</w:t>
            </w:r>
            <w:r w:rsidRPr="00172374">
              <w:rPr>
                <w:sz w:val="20"/>
                <w:szCs w:val="20"/>
              </w:rPr>
              <w:t xml:space="preserve"> RMSEA = 0.05</w:t>
            </w:r>
            <w:r w:rsidR="00BB3577" w:rsidRPr="00172374">
              <w:rPr>
                <w:sz w:val="20"/>
                <w:szCs w:val="20"/>
              </w:rPr>
              <w:t>6</w:t>
            </w:r>
            <w:r w:rsidR="004A7F54" w:rsidRPr="00172374">
              <w:rPr>
                <w:sz w:val="20"/>
                <w:szCs w:val="20"/>
              </w:rPr>
              <w:t>;</w:t>
            </w:r>
            <w:r w:rsidRPr="00172374">
              <w:rPr>
                <w:sz w:val="20"/>
                <w:szCs w:val="20"/>
              </w:rPr>
              <w:t xml:space="preserve"> SRMR = 0.06</w:t>
            </w:r>
            <w:r w:rsidR="00BB3577" w:rsidRPr="00172374">
              <w:rPr>
                <w:sz w:val="20"/>
                <w:szCs w:val="20"/>
              </w:rPr>
              <w:t>8</w:t>
            </w:r>
          </w:p>
        </w:tc>
      </w:tr>
      <w:tr w:rsidR="009D7D1A" w:rsidRPr="00172374" w14:paraId="513FD047" w14:textId="77777777" w:rsidTr="007A0AEE">
        <w:trPr>
          <w:jc w:val="center"/>
        </w:trPr>
        <w:tc>
          <w:tcPr>
            <w:tcW w:w="6237" w:type="dxa"/>
            <w:gridSpan w:val="6"/>
            <w:tcBorders>
              <w:top w:val="single" w:sz="4" w:space="0" w:color="auto"/>
            </w:tcBorders>
            <w:shd w:val="clear" w:color="auto" w:fill="auto"/>
          </w:tcPr>
          <w:p w14:paraId="523EE0B8" w14:textId="4126E183" w:rsidR="009D7D1A" w:rsidRPr="00172374" w:rsidRDefault="004A7F54" w:rsidP="00960B25">
            <w:pPr>
              <w:rPr>
                <w:sz w:val="20"/>
                <w:szCs w:val="20"/>
              </w:rPr>
            </w:pPr>
            <w:r w:rsidRPr="00172374">
              <w:rPr>
                <w:sz w:val="20"/>
                <w:szCs w:val="20"/>
              </w:rPr>
              <w:t>Notes</w:t>
            </w:r>
            <w:r w:rsidR="009D7D1A" w:rsidRPr="00172374">
              <w:rPr>
                <w:sz w:val="20"/>
                <w:szCs w:val="20"/>
              </w:rPr>
              <w:t xml:space="preserve">: </w:t>
            </w:r>
            <w:r w:rsidR="00A71E88" w:rsidRPr="00172374">
              <w:rPr>
                <w:sz w:val="20"/>
                <w:szCs w:val="20"/>
              </w:rPr>
              <w:t xml:space="preserve">MKTDP: Marketing department power, </w:t>
            </w:r>
            <w:r w:rsidR="009D7D1A" w:rsidRPr="00172374">
              <w:rPr>
                <w:sz w:val="20"/>
                <w:szCs w:val="20"/>
              </w:rPr>
              <w:t xml:space="preserve">CUSTOR: Customer orientation, COMPOR: Competitor orientation, INTCO: Inter-functional coordination, FP: Financial performance </w:t>
            </w:r>
          </w:p>
        </w:tc>
      </w:tr>
      <w:bookmarkEnd w:id="54"/>
    </w:tbl>
    <w:p w14:paraId="1826210B" w14:textId="77777777" w:rsidR="00B22AB4" w:rsidRPr="00172374" w:rsidRDefault="00B22AB4" w:rsidP="000D59B1">
      <w:pPr>
        <w:tabs>
          <w:tab w:val="left" w:pos="-284"/>
          <w:tab w:val="left" w:pos="0"/>
          <w:tab w:val="left" w:pos="142"/>
        </w:tabs>
        <w:spacing w:line="480" w:lineRule="auto"/>
        <w:ind w:hanging="360"/>
        <w:jc w:val="center"/>
      </w:pPr>
    </w:p>
    <w:p w14:paraId="09CE5008" w14:textId="77777777" w:rsidR="00CC3FC3" w:rsidRPr="00172374" w:rsidRDefault="00B22AB4" w:rsidP="000D59B1">
      <w:pPr>
        <w:spacing w:line="480" w:lineRule="auto"/>
      </w:pPr>
      <w:r w:rsidRPr="00172374">
        <w:br w:type="page"/>
      </w:r>
    </w:p>
    <w:tbl>
      <w:tblPr>
        <w:tblW w:w="9640" w:type="dxa"/>
        <w:tblInd w:w="-142" w:type="dxa"/>
        <w:tblLook w:val="04A0" w:firstRow="1" w:lastRow="0" w:firstColumn="1" w:lastColumn="0" w:noHBand="0" w:noVBand="1"/>
      </w:tblPr>
      <w:tblGrid>
        <w:gridCol w:w="4820"/>
        <w:gridCol w:w="2835"/>
        <w:gridCol w:w="1134"/>
        <w:gridCol w:w="851"/>
      </w:tblGrid>
      <w:tr w:rsidR="0030726B" w:rsidRPr="00172374" w14:paraId="4B9E0501" w14:textId="77777777" w:rsidTr="0030726B">
        <w:tc>
          <w:tcPr>
            <w:tcW w:w="7655" w:type="dxa"/>
            <w:gridSpan w:val="2"/>
            <w:tcBorders>
              <w:bottom w:val="single" w:sz="8" w:space="0" w:color="auto"/>
            </w:tcBorders>
            <w:shd w:val="clear" w:color="auto" w:fill="auto"/>
          </w:tcPr>
          <w:p w14:paraId="48D0EFCF" w14:textId="68ADD295" w:rsidR="0030726B" w:rsidRPr="00172374" w:rsidRDefault="0030726B" w:rsidP="00F93AFC">
            <w:pPr>
              <w:spacing w:after="60"/>
              <w:rPr>
                <w:b/>
              </w:rPr>
            </w:pPr>
            <w:r w:rsidRPr="00172374">
              <w:rPr>
                <w:b/>
              </w:rPr>
              <w:lastRenderedPageBreak/>
              <w:t>Table 1</w:t>
            </w:r>
            <w:r w:rsidR="009C55D7" w:rsidRPr="00172374">
              <w:rPr>
                <w:b/>
              </w:rPr>
              <w:t>4</w:t>
            </w:r>
          </w:p>
          <w:p w14:paraId="128CB7A9" w14:textId="77777777" w:rsidR="0030726B" w:rsidRPr="00172374" w:rsidRDefault="0030726B" w:rsidP="00F93AFC">
            <w:pPr>
              <w:spacing w:after="60"/>
            </w:pPr>
            <w:bookmarkStart w:id="55" w:name="_Hlk32249502"/>
            <w:r w:rsidRPr="00172374">
              <w:t xml:space="preserve">Study 5: statistics for the paths of nomological validity test. </w:t>
            </w:r>
            <w:bookmarkEnd w:id="55"/>
          </w:p>
        </w:tc>
        <w:tc>
          <w:tcPr>
            <w:tcW w:w="1134" w:type="dxa"/>
            <w:tcBorders>
              <w:bottom w:val="single" w:sz="8" w:space="0" w:color="auto"/>
            </w:tcBorders>
          </w:tcPr>
          <w:p w14:paraId="3B6E919B" w14:textId="77777777" w:rsidR="0030726B" w:rsidRPr="00172374" w:rsidRDefault="0030726B" w:rsidP="00F93AFC">
            <w:pPr>
              <w:spacing w:after="60"/>
              <w:rPr>
                <w:b/>
              </w:rPr>
            </w:pPr>
          </w:p>
        </w:tc>
        <w:tc>
          <w:tcPr>
            <w:tcW w:w="851" w:type="dxa"/>
            <w:tcBorders>
              <w:bottom w:val="single" w:sz="8" w:space="0" w:color="auto"/>
            </w:tcBorders>
          </w:tcPr>
          <w:p w14:paraId="1BD4BE87" w14:textId="77777777" w:rsidR="0030726B" w:rsidRPr="00172374" w:rsidRDefault="0030726B" w:rsidP="00F93AFC">
            <w:pPr>
              <w:spacing w:after="60"/>
              <w:rPr>
                <w:b/>
              </w:rPr>
            </w:pPr>
          </w:p>
        </w:tc>
      </w:tr>
      <w:tr w:rsidR="0030726B" w:rsidRPr="00172374" w14:paraId="67038775" w14:textId="77777777" w:rsidTr="0030726B">
        <w:tc>
          <w:tcPr>
            <w:tcW w:w="7655" w:type="dxa"/>
            <w:gridSpan w:val="2"/>
            <w:tcBorders>
              <w:top w:val="single" w:sz="8" w:space="0" w:color="auto"/>
              <w:bottom w:val="single" w:sz="8" w:space="0" w:color="auto"/>
            </w:tcBorders>
            <w:shd w:val="clear" w:color="auto" w:fill="auto"/>
          </w:tcPr>
          <w:p w14:paraId="0832C78A" w14:textId="77777777" w:rsidR="0030726B" w:rsidRPr="00172374" w:rsidRDefault="0030726B" w:rsidP="00F93AFC">
            <w:pPr>
              <w:rPr>
                <w:b/>
                <w:bCs/>
              </w:rPr>
            </w:pPr>
            <w:r w:rsidRPr="00172374">
              <w:rPr>
                <w:b/>
                <w:bCs/>
              </w:rPr>
              <w:t>Structural model</w:t>
            </w:r>
          </w:p>
        </w:tc>
        <w:tc>
          <w:tcPr>
            <w:tcW w:w="1134" w:type="dxa"/>
            <w:tcBorders>
              <w:top w:val="single" w:sz="8" w:space="0" w:color="auto"/>
              <w:bottom w:val="single" w:sz="8" w:space="0" w:color="auto"/>
            </w:tcBorders>
          </w:tcPr>
          <w:p w14:paraId="1F1DBA3F" w14:textId="77777777" w:rsidR="0030726B" w:rsidRPr="00172374" w:rsidRDefault="0030726B" w:rsidP="00F93AFC">
            <w:pPr>
              <w:rPr>
                <w:b/>
                <w:bCs/>
              </w:rPr>
            </w:pPr>
          </w:p>
        </w:tc>
        <w:tc>
          <w:tcPr>
            <w:tcW w:w="851" w:type="dxa"/>
            <w:tcBorders>
              <w:top w:val="single" w:sz="8" w:space="0" w:color="auto"/>
              <w:bottom w:val="single" w:sz="8" w:space="0" w:color="auto"/>
            </w:tcBorders>
          </w:tcPr>
          <w:p w14:paraId="527ED6CE" w14:textId="77777777" w:rsidR="0030726B" w:rsidRPr="00172374" w:rsidRDefault="0030726B" w:rsidP="00F93AFC">
            <w:pPr>
              <w:rPr>
                <w:b/>
                <w:bCs/>
              </w:rPr>
            </w:pPr>
          </w:p>
        </w:tc>
      </w:tr>
      <w:tr w:rsidR="0030726B" w:rsidRPr="00172374" w14:paraId="4FC43F97" w14:textId="77777777" w:rsidTr="0030726B">
        <w:tc>
          <w:tcPr>
            <w:tcW w:w="7655" w:type="dxa"/>
            <w:gridSpan w:val="2"/>
            <w:shd w:val="clear" w:color="auto" w:fill="auto"/>
          </w:tcPr>
          <w:p w14:paraId="0D707F8E" w14:textId="77777777" w:rsidR="0030726B" w:rsidRPr="00172374" w:rsidRDefault="0030726B" w:rsidP="00F93AFC">
            <w:pPr>
              <w:rPr>
                <w:sz w:val="20"/>
                <w:szCs w:val="20"/>
              </w:rPr>
            </w:pPr>
          </w:p>
        </w:tc>
        <w:tc>
          <w:tcPr>
            <w:tcW w:w="1134" w:type="dxa"/>
          </w:tcPr>
          <w:p w14:paraId="2FDA1B37" w14:textId="77777777" w:rsidR="0030726B" w:rsidRPr="00172374" w:rsidRDefault="0030726B" w:rsidP="00F93AFC">
            <w:pPr>
              <w:rPr>
                <w:sz w:val="20"/>
                <w:szCs w:val="20"/>
              </w:rPr>
            </w:pPr>
          </w:p>
        </w:tc>
        <w:tc>
          <w:tcPr>
            <w:tcW w:w="851" w:type="dxa"/>
          </w:tcPr>
          <w:p w14:paraId="5D52E266" w14:textId="77777777" w:rsidR="0030726B" w:rsidRPr="00172374" w:rsidRDefault="0030726B" w:rsidP="00F93AFC">
            <w:pPr>
              <w:rPr>
                <w:sz w:val="20"/>
                <w:szCs w:val="20"/>
              </w:rPr>
            </w:pPr>
          </w:p>
        </w:tc>
      </w:tr>
      <w:tr w:rsidR="0030726B" w:rsidRPr="00172374" w14:paraId="09C7E9A5" w14:textId="77777777" w:rsidTr="0030726B">
        <w:tc>
          <w:tcPr>
            <w:tcW w:w="4820" w:type="dxa"/>
            <w:shd w:val="clear" w:color="auto" w:fill="auto"/>
          </w:tcPr>
          <w:p w14:paraId="36C86A35" w14:textId="77777777" w:rsidR="0030726B" w:rsidRPr="00172374" w:rsidRDefault="0030726B" w:rsidP="00F93AFC">
            <w:pPr>
              <w:rPr>
                <w:i/>
                <w:sz w:val="20"/>
                <w:szCs w:val="20"/>
              </w:rPr>
            </w:pPr>
            <w:r w:rsidRPr="00172374">
              <w:rPr>
                <w:i/>
                <w:sz w:val="20"/>
                <w:szCs w:val="20"/>
              </w:rPr>
              <w:t>Path tested (direct effects)</w:t>
            </w:r>
          </w:p>
        </w:tc>
        <w:tc>
          <w:tcPr>
            <w:tcW w:w="2835" w:type="dxa"/>
            <w:shd w:val="clear" w:color="auto" w:fill="auto"/>
          </w:tcPr>
          <w:p w14:paraId="419F51BD" w14:textId="77777777" w:rsidR="0030726B" w:rsidRPr="00172374" w:rsidRDefault="0030726B" w:rsidP="00F93AFC">
            <w:pPr>
              <w:rPr>
                <w:i/>
                <w:sz w:val="20"/>
                <w:szCs w:val="20"/>
              </w:rPr>
            </w:pPr>
            <w:r w:rsidRPr="00172374">
              <w:rPr>
                <w:i/>
                <w:sz w:val="20"/>
                <w:szCs w:val="20"/>
              </w:rPr>
              <w:t>Standardized estimate (t-value)</w:t>
            </w:r>
          </w:p>
        </w:tc>
        <w:tc>
          <w:tcPr>
            <w:tcW w:w="1134" w:type="dxa"/>
          </w:tcPr>
          <w:p w14:paraId="180F9B60" w14:textId="77777777" w:rsidR="0030726B" w:rsidRPr="00172374" w:rsidRDefault="0030726B" w:rsidP="00F93AFC">
            <w:pPr>
              <w:rPr>
                <w:i/>
                <w:sz w:val="20"/>
                <w:szCs w:val="20"/>
              </w:rPr>
            </w:pPr>
            <w:r w:rsidRPr="00172374">
              <w:rPr>
                <w:i/>
                <w:sz w:val="20"/>
                <w:szCs w:val="20"/>
              </w:rPr>
              <w:t>Hypothesis</w:t>
            </w:r>
          </w:p>
        </w:tc>
        <w:tc>
          <w:tcPr>
            <w:tcW w:w="851" w:type="dxa"/>
          </w:tcPr>
          <w:p w14:paraId="29C871F1" w14:textId="77777777" w:rsidR="0030726B" w:rsidRPr="00172374" w:rsidRDefault="0030726B" w:rsidP="00F93AFC">
            <w:pPr>
              <w:rPr>
                <w:i/>
                <w:sz w:val="20"/>
                <w:szCs w:val="20"/>
              </w:rPr>
            </w:pPr>
            <w:r w:rsidRPr="00172374">
              <w:rPr>
                <w:i/>
                <w:sz w:val="20"/>
                <w:szCs w:val="20"/>
              </w:rPr>
              <w:t>Result</w:t>
            </w:r>
          </w:p>
        </w:tc>
      </w:tr>
      <w:tr w:rsidR="0030726B" w:rsidRPr="00172374" w14:paraId="381E2822" w14:textId="77777777" w:rsidTr="0030726B">
        <w:tc>
          <w:tcPr>
            <w:tcW w:w="4820" w:type="dxa"/>
            <w:shd w:val="clear" w:color="auto" w:fill="auto"/>
          </w:tcPr>
          <w:p w14:paraId="555B102B" w14:textId="77777777" w:rsidR="0030726B" w:rsidRPr="00172374" w:rsidRDefault="0030726B" w:rsidP="00F93AFC">
            <w:pPr>
              <w:rPr>
                <w:i/>
                <w:sz w:val="20"/>
                <w:szCs w:val="20"/>
              </w:rPr>
            </w:pPr>
            <w:r w:rsidRPr="00172374">
              <w:rPr>
                <w:sz w:val="20"/>
                <w:szCs w:val="20"/>
              </w:rPr>
              <w:t xml:space="preserve">Marketing department power </w:t>
            </w:r>
            <w:r w:rsidRPr="00172374">
              <w:rPr>
                <w:sz w:val="20"/>
                <w:szCs w:val="20"/>
              </w:rPr>
              <w:sym w:font="Wingdings" w:char="F0E0"/>
            </w:r>
            <w:r w:rsidRPr="00172374">
              <w:rPr>
                <w:sz w:val="20"/>
                <w:szCs w:val="20"/>
              </w:rPr>
              <w:t xml:space="preserve"> market orientation</w:t>
            </w:r>
          </w:p>
        </w:tc>
        <w:tc>
          <w:tcPr>
            <w:tcW w:w="2835" w:type="dxa"/>
            <w:shd w:val="clear" w:color="auto" w:fill="auto"/>
          </w:tcPr>
          <w:p w14:paraId="2188286D" w14:textId="77777777" w:rsidR="0030726B" w:rsidRPr="00172374" w:rsidRDefault="0030726B" w:rsidP="00F93AFC">
            <w:pPr>
              <w:rPr>
                <w:i/>
                <w:sz w:val="20"/>
                <w:szCs w:val="20"/>
              </w:rPr>
            </w:pPr>
            <w:r w:rsidRPr="00172374">
              <w:rPr>
                <w:sz w:val="20"/>
                <w:szCs w:val="20"/>
              </w:rPr>
              <w:t>0.46 (</w:t>
            </w:r>
            <w:proofErr w:type="gramStart"/>
            <w:r w:rsidRPr="00172374">
              <w:rPr>
                <w:sz w:val="20"/>
                <w:szCs w:val="20"/>
              </w:rPr>
              <w:t>5.55)*</w:t>
            </w:r>
            <w:proofErr w:type="gramEnd"/>
            <w:r w:rsidRPr="00172374">
              <w:rPr>
                <w:sz w:val="20"/>
                <w:szCs w:val="20"/>
              </w:rPr>
              <w:t>**</w:t>
            </w:r>
          </w:p>
        </w:tc>
        <w:tc>
          <w:tcPr>
            <w:tcW w:w="1134" w:type="dxa"/>
          </w:tcPr>
          <w:p w14:paraId="7F839929" w14:textId="77777777" w:rsidR="0030726B" w:rsidRPr="00172374" w:rsidRDefault="0030726B" w:rsidP="00F93AFC">
            <w:pPr>
              <w:rPr>
                <w:i/>
                <w:sz w:val="20"/>
                <w:szCs w:val="20"/>
              </w:rPr>
            </w:pPr>
          </w:p>
        </w:tc>
        <w:tc>
          <w:tcPr>
            <w:tcW w:w="851" w:type="dxa"/>
          </w:tcPr>
          <w:p w14:paraId="7697C99B" w14:textId="77777777" w:rsidR="0030726B" w:rsidRPr="00172374" w:rsidRDefault="0030726B" w:rsidP="00F93AFC">
            <w:pPr>
              <w:rPr>
                <w:iCs/>
                <w:sz w:val="20"/>
                <w:szCs w:val="20"/>
              </w:rPr>
            </w:pPr>
          </w:p>
        </w:tc>
      </w:tr>
      <w:tr w:rsidR="0030726B" w:rsidRPr="00172374" w14:paraId="1C9715C6" w14:textId="77777777" w:rsidTr="0030726B">
        <w:tc>
          <w:tcPr>
            <w:tcW w:w="4820" w:type="dxa"/>
            <w:shd w:val="clear" w:color="auto" w:fill="auto"/>
          </w:tcPr>
          <w:p w14:paraId="77F67EAF" w14:textId="77777777" w:rsidR="0030726B" w:rsidRPr="00172374" w:rsidRDefault="0030726B" w:rsidP="00F93AFC">
            <w:pPr>
              <w:rPr>
                <w:sz w:val="20"/>
                <w:szCs w:val="20"/>
              </w:rPr>
            </w:pPr>
            <w:r w:rsidRPr="00172374">
              <w:rPr>
                <w:sz w:val="20"/>
                <w:szCs w:val="20"/>
              </w:rPr>
              <w:t xml:space="preserve">Marketing department power </w:t>
            </w:r>
            <w:r w:rsidRPr="00172374">
              <w:rPr>
                <w:sz w:val="20"/>
                <w:szCs w:val="20"/>
              </w:rPr>
              <w:sym w:font="Wingdings" w:char="F0E0"/>
            </w:r>
            <w:r w:rsidRPr="00172374">
              <w:rPr>
                <w:sz w:val="20"/>
                <w:szCs w:val="20"/>
              </w:rPr>
              <w:t xml:space="preserve"> brand orientation</w:t>
            </w:r>
          </w:p>
        </w:tc>
        <w:tc>
          <w:tcPr>
            <w:tcW w:w="2835" w:type="dxa"/>
            <w:shd w:val="clear" w:color="auto" w:fill="auto"/>
          </w:tcPr>
          <w:p w14:paraId="4666F3B7" w14:textId="77777777" w:rsidR="0030726B" w:rsidRPr="00172374" w:rsidRDefault="0030726B" w:rsidP="00F93AFC">
            <w:pPr>
              <w:rPr>
                <w:sz w:val="20"/>
                <w:szCs w:val="20"/>
              </w:rPr>
            </w:pPr>
            <w:r w:rsidRPr="00172374">
              <w:rPr>
                <w:sz w:val="20"/>
                <w:szCs w:val="20"/>
              </w:rPr>
              <w:t>0.17 (</w:t>
            </w:r>
            <w:proofErr w:type="gramStart"/>
            <w:r w:rsidRPr="00172374">
              <w:rPr>
                <w:sz w:val="20"/>
                <w:szCs w:val="20"/>
              </w:rPr>
              <w:t>3.11)*</w:t>
            </w:r>
            <w:proofErr w:type="gramEnd"/>
            <w:r w:rsidRPr="00172374">
              <w:rPr>
                <w:sz w:val="20"/>
                <w:szCs w:val="20"/>
              </w:rPr>
              <w:t>*</w:t>
            </w:r>
          </w:p>
        </w:tc>
        <w:tc>
          <w:tcPr>
            <w:tcW w:w="1134" w:type="dxa"/>
          </w:tcPr>
          <w:p w14:paraId="76A07BEF" w14:textId="77777777" w:rsidR="0030726B" w:rsidRPr="00172374" w:rsidRDefault="0030726B" w:rsidP="00F93AFC">
            <w:pPr>
              <w:rPr>
                <w:sz w:val="20"/>
                <w:szCs w:val="20"/>
              </w:rPr>
            </w:pPr>
            <w:r w:rsidRPr="00172374">
              <w:rPr>
                <w:sz w:val="20"/>
                <w:szCs w:val="20"/>
              </w:rPr>
              <w:t>H1 (+)</w:t>
            </w:r>
          </w:p>
        </w:tc>
        <w:tc>
          <w:tcPr>
            <w:tcW w:w="851" w:type="dxa"/>
          </w:tcPr>
          <w:p w14:paraId="05BF7278" w14:textId="77777777" w:rsidR="0030726B" w:rsidRPr="00172374" w:rsidRDefault="0030726B" w:rsidP="00F93AFC">
            <w:pPr>
              <w:rPr>
                <w:iCs/>
                <w:sz w:val="20"/>
                <w:szCs w:val="20"/>
              </w:rPr>
            </w:pPr>
            <w:r w:rsidRPr="00172374">
              <w:rPr>
                <w:iCs/>
                <w:sz w:val="20"/>
                <w:szCs w:val="20"/>
              </w:rPr>
              <w:t>Support</w:t>
            </w:r>
          </w:p>
        </w:tc>
      </w:tr>
      <w:tr w:rsidR="0030726B" w:rsidRPr="00172374" w14:paraId="64992C8B" w14:textId="77777777" w:rsidTr="0030726B">
        <w:trPr>
          <w:trHeight w:val="114"/>
        </w:trPr>
        <w:tc>
          <w:tcPr>
            <w:tcW w:w="4820" w:type="dxa"/>
            <w:shd w:val="clear" w:color="auto" w:fill="auto"/>
          </w:tcPr>
          <w:p w14:paraId="6B2B1EE6" w14:textId="77777777" w:rsidR="0030726B" w:rsidRPr="00172374" w:rsidRDefault="0030726B" w:rsidP="00F93AFC">
            <w:pPr>
              <w:rPr>
                <w:sz w:val="20"/>
                <w:szCs w:val="20"/>
              </w:rPr>
            </w:pPr>
            <w:r w:rsidRPr="00172374">
              <w:rPr>
                <w:sz w:val="20"/>
                <w:szCs w:val="20"/>
              </w:rPr>
              <w:t xml:space="preserve">Market orientation </w:t>
            </w:r>
            <w:r w:rsidRPr="00172374">
              <w:rPr>
                <w:sz w:val="20"/>
                <w:szCs w:val="20"/>
              </w:rPr>
              <w:sym w:font="Wingdings" w:char="F0E0"/>
            </w:r>
            <w:r w:rsidRPr="00172374">
              <w:rPr>
                <w:sz w:val="20"/>
                <w:szCs w:val="20"/>
              </w:rPr>
              <w:t xml:space="preserve"> brand orientation</w:t>
            </w:r>
          </w:p>
        </w:tc>
        <w:tc>
          <w:tcPr>
            <w:tcW w:w="2835" w:type="dxa"/>
            <w:shd w:val="clear" w:color="auto" w:fill="auto"/>
          </w:tcPr>
          <w:p w14:paraId="704D52D1" w14:textId="77777777" w:rsidR="0030726B" w:rsidRPr="00172374" w:rsidRDefault="0030726B" w:rsidP="00F93AFC">
            <w:pPr>
              <w:rPr>
                <w:sz w:val="20"/>
                <w:szCs w:val="20"/>
              </w:rPr>
            </w:pPr>
            <w:r w:rsidRPr="00172374">
              <w:rPr>
                <w:sz w:val="20"/>
                <w:szCs w:val="20"/>
              </w:rPr>
              <w:t>0.79 (</w:t>
            </w:r>
            <w:proofErr w:type="gramStart"/>
            <w:r w:rsidRPr="00172374">
              <w:rPr>
                <w:sz w:val="20"/>
                <w:szCs w:val="20"/>
              </w:rPr>
              <w:t>7.25)*</w:t>
            </w:r>
            <w:proofErr w:type="gramEnd"/>
            <w:r w:rsidRPr="00172374">
              <w:rPr>
                <w:sz w:val="20"/>
                <w:szCs w:val="20"/>
              </w:rPr>
              <w:t>**</w:t>
            </w:r>
          </w:p>
        </w:tc>
        <w:tc>
          <w:tcPr>
            <w:tcW w:w="1134" w:type="dxa"/>
          </w:tcPr>
          <w:p w14:paraId="616F001A" w14:textId="77777777" w:rsidR="0030726B" w:rsidRPr="00172374" w:rsidRDefault="0030726B" w:rsidP="00F93AFC">
            <w:pPr>
              <w:rPr>
                <w:sz w:val="20"/>
                <w:szCs w:val="20"/>
              </w:rPr>
            </w:pPr>
            <w:r w:rsidRPr="00172374">
              <w:rPr>
                <w:sz w:val="20"/>
                <w:szCs w:val="20"/>
              </w:rPr>
              <w:t>H2 (+)</w:t>
            </w:r>
          </w:p>
        </w:tc>
        <w:tc>
          <w:tcPr>
            <w:tcW w:w="851" w:type="dxa"/>
          </w:tcPr>
          <w:p w14:paraId="7A63E01A" w14:textId="77777777" w:rsidR="0030726B" w:rsidRPr="00172374" w:rsidRDefault="0030726B" w:rsidP="00F93AFC">
            <w:pPr>
              <w:rPr>
                <w:sz w:val="20"/>
                <w:szCs w:val="20"/>
              </w:rPr>
            </w:pPr>
            <w:r w:rsidRPr="00172374">
              <w:rPr>
                <w:iCs/>
                <w:sz w:val="20"/>
                <w:szCs w:val="20"/>
              </w:rPr>
              <w:t>Support</w:t>
            </w:r>
          </w:p>
        </w:tc>
      </w:tr>
      <w:tr w:rsidR="0030726B" w:rsidRPr="00172374" w14:paraId="4D69CA07" w14:textId="77777777" w:rsidTr="0030726B">
        <w:trPr>
          <w:trHeight w:val="131"/>
        </w:trPr>
        <w:tc>
          <w:tcPr>
            <w:tcW w:w="4820" w:type="dxa"/>
            <w:shd w:val="clear" w:color="auto" w:fill="auto"/>
          </w:tcPr>
          <w:p w14:paraId="634ECE4D" w14:textId="77777777" w:rsidR="0030726B" w:rsidRPr="00172374" w:rsidRDefault="0030726B" w:rsidP="00F93AFC">
            <w:pPr>
              <w:rPr>
                <w:sz w:val="20"/>
                <w:szCs w:val="20"/>
              </w:rPr>
            </w:pPr>
            <w:r w:rsidRPr="00172374">
              <w:rPr>
                <w:sz w:val="20"/>
                <w:szCs w:val="20"/>
              </w:rPr>
              <w:t xml:space="preserve">Brand orientation </w:t>
            </w:r>
            <w:r w:rsidRPr="00172374">
              <w:rPr>
                <w:sz w:val="20"/>
                <w:szCs w:val="20"/>
              </w:rPr>
              <w:sym w:font="Wingdings" w:char="F0E0"/>
            </w:r>
            <w:r w:rsidRPr="00172374">
              <w:rPr>
                <w:sz w:val="20"/>
                <w:szCs w:val="20"/>
              </w:rPr>
              <w:t xml:space="preserve"> financial performance (FP)</w:t>
            </w:r>
          </w:p>
        </w:tc>
        <w:tc>
          <w:tcPr>
            <w:tcW w:w="2835" w:type="dxa"/>
            <w:shd w:val="clear" w:color="auto" w:fill="auto"/>
          </w:tcPr>
          <w:p w14:paraId="614D38D6" w14:textId="77777777" w:rsidR="0030726B" w:rsidRPr="00172374" w:rsidRDefault="0030726B" w:rsidP="00F93AFC">
            <w:pPr>
              <w:rPr>
                <w:sz w:val="20"/>
                <w:szCs w:val="20"/>
              </w:rPr>
            </w:pPr>
            <w:r w:rsidRPr="00172374">
              <w:rPr>
                <w:sz w:val="20"/>
                <w:szCs w:val="20"/>
              </w:rPr>
              <w:t>0.54 (</w:t>
            </w:r>
            <w:proofErr w:type="gramStart"/>
            <w:r w:rsidRPr="00172374">
              <w:rPr>
                <w:sz w:val="20"/>
                <w:szCs w:val="20"/>
              </w:rPr>
              <w:t>2.61)*</w:t>
            </w:r>
            <w:proofErr w:type="gramEnd"/>
            <w:r w:rsidRPr="00172374">
              <w:rPr>
                <w:sz w:val="20"/>
                <w:szCs w:val="20"/>
              </w:rPr>
              <w:t>*</w:t>
            </w:r>
          </w:p>
        </w:tc>
        <w:tc>
          <w:tcPr>
            <w:tcW w:w="1134" w:type="dxa"/>
          </w:tcPr>
          <w:p w14:paraId="6A8A53EA" w14:textId="77777777" w:rsidR="0030726B" w:rsidRPr="00172374" w:rsidRDefault="0030726B" w:rsidP="00F93AFC">
            <w:pPr>
              <w:rPr>
                <w:sz w:val="20"/>
                <w:szCs w:val="20"/>
              </w:rPr>
            </w:pPr>
            <w:r w:rsidRPr="00172374">
              <w:rPr>
                <w:sz w:val="20"/>
                <w:szCs w:val="20"/>
              </w:rPr>
              <w:t>H3 (+)</w:t>
            </w:r>
          </w:p>
        </w:tc>
        <w:tc>
          <w:tcPr>
            <w:tcW w:w="851" w:type="dxa"/>
          </w:tcPr>
          <w:p w14:paraId="57C2209B" w14:textId="77777777" w:rsidR="0030726B" w:rsidRPr="00172374" w:rsidRDefault="0030726B" w:rsidP="00F93AFC">
            <w:pPr>
              <w:rPr>
                <w:sz w:val="20"/>
                <w:szCs w:val="20"/>
              </w:rPr>
            </w:pPr>
            <w:r w:rsidRPr="00172374">
              <w:rPr>
                <w:iCs/>
                <w:sz w:val="20"/>
                <w:szCs w:val="20"/>
              </w:rPr>
              <w:t>Support</w:t>
            </w:r>
          </w:p>
        </w:tc>
      </w:tr>
      <w:tr w:rsidR="0030726B" w:rsidRPr="00172374" w14:paraId="43425EC1" w14:textId="77777777" w:rsidTr="0030726B">
        <w:tc>
          <w:tcPr>
            <w:tcW w:w="4820" w:type="dxa"/>
            <w:shd w:val="clear" w:color="auto" w:fill="auto"/>
          </w:tcPr>
          <w:p w14:paraId="6E7841B6" w14:textId="77777777" w:rsidR="0030726B" w:rsidRPr="00172374" w:rsidRDefault="0030726B" w:rsidP="00F93AFC">
            <w:pPr>
              <w:rPr>
                <w:sz w:val="20"/>
                <w:szCs w:val="20"/>
              </w:rPr>
            </w:pPr>
            <w:r w:rsidRPr="00172374">
              <w:rPr>
                <w:sz w:val="20"/>
                <w:szCs w:val="20"/>
              </w:rPr>
              <w:t xml:space="preserve">Market orientation </w:t>
            </w:r>
            <w:r w:rsidRPr="00172374">
              <w:rPr>
                <w:sz w:val="20"/>
                <w:szCs w:val="20"/>
              </w:rPr>
              <w:sym w:font="Wingdings" w:char="F0E0"/>
            </w:r>
            <w:r w:rsidRPr="00172374">
              <w:rPr>
                <w:sz w:val="20"/>
                <w:szCs w:val="20"/>
              </w:rPr>
              <w:t xml:space="preserve"> financial performance</w:t>
            </w:r>
          </w:p>
        </w:tc>
        <w:tc>
          <w:tcPr>
            <w:tcW w:w="2835" w:type="dxa"/>
            <w:shd w:val="clear" w:color="auto" w:fill="auto"/>
          </w:tcPr>
          <w:p w14:paraId="167DD4C9" w14:textId="77777777" w:rsidR="0030726B" w:rsidRPr="00172374" w:rsidRDefault="0030726B" w:rsidP="00F93AFC">
            <w:pPr>
              <w:rPr>
                <w:sz w:val="20"/>
                <w:szCs w:val="20"/>
              </w:rPr>
            </w:pPr>
            <w:r w:rsidRPr="00172374">
              <w:rPr>
                <w:sz w:val="20"/>
                <w:szCs w:val="20"/>
              </w:rPr>
              <w:t xml:space="preserve">0.01 (0.04) </w:t>
            </w:r>
          </w:p>
        </w:tc>
        <w:tc>
          <w:tcPr>
            <w:tcW w:w="1134" w:type="dxa"/>
          </w:tcPr>
          <w:p w14:paraId="7458EB9F" w14:textId="77777777" w:rsidR="0030726B" w:rsidRPr="00172374" w:rsidRDefault="0030726B" w:rsidP="00F93AFC">
            <w:pPr>
              <w:rPr>
                <w:sz w:val="20"/>
                <w:szCs w:val="20"/>
              </w:rPr>
            </w:pPr>
          </w:p>
        </w:tc>
        <w:tc>
          <w:tcPr>
            <w:tcW w:w="851" w:type="dxa"/>
          </w:tcPr>
          <w:p w14:paraId="12543357" w14:textId="77777777" w:rsidR="0030726B" w:rsidRPr="00172374" w:rsidRDefault="0030726B" w:rsidP="00F93AFC">
            <w:pPr>
              <w:rPr>
                <w:sz w:val="20"/>
                <w:szCs w:val="20"/>
              </w:rPr>
            </w:pPr>
          </w:p>
        </w:tc>
      </w:tr>
      <w:tr w:rsidR="0030726B" w:rsidRPr="00172374" w14:paraId="152F7324" w14:textId="77777777" w:rsidTr="0030726B">
        <w:tc>
          <w:tcPr>
            <w:tcW w:w="4820" w:type="dxa"/>
            <w:shd w:val="clear" w:color="auto" w:fill="auto"/>
          </w:tcPr>
          <w:p w14:paraId="6439FD42" w14:textId="77777777" w:rsidR="0030726B" w:rsidRPr="00172374" w:rsidRDefault="0030726B" w:rsidP="00F93AFC">
            <w:pPr>
              <w:rPr>
                <w:sz w:val="20"/>
                <w:szCs w:val="20"/>
              </w:rPr>
            </w:pPr>
            <w:r w:rsidRPr="00172374">
              <w:rPr>
                <w:sz w:val="20"/>
                <w:szCs w:val="20"/>
              </w:rPr>
              <w:t xml:space="preserve">Marketing department power </w:t>
            </w:r>
            <w:r w:rsidRPr="00172374">
              <w:rPr>
                <w:sz w:val="20"/>
                <w:szCs w:val="20"/>
              </w:rPr>
              <w:sym w:font="Wingdings" w:char="F0E0"/>
            </w:r>
            <w:r w:rsidRPr="00172374">
              <w:rPr>
                <w:sz w:val="20"/>
                <w:szCs w:val="20"/>
              </w:rPr>
              <w:t xml:space="preserve"> financial performance</w:t>
            </w:r>
          </w:p>
        </w:tc>
        <w:tc>
          <w:tcPr>
            <w:tcW w:w="2835" w:type="dxa"/>
            <w:shd w:val="clear" w:color="auto" w:fill="auto"/>
          </w:tcPr>
          <w:p w14:paraId="1FB5C371" w14:textId="77777777" w:rsidR="0030726B" w:rsidRPr="00172374" w:rsidRDefault="0030726B" w:rsidP="00F93AFC">
            <w:pPr>
              <w:rPr>
                <w:sz w:val="20"/>
                <w:szCs w:val="20"/>
              </w:rPr>
            </w:pPr>
            <w:r w:rsidRPr="00172374">
              <w:rPr>
                <w:sz w:val="20"/>
                <w:szCs w:val="20"/>
              </w:rPr>
              <w:t>-0.09 (-1.27)</w:t>
            </w:r>
          </w:p>
        </w:tc>
        <w:tc>
          <w:tcPr>
            <w:tcW w:w="1134" w:type="dxa"/>
          </w:tcPr>
          <w:p w14:paraId="1B178033" w14:textId="77777777" w:rsidR="0030726B" w:rsidRPr="00172374" w:rsidRDefault="0030726B" w:rsidP="00F93AFC">
            <w:pPr>
              <w:rPr>
                <w:sz w:val="20"/>
                <w:szCs w:val="20"/>
              </w:rPr>
            </w:pPr>
          </w:p>
        </w:tc>
        <w:tc>
          <w:tcPr>
            <w:tcW w:w="851" w:type="dxa"/>
          </w:tcPr>
          <w:p w14:paraId="6F9DD634" w14:textId="77777777" w:rsidR="0030726B" w:rsidRPr="00172374" w:rsidRDefault="0030726B" w:rsidP="00F93AFC">
            <w:pPr>
              <w:rPr>
                <w:sz w:val="20"/>
                <w:szCs w:val="20"/>
              </w:rPr>
            </w:pPr>
          </w:p>
        </w:tc>
      </w:tr>
      <w:tr w:rsidR="0030726B" w:rsidRPr="00172374" w14:paraId="59929B5F" w14:textId="77777777" w:rsidTr="0030726B">
        <w:tc>
          <w:tcPr>
            <w:tcW w:w="4820" w:type="dxa"/>
            <w:shd w:val="clear" w:color="auto" w:fill="auto"/>
            <w:vAlign w:val="bottom"/>
          </w:tcPr>
          <w:p w14:paraId="5860F56F" w14:textId="77777777" w:rsidR="0030726B" w:rsidRPr="00172374" w:rsidRDefault="0030726B" w:rsidP="00F93AFC">
            <w:pPr>
              <w:rPr>
                <w:i/>
                <w:sz w:val="20"/>
                <w:szCs w:val="20"/>
              </w:rPr>
            </w:pPr>
            <w:r w:rsidRPr="00172374">
              <w:rPr>
                <w:i/>
                <w:sz w:val="20"/>
                <w:szCs w:val="20"/>
              </w:rPr>
              <w:t>Indirect effects</w:t>
            </w:r>
          </w:p>
        </w:tc>
        <w:tc>
          <w:tcPr>
            <w:tcW w:w="2835" w:type="dxa"/>
            <w:shd w:val="clear" w:color="auto" w:fill="auto"/>
          </w:tcPr>
          <w:p w14:paraId="1AB4767F" w14:textId="77777777" w:rsidR="0030726B" w:rsidRPr="00172374" w:rsidRDefault="0030726B" w:rsidP="00F93AFC">
            <w:pPr>
              <w:rPr>
                <w:i/>
                <w:sz w:val="20"/>
                <w:szCs w:val="20"/>
              </w:rPr>
            </w:pPr>
            <w:r w:rsidRPr="00172374">
              <w:rPr>
                <w:i/>
                <w:sz w:val="20"/>
                <w:szCs w:val="20"/>
              </w:rPr>
              <w:t xml:space="preserve">Standardized estimate </w:t>
            </w:r>
            <w:r w:rsidRPr="00172374">
              <w:rPr>
                <w:rFonts w:ascii="Calibri" w:hAnsi="Calibri" w:cs="Calibri"/>
                <w:i/>
                <w:sz w:val="20"/>
                <w:szCs w:val="20"/>
              </w:rPr>
              <w:t>[</w:t>
            </w:r>
            <w:r w:rsidRPr="00172374">
              <w:rPr>
                <w:i/>
                <w:sz w:val="20"/>
                <w:szCs w:val="20"/>
              </w:rPr>
              <w:t>95% confidence interval</w:t>
            </w:r>
            <w:r w:rsidRPr="00172374">
              <w:rPr>
                <w:rFonts w:ascii="Calibri" w:hAnsi="Calibri" w:cs="Calibri"/>
                <w:i/>
                <w:sz w:val="20"/>
                <w:szCs w:val="20"/>
              </w:rPr>
              <w:t>]</w:t>
            </w:r>
          </w:p>
        </w:tc>
        <w:tc>
          <w:tcPr>
            <w:tcW w:w="1134" w:type="dxa"/>
          </w:tcPr>
          <w:p w14:paraId="1832B171" w14:textId="77777777" w:rsidR="0030726B" w:rsidRPr="00172374" w:rsidRDefault="0030726B" w:rsidP="00F93AFC">
            <w:pPr>
              <w:rPr>
                <w:i/>
                <w:sz w:val="20"/>
                <w:szCs w:val="20"/>
              </w:rPr>
            </w:pPr>
          </w:p>
        </w:tc>
        <w:tc>
          <w:tcPr>
            <w:tcW w:w="851" w:type="dxa"/>
          </w:tcPr>
          <w:p w14:paraId="6BCE0494" w14:textId="77777777" w:rsidR="0030726B" w:rsidRPr="00172374" w:rsidRDefault="0030726B" w:rsidP="00F93AFC">
            <w:pPr>
              <w:rPr>
                <w:i/>
                <w:sz w:val="20"/>
                <w:szCs w:val="20"/>
              </w:rPr>
            </w:pPr>
          </w:p>
        </w:tc>
      </w:tr>
      <w:tr w:rsidR="0030726B" w:rsidRPr="00172374" w14:paraId="2B17DF34" w14:textId="77777777" w:rsidTr="0030726B">
        <w:tc>
          <w:tcPr>
            <w:tcW w:w="4820" w:type="dxa"/>
            <w:shd w:val="clear" w:color="auto" w:fill="auto"/>
          </w:tcPr>
          <w:p w14:paraId="685F8438" w14:textId="77777777" w:rsidR="0030726B" w:rsidRPr="00172374" w:rsidRDefault="0030726B" w:rsidP="00F93AFC">
            <w:pPr>
              <w:rPr>
                <w:sz w:val="20"/>
                <w:szCs w:val="20"/>
              </w:rPr>
            </w:pPr>
            <w:r w:rsidRPr="00172374">
              <w:rPr>
                <w:sz w:val="20"/>
                <w:szCs w:val="20"/>
              </w:rPr>
              <w:t xml:space="preserve">Market orientation </w:t>
            </w:r>
            <w:r w:rsidRPr="00172374">
              <w:rPr>
                <w:sz w:val="20"/>
                <w:szCs w:val="20"/>
              </w:rPr>
              <w:sym w:font="Wingdings" w:char="F0E0"/>
            </w:r>
            <w:r w:rsidRPr="00172374">
              <w:rPr>
                <w:sz w:val="20"/>
                <w:szCs w:val="20"/>
              </w:rPr>
              <w:t xml:space="preserve"> financial performance</w:t>
            </w:r>
          </w:p>
        </w:tc>
        <w:tc>
          <w:tcPr>
            <w:tcW w:w="2835" w:type="dxa"/>
            <w:shd w:val="clear" w:color="auto" w:fill="auto"/>
          </w:tcPr>
          <w:p w14:paraId="33604A16" w14:textId="77777777" w:rsidR="0030726B" w:rsidRPr="00172374" w:rsidRDefault="0030726B" w:rsidP="00F93AFC">
            <w:pPr>
              <w:rPr>
                <w:sz w:val="20"/>
                <w:szCs w:val="20"/>
              </w:rPr>
            </w:pPr>
            <w:r w:rsidRPr="00172374">
              <w:rPr>
                <w:sz w:val="20"/>
                <w:szCs w:val="20"/>
              </w:rPr>
              <w:t>0.44 [0.13; 1.13]</w:t>
            </w:r>
          </w:p>
        </w:tc>
        <w:tc>
          <w:tcPr>
            <w:tcW w:w="1134" w:type="dxa"/>
          </w:tcPr>
          <w:p w14:paraId="1006FD7F" w14:textId="77777777" w:rsidR="0030726B" w:rsidRPr="00172374" w:rsidRDefault="0030726B" w:rsidP="00F93AFC">
            <w:pPr>
              <w:rPr>
                <w:sz w:val="20"/>
                <w:szCs w:val="20"/>
              </w:rPr>
            </w:pPr>
          </w:p>
        </w:tc>
        <w:tc>
          <w:tcPr>
            <w:tcW w:w="851" w:type="dxa"/>
          </w:tcPr>
          <w:p w14:paraId="773799E5" w14:textId="77777777" w:rsidR="0030726B" w:rsidRPr="00172374" w:rsidRDefault="0030726B" w:rsidP="00F93AFC">
            <w:pPr>
              <w:rPr>
                <w:sz w:val="20"/>
                <w:szCs w:val="20"/>
              </w:rPr>
            </w:pPr>
          </w:p>
        </w:tc>
      </w:tr>
      <w:tr w:rsidR="0030726B" w:rsidRPr="00172374" w14:paraId="6D9C2CDB" w14:textId="77777777" w:rsidTr="0030726B">
        <w:tc>
          <w:tcPr>
            <w:tcW w:w="4820" w:type="dxa"/>
            <w:shd w:val="clear" w:color="auto" w:fill="auto"/>
          </w:tcPr>
          <w:p w14:paraId="4DDA8EDA" w14:textId="77777777" w:rsidR="0030726B" w:rsidRPr="00172374" w:rsidRDefault="0030726B" w:rsidP="00F93AFC">
            <w:pPr>
              <w:rPr>
                <w:sz w:val="20"/>
                <w:szCs w:val="20"/>
              </w:rPr>
            </w:pPr>
            <w:r w:rsidRPr="00172374">
              <w:rPr>
                <w:sz w:val="20"/>
                <w:szCs w:val="20"/>
              </w:rPr>
              <w:t xml:space="preserve">Marketing department power </w:t>
            </w:r>
            <w:r w:rsidRPr="00172374">
              <w:rPr>
                <w:sz w:val="20"/>
                <w:szCs w:val="20"/>
              </w:rPr>
              <w:sym w:font="Wingdings" w:char="F0E0"/>
            </w:r>
            <w:r w:rsidRPr="00172374">
              <w:rPr>
                <w:sz w:val="20"/>
                <w:szCs w:val="20"/>
              </w:rPr>
              <w:t xml:space="preserve"> brand orientation</w:t>
            </w:r>
          </w:p>
        </w:tc>
        <w:tc>
          <w:tcPr>
            <w:tcW w:w="2835" w:type="dxa"/>
            <w:shd w:val="clear" w:color="auto" w:fill="auto"/>
          </w:tcPr>
          <w:p w14:paraId="54A72D8A" w14:textId="77777777" w:rsidR="0030726B" w:rsidRPr="00172374" w:rsidRDefault="0030726B" w:rsidP="00F93AFC">
            <w:pPr>
              <w:rPr>
                <w:sz w:val="20"/>
                <w:szCs w:val="20"/>
              </w:rPr>
            </w:pPr>
            <w:r w:rsidRPr="00172374">
              <w:rPr>
                <w:sz w:val="20"/>
                <w:szCs w:val="20"/>
              </w:rPr>
              <w:t>0.37 [0.28; 0.46]</w:t>
            </w:r>
          </w:p>
        </w:tc>
        <w:tc>
          <w:tcPr>
            <w:tcW w:w="1134" w:type="dxa"/>
          </w:tcPr>
          <w:p w14:paraId="2C8AFA00" w14:textId="77777777" w:rsidR="0030726B" w:rsidRPr="00172374" w:rsidRDefault="0030726B" w:rsidP="00F93AFC">
            <w:pPr>
              <w:rPr>
                <w:sz w:val="20"/>
                <w:szCs w:val="20"/>
              </w:rPr>
            </w:pPr>
          </w:p>
        </w:tc>
        <w:tc>
          <w:tcPr>
            <w:tcW w:w="851" w:type="dxa"/>
          </w:tcPr>
          <w:p w14:paraId="6AA596EF" w14:textId="77777777" w:rsidR="0030726B" w:rsidRPr="00172374" w:rsidRDefault="0030726B" w:rsidP="00F93AFC">
            <w:pPr>
              <w:rPr>
                <w:sz w:val="20"/>
                <w:szCs w:val="20"/>
              </w:rPr>
            </w:pPr>
          </w:p>
        </w:tc>
      </w:tr>
      <w:tr w:rsidR="0030726B" w:rsidRPr="00172374" w14:paraId="2F53754C" w14:textId="77777777" w:rsidTr="0030726B">
        <w:tc>
          <w:tcPr>
            <w:tcW w:w="4820" w:type="dxa"/>
            <w:shd w:val="clear" w:color="auto" w:fill="auto"/>
          </w:tcPr>
          <w:p w14:paraId="1B71CC31" w14:textId="77777777" w:rsidR="0030726B" w:rsidRPr="00172374" w:rsidRDefault="0030726B" w:rsidP="00F93AFC">
            <w:pPr>
              <w:rPr>
                <w:sz w:val="20"/>
                <w:szCs w:val="20"/>
              </w:rPr>
            </w:pPr>
            <w:r w:rsidRPr="00172374">
              <w:rPr>
                <w:sz w:val="20"/>
                <w:szCs w:val="20"/>
              </w:rPr>
              <w:t xml:space="preserve">Marketing department power </w:t>
            </w:r>
            <w:r w:rsidRPr="00172374">
              <w:rPr>
                <w:sz w:val="20"/>
                <w:szCs w:val="20"/>
              </w:rPr>
              <w:sym w:font="Wingdings" w:char="F0E0"/>
            </w:r>
            <w:r w:rsidRPr="00172374">
              <w:rPr>
                <w:sz w:val="20"/>
                <w:szCs w:val="20"/>
              </w:rPr>
              <w:t xml:space="preserve"> financial performance</w:t>
            </w:r>
          </w:p>
        </w:tc>
        <w:tc>
          <w:tcPr>
            <w:tcW w:w="2835" w:type="dxa"/>
            <w:shd w:val="clear" w:color="auto" w:fill="auto"/>
          </w:tcPr>
          <w:p w14:paraId="77B32660" w14:textId="77777777" w:rsidR="0030726B" w:rsidRPr="00172374" w:rsidRDefault="0030726B" w:rsidP="00F93AFC">
            <w:pPr>
              <w:rPr>
                <w:sz w:val="20"/>
                <w:szCs w:val="20"/>
              </w:rPr>
            </w:pPr>
            <w:r w:rsidRPr="00172374">
              <w:rPr>
                <w:sz w:val="20"/>
                <w:szCs w:val="20"/>
              </w:rPr>
              <w:t>0.30 [0.21; 0.46]</w:t>
            </w:r>
          </w:p>
        </w:tc>
        <w:tc>
          <w:tcPr>
            <w:tcW w:w="1134" w:type="dxa"/>
          </w:tcPr>
          <w:p w14:paraId="2ED42205" w14:textId="77777777" w:rsidR="0030726B" w:rsidRPr="00172374" w:rsidRDefault="0030726B" w:rsidP="00F93AFC">
            <w:pPr>
              <w:rPr>
                <w:sz w:val="20"/>
                <w:szCs w:val="20"/>
              </w:rPr>
            </w:pPr>
          </w:p>
        </w:tc>
        <w:tc>
          <w:tcPr>
            <w:tcW w:w="851" w:type="dxa"/>
          </w:tcPr>
          <w:p w14:paraId="1B29D816" w14:textId="77777777" w:rsidR="0030726B" w:rsidRPr="00172374" w:rsidRDefault="0030726B" w:rsidP="00F93AFC">
            <w:pPr>
              <w:rPr>
                <w:sz w:val="20"/>
                <w:szCs w:val="20"/>
              </w:rPr>
            </w:pPr>
          </w:p>
        </w:tc>
      </w:tr>
      <w:tr w:rsidR="0030726B" w:rsidRPr="00172374" w14:paraId="71581ACF" w14:textId="77777777" w:rsidTr="0030726B">
        <w:tc>
          <w:tcPr>
            <w:tcW w:w="4820" w:type="dxa"/>
            <w:shd w:val="clear" w:color="auto" w:fill="auto"/>
          </w:tcPr>
          <w:p w14:paraId="2FC7AC04" w14:textId="77777777" w:rsidR="0030726B" w:rsidRPr="00172374" w:rsidRDefault="0030726B" w:rsidP="00F93AFC">
            <w:pPr>
              <w:rPr>
                <w:sz w:val="20"/>
                <w:szCs w:val="20"/>
              </w:rPr>
            </w:pPr>
          </w:p>
        </w:tc>
        <w:tc>
          <w:tcPr>
            <w:tcW w:w="2835" w:type="dxa"/>
            <w:shd w:val="clear" w:color="auto" w:fill="auto"/>
          </w:tcPr>
          <w:p w14:paraId="1A1EF344" w14:textId="77777777" w:rsidR="0030726B" w:rsidRPr="00172374" w:rsidRDefault="0030726B" w:rsidP="00F93AFC">
            <w:pPr>
              <w:rPr>
                <w:sz w:val="20"/>
                <w:szCs w:val="20"/>
              </w:rPr>
            </w:pPr>
          </w:p>
        </w:tc>
        <w:tc>
          <w:tcPr>
            <w:tcW w:w="1134" w:type="dxa"/>
          </w:tcPr>
          <w:p w14:paraId="30673B11" w14:textId="77777777" w:rsidR="0030726B" w:rsidRPr="00172374" w:rsidRDefault="0030726B" w:rsidP="00F93AFC">
            <w:pPr>
              <w:rPr>
                <w:sz w:val="20"/>
                <w:szCs w:val="20"/>
              </w:rPr>
            </w:pPr>
          </w:p>
        </w:tc>
        <w:tc>
          <w:tcPr>
            <w:tcW w:w="851" w:type="dxa"/>
          </w:tcPr>
          <w:p w14:paraId="0351B9F8" w14:textId="77777777" w:rsidR="0030726B" w:rsidRPr="00172374" w:rsidRDefault="0030726B" w:rsidP="00F93AFC">
            <w:pPr>
              <w:rPr>
                <w:sz w:val="20"/>
                <w:szCs w:val="20"/>
              </w:rPr>
            </w:pPr>
          </w:p>
        </w:tc>
      </w:tr>
      <w:tr w:rsidR="0030726B" w:rsidRPr="00172374" w14:paraId="3E8B5C25" w14:textId="77777777" w:rsidTr="0030726B">
        <w:tc>
          <w:tcPr>
            <w:tcW w:w="4820" w:type="dxa"/>
            <w:shd w:val="clear" w:color="auto" w:fill="auto"/>
          </w:tcPr>
          <w:p w14:paraId="5C096E7C" w14:textId="77777777" w:rsidR="0030726B" w:rsidRPr="00172374" w:rsidRDefault="0030726B" w:rsidP="00F93AFC">
            <w:pPr>
              <w:rPr>
                <w:sz w:val="20"/>
                <w:szCs w:val="20"/>
              </w:rPr>
            </w:pPr>
            <w:r w:rsidRPr="00172374">
              <w:rPr>
                <w:i/>
                <w:sz w:val="20"/>
                <w:szCs w:val="20"/>
              </w:rPr>
              <w:t>Controls</w:t>
            </w:r>
          </w:p>
        </w:tc>
        <w:tc>
          <w:tcPr>
            <w:tcW w:w="2835" w:type="dxa"/>
            <w:shd w:val="clear" w:color="auto" w:fill="auto"/>
            <w:vAlign w:val="bottom"/>
          </w:tcPr>
          <w:p w14:paraId="70E0828E" w14:textId="77777777" w:rsidR="0030726B" w:rsidRPr="00172374" w:rsidRDefault="0030726B" w:rsidP="00F93AFC">
            <w:pPr>
              <w:rPr>
                <w:sz w:val="20"/>
                <w:szCs w:val="20"/>
              </w:rPr>
            </w:pPr>
            <w:r w:rsidRPr="00172374">
              <w:rPr>
                <w:i/>
                <w:sz w:val="20"/>
                <w:szCs w:val="20"/>
              </w:rPr>
              <w:t>Standardized estimate (t-value)</w:t>
            </w:r>
          </w:p>
        </w:tc>
        <w:tc>
          <w:tcPr>
            <w:tcW w:w="1134" w:type="dxa"/>
          </w:tcPr>
          <w:p w14:paraId="6FFD76EC" w14:textId="77777777" w:rsidR="0030726B" w:rsidRPr="00172374" w:rsidRDefault="0030726B" w:rsidP="00F93AFC">
            <w:pPr>
              <w:rPr>
                <w:i/>
                <w:sz w:val="20"/>
                <w:szCs w:val="20"/>
              </w:rPr>
            </w:pPr>
          </w:p>
        </w:tc>
        <w:tc>
          <w:tcPr>
            <w:tcW w:w="851" w:type="dxa"/>
          </w:tcPr>
          <w:p w14:paraId="69C826F4" w14:textId="77777777" w:rsidR="0030726B" w:rsidRPr="00172374" w:rsidRDefault="0030726B" w:rsidP="00F93AFC">
            <w:pPr>
              <w:rPr>
                <w:i/>
                <w:sz w:val="20"/>
                <w:szCs w:val="20"/>
              </w:rPr>
            </w:pPr>
          </w:p>
        </w:tc>
      </w:tr>
      <w:tr w:rsidR="0030726B" w:rsidRPr="00172374" w14:paraId="3E77FA58" w14:textId="77777777" w:rsidTr="0030726B">
        <w:tc>
          <w:tcPr>
            <w:tcW w:w="4820" w:type="dxa"/>
            <w:shd w:val="clear" w:color="auto" w:fill="auto"/>
          </w:tcPr>
          <w:p w14:paraId="035ADACD" w14:textId="77777777" w:rsidR="0030726B" w:rsidRPr="00172374" w:rsidRDefault="0030726B" w:rsidP="00F93AFC">
            <w:pPr>
              <w:rPr>
                <w:sz w:val="20"/>
                <w:szCs w:val="20"/>
              </w:rPr>
            </w:pPr>
            <w:r w:rsidRPr="00172374">
              <w:rPr>
                <w:sz w:val="20"/>
                <w:szCs w:val="20"/>
              </w:rPr>
              <w:t xml:space="preserve">Firm’s age </w:t>
            </w:r>
            <w:r w:rsidRPr="00172374">
              <w:rPr>
                <w:sz w:val="20"/>
                <w:szCs w:val="20"/>
              </w:rPr>
              <w:sym w:font="Wingdings" w:char="F0E0"/>
            </w:r>
            <w:r w:rsidRPr="00172374">
              <w:rPr>
                <w:sz w:val="20"/>
                <w:szCs w:val="20"/>
              </w:rPr>
              <w:t xml:space="preserve"> FP</w:t>
            </w:r>
          </w:p>
        </w:tc>
        <w:tc>
          <w:tcPr>
            <w:tcW w:w="2835" w:type="dxa"/>
            <w:shd w:val="clear" w:color="auto" w:fill="auto"/>
          </w:tcPr>
          <w:p w14:paraId="4F889867" w14:textId="77777777" w:rsidR="0030726B" w:rsidRPr="00172374" w:rsidRDefault="0030726B" w:rsidP="00F93AFC">
            <w:pPr>
              <w:rPr>
                <w:sz w:val="20"/>
                <w:szCs w:val="20"/>
              </w:rPr>
            </w:pPr>
            <w:r w:rsidRPr="00172374">
              <w:rPr>
                <w:sz w:val="20"/>
                <w:szCs w:val="20"/>
              </w:rPr>
              <w:t xml:space="preserve"> 0.03 (0.37)</w:t>
            </w:r>
          </w:p>
        </w:tc>
        <w:tc>
          <w:tcPr>
            <w:tcW w:w="1134" w:type="dxa"/>
          </w:tcPr>
          <w:p w14:paraId="464B8E85" w14:textId="77777777" w:rsidR="0030726B" w:rsidRPr="00172374" w:rsidRDefault="0030726B" w:rsidP="00F93AFC">
            <w:pPr>
              <w:rPr>
                <w:sz w:val="20"/>
                <w:szCs w:val="20"/>
              </w:rPr>
            </w:pPr>
          </w:p>
        </w:tc>
        <w:tc>
          <w:tcPr>
            <w:tcW w:w="851" w:type="dxa"/>
          </w:tcPr>
          <w:p w14:paraId="5BA75BC2" w14:textId="77777777" w:rsidR="0030726B" w:rsidRPr="00172374" w:rsidRDefault="0030726B" w:rsidP="00F93AFC">
            <w:pPr>
              <w:rPr>
                <w:sz w:val="20"/>
                <w:szCs w:val="20"/>
              </w:rPr>
            </w:pPr>
          </w:p>
        </w:tc>
      </w:tr>
      <w:tr w:rsidR="0030726B" w:rsidRPr="00172374" w14:paraId="03DE9515" w14:textId="77777777" w:rsidTr="0030726B">
        <w:tc>
          <w:tcPr>
            <w:tcW w:w="4820" w:type="dxa"/>
            <w:shd w:val="clear" w:color="auto" w:fill="auto"/>
          </w:tcPr>
          <w:p w14:paraId="1BCBC5C8" w14:textId="77777777" w:rsidR="0030726B" w:rsidRPr="00172374" w:rsidRDefault="0030726B" w:rsidP="00F93AFC">
            <w:pPr>
              <w:rPr>
                <w:sz w:val="20"/>
                <w:szCs w:val="20"/>
              </w:rPr>
            </w:pPr>
            <w:r w:rsidRPr="00172374">
              <w:rPr>
                <w:sz w:val="20"/>
                <w:szCs w:val="20"/>
              </w:rPr>
              <w:t xml:space="preserve">Firm’s size </w:t>
            </w:r>
            <w:r w:rsidRPr="00172374">
              <w:rPr>
                <w:sz w:val="20"/>
                <w:szCs w:val="20"/>
              </w:rPr>
              <w:sym w:font="Wingdings" w:char="F0E0"/>
            </w:r>
            <w:r w:rsidRPr="00172374">
              <w:rPr>
                <w:sz w:val="20"/>
                <w:szCs w:val="20"/>
              </w:rPr>
              <w:t xml:space="preserve"> FP</w:t>
            </w:r>
          </w:p>
        </w:tc>
        <w:tc>
          <w:tcPr>
            <w:tcW w:w="2835" w:type="dxa"/>
            <w:shd w:val="clear" w:color="auto" w:fill="auto"/>
          </w:tcPr>
          <w:p w14:paraId="736F4BE4" w14:textId="77777777" w:rsidR="0030726B" w:rsidRPr="00172374" w:rsidRDefault="0030726B" w:rsidP="00F93AFC">
            <w:pPr>
              <w:rPr>
                <w:sz w:val="20"/>
                <w:szCs w:val="20"/>
              </w:rPr>
            </w:pPr>
            <w:r w:rsidRPr="00172374">
              <w:rPr>
                <w:sz w:val="20"/>
                <w:szCs w:val="20"/>
              </w:rPr>
              <w:t>-0.02 (-0.31)</w:t>
            </w:r>
          </w:p>
        </w:tc>
        <w:tc>
          <w:tcPr>
            <w:tcW w:w="1134" w:type="dxa"/>
          </w:tcPr>
          <w:p w14:paraId="0FBF598D" w14:textId="77777777" w:rsidR="0030726B" w:rsidRPr="00172374" w:rsidRDefault="0030726B" w:rsidP="00F93AFC">
            <w:pPr>
              <w:rPr>
                <w:sz w:val="20"/>
                <w:szCs w:val="20"/>
              </w:rPr>
            </w:pPr>
          </w:p>
        </w:tc>
        <w:tc>
          <w:tcPr>
            <w:tcW w:w="851" w:type="dxa"/>
          </w:tcPr>
          <w:p w14:paraId="3ADB231B" w14:textId="77777777" w:rsidR="0030726B" w:rsidRPr="00172374" w:rsidRDefault="0030726B" w:rsidP="00F93AFC">
            <w:pPr>
              <w:rPr>
                <w:sz w:val="20"/>
                <w:szCs w:val="20"/>
              </w:rPr>
            </w:pPr>
          </w:p>
        </w:tc>
      </w:tr>
      <w:tr w:rsidR="0030726B" w:rsidRPr="00172374" w14:paraId="7BF87D48" w14:textId="77777777" w:rsidTr="0030726B">
        <w:tc>
          <w:tcPr>
            <w:tcW w:w="4820" w:type="dxa"/>
            <w:shd w:val="clear" w:color="auto" w:fill="auto"/>
          </w:tcPr>
          <w:p w14:paraId="0D0A0B0B" w14:textId="77777777" w:rsidR="0030726B" w:rsidRPr="00172374" w:rsidRDefault="0030726B" w:rsidP="00F93AFC">
            <w:pPr>
              <w:rPr>
                <w:sz w:val="20"/>
                <w:szCs w:val="20"/>
              </w:rPr>
            </w:pPr>
            <w:r w:rsidRPr="00172374">
              <w:rPr>
                <w:sz w:val="20"/>
                <w:szCs w:val="20"/>
              </w:rPr>
              <w:t>Sector (reference: Other)</w:t>
            </w:r>
          </w:p>
        </w:tc>
        <w:tc>
          <w:tcPr>
            <w:tcW w:w="2835" w:type="dxa"/>
            <w:shd w:val="clear" w:color="auto" w:fill="auto"/>
          </w:tcPr>
          <w:p w14:paraId="55565240" w14:textId="77777777" w:rsidR="0030726B" w:rsidRPr="00172374" w:rsidRDefault="0030726B" w:rsidP="00F93AFC">
            <w:pPr>
              <w:rPr>
                <w:sz w:val="20"/>
                <w:szCs w:val="20"/>
              </w:rPr>
            </w:pPr>
          </w:p>
        </w:tc>
        <w:tc>
          <w:tcPr>
            <w:tcW w:w="1134" w:type="dxa"/>
          </w:tcPr>
          <w:p w14:paraId="6B9E565C" w14:textId="77777777" w:rsidR="0030726B" w:rsidRPr="00172374" w:rsidRDefault="0030726B" w:rsidP="00F93AFC">
            <w:pPr>
              <w:rPr>
                <w:sz w:val="20"/>
                <w:szCs w:val="20"/>
              </w:rPr>
            </w:pPr>
          </w:p>
        </w:tc>
        <w:tc>
          <w:tcPr>
            <w:tcW w:w="851" w:type="dxa"/>
          </w:tcPr>
          <w:p w14:paraId="346403F4" w14:textId="77777777" w:rsidR="0030726B" w:rsidRPr="00172374" w:rsidRDefault="0030726B" w:rsidP="00F93AFC">
            <w:pPr>
              <w:rPr>
                <w:sz w:val="20"/>
                <w:szCs w:val="20"/>
              </w:rPr>
            </w:pPr>
          </w:p>
        </w:tc>
      </w:tr>
      <w:tr w:rsidR="0030726B" w:rsidRPr="00172374" w14:paraId="0E562586" w14:textId="77777777" w:rsidTr="0030726B">
        <w:tc>
          <w:tcPr>
            <w:tcW w:w="4820" w:type="dxa"/>
            <w:shd w:val="clear" w:color="auto" w:fill="auto"/>
          </w:tcPr>
          <w:p w14:paraId="06EB249A" w14:textId="77777777" w:rsidR="0030726B" w:rsidRPr="00172374" w:rsidRDefault="0030726B" w:rsidP="00F93AFC">
            <w:pPr>
              <w:rPr>
                <w:sz w:val="20"/>
                <w:szCs w:val="20"/>
              </w:rPr>
            </w:pPr>
            <w:r w:rsidRPr="00172374">
              <w:rPr>
                <w:sz w:val="20"/>
                <w:szCs w:val="20"/>
              </w:rPr>
              <w:t xml:space="preserve">FMCG </w:t>
            </w:r>
            <w:r w:rsidRPr="00172374">
              <w:rPr>
                <w:sz w:val="20"/>
                <w:szCs w:val="20"/>
              </w:rPr>
              <w:sym w:font="Wingdings" w:char="F0E0"/>
            </w:r>
            <w:r w:rsidRPr="00172374">
              <w:rPr>
                <w:sz w:val="20"/>
                <w:szCs w:val="20"/>
              </w:rPr>
              <w:t xml:space="preserve"> FP</w:t>
            </w:r>
          </w:p>
        </w:tc>
        <w:tc>
          <w:tcPr>
            <w:tcW w:w="2835" w:type="dxa"/>
            <w:shd w:val="clear" w:color="auto" w:fill="auto"/>
          </w:tcPr>
          <w:p w14:paraId="05E7DBBA" w14:textId="77777777" w:rsidR="0030726B" w:rsidRPr="00172374" w:rsidRDefault="0030726B" w:rsidP="00F93AFC">
            <w:pPr>
              <w:rPr>
                <w:sz w:val="20"/>
                <w:szCs w:val="20"/>
              </w:rPr>
            </w:pPr>
            <w:r w:rsidRPr="00172374">
              <w:rPr>
                <w:sz w:val="20"/>
                <w:szCs w:val="20"/>
              </w:rPr>
              <w:t>-0.02 (-0.22)</w:t>
            </w:r>
          </w:p>
        </w:tc>
        <w:tc>
          <w:tcPr>
            <w:tcW w:w="1134" w:type="dxa"/>
          </w:tcPr>
          <w:p w14:paraId="2AE50F64" w14:textId="77777777" w:rsidR="0030726B" w:rsidRPr="00172374" w:rsidRDefault="0030726B" w:rsidP="00F93AFC">
            <w:pPr>
              <w:rPr>
                <w:sz w:val="20"/>
                <w:szCs w:val="20"/>
              </w:rPr>
            </w:pPr>
          </w:p>
        </w:tc>
        <w:tc>
          <w:tcPr>
            <w:tcW w:w="851" w:type="dxa"/>
          </w:tcPr>
          <w:p w14:paraId="308C383C" w14:textId="77777777" w:rsidR="0030726B" w:rsidRPr="00172374" w:rsidRDefault="0030726B" w:rsidP="00F93AFC">
            <w:pPr>
              <w:rPr>
                <w:sz w:val="20"/>
                <w:szCs w:val="20"/>
              </w:rPr>
            </w:pPr>
          </w:p>
        </w:tc>
      </w:tr>
      <w:tr w:rsidR="0030726B" w:rsidRPr="00172374" w14:paraId="03FE7A8B" w14:textId="77777777" w:rsidTr="0030726B">
        <w:tc>
          <w:tcPr>
            <w:tcW w:w="4820" w:type="dxa"/>
            <w:shd w:val="clear" w:color="auto" w:fill="auto"/>
          </w:tcPr>
          <w:p w14:paraId="19EA4359" w14:textId="77777777" w:rsidR="0030726B" w:rsidRPr="00172374" w:rsidRDefault="0030726B" w:rsidP="00F93AFC">
            <w:pPr>
              <w:rPr>
                <w:sz w:val="20"/>
                <w:szCs w:val="20"/>
              </w:rPr>
            </w:pPr>
            <w:r w:rsidRPr="00172374">
              <w:rPr>
                <w:sz w:val="20"/>
                <w:szCs w:val="20"/>
              </w:rPr>
              <w:t xml:space="preserve">Services </w:t>
            </w:r>
            <w:r w:rsidRPr="00172374">
              <w:rPr>
                <w:sz w:val="20"/>
                <w:szCs w:val="20"/>
              </w:rPr>
              <w:sym w:font="Wingdings" w:char="F0E0"/>
            </w:r>
            <w:r w:rsidRPr="00172374">
              <w:rPr>
                <w:sz w:val="20"/>
                <w:szCs w:val="20"/>
              </w:rPr>
              <w:t xml:space="preserve"> FP</w:t>
            </w:r>
          </w:p>
        </w:tc>
        <w:tc>
          <w:tcPr>
            <w:tcW w:w="2835" w:type="dxa"/>
            <w:shd w:val="clear" w:color="auto" w:fill="auto"/>
          </w:tcPr>
          <w:p w14:paraId="4B26739D" w14:textId="77777777" w:rsidR="0030726B" w:rsidRPr="00172374" w:rsidRDefault="0030726B" w:rsidP="00F93AFC">
            <w:pPr>
              <w:rPr>
                <w:sz w:val="20"/>
                <w:szCs w:val="20"/>
              </w:rPr>
            </w:pPr>
            <w:r w:rsidRPr="00172374">
              <w:rPr>
                <w:sz w:val="20"/>
                <w:szCs w:val="20"/>
              </w:rPr>
              <w:t>-0.03 (-0.39)</w:t>
            </w:r>
          </w:p>
        </w:tc>
        <w:tc>
          <w:tcPr>
            <w:tcW w:w="1134" w:type="dxa"/>
          </w:tcPr>
          <w:p w14:paraId="1D2E366A" w14:textId="77777777" w:rsidR="0030726B" w:rsidRPr="00172374" w:rsidRDefault="0030726B" w:rsidP="00F93AFC">
            <w:pPr>
              <w:rPr>
                <w:sz w:val="20"/>
                <w:szCs w:val="20"/>
              </w:rPr>
            </w:pPr>
          </w:p>
        </w:tc>
        <w:tc>
          <w:tcPr>
            <w:tcW w:w="851" w:type="dxa"/>
          </w:tcPr>
          <w:p w14:paraId="10EA34F6" w14:textId="77777777" w:rsidR="0030726B" w:rsidRPr="00172374" w:rsidRDefault="0030726B" w:rsidP="00F93AFC">
            <w:pPr>
              <w:rPr>
                <w:sz w:val="20"/>
                <w:szCs w:val="20"/>
              </w:rPr>
            </w:pPr>
          </w:p>
        </w:tc>
      </w:tr>
      <w:tr w:rsidR="0030726B" w:rsidRPr="00172374" w14:paraId="2EE89DDD" w14:textId="77777777" w:rsidTr="0030726B">
        <w:tc>
          <w:tcPr>
            <w:tcW w:w="4820" w:type="dxa"/>
            <w:shd w:val="clear" w:color="auto" w:fill="auto"/>
          </w:tcPr>
          <w:p w14:paraId="54AFCA50" w14:textId="77777777" w:rsidR="0030726B" w:rsidRPr="00172374" w:rsidRDefault="0030726B" w:rsidP="00F93AFC">
            <w:pPr>
              <w:rPr>
                <w:sz w:val="20"/>
                <w:szCs w:val="20"/>
              </w:rPr>
            </w:pPr>
            <w:r w:rsidRPr="00172374">
              <w:rPr>
                <w:sz w:val="20"/>
                <w:szCs w:val="20"/>
              </w:rPr>
              <w:t xml:space="preserve">Wholesaler/retailer </w:t>
            </w:r>
            <w:r w:rsidRPr="00172374">
              <w:rPr>
                <w:sz w:val="20"/>
                <w:szCs w:val="20"/>
              </w:rPr>
              <w:sym w:font="Wingdings" w:char="F0E0"/>
            </w:r>
            <w:r w:rsidRPr="00172374">
              <w:rPr>
                <w:sz w:val="20"/>
                <w:szCs w:val="20"/>
              </w:rPr>
              <w:t xml:space="preserve"> FP</w:t>
            </w:r>
          </w:p>
        </w:tc>
        <w:tc>
          <w:tcPr>
            <w:tcW w:w="2835" w:type="dxa"/>
            <w:shd w:val="clear" w:color="auto" w:fill="auto"/>
          </w:tcPr>
          <w:p w14:paraId="76F13228" w14:textId="77777777" w:rsidR="0030726B" w:rsidRPr="00172374" w:rsidRDefault="0030726B" w:rsidP="00F93AFC">
            <w:pPr>
              <w:rPr>
                <w:sz w:val="20"/>
                <w:szCs w:val="20"/>
              </w:rPr>
            </w:pPr>
            <w:r w:rsidRPr="00172374">
              <w:rPr>
                <w:sz w:val="20"/>
                <w:szCs w:val="20"/>
              </w:rPr>
              <w:t>-0.04 (-0.63)</w:t>
            </w:r>
          </w:p>
        </w:tc>
        <w:tc>
          <w:tcPr>
            <w:tcW w:w="1134" w:type="dxa"/>
          </w:tcPr>
          <w:p w14:paraId="1E1E133B" w14:textId="77777777" w:rsidR="0030726B" w:rsidRPr="00172374" w:rsidRDefault="0030726B" w:rsidP="00F93AFC">
            <w:pPr>
              <w:rPr>
                <w:sz w:val="20"/>
                <w:szCs w:val="20"/>
              </w:rPr>
            </w:pPr>
          </w:p>
        </w:tc>
        <w:tc>
          <w:tcPr>
            <w:tcW w:w="851" w:type="dxa"/>
          </w:tcPr>
          <w:p w14:paraId="02D48B17" w14:textId="77777777" w:rsidR="0030726B" w:rsidRPr="00172374" w:rsidRDefault="0030726B" w:rsidP="00F93AFC">
            <w:pPr>
              <w:rPr>
                <w:sz w:val="20"/>
                <w:szCs w:val="20"/>
              </w:rPr>
            </w:pPr>
          </w:p>
        </w:tc>
      </w:tr>
      <w:tr w:rsidR="0030726B" w:rsidRPr="00172374" w14:paraId="68ECE5A5" w14:textId="77777777" w:rsidTr="0030726B">
        <w:tc>
          <w:tcPr>
            <w:tcW w:w="4820" w:type="dxa"/>
            <w:shd w:val="clear" w:color="auto" w:fill="auto"/>
          </w:tcPr>
          <w:p w14:paraId="2CFCFD15" w14:textId="77777777" w:rsidR="0030726B" w:rsidRPr="00172374" w:rsidRDefault="0030726B" w:rsidP="00F93AFC">
            <w:pPr>
              <w:rPr>
                <w:sz w:val="20"/>
                <w:szCs w:val="20"/>
              </w:rPr>
            </w:pPr>
            <w:r w:rsidRPr="00172374">
              <w:rPr>
                <w:sz w:val="20"/>
                <w:szCs w:val="20"/>
              </w:rPr>
              <w:t xml:space="preserve">Industrial products </w:t>
            </w:r>
            <w:r w:rsidRPr="00172374">
              <w:rPr>
                <w:sz w:val="20"/>
                <w:szCs w:val="20"/>
              </w:rPr>
              <w:sym w:font="Wingdings" w:char="F0E0"/>
            </w:r>
            <w:r w:rsidRPr="00172374">
              <w:rPr>
                <w:sz w:val="20"/>
                <w:szCs w:val="20"/>
              </w:rPr>
              <w:t xml:space="preserve"> FP</w:t>
            </w:r>
          </w:p>
        </w:tc>
        <w:tc>
          <w:tcPr>
            <w:tcW w:w="2835" w:type="dxa"/>
            <w:shd w:val="clear" w:color="auto" w:fill="auto"/>
          </w:tcPr>
          <w:p w14:paraId="0085D84A" w14:textId="77777777" w:rsidR="0030726B" w:rsidRPr="00172374" w:rsidRDefault="0030726B" w:rsidP="00F93AFC">
            <w:pPr>
              <w:rPr>
                <w:sz w:val="20"/>
                <w:szCs w:val="20"/>
              </w:rPr>
            </w:pPr>
            <w:r w:rsidRPr="00172374">
              <w:rPr>
                <w:sz w:val="20"/>
                <w:szCs w:val="20"/>
              </w:rPr>
              <w:t>-0.13 (-2.</w:t>
            </w:r>
            <w:proofErr w:type="gramStart"/>
            <w:r w:rsidRPr="00172374">
              <w:rPr>
                <w:sz w:val="20"/>
                <w:szCs w:val="20"/>
              </w:rPr>
              <w:t>00)*</w:t>
            </w:r>
            <w:proofErr w:type="gramEnd"/>
          </w:p>
        </w:tc>
        <w:tc>
          <w:tcPr>
            <w:tcW w:w="1134" w:type="dxa"/>
          </w:tcPr>
          <w:p w14:paraId="29C73134" w14:textId="77777777" w:rsidR="0030726B" w:rsidRPr="00172374" w:rsidRDefault="0030726B" w:rsidP="00F93AFC">
            <w:pPr>
              <w:rPr>
                <w:sz w:val="20"/>
                <w:szCs w:val="20"/>
              </w:rPr>
            </w:pPr>
          </w:p>
        </w:tc>
        <w:tc>
          <w:tcPr>
            <w:tcW w:w="851" w:type="dxa"/>
          </w:tcPr>
          <w:p w14:paraId="59B752B6" w14:textId="77777777" w:rsidR="0030726B" w:rsidRPr="00172374" w:rsidRDefault="0030726B" w:rsidP="00F93AFC">
            <w:pPr>
              <w:rPr>
                <w:sz w:val="20"/>
                <w:szCs w:val="20"/>
              </w:rPr>
            </w:pPr>
          </w:p>
        </w:tc>
      </w:tr>
      <w:tr w:rsidR="0030726B" w:rsidRPr="00172374" w14:paraId="6FBE0603" w14:textId="77777777" w:rsidTr="0030726B">
        <w:tc>
          <w:tcPr>
            <w:tcW w:w="4820" w:type="dxa"/>
            <w:shd w:val="clear" w:color="auto" w:fill="auto"/>
          </w:tcPr>
          <w:p w14:paraId="6332E513" w14:textId="77777777" w:rsidR="0030726B" w:rsidRPr="00172374" w:rsidRDefault="0030726B" w:rsidP="00F93AFC">
            <w:pPr>
              <w:rPr>
                <w:sz w:val="20"/>
                <w:szCs w:val="20"/>
              </w:rPr>
            </w:pPr>
          </w:p>
        </w:tc>
        <w:tc>
          <w:tcPr>
            <w:tcW w:w="2835" w:type="dxa"/>
            <w:shd w:val="clear" w:color="auto" w:fill="auto"/>
          </w:tcPr>
          <w:p w14:paraId="328AE697" w14:textId="77777777" w:rsidR="0030726B" w:rsidRPr="00172374" w:rsidRDefault="0030726B" w:rsidP="00F93AFC">
            <w:pPr>
              <w:rPr>
                <w:sz w:val="20"/>
                <w:szCs w:val="20"/>
              </w:rPr>
            </w:pPr>
          </w:p>
        </w:tc>
        <w:tc>
          <w:tcPr>
            <w:tcW w:w="1134" w:type="dxa"/>
          </w:tcPr>
          <w:p w14:paraId="15BCFCC9" w14:textId="77777777" w:rsidR="0030726B" w:rsidRPr="00172374" w:rsidRDefault="0030726B" w:rsidP="00F93AFC">
            <w:pPr>
              <w:rPr>
                <w:sz w:val="20"/>
                <w:szCs w:val="20"/>
              </w:rPr>
            </w:pPr>
          </w:p>
        </w:tc>
        <w:tc>
          <w:tcPr>
            <w:tcW w:w="851" w:type="dxa"/>
          </w:tcPr>
          <w:p w14:paraId="0E3A5AE7" w14:textId="77777777" w:rsidR="0030726B" w:rsidRPr="00172374" w:rsidRDefault="0030726B" w:rsidP="00F93AFC">
            <w:pPr>
              <w:rPr>
                <w:sz w:val="20"/>
                <w:szCs w:val="20"/>
              </w:rPr>
            </w:pPr>
          </w:p>
        </w:tc>
      </w:tr>
      <w:tr w:rsidR="0030726B" w:rsidRPr="00172374" w14:paraId="37B0BB83" w14:textId="77777777" w:rsidTr="0030726B">
        <w:tc>
          <w:tcPr>
            <w:tcW w:w="4820" w:type="dxa"/>
            <w:shd w:val="clear" w:color="auto" w:fill="auto"/>
          </w:tcPr>
          <w:p w14:paraId="67F9A6D6" w14:textId="77777777" w:rsidR="0030726B" w:rsidRPr="00172374" w:rsidRDefault="0030726B" w:rsidP="00F93AFC">
            <w:pPr>
              <w:rPr>
                <w:sz w:val="20"/>
                <w:szCs w:val="20"/>
              </w:rPr>
            </w:pPr>
            <w:r w:rsidRPr="00172374">
              <w:rPr>
                <w:sz w:val="20"/>
                <w:szCs w:val="20"/>
              </w:rPr>
              <w:t>Model Fit</w:t>
            </w:r>
          </w:p>
        </w:tc>
        <w:tc>
          <w:tcPr>
            <w:tcW w:w="2835" w:type="dxa"/>
            <w:shd w:val="clear" w:color="auto" w:fill="auto"/>
          </w:tcPr>
          <w:p w14:paraId="6F82426C" w14:textId="77777777" w:rsidR="0030726B" w:rsidRPr="00172374" w:rsidRDefault="0030726B" w:rsidP="00F93AFC">
            <w:pPr>
              <w:rPr>
                <w:sz w:val="20"/>
                <w:szCs w:val="20"/>
              </w:rPr>
            </w:pPr>
          </w:p>
        </w:tc>
        <w:tc>
          <w:tcPr>
            <w:tcW w:w="1134" w:type="dxa"/>
          </w:tcPr>
          <w:p w14:paraId="733B0B8A" w14:textId="77777777" w:rsidR="0030726B" w:rsidRPr="00172374" w:rsidRDefault="0030726B" w:rsidP="00F93AFC">
            <w:pPr>
              <w:rPr>
                <w:sz w:val="20"/>
                <w:szCs w:val="20"/>
              </w:rPr>
            </w:pPr>
          </w:p>
        </w:tc>
        <w:tc>
          <w:tcPr>
            <w:tcW w:w="851" w:type="dxa"/>
          </w:tcPr>
          <w:p w14:paraId="3B3692F6" w14:textId="77777777" w:rsidR="0030726B" w:rsidRPr="00172374" w:rsidRDefault="0030726B" w:rsidP="00F93AFC">
            <w:pPr>
              <w:rPr>
                <w:sz w:val="20"/>
                <w:szCs w:val="20"/>
              </w:rPr>
            </w:pPr>
          </w:p>
        </w:tc>
      </w:tr>
      <w:tr w:rsidR="0030726B" w:rsidRPr="00172374" w14:paraId="00E3F0CD" w14:textId="77777777" w:rsidTr="0030726B">
        <w:tc>
          <w:tcPr>
            <w:tcW w:w="9640" w:type="dxa"/>
            <w:gridSpan w:val="4"/>
            <w:shd w:val="clear" w:color="auto" w:fill="auto"/>
          </w:tcPr>
          <w:p w14:paraId="121669C2" w14:textId="77777777" w:rsidR="0030726B" w:rsidRPr="00172374" w:rsidRDefault="0030726B" w:rsidP="00F93AFC">
            <w:pPr>
              <w:rPr>
                <w:sz w:val="20"/>
                <w:szCs w:val="20"/>
              </w:rPr>
            </w:pPr>
            <w:r w:rsidRPr="00172374">
              <w:rPr>
                <w:sz w:val="20"/>
                <w:szCs w:val="20"/>
              </w:rPr>
              <w:t xml:space="preserve">χ² = 2124.34, </w:t>
            </w:r>
            <w:r w:rsidRPr="00172374">
              <w:rPr>
                <w:i/>
                <w:iCs/>
                <w:sz w:val="20"/>
                <w:szCs w:val="20"/>
              </w:rPr>
              <w:t>df</w:t>
            </w:r>
            <w:r w:rsidRPr="00172374">
              <w:rPr>
                <w:sz w:val="20"/>
                <w:szCs w:val="20"/>
              </w:rPr>
              <w:t xml:space="preserve"> = 1196; CFI = 0.91; RMSEA = 0.057; SRMR = 0.078 </w:t>
            </w:r>
          </w:p>
        </w:tc>
      </w:tr>
      <w:tr w:rsidR="0030726B" w:rsidRPr="00172374" w14:paraId="4D28B6F8" w14:textId="77777777" w:rsidTr="0030726B">
        <w:tc>
          <w:tcPr>
            <w:tcW w:w="7655" w:type="dxa"/>
            <w:gridSpan w:val="2"/>
            <w:tcBorders>
              <w:bottom w:val="single" w:sz="4" w:space="0" w:color="auto"/>
            </w:tcBorders>
            <w:shd w:val="clear" w:color="auto" w:fill="auto"/>
          </w:tcPr>
          <w:p w14:paraId="43999A3A" w14:textId="77777777" w:rsidR="0030726B" w:rsidRPr="00172374" w:rsidRDefault="0030726B" w:rsidP="00F93AFC">
            <w:pPr>
              <w:rPr>
                <w:sz w:val="20"/>
                <w:szCs w:val="20"/>
              </w:rPr>
            </w:pPr>
          </w:p>
        </w:tc>
        <w:tc>
          <w:tcPr>
            <w:tcW w:w="1134" w:type="dxa"/>
            <w:tcBorders>
              <w:bottom w:val="single" w:sz="4" w:space="0" w:color="auto"/>
            </w:tcBorders>
          </w:tcPr>
          <w:p w14:paraId="76BE6DEC" w14:textId="77777777" w:rsidR="0030726B" w:rsidRPr="00172374" w:rsidRDefault="0030726B" w:rsidP="00F93AFC">
            <w:pPr>
              <w:rPr>
                <w:sz w:val="20"/>
                <w:szCs w:val="20"/>
              </w:rPr>
            </w:pPr>
          </w:p>
        </w:tc>
        <w:tc>
          <w:tcPr>
            <w:tcW w:w="851" w:type="dxa"/>
            <w:tcBorders>
              <w:bottom w:val="single" w:sz="4" w:space="0" w:color="auto"/>
            </w:tcBorders>
          </w:tcPr>
          <w:p w14:paraId="028BEDA6" w14:textId="77777777" w:rsidR="0030726B" w:rsidRPr="00172374" w:rsidRDefault="0030726B" w:rsidP="00F93AFC">
            <w:pPr>
              <w:rPr>
                <w:sz w:val="20"/>
                <w:szCs w:val="20"/>
              </w:rPr>
            </w:pPr>
          </w:p>
        </w:tc>
      </w:tr>
      <w:tr w:rsidR="0030726B" w:rsidRPr="00172374" w14:paraId="4DAE83B0" w14:textId="77777777" w:rsidTr="0030726B">
        <w:tc>
          <w:tcPr>
            <w:tcW w:w="9640" w:type="dxa"/>
            <w:gridSpan w:val="4"/>
            <w:tcBorders>
              <w:top w:val="single" w:sz="4" w:space="0" w:color="auto"/>
            </w:tcBorders>
            <w:shd w:val="clear" w:color="auto" w:fill="auto"/>
          </w:tcPr>
          <w:p w14:paraId="2E0034BE" w14:textId="77777777" w:rsidR="0030726B" w:rsidRPr="00172374" w:rsidRDefault="0030726B" w:rsidP="00F93AFC">
            <w:pPr>
              <w:rPr>
                <w:sz w:val="20"/>
                <w:szCs w:val="20"/>
              </w:rPr>
            </w:pPr>
            <w:r w:rsidRPr="00172374">
              <w:rPr>
                <w:sz w:val="20"/>
                <w:szCs w:val="20"/>
              </w:rPr>
              <w:t>Notes: The significance of the indirect effect was estimated with bootstrapping 95% confidence interval based on 5,000 bootstrap samples (e.g., Hayes, 2009). t-values are in parentheses, confidence intervals are in brackets.</w:t>
            </w:r>
          </w:p>
          <w:p w14:paraId="58F43609" w14:textId="77777777" w:rsidR="0030726B" w:rsidRPr="00172374" w:rsidRDefault="0030726B" w:rsidP="00F93AFC">
            <w:pPr>
              <w:rPr>
                <w:sz w:val="20"/>
                <w:szCs w:val="20"/>
              </w:rPr>
            </w:pPr>
            <w:r w:rsidRPr="00172374">
              <w:rPr>
                <w:sz w:val="20"/>
                <w:szCs w:val="20"/>
              </w:rPr>
              <w:t xml:space="preserve">*** </w:t>
            </w:r>
            <w:r w:rsidRPr="00172374">
              <w:rPr>
                <w:i/>
                <w:iCs/>
                <w:sz w:val="20"/>
                <w:szCs w:val="20"/>
              </w:rPr>
              <w:t xml:space="preserve">p </w:t>
            </w:r>
            <w:r w:rsidRPr="00172374">
              <w:rPr>
                <w:sz w:val="20"/>
                <w:szCs w:val="20"/>
              </w:rPr>
              <w:t>&lt; 0.001.</w:t>
            </w:r>
          </w:p>
          <w:p w14:paraId="2BC9EF62" w14:textId="77777777" w:rsidR="0030726B" w:rsidRPr="00172374" w:rsidRDefault="0030726B" w:rsidP="00F93AFC">
            <w:pPr>
              <w:rPr>
                <w:sz w:val="20"/>
                <w:szCs w:val="20"/>
              </w:rPr>
            </w:pPr>
            <w:r w:rsidRPr="00172374">
              <w:rPr>
                <w:sz w:val="20"/>
                <w:szCs w:val="20"/>
              </w:rPr>
              <w:t xml:space="preserve">** </w:t>
            </w:r>
            <w:r w:rsidRPr="00172374">
              <w:rPr>
                <w:i/>
                <w:iCs/>
                <w:sz w:val="20"/>
                <w:szCs w:val="20"/>
              </w:rPr>
              <w:t xml:space="preserve">p </w:t>
            </w:r>
            <w:r w:rsidRPr="00172374">
              <w:rPr>
                <w:sz w:val="20"/>
                <w:szCs w:val="20"/>
              </w:rPr>
              <w:t>&lt; 0.01.</w:t>
            </w:r>
          </w:p>
          <w:p w14:paraId="7CF13C98" w14:textId="77777777" w:rsidR="0030726B" w:rsidRPr="00172374" w:rsidRDefault="0030726B" w:rsidP="00F93AFC">
            <w:pPr>
              <w:rPr>
                <w:sz w:val="20"/>
                <w:szCs w:val="20"/>
              </w:rPr>
            </w:pPr>
            <w:r w:rsidRPr="00172374">
              <w:rPr>
                <w:sz w:val="20"/>
                <w:szCs w:val="20"/>
              </w:rPr>
              <w:t xml:space="preserve">* </w:t>
            </w:r>
            <w:r w:rsidRPr="00172374">
              <w:rPr>
                <w:i/>
                <w:iCs/>
                <w:sz w:val="20"/>
                <w:szCs w:val="20"/>
              </w:rPr>
              <w:t xml:space="preserve">p </w:t>
            </w:r>
            <w:r w:rsidRPr="00172374">
              <w:rPr>
                <w:sz w:val="20"/>
                <w:szCs w:val="20"/>
              </w:rPr>
              <w:t>&lt; 0.05.</w:t>
            </w:r>
          </w:p>
        </w:tc>
      </w:tr>
    </w:tbl>
    <w:p w14:paraId="01EBF5A2" w14:textId="77777777" w:rsidR="0030726B" w:rsidRPr="00172374" w:rsidRDefault="0030726B" w:rsidP="00BD493F">
      <w:pPr>
        <w:tabs>
          <w:tab w:val="left" w:pos="-284"/>
          <w:tab w:val="left" w:pos="0"/>
          <w:tab w:val="left" w:pos="142"/>
        </w:tabs>
        <w:spacing w:line="480" w:lineRule="auto"/>
        <w:ind w:left="720"/>
        <w:rPr>
          <w:b/>
        </w:rPr>
      </w:pPr>
      <w:r w:rsidRPr="00172374">
        <w:rPr>
          <w:b/>
        </w:rPr>
        <w:br w:type="page"/>
      </w:r>
    </w:p>
    <w:p w14:paraId="7F05E685" w14:textId="63E5CCBA" w:rsidR="00C377CF" w:rsidRPr="00172374" w:rsidRDefault="00C377CF" w:rsidP="00BD493F">
      <w:pPr>
        <w:tabs>
          <w:tab w:val="left" w:pos="-284"/>
          <w:tab w:val="left" w:pos="0"/>
          <w:tab w:val="left" w:pos="142"/>
        </w:tabs>
        <w:spacing w:line="480" w:lineRule="auto"/>
        <w:ind w:left="720"/>
        <w:rPr>
          <w:b/>
        </w:rPr>
      </w:pPr>
      <w:r w:rsidRPr="00172374">
        <w:rPr>
          <w:b/>
        </w:rPr>
        <w:lastRenderedPageBreak/>
        <w:t>Fig</w:t>
      </w:r>
      <w:r w:rsidR="004A7F54" w:rsidRPr="00172374">
        <w:rPr>
          <w:b/>
        </w:rPr>
        <w:t>.</w:t>
      </w:r>
      <w:r w:rsidRPr="00172374">
        <w:rPr>
          <w:b/>
        </w:rPr>
        <w:t xml:space="preserve"> 1</w:t>
      </w:r>
      <w:r w:rsidR="004A7F54" w:rsidRPr="00172374">
        <w:rPr>
          <w:b/>
        </w:rPr>
        <w:t>.</w:t>
      </w:r>
      <w:r w:rsidR="00127659" w:rsidRPr="00172374">
        <w:rPr>
          <w:b/>
        </w:rPr>
        <w:t xml:space="preserve"> </w:t>
      </w:r>
      <w:r w:rsidR="00127659" w:rsidRPr="00172374">
        <w:rPr>
          <w:bCs/>
        </w:rPr>
        <w:t>The second</w:t>
      </w:r>
      <w:r w:rsidR="004A7F54" w:rsidRPr="00172374">
        <w:rPr>
          <w:bCs/>
        </w:rPr>
        <w:t>-</w:t>
      </w:r>
      <w:r w:rsidR="00127659" w:rsidRPr="00172374">
        <w:rPr>
          <w:bCs/>
        </w:rPr>
        <w:t>order reflective construct specification</w:t>
      </w:r>
      <w:r w:rsidR="004A7F54" w:rsidRPr="00172374">
        <w:rPr>
          <w:bCs/>
        </w:rPr>
        <w:t>.</w:t>
      </w:r>
    </w:p>
    <w:p w14:paraId="0B591ACB" w14:textId="16082F56" w:rsidR="00C377CF" w:rsidRPr="00172374" w:rsidRDefault="009D763E" w:rsidP="00493C61">
      <w:pPr>
        <w:spacing w:line="480" w:lineRule="auto"/>
        <w:ind w:firstLine="851"/>
      </w:pPr>
      <w:r w:rsidRPr="00172374">
        <w:rPr>
          <w:noProof/>
        </w:rPr>
        <w:drawing>
          <wp:inline distT="0" distB="0" distL="0" distR="0" wp14:anchorId="13A9A723" wp14:editId="50860BAB">
            <wp:extent cx="4712635" cy="67246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15847" cy="6729234"/>
                    </a:xfrm>
                    <a:prstGeom prst="rect">
                      <a:avLst/>
                    </a:prstGeom>
                    <a:noFill/>
                    <a:ln>
                      <a:noFill/>
                    </a:ln>
                  </pic:spPr>
                </pic:pic>
              </a:graphicData>
            </a:graphic>
          </wp:inline>
        </w:drawing>
      </w:r>
      <w:r w:rsidR="00C377CF" w:rsidRPr="00172374">
        <w:br w:type="page"/>
      </w:r>
    </w:p>
    <w:p w14:paraId="746585C1" w14:textId="530C0130" w:rsidR="00C377CF" w:rsidRPr="00172374" w:rsidRDefault="00C377CF" w:rsidP="009D7D1A">
      <w:pPr>
        <w:tabs>
          <w:tab w:val="left" w:pos="-284"/>
          <w:tab w:val="left" w:pos="0"/>
          <w:tab w:val="left" w:pos="142"/>
        </w:tabs>
        <w:spacing w:line="480" w:lineRule="auto"/>
        <w:rPr>
          <w:bCs/>
        </w:rPr>
      </w:pPr>
      <w:r w:rsidRPr="00172374">
        <w:rPr>
          <w:b/>
        </w:rPr>
        <w:lastRenderedPageBreak/>
        <w:t>Fig</w:t>
      </w:r>
      <w:r w:rsidR="004A7F54" w:rsidRPr="00172374">
        <w:rPr>
          <w:b/>
        </w:rPr>
        <w:t>.</w:t>
      </w:r>
      <w:r w:rsidRPr="00172374">
        <w:rPr>
          <w:b/>
        </w:rPr>
        <w:t xml:space="preserve"> 2</w:t>
      </w:r>
      <w:r w:rsidR="004A7F54" w:rsidRPr="00172374">
        <w:rPr>
          <w:b/>
        </w:rPr>
        <w:t>.</w:t>
      </w:r>
      <w:r w:rsidR="00127659" w:rsidRPr="00172374">
        <w:rPr>
          <w:b/>
        </w:rPr>
        <w:t xml:space="preserve"> </w:t>
      </w:r>
      <w:r w:rsidR="00127659" w:rsidRPr="00172374">
        <w:rPr>
          <w:bCs/>
        </w:rPr>
        <w:t xml:space="preserve">The </w:t>
      </w:r>
      <w:r w:rsidR="00BD493F" w:rsidRPr="00172374">
        <w:rPr>
          <w:bCs/>
        </w:rPr>
        <w:t>structural model for nomological validity assessment</w:t>
      </w:r>
      <w:r w:rsidR="004A7F54" w:rsidRPr="00172374">
        <w:rPr>
          <w:bCs/>
        </w:rPr>
        <w:t>.</w:t>
      </w:r>
    </w:p>
    <w:p w14:paraId="75C93D2A" w14:textId="77777777" w:rsidR="007F24B7" w:rsidRPr="00172374" w:rsidRDefault="003244A5" w:rsidP="000D59B1">
      <w:pPr>
        <w:tabs>
          <w:tab w:val="left" w:pos="-284"/>
          <w:tab w:val="left" w:pos="0"/>
          <w:tab w:val="left" w:pos="142"/>
        </w:tabs>
        <w:spacing w:line="480" w:lineRule="auto"/>
        <w:ind w:hanging="786"/>
        <w:rPr>
          <w:b/>
        </w:rPr>
      </w:pPr>
      <w:r w:rsidRPr="00172374">
        <w:rPr>
          <w:b/>
          <w:noProof/>
          <w:lang w:val="en-GB" w:eastAsia="en-GB"/>
        </w:rPr>
        <mc:AlternateContent>
          <mc:Choice Requires="wpg">
            <w:drawing>
              <wp:anchor distT="0" distB="0" distL="114300" distR="114300" simplePos="0" relativeHeight="251664384" behindDoc="0" locked="0" layoutInCell="1" allowOverlap="1" wp14:anchorId="0B61418F" wp14:editId="2D1CB596">
                <wp:simplePos x="0" y="0"/>
                <wp:positionH relativeFrom="column">
                  <wp:posOffset>109220</wp:posOffset>
                </wp:positionH>
                <wp:positionV relativeFrom="paragraph">
                  <wp:posOffset>3175</wp:posOffset>
                </wp:positionV>
                <wp:extent cx="5321300" cy="2832100"/>
                <wp:effectExtent l="0" t="0" r="12700" b="25400"/>
                <wp:wrapNone/>
                <wp:docPr id="1" name="Ομάδα 1"/>
                <wp:cNvGraphicFramePr/>
                <a:graphic xmlns:a="http://schemas.openxmlformats.org/drawingml/2006/main">
                  <a:graphicData uri="http://schemas.microsoft.com/office/word/2010/wordprocessingGroup">
                    <wpg:wgp>
                      <wpg:cNvGrpSpPr/>
                      <wpg:grpSpPr>
                        <a:xfrm>
                          <a:off x="0" y="0"/>
                          <a:ext cx="5321300" cy="2832100"/>
                          <a:chOff x="0" y="0"/>
                          <a:chExt cx="5321300" cy="2832100"/>
                        </a:xfrm>
                      </wpg:grpSpPr>
                      <wps:wsp>
                        <wps:cNvPr id="278" name="Οβάλ 278"/>
                        <wps:cNvSpPr>
                          <a:spLocks/>
                        </wps:cNvSpPr>
                        <wps:spPr>
                          <a:xfrm>
                            <a:off x="0" y="984250"/>
                            <a:ext cx="1371600" cy="723900"/>
                          </a:xfrm>
                          <a:prstGeom prst="ellipse">
                            <a:avLst/>
                          </a:prstGeom>
                          <a:noFill/>
                          <a:ln w="6350" cap="flat" cmpd="sng" algn="ctr">
                            <a:solidFill>
                              <a:sysClr val="windowText" lastClr="000000"/>
                            </a:solidFill>
                            <a:prstDash val="solid"/>
                            <a:miter lim="800000"/>
                          </a:ln>
                          <a:effectLst/>
                        </wps:spPr>
                        <wps:txbx>
                          <w:txbxContent>
                            <w:p w14:paraId="26DCC907" w14:textId="097C3118" w:rsidR="00142323" w:rsidRPr="003238D0" w:rsidRDefault="00142323" w:rsidP="007F5B99">
                              <w:pPr>
                                <w:jc w:val="center"/>
                                <w:rPr>
                                  <w:b/>
                                  <w:color w:val="000000"/>
                                  <w:sz w:val="20"/>
                                  <w:szCs w:val="20"/>
                                </w:rPr>
                              </w:pPr>
                              <w:r w:rsidRPr="003238D0">
                                <w:rPr>
                                  <w:b/>
                                  <w:color w:val="000000"/>
                                  <w:sz w:val="20"/>
                                  <w:szCs w:val="20"/>
                                </w:rPr>
                                <w:t xml:space="preserve">Marketing </w:t>
                              </w:r>
                              <w:r>
                                <w:rPr>
                                  <w:b/>
                                  <w:color w:val="000000"/>
                                  <w:sz w:val="20"/>
                                  <w:szCs w:val="20"/>
                                </w:rPr>
                                <w:t>d</w:t>
                              </w:r>
                              <w:r w:rsidRPr="003238D0">
                                <w:rPr>
                                  <w:b/>
                                  <w:color w:val="000000"/>
                                  <w:sz w:val="20"/>
                                  <w:szCs w:val="20"/>
                                </w:rPr>
                                <w:t xml:space="preserve">epartment </w:t>
                              </w:r>
                              <w:r>
                                <w:rPr>
                                  <w:b/>
                                  <w:color w:val="000000"/>
                                  <w:sz w:val="20"/>
                                  <w:szCs w:val="20"/>
                                </w:rPr>
                                <w:t>p</w:t>
                              </w:r>
                              <w:r w:rsidRPr="003238D0">
                                <w:rPr>
                                  <w:b/>
                                  <w:color w:val="000000"/>
                                  <w:sz w:val="20"/>
                                  <w:szCs w:val="20"/>
                                </w:rPr>
                                <w:t>ower</w:t>
                              </w:r>
                              <w:r w:rsidRPr="007F5B99">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9" name="Οβάλ 279"/>
                        <wps:cNvSpPr>
                          <a:spLocks/>
                        </wps:cNvSpPr>
                        <wps:spPr>
                          <a:xfrm>
                            <a:off x="1981200" y="0"/>
                            <a:ext cx="1371600" cy="723900"/>
                          </a:xfrm>
                          <a:prstGeom prst="ellipse">
                            <a:avLst/>
                          </a:prstGeom>
                          <a:noFill/>
                          <a:ln w="6350" cap="flat" cmpd="sng" algn="ctr">
                            <a:solidFill>
                              <a:sysClr val="windowText" lastClr="000000"/>
                            </a:solidFill>
                            <a:prstDash val="solid"/>
                            <a:miter lim="800000"/>
                          </a:ln>
                          <a:effectLst/>
                        </wps:spPr>
                        <wps:txbx>
                          <w:txbxContent>
                            <w:p w14:paraId="74DADC05" w14:textId="7C741020" w:rsidR="00142323" w:rsidRPr="003238D0" w:rsidRDefault="00142323" w:rsidP="007F5B99">
                              <w:pPr>
                                <w:jc w:val="center"/>
                                <w:rPr>
                                  <w:b/>
                                  <w:color w:val="000000"/>
                                  <w:sz w:val="20"/>
                                  <w:szCs w:val="20"/>
                                </w:rPr>
                              </w:pPr>
                              <w:r w:rsidRPr="003238D0">
                                <w:rPr>
                                  <w:b/>
                                  <w:color w:val="000000"/>
                                  <w:sz w:val="20"/>
                                  <w:szCs w:val="20"/>
                                </w:rPr>
                                <w:t xml:space="preserve">Market </w:t>
                              </w:r>
                              <w:r>
                                <w:rPr>
                                  <w:b/>
                                  <w:color w:val="000000"/>
                                  <w:sz w:val="20"/>
                                  <w:szCs w:val="20"/>
                                </w:rPr>
                                <w:t>o</w:t>
                              </w:r>
                              <w:r w:rsidRPr="003238D0">
                                <w:rPr>
                                  <w:b/>
                                  <w:color w:val="000000"/>
                                  <w:sz w:val="20"/>
                                  <w:szCs w:val="20"/>
                                </w:rPr>
                                <w:t>rientation</w:t>
                              </w:r>
                              <w:r w:rsidRPr="007F5B99">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0" name="Οβάλ 280"/>
                        <wps:cNvSpPr>
                          <a:spLocks/>
                        </wps:cNvSpPr>
                        <wps:spPr>
                          <a:xfrm>
                            <a:off x="1943100" y="2108200"/>
                            <a:ext cx="1371600" cy="723900"/>
                          </a:xfrm>
                          <a:prstGeom prst="ellipse">
                            <a:avLst/>
                          </a:prstGeom>
                          <a:noFill/>
                          <a:ln w="6350" cap="flat" cmpd="sng" algn="ctr">
                            <a:solidFill>
                              <a:sysClr val="windowText" lastClr="000000"/>
                            </a:solidFill>
                            <a:prstDash val="solid"/>
                            <a:miter lim="800000"/>
                          </a:ln>
                          <a:effectLst/>
                        </wps:spPr>
                        <wps:txbx>
                          <w:txbxContent>
                            <w:p w14:paraId="6F9BA6E9" w14:textId="0B9B947D" w:rsidR="00142323" w:rsidRPr="003238D0" w:rsidRDefault="00142323" w:rsidP="007F5B99">
                              <w:pPr>
                                <w:jc w:val="center"/>
                                <w:rPr>
                                  <w:b/>
                                  <w:color w:val="000000"/>
                                  <w:sz w:val="20"/>
                                  <w:szCs w:val="20"/>
                                </w:rPr>
                              </w:pPr>
                              <w:r w:rsidRPr="003238D0">
                                <w:rPr>
                                  <w:b/>
                                  <w:color w:val="000000"/>
                                  <w:sz w:val="20"/>
                                  <w:szCs w:val="20"/>
                                </w:rPr>
                                <w:t xml:space="preserve">Brand </w:t>
                              </w:r>
                              <w:r>
                                <w:rPr>
                                  <w:b/>
                                  <w:color w:val="000000"/>
                                  <w:sz w:val="20"/>
                                  <w:szCs w:val="20"/>
                                </w:rPr>
                                <w:t>o</w:t>
                              </w:r>
                              <w:r w:rsidRPr="003238D0">
                                <w:rPr>
                                  <w:b/>
                                  <w:color w:val="000000"/>
                                  <w:sz w:val="20"/>
                                  <w:szCs w:val="20"/>
                                </w:rPr>
                                <w:t>rientation</w:t>
                              </w:r>
                              <w:r w:rsidRPr="007F5B99">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1" name="Οβάλ 281"/>
                        <wps:cNvSpPr>
                          <a:spLocks/>
                        </wps:cNvSpPr>
                        <wps:spPr>
                          <a:xfrm>
                            <a:off x="3949700" y="1054100"/>
                            <a:ext cx="1371600" cy="723900"/>
                          </a:xfrm>
                          <a:prstGeom prst="ellipse">
                            <a:avLst/>
                          </a:prstGeom>
                          <a:noFill/>
                          <a:ln w="6350" cap="flat" cmpd="sng" algn="ctr">
                            <a:solidFill>
                              <a:sysClr val="windowText" lastClr="000000"/>
                            </a:solidFill>
                            <a:prstDash val="solid"/>
                            <a:miter lim="800000"/>
                          </a:ln>
                          <a:effectLst/>
                        </wps:spPr>
                        <wps:txbx>
                          <w:txbxContent>
                            <w:p w14:paraId="789F81FE" w14:textId="2D15D26A" w:rsidR="00142323" w:rsidRPr="003238D0" w:rsidRDefault="00142323" w:rsidP="007F5B99">
                              <w:pPr>
                                <w:jc w:val="center"/>
                                <w:rPr>
                                  <w:b/>
                                  <w:color w:val="000000"/>
                                  <w:sz w:val="20"/>
                                  <w:szCs w:val="20"/>
                                </w:rPr>
                              </w:pPr>
                              <w:r>
                                <w:rPr>
                                  <w:b/>
                                  <w:color w:val="000000"/>
                                  <w:sz w:val="20"/>
                                  <w:szCs w:val="20"/>
                                </w:rPr>
                                <w:t>Financial</w:t>
                              </w:r>
                              <w:r w:rsidRPr="003238D0">
                                <w:rPr>
                                  <w:b/>
                                  <w:color w:val="000000"/>
                                  <w:sz w:val="20"/>
                                  <w:szCs w:val="20"/>
                                </w:rPr>
                                <w:t xml:space="preserve"> </w:t>
                              </w:r>
                              <w:r>
                                <w:rPr>
                                  <w:b/>
                                  <w:color w:val="000000"/>
                                  <w:sz w:val="20"/>
                                  <w:szCs w:val="20"/>
                                </w:rPr>
                                <w:t>p</w:t>
                              </w:r>
                              <w:r w:rsidRPr="003238D0">
                                <w:rPr>
                                  <w:b/>
                                  <w:color w:val="000000"/>
                                  <w:sz w:val="20"/>
                                  <w:szCs w:val="20"/>
                                </w:rPr>
                                <w:t>erformance</w:t>
                              </w:r>
                              <w:r w:rsidRPr="007F5B99">
                                <w:rPr>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2" name="Ευθύγραμμο βέλος σύνδεσης 282"/>
                        <wps:cNvCnPr>
                          <a:cxnSpLocks/>
                        </wps:cNvCnPr>
                        <wps:spPr>
                          <a:xfrm flipV="1">
                            <a:off x="1098550" y="488950"/>
                            <a:ext cx="927100" cy="558800"/>
                          </a:xfrm>
                          <a:prstGeom prst="straightConnector1">
                            <a:avLst/>
                          </a:prstGeom>
                          <a:noFill/>
                          <a:ln w="6350" cap="flat" cmpd="sng" algn="ctr">
                            <a:solidFill>
                              <a:sysClr val="windowText" lastClr="000000"/>
                            </a:solidFill>
                            <a:prstDash val="solid"/>
                            <a:miter lim="800000"/>
                            <a:tailEnd type="triangle"/>
                          </a:ln>
                          <a:effectLst/>
                        </wps:spPr>
                        <wps:bodyPr/>
                      </wps:wsp>
                      <wps:wsp>
                        <wps:cNvPr id="283" name="Ευθύγραμμο βέλος σύνδεσης 283"/>
                        <wps:cNvCnPr>
                          <a:cxnSpLocks/>
                        </wps:cNvCnPr>
                        <wps:spPr>
                          <a:xfrm>
                            <a:off x="1028700" y="1651000"/>
                            <a:ext cx="946150" cy="685800"/>
                          </a:xfrm>
                          <a:prstGeom prst="straightConnector1">
                            <a:avLst/>
                          </a:prstGeom>
                          <a:noFill/>
                          <a:ln w="6350" cap="flat" cmpd="sng" algn="ctr">
                            <a:solidFill>
                              <a:sysClr val="windowText" lastClr="000000"/>
                            </a:solidFill>
                            <a:prstDash val="solid"/>
                            <a:miter lim="800000"/>
                            <a:tailEnd type="triangle"/>
                          </a:ln>
                          <a:effectLst/>
                        </wps:spPr>
                        <wps:bodyPr/>
                      </wps:wsp>
                      <wps:wsp>
                        <wps:cNvPr id="284" name="Ευθύγραμμο βέλος σύνδεσης 284"/>
                        <wps:cNvCnPr>
                          <a:cxnSpLocks/>
                        </wps:cNvCnPr>
                        <wps:spPr>
                          <a:xfrm>
                            <a:off x="3302000" y="495300"/>
                            <a:ext cx="1003300" cy="584200"/>
                          </a:xfrm>
                          <a:prstGeom prst="straightConnector1">
                            <a:avLst/>
                          </a:prstGeom>
                          <a:noFill/>
                          <a:ln w="6350" cap="flat" cmpd="sng" algn="ctr">
                            <a:solidFill>
                              <a:sysClr val="windowText" lastClr="000000"/>
                            </a:solidFill>
                            <a:prstDash val="solid"/>
                            <a:miter lim="800000"/>
                            <a:tailEnd type="triangle"/>
                          </a:ln>
                          <a:effectLst/>
                        </wps:spPr>
                        <wps:bodyPr/>
                      </wps:wsp>
                      <wps:wsp>
                        <wps:cNvPr id="286" name="Ευθύγραμμο βέλος σύνδεσης 286"/>
                        <wps:cNvCnPr>
                          <a:cxnSpLocks/>
                        </wps:cNvCnPr>
                        <wps:spPr>
                          <a:xfrm>
                            <a:off x="2641600" y="723900"/>
                            <a:ext cx="0" cy="1384300"/>
                          </a:xfrm>
                          <a:prstGeom prst="straightConnector1">
                            <a:avLst/>
                          </a:prstGeom>
                          <a:noFill/>
                          <a:ln w="6350" cap="flat" cmpd="sng" algn="ctr">
                            <a:solidFill>
                              <a:sysClr val="windowText" lastClr="000000"/>
                            </a:solidFill>
                            <a:prstDash val="solid"/>
                            <a:miter lim="800000"/>
                            <a:tailEnd type="triangle"/>
                          </a:ln>
                          <a:effectLst/>
                        </wps:spPr>
                        <wps:bodyPr/>
                      </wps:wsp>
                      <wps:wsp>
                        <wps:cNvPr id="287" name="Ορθογώνιο 287"/>
                        <wps:cNvSpPr>
                          <a:spLocks/>
                        </wps:cNvSpPr>
                        <wps:spPr>
                          <a:xfrm>
                            <a:off x="1022350" y="533400"/>
                            <a:ext cx="768350" cy="273050"/>
                          </a:xfrm>
                          <a:prstGeom prst="rect">
                            <a:avLst/>
                          </a:prstGeom>
                          <a:noFill/>
                          <a:ln w="12700" cap="flat" cmpd="sng" algn="ctr">
                            <a:noFill/>
                            <a:prstDash val="solid"/>
                            <a:miter lim="800000"/>
                          </a:ln>
                          <a:effectLst/>
                        </wps:spPr>
                        <wps:txbx>
                          <w:txbxContent>
                            <w:p w14:paraId="47825345" w14:textId="77777777" w:rsidR="00142323" w:rsidRPr="007F5B99" w:rsidRDefault="00142323" w:rsidP="007F5B99">
                              <w:pPr>
                                <w:jc w:val="center"/>
                              </w:pPr>
                              <w:r w:rsidRPr="003238D0">
                                <w:rPr>
                                  <w:b/>
                                  <w:color w:val="000000"/>
                                  <w:sz w:val="20"/>
                                  <w:szCs w:val="20"/>
                                </w:rPr>
                                <w:t>+0.46***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8" name="Ορθογώνιο 288"/>
                        <wps:cNvSpPr>
                          <a:spLocks/>
                        </wps:cNvSpPr>
                        <wps:spPr>
                          <a:xfrm>
                            <a:off x="2559050" y="1193800"/>
                            <a:ext cx="692150" cy="273050"/>
                          </a:xfrm>
                          <a:prstGeom prst="rect">
                            <a:avLst/>
                          </a:prstGeom>
                          <a:noFill/>
                          <a:ln w="12700" cap="flat" cmpd="sng" algn="ctr">
                            <a:noFill/>
                            <a:prstDash val="solid"/>
                            <a:miter lim="800000"/>
                          </a:ln>
                          <a:effectLst/>
                        </wps:spPr>
                        <wps:txbx>
                          <w:txbxContent>
                            <w:p w14:paraId="2FF9B290" w14:textId="77777777" w:rsidR="00142323" w:rsidRPr="007F5B99" w:rsidRDefault="00142323" w:rsidP="008C18E9">
                              <w:r w:rsidRPr="003238D0">
                                <w:rPr>
                                  <w:b/>
                                  <w:color w:val="000000"/>
                                  <w:sz w:val="20"/>
                                  <w:szCs w:val="20"/>
                                </w:rPr>
                                <w:t>+0.79***</w:t>
                              </w:r>
                              <w:r w:rsidRPr="007F5B99">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9" name="Ορθογώνιο 289"/>
                        <wps:cNvSpPr>
                          <a:spLocks/>
                        </wps:cNvSpPr>
                        <wps:spPr>
                          <a:xfrm>
                            <a:off x="1022350" y="2006600"/>
                            <a:ext cx="768350" cy="273050"/>
                          </a:xfrm>
                          <a:prstGeom prst="rect">
                            <a:avLst/>
                          </a:prstGeom>
                          <a:noFill/>
                          <a:ln w="12700" cap="flat" cmpd="sng" algn="ctr">
                            <a:noFill/>
                            <a:prstDash val="solid"/>
                            <a:miter lim="800000"/>
                          </a:ln>
                          <a:effectLst/>
                        </wps:spPr>
                        <wps:txbx>
                          <w:txbxContent>
                            <w:p w14:paraId="62E9B2A6" w14:textId="77777777" w:rsidR="00142323" w:rsidRPr="007F5B99" w:rsidRDefault="00142323" w:rsidP="007F5B99">
                              <w:pPr>
                                <w:jc w:val="center"/>
                              </w:pPr>
                              <w:r w:rsidRPr="003238D0">
                                <w:rPr>
                                  <w:b/>
                                  <w:color w:val="000000"/>
                                  <w:sz w:val="20"/>
                                  <w:szCs w:val="20"/>
                                </w:rPr>
                                <w:t>+0.17**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Ορθογώνιο 290"/>
                        <wps:cNvSpPr>
                          <a:spLocks/>
                        </wps:cNvSpPr>
                        <wps:spPr>
                          <a:xfrm>
                            <a:off x="3524250" y="514350"/>
                            <a:ext cx="768350" cy="273050"/>
                          </a:xfrm>
                          <a:prstGeom prst="rect">
                            <a:avLst/>
                          </a:prstGeom>
                          <a:noFill/>
                          <a:ln w="12700" cap="flat" cmpd="sng" algn="ctr">
                            <a:noFill/>
                            <a:prstDash val="solid"/>
                            <a:miter lim="800000"/>
                          </a:ln>
                          <a:effectLst/>
                        </wps:spPr>
                        <wps:txbx>
                          <w:txbxContent>
                            <w:p w14:paraId="16C47201" w14:textId="77777777" w:rsidR="00142323" w:rsidRPr="007F5B99" w:rsidRDefault="00142323" w:rsidP="007F5B99">
                              <w:pPr>
                                <w:jc w:val="center"/>
                              </w:pPr>
                              <w:r w:rsidRPr="003238D0">
                                <w:rPr>
                                  <w:b/>
                                  <w:color w:val="000000"/>
                                  <w:sz w:val="20"/>
                                  <w:szCs w:val="20"/>
                                </w:rPr>
                                <w:t>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Ορθογώνιο 291"/>
                        <wps:cNvSpPr>
                          <a:spLocks/>
                        </wps:cNvSpPr>
                        <wps:spPr>
                          <a:xfrm>
                            <a:off x="3587750" y="2038350"/>
                            <a:ext cx="768350" cy="273050"/>
                          </a:xfrm>
                          <a:prstGeom prst="rect">
                            <a:avLst/>
                          </a:prstGeom>
                          <a:noFill/>
                          <a:ln w="12700" cap="flat" cmpd="sng" algn="ctr">
                            <a:noFill/>
                            <a:prstDash val="solid"/>
                            <a:miter lim="800000"/>
                          </a:ln>
                          <a:effectLst/>
                        </wps:spPr>
                        <wps:txbx>
                          <w:txbxContent>
                            <w:p w14:paraId="50B6FB46" w14:textId="77777777" w:rsidR="00142323" w:rsidRPr="007F5B99" w:rsidRDefault="00142323" w:rsidP="007F5B99">
                              <w:pPr>
                                <w:jc w:val="center"/>
                              </w:pPr>
                              <w:r w:rsidRPr="003238D0">
                                <w:rPr>
                                  <w:b/>
                                  <w:color w:val="000000"/>
                                  <w:sz w:val="20"/>
                                  <w:szCs w:val="20"/>
                                </w:rPr>
                                <w:t>+0.54**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61418F" id="Ομάδα 1" o:spid="_x0000_s1026" style="position:absolute;margin-left:8.6pt;margin-top:.25pt;width:419pt;height:223pt;z-index:251664384" coordsize="53213,28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">
                <v:oval id="Οβάλ 278" o:spid="_x0000_s1027" style="position:absolute;top:9842;width:1371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" filled="f" strokecolor="windowText" strokeweight=".5pt">
                  <v:stroke joinstyle="miter"/>
                  <v:path arrowok="t"/>
                  <v:textbox>
                    <w:txbxContent>
                      <w:p w14:paraId="26DCC907" w14:textId="097C3118" w:rsidR="00142323" w:rsidRPr="003238D0" w:rsidRDefault="00142323" w:rsidP="007F5B99">
                        <w:pPr>
                          <w:jc w:val="center"/>
                          <w:rPr>
                            <w:b/>
                            <w:color w:val="000000"/>
                            <w:sz w:val="20"/>
                            <w:szCs w:val="20"/>
                          </w:rPr>
                        </w:pPr>
                        <w:r w:rsidRPr="003238D0">
                          <w:rPr>
                            <w:b/>
                            <w:color w:val="000000"/>
                            <w:sz w:val="20"/>
                            <w:szCs w:val="20"/>
                          </w:rPr>
                          <w:t xml:space="preserve">Marketing </w:t>
                        </w:r>
                        <w:r>
                          <w:rPr>
                            <w:b/>
                            <w:color w:val="000000"/>
                            <w:sz w:val="20"/>
                            <w:szCs w:val="20"/>
                          </w:rPr>
                          <w:t>d</w:t>
                        </w:r>
                        <w:r w:rsidRPr="003238D0">
                          <w:rPr>
                            <w:b/>
                            <w:color w:val="000000"/>
                            <w:sz w:val="20"/>
                            <w:szCs w:val="20"/>
                          </w:rPr>
                          <w:t xml:space="preserve">epartment </w:t>
                        </w:r>
                        <w:r>
                          <w:rPr>
                            <w:b/>
                            <w:color w:val="000000"/>
                            <w:sz w:val="20"/>
                            <w:szCs w:val="20"/>
                          </w:rPr>
                          <w:t>p</w:t>
                        </w:r>
                        <w:r w:rsidRPr="003238D0">
                          <w:rPr>
                            <w:b/>
                            <w:color w:val="000000"/>
                            <w:sz w:val="20"/>
                            <w:szCs w:val="20"/>
                          </w:rPr>
                          <w:t>ower</w:t>
                        </w:r>
                        <w:r w:rsidRPr="007F5B99">
                          <w:rPr>
                            <w:sz w:val="20"/>
                            <w:szCs w:val="20"/>
                          </w:rPr>
                          <w:t xml:space="preserve"> </w:t>
                        </w:r>
                      </w:p>
                    </w:txbxContent>
                  </v:textbox>
                </v:oval>
                <v:oval id="Οβάλ 279" o:spid="_x0000_s1028" style="position:absolute;left:19812;width:1371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" filled="f" strokecolor="windowText" strokeweight=".5pt">
                  <v:stroke joinstyle="miter"/>
                  <v:path arrowok="t"/>
                  <v:textbox>
                    <w:txbxContent>
                      <w:p w14:paraId="74DADC05" w14:textId="7C741020" w:rsidR="00142323" w:rsidRPr="003238D0" w:rsidRDefault="00142323" w:rsidP="007F5B99">
                        <w:pPr>
                          <w:jc w:val="center"/>
                          <w:rPr>
                            <w:b/>
                            <w:color w:val="000000"/>
                            <w:sz w:val="20"/>
                            <w:szCs w:val="20"/>
                          </w:rPr>
                        </w:pPr>
                        <w:r w:rsidRPr="003238D0">
                          <w:rPr>
                            <w:b/>
                            <w:color w:val="000000"/>
                            <w:sz w:val="20"/>
                            <w:szCs w:val="20"/>
                          </w:rPr>
                          <w:t xml:space="preserve">Market </w:t>
                        </w:r>
                        <w:r>
                          <w:rPr>
                            <w:b/>
                            <w:color w:val="000000"/>
                            <w:sz w:val="20"/>
                            <w:szCs w:val="20"/>
                          </w:rPr>
                          <w:t>o</w:t>
                        </w:r>
                        <w:r w:rsidRPr="003238D0">
                          <w:rPr>
                            <w:b/>
                            <w:color w:val="000000"/>
                            <w:sz w:val="20"/>
                            <w:szCs w:val="20"/>
                          </w:rPr>
                          <w:t>rientation</w:t>
                        </w:r>
                        <w:r w:rsidRPr="007F5B99">
                          <w:rPr>
                            <w:sz w:val="20"/>
                            <w:szCs w:val="20"/>
                          </w:rPr>
                          <w:t xml:space="preserve"> </w:t>
                        </w:r>
                      </w:p>
                    </w:txbxContent>
                  </v:textbox>
                </v:oval>
                <v:oval id="Οβάλ 280" o:spid="_x0000_s1029" style="position:absolute;left:19431;top:21082;width:1371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" filled="f" strokecolor="windowText" strokeweight=".5pt">
                  <v:stroke joinstyle="miter"/>
                  <v:path arrowok="t"/>
                  <v:textbox>
                    <w:txbxContent>
                      <w:p w14:paraId="6F9BA6E9" w14:textId="0B9B947D" w:rsidR="00142323" w:rsidRPr="003238D0" w:rsidRDefault="00142323" w:rsidP="007F5B99">
                        <w:pPr>
                          <w:jc w:val="center"/>
                          <w:rPr>
                            <w:b/>
                            <w:color w:val="000000"/>
                            <w:sz w:val="20"/>
                            <w:szCs w:val="20"/>
                          </w:rPr>
                        </w:pPr>
                        <w:r w:rsidRPr="003238D0">
                          <w:rPr>
                            <w:b/>
                            <w:color w:val="000000"/>
                            <w:sz w:val="20"/>
                            <w:szCs w:val="20"/>
                          </w:rPr>
                          <w:t xml:space="preserve">Brand </w:t>
                        </w:r>
                        <w:r>
                          <w:rPr>
                            <w:b/>
                            <w:color w:val="000000"/>
                            <w:sz w:val="20"/>
                            <w:szCs w:val="20"/>
                          </w:rPr>
                          <w:t>o</w:t>
                        </w:r>
                        <w:r w:rsidRPr="003238D0">
                          <w:rPr>
                            <w:b/>
                            <w:color w:val="000000"/>
                            <w:sz w:val="20"/>
                            <w:szCs w:val="20"/>
                          </w:rPr>
                          <w:t>rientation</w:t>
                        </w:r>
                        <w:r w:rsidRPr="007F5B99">
                          <w:rPr>
                            <w:sz w:val="20"/>
                            <w:szCs w:val="20"/>
                          </w:rPr>
                          <w:t xml:space="preserve"> </w:t>
                        </w:r>
                      </w:p>
                    </w:txbxContent>
                  </v:textbox>
                </v:oval>
                <v:oval id="Οβάλ 281" o:spid="_x0000_s1030" style="position:absolute;left:39497;top:10541;width:13716;height:7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" filled="f" strokecolor="windowText" strokeweight=".5pt">
                  <v:stroke joinstyle="miter"/>
                  <v:path arrowok="t"/>
                  <v:textbox>
                    <w:txbxContent>
                      <w:p w14:paraId="789F81FE" w14:textId="2D15D26A" w:rsidR="00142323" w:rsidRPr="003238D0" w:rsidRDefault="00142323" w:rsidP="007F5B99">
                        <w:pPr>
                          <w:jc w:val="center"/>
                          <w:rPr>
                            <w:b/>
                            <w:color w:val="000000"/>
                            <w:sz w:val="20"/>
                            <w:szCs w:val="20"/>
                          </w:rPr>
                        </w:pPr>
                        <w:r>
                          <w:rPr>
                            <w:b/>
                            <w:color w:val="000000"/>
                            <w:sz w:val="20"/>
                            <w:szCs w:val="20"/>
                          </w:rPr>
                          <w:t>Financial</w:t>
                        </w:r>
                        <w:r w:rsidRPr="003238D0">
                          <w:rPr>
                            <w:b/>
                            <w:color w:val="000000"/>
                            <w:sz w:val="20"/>
                            <w:szCs w:val="20"/>
                          </w:rPr>
                          <w:t xml:space="preserve"> </w:t>
                        </w:r>
                        <w:r>
                          <w:rPr>
                            <w:b/>
                            <w:color w:val="000000"/>
                            <w:sz w:val="20"/>
                            <w:szCs w:val="20"/>
                          </w:rPr>
                          <w:t>p</w:t>
                        </w:r>
                        <w:r w:rsidRPr="003238D0">
                          <w:rPr>
                            <w:b/>
                            <w:color w:val="000000"/>
                            <w:sz w:val="20"/>
                            <w:szCs w:val="20"/>
                          </w:rPr>
                          <w:t>erformance</w:t>
                        </w:r>
                        <w:r w:rsidRPr="007F5B99">
                          <w:rPr>
                            <w:sz w:val="20"/>
                            <w:szCs w:val="20"/>
                          </w:rPr>
                          <w:t xml:space="preserve"> </w:t>
                        </w:r>
                      </w:p>
                    </w:txbxContent>
                  </v:textbox>
                </v:oval>
                <v:shapetype id="_x0000_t32" coordsize="21600,21600" o:spt="32" o:oned="t" path="m,l21600,21600e" filled="f">
                  <v:path arrowok="t" fillok="f" o:connecttype="none"/>
                  <o:lock v:ext="edit" shapetype="t"/>
                </v:shapetype>
                <v:shape id="Ευθύγραμμο βέλος σύνδεσης 282" o:spid="_x0000_s1031" type="#_x0000_t32" style="position:absolute;left:10985;top:4889;width:9271;height:55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" strokecolor="windowText" strokeweight=".5pt">
                  <v:stroke endarrow="block" joinstyle="miter"/>
                  <o:lock v:ext="edit" shapetype="f"/>
                </v:shape>
                <v:shape id="Ευθύγραμμο βέλος σύνδεσης 283" o:spid="_x0000_s1032" type="#_x0000_t32" style="position:absolute;left:10287;top:16510;width:9461;height:6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" strokecolor="windowText" strokeweight=".5pt">
                  <v:stroke endarrow="block" joinstyle="miter"/>
                  <o:lock v:ext="edit" shapetype="f"/>
                </v:shape>
                <v:shape id="Ευθύγραμμο βέλος σύνδεσης 284" o:spid="_x0000_s1033" type="#_x0000_t32" style="position:absolute;left:33020;top:4953;width:10033;height:5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" strokecolor="windowText" strokeweight=".5pt">
                  <v:stroke endarrow="block" joinstyle="miter"/>
                  <o:lock v:ext="edit" shapetype="f"/>
                </v:shape>
                <v:shape id="Ευθύγραμμο βέλος σύνδεσης 286" o:spid="_x0000_s1034" type="#_x0000_t32" style="position:absolute;left:26416;top:7239;width:0;height:138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" strokecolor="windowText" strokeweight=".5pt">
                  <v:stroke endarrow="block" joinstyle="miter"/>
                  <o:lock v:ext="edit" shapetype="f"/>
                </v:shape>
                <v:rect id="Ορθογώνιο 287" o:spid="_x0000_s1035" style="position:absolute;left:10223;top:5334;width:768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" filled="f" stroked="f" strokeweight="1pt">
                  <v:textbox>
                    <w:txbxContent>
                      <w:p w14:paraId="47825345" w14:textId="77777777" w:rsidR="00142323" w:rsidRPr="007F5B99" w:rsidRDefault="00142323" w:rsidP="007F5B99">
                        <w:pPr>
                          <w:jc w:val="center"/>
                        </w:pPr>
                        <w:r w:rsidRPr="003238D0">
                          <w:rPr>
                            <w:b/>
                            <w:color w:val="000000"/>
                            <w:sz w:val="20"/>
                            <w:szCs w:val="20"/>
                          </w:rPr>
                          <w:t>+0.46***</w:t>
                        </w:r>
                      </w:p>
                    </w:txbxContent>
                  </v:textbox>
                </v:rect>
                <v:rect id="Ορθογώνιο 288" o:spid="_x0000_s1036" style="position:absolute;left:25590;top:11938;width:6922;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" filled="f" stroked="f" strokeweight="1pt">
                  <v:textbox>
                    <w:txbxContent>
                      <w:p w14:paraId="2FF9B290" w14:textId="77777777" w:rsidR="00142323" w:rsidRPr="007F5B99" w:rsidRDefault="00142323" w:rsidP="008C18E9">
                        <w:r w:rsidRPr="003238D0">
                          <w:rPr>
                            <w:b/>
                            <w:color w:val="000000"/>
                            <w:sz w:val="20"/>
                            <w:szCs w:val="20"/>
                          </w:rPr>
                          <w:t>+0.79***</w:t>
                        </w:r>
                        <w:r w:rsidRPr="007F5B99">
                          <w:t>**</w:t>
                        </w:r>
                      </w:p>
                    </w:txbxContent>
                  </v:textbox>
                </v:rect>
                <v:rect id="Ορθογώνιο 289" o:spid="_x0000_s1037" style="position:absolute;left:10223;top:20066;width:768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" filled="f" stroked="f" strokeweight="1pt">
                  <v:textbox>
                    <w:txbxContent>
                      <w:p w14:paraId="62E9B2A6" w14:textId="77777777" w:rsidR="00142323" w:rsidRPr="007F5B99" w:rsidRDefault="00142323" w:rsidP="007F5B99">
                        <w:pPr>
                          <w:jc w:val="center"/>
                        </w:pPr>
                        <w:r w:rsidRPr="003238D0">
                          <w:rPr>
                            <w:b/>
                            <w:color w:val="000000"/>
                            <w:sz w:val="20"/>
                            <w:szCs w:val="20"/>
                          </w:rPr>
                          <w:t>+0.17**</w:t>
                        </w:r>
                      </w:p>
                    </w:txbxContent>
                  </v:textbox>
                </v:rect>
                <v:rect id="Ορθογώνιο 290" o:spid="_x0000_s1038" style="position:absolute;left:35242;top:5143;width:7684;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" filled="f" stroked="f" strokeweight="1pt">
                  <v:textbox>
                    <w:txbxContent>
                      <w:p w14:paraId="16C47201" w14:textId="77777777" w:rsidR="00142323" w:rsidRPr="007F5B99" w:rsidRDefault="00142323" w:rsidP="007F5B99">
                        <w:pPr>
                          <w:jc w:val="center"/>
                        </w:pPr>
                        <w:r w:rsidRPr="003238D0">
                          <w:rPr>
                            <w:b/>
                            <w:color w:val="000000"/>
                            <w:sz w:val="20"/>
                            <w:szCs w:val="20"/>
                          </w:rPr>
                          <w:t>n.s.</w:t>
                        </w:r>
                      </w:p>
                    </w:txbxContent>
                  </v:textbox>
                </v:rect>
                <v:rect id="Ορθογώνιο 291" o:spid="_x0000_s1039" style="position:absolute;left:35877;top:20383;width:7684;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" filled="f" stroked="f" strokeweight="1pt">
                  <v:textbox>
                    <w:txbxContent>
                      <w:p w14:paraId="50B6FB46" w14:textId="77777777" w:rsidR="00142323" w:rsidRPr="007F5B99" w:rsidRDefault="00142323" w:rsidP="007F5B99">
                        <w:pPr>
                          <w:jc w:val="center"/>
                        </w:pPr>
                        <w:r w:rsidRPr="003238D0">
                          <w:rPr>
                            <w:b/>
                            <w:color w:val="000000"/>
                            <w:sz w:val="20"/>
                            <w:szCs w:val="20"/>
                          </w:rPr>
                          <w:t>+0.54**</w:t>
                        </w:r>
                      </w:p>
                    </w:txbxContent>
                  </v:textbox>
                </v:rect>
              </v:group>
            </w:pict>
          </mc:Fallback>
        </mc:AlternateContent>
      </w:r>
    </w:p>
    <w:p w14:paraId="443C5E6E" w14:textId="77777777" w:rsidR="007F24B7" w:rsidRPr="00172374" w:rsidRDefault="007F24B7" w:rsidP="000D59B1">
      <w:pPr>
        <w:tabs>
          <w:tab w:val="left" w:pos="-284"/>
          <w:tab w:val="left" w:pos="0"/>
          <w:tab w:val="left" w:pos="142"/>
        </w:tabs>
        <w:spacing w:line="480" w:lineRule="auto"/>
        <w:ind w:hanging="786"/>
        <w:rPr>
          <w:b/>
        </w:rPr>
      </w:pPr>
    </w:p>
    <w:p w14:paraId="5AFF8AA2" w14:textId="77777777" w:rsidR="00BD493F" w:rsidRPr="00172374" w:rsidRDefault="00BD493F" w:rsidP="000D59B1">
      <w:pPr>
        <w:tabs>
          <w:tab w:val="left" w:pos="-284"/>
          <w:tab w:val="left" w:pos="0"/>
          <w:tab w:val="left" w:pos="142"/>
        </w:tabs>
        <w:spacing w:line="480" w:lineRule="auto"/>
        <w:ind w:hanging="360"/>
        <w:jc w:val="center"/>
        <w:rPr>
          <w:b/>
        </w:rPr>
      </w:pPr>
    </w:p>
    <w:p w14:paraId="18765F8A" w14:textId="77777777" w:rsidR="00BD493F" w:rsidRPr="00172374" w:rsidRDefault="00BD493F" w:rsidP="000D59B1">
      <w:pPr>
        <w:tabs>
          <w:tab w:val="left" w:pos="-284"/>
          <w:tab w:val="left" w:pos="0"/>
          <w:tab w:val="left" w:pos="142"/>
        </w:tabs>
        <w:spacing w:line="480" w:lineRule="auto"/>
        <w:ind w:hanging="360"/>
        <w:jc w:val="center"/>
        <w:rPr>
          <w:b/>
        </w:rPr>
      </w:pPr>
    </w:p>
    <w:p w14:paraId="103C002F" w14:textId="77777777" w:rsidR="00BD493F" w:rsidRPr="00172374" w:rsidRDefault="00021082" w:rsidP="000D59B1">
      <w:pPr>
        <w:tabs>
          <w:tab w:val="left" w:pos="-284"/>
          <w:tab w:val="left" w:pos="0"/>
          <w:tab w:val="left" w:pos="142"/>
        </w:tabs>
        <w:spacing w:line="480" w:lineRule="auto"/>
        <w:ind w:hanging="360"/>
        <w:jc w:val="center"/>
        <w:rPr>
          <w:b/>
        </w:rPr>
      </w:pPr>
      <w:r w:rsidRPr="00172374">
        <w:rPr>
          <w:noProof/>
          <w:lang w:val="en-GB" w:eastAsia="en-GB"/>
        </w:rPr>
        <mc:AlternateContent>
          <mc:Choice Requires="wps">
            <w:drawing>
              <wp:anchor distT="0" distB="0" distL="114300" distR="114300" simplePos="0" relativeHeight="251657216" behindDoc="0" locked="0" layoutInCell="1" allowOverlap="1" wp14:anchorId="416EFC88" wp14:editId="59DABA5B">
                <wp:simplePos x="0" y="0"/>
                <wp:positionH relativeFrom="column">
                  <wp:posOffset>3411220</wp:posOffset>
                </wp:positionH>
                <wp:positionV relativeFrom="paragraph">
                  <wp:posOffset>347345</wp:posOffset>
                </wp:positionV>
                <wp:extent cx="1022350" cy="647700"/>
                <wp:effectExtent l="0" t="38100" r="44450" b="0"/>
                <wp:wrapNone/>
                <wp:docPr id="285" name="Ευθύγραμμο βέλος σύνδεσης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022350" cy="647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42DB94E" id="Ευθύγραμμο βέλος σύνδεσης 285" o:spid="_x0000_s1026" type="#_x0000_t32" style="position:absolute;margin-left:268.6pt;margin-top:27.35pt;width:80.5pt;height:51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" strokecolor="windowText" strokeweight=".5pt">
                <v:stroke endarrow="block" joinstyle="miter"/>
                <o:lock v:ext="edit" shapetype="f"/>
              </v:shape>
            </w:pict>
          </mc:Fallback>
        </mc:AlternateContent>
      </w:r>
    </w:p>
    <w:p w14:paraId="68DFD6C0" w14:textId="77777777" w:rsidR="00BD493F" w:rsidRPr="00172374" w:rsidRDefault="00BD493F" w:rsidP="000D59B1">
      <w:pPr>
        <w:tabs>
          <w:tab w:val="left" w:pos="-284"/>
          <w:tab w:val="left" w:pos="0"/>
          <w:tab w:val="left" w:pos="142"/>
        </w:tabs>
        <w:spacing w:line="480" w:lineRule="auto"/>
        <w:ind w:hanging="360"/>
        <w:jc w:val="center"/>
        <w:rPr>
          <w:b/>
        </w:rPr>
      </w:pPr>
    </w:p>
    <w:p w14:paraId="6E3E6F1F" w14:textId="77777777" w:rsidR="00BD493F" w:rsidRPr="00172374" w:rsidRDefault="00BD493F" w:rsidP="000D59B1">
      <w:pPr>
        <w:tabs>
          <w:tab w:val="left" w:pos="-284"/>
          <w:tab w:val="left" w:pos="0"/>
          <w:tab w:val="left" w:pos="142"/>
        </w:tabs>
        <w:spacing w:line="480" w:lineRule="auto"/>
        <w:ind w:hanging="360"/>
        <w:jc w:val="center"/>
        <w:rPr>
          <w:b/>
        </w:rPr>
      </w:pPr>
    </w:p>
    <w:p w14:paraId="6C39DD43" w14:textId="77777777" w:rsidR="00BD493F" w:rsidRPr="00172374" w:rsidRDefault="00BD493F" w:rsidP="000D59B1">
      <w:pPr>
        <w:tabs>
          <w:tab w:val="left" w:pos="-284"/>
          <w:tab w:val="left" w:pos="0"/>
          <w:tab w:val="left" w:pos="142"/>
        </w:tabs>
        <w:spacing w:line="480" w:lineRule="auto"/>
        <w:ind w:hanging="360"/>
        <w:jc w:val="center"/>
        <w:rPr>
          <w:b/>
        </w:rPr>
      </w:pPr>
    </w:p>
    <w:p w14:paraId="02EA4DDA" w14:textId="77777777" w:rsidR="007F5B99" w:rsidRPr="00172374" w:rsidRDefault="007F5B99" w:rsidP="00BD493F">
      <w:pPr>
        <w:tabs>
          <w:tab w:val="left" w:pos="-284"/>
          <w:tab w:val="left" w:pos="0"/>
          <w:tab w:val="left" w:pos="142"/>
        </w:tabs>
        <w:rPr>
          <w:b/>
          <w:sz w:val="20"/>
          <w:szCs w:val="20"/>
        </w:rPr>
      </w:pPr>
    </w:p>
    <w:p w14:paraId="71B95712" w14:textId="77777777" w:rsidR="007F5B99" w:rsidRPr="00172374" w:rsidRDefault="007F5B99" w:rsidP="00BD493F">
      <w:pPr>
        <w:tabs>
          <w:tab w:val="left" w:pos="-284"/>
          <w:tab w:val="left" w:pos="0"/>
          <w:tab w:val="left" w:pos="142"/>
        </w:tabs>
        <w:rPr>
          <w:b/>
          <w:sz w:val="20"/>
          <w:szCs w:val="20"/>
        </w:rPr>
      </w:pPr>
    </w:p>
    <w:p w14:paraId="4A75C54D" w14:textId="10E3646D" w:rsidR="004A7F54" w:rsidRPr="00172374" w:rsidRDefault="00BD493F" w:rsidP="004A7F54">
      <w:pPr>
        <w:tabs>
          <w:tab w:val="left" w:pos="-284"/>
          <w:tab w:val="left" w:pos="0"/>
          <w:tab w:val="left" w:pos="142"/>
        </w:tabs>
        <w:rPr>
          <w:bCs/>
          <w:sz w:val="20"/>
          <w:szCs w:val="20"/>
        </w:rPr>
      </w:pPr>
      <w:r w:rsidRPr="00172374">
        <w:rPr>
          <w:bCs/>
          <w:sz w:val="20"/>
          <w:szCs w:val="20"/>
        </w:rPr>
        <w:t xml:space="preserve">Note: </w:t>
      </w:r>
      <w:r w:rsidR="004A7F54" w:rsidRPr="00172374">
        <w:rPr>
          <w:bCs/>
          <w:sz w:val="20"/>
          <w:szCs w:val="20"/>
        </w:rPr>
        <w:t>For indirect effects and control variables’ estimates, see Table 1</w:t>
      </w:r>
      <w:r w:rsidR="00415A50" w:rsidRPr="00172374">
        <w:rPr>
          <w:bCs/>
          <w:sz w:val="20"/>
          <w:szCs w:val="20"/>
        </w:rPr>
        <w:t>4</w:t>
      </w:r>
      <w:r w:rsidR="004A7F54" w:rsidRPr="00172374">
        <w:rPr>
          <w:bCs/>
          <w:sz w:val="20"/>
          <w:szCs w:val="20"/>
        </w:rPr>
        <w:t>.</w:t>
      </w:r>
    </w:p>
    <w:p w14:paraId="17212895" w14:textId="1DFCD8E8" w:rsidR="009F5BFA" w:rsidRPr="004E24CA" w:rsidRDefault="00BD493F" w:rsidP="00BD493F">
      <w:pPr>
        <w:tabs>
          <w:tab w:val="left" w:pos="-284"/>
          <w:tab w:val="left" w:pos="0"/>
          <w:tab w:val="left" w:pos="142"/>
        </w:tabs>
        <w:rPr>
          <w:bCs/>
          <w:sz w:val="20"/>
          <w:szCs w:val="20"/>
        </w:rPr>
      </w:pPr>
      <w:r w:rsidRPr="00172374">
        <w:rPr>
          <w:bCs/>
          <w:sz w:val="20"/>
          <w:szCs w:val="20"/>
        </w:rPr>
        <w:t>***</w:t>
      </w:r>
      <w:r w:rsidR="004A7F54" w:rsidRPr="00172374">
        <w:rPr>
          <w:bCs/>
          <w:i/>
          <w:iCs/>
          <w:sz w:val="20"/>
          <w:szCs w:val="20"/>
        </w:rPr>
        <w:t xml:space="preserve">p </w:t>
      </w:r>
      <w:r w:rsidRPr="00172374">
        <w:rPr>
          <w:bCs/>
          <w:sz w:val="20"/>
          <w:szCs w:val="20"/>
        </w:rPr>
        <w:t>&lt; 0.001. **</w:t>
      </w:r>
      <w:r w:rsidR="004A7F54" w:rsidRPr="00172374">
        <w:rPr>
          <w:bCs/>
          <w:sz w:val="20"/>
          <w:szCs w:val="20"/>
        </w:rPr>
        <w:t xml:space="preserve"> </w:t>
      </w:r>
      <w:r w:rsidR="004A7F54" w:rsidRPr="00172374">
        <w:rPr>
          <w:bCs/>
          <w:i/>
          <w:iCs/>
          <w:sz w:val="20"/>
          <w:szCs w:val="20"/>
        </w:rPr>
        <w:t>p</w:t>
      </w:r>
      <w:r w:rsidRPr="00172374">
        <w:rPr>
          <w:bCs/>
          <w:sz w:val="20"/>
          <w:szCs w:val="20"/>
        </w:rPr>
        <w:t xml:space="preserve"> &lt; 0.01. *</w:t>
      </w:r>
      <w:r w:rsidR="004A7F54" w:rsidRPr="00172374">
        <w:rPr>
          <w:bCs/>
          <w:i/>
          <w:iCs/>
          <w:sz w:val="20"/>
          <w:szCs w:val="20"/>
        </w:rPr>
        <w:t xml:space="preserve">p </w:t>
      </w:r>
      <w:r w:rsidRPr="00172374">
        <w:rPr>
          <w:bCs/>
          <w:sz w:val="20"/>
          <w:szCs w:val="20"/>
        </w:rPr>
        <w:t>&lt; 0.05.</w:t>
      </w:r>
    </w:p>
    <w:p w14:paraId="6E1EA15C" w14:textId="77777777" w:rsidR="009C056A" w:rsidRPr="004E24CA" w:rsidRDefault="00493C61" w:rsidP="000D59B1">
      <w:pPr>
        <w:spacing w:line="480" w:lineRule="auto"/>
      </w:pPr>
      <w:r>
        <w:t xml:space="preserve"> </w:t>
      </w:r>
    </w:p>
    <w:sectPr w:rsidR="009C056A" w:rsidRPr="004E24CA" w:rsidSect="007D0B1E">
      <w:pgSz w:w="11906" w:h="16838"/>
      <w:pgMar w:top="184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6335" w14:textId="77777777" w:rsidR="00030D82" w:rsidRDefault="00030D82" w:rsidP="00CC5F35">
      <w:r>
        <w:separator/>
      </w:r>
    </w:p>
  </w:endnote>
  <w:endnote w:type="continuationSeparator" w:id="0">
    <w:p w14:paraId="251CD9EF" w14:textId="77777777" w:rsidR="00030D82" w:rsidRDefault="00030D82" w:rsidP="00CC5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Math">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3B492" w14:textId="77777777" w:rsidR="00142323" w:rsidRPr="001B176A" w:rsidRDefault="00142323">
    <w:pPr>
      <w:pStyle w:val="a7"/>
      <w:jc w:val="center"/>
      <w:rPr>
        <w:rFonts w:ascii="Times New Roman" w:hAnsi="Times New Roman"/>
      </w:rPr>
    </w:pPr>
  </w:p>
  <w:p w14:paraId="56F30CD2" w14:textId="77777777" w:rsidR="00142323" w:rsidRDefault="0014232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38E3" w14:textId="77777777" w:rsidR="00142323" w:rsidRPr="008F2AE7" w:rsidRDefault="00142323">
    <w:pPr>
      <w:pStyle w:val="a7"/>
      <w:jc w:val="center"/>
      <w:rPr>
        <w:rFonts w:ascii="Times New Roman" w:hAnsi="Times New Roman"/>
      </w:rPr>
    </w:pPr>
  </w:p>
  <w:p w14:paraId="5DA81D20" w14:textId="77777777" w:rsidR="00142323" w:rsidRDefault="0014232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5CADA" w14:textId="77777777" w:rsidR="00142323" w:rsidRPr="00964E54" w:rsidRDefault="00142323">
    <w:pPr>
      <w:pStyle w:val="a7"/>
      <w:jc w:val="center"/>
      <w:rPr>
        <w:rFonts w:ascii="Times New Roman" w:hAnsi="Times New Roman"/>
      </w:rPr>
    </w:pPr>
  </w:p>
  <w:p w14:paraId="2B03F6FF" w14:textId="77777777" w:rsidR="00142323" w:rsidRDefault="0014232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8AF8A" w14:textId="77777777" w:rsidR="00030D82" w:rsidRDefault="00030D82" w:rsidP="00CC5F35">
      <w:r>
        <w:separator/>
      </w:r>
    </w:p>
  </w:footnote>
  <w:footnote w:type="continuationSeparator" w:id="0">
    <w:p w14:paraId="1212FE18" w14:textId="77777777" w:rsidR="00030D82" w:rsidRDefault="00030D82" w:rsidP="00CC5F35">
      <w:r>
        <w:continuationSeparator/>
      </w:r>
    </w:p>
  </w:footnote>
  <w:footnote w:id="1">
    <w:p w14:paraId="0017A0FC" w14:textId="77777777" w:rsidR="00142323" w:rsidRPr="000027DE" w:rsidRDefault="00142323" w:rsidP="00CD0FED">
      <w:pPr>
        <w:pStyle w:val="a4"/>
        <w:rPr>
          <w:rFonts w:ascii="Times New Roman" w:hAnsi="Times New Roman"/>
          <w:lang w:val="en-GB"/>
        </w:rPr>
      </w:pPr>
      <w:r w:rsidRPr="000027DE">
        <w:rPr>
          <w:rStyle w:val="a5"/>
        </w:rPr>
        <w:footnoteRef/>
      </w:r>
      <w:r w:rsidRPr="000027DE">
        <w:rPr>
          <w:rFonts w:ascii="Times New Roman" w:hAnsi="Times New Roman"/>
          <w:lang w:val="en-GB"/>
        </w:rPr>
        <w:t xml:space="preserve"> </w:t>
      </w:r>
      <w:r>
        <w:rPr>
          <w:rFonts w:ascii="Times New Roman" w:hAnsi="Times New Roman"/>
          <w:lang w:val="en-US"/>
        </w:rPr>
        <w:t>As a robu</w:t>
      </w:r>
      <w:r w:rsidRPr="000027DE">
        <w:rPr>
          <w:rFonts w:ascii="Times New Roman" w:hAnsi="Times New Roman"/>
          <w:lang w:val="en-US"/>
        </w:rPr>
        <w:t>stness check, we re</w:t>
      </w:r>
      <w:r>
        <w:rPr>
          <w:rFonts w:ascii="Times New Roman" w:hAnsi="Times New Roman"/>
          <w:lang w:val="en-US"/>
        </w:rPr>
        <w:t>-</w:t>
      </w:r>
      <w:r w:rsidRPr="000027DE">
        <w:rPr>
          <w:rFonts w:ascii="Times New Roman" w:hAnsi="Times New Roman"/>
          <w:lang w:val="en-US"/>
        </w:rPr>
        <w:t>estimated the model using brand performance as an outcome variable</w:t>
      </w:r>
      <w:r>
        <w:rPr>
          <w:rFonts w:ascii="Times New Roman" w:hAnsi="Times New Roman"/>
          <w:lang w:val="en-US"/>
        </w:rPr>
        <w:t xml:space="preserve"> and obtained</w:t>
      </w:r>
      <w:r w:rsidRPr="000027DE">
        <w:rPr>
          <w:rFonts w:ascii="Times New Roman" w:hAnsi="Times New Roman"/>
          <w:lang w:val="en-US"/>
        </w:rPr>
        <w:t xml:space="preserve"> similar results.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A3647" w14:textId="77777777" w:rsidR="00142323" w:rsidRDefault="00142323" w:rsidP="00B511B3">
    <w:pPr>
      <w:pStyle w:val="a6"/>
      <w:framePr w:wrap="none" w:vAnchor="text" w:hAnchor="margin" w:xAlign="right" w:y="1"/>
      <w:rPr>
        <w:rStyle w:val="aa"/>
      </w:rPr>
    </w:pPr>
    <w:r>
      <w:rPr>
        <w:rStyle w:val="aa"/>
      </w:rPr>
      <w:fldChar w:fldCharType="begin"/>
    </w:r>
    <w:r>
      <w:rPr>
        <w:rStyle w:val="aa"/>
      </w:rPr>
      <w:instrText xml:space="preserve">PAGE  </w:instrText>
    </w:r>
    <w:r>
      <w:rPr>
        <w:rStyle w:val="aa"/>
      </w:rPr>
      <w:fldChar w:fldCharType="end"/>
    </w:r>
  </w:p>
  <w:p w14:paraId="34C12DD8" w14:textId="77777777" w:rsidR="00142323" w:rsidRDefault="00142323" w:rsidP="00AB0F11">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D4CC" w14:textId="77777777" w:rsidR="00142323" w:rsidRPr="00AB0F11" w:rsidRDefault="00142323" w:rsidP="00B511B3">
    <w:pPr>
      <w:pStyle w:val="a6"/>
      <w:framePr w:wrap="none" w:vAnchor="text" w:hAnchor="margin" w:xAlign="right" w:y="1"/>
      <w:rPr>
        <w:rStyle w:val="aa"/>
        <w:rFonts w:ascii="Times New Roman" w:hAnsi="Times New Roman"/>
      </w:rPr>
    </w:pPr>
    <w:r w:rsidRPr="00AB0F11">
      <w:rPr>
        <w:rStyle w:val="aa"/>
        <w:rFonts w:ascii="Times New Roman" w:hAnsi="Times New Roman"/>
      </w:rPr>
      <w:fldChar w:fldCharType="begin"/>
    </w:r>
    <w:r w:rsidRPr="00AB0F11">
      <w:rPr>
        <w:rStyle w:val="aa"/>
        <w:rFonts w:ascii="Times New Roman" w:hAnsi="Times New Roman"/>
      </w:rPr>
      <w:instrText xml:space="preserve">PAGE  </w:instrText>
    </w:r>
    <w:r w:rsidRPr="00AB0F11">
      <w:rPr>
        <w:rStyle w:val="aa"/>
        <w:rFonts w:ascii="Times New Roman" w:hAnsi="Times New Roman"/>
      </w:rPr>
      <w:fldChar w:fldCharType="separate"/>
    </w:r>
    <w:r>
      <w:rPr>
        <w:rStyle w:val="aa"/>
        <w:rFonts w:ascii="Times New Roman" w:hAnsi="Times New Roman"/>
        <w:noProof/>
      </w:rPr>
      <w:t>60</w:t>
    </w:r>
    <w:r w:rsidRPr="00AB0F11">
      <w:rPr>
        <w:rStyle w:val="aa"/>
        <w:rFonts w:ascii="Times New Roman" w:hAnsi="Times New Roman"/>
      </w:rPr>
      <w:fldChar w:fldCharType="end"/>
    </w:r>
  </w:p>
  <w:p w14:paraId="79F0738B" w14:textId="77777777" w:rsidR="00142323" w:rsidRDefault="00142323" w:rsidP="00AB0F11">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016"/>
    <w:multiLevelType w:val="hybridMultilevel"/>
    <w:tmpl w:val="6174F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940A1"/>
    <w:multiLevelType w:val="hybridMultilevel"/>
    <w:tmpl w:val="35A09AA8"/>
    <w:lvl w:ilvl="0" w:tplc="3A6830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A35953"/>
    <w:multiLevelType w:val="hybridMultilevel"/>
    <w:tmpl w:val="39282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C361A9F"/>
    <w:multiLevelType w:val="hybridMultilevel"/>
    <w:tmpl w:val="779ACF8E"/>
    <w:lvl w:ilvl="0" w:tplc="5686D86E">
      <w:start w:val="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3E4F1318"/>
    <w:multiLevelType w:val="hybridMultilevel"/>
    <w:tmpl w:val="C1E032B4"/>
    <w:lvl w:ilvl="0" w:tplc="88AA5EF2">
      <w:start w:val="2"/>
      <w:numFmt w:val="bullet"/>
      <w:lvlText w:val=""/>
      <w:lvlJc w:val="left"/>
      <w:pPr>
        <w:ind w:left="720" w:hanging="360"/>
      </w:pPr>
      <w:rPr>
        <w:rFonts w:ascii="Symbol" w:eastAsia="Calibri" w:hAnsi="Symbol" w:cs="Times New Roman" w:hint="default"/>
        <w:b/>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57029DE"/>
    <w:multiLevelType w:val="hybridMultilevel"/>
    <w:tmpl w:val="80384B50"/>
    <w:lvl w:ilvl="0" w:tplc="5CBE7434">
      <w:start w:val="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EB25A8E"/>
    <w:multiLevelType w:val="hybridMultilevel"/>
    <w:tmpl w:val="E4C606F0"/>
    <w:lvl w:ilvl="0" w:tplc="0E7046EA">
      <w:start w:val="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F110538"/>
    <w:multiLevelType w:val="hybridMultilevel"/>
    <w:tmpl w:val="C8D4E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1836107"/>
    <w:multiLevelType w:val="hybridMultilevel"/>
    <w:tmpl w:val="27320E1A"/>
    <w:lvl w:ilvl="0" w:tplc="526EB16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4E76078"/>
    <w:multiLevelType w:val="hybridMultilevel"/>
    <w:tmpl w:val="2E9A50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727C64"/>
    <w:multiLevelType w:val="hybridMultilevel"/>
    <w:tmpl w:val="A10272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D776AD1"/>
    <w:multiLevelType w:val="hybridMultilevel"/>
    <w:tmpl w:val="13A0474C"/>
    <w:lvl w:ilvl="0" w:tplc="7C729FD4">
      <w:numFmt w:val="bullet"/>
      <w:lvlText w:val=""/>
      <w:lvlJc w:val="left"/>
      <w:pPr>
        <w:ind w:left="720" w:hanging="360"/>
      </w:pPr>
      <w:rPr>
        <w:rFonts w:ascii="Symbol" w:eastAsia="Calibri" w:hAnsi="Symbol"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1FA00A1"/>
    <w:multiLevelType w:val="hybridMultilevel"/>
    <w:tmpl w:val="3E104BE2"/>
    <w:lvl w:ilvl="0" w:tplc="98E4C81A">
      <w:start w:val="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668C455C"/>
    <w:multiLevelType w:val="hybridMultilevel"/>
    <w:tmpl w:val="4FAE2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87611"/>
    <w:multiLevelType w:val="hybridMultilevel"/>
    <w:tmpl w:val="E7DC77BE"/>
    <w:lvl w:ilvl="0" w:tplc="F28A250E">
      <w:start w:val="3"/>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5" w15:restartNumberingAfterBreak="0">
    <w:nsid w:val="68B40803"/>
    <w:multiLevelType w:val="hybridMultilevel"/>
    <w:tmpl w:val="3A1229FC"/>
    <w:lvl w:ilvl="0" w:tplc="5D6C6FFA">
      <w:start w:val="4"/>
      <w:numFmt w:val="bullet"/>
      <w:lvlText w:val=""/>
      <w:lvlJc w:val="left"/>
      <w:pPr>
        <w:ind w:left="720" w:hanging="360"/>
      </w:pPr>
      <w:rPr>
        <w:rFonts w:ascii="Wingdings" w:eastAsia="Calibri" w:hAnsi="Wingdings"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D0D51D4"/>
    <w:multiLevelType w:val="hybridMultilevel"/>
    <w:tmpl w:val="0D2A88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244F56"/>
    <w:multiLevelType w:val="hybridMultilevel"/>
    <w:tmpl w:val="16C6EDB4"/>
    <w:lvl w:ilvl="0" w:tplc="62CC813A">
      <w:start w:val="2"/>
      <w:numFmt w:val="bullet"/>
      <w:lvlText w:val="-"/>
      <w:lvlJc w:val="left"/>
      <w:pPr>
        <w:ind w:left="720" w:hanging="360"/>
      </w:pPr>
      <w:rPr>
        <w:rFonts w:ascii="Times New Roman" w:eastAsia="Calibr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6A86EB9"/>
    <w:multiLevelType w:val="hybridMultilevel"/>
    <w:tmpl w:val="00028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7"/>
  </w:num>
  <w:num w:numId="3">
    <w:abstractNumId w:val="18"/>
  </w:num>
  <w:num w:numId="4">
    <w:abstractNumId w:val="2"/>
  </w:num>
  <w:num w:numId="5">
    <w:abstractNumId w:val="16"/>
  </w:num>
  <w:num w:numId="6">
    <w:abstractNumId w:val="10"/>
  </w:num>
  <w:num w:numId="7">
    <w:abstractNumId w:val="0"/>
  </w:num>
  <w:num w:numId="8">
    <w:abstractNumId w:val="13"/>
  </w:num>
  <w:num w:numId="9">
    <w:abstractNumId w:val="15"/>
  </w:num>
  <w:num w:numId="10">
    <w:abstractNumId w:val="8"/>
  </w:num>
  <w:num w:numId="11">
    <w:abstractNumId w:val="9"/>
  </w:num>
  <w:num w:numId="12">
    <w:abstractNumId w:val="11"/>
  </w:num>
  <w:num w:numId="13">
    <w:abstractNumId w:val="17"/>
  </w:num>
  <w:num w:numId="14">
    <w:abstractNumId w:val="6"/>
  </w:num>
  <w:num w:numId="15">
    <w:abstractNumId w:val="5"/>
  </w:num>
  <w:num w:numId="16">
    <w:abstractNumId w:val="12"/>
  </w:num>
  <w:num w:numId="17">
    <w:abstractNumId w:val="3"/>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O1NLCwMDA1NLQ0sTRS0lEKTi0uzszPAykwrAUAwnapMCwAAAA="/>
  </w:docVars>
  <w:rsids>
    <w:rsidRoot w:val="00255F3A"/>
    <w:rsid w:val="0000019A"/>
    <w:rsid w:val="000027DE"/>
    <w:rsid w:val="00003D56"/>
    <w:rsid w:val="00003D65"/>
    <w:rsid w:val="0000490E"/>
    <w:rsid w:val="00006102"/>
    <w:rsid w:val="00006513"/>
    <w:rsid w:val="00012A90"/>
    <w:rsid w:val="00015304"/>
    <w:rsid w:val="00021082"/>
    <w:rsid w:val="000227D4"/>
    <w:rsid w:val="000265B2"/>
    <w:rsid w:val="000305C2"/>
    <w:rsid w:val="00030D82"/>
    <w:rsid w:val="000334EA"/>
    <w:rsid w:val="0003554A"/>
    <w:rsid w:val="00035A3A"/>
    <w:rsid w:val="00036D3A"/>
    <w:rsid w:val="000370FD"/>
    <w:rsid w:val="000417CB"/>
    <w:rsid w:val="00043425"/>
    <w:rsid w:val="00043B3B"/>
    <w:rsid w:val="00047A2A"/>
    <w:rsid w:val="00050FA8"/>
    <w:rsid w:val="00053002"/>
    <w:rsid w:val="0005536B"/>
    <w:rsid w:val="0006026F"/>
    <w:rsid w:val="00063471"/>
    <w:rsid w:val="00063B06"/>
    <w:rsid w:val="00064595"/>
    <w:rsid w:val="000652A9"/>
    <w:rsid w:val="0006622C"/>
    <w:rsid w:val="000716B6"/>
    <w:rsid w:val="00075AEB"/>
    <w:rsid w:val="00075CD9"/>
    <w:rsid w:val="00077542"/>
    <w:rsid w:val="000804B4"/>
    <w:rsid w:val="00080EAA"/>
    <w:rsid w:val="0008645E"/>
    <w:rsid w:val="000874EE"/>
    <w:rsid w:val="00090D2A"/>
    <w:rsid w:val="00093323"/>
    <w:rsid w:val="000941F4"/>
    <w:rsid w:val="000942AF"/>
    <w:rsid w:val="000951E1"/>
    <w:rsid w:val="00095A8C"/>
    <w:rsid w:val="000A4708"/>
    <w:rsid w:val="000B08CE"/>
    <w:rsid w:val="000B16E5"/>
    <w:rsid w:val="000B17CC"/>
    <w:rsid w:val="000B1D37"/>
    <w:rsid w:val="000B1F37"/>
    <w:rsid w:val="000B2AC8"/>
    <w:rsid w:val="000B4659"/>
    <w:rsid w:val="000B5532"/>
    <w:rsid w:val="000B5542"/>
    <w:rsid w:val="000B59D1"/>
    <w:rsid w:val="000B5F87"/>
    <w:rsid w:val="000B690B"/>
    <w:rsid w:val="000B6D3E"/>
    <w:rsid w:val="000B6E73"/>
    <w:rsid w:val="000B7895"/>
    <w:rsid w:val="000C179A"/>
    <w:rsid w:val="000C1F0F"/>
    <w:rsid w:val="000C3A89"/>
    <w:rsid w:val="000C517B"/>
    <w:rsid w:val="000C5B26"/>
    <w:rsid w:val="000C5C75"/>
    <w:rsid w:val="000C6E6B"/>
    <w:rsid w:val="000C6F1C"/>
    <w:rsid w:val="000C706C"/>
    <w:rsid w:val="000D2519"/>
    <w:rsid w:val="000D45A8"/>
    <w:rsid w:val="000D53A6"/>
    <w:rsid w:val="000D59B1"/>
    <w:rsid w:val="000D7243"/>
    <w:rsid w:val="000E1081"/>
    <w:rsid w:val="000E178A"/>
    <w:rsid w:val="000E291D"/>
    <w:rsid w:val="000E4755"/>
    <w:rsid w:val="000E4CA4"/>
    <w:rsid w:val="000E4D52"/>
    <w:rsid w:val="000E6422"/>
    <w:rsid w:val="000F1186"/>
    <w:rsid w:val="000F1DDA"/>
    <w:rsid w:val="000F4976"/>
    <w:rsid w:val="000F5B39"/>
    <w:rsid w:val="000F7352"/>
    <w:rsid w:val="00100773"/>
    <w:rsid w:val="001007E9"/>
    <w:rsid w:val="0010347B"/>
    <w:rsid w:val="0010363C"/>
    <w:rsid w:val="00105342"/>
    <w:rsid w:val="0010573B"/>
    <w:rsid w:val="00105EBF"/>
    <w:rsid w:val="00105FB7"/>
    <w:rsid w:val="001062B4"/>
    <w:rsid w:val="00113632"/>
    <w:rsid w:val="00116B96"/>
    <w:rsid w:val="00117EB9"/>
    <w:rsid w:val="0012040D"/>
    <w:rsid w:val="001214F2"/>
    <w:rsid w:val="00123BB1"/>
    <w:rsid w:val="00124FC0"/>
    <w:rsid w:val="00126E90"/>
    <w:rsid w:val="00127659"/>
    <w:rsid w:val="00127FBB"/>
    <w:rsid w:val="001308C4"/>
    <w:rsid w:val="001309A5"/>
    <w:rsid w:val="00132C9E"/>
    <w:rsid w:val="001334F6"/>
    <w:rsid w:val="00133FFE"/>
    <w:rsid w:val="0013541C"/>
    <w:rsid w:val="00135506"/>
    <w:rsid w:val="001401E0"/>
    <w:rsid w:val="001406C2"/>
    <w:rsid w:val="00142323"/>
    <w:rsid w:val="00144DB0"/>
    <w:rsid w:val="00145C33"/>
    <w:rsid w:val="0015383D"/>
    <w:rsid w:val="001544EA"/>
    <w:rsid w:val="00155E04"/>
    <w:rsid w:val="0016025C"/>
    <w:rsid w:val="00160924"/>
    <w:rsid w:val="00163FF3"/>
    <w:rsid w:val="0016506B"/>
    <w:rsid w:val="00166877"/>
    <w:rsid w:val="00166E47"/>
    <w:rsid w:val="0016719B"/>
    <w:rsid w:val="00172374"/>
    <w:rsid w:val="00172A94"/>
    <w:rsid w:val="001734B4"/>
    <w:rsid w:val="00173E29"/>
    <w:rsid w:val="00174F00"/>
    <w:rsid w:val="001766E5"/>
    <w:rsid w:val="00176BDC"/>
    <w:rsid w:val="00181831"/>
    <w:rsid w:val="00182147"/>
    <w:rsid w:val="001830CD"/>
    <w:rsid w:val="001840A1"/>
    <w:rsid w:val="0018669D"/>
    <w:rsid w:val="00186963"/>
    <w:rsid w:val="00187886"/>
    <w:rsid w:val="00190C7F"/>
    <w:rsid w:val="00190EF2"/>
    <w:rsid w:val="00191A01"/>
    <w:rsid w:val="0019457B"/>
    <w:rsid w:val="00194906"/>
    <w:rsid w:val="00197283"/>
    <w:rsid w:val="001972E2"/>
    <w:rsid w:val="00197AB2"/>
    <w:rsid w:val="00197FD3"/>
    <w:rsid w:val="001A27D0"/>
    <w:rsid w:val="001A3623"/>
    <w:rsid w:val="001A3FE0"/>
    <w:rsid w:val="001A4F24"/>
    <w:rsid w:val="001B1265"/>
    <w:rsid w:val="001B14EE"/>
    <w:rsid w:val="001B176A"/>
    <w:rsid w:val="001B1881"/>
    <w:rsid w:val="001B202B"/>
    <w:rsid w:val="001B2A20"/>
    <w:rsid w:val="001B2F2A"/>
    <w:rsid w:val="001B4325"/>
    <w:rsid w:val="001B509E"/>
    <w:rsid w:val="001B6154"/>
    <w:rsid w:val="001B728F"/>
    <w:rsid w:val="001C0100"/>
    <w:rsid w:val="001C345F"/>
    <w:rsid w:val="001C3714"/>
    <w:rsid w:val="001C539B"/>
    <w:rsid w:val="001C7180"/>
    <w:rsid w:val="001D02C4"/>
    <w:rsid w:val="001D0398"/>
    <w:rsid w:val="001D08DC"/>
    <w:rsid w:val="001D12FC"/>
    <w:rsid w:val="001D296C"/>
    <w:rsid w:val="001E10DA"/>
    <w:rsid w:val="001E1333"/>
    <w:rsid w:val="001E32B5"/>
    <w:rsid w:val="001E37BF"/>
    <w:rsid w:val="001E4A75"/>
    <w:rsid w:val="001E5337"/>
    <w:rsid w:val="001E698A"/>
    <w:rsid w:val="001E71F4"/>
    <w:rsid w:val="001F1598"/>
    <w:rsid w:val="001F3FBC"/>
    <w:rsid w:val="001F5D7E"/>
    <w:rsid w:val="001F6E41"/>
    <w:rsid w:val="001F7A8D"/>
    <w:rsid w:val="002003CC"/>
    <w:rsid w:val="00202DDF"/>
    <w:rsid w:val="00204883"/>
    <w:rsid w:val="00204CD4"/>
    <w:rsid w:val="00206167"/>
    <w:rsid w:val="00207225"/>
    <w:rsid w:val="00207ED0"/>
    <w:rsid w:val="002112CC"/>
    <w:rsid w:val="0021286E"/>
    <w:rsid w:val="00212CAF"/>
    <w:rsid w:val="00213AF7"/>
    <w:rsid w:val="00217B32"/>
    <w:rsid w:val="002228A9"/>
    <w:rsid w:val="0022623B"/>
    <w:rsid w:val="00226D38"/>
    <w:rsid w:val="00233011"/>
    <w:rsid w:val="00233C26"/>
    <w:rsid w:val="00234901"/>
    <w:rsid w:val="00235A80"/>
    <w:rsid w:val="00243C5E"/>
    <w:rsid w:val="0024415B"/>
    <w:rsid w:val="00244BA5"/>
    <w:rsid w:val="002467A1"/>
    <w:rsid w:val="002472A4"/>
    <w:rsid w:val="00247472"/>
    <w:rsid w:val="00250B00"/>
    <w:rsid w:val="00251854"/>
    <w:rsid w:val="00255F3A"/>
    <w:rsid w:val="002577DF"/>
    <w:rsid w:val="002614EF"/>
    <w:rsid w:val="0026285E"/>
    <w:rsid w:val="00263F6D"/>
    <w:rsid w:val="00265686"/>
    <w:rsid w:val="00265862"/>
    <w:rsid w:val="00265A94"/>
    <w:rsid w:val="00266B4D"/>
    <w:rsid w:val="002705F2"/>
    <w:rsid w:val="002707A0"/>
    <w:rsid w:val="002707EC"/>
    <w:rsid w:val="00271643"/>
    <w:rsid w:val="002716CA"/>
    <w:rsid w:val="002734C2"/>
    <w:rsid w:val="00274C6A"/>
    <w:rsid w:val="00275312"/>
    <w:rsid w:val="00277923"/>
    <w:rsid w:val="00282304"/>
    <w:rsid w:val="002831E4"/>
    <w:rsid w:val="00284729"/>
    <w:rsid w:val="002848B4"/>
    <w:rsid w:val="00286A58"/>
    <w:rsid w:val="002872DD"/>
    <w:rsid w:val="00287776"/>
    <w:rsid w:val="00287A35"/>
    <w:rsid w:val="00287C35"/>
    <w:rsid w:val="00287EF4"/>
    <w:rsid w:val="0029035D"/>
    <w:rsid w:val="00291638"/>
    <w:rsid w:val="00292A5E"/>
    <w:rsid w:val="00293427"/>
    <w:rsid w:val="00293B8A"/>
    <w:rsid w:val="00293CFB"/>
    <w:rsid w:val="00294EF6"/>
    <w:rsid w:val="00295094"/>
    <w:rsid w:val="00295754"/>
    <w:rsid w:val="0029594E"/>
    <w:rsid w:val="00295A0B"/>
    <w:rsid w:val="002A11A6"/>
    <w:rsid w:val="002A1D50"/>
    <w:rsid w:val="002A28BE"/>
    <w:rsid w:val="002A2BC9"/>
    <w:rsid w:val="002A4C4F"/>
    <w:rsid w:val="002A4D1B"/>
    <w:rsid w:val="002A69C6"/>
    <w:rsid w:val="002B1481"/>
    <w:rsid w:val="002B1699"/>
    <w:rsid w:val="002B1918"/>
    <w:rsid w:val="002B2058"/>
    <w:rsid w:val="002B62C9"/>
    <w:rsid w:val="002C29CF"/>
    <w:rsid w:val="002C4731"/>
    <w:rsid w:val="002C4B2E"/>
    <w:rsid w:val="002C6C53"/>
    <w:rsid w:val="002C730A"/>
    <w:rsid w:val="002D346B"/>
    <w:rsid w:val="002D4117"/>
    <w:rsid w:val="002D4A90"/>
    <w:rsid w:val="002D6A64"/>
    <w:rsid w:val="002D7296"/>
    <w:rsid w:val="002D7DC2"/>
    <w:rsid w:val="002E4048"/>
    <w:rsid w:val="002E5810"/>
    <w:rsid w:val="002E5821"/>
    <w:rsid w:val="002E644F"/>
    <w:rsid w:val="002E720E"/>
    <w:rsid w:val="002E765E"/>
    <w:rsid w:val="002F0061"/>
    <w:rsid w:val="002F0E52"/>
    <w:rsid w:val="002F1055"/>
    <w:rsid w:val="002F2E5B"/>
    <w:rsid w:val="002F352C"/>
    <w:rsid w:val="002F398F"/>
    <w:rsid w:val="002F568A"/>
    <w:rsid w:val="002F5A8A"/>
    <w:rsid w:val="002F5AA2"/>
    <w:rsid w:val="002F6F21"/>
    <w:rsid w:val="0030493A"/>
    <w:rsid w:val="00305BE7"/>
    <w:rsid w:val="0030726B"/>
    <w:rsid w:val="00307948"/>
    <w:rsid w:val="00310FBC"/>
    <w:rsid w:val="00314A06"/>
    <w:rsid w:val="00315128"/>
    <w:rsid w:val="00315777"/>
    <w:rsid w:val="00316634"/>
    <w:rsid w:val="003169A6"/>
    <w:rsid w:val="00317579"/>
    <w:rsid w:val="00317D71"/>
    <w:rsid w:val="0032039F"/>
    <w:rsid w:val="003217FC"/>
    <w:rsid w:val="003224FA"/>
    <w:rsid w:val="00322D82"/>
    <w:rsid w:val="003238D0"/>
    <w:rsid w:val="003244A5"/>
    <w:rsid w:val="003244DA"/>
    <w:rsid w:val="00324DCA"/>
    <w:rsid w:val="00327620"/>
    <w:rsid w:val="00331E87"/>
    <w:rsid w:val="003339B5"/>
    <w:rsid w:val="00333CDC"/>
    <w:rsid w:val="00334EA8"/>
    <w:rsid w:val="00335B70"/>
    <w:rsid w:val="00336575"/>
    <w:rsid w:val="00336708"/>
    <w:rsid w:val="0034092F"/>
    <w:rsid w:val="00340FF8"/>
    <w:rsid w:val="0034245A"/>
    <w:rsid w:val="003427D8"/>
    <w:rsid w:val="003429CB"/>
    <w:rsid w:val="003433FF"/>
    <w:rsid w:val="00343B2D"/>
    <w:rsid w:val="0034510A"/>
    <w:rsid w:val="0034675E"/>
    <w:rsid w:val="003513BA"/>
    <w:rsid w:val="00351AE2"/>
    <w:rsid w:val="003521E6"/>
    <w:rsid w:val="00352883"/>
    <w:rsid w:val="0035406B"/>
    <w:rsid w:val="00356157"/>
    <w:rsid w:val="0035728E"/>
    <w:rsid w:val="00357568"/>
    <w:rsid w:val="0036173C"/>
    <w:rsid w:val="003663DA"/>
    <w:rsid w:val="003710FC"/>
    <w:rsid w:val="00377391"/>
    <w:rsid w:val="0037757B"/>
    <w:rsid w:val="00377D89"/>
    <w:rsid w:val="003843AA"/>
    <w:rsid w:val="00390D3B"/>
    <w:rsid w:val="003924BF"/>
    <w:rsid w:val="003945CA"/>
    <w:rsid w:val="0039636F"/>
    <w:rsid w:val="003975BD"/>
    <w:rsid w:val="003A13C3"/>
    <w:rsid w:val="003A1DDB"/>
    <w:rsid w:val="003A2597"/>
    <w:rsid w:val="003A4178"/>
    <w:rsid w:val="003A7345"/>
    <w:rsid w:val="003B0073"/>
    <w:rsid w:val="003B0257"/>
    <w:rsid w:val="003B11D6"/>
    <w:rsid w:val="003B2EDB"/>
    <w:rsid w:val="003B2FD5"/>
    <w:rsid w:val="003B33E7"/>
    <w:rsid w:val="003B3862"/>
    <w:rsid w:val="003B3C76"/>
    <w:rsid w:val="003B3D7A"/>
    <w:rsid w:val="003B67FE"/>
    <w:rsid w:val="003C747D"/>
    <w:rsid w:val="003C76D8"/>
    <w:rsid w:val="003D0174"/>
    <w:rsid w:val="003D08FA"/>
    <w:rsid w:val="003D4408"/>
    <w:rsid w:val="003D67E7"/>
    <w:rsid w:val="003D7EC4"/>
    <w:rsid w:val="003E1063"/>
    <w:rsid w:val="003E43F1"/>
    <w:rsid w:val="003E7DCC"/>
    <w:rsid w:val="003F3EEF"/>
    <w:rsid w:val="003F45FD"/>
    <w:rsid w:val="003F49FB"/>
    <w:rsid w:val="003F5328"/>
    <w:rsid w:val="003F6671"/>
    <w:rsid w:val="003F777D"/>
    <w:rsid w:val="00401A40"/>
    <w:rsid w:val="00402277"/>
    <w:rsid w:val="0040293B"/>
    <w:rsid w:val="00403314"/>
    <w:rsid w:val="0040439C"/>
    <w:rsid w:val="0040576A"/>
    <w:rsid w:val="00407598"/>
    <w:rsid w:val="00407693"/>
    <w:rsid w:val="00410176"/>
    <w:rsid w:val="0041255D"/>
    <w:rsid w:val="00413692"/>
    <w:rsid w:val="00415A50"/>
    <w:rsid w:val="00421C16"/>
    <w:rsid w:val="00421DE7"/>
    <w:rsid w:val="00422B16"/>
    <w:rsid w:val="004232BB"/>
    <w:rsid w:val="00423BBA"/>
    <w:rsid w:val="00423D2A"/>
    <w:rsid w:val="00426ED0"/>
    <w:rsid w:val="00432654"/>
    <w:rsid w:val="00432787"/>
    <w:rsid w:val="00432AA4"/>
    <w:rsid w:val="00432B80"/>
    <w:rsid w:val="00432D97"/>
    <w:rsid w:val="00433153"/>
    <w:rsid w:val="00436405"/>
    <w:rsid w:val="0043707F"/>
    <w:rsid w:val="00437DC1"/>
    <w:rsid w:val="00440084"/>
    <w:rsid w:val="00440E9A"/>
    <w:rsid w:val="00445028"/>
    <w:rsid w:val="0044777F"/>
    <w:rsid w:val="004518C6"/>
    <w:rsid w:val="00452500"/>
    <w:rsid w:val="004535D1"/>
    <w:rsid w:val="004535F5"/>
    <w:rsid w:val="004542EC"/>
    <w:rsid w:val="00456708"/>
    <w:rsid w:val="00460071"/>
    <w:rsid w:val="0046046E"/>
    <w:rsid w:val="00465C61"/>
    <w:rsid w:val="00466604"/>
    <w:rsid w:val="00466F85"/>
    <w:rsid w:val="004719E4"/>
    <w:rsid w:val="00476266"/>
    <w:rsid w:val="00476768"/>
    <w:rsid w:val="004825FF"/>
    <w:rsid w:val="00483486"/>
    <w:rsid w:val="00485579"/>
    <w:rsid w:val="00490381"/>
    <w:rsid w:val="0049095B"/>
    <w:rsid w:val="00492034"/>
    <w:rsid w:val="00493C61"/>
    <w:rsid w:val="00496AEB"/>
    <w:rsid w:val="004979D5"/>
    <w:rsid w:val="004A05A9"/>
    <w:rsid w:val="004A07F3"/>
    <w:rsid w:val="004A15C3"/>
    <w:rsid w:val="004A1C6B"/>
    <w:rsid w:val="004A32F4"/>
    <w:rsid w:val="004A3B74"/>
    <w:rsid w:val="004A6595"/>
    <w:rsid w:val="004A7F54"/>
    <w:rsid w:val="004B110D"/>
    <w:rsid w:val="004B48CE"/>
    <w:rsid w:val="004B6404"/>
    <w:rsid w:val="004B6495"/>
    <w:rsid w:val="004B7C64"/>
    <w:rsid w:val="004C0200"/>
    <w:rsid w:val="004C2703"/>
    <w:rsid w:val="004C6197"/>
    <w:rsid w:val="004C6A20"/>
    <w:rsid w:val="004C7796"/>
    <w:rsid w:val="004D05F9"/>
    <w:rsid w:val="004D1DF5"/>
    <w:rsid w:val="004D227D"/>
    <w:rsid w:val="004D4116"/>
    <w:rsid w:val="004D4670"/>
    <w:rsid w:val="004D4E34"/>
    <w:rsid w:val="004D5B97"/>
    <w:rsid w:val="004D5F94"/>
    <w:rsid w:val="004D6C9C"/>
    <w:rsid w:val="004D72FD"/>
    <w:rsid w:val="004E0040"/>
    <w:rsid w:val="004E0131"/>
    <w:rsid w:val="004E1878"/>
    <w:rsid w:val="004E24CA"/>
    <w:rsid w:val="004E3888"/>
    <w:rsid w:val="004E3A05"/>
    <w:rsid w:val="004E4DCC"/>
    <w:rsid w:val="004E67F7"/>
    <w:rsid w:val="004E7397"/>
    <w:rsid w:val="004F15E4"/>
    <w:rsid w:val="004F3518"/>
    <w:rsid w:val="004F3E78"/>
    <w:rsid w:val="004F4091"/>
    <w:rsid w:val="004F47D1"/>
    <w:rsid w:val="004F6FD7"/>
    <w:rsid w:val="0050333C"/>
    <w:rsid w:val="00505FCB"/>
    <w:rsid w:val="00506D98"/>
    <w:rsid w:val="00507528"/>
    <w:rsid w:val="00510326"/>
    <w:rsid w:val="00510A3C"/>
    <w:rsid w:val="00511CB0"/>
    <w:rsid w:val="00512C25"/>
    <w:rsid w:val="005163AB"/>
    <w:rsid w:val="005177BD"/>
    <w:rsid w:val="0052178F"/>
    <w:rsid w:val="0052362E"/>
    <w:rsid w:val="005264E7"/>
    <w:rsid w:val="00530DFC"/>
    <w:rsid w:val="005311A5"/>
    <w:rsid w:val="00531857"/>
    <w:rsid w:val="00532454"/>
    <w:rsid w:val="0053560D"/>
    <w:rsid w:val="005357EE"/>
    <w:rsid w:val="00535DE9"/>
    <w:rsid w:val="005377C7"/>
    <w:rsid w:val="005406A3"/>
    <w:rsid w:val="00540876"/>
    <w:rsid w:val="005411B2"/>
    <w:rsid w:val="00542136"/>
    <w:rsid w:val="005438CD"/>
    <w:rsid w:val="00544C28"/>
    <w:rsid w:val="00544D7C"/>
    <w:rsid w:val="0054579B"/>
    <w:rsid w:val="00546BA2"/>
    <w:rsid w:val="00547B75"/>
    <w:rsid w:val="00551B30"/>
    <w:rsid w:val="005549F2"/>
    <w:rsid w:val="00555AB5"/>
    <w:rsid w:val="00562FD5"/>
    <w:rsid w:val="005644D6"/>
    <w:rsid w:val="00564C6F"/>
    <w:rsid w:val="00566275"/>
    <w:rsid w:val="00567E59"/>
    <w:rsid w:val="00567FAC"/>
    <w:rsid w:val="00570616"/>
    <w:rsid w:val="00574391"/>
    <w:rsid w:val="00575324"/>
    <w:rsid w:val="0058133F"/>
    <w:rsid w:val="0058151B"/>
    <w:rsid w:val="0058240F"/>
    <w:rsid w:val="0058286A"/>
    <w:rsid w:val="00584DEC"/>
    <w:rsid w:val="00584E35"/>
    <w:rsid w:val="005921EE"/>
    <w:rsid w:val="00592984"/>
    <w:rsid w:val="00593846"/>
    <w:rsid w:val="0059443A"/>
    <w:rsid w:val="00596DA1"/>
    <w:rsid w:val="00597284"/>
    <w:rsid w:val="005A1373"/>
    <w:rsid w:val="005A1390"/>
    <w:rsid w:val="005A24E8"/>
    <w:rsid w:val="005A2857"/>
    <w:rsid w:val="005A327A"/>
    <w:rsid w:val="005A4799"/>
    <w:rsid w:val="005A6CF7"/>
    <w:rsid w:val="005B0B7B"/>
    <w:rsid w:val="005B0E6C"/>
    <w:rsid w:val="005B1E4D"/>
    <w:rsid w:val="005B2ADD"/>
    <w:rsid w:val="005B4430"/>
    <w:rsid w:val="005B49F2"/>
    <w:rsid w:val="005B5AF2"/>
    <w:rsid w:val="005B66EE"/>
    <w:rsid w:val="005B7708"/>
    <w:rsid w:val="005C0592"/>
    <w:rsid w:val="005C14FF"/>
    <w:rsid w:val="005C15BD"/>
    <w:rsid w:val="005C187E"/>
    <w:rsid w:val="005C3C45"/>
    <w:rsid w:val="005C4787"/>
    <w:rsid w:val="005C5525"/>
    <w:rsid w:val="005D06D3"/>
    <w:rsid w:val="005D158B"/>
    <w:rsid w:val="005D2065"/>
    <w:rsid w:val="005D2DC8"/>
    <w:rsid w:val="005D37E3"/>
    <w:rsid w:val="005D397B"/>
    <w:rsid w:val="005D673D"/>
    <w:rsid w:val="005D7A76"/>
    <w:rsid w:val="005E1521"/>
    <w:rsid w:val="005E1871"/>
    <w:rsid w:val="005E19A4"/>
    <w:rsid w:val="005E43DA"/>
    <w:rsid w:val="005E5B40"/>
    <w:rsid w:val="005F1034"/>
    <w:rsid w:val="005F2B4E"/>
    <w:rsid w:val="005F2E76"/>
    <w:rsid w:val="005F3A85"/>
    <w:rsid w:val="005F5888"/>
    <w:rsid w:val="005F70A8"/>
    <w:rsid w:val="00602883"/>
    <w:rsid w:val="006031DD"/>
    <w:rsid w:val="00603F3C"/>
    <w:rsid w:val="00604709"/>
    <w:rsid w:val="0060576E"/>
    <w:rsid w:val="006059BC"/>
    <w:rsid w:val="0061054E"/>
    <w:rsid w:val="00615B22"/>
    <w:rsid w:val="00615C69"/>
    <w:rsid w:val="006167F1"/>
    <w:rsid w:val="00617011"/>
    <w:rsid w:val="00630080"/>
    <w:rsid w:val="0063008A"/>
    <w:rsid w:val="00630549"/>
    <w:rsid w:val="00631345"/>
    <w:rsid w:val="00634764"/>
    <w:rsid w:val="006431B4"/>
    <w:rsid w:val="00646EBE"/>
    <w:rsid w:val="00647EA4"/>
    <w:rsid w:val="00647F80"/>
    <w:rsid w:val="0065130B"/>
    <w:rsid w:val="00652487"/>
    <w:rsid w:val="0065298C"/>
    <w:rsid w:val="00653291"/>
    <w:rsid w:val="00653A2E"/>
    <w:rsid w:val="006545F7"/>
    <w:rsid w:val="00655137"/>
    <w:rsid w:val="00656827"/>
    <w:rsid w:val="00656899"/>
    <w:rsid w:val="00663F14"/>
    <w:rsid w:val="00667212"/>
    <w:rsid w:val="00667D90"/>
    <w:rsid w:val="006701DC"/>
    <w:rsid w:val="00670797"/>
    <w:rsid w:val="00671BD9"/>
    <w:rsid w:val="006753EC"/>
    <w:rsid w:val="00675A3C"/>
    <w:rsid w:val="00676CC2"/>
    <w:rsid w:val="00680D2B"/>
    <w:rsid w:val="00681C0D"/>
    <w:rsid w:val="00682E34"/>
    <w:rsid w:val="00684685"/>
    <w:rsid w:val="00685CC6"/>
    <w:rsid w:val="0068694C"/>
    <w:rsid w:val="00692324"/>
    <w:rsid w:val="0069245B"/>
    <w:rsid w:val="00694C01"/>
    <w:rsid w:val="006961F3"/>
    <w:rsid w:val="006968F1"/>
    <w:rsid w:val="00697657"/>
    <w:rsid w:val="00697ACB"/>
    <w:rsid w:val="006A1078"/>
    <w:rsid w:val="006A142D"/>
    <w:rsid w:val="006A2F49"/>
    <w:rsid w:val="006A6191"/>
    <w:rsid w:val="006A69E9"/>
    <w:rsid w:val="006A7C84"/>
    <w:rsid w:val="006B0747"/>
    <w:rsid w:val="006B1547"/>
    <w:rsid w:val="006B15E2"/>
    <w:rsid w:val="006B339F"/>
    <w:rsid w:val="006B41D0"/>
    <w:rsid w:val="006B4B5F"/>
    <w:rsid w:val="006B6513"/>
    <w:rsid w:val="006B71FC"/>
    <w:rsid w:val="006B7A21"/>
    <w:rsid w:val="006C18A7"/>
    <w:rsid w:val="006C3CD6"/>
    <w:rsid w:val="006C4EEC"/>
    <w:rsid w:val="006C5060"/>
    <w:rsid w:val="006C61ED"/>
    <w:rsid w:val="006C6573"/>
    <w:rsid w:val="006C7D20"/>
    <w:rsid w:val="006C7EFA"/>
    <w:rsid w:val="006D167B"/>
    <w:rsid w:val="006D16FC"/>
    <w:rsid w:val="006D2114"/>
    <w:rsid w:val="006D25B6"/>
    <w:rsid w:val="006D6D99"/>
    <w:rsid w:val="006E0052"/>
    <w:rsid w:val="006E2562"/>
    <w:rsid w:val="006E30C6"/>
    <w:rsid w:val="006E3A0E"/>
    <w:rsid w:val="006E3F09"/>
    <w:rsid w:val="006E4044"/>
    <w:rsid w:val="006E5A23"/>
    <w:rsid w:val="006E78B7"/>
    <w:rsid w:val="006F0470"/>
    <w:rsid w:val="006F0F71"/>
    <w:rsid w:val="006F492A"/>
    <w:rsid w:val="006F58F4"/>
    <w:rsid w:val="006F5CD8"/>
    <w:rsid w:val="006F6C2C"/>
    <w:rsid w:val="006F7926"/>
    <w:rsid w:val="0070070B"/>
    <w:rsid w:val="00700733"/>
    <w:rsid w:val="00700F1B"/>
    <w:rsid w:val="0070170E"/>
    <w:rsid w:val="00702532"/>
    <w:rsid w:val="0070349F"/>
    <w:rsid w:val="007047FC"/>
    <w:rsid w:val="00704ACE"/>
    <w:rsid w:val="00704EFE"/>
    <w:rsid w:val="0070598C"/>
    <w:rsid w:val="00710229"/>
    <w:rsid w:val="00710787"/>
    <w:rsid w:val="00710A22"/>
    <w:rsid w:val="007134B5"/>
    <w:rsid w:val="00716651"/>
    <w:rsid w:val="007169ED"/>
    <w:rsid w:val="0071781E"/>
    <w:rsid w:val="0072306E"/>
    <w:rsid w:val="007236E8"/>
    <w:rsid w:val="00724F3D"/>
    <w:rsid w:val="00726BDB"/>
    <w:rsid w:val="00726EAE"/>
    <w:rsid w:val="00727001"/>
    <w:rsid w:val="007300B8"/>
    <w:rsid w:val="00732361"/>
    <w:rsid w:val="00732AB3"/>
    <w:rsid w:val="00733AF0"/>
    <w:rsid w:val="00733D48"/>
    <w:rsid w:val="007353F0"/>
    <w:rsid w:val="00735E94"/>
    <w:rsid w:val="00737AFF"/>
    <w:rsid w:val="007402D3"/>
    <w:rsid w:val="00740530"/>
    <w:rsid w:val="00741639"/>
    <w:rsid w:val="00741B2A"/>
    <w:rsid w:val="00745440"/>
    <w:rsid w:val="0074691D"/>
    <w:rsid w:val="00746B29"/>
    <w:rsid w:val="00751A78"/>
    <w:rsid w:val="00751BE3"/>
    <w:rsid w:val="007539B7"/>
    <w:rsid w:val="00754017"/>
    <w:rsid w:val="00754157"/>
    <w:rsid w:val="00754362"/>
    <w:rsid w:val="007558F1"/>
    <w:rsid w:val="007610DE"/>
    <w:rsid w:val="00764B6C"/>
    <w:rsid w:val="0076636D"/>
    <w:rsid w:val="00766415"/>
    <w:rsid w:val="0076773A"/>
    <w:rsid w:val="00771213"/>
    <w:rsid w:val="007810A4"/>
    <w:rsid w:val="00782851"/>
    <w:rsid w:val="00784DF4"/>
    <w:rsid w:val="00785208"/>
    <w:rsid w:val="007915C0"/>
    <w:rsid w:val="00796F8C"/>
    <w:rsid w:val="00797C77"/>
    <w:rsid w:val="007A0317"/>
    <w:rsid w:val="007A0AEE"/>
    <w:rsid w:val="007A3637"/>
    <w:rsid w:val="007A4BB5"/>
    <w:rsid w:val="007A7CA2"/>
    <w:rsid w:val="007A7F00"/>
    <w:rsid w:val="007B1125"/>
    <w:rsid w:val="007B40FC"/>
    <w:rsid w:val="007B48BD"/>
    <w:rsid w:val="007B4DEB"/>
    <w:rsid w:val="007B7F5C"/>
    <w:rsid w:val="007C1B50"/>
    <w:rsid w:val="007C296D"/>
    <w:rsid w:val="007C3122"/>
    <w:rsid w:val="007C434C"/>
    <w:rsid w:val="007C5C70"/>
    <w:rsid w:val="007C6834"/>
    <w:rsid w:val="007C6E7D"/>
    <w:rsid w:val="007C7A45"/>
    <w:rsid w:val="007D0B1E"/>
    <w:rsid w:val="007D29D2"/>
    <w:rsid w:val="007D4267"/>
    <w:rsid w:val="007D5492"/>
    <w:rsid w:val="007D692F"/>
    <w:rsid w:val="007E20A5"/>
    <w:rsid w:val="007E2553"/>
    <w:rsid w:val="007E25DE"/>
    <w:rsid w:val="007E36DC"/>
    <w:rsid w:val="007E477A"/>
    <w:rsid w:val="007E4ABA"/>
    <w:rsid w:val="007E5DA7"/>
    <w:rsid w:val="007E66E9"/>
    <w:rsid w:val="007E784B"/>
    <w:rsid w:val="007F02BE"/>
    <w:rsid w:val="007F24B7"/>
    <w:rsid w:val="007F384C"/>
    <w:rsid w:val="007F3CBC"/>
    <w:rsid w:val="007F4C37"/>
    <w:rsid w:val="007F5252"/>
    <w:rsid w:val="007F5B99"/>
    <w:rsid w:val="007F6050"/>
    <w:rsid w:val="007F7A55"/>
    <w:rsid w:val="00800B6C"/>
    <w:rsid w:val="00800EEC"/>
    <w:rsid w:val="0080350A"/>
    <w:rsid w:val="00805EDD"/>
    <w:rsid w:val="008069C1"/>
    <w:rsid w:val="00810086"/>
    <w:rsid w:val="00812429"/>
    <w:rsid w:val="00812B34"/>
    <w:rsid w:val="008168E5"/>
    <w:rsid w:val="00820465"/>
    <w:rsid w:val="008206F0"/>
    <w:rsid w:val="008207FB"/>
    <w:rsid w:val="0082128C"/>
    <w:rsid w:val="0082185D"/>
    <w:rsid w:val="00822011"/>
    <w:rsid w:val="00824833"/>
    <w:rsid w:val="00825576"/>
    <w:rsid w:val="008265CA"/>
    <w:rsid w:val="00826E38"/>
    <w:rsid w:val="008306BB"/>
    <w:rsid w:val="00830F33"/>
    <w:rsid w:val="00831A06"/>
    <w:rsid w:val="00841E0B"/>
    <w:rsid w:val="008430F0"/>
    <w:rsid w:val="00846AED"/>
    <w:rsid w:val="00847F6E"/>
    <w:rsid w:val="0085279C"/>
    <w:rsid w:val="00852B15"/>
    <w:rsid w:val="008542AD"/>
    <w:rsid w:val="008543C3"/>
    <w:rsid w:val="0086368D"/>
    <w:rsid w:val="00863EFD"/>
    <w:rsid w:val="00864E57"/>
    <w:rsid w:val="00865416"/>
    <w:rsid w:val="00867BA8"/>
    <w:rsid w:val="00873778"/>
    <w:rsid w:val="008750F4"/>
    <w:rsid w:val="008811F4"/>
    <w:rsid w:val="0088443E"/>
    <w:rsid w:val="00891F2D"/>
    <w:rsid w:val="00891F7D"/>
    <w:rsid w:val="008931AE"/>
    <w:rsid w:val="0089362C"/>
    <w:rsid w:val="00895996"/>
    <w:rsid w:val="00895A94"/>
    <w:rsid w:val="00896DD4"/>
    <w:rsid w:val="008976ED"/>
    <w:rsid w:val="00897A93"/>
    <w:rsid w:val="00897D47"/>
    <w:rsid w:val="008A086C"/>
    <w:rsid w:val="008A0B23"/>
    <w:rsid w:val="008A2D32"/>
    <w:rsid w:val="008A3298"/>
    <w:rsid w:val="008A34CA"/>
    <w:rsid w:val="008A5746"/>
    <w:rsid w:val="008A615E"/>
    <w:rsid w:val="008A78C1"/>
    <w:rsid w:val="008B39BD"/>
    <w:rsid w:val="008B4ABE"/>
    <w:rsid w:val="008C0B1C"/>
    <w:rsid w:val="008C0D42"/>
    <w:rsid w:val="008C0ED1"/>
    <w:rsid w:val="008C18E9"/>
    <w:rsid w:val="008C1A33"/>
    <w:rsid w:val="008C4076"/>
    <w:rsid w:val="008C4DF9"/>
    <w:rsid w:val="008C7371"/>
    <w:rsid w:val="008D4058"/>
    <w:rsid w:val="008D46CD"/>
    <w:rsid w:val="008D59D5"/>
    <w:rsid w:val="008E1800"/>
    <w:rsid w:val="008E2FB4"/>
    <w:rsid w:val="008E5372"/>
    <w:rsid w:val="008E5D40"/>
    <w:rsid w:val="008E6CA5"/>
    <w:rsid w:val="008F1936"/>
    <w:rsid w:val="008F2AE7"/>
    <w:rsid w:val="008F325C"/>
    <w:rsid w:val="008F379B"/>
    <w:rsid w:val="008F5B52"/>
    <w:rsid w:val="00902475"/>
    <w:rsid w:val="00904498"/>
    <w:rsid w:val="00904A3A"/>
    <w:rsid w:val="009054A8"/>
    <w:rsid w:val="00905C8A"/>
    <w:rsid w:val="00906B4B"/>
    <w:rsid w:val="00912315"/>
    <w:rsid w:val="00912735"/>
    <w:rsid w:val="0091536A"/>
    <w:rsid w:val="009162D0"/>
    <w:rsid w:val="009167B9"/>
    <w:rsid w:val="009168A0"/>
    <w:rsid w:val="00917282"/>
    <w:rsid w:val="009172E3"/>
    <w:rsid w:val="00921F34"/>
    <w:rsid w:val="00922393"/>
    <w:rsid w:val="00922746"/>
    <w:rsid w:val="00922B80"/>
    <w:rsid w:val="0092398E"/>
    <w:rsid w:val="009267A8"/>
    <w:rsid w:val="00927189"/>
    <w:rsid w:val="00927E01"/>
    <w:rsid w:val="00927E7C"/>
    <w:rsid w:val="0093077F"/>
    <w:rsid w:val="00930A10"/>
    <w:rsid w:val="00931451"/>
    <w:rsid w:val="009332D1"/>
    <w:rsid w:val="00934692"/>
    <w:rsid w:val="00934DF2"/>
    <w:rsid w:val="009350DE"/>
    <w:rsid w:val="00937299"/>
    <w:rsid w:val="0094027E"/>
    <w:rsid w:val="009456CC"/>
    <w:rsid w:val="00945959"/>
    <w:rsid w:val="00950B3C"/>
    <w:rsid w:val="00950F4D"/>
    <w:rsid w:val="00951A20"/>
    <w:rsid w:val="00952882"/>
    <w:rsid w:val="00953A32"/>
    <w:rsid w:val="00955007"/>
    <w:rsid w:val="00956289"/>
    <w:rsid w:val="009568AF"/>
    <w:rsid w:val="00956A37"/>
    <w:rsid w:val="00960B25"/>
    <w:rsid w:val="00962129"/>
    <w:rsid w:val="00964E54"/>
    <w:rsid w:val="009658FB"/>
    <w:rsid w:val="00965C0A"/>
    <w:rsid w:val="00965E8F"/>
    <w:rsid w:val="0096635F"/>
    <w:rsid w:val="009712F7"/>
    <w:rsid w:val="0097339A"/>
    <w:rsid w:val="0098098D"/>
    <w:rsid w:val="00980CB0"/>
    <w:rsid w:val="0098105A"/>
    <w:rsid w:val="0098258E"/>
    <w:rsid w:val="00984616"/>
    <w:rsid w:val="00984F61"/>
    <w:rsid w:val="009856E5"/>
    <w:rsid w:val="00985C3F"/>
    <w:rsid w:val="00985ED4"/>
    <w:rsid w:val="009862A9"/>
    <w:rsid w:val="0098742A"/>
    <w:rsid w:val="00987BBA"/>
    <w:rsid w:val="009902EE"/>
    <w:rsid w:val="009910FF"/>
    <w:rsid w:val="0099172D"/>
    <w:rsid w:val="00993BEB"/>
    <w:rsid w:val="00994268"/>
    <w:rsid w:val="009A0475"/>
    <w:rsid w:val="009A0749"/>
    <w:rsid w:val="009A0A84"/>
    <w:rsid w:val="009A34AF"/>
    <w:rsid w:val="009A3E2D"/>
    <w:rsid w:val="009A3FE3"/>
    <w:rsid w:val="009A5AC7"/>
    <w:rsid w:val="009A6BBD"/>
    <w:rsid w:val="009B22F6"/>
    <w:rsid w:val="009B4B84"/>
    <w:rsid w:val="009B6901"/>
    <w:rsid w:val="009C056A"/>
    <w:rsid w:val="009C0869"/>
    <w:rsid w:val="009C0B15"/>
    <w:rsid w:val="009C1193"/>
    <w:rsid w:val="009C337B"/>
    <w:rsid w:val="009C35FE"/>
    <w:rsid w:val="009C4495"/>
    <w:rsid w:val="009C4A8B"/>
    <w:rsid w:val="009C4D57"/>
    <w:rsid w:val="009C526D"/>
    <w:rsid w:val="009C55D7"/>
    <w:rsid w:val="009C6226"/>
    <w:rsid w:val="009C6350"/>
    <w:rsid w:val="009D02D0"/>
    <w:rsid w:val="009D0C89"/>
    <w:rsid w:val="009D304D"/>
    <w:rsid w:val="009D6D3D"/>
    <w:rsid w:val="009D73F9"/>
    <w:rsid w:val="009D763E"/>
    <w:rsid w:val="009D7D1A"/>
    <w:rsid w:val="009E01FE"/>
    <w:rsid w:val="009E1B54"/>
    <w:rsid w:val="009E1F50"/>
    <w:rsid w:val="009E2C6C"/>
    <w:rsid w:val="009E392F"/>
    <w:rsid w:val="009E3FDE"/>
    <w:rsid w:val="009E4F33"/>
    <w:rsid w:val="009E59C6"/>
    <w:rsid w:val="009E6F4F"/>
    <w:rsid w:val="009E75DA"/>
    <w:rsid w:val="009F063E"/>
    <w:rsid w:val="009F1021"/>
    <w:rsid w:val="009F15E5"/>
    <w:rsid w:val="009F21C8"/>
    <w:rsid w:val="009F29A1"/>
    <w:rsid w:val="009F36B9"/>
    <w:rsid w:val="009F4548"/>
    <w:rsid w:val="009F4A3A"/>
    <w:rsid w:val="009F5597"/>
    <w:rsid w:val="009F5BFA"/>
    <w:rsid w:val="009F6543"/>
    <w:rsid w:val="009F6712"/>
    <w:rsid w:val="00A000EF"/>
    <w:rsid w:val="00A013C1"/>
    <w:rsid w:val="00A019C4"/>
    <w:rsid w:val="00A05230"/>
    <w:rsid w:val="00A058B5"/>
    <w:rsid w:val="00A05F9D"/>
    <w:rsid w:val="00A066CD"/>
    <w:rsid w:val="00A1097A"/>
    <w:rsid w:val="00A126F6"/>
    <w:rsid w:val="00A15251"/>
    <w:rsid w:val="00A158B2"/>
    <w:rsid w:val="00A15DA5"/>
    <w:rsid w:val="00A1669E"/>
    <w:rsid w:val="00A20F59"/>
    <w:rsid w:val="00A210DE"/>
    <w:rsid w:val="00A21A10"/>
    <w:rsid w:val="00A224BD"/>
    <w:rsid w:val="00A26503"/>
    <w:rsid w:val="00A27938"/>
    <w:rsid w:val="00A31449"/>
    <w:rsid w:val="00A319C6"/>
    <w:rsid w:val="00A31E0F"/>
    <w:rsid w:val="00A333A4"/>
    <w:rsid w:val="00A3618A"/>
    <w:rsid w:val="00A41A96"/>
    <w:rsid w:val="00A423F5"/>
    <w:rsid w:val="00A438B5"/>
    <w:rsid w:val="00A44124"/>
    <w:rsid w:val="00A46E40"/>
    <w:rsid w:val="00A50A32"/>
    <w:rsid w:val="00A51DA5"/>
    <w:rsid w:val="00A51E74"/>
    <w:rsid w:val="00A51F5C"/>
    <w:rsid w:val="00A543B5"/>
    <w:rsid w:val="00A54B28"/>
    <w:rsid w:val="00A54F8D"/>
    <w:rsid w:val="00A57C60"/>
    <w:rsid w:val="00A61126"/>
    <w:rsid w:val="00A62A92"/>
    <w:rsid w:val="00A654B0"/>
    <w:rsid w:val="00A67C2B"/>
    <w:rsid w:val="00A71E88"/>
    <w:rsid w:val="00A72918"/>
    <w:rsid w:val="00A730A4"/>
    <w:rsid w:val="00A76FE8"/>
    <w:rsid w:val="00A81774"/>
    <w:rsid w:val="00A81B40"/>
    <w:rsid w:val="00A84101"/>
    <w:rsid w:val="00A85295"/>
    <w:rsid w:val="00A859DD"/>
    <w:rsid w:val="00A85B8D"/>
    <w:rsid w:val="00A8610F"/>
    <w:rsid w:val="00A86EE7"/>
    <w:rsid w:val="00A8708E"/>
    <w:rsid w:val="00A870AC"/>
    <w:rsid w:val="00A872B1"/>
    <w:rsid w:val="00A90D07"/>
    <w:rsid w:val="00A9287D"/>
    <w:rsid w:val="00A92DEC"/>
    <w:rsid w:val="00A93859"/>
    <w:rsid w:val="00A93C57"/>
    <w:rsid w:val="00A9459A"/>
    <w:rsid w:val="00A95590"/>
    <w:rsid w:val="00A96762"/>
    <w:rsid w:val="00A96958"/>
    <w:rsid w:val="00A9784F"/>
    <w:rsid w:val="00AA0476"/>
    <w:rsid w:val="00AA0B60"/>
    <w:rsid w:val="00AA173F"/>
    <w:rsid w:val="00AA2914"/>
    <w:rsid w:val="00AA29B0"/>
    <w:rsid w:val="00AA3595"/>
    <w:rsid w:val="00AA6587"/>
    <w:rsid w:val="00AA7088"/>
    <w:rsid w:val="00AA7373"/>
    <w:rsid w:val="00AB0977"/>
    <w:rsid w:val="00AB0F11"/>
    <w:rsid w:val="00AB68E3"/>
    <w:rsid w:val="00AC0200"/>
    <w:rsid w:val="00AC05C2"/>
    <w:rsid w:val="00AC12A9"/>
    <w:rsid w:val="00AC1BAE"/>
    <w:rsid w:val="00AC1F54"/>
    <w:rsid w:val="00AC290A"/>
    <w:rsid w:val="00AC3568"/>
    <w:rsid w:val="00AC4FB0"/>
    <w:rsid w:val="00AC52C1"/>
    <w:rsid w:val="00AC556D"/>
    <w:rsid w:val="00AC781D"/>
    <w:rsid w:val="00AD2E4C"/>
    <w:rsid w:val="00AD4B9D"/>
    <w:rsid w:val="00AE19AB"/>
    <w:rsid w:val="00AE3323"/>
    <w:rsid w:val="00AE3F3E"/>
    <w:rsid w:val="00AE41F8"/>
    <w:rsid w:val="00AE5B22"/>
    <w:rsid w:val="00AE5D1F"/>
    <w:rsid w:val="00AE694C"/>
    <w:rsid w:val="00AF0605"/>
    <w:rsid w:val="00AF12E2"/>
    <w:rsid w:val="00AF3539"/>
    <w:rsid w:val="00AF39BC"/>
    <w:rsid w:val="00AF5C6F"/>
    <w:rsid w:val="00AF7E97"/>
    <w:rsid w:val="00B007C0"/>
    <w:rsid w:val="00B00AA6"/>
    <w:rsid w:val="00B0179C"/>
    <w:rsid w:val="00B04E6B"/>
    <w:rsid w:val="00B053D3"/>
    <w:rsid w:val="00B06D84"/>
    <w:rsid w:val="00B10387"/>
    <w:rsid w:val="00B107D5"/>
    <w:rsid w:val="00B1122F"/>
    <w:rsid w:val="00B12159"/>
    <w:rsid w:val="00B13283"/>
    <w:rsid w:val="00B16FAE"/>
    <w:rsid w:val="00B20340"/>
    <w:rsid w:val="00B213E3"/>
    <w:rsid w:val="00B21591"/>
    <w:rsid w:val="00B220EB"/>
    <w:rsid w:val="00B22AB4"/>
    <w:rsid w:val="00B2351B"/>
    <w:rsid w:val="00B2581B"/>
    <w:rsid w:val="00B26FB6"/>
    <w:rsid w:val="00B2708B"/>
    <w:rsid w:val="00B276F7"/>
    <w:rsid w:val="00B30145"/>
    <w:rsid w:val="00B3126E"/>
    <w:rsid w:val="00B31813"/>
    <w:rsid w:val="00B35CB1"/>
    <w:rsid w:val="00B36FDB"/>
    <w:rsid w:val="00B416AB"/>
    <w:rsid w:val="00B419BF"/>
    <w:rsid w:val="00B41FD0"/>
    <w:rsid w:val="00B43A9B"/>
    <w:rsid w:val="00B4661F"/>
    <w:rsid w:val="00B511B3"/>
    <w:rsid w:val="00B514BA"/>
    <w:rsid w:val="00B54A9E"/>
    <w:rsid w:val="00B55002"/>
    <w:rsid w:val="00B55092"/>
    <w:rsid w:val="00B569C9"/>
    <w:rsid w:val="00B57261"/>
    <w:rsid w:val="00B66B08"/>
    <w:rsid w:val="00B70410"/>
    <w:rsid w:val="00B704FA"/>
    <w:rsid w:val="00B710BF"/>
    <w:rsid w:val="00B73E7E"/>
    <w:rsid w:val="00B74783"/>
    <w:rsid w:val="00B77F79"/>
    <w:rsid w:val="00B81055"/>
    <w:rsid w:val="00B834CB"/>
    <w:rsid w:val="00B859BE"/>
    <w:rsid w:val="00B85A87"/>
    <w:rsid w:val="00B86BF4"/>
    <w:rsid w:val="00B87D03"/>
    <w:rsid w:val="00B91869"/>
    <w:rsid w:val="00B949F7"/>
    <w:rsid w:val="00B9502C"/>
    <w:rsid w:val="00B97D12"/>
    <w:rsid w:val="00BA1474"/>
    <w:rsid w:val="00BA2C02"/>
    <w:rsid w:val="00BA3F2A"/>
    <w:rsid w:val="00BA58CC"/>
    <w:rsid w:val="00BB07F1"/>
    <w:rsid w:val="00BB10CC"/>
    <w:rsid w:val="00BB296A"/>
    <w:rsid w:val="00BB3577"/>
    <w:rsid w:val="00BB3A23"/>
    <w:rsid w:val="00BB6BFB"/>
    <w:rsid w:val="00BB7E75"/>
    <w:rsid w:val="00BC03C8"/>
    <w:rsid w:val="00BC1E5D"/>
    <w:rsid w:val="00BC314E"/>
    <w:rsid w:val="00BC3432"/>
    <w:rsid w:val="00BC3830"/>
    <w:rsid w:val="00BC4FC2"/>
    <w:rsid w:val="00BC5436"/>
    <w:rsid w:val="00BD1D68"/>
    <w:rsid w:val="00BD2537"/>
    <w:rsid w:val="00BD351F"/>
    <w:rsid w:val="00BD493F"/>
    <w:rsid w:val="00BE1430"/>
    <w:rsid w:val="00BE1A97"/>
    <w:rsid w:val="00BE331A"/>
    <w:rsid w:val="00BE38BF"/>
    <w:rsid w:val="00BE3FE1"/>
    <w:rsid w:val="00BE521B"/>
    <w:rsid w:val="00BE589C"/>
    <w:rsid w:val="00BE5D15"/>
    <w:rsid w:val="00BE5E74"/>
    <w:rsid w:val="00BE5EED"/>
    <w:rsid w:val="00BE709B"/>
    <w:rsid w:val="00BF00BF"/>
    <w:rsid w:val="00BF3E2B"/>
    <w:rsid w:val="00BF50CF"/>
    <w:rsid w:val="00BF6803"/>
    <w:rsid w:val="00BF6DC5"/>
    <w:rsid w:val="00BF7751"/>
    <w:rsid w:val="00C0219A"/>
    <w:rsid w:val="00C048E5"/>
    <w:rsid w:val="00C057D5"/>
    <w:rsid w:val="00C057DA"/>
    <w:rsid w:val="00C06531"/>
    <w:rsid w:val="00C06F14"/>
    <w:rsid w:val="00C12A3C"/>
    <w:rsid w:val="00C12E8B"/>
    <w:rsid w:val="00C1449B"/>
    <w:rsid w:val="00C14ACE"/>
    <w:rsid w:val="00C14CAC"/>
    <w:rsid w:val="00C155C7"/>
    <w:rsid w:val="00C2020B"/>
    <w:rsid w:val="00C202C1"/>
    <w:rsid w:val="00C20A7B"/>
    <w:rsid w:val="00C21E8C"/>
    <w:rsid w:val="00C22096"/>
    <w:rsid w:val="00C22D69"/>
    <w:rsid w:val="00C31031"/>
    <w:rsid w:val="00C31297"/>
    <w:rsid w:val="00C31513"/>
    <w:rsid w:val="00C3221C"/>
    <w:rsid w:val="00C36F86"/>
    <w:rsid w:val="00C377CF"/>
    <w:rsid w:val="00C403EF"/>
    <w:rsid w:val="00C406EC"/>
    <w:rsid w:val="00C41038"/>
    <w:rsid w:val="00C43C28"/>
    <w:rsid w:val="00C4428E"/>
    <w:rsid w:val="00C443D9"/>
    <w:rsid w:val="00C46244"/>
    <w:rsid w:val="00C510AB"/>
    <w:rsid w:val="00C52CAD"/>
    <w:rsid w:val="00C53E05"/>
    <w:rsid w:val="00C55BF8"/>
    <w:rsid w:val="00C568F8"/>
    <w:rsid w:val="00C60EBE"/>
    <w:rsid w:val="00C6366D"/>
    <w:rsid w:val="00C72C7F"/>
    <w:rsid w:val="00C746B9"/>
    <w:rsid w:val="00C7573F"/>
    <w:rsid w:val="00C75794"/>
    <w:rsid w:val="00C81130"/>
    <w:rsid w:val="00C82D98"/>
    <w:rsid w:val="00C93903"/>
    <w:rsid w:val="00C96BFF"/>
    <w:rsid w:val="00C979A4"/>
    <w:rsid w:val="00C97DDF"/>
    <w:rsid w:val="00CA086D"/>
    <w:rsid w:val="00CA1DEF"/>
    <w:rsid w:val="00CA225F"/>
    <w:rsid w:val="00CA272B"/>
    <w:rsid w:val="00CA517C"/>
    <w:rsid w:val="00CA67DF"/>
    <w:rsid w:val="00CA67E9"/>
    <w:rsid w:val="00CA77EE"/>
    <w:rsid w:val="00CA7E34"/>
    <w:rsid w:val="00CB2C40"/>
    <w:rsid w:val="00CB46BF"/>
    <w:rsid w:val="00CB5DC7"/>
    <w:rsid w:val="00CB6075"/>
    <w:rsid w:val="00CB6D1C"/>
    <w:rsid w:val="00CB7E2A"/>
    <w:rsid w:val="00CC1913"/>
    <w:rsid w:val="00CC3FC3"/>
    <w:rsid w:val="00CC4C5F"/>
    <w:rsid w:val="00CC4EEA"/>
    <w:rsid w:val="00CC5233"/>
    <w:rsid w:val="00CC5F35"/>
    <w:rsid w:val="00CC631F"/>
    <w:rsid w:val="00CD0FED"/>
    <w:rsid w:val="00CD193E"/>
    <w:rsid w:val="00CD2721"/>
    <w:rsid w:val="00CD2C55"/>
    <w:rsid w:val="00CD3702"/>
    <w:rsid w:val="00CD404F"/>
    <w:rsid w:val="00CD4A6A"/>
    <w:rsid w:val="00CE016C"/>
    <w:rsid w:val="00CE0228"/>
    <w:rsid w:val="00CE5049"/>
    <w:rsid w:val="00CE50CC"/>
    <w:rsid w:val="00CE5DAB"/>
    <w:rsid w:val="00CE7357"/>
    <w:rsid w:val="00CE7A6E"/>
    <w:rsid w:val="00CF04E3"/>
    <w:rsid w:val="00CF1F9E"/>
    <w:rsid w:val="00CF3A1D"/>
    <w:rsid w:val="00CF5F2C"/>
    <w:rsid w:val="00CF7CBC"/>
    <w:rsid w:val="00D02B73"/>
    <w:rsid w:val="00D037FD"/>
    <w:rsid w:val="00D04886"/>
    <w:rsid w:val="00D04D41"/>
    <w:rsid w:val="00D05988"/>
    <w:rsid w:val="00D06425"/>
    <w:rsid w:val="00D07092"/>
    <w:rsid w:val="00D10C8F"/>
    <w:rsid w:val="00D12971"/>
    <w:rsid w:val="00D12C15"/>
    <w:rsid w:val="00D144D4"/>
    <w:rsid w:val="00D158AC"/>
    <w:rsid w:val="00D16802"/>
    <w:rsid w:val="00D17021"/>
    <w:rsid w:val="00D201AB"/>
    <w:rsid w:val="00D208FA"/>
    <w:rsid w:val="00D245E3"/>
    <w:rsid w:val="00D25355"/>
    <w:rsid w:val="00D25F48"/>
    <w:rsid w:val="00D26113"/>
    <w:rsid w:val="00D278C9"/>
    <w:rsid w:val="00D30A38"/>
    <w:rsid w:val="00D31388"/>
    <w:rsid w:val="00D34899"/>
    <w:rsid w:val="00D35CF7"/>
    <w:rsid w:val="00D367AA"/>
    <w:rsid w:val="00D37615"/>
    <w:rsid w:val="00D4131B"/>
    <w:rsid w:val="00D41896"/>
    <w:rsid w:val="00D43A36"/>
    <w:rsid w:val="00D46F16"/>
    <w:rsid w:val="00D51802"/>
    <w:rsid w:val="00D53D5A"/>
    <w:rsid w:val="00D547CD"/>
    <w:rsid w:val="00D5571F"/>
    <w:rsid w:val="00D558AA"/>
    <w:rsid w:val="00D55A07"/>
    <w:rsid w:val="00D57765"/>
    <w:rsid w:val="00D60486"/>
    <w:rsid w:val="00D613C2"/>
    <w:rsid w:val="00D65BB7"/>
    <w:rsid w:val="00D6789C"/>
    <w:rsid w:val="00D72859"/>
    <w:rsid w:val="00D72A94"/>
    <w:rsid w:val="00D7305F"/>
    <w:rsid w:val="00D7512C"/>
    <w:rsid w:val="00D75E98"/>
    <w:rsid w:val="00D77E57"/>
    <w:rsid w:val="00D80263"/>
    <w:rsid w:val="00D80322"/>
    <w:rsid w:val="00D80781"/>
    <w:rsid w:val="00D845A2"/>
    <w:rsid w:val="00D85954"/>
    <w:rsid w:val="00D85A25"/>
    <w:rsid w:val="00D864AA"/>
    <w:rsid w:val="00D86688"/>
    <w:rsid w:val="00D86997"/>
    <w:rsid w:val="00D91E41"/>
    <w:rsid w:val="00D9220A"/>
    <w:rsid w:val="00D94372"/>
    <w:rsid w:val="00DA0AEE"/>
    <w:rsid w:val="00DA7189"/>
    <w:rsid w:val="00DA7DD2"/>
    <w:rsid w:val="00DB468D"/>
    <w:rsid w:val="00DB69E9"/>
    <w:rsid w:val="00DC1080"/>
    <w:rsid w:val="00DC3A03"/>
    <w:rsid w:val="00DC45AD"/>
    <w:rsid w:val="00DC50EF"/>
    <w:rsid w:val="00DC57A1"/>
    <w:rsid w:val="00DC6594"/>
    <w:rsid w:val="00DD08F3"/>
    <w:rsid w:val="00DD1105"/>
    <w:rsid w:val="00DD36C5"/>
    <w:rsid w:val="00DD53A9"/>
    <w:rsid w:val="00DD5E6C"/>
    <w:rsid w:val="00DD7195"/>
    <w:rsid w:val="00DE3189"/>
    <w:rsid w:val="00DE4A8E"/>
    <w:rsid w:val="00DE50BA"/>
    <w:rsid w:val="00DE5122"/>
    <w:rsid w:val="00DE5410"/>
    <w:rsid w:val="00DE5C73"/>
    <w:rsid w:val="00DE6D60"/>
    <w:rsid w:val="00DE6E9C"/>
    <w:rsid w:val="00DE7B86"/>
    <w:rsid w:val="00DF0432"/>
    <w:rsid w:val="00DF0BA6"/>
    <w:rsid w:val="00DF2D2A"/>
    <w:rsid w:val="00DF53AE"/>
    <w:rsid w:val="00DF5D06"/>
    <w:rsid w:val="00E01862"/>
    <w:rsid w:val="00E04356"/>
    <w:rsid w:val="00E04ADA"/>
    <w:rsid w:val="00E04B44"/>
    <w:rsid w:val="00E056A3"/>
    <w:rsid w:val="00E061E4"/>
    <w:rsid w:val="00E0686E"/>
    <w:rsid w:val="00E06FFD"/>
    <w:rsid w:val="00E07365"/>
    <w:rsid w:val="00E11B60"/>
    <w:rsid w:val="00E1312C"/>
    <w:rsid w:val="00E1319C"/>
    <w:rsid w:val="00E144D2"/>
    <w:rsid w:val="00E1554B"/>
    <w:rsid w:val="00E1620C"/>
    <w:rsid w:val="00E1754B"/>
    <w:rsid w:val="00E2107A"/>
    <w:rsid w:val="00E21920"/>
    <w:rsid w:val="00E2263E"/>
    <w:rsid w:val="00E227B1"/>
    <w:rsid w:val="00E22BE7"/>
    <w:rsid w:val="00E22DCA"/>
    <w:rsid w:val="00E2305B"/>
    <w:rsid w:val="00E30A89"/>
    <w:rsid w:val="00E3131A"/>
    <w:rsid w:val="00E32E44"/>
    <w:rsid w:val="00E4103F"/>
    <w:rsid w:val="00E42398"/>
    <w:rsid w:val="00E4239A"/>
    <w:rsid w:val="00E43459"/>
    <w:rsid w:val="00E43BD3"/>
    <w:rsid w:val="00E468EB"/>
    <w:rsid w:val="00E46F4F"/>
    <w:rsid w:val="00E50644"/>
    <w:rsid w:val="00E51519"/>
    <w:rsid w:val="00E52A3E"/>
    <w:rsid w:val="00E52A48"/>
    <w:rsid w:val="00E52D05"/>
    <w:rsid w:val="00E54FE8"/>
    <w:rsid w:val="00E573FB"/>
    <w:rsid w:val="00E57589"/>
    <w:rsid w:val="00E57ACF"/>
    <w:rsid w:val="00E6088A"/>
    <w:rsid w:val="00E60E4B"/>
    <w:rsid w:val="00E6202F"/>
    <w:rsid w:val="00E62360"/>
    <w:rsid w:val="00E6489E"/>
    <w:rsid w:val="00E6559C"/>
    <w:rsid w:val="00E66DCC"/>
    <w:rsid w:val="00E721FE"/>
    <w:rsid w:val="00E72D44"/>
    <w:rsid w:val="00E73BD6"/>
    <w:rsid w:val="00E75916"/>
    <w:rsid w:val="00E76D2C"/>
    <w:rsid w:val="00E80BAB"/>
    <w:rsid w:val="00E80E00"/>
    <w:rsid w:val="00E83854"/>
    <w:rsid w:val="00E83C5D"/>
    <w:rsid w:val="00E858D3"/>
    <w:rsid w:val="00E85A54"/>
    <w:rsid w:val="00E8730C"/>
    <w:rsid w:val="00E96237"/>
    <w:rsid w:val="00E977CC"/>
    <w:rsid w:val="00EA16B1"/>
    <w:rsid w:val="00EA201C"/>
    <w:rsid w:val="00EA443A"/>
    <w:rsid w:val="00EA6023"/>
    <w:rsid w:val="00EA6D42"/>
    <w:rsid w:val="00EA77C1"/>
    <w:rsid w:val="00EB34DE"/>
    <w:rsid w:val="00EB3D43"/>
    <w:rsid w:val="00EB5130"/>
    <w:rsid w:val="00EB58A5"/>
    <w:rsid w:val="00EC052D"/>
    <w:rsid w:val="00EC1258"/>
    <w:rsid w:val="00EC2DE8"/>
    <w:rsid w:val="00EC3375"/>
    <w:rsid w:val="00EC617B"/>
    <w:rsid w:val="00EC6FB1"/>
    <w:rsid w:val="00ED0978"/>
    <w:rsid w:val="00ED2646"/>
    <w:rsid w:val="00ED515C"/>
    <w:rsid w:val="00ED5870"/>
    <w:rsid w:val="00EE0584"/>
    <w:rsid w:val="00EE0652"/>
    <w:rsid w:val="00EE1B3B"/>
    <w:rsid w:val="00EE40BE"/>
    <w:rsid w:val="00EE55C3"/>
    <w:rsid w:val="00EE6B9D"/>
    <w:rsid w:val="00EE72ED"/>
    <w:rsid w:val="00EF3064"/>
    <w:rsid w:val="00EF3C18"/>
    <w:rsid w:val="00EF4742"/>
    <w:rsid w:val="00EF61E0"/>
    <w:rsid w:val="00F0054F"/>
    <w:rsid w:val="00F023D7"/>
    <w:rsid w:val="00F02B22"/>
    <w:rsid w:val="00F030B8"/>
    <w:rsid w:val="00F03FBA"/>
    <w:rsid w:val="00F07012"/>
    <w:rsid w:val="00F070BB"/>
    <w:rsid w:val="00F07D81"/>
    <w:rsid w:val="00F13EB5"/>
    <w:rsid w:val="00F1548A"/>
    <w:rsid w:val="00F20D74"/>
    <w:rsid w:val="00F210C8"/>
    <w:rsid w:val="00F214A1"/>
    <w:rsid w:val="00F23E45"/>
    <w:rsid w:val="00F244E7"/>
    <w:rsid w:val="00F25B20"/>
    <w:rsid w:val="00F27BEB"/>
    <w:rsid w:val="00F27F11"/>
    <w:rsid w:val="00F30E2F"/>
    <w:rsid w:val="00F34B21"/>
    <w:rsid w:val="00F35EEC"/>
    <w:rsid w:val="00F37C0F"/>
    <w:rsid w:val="00F405D7"/>
    <w:rsid w:val="00F41583"/>
    <w:rsid w:val="00F432DC"/>
    <w:rsid w:val="00F442CA"/>
    <w:rsid w:val="00F4621F"/>
    <w:rsid w:val="00F46D5F"/>
    <w:rsid w:val="00F500C6"/>
    <w:rsid w:val="00F522EB"/>
    <w:rsid w:val="00F554AB"/>
    <w:rsid w:val="00F57540"/>
    <w:rsid w:val="00F607BC"/>
    <w:rsid w:val="00F60EA5"/>
    <w:rsid w:val="00F627C6"/>
    <w:rsid w:val="00F63200"/>
    <w:rsid w:val="00F63B37"/>
    <w:rsid w:val="00F63CF6"/>
    <w:rsid w:val="00F648CF"/>
    <w:rsid w:val="00F65624"/>
    <w:rsid w:val="00F72057"/>
    <w:rsid w:val="00F767B4"/>
    <w:rsid w:val="00F803DA"/>
    <w:rsid w:val="00F810EB"/>
    <w:rsid w:val="00F84BE7"/>
    <w:rsid w:val="00F84FB2"/>
    <w:rsid w:val="00F871B4"/>
    <w:rsid w:val="00F90355"/>
    <w:rsid w:val="00F903D4"/>
    <w:rsid w:val="00F91D01"/>
    <w:rsid w:val="00F92DED"/>
    <w:rsid w:val="00F93AFC"/>
    <w:rsid w:val="00F949E6"/>
    <w:rsid w:val="00F955C8"/>
    <w:rsid w:val="00F95F83"/>
    <w:rsid w:val="00F960AF"/>
    <w:rsid w:val="00F969B8"/>
    <w:rsid w:val="00FA113A"/>
    <w:rsid w:val="00FA1BD5"/>
    <w:rsid w:val="00FA2138"/>
    <w:rsid w:val="00FA34F9"/>
    <w:rsid w:val="00FA63F0"/>
    <w:rsid w:val="00FA6E36"/>
    <w:rsid w:val="00FA7E53"/>
    <w:rsid w:val="00FB09B8"/>
    <w:rsid w:val="00FB2B60"/>
    <w:rsid w:val="00FB45E4"/>
    <w:rsid w:val="00FB6BD6"/>
    <w:rsid w:val="00FB6EF9"/>
    <w:rsid w:val="00FB793D"/>
    <w:rsid w:val="00FC0A92"/>
    <w:rsid w:val="00FC1D04"/>
    <w:rsid w:val="00FC5D35"/>
    <w:rsid w:val="00FD36D0"/>
    <w:rsid w:val="00FD5885"/>
    <w:rsid w:val="00FD67DD"/>
    <w:rsid w:val="00FD6EB3"/>
    <w:rsid w:val="00FE3734"/>
    <w:rsid w:val="00FE39DF"/>
    <w:rsid w:val="00FE3E0E"/>
    <w:rsid w:val="00FE4457"/>
    <w:rsid w:val="00FE5DC5"/>
    <w:rsid w:val="00FE75E1"/>
    <w:rsid w:val="00FF0CA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49"/>
    <o:shapelayout v:ext="edit">
      <o:idmap v:ext="edit" data="1"/>
    </o:shapelayout>
  </w:shapeDefaults>
  <w:decimalSymbol w:val=","/>
  <w:listSeparator w:val=";"/>
  <w14:docId w14:val="130471EB"/>
  <w15:chartTrackingRefBased/>
  <w15:docId w15:val="{E4AB992C-94D0-491F-8E35-76E99D1FB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63AB"/>
    <w:rPr>
      <w:rFonts w:ascii="Times New Roman" w:hAnsi="Times New Roman"/>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5128"/>
    <w:pPr>
      <w:spacing w:after="200" w:line="276" w:lineRule="auto"/>
      <w:ind w:left="720"/>
      <w:contextualSpacing/>
    </w:pPr>
    <w:rPr>
      <w:rFonts w:ascii="Calibri" w:hAnsi="Calibri"/>
      <w:sz w:val="22"/>
      <w:szCs w:val="22"/>
      <w:lang w:val="en-GB"/>
    </w:rPr>
  </w:style>
  <w:style w:type="paragraph" w:customStyle="1" w:styleId="mainabbody">
    <w:name w:val="main abbody"/>
    <w:basedOn w:val="a"/>
    <w:link w:val="mainabbodyChar"/>
    <w:qFormat/>
    <w:rsid w:val="008A2D32"/>
    <w:pPr>
      <w:spacing w:after="240" w:line="480" w:lineRule="auto"/>
      <w:jc w:val="both"/>
    </w:pPr>
  </w:style>
  <w:style w:type="character" w:customStyle="1" w:styleId="mainabbodyChar">
    <w:name w:val="main abbody Char"/>
    <w:link w:val="mainabbody"/>
    <w:rsid w:val="008A2D32"/>
    <w:rPr>
      <w:rFonts w:ascii="Times New Roman" w:eastAsia="Calibri" w:hAnsi="Times New Roman" w:cs="Times New Roman"/>
      <w:sz w:val="24"/>
      <w:szCs w:val="24"/>
      <w:lang w:val="en-US"/>
    </w:rPr>
  </w:style>
  <w:style w:type="paragraph" w:customStyle="1" w:styleId="figurestables">
    <w:name w:val="figures &amp; tables"/>
    <w:basedOn w:val="mainabbody"/>
    <w:link w:val="figurestablesChar"/>
    <w:qFormat/>
    <w:rsid w:val="008A2D32"/>
    <w:pPr>
      <w:spacing w:after="0"/>
      <w:jc w:val="center"/>
    </w:pPr>
    <w:rPr>
      <w:b/>
    </w:rPr>
  </w:style>
  <w:style w:type="character" w:customStyle="1" w:styleId="figurestablesChar">
    <w:name w:val="figures &amp; tables Char"/>
    <w:link w:val="figurestables"/>
    <w:rsid w:val="008A2D32"/>
    <w:rPr>
      <w:rFonts w:ascii="Times New Roman" w:eastAsia="Calibri" w:hAnsi="Times New Roman" w:cs="Times New Roman"/>
      <w:b/>
      <w:sz w:val="24"/>
      <w:szCs w:val="24"/>
      <w:lang w:val="en-US"/>
    </w:rPr>
  </w:style>
  <w:style w:type="paragraph" w:styleId="a4">
    <w:name w:val="footnote text"/>
    <w:basedOn w:val="a"/>
    <w:link w:val="Char"/>
    <w:uiPriority w:val="99"/>
    <w:semiHidden/>
    <w:unhideWhenUsed/>
    <w:rsid w:val="00CC5F35"/>
    <w:pPr>
      <w:spacing w:after="200" w:line="276" w:lineRule="auto"/>
    </w:pPr>
    <w:rPr>
      <w:rFonts w:ascii="Calibri" w:hAnsi="Calibri"/>
      <w:sz w:val="20"/>
      <w:szCs w:val="20"/>
      <w:lang w:val="el-GR"/>
    </w:rPr>
  </w:style>
  <w:style w:type="character" w:customStyle="1" w:styleId="Char">
    <w:name w:val="Κείμενο υποσημείωσης Char"/>
    <w:link w:val="a4"/>
    <w:uiPriority w:val="99"/>
    <w:semiHidden/>
    <w:rsid w:val="00CC5F35"/>
    <w:rPr>
      <w:rFonts w:ascii="Calibri" w:eastAsia="Calibri" w:hAnsi="Calibri" w:cs="Times New Roman"/>
      <w:sz w:val="20"/>
      <w:szCs w:val="20"/>
    </w:rPr>
  </w:style>
  <w:style w:type="character" w:styleId="a5">
    <w:name w:val="footnote reference"/>
    <w:uiPriority w:val="99"/>
    <w:semiHidden/>
    <w:unhideWhenUsed/>
    <w:rsid w:val="00CC5F35"/>
    <w:rPr>
      <w:vertAlign w:val="superscript"/>
    </w:rPr>
  </w:style>
  <w:style w:type="paragraph" w:styleId="a6">
    <w:name w:val="header"/>
    <w:basedOn w:val="a"/>
    <w:link w:val="Char0"/>
    <w:uiPriority w:val="99"/>
    <w:unhideWhenUsed/>
    <w:rsid w:val="007B40FC"/>
    <w:pPr>
      <w:tabs>
        <w:tab w:val="center" w:pos="4153"/>
        <w:tab w:val="right" w:pos="8306"/>
      </w:tabs>
    </w:pPr>
    <w:rPr>
      <w:rFonts w:ascii="Calibri" w:hAnsi="Calibri"/>
      <w:sz w:val="22"/>
      <w:szCs w:val="22"/>
      <w:lang w:val="el-GR"/>
    </w:rPr>
  </w:style>
  <w:style w:type="character" w:customStyle="1" w:styleId="Char0">
    <w:name w:val="Κεφαλίδα Char"/>
    <w:basedOn w:val="a0"/>
    <w:link w:val="a6"/>
    <w:uiPriority w:val="99"/>
    <w:rsid w:val="007B40FC"/>
  </w:style>
  <w:style w:type="paragraph" w:styleId="a7">
    <w:name w:val="footer"/>
    <w:basedOn w:val="a"/>
    <w:link w:val="Char1"/>
    <w:uiPriority w:val="99"/>
    <w:unhideWhenUsed/>
    <w:rsid w:val="007B40FC"/>
    <w:pPr>
      <w:tabs>
        <w:tab w:val="center" w:pos="4153"/>
        <w:tab w:val="right" w:pos="8306"/>
      </w:tabs>
    </w:pPr>
    <w:rPr>
      <w:rFonts w:ascii="Calibri" w:hAnsi="Calibri"/>
      <w:sz w:val="22"/>
      <w:szCs w:val="22"/>
      <w:lang w:val="el-GR"/>
    </w:rPr>
  </w:style>
  <w:style w:type="character" w:customStyle="1" w:styleId="Char1">
    <w:name w:val="Υποσέλιδο Char"/>
    <w:basedOn w:val="a0"/>
    <w:link w:val="a7"/>
    <w:uiPriority w:val="99"/>
    <w:rsid w:val="007B40FC"/>
  </w:style>
  <w:style w:type="table" w:styleId="a8">
    <w:name w:val="Table Grid"/>
    <w:basedOn w:val="a1"/>
    <w:uiPriority w:val="39"/>
    <w:rsid w:val="003B3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50333C"/>
  </w:style>
  <w:style w:type="character" w:styleId="-">
    <w:name w:val="Hyperlink"/>
    <w:uiPriority w:val="99"/>
    <w:unhideWhenUsed/>
    <w:rsid w:val="0046046E"/>
    <w:rPr>
      <w:color w:val="0563C1"/>
      <w:u w:val="single"/>
    </w:rPr>
  </w:style>
  <w:style w:type="paragraph" w:styleId="Web">
    <w:name w:val="Normal (Web)"/>
    <w:basedOn w:val="a"/>
    <w:uiPriority w:val="99"/>
    <w:semiHidden/>
    <w:unhideWhenUsed/>
    <w:rsid w:val="00704ACE"/>
    <w:pPr>
      <w:spacing w:before="100" w:beforeAutospacing="1" w:after="100" w:afterAutospacing="1"/>
    </w:pPr>
    <w:rPr>
      <w:rFonts w:eastAsia="Times New Roman"/>
      <w:lang w:val="en-GB" w:eastAsia="en-GB"/>
    </w:rPr>
  </w:style>
  <w:style w:type="table" w:customStyle="1" w:styleId="TableGrid1">
    <w:name w:val="Table Grid1"/>
    <w:basedOn w:val="a1"/>
    <w:next w:val="a8"/>
    <w:uiPriority w:val="39"/>
    <w:rsid w:val="00002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8"/>
    <w:uiPriority w:val="39"/>
    <w:rsid w:val="00DF0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2"/>
    <w:uiPriority w:val="99"/>
    <w:semiHidden/>
    <w:unhideWhenUsed/>
    <w:rsid w:val="001B1265"/>
    <w:rPr>
      <w:rFonts w:ascii="Segoe UI" w:hAnsi="Segoe UI" w:cs="Segoe UI"/>
      <w:sz w:val="18"/>
      <w:szCs w:val="18"/>
    </w:rPr>
  </w:style>
  <w:style w:type="character" w:customStyle="1" w:styleId="Char2">
    <w:name w:val="Κείμενο πλαισίου Char"/>
    <w:link w:val="a9"/>
    <w:uiPriority w:val="99"/>
    <w:semiHidden/>
    <w:rsid w:val="001B1265"/>
    <w:rPr>
      <w:rFonts w:ascii="Segoe UI" w:hAnsi="Segoe UI" w:cs="Segoe UI"/>
      <w:sz w:val="18"/>
      <w:szCs w:val="18"/>
      <w:lang w:val="en-US"/>
    </w:rPr>
  </w:style>
  <w:style w:type="table" w:customStyle="1" w:styleId="TableGrid3">
    <w:name w:val="Table Grid3"/>
    <w:basedOn w:val="a1"/>
    <w:next w:val="a8"/>
    <w:uiPriority w:val="39"/>
    <w:rsid w:val="009D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8"/>
    <w:uiPriority w:val="39"/>
    <w:rsid w:val="009D7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0"/>
    <w:uiPriority w:val="99"/>
    <w:semiHidden/>
    <w:unhideWhenUsed/>
    <w:rsid w:val="00AB0F11"/>
  </w:style>
  <w:style w:type="character" w:styleId="ab">
    <w:name w:val="annotation reference"/>
    <w:basedOn w:val="a0"/>
    <w:uiPriority w:val="99"/>
    <w:semiHidden/>
    <w:unhideWhenUsed/>
    <w:rsid w:val="00B77F79"/>
    <w:rPr>
      <w:sz w:val="16"/>
      <w:szCs w:val="16"/>
    </w:rPr>
  </w:style>
  <w:style w:type="paragraph" w:styleId="ac">
    <w:name w:val="annotation text"/>
    <w:basedOn w:val="a"/>
    <w:link w:val="Char3"/>
    <w:uiPriority w:val="99"/>
    <w:semiHidden/>
    <w:unhideWhenUsed/>
    <w:rsid w:val="00B77F79"/>
    <w:rPr>
      <w:sz w:val="20"/>
      <w:szCs w:val="20"/>
    </w:rPr>
  </w:style>
  <w:style w:type="character" w:customStyle="1" w:styleId="Char3">
    <w:name w:val="Κείμενο σχολίου Char"/>
    <w:basedOn w:val="a0"/>
    <w:link w:val="ac"/>
    <w:uiPriority w:val="99"/>
    <w:semiHidden/>
    <w:rsid w:val="00B77F79"/>
    <w:rPr>
      <w:rFonts w:ascii="Times New Roman" w:hAnsi="Times New Roman"/>
      <w:lang w:val="en-US" w:eastAsia="en-US"/>
    </w:rPr>
  </w:style>
  <w:style w:type="paragraph" w:styleId="ad">
    <w:name w:val="annotation subject"/>
    <w:basedOn w:val="ac"/>
    <w:next w:val="ac"/>
    <w:link w:val="Char4"/>
    <w:uiPriority w:val="99"/>
    <w:semiHidden/>
    <w:unhideWhenUsed/>
    <w:rsid w:val="00B77F79"/>
    <w:rPr>
      <w:b/>
      <w:bCs/>
    </w:rPr>
  </w:style>
  <w:style w:type="character" w:customStyle="1" w:styleId="Char4">
    <w:name w:val="Θέμα σχολίου Char"/>
    <w:basedOn w:val="Char3"/>
    <w:link w:val="ad"/>
    <w:uiPriority w:val="99"/>
    <w:semiHidden/>
    <w:rsid w:val="00B77F79"/>
    <w:rPr>
      <w:rFonts w:ascii="Times New Roman" w:hAnsi="Times New Roman"/>
      <w:b/>
      <w:bCs/>
      <w:lang w:val="en-US" w:eastAsia="en-US"/>
    </w:rPr>
  </w:style>
  <w:style w:type="paragraph" w:styleId="ae">
    <w:name w:val="Revision"/>
    <w:hidden/>
    <w:uiPriority w:val="99"/>
    <w:semiHidden/>
    <w:rsid w:val="008931AE"/>
    <w:rPr>
      <w:rFonts w:ascii="Times New Roman" w:hAnsi="Times New Roman"/>
      <w:sz w:val="24"/>
      <w:szCs w:val="24"/>
      <w:lang w:val="en-US" w:eastAsia="en-US"/>
    </w:rPr>
  </w:style>
  <w:style w:type="character" w:styleId="af">
    <w:name w:val="Unresolved Mention"/>
    <w:basedOn w:val="a0"/>
    <w:uiPriority w:val="99"/>
    <w:semiHidden/>
    <w:unhideWhenUsed/>
    <w:rsid w:val="00782851"/>
    <w:rPr>
      <w:color w:val="605E5C"/>
      <w:shd w:val="clear" w:color="auto" w:fill="E1DFDD"/>
    </w:rPr>
  </w:style>
  <w:style w:type="paragraph" w:styleId="af0">
    <w:name w:val="endnote text"/>
    <w:basedOn w:val="a"/>
    <w:link w:val="Char5"/>
    <w:uiPriority w:val="99"/>
    <w:semiHidden/>
    <w:unhideWhenUsed/>
    <w:rsid w:val="000265B2"/>
    <w:rPr>
      <w:sz w:val="20"/>
      <w:szCs w:val="20"/>
    </w:rPr>
  </w:style>
  <w:style w:type="character" w:customStyle="1" w:styleId="Char5">
    <w:name w:val="Κείμενο σημείωσης τέλους Char"/>
    <w:basedOn w:val="a0"/>
    <w:link w:val="af0"/>
    <w:uiPriority w:val="99"/>
    <w:semiHidden/>
    <w:rsid w:val="000265B2"/>
    <w:rPr>
      <w:rFonts w:ascii="Times New Roman" w:hAnsi="Times New Roman"/>
      <w:lang w:val="en-US" w:eastAsia="en-US"/>
    </w:rPr>
  </w:style>
  <w:style w:type="character" w:styleId="af1">
    <w:name w:val="endnote reference"/>
    <w:basedOn w:val="a0"/>
    <w:uiPriority w:val="99"/>
    <w:semiHidden/>
    <w:unhideWhenUsed/>
    <w:rsid w:val="000265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28099">
      <w:bodyDiv w:val="1"/>
      <w:marLeft w:val="0"/>
      <w:marRight w:val="0"/>
      <w:marTop w:val="0"/>
      <w:marBottom w:val="0"/>
      <w:divBdr>
        <w:top w:val="none" w:sz="0" w:space="0" w:color="auto"/>
        <w:left w:val="none" w:sz="0" w:space="0" w:color="auto"/>
        <w:bottom w:val="none" w:sz="0" w:space="0" w:color="auto"/>
        <w:right w:val="none" w:sz="0" w:space="0" w:color="auto"/>
      </w:divBdr>
    </w:div>
    <w:div w:id="134878265">
      <w:bodyDiv w:val="1"/>
      <w:marLeft w:val="0"/>
      <w:marRight w:val="0"/>
      <w:marTop w:val="0"/>
      <w:marBottom w:val="0"/>
      <w:divBdr>
        <w:top w:val="none" w:sz="0" w:space="0" w:color="auto"/>
        <w:left w:val="none" w:sz="0" w:space="0" w:color="auto"/>
        <w:bottom w:val="none" w:sz="0" w:space="0" w:color="auto"/>
        <w:right w:val="none" w:sz="0" w:space="0" w:color="auto"/>
      </w:divBdr>
      <w:divsChild>
        <w:div w:id="943071500">
          <w:marLeft w:val="0"/>
          <w:marRight w:val="0"/>
          <w:marTop w:val="0"/>
          <w:marBottom w:val="0"/>
          <w:divBdr>
            <w:top w:val="none" w:sz="0" w:space="0" w:color="auto"/>
            <w:left w:val="none" w:sz="0" w:space="0" w:color="auto"/>
            <w:bottom w:val="none" w:sz="0" w:space="0" w:color="auto"/>
            <w:right w:val="none" w:sz="0" w:space="0" w:color="auto"/>
          </w:divBdr>
        </w:div>
        <w:div w:id="1082337481">
          <w:marLeft w:val="0"/>
          <w:marRight w:val="0"/>
          <w:marTop w:val="0"/>
          <w:marBottom w:val="0"/>
          <w:divBdr>
            <w:top w:val="none" w:sz="0" w:space="0" w:color="auto"/>
            <w:left w:val="none" w:sz="0" w:space="0" w:color="auto"/>
            <w:bottom w:val="none" w:sz="0" w:space="0" w:color="auto"/>
            <w:right w:val="none" w:sz="0" w:space="0" w:color="auto"/>
          </w:divBdr>
        </w:div>
        <w:div w:id="1371103039">
          <w:marLeft w:val="0"/>
          <w:marRight w:val="0"/>
          <w:marTop w:val="0"/>
          <w:marBottom w:val="0"/>
          <w:divBdr>
            <w:top w:val="none" w:sz="0" w:space="0" w:color="auto"/>
            <w:left w:val="none" w:sz="0" w:space="0" w:color="auto"/>
            <w:bottom w:val="none" w:sz="0" w:space="0" w:color="auto"/>
            <w:right w:val="none" w:sz="0" w:space="0" w:color="auto"/>
          </w:divBdr>
        </w:div>
        <w:div w:id="1454976790">
          <w:marLeft w:val="0"/>
          <w:marRight w:val="0"/>
          <w:marTop w:val="0"/>
          <w:marBottom w:val="0"/>
          <w:divBdr>
            <w:top w:val="none" w:sz="0" w:space="0" w:color="auto"/>
            <w:left w:val="none" w:sz="0" w:space="0" w:color="auto"/>
            <w:bottom w:val="none" w:sz="0" w:space="0" w:color="auto"/>
            <w:right w:val="none" w:sz="0" w:space="0" w:color="auto"/>
          </w:divBdr>
        </w:div>
        <w:div w:id="1633170852">
          <w:marLeft w:val="0"/>
          <w:marRight w:val="0"/>
          <w:marTop w:val="0"/>
          <w:marBottom w:val="0"/>
          <w:divBdr>
            <w:top w:val="none" w:sz="0" w:space="0" w:color="auto"/>
            <w:left w:val="none" w:sz="0" w:space="0" w:color="auto"/>
            <w:bottom w:val="none" w:sz="0" w:space="0" w:color="auto"/>
            <w:right w:val="none" w:sz="0" w:space="0" w:color="auto"/>
          </w:divBdr>
        </w:div>
        <w:div w:id="1642803015">
          <w:marLeft w:val="0"/>
          <w:marRight w:val="0"/>
          <w:marTop w:val="0"/>
          <w:marBottom w:val="0"/>
          <w:divBdr>
            <w:top w:val="none" w:sz="0" w:space="0" w:color="auto"/>
            <w:left w:val="none" w:sz="0" w:space="0" w:color="auto"/>
            <w:bottom w:val="none" w:sz="0" w:space="0" w:color="auto"/>
            <w:right w:val="none" w:sz="0" w:space="0" w:color="auto"/>
          </w:divBdr>
        </w:div>
        <w:div w:id="1776243003">
          <w:marLeft w:val="0"/>
          <w:marRight w:val="0"/>
          <w:marTop w:val="0"/>
          <w:marBottom w:val="0"/>
          <w:divBdr>
            <w:top w:val="none" w:sz="0" w:space="0" w:color="auto"/>
            <w:left w:val="none" w:sz="0" w:space="0" w:color="auto"/>
            <w:bottom w:val="none" w:sz="0" w:space="0" w:color="auto"/>
            <w:right w:val="none" w:sz="0" w:space="0" w:color="auto"/>
          </w:divBdr>
        </w:div>
      </w:divsChild>
    </w:div>
    <w:div w:id="348917810">
      <w:bodyDiv w:val="1"/>
      <w:marLeft w:val="0"/>
      <w:marRight w:val="0"/>
      <w:marTop w:val="0"/>
      <w:marBottom w:val="0"/>
      <w:divBdr>
        <w:top w:val="none" w:sz="0" w:space="0" w:color="auto"/>
        <w:left w:val="none" w:sz="0" w:space="0" w:color="auto"/>
        <w:bottom w:val="none" w:sz="0" w:space="0" w:color="auto"/>
        <w:right w:val="none" w:sz="0" w:space="0" w:color="auto"/>
      </w:divBdr>
    </w:div>
    <w:div w:id="365756753">
      <w:bodyDiv w:val="1"/>
      <w:marLeft w:val="0"/>
      <w:marRight w:val="0"/>
      <w:marTop w:val="0"/>
      <w:marBottom w:val="0"/>
      <w:divBdr>
        <w:top w:val="none" w:sz="0" w:space="0" w:color="auto"/>
        <w:left w:val="none" w:sz="0" w:space="0" w:color="auto"/>
        <w:bottom w:val="none" w:sz="0" w:space="0" w:color="auto"/>
        <w:right w:val="none" w:sz="0" w:space="0" w:color="auto"/>
      </w:divBdr>
    </w:div>
    <w:div w:id="721439307">
      <w:bodyDiv w:val="1"/>
      <w:marLeft w:val="0"/>
      <w:marRight w:val="0"/>
      <w:marTop w:val="0"/>
      <w:marBottom w:val="0"/>
      <w:divBdr>
        <w:top w:val="none" w:sz="0" w:space="0" w:color="auto"/>
        <w:left w:val="none" w:sz="0" w:space="0" w:color="auto"/>
        <w:bottom w:val="none" w:sz="0" w:space="0" w:color="auto"/>
        <w:right w:val="none" w:sz="0" w:space="0" w:color="auto"/>
      </w:divBdr>
    </w:div>
    <w:div w:id="805972777">
      <w:bodyDiv w:val="1"/>
      <w:marLeft w:val="0"/>
      <w:marRight w:val="0"/>
      <w:marTop w:val="0"/>
      <w:marBottom w:val="0"/>
      <w:divBdr>
        <w:top w:val="none" w:sz="0" w:space="0" w:color="auto"/>
        <w:left w:val="none" w:sz="0" w:space="0" w:color="auto"/>
        <w:bottom w:val="none" w:sz="0" w:space="0" w:color="auto"/>
        <w:right w:val="none" w:sz="0" w:space="0" w:color="auto"/>
      </w:divBdr>
    </w:div>
    <w:div w:id="934244835">
      <w:bodyDiv w:val="1"/>
      <w:marLeft w:val="0"/>
      <w:marRight w:val="0"/>
      <w:marTop w:val="0"/>
      <w:marBottom w:val="0"/>
      <w:divBdr>
        <w:top w:val="none" w:sz="0" w:space="0" w:color="auto"/>
        <w:left w:val="none" w:sz="0" w:space="0" w:color="auto"/>
        <w:bottom w:val="none" w:sz="0" w:space="0" w:color="auto"/>
        <w:right w:val="none" w:sz="0" w:space="0" w:color="auto"/>
      </w:divBdr>
    </w:div>
    <w:div w:id="1302346233">
      <w:bodyDiv w:val="1"/>
      <w:marLeft w:val="0"/>
      <w:marRight w:val="0"/>
      <w:marTop w:val="0"/>
      <w:marBottom w:val="0"/>
      <w:divBdr>
        <w:top w:val="none" w:sz="0" w:space="0" w:color="auto"/>
        <w:left w:val="none" w:sz="0" w:space="0" w:color="auto"/>
        <w:bottom w:val="none" w:sz="0" w:space="0" w:color="auto"/>
        <w:right w:val="none" w:sz="0" w:space="0" w:color="auto"/>
      </w:divBdr>
    </w:div>
    <w:div w:id="1348405184">
      <w:bodyDiv w:val="1"/>
      <w:marLeft w:val="0"/>
      <w:marRight w:val="0"/>
      <w:marTop w:val="0"/>
      <w:marBottom w:val="0"/>
      <w:divBdr>
        <w:top w:val="none" w:sz="0" w:space="0" w:color="auto"/>
        <w:left w:val="none" w:sz="0" w:space="0" w:color="auto"/>
        <w:bottom w:val="none" w:sz="0" w:space="0" w:color="auto"/>
        <w:right w:val="none" w:sz="0" w:space="0" w:color="auto"/>
      </w:divBdr>
    </w:div>
    <w:div w:id="1539510118">
      <w:bodyDiv w:val="1"/>
      <w:marLeft w:val="0"/>
      <w:marRight w:val="0"/>
      <w:marTop w:val="0"/>
      <w:marBottom w:val="0"/>
      <w:divBdr>
        <w:top w:val="none" w:sz="0" w:space="0" w:color="auto"/>
        <w:left w:val="none" w:sz="0" w:space="0" w:color="auto"/>
        <w:bottom w:val="none" w:sz="0" w:space="0" w:color="auto"/>
        <w:right w:val="none" w:sz="0" w:space="0" w:color="auto"/>
      </w:divBdr>
    </w:div>
    <w:div w:id="1743410981">
      <w:bodyDiv w:val="1"/>
      <w:marLeft w:val="0"/>
      <w:marRight w:val="0"/>
      <w:marTop w:val="0"/>
      <w:marBottom w:val="0"/>
      <w:divBdr>
        <w:top w:val="none" w:sz="0" w:space="0" w:color="auto"/>
        <w:left w:val="none" w:sz="0" w:space="0" w:color="auto"/>
        <w:bottom w:val="none" w:sz="0" w:space="0" w:color="auto"/>
        <w:right w:val="none" w:sz="0" w:space="0" w:color="auto"/>
      </w:divBdr>
    </w:div>
    <w:div w:id="1910068700">
      <w:bodyDiv w:val="1"/>
      <w:marLeft w:val="0"/>
      <w:marRight w:val="0"/>
      <w:marTop w:val="0"/>
      <w:marBottom w:val="0"/>
      <w:divBdr>
        <w:top w:val="none" w:sz="0" w:space="0" w:color="auto"/>
        <w:left w:val="none" w:sz="0" w:space="0" w:color="auto"/>
        <w:bottom w:val="none" w:sz="0" w:space="0" w:color="auto"/>
        <w:right w:val="none" w:sz="0" w:space="0" w:color="auto"/>
      </w:divBdr>
    </w:div>
    <w:div w:id="196603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brand.com/best-brands/best-global-brands/2019/ranking/"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rmaworld.com/smpp/ftinterface~db=all~content=a917285720~fulltext=71324093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B1345D0C0F714AAB36C8A33B0AE7DE" ma:contentTypeVersion="11" ma:contentTypeDescription="Create a new document." ma:contentTypeScope="" ma:versionID="bf1a2e24ba66b195111b00b130316419">
  <xsd:schema xmlns:xsd="http://www.w3.org/2001/XMLSchema" xmlns:xs="http://www.w3.org/2001/XMLSchema" xmlns:p="http://schemas.microsoft.com/office/2006/metadata/properties" xmlns:ns3="ff71704a-70ed-42ca-816d-a5167f7506ae" xmlns:ns4="dc5126a6-eecf-4692-8ac6-aeb72b7b4fb7" targetNamespace="http://schemas.microsoft.com/office/2006/metadata/properties" ma:root="true" ma:fieldsID="4e58f92a5f81c9d4ced199661a15e3e8" ns3:_="" ns4:_="">
    <xsd:import namespace="ff71704a-70ed-42ca-816d-a5167f7506ae"/>
    <xsd:import namespace="dc5126a6-eecf-4692-8ac6-aeb72b7b4f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1704a-70ed-42ca-816d-a5167f7506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126a6-eecf-4692-8ac6-aeb72b7b4fb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4557AC-BE3F-4556-9E98-2513E06B7ACC}">
  <ds:schemaRefs>
    <ds:schemaRef ds:uri="http://schemas.microsoft.com/sharepoint/v3/contenttype/forms"/>
  </ds:schemaRefs>
</ds:datastoreItem>
</file>

<file path=customXml/itemProps2.xml><?xml version="1.0" encoding="utf-8"?>
<ds:datastoreItem xmlns:ds="http://schemas.openxmlformats.org/officeDocument/2006/customXml" ds:itemID="{3C9BDBE6-B3B8-4357-A45D-62EF83F2A4B5}">
  <ds:schemaRefs>
    <ds:schemaRef ds:uri="http://schemas.openxmlformats.org/officeDocument/2006/bibliography"/>
  </ds:schemaRefs>
</ds:datastoreItem>
</file>

<file path=customXml/itemProps3.xml><?xml version="1.0" encoding="utf-8"?>
<ds:datastoreItem xmlns:ds="http://schemas.openxmlformats.org/officeDocument/2006/customXml" ds:itemID="{26EBD46C-ABAB-461D-B03A-5B9EAFA177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8287407-BE06-4E50-898D-C1F5CE865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1704a-70ed-42ca-816d-a5167f7506ae"/>
    <ds:schemaRef ds:uri="dc5126a6-eecf-4692-8ac6-aeb72b7b4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71</Pages>
  <Words>20166</Words>
  <Characters>108897</Characters>
  <Application>Microsoft Office Word</Application>
  <DocSecurity>0</DocSecurity>
  <Lines>907</Lines>
  <Paragraphs>257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128806</CharactersWithSpaces>
  <SharedDoc>false</SharedDoc>
  <HLinks>
    <vt:vector size="6" baseType="variant">
      <vt:variant>
        <vt:i4>4390930</vt:i4>
      </vt:variant>
      <vt:variant>
        <vt:i4>0</vt:i4>
      </vt:variant>
      <vt:variant>
        <vt:i4>0</vt:i4>
      </vt:variant>
      <vt:variant>
        <vt:i4>5</vt:i4>
      </vt:variant>
      <vt:variant>
        <vt:lpwstr>http://www.informaworld.com/smpp/ftinterface~db=all~content=a917285720~fulltext=713240930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Abby</dc:creator>
  <cp:keywords/>
  <dc:description/>
  <cp:lastModifiedBy>Abby</cp:lastModifiedBy>
  <cp:revision>56</cp:revision>
  <cp:lastPrinted>2019-01-23T16:04:00Z</cp:lastPrinted>
  <dcterms:created xsi:type="dcterms:W3CDTF">2020-03-10T13:07:00Z</dcterms:created>
  <dcterms:modified xsi:type="dcterms:W3CDTF">2021-04-19T07:39:00Z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0x01010027B1345D0C0F714AAB36C8A33B0AE7DE</vt:lpwstr>
  </property>
</Properties>
</file>