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8CC" w:rsidRPr="00B178CC" w:rsidRDefault="00A64DAF" w:rsidP="00A64DAF">
      <w:pPr>
        <w:spacing w:after="0" w:line="240" w:lineRule="auto"/>
        <w:jc w:val="center"/>
        <w:rPr>
          <w:b/>
          <w:highlight w:val="cyan"/>
        </w:rPr>
      </w:pPr>
      <w:r w:rsidRPr="00A64DAF">
        <w:rPr>
          <w:b/>
        </w:rPr>
        <w:t>S</w:t>
      </w:r>
      <w:r w:rsidR="00910B4A">
        <w:rPr>
          <w:b/>
        </w:rPr>
        <w:t xml:space="preserve">toffel </w:t>
      </w:r>
      <w:r>
        <w:rPr>
          <w:b/>
        </w:rPr>
        <w:t>&amp; C</w:t>
      </w:r>
      <w:r w:rsidR="00910B4A">
        <w:rPr>
          <w:b/>
        </w:rPr>
        <w:t>o</w:t>
      </w:r>
      <w:r>
        <w:rPr>
          <w:b/>
        </w:rPr>
        <w:t xml:space="preserve"> v </w:t>
      </w:r>
      <w:proofErr w:type="spellStart"/>
      <w:r>
        <w:rPr>
          <w:b/>
        </w:rPr>
        <w:t>G</w:t>
      </w:r>
      <w:r w:rsidR="00910B4A">
        <w:rPr>
          <w:b/>
        </w:rPr>
        <w:t>rondona</w:t>
      </w:r>
      <w:proofErr w:type="spellEnd"/>
    </w:p>
    <w:p w:rsidR="00B178CC" w:rsidRPr="00B178CC" w:rsidRDefault="00B178CC" w:rsidP="00B178CC">
      <w:pPr>
        <w:spacing w:after="0" w:line="240" w:lineRule="auto"/>
        <w:jc w:val="center"/>
        <w:rPr>
          <w:b/>
          <w:highlight w:val="cyan"/>
        </w:rPr>
      </w:pPr>
    </w:p>
    <w:p w:rsidR="00A64DAF" w:rsidRPr="00A64DAF" w:rsidRDefault="00B178CC" w:rsidP="00B178CC">
      <w:pPr>
        <w:spacing w:after="0" w:line="240" w:lineRule="auto"/>
      </w:pPr>
      <w:r w:rsidRPr="00A64DAF">
        <w:t>Supreme Court (</w:t>
      </w:r>
      <w:r w:rsidR="00A64DAF" w:rsidRPr="00A64DAF">
        <w:t>Lord Reed P, and Lords Lloyd-Jones, Hodge, and Ladies Black, Arden)</w:t>
      </w:r>
    </w:p>
    <w:p w:rsidR="00A64DAF" w:rsidRPr="00A64DAF" w:rsidRDefault="00A64DAF" w:rsidP="00B178CC">
      <w:pPr>
        <w:spacing w:after="0" w:line="240" w:lineRule="auto"/>
      </w:pPr>
    </w:p>
    <w:p w:rsidR="00B178CC" w:rsidRPr="00B178CC" w:rsidRDefault="00A64DAF" w:rsidP="00B178CC">
      <w:pPr>
        <w:spacing w:after="0" w:line="240" w:lineRule="auto"/>
        <w:rPr>
          <w:highlight w:val="cyan"/>
        </w:rPr>
      </w:pPr>
      <w:r w:rsidRPr="00A64DAF">
        <w:t>30 October 2020</w:t>
      </w:r>
    </w:p>
    <w:p w:rsidR="00B178CC" w:rsidRPr="005C6A89" w:rsidRDefault="00B178CC" w:rsidP="00B178CC">
      <w:pPr>
        <w:spacing w:after="0" w:line="240" w:lineRule="auto"/>
      </w:pPr>
    </w:p>
    <w:p w:rsidR="00B178CC" w:rsidRPr="005C6A89" w:rsidRDefault="00A64DAF" w:rsidP="00B178CC">
      <w:pPr>
        <w:spacing w:after="0" w:line="240" w:lineRule="auto"/>
      </w:pPr>
      <w:r w:rsidRPr="005C6A89">
        <w:t xml:space="preserve">[2020] UKSC 42 </w:t>
      </w:r>
    </w:p>
    <w:p w:rsidR="00B178CC" w:rsidRPr="005C6A89" w:rsidRDefault="00B178CC" w:rsidP="00B178CC">
      <w:pPr>
        <w:spacing w:after="0" w:line="240" w:lineRule="auto"/>
      </w:pPr>
    </w:p>
    <w:p w:rsidR="00B178CC" w:rsidRPr="005C6A89" w:rsidRDefault="00034DF3" w:rsidP="00B178CC">
      <w:pPr>
        <w:spacing w:after="0" w:line="240" w:lineRule="auto"/>
        <w:rPr>
          <w:i/>
        </w:rPr>
      </w:pPr>
      <w:r w:rsidRPr="005C6A89">
        <w:rPr>
          <w:i/>
        </w:rPr>
        <w:t>Solicitor</w:t>
      </w:r>
      <w:r w:rsidR="00E153DE" w:rsidRPr="005C6A89">
        <w:rPr>
          <w:i/>
        </w:rPr>
        <w:t>’</w:t>
      </w:r>
      <w:r w:rsidRPr="005C6A89">
        <w:rPr>
          <w:i/>
        </w:rPr>
        <w:t>s negligence – mortgage fraud –</w:t>
      </w:r>
      <w:r w:rsidR="00E153DE" w:rsidRPr="005C6A89">
        <w:rPr>
          <w:i/>
        </w:rPr>
        <w:t xml:space="preserve"> transfer of title – failure to register –</w:t>
      </w:r>
      <w:r w:rsidRPr="005C6A89">
        <w:rPr>
          <w:i/>
        </w:rPr>
        <w:t xml:space="preserve"> illegality </w:t>
      </w:r>
      <w:r w:rsidR="00B178CC" w:rsidRPr="005C6A89">
        <w:rPr>
          <w:i/>
        </w:rPr>
        <w:t xml:space="preserve">   </w:t>
      </w:r>
    </w:p>
    <w:p w:rsidR="00501AF5" w:rsidRPr="005C6A89" w:rsidRDefault="00501AF5" w:rsidP="00B178CC">
      <w:pPr>
        <w:spacing w:after="0" w:line="240" w:lineRule="auto"/>
      </w:pPr>
    </w:p>
    <w:p w:rsidR="00501AF5" w:rsidRPr="005C6A89" w:rsidRDefault="00501AF5" w:rsidP="00B178CC">
      <w:pPr>
        <w:spacing w:after="0" w:line="240" w:lineRule="auto"/>
      </w:pPr>
      <w:r w:rsidRPr="005C6A89">
        <w:t xml:space="preserve">In or about March 2000 </w:t>
      </w:r>
      <w:r w:rsidR="00E153DE" w:rsidRPr="005C6A89">
        <w:t xml:space="preserve">Maria </w:t>
      </w:r>
      <w:proofErr w:type="spellStart"/>
      <w:r w:rsidR="00E153DE" w:rsidRPr="005C6A89">
        <w:t>Grondana</w:t>
      </w:r>
      <w:proofErr w:type="spellEnd"/>
      <w:r w:rsidR="00E153DE" w:rsidRPr="005C6A89">
        <w:t xml:space="preserve"> (G) entered into an agreement with C L Mitchell (M)</w:t>
      </w:r>
      <w:r w:rsidR="00785E74" w:rsidRPr="005C6A89">
        <w:t xml:space="preserve">, whereby </w:t>
      </w:r>
      <w:r w:rsidR="001A7A70" w:rsidRPr="005C6A89">
        <w:t>G agreed to lend her name to M for the purposes of applying for and obtaining mortgage loans</w:t>
      </w:r>
      <w:r w:rsidR="00A928AA">
        <w:t>.  I</w:t>
      </w:r>
      <w:r w:rsidRPr="005C6A89">
        <w:t xml:space="preserve">n return </w:t>
      </w:r>
      <w:r w:rsidR="00A928AA">
        <w:t xml:space="preserve">G would receive </w:t>
      </w:r>
      <w:r w:rsidR="003949E7">
        <w:t>a share of t</w:t>
      </w:r>
      <w:r w:rsidRPr="005C6A89">
        <w:t>he profits when the relevant properties were sold.</w:t>
      </w:r>
      <w:r w:rsidR="000F4B0F" w:rsidRPr="005C6A89">
        <w:t xml:space="preserve">  </w:t>
      </w:r>
      <w:r w:rsidRPr="005C6A89">
        <w:t xml:space="preserve">In or about July 2002 M paid the sum of £30,000 to the freehold owner of a property for the grant of a 125-year lease of part of the freehold, comprising a ground floor flat.  </w:t>
      </w:r>
      <w:r w:rsidR="00A14FDB">
        <w:t xml:space="preserve">To enable M to purchase it </w:t>
      </w:r>
      <w:r w:rsidRPr="005C6A89">
        <w:t xml:space="preserve">M entered into a </w:t>
      </w:r>
      <w:r w:rsidR="001A7A70" w:rsidRPr="005C6A89">
        <w:t xml:space="preserve">£45,000 </w:t>
      </w:r>
      <w:r w:rsidRPr="005C6A89">
        <w:t xml:space="preserve">loan agreement with BM Samuels for six months, secured by a legal charge </w:t>
      </w:r>
      <w:r w:rsidR="001A7A70" w:rsidRPr="005C6A89">
        <w:t>against t</w:t>
      </w:r>
      <w:r w:rsidRPr="005C6A89">
        <w:t xml:space="preserve">he property </w:t>
      </w:r>
      <w:r w:rsidR="001A7A70" w:rsidRPr="005C6A89">
        <w:t>(the BM Samuels charge)</w:t>
      </w:r>
      <w:r w:rsidRPr="005C6A89">
        <w:t>.  A leasehold interest in the property was registered in M’s name at the Land Registry, along with the BM Samuels charge.</w:t>
      </w:r>
    </w:p>
    <w:p w:rsidR="00501AF5" w:rsidRPr="005C6A89" w:rsidRDefault="00501AF5" w:rsidP="00B178CC">
      <w:pPr>
        <w:spacing w:after="0" w:line="240" w:lineRule="auto"/>
      </w:pPr>
    </w:p>
    <w:p w:rsidR="000F4B0F" w:rsidRPr="005C6A89" w:rsidRDefault="00501AF5" w:rsidP="00B178CC">
      <w:pPr>
        <w:spacing w:after="0" w:line="240" w:lineRule="auto"/>
      </w:pPr>
      <w:r w:rsidRPr="005C6A89">
        <w:t xml:space="preserve">In October 2002 G </w:t>
      </w:r>
      <w:r w:rsidR="000F4B0F" w:rsidRPr="005C6A89">
        <w:t>purchase</w:t>
      </w:r>
      <w:r w:rsidR="001A7A70" w:rsidRPr="005C6A89">
        <w:t xml:space="preserve">d </w:t>
      </w:r>
      <w:r w:rsidR="008E75DC" w:rsidRPr="005C6A89">
        <w:t xml:space="preserve">from M, </w:t>
      </w:r>
      <w:r w:rsidR="000F4B0F" w:rsidRPr="005C6A89">
        <w:t>M’s leasehold interest in the property</w:t>
      </w:r>
      <w:r w:rsidR="001A7A70" w:rsidRPr="005C6A89">
        <w:t xml:space="preserve"> for the sum of £90,000</w:t>
      </w:r>
      <w:r w:rsidR="000F4B0F" w:rsidRPr="005C6A89">
        <w:t>, with the assistance of a mortgage advance from Birmingham Midshires (BM) for the sum of £76,475.  This advance was to be secured by a charge over the property</w:t>
      </w:r>
      <w:r w:rsidR="00A7502D">
        <w:t xml:space="preserve"> (the BM charge)</w:t>
      </w:r>
      <w:r w:rsidR="000F4B0F" w:rsidRPr="005C6A89">
        <w:t>.  On the mortgage application G dishonestly represented that the sale was not a private sale, that the deposit monies were from her own resources, and that she was managing the property.</w:t>
      </w:r>
      <w:r w:rsidR="006A107C" w:rsidRPr="005C6A89">
        <w:t xml:space="preserve">  </w:t>
      </w:r>
      <w:r w:rsidR="000F4B0F" w:rsidRPr="005C6A89">
        <w:t xml:space="preserve">Stoffel &amp; Co (S) acted </w:t>
      </w:r>
      <w:r w:rsidR="00A14FDB">
        <w:t xml:space="preserve">as the solicitors </w:t>
      </w:r>
      <w:r w:rsidR="000F4B0F" w:rsidRPr="005C6A89">
        <w:t xml:space="preserve">for G, M, and BM in connection with the transaction.  </w:t>
      </w:r>
    </w:p>
    <w:p w:rsidR="00D60F27" w:rsidRPr="005C6A89" w:rsidRDefault="00D60F27" w:rsidP="00B178CC">
      <w:pPr>
        <w:spacing w:after="0" w:line="240" w:lineRule="auto"/>
      </w:pPr>
    </w:p>
    <w:p w:rsidR="00D60F27" w:rsidRPr="005C6A89" w:rsidRDefault="00D60F27" w:rsidP="00B178CC">
      <w:pPr>
        <w:spacing w:after="0" w:line="240" w:lineRule="auto"/>
      </w:pPr>
      <w:r w:rsidRPr="005C6A89">
        <w:t>M executed</w:t>
      </w:r>
      <w:r w:rsidR="001A7A70" w:rsidRPr="005C6A89">
        <w:t xml:space="preserve"> form TR1</w:t>
      </w:r>
      <w:r w:rsidRPr="005C6A89">
        <w:t xml:space="preserve"> in favour of G and delivered</w:t>
      </w:r>
      <w:r w:rsidR="001A7A70" w:rsidRPr="005C6A89">
        <w:t xml:space="preserve"> it</w:t>
      </w:r>
      <w:r w:rsidRPr="005C6A89">
        <w:t xml:space="preserve"> to S.  S then paid the sum of £76,475 received by way of mortgage advance from BM to BM Samuels, the existing </w:t>
      </w:r>
      <w:proofErr w:type="spellStart"/>
      <w:r w:rsidRPr="005C6A89">
        <w:t>chargee</w:t>
      </w:r>
      <w:proofErr w:type="spellEnd"/>
      <w:r w:rsidRPr="005C6A89">
        <w:t>.  S failed to register at the Land Registry the transfer of the property to G, failed to register the BM charge granted by G, and also failed to register the release of the BM Samuels charge.  As a result of this failure M remained the registered proprietor of the property, and BM Samuels remained the registered proprietor of the BM Samuels charge, under which further advances were made to M.</w:t>
      </w:r>
    </w:p>
    <w:p w:rsidR="00D60F27" w:rsidRPr="005C6A89" w:rsidRDefault="00D60F27" w:rsidP="00B178CC">
      <w:pPr>
        <w:spacing w:after="0" w:line="240" w:lineRule="auto"/>
      </w:pPr>
    </w:p>
    <w:p w:rsidR="00323A7E" w:rsidRPr="005C6A89" w:rsidRDefault="00D60F27" w:rsidP="00B178CC">
      <w:pPr>
        <w:spacing w:after="0" w:line="240" w:lineRule="auto"/>
      </w:pPr>
      <w:r w:rsidRPr="005C6A89">
        <w:t xml:space="preserve">G defaulted on payments to BM, and BM </w:t>
      </w:r>
      <w:r w:rsidR="001A7A70" w:rsidRPr="005C6A89">
        <w:t xml:space="preserve">obtained </w:t>
      </w:r>
      <w:r w:rsidR="00323A7E" w:rsidRPr="005C6A89">
        <w:t>summary judgment</w:t>
      </w:r>
      <w:r w:rsidR="001A7A70" w:rsidRPr="005C6A89">
        <w:t xml:space="preserve"> against her</w:t>
      </w:r>
      <w:r w:rsidRPr="005C6A89">
        <w:t>.  G brought a Part 20 claim against S for an indemnity, contribution, and/or damages for breach of duty and/or breach of contract.</w:t>
      </w:r>
      <w:r w:rsidR="00323A7E" w:rsidRPr="005C6A89">
        <w:t xml:space="preserve">  BM also brought claims against S and BM Samuels, which were settled.  The leasehold interest was sold by BM Samuels to satisfy sums owed by M under the BM Samuels charge.</w:t>
      </w:r>
    </w:p>
    <w:p w:rsidR="00323A7E" w:rsidRPr="005C6A89" w:rsidRDefault="00323A7E" w:rsidP="00B178CC">
      <w:pPr>
        <w:spacing w:after="0" w:line="240" w:lineRule="auto"/>
      </w:pPr>
    </w:p>
    <w:p w:rsidR="00EE4FE2" w:rsidRPr="005C6A89" w:rsidRDefault="00323A7E" w:rsidP="00EE4FE2">
      <w:pPr>
        <w:spacing w:after="0" w:line="240" w:lineRule="auto"/>
        <w:rPr>
          <w:rFonts w:eastAsia="Times New Roman" w:cstheme="minorHAnsi"/>
          <w:color w:val="000000"/>
          <w:lang w:eastAsia="en-GB"/>
        </w:rPr>
      </w:pPr>
      <w:r w:rsidRPr="005C6A89">
        <w:rPr>
          <w:rFonts w:cstheme="minorHAnsi"/>
        </w:rPr>
        <w:t xml:space="preserve">At </w:t>
      </w:r>
      <w:r w:rsidR="008E75DC" w:rsidRPr="005C6A89">
        <w:rPr>
          <w:rFonts w:cstheme="minorHAnsi"/>
        </w:rPr>
        <w:t xml:space="preserve">trial </w:t>
      </w:r>
      <w:r w:rsidRPr="005C6A89">
        <w:rPr>
          <w:rFonts w:cstheme="minorHAnsi"/>
        </w:rPr>
        <w:t>S argued that damages were not recoverable by G, since the purposes of the transaction was unlawful, to obtain finance for M by misrepresentation.</w:t>
      </w:r>
      <w:r w:rsidR="008E75DC" w:rsidRPr="005C6A89">
        <w:rPr>
          <w:rFonts w:cstheme="minorHAnsi"/>
        </w:rPr>
        <w:t xml:space="preserve">  </w:t>
      </w:r>
      <w:r w:rsidR="00254E48" w:rsidRPr="005C6A89">
        <w:rPr>
          <w:rFonts w:cstheme="minorHAnsi"/>
        </w:rPr>
        <w:t>At first instance</w:t>
      </w:r>
      <w:r w:rsidR="008E75DC" w:rsidRPr="005C6A89">
        <w:rPr>
          <w:rFonts w:cstheme="minorHAnsi"/>
        </w:rPr>
        <w:t xml:space="preserve"> </w:t>
      </w:r>
      <w:r w:rsidR="00254E48" w:rsidRPr="005C6A89">
        <w:rPr>
          <w:rFonts w:cstheme="minorHAnsi"/>
        </w:rPr>
        <w:t>Her Honour Judge Walden-Smith</w:t>
      </w:r>
      <w:r w:rsidR="008E75DC" w:rsidRPr="005C6A89">
        <w:rPr>
          <w:rFonts w:cstheme="minorHAnsi"/>
        </w:rPr>
        <w:t xml:space="preserve"> held that G was a knowing and dishonest participant with M in mortgage fraud, </w:t>
      </w:r>
      <w:r w:rsidR="00EE4FE2" w:rsidRPr="005C6A89">
        <w:rPr>
          <w:rFonts w:cstheme="minorHAnsi"/>
        </w:rPr>
        <w:t xml:space="preserve">that the mortgage transaction was a sham, </w:t>
      </w:r>
      <w:r w:rsidR="008E75DC" w:rsidRPr="005C6A89">
        <w:rPr>
          <w:rFonts w:cstheme="minorHAnsi"/>
        </w:rPr>
        <w:t>but that the illegality defence did not apply, since the claim against S was conceptually separate from the f</w:t>
      </w:r>
      <w:r w:rsidR="00FE3B9F" w:rsidRPr="005C6A89">
        <w:rPr>
          <w:rFonts w:cstheme="minorHAnsi"/>
        </w:rPr>
        <w:t>raud</w:t>
      </w:r>
      <w:r w:rsidR="008E75DC" w:rsidRPr="005C6A89">
        <w:rPr>
          <w:rFonts w:cstheme="minorHAnsi"/>
        </w:rPr>
        <w:t>.</w:t>
      </w:r>
      <w:r w:rsidR="00EE4FE2" w:rsidRPr="005C6A89">
        <w:rPr>
          <w:rFonts w:cstheme="minorHAnsi"/>
        </w:rPr>
        <w:t xml:space="preserve">  S appealed.  The Court of Appeal</w:t>
      </w:r>
      <w:r w:rsidR="00D50D86" w:rsidRPr="005C6A89">
        <w:rPr>
          <w:rFonts w:cstheme="minorHAnsi"/>
        </w:rPr>
        <w:t xml:space="preserve"> (</w:t>
      </w:r>
      <w:proofErr w:type="spellStart"/>
      <w:r w:rsidR="00A14FDB">
        <w:rPr>
          <w:rFonts w:cstheme="minorHAnsi"/>
        </w:rPr>
        <w:t>Gloster</w:t>
      </w:r>
      <w:proofErr w:type="spellEnd"/>
      <w:r w:rsidR="00A14FDB">
        <w:rPr>
          <w:rFonts w:cstheme="minorHAnsi"/>
        </w:rPr>
        <w:t xml:space="preserve"> LJ and </w:t>
      </w:r>
      <w:proofErr w:type="spellStart"/>
      <w:r w:rsidR="00A14FDB" w:rsidRPr="00A14FDB">
        <w:rPr>
          <w:rFonts w:cstheme="minorHAnsi"/>
        </w:rPr>
        <w:t>Flaux</w:t>
      </w:r>
      <w:proofErr w:type="spellEnd"/>
      <w:r w:rsidR="00A14FDB" w:rsidRPr="00A14FDB">
        <w:rPr>
          <w:rFonts w:cstheme="minorHAnsi"/>
        </w:rPr>
        <w:t xml:space="preserve"> LJ</w:t>
      </w:r>
      <w:r w:rsidR="00D50D86" w:rsidRPr="005C6A89">
        <w:rPr>
          <w:rFonts w:cstheme="minorHAnsi"/>
        </w:rPr>
        <w:t>)</w:t>
      </w:r>
      <w:r w:rsidR="00EE4FE2" w:rsidRPr="005C6A89">
        <w:rPr>
          <w:rFonts w:cstheme="minorHAnsi"/>
        </w:rPr>
        <w:t xml:space="preserve"> held </w:t>
      </w:r>
      <w:r w:rsidR="008E75DC" w:rsidRPr="005C6A89">
        <w:rPr>
          <w:rFonts w:eastAsia="Times New Roman" w:cstheme="minorHAnsi"/>
          <w:lang w:eastAsia="en-GB"/>
        </w:rPr>
        <w:t>(</w:t>
      </w:r>
      <w:hyperlink r:id="rId5" w:tooltip="Link to BAILII version" w:history="1">
        <w:r w:rsidR="008E75DC" w:rsidRPr="005C6A89">
          <w:rPr>
            <w:rFonts w:eastAsia="Times New Roman" w:cstheme="minorHAnsi"/>
            <w:lang w:eastAsia="en-GB"/>
          </w:rPr>
          <w:t xml:space="preserve">[2018] EWCA </w:t>
        </w:r>
        <w:proofErr w:type="spellStart"/>
        <w:r w:rsidR="008E75DC" w:rsidRPr="005C6A89">
          <w:rPr>
            <w:rFonts w:eastAsia="Times New Roman" w:cstheme="minorHAnsi"/>
            <w:lang w:eastAsia="en-GB"/>
          </w:rPr>
          <w:t>Civ</w:t>
        </w:r>
        <w:proofErr w:type="spellEnd"/>
        <w:r w:rsidR="008E75DC" w:rsidRPr="005C6A89">
          <w:rPr>
            <w:rFonts w:eastAsia="Times New Roman" w:cstheme="minorHAnsi"/>
            <w:lang w:eastAsia="en-GB"/>
          </w:rPr>
          <w:t xml:space="preserve"> 2031</w:t>
        </w:r>
      </w:hyperlink>
      <w:r w:rsidR="008E75DC" w:rsidRPr="005C6A89">
        <w:rPr>
          <w:rFonts w:eastAsia="Times New Roman" w:cstheme="minorHAnsi"/>
          <w:lang w:eastAsia="en-GB"/>
        </w:rPr>
        <w:t>; [2018] P</w:t>
      </w:r>
      <w:r w:rsidR="00D50D86" w:rsidRPr="005C6A89">
        <w:rPr>
          <w:rFonts w:eastAsia="Times New Roman" w:cstheme="minorHAnsi"/>
          <w:lang w:eastAsia="en-GB"/>
        </w:rPr>
        <w:t>.</w:t>
      </w:r>
      <w:r w:rsidR="008E75DC" w:rsidRPr="005C6A89">
        <w:rPr>
          <w:rFonts w:eastAsia="Times New Roman" w:cstheme="minorHAnsi"/>
          <w:lang w:eastAsia="en-GB"/>
        </w:rPr>
        <w:t>N</w:t>
      </w:r>
      <w:r w:rsidR="00D50D86" w:rsidRPr="005C6A89">
        <w:rPr>
          <w:rFonts w:eastAsia="Times New Roman" w:cstheme="minorHAnsi"/>
          <w:lang w:eastAsia="en-GB"/>
        </w:rPr>
        <w:t>.</w:t>
      </w:r>
      <w:r w:rsidR="008E75DC" w:rsidRPr="005C6A89">
        <w:rPr>
          <w:rFonts w:eastAsia="Times New Roman" w:cstheme="minorHAnsi"/>
          <w:lang w:eastAsia="en-GB"/>
        </w:rPr>
        <w:t>L</w:t>
      </w:r>
      <w:r w:rsidR="00D50D86" w:rsidRPr="005C6A89">
        <w:rPr>
          <w:rFonts w:eastAsia="Times New Roman" w:cstheme="minorHAnsi"/>
          <w:lang w:eastAsia="en-GB"/>
        </w:rPr>
        <w:t>.</w:t>
      </w:r>
      <w:r w:rsidR="008E75DC" w:rsidRPr="005C6A89">
        <w:rPr>
          <w:rFonts w:eastAsia="Times New Roman" w:cstheme="minorHAnsi"/>
          <w:lang w:eastAsia="en-GB"/>
        </w:rPr>
        <w:t>R</w:t>
      </w:r>
      <w:r w:rsidR="00D50D86" w:rsidRPr="005C6A89">
        <w:rPr>
          <w:rFonts w:eastAsia="Times New Roman" w:cstheme="minorHAnsi"/>
          <w:lang w:eastAsia="en-GB"/>
        </w:rPr>
        <w:t>.</w:t>
      </w:r>
      <w:r w:rsidR="008E75DC" w:rsidRPr="005C6A89">
        <w:rPr>
          <w:rFonts w:eastAsia="Times New Roman" w:cstheme="minorHAnsi"/>
          <w:lang w:eastAsia="en-GB"/>
        </w:rPr>
        <w:t xml:space="preserve"> 36)</w:t>
      </w:r>
      <w:r w:rsidR="00EE4FE2" w:rsidRPr="005C6A89">
        <w:rPr>
          <w:rFonts w:eastAsia="Times New Roman" w:cstheme="minorHAnsi"/>
          <w:lang w:eastAsia="en-GB"/>
        </w:rPr>
        <w:t xml:space="preserve"> that </w:t>
      </w:r>
      <w:r w:rsidR="00EE4FE2" w:rsidRPr="005C6A89">
        <w:rPr>
          <w:rFonts w:eastAsia="Times New Roman" w:cstheme="minorHAnsi"/>
          <w:color w:val="000000"/>
          <w:lang w:eastAsia="en-GB"/>
        </w:rPr>
        <w:t xml:space="preserve">the mortgage was not a sham and was intended to take effect, there was an intention to transfer the legal title to G, </w:t>
      </w:r>
      <w:r w:rsidR="00FE3B9F" w:rsidRPr="005C6A89">
        <w:rPr>
          <w:rFonts w:eastAsia="Times New Roman" w:cstheme="minorHAnsi"/>
          <w:color w:val="000000"/>
          <w:lang w:eastAsia="en-GB"/>
        </w:rPr>
        <w:t>and</w:t>
      </w:r>
      <w:r w:rsidR="00EE4FE2" w:rsidRPr="005C6A89">
        <w:rPr>
          <w:rFonts w:eastAsia="Times New Roman" w:cstheme="minorHAnsi"/>
          <w:color w:val="000000"/>
          <w:lang w:eastAsia="en-GB"/>
        </w:rPr>
        <w:t xml:space="preserve"> illegality did not bar G’s claim.</w:t>
      </w:r>
    </w:p>
    <w:p w:rsidR="00FE3B9F" w:rsidRPr="005C6A89" w:rsidRDefault="00FE3B9F" w:rsidP="00EE4FE2">
      <w:pPr>
        <w:spacing w:after="0" w:line="240" w:lineRule="auto"/>
        <w:rPr>
          <w:rFonts w:eastAsia="Times New Roman" w:cstheme="minorHAnsi"/>
          <w:color w:val="000000"/>
          <w:lang w:eastAsia="en-GB"/>
        </w:rPr>
      </w:pPr>
    </w:p>
    <w:p w:rsidR="00FE3B9F" w:rsidRPr="005C6A89" w:rsidRDefault="00FE3B9F" w:rsidP="00EE4FE2">
      <w:pPr>
        <w:spacing w:after="0" w:line="240" w:lineRule="auto"/>
        <w:rPr>
          <w:rFonts w:eastAsia="Times New Roman" w:cstheme="minorHAnsi"/>
          <w:color w:val="000000"/>
          <w:lang w:eastAsia="en-GB"/>
        </w:rPr>
      </w:pPr>
      <w:r w:rsidRPr="005C6A89">
        <w:rPr>
          <w:rFonts w:eastAsia="Times New Roman" w:cstheme="minorHAnsi"/>
          <w:color w:val="000000"/>
          <w:lang w:eastAsia="en-GB"/>
        </w:rPr>
        <w:t xml:space="preserve">S appealed to the Supreme Court arguing that the claim was barred by illegality in that the Court of Appeal erred in its application of the </w:t>
      </w:r>
      <w:r w:rsidR="003949E7" w:rsidRPr="003949E7">
        <w:rPr>
          <w:rFonts w:eastAsia="Times New Roman" w:cstheme="minorHAnsi"/>
          <w:i/>
          <w:color w:val="000000"/>
          <w:lang w:eastAsia="en-GB"/>
        </w:rPr>
        <w:t>Patel v Mirza</w:t>
      </w:r>
      <w:r w:rsidR="003949E7" w:rsidRPr="003949E7">
        <w:rPr>
          <w:rFonts w:eastAsia="Times New Roman" w:cstheme="minorHAnsi"/>
          <w:color w:val="000000"/>
          <w:lang w:eastAsia="en-GB"/>
        </w:rPr>
        <w:t xml:space="preserve"> [2016] UKSC 42; [2017] A.C. 467 </w:t>
      </w:r>
      <w:r w:rsidRPr="005C6A89">
        <w:rPr>
          <w:rFonts w:eastAsia="Times New Roman" w:cstheme="minorHAnsi"/>
          <w:color w:val="000000"/>
          <w:lang w:eastAsia="en-GB"/>
        </w:rPr>
        <w:t>guidelines.</w:t>
      </w:r>
      <w:r w:rsidR="001A3C6F" w:rsidRPr="005C6A89">
        <w:rPr>
          <w:rFonts w:eastAsia="Times New Roman" w:cstheme="minorHAnsi"/>
          <w:color w:val="000000"/>
          <w:lang w:eastAsia="en-GB"/>
        </w:rPr>
        <w:t xml:space="preserve">  It was common ground that </w:t>
      </w:r>
      <w:r w:rsidR="003949E7">
        <w:rPr>
          <w:rFonts w:eastAsia="Times New Roman" w:cstheme="minorHAnsi"/>
          <w:color w:val="000000"/>
          <w:lang w:eastAsia="en-GB"/>
        </w:rPr>
        <w:t xml:space="preserve">subject to the defence of illegality </w:t>
      </w:r>
      <w:r w:rsidR="001A3C6F" w:rsidRPr="005C6A89">
        <w:rPr>
          <w:rFonts w:eastAsia="Times New Roman" w:cstheme="minorHAnsi"/>
          <w:color w:val="000000"/>
          <w:lang w:eastAsia="en-GB"/>
        </w:rPr>
        <w:t>the cause of action against S was complete.</w:t>
      </w:r>
    </w:p>
    <w:p w:rsidR="00FE3B9F" w:rsidRPr="005C6A89" w:rsidRDefault="00FE3B9F" w:rsidP="00EE4FE2">
      <w:pPr>
        <w:spacing w:after="0" w:line="240" w:lineRule="auto"/>
        <w:rPr>
          <w:rFonts w:eastAsia="Times New Roman" w:cstheme="minorHAnsi"/>
          <w:color w:val="000000"/>
          <w:lang w:eastAsia="en-GB"/>
        </w:rPr>
      </w:pPr>
    </w:p>
    <w:p w:rsidR="00FE3B9F" w:rsidRPr="005C6A89" w:rsidRDefault="00FE3B9F" w:rsidP="00EE4FE2">
      <w:pPr>
        <w:spacing w:after="0" w:line="240" w:lineRule="auto"/>
        <w:rPr>
          <w:rFonts w:eastAsia="Times New Roman" w:cstheme="minorHAnsi"/>
          <w:color w:val="000000"/>
          <w:lang w:eastAsia="en-GB"/>
        </w:rPr>
      </w:pPr>
      <w:r w:rsidRPr="005C6A89">
        <w:rPr>
          <w:rFonts w:eastAsia="Times New Roman" w:cstheme="minorHAnsi"/>
          <w:b/>
          <w:color w:val="000000"/>
          <w:lang w:eastAsia="en-GB"/>
        </w:rPr>
        <w:lastRenderedPageBreak/>
        <w:t>Held:</w:t>
      </w:r>
      <w:r w:rsidRPr="005C6A89">
        <w:rPr>
          <w:rFonts w:eastAsia="Times New Roman" w:cstheme="minorHAnsi"/>
          <w:color w:val="000000"/>
          <w:lang w:eastAsia="en-GB"/>
        </w:rPr>
        <w:t xml:space="preserve"> The appeal should be dismissed,</w:t>
      </w:r>
    </w:p>
    <w:p w:rsidR="00FE3B9F" w:rsidRPr="005C6A89" w:rsidRDefault="00FE3B9F" w:rsidP="00EE4FE2">
      <w:pPr>
        <w:spacing w:after="0" w:line="240" w:lineRule="auto"/>
        <w:rPr>
          <w:rFonts w:eastAsia="Times New Roman" w:cstheme="minorHAnsi"/>
          <w:color w:val="000000"/>
          <w:lang w:eastAsia="en-GB"/>
        </w:rPr>
      </w:pPr>
    </w:p>
    <w:p w:rsidR="00FD386F" w:rsidRPr="005C6A89" w:rsidRDefault="00A079FF" w:rsidP="00AE1E72">
      <w:pPr>
        <w:pStyle w:val="ListParagraph"/>
        <w:numPr>
          <w:ilvl w:val="0"/>
          <w:numId w:val="2"/>
        </w:numPr>
        <w:spacing w:after="0" w:line="240" w:lineRule="auto"/>
        <w:rPr>
          <w:rFonts w:eastAsia="Times New Roman" w:cstheme="minorHAnsi"/>
          <w:color w:val="000000"/>
          <w:lang w:eastAsia="en-GB"/>
        </w:rPr>
      </w:pPr>
      <w:r w:rsidRPr="005C6A89">
        <w:rPr>
          <w:rFonts w:eastAsia="Times New Roman" w:cstheme="minorHAnsi"/>
          <w:color w:val="000000"/>
          <w:lang w:eastAsia="en-GB"/>
        </w:rPr>
        <w:t xml:space="preserve">The </w:t>
      </w:r>
      <w:r w:rsidR="00904630" w:rsidRPr="005C6A89">
        <w:rPr>
          <w:rFonts w:eastAsia="Times New Roman" w:cstheme="minorHAnsi"/>
          <w:color w:val="000000"/>
          <w:lang w:eastAsia="en-GB"/>
        </w:rPr>
        <w:t>illegality d</w:t>
      </w:r>
      <w:r w:rsidRPr="005C6A89">
        <w:rPr>
          <w:rFonts w:eastAsia="Times New Roman" w:cstheme="minorHAnsi"/>
          <w:color w:val="000000"/>
          <w:lang w:eastAsia="en-GB"/>
        </w:rPr>
        <w:t>efence is founded on public policy</w:t>
      </w:r>
      <w:r w:rsidR="00904630" w:rsidRPr="005C6A89">
        <w:rPr>
          <w:rFonts w:eastAsia="Times New Roman" w:cstheme="minorHAnsi"/>
          <w:color w:val="000000"/>
          <w:lang w:eastAsia="en-GB"/>
        </w:rPr>
        <w:t xml:space="preserve">.  Following </w:t>
      </w:r>
      <w:r w:rsidR="00904630" w:rsidRPr="005C6A89">
        <w:rPr>
          <w:rFonts w:eastAsia="Times New Roman" w:cstheme="minorHAnsi"/>
          <w:i/>
          <w:color w:val="000000"/>
          <w:lang w:eastAsia="en-GB"/>
        </w:rPr>
        <w:t>Patel v Mirza</w:t>
      </w:r>
      <w:r w:rsidR="00904630" w:rsidRPr="005C6A89">
        <w:rPr>
          <w:rFonts w:eastAsia="Times New Roman" w:cstheme="minorHAnsi"/>
          <w:color w:val="000000"/>
          <w:lang w:eastAsia="en-GB"/>
        </w:rPr>
        <w:t xml:space="preserve"> [2016] UKSC 42; [2017] A.C. 467</w:t>
      </w:r>
      <w:r w:rsidRPr="005C6A89">
        <w:rPr>
          <w:rFonts w:eastAsia="Times New Roman" w:cstheme="minorHAnsi"/>
          <w:color w:val="000000"/>
          <w:lang w:eastAsia="en-GB"/>
        </w:rPr>
        <w:t xml:space="preserve"> </w:t>
      </w:r>
      <w:r w:rsidR="00904630" w:rsidRPr="005C6A89">
        <w:rPr>
          <w:rFonts w:eastAsia="Times New Roman" w:cstheme="minorHAnsi"/>
          <w:color w:val="000000"/>
          <w:lang w:eastAsia="en-GB"/>
        </w:rPr>
        <w:t>which balances</w:t>
      </w:r>
      <w:r w:rsidRPr="005C6A89">
        <w:rPr>
          <w:rFonts w:eastAsia="Times New Roman" w:cstheme="minorHAnsi"/>
          <w:color w:val="000000"/>
          <w:lang w:eastAsia="en-GB"/>
        </w:rPr>
        <w:t xml:space="preserve"> the </w:t>
      </w:r>
      <w:r w:rsidR="00FE3B9F" w:rsidRPr="005C6A89">
        <w:rPr>
          <w:rFonts w:eastAsia="Times New Roman" w:cstheme="minorHAnsi"/>
          <w:color w:val="000000"/>
          <w:lang w:eastAsia="en-GB"/>
        </w:rPr>
        <w:t>underlying policies</w:t>
      </w:r>
      <w:r w:rsidR="00904630" w:rsidRPr="005C6A89">
        <w:rPr>
          <w:rFonts w:eastAsia="Times New Roman" w:cstheme="minorHAnsi"/>
          <w:color w:val="000000"/>
          <w:lang w:eastAsia="en-GB"/>
        </w:rPr>
        <w:t>, t</w:t>
      </w:r>
      <w:r w:rsidR="00723367" w:rsidRPr="005C6A89">
        <w:rPr>
          <w:rFonts w:eastAsia="Times New Roman" w:cstheme="minorHAnsi"/>
          <w:color w:val="000000"/>
          <w:lang w:eastAsia="en-GB"/>
        </w:rPr>
        <w:t xml:space="preserve">he question </w:t>
      </w:r>
      <w:r w:rsidRPr="005C6A89">
        <w:rPr>
          <w:rFonts w:eastAsia="Times New Roman" w:cstheme="minorHAnsi"/>
          <w:color w:val="000000"/>
          <w:lang w:eastAsia="en-GB"/>
        </w:rPr>
        <w:t xml:space="preserve">for the court </w:t>
      </w:r>
      <w:r w:rsidR="00723367" w:rsidRPr="005C6A89">
        <w:rPr>
          <w:rFonts w:eastAsia="Times New Roman" w:cstheme="minorHAnsi"/>
          <w:color w:val="000000"/>
          <w:lang w:eastAsia="en-GB"/>
        </w:rPr>
        <w:t xml:space="preserve">is whether </w:t>
      </w:r>
      <w:r w:rsidRPr="005C6A89">
        <w:rPr>
          <w:rFonts w:eastAsia="Times New Roman" w:cstheme="minorHAnsi"/>
          <w:color w:val="000000"/>
          <w:lang w:eastAsia="en-GB"/>
        </w:rPr>
        <w:t>allowing</w:t>
      </w:r>
      <w:r w:rsidR="00723367" w:rsidRPr="005C6A89">
        <w:rPr>
          <w:rFonts w:eastAsia="Times New Roman" w:cstheme="minorHAnsi"/>
          <w:color w:val="000000"/>
          <w:lang w:eastAsia="en-GB"/>
        </w:rPr>
        <w:t xml:space="preserve"> recovery produce</w:t>
      </w:r>
      <w:r w:rsidRPr="005C6A89">
        <w:rPr>
          <w:rFonts w:eastAsia="Times New Roman" w:cstheme="minorHAnsi"/>
          <w:color w:val="000000"/>
          <w:lang w:eastAsia="en-GB"/>
        </w:rPr>
        <w:t>s</w:t>
      </w:r>
      <w:r w:rsidR="00723367" w:rsidRPr="005C6A89">
        <w:rPr>
          <w:rFonts w:eastAsia="Times New Roman" w:cstheme="minorHAnsi"/>
          <w:color w:val="000000"/>
          <w:lang w:eastAsia="en-GB"/>
        </w:rPr>
        <w:t xml:space="preserve"> inconsistency and disharmony in the law</w:t>
      </w:r>
      <w:r w:rsidRPr="005C6A89">
        <w:rPr>
          <w:rFonts w:eastAsia="Times New Roman" w:cstheme="minorHAnsi"/>
          <w:color w:val="000000"/>
          <w:lang w:eastAsia="en-GB"/>
        </w:rPr>
        <w:t xml:space="preserve"> so as to </w:t>
      </w:r>
      <w:r w:rsidR="00723367" w:rsidRPr="005C6A89">
        <w:rPr>
          <w:rFonts w:eastAsia="Times New Roman" w:cstheme="minorHAnsi"/>
          <w:color w:val="000000"/>
          <w:lang w:eastAsia="en-GB"/>
        </w:rPr>
        <w:t xml:space="preserve">cause damage to the integrity of the legal system </w:t>
      </w:r>
      <w:r w:rsidR="00904630" w:rsidRPr="005C6A89">
        <w:rPr>
          <w:rFonts w:eastAsia="Times New Roman" w:cstheme="minorHAnsi"/>
          <w:color w:val="000000"/>
          <w:lang w:eastAsia="en-GB"/>
        </w:rPr>
        <w:t>(</w:t>
      </w:r>
      <w:r w:rsidRPr="005C6A89">
        <w:rPr>
          <w:rFonts w:eastAsia="Times New Roman" w:cstheme="minorHAnsi"/>
          <w:color w:val="000000"/>
          <w:lang w:eastAsia="en-GB"/>
        </w:rPr>
        <w:t>[1]</w:t>
      </w:r>
      <w:r w:rsidR="00904630" w:rsidRPr="005C6A89">
        <w:rPr>
          <w:rFonts w:eastAsia="Times New Roman" w:cstheme="minorHAnsi"/>
          <w:color w:val="000000"/>
          <w:lang w:eastAsia="en-GB"/>
        </w:rPr>
        <w:t xml:space="preserve">, </w:t>
      </w:r>
      <w:r w:rsidR="00723367" w:rsidRPr="005C6A89">
        <w:rPr>
          <w:rFonts w:eastAsia="Times New Roman" w:cstheme="minorHAnsi"/>
          <w:color w:val="000000"/>
          <w:lang w:eastAsia="en-GB"/>
        </w:rPr>
        <w:t>[22]</w:t>
      </w:r>
      <w:r w:rsidR="00904630" w:rsidRPr="005C6A89">
        <w:rPr>
          <w:rFonts w:eastAsia="Times New Roman" w:cstheme="minorHAnsi"/>
          <w:color w:val="000000"/>
          <w:lang w:eastAsia="en-GB"/>
        </w:rPr>
        <w:t>)</w:t>
      </w:r>
      <w:r w:rsidR="00A16A1A" w:rsidRPr="005C6A89">
        <w:rPr>
          <w:rFonts w:eastAsia="Times New Roman" w:cstheme="minorHAnsi"/>
          <w:color w:val="000000"/>
          <w:lang w:eastAsia="en-GB"/>
        </w:rPr>
        <w:t>.</w:t>
      </w:r>
    </w:p>
    <w:p w:rsidR="00FD386F" w:rsidRPr="005C6A89" w:rsidRDefault="00FD386F" w:rsidP="00FD386F">
      <w:pPr>
        <w:pStyle w:val="ListParagraph"/>
        <w:spacing w:after="0" w:line="240" w:lineRule="auto"/>
        <w:rPr>
          <w:rFonts w:eastAsia="Times New Roman" w:cstheme="minorHAnsi"/>
          <w:color w:val="000000"/>
          <w:lang w:eastAsia="en-GB"/>
        </w:rPr>
      </w:pPr>
    </w:p>
    <w:p w:rsidR="00FD386F" w:rsidRPr="005C6A89" w:rsidRDefault="00723367" w:rsidP="00FD386F">
      <w:pPr>
        <w:pStyle w:val="ListParagraph"/>
        <w:numPr>
          <w:ilvl w:val="0"/>
          <w:numId w:val="2"/>
        </w:numPr>
        <w:spacing w:after="0" w:line="240" w:lineRule="auto"/>
        <w:rPr>
          <w:rFonts w:eastAsia="Times New Roman" w:cstheme="minorHAnsi"/>
          <w:color w:val="000000"/>
          <w:lang w:eastAsia="en-GB"/>
        </w:rPr>
      </w:pPr>
      <w:r w:rsidRPr="005C6A89">
        <w:rPr>
          <w:rFonts w:eastAsia="Times New Roman" w:cstheme="minorHAnsi"/>
          <w:color w:val="000000"/>
          <w:lang w:eastAsia="en-GB"/>
        </w:rPr>
        <w:t xml:space="preserve">In assessing </w:t>
      </w:r>
      <w:r w:rsidR="00904630" w:rsidRPr="005C6A89">
        <w:rPr>
          <w:rFonts w:eastAsia="Times New Roman" w:cstheme="minorHAnsi"/>
          <w:color w:val="000000"/>
          <w:lang w:eastAsia="en-GB"/>
        </w:rPr>
        <w:t xml:space="preserve">whether the </w:t>
      </w:r>
      <w:r w:rsidRPr="005C6A89">
        <w:rPr>
          <w:rFonts w:eastAsia="Times New Roman" w:cstheme="minorHAnsi"/>
          <w:color w:val="000000"/>
          <w:lang w:eastAsia="en-GB"/>
        </w:rPr>
        <w:t xml:space="preserve">inconsistency </w:t>
      </w:r>
      <w:r w:rsidR="00A079FF" w:rsidRPr="005C6A89">
        <w:rPr>
          <w:rFonts w:eastAsia="Times New Roman" w:cstheme="minorHAnsi"/>
          <w:color w:val="000000"/>
          <w:lang w:eastAsia="en-GB"/>
        </w:rPr>
        <w:t>and disharmony</w:t>
      </w:r>
      <w:r w:rsidR="00904630" w:rsidRPr="005C6A89">
        <w:rPr>
          <w:rFonts w:eastAsia="Times New Roman" w:cstheme="minorHAnsi"/>
          <w:color w:val="000000"/>
          <w:lang w:eastAsia="en-GB"/>
        </w:rPr>
        <w:t xml:space="preserve"> is sufficient to deny the claim </w:t>
      </w:r>
      <w:r w:rsidRPr="005C6A89">
        <w:rPr>
          <w:rFonts w:eastAsia="Times New Roman" w:cstheme="minorHAnsi"/>
          <w:color w:val="000000"/>
          <w:lang w:eastAsia="en-GB"/>
        </w:rPr>
        <w:t xml:space="preserve">a court must consider: (a) the </w:t>
      </w:r>
      <w:r w:rsidR="00A079FF" w:rsidRPr="005C6A89">
        <w:rPr>
          <w:rFonts w:eastAsia="Times New Roman" w:cstheme="minorHAnsi"/>
          <w:color w:val="000000"/>
          <w:lang w:eastAsia="en-GB"/>
        </w:rPr>
        <w:t xml:space="preserve">transgressed prohibition’s </w:t>
      </w:r>
      <w:r w:rsidRPr="005C6A89">
        <w:rPr>
          <w:rFonts w:eastAsia="Times New Roman" w:cstheme="minorHAnsi"/>
          <w:color w:val="000000"/>
          <w:lang w:eastAsia="en-GB"/>
        </w:rPr>
        <w:t xml:space="preserve">underlying purpose, (b) any other relevant public policies rendered ineffective or less effective by </w:t>
      </w:r>
      <w:r w:rsidR="00904630" w:rsidRPr="005C6A89">
        <w:rPr>
          <w:rFonts w:eastAsia="Times New Roman" w:cstheme="minorHAnsi"/>
          <w:color w:val="000000"/>
          <w:lang w:eastAsia="en-GB"/>
        </w:rPr>
        <w:t>denying the claim</w:t>
      </w:r>
      <w:r w:rsidR="00A079FF" w:rsidRPr="005C6A89">
        <w:rPr>
          <w:rFonts w:eastAsia="Times New Roman" w:cstheme="minorHAnsi"/>
          <w:color w:val="000000"/>
          <w:lang w:eastAsia="en-GB"/>
        </w:rPr>
        <w:t>,</w:t>
      </w:r>
      <w:r w:rsidRPr="005C6A89">
        <w:rPr>
          <w:rFonts w:eastAsia="Times New Roman" w:cstheme="minorHAnsi"/>
          <w:color w:val="000000"/>
          <w:lang w:eastAsia="en-GB"/>
        </w:rPr>
        <w:t xml:space="preserve"> and (c) </w:t>
      </w:r>
      <w:r w:rsidR="00904630" w:rsidRPr="005C6A89">
        <w:rPr>
          <w:rFonts w:eastAsia="Times New Roman" w:cstheme="minorHAnsi"/>
          <w:color w:val="000000"/>
          <w:lang w:eastAsia="en-GB"/>
        </w:rPr>
        <w:t xml:space="preserve">the </w:t>
      </w:r>
      <w:r w:rsidRPr="005C6A89">
        <w:rPr>
          <w:rFonts w:eastAsia="Times New Roman" w:cstheme="minorHAnsi"/>
          <w:color w:val="000000"/>
          <w:lang w:eastAsia="en-GB"/>
        </w:rPr>
        <w:t>proportionality</w:t>
      </w:r>
      <w:r w:rsidR="00A079FF" w:rsidRPr="005C6A89">
        <w:rPr>
          <w:rFonts w:eastAsia="Times New Roman" w:cstheme="minorHAnsi"/>
          <w:color w:val="000000"/>
          <w:lang w:eastAsia="en-GB"/>
        </w:rPr>
        <w:t xml:space="preserve"> of </w:t>
      </w:r>
      <w:r w:rsidR="00904630" w:rsidRPr="005C6A89">
        <w:rPr>
          <w:rFonts w:eastAsia="Times New Roman" w:cstheme="minorHAnsi"/>
          <w:color w:val="000000"/>
          <w:lang w:eastAsia="en-GB"/>
        </w:rPr>
        <w:t>this</w:t>
      </w:r>
      <w:r w:rsidR="00A079FF" w:rsidRPr="005C6A89">
        <w:rPr>
          <w:rFonts w:eastAsia="Times New Roman" w:cstheme="minorHAnsi"/>
          <w:color w:val="000000"/>
          <w:lang w:eastAsia="en-GB"/>
        </w:rPr>
        <w:t xml:space="preserve"> denial</w:t>
      </w:r>
      <w:r w:rsidRPr="005C6A89">
        <w:rPr>
          <w:rFonts w:eastAsia="Times New Roman" w:cstheme="minorHAnsi"/>
          <w:color w:val="000000"/>
          <w:lang w:eastAsia="en-GB"/>
        </w:rPr>
        <w:t>.</w:t>
      </w:r>
      <w:r w:rsidR="00904630" w:rsidRPr="005C6A89">
        <w:rPr>
          <w:rFonts w:eastAsia="Times New Roman" w:cstheme="minorHAnsi"/>
          <w:color w:val="000000"/>
          <w:lang w:eastAsia="en-GB"/>
        </w:rPr>
        <w:t xml:space="preserve">  T</w:t>
      </w:r>
      <w:r w:rsidR="00A079FF" w:rsidRPr="005C6A89">
        <w:rPr>
          <w:rFonts w:eastAsia="Times New Roman" w:cstheme="minorHAnsi"/>
          <w:color w:val="000000"/>
          <w:lang w:eastAsia="en-GB"/>
        </w:rPr>
        <w:t>he first and second factors should be examined at a high level of generality</w:t>
      </w:r>
      <w:r w:rsidR="00904630" w:rsidRPr="005C6A89">
        <w:rPr>
          <w:rFonts w:eastAsia="Times New Roman" w:cstheme="minorHAnsi"/>
          <w:color w:val="000000"/>
          <w:lang w:eastAsia="en-GB"/>
        </w:rPr>
        <w:t>.  T</w:t>
      </w:r>
      <w:r w:rsidR="00FE080B" w:rsidRPr="005C6A89">
        <w:rPr>
          <w:rFonts w:eastAsia="Times New Roman" w:cstheme="minorHAnsi"/>
          <w:color w:val="000000"/>
          <w:lang w:eastAsia="en-GB"/>
        </w:rPr>
        <w:t>he third</w:t>
      </w:r>
      <w:r w:rsidR="00904630" w:rsidRPr="005C6A89">
        <w:rPr>
          <w:rFonts w:eastAsia="Times New Roman" w:cstheme="minorHAnsi"/>
          <w:color w:val="000000"/>
          <w:lang w:eastAsia="en-GB"/>
        </w:rPr>
        <w:t>, which</w:t>
      </w:r>
      <w:r w:rsidR="00FE080B" w:rsidRPr="005C6A89">
        <w:rPr>
          <w:rFonts w:eastAsia="Times New Roman" w:cstheme="minorHAnsi"/>
          <w:color w:val="000000"/>
          <w:lang w:eastAsia="en-GB"/>
        </w:rPr>
        <w:t xml:space="preserve"> </w:t>
      </w:r>
      <w:r w:rsidR="00A079FF" w:rsidRPr="005C6A89">
        <w:rPr>
          <w:rFonts w:eastAsia="Times New Roman" w:cstheme="minorHAnsi"/>
          <w:color w:val="000000"/>
          <w:lang w:eastAsia="en-GB"/>
        </w:rPr>
        <w:t>requires</w:t>
      </w:r>
      <w:r w:rsidR="00904630" w:rsidRPr="005C6A89">
        <w:rPr>
          <w:rFonts w:eastAsia="Times New Roman" w:cstheme="minorHAnsi"/>
          <w:color w:val="000000"/>
          <w:lang w:eastAsia="en-GB"/>
        </w:rPr>
        <w:t xml:space="preserve"> a</w:t>
      </w:r>
      <w:r w:rsidR="00A079FF" w:rsidRPr="005C6A89">
        <w:rPr>
          <w:rFonts w:eastAsia="Times New Roman" w:cstheme="minorHAnsi"/>
          <w:color w:val="000000"/>
          <w:lang w:eastAsia="en-GB"/>
        </w:rPr>
        <w:t xml:space="preserve"> close scrutiny of the case at hand</w:t>
      </w:r>
      <w:r w:rsidR="00904630" w:rsidRPr="005C6A89">
        <w:rPr>
          <w:rFonts w:eastAsia="Times New Roman" w:cstheme="minorHAnsi"/>
          <w:color w:val="000000"/>
          <w:lang w:eastAsia="en-GB"/>
        </w:rPr>
        <w:t xml:space="preserve">, </w:t>
      </w:r>
      <w:r w:rsidR="00A079FF" w:rsidRPr="005C6A89">
        <w:rPr>
          <w:rFonts w:eastAsia="Times New Roman" w:cstheme="minorHAnsi"/>
          <w:color w:val="000000"/>
          <w:lang w:eastAsia="en-GB"/>
        </w:rPr>
        <w:t xml:space="preserve">only needs </w:t>
      </w:r>
      <w:r w:rsidR="00FE080B" w:rsidRPr="005C6A89">
        <w:rPr>
          <w:rFonts w:eastAsia="Times New Roman" w:cstheme="minorHAnsi"/>
          <w:color w:val="000000"/>
          <w:lang w:eastAsia="en-GB"/>
        </w:rPr>
        <w:t xml:space="preserve">examining where </w:t>
      </w:r>
      <w:r w:rsidR="00A079FF" w:rsidRPr="005C6A89">
        <w:rPr>
          <w:rFonts w:eastAsia="Times New Roman" w:cstheme="minorHAnsi"/>
          <w:color w:val="000000"/>
          <w:lang w:eastAsia="en-GB"/>
        </w:rPr>
        <w:t>the balance of (a) and (b) suggests a denial of the claim</w:t>
      </w:r>
      <w:r w:rsidR="00FE080B" w:rsidRPr="005C6A89">
        <w:rPr>
          <w:rFonts w:eastAsia="Times New Roman" w:cstheme="minorHAnsi"/>
          <w:color w:val="000000"/>
          <w:lang w:eastAsia="en-GB"/>
        </w:rPr>
        <w:t xml:space="preserve"> </w:t>
      </w:r>
      <w:r w:rsidR="00904630" w:rsidRPr="005C6A89">
        <w:rPr>
          <w:rFonts w:eastAsia="Times New Roman" w:cstheme="minorHAnsi"/>
          <w:color w:val="000000"/>
          <w:lang w:eastAsia="en-GB"/>
        </w:rPr>
        <w:t>(</w:t>
      </w:r>
      <w:r w:rsidRPr="005C6A89">
        <w:rPr>
          <w:rFonts w:eastAsia="Times New Roman" w:cstheme="minorHAnsi"/>
          <w:color w:val="000000"/>
          <w:lang w:eastAsia="en-GB"/>
        </w:rPr>
        <w:t>[22]-[2</w:t>
      </w:r>
      <w:r w:rsidR="00FE080B" w:rsidRPr="005C6A89">
        <w:rPr>
          <w:rFonts w:eastAsia="Times New Roman" w:cstheme="minorHAnsi"/>
          <w:color w:val="000000"/>
          <w:lang w:eastAsia="en-GB"/>
        </w:rPr>
        <w:t>6</w:t>
      </w:r>
      <w:r w:rsidRPr="005C6A89">
        <w:rPr>
          <w:rFonts w:eastAsia="Times New Roman" w:cstheme="minorHAnsi"/>
          <w:color w:val="000000"/>
          <w:lang w:eastAsia="en-GB"/>
        </w:rPr>
        <w:t>]</w:t>
      </w:r>
      <w:r w:rsidR="00904630" w:rsidRPr="005C6A89">
        <w:rPr>
          <w:rFonts w:eastAsia="Times New Roman" w:cstheme="minorHAnsi"/>
          <w:color w:val="000000"/>
          <w:lang w:eastAsia="en-GB"/>
        </w:rPr>
        <w:t>)</w:t>
      </w:r>
      <w:r w:rsidR="00733D99">
        <w:rPr>
          <w:rFonts w:eastAsia="Times New Roman" w:cstheme="minorHAnsi"/>
          <w:color w:val="000000"/>
          <w:lang w:eastAsia="en-GB"/>
        </w:rPr>
        <w:t>.</w:t>
      </w:r>
    </w:p>
    <w:p w:rsidR="00FD386F" w:rsidRPr="005C6A89" w:rsidRDefault="00FD386F" w:rsidP="00FD386F">
      <w:pPr>
        <w:pStyle w:val="ListParagraph"/>
        <w:rPr>
          <w:rFonts w:eastAsia="Times New Roman" w:cstheme="minorHAnsi"/>
          <w:color w:val="000000"/>
          <w:lang w:eastAsia="en-GB"/>
        </w:rPr>
      </w:pPr>
    </w:p>
    <w:p w:rsidR="00FD386F" w:rsidRPr="005C6A89" w:rsidRDefault="00D50D86" w:rsidP="00FD386F">
      <w:pPr>
        <w:pStyle w:val="ListParagraph"/>
        <w:numPr>
          <w:ilvl w:val="0"/>
          <w:numId w:val="2"/>
        </w:numPr>
        <w:spacing w:after="0" w:line="240" w:lineRule="auto"/>
        <w:rPr>
          <w:rFonts w:eastAsia="Times New Roman" w:cstheme="minorHAnsi"/>
          <w:color w:val="000000"/>
          <w:lang w:eastAsia="en-GB"/>
        </w:rPr>
      </w:pPr>
      <w:r w:rsidRPr="005C6A89">
        <w:rPr>
          <w:rFonts w:eastAsia="Times New Roman" w:cstheme="minorHAnsi"/>
          <w:color w:val="000000"/>
          <w:lang w:eastAsia="en-GB"/>
        </w:rPr>
        <w:t xml:space="preserve">Registration was necessary to protect BM’s interests, and to ensure that G had assets to meet her liabilities if sued.  </w:t>
      </w:r>
      <w:r w:rsidR="00FE080B" w:rsidRPr="005C6A89">
        <w:rPr>
          <w:rFonts w:eastAsia="Times New Roman" w:cstheme="minorHAnsi"/>
          <w:color w:val="000000"/>
          <w:lang w:eastAsia="en-GB"/>
        </w:rPr>
        <w:t xml:space="preserve">To permit G’s claim would not undermine the public policies of criminalising mortgage fraud, and could </w:t>
      </w:r>
      <w:r w:rsidR="003949E7">
        <w:rPr>
          <w:rFonts w:eastAsia="Times New Roman" w:cstheme="minorHAnsi"/>
          <w:color w:val="000000"/>
          <w:lang w:eastAsia="en-GB"/>
        </w:rPr>
        <w:t xml:space="preserve">in fact </w:t>
      </w:r>
      <w:r w:rsidR="00FE080B" w:rsidRPr="005C6A89">
        <w:rPr>
          <w:rFonts w:eastAsia="Times New Roman" w:cstheme="minorHAnsi"/>
          <w:color w:val="000000"/>
          <w:lang w:eastAsia="en-GB"/>
        </w:rPr>
        <w:t xml:space="preserve">protect the </w:t>
      </w:r>
      <w:r w:rsidR="00904630" w:rsidRPr="005C6A89">
        <w:rPr>
          <w:rFonts w:eastAsia="Times New Roman" w:cstheme="minorHAnsi"/>
          <w:color w:val="000000"/>
          <w:lang w:eastAsia="en-GB"/>
        </w:rPr>
        <w:t xml:space="preserve">interests of the </w:t>
      </w:r>
      <w:r w:rsidR="003949E7">
        <w:rPr>
          <w:rFonts w:eastAsia="Times New Roman" w:cstheme="minorHAnsi"/>
          <w:color w:val="000000"/>
          <w:lang w:eastAsia="en-GB"/>
        </w:rPr>
        <w:t xml:space="preserve">victim of the fraud, the </w:t>
      </w:r>
      <w:r w:rsidR="00904630" w:rsidRPr="005C6A89">
        <w:rPr>
          <w:rFonts w:eastAsia="Times New Roman" w:cstheme="minorHAnsi"/>
          <w:color w:val="000000"/>
          <w:lang w:eastAsia="en-GB"/>
        </w:rPr>
        <w:t>mortgagee</w:t>
      </w:r>
      <w:r w:rsidR="00A14FDB">
        <w:rPr>
          <w:rFonts w:eastAsia="Times New Roman" w:cstheme="minorHAnsi"/>
          <w:color w:val="000000"/>
          <w:lang w:eastAsia="en-GB"/>
        </w:rPr>
        <w:t xml:space="preserve"> </w:t>
      </w:r>
      <w:r w:rsidRPr="005C6A89">
        <w:rPr>
          <w:rFonts w:eastAsia="Times New Roman" w:cstheme="minorHAnsi"/>
          <w:color w:val="000000"/>
          <w:lang w:eastAsia="en-GB"/>
        </w:rPr>
        <w:t>([29]-</w:t>
      </w:r>
      <w:r w:rsidR="0089558E" w:rsidRPr="005C6A89">
        <w:rPr>
          <w:rFonts w:eastAsia="Times New Roman" w:cstheme="minorHAnsi"/>
          <w:color w:val="000000"/>
          <w:lang w:eastAsia="en-GB"/>
        </w:rPr>
        <w:t>[31]</w:t>
      </w:r>
      <w:r w:rsidRPr="005C6A89">
        <w:rPr>
          <w:rFonts w:eastAsia="Times New Roman" w:cstheme="minorHAnsi"/>
          <w:color w:val="000000"/>
          <w:lang w:eastAsia="en-GB"/>
        </w:rPr>
        <w:t>,</w:t>
      </w:r>
      <w:r w:rsidR="00FE080B" w:rsidRPr="005C6A89">
        <w:rPr>
          <w:rFonts w:eastAsia="Times New Roman" w:cstheme="minorHAnsi"/>
          <w:color w:val="000000"/>
          <w:lang w:eastAsia="en-GB"/>
        </w:rPr>
        <w:t xml:space="preserve"> [35]</w:t>
      </w:r>
      <w:r w:rsidRPr="005C6A89">
        <w:rPr>
          <w:rFonts w:eastAsia="Times New Roman" w:cstheme="minorHAnsi"/>
          <w:color w:val="000000"/>
          <w:lang w:eastAsia="en-GB"/>
        </w:rPr>
        <w:t>)</w:t>
      </w:r>
      <w:r w:rsidR="00733D99">
        <w:rPr>
          <w:rFonts w:eastAsia="Times New Roman" w:cstheme="minorHAnsi"/>
          <w:color w:val="000000"/>
          <w:lang w:eastAsia="en-GB"/>
        </w:rPr>
        <w:t>.</w:t>
      </w:r>
    </w:p>
    <w:p w:rsidR="00FD386F" w:rsidRPr="005C6A89" w:rsidRDefault="00FD386F" w:rsidP="00FD386F">
      <w:pPr>
        <w:pStyle w:val="ListParagraph"/>
        <w:rPr>
          <w:rFonts w:eastAsia="Times New Roman" w:cstheme="minorHAnsi"/>
          <w:color w:val="000000"/>
          <w:lang w:eastAsia="en-GB"/>
        </w:rPr>
      </w:pPr>
    </w:p>
    <w:p w:rsidR="00FD386F" w:rsidRPr="005C6A89" w:rsidRDefault="00FE080B" w:rsidP="00FD386F">
      <w:pPr>
        <w:pStyle w:val="ListParagraph"/>
        <w:numPr>
          <w:ilvl w:val="0"/>
          <w:numId w:val="2"/>
        </w:numPr>
        <w:spacing w:after="0" w:line="240" w:lineRule="auto"/>
        <w:rPr>
          <w:rFonts w:eastAsia="Times New Roman" w:cstheme="minorHAnsi"/>
          <w:color w:val="000000"/>
          <w:lang w:eastAsia="en-GB"/>
        </w:rPr>
      </w:pPr>
      <w:r w:rsidRPr="005C6A89">
        <w:rPr>
          <w:rFonts w:eastAsia="Times New Roman" w:cstheme="minorHAnsi"/>
          <w:color w:val="000000"/>
          <w:lang w:eastAsia="en-GB"/>
        </w:rPr>
        <w:t xml:space="preserve">To deny </w:t>
      </w:r>
      <w:r w:rsidR="00A14FDB">
        <w:rPr>
          <w:rFonts w:eastAsia="Times New Roman" w:cstheme="minorHAnsi"/>
          <w:color w:val="000000"/>
          <w:lang w:eastAsia="en-GB"/>
        </w:rPr>
        <w:t>G’s</w:t>
      </w:r>
      <w:r w:rsidR="003949E7">
        <w:rPr>
          <w:rFonts w:eastAsia="Times New Roman" w:cstheme="minorHAnsi"/>
          <w:color w:val="000000"/>
          <w:lang w:eastAsia="en-GB"/>
        </w:rPr>
        <w:t xml:space="preserve"> </w:t>
      </w:r>
      <w:r w:rsidRPr="005C6A89">
        <w:rPr>
          <w:rFonts w:eastAsia="Times New Roman" w:cstheme="minorHAnsi"/>
          <w:color w:val="000000"/>
          <w:lang w:eastAsia="en-GB"/>
        </w:rPr>
        <w:t xml:space="preserve">claim would be contrary to </w:t>
      </w:r>
      <w:r w:rsidR="00D50D86" w:rsidRPr="005C6A89">
        <w:rPr>
          <w:rFonts w:eastAsia="Times New Roman" w:cstheme="minorHAnsi"/>
          <w:color w:val="000000"/>
          <w:lang w:eastAsia="en-GB"/>
        </w:rPr>
        <w:t xml:space="preserve">the </w:t>
      </w:r>
      <w:r w:rsidRPr="005C6A89">
        <w:rPr>
          <w:rFonts w:eastAsia="Times New Roman" w:cstheme="minorHAnsi"/>
          <w:color w:val="000000"/>
          <w:lang w:eastAsia="en-GB"/>
        </w:rPr>
        <w:t>important public polic</w:t>
      </w:r>
      <w:r w:rsidR="00D50D86" w:rsidRPr="005C6A89">
        <w:rPr>
          <w:rFonts w:eastAsia="Times New Roman" w:cstheme="minorHAnsi"/>
          <w:color w:val="000000"/>
          <w:lang w:eastAsia="en-GB"/>
        </w:rPr>
        <w:t>y</w:t>
      </w:r>
      <w:r w:rsidRPr="005C6A89">
        <w:rPr>
          <w:rFonts w:eastAsia="Times New Roman" w:cstheme="minorHAnsi"/>
          <w:color w:val="000000"/>
          <w:lang w:eastAsia="en-GB"/>
        </w:rPr>
        <w:t xml:space="preserve"> that the victims of</w:t>
      </w:r>
      <w:r w:rsidR="003949E7">
        <w:rPr>
          <w:rFonts w:eastAsia="Times New Roman" w:cstheme="minorHAnsi"/>
          <w:color w:val="000000"/>
          <w:lang w:eastAsia="en-GB"/>
        </w:rPr>
        <w:t xml:space="preserve"> a</w:t>
      </w:r>
      <w:r w:rsidRPr="005C6A89">
        <w:rPr>
          <w:rFonts w:eastAsia="Times New Roman" w:cstheme="minorHAnsi"/>
          <w:color w:val="000000"/>
          <w:lang w:eastAsia="en-GB"/>
        </w:rPr>
        <w:t xml:space="preserve"> solicitor</w:t>
      </w:r>
      <w:r w:rsidR="003949E7">
        <w:rPr>
          <w:rFonts w:eastAsia="Times New Roman" w:cstheme="minorHAnsi"/>
          <w:color w:val="000000"/>
          <w:lang w:eastAsia="en-GB"/>
        </w:rPr>
        <w:t>’s</w:t>
      </w:r>
      <w:r w:rsidRPr="005C6A89">
        <w:rPr>
          <w:rFonts w:eastAsia="Times New Roman" w:cstheme="minorHAnsi"/>
          <w:color w:val="000000"/>
          <w:lang w:eastAsia="en-GB"/>
        </w:rPr>
        <w:t xml:space="preserve"> negligence should be compensated for their loss</w:t>
      </w:r>
      <w:r w:rsidR="00D50D86" w:rsidRPr="005C6A89">
        <w:rPr>
          <w:rFonts w:eastAsia="Times New Roman" w:cstheme="minorHAnsi"/>
          <w:color w:val="000000"/>
          <w:lang w:eastAsia="en-GB"/>
        </w:rPr>
        <w:t>es</w:t>
      </w:r>
      <w:r w:rsidRPr="005C6A89">
        <w:rPr>
          <w:rFonts w:eastAsia="Times New Roman" w:cstheme="minorHAnsi"/>
          <w:color w:val="000000"/>
          <w:lang w:eastAsia="en-GB"/>
        </w:rPr>
        <w:t xml:space="preserve">, </w:t>
      </w:r>
      <w:r w:rsidR="00D50D86" w:rsidRPr="005C6A89">
        <w:rPr>
          <w:rFonts w:eastAsia="Times New Roman" w:cstheme="minorHAnsi"/>
          <w:color w:val="000000"/>
          <w:lang w:eastAsia="en-GB"/>
        </w:rPr>
        <w:t xml:space="preserve">and </w:t>
      </w:r>
      <w:r w:rsidR="003949E7">
        <w:rPr>
          <w:rFonts w:eastAsia="Times New Roman" w:cstheme="minorHAnsi"/>
          <w:color w:val="000000"/>
          <w:lang w:eastAsia="en-GB"/>
        </w:rPr>
        <w:t xml:space="preserve">to do so </w:t>
      </w:r>
      <w:r w:rsidRPr="005C6A89">
        <w:rPr>
          <w:rFonts w:eastAsia="Times New Roman" w:cstheme="minorHAnsi"/>
          <w:color w:val="000000"/>
          <w:lang w:eastAsia="en-GB"/>
        </w:rPr>
        <w:t>would disincentivise</w:t>
      </w:r>
      <w:r w:rsidR="00D50D86" w:rsidRPr="005C6A89">
        <w:rPr>
          <w:rFonts w:eastAsia="Times New Roman" w:cstheme="minorHAnsi"/>
          <w:color w:val="000000"/>
          <w:lang w:eastAsia="en-GB"/>
        </w:rPr>
        <w:t xml:space="preserve"> </w:t>
      </w:r>
      <w:r w:rsidRPr="005C6A89">
        <w:rPr>
          <w:rFonts w:eastAsia="Times New Roman" w:cstheme="minorHAnsi"/>
          <w:color w:val="000000"/>
          <w:lang w:eastAsia="en-GB"/>
        </w:rPr>
        <w:t xml:space="preserve">solicitors </w:t>
      </w:r>
      <w:r w:rsidR="00D50D86" w:rsidRPr="005C6A89">
        <w:rPr>
          <w:rFonts w:eastAsia="Times New Roman" w:cstheme="minorHAnsi"/>
          <w:color w:val="000000"/>
          <w:lang w:eastAsia="en-GB"/>
        </w:rPr>
        <w:t xml:space="preserve">from </w:t>
      </w:r>
      <w:r w:rsidRPr="005C6A89">
        <w:rPr>
          <w:rFonts w:eastAsia="Times New Roman" w:cstheme="minorHAnsi"/>
          <w:color w:val="000000"/>
          <w:lang w:eastAsia="en-GB"/>
        </w:rPr>
        <w:t xml:space="preserve">diligently performing their </w:t>
      </w:r>
      <w:r w:rsidRPr="00C276CF">
        <w:rPr>
          <w:rFonts w:eastAsia="Times New Roman" w:cstheme="minorHAnsi"/>
          <w:color w:val="000000"/>
          <w:lang w:eastAsia="en-GB"/>
        </w:rPr>
        <w:t>duties</w:t>
      </w:r>
      <w:r w:rsidR="00733D99">
        <w:rPr>
          <w:rFonts w:eastAsia="Times New Roman" w:cstheme="minorHAnsi"/>
          <w:color w:val="000000"/>
          <w:lang w:eastAsia="en-GB"/>
        </w:rPr>
        <w:t xml:space="preserve"> (</w:t>
      </w:r>
      <w:r w:rsidR="00C276CF" w:rsidRPr="00C276CF">
        <w:rPr>
          <w:rFonts w:eastAsia="Times New Roman" w:cstheme="minorHAnsi"/>
          <w:color w:val="000000"/>
          <w:lang w:eastAsia="en-GB"/>
        </w:rPr>
        <w:t>[32],</w:t>
      </w:r>
      <w:r w:rsidR="009B70BB" w:rsidRPr="00C276CF">
        <w:rPr>
          <w:rFonts w:eastAsia="Times New Roman" w:cstheme="minorHAnsi"/>
          <w:color w:val="000000"/>
          <w:lang w:eastAsia="en-GB"/>
        </w:rPr>
        <w:t xml:space="preserve"> </w:t>
      </w:r>
      <w:r w:rsidR="00C276CF" w:rsidRPr="00C276CF">
        <w:rPr>
          <w:rFonts w:eastAsia="Times New Roman" w:cstheme="minorHAnsi"/>
          <w:color w:val="000000"/>
          <w:lang w:eastAsia="en-GB"/>
        </w:rPr>
        <w:t>[</w:t>
      </w:r>
      <w:r w:rsidR="009B70BB" w:rsidRPr="00C276CF">
        <w:rPr>
          <w:rFonts w:eastAsia="Times New Roman" w:cstheme="minorHAnsi"/>
          <w:color w:val="000000"/>
          <w:lang w:eastAsia="en-GB"/>
        </w:rPr>
        <w:t>35</w:t>
      </w:r>
      <w:r w:rsidR="00C276CF" w:rsidRPr="00C276CF">
        <w:rPr>
          <w:rFonts w:eastAsia="Times New Roman" w:cstheme="minorHAnsi"/>
          <w:color w:val="000000"/>
          <w:lang w:eastAsia="en-GB"/>
        </w:rPr>
        <w:t>]</w:t>
      </w:r>
      <w:r w:rsidR="00B17F05" w:rsidRPr="00C276CF">
        <w:rPr>
          <w:rFonts w:eastAsia="Times New Roman" w:cstheme="minorHAnsi"/>
          <w:color w:val="000000"/>
          <w:lang w:eastAsia="en-GB"/>
        </w:rPr>
        <w:t>)</w:t>
      </w:r>
      <w:r w:rsidR="00733D99">
        <w:rPr>
          <w:rFonts w:eastAsia="Times New Roman" w:cstheme="minorHAnsi"/>
          <w:color w:val="000000"/>
          <w:lang w:eastAsia="en-GB"/>
        </w:rPr>
        <w:t>.</w:t>
      </w:r>
    </w:p>
    <w:p w:rsidR="00FD386F" w:rsidRPr="005C6A89" w:rsidRDefault="00FD386F" w:rsidP="00FD386F">
      <w:pPr>
        <w:pStyle w:val="ListParagraph"/>
        <w:rPr>
          <w:rFonts w:eastAsia="Times New Roman" w:cstheme="minorHAnsi"/>
          <w:color w:val="000000"/>
          <w:lang w:eastAsia="en-GB"/>
        </w:rPr>
      </w:pPr>
    </w:p>
    <w:p w:rsidR="00FD386F" w:rsidRPr="005C6A89" w:rsidRDefault="00A16A1A" w:rsidP="00FD386F">
      <w:pPr>
        <w:pStyle w:val="ListParagraph"/>
        <w:numPr>
          <w:ilvl w:val="0"/>
          <w:numId w:val="2"/>
        </w:numPr>
        <w:spacing w:after="0" w:line="240" w:lineRule="auto"/>
        <w:rPr>
          <w:rFonts w:eastAsia="Times New Roman" w:cstheme="minorHAnsi"/>
          <w:color w:val="000000"/>
          <w:lang w:eastAsia="en-GB"/>
        </w:rPr>
      </w:pPr>
      <w:r w:rsidRPr="005C6A89">
        <w:rPr>
          <w:rFonts w:eastAsia="Times New Roman" w:cstheme="minorHAnsi"/>
          <w:color w:val="000000"/>
          <w:lang w:eastAsia="en-GB"/>
        </w:rPr>
        <w:t>Given the law’s recognition that G ha</w:t>
      </w:r>
      <w:r w:rsidR="00D50D86" w:rsidRPr="005C6A89">
        <w:rPr>
          <w:rFonts w:eastAsia="Times New Roman" w:cstheme="minorHAnsi"/>
          <w:color w:val="000000"/>
          <w:lang w:eastAsia="en-GB"/>
        </w:rPr>
        <w:t>d</w:t>
      </w:r>
      <w:r w:rsidRPr="005C6A89">
        <w:rPr>
          <w:rFonts w:eastAsia="Times New Roman" w:cstheme="minorHAnsi"/>
          <w:color w:val="000000"/>
          <w:lang w:eastAsia="en-GB"/>
        </w:rPr>
        <w:t xml:space="preserve"> an equitable property right notwithstanding </w:t>
      </w:r>
      <w:r w:rsidR="00D50D86" w:rsidRPr="005C6A89">
        <w:rPr>
          <w:rFonts w:eastAsia="Times New Roman" w:cstheme="minorHAnsi"/>
          <w:color w:val="000000"/>
          <w:lang w:eastAsia="en-GB"/>
        </w:rPr>
        <w:t xml:space="preserve">that </w:t>
      </w:r>
      <w:r w:rsidRPr="005C6A89">
        <w:rPr>
          <w:rFonts w:eastAsia="Times New Roman" w:cstheme="minorHAnsi"/>
          <w:color w:val="000000"/>
          <w:lang w:eastAsia="en-GB"/>
        </w:rPr>
        <w:t xml:space="preserve">the contract under which it passed </w:t>
      </w:r>
      <w:r w:rsidR="00D50D86" w:rsidRPr="005C6A89">
        <w:rPr>
          <w:rFonts w:eastAsia="Times New Roman" w:cstheme="minorHAnsi"/>
          <w:color w:val="000000"/>
          <w:lang w:eastAsia="en-GB"/>
        </w:rPr>
        <w:t>was</w:t>
      </w:r>
      <w:r w:rsidRPr="005C6A89">
        <w:rPr>
          <w:rFonts w:eastAsia="Times New Roman" w:cstheme="minorHAnsi"/>
          <w:color w:val="000000"/>
          <w:lang w:eastAsia="en-GB"/>
        </w:rPr>
        <w:t xml:space="preserve"> tainted by illegality, to deny G’s claim against S on the basis of this illegality would create an incoherent contradiction</w:t>
      </w:r>
      <w:r w:rsidR="003949E7">
        <w:rPr>
          <w:rFonts w:eastAsia="Times New Roman" w:cstheme="minorHAnsi"/>
          <w:color w:val="000000"/>
          <w:lang w:eastAsia="en-GB"/>
        </w:rPr>
        <w:t xml:space="preserve"> in the law</w:t>
      </w:r>
      <w:r w:rsidR="00733D99">
        <w:rPr>
          <w:rFonts w:eastAsia="Times New Roman" w:cstheme="minorHAnsi"/>
          <w:color w:val="000000"/>
          <w:lang w:eastAsia="en-GB"/>
        </w:rPr>
        <w:t xml:space="preserve"> </w:t>
      </w:r>
      <w:r w:rsidR="00C276CF">
        <w:t>(</w:t>
      </w:r>
      <w:r w:rsidR="00C276CF" w:rsidRPr="00C276CF">
        <w:rPr>
          <w:rFonts w:eastAsia="Times New Roman" w:cstheme="minorHAnsi"/>
          <w:i/>
          <w:color w:val="000000"/>
          <w:lang w:eastAsia="en-GB"/>
        </w:rPr>
        <w:t>Mortgage Business PLC v O’Shaughnessy</w:t>
      </w:r>
      <w:r w:rsidR="00C276CF" w:rsidRPr="00C276CF">
        <w:rPr>
          <w:rFonts w:eastAsia="Times New Roman" w:cstheme="minorHAnsi"/>
          <w:color w:val="000000"/>
          <w:lang w:eastAsia="en-GB"/>
        </w:rPr>
        <w:t xml:space="preserve"> [2012] EWCA </w:t>
      </w:r>
      <w:proofErr w:type="spellStart"/>
      <w:r w:rsidR="00C276CF" w:rsidRPr="00C276CF">
        <w:rPr>
          <w:rFonts w:eastAsia="Times New Roman" w:cstheme="minorHAnsi"/>
          <w:color w:val="000000"/>
          <w:lang w:eastAsia="en-GB"/>
        </w:rPr>
        <w:t>Civ</w:t>
      </w:r>
      <w:proofErr w:type="spellEnd"/>
      <w:r w:rsidR="00C276CF" w:rsidRPr="00C276CF">
        <w:rPr>
          <w:rFonts w:eastAsia="Times New Roman" w:cstheme="minorHAnsi"/>
          <w:color w:val="000000"/>
          <w:lang w:eastAsia="en-GB"/>
        </w:rPr>
        <w:t xml:space="preserve"> 17; [2012] 1 W.L.R. 1521</w:t>
      </w:r>
      <w:r w:rsidR="00C276CF">
        <w:rPr>
          <w:rFonts w:eastAsia="Times New Roman" w:cstheme="minorHAnsi"/>
          <w:color w:val="000000"/>
          <w:lang w:eastAsia="en-GB"/>
        </w:rPr>
        <w:t>, considered)</w:t>
      </w:r>
      <w:r w:rsidRPr="005C6A89">
        <w:rPr>
          <w:rFonts w:eastAsia="Times New Roman" w:cstheme="minorHAnsi"/>
          <w:color w:val="000000"/>
          <w:lang w:eastAsia="en-GB"/>
        </w:rPr>
        <w:t xml:space="preserve"> </w:t>
      </w:r>
      <w:r w:rsidR="00D50D86" w:rsidRPr="005C6A89">
        <w:rPr>
          <w:rFonts w:eastAsia="Times New Roman" w:cstheme="minorHAnsi"/>
          <w:color w:val="000000"/>
          <w:lang w:eastAsia="en-GB"/>
        </w:rPr>
        <w:t>(</w:t>
      </w:r>
      <w:r w:rsidR="00733D99">
        <w:rPr>
          <w:rFonts w:eastAsia="Times New Roman" w:cstheme="minorHAnsi"/>
          <w:color w:val="000000"/>
          <w:lang w:eastAsia="en-GB"/>
        </w:rPr>
        <w:t>[</w:t>
      </w:r>
      <w:r w:rsidRPr="005C6A89">
        <w:rPr>
          <w:rFonts w:eastAsia="Times New Roman" w:cstheme="minorHAnsi"/>
          <w:color w:val="000000"/>
          <w:lang w:eastAsia="en-GB"/>
        </w:rPr>
        <w:t>32</w:t>
      </w:r>
      <w:r w:rsidR="00D50D86" w:rsidRPr="005C6A89">
        <w:rPr>
          <w:rFonts w:eastAsia="Times New Roman" w:cstheme="minorHAnsi"/>
          <w:color w:val="000000"/>
          <w:lang w:eastAsia="en-GB"/>
        </w:rPr>
        <w:t>]</w:t>
      </w:r>
      <w:r w:rsidRPr="005C6A89">
        <w:rPr>
          <w:rFonts w:eastAsia="Times New Roman" w:cstheme="minorHAnsi"/>
          <w:color w:val="000000"/>
          <w:lang w:eastAsia="en-GB"/>
        </w:rPr>
        <w:t>-</w:t>
      </w:r>
      <w:r w:rsidR="00D50D86" w:rsidRPr="005C6A89">
        <w:rPr>
          <w:rFonts w:eastAsia="Times New Roman" w:cstheme="minorHAnsi"/>
          <w:color w:val="000000"/>
          <w:lang w:eastAsia="en-GB"/>
        </w:rPr>
        <w:t>[3</w:t>
      </w:r>
      <w:r w:rsidRPr="005C6A89">
        <w:rPr>
          <w:rFonts w:eastAsia="Times New Roman" w:cstheme="minorHAnsi"/>
          <w:color w:val="000000"/>
          <w:lang w:eastAsia="en-GB"/>
        </w:rPr>
        <w:t>5]</w:t>
      </w:r>
      <w:r w:rsidR="00D50D86" w:rsidRPr="005C6A89">
        <w:rPr>
          <w:rFonts w:eastAsia="Times New Roman" w:cstheme="minorHAnsi"/>
          <w:color w:val="000000"/>
          <w:lang w:eastAsia="en-GB"/>
        </w:rPr>
        <w:t>)</w:t>
      </w:r>
      <w:r w:rsidR="00733D99">
        <w:rPr>
          <w:rFonts w:eastAsia="Times New Roman" w:cstheme="minorHAnsi"/>
          <w:color w:val="000000"/>
          <w:lang w:eastAsia="en-GB"/>
        </w:rPr>
        <w:t>.</w:t>
      </w:r>
    </w:p>
    <w:p w:rsidR="00FD386F" w:rsidRPr="005C6A89" w:rsidRDefault="00FD386F" w:rsidP="00FD386F">
      <w:pPr>
        <w:pStyle w:val="ListParagraph"/>
        <w:rPr>
          <w:rFonts w:eastAsia="Times New Roman" w:cstheme="minorHAnsi"/>
          <w:color w:val="000000"/>
          <w:lang w:eastAsia="en-GB"/>
        </w:rPr>
      </w:pPr>
    </w:p>
    <w:p w:rsidR="00FD386F" w:rsidRDefault="00FD386F" w:rsidP="0031017B">
      <w:pPr>
        <w:pStyle w:val="ListParagraph"/>
        <w:numPr>
          <w:ilvl w:val="0"/>
          <w:numId w:val="2"/>
        </w:numPr>
        <w:spacing w:after="0" w:line="240" w:lineRule="auto"/>
        <w:rPr>
          <w:rFonts w:eastAsia="Times New Roman" w:cstheme="minorHAnsi"/>
          <w:color w:val="000000"/>
          <w:lang w:eastAsia="en-GB"/>
        </w:rPr>
      </w:pPr>
      <w:r w:rsidRPr="00C40FDD">
        <w:rPr>
          <w:rFonts w:eastAsia="Times New Roman" w:cstheme="minorHAnsi"/>
          <w:color w:val="000000"/>
          <w:lang w:eastAsia="en-GB"/>
        </w:rPr>
        <w:t>It would be disproportionate to deny the claim</w:t>
      </w:r>
      <w:r w:rsidR="00B17F05">
        <w:rPr>
          <w:rFonts w:eastAsia="Times New Roman" w:cstheme="minorHAnsi"/>
          <w:color w:val="000000"/>
          <w:lang w:eastAsia="en-GB"/>
        </w:rPr>
        <w:t xml:space="preserve">.  </w:t>
      </w:r>
      <w:r w:rsidRPr="00C40FDD">
        <w:rPr>
          <w:rFonts w:eastAsia="Times New Roman" w:cstheme="minorHAnsi"/>
          <w:color w:val="000000"/>
          <w:lang w:eastAsia="en-GB"/>
        </w:rPr>
        <w:t>G suffered a genuine wrong, to which her unlawful conduct was incidental.</w:t>
      </w:r>
      <w:r w:rsidR="00C40FDD" w:rsidRPr="00C40FDD">
        <w:rPr>
          <w:rFonts w:eastAsia="Times New Roman" w:cstheme="minorHAnsi"/>
          <w:color w:val="000000"/>
          <w:lang w:eastAsia="en-GB"/>
        </w:rPr>
        <w:t xml:space="preserve">  Whilst the need to rely on illegal conduct to establish a claim is no longer determinative of the illegality defence, it is still relevant to the issue of centrality</w:t>
      </w:r>
      <w:r w:rsidR="00C40FDD">
        <w:rPr>
          <w:rFonts w:eastAsia="Times New Roman" w:cstheme="minorHAnsi"/>
          <w:color w:val="000000"/>
          <w:lang w:eastAsia="en-GB"/>
        </w:rPr>
        <w:t>.</w:t>
      </w:r>
      <w:r w:rsidR="00B17F05">
        <w:rPr>
          <w:rFonts w:eastAsia="Times New Roman" w:cstheme="minorHAnsi"/>
          <w:color w:val="000000"/>
          <w:lang w:eastAsia="en-GB"/>
        </w:rPr>
        <w:t xml:space="preserve">  </w:t>
      </w:r>
      <w:r w:rsidRPr="00C40FDD">
        <w:rPr>
          <w:rFonts w:eastAsia="Times New Roman" w:cstheme="minorHAnsi"/>
          <w:color w:val="000000"/>
          <w:lang w:eastAsia="en-GB"/>
        </w:rPr>
        <w:t>S’s breach of duty was distant to the fraud</w:t>
      </w:r>
      <w:r w:rsidR="00D50D86" w:rsidRPr="00C40FDD">
        <w:rPr>
          <w:rFonts w:eastAsia="Times New Roman" w:cstheme="minorHAnsi"/>
          <w:color w:val="000000"/>
          <w:lang w:eastAsia="en-GB"/>
        </w:rPr>
        <w:t>, and</w:t>
      </w:r>
      <w:r w:rsidRPr="00C40FDD">
        <w:rPr>
          <w:rFonts w:eastAsia="Times New Roman" w:cstheme="minorHAnsi"/>
          <w:color w:val="000000"/>
          <w:lang w:eastAsia="en-GB"/>
        </w:rPr>
        <w:t xml:space="preserve"> related to a failure to register title</w:t>
      </w:r>
      <w:r w:rsidR="00D50D86" w:rsidRPr="00C40FDD">
        <w:rPr>
          <w:rFonts w:eastAsia="Times New Roman" w:cstheme="minorHAnsi"/>
          <w:color w:val="000000"/>
          <w:lang w:eastAsia="en-GB"/>
        </w:rPr>
        <w:t>.  H</w:t>
      </w:r>
      <w:r w:rsidRPr="00C40FDD">
        <w:rPr>
          <w:rFonts w:eastAsia="Times New Roman" w:cstheme="minorHAnsi"/>
          <w:color w:val="000000"/>
          <w:lang w:eastAsia="en-GB"/>
        </w:rPr>
        <w:t xml:space="preserve">ow G had obtained her finances was irrelevant to this duty.  </w:t>
      </w:r>
      <w:r w:rsidR="00B17F05">
        <w:rPr>
          <w:rFonts w:eastAsia="Times New Roman" w:cstheme="minorHAnsi"/>
          <w:color w:val="000000"/>
          <w:lang w:eastAsia="en-GB"/>
        </w:rPr>
        <w:t>A</w:t>
      </w:r>
      <w:r w:rsidR="00D50D86" w:rsidRPr="00C40FDD">
        <w:rPr>
          <w:rFonts w:eastAsia="Times New Roman" w:cstheme="minorHAnsi"/>
          <w:color w:val="000000"/>
          <w:lang w:eastAsia="en-GB"/>
        </w:rPr>
        <w:t>ddition</w:t>
      </w:r>
      <w:r w:rsidR="00B17F05">
        <w:rPr>
          <w:rFonts w:eastAsia="Times New Roman" w:cstheme="minorHAnsi"/>
          <w:color w:val="000000"/>
          <w:lang w:eastAsia="en-GB"/>
        </w:rPr>
        <w:t>ally</w:t>
      </w:r>
      <w:r w:rsidRPr="00C40FDD">
        <w:rPr>
          <w:rFonts w:eastAsia="Times New Roman" w:cstheme="minorHAnsi"/>
          <w:color w:val="000000"/>
          <w:lang w:eastAsia="en-GB"/>
        </w:rPr>
        <w:t>,</w:t>
      </w:r>
      <w:r w:rsidR="00B17F05">
        <w:rPr>
          <w:rFonts w:eastAsia="Times New Roman" w:cstheme="minorHAnsi"/>
          <w:color w:val="000000"/>
          <w:lang w:eastAsia="en-GB"/>
        </w:rPr>
        <w:t xml:space="preserve"> </w:t>
      </w:r>
      <w:r w:rsidR="00D50D86" w:rsidRPr="00C40FDD">
        <w:rPr>
          <w:rFonts w:eastAsia="Times New Roman" w:cstheme="minorHAnsi"/>
          <w:color w:val="000000"/>
          <w:lang w:eastAsia="en-GB"/>
        </w:rPr>
        <w:t xml:space="preserve">since the claim was in respect of losses, to permit the claim would not mean that </w:t>
      </w:r>
      <w:r w:rsidRPr="00C40FDD">
        <w:rPr>
          <w:rFonts w:eastAsia="Times New Roman" w:cstheme="minorHAnsi"/>
          <w:color w:val="000000"/>
          <w:lang w:eastAsia="en-GB"/>
        </w:rPr>
        <w:t>G would profit from her own wrongdoing</w:t>
      </w:r>
      <w:r w:rsidR="00D50D86" w:rsidRPr="00C40FDD">
        <w:rPr>
          <w:rFonts w:eastAsia="Times New Roman" w:cstheme="minorHAnsi"/>
          <w:color w:val="000000"/>
          <w:lang w:eastAsia="en-GB"/>
        </w:rPr>
        <w:t xml:space="preserve"> </w:t>
      </w:r>
      <w:r w:rsidR="00C276CF">
        <w:rPr>
          <w:rFonts w:eastAsia="Times New Roman" w:cstheme="minorHAnsi"/>
          <w:color w:val="000000"/>
          <w:lang w:eastAsia="en-GB"/>
        </w:rPr>
        <w:t>(</w:t>
      </w:r>
      <w:r w:rsidR="00C276CF" w:rsidRPr="00733D99">
        <w:rPr>
          <w:rFonts w:eastAsia="Times New Roman" w:cstheme="minorHAnsi"/>
          <w:i/>
          <w:color w:val="000000"/>
          <w:lang w:eastAsia="en-GB"/>
        </w:rPr>
        <w:t>Sweetman v Nathan</w:t>
      </w:r>
      <w:r w:rsidR="00C276CF" w:rsidRPr="00C276CF">
        <w:rPr>
          <w:rFonts w:eastAsia="Times New Roman" w:cstheme="minorHAnsi"/>
          <w:color w:val="000000"/>
          <w:lang w:eastAsia="en-GB"/>
        </w:rPr>
        <w:t xml:space="preserve"> [2003] EWCA </w:t>
      </w:r>
      <w:proofErr w:type="spellStart"/>
      <w:r w:rsidR="00C276CF" w:rsidRPr="00C276CF">
        <w:rPr>
          <w:rFonts w:eastAsia="Times New Roman" w:cstheme="minorHAnsi"/>
          <w:color w:val="000000"/>
          <w:lang w:eastAsia="en-GB"/>
        </w:rPr>
        <w:t>Civ</w:t>
      </w:r>
      <w:proofErr w:type="spellEnd"/>
      <w:r w:rsidR="00C276CF" w:rsidRPr="00C276CF">
        <w:rPr>
          <w:rFonts w:eastAsia="Times New Roman" w:cstheme="minorHAnsi"/>
          <w:color w:val="000000"/>
          <w:lang w:eastAsia="en-GB"/>
        </w:rPr>
        <w:t xml:space="preserve"> 1115; [2004] P</w:t>
      </w:r>
      <w:r w:rsidR="00C276CF">
        <w:rPr>
          <w:rFonts w:eastAsia="Times New Roman" w:cstheme="minorHAnsi"/>
          <w:color w:val="000000"/>
          <w:lang w:eastAsia="en-GB"/>
        </w:rPr>
        <w:t>.</w:t>
      </w:r>
      <w:r w:rsidR="00C276CF" w:rsidRPr="00C276CF">
        <w:rPr>
          <w:rFonts w:eastAsia="Times New Roman" w:cstheme="minorHAnsi"/>
          <w:color w:val="000000"/>
          <w:lang w:eastAsia="en-GB"/>
        </w:rPr>
        <w:t>N</w:t>
      </w:r>
      <w:r w:rsidR="00C276CF">
        <w:rPr>
          <w:rFonts w:eastAsia="Times New Roman" w:cstheme="minorHAnsi"/>
          <w:color w:val="000000"/>
          <w:lang w:eastAsia="en-GB"/>
        </w:rPr>
        <w:t>.</w:t>
      </w:r>
      <w:r w:rsidR="00C276CF" w:rsidRPr="00C276CF">
        <w:rPr>
          <w:rFonts w:eastAsia="Times New Roman" w:cstheme="minorHAnsi"/>
          <w:color w:val="000000"/>
          <w:lang w:eastAsia="en-GB"/>
        </w:rPr>
        <w:t>L</w:t>
      </w:r>
      <w:r w:rsidR="00C276CF">
        <w:rPr>
          <w:rFonts w:eastAsia="Times New Roman" w:cstheme="minorHAnsi"/>
          <w:color w:val="000000"/>
          <w:lang w:eastAsia="en-GB"/>
        </w:rPr>
        <w:t>.</w:t>
      </w:r>
      <w:r w:rsidR="00C276CF" w:rsidRPr="00C276CF">
        <w:rPr>
          <w:rFonts w:eastAsia="Times New Roman" w:cstheme="minorHAnsi"/>
          <w:color w:val="000000"/>
          <w:lang w:eastAsia="en-GB"/>
        </w:rPr>
        <w:t>R</w:t>
      </w:r>
      <w:r w:rsidR="00C276CF">
        <w:rPr>
          <w:rFonts w:eastAsia="Times New Roman" w:cstheme="minorHAnsi"/>
          <w:color w:val="000000"/>
          <w:lang w:eastAsia="en-GB"/>
        </w:rPr>
        <w:t>.</w:t>
      </w:r>
      <w:r w:rsidR="00C276CF" w:rsidRPr="00C276CF">
        <w:rPr>
          <w:rFonts w:eastAsia="Times New Roman" w:cstheme="minorHAnsi"/>
          <w:color w:val="000000"/>
          <w:lang w:eastAsia="en-GB"/>
        </w:rPr>
        <w:t xml:space="preserve"> 7</w:t>
      </w:r>
      <w:r w:rsidR="00C276CF">
        <w:rPr>
          <w:rFonts w:eastAsia="Times New Roman" w:cstheme="minorHAnsi"/>
          <w:color w:val="000000"/>
          <w:lang w:eastAsia="en-GB"/>
        </w:rPr>
        <w:t>, discussed)</w:t>
      </w:r>
      <w:r w:rsidR="00D50D86" w:rsidRPr="00C40FDD">
        <w:rPr>
          <w:rFonts w:eastAsia="Times New Roman" w:cstheme="minorHAnsi"/>
          <w:color w:val="000000"/>
          <w:lang w:eastAsia="en-GB"/>
        </w:rPr>
        <w:t xml:space="preserve"> (</w:t>
      </w:r>
      <w:r w:rsidR="00904630" w:rsidRPr="00C40FDD">
        <w:rPr>
          <w:rFonts w:eastAsia="Times New Roman" w:cstheme="minorHAnsi"/>
          <w:color w:val="000000"/>
          <w:lang w:eastAsia="en-GB"/>
        </w:rPr>
        <w:t>[40]-</w:t>
      </w:r>
      <w:r w:rsidRPr="00C40FDD">
        <w:rPr>
          <w:rFonts w:eastAsia="Times New Roman" w:cstheme="minorHAnsi"/>
          <w:color w:val="000000"/>
          <w:lang w:eastAsia="en-GB"/>
        </w:rPr>
        <w:t>[44]</w:t>
      </w:r>
      <w:r w:rsidR="00D50D86" w:rsidRPr="00C40FDD">
        <w:rPr>
          <w:rFonts w:eastAsia="Times New Roman" w:cstheme="minorHAnsi"/>
          <w:color w:val="000000"/>
          <w:lang w:eastAsia="en-GB"/>
        </w:rPr>
        <w:t>)</w:t>
      </w:r>
      <w:r w:rsidRPr="00C40FDD">
        <w:rPr>
          <w:rFonts w:eastAsia="Times New Roman" w:cstheme="minorHAnsi"/>
          <w:color w:val="000000"/>
          <w:lang w:eastAsia="en-GB"/>
        </w:rPr>
        <w:t xml:space="preserve"> </w:t>
      </w:r>
      <w:r w:rsidR="00D50D86" w:rsidRPr="00C40FDD">
        <w:rPr>
          <w:rFonts w:eastAsia="Times New Roman" w:cstheme="minorHAnsi"/>
          <w:color w:val="000000"/>
          <w:lang w:eastAsia="en-GB"/>
        </w:rPr>
        <w:t>(Obiter).</w:t>
      </w:r>
    </w:p>
    <w:p w:rsidR="003949E7" w:rsidRDefault="003949E7" w:rsidP="003949E7">
      <w:pPr>
        <w:spacing w:after="0" w:line="240" w:lineRule="auto"/>
        <w:rPr>
          <w:rFonts w:eastAsia="Times New Roman" w:cstheme="minorHAnsi"/>
          <w:color w:val="000000"/>
          <w:lang w:eastAsia="en-GB"/>
        </w:rPr>
      </w:pPr>
    </w:p>
    <w:p w:rsidR="003949E7" w:rsidRPr="001B09F8" w:rsidRDefault="003949E7" w:rsidP="003949E7">
      <w:pPr>
        <w:spacing w:line="240" w:lineRule="auto"/>
        <w:rPr>
          <w:b/>
        </w:rPr>
      </w:pPr>
      <w:r w:rsidRPr="001B09F8">
        <w:rPr>
          <w:b/>
        </w:rPr>
        <w:t>Cases referred to in the opinion:</w:t>
      </w:r>
    </w:p>
    <w:p w:rsidR="003949E7" w:rsidRDefault="003949E7" w:rsidP="003949E7">
      <w:pPr>
        <w:spacing w:line="240" w:lineRule="auto"/>
      </w:pPr>
      <w:r w:rsidRPr="00F01A94">
        <w:rPr>
          <w:i/>
        </w:rPr>
        <w:t>Snook v London and West Riding Investments Ltd</w:t>
      </w:r>
      <w:r>
        <w:t xml:space="preserve"> [1967] 2 Q.B. 786</w:t>
      </w:r>
    </w:p>
    <w:p w:rsidR="003949E7" w:rsidRDefault="003949E7" w:rsidP="003949E7">
      <w:pPr>
        <w:spacing w:line="240" w:lineRule="auto"/>
      </w:pPr>
      <w:r w:rsidRPr="00F01A94">
        <w:rPr>
          <w:i/>
        </w:rPr>
        <w:t>Attorney General v Guardian Newspapers Ltd (No 2)</w:t>
      </w:r>
      <w:r>
        <w:t xml:space="preserve"> [1990] 1 A.C. 109</w:t>
      </w:r>
    </w:p>
    <w:p w:rsidR="003949E7" w:rsidRDefault="003949E7" w:rsidP="003949E7">
      <w:pPr>
        <w:spacing w:line="240" w:lineRule="auto"/>
      </w:pPr>
      <w:r w:rsidRPr="00F01A94">
        <w:rPr>
          <w:i/>
        </w:rPr>
        <w:t>Hall v Hebert</w:t>
      </w:r>
      <w:r>
        <w:t xml:space="preserve"> [1993] 2 S.C.R. 159</w:t>
      </w:r>
    </w:p>
    <w:p w:rsidR="003949E7" w:rsidRDefault="003949E7" w:rsidP="003949E7">
      <w:pPr>
        <w:spacing w:line="240" w:lineRule="auto"/>
      </w:pPr>
      <w:r w:rsidRPr="00F01A94">
        <w:rPr>
          <w:i/>
        </w:rPr>
        <w:t>Tinsley v Milligan</w:t>
      </w:r>
      <w:r>
        <w:t xml:space="preserve"> [1994] 1 A.C. 340</w:t>
      </w:r>
    </w:p>
    <w:p w:rsidR="003949E7" w:rsidRDefault="003949E7" w:rsidP="003949E7">
      <w:pPr>
        <w:spacing w:line="240" w:lineRule="auto"/>
      </w:pPr>
      <w:r w:rsidRPr="00F01A94">
        <w:rPr>
          <w:i/>
        </w:rPr>
        <w:t>Sweetman v Nathan</w:t>
      </w:r>
      <w:r>
        <w:t xml:space="preserve"> [2003] EWCA </w:t>
      </w:r>
      <w:proofErr w:type="spellStart"/>
      <w:r>
        <w:t>Civ</w:t>
      </w:r>
      <w:proofErr w:type="spellEnd"/>
      <w:r>
        <w:t xml:space="preserve"> 1115; [2004] P.N.L.R. 7</w:t>
      </w:r>
    </w:p>
    <w:p w:rsidR="003949E7" w:rsidRDefault="003949E7" w:rsidP="003949E7">
      <w:pPr>
        <w:spacing w:line="240" w:lineRule="auto"/>
      </w:pPr>
      <w:r w:rsidRPr="00F01A94">
        <w:rPr>
          <w:i/>
        </w:rPr>
        <w:t>Mortgage Business PLC v O’Shaughnessy</w:t>
      </w:r>
      <w:r>
        <w:t xml:space="preserve"> </w:t>
      </w:r>
      <w:r w:rsidRPr="00F01A94">
        <w:t xml:space="preserve">[2012] EWCA </w:t>
      </w:r>
      <w:proofErr w:type="spellStart"/>
      <w:r w:rsidRPr="00F01A94">
        <w:t>Civ</w:t>
      </w:r>
      <w:proofErr w:type="spellEnd"/>
      <w:r w:rsidRPr="00F01A94">
        <w:t xml:space="preserve"> 17</w:t>
      </w:r>
      <w:r>
        <w:t>; [2012] 1 W.L.R. 1521</w:t>
      </w:r>
    </w:p>
    <w:p w:rsidR="003949E7" w:rsidRDefault="003949E7" w:rsidP="003949E7">
      <w:pPr>
        <w:spacing w:line="240" w:lineRule="auto"/>
      </w:pPr>
      <w:bookmarkStart w:id="0" w:name="_GoBack"/>
      <w:proofErr w:type="spellStart"/>
      <w:r w:rsidRPr="001B09F8">
        <w:rPr>
          <w:i/>
        </w:rPr>
        <w:t>Houn</w:t>
      </w:r>
      <w:bookmarkEnd w:id="0"/>
      <w:r w:rsidRPr="001B09F8">
        <w:rPr>
          <w:i/>
        </w:rPr>
        <w:t>ga</w:t>
      </w:r>
      <w:proofErr w:type="spellEnd"/>
      <w:r w:rsidRPr="001B09F8">
        <w:rPr>
          <w:i/>
        </w:rPr>
        <w:t xml:space="preserve"> v Allen</w:t>
      </w:r>
      <w:r>
        <w:rPr>
          <w:i/>
        </w:rPr>
        <w:t xml:space="preserve"> </w:t>
      </w:r>
      <w:r w:rsidRPr="001B09F8">
        <w:rPr>
          <w:i/>
        </w:rPr>
        <w:t xml:space="preserve">(Anti-Slavery International intervening) </w:t>
      </w:r>
      <w:r>
        <w:t>[2014] UKSC 47; [2014] 1 W.L.R. 2889</w:t>
      </w:r>
    </w:p>
    <w:p w:rsidR="003949E7" w:rsidRDefault="003949E7" w:rsidP="003949E7">
      <w:pPr>
        <w:spacing w:line="240" w:lineRule="auto"/>
      </w:pPr>
      <w:r w:rsidRPr="001B09F8">
        <w:rPr>
          <w:i/>
        </w:rPr>
        <w:lastRenderedPageBreak/>
        <w:t xml:space="preserve">Les </w:t>
      </w:r>
      <w:proofErr w:type="spellStart"/>
      <w:r w:rsidRPr="001B09F8">
        <w:rPr>
          <w:i/>
        </w:rPr>
        <w:t>Laboratoires</w:t>
      </w:r>
      <w:proofErr w:type="spellEnd"/>
      <w:r w:rsidRPr="001B09F8">
        <w:rPr>
          <w:i/>
        </w:rPr>
        <w:t xml:space="preserve"> </w:t>
      </w:r>
      <w:proofErr w:type="spellStart"/>
      <w:r w:rsidRPr="001B09F8">
        <w:rPr>
          <w:i/>
        </w:rPr>
        <w:t>Servier</w:t>
      </w:r>
      <w:proofErr w:type="spellEnd"/>
      <w:r w:rsidRPr="001B09F8">
        <w:rPr>
          <w:i/>
        </w:rPr>
        <w:t xml:space="preserve"> v </w:t>
      </w:r>
      <w:proofErr w:type="spellStart"/>
      <w:r w:rsidRPr="001B09F8">
        <w:rPr>
          <w:i/>
        </w:rPr>
        <w:t>Apotex</w:t>
      </w:r>
      <w:proofErr w:type="spellEnd"/>
      <w:r w:rsidRPr="001B09F8">
        <w:rPr>
          <w:i/>
        </w:rPr>
        <w:t xml:space="preserve"> Inc</w:t>
      </w:r>
      <w:r>
        <w:t xml:space="preserve"> [2014] UKSC 55; [2015] A.C. 430</w:t>
      </w:r>
    </w:p>
    <w:p w:rsidR="003949E7" w:rsidRDefault="003949E7" w:rsidP="003949E7">
      <w:pPr>
        <w:spacing w:line="240" w:lineRule="auto"/>
      </w:pPr>
      <w:proofErr w:type="spellStart"/>
      <w:r w:rsidRPr="001B09F8">
        <w:rPr>
          <w:i/>
        </w:rPr>
        <w:t>Bilta</w:t>
      </w:r>
      <w:proofErr w:type="spellEnd"/>
      <w:r w:rsidRPr="001B09F8">
        <w:rPr>
          <w:i/>
        </w:rPr>
        <w:t xml:space="preserve"> (UK) Ltd v Nazir (No 2) </w:t>
      </w:r>
      <w:r>
        <w:t>[2015] UKSC 23; [2016] A.C. 1</w:t>
      </w:r>
    </w:p>
    <w:p w:rsidR="003949E7" w:rsidRPr="00B178CC" w:rsidRDefault="003949E7" w:rsidP="003949E7">
      <w:pPr>
        <w:spacing w:line="240" w:lineRule="auto"/>
        <w:rPr>
          <w:highlight w:val="cyan"/>
        </w:rPr>
      </w:pPr>
      <w:r w:rsidRPr="001B09F8">
        <w:rPr>
          <w:i/>
        </w:rPr>
        <w:t>Patel v Mirza</w:t>
      </w:r>
      <w:r>
        <w:t xml:space="preserve"> [2016] UKSC 42; [2017] A.C. 467</w:t>
      </w:r>
    </w:p>
    <w:p w:rsidR="003949E7" w:rsidRPr="00B178CC" w:rsidRDefault="003949E7" w:rsidP="003949E7">
      <w:pPr>
        <w:spacing w:line="240" w:lineRule="auto"/>
        <w:rPr>
          <w:highlight w:val="cyan"/>
        </w:rPr>
      </w:pPr>
    </w:p>
    <w:p w:rsidR="003949E7" w:rsidRPr="0098584F" w:rsidRDefault="003949E7" w:rsidP="003949E7">
      <w:pPr>
        <w:spacing w:line="240" w:lineRule="auto"/>
      </w:pPr>
      <w:r w:rsidRPr="0098584F">
        <w:rPr>
          <w:b/>
        </w:rPr>
        <w:t xml:space="preserve">Appeal </w:t>
      </w:r>
      <w:r w:rsidRPr="0098584F">
        <w:t xml:space="preserve">from a decision of the Court of Appeal dated September 13, 2018 ([2018] EWCA </w:t>
      </w:r>
      <w:proofErr w:type="spellStart"/>
      <w:r w:rsidRPr="0098584F">
        <w:t>Civ</w:t>
      </w:r>
      <w:proofErr w:type="spellEnd"/>
      <w:r w:rsidRPr="0098584F">
        <w:t xml:space="preserve"> 2031; [2018] P.N.L.R. 36).</w:t>
      </w:r>
    </w:p>
    <w:p w:rsidR="003949E7" w:rsidRPr="00B178CC" w:rsidRDefault="003949E7" w:rsidP="003949E7">
      <w:pPr>
        <w:spacing w:line="240" w:lineRule="auto"/>
        <w:rPr>
          <w:highlight w:val="cyan"/>
        </w:rPr>
      </w:pPr>
      <w:r w:rsidRPr="00B178CC">
        <w:rPr>
          <w:i/>
        </w:rPr>
        <w:t xml:space="preserve">Michael </w:t>
      </w:r>
      <w:proofErr w:type="spellStart"/>
      <w:r w:rsidRPr="00B178CC">
        <w:rPr>
          <w:i/>
        </w:rPr>
        <w:t>Pooles</w:t>
      </w:r>
      <w:proofErr w:type="spellEnd"/>
      <w:r w:rsidRPr="00B178CC">
        <w:rPr>
          <w:i/>
        </w:rPr>
        <w:t xml:space="preserve"> QC</w:t>
      </w:r>
      <w:r>
        <w:t xml:space="preserve"> and </w:t>
      </w:r>
      <w:r w:rsidRPr="00B178CC">
        <w:rPr>
          <w:i/>
        </w:rPr>
        <w:t>Dan Stacey</w:t>
      </w:r>
      <w:r>
        <w:t xml:space="preserve"> </w:t>
      </w:r>
      <w:r w:rsidRPr="00B178CC">
        <w:t>(</w:t>
      </w:r>
      <w:r>
        <w:t>i</w:t>
      </w:r>
      <w:r w:rsidRPr="00B178CC">
        <w:t>nstructed by Levi Solicitors LLP (Leeds Central))</w:t>
      </w:r>
      <w:r>
        <w:t xml:space="preserve"> </w:t>
      </w:r>
      <w:r w:rsidRPr="00B178CC">
        <w:t>for the Appellant</w:t>
      </w:r>
    </w:p>
    <w:p w:rsidR="003949E7" w:rsidRDefault="003949E7" w:rsidP="003949E7">
      <w:pPr>
        <w:spacing w:line="240" w:lineRule="auto"/>
      </w:pPr>
      <w:r w:rsidRPr="00B178CC">
        <w:rPr>
          <w:i/>
        </w:rPr>
        <w:t>Andrew Warnock QC</w:t>
      </w:r>
      <w:r>
        <w:t xml:space="preserve">, </w:t>
      </w:r>
      <w:r w:rsidRPr="00B178CC">
        <w:rPr>
          <w:i/>
        </w:rPr>
        <w:t>Maurice Rifat</w:t>
      </w:r>
      <w:r>
        <w:t xml:space="preserve">, and </w:t>
      </w:r>
      <w:r w:rsidRPr="00B178CC">
        <w:rPr>
          <w:i/>
        </w:rPr>
        <w:t xml:space="preserve">Laura </w:t>
      </w:r>
      <w:proofErr w:type="spellStart"/>
      <w:r w:rsidRPr="00B178CC">
        <w:rPr>
          <w:i/>
        </w:rPr>
        <w:t>Giachardi</w:t>
      </w:r>
      <w:proofErr w:type="spellEnd"/>
      <w:r>
        <w:t xml:space="preserve"> (instructed by WH Matthews &amp; Co Solicitors (London)) for the Respondent</w:t>
      </w:r>
    </w:p>
    <w:p w:rsidR="003949E7" w:rsidRDefault="003949E7" w:rsidP="003949E7">
      <w:pPr>
        <w:spacing w:line="240" w:lineRule="auto"/>
        <w:rPr>
          <w:highlight w:val="cyan"/>
        </w:rPr>
      </w:pPr>
      <w:r w:rsidRPr="00A64DAF">
        <w:rPr>
          <w:b/>
        </w:rPr>
        <w:t>LORD LLOYD-JONES</w:t>
      </w:r>
      <w:r w:rsidRPr="00A64DAF">
        <w:t xml:space="preserve"> (with whom Lord Reed</w:t>
      </w:r>
      <w:r w:rsidR="006C1C6C">
        <w:t xml:space="preserve"> P</w:t>
      </w:r>
      <w:r w:rsidRPr="00A64DAF">
        <w:t>, Lord Hodge, Lady Black and Lady Arden agree)</w:t>
      </w:r>
      <w:r>
        <w:t>:</w:t>
      </w:r>
    </w:p>
    <w:p w:rsidR="003949E7" w:rsidRDefault="003949E7" w:rsidP="003949E7"/>
    <w:sectPr w:rsidR="00394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EE2610"/>
    <w:multiLevelType w:val="hybridMultilevel"/>
    <w:tmpl w:val="4DBA2F56"/>
    <w:lvl w:ilvl="0" w:tplc="1376DE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FD1767"/>
    <w:multiLevelType w:val="hybridMultilevel"/>
    <w:tmpl w:val="4080FC18"/>
    <w:lvl w:ilvl="0" w:tplc="AAA869D0">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B0"/>
    <w:rsid w:val="00034DF3"/>
    <w:rsid w:val="00056B45"/>
    <w:rsid w:val="000F4B0F"/>
    <w:rsid w:val="001263E3"/>
    <w:rsid w:val="001A3C6F"/>
    <w:rsid w:val="001A5D45"/>
    <w:rsid w:val="001A7A70"/>
    <w:rsid w:val="001B09F8"/>
    <w:rsid w:val="002527EF"/>
    <w:rsid w:val="00254E48"/>
    <w:rsid w:val="002F42AF"/>
    <w:rsid w:val="00323A7E"/>
    <w:rsid w:val="0039004B"/>
    <w:rsid w:val="003949E7"/>
    <w:rsid w:val="004E788F"/>
    <w:rsid w:val="00501AF5"/>
    <w:rsid w:val="00560AAB"/>
    <w:rsid w:val="005952A5"/>
    <w:rsid w:val="005C6A89"/>
    <w:rsid w:val="006A107C"/>
    <w:rsid w:val="006C1C6C"/>
    <w:rsid w:val="00723367"/>
    <w:rsid w:val="00733D99"/>
    <w:rsid w:val="00785E74"/>
    <w:rsid w:val="007E5EB0"/>
    <w:rsid w:val="00846767"/>
    <w:rsid w:val="0089558E"/>
    <w:rsid w:val="008D5857"/>
    <w:rsid w:val="008E75DC"/>
    <w:rsid w:val="0090422C"/>
    <w:rsid w:val="00904630"/>
    <w:rsid w:val="00910B4A"/>
    <w:rsid w:val="00973436"/>
    <w:rsid w:val="0098584F"/>
    <w:rsid w:val="009A1CFE"/>
    <w:rsid w:val="009B70BB"/>
    <w:rsid w:val="009D425B"/>
    <w:rsid w:val="00A079FF"/>
    <w:rsid w:val="00A14FDB"/>
    <w:rsid w:val="00A16A1A"/>
    <w:rsid w:val="00A64DAF"/>
    <w:rsid w:val="00A7502D"/>
    <w:rsid w:val="00A847B0"/>
    <w:rsid w:val="00A928AA"/>
    <w:rsid w:val="00B151FB"/>
    <w:rsid w:val="00B178CC"/>
    <w:rsid w:val="00B17F05"/>
    <w:rsid w:val="00C276CF"/>
    <w:rsid w:val="00C40FDD"/>
    <w:rsid w:val="00C52911"/>
    <w:rsid w:val="00C64F9C"/>
    <w:rsid w:val="00C93895"/>
    <w:rsid w:val="00D50D86"/>
    <w:rsid w:val="00D51B2D"/>
    <w:rsid w:val="00D60F27"/>
    <w:rsid w:val="00E153DE"/>
    <w:rsid w:val="00EE4FE2"/>
    <w:rsid w:val="00F01A94"/>
    <w:rsid w:val="00F96F89"/>
    <w:rsid w:val="00FD386F"/>
    <w:rsid w:val="00FE080B"/>
    <w:rsid w:val="00FE3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8848"/>
  <w15:chartTrackingRefBased/>
  <w15:docId w15:val="{9D285A40-A935-4AFE-8D28-75D699ED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7B0"/>
    <w:rPr>
      <w:color w:val="0563C1" w:themeColor="hyperlink"/>
      <w:u w:val="single"/>
    </w:rPr>
  </w:style>
  <w:style w:type="character" w:styleId="UnresolvedMention">
    <w:name w:val="Unresolved Mention"/>
    <w:basedOn w:val="DefaultParagraphFont"/>
    <w:uiPriority w:val="99"/>
    <w:semiHidden/>
    <w:unhideWhenUsed/>
    <w:rsid w:val="00A847B0"/>
    <w:rPr>
      <w:color w:val="605E5C"/>
      <w:shd w:val="clear" w:color="auto" w:fill="E1DFDD"/>
    </w:rPr>
  </w:style>
  <w:style w:type="paragraph" w:styleId="NormalWeb">
    <w:name w:val="Normal (Web)"/>
    <w:basedOn w:val="Normal"/>
    <w:uiPriority w:val="99"/>
    <w:semiHidden/>
    <w:unhideWhenUsed/>
    <w:rsid w:val="00B151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178C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137812">
      <w:bodyDiv w:val="1"/>
      <w:marLeft w:val="0"/>
      <w:marRight w:val="0"/>
      <w:marTop w:val="0"/>
      <w:marBottom w:val="0"/>
      <w:divBdr>
        <w:top w:val="none" w:sz="0" w:space="0" w:color="auto"/>
        <w:left w:val="none" w:sz="0" w:space="0" w:color="auto"/>
        <w:bottom w:val="none" w:sz="0" w:space="0" w:color="auto"/>
        <w:right w:val="none" w:sz="0" w:space="0" w:color="auto"/>
      </w:divBdr>
    </w:div>
    <w:div w:id="188698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ilii.org/ew/cases/EWCA/Civ/2018/203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1091</Words>
  <Characters>6132</Characters>
  <Application>Microsoft Office Word</Application>
  <DocSecurity>0</DocSecurity>
  <Lines>82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Morgan</dc:creator>
  <cp:keywords/>
  <dc:description/>
  <cp:lastModifiedBy>Phillip Morgan</cp:lastModifiedBy>
  <cp:revision>5</cp:revision>
  <dcterms:created xsi:type="dcterms:W3CDTF">2020-12-10T13:30:00Z</dcterms:created>
  <dcterms:modified xsi:type="dcterms:W3CDTF">2020-12-11T10:52:00Z</dcterms:modified>
</cp:coreProperties>
</file>