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B13" w:rsidRPr="00BB6E67" w:rsidRDefault="00204B13" w:rsidP="00204B13">
      <w:pPr>
        <w:spacing w:line="276" w:lineRule="auto"/>
        <w:jc w:val="center"/>
        <w:rPr>
          <w:rFonts w:ascii="Times New Roman" w:hAnsi="Times New Roman" w:cs="Times New Roman"/>
          <w:b/>
          <w:sz w:val="24"/>
          <w:szCs w:val="24"/>
        </w:rPr>
      </w:pPr>
      <w:r w:rsidRPr="00BB6E67">
        <w:rPr>
          <w:rFonts w:ascii="Times New Roman" w:hAnsi="Times New Roman" w:cs="Times New Roman"/>
          <w:b/>
          <w:sz w:val="24"/>
          <w:szCs w:val="24"/>
        </w:rPr>
        <w:t>Journal of Housing Law</w:t>
      </w:r>
    </w:p>
    <w:p w:rsidR="00204B13" w:rsidRPr="0018785C" w:rsidRDefault="00204B13" w:rsidP="00204B13">
      <w:pPr>
        <w:spacing w:line="276" w:lineRule="auto"/>
        <w:jc w:val="center"/>
        <w:rPr>
          <w:rFonts w:ascii="Times New Roman" w:hAnsi="Times New Roman" w:cs="Times New Roman"/>
          <w:sz w:val="24"/>
          <w:szCs w:val="24"/>
        </w:rPr>
      </w:pPr>
      <w:r>
        <w:rPr>
          <w:rFonts w:ascii="Times New Roman" w:hAnsi="Times New Roman" w:cs="Times New Roman"/>
          <w:sz w:val="24"/>
          <w:szCs w:val="24"/>
        </w:rPr>
        <w:t>2021</w:t>
      </w:r>
      <w:r w:rsidR="00F653D2">
        <w:rPr>
          <w:rFonts w:ascii="Times New Roman" w:hAnsi="Times New Roman" w:cs="Times New Roman"/>
          <w:sz w:val="24"/>
          <w:szCs w:val="24"/>
        </w:rPr>
        <w:t xml:space="preserve"> – Volume 24 – Issue 2</w:t>
      </w:r>
    </w:p>
    <w:p w:rsidR="00204B13" w:rsidRDefault="001553A2" w:rsidP="00204B13">
      <w:pPr>
        <w:jc w:val="center"/>
        <w:rPr>
          <w:rFonts w:ascii="Times New Roman" w:hAnsi="Times New Roman" w:cs="Times New Roman"/>
          <w:b/>
          <w:sz w:val="28"/>
          <w:szCs w:val="28"/>
        </w:rPr>
      </w:pPr>
      <w:r>
        <w:rPr>
          <w:rFonts w:ascii="Times New Roman" w:hAnsi="Times New Roman" w:cs="Times New Roman"/>
          <w:b/>
          <w:sz w:val="28"/>
          <w:szCs w:val="28"/>
        </w:rPr>
        <w:t>The “win-win” Property Guardianship proposition: Non-domestic rates liability and the property guardianship model</w:t>
      </w:r>
    </w:p>
    <w:p w:rsidR="00204B13" w:rsidRPr="0018785C" w:rsidRDefault="00204B13" w:rsidP="00204B13">
      <w:pPr>
        <w:jc w:val="center"/>
        <w:rPr>
          <w:rFonts w:ascii="Times New Roman" w:hAnsi="Times New Roman" w:cs="Times New Roman"/>
          <w:sz w:val="24"/>
          <w:szCs w:val="24"/>
        </w:rPr>
      </w:pPr>
      <w:r w:rsidRPr="0018785C">
        <w:rPr>
          <w:rFonts w:ascii="Times New Roman" w:hAnsi="Times New Roman" w:cs="Times New Roman"/>
          <w:sz w:val="24"/>
          <w:szCs w:val="24"/>
        </w:rPr>
        <w:t>Dr Jed Meers*</w:t>
      </w:r>
    </w:p>
    <w:p w:rsidR="00204B13" w:rsidRPr="00BB6E67" w:rsidRDefault="00204B13" w:rsidP="00204B13">
      <w:pPr>
        <w:pStyle w:val="NormalWeb"/>
        <w:shd w:val="clear" w:color="auto" w:fill="FFFFFF"/>
        <w:spacing w:before="0" w:beforeAutospacing="0" w:after="0" w:afterAutospacing="0"/>
        <w:jc w:val="both"/>
        <w:rPr>
          <w:color w:val="000000"/>
          <w:sz w:val="22"/>
          <w:szCs w:val="22"/>
        </w:rPr>
      </w:pPr>
      <w:r w:rsidRPr="00BB6E67">
        <w:rPr>
          <w:rStyle w:val="Strong"/>
          <w:color w:val="000000"/>
          <w:sz w:val="22"/>
          <w:szCs w:val="22"/>
        </w:rPr>
        <w:t>Subject: </w:t>
      </w:r>
      <w:r w:rsidRPr="00BB6E67">
        <w:rPr>
          <w:color w:val="000000"/>
          <w:sz w:val="22"/>
          <w:szCs w:val="22"/>
        </w:rPr>
        <w:t>Housing</w:t>
      </w:r>
    </w:p>
    <w:p w:rsidR="00204B13" w:rsidRPr="00BB6E67" w:rsidRDefault="00204B13" w:rsidP="00204B13">
      <w:pPr>
        <w:pStyle w:val="NormalWeb"/>
        <w:shd w:val="clear" w:color="auto" w:fill="FFFFFF"/>
        <w:spacing w:before="0" w:beforeAutospacing="0" w:after="0" w:afterAutospacing="0"/>
        <w:jc w:val="both"/>
        <w:rPr>
          <w:color w:val="000000"/>
          <w:sz w:val="22"/>
          <w:szCs w:val="22"/>
        </w:rPr>
      </w:pPr>
    </w:p>
    <w:p w:rsidR="00204B13" w:rsidRPr="00BB6E67" w:rsidRDefault="00204B13" w:rsidP="00204B13">
      <w:pPr>
        <w:pStyle w:val="NormalWeb"/>
        <w:shd w:val="clear" w:color="auto" w:fill="FFFFFF"/>
        <w:spacing w:before="0" w:beforeAutospacing="0" w:after="0" w:afterAutospacing="0"/>
        <w:jc w:val="both"/>
        <w:rPr>
          <w:color w:val="000000"/>
          <w:sz w:val="22"/>
          <w:szCs w:val="22"/>
        </w:rPr>
      </w:pPr>
      <w:r w:rsidRPr="00BB6E67">
        <w:rPr>
          <w:rStyle w:val="Strong"/>
          <w:color w:val="000000"/>
          <w:sz w:val="22"/>
          <w:szCs w:val="22"/>
        </w:rPr>
        <w:t>Keywords: </w:t>
      </w:r>
      <w:r w:rsidR="00A47736" w:rsidRPr="0075429A">
        <w:rPr>
          <w:rStyle w:val="Strong"/>
          <w:b w:val="0"/>
          <w:color w:val="000000"/>
          <w:sz w:val="22"/>
          <w:szCs w:val="22"/>
        </w:rPr>
        <w:t xml:space="preserve">Guardianship, exclusive possession, </w:t>
      </w:r>
      <w:r w:rsidR="000A41A5" w:rsidRPr="0075429A">
        <w:rPr>
          <w:rStyle w:val="Strong"/>
          <w:b w:val="0"/>
          <w:color w:val="000000"/>
          <w:sz w:val="22"/>
          <w:szCs w:val="22"/>
        </w:rPr>
        <w:t>u</w:t>
      </w:r>
      <w:r w:rsidR="00701AC0" w:rsidRPr="0075429A">
        <w:rPr>
          <w:rStyle w:val="Strong"/>
          <w:b w:val="0"/>
          <w:color w:val="000000"/>
          <w:sz w:val="22"/>
          <w:szCs w:val="22"/>
        </w:rPr>
        <w:t>noccupied property, non-domestic rates, council tax.</w:t>
      </w:r>
    </w:p>
    <w:p w:rsidR="00204B13" w:rsidRPr="00BB6E67" w:rsidRDefault="00204B13" w:rsidP="00204B13">
      <w:pPr>
        <w:spacing w:after="0" w:line="276" w:lineRule="auto"/>
        <w:jc w:val="both"/>
        <w:rPr>
          <w:rFonts w:ascii="Times New Roman" w:hAnsi="Times New Roman" w:cs="Times New Roman"/>
        </w:rPr>
      </w:pPr>
    </w:p>
    <w:p w:rsidR="0075429A" w:rsidRDefault="00204B13" w:rsidP="00204B13">
      <w:pPr>
        <w:spacing w:after="0" w:line="276" w:lineRule="auto"/>
        <w:jc w:val="both"/>
        <w:rPr>
          <w:rStyle w:val="Strong"/>
          <w:rFonts w:ascii="Times New Roman" w:hAnsi="Times New Roman" w:cs="Times New Roman"/>
          <w:color w:val="000000"/>
          <w:shd w:val="clear" w:color="auto" w:fill="FFFFFF"/>
        </w:rPr>
      </w:pPr>
      <w:r w:rsidRPr="00BB6E67">
        <w:rPr>
          <w:rStyle w:val="Strong"/>
          <w:rFonts w:ascii="Times New Roman" w:hAnsi="Times New Roman" w:cs="Times New Roman"/>
          <w:color w:val="000000"/>
          <w:shd w:val="clear" w:color="auto" w:fill="FFFFFF"/>
        </w:rPr>
        <w:t>Cases</w:t>
      </w:r>
      <w:r w:rsidR="0075429A">
        <w:rPr>
          <w:rStyle w:val="Strong"/>
          <w:rFonts w:ascii="Times New Roman" w:hAnsi="Times New Roman" w:cs="Times New Roman"/>
          <w:color w:val="000000"/>
          <w:shd w:val="clear" w:color="auto" w:fill="FFFFFF"/>
        </w:rPr>
        <w:t xml:space="preserve"> cited</w:t>
      </w:r>
      <w:r w:rsidRPr="00BB6E67">
        <w:rPr>
          <w:rStyle w:val="Strong"/>
          <w:rFonts w:ascii="Times New Roman" w:hAnsi="Times New Roman" w:cs="Times New Roman"/>
          <w:color w:val="000000"/>
          <w:shd w:val="clear" w:color="auto" w:fill="FFFFFF"/>
        </w:rPr>
        <w:t>: </w:t>
      </w:r>
    </w:p>
    <w:p w:rsidR="00204B13" w:rsidRDefault="0075429A" w:rsidP="00204B13">
      <w:pPr>
        <w:spacing w:after="0" w:line="276" w:lineRule="auto"/>
        <w:jc w:val="both"/>
        <w:rPr>
          <w:rStyle w:val="Strong"/>
          <w:rFonts w:ascii="Times New Roman" w:hAnsi="Times New Roman" w:cs="Times New Roman"/>
          <w:b w:val="0"/>
          <w:i/>
          <w:color w:val="000000"/>
          <w:shd w:val="clear" w:color="auto" w:fill="FFFFFF"/>
        </w:rPr>
      </w:pPr>
      <w:r w:rsidRPr="0075429A">
        <w:rPr>
          <w:rStyle w:val="Strong"/>
          <w:rFonts w:ascii="Times New Roman" w:hAnsi="Times New Roman" w:cs="Times New Roman"/>
          <w:b w:val="0"/>
          <w:i/>
          <w:color w:val="000000"/>
          <w:shd w:val="clear" w:color="auto" w:fill="FFFFFF"/>
        </w:rPr>
        <w:t xml:space="preserve">London Borough of Southwark v Ludgate House </w:t>
      </w:r>
      <w:proofErr w:type="gramStart"/>
      <w:r w:rsidRPr="0075429A">
        <w:rPr>
          <w:rStyle w:val="Strong"/>
          <w:rFonts w:ascii="Times New Roman" w:hAnsi="Times New Roman" w:cs="Times New Roman"/>
          <w:b w:val="0"/>
          <w:i/>
          <w:color w:val="000000"/>
          <w:shd w:val="clear" w:color="auto" w:fill="FFFFFF"/>
        </w:rPr>
        <w:t>Limited</w:t>
      </w:r>
      <w:proofErr w:type="gramEnd"/>
      <w:r w:rsidRPr="0075429A">
        <w:rPr>
          <w:rStyle w:val="Strong"/>
          <w:rFonts w:ascii="Times New Roman" w:hAnsi="Times New Roman" w:cs="Times New Roman"/>
          <w:b w:val="0"/>
          <w:i/>
          <w:color w:val="000000"/>
          <w:shd w:val="clear" w:color="auto" w:fill="FFFFFF"/>
        </w:rPr>
        <w:t xml:space="preserve"> </w:t>
      </w:r>
      <w:r w:rsidRPr="0075429A">
        <w:rPr>
          <w:rStyle w:val="Strong"/>
          <w:rFonts w:ascii="Times New Roman" w:hAnsi="Times New Roman" w:cs="Times New Roman"/>
          <w:b w:val="0"/>
          <w:color w:val="000000"/>
          <w:shd w:val="clear" w:color="auto" w:fill="FFFFFF"/>
        </w:rPr>
        <w:t xml:space="preserve">[2020] EWCA </w:t>
      </w:r>
      <w:proofErr w:type="spellStart"/>
      <w:r w:rsidRPr="0075429A">
        <w:rPr>
          <w:rStyle w:val="Strong"/>
          <w:rFonts w:ascii="Times New Roman" w:hAnsi="Times New Roman" w:cs="Times New Roman"/>
          <w:b w:val="0"/>
          <w:color w:val="000000"/>
          <w:shd w:val="clear" w:color="auto" w:fill="FFFFFF"/>
        </w:rPr>
        <w:t>Civ</w:t>
      </w:r>
      <w:proofErr w:type="spellEnd"/>
      <w:r w:rsidRPr="0075429A">
        <w:rPr>
          <w:rStyle w:val="Strong"/>
          <w:rFonts w:ascii="Times New Roman" w:hAnsi="Times New Roman" w:cs="Times New Roman"/>
          <w:b w:val="0"/>
          <w:color w:val="000000"/>
          <w:shd w:val="clear" w:color="auto" w:fill="FFFFFF"/>
        </w:rPr>
        <w:t xml:space="preserve"> 1637</w:t>
      </w:r>
    </w:p>
    <w:p w:rsidR="0075429A" w:rsidRDefault="0075429A" w:rsidP="00204B13">
      <w:pPr>
        <w:spacing w:after="0" w:line="276" w:lineRule="auto"/>
        <w:jc w:val="both"/>
        <w:rPr>
          <w:rStyle w:val="Strong"/>
          <w:rFonts w:ascii="Times New Roman" w:hAnsi="Times New Roman" w:cs="Times New Roman"/>
          <w:b w:val="0"/>
          <w:color w:val="000000"/>
          <w:shd w:val="clear" w:color="auto" w:fill="FFFFFF"/>
        </w:rPr>
      </w:pPr>
      <w:r w:rsidRPr="0075429A">
        <w:rPr>
          <w:rStyle w:val="Strong"/>
          <w:rFonts w:ascii="Times New Roman" w:hAnsi="Times New Roman" w:cs="Times New Roman"/>
          <w:b w:val="0"/>
          <w:i/>
          <w:color w:val="000000"/>
          <w:shd w:val="clear" w:color="auto" w:fill="FFFFFF"/>
        </w:rPr>
        <w:t xml:space="preserve">Camelot Guardian Management Limited v </w:t>
      </w:r>
      <w:proofErr w:type="spellStart"/>
      <w:r w:rsidRPr="0075429A">
        <w:rPr>
          <w:rStyle w:val="Strong"/>
          <w:rFonts w:ascii="Times New Roman" w:hAnsi="Times New Roman" w:cs="Times New Roman"/>
          <w:b w:val="0"/>
          <w:i/>
          <w:color w:val="000000"/>
          <w:shd w:val="clear" w:color="auto" w:fill="FFFFFF"/>
        </w:rPr>
        <w:t>Heiko</w:t>
      </w:r>
      <w:proofErr w:type="spellEnd"/>
      <w:r w:rsidRPr="0075429A">
        <w:rPr>
          <w:rStyle w:val="Strong"/>
          <w:rFonts w:ascii="Times New Roman" w:hAnsi="Times New Roman" w:cs="Times New Roman"/>
          <w:b w:val="0"/>
          <w:i/>
          <w:color w:val="000000"/>
          <w:shd w:val="clear" w:color="auto" w:fill="FFFFFF"/>
        </w:rPr>
        <w:t xml:space="preserve"> </w:t>
      </w:r>
      <w:proofErr w:type="spellStart"/>
      <w:r w:rsidRPr="0075429A">
        <w:rPr>
          <w:rStyle w:val="Strong"/>
          <w:rFonts w:ascii="Times New Roman" w:hAnsi="Times New Roman" w:cs="Times New Roman"/>
          <w:b w:val="0"/>
          <w:i/>
          <w:color w:val="000000"/>
          <w:shd w:val="clear" w:color="auto" w:fill="FFFFFF"/>
        </w:rPr>
        <w:t>Khoo</w:t>
      </w:r>
      <w:proofErr w:type="spellEnd"/>
      <w:r w:rsidRPr="0075429A">
        <w:rPr>
          <w:rStyle w:val="Strong"/>
          <w:rFonts w:ascii="Times New Roman" w:hAnsi="Times New Roman" w:cs="Times New Roman"/>
          <w:b w:val="0"/>
          <w:i/>
          <w:color w:val="000000"/>
          <w:shd w:val="clear" w:color="auto" w:fill="FFFFFF"/>
        </w:rPr>
        <w:t xml:space="preserve"> </w:t>
      </w:r>
      <w:r w:rsidRPr="0075429A">
        <w:rPr>
          <w:rStyle w:val="Strong"/>
          <w:rFonts w:ascii="Times New Roman" w:hAnsi="Times New Roman" w:cs="Times New Roman"/>
          <w:b w:val="0"/>
          <w:color w:val="000000"/>
          <w:shd w:val="clear" w:color="auto" w:fill="FFFFFF"/>
        </w:rPr>
        <w:t>[2018] EWHC 2296 (QB)</w:t>
      </w:r>
    </w:p>
    <w:p w:rsidR="00784E95" w:rsidRPr="0075429A" w:rsidRDefault="00784E95" w:rsidP="00204B13">
      <w:pPr>
        <w:spacing w:after="0" w:line="276" w:lineRule="auto"/>
        <w:jc w:val="both"/>
        <w:rPr>
          <w:rStyle w:val="Strong"/>
          <w:rFonts w:ascii="Times New Roman" w:hAnsi="Times New Roman" w:cs="Times New Roman"/>
          <w:b w:val="0"/>
          <w:color w:val="000000"/>
          <w:shd w:val="clear" w:color="auto" w:fill="FFFFFF"/>
        </w:rPr>
      </w:pPr>
      <w:r w:rsidRPr="00784E95">
        <w:rPr>
          <w:rStyle w:val="Strong"/>
          <w:rFonts w:ascii="Times New Roman" w:hAnsi="Times New Roman" w:cs="Times New Roman"/>
          <w:b w:val="0"/>
          <w:i/>
          <w:color w:val="000000"/>
          <w:shd w:val="clear" w:color="auto" w:fill="FFFFFF"/>
        </w:rPr>
        <w:t>John Laing &amp; Son Ltd v Assessment Committee for Kingswood Assessment</w:t>
      </w:r>
      <w:r w:rsidRPr="00784E95">
        <w:rPr>
          <w:rStyle w:val="Strong"/>
          <w:rFonts w:ascii="Times New Roman" w:hAnsi="Times New Roman" w:cs="Times New Roman"/>
          <w:b w:val="0"/>
          <w:color w:val="000000"/>
          <w:shd w:val="clear" w:color="auto" w:fill="FFFFFF"/>
        </w:rPr>
        <w:t xml:space="preserve"> Area [1949] 1 KB 344</w:t>
      </w:r>
    </w:p>
    <w:p w:rsidR="0075429A" w:rsidRPr="00BB6E67" w:rsidRDefault="0075429A" w:rsidP="00204B13">
      <w:pPr>
        <w:spacing w:after="0" w:line="276" w:lineRule="auto"/>
        <w:jc w:val="both"/>
        <w:rPr>
          <w:rStyle w:val="Strong"/>
          <w:rFonts w:ascii="Times New Roman" w:hAnsi="Times New Roman" w:cs="Times New Roman"/>
          <w:color w:val="000000"/>
          <w:shd w:val="clear" w:color="auto" w:fill="FFFFFF"/>
        </w:rPr>
      </w:pPr>
    </w:p>
    <w:p w:rsidR="00CB4028" w:rsidRDefault="00CB4028"/>
    <w:p w:rsidR="002D6D40" w:rsidRDefault="007F4118" w:rsidP="007F4118">
      <w:pPr>
        <w:jc w:val="both"/>
        <w:rPr>
          <w:rFonts w:ascii="Times New Roman" w:hAnsi="Times New Roman" w:cs="Times New Roman"/>
          <w:sz w:val="24"/>
          <w:szCs w:val="24"/>
        </w:rPr>
      </w:pPr>
      <w:r>
        <w:rPr>
          <w:rFonts w:ascii="Times New Roman" w:hAnsi="Times New Roman" w:cs="Times New Roman"/>
          <w:sz w:val="24"/>
          <w:szCs w:val="24"/>
        </w:rPr>
        <w:t xml:space="preserve">The judgment in </w:t>
      </w:r>
      <w:r>
        <w:rPr>
          <w:rFonts w:ascii="Times New Roman" w:hAnsi="Times New Roman" w:cs="Times New Roman"/>
          <w:i/>
          <w:sz w:val="24"/>
          <w:szCs w:val="24"/>
        </w:rPr>
        <w:t>London Borough of Southwark v Ludgate House Limited</w:t>
      </w:r>
      <w:r w:rsidR="00BA5037">
        <w:rPr>
          <w:rStyle w:val="FootnoteReference"/>
          <w:rFonts w:ascii="Times New Roman" w:hAnsi="Times New Roman" w:cs="Times New Roman"/>
          <w:i/>
          <w:sz w:val="24"/>
          <w:szCs w:val="24"/>
        </w:rPr>
        <w:footnoteReference w:id="1"/>
      </w:r>
      <w:r>
        <w:rPr>
          <w:rFonts w:ascii="Times New Roman" w:hAnsi="Times New Roman" w:cs="Times New Roman"/>
          <w:i/>
          <w:sz w:val="24"/>
          <w:szCs w:val="24"/>
        </w:rPr>
        <w:t xml:space="preserve"> </w:t>
      </w:r>
      <w:r>
        <w:rPr>
          <w:rFonts w:ascii="Times New Roman" w:hAnsi="Times New Roman" w:cs="Times New Roman"/>
          <w:sz w:val="24"/>
          <w:szCs w:val="24"/>
        </w:rPr>
        <w:t xml:space="preserve">tackles </w:t>
      </w:r>
      <w:r w:rsidR="00D475FF">
        <w:rPr>
          <w:rFonts w:ascii="Times New Roman" w:hAnsi="Times New Roman" w:cs="Times New Roman"/>
          <w:sz w:val="24"/>
          <w:szCs w:val="24"/>
        </w:rPr>
        <w:t>a core component of the</w:t>
      </w:r>
      <w:r>
        <w:rPr>
          <w:rFonts w:ascii="Times New Roman" w:hAnsi="Times New Roman" w:cs="Times New Roman"/>
          <w:sz w:val="24"/>
          <w:szCs w:val="24"/>
        </w:rPr>
        <w:t xml:space="preserve"> “win-win” proposition of so-called “property guardianship”.</w:t>
      </w:r>
      <w:r w:rsidR="002D6D40">
        <w:rPr>
          <w:rFonts w:ascii="Times New Roman" w:hAnsi="Times New Roman" w:cs="Times New Roman"/>
          <w:sz w:val="24"/>
          <w:szCs w:val="24"/>
        </w:rPr>
        <w:t xml:space="preserve"> </w:t>
      </w:r>
      <w:r w:rsidR="00801809">
        <w:rPr>
          <w:rFonts w:ascii="Times New Roman" w:hAnsi="Times New Roman" w:cs="Times New Roman"/>
          <w:sz w:val="24"/>
          <w:szCs w:val="24"/>
        </w:rPr>
        <w:t xml:space="preserve">The property guardianship pitch is as follows. </w:t>
      </w:r>
      <w:r w:rsidR="002D6D40">
        <w:rPr>
          <w:rFonts w:ascii="Times New Roman" w:hAnsi="Times New Roman" w:cs="Times New Roman"/>
          <w:sz w:val="24"/>
          <w:szCs w:val="24"/>
        </w:rPr>
        <w:t>Owners of otherwise empty properties can contract with a property guardian company, who in turn arrange for “property guardians” to live in the property for as short or long a period as required. Th</w:t>
      </w:r>
      <w:r w:rsidR="00801809">
        <w:rPr>
          <w:rFonts w:ascii="Times New Roman" w:hAnsi="Times New Roman" w:cs="Times New Roman"/>
          <w:sz w:val="24"/>
          <w:szCs w:val="24"/>
        </w:rPr>
        <w:t>is can lead to significant financial savings</w:t>
      </w:r>
      <w:r w:rsidR="002D6D40">
        <w:rPr>
          <w:rFonts w:ascii="Times New Roman" w:hAnsi="Times New Roman" w:cs="Times New Roman"/>
          <w:sz w:val="24"/>
          <w:szCs w:val="24"/>
        </w:rPr>
        <w:t xml:space="preserve">. </w:t>
      </w:r>
      <w:r w:rsidR="00801809">
        <w:rPr>
          <w:rFonts w:ascii="Times New Roman" w:hAnsi="Times New Roman" w:cs="Times New Roman"/>
          <w:sz w:val="24"/>
          <w:szCs w:val="24"/>
        </w:rPr>
        <w:t>O</w:t>
      </w:r>
      <w:r>
        <w:rPr>
          <w:rFonts w:ascii="Times New Roman" w:hAnsi="Times New Roman" w:cs="Times New Roman"/>
          <w:sz w:val="24"/>
          <w:szCs w:val="24"/>
        </w:rPr>
        <w:t xml:space="preserve">wners of empty commercial properties can avoid the considerable </w:t>
      </w:r>
      <w:r w:rsidR="007557CF">
        <w:rPr>
          <w:rFonts w:ascii="Times New Roman" w:hAnsi="Times New Roman" w:cs="Times New Roman"/>
          <w:sz w:val="24"/>
          <w:szCs w:val="24"/>
        </w:rPr>
        <w:t>expense</w:t>
      </w:r>
      <w:r w:rsidR="00D475FF">
        <w:rPr>
          <w:rFonts w:ascii="Times New Roman" w:hAnsi="Times New Roman" w:cs="Times New Roman"/>
          <w:sz w:val="24"/>
          <w:szCs w:val="24"/>
        </w:rPr>
        <w:t>s associated with</w:t>
      </w:r>
      <w:r>
        <w:rPr>
          <w:rFonts w:ascii="Times New Roman" w:hAnsi="Times New Roman" w:cs="Times New Roman"/>
          <w:sz w:val="24"/>
          <w:szCs w:val="24"/>
        </w:rPr>
        <w:t xml:space="preserve"> securing the building</w:t>
      </w:r>
      <w:r w:rsidR="00801809">
        <w:rPr>
          <w:rFonts w:ascii="Times New Roman" w:hAnsi="Times New Roman" w:cs="Times New Roman"/>
          <w:sz w:val="24"/>
          <w:szCs w:val="24"/>
        </w:rPr>
        <w:t>, and the often even more considerable</w:t>
      </w:r>
      <w:r>
        <w:rPr>
          <w:rFonts w:ascii="Times New Roman" w:hAnsi="Times New Roman" w:cs="Times New Roman"/>
          <w:sz w:val="24"/>
          <w:szCs w:val="24"/>
        </w:rPr>
        <w:t xml:space="preserve"> ongoing liability for non-domestic rates. </w:t>
      </w:r>
      <w:r w:rsidR="0079627F">
        <w:rPr>
          <w:rFonts w:ascii="Times New Roman" w:hAnsi="Times New Roman" w:cs="Times New Roman"/>
          <w:sz w:val="24"/>
          <w:szCs w:val="24"/>
        </w:rPr>
        <w:t xml:space="preserve">In return, property guardians receive low-cost, </w:t>
      </w:r>
      <w:r w:rsidR="007557CF">
        <w:rPr>
          <w:rFonts w:ascii="Times New Roman" w:hAnsi="Times New Roman" w:cs="Times New Roman"/>
          <w:sz w:val="24"/>
          <w:szCs w:val="24"/>
        </w:rPr>
        <w:t>flexible accommodation in “quirky and interesting” properties.</w:t>
      </w:r>
    </w:p>
    <w:p w:rsidR="00B06086" w:rsidRDefault="0048750B" w:rsidP="007F4118">
      <w:pPr>
        <w:jc w:val="both"/>
        <w:rPr>
          <w:rFonts w:ascii="Times New Roman" w:hAnsi="Times New Roman" w:cs="Times New Roman"/>
          <w:sz w:val="24"/>
          <w:szCs w:val="24"/>
        </w:rPr>
      </w:pPr>
      <w:r>
        <w:rPr>
          <w:rFonts w:ascii="Times New Roman" w:hAnsi="Times New Roman" w:cs="Times New Roman"/>
          <w:sz w:val="24"/>
          <w:szCs w:val="24"/>
        </w:rPr>
        <w:t xml:space="preserve">For the owners of Ludgate House in this case, the savings on offer were substantial. </w:t>
      </w:r>
      <w:r w:rsidR="00C57377">
        <w:rPr>
          <w:rFonts w:ascii="Times New Roman" w:hAnsi="Times New Roman" w:cs="Times New Roman"/>
          <w:sz w:val="24"/>
          <w:szCs w:val="24"/>
        </w:rPr>
        <w:t xml:space="preserve">At the time of writing, VPS Ltd – the property guardianship company they contracted – boast about the arrangement as a “case study” </w:t>
      </w:r>
      <w:r w:rsidR="00AD485E">
        <w:rPr>
          <w:rFonts w:ascii="Times New Roman" w:hAnsi="Times New Roman" w:cs="Times New Roman"/>
          <w:sz w:val="24"/>
          <w:szCs w:val="24"/>
        </w:rPr>
        <w:t>of a “b</w:t>
      </w:r>
      <w:r w:rsidR="00AD485E" w:rsidRPr="00AD485E">
        <w:rPr>
          <w:rFonts w:ascii="Times New Roman" w:hAnsi="Times New Roman" w:cs="Times New Roman"/>
          <w:sz w:val="24"/>
          <w:szCs w:val="24"/>
        </w:rPr>
        <w:t>est-practice model</w:t>
      </w:r>
      <w:r w:rsidR="00AD485E">
        <w:rPr>
          <w:rFonts w:ascii="Times New Roman" w:hAnsi="Times New Roman" w:cs="Times New Roman"/>
          <w:sz w:val="24"/>
          <w:szCs w:val="24"/>
        </w:rPr>
        <w:t>”</w:t>
      </w:r>
      <w:r w:rsidR="00AD485E" w:rsidRPr="00AD485E">
        <w:rPr>
          <w:rFonts w:ascii="Times New Roman" w:hAnsi="Times New Roman" w:cs="Times New Roman"/>
          <w:sz w:val="24"/>
          <w:szCs w:val="24"/>
        </w:rPr>
        <w:t xml:space="preserve"> </w:t>
      </w:r>
      <w:r w:rsidR="00C57377">
        <w:rPr>
          <w:rFonts w:ascii="Times New Roman" w:hAnsi="Times New Roman" w:cs="Times New Roman"/>
          <w:sz w:val="24"/>
          <w:szCs w:val="24"/>
        </w:rPr>
        <w:t>on their website.</w:t>
      </w:r>
      <w:r w:rsidR="00C15493">
        <w:rPr>
          <w:rStyle w:val="FootnoteReference"/>
          <w:rFonts w:ascii="Times New Roman" w:hAnsi="Times New Roman" w:cs="Times New Roman"/>
          <w:sz w:val="24"/>
          <w:szCs w:val="24"/>
        </w:rPr>
        <w:footnoteReference w:id="2"/>
      </w:r>
      <w:r w:rsidR="00C57377">
        <w:rPr>
          <w:rFonts w:ascii="Times New Roman" w:hAnsi="Times New Roman" w:cs="Times New Roman"/>
          <w:sz w:val="24"/>
          <w:szCs w:val="24"/>
        </w:rPr>
        <w:t xml:space="preserve">  </w:t>
      </w:r>
      <w:r w:rsidR="00776220">
        <w:rPr>
          <w:rFonts w:ascii="Times New Roman" w:hAnsi="Times New Roman" w:cs="Times New Roman"/>
          <w:sz w:val="24"/>
          <w:szCs w:val="24"/>
        </w:rPr>
        <w:t>As an 11-story</w:t>
      </w:r>
      <w:r w:rsidR="00795DB9">
        <w:rPr>
          <w:rFonts w:ascii="Times New Roman" w:hAnsi="Times New Roman" w:cs="Times New Roman"/>
          <w:sz w:val="24"/>
          <w:szCs w:val="24"/>
        </w:rPr>
        <w:t>, 173,633 square foot</w:t>
      </w:r>
      <w:r w:rsidR="00776220">
        <w:rPr>
          <w:rFonts w:ascii="Times New Roman" w:hAnsi="Times New Roman" w:cs="Times New Roman"/>
          <w:sz w:val="24"/>
          <w:szCs w:val="24"/>
        </w:rPr>
        <w:t xml:space="preserve"> </w:t>
      </w:r>
      <w:r w:rsidR="00733A18">
        <w:rPr>
          <w:rFonts w:ascii="Times New Roman" w:hAnsi="Times New Roman" w:cs="Times New Roman"/>
          <w:sz w:val="24"/>
          <w:szCs w:val="24"/>
        </w:rPr>
        <w:t xml:space="preserve">office </w:t>
      </w:r>
      <w:r w:rsidR="00776220">
        <w:rPr>
          <w:rFonts w:ascii="Times New Roman" w:hAnsi="Times New Roman" w:cs="Times New Roman"/>
          <w:sz w:val="24"/>
          <w:szCs w:val="24"/>
        </w:rPr>
        <w:t>building in central London, the non-domestic r</w:t>
      </w:r>
      <w:r w:rsidR="00F653D2">
        <w:rPr>
          <w:rFonts w:ascii="Times New Roman" w:hAnsi="Times New Roman" w:cs="Times New Roman"/>
          <w:sz w:val="24"/>
          <w:szCs w:val="24"/>
        </w:rPr>
        <w:t>ates</w:t>
      </w:r>
      <w:r w:rsidR="00776220">
        <w:rPr>
          <w:rFonts w:ascii="Times New Roman" w:hAnsi="Times New Roman" w:cs="Times New Roman"/>
          <w:sz w:val="24"/>
          <w:szCs w:val="24"/>
        </w:rPr>
        <w:t xml:space="preserve"> it attracted were </w:t>
      </w:r>
      <w:r w:rsidR="00CE0FF0">
        <w:rPr>
          <w:rFonts w:ascii="Times New Roman" w:hAnsi="Times New Roman" w:cs="Times New Roman"/>
          <w:sz w:val="24"/>
          <w:szCs w:val="24"/>
        </w:rPr>
        <w:t>significant</w:t>
      </w:r>
      <w:r w:rsidR="00776220">
        <w:rPr>
          <w:rFonts w:ascii="Times New Roman" w:hAnsi="Times New Roman" w:cs="Times New Roman"/>
          <w:sz w:val="24"/>
          <w:szCs w:val="24"/>
        </w:rPr>
        <w:t>: the owners were seeking to mitigate an annual non-domestic rates bill of £2.25 million ahead of a major development project commencin</w:t>
      </w:r>
      <w:r w:rsidR="00297109">
        <w:rPr>
          <w:rFonts w:ascii="Times New Roman" w:hAnsi="Times New Roman" w:cs="Times New Roman"/>
          <w:sz w:val="24"/>
          <w:szCs w:val="24"/>
        </w:rPr>
        <w:t xml:space="preserve">g </w:t>
      </w:r>
      <w:bookmarkStart w:id="0" w:name="_GoBack"/>
      <w:bookmarkEnd w:id="0"/>
      <w:r w:rsidR="00CE0FF0">
        <w:rPr>
          <w:rFonts w:ascii="Times New Roman" w:hAnsi="Times New Roman" w:cs="Times New Roman"/>
          <w:sz w:val="24"/>
          <w:szCs w:val="24"/>
        </w:rPr>
        <w:t>in two years’ time</w:t>
      </w:r>
      <w:r w:rsidR="00297109">
        <w:rPr>
          <w:rFonts w:ascii="Times New Roman" w:hAnsi="Times New Roman" w:cs="Times New Roman"/>
          <w:sz w:val="24"/>
          <w:szCs w:val="24"/>
        </w:rPr>
        <w:t>. VPS</w:t>
      </w:r>
      <w:r w:rsidR="00776220">
        <w:rPr>
          <w:rFonts w:ascii="Times New Roman" w:hAnsi="Times New Roman" w:cs="Times New Roman"/>
          <w:sz w:val="24"/>
          <w:szCs w:val="24"/>
        </w:rPr>
        <w:t xml:space="preserve"> secur</w:t>
      </w:r>
      <w:r w:rsidR="00297109">
        <w:rPr>
          <w:rFonts w:ascii="Times New Roman" w:hAnsi="Times New Roman" w:cs="Times New Roman"/>
          <w:sz w:val="24"/>
          <w:szCs w:val="24"/>
        </w:rPr>
        <w:t>ed</w:t>
      </w:r>
      <w:r w:rsidR="00776220">
        <w:rPr>
          <w:rFonts w:ascii="Times New Roman" w:hAnsi="Times New Roman" w:cs="Times New Roman"/>
          <w:sz w:val="24"/>
          <w:szCs w:val="24"/>
        </w:rPr>
        <w:t xml:space="preserve"> the building </w:t>
      </w:r>
      <w:r w:rsidR="00297109">
        <w:rPr>
          <w:rFonts w:ascii="Times New Roman" w:hAnsi="Times New Roman" w:cs="Times New Roman"/>
          <w:sz w:val="24"/>
          <w:szCs w:val="24"/>
        </w:rPr>
        <w:t>with “s</w:t>
      </w:r>
      <w:r w:rsidR="00297109" w:rsidRPr="00297109">
        <w:rPr>
          <w:rFonts w:ascii="Times New Roman" w:hAnsi="Times New Roman" w:cs="Times New Roman"/>
          <w:sz w:val="24"/>
          <w:szCs w:val="24"/>
        </w:rPr>
        <w:t>ecurit</w:t>
      </w:r>
      <w:r w:rsidR="00297109">
        <w:rPr>
          <w:rFonts w:ascii="Times New Roman" w:hAnsi="Times New Roman" w:cs="Times New Roman"/>
          <w:sz w:val="24"/>
          <w:szCs w:val="24"/>
        </w:rPr>
        <w:t>y technologies”, “a concierge” and live-in guardians, including “a</w:t>
      </w:r>
      <w:r w:rsidR="00297109" w:rsidRPr="00297109">
        <w:rPr>
          <w:rFonts w:ascii="Times New Roman" w:hAnsi="Times New Roman" w:cs="Times New Roman"/>
          <w:sz w:val="24"/>
          <w:szCs w:val="24"/>
        </w:rPr>
        <w:t>n A&amp;E nurse, a doctor, a West End actor, hairdressers, costume designers and photographers</w:t>
      </w:r>
      <w:r w:rsidR="00297109">
        <w:rPr>
          <w:rFonts w:ascii="Times New Roman" w:hAnsi="Times New Roman" w:cs="Times New Roman"/>
          <w:sz w:val="24"/>
          <w:szCs w:val="24"/>
        </w:rPr>
        <w:t>”.</w:t>
      </w:r>
    </w:p>
    <w:p w:rsidR="00297109" w:rsidRDefault="00297109" w:rsidP="007F4118">
      <w:pPr>
        <w:jc w:val="both"/>
        <w:rPr>
          <w:rFonts w:ascii="Times New Roman" w:hAnsi="Times New Roman" w:cs="Times New Roman"/>
          <w:sz w:val="24"/>
          <w:szCs w:val="24"/>
        </w:rPr>
      </w:pPr>
      <w:r>
        <w:rPr>
          <w:rFonts w:ascii="Times New Roman" w:hAnsi="Times New Roman" w:cs="Times New Roman"/>
          <w:sz w:val="24"/>
          <w:szCs w:val="24"/>
        </w:rPr>
        <w:t xml:space="preserve">The figures </w:t>
      </w:r>
      <w:r w:rsidR="000C516F">
        <w:rPr>
          <w:rFonts w:ascii="Times New Roman" w:hAnsi="Times New Roman" w:cs="Times New Roman"/>
          <w:sz w:val="24"/>
          <w:szCs w:val="24"/>
        </w:rPr>
        <w:t xml:space="preserve">provided in this “case study” </w:t>
      </w:r>
      <w:r>
        <w:rPr>
          <w:rFonts w:ascii="Times New Roman" w:hAnsi="Times New Roman" w:cs="Times New Roman"/>
          <w:sz w:val="24"/>
          <w:szCs w:val="24"/>
        </w:rPr>
        <w:t>demonstrate the</w:t>
      </w:r>
      <w:r w:rsidR="000C516F">
        <w:rPr>
          <w:rFonts w:ascii="Times New Roman" w:hAnsi="Times New Roman" w:cs="Times New Roman"/>
          <w:sz w:val="24"/>
          <w:szCs w:val="24"/>
        </w:rPr>
        <w:t xml:space="preserve"> extent of savings this</w:t>
      </w:r>
      <w:r>
        <w:rPr>
          <w:rFonts w:ascii="Times New Roman" w:hAnsi="Times New Roman" w:cs="Times New Roman"/>
          <w:sz w:val="24"/>
          <w:szCs w:val="24"/>
        </w:rPr>
        <w:t xml:space="preserve"> win-win proposition </w:t>
      </w:r>
      <w:r w:rsidR="000C516F">
        <w:rPr>
          <w:rFonts w:ascii="Times New Roman" w:hAnsi="Times New Roman" w:cs="Times New Roman"/>
          <w:sz w:val="24"/>
          <w:szCs w:val="24"/>
        </w:rPr>
        <w:t xml:space="preserve">heralded for </w:t>
      </w:r>
      <w:r>
        <w:rPr>
          <w:rFonts w:ascii="Times New Roman" w:hAnsi="Times New Roman" w:cs="Times New Roman"/>
          <w:sz w:val="24"/>
          <w:szCs w:val="24"/>
        </w:rPr>
        <w:t>developers and</w:t>
      </w:r>
      <w:r w:rsidR="004F47AF">
        <w:rPr>
          <w:rFonts w:ascii="Times New Roman" w:hAnsi="Times New Roman" w:cs="Times New Roman"/>
          <w:sz w:val="24"/>
          <w:szCs w:val="24"/>
        </w:rPr>
        <w:t xml:space="preserve"> the</w:t>
      </w:r>
      <w:r>
        <w:rPr>
          <w:rFonts w:ascii="Times New Roman" w:hAnsi="Times New Roman" w:cs="Times New Roman"/>
          <w:sz w:val="24"/>
          <w:szCs w:val="24"/>
        </w:rPr>
        <w:t xml:space="preserve"> guardians</w:t>
      </w:r>
      <w:r w:rsidR="004F47AF">
        <w:rPr>
          <w:rFonts w:ascii="Times New Roman" w:hAnsi="Times New Roman" w:cs="Times New Roman"/>
          <w:sz w:val="24"/>
          <w:szCs w:val="24"/>
        </w:rPr>
        <w:t xml:space="preserve"> themselves</w:t>
      </w:r>
      <w:r>
        <w:rPr>
          <w:rFonts w:ascii="Times New Roman" w:hAnsi="Times New Roman" w:cs="Times New Roman"/>
          <w:sz w:val="24"/>
          <w:szCs w:val="24"/>
        </w:rPr>
        <w:t>. The owners of Ludgate House paid £60,000 per annum in council tax – avoiding the £2.25 million in non-domestic rates altogether – while securing the property</w:t>
      </w:r>
      <w:r w:rsidR="00160EAA">
        <w:rPr>
          <w:rFonts w:ascii="Times New Roman" w:hAnsi="Times New Roman" w:cs="Times New Roman"/>
          <w:sz w:val="24"/>
          <w:szCs w:val="24"/>
        </w:rPr>
        <w:t xml:space="preserve"> via continuous guardian occupation</w:t>
      </w:r>
      <w:r>
        <w:rPr>
          <w:rFonts w:ascii="Times New Roman" w:hAnsi="Times New Roman" w:cs="Times New Roman"/>
          <w:sz w:val="24"/>
          <w:szCs w:val="24"/>
        </w:rPr>
        <w:t xml:space="preserve">. </w:t>
      </w:r>
      <w:r w:rsidR="004E169C">
        <w:rPr>
          <w:rFonts w:ascii="Times New Roman" w:hAnsi="Times New Roman" w:cs="Times New Roman"/>
          <w:sz w:val="24"/>
          <w:szCs w:val="24"/>
        </w:rPr>
        <w:t xml:space="preserve">The property </w:t>
      </w:r>
      <w:r w:rsidR="004E169C">
        <w:rPr>
          <w:rFonts w:ascii="Times New Roman" w:hAnsi="Times New Roman" w:cs="Times New Roman"/>
          <w:sz w:val="24"/>
          <w:szCs w:val="24"/>
        </w:rPr>
        <w:lastRenderedPageBreak/>
        <w:t xml:space="preserve">guardians themselves paid </w:t>
      </w:r>
      <w:r w:rsidR="00A30B2F">
        <w:rPr>
          <w:rFonts w:ascii="Times New Roman" w:hAnsi="Times New Roman" w:cs="Times New Roman"/>
          <w:sz w:val="24"/>
          <w:szCs w:val="24"/>
        </w:rPr>
        <w:t xml:space="preserve">£550 per month in licence fees, inclusive </w:t>
      </w:r>
      <w:r w:rsidR="009A6D16">
        <w:rPr>
          <w:rFonts w:ascii="Times New Roman" w:hAnsi="Times New Roman" w:cs="Times New Roman"/>
          <w:sz w:val="24"/>
          <w:szCs w:val="24"/>
        </w:rPr>
        <w:t xml:space="preserve">of bills, as compared to a market rent for </w:t>
      </w:r>
      <w:r w:rsidR="00E754FE">
        <w:rPr>
          <w:rFonts w:ascii="Times New Roman" w:hAnsi="Times New Roman" w:cs="Times New Roman"/>
          <w:sz w:val="24"/>
          <w:szCs w:val="24"/>
        </w:rPr>
        <w:t xml:space="preserve">a </w:t>
      </w:r>
      <w:r w:rsidR="009A6D16">
        <w:rPr>
          <w:rFonts w:ascii="Times New Roman" w:hAnsi="Times New Roman" w:cs="Times New Roman"/>
          <w:sz w:val="24"/>
          <w:szCs w:val="24"/>
        </w:rPr>
        <w:t>studio</w:t>
      </w:r>
      <w:r w:rsidR="00E754FE">
        <w:rPr>
          <w:rFonts w:ascii="Times New Roman" w:hAnsi="Times New Roman" w:cs="Times New Roman"/>
          <w:sz w:val="24"/>
          <w:szCs w:val="24"/>
        </w:rPr>
        <w:t xml:space="preserve"> in the locality</w:t>
      </w:r>
      <w:r w:rsidR="009A6D16">
        <w:rPr>
          <w:rFonts w:ascii="Times New Roman" w:hAnsi="Times New Roman" w:cs="Times New Roman"/>
          <w:sz w:val="24"/>
          <w:szCs w:val="24"/>
        </w:rPr>
        <w:t xml:space="preserve"> of </w:t>
      </w:r>
      <w:r w:rsidR="00E754FE">
        <w:rPr>
          <w:rFonts w:ascii="Times New Roman" w:hAnsi="Times New Roman" w:cs="Times New Roman"/>
          <w:sz w:val="24"/>
          <w:szCs w:val="24"/>
        </w:rPr>
        <w:t>£997</w:t>
      </w:r>
      <w:r w:rsidR="009A6D16">
        <w:rPr>
          <w:rFonts w:ascii="Times New Roman" w:hAnsi="Times New Roman" w:cs="Times New Roman"/>
          <w:sz w:val="24"/>
          <w:szCs w:val="24"/>
        </w:rPr>
        <w:t xml:space="preserve"> per month.</w:t>
      </w:r>
    </w:p>
    <w:p w:rsidR="009A6D16" w:rsidRDefault="00487219" w:rsidP="007F4118">
      <w:pPr>
        <w:jc w:val="both"/>
        <w:rPr>
          <w:rFonts w:ascii="Times New Roman" w:hAnsi="Times New Roman" w:cs="Times New Roman"/>
          <w:sz w:val="24"/>
          <w:szCs w:val="24"/>
        </w:rPr>
      </w:pPr>
      <w:r>
        <w:rPr>
          <w:rFonts w:ascii="Times New Roman" w:hAnsi="Times New Roman" w:cs="Times New Roman"/>
          <w:sz w:val="24"/>
          <w:szCs w:val="24"/>
        </w:rPr>
        <w:t xml:space="preserve">The decision in </w:t>
      </w:r>
      <w:r>
        <w:rPr>
          <w:rFonts w:ascii="Times New Roman" w:hAnsi="Times New Roman" w:cs="Times New Roman"/>
          <w:i/>
          <w:sz w:val="24"/>
          <w:szCs w:val="24"/>
        </w:rPr>
        <w:t xml:space="preserve">Ludgate </w:t>
      </w:r>
      <w:r>
        <w:rPr>
          <w:rFonts w:ascii="Times New Roman" w:hAnsi="Times New Roman" w:cs="Times New Roman"/>
          <w:sz w:val="24"/>
          <w:szCs w:val="24"/>
        </w:rPr>
        <w:t xml:space="preserve">interrogates the reality of this “best practice model”. </w:t>
      </w:r>
      <w:r w:rsidR="002F46E9">
        <w:rPr>
          <w:rFonts w:ascii="Times New Roman" w:hAnsi="Times New Roman" w:cs="Times New Roman"/>
          <w:sz w:val="24"/>
          <w:szCs w:val="24"/>
        </w:rPr>
        <w:t xml:space="preserve">At the first instance, </w:t>
      </w:r>
      <w:r w:rsidR="00222B47">
        <w:rPr>
          <w:rFonts w:ascii="Times New Roman" w:hAnsi="Times New Roman" w:cs="Times New Roman"/>
          <w:sz w:val="24"/>
          <w:szCs w:val="24"/>
        </w:rPr>
        <w:t>the Valuation Tribunal had upheld Southwark’s efforts to charge non-domestic rates to the building owner. The UKUT allowed the building owner’s appeal, concluding that each property guardian room was its own hereditament and liable for domestic rates. On appeal to the EWCA, i</w:t>
      </w:r>
      <w:r w:rsidR="00496405">
        <w:rPr>
          <w:rFonts w:ascii="Times New Roman" w:hAnsi="Times New Roman" w:cs="Times New Roman"/>
          <w:sz w:val="24"/>
          <w:szCs w:val="24"/>
        </w:rPr>
        <w:t xml:space="preserve">n concluding that the building owners remained liable for non-domestic rates, the court undermines a core component of the “win-win” property guardianship proposition. After outlining the legal issue at play and the judgment of the court, this </w:t>
      </w:r>
      <w:r w:rsidR="00DD76FD">
        <w:rPr>
          <w:rFonts w:ascii="Times New Roman" w:hAnsi="Times New Roman" w:cs="Times New Roman"/>
          <w:sz w:val="24"/>
          <w:szCs w:val="24"/>
        </w:rPr>
        <w:t>note</w:t>
      </w:r>
      <w:r w:rsidR="00496405">
        <w:rPr>
          <w:rFonts w:ascii="Times New Roman" w:hAnsi="Times New Roman" w:cs="Times New Roman"/>
          <w:sz w:val="24"/>
          <w:szCs w:val="24"/>
        </w:rPr>
        <w:t xml:space="preserve"> considers two further issues: the inherent irony in </w:t>
      </w:r>
      <w:r w:rsidR="00FE203B">
        <w:rPr>
          <w:rFonts w:ascii="Times New Roman" w:hAnsi="Times New Roman" w:cs="Times New Roman"/>
          <w:sz w:val="24"/>
          <w:szCs w:val="24"/>
        </w:rPr>
        <w:t xml:space="preserve">the </w:t>
      </w:r>
      <w:r w:rsidR="00496405">
        <w:rPr>
          <w:rFonts w:ascii="Times New Roman" w:hAnsi="Times New Roman" w:cs="Times New Roman"/>
          <w:sz w:val="24"/>
          <w:szCs w:val="24"/>
        </w:rPr>
        <w:t xml:space="preserve">Janus-face representation of guardianship occupation, and the insight the judgment provides </w:t>
      </w:r>
      <w:r w:rsidR="005F7BB9">
        <w:rPr>
          <w:rFonts w:ascii="Times New Roman" w:hAnsi="Times New Roman" w:cs="Times New Roman"/>
          <w:sz w:val="24"/>
          <w:szCs w:val="24"/>
        </w:rPr>
        <w:t>in</w:t>
      </w:r>
      <w:r w:rsidR="008E64DC">
        <w:rPr>
          <w:rFonts w:ascii="Times New Roman" w:hAnsi="Times New Roman" w:cs="Times New Roman"/>
          <w:sz w:val="24"/>
          <w:szCs w:val="24"/>
        </w:rPr>
        <w:t>to the reality of occupation</w:t>
      </w:r>
      <w:r w:rsidR="00496405">
        <w:rPr>
          <w:rFonts w:ascii="Times New Roman" w:hAnsi="Times New Roman" w:cs="Times New Roman"/>
          <w:sz w:val="24"/>
          <w:szCs w:val="24"/>
        </w:rPr>
        <w:t xml:space="preserve"> in the property guardianship sector.</w:t>
      </w:r>
    </w:p>
    <w:p w:rsidR="006615D3" w:rsidRDefault="00705774" w:rsidP="007F4118">
      <w:pPr>
        <w:jc w:val="both"/>
        <w:rPr>
          <w:rFonts w:ascii="Times New Roman" w:hAnsi="Times New Roman" w:cs="Times New Roman"/>
          <w:b/>
          <w:sz w:val="24"/>
          <w:szCs w:val="24"/>
        </w:rPr>
      </w:pPr>
      <w:r>
        <w:rPr>
          <w:rFonts w:ascii="Times New Roman" w:hAnsi="Times New Roman" w:cs="Times New Roman"/>
          <w:b/>
          <w:sz w:val="24"/>
          <w:szCs w:val="24"/>
        </w:rPr>
        <w:t>The issue</w:t>
      </w:r>
    </w:p>
    <w:p w:rsidR="00DE7C6F" w:rsidRDefault="00FB7F7A" w:rsidP="008B5EF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legal question facing the court was whether the guardians were themselves occupying individual hereditaments for rating purposes (i.e.</w:t>
      </w:r>
      <w:r w:rsidR="00385171">
        <w:rPr>
          <w:rFonts w:ascii="Times New Roman" w:hAnsi="Times New Roman" w:cs="Times New Roman"/>
          <w:color w:val="000000"/>
          <w:sz w:val="24"/>
          <w:szCs w:val="24"/>
        </w:rPr>
        <w:t xml:space="preserve"> if</w:t>
      </w:r>
      <w:r>
        <w:rPr>
          <w:rFonts w:ascii="Times New Roman" w:hAnsi="Times New Roman" w:cs="Times New Roman"/>
          <w:color w:val="000000"/>
          <w:sz w:val="24"/>
          <w:szCs w:val="24"/>
        </w:rPr>
        <w:t xml:space="preserve"> they were all individually liable for council tax), or whether the nature of their occupation did not create such individual hereditaments and therefore the building owners remained liable for </w:t>
      </w:r>
      <w:r w:rsidR="006A661E">
        <w:rPr>
          <w:rFonts w:ascii="Times New Roman" w:hAnsi="Times New Roman" w:cs="Times New Roman"/>
          <w:color w:val="000000"/>
          <w:sz w:val="24"/>
          <w:szCs w:val="24"/>
        </w:rPr>
        <w:t xml:space="preserve">the significant </w:t>
      </w:r>
      <w:r>
        <w:rPr>
          <w:rFonts w:ascii="Times New Roman" w:hAnsi="Times New Roman" w:cs="Times New Roman"/>
          <w:color w:val="000000"/>
          <w:sz w:val="24"/>
          <w:szCs w:val="24"/>
        </w:rPr>
        <w:t>non-domes</w:t>
      </w:r>
      <w:r w:rsidR="006F4547">
        <w:rPr>
          <w:rFonts w:ascii="Times New Roman" w:hAnsi="Times New Roman" w:cs="Times New Roman"/>
          <w:color w:val="000000"/>
          <w:sz w:val="24"/>
          <w:szCs w:val="24"/>
        </w:rPr>
        <w:t>tic rates</w:t>
      </w:r>
      <w:r w:rsidR="006A661E">
        <w:rPr>
          <w:rFonts w:ascii="Times New Roman" w:hAnsi="Times New Roman" w:cs="Times New Roman"/>
          <w:color w:val="000000"/>
          <w:sz w:val="24"/>
          <w:szCs w:val="24"/>
        </w:rPr>
        <w:t xml:space="preserve"> bill</w:t>
      </w:r>
      <w:r w:rsidR="006F4547">
        <w:rPr>
          <w:rFonts w:ascii="Times New Roman" w:hAnsi="Times New Roman" w:cs="Times New Roman"/>
          <w:color w:val="000000"/>
          <w:sz w:val="24"/>
          <w:szCs w:val="24"/>
        </w:rPr>
        <w:t>. This turns on two-interlinked elements: one cartographical (effectively, as the court puts it, whether one can “draw a continuous red line around it on a plan”</w:t>
      </w:r>
      <w:r w:rsidR="00990780">
        <w:rPr>
          <w:rStyle w:val="FootnoteReference"/>
          <w:rFonts w:ascii="Times New Roman" w:hAnsi="Times New Roman" w:cs="Times New Roman"/>
          <w:color w:val="000000"/>
          <w:sz w:val="24"/>
          <w:szCs w:val="24"/>
        </w:rPr>
        <w:footnoteReference w:id="3"/>
      </w:r>
      <w:r w:rsidR="006F4547">
        <w:rPr>
          <w:rFonts w:ascii="Times New Roman" w:hAnsi="Times New Roman" w:cs="Times New Roman"/>
          <w:color w:val="000000"/>
          <w:sz w:val="24"/>
          <w:szCs w:val="24"/>
        </w:rPr>
        <w:t xml:space="preserve">), and another on the nature of the occupation. </w:t>
      </w:r>
      <w:r w:rsidR="007A6991">
        <w:rPr>
          <w:rFonts w:ascii="Times New Roman" w:hAnsi="Times New Roman" w:cs="Times New Roman"/>
          <w:color w:val="000000"/>
          <w:sz w:val="24"/>
          <w:szCs w:val="24"/>
        </w:rPr>
        <w:t xml:space="preserve">The UKUT had concluded that </w:t>
      </w:r>
      <w:r w:rsidR="00831478">
        <w:rPr>
          <w:rFonts w:ascii="Times New Roman" w:hAnsi="Times New Roman" w:cs="Times New Roman"/>
          <w:color w:val="000000"/>
          <w:sz w:val="24"/>
          <w:szCs w:val="24"/>
        </w:rPr>
        <w:t>individual</w:t>
      </w:r>
      <w:r w:rsidR="007A6991">
        <w:rPr>
          <w:rFonts w:ascii="Times New Roman" w:hAnsi="Times New Roman" w:cs="Times New Roman"/>
          <w:color w:val="000000"/>
          <w:sz w:val="24"/>
          <w:szCs w:val="24"/>
        </w:rPr>
        <w:t xml:space="preserve"> rooms occupied by guardians were capable of satisfying the test, and there was no appeal to this decision</w:t>
      </w:r>
      <w:r w:rsidR="00A35321">
        <w:rPr>
          <w:rFonts w:ascii="Times New Roman" w:hAnsi="Times New Roman" w:cs="Times New Roman"/>
          <w:color w:val="000000"/>
          <w:sz w:val="24"/>
          <w:szCs w:val="24"/>
        </w:rPr>
        <w:t xml:space="preserve"> at the EWCA</w:t>
      </w:r>
      <w:r w:rsidR="007A6991">
        <w:rPr>
          <w:rFonts w:ascii="Times New Roman" w:hAnsi="Times New Roman" w:cs="Times New Roman"/>
          <w:color w:val="000000"/>
          <w:sz w:val="24"/>
          <w:szCs w:val="24"/>
        </w:rPr>
        <w:t>.</w:t>
      </w:r>
      <w:r w:rsidR="007A6991">
        <w:rPr>
          <w:rStyle w:val="FootnoteReference"/>
          <w:rFonts w:ascii="Times New Roman" w:hAnsi="Times New Roman" w:cs="Times New Roman"/>
          <w:color w:val="000000"/>
          <w:sz w:val="24"/>
          <w:szCs w:val="24"/>
        </w:rPr>
        <w:footnoteReference w:id="4"/>
      </w:r>
      <w:r w:rsidR="007A6991">
        <w:rPr>
          <w:rFonts w:ascii="Times New Roman" w:hAnsi="Times New Roman" w:cs="Times New Roman"/>
          <w:color w:val="000000"/>
          <w:sz w:val="24"/>
          <w:szCs w:val="24"/>
        </w:rPr>
        <w:t xml:space="preserve"> </w:t>
      </w:r>
    </w:p>
    <w:p w:rsidR="00DE7C6F" w:rsidRDefault="00DE7C6F" w:rsidP="008B5EFB">
      <w:pPr>
        <w:autoSpaceDE w:val="0"/>
        <w:autoSpaceDN w:val="0"/>
        <w:adjustRightInd w:val="0"/>
        <w:spacing w:after="0" w:line="240" w:lineRule="auto"/>
        <w:jc w:val="both"/>
        <w:rPr>
          <w:rFonts w:ascii="Times New Roman" w:hAnsi="Times New Roman" w:cs="Times New Roman"/>
          <w:color w:val="000000"/>
          <w:sz w:val="24"/>
          <w:szCs w:val="24"/>
        </w:rPr>
      </w:pPr>
    </w:p>
    <w:p w:rsidR="006F4547" w:rsidRDefault="00DE7C6F" w:rsidP="0077055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To answer the latter, the court reiterated as series of “ingredients” that have informed such assessments in previous cases. The core overarching principle, laid out in </w:t>
      </w:r>
      <w:r w:rsidRPr="00DE7C6F">
        <w:rPr>
          <w:rFonts w:ascii="Times New Roman" w:hAnsi="Times New Roman" w:cs="Times New Roman"/>
          <w:i/>
          <w:color w:val="000000"/>
          <w:sz w:val="24"/>
          <w:szCs w:val="24"/>
        </w:rPr>
        <w:t>John Laing &amp; Son Ltd v Assessment Committee for Kingswood Assessment Area</w:t>
      </w:r>
      <w:r w:rsidRPr="00DE7C6F">
        <w:rPr>
          <w:rFonts w:ascii="Times New Roman" w:hAnsi="Times New Roman" w:cs="Times New Roman"/>
          <w:color w:val="000000"/>
          <w:sz w:val="24"/>
          <w:szCs w:val="24"/>
        </w:rPr>
        <w:t xml:space="preserve"> [1949] 1 KB 344</w:t>
      </w:r>
      <w:r>
        <w:rPr>
          <w:rFonts w:ascii="Times New Roman" w:hAnsi="Times New Roman" w:cs="Times New Roman"/>
          <w:color w:val="000000"/>
          <w:sz w:val="24"/>
          <w:szCs w:val="24"/>
        </w:rPr>
        <w:t xml:space="preserve"> and </w:t>
      </w:r>
      <w:r w:rsidR="00814CB4">
        <w:rPr>
          <w:rFonts w:ascii="Times New Roman" w:hAnsi="Times New Roman" w:cs="Times New Roman"/>
          <w:color w:val="000000"/>
          <w:sz w:val="24"/>
          <w:szCs w:val="24"/>
        </w:rPr>
        <w:t xml:space="preserve">endorsed </w:t>
      </w:r>
      <w:r>
        <w:rPr>
          <w:rFonts w:ascii="Times New Roman" w:hAnsi="Times New Roman" w:cs="Times New Roman"/>
          <w:color w:val="000000"/>
          <w:sz w:val="24"/>
          <w:szCs w:val="24"/>
        </w:rPr>
        <w:t>elsewhere, is that rateable occupation can turn on the terms of the contract</w:t>
      </w:r>
      <w:r w:rsidR="00770556">
        <w:rPr>
          <w:rFonts w:ascii="Times New Roman" w:hAnsi="Times New Roman" w:cs="Times New Roman"/>
          <w:color w:val="000000"/>
          <w:sz w:val="24"/>
          <w:szCs w:val="24"/>
        </w:rPr>
        <w:t>ual</w:t>
      </w:r>
      <w:r>
        <w:rPr>
          <w:rFonts w:ascii="Times New Roman" w:hAnsi="Times New Roman" w:cs="Times New Roman"/>
          <w:color w:val="000000"/>
          <w:sz w:val="24"/>
          <w:szCs w:val="24"/>
        </w:rPr>
        <w:t xml:space="preserve"> arrangement between the occupier and the building owner. This includes the following questions:</w:t>
      </w:r>
    </w:p>
    <w:p w:rsidR="00DE7C6F" w:rsidRDefault="00DE7C6F" w:rsidP="004F3B4E">
      <w:pPr>
        <w:autoSpaceDE w:val="0"/>
        <w:autoSpaceDN w:val="0"/>
        <w:adjustRightInd w:val="0"/>
        <w:spacing w:after="0" w:line="240" w:lineRule="auto"/>
        <w:rPr>
          <w:rFonts w:ascii="Times New Roman" w:hAnsi="Times New Roman" w:cs="Times New Roman"/>
          <w:color w:val="000000"/>
          <w:sz w:val="24"/>
          <w:szCs w:val="24"/>
        </w:rPr>
      </w:pPr>
    </w:p>
    <w:p w:rsidR="00DE7C6F" w:rsidRPr="00540B66" w:rsidRDefault="00DE7C6F" w:rsidP="00540B6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540B66">
        <w:rPr>
          <w:rFonts w:ascii="Times New Roman" w:hAnsi="Times New Roman" w:cs="Times New Roman"/>
          <w:color w:val="000000"/>
          <w:sz w:val="24"/>
          <w:szCs w:val="24"/>
        </w:rPr>
        <w:t>Is there actual occupation that is exclusive for the particular purposes of the possessor?</w:t>
      </w:r>
    </w:p>
    <w:p w:rsidR="00DE7C6F" w:rsidRDefault="00DE7C6F" w:rsidP="00DE7C6F">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Is the possession of some value or benefit to the possessor?</w:t>
      </w:r>
    </w:p>
    <w:p w:rsidR="00DE7C6F" w:rsidRDefault="00DE7C6F" w:rsidP="00DE7C6F">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Is the period of possession not for too transient a period?</w:t>
      </w:r>
      <w:r w:rsidR="00792952">
        <w:rPr>
          <w:rStyle w:val="FootnoteReference"/>
          <w:rFonts w:ascii="Times New Roman" w:hAnsi="Times New Roman" w:cs="Times New Roman"/>
          <w:color w:val="000000"/>
          <w:sz w:val="24"/>
          <w:szCs w:val="24"/>
        </w:rPr>
        <w:footnoteReference w:id="5"/>
      </w:r>
    </w:p>
    <w:p w:rsidR="00DE7C6F" w:rsidRDefault="00DE7C6F" w:rsidP="00DE7C6F">
      <w:pPr>
        <w:autoSpaceDE w:val="0"/>
        <w:autoSpaceDN w:val="0"/>
        <w:adjustRightInd w:val="0"/>
        <w:spacing w:after="0" w:line="240" w:lineRule="auto"/>
        <w:rPr>
          <w:rFonts w:ascii="Times New Roman" w:hAnsi="Times New Roman" w:cs="Times New Roman"/>
          <w:color w:val="000000"/>
          <w:sz w:val="24"/>
          <w:szCs w:val="24"/>
        </w:rPr>
      </w:pPr>
    </w:p>
    <w:p w:rsidR="00A04984" w:rsidRPr="00DE7C6F" w:rsidRDefault="00792952" w:rsidP="00C150E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Answering “yes” </w:t>
      </w:r>
      <w:r w:rsidR="00540B66">
        <w:rPr>
          <w:rFonts w:ascii="Times New Roman" w:hAnsi="Times New Roman" w:cs="Times New Roman"/>
          <w:color w:val="000000"/>
          <w:sz w:val="24"/>
          <w:szCs w:val="24"/>
        </w:rPr>
        <w:t xml:space="preserve">to </w:t>
      </w:r>
      <w:r w:rsidR="00A04984">
        <w:rPr>
          <w:rFonts w:ascii="Times New Roman" w:hAnsi="Times New Roman" w:cs="Times New Roman"/>
          <w:color w:val="000000"/>
          <w:sz w:val="24"/>
          <w:szCs w:val="24"/>
        </w:rPr>
        <w:t>all</w:t>
      </w:r>
      <w:r w:rsidR="00540B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would indicate rateable occupation. </w:t>
      </w:r>
      <w:r w:rsidR="00E163EA">
        <w:rPr>
          <w:rFonts w:ascii="Times New Roman" w:hAnsi="Times New Roman" w:cs="Times New Roman"/>
          <w:color w:val="000000"/>
          <w:sz w:val="24"/>
          <w:szCs w:val="24"/>
        </w:rPr>
        <w:t xml:space="preserve">The questions are in the spirit of what could be termed the “lodger principle”: where someone in possession of a property gives another non-exclusive possession of a part of their premises, they do not cease to become liable for rates. </w:t>
      </w:r>
      <w:r w:rsidR="00540B66">
        <w:rPr>
          <w:rFonts w:ascii="Times New Roman" w:hAnsi="Times New Roman" w:cs="Times New Roman"/>
          <w:color w:val="000000"/>
          <w:sz w:val="24"/>
          <w:szCs w:val="24"/>
        </w:rPr>
        <w:t>In the context of property guardianship, it was (</w:t>
      </w:r>
      <w:proofErr w:type="spellStart"/>
      <w:r w:rsidR="00540B66">
        <w:rPr>
          <w:rFonts w:ascii="Times New Roman" w:hAnsi="Times New Roman" w:cs="Times New Roman"/>
          <w:color w:val="000000"/>
          <w:sz w:val="24"/>
          <w:szCs w:val="24"/>
        </w:rPr>
        <w:t>i</w:t>
      </w:r>
      <w:proofErr w:type="spellEnd"/>
      <w:r w:rsidR="00540B66">
        <w:rPr>
          <w:rFonts w:ascii="Times New Roman" w:hAnsi="Times New Roman" w:cs="Times New Roman"/>
          <w:color w:val="000000"/>
          <w:sz w:val="24"/>
          <w:szCs w:val="24"/>
        </w:rPr>
        <w:t>) and (ii) that occupied much the court’s attention</w:t>
      </w:r>
      <w:r w:rsidR="00C150EA">
        <w:rPr>
          <w:rFonts w:ascii="Times New Roman" w:hAnsi="Times New Roman" w:cs="Times New Roman"/>
          <w:color w:val="000000"/>
          <w:sz w:val="24"/>
          <w:szCs w:val="24"/>
        </w:rPr>
        <w:t xml:space="preserve"> in </w:t>
      </w:r>
      <w:r w:rsidR="00C150EA">
        <w:rPr>
          <w:rFonts w:ascii="Times New Roman" w:hAnsi="Times New Roman" w:cs="Times New Roman"/>
          <w:i/>
          <w:color w:val="000000"/>
          <w:sz w:val="24"/>
          <w:szCs w:val="24"/>
        </w:rPr>
        <w:t>Ludgate</w:t>
      </w:r>
      <w:r w:rsidR="00540B66">
        <w:rPr>
          <w:rFonts w:ascii="Times New Roman" w:hAnsi="Times New Roman" w:cs="Times New Roman"/>
          <w:color w:val="000000"/>
          <w:sz w:val="24"/>
          <w:szCs w:val="24"/>
        </w:rPr>
        <w:t>.</w:t>
      </w:r>
      <w:r w:rsidR="00A04984">
        <w:rPr>
          <w:rFonts w:ascii="Times New Roman" w:hAnsi="Times New Roman" w:cs="Times New Roman"/>
          <w:color w:val="000000"/>
          <w:sz w:val="24"/>
          <w:szCs w:val="24"/>
        </w:rPr>
        <w:t xml:space="preserve"> When assessing the extent of “actual occupation”, the court draws on </w:t>
      </w:r>
      <w:r w:rsidR="00A04984" w:rsidRPr="00A04984">
        <w:rPr>
          <w:rFonts w:ascii="Times New Roman" w:hAnsi="Times New Roman" w:cs="Times New Roman"/>
          <w:i/>
          <w:color w:val="000000"/>
          <w:sz w:val="24"/>
          <w:szCs w:val="24"/>
        </w:rPr>
        <w:t>Westminster Council v Southern Railway</w:t>
      </w:r>
      <w:r w:rsidR="00A04984" w:rsidRPr="00A04984">
        <w:rPr>
          <w:rFonts w:ascii="Times New Roman" w:hAnsi="Times New Roman" w:cs="Times New Roman"/>
          <w:color w:val="000000"/>
          <w:sz w:val="24"/>
          <w:szCs w:val="24"/>
        </w:rPr>
        <w:t xml:space="preserve"> [1936] AC 511</w:t>
      </w:r>
      <w:r w:rsidR="00A04984">
        <w:rPr>
          <w:rFonts w:ascii="Times New Roman" w:hAnsi="Times New Roman" w:cs="Times New Roman"/>
          <w:color w:val="000000"/>
          <w:sz w:val="24"/>
          <w:szCs w:val="24"/>
        </w:rPr>
        <w:t>,</w:t>
      </w:r>
      <w:r w:rsidR="0003193B">
        <w:rPr>
          <w:rFonts w:ascii="Times New Roman" w:hAnsi="Times New Roman" w:cs="Times New Roman"/>
          <w:color w:val="000000"/>
          <w:sz w:val="24"/>
          <w:szCs w:val="24"/>
        </w:rPr>
        <w:t xml:space="preserve"> to</w:t>
      </w:r>
      <w:r w:rsidR="00A04984">
        <w:rPr>
          <w:rFonts w:ascii="Times New Roman" w:hAnsi="Times New Roman" w:cs="Times New Roman"/>
          <w:color w:val="000000"/>
          <w:sz w:val="24"/>
          <w:szCs w:val="24"/>
        </w:rPr>
        <w:t xml:space="preserve"> provid</w:t>
      </w:r>
      <w:r w:rsidR="0003193B">
        <w:rPr>
          <w:rFonts w:ascii="Times New Roman" w:hAnsi="Times New Roman" w:cs="Times New Roman"/>
          <w:color w:val="000000"/>
          <w:sz w:val="24"/>
          <w:szCs w:val="24"/>
        </w:rPr>
        <w:t>e</w:t>
      </w:r>
      <w:r w:rsidR="00A04984">
        <w:rPr>
          <w:rFonts w:ascii="Times New Roman" w:hAnsi="Times New Roman" w:cs="Times New Roman"/>
          <w:color w:val="000000"/>
          <w:sz w:val="24"/>
          <w:szCs w:val="24"/>
        </w:rPr>
        <w:t xml:space="preserve"> a summary of additional questions to consider</w:t>
      </w:r>
      <w:r w:rsidR="00CB5226">
        <w:rPr>
          <w:rFonts w:ascii="Times New Roman" w:hAnsi="Times New Roman" w:cs="Times New Roman"/>
          <w:color w:val="000000"/>
          <w:sz w:val="24"/>
          <w:szCs w:val="24"/>
        </w:rPr>
        <w:t>,</w:t>
      </w:r>
      <w:r w:rsidR="00A04984">
        <w:rPr>
          <w:rFonts w:ascii="Times New Roman" w:hAnsi="Times New Roman" w:cs="Times New Roman"/>
          <w:color w:val="000000"/>
          <w:sz w:val="24"/>
          <w:szCs w:val="24"/>
        </w:rPr>
        <w:t xml:space="preserve"> as follows:</w:t>
      </w:r>
    </w:p>
    <w:p w:rsidR="00FB7F7A" w:rsidRPr="00A04984" w:rsidRDefault="00FB7F7A" w:rsidP="004F3B4E">
      <w:pPr>
        <w:autoSpaceDE w:val="0"/>
        <w:autoSpaceDN w:val="0"/>
        <w:adjustRightInd w:val="0"/>
        <w:spacing w:after="0" w:line="240" w:lineRule="auto"/>
        <w:rPr>
          <w:rFonts w:ascii="Times New Roman" w:hAnsi="Times New Roman" w:cs="Times New Roman"/>
          <w:color w:val="000000"/>
          <w:sz w:val="24"/>
          <w:szCs w:val="24"/>
        </w:rPr>
      </w:pPr>
    </w:p>
    <w:p w:rsidR="00A04984" w:rsidRPr="00A04984" w:rsidRDefault="00A04984" w:rsidP="00A04984">
      <w:pPr>
        <w:autoSpaceDE w:val="0"/>
        <w:autoSpaceDN w:val="0"/>
        <w:adjustRightInd w:val="0"/>
        <w:spacing w:after="0" w:line="240" w:lineRule="auto"/>
        <w:ind w:left="567" w:right="1088"/>
        <w:jc w:val="both"/>
        <w:rPr>
          <w:rFonts w:ascii="Times New Roman" w:hAnsi="Times New Roman" w:cs="Times New Roman"/>
          <w:color w:val="000000"/>
          <w:sz w:val="24"/>
          <w:szCs w:val="24"/>
        </w:rPr>
      </w:pPr>
      <w:proofErr w:type="spellStart"/>
      <w:r w:rsidRPr="00A04984">
        <w:rPr>
          <w:rFonts w:ascii="Times New Roman" w:hAnsi="Times New Roman" w:cs="Times New Roman"/>
          <w:color w:val="000000"/>
          <w:sz w:val="24"/>
          <w:szCs w:val="24"/>
        </w:rPr>
        <w:t>i</w:t>
      </w:r>
      <w:proofErr w:type="spellEnd"/>
      <w:r w:rsidRPr="00A04984">
        <w:rPr>
          <w:rFonts w:ascii="Times New Roman" w:hAnsi="Times New Roman" w:cs="Times New Roman"/>
          <w:color w:val="000000"/>
          <w:sz w:val="24"/>
          <w:szCs w:val="24"/>
        </w:rPr>
        <w:t>) "Occupation" must include "actual possession". It would appear to follow that if a putative occupier does not have possession, he will not be in rateable occupation.</w:t>
      </w:r>
    </w:p>
    <w:p w:rsidR="00A04984" w:rsidRPr="00A04984" w:rsidRDefault="00A04984" w:rsidP="00A04984">
      <w:pPr>
        <w:autoSpaceDE w:val="0"/>
        <w:autoSpaceDN w:val="0"/>
        <w:adjustRightInd w:val="0"/>
        <w:spacing w:after="0" w:line="240" w:lineRule="auto"/>
        <w:ind w:left="567" w:right="1088"/>
        <w:jc w:val="both"/>
        <w:rPr>
          <w:rFonts w:ascii="Times New Roman" w:hAnsi="Times New Roman" w:cs="Times New Roman"/>
          <w:color w:val="000000"/>
          <w:sz w:val="24"/>
          <w:szCs w:val="24"/>
        </w:rPr>
      </w:pPr>
      <w:r w:rsidRPr="00A04984">
        <w:rPr>
          <w:rFonts w:ascii="Times New Roman" w:hAnsi="Times New Roman" w:cs="Times New Roman"/>
          <w:color w:val="000000"/>
          <w:sz w:val="24"/>
          <w:szCs w:val="24"/>
        </w:rPr>
        <w:lastRenderedPageBreak/>
        <w:t>ii) If there is more than one candidate, who is in rateable occupation depends on "the position and rights of the parties in respect of the premises in question." If those rights depend on a contract, that necessarily means that the relevant tribunal must examine the terms of the contract…</w:t>
      </w:r>
    </w:p>
    <w:p w:rsidR="00A04984" w:rsidRPr="00A04984" w:rsidRDefault="00A04984" w:rsidP="00A04984">
      <w:pPr>
        <w:autoSpaceDE w:val="0"/>
        <w:autoSpaceDN w:val="0"/>
        <w:adjustRightInd w:val="0"/>
        <w:spacing w:after="0" w:line="240" w:lineRule="auto"/>
        <w:ind w:left="567" w:right="1088"/>
        <w:jc w:val="both"/>
        <w:rPr>
          <w:rFonts w:ascii="Times New Roman" w:hAnsi="Times New Roman" w:cs="Times New Roman"/>
          <w:color w:val="000000"/>
          <w:sz w:val="24"/>
          <w:szCs w:val="24"/>
        </w:rPr>
      </w:pPr>
      <w:r w:rsidRPr="00A04984">
        <w:rPr>
          <w:rFonts w:ascii="Times New Roman" w:hAnsi="Times New Roman" w:cs="Times New Roman"/>
          <w:color w:val="000000"/>
          <w:sz w:val="24"/>
          <w:szCs w:val="24"/>
        </w:rPr>
        <w:t>iii) One further question that the tribunal must consider is "the purpose of the occupation of those premises"….</w:t>
      </w:r>
    </w:p>
    <w:p w:rsidR="008A2CB6" w:rsidRPr="00A04984" w:rsidRDefault="00A04984" w:rsidP="00A04984">
      <w:pPr>
        <w:autoSpaceDE w:val="0"/>
        <w:autoSpaceDN w:val="0"/>
        <w:adjustRightInd w:val="0"/>
        <w:spacing w:after="0" w:line="240" w:lineRule="auto"/>
        <w:ind w:left="567" w:right="1088"/>
        <w:jc w:val="both"/>
        <w:rPr>
          <w:rFonts w:ascii="Times New Roman" w:hAnsi="Times New Roman" w:cs="Times New Roman"/>
          <w:color w:val="000000"/>
          <w:sz w:val="24"/>
          <w:szCs w:val="24"/>
        </w:rPr>
      </w:pPr>
      <w:proofErr w:type="gramStart"/>
      <w:r w:rsidRPr="00A04984">
        <w:rPr>
          <w:rFonts w:ascii="Times New Roman" w:hAnsi="Times New Roman" w:cs="Times New Roman"/>
          <w:color w:val="000000"/>
          <w:sz w:val="24"/>
          <w:szCs w:val="24"/>
        </w:rPr>
        <w:t>iv) The</w:t>
      </w:r>
      <w:proofErr w:type="gramEnd"/>
      <w:r w:rsidRPr="00A04984">
        <w:rPr>
          <w:rFonts w:ascii="Times New Roman" w:hAnsi="Times New Roman" w:cs="Times New Roman"/>
          <w:color w:val="000000"/>
          <w:sz w:val="24"/>
          <w:szCs w:val="24"/>
        </w:rPr>
        <w:t xml:space="preserve"> ultimate question, where there is more than one candidate for rateable occupation, is who is "in paramount occupation" of the putative hereditament.</w:t>
      </w:r>
      <w:r>
        <w:rPr>
          <w:rStyle w:val="FootnoteReference"/>
          <w:rFonts w:ascii="Times New Roman" w:hAnsi="Times New Roman" w:cs="Times New Roman"/>
          <w:color w:val="000000"/>
          <w:sz w:val="24"/>
          <w:szCs w:val="24"/>
        </w:rPr>
        <w:footnoteReference w:id="6"/>
      </w:r>
    </w:p>
    <w:p w:rsidR="004F3B4E" w:rsidRDefault="004F3B4E" w:rsidP="007F4118">
      <w:pPr>
        <w:jc w:val="both"/>
        <w:rPr>
          <w:rFonts w:ascii="Times New Roman" w:hAnsi="Times New Roman" w:cs="Times New Roman"/>
          <w:sz w:val="24"/>
          <w:szCs w:val="24"/>
        </w:rPr>
      </w:pPr>
    </w:p>
    <w:p w:rsidR="004F3B4E" w:rsidRDefault="00A04984" w:rsidP="007F4118">
      <w:pPr>
        <w:jc w:val="both"/>
        <w:rPr>
          <w:rFonts w:ascii="Times New Roman" w:hAnsi="Times New Roman" w:cs="Times New Roman"/>
          <w:sz w:val="24"/>
          <w:szCs w:val="24"/>
        </w:rPr>
      </w:pPr>
      <w:r>
        <w:rPr>
          <w:rFonts w:ascii="Times New Roman" w:hAnsi="Times New Roman" w:cs="Times New Roman"/>
          <w:sz w:val="24"/>
          <w:szCs w:val="24"/>
        </w:rPr>
        <w:t xml:space="preserve">Therefore, </w:t>
      </w:r>
      <w:r w:rsidR="00A5389D">
        <w:rPr>
          <w:rFonts w:ascii="Times New Roman" w:hAnsi="Times New Roman" w:cs="Times New Roman"/>
          <w:sz w:val="24"/>
          <w:szCs w:val="24"/>
        </w:rPr>
        <w:t>w</w:t>
      </w:r>
      <w:r>
        <w:rPr>
          <w:rFonts w:ascii="Times New Roman" w:hAnsi="Times New Roman" w:cs="Times New Roman"/>
          <w:sz w:val="24"/>
          <w:szCs w:val="24"/>
        </w:rPr>
        <w:t xml:space="preserve">hen assessing the two “candidates” for rateable occupation – the property guardians or the building owner – the court must </w:t>
      </w:r>
      <w:r w:rsidR="0003193B">
        <w:rPr>
          <w:rFonts w:ascii="Times New Roman" w:hAnsi="Times New Roman" w:cs="Times New Roman"/>
          <w:sz w:val="24"/>
          <w:szCs w:val="24"/>
        </w:rPr>
        <w:t xml:space="preserve">interrogate both the “purpose” for occupation of the premises and </w:t>
      </w:r>
      <w:r>
        <w:rPr>
          <w:rFonts w:ascii="Times New Roman" w:hAnsi="Times New Roman" w:cs="Times New Roman"/>
          <w:sz w:val="24"/>
          <w:szCs w:val="24"/>
        </w:rPr>
        <w:t xml:space="preserve">the contractual arrangement between them (here, the licence agreement between VPS Ltd, acting on behalf of the building owner, </w:t>
      </w:r>
      <w:r w:rsidR="0003193B">
        <w:rPr>
          <w:rFonts w:ascii="Times New Roman" w:hAnsi="Times New Roman" w:cs="Times New Roman"/>
          <w:sz w:val="24"/>
          <w:szCs w:val="24"/>
        </w:rPr>
        <w:t xml:space="preserve">and the property guardians). </w:t>
      </w:r>
      <w:r w:rsidR="00700D35">
        <w:rPr>
          <w:rFonts w:ascii="Times New Roman" w:hAnsi="Times New Roman" w:cs="Times New Roman"/>
          <w:sz w:val="24"/>
          <w:szCs w:val="24"/>
        </w:rPr>
        <w:t>I consider each i</w:t>
      </w:r>
      <w:r w:rsidR="00B345E2">
        <w:rPr>
          <w:rFonts w:ascii="Times New Roman" w:hAnsi="Times New Roman" w:cs="Times New Roman"/>
          <w:sz w:val="24"/>
          <w:szCs w:val="24"/>
        </w:rPr>
        <w:t>n turn below.</w:t>
      </w:r>
    </w:p>
    <w:p w:rsidR="004F3B4E" w:rsidRDefault="00F80916" w:rsidP="007F4118">
      <w:pPr>
        <w:jc w:val="both"/>
        <w:rPr>
          <w:rFonts w:ascii="Times New Roman" w:hAnsi="Times New Roman" w:cs="Times New Roman"/>
          <w:b/>
          <w:sz w:val="24"/>
          <w:szCs w:val="24"/>
        </w:rPr>
      </w:pPr>
      <w:r>
        <w:rPr>
          <w:rFonts w:ascii="Times New Roman" w:hAnsi="Times New Roman" w:cs="Times New Roman"/>
          <w:b/>
          <w:sz w:val="24"/>
          <w:szCs w:val="24"/>
        </w:rPr>
        <w:t>Purpose</w:t>
      </w:r>
    </w:p>
    <w:p w:rsidR="009478B0" w:rsidRDefault="009478B0" w:rsidP="009478B0">
      <w:pPr>
        <w:ind w:right="521"/>
        <w:jc w:val="both"/>
        <w:rPr>
          <w:rFonts w:ascii="Times New Roman" w:hAnsi="Times New Roman" w:cs="Times New Roman"/>
          <w:sz w:val="24"/>
          <w:szCs w:val="24"/>
        </w:rPr>
      </w:pPr>
      <w:r>
        <w:rPr>
          <w:rFonts w:ascii="Times New Roman" w:hAnsi="Times New Roman" w:cs="Times New Roman"/>
          <w:sz w:val="24"/>
          <w:szCs w:val="24"/>
        </w:rPr>
        <w:t>When considering</w:t>
      </w:r>
      <w:r w:rsidR="00643731">
        <w:rPr>
          <w:rFonts w:ascii="Times New Roman" w:hAnsi="Times New Roman" w:cs="Times New Roman"/>
          <w:sz w:val="24"/>
          <w:szCs w:val="24"/>
        </w:rPr>
        <w:t xml:space="preserve"> the </w:t>
      </w:r>
      <w:r>
        <w:rPr>
          <w:rFonts w:ascii="Times New Roman" w:hAnsi="Times New Roman" w:cs="Times New Roman"/>
          <w:i/>
          <w:sz w:val="24"/>
          <w:szCs w:val="24"/>
        </w:rPr>
        <w:t xml:space="preserve">purpose </w:t>
      </w:r>
      <w:r>
        <w:rPr>
          <w:rFonts w:ascii="Times New Roman" w:hAnsi="Times New Roman" w:cs="Times New Roman"/>
          <w:sz w:val="24"/>
          <w:szCs w:val="24"/>
        </w:rPr>
        <w:t xml:space="preserve">of the occupation – namely, whether </w:t>
      </w:r>
      <w:r w:rsidR="00A451DF">
        <w:rPr>
          <w:rFonts w:ascii="Times New Roman" w:hAnsi="Times New Roman" w:cs="Times New Roman"/>
          <w:sz w:val="24"/>
          <w:szCs w:val="24"/>
        </w:rPr>
        <w:t>t</w:t>
      </w:r>
      <w:r>
        <w:rPr>
          <w:rFonts w:ascii="Times New Roman" w:hAnsi="Times New Roman" w:cs="Times New Roman"/>
          <w:sz w:val="24"/>
          <w:szCs w:val="24"/>
        </w:rPr>
        <w:t>he property guardians were occupying on behalf of the property owner – the court effectively concluded that the clue is in the title: “property guardians” serve a function for the building owner</w:t>
      </w:r>
      <w:r w:rsidR="00164505">
        <w:rPr>
          <w:rFonts w:ascii="Times New Roman" w:hAnsi="Times New Roman" w:cs="Times New Roman"/>
          <w:sz w:val="24"/>
          <w:szCs w:val="24"/>
        </w:rPr>
        <w:t xml:space="preserve"> by guarding the property</w:t>
      </w:r>
      <w:r>
        <w:rPr>
          <w:rFonts w:ascii="Times New Roman" w:hAnsi="Times New Roman" w:cs="Times New Roman"/>
          <w:sz w:val="24"/>
          <w:szCs w:val="24"/>
        </w:rPr>
        <w:t xml:space="preserve">, and this function is the </w:t>
      </w:r>
      <w:r w:rsidR="00164505">
        <w:rPr>
          <w:rFonts w:ascii="Times New Roman" w:hAnsi="Times New Roman" w:cs="Times New Roman"/>
          <w:sz w:val="24"/>
          <w:szCs w:val="24"/>
        </w:rPr>
        <w:t>very reason</w:t>
      </w:r>
      <w:r>
        <w:rPr>
          <w:rFonts w:ascii="Times New Roman" w:hAnsi="Times New Roman" w:cs="Times New Roman"/>
          <w:sz w:val="24"/>
          <w:szCs w:val="24"/>
        </w:rPr>
        <w:t xml:space="preserve"> behind their engagement of a property guardian company.</w:t>
      </w:r>
      <w:r w:rsidR="00E95609">
        <w:rPr>
          <w:rFonts w:ascii="Times New Roman" w:hAnsi="Times New Roman" w:cs="Times New Roman"/>
          <w:sz w:val="24"/>
          <w:szCs w:val="24"/>
        </w:rPr>
        <w:t xml:space="preserve"> The court noted that “t</w:t>
      </w:r>
      <w:r w:rsidR="00E95609" w:rsidRPr="00771EED">
        <w:rPr>
          <w:rFonts w:ascii="Times New Roman" w:hAnsi="Times New Roman" w:cs="Times New Roman"/>
          <w:sz w:val="24"/>
          <w:szCs w:val="24"/>
        </w:rPr>
        <w:t xml:space="preserve">he presence of the guardians on </w:t>
      </w:r>
      <w:r w:rsidR="00E95609">
        <w:rPr>
          <w:rFonts w:ascii="Times New Roman" w:hAnsi="Times New Roman" w:cs="Times New Roman"/>
          <w:sz w:val="24"/>
          <w:szCs w:val="24"/>
        </w:rPr>
        <w:t xml:space="preserve">site was an essential component” </w:t>
      </w:r>
      <w:r w:rsidR="00E95609" w:rsidRPr="00771EED">
        <w:rPr>
          <w:rFonts w:ascii="Times New Roman" w:hAnsi="Times New Roman" w:cs="Times New Roman"/>
          <w:sz w:val="24"/>
          <w:szCs w:val="24"/>
        </w:rPr>
        <w:t xml:space="preserve">of </w:t>
      </w:r>
      <w:r w:rsidR="00E95609">
        <w:rPr>
          <w:rFonts w:ascii="Times New Roman" w:hAnsi="Times New Roman" w:cs="Times New Roman"/>
          <w:sz w:val="24"/>
          <w:szCs w:val="24"/>
        </w:rPr>
        <w:t>what the building owner “</w:t>
      </w:r>
      <w:r w:rsidR="00E95609" w:rsidRPr="00771EED">
        <w:rPr>
          <w:rFonts w:ascii="Times New Roman" w:hAnsi="Times New Roman" w:cs="Times New Roman"/>
          <w:sz w:val="24"/>
          <w:szCs w:val="24"/>
        </w:rPr>
        <w:t>had bargained for</w:t>
      </w:r>
      <w:r w:rsidR="00E95609">
        <w:rPr>
          <w:rFonts w:ascii="Times New Roman" w:hAnsi="Times New Roman" w:cs="Times New Roman"/>
          <w:sz w:val="24"/>
          <w:szCs w:val="24"/>
        </w:rPr>
        <w:t>”</w:t>
      </w:r>
      <w:r w:rsidR="00A451DF">
        <w:rPr>
          <w:rFonts w:ascii="Times New Roman" w:hAnsi="Times New Roman" w:cs="Times New Roman"/>
          <w:sz w:val="24"/>
          <w:szCs w:val="24"/>
        </w:rPr>
        <w:t>,</w:t>
      </w:r>
      <w:r w:rsidR="009C7910">
        <w:rPr>
          <w:rStyle w:val="FootnoteReference"/>
          <w:rFonts w:ascii="Times New Roman" w:hAnsi="Times New Roman" w:cs="Times New Roman"/>
          <w:sz w:val="24"/>
          <w:szCs w:val="24"/>
        </w:rPr>
        <w:footnoteReference w:id="7"/>
      </w:r>
      <w:r w:rsidR="00A451DF">
        <w:rPr>
          <w:rFonts w:ascii="Times New Roman" w:hAnsi="Times New Roman" w:cs="Times New Roman"/>
          <w:sz w:val="24"/>
          <w:szCs w:val="24"/>
        </w:rPr>
        <w:t xml:space="preserve"> and considered that the purpose of the guardian’s occupation and of the building owner were “complementary and mutually reinforcing”</w:t>
      </w:r>
      <w:r w:rsidR="00DE15AC">
        <w:rPr>
          <w:rFonts w:ascii="Times New Roman" w:hAnsi="Times New Roman" w:cs="Times New Roman"/>
          <w:sz w:val="24"/>
          <w:szCs w:val="24"/>
        </w:rPr>
        <w:t>.</w:t>
      </w:r>
      <w:r w:rsidR="004563BB">
        <w:rPr>
          <w:rStyle w:val="FootnoteReference"/>
          <w:rFonts w:ascii="Times New Roman" w:hAnsi="Times New Roman" w:cs="Times New Roman"/>
          <w:sz w:val="24"/>
          <w:szCs w:val="24"/>
        </w:rPr>
        <w:footnoteReference w:id="8"/>
      </w:r>
      <w:r w:rsidR="000B4AE1">
        <w:rPr>
          <w:rFonts w:ascii="Times New Roman" w:hAnsi="Times New Roman" w:cs="Times New Roman"/>
          <w:sz w:val="24"/>
          <w:szCs w:val="24"/>
        </w:rPr>
        <w:t xml:space="preserve"> The fact that there was no direct contractual arrangement between the building owner and the guardians themselves, but rather through VPS Ltd, did not negate this symbiotic relationship.</w:t>
      </w:r>
    </w:p>
    <w:p w:rsidR="00643731" w:rsidRDefault="00643731" w:rsidP="009478B0">
      <w:pPr>
        <w:ind w:right="521"/>
        <w:jc w:val="both"/>
        <w:rPr>
          <w:rFonts w:ascii="Times New Roman" w:hAnsi="Times New Roman" w:cs="Times New Roman"/>
          <w:sz w:val="24"/>
          <w:szCs w:val="24"/>
        </w:rPr>
      </w:pPr>
      <w:r>
        <w:rPr>
          <w:rFonts w:ascii="Times New Roman" w:hAnsi="Times New Roman" w:cs="Times New Roman"/>
          <w:sz w:val="24"/>
          <w:szCs w:val="24"/>
        </w:rPr>
        <w:t xml:space="preserve">Furthermore, the licence agreements themselves created contractual obligations on the property guardians to exercise this function on behalf of the property owners. The </w:t>
      </w:r>
      <w:r w:rsidR="004010BA">
        <w:rPr>
          <w:rFonts w:ascii="Times New Roman" w:hAnsi="Times New Roman" w:cs="Times New Roman"/>
          <w:sz w:val="24"/>
          <w:szCs w:val="24"/>
        </w:rPr>
        <w:t xml:space="preserve">court </w:t>
      </w:r>
      <w:r>
        <w:rPr>
          <w:rFonts w:ascii="Times New Roman" w:hAnsi="Times New Roman" w:cs="Times New Roman"/>
          <w:sz w:val="24"/>
          <w:szCs w:val="24"/>
        </w:rPr>
        <w:t>emphasises in particular that the licence provided that “it was a serious breach if a guardian did not make the property their abode”</w:t>
      </w:r>
      <w:r>
        <w:rPr>
          <w:rStyle w:val="FootnoteReference"/>
          <w:rFonts w:ascii="Times New Roman" w:hAnsi="Times New Roman" w:cs="Times New Roman"/>
          <w:sz w:val="24"/>
          <w:szCs w:val="24"/>
        </w:rPr>
        <w:footnoteReference w:id="9"/>
      </w:r>
      <w:r w:rsidR="00C52E93">
        <w:rPr>
          <w:rFonts w:ascii="Times New Roman" w:hAnsi="Times New Roman" w:cs="Times New Roman"/>
          <w:sz w:val="24"/>
          <w:szCs w:val="24"/>
        </w:rPr>
        <w:t xml:space="preserve"> – a guardian not in situ is a guardian not guarding</w:t>
      </w:r>
      <w:r w:rsidR="000331A8">
        <w:rPr>
          <w:rFonts w:ascii="Times New Roman" w:hAnsi="Times New Roman" w:cs="Times New Roman"/>
          <w:sz w:val="24"/>
          <w:szCs w:val="24"/>
        </w:rPr>
        <w:t>.</w:t>
      </w:r>
      <w:r w:rsidR="00FF659D">
        <w:rPr>
          <w:rFonts w:ascii="Times New Roman" w:hAnsi="Times New Roman" w:cs="Times New Roman"/>
          <w:sz w:val="24"/>
          <w:szCs w:val="24"/>
        </w:rPr>
        <w:t xml:space="preserve"> </w:t>
      </w:r>
      <w:r w:rsidR="000F389A">
        <w:rPr>
          <w:rFonts w:ascii="Times New Roman" w:hAnsi="Times New Roman" w:cs="Times New Roman"/>
          <w:sz w:val="24"/>
          <w:szCs w:val="24"/>
        </w:rPr>
        <w:t xml:space="preserve">Likewise, the court underscored VPS </w:t>
      </w:r>
      <w:proofErr w:type="spellStart"/>
      <w:r w:rsidR="000F389A">
        <w:rPr>
          <w:rFonts w:ascii="Times New Roman" w:hAnsi="Times New Roman" w:cs="Times New Roman"/>
          <w:sz w:val="24"/>
          <w:szCs w:val="24"/>
        </w:rPr>
        <w:t>Ltd’s</w:t>
      </w:r>
      <w:proofErr w:type="spellEnd"/>
      <w:r w:rsidR="000F389A">
        <w:rPr>
          <w:rFonts w:ascii="Times New Roman" w:hAnsi="Times New Roman" w:cs="Times New Roman"/>
          <w:sz w:val="24"/>
          <w:szCs w:val="24"/>
        </w:rPr>
        <w:t xml:space="preserve"> compulsory property guardian training programme, which ensured that all occupants “understood their responsibilities”</w:t>
      </w:r>
      <w:r w:rsidR="007A1959">
        <w:rPr>
          <w:rFonts w:ascii="Times New Roman" w:hAnsi="Times New Roman" w:cs="Times New Roman"/>
          <w:sz w:val="24"/>
          <w:szCs w:val="24"/>
        </w:rPr>
        <w:t xml:space="preserve"> to the building owner</w:t>
      </w:r>
      <w:r w:rsidR="000F389A">
        <w:rPr>
          <w:rFonts w:ascii="Times New Roman" w:hAnsi="Times New Roman" w:cs="Times New Roman"/>
          <w:sz w:val="24"/>
          <w:szCs w:val="24"/>
        </w:rPr>
        <w:t>.</w:t>
      </w:r>
      <w:r w:rsidR="00D07511">
        <w:rPr>
          <w:rStyle w:val="FootnoteReference"/>
          <w:rFonts w:ascii="Times New Roman" w:hAnsi="Times New Roman" w:cs="Times New Roman"/>
          <w:sz w:val="24"/>
          <w:szCs w:val="24"/>
        </w:rPr>
        <w:footnoteReference w:id="10"/>
      </w:r>
    </w:p>
    <w:p w:rsidR="00614041" w:rsidRDefault="0056526E" w:rsidP="00614041">
      <w:pPr>
        <w:jc w:val="both"/>
        <w:rPr>
          <w:rFonts w:ascii="Times New Roman" w:hAnsi="Times New Roman" w:cs="Times New Roman"/>
          <w:b/>
          <w:sz w:val="24"/>
          <w:szCs w:val="24"/>
        </w:rPr>
      </w:pPr>
      <w:r>
        <w:rPr>
          <w:rFonts w:ascii="Times New Roman" w:hAnsi="Times New Roman" w:cs="Times New Roman"/>
          <w:b/>
          <w:sz w:val="24"/>
          <w:szCs w:val="24"/>
        </w:rPr>
        <w:t>Exclusive occupation</w:t>
      </w:r>
    </w:p>
    <w:p w:rsidR="00091BB6" w:rsidRDefault="0023257E" w:rsidP="001B51FA">
      <w:pPr>
        <w:jc w:val="both"/>
        <w:rPr>
          <w:rFonts w:ascii="Times New Roman" w:hAnsi="Times New Roman" w:cs="Times New Roman"/>
          <w:sz w:val="24"/>
          <w:szCs w:val="24"/>
        </w:rPr>
      </w:pPr>
      <w:r>
        <w:rPr>
          <w:rFonts w:ascii="Times New Roman" w:hAnsi="Times New Roman" w:cs="Times New Roman"/>
          <w:sz w:val="24"/>
          <w:szCs w:val="24"/>
        </w:rPr>
        <w:t xml:space="preserve">The guardians all had sole access to their own individual rooms in the building, which included the provision of a key. In the UKUT, the tribunal had considered that this was sufficient to illustrate exclusive possession. However, the court were unconvinced, noting that lodgers – or even hotel guests – </w:t>
      </w:r>
      <w:proofErr w:type="gramStart"/>
      <w:r>
        <w:rPr>
          <w:rFonts w:ascii="Times New Roman" w:hAnsi="Times New Roman" w:cs="Times New Roman"/>
          <w:sz w:val="24"/>
          <w:szCs w:val="24"/>
        </w:rPr>
        <w:t>are routinely provided</w:t>
      </w:r>
      <w:proofErr w:type="gramEnd"/>
      <w:r>
        <w:rPr>
          <w:rFonts w:ascii="Times New Roman" w:hAnsi="Times New Roman" w:cs="Times New Roman"/>
          <w:sz w:val="24"/>
          <w:szCs w:val="24"/>
        </w:rPr>
        <w:t xml:space="preserve"> with their own key.</w:t>
      </w:r>
      <w:r>
        <w:rPr>
          <w:rStyle w:val="FootnoteReference"/>
          <w:rFonts w:ascii="Times New Roman" w:hAnsi="Times New Roman" w:cs="Times New Roman"/>
          <w:sz w:val="24"/>
          <w:szCs w:val="24"/>
        </w:rPr>
        <w:footnoteReference w:id="11"/>
      </w:r>
      <w:r w:rsidR="00B2275E">
        <w:rPr>
          <w:rFonts w:ascii="Times New Roman" w:hAnsi="Times New Roman" w:cs="Times New Roman"/>
          <w:sz w:val="24"/>
          <w:szCs w:val="24"/>
        </w:rPr>
        <w:t xml:space="preserve"> Instead, the court focused on </w:t>
      </w:r>
      <w:r w:rsidR="00B2275E">
        <w:rPr>
          <w:rFonts w:ascii="Times New Roman" w:hAnsi="Times New Roman" w:cs="Times New Roman"/>
          <w:sz w:val="24"/>
          <w:szCs w:val="24"/>
        </w:rPr>
        <w:lastRenderedPageBreak/>
        <w:t>the content of the license agreemen</w:t>
      </w:r>
      <w:r w:rsidR="00F04A8B">
        <w:rPr>
          <w:rFonts w:ascii="Times New Roman" w:hAnsi="Times New Roman" w:cs="Times New Roman"/>
          <w:sz w:val="24"/>
          <w:szCs w:val="24"/>
        </w:rPr>
        <w:t>t between the guardian and VPS. This “proclaim[</w:t>
      </w:r>
      <w:proofErr w:type="spellStart"/>
      <w:r w:rsidR="00F04A8B">
        <w:rPr>
          <w:rFonts w:ascii="Times New Roman" w:hAnsi="Times New Roman" w:cs="Times New Roman"/>
          <w:sz w:val="24"/>
          <w:szCs w:val="24"/>
        </w:rPr>
        <w:t>ed</w:t>
      </w:r>
      <w:proofErr w:type="spellEnd"/>
      <w:r w:rsidR="00F04A8B">
        <w:rPr>
          <w:rFonts w:ascii="Times New Roman" w:hAnsi="Times New Roman" w:cs="Times New Roman"/>
          <w:sz w:val="24"/>
          <w:szCs w:val="24"/>
        </w:rPr>
        <w:t>]</w:t>
      </w:r>
      <w:r w:rsidR="00F04A8B" w:rsidRPr="001B51FA">
        <w:rPr>
          <w:rFonts w:ascii="Times New Roman" w:hAnsi="Times New Roman" w:cs="Times New Roman"/>
          <w:sz w:val="24"/>
          <w:szCs w:val="24"/>
        </w:rPr>
        <w:t xml:space="preserve"> several times that a guardian is not being granted exclusive occupat</w:t>
      </w:r>
      <w:r w:rsidR="00F04A8B">
        <w:rPr>
          <w:rFonts w:ascii="Times New Roman" w:hAnsi="Times New Roman" w:cs="Times New Roman"/>
          <w:sz w:val="24"/>
          <w:szCs w:val="24"/>
        </w:rPr>
        <w:t>ion of any part of the building”.</w:t>
      </w:r>
      <w:r w:rsidR="00F04A8B">
        <w:rPr>
          <w:rStyle w:val="FootnoteReference"/>
          <w:rFonts w:ascii="Times New Roman" w:hAnsi="Times New Roman" w:cs="Times New Roman"/>
          <w:sz w:val="24"/>
          <w:szCs w:val="24"/>
        </w:rPr>
        <w:footnoteReference w:id="12"/>
      </w:r>
      <w:r w:rsidR="00A125CB">
        <w:rPr>
          <w:rFonts w:ascii="Times New Roman" w:hAnsi="Times New Roman" w:cs="Times New Roman"/>
          <w:sz w:val="24"/>
          <w:szCs w:val="24"/>
        </w:rPr>
        <w:t xml:space="preserve"> This declaration</w:t>
      </w:r>
      <w:r w:rsidR="00091BB6">
        <w:rPr>
          <w:rFonts w:ascii="Times New Roman" w:hAnsi="Times New Roman" w:cs="Times New Roman"/>
          <w:sz w:val="24"/>
          <w:szCs w:val="24"/>
        </w:rPr>
        <w:t xml:space="preserve"> </w:t>
      </w:r>
      <w:proofErr w:type="gramStart"/>
      <w:r w:rsidR="00091BB6">
        <w:rPr>
          <w:rFonts w:ascii="Times New Roman" w:hAnsi="Times New Roman" w:cs="Times New Roman"/>
          <w:sz w:val="24"/>
          <w:szCs w:val="24"/>
        </w:rPr>
        <w:t>was accompanied</w:t>
      </w:r>
      <w:proofErr w:type="gramEnd"/>
      <w:r w:rsidR="00091BB6">
        <w:rPr>
          <w:rFonts w:ascii="Times New Roman" w:hAnsi="Times New Roman" w:cs="Times New Roman"/>
          <w:sz w:val="24"/>
          <w:szCs w:val="24"/>
        </w:rPr>
        <w:t xml:space="preserve"> </w:t>
      </w:r>
      <w:r w:rsidR="00A125CB">
        <w:rPr>
          <w:rFonts w:ascii="Times New Roman" w:hAnsi="Times New Roman" w:cs="Times New Roman"/>
          <w:sz w:val="24"/>
          <w:szCs w:val="24"/>
        </w:rPr>
        <w:t>by</w:t>
      </w:r>
      <w:r w:rsidR="00091BB6">
        <w:rPr>
          <w:rFonts w:ascii="Times New Roman" w:hAnsi="Times New Roman" w:cs="Times New Roman"/>
          <w:sz w:val="24"/>
          <w:szCs w:val="24"/>
        </w:rPr>
        <w:t xml:space="preserve"> a series of other conditions, including:</w:t>
      </w:r>
    </w:p>
    <w:p w:rsidR="00091BB6" w:rsidRDefault="00091BB6" w:rsidP="00091BB6">
      <w:pPr>
        <w:pStyle w:val="ListParagraph"/>
        <w:numPr>
          <w:ilvl w:val="0"/>
          <w:numId w:val="2"/>
        </w:numPr>
        <w:jc w:val="both"/>
        <w:rPr>
          <w:rFonts w:ascii="Times New Roman" w:hAnsi="Times New Roman" w:cs="Times New Roman"/>
          <w:sz w:val="24"/>
          <w:szCs w:val="24"/>
        </w:rPr>
      </w:pPr>
      <w:r w:rsidRPr="00091BB6">
        <w:rPr>
          <w:rFonts w:ascii="Times New Roman" w:hAnsi="Times New Roman" w:cs="Times New Roman"/>
          <w:sz w:val="24"/>
          <w:szCs w:val="24"/>
        </w:rPr>
        <w:t xml:space="preserve">The size and extent of the living space available to the guardians </w:t>
      </w:r>
      <w:proofErr w:type="gramStart"/>
      <w:r w:rsidRPr="00091BB6">
        <w:rPr>
          <w:rFonts w:ascii="Times New Roman" w:hAnsi="Times New Roman" w:cs="Times New Roman"/>
          <w:sz w:val="24"/>
          <w:szCs w:val="24"/>
        </w:rPr>
        <w:t>might be varied</w:t>
      </w:r>
      <w:proofErr w:type="gramEnd"/>
      <w:r w:rsidRPr="00091BB6">
        <w:rPr>
          <w:rFonts w:ascii="Times New Roman" w:hAnsi="Times New Roman" w:cs="Times New Roman"/>
          <w:sz w:val="24"/>
          <w:szCs w:val="24"/>
        </w:rPr>
        <w:t xml:space="preserve"> at any time (clause 3.4)</w:t>
      </w:r>
      <w:r>
        <w:rPr>
          <w:rFonts w:ascii="Times New Roman" w:hAnsi="Times New Roman" w:cs="Times New Roman"/>
          <w:sz w:val="24"/>
          <w:szCs w:val="24"/>
        </w:rPr>
        <w:t>.</w:t>
      </w:r>
    </w:p>
    <w:p w:rsidR="00091BB6" w:rsidRDefault="00091BB6" w:rsidP="006A0156">
      <w:pPr>
        <w:pStyle w:val="ListParagraph"/>
        <w:numPr>
          <w:ilvl w:val="0"/>
          <w:numId w:val="2"/>
        </w:numPr>
        <w:jc w:val="both"/>
        <w:rPr>
          <w:rFonts w:ascii="Times New Roman" w:hAnsi="Times New Roman" w:cs="Times New Roman"/>
          <w:sz w:val="24"/>
          <w:szCs w:val="24"/>
        </w:rPr>
      </w:pPr>
      <w:r w:rsidRPr="00091BB6">
        <w:rPr>
          <w:rFonts w:ascii="Times New Roman" w:hAnsi="Times New Roman" w:cs="Times New Roman"/>
          <w:sz w:val="24"/>
          <w:szCs w:val="24"/>
        </w:rPr>
        <w:t xml:space="preserve">The guardians had no right to occupy any particular room at the Property. </w:t>
      </w:r>
      <w:proofErr w:type="gramStart"/>
      <w:r w:rsidRPr="00091BB6">
        <w:rPr>
          <w:rFonts w:ascii="Times New Roman" w:hAnsi="Times New Roman" w:cs="Times New Roman"/>
          <w:sz w:val="24"/>
          <w:szCs w:val="24"/>
        </w:rPr>
        <w:t>But</w:t>
      </w:r>
      <w:proofErr w:type="gramEnd"/>
      <w:r w:rsidRPr="00091BB6">
        <w:rPr>
          <w:rFonts w:ascii="Times New Roman" w:hAnsi="Times New Roman" w:cs="Times New Roman"/>
          <w:sz w:val="24"/>
          <w:szCs w:val="24"/>
        </w:rPr>
        <w:t xml:space="preserve"> the guardian was required to inform VPS of which room the guardian was sleeping in "to enable [VPS] to manage the Property in accordance with its obligations</w:t>
      </w:r>
      <w:r>
        <w:rPr>
          <w:rFonts w:ascii="Times New Roman" w:hAnsi="Times New Roman" w:cs="Times New Roman"/>
          <w:sz w:val="24"/>
          <w:szCs w:val="24"/>
        </w:rPr>
        <w:t xml:space="preserve"> </w:t>
      </w:r>
      <w:r w:rsidRPr="00091BB6">
        <w:rPr>
          <w:rFonts w:ascii="Times New Roman" w:hAnsi="Times New Roman" w:cs="Times New Roman"/>
          <w:sz w:val="24"/>
          <w:szCs w:val="24"/>
        </w:rPr>
        <w:t>to the Owner". (</w:t>
      </w:r>
      <w:proofErr w:type="gramStart"/>
      <w:r w:rsidRPr="00091BB6">
        <w:rPr>
          <w:rFonts w:ascii="Times New Roman" w:hAnsi="Times New Roman" w:cs="Times New Roman"/>
          <w:sz w:val="24"/>
          <w:szCs w:val="24"/>
        </w:rPr>
        <w:t>clause</w:t>
      </w:r>
      <w:proofErr w:type="gramEnd"/>
      <w:r w:rsidRPr="00091BB6">
        <w:rPr>
          <w:rFonts w:ascii="Times New Roman" w:hAnsi="Times New Roman" w:cs="Times New Roman"/>
          <w:sz w:val="24"/>
          <w:szCs w:val="24"/>
        </w:rPr>
        <w:t xml:space="preserve"> 3.5 and clause 3.6)</w:t>
      </w:r>
      <w:r>
        <w:rPr>
          <w:rFonts w:ascii="Times New Roman" w:hAnsi="Times New Roman" w:cs="Times New Roman"/>
          <w:sz w:val="24"/>
          <w:szCs w:val="24"/>
        </w:rPr>
        <w:t>.</w:t>
      </w:r>
    </w:p>
    <w:p w:rsidR="00091BB6" w:rsidRPr="00091BB6" w:rsidRDefault="00091BB6" w:rsidP="00091BB6">
      <w:pPr>
        <w:pStyle w:val="ListParagraph"/>
        <w:numPr>
          <w:ilvl w:val="0"/>
          <w:numId w:val="2"/>
        </w:numPr>
        <w:jc w:val="both"/>
        <w:rPr>
          <w:rFonts w:ascii="Times New Roman" w:hAnsi="Times New Roman" w:cs="Times New Roman"/>
          <w:sz w:val="24"/>
          <w:szCs w:val="24"/>
        </w:rPr>
      </w:pPr>
      <w:r w:rsidRPr="00091BB6">
        <w:rPr>
          <w:rFonts w:ascii="Times New Roman" w:hAnsi="Times New Roman" w:cs="Times New Roman"/>
          <w:sz w:val="24"/>
          <w:szCs w:val="24"/>
        </w:rPr>
        <w:t xml:space="preserve">VPS might require guardians to move to a different room within the living space. A request </w:t>
      </w:r>
      <w:proofErr w:type="gramStart"/>
      <w:r w:rsidRPr="00091BB6">
        <w:rPr>
          <w:rFonts w:ascii="Times New Roman" w:hAnsi="Times New Roman" w:cs="Times New Roman"/>
          <w:sz w:val="24"/>
          <w:szCs w:val="24"/>
        </w:rPr>
        <w:t>was expected to be made</w:t>
      </w:r>
      <w:proofErr w:type="gramEnd"/>
      <w:r>
        <w:rPr>
          <w:rFonts w:ascii="Times New Roman" w:hAnsi="Times New Roman" w:cs="Times New Roman"/>
          <w:sz w:val="24"/>
          <w:szCs w:val="24"/>
        </w:rPr>
        <w:t xml:space="preserve"> </w:t>
      </w:r>
      <w:r w:rsidRPr="00091BB6">
        <w:rPr>
          <w:rFonts w:ascii="Times New Roman" w:hAnsi="Times New Roman" w:cs="Times New Roman"/>
          <w:sz w:val="24"/>
          <w:szCs w:val="24"/>
        </w:rPr>
        <w:t>on a regular basis. (clause 4.3)</w:t>
      </w:r>
      <w:r>
        <w:rPr>
          <w:rStyle w:val="FootnoteReference"/>
          <w:rFonts w:ascii="Times New Roman" w:hAnsi="Times New Roman" w:cs="Times New Roman"/>
          <w:sz w:val="24"/>
          <w:szCs w:val="24"/>
        </w:rPr>
        <w:footnoteReference w:id="13"/>
      </w:r>
    </w:p>
    <w:p w:rsidR="004F24E7" w:rsidRDefault="00A764B7" w:rsidP="004F24E7">
      <w:pPr>
        <w:jc w:val="both"/>
        <w:rPr>
          <w:rFonts w:ascii="font0000000025bd86a2" w:hAnsi="font0000000025bd86a2" w:cs="font0000000025bd86a2"/>
          <w:color w:val="000000"/>
          <w:sz w:val="20"/>
          <w:szCs w:val="20"/>
        </w:rPr>
      </w:pPr>
      <w:r>
        <w:rPr>
          <w:rFonts w:ascii="Times New Roman" w:hAnsi="Times New Roman" w:cs="Times New Roman"/>
          <w:sz w:val="24"/>
          <w:szCs w:val="24"/>
        </w:rPr>
        <w:t xml:space="preserve">Importantly, the court considered that the reality of the day-to-day occupation of the property was not what mattered for the purposes of assessing “exclusive occupation” in this context. </w:t>
      </w:r>
      <w:r w:rsidR="00DF709A">
        <w:rPr>
          <w:rFonts w:ascii="Times New Roman" w:hAnsi="Times New Roman" w:cs="Times New Roman"/>
          <w:sz w:val="24"/>
          <w:szCs w:val="24"/>
        </w:rPr>
        <w:t>Instead, the focus should be on the effect any such exercise of rights within an agreement “would have had, if exercised.”</w:t>
      </w:r>
      <w:r w:rsidR="00DF709A">
        <w:rPr>
          <w:rStyle w:val="FootnoteReference"/>
          <w:rFonts w:ascii="Times New Roman" w:hAnsi="Times New Roman" w:cs="Times New Roman"/>
          <w:sz w:val="24"/>
          <w:szCs w:val="24"/>
        </w:rPr>
        <w:footnoteReference w:id="14"/>
      </w:r>
      <w:r w:rsidR="00DF709A">
        <w:rPr>
          <w:rFonts w:ascii="Times New Roman" w:hAnsi="Times New Roman" w:cs="Times New Roman"/>
          <w:sz w:val="24"/>
          <w:szCs w:val="24"/>
        </w:rPr>
        <w:t xml:space="preserve"> Echoing the old cliché, the court underscores that “absence of evidence is not evidence of absence”.</w:t>
      </w:r>
      <w:r w:rsidR="00DF709A">
        <w:rPr>
          <w:rStyle w:val="FootnoteReference"/>
          <w:rFonts w:ascii="Times New Roman" w:hAnsi="Times New Roman" w:cs="Times New Roman"/>
          <w:sz w:val="24"/>
          <w:szCs w:val="24"/>
        </w:rPr>
        <w:footnoteReference w:id="15"/>
      </w:r>
      <w:r w:rsidR="00D7559D">
        <w:rPr>
          <w:rFonts w:ascii="Times New Roman" w:hAnsi="Times New Roman" w:cs="Times New Roman"/>
          <w:sz w:val="24"/>
          <w:szCs w:val="24"/>
        </w:rPr>
        <w:t xml:space="preserve"> The rights accorded to the building owners in respect of the guardian’s occupation were to such an extent that the guardians </w:t>
      </w:r>
      <w:proofErr w:type="gramStart"/>
      <w:r w:rsidR="00D7559D">
        <w:rPr>
          <w:rFonts w:ascii="Times New Roman" w:hAnsi="Times New Roman" w:cs="Times New Roman"/>
          <w:sz w:val="24"/>
          <w:szCs w:val="24"/>
        </w:rPr>
        <w:t>could not be considered</w:t>
      </w:r>
      <w:proofErr w:type="gramEnd"/>
      <w:r w:rsidR="00D7559D">
        <w:rPr>
          <w:rFonts w:ascii="Times New Roman" w:hAnsi="Times New Roman" w:cs="Times New Roman"/>
          <w:sz w:val="24"/>
          <w:szCs w:val="24"/>
        </w:rPr>
        <w:t xml:space="preserve"> to be in exclusive occupation.</w:t>
      </w:r>
      <w:r w:rsidR="004F24E7">
        <w:rPr>
          <w:rFonts w:ascii="Times New Roman" w:hAnsi="Times New Roman" w:cs="Times New Roman"/>
          <w:sz w:val="24"/>
          <w:szCs w:val="24"/>
        </w:rPr>
        <w:t xml:space="preserve"> The court draws a parallel at multiple points between property guardians and lodgers.</w:t>
      </w:r>
      <w:r w:rsidR="004F24E7">
        <w:rPr>
          <w:rStyle w:val="FootnoteReference"/>
          <w:rFonts w:ascii="Times New Roman" w:hAnsi="Times New Roman" w:cs="Times New Roman"/>
          <w:sz w:val="24"/>
          <w:szCs w:val="24"/>
        </w:rPr>
        <w:footnoteReference w:id="16"/>
      </w:r>
    </w:p>
    <w:p w:rsidR="00D7559D" w:rsidRDefault="00B935C6" w:rsidP="001B51FA">
      <w:pPr>
        <w:jc w:val="both"/>
        <w:rPr>
          <w:rFonts w:ascii="Times New Roman" w:hAnsi="Times New Roman" w:cs="Times New Roman"/>
          <w:sz w:val="24"/>
          <w:szCs w:val="24"/>
        </w:rPr>
      </w:pPr>
      <w:proofErr w:type="gramStart"/>
      <w:r>
        <w:rPr>
          <w:rFonts w:ascii="Times New Roman" w:hAnsi="Times New Roman" w:cs="Times New Roman"/>
          <w:sz w:val="24"/>
          <w:szCs w:val="24"/>
        </w:rPr>
        <w:t>As a result</w:t>
      </w:r>
      <w:proofErr w:type="gramEnd"/>
      <w:r>
        <w:rPr>
          <w:rFonts w:ascii="Times New Roman" w:hAnsi="Times New Roman" w:cs="Times New Roman"/>
          <w:sz w:val="24"/>
          <w:szCs w:val="24"/>
        </w:rPr>
        <w:t xml:space="preserve"> of the lack of exclusive occupation and the fact that the guardians’ occupation of the property served a clear purpose for the building owner, the court allowed the appeal.  </w:t>
      </w:r>
      <w:r w:rsidR="00D7428C">
        <w:rPr>
          <w:rFonts w:ascii="Times New Roman" w:hAnsi="Times New Roman" w:cs="Times New Roman"/>
          <w:sz w:val="24"/>
          <w:szCs w:val="24"/>
        </w:rPr>
        <w:t xml:space="preserve">Of the two “candidates” for rateable occupation, </w:t>
      </w:r>
      <w:proofErr w:type="gramStart"/>
      <w:r w:rsidR="00D7428C">
        <w:rPr>
          <w:rFonts w:ascii="Times New Roman" w:hAnsi="Times New Roman" w:cs="Times New Roman"/>
          <w:sz w:val="24"/>
          <w:szCs w:val="24"/>
        </w:rPr>
        <w:t>it was the building owner that</w:t>
      </w:r>
      <w:proofErr w:type="gramEnd"/>
      <w:r w:rsidR="00D7428C">
        <w:rPr>
          <w:rFonts w:ascii="Times New Roman" w:hAnsi="Times New Roman" w:cs="Times New Roman"/>
          <w:sz w:val="24"/>
          <w:szCs w:val="24"/>
        </w:rPr>
        <w:t xml:space="preserve"> was liable.</w:t>
      </w:r>
    </w:p>
    <w:p w:rsidR="00D7428C" w:rsidRDefault="00CC4D38" w:rsidP="001B51FA">
      <w:pPr>
        <w:jc w:val="both"/>
        <w:rPr>
          <w:rFonts w:ascii="Times New Roman" w:hAnsi="Times New Roman" w:cs="Times New Roman"/>
          <w:b/>
          <w:sz w:val="24"/>
          <w:szCs w:val="24"/>
        </w:rPr>
      </w:pPr>
      <w:r>
        <w:rPr>
          <w:rFonts w:ascii="Times New Roman" w:hAnsi="Times New Roman" w:cs="Times New Roman"/>
          <w:b/>
          <w:sz w:val="24"/>
          <w:szCs w:val="24"/>
        </w:rPr>
        <w:t>Discussion</w:t>
      </w:r>
    </w:p>
    <w:p w:rsidR="00A0020B" w:rsidRDefault="00D933BB" w:rsidP="001B51FA">
      <w:pPr>
        <w:jc w:val="both"/>
        <w:rPr>
          <w:rFonts w:ascii="Times New Roman" w:hAnsi="Times New Roman" w:cs="Times New Roman"/>
          <w:sz w:val="24"/>
          <w:szCs w:val="24"/>
        </w:rPr>
      </w:pPr>
      <w:r w:rsidRPr="00D933BB">
        <w:rPr>
          <w:rFonts w:ascii="Times New Roman" w:hAnsi="Times New Roman" w:cs="Times New Roman"/>
          <w:sz w:val="24"/>
          <w:szCs w:val="24"/>
        </w:rPr>
        <w:t xml:space="preserve">This judgment </w:t>
      </w:r>
      <w:r>
        <w:rPr>
          <w:rFonts w:ascii="Times New Roman" w:hAnsi="Times New Roman" w:cs="Times New Roman"/>
          <w:sz w:val="24"/>
          <w:szCs w:val="24"/>
        </w:rPr>
        <w:t xml:space="preserve">is a significant blow to the current “win-win” proposition put forward by property guardianship companies. Particularly for large, commercial, city-centre buildings – among the most profitable candidates for guardianship companies – continuing liability of the building owners for non-domestic rates is a considerable shift in the </w:t>
      </w:r>
      <w:r w:rsidR="00D726B4">
        <w:rPr>
          <w:rFonts w:ascii="Times New Roman" w:hAnsi="Times New Roman" w:cs="Times New Roman"/>
          <w:sz w:val="24"/>
          <w:szCs w:val="24"/>
        </w:rPr>
        <w:t>“b</w:t>
      </w:r>
      <w:r w:rsidR="00D726B4" w:rsidRPr="00AD485E">
        <w:rPr>
          <w:rFonts w:ascii="Times New Roman" w:hAnsi="Times New Roman" w:cs="Times New Roman"/>
          <w:sz w:val="24"/>
          <w:szCs w:val="24"/>
        </w:rPr>
        <w:t>est-practice model</w:t>
      </w:r>
      <w:r w:rsidR="00D726B4">
        <w:rPr>
          <w:rFonts w:ascii="Times New Roman" w:hAnsi="Times New Roman" w:cs="Times New Roman"/>
          <w:sz w:val="24"/>
          <w:szCs w:val="24"/>
        </w:rPr>
        <w:t>”</w:t>
      </w:r>
      <w:r w:rsidR="00D726B4" w:rsidRPr="00AD485E">
        <w:rPr>
          <w:rFonts w:ascii="Times New Roman" w:hAnsi="Times New Roman" w:cs="Times New Roman"/>
          <w:sz w:val="24"/>
          <w:szCs w:val="24"/>
        </w:rPr>
        <w:t xml:space="preserve"> </w:t>
      </w:r>
      <w:r w:rsidR="00D726B4">
        <w:rPr>
          <w:rFonts w:ascii="Times New Roman" w:hAnsi="Times New Roman" w:cs="Times New Roman"/>
          <w:sz w:val="24"/>
          <w:szCs w:val="24"/>
        </w:rPr>
        <w:t>sold by property guardianship companies.</w:t>
      </w:r>
      <w:r w:rsidR="00D726B4">
        <w:rPr>
          <w:rStyle w:val="FootnoteReference"/>
          <w:rFonts w:ascii="Times New Roman" w:hAnsi="Times New Roman" w:cs="Times New Roman"/>
          <w:sz w:val="24"/>
          <w:szCs w:val="24"/>
        </w:rPr>
        <w:footnoteReference w:id="17"/>
      </w:r>
      <w:r w:rsidR="00A0020B">
        <w:rPr>
          <w:rFonts w:ascii="Times New Roman" w:hAnsi="Times New Roman" w:cs="Times New Roman"/>
          <w:sz w:val="24"/>
          <w:szCs w:val="24"/>
        </w:rPr>
        <w:t xml:space="preserve"> It remains to be seen what this means in practice for the day-to-day operation in the sector and how business models, particularly the settin</w:t>
      </w:r>
      <w:r w:rsidR="005C2099">
        <w:rPr>
          <w:rFonts w:ascii="Times New Roman" w:hAnsi="Times New Roman" w:cs="Times New Roman"/>
          <w:sz w:val="24"/>
          <w:szCs w:val="24"/>
        </w:rPr>
        <w:t>g and management of license fee income</w:t>
      </w:r>
      <w:r w:rsidR="00A0020B">
        <w:rPr>
          <w:rFonts w:ascii="Times New Roman" w:hAnsi="Times New Roman" w:cs="Times New Roman"/>
          <w:sz w:val="24"/>
          <w:szCs w:val="24"/>
        </w:rPr>
        <w:t>, may vary in response.</w:t>
      </w:r>
    </w:p>
    <w:p w:rsidR="005F2ECE" w:rsidRDefault="0017116A" w:rsidP="001B51FA">
      <w:pPr>
        <w:jc w:val="both"/>
        <w:rPr>
          <w:rFonts w:ascii="Times New Roman" w:hAnsi="Times New Roman" w:cs="Times New Roman"/>
          <w:sz w:val="24"/>
          <w:szCs w:val="24"/>
        </w:rPr>
      </w:pPr>
      <w:r>
        <w:rPr>
          <w:rFonts w:ascii="Times New Roman" w:hAnsi="Times New Roman" w:cs="Times New Roman"/>
          <w:sz w:val="24"/>
          <w:szCs w:val="24"/>
        </w:rPr>
        <w:t xml:space="preserve">The judgment </w:t>
      </w:r>
      <w:proofErr w:type="gramStart"/>
      <w:r>
        <w:rPr>
          <w:rFonts w:ascii="Times New Roman" w:hAnsi="Times New Roman" w:cs="Times New Roman"/>
          <w:sz w:val="24"/>
          <w:szCs w:val="24"/>
        </w:rPr>
        <w:t>does, however, illustrate</w:t>
      </w:r>
      <w:proofErr w:type="gramEnd"/>
      <w:r>
        <w:rPr>
          <w:rFonts w:ascii="Times New Roman" w:hAnsi="Times New Roman" w:cs="Times New Roman"/>
          <w:sz w:val="24"/>
          <w:szCs w:val="24"/>
        </w:rPr>
        <w:t xml:space="preserve"> two broader issues that have defined policymaker and academic interrogation of the sector to date. The first is the </w:t>
      </w:r>
      <w:r w:rsidR="00E953FD">
        <w:rPr>
          <w:rFonts w:ascii="Times New Roman" w:hAnsi="Times New Roman" w:cs="Times New Roman"/>
          <w:sz w:val="24"/>
          <w:szCs w:val="24"/>
        </w:rPr>
        <w:t xml:space="preserve">inherent Janus-face between how the occupation of property guardians </w:t>
      </w:r>
      <w:proofErr w:type="gramStart"/>
      <w:r w:rsidR="00E953FD">
        <w:rPr>
          <w:rFonts w:ascii="Times New Roman" w:hAnsi="Times New Roman" w:cs="Times New Roman"/>
          <w:sz w:val="24"/>
          <w:szCs w:val="24"/>
        </w:rPr>
        <w:t>is framed</w:t>
      </w:r>
      <w:proofErr w:type="gramEnd"/>
      <w:r w:rsidR="00E953FD">
        <w:rPr>
          <w:rFonts w:ascii="Times New Roman" w:hAnsi="Times New Roman" w:cs="Times New Roman"/>
          <w:sz w:val="24"/>
          <w:szCs w:val="24"/>
        </w:rPr>
        <w:t xml:space="preserve"> differently</w:t>
      </w:r>
      <w:r w:rsidR="0089665D">
        <w:rPr>
          <w:rFonts w:ascii="Times New Roman" w:hAnsi="Times New Roman" w:cs="Times New Roman"/>
          <w:sz w:val="24"/>
          <w:szCs w:val="24"/>
        </w:rPr>
        <w:t xml:space="preserve"> by property guardian companies</w:t>
      </w:r>
      <w:r w:rsidR="00E953FD">
        <w:rPr>
          <w:rFonts w:ascii="Times New Roman" w:hAnsi="Times New Roman" w:cs="Times New Roman"/>
          <w:sz w:val="24"/>
          <w:szCs w:val="24"/>
        </w:rPr>
        <w:t xml:space="preserve">, depending on the legal end.  </w:t>
      </w:r>
      <w:r w:rsidR="00506B68">
        <w:rPr>
          <w:rFonts w:ascii="Times New Roman" w:hAnsi="Times New Roman" w:cs="Times New Roman"/>
          <w:sz w:val="24"/>
          <w:szCs w:val="24"/>
        </w:rPr>
        <w:t xml:space="preserve">The arguments put in </w:t>
      </w:r>
      <w:r w:rsidR="00DD49E1" w:rsidRPr="00DD49E1">
        <w:rPr>
          <w:rFonts w:ascii="Times New Roman" w:hAnsi="Times New Roman" w:cs="Times New Roman"/>
          <w:i/>
          <w:sz w:val="24"/>
          <w:szCs w:val="24"/>
        </w:rPr>
        <w:t xml:space="preserve">Camelot Guardian Management Limited v </w:t>
      </w:r>
      <w:proofErr w:type="spellStart"/>
      <w:r w:rsidR="00DD49E1" w:rsidRPr="00DD49E1">
        <w:rPr>
          <w:rFonts w:ascii="Times New Roman" w:hAnsi="Times New Roman" w:cs="Times New Roman"/>
          <w:i/>
          <w:sz w:val="24"/>
          <w:szCs w:val="24"/>
        </w:rPr>
        <w:t>Heiko</w:t>
      </w:r>
      <w:proofErr w:type="spellEnd"/>
      <w:r w:rsidR="00DD49E1" w:rsidRPr="00DD49E1">
        <w:rPr>
          <w:rFonts w:ascii="Times New Roman" w:hAnsi="Times New Roman" w:cs="Times New Roman"/>
          <w:i/>
          <w:sz w:val="24"/>
          <w:szCs w:val="24"/>
        </w:rPr>
        <w:t xml:space="preserve"> </w:t>
      </w:r>
      <w:proofErr w:type="spellStart"/>
      <w:r w:rsidR="00DD49E1" w:rsidRPr="00DD49E1">
        <w:rPr>
          <w:rFonts w:ascii="Times New Roman" w:hAnsi="Times New Roman" w:cs="Times New Roman"/>
          <w:i/>
          <w:sz w:val="24"/>
          <w:szCs w:val="24"/>
        </w:rPr>
        <w:t>Khoo</w:t>
      </w:r>
      <w:proofErr w:type="spellEnd"/>
      <w:r w:rsidR="003E03EF">
        <w:rPr>
          <w:rStyle w:val="FootnoteReference"/>
          <w:rFonts w:ascii="Times New Roman" w:hAnsi="Times New Roman" w:cs="Times New Roman"/>
          <w:i/>
          <w:sz w:val="24"/>
          <w:szCs w:val="24"/>
        </w:rPr>
        <w:footnoteReference w:id="18"/>
      </w:r>
      <w:r w:rsidR="00DD49E1">
        <w:rPr>
          <w:rFonts w:ascii="Times New Roman" w:hAnsi="Times New Roman" w:cs="Times New Roman"/>
          <w:sz w:val="24"/>
          <w:szCs w:val="24"/>
        </w:rPr>
        <w:t>, analysed in an earlier edition of this journal,</w:t>
      </w:r>
      <w:r w:rsidR="00623E7D">
        <w:rPr>
          <w:rStyle w:val="FootnoteReference"/>
          <w:rFonts w:ascii="Times New Roman" w:hAnsi="Times New Roman" w:cs="Times New Roman"/>
          <w:sz w:val="24"/>
          <w:szCs w:val="24"/>
        </w:rPr>
        <w:footnoteReference w:id="19"/>
      </w:r>
      <w:r w:rsidR="00DD49E1">
        <w:rPr>
          <w:rFonts w:ascii="Times New Roman" w:hAnsi="Times New Roman" w:cs="Times New Roman"/>
          <w:sz w:val="24"/>
          <w:szCs w:val="24"/>
        </w:rPr>
        <w:t xml:space="preserve"> </w:t>
      </w:r>
      <w:r w:rsidR="006E6807">
        <w:rPr>
          <w:rFonts w:ascii="Times New Roman" w:hAnsi="Times New Roman" w:cs="Times New Roman"/>
          <w:sz w:val="24"/>
          <w:szCs w:val="24"/>
        </w:rPr>
        <w:t xml:space="preserve">are an almost mirror image of </w:t>
      </w:r>
      <w:r w:rsidR="006E6807">
        <w:rPr>
          <w:rFonts w:ascii="Times New Roman" w:hAnsi="Times New Roman" w:cs="Times New Roman"/>
          <w:sz w:val="24"/>
          <w:szCs w:val="24"/>
        </w:rPr>
        <w:lastRenderedPageBreak/>
        <w:t>those in</w:t>
      </w:r>
      <w:r w:rsidR="005C5DAC">
        <w:rPr>
          <w:rFonts w:ascii="Times New Roman" w:hAnsi="Times New Roman" w:cs="Times New Roman"/>
          <w:sz w:val="24"/>
          <w:szCs w:val="24"/>
        </w:rPr>
        <w:t xml:space="preserve"> the</w:t>
      </w:r>
      <w:r w:rsidR="006E6807">
        <w:rPr>
          <w:rFonts w:ascii="Times New Roman" w:hAnsi="Times New Roman" w:cs="Times New Roman"/>
          <w:sz w:val="24"/>
          <w:szCs w:val="24"/>
        </w:rPr>
        <w:t xml:space="preserve"> current case. The guardian, Mr </w:t>
      </w:r>
      <w:proofErr w:type="spellStart"/>
      <w:r w:rsidR="006E6807">
        <w:rPr>
          <w:rFonts w:ascii="Times New Roman" w:hAnsi="Times New Roman" w:cs="Times New Roman"/>
          <w:sz w:val="24"/>
          <w:szCs w:val="24"/>
        </w:rPr>
        <w:t>Khoo</w:t>
      </w:r>
      <w:proofErr w:type="spellEnd"/>
      <w:r w:rsidR="006E6807">
        <w:rPr>
          <w:rFonts w:ascii="Times New Roman" w:hAnsi="Times New Roman" w:cs="Times New Roman"/>
          <w:sz w:val="24"/>
          <w:szCs w:val="24"/>
        </w:rPr>
        <w:t xml:space="preserve">, sought </w:t>
      </w:r>
      <w:r w:rsidR="00FF7A05">
        <w:rPr>
          <w:rFonts w:ascii="Times New Roman" w:hAnsi="Times New Roman" w:cs="Times New Roman"/>
          <w:sz w:val="24"/>
          <w:szCs w:val="24"/>
        </w:rPr>
        <w:t xml:space="preserve">(unsuccessfully) </w:t>
      </w:r>
      <w:r w:rsidR="006E6807">
        <w:rPr>
          <w:rFonts w:ascii="Times New Roman" w:hAnsi="Times New Roman" w:cs="Times New Roman"/>
          <w:sz w:val="24"/>
          <w:szCs w:val="24"/>
        </w:rPr>
        <w:t xml:space="preserve">to argue that he had exclusive possession of his </w:t>
      </w:r>
      <w:r w:rsidR="005C2099">
        <w:rPr>
          <w:rFonts w:ascii="Times New Roman" w:hAnsi="Times New Roman" w:cs="Times New Roman"/>
          <w:sz w:val="24"/>
          <w:szCs w:val="24"/>
        </w:rPr>
        <w:t>room in an adapted office block</w:t>
      </w:r>
      <w:r w:rsidR="006E6807">
        <w:rPr>
          <w:rFonts w:ascii="Times New Roman" w:hAnsi="Times New Roman" w:cs="Times New Roman"/>
          <w:sz w:val="24"/>
          <w:szCs w:val="24"/>
        </w:rPr>
        <w:t xml:space="preserve"> and therefor</w:t>
      </w:r>
      <w:r w:rsidR="005F2ECE">
        <w:rPr>
          <w:rFonts w:ascii="Times New Roman" w:hAnsi="Times New Roman" w:cs="Times New Roman"/>
          <w:sz w:val="24"/>
          <w:szCs w:val="24"/>
        </w:rPr>
        <w:t>e was occupying the property via a</w:t>
      </w:r>
      <w:r w:rsidR="006E6807">
        <w:rPr>
          <w:rFonts w:ascii="Times New Roman" w:hAnsi="Times New Roman" w:cs="Times New Roman"/>
          <w:sz w:val="24"/>
          <w:szCs w:val="24"/>
        </w:rPr>
        <w:t xml:space="preserve"> tenancy, rather than by licence. </w:t>
      </w:r>
      <w:r w:rsidR="00FF7A05">
        <w:rPr>
          <w:rFonts w:ascii="Times New Roman" w:hAnsi="Times New Roman" w:cs="Times New Roman"/>
          <w:sz w:val="24"/>
          <w:szCs w:val="24"/>
        </w:rPr>
        <w:t xml:space="preserve">The property guardianship company, </w:t>
      </w:r>
      <w:r w:rsidR="00FF7A05">
        <w:rPr>
          <w:rFonts w:ascii="Times New Roman" w:hAnsi="Times New Roman" w:cs="Times New Roman"/>
          <w:i/>
          <w:sz w:val="24"/>
          <w:szCs w:val="24"/>
        </w:rPr>
        <w:t>Camelot</w:t>
      </w:r>
      <w:r w:rsidR="00FF7A05">
        <w:rPr>
          <w:rFonts w:ascii="Times New Roman" w:hAnsi="Times New Roman" w:cs="Times New Roman"/>
          <w:sz w:val="24"/>
          <w:szCs w:val="24"/>
        </w:rPr>
        <w:t>,</w:t>
      </w:r>
      <w:r w:rsidR="00FF7A05">
        <w:rPr>
          <w:rFonts w:ascii="Times New Roman" w:hAnsi="Times New Roman" w:cs="Times New Roman"/>
          <w:i/>
          <w:sz w:val="24"/>
          <w:szCs w:val="24"/>
        </w:rPr>
        <w:t xml:space="preserve"> </w:t>
      </w:r>
      <w:r w:rsidR="00FF7A05">
        <w:rPr>
          <w:rFonts w:ascii="Times New Roman" w:hAnsi="Times New Roman" w:cs="Times New Roman"/>
          <w:sz w:val="24"/>
          <w:szCs w:val="24"/>
        </w:rPr>
        <w:t xml:space="preserve">could not have constructed the licence agreement any more explicitly against this proposition, with it </w:t>
      </w:r>
      <w:proofErr w:type="gramStart"/>
      <w:r w:rsidR="00FF7A05">
        <w:rPr>
          <w:rFonts w:ascii="Times New Roman" w:hAnsi="Times New Roman" w:cs="Times New Roman"/>
          <w:sz w:val="24"/>
          <w:szCs w:val="24"/>
        </w:rPr>
        <w:t>stating:</w:t>
      </w:r>
      <w:proofErr w:type="gramEnd"/>
      <w:r w:rsidR="00FF7A05">
        <w:rPr>
          <w:rFonts w:ascii="Times New Roman" w:hAnsi="Times New Roman" w:cs="Times New Roman"/>
          <w:sz w:val="24"/>
          <w:szCs w:val="24"/>
        </w:rPr>
        <w:t xml:space="preserve"> </w:t>
      </w:r>
      <w:r w:rsidR="00DE2DA8">
        <w:rPr>
          <w:rFonts w:ascii="Times New Roman" w:hAnsi="Times New Roman" w:cs="Times New Roman"/>
          <w:sz w:val="24"/>
          <w:szCs w:val="24"/>
        </w:rPr>
        <w:t>“</w:t>
      </w:r>
      <w:r w:rsidR="00DE2DA8" w:rsidRPr="00DE2DA8">
        <w:rPr>
          <w:rFonts w:ascii="Times New Roman" w:hAnsi="Times New Roman" w:cs="Times New Roman"/>
          <w:sz w:val="24"/>
          <w:szCs w:val="24"/>
        </w:rPr>
        <w:t>you will not get a right to exclusive occupation of any part of the living space” and “this is not a tenancy”.</w:t>
      </w:r>
      <w:r w:rsidR="00572135">
        <w:rPr>
          <w:rStyle w:val="FootnoteReference"/>
          <w:rFonts w:ascii="Times New Roman" w:hAnsi="Times New Roman" w:cs="Times New Roman"/>
          <w:sz w:val="24"/>
          <w:szCs w:val="24"/>
        </w:rPr>
        <w:footnoteReference w:id="20"/>
      </w:r>
      <w:r w:rsidR="005F2ECE">
        <w:rPr>
          <w:rFonts w:ascii="Times New Roman" w:hAnsi="Times New Roman" w:cs="Times New Roman"/>
          <w:sz w:val="24"/>
          <w:szCs w:val="24"/>
        </w:rPr>
        <w:t xml:space="preserve"> The judgment in </w:t>
      </w:r>
      <w:r w:rsidR="005F2ECE">
        <w:rPr>
          <w:rFonts w:ascii="Times New Roman" w:hAnsi="Times New Roman" w:cs="Times New Roman"/>
          <w:i/>
          <w:sz w:val="24"/>
          <w:szCs w:val="24"/>
        </w:rPr>
        <w:t xml:space="preserve">Ludgate </w:t>
      </w:r>
      <w:r w:rsidR="005C2099">
        <w:rPr>
          <w:rFonts w:ascii="Times New Roman" w:hAnsi="Times New Roman" w:cs="Times New Roman"/>
          <w:sz w:val="24"/>
          <w:szCs w:val="24"/>
        </w:rPr>
        <w:t>demonstrates</w:t>
      </w:r>
      <w:r w:rsidR="005F2ECE">
        <w:rPr>
          <w:rFonts w:ascii="Times New Roman" w:hAnsi="Times New Roman" w:cs="Times New Roman"/>
          <w:sz w:val="24"/>
          <w:szCs w:val="24"/>
        </w:rPr>
        <w:t xml:space="preserve"> that the sector cannot argue in support of exclusive occupation for the purposes of rates assessments, and against for the purposes of guardians’ occupation rights. The “win-win”</w:t>
      </w:r>
      <w:r w:rsidR="005C2099">
        <w:rPr>
          <w:rFonts w:ascii="Times New Roman" w:hAnsi="Times New Roman" w:cs="Times New Roman"/>
          <w:sz w:val="24"/>
          <w:szCs w:val="24"/>
        </w:rPr>
        <w:t xml:space="preserve"> proposition can</w:t>
      </w:r>
      <w:r w:rsidR="005F2ECE">
        <w:rPr>
          <w:rFonts w:ascii="Times New Roman" w:hAnsi="Times New Roman" w:cs="Times New Roman"/>
          <w:sz w:val="24"/>
          <w:szCs w:val="24"/>
        </w:rPr>
        <w:t>not have it both ways.</w:t>
      </w:r>
    </w:p>
    <w:p w:rsidR="00604464" w:rsidRPr="00506B68" w:rsidRDefault="005F2ECE" w:rsidP="00205A1E">
      <w:pPr>
        <w:jc w:val="both"/>
        <w:rPr>
          <w:rFonts w:ascii="Times New Roman" w:hAnsi="Times New Roman" w:cs="Times New Roman"/>
          <w:sz w:val="24"/>
          <w:szCs w:val="24"/>
        </w:rPr>
      </w:pPr>
      <w:r>
        <w:rPr>
          <w:rFonts w:ascii="Times New Roman" w:hAnsi="Times New Roman" w:cs="Times New Roman"/>
          <w:sz w:val="24"/>
          <w:szCs w:val="24"/>
        </w:rPr>
        <w:t xml:space="preserve">Second, the judgment is a further insight into the nature of property guardianship occupation laid bare. </w:t>
      </w:r>
      <w:proofErr w:type="gramStart"/>
      <w:r w:rsidR="00741A3A">
        <w:rPr>
          <w:rFonts w:ascii="Times New Roman" w:hAnsi="Times New Roman" w:cs="Times New Roman"/>
          <w:sz w:val="24"/>
          <w:szCs w:val="24"/>
        </w:rPr>
        <w:t>The court details at length the extent of conditions and limitations i</w:t>
      </w:r>
      <w:r w:rsidR="005C5DAC">
        <w:rPr>
          <w:rFonts w:ascii="Times New Roman" w:hAnsi="Times New Roman" w:cs="Times New Roman"/>
          <w:sz w:val="24"/>
          <w:szCs w:val="24"/>
        </w:rPr>
        <w:t>mposed on guardians via</w:t>
      </w:r>
      <w:r w:rsidR="00741A3A">
        <w:rPr>
          <w:rFonts w:ascii="Times New Roman" w:hAnsi="Times New Roman" w:cs="Times New Roman"/>
          <w:sz w:val="24"/>
          <w:szCs w:val="24"/>
        </w:rPr>
        <w:t xml:space="preserve"> the VPS guardian licence agreement, including </w:t>
      </w:r>
      <w:r w:rsidR="00541640">
        <w:rPr>
          <w:rFonts w:ascii="Times New Roman" w:hAnsi="Times New Roman" w:cs="Times New Roman"/>
          <w:sz w:val="24"/>
          <w:szCs w:val="24"/>
        </w:rPr>
        <w:t xml:space="preserve">the requirement to not be away from the property for more than two nights in a week, </w:t>
      </w:r>
      <w:r w:rsidR="00A466A6">
        <w:rPr>
          <w:rFonts w:ascii="Times New Roman" w:hAnsi="Times New Roman" w:cs="Times New Roman"/>
          <w:sz w:val="24"/>
          <w:szCs w:val="24"/>
        </w:rPr>
        <w:t>a prohibition on guests staying overnight or</w:t>
      </w:r>
      <w:r w:rsidR="005C2099">
        <w:rPr>
          <w:rFonts w:ascii="Times New Roman" w:hAnsi="Times New Roman" w:cs="Times New Roman"/>
          <w:sz w:val="24"/>
          <w:szCs w:val="24"/>
        </w:rPr>
        <w:t xml:space="preserve"> guardians receiving </w:t>
      </w:r>
      <w:r w:rsidR="00A466A6">
        <w:rPr>
          <w:rFonts w:ascii="Times New Roman" w:hAnsi="Times New Roman" w:cs="Times New Roman"/>
          <w:sz w:val="24"/>
          <w:szCs w:val="24"/>
        </w:rPr>
        <w:t>more than two guests at any given time, a prohibition of children at the property, the possibility of without notice variation of the size and extent of the l</w:t>
      </w:r>
      <w:r w:rsidR="005C2099">
        <w:rPr>
          <w:rFonts w:ascii="Times New Roman" w:hAnsi="Times New Roman" w:cs="Times New Roman"/>
          <w:sz w:val="24"/>
          <w:szCs w:val="24"/>
        </w:rPr>
        <w:t xml:space="preserve">iving space – </w:t>
      </w:r>
      <w:r w:rsidR="00A466A6">
        <w:rPr>
          <w:rFonts w:ascii="Times New Roman" w:hAnsi="Times New Roman" w:cs="Times New Roman"/>
          <w:sz w:val="24"/>
          <w:szCs w:val="24"/>
        </w:rPr>
        <w:t>to detail but some.</w:t>
      </w:r>
      <w:r w:rsidR="00A466A6">
        <w:rPr>
          <w:rStyle w:val="FootnoteReference"/>
          <w:rFonts w:ascii="Times New Roman" w:hAnsi="Times New Roman" w:cs="Times New Roman"/>
          <w:sz w:val="24"/>
          <w:szCs w:val="24"/>
        </w:rPr>
        <w:footnoteReference w:id="21"/>
      </w:r>
      <w:proofErr w:type="gramEnd"/>
      <w:r w:rsidR="00205A1E">
        <w:rPr>
          <w:rFonts w:ascii="Times New Roman" w:hAnsi="Times New Roman" w:cs="Times New Roman"/>
          <w:sz w:val="24"/>
          <w:szCs w:val="24"/>
        </w:rPr>
        <w:t xml:space="preserve"> As the court notes, counsel for the building owners conceded themselves that “</w:t>
      </w:r>
      <w:r w:rsidR="00205A1E" w:rsidRPr="00205A1E">
        <w:rPr>
          <w:rFonts w:ascii="Times New Roman" w:hAnsi="Times New Roman" w:cs="Times New Roman"/>
          <w:sz w:val="24"/>
          <w:szCs w:val="24"/>
        </w:rPr>
        <w:t>it is difficult to think of a greater retention of general control</w:t>
      </w:r>
      <w:r w:rsidR="00205A1E">
        <w:rPr>
          <w:rFonts w:ascii="Times New Roman" w:hAnsi="Times New Roman" w:cs="Times New Roman"/>
          <w:sz w:val="24"/>
          <w:szCs w:val="24"/>
        </w:rPr>
        <w:t xml:space="preserve"> </w:t>
      </w:r>
      <w:r w:rsidR="00205A1E" w:rsidRPr="00205A1E">
        <w:rPr>
          <w:rFonts w:ascii="Times New Roman" w:hAnsi="Times New Roman" w:cs="Times New Roman"/>
          <w:sz w:val="24"/>
          <w:szCs w:val="24"/>
        </w:rPr>
        <w:t>over premises than the ability to require the occupier to vacate the premises without notice.</w:t>
      </w:r>
      <w:r w:rsidR="00205A1E">
        <w:rPr>
          <w:rFonts w:ascii="Times New Roman" w:hAnsi="Times New Roman" w:cs="Times New Roman"/>
          <w:sz w:val="24"/>
          <w:szCs w:val="24"/>
        </w:rPr>
        <w:t>”</w:t>
      </w:r>
      <w:r w:rsidR="00FE3C46">
        <w:rPr>
          <w:rStyle w:val="FootnoteReference"/>
          <w:rFonts w:ascii="Times New Roman" w:hAnsi="Times New Roman" w:cs="Times New Roman"/>
          <w:sz w:val="24"/>
          <w:szCs w:val="24"/>
        </w:rPr>
        <w:footnoteReference w:id="22"/>
      </w:r>
    </w:p>
    <w:p w:rsidR="00614041" w:rsidRDefault="00AE1D45" w:rsidP="007F4118">
      <w:pPr>
        <w:jc w:val="both"/>
        <w:rPr>
          <w:rFonts w:ascii="Times New Roman" w:hAnsi="Times New Roman" w:cs="Times New Roman"/>
          <w:sz w:val="24"/>
          <w:szCs w:val="24"/>
        </w:rPr>
      </w:pPr>
      <w:r>
        <w:rPr>
          <w:rFonts w:ascii="Times New Roman" w:hAnsi="Times New Roman" w:cs="Times New Roman"/>
          <w:sz w:val="24"/>
          <w:szCs w:val="24"/>
        </w:rPr>
        <w:t xml:space="preserve">The property guardianship </w:t>
      </w:r>
      <w:r w:rsidR="005C5DAC">
        <w:rPr>
          <w:rFonts w:ascii="Times New Roman" w:hAnsi="Times New Roman" w:cs="Times New Roman"/>
          <w:sz w:val="24"/>
          <w:szCs w:val="24"/>
        </w:rPr>
        <w:t xml:space="preserve">business </w:t>
      </w:r>
      <w:r>
        <w:rPr>
          <w:rFonts w:ascii="Times New Roman" w:hAnsi="Times New Roman" w:cs="Times New Roman"/>
          <w:sz w:val="24"/>
          <w:szCs w:val="24"/>
        </w:rPr>
        <w:t xml:space="preserve">model adopted by many </w:t>
      </w:r>
      <w:proofErr w:type="gramStart"/>
      <w:r>
        <w:rPr>
          <w:rFonts w:ascii="Times New Roman" w:hAnsi="Times New Roman" w:cs="Times New Roman"/>
          <w:sz w:val="24"/>
          <w:szCs w:val="24"/>
        </w:rPr>
        <w:t>operators</w:t>
      </w:r>
      <w:proofErr w:type="gramEnd"/>
      <w:r>
        <w:rPr>
          <w:rFonts w:ascii="Times New Roman" w:hAnsi="Times New Roman" w:cs="Times New Roman"/>
          <w:sz w:val="24"/>
          <w:szCs w:val="24"/>
        </w:rPr>
        <w:t xml:space="preserve"> works through the amorphous construction of the “property guardian” – at once enjoying sufficiently exclusive occupation to attract rate liability, while a</w:t>
      </w:r>
      <w:r w:rsidR="00415773">
        <w:rPr>
          <w:rFonts w:ascii="Times New Roman" w:hAnsi="Times New Roman" w:cs="Times New Roman"/>
          <w:sz w:val="24"/>
          <w:szCs w:val="24"/>
        </w:rPr>
        <w:t>ttracting insufficient exclusive</w:t>
      </w:r>
      <w:r>
        <w:rPr>
          <w:rFonts w:ascii="Times New Roman" w:hAnsi="Times New Roman" w:cs="Times New Roman"/>
          <w:sz w:val="24"/>
          <w:szCs w:val="24"/>
        </w:rPr>
        <w:t xml:space="preserve"> possession to occupy via a tenancy. </w:t>
      </w:r>
      <w:r w:rsidR="00F445F9">
        <w:rPr>
          <w:rFonts w:ascii="Times New Roman" w:hAnsi="Times New Roman" w:cs="Times New Roman"/>
          <w:sz w:val="24"/>
          <w:szCs w:val="24"/>
        </w:rPr>
        <w:t xml:space="preserve">The judgment of the court in </w:t>
      </w:r>
      <w:r w:rsidR="00F445F9">
        <w:rPr>
          <w:rFonts w:ascii="Times New Roman" w:hAnsi="Times New Roman" w:cs="Times New Roman"/>
          <w:i/>
          <w:sz w:val="24"/>
          <w:szCs w:val="24"/>
        </w:rPr>
        <w:t>Ludgate</w:t>
      </w:r>
      <w:r w:rsidR="00F445F9">
        <w:rPr>
          <w:rFonts w:ascii="Times New Roman" w:hAnsi="Times New Roman" w:cs="Times New Roman"/>
          <w:sz w:val="24"/>
          <w:szCs w:val="24"/>
        </w:rPr>
        <w:t xml:space="preserve"> illustrates that the foundation of the “win-win” proposition sold to building owners </w:t>
      </w:r>
      <w:r w:rsidR="006F7B87">
        <w:rPr>
          <w:rFonts w:ascii="Times New Roman" w:hAnsi="Times New Roman" w:cs="Times New Roman"/>
          <w:sz w:val="24"/>
          <w:szCs w:val="24"/>
        </w:rPr>
        <w:t>can be problematic in practice</w:t>
      </w:r>
      <w:r w:rsidR="00BA6920">
        <w:rPr>
          <w:rFonts w:ascii="Times New Roman" w:hAnsi="Times New Roman" w:cs="Times New Roman"/>
          <w:sz w:val="24"/>
          <w:szCs w:val="24"/>
        </w:rPr>
        <w:t xml:space="preserve">. By focusing on the extent of the conditions and lack of security offered in their licence agreements, the judgment </w:t>
      </w:r>
      <w:r w:rsidR="000A7E5E">
        <w:rPr>
          <w:rFonts w:ascii="Times New Roman" w:hAnsi="Times New Roman" w:cs="Times New Roman"/>
          <w:sz w:val="24"/>
          <w:szCs w:val="24"/>
        </w:rPr>
        <w:t xml:space="preserve">also </w:t>
      </w:r>
      <w:r w:rsidR="00BA6920">
        <w:rPr>
          <w:rFonts w:ascii="Times New Roman" w:hAnsi="Times New Roman" w:cs="Times New Roman"/>
          <w:sz w:val="24"/>
          <w:szCs w:val="24"/>
        </w:rPr>
        <w:t xml:space="preserve">underscores the extent of </w:t>
      </w:r>
      <w:proofErr w:type="spellStart"/>
      <w:r w:rsidR="00BA6920">
        <w:rPr>
          <w:rFonts w:ascii="Times New Roman" w:hAnsi="Times New Roman" w:cs="Times New Roman"/>
          <w:sz w:val="24"/>
          <w:szCs w:val="24"/>
        </w:rPr>
        <w:t>precarity</w:t>
      </w:r>
      <w:proofErr w:type="spellEnd"/>
      <w:r w:rsidR="00BA6920">
        <w:rPr>
          <w:rFonts w:ascii="Times New Roman" w:hAnsi="Times New Roman" w:cs="Times New Roman"/>
          <w:sz w:val="24"/>
          <w:szCs w:val="24"/>
        </w:rPr>
        <w:t xml:space="preserve"> faced by guardians living in the sector.</w:t>
      </w:r>
    </w:p>
    <w:p w:rsidR="001B51FA" w:rsidRPr="00F80916" w:rsidRDefault="001B51FA" w:rsidP="007F4118">
      <w:pPr>
        <w:jc w:val="both"/>
        <w:rPr>
          <w:rFonts w:ascii="Times New Roman" w:hAnsi="Times New Roman" w:cs="Times New Roman"/>
          <w:sz w:val="24"/>
          <w:szCs w:val="24"/>
        </w:rPr>
      </w:pPr>
    </w:p>
    <w:p w:rsidR="004A49BE" w:rsidRDefault="004A49BE" w:rsidP="007F4118">
      <w:pPr>
        <w:jc w:val="both"/>
        <w:rPr>
          <w:rFonts w:ascii="Times New Roman" w:hAnsi="Times New Roman" w:cs="Times New Roman"/>
          <w:sz w:val="24"/>
          <w:szCs w:val="24"/>
        </w:rPr>
      </w:pPr>
    </w:p>
    <w:sectPr w:rsidR="004A49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371" w:rsidRDefault="00126371" w:rsidP="004140BD">
      <w:pPr>
        <w:spacing w:after="0" w:line="240" w:lineRule="auto"/>
      </w:pPr>
      <w:r>
        <w:separator/>
      </w:r>
    </w:p>
  </w:endnote>
  <w:endnote w:type="continuationSeparator" w:id="0">
    <w:p w:rsidR="00126371" w:rsidRDefault="00126371" w:rsidP="00414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0000000025bd86a2">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371" w:rsidRDefault="00126371" w:rsidP="004140BD">
      <w:pPr>
        <w:spacing w:after="0" w:line="240" w:lineRule="auto"/>
      </w:pPr>
      <w:r>
        <w:separator/>
      </w:r>
    </w:p>
  </w:footnote>
  <w:footnote w:type="continuationSeparator" w:id="0">
    <w:p w:rsidR="00126371" w:rsidRDefault="00126371" w:rsidP="004140BD">
      <w:pPr>
        <w:spacing w:after="0" w:line="240" w:lineRule="auto"/>
      </w:pPr>
      <w:r>
        <w:continuationSeparator/>
      </w:r>
    </w:p>
  </w:footnote>
  <w:footnote w:id="1">
    <w:p w:rsidR="0099716B" w:rsidRPr="0099716B" w:rsidRDefault="0099716B">
      <w:pPr>
        <w:pStyle w:val="FootnoteText"/>
        <w:rPr>
          <w:rFonts w:ascii="Times New Roman" w:hAnsi="Times New Roman" w:cs="Times New Roman"/>
          <w:sz w:val="22"/>
          <w:szCs w:val="22"/>
        </w:rPr>
      </w:pPr>
      <w:r>
        <w:rPr>
          <w:rFonts w:ascii="Times New Roman" w:hAnsi="Times New Roman" w:cs="Times New Roman"/>
        </w:rPr>
        <w:t>*</w:t>
      </w:r>
      <w:r w:rsidRPr="0099716B">
        <w:rPr>
          <w:rFonts w:ascii="Times New Roman" w:hAnsi="Times New Roman" w:cs="Times New Roman"/>
          <w:sz w:val="22"/>
          <w:szCs w:val="22"/>
        </w:rPr>
        <w:t xml:space="preserve">Lecturer in Law, York Law School, University of York. </w:t>
      </w:r>
    </w:p>
    <w:p w:rsidR="0099716B" w:rsidRPr="0099716B" w:rsidRDefault="0099716B">
      <w:pPr>
        <w:pStyle w:val="FootnoteText"/>
        <w:rPr>
          <w:rFonts w:ascii="Times New Roman" w:hAnsi="Times New Roman" w:cs="Times New Roman"/>
          <w:sz w:val="22"/>
          <w:szCs w:val="22"/>
        </w:rPr>
      </w:pPr>
      <w:r w:rsidRPr="0099716B">
        <w:rPr>
          <w:rFonts w:ascii="Times New Roman" w:hAnsi="Times New Roman" w:cs="Times New Roman"/>
          <w:sz w:val="22"/>
          <w:szCs w:val="22"/>
        </w:rPr>
        <w:t xml:space="preserve">Email: </w:t>
      </w:r>
      <w:hyperlink r:id="rId1" w:history="1">
        <w:r w:rsidRPr="0099716B">
          <w:rPr>
            <w:rStyle w:val="Hyperlink"/>
            <w:rFonts w:ascii="Times New Roman" w:hAnsi="Times New Roman" w:cs="Times New Roman"/>
            <w:sz w:val="22"/>
            <w:szCs w:val="22"/>
          </w:rPr>
          <w:t>jed.meers@york.ac.uk</w:t>
        </w:r>
      </w:hyperlink>
      <w:r w:rsidRPr="0099716B">
        <w:rPr>
          <w:rFonts w:ascii="Times New Roman" w:hAnsi="Times New Roman" w:cs="Times New Roman"/>
          <w:sz w:val="22"/>
          <w:szCs w:val="22"/>
        </w:rPr>
        <w:t xml:space="preserve"> </w:t>
      </w:r>
    </w:p>
    <w:p w:rsidR="0099716B" w:rsidRDefault="0099716B">
      <w:pPr>
        <w:pStyle w:val="FootnoteText"/>
        <w:rPr>
          <w:rFonts w:ascii="Times New Roman" w:hAnsi="Times New Roman" w:cs="Times New Roman"/>
        </w:rPr>
      </w:pPr>
    </w:p>
    <w:p w:rsidR="00BA5037" w:rsidRPr="003E03EF" w:rsidRDefault="00BA5037">
      <w:pPr>
        <w:pStyle w:val="FootnoteText"/>
        <w:rPr>
          <w:rFonts w:ascii="Times New Roman" w:hAnsi="Times New Roman" w:cs="Times New Roman"/>
        </w:rPr>
      </w:pPr>
      <w:r w:rsidRPr="003E03EF">
        <w:rPr>
          <w:rStyle w:val="FootnoteReference"/>
          <w:rFonts w:ascii="Times New Roman" w:hAnsi="Times New Roman" w:cs="Times New Roman"/>
        </w:rPr>
        <w:footnoteRef/>
      </w:r>
      <w:r w:rsidRPr="003E03EF">
        <w:rPr>
          <w:rFonts w:ascii="Times New Roman" w:hAnsi="Times New Roman" w:cs="Times New Roman"/>
        </w:rPr>
        <w:t xml:space="preserve"> [2020] EWCA </w:t>
      </w:r>
      <w:proofErr w:type="spellStart"/>
      <w:r w:rsidRPr="003E03EF">
        <w:rPr>
          <w:rFonts w:ascii="Times New Roman" w:hAnsi="Times New Roman" w:cs="Times New Roman"/>
        </w:rPr>
        <w:t>Civ</w:t>
      </w:r>
      <w:proofErr w:type="spellEnd"/>
      <w:r w:rsidRPr="003E03EF">
        <w:rPr>
          <w:rFonts w:ascii="Times New Roman" w:hAnsi="Times New Roman" w:cs="Times New Roman"/>
        </w:rPr>
        <w:t xml:space="preserve"> 1637</w:t>
      </w:r>
    </w:p>
  </w:footnote>
  <w:footnote w:id="2">
    <w:p w:rsidR="00C15493" w:rsidRPr="003E03EF" w:rsidRDefault="00C15493">
      <w:pPr>
        <w:pStyle w:val="FootnoteText"/>
        <w:rPr>
          <w:rFonts w:ascii="Times New Roman" w:hAnsi="Times New Roman" w:cs="Times New Roman"/>
        </w:rPr>
      </w:pPr>
      <w:r w:rsidRPr="003E03EF">
        <w:rPr>
          <w:rStyle w:val="FootnoteReference"/>
          <w:rFonts w:ascii="Times New Roman" w:hAnsi="Times New Roman" w:cs="Times New Roman"/>
        </w:rPr>
        <w:footnoteRef/>
      </w:r>
      <w:r w:rsidRPr="003E03EF">
        <w:rPr>
          <w:rFonts w:ascii="Times New Roman" w:hAnsi="Times New Roman" w:cs="Times New Roman"/>
        </w:rPr>
        <w:t xml:space="preserve"> </w:t>
      </w:r>
      <w:r w:rsidR="003C3BB0" w:rsidRPr="003E03EF">
        <w:rPr>
          <w:rFonts w:ascii="Times New Roman" w:hAnsi="Times New Roman" w:cs="Times New Roman"/>
        </w:rPr>
        <w:t xml:space="preserve">VPS Guardians, ‘Ludgate House – Case Study’ (2020) at: </w:t>
      </w:r>
      <w:hyperlink r:id="rId2" w:history="1">
        <w:r w:rsidR="003C3BB0" w:rsidRPr="003E03EF">
          <w:rPr>
            <w:rStyle w:val="Hyperlink"/>
            <w:rFonts w:ascii="Times New Roman" w:hAnsi="Times New Roman" w:cs="Times New Roman"/>
          </w:rPr>
          <w:t>https://www.vps-guardians.co.uk/ludgate-house-case-study/</w:t>
        </w:r>
      </w:hyperlink>
      <w:r w:rsidR="003C3BB0" w:rsidRPr="003E03EF">
        <w:rPr>
          <w:rFonts w:ascii="Times New Roman" w:hAnsi="Times New Roman" w:cs="Times New Roman"/>
        </w:rPr>
        <w:t xml:space="preserve"> [accessed 24</w:t>
      </w:r>
      <w:r w:rsidR="003C3BB0" w:rsidRPr="003E03EF">
        <w:rPr>
          <w:rFonts w:ascii="Times New Roman" w:hAnsi="Times New Roman" w:cs="Times New Roman"/>
          <w:vertAlign w:val="superscript"/>
        </w:rPr>
        <w:t>th</w:t>
      </w:r>
      <w:r w:rsidR="003C3BB0" w:rsidRPr="003E03EF">
        <w:rPr>
          <w:rFonts w:ascii="Times New Roman" w:hAnsi="Times New Roman" w:cs="Times New Roman"/>
        </w:rPr>
        <w:t xml:space="preserve"> January 2021].</w:t>
      </w:r>
    </w:p>
  </w:footnote>
  <w:footnote w:id="3">
    <w:p w:rsidR="00990780" w:rsidRPr="003E03EF" w:rsidRDefault="00990780">
      <w:pPr>
        <w:pStyle w:val="FootnoteText"/>
        <w:rPr>
          <w:rFonts w:ascii="Times New Roman" w:hAnsi="Times New Roman" w:cs="Times New Roman"/>
        </w:rPr>
      </w:pPr>
      <w:r w:rsidRPr="003E03EF">
        <w:rPr>
          <w:rStyle w:val="FootnoteReference"/>
          <w:rFonts w:ascii="Times New Roman" w:hAnsi="Times New Roman" w:cs="Times New Roman"/>
        </w:rPr>
        <w:footnoteRef/>
      </w:r>
      <w:r w:rsidRPr="003E03EF">
        <w:rPr>
          <w:rFonts w:ascii="Times New Roman" w:hAnsi="Times New Roman" w:cs="Times New Roman"/>
        </w:rPr>
        <w:t xml:space="preserve"> </w:t>
      </w:r>
      <w:r w:rsidR="00BA5037" w:rsidRPr="003E03EF">
        <w:rPr>
          <w:rFonts w:ascii="Times New Roman" w:hAnsi="Times New Roman" w:cs="Times New Roman"/>
          <w:i/>
        </w:rPr>
        <w:t xml:space="preserve">Ludgate </w:t>
      </w:r>
      <w:r w:rsidR="00BA5037" w:rsidRPr="003E03EF">
        <w:rPr>
          <w:rFonts w:ascii="Times New Roman" w:hAnsi="Times New Roman" w:cs="Times New Roman"/>
        </w:rPr>
        <w:t>(n 1) [</w:t>
      </w:r>
      <w:r w:rsidRPr="003E03EF">
        <w:rPr>
          <w:rFonts w:ascii="Times New Roman" w:hAnsi="Times New Roman" w:cs="Times New Roman"/>
        </w:rPr>
        <w:t>28</w:t>
      </w:r>
      <w:r w:rsidR="00BA5037" w:rsidRPr="003E03EF">
        <w:rPr>
          <w:rFonts w:ascii="Times New Roman" w:hAnsi="Times New Roman" w:cs="Times New Roman"/>
        </w:rPr>
        <w:t>]</w:t>
      </w:r>
      <w:r w:rsidRPr="003E03EF">
        <w:rPr>
          <w:rFonts w:ascii="Times New Roman" w:hAnsi="Times New Roman" w:cs="Times New Roman"/>
        </w:rPr>
        <w:t>.</w:t>
      </w:r>
    </w:p>
  </w:footnote>
  <w:footnote w:id="4">
    <w:p w:rsidR="007A6991" w:rsidRPr="003E03EF" w:rsidRDefault="007A6991">
      <w:pPr>
        <w:pStyle w:val="FootnoteText"/>
        <w:rPr>
          <w:rFonts w:ascii="Times New Roman" w:hAnsi="Times New Roman" w:cs="Times New Roman"/>
        </w:rPr>
      </w:pPr>
      <w:r w:rsidRPr="003E03EF">
        <w:rPr>
          <w:rStyle w:val="FootnoteReference"/>
          <w:rFonts w:ascii="Times New Roman" w:hAnsi="Times New Roman" w:cs="Times New Roman"/>
        </w:rPr>
        <w:footnoteRef/>
      </w:r>
      <w:r w:rsidRPr="003E03EF">
        <w:rPr>
          <w:rFonts w:ascii="Times New Roman" w:hAnsi="Times New Roman" w:cs="Times New Roman"/>
        </w:rPr>
        <w:t xml:space="preserve"> </w:t>
      </w:r>
      <w:r w:rsidR="00BA5037" w:rsidRPr="003E03EF">
        <w:rPr>
          <w:rFonts w:ascii="Times New Roman" w:hAnsi="Times New Roman" w:cs="Times New Roman"/>
        </w:rPr>
        <w:t>Ibid [29].</w:t>
      </w:r>
    </w:p>
  </w:footnote>
  <w:footnote w:id="5">
    <w:p w:rsidR="00792952" w:rsidRPr="003E03EF" w:rsidRDefault="00792952">
      <w:pPr>
        <w:pStyle w:val="FootnoteText"/>
        <w:rPr>
          <w:rFonts w:ascii="Times New Roman" w:hAnsi="Times New Roman" w:cs="Times New Roman"/>
        </w:rPr>
      </w:pPr>
      <w:r w:rsidRPr="003E03EF">
        <w:rPr>
          <w:rStyle w:val="FootnoteReference"/>
          <w:rFonts w:ascii="Times New Roman" w:hAnsi="Times New Roman" w:cs="Times New Roman"/>
        </w:rPr>
        <w:footnoteRef/>
      </w:r>
      <w:r w:rsidRPr="003E03EF">
        <w:rPr>
          <w:rFonts w:ascii="Times New Roman" w:hAnsi="Times New Roman" w:cs="Times New Roman"/>
        </w:rPr>
        <w:t xml:space="preserve"> </w:t>
      </w:r>
      <w:r w:rsidR="00BA5037" w:rsidRPr="003E03EF">
        <w:rPr>
          <w:rFonts w:ascii="Times New Roman" w:hAnsi="Times New Roman" w:cs="Times New Roman"/>
        </w:rPr>
        <w:t>Questions adapted from ibid</w:t>
      </w:r>
      <w:r w:rsidRPr="003E03EF">
        <w:rPr>
          <w:rFonts w:ascii="Times New Roman" w:hAnsi="Times New Roman" w:cs="Times New Roman"/>
        </w:rPr>
        <w:t xml:space="preserve"> [32].</w:t>
      </w:r>
    </w:p>
  </w:footnote>
  <w:footnote w:id="6">
    <w:p w:rsidR="00A04984" w:rsidRPr="003E03EF" w:rsidRDefault="00A04984">
      <w:pPr>
        <w:pStyle w:val="FootnoteText"/>
        <w:rPr>
          <w:rFonts w:ascii="Times New Roman" w:hAnsi="Times New Roman" w:cs="Times New Roman"/>
        </w:rPr>
      </w:pPr>
      <w:r w:rsidRPr="003E03EF">
        <w:rPr>
          <w:rStyle w:val="FootnoteReference"/>
          <w:rFonts w:ascii="Times New Roman" w:hAnsi="Times New Roman" w:cs="Times New Roman"/>
        </w:rPr>
        <w:footnoteRef/>
      </w:r>
      <w:r w:rsidRPr="003E03EF">
        <w:rPr>
          <w:rFonts w:ascii="Times New Roman" w:hAnsi="Times New Roman" w:cs="Times New Roman"/>
        </w:rPr>
        <w:t xml:space="preserve"> </w:t>
      </w:r>
      <w:r w:rsidR="00941346" w:rsidRPr="003E03EF">
        <w:rPr>
          <w:rFonts w:ascii="Times New Roman" w:hAnsi="Times New Roman" w:cs="Times New Roman"/>
        </w:rPr>
        <w:t>Ibid [</w:t>
      </w:r>
      <w:r w:rsidRPr="003E03EF">
        <w:rPr>
          <w:rFonts w:ascii="Times New Roman" w:hAnsi="Times New Roman" w:cs="Times New Roman"/>
        </w:rPr>
        <w:t>40</w:t>
      </w:r>
      <w:r w:rsidR="00941346" w:rsidRPr="003E03EF">
        <w:rPr>
          <w:rFonts w:ascii="Times New Roman" w:hAnsi="Times New Roman" w:cs="Times New Roman"/>
        </w:rPr>
        <w:t>].</w:t>
      </w:r>
    </w:p>
  </w:footnote>
  <w:footnote w:id="7">
    <w:p w:rsidR="009C7910" w:rsidRPr="003E03EF" w:rsidRDefault="009C7910">
      <w:pPr>
        <w:pStyle w:val="FootnoteText"/>
        <w:rPr>
          <w:rFonts w:ascii="Times New Roman" w:hAnsi="Times New Roman" w:cs="Times New Roman"/>
        </w:rPr>
      </w:pPr>
      <w:r w:rsidRPr="003E03EF">
        <w:rPr>
          <w:rStyle w:val="FootnoteReference"/>
          <w:rFonts w:ascii="Times New Roman" w:hAnsi="Times New Roman" w:cs="Times New Roman"/>
        </w:rPr>
        <w:footnoteRef/>
      </w:r>
      <w:r w:rsidRPr="003E03EF">
        <w:rPr>
          <w:rFonts w:ascii="Times New Roman" w:hAnsi="Times New Roman" w:cs="Times New Roman"/>
        </w:rPr>
        <w:t xml:space="preserve"> </w:t>
      </w:r>
      <w:r w:rsidR="00941346" w:rsidRPr="003E03EF">
        <w:rPr>
          <w:rFonts w:ascii="Times New Roman" w:hAnsi="Times New Roman" w:cs="Times New Roman"/>
        </w:rPr>
        <w:t>Ibid [</w:t>
      </w:r>
      <w:r w:rsidRPr="003E03EF">
        <w:rPr>
          <w:rFonts w:ascii="Times New Roman" w:hAnsi="Times New Roman" w:cs="Times New Roman"/>
        </w:rPr>
        <w:t>70</w:t>
      </w:r>
      <w:r w:rsidR="00941346" w:rsidRPr="003E03EF">
        <w:rPr>
          <w:rFonts w:ascii="Times New Roman" w:hAnsi="Times New Roman" w:cs="Times New Roman"/>
        </w:rPr>
        <w:t>]</w:t>
      </w:r>
      <w:r w:rsidRPr="003E03EF">
        <w:rPr>
          <w:rFonts w:ascii="Times New Roman" w:hAnsi="Times New Roman" w:cs="Times New Roman"/>
        </w:rPr>
        <w:t>.</w:t>
      </w:r>
    </w:p>
  </w:footnote>
  <w:footnote w:id="8">
    <w:p w:rsidR="004563BB" w:rsidRPr="003E03EF" w:rsidRDefault="004563BB">
      <w:pPr>
        <w:pStyle w:val="FootnoteText"/>
        <w:rPr>
          <w:rFonts w:ascii="Times New Roman" w:hAnsi="Times New Roman" w:cs="Times New Roman"/>
        </w:rPr>
      </w:pPr>
      <w:r w:rsidRPr="003E03EF">
        <w:rPr>
          <w:rStyle w:val="FootnoteReference"/>
          <w:rFonts w:ascii="Times New Roman" w:hAnsi="Times New Roman" w:cs="Times New Roman"/>
        </w:rPr>
        <w:footnoteRef/>
      </w:r>
      <w:r w:rsidRPr="003E03EF">
        <w:rPr>
          <w:rFonts w:ascii="Times New Roman" w:hAnsi="Times New Roman" w:cs="Times New Roman"/>
        </w:rPr>
        <w:t xml:space="preserve"> </w:t>
      </w:r>
      <w:r w:rsidR="00941346" w:rsidRPr="003E03EF">
        <w:rPr>
          <w:rFonts w:ascii="Times New Roman" w:hAnsi="Times New Roman" w:cs="Times New Roman"/>
        </w:rPr>
        <w:t>Ibid</w:t>
      </w:r>
      <w:r w:rsidRPr="003E03EF">
        <w:rPr>
          <w:rFonts w:ascii="Times New Roman" w:hAnsi="Times New Roman" w:cs="Times New Roman"/>
        </w:rPr>
        <w:t xml:space="preserve"> </w:t>
      </w:r>
      <w:r w:rsidR="00941346" w:rsidRPr="003E03EF">
        <w:rPr>
          <w:rFonts w:ascii="Times New Roman" w:hAnsi="Times New Roman" w:cs="Times New Roman"/>
        </w:rPr>
        <w:t>[</w:t>
      </w:r>
      <w:r w:rsidRPr="003E03EF">
        <w:rPr>
          <w:rFonts w:ascii="Times New Roman" w:hAnsi="Times New Roman" w:cs="Times New Roman"/>
        </w:rPr>
        <w:t>71</w:t>
      </w:r>
      <w:r w:rsidR="00941346" w:rsidRPr="003E03EF">
        <w:rPr>
          <w:rFonts w:ascii="Times New Roman" w:hAnsi="Times New Roman" w:cs="Times New Roman"/>
        </w:rPr>
        <w:t>]</w:t>
      </w:r>
      <w:r w:rsidRPr="003E03EF">
        <w:rPr>
          <w:rFonts w:ascii="Times New Roman" w:hAnsi="Times New Roman" w:cs="Times New Roman"/>
        </w:rPr>
        <w:t>.</w:t>
      </w:r>
    </w:p>
  </w:footnote>
  <w:footnote w:id="9">
    <w:p w:rsidR="00643731" w:rsidRPr="003E03EF" w:rsidRDefault="00643731">
      <w:pPr>
        <w:pStyle w:val="FootnoteText"/>
        <w:rPr>
          <w:rFonts w:ascii="Times New Roman" w:hAnsi="Times New Roman" w:cs="Times New Roman"/>
        </w:rPr>
      </w:pPr>
      <w:r w:rsidRPr="003E03EF">
        <w:rPr>
          <w:rStyle w:val="FootnoteReference"/>
          <w:rFonts w:ascii="Times New Roman" w:hAnsi="Times New Roman" w:cs="Times New Roman"/>
        </w:rPr>
        <w:footnoteRef/>
      </w:r>
      <w:r w:rsidRPr="003E03EF">
        <w:rPr>
          <w:rFonts w:ascii="Times New Roman" w:hAnsi="Times New Roman" w:cs="Times New Roman"/>
        </w:rPr>
        <w:t xml:space="preserve"> </w:t>
      </w:r>
      <w:r w:rsidR="00941346" w:rsidRPr="003E03EF">
        <w:rPr>
          <w:rFonts w:ascii="Times New Roman" w:hAnsi="Times New Roman" w:cs="Times New Roman"/>
        </w:rPr>
        <w:t>Ibid [</w:t>
      </w:r>
      <w:r w:rsidRPr="003E03EF">
        <w:rPr>
          <w:rFonts w:ascii="Times New Roman" w:hAnsi="Times New Roman" w:cs="Times New Roman"/>
        </w:rPr>
        <w:t>70</w:t>
      </w:r>
      <w:r w:rsidR="00941346" w:rsidRPr="003E03EF">
        <w:rPr>
          <w:rFonts w:ascii="Times New Roman" w:hAnsi="Times New Roman" w:cs="Times New Roman"/>
        </w:rPr>
        <w:t>]</w:t>
      </w:r>
      <w:r w:rsidRPr="003E03EF">
        <w:rPr>
          <w:rFonts w:ascii="Times New Roman" w:hAnsi="Times New Roman" w:cs="Times New Roman"/>
        </w:rPr>
        <w:t>.</w:t>
      </w:r>
    </w:p>
  </w:footnote>
  <w:footnote w:id="10">
    <w:p w:rsidR="00D07511" w:rsidRPr="003E03EF" w:rsidRDefault="00D07511">
      <w:pPr>
        <w:pStyle w:val="FootnoteText"/>
        <w:rPr>
          <w:rFonts w:ascii="Times New Roman" w:hAnsi="Times New Roman" w:cs="Times New Roman"/>
        </w:rPr>
      </w:pPr>
      <w:r w:rsidRPr="003E03EF">
        <w:rPr>
          <w:rStyle w:val="FootnoteReference"/>
          <w:rFonts w:ascii="Times New Roman" w:hAnsi="Times New Roman" w:cs="Times New Roman"/>
        </w:rPr>
        <w:footnoteRef/>
      </w:r>
      <w:r w:rsidRPr="003E03EF">
        <w:rPr>
          <w:rFonts w:ascii="Times New Roman" w:hAnsi="Times New Roman" w:cs="Times New Roman"/>
        </w:rPr>
        <w:t xml:space="preserve"> </w:t>
      </w:r>
      <w:r w:rsidR="00941346" w:rsidRPr="003E03EF">
        <w:rPr>
          <w:rFonts w:ascii="Times New Roman" w:hAnsi="Times New Roman" w:cs="Times New Roman"/>
        </w:rPr>
        <w:t>Ibid</w:t>
      </w:r>
      <w:r w:rsidRPr="003E03EF">
        <w:rPr>
          <w:rFonts w:ascii="Times New Roman" w:hAnsi="Times New Roman" w:cs="Times New Roman"/>
        </w:rPr>
        <w:t xml:space="preserve"> </w:t>
      </w:r>
      <w:r w:rsidR="00941346" w:rsidRPr="003E03EF">
        <w:rPr>
          <w:rFonts w:ascii="Times New Roman" w:hAnsi="Times New Roman" w:cs="Times New Roman"/>
        </w:rPr>
        <w:t>[</w:t>
      </w:r>
      <w:r w:rsidRPr="003E03EF">
        <w:rPr>
          <w:rFonts w:ascii="Times New Roman" w:hAnsi="Times New Roman" w:cs="Times New Roman"/>
        </w:rPr>
        <w:t>71</w:t>
      </w:r>
      <w:r w:rsidR="00941346" w:rsidRPr="003E03EF">
        <w:rPr>
          <w:rFonts w:ascii="Times New Roman" w:hAnsi="Times New Roman" w:cs="Times New Roman"/>
        </w:rPr>
        <w:t>]</w:t>
      </w:r>
      <w:r w:rsidRPr="003E03EF">
        <w:rPr>
          <w:rFonts w:ascii="Times New Roman" w:hAnsi="Times New Roman" w:cs="Times New Roman"/>
        </w:rPr>
        <w:t>.</w:t>
      </w:r>
    </w:p>
  </w:footnote>
  <w:footnote w:id="11">
    <w:p w:rsidR="0023257E" w:rsidRPr="003E03EF" w:rsidRDefault="0023257E">
      <w:pPr>
        <w:pStyle w:val="FootnoteText"/>
        <w:rPr>
          <w:rFonts w:ascii="Times New Roman" w:hAnsi="Times New Roman" w:cs="Times New Roman"/>
        </w:rPr>
      </w:pPr>
      <w:r w:rsidRPr="003E03EF">
        <w:rPr>
          <w:rStyle w:val="FootnoteReference"/>
          <w:rFonts w:ascii="Times New Roman" w:hAnsi="Times New Roman" w:cs="Times New Roman"/>
        </w:rPr>
        <w:footnoteRef/>
      </w:r>
      <w:r w:rsidRPr="003E03EF">
        <w:rPr>
          <w:rFonts w:ascii="Times New Roman" w:hAnsi="Times New Roman" w:cs="Times New Roman"/>
        </w:rPr>
        <w:t xml:space="preserve"> </w:t>
      </w:r>
      <w:r w:rsidR="00941346" w:rsidRPr="003E03EF">
        <w:rPr>
          <w:rFonts w:ascii="Times New Roman" w:hAnsi="Times New Roman" w:cs="Times New Roman"/>
        </w:rPr>
        <w:t>Ibid</w:t>
      </w:r>
      <w:r w:rsidRPr="003E03EF">
        <w:rPr>
          <w:rFonts w:ascii="Times New Roman" w:hAnsi="Times New Roman" w:cs="Times New Roman"/>
        </w:rPr>
        <w:t xml:space="preserve"> </w:t>
      </w:r>
      <w:r w:rsidR="00941346" w:rsidRPr="003E03EF">
        <w:rPr>
          <w:rFonts w:ascii="Times New Roman" w:hAnsi="Times New Roman" w:cs="Times New Roman"/>
        </w:rPr>
        <w:t>[</w:t>
      </w:r>
      <w:r w:rsidRPr="003E03EF">
        <w:rPr>
          <w:rFonts w:ascii="Times New Roman" w:hAnsi="Times New Roman" w:cs="Times New Roman"/>
        </w:rPr>
        <w:t>72</w:t>
      </w:r>
      <w:r w:rsidR="00941346" w:rsidRPr="003E03EF">
        <w:rPr>
          <w:rFonts w:ascii="Times New Roman" w:hAnsi="Times New Roman" w:cs="Times New Roman"/>
        </w:rPr>
        <w:t>]</w:t>
      </w:r>
      <w:r w:rsidRPr="003E03EF">
        <w:rPr>
          <w:rFonts w:ascii="Times New Roman" w:hAnsi="Times New Roman" w:cs="Times New Roman"/>
        </w:rPr>
        <w:t>.</w:t>
      </w:r>
    </w:p>
  </w:footnote>
  <w:footnote w:id="12">
    <w:p w:rsidR="00F04A8B" w:rsidRPr="003E03EF" w:rsidRDefault="00F04A8B">
      <w:pPr>
        <w:pStyle w:val="FootnoteText"/>
        <w:rPr>
          <w:rFonts w:ascii="Times New Roman" w:hAnsi="Times New Roman" w:cs="Times New Roman"/>
        </w:rPr>
      </w:pPr>
      <w:r w:rsidRPr="003E03EF">
        <w:rPr>
          <w:rStyle w:val="FootnoteReference"/>
          <w:rFonts w:ascii="Times New Roman" w:hAnsi="Times New Roman" w:cs="Times New Roman"/>
        </w:rPr>
        <w:footnoteRef/>
      </w:r>
      <w:r w:rsidRPr="003E03EF">
        <w:rPr>
          <w:rFonts w:ascii="Times New Roman" w:hAnsi="Times New Roman" w:cs="Times New Roman"/>
        </w:rPr>
        <w:t xml:space="preserve"> </w:t>
      </w:r>
      <w:r w:rsidR="00941346" w:rsidRPr="003E03EF">
        <w:rPr>
          <w:rFonts w:ascii="Times New Roman" w:hAnsi="Times New Roman" w:cs="Times New Roman"/>
        </w:rPr>
        <w:t>Ibid</w:t>
      </w:r>
      <w:r w:rsidRPr="003E03EF">
        <w:rPr>
          <w:rFonts w:ascii="Times New Roman" w:hAnsi="Times New Roman" w:cs="Times New Roman"/>
        </w:rPr>
        <w:t xml:space="preserve"> </w:t>
      </w:r>
      <w:r w:rsidR="00941346" w:rsidRPr="003E03EF">
        <w:rPr>
          <w:rFonts w:ascii="Times New Roman" w:hAnsi="Times New Roman" w:cs="Times New Roman"/>
        </w:rPr>
        <w:t>[</w:t>
      </w:r>
      <w:r w:rsidRPr="003E03EF">
        <w:rPr>
          <w:rFonts w:ascii="Times New Roman" w:hAnsi="Times New Roman" w:cs="Times New Roman"/>
        </w:rPr>
        <w:t>73</w:t>
      </w:r>
      <w:r w:rsidR="00941346" w:rsidRPr="003E03EF">
        <w:rPr>
          <w:rFonts w:ascii="Times New Roman" w:hAnsi="Times New Roman" w:cs="Times New Roman"/>
        </w:rPr>
        <w:t>]</w:t>
      </w:r>
      <w:r w:rsidRPr="003E03EF">
        <w:rPr>
          <w:rFonts w:ascii="Times New Roman" w:hAnsi="Times New Roman" w:cs="Times New Roman"/>
        </w:rPr>
        <w:t>.</w:t>
      </w:r>
    </w:p>
  </w:footnote>
  <w:footnote w:id="13">
    <w:p w:rsidR="00091BB6" w:rsidRPr="003E03EF" w:rsidRDefault="00091BB6">
      <w:pPr>
        <w:pStyle w:val="FootnoteText"/>
        <w:rPr>
          <w:rFonts w:ascii="Times New Roman" w:hAnsi="Times New Roman" w:cs="Times New Roman"/>
        </w:rPr>
      </w:pPr>
      <w:r w:rsidRPr="003E03EF">
        <w:rPr>
          <w:rStyle w:val="FootnoteReference"/>
          <w:rFonts w:ascii="Times New Roman" w:hAnsi="Times New Roman" w:cs="Times New Roman"/>
        </w:rPr>
        <w:footnoteRef/>
      </w:r>
      <w:r w:rsidRPr="003E03EF">
        <w:rPr>
          <w:rFonts w:ascii="Times New Roman" w:hAnsi="Times New Roman" w:cs="Times New Roman"/>
        </w:rPr>
        <w:t xml:space="preserve"> </w:t>
      </w:r>
      <w:r w:rsidR="00F25722" w:rsidRPr="003E03EF">
        <w:rPr>
          <w:rFonts w:ascii="Times New Roman" w:hAnsi="Times New Roman" w:cs="Times New Roman"/>
        </w:rPr>
        <w:t>Ibid [</w:t>
      </w:r>
      <w:r w:rsidRPr="003E03EF">
        <w:rPr>
          <w:rFonts w:ascii="Times New Roman" w:hAnsi="Times New Roman" w:cs="Times New Roman"/>
        </w:rPr>
        <w:t>18</w:t>
      </w:r>
      <w:r w:rsidR="00F25722" w:rsidRPr="003E03EF">
        <w:rPr>
          <w:rFonts w:ascii="Times New Roman" w:hAnsi="Times New Roman" w:cs="Times New Roman"/>
        </w:rPr>
        <w:t>]</w:t>
      </w:r>
      <w:r w:rsidRPr="003E03EF">
        <w:rPr>
          <w:rFonts w:ascii="Times New Roman" w:hAnsi="Times New Roman" w:cs="Times New Roman"/>
        </w:rPr>
        <w:t>.</w:t>
      </w:r>
    </w:p>
  </w:footnote>
  <w:footnote w:id="14">
    <w:p w:rsidR="00DF709A" w:rsidRPr="003E03EF" w:rsidRDefault="00DF709A" w:rsidP="00DF709A">
      <w:pPr>
        <w:pStyle w:val="FootnoteText"/>
        <w:rPr>
          <w:rFonts w:ascii="Times New Roman" w:hAnsi="Times New Roman" w:cs="Times New Roman"/>
        </w:rPr>
      </w:pPr>
      <w:r w:rsidRPr="003E03EF">
        <w:rPr>
          <w:rStyle w:val="FootnoteReference"/>
          <w:rFonts w:ascii="Times New Roman" w:hAnsi="Times New Roman" w:cs="Times New Roman"/>
        </w:rPr>
        <w:footnoteRef/>
      </w:r>
      <w:r w:rsidRPr="003E03EF">
        <w:rPr>
          <w:rFonts w:ascii="Times New Roman" w:hAnsi="Times New Roman" w:cs="Times New Roman"/>
        </w:rPr>
        <w:t xml:space="preserve"> </w:t>
      </w:r>
      <w:r w:rsidR="00F25722" w:rsidRPr="003E03EF">
        <w:rPr>
          <w:rFonts w:ascii="Times New Roman" w:hAnsi="Times New Roman" w:cs="Times New Roman"/>
        </w:rPr>
        <w:t>Ibid</w:t>
      </w:r>
      <w:r w:rsidRPr="003E03EF">
        <w:rPr>
          <w:rFonts w:ascii="Times New Roman" w:hAnsi="Times New Roman" w:cs="Times New Roman"/>
        </w:rPr>
        <w:t xml:space="preserve"> </w:t>
      </w:r>
      <w:r w:rsidR="00F25722" w:rsidRPr="003E03EF">
        <w:rPr>
          <w:rFonts w:ascii="Times New Roman" w:hAnsi="Times New Roman" w:cs="Times New Roman"/>
        </w:rPr>
        <w:t>[</w:t>
      </w:r>
      <w:r w:rsidRPr="003E03EF">
        <w:rPr>
          <w:rFonts w:ascii="Times New Roman" w:hAnsi="Times New Roman" w:cs="Times New Roman"/>
        </w:rPr>
        <w:t>77</w:t>
      </w:r>
      <w:r w:rsidR="00F25722" w:rsidRPr="003E03EF">
        <w:rPr>
          <w:rFonts w:ascii="Times New Roman" w:hAnsi="Times New Roman" w:cs="Times New Roman"/>
        </w:rPr>
        <w:t>]</w:t>
      </w:r>
      <w:r w:rsidRPr="003E03EF">
        <w:rPr>
          <w:rFonts w:ascii="Times New Roman" w:hAnsi="Times New Roman" w:cs="Times New Roman"/>
        </w:rPr>
        <w:t>.</w:t>
      </w:r>
    </w:p>
  </w:footnote>
  <w:footnote w:id="15">
    <w:p w:rsidR="00DF709A" w:rsidRPr="003E03EF" w:rsidRDefault="00DF709A" w:rsidP="00DF709A">
      <w:pPr>
        <w:pStyle w:val="FootnoteText"/>
        <w:rPr>
          <w:rFonts w:ascii="Times New Roman" w:hAnsi="Times New Roman" w:cs="Times New Roman"/>
        </w:rPr>
      </w:pPr>
      <w:r w:rsidRPr="003E03EF">
        <w:rPr>
          <w:rStyle w:val="FootnoteReference"/>
          <w:rFonts w:ascii="Times New Roman" w:hAnsi="Times New Roman" w:cs="Times New Roman"/>
        </w:rPr>
        <w:footnoteRef/>
      </w:r>
      <w:r w:rsidR="00F25722" w:rsidRPr="003E03EF">
        <w:rPr>
          <w:rFonts w:ascii="Times New Roman" w:hAnsi="Times New Roman" w:cs="Times New Roman"/>
        </w:rPr>
        <w:t xml:space="preserve"> Ibid</w:t>
      </w:r>
      <w:r w:rsidRPr="003E03EF">
        <w:rPr>
          <w:rFonts w:ascii="Times New Roman" w:hAnsi="Times New Roman" w:cs="Times New Roman"/>
        </w:rPr>
        <w:t xml:space="preserve"> </w:t>
      </w:r>
      <w:r w:rsidR="00F25722" w:rsidRPr="003E03EF">
        <w:rPr>
          <w:rFonts w:ascii="Times New Roman" w:hAnsi="Times New Roman" w:cs="Times New Roman"/>
        </w:rPr>
        <w:t>[</w:t>
      </w:r>
      <w:r w:rsidRPr="003E03EF">
        <w:rPr>
          <w:rFonts w:ascii="Times New Roman" w:hAnsi="Times New Roman" w:cs="Times New Roman"/>
        </w:rPr>
        <w:t>78</w:t>
      </w:r>
      <w:r w:rsidR="00F25722" w:rsidRPr="003E03EF">
        <w:rPr>
          <w:rFonts w:ascii="Times New Roman" w:hAnsi="Times New Roman" w:cs="Times New Roman"/>
        </w:rPr>
        <w:t>]</w:t>
      </w:r>
      <w:r w:rsidRPr="003E03EF">
        <w:rPr>
          <w:rFonts w:ascii="Times New Roman" w:hAnsi="Times New Roman" w:cs="Times New Roman"/>
        </w:rPr>
        <w:t>.</w:t>
      </w:r>
    </w:p>
  </w:footnote>
  <w:footnote w:id="16">
    <w:p w:rsidR="004F24E7" w:rsidRPr="003E03EF" w:rsidRDefault="004F24E7">
      <w:pPr>
        <w:pStyle w:val="FootnoteText"/>
        <w:rPr>
          <w:rFonts w:ascii="Times New Roman" w:hAnsi="Times New Roman" w:cs="Times New Roman"/>
        </w:rPr>
      </w:pPr>
      <w:r w:rsidRPr="003E03EF">
        <w:rPr>
          <w:rStyle w:val="FootnoteReference"/>
          <w:rFonts w:ascii="Times New Roman" w:hAnsi="Times New Roman" w:cs="Times New Roman"/>
        </w:rPr>
        <w:footnoteRef/>
      </w:r>
      <w:r w:rsidRPr="003E03EF">
        <w:rPr>
          <w:rFonts w:ascii="Times New Roman" w:hAnsi="Times New Roman" w:cs="Times New Roman"/>
        </w:rPr>
        <w:t xml:space="preserve"> </w:t>
      </w:r>
      <w:r w:rsidR="00F25722" w:rsidRPr="003E03EF">
        <w:rPr>
          <w:rFonts w:ascii="Times New Roman" w:hAnsi="Times New Roman" w:cs="Times New Roman"/>
        </w:rPr>
        <w:t>Ibid</w:t>
      </w:r>
      <w:r w:rsidRPr="003E03EF">
        <w:rPr>
          <w:rFonts w:ascii="Times New Roman" w:hAnsi="Times New Roman" w:cs="Times New Roman"/>
        </w:rPr>
        <w:t xml:space="preserve"> [41], [67].</w:t>
      </w:r>
    </w:p>
  </w:footnote>
  <w:footnote w:id="17">
    <w:p w:rsidR="00D726B4" w:rsidRPr="003E03EF" w:rsidRDefault="00D726B4" w:rsidP="00D726B4">
      <w:pPr>
        <w:pStyle w:val="FootnoteText"/>
        <w:rPr>
          <w:rFonts w:ascii="Times New Roman" w:hAnsi="Times New Roman" w:cs="Times New Roman"/>
        </w:rPr>
      </w:pPr>
      <w:r w:rsidRPr="003E03EF">
        <w:rPr>
          <w:rStyle w:val="FootnoteReference"/>
          <w:rFonts w:ascii="Times New Roman" w:hAnsi="Times New Roman" w:cs="Times New Roman"/>
        </w:rPr>
        <w:footnoteRef/>
      </w:r>
      <w:r w:rsidRPr="003E03EF">
        <w:rPr>
          <w:rFonts w:ascii="Times New Roman" w:hAnsi="Times New Roman" w:cs="Times New Roman"/>
        </w:rPr>
        <w:t xml:space="preserve"> </w:t>
      </w:r>
      <w:r w:rsidR="00F25722" w:rsidRPr="003E03EF">
        <w:rPr>
          <w:rFonts w:ascii="Times New Roman" w:hAnsi="Times New Roman" w:cs="Times New Roman"/>
          <w:i/>
        </w:rPr>
        <w:t>VPS Guardians</w:t>
      </w:r>
      <w:r w:rsidR="00F25722" w:rsidRPr="003E03EF">
        <w:rPr>
          <w:rFonts w:ascii="Times New Roman" w:hAnsi="Times New Roman" w:cs="Times New Roman"/>
        </w:rPr>
        <w:t xml:space="preserve"> </w:t>
      </w:r>
      <w:r w:rsidR="003E03EF" w:rsidRPr="003E03EF">
        <w:rPr>
          <w:rFonts w:ascii="Times New Roman" w:hAnsi="Times New Roman" w:cs="Times New Roman"/>
        </w:rPr>
        <w:t>(n 2).</w:t>
      </w:r>
      <w:r w:rsidRPr="003E03EF">
        <w:rPr>
          <w:rFonts w:ascii="Times New Roman" w:hAnsi="Times New Roman" w:cs="Times New Roman"/>
        </w:rPr>
        <w:t xml:space="preserve"> </w:t>
      </w:r>
    </w:p>
  </w:footnote>
  <w:footnote w:id="18">
    <w:p w:rsidR="003E03EF" w:rsidRPr="003E03EF" w:rsidRDefault="003E03EF">
      <w:pPr>
        <w:pStyle w:val="FootnoteText"/>
        <w:rPr>
          <w:rFonts w:ascii="Times New Roman" w:hAnsi="Times New Roman" w:cs="Times New Roman"/>
        </w:rPr>
      </w:pPr>
      <w:r w:rsidRPr="003E03EF">
        <w:rPr>
          <w:rStyle w:val="FootnoteReference"/>
          <w:rFonts w:ascii="Times New Roman" w:hAnsi="Times New Roman" w:cs="Times New Roman"/>
        </w:rPr>
        <w:footnoteRef/>
      </w:r>
      <w:r w:rsidRPr="003E03EF">
        <w:rPr>
          <w:rFonts w:ascii="Times New Roman" w:hAnsi="Times New Roman" w:cs="Times New Roman"/>
        </w:rPr>
        <w:t xml:space="preserve"> [2018] EWHC 2296 (QB).</w:t>
      </w:r>
    </w:p>
  </w:footnote>
  <w:footnote w:id="19">
    <w:p w:rsidR="00623E7D" w:rsidRPr="003E03EF" w:rsidRDefault="00623E7D">
      <w:pPr>
        <w:pStyle w:val="FootnoteText"/>
        <w:rPr>
          <w:rFonts w:ascii="Times New Roman" w:hAnsi="Times New Roman" w:cs="Times New Roman"/>
        </w:rPr>
      </w:pPr>
      <w:r w:rsidRPr="003E03EF">
        <w:rPr>
          <w:rStyle w:val="FootnoteReference"/>
          <w:rFonts w:ascii="Times New Roman" w:hAnsi="Times New Roman" w:cs="Times New Roman"/>
        </w:rPr>
        <w:footnoteRef/>
      </w:r>
      <w:r w:rsidRPr="003E03EF">
        <w:rPr>
          <w:rFonts w:ascii="Times New Roman" w:hAnsi="Times New Roman" w:cs="Times New Roman"/>
        </w:rPr>
        <w:t xml:space="preserve"> Jed Meers, ‘</w:t>
      </w:r>
      <w:proofErr w:type="spellStart"/>
      <w:r w:rsidRPr="003E03EF">
        <w:rPr>
          <w:rFonts w:ascii="Times New Roman" w:hAnsi="Times New Roman" w:cs="Times New Roman"/>
        </w:rPr>
        <w:t>Khoo</w:t>
      </w:r>
      <w:proofErr w:type="spellEnd"/>
      <w:r w:rsidRPr="003E03EF">
        <w:rPr>
          <w:rFonts w:ascii="Times New Roman" w:hAnsi="Times New Roman" w:cs="Times New Roman"/>
        </w:rPr>
        <w:t xml:space="preserve"> do you think you are? Licensees vs Tenants in the Property Guardianship Sector’ (2019) J.H.L, 22(2), 24-27.</w:t>
      </w:r>
    </w:p>
  </w:footnote>
  <w:footnote w:id="20">
    <w:p w:rsidR="00572135" w:rsidRPr="003E03EF" w:rsidRDefault="00572135">
      <w:pPr>
        <w:pStyle w:val="FootnoteText"/>
        <w:rPr>
          <w:rFonts w:ascii="Times New Roman" w:hAnsi="Times New Roman" w:cs="Times New Roman"/>
        </w:rPr>
      </w:pPr>
      <w:r w:rsidRPr="003E03EF">
        <w:rPr>
          <w:rStyle w:val="FootnoteReference"/>
          <w:rFonts w:ascii="Times New Roman" w:hAnsi="Times New Roman" w:cs="Times New Roman"/>
        </w:rPr>
        <w:footnoteRef/>
      </w:r>
      <w:r w:rsidRPr="003E03EF">
        <w:rPr>
          <w:rFonts w:ascii="Times New Roman" w:hAnsi="Times New Roman" w:cs="Times New Roman"/>
        </w:rPr>
        <w:t xml:space="preserve"> </w:t>
      </w:r>
      <w:r w:rsidR="00F80B1B">
        <w:rPr>
          <w:rFonts w:ascii="Times New Roman" w:hAnsi="Times New Roman" w:cs="Times New Roman"/>
          <w:i/>
        </w:rPr>
        <w:t xml:space="preserve">Camelot </w:t>
      </w:r>
      <w:r w:rsidR="00F80B1B">
        <w:rPr>
          <w:rFonts w:ascii="Times New Roman" w:hAnsi="Times New Roman" w:cs="Times New Roman"/>
        </w:rPr>
        <w:t>(n 18)</w:t>
      </w:r>
      <w:r w:rsidRPr="003E03EF">
        <w:rPr>
          <w:rFonts w:ascii="Times New Roman" w:hAnsi="Times New Roman" w:cs="Times New Roman"/>
        </w:rPr>
        <w:t xml:space="preserve"> [9], [12].</w:t>
      </w:r>
    </w:p>
  </w:footnote>
  <w:footnote w:id="21">
    <w:p w:rsidR="00A466A6" w:rsidRPr="003E03EF" w:rsidRDefault="00A466A6">
      <w:pPr>
        <w:pStyle w:val="FootnoteText"/>
        <w:rPr>
          <w:rFonts w:ascii="Times New Roman" w:hAnsi="Times New Roman" w:cs="Times New Roman"/>
        </w:rPr>
      </w:pPr>
      <w:r w:rsidRPr="003E03EF">
        <w:rPr>
          <w:rStyle w:val="FootnoteReference"/>
          <w:rFonts w:ascii="Times New Roman" w:hAnsi="Times New Roman" w:cs="Times New Roman"/>
        </w:rPr>
        <w:footnoteRef/>
      </w:r>
      <w:r w:rsidRPr="003E03EF">
        <w:rPr>
          <w:rFonts w:ascii="Times New Roman" w:hAnsi="Times New Roman" w:cs="Times New Roman"/>
        </w:rPr>
        <w:t xml:space="preserve"> </w:t>
      </w:r>
      <w:r w:rsidR="00B701D4">
        <w:rPr>
          <w:rFonts w:ascii="Times New Roman" w:hAnsi="Times New Roman" w:cs="Times New Roman"/>
          <w:i/>
        </w:rPr>
        <w:t xml:space="preserve">Ludgate </w:t>
      </w:r>
      <w:r w:rsidR="00B701D4">
        <w:rPr>
          <w:rFonts w:ascii="Times New Roman" w:hAnsi="Times New Roman" w:cs="Times New Roman"/>
        </w:rPr>
        <w:t>(n 1) [</w:t>
      </w:r>
      <w:r w:rsidRPr="003E03EF">
        <w:rPr>
          <w:rFonts w:ascii="Times New Roman" w:hAnsi="Times New Roman" w:cs="Times New Roman"/>
        </w:rPr>
        <w:t>18</w:t>
      </w:r>
      <w:r w:rsidR="00B701D4">
        <w:rPr>
          <w:rFonts w:ascii="Times New Roman" w:hAnsi="Times New Roman" w:cs="Times New Roman"/>
        </w:rPr>
        <w:t>]</w:t>
      </w:r>
      <w:r w:rsidRPr="003E03EF">
        <w:rPr>
          <w:rFonts w:ascii="Times New Roman" w:hAnsi="Times New Roman" w:cs="Times New Roman"/>
        </w:rPr>
        <w:t>.</w:t>
      </w:r>
    </w:p>
  </w:footnote>
  <w:footnote w:id="22">
    <w:p w:rsidR="00FE3C46" w:rsidRPr="003E03EF" w:rsidRDefault="00FE3C46">
      <w:pPr>
        <w:pStyle w:val="FootnoteText"/>
        <w:rPr>
          <w:rFonts w:ascii="Times New Roman" w:hAnsi="Times New Roman" w:cs="Times New Roman"/>
        </w:rPr>
      </w:pPr>
      <w:r w:rsidRPr="003E03EF">
        <w:rPr>
          <w:rStyle w:val="FootnoteReference"/>
          <w:rFonts w:ascii="Times New Roman" w:hAnsi="Times New Roman" w:cs="Times New Roman"/>
        </w:rPr>
        <w:footnoteRef/>
      </w:r>
      <w:r w:rsidR="00B701D4">
        <w:rPr>
          <w:rFonts w:ascii="Times New Roman" w:hAnsi="Times New Roman" w:cs="Times New Roman"/>
        </w:rPr>
        <w:t xml:space="preserve"> Ibid [</w:t>
      </w:r>
      <w:r w:rsidRPr="003E03EF">
        <w:rPr>
          <w:rFonts w:ascii="Times New Roman" w:hAnsi="Times New Roman" w:cs="Times New Roman"/>
        </w:rPr>
        <w:t>81</w:t>
      </w:r>
      <w:r w:rsidR="00B701D4">
        <w:rPr>
          <w:rFonts w:ascii="Times New Roman" w:hAnsi="Times New Roman" w:cs="Times New Roman"/>
        </w:rPr>
        <w:t>]</w:t>
      </w:r>
      <w:r w:rsidRPr="003E03EF">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862E3"/>
    <w:multiLevelType w:val="hybridMultilevel"/>
    <w:tmpl w:val="53680C72"/>
    <w:lvl w:ilvl="0" w:tplc="AE2ECDF2">
      <w:start w:val="1"/>
      <w:numFmt w:val="lowerRoman"/>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60668C"/>
    <w:multiLevelType w:val="hybridMultilevel"/>
    <w:tmpl w:val="ED0A39FE"/>
    <w:lvl w:ilvl="0" w:tplc="35462CF4">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CF3D62"/>
    <w:multiLevelType w:val="hybridMultilevel"/>
    <w:tmpl w:val="FCF260CA"/>
    <w:lvl w:ilvl="0" w:tplc="D6E230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13"/>
    <w:rsid w:val="00027558"/>
    <w:rsid w:val="0003193B"/>
    <w:rsid w:val="000331A8"/>
    <w:rsid w:val="00034E8A"/>
    <w:rsid w:val="00040452"/>
    <w:rsid w:val="00091BB6"/>
    <w:rsid w:val="00093A18"/>
    <w:rsid w:val="000A41A5"/>
    <w:rsid w:val="000A7E5E"/>
    <w:rsid w:val="000B4AE1"/>
    <w:rsid w:val="000C516F"/>
    <w:rsid w:val="000E733A"/>
    <w:rsid w:val="000F389A"/>
    <w:rsid w:val="00100300"/>
    <w:rsid w:val="001040C1"/>
    <w:rsid w:val="00104A29"/>
    <w:rsid w:val="00125382"/>
    <w:rsid w:val="00126371"/>
    <w:rsid w:val="00130E38"/>
    <w:rsid w:val="001553A2"/>
    <w:rsid w:val="00160EAA"/>
    <w:rsid w:val="00164505"/>
    <w:rsid w:val="0017116A"/>
    <w:rsid w:val="00172230"/>
    <w:rsid w:val="001B51FA"/>
    <w:rsid w:val="001C2562"/>
    <w:rsid w:val="001C729C"/>
    <w:rsid w:val="001E5A2A"/>
    <w:rsid w:val="00204B13"/>
    <w:rsid w:val="00205A1E"/>
    <w:rsid w:val="00206665"/>
    <w:rsid w:val="00222B47"/>
    <w:rsid w:val="0023257E"/>
    <w:rsid w:val="002507B1"/>
    <w:rsid w:val="00262332"/>
    <w:rsid w:val="00297109"/>
    <w:rsid w:val="002A25FB"/>
    <w:rsid w:val="002D6D40"/>
    <w:rsid w:val="002F2618"/>
    <w:rsid w:val="002F46E9"/>
    <w:rsid w:val="003142EA"/>
    <w:rsid w:val="00385171"/>
    <w:rsid w:val="003B1C90"/>
    <w:rsid w:val="003C0B2C"/>
    <w:rsid w:val="003C0BC9"/>
    <w:rsid w:val="003C3BB0"/>
    <w:rsid w:val="003E03EF"/>
    <w:rsid w:val="003E265C"/>
    <w:rsid w:val="004010BA"/>
    <w:rsid w:val="00413708"/>
    <w:rsid w:val="004140BD"/>
    <w:rsid w:val="00415773"/>
    <w:rsid w:val="004563BB"/>
    <w:rsid w:val="00481EF0"/>
    <w:rsid w:val="00484AE8"/>
    <w:rsid w:val="00487219"/>
    <w:rsid w:val="004872B5"/>
    <w:rsid w:val="0048750B"/>
    <w:rsid w:val="00496405"/>
    <w:rsid w:val="004A49BE"/>
    <w:rsid w:val="004E169C"/>
    <w:rsid w:val="004F24E7"/>
    <w:rsid w:val="004F3B4E"/>
    <w:rsid w:val="004F47AF"/>
    <w:rsid w:val="00506B68"/>
    <w:rsid w:val="0053311A"/>
    <w:rsid w:val="00540B66"/>
    <w:rsid w:val="00541640"/>
    <w:rsid w:val="00554804"/>
    <w:rsid w:val="0056526E"/>
    <w:rsid w:val="00565ED9"/>
    <w:rsid w:val="00572135"/>
    <w:rsid w:val="005727F2"/>
    <w:rsid w:val="00581CBE"/>
    <w:rsid w:val="005A1C1D"/>
    <w:rsid w:val="005B529A"/>
    <w:rsid w:val="005C2099"/>
    <w:rsid w:val="005C5DAC"/>
    <w:rsid w:val="005F2BAA"/>
    <w:rsid w:val="005F2ECE"/>
    <w:rsid w:val="005F7BB9"/>
    <w:rsid w:val="00604464"/>
    <w:rsid w:val="00614041"/>
    <w:rsid w:val="006204B6"/>
    <w:rsid w:val="006229B6"/>
    <w:rsid w:val="00623E7D"/>
    <w:rsid w:val="00630574"/>
    <w:rsid w:val="00643731"/>
    <w:rsid w:val="006454A3"/>
    <w:rsid w:val="00653A1D"/>
    <w:rsid w:val="006615D3"/>
    <w:rsid w:val="00690371"/>
    <w:rsid w:val="00692337"/>
    <w:rsid w:val="006A1FEB"/>
    <w:rsid w:val="006A661E"/>
    <w:rsid w:val="006C317E"/>
    <w:rsid w:val="006C4726"/>
    <w:rsid w:val="006E6807"/>
    <w:rsid w:val="006F4547"/>
    <w:rsid w:val="006F7B87"/>
    <w:rsid w:val="00700D35"/>
    <w:rsid w:val="00701AC0"/>
    <w:rsid w:val="00705774"/>
    <w:rsid w:val="00726EC8"/>
    <w:rsid w:val="00730AAA"/>
    <w:rsid w:val="00733A18"/>
    <w:rsid w:val="00736478"/>
    <w:rsid w:val="00741A3A"/>
    <w:rsid w:val="0075429A"/>
    <w:rsid w:val="007557CF"/>
    <w:rsid w:val="00767F0F"/>
    <w:rsid w:val="00770556"/>
    <w:rsid w:val="00770D2B"/>
    <w:rsid w:val="00771EED"/>
    <w:rsid w:val="00773037"/>
    <w:rsid w:val="007736C4"/>
    <w:rsid w:val="007747D3"/>
    <w:rsid w:val="00776220"/>
    <w:rsid w:val="00784E95"/>
    <w:rsid w:val="00792952"/>
    <w:rsid w:val="00795DB9"/>
    <w:rsid w:val="0079627F"/>
    <w:rsid w:val="007A1959"/>
    <w:rsid w:val="007A6991"/>
    <w:rsid w:val="007C55CE"/>
    <w:rsid w:val="007D054C"/>
    <w:rsid w:val="007D14B6"/>
    <w:rsid w:val="007F4118"/>
    <w:rsid w:val="007F5585"/>
    <w:rsid w:val="007F7C9E"/>
    <w:rsid w:val="00801809"/>
    <w:rsid w:val="0080489B"/>
    <w:rsid w:val="00814CB4"/>
    <w:rsid w:val="00831478"/>
    <w:rsid w:val="00834163"/>
    <w:rsid w:val="00856AF5"/>
    <w:rsid w:val="008727B6"/>
    <w:rsid w:val="0089314E"/>
    <w:rsid w:val="0089665D"/>
    <w:rsid w:val="008A2CB6"/>
    <w:rsid w:val="008B21BE"/>
    <w:rsid w:val="008B5EFB"/>
    <w:rsid w:val="008C7932"/>
    <w:rsid w:val="008E64DC"/>
    <w:rsid w:val="00940BBF"/>
    <w:rsid w:val="00941346"/>
    <w:rsid w:val="009478B0"/>
    <w:rsid w:val="0095265A"/>
    <w:rsid w:val="009641EF"/>
    <w:rsid w:val="009754E6"/>
    <w:rsid w:val="00990780"/>
    <w:rsid w:val="0099716B"/>
    <w:rsid w:val="009A6D16"/>
    <w:rsid w:val="009B6181"/>
    <w:rsid w:val="009C7910"/>
    <w:rsid w:val="009F631A"/>
    <w:rsid w:val="00A0020B"/>
    <w:rsid w:val="00A04984"/>
    <w:rsid w:val="00A125CB"/>
    <w:rsid w:val="00A16DA2"/>
    <w:rsid w:val="00A30B2F"/>
    <w:rsid w:val="00A35321"/>
    <w:rsid w:val="00A451DF"/>
    <w:rsid w:val="00A466A6"/>
    <w:rsid w:val="00A47736"/>
    <w:rsid w:val="00A5389D"/>
    <w:rsid w:val="00A65F06"/>
    <w:rsid w:val="00A764B7"/>
    <w:rsid w:val="00A80707"/>
    <w:rsid w:val="00A84C30"/>
    <w:rsid w:val="00AC54A0"/>
    <w:rsid w:val="00AD485E"/>
    <w:rsid w:val="00AE1D45"/>
    <w:rsid w:val="00AE314C"/>
    <w:rsid w:val="00B030A0"/>
    <w:rsid w:val="00B06086"/>
    <w:rsid w:val="00B064E7"/>
    <w:rsid w:val="00B06A60"/>
    <w:rsid w:val="00B153FE"/>
    <w:rsid w:val="00B17CB1"/>
    <w:rsid w:val="00B2275E"/>
    <w:rsid w:val="00B345E2"/>
    <w:rsid w:val="00B37D43"/>
    <w:rsid w:val="00B5152B"/>
    <w:rsid w:val="00B53F09"/>
    <w:rsid w:val="00B54B7F"/>
    <w:rsid w:val="00B701D4"/>
    <w:rsid w:val="00B713CA"/>
    <w:rsid w:val="00B935C6"/>
    <w:rsid w:val="00BA5037"/>
    <w:rsid w:val="00BA6920"/>
    <w:rsid w:val="00BD02BF"/>
    <w:rsid w:val="00BD1216"/>
    <w:rsid w:val="00C11325"/>
    <w:rsid w:val="00C150EA"/>
    <w:rsid w:val="00C15493"/>
    <w:rsid w:val="00C330A5"/>
    <w:rsid w:val="00C52E93"/>
    <w:rsid w:val="00C57377"/>
    <w:rsid w:val="00CA1EF2"/>
    <w:rsid w:val="00CA7B3F"/>
    <w:rsid w:val="00CB4028"/>
    <w:rsid w:val="00CB5226"/>
    <w:rsid w:val="00CC4D38"/>
    <w:rsid w:val="00CE0FF0"/>
    <w:rsid w:val="00CE1A7F"/>
    <w:rsid w:val="00CE3273"/>
    <w:rsid w:val="00CF1651"/>
    <w:rsid w:val="00D07511"/>
    <w:rsid w:val="00D3363C"/>
    <w:rsid w:val="00D475FF"/>
    <w:rsid w:val="00D56509"/>
    <w:rsid w:val="00D61268"/>
    <w:rsid w:val="00D726B4"/>
    <w:rsid w:val="00D7428C"/>
    <w:rsid w:val="00D7559D"/>
    <w:rsid w:val="00D86A4D"/>
    <w:rsid w:val="00D933BB"/>
    <w:rsid w:val="00DA61A1"/>
    <w:rsid w:val="00DB40EA"/>
    <w:rsid w:val="00DD202D"/>
    <w:rsid w:val="00DD49E1"/>
    <w:rsid w:val="00DD76FD"/>
    <w:rsid w:val="00DE15AC"/>
    <w:rsid w:val="00DE2DA8"/>
    <w:rsid w:val="00DE7C6F"/>
    <w:rsid w:val="00DF6D83"/>
    <w:rsid w:val="00DF709A"/>
    <w:rsid w:val="00E163EA"/>
    <w:rsid w:val="00E22085"/>
    <w:rsid w:val="00E27EDA"/>
    <w:rsid w:val="00E32E31"/>
    <w:rsid w:val="00E349BB"/>
    <w:rsid w:val="00E55CEC"/>
    <w:rsid w:val="00E728F8"/>
    <w:rsid w:val="00E754FE"/>
    <w:rsid w:val="00E91501"/>
    <w:rsid w:val="00E953FD"/>
    <w:rsid w:val="00E95609"/>
    <w:rsid w:val="00EC5B50"/>
    <w:rsid w:val="00EC625E"/>
    <w:rsid w:val="00EC77E3"/>
    <w:rsid w:val="00F04A8B"/>
    <w:rsid w:val="00F25722"/>
    <w:rsid w:val="00F445F9"/>
    <w:rsid w:val="00F653D2"/>
    <w:rsid w:val="00F80916"/>
    <w:rsid w:val="00F80B1B"/>
    <w:rsid w:val="00F97DE0"/>
    <w:rsid w:val="00FA4057"/>
    <w:rsid w:val="00FA536D"/>
    <w:rsid w:val="00FB7B9C"/>
    <w:rsid w:val="00FB7F7A"/>
    <w:rsid w:val="00FE203B"/>
    <w:rsid w:val="00FE3C46"/>
    <w:rsid w:val="00FE4043"/>
    <w:rsid w:val="00FF03D9"/>
    <w:rsid w:val="00FF659D"/>
    <w:rsid w:val="00FF7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7FD61"/>
  <w15:chartTrackingRefBased/>
  <w15:docId w15:val="{7E4013DC-0001-4240-B0FE-106F4A7C9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B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b8d990e2">
    <w:name w:val="sb8d990e2"/>
    <w:basedOn w:val="DefaultParagraphFont"/>
    <w:rsid w:val="00204B13"/>
  </w:style>
  <w:style w:type="paragraph" w:styleId="NormalWeb">
    <w:name w:val="Normal (Web)"/>
    <w:basedOn w:val="Normal"/>
    <w:uiPriority w:val="99"/>
    <w:semiHidden/>
    <w:unhideWhenUsed/>
    <w:rsid w:val="00204B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04B13"/>
    <w:rPr>
      <w:b/>
      <w:bCs/>
    </w:rPr>
  </w:style>
  <w:style w:type="paragraph" w:styleId="FootnoteText">
    <w:name w:val="footnote text"/>
    <w:basedOn w:val="Normal"/>
    <w:link w:val="FootnoteTextChar"/>
    <w:uiPriority w:val="99"/>
    <w:semiHidden/>
    <w:unhideWhenUsed/>
    <w:rsid w:val="004140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40BD"/>
    <w:rPr>
      <w:sz w:val="20"/>
      <w:szCs w:val="20"/>
    </w:rPr>
  </w:style>
  <w:style w:type="character" w:styleId="FootnoteReference">
    <w:name w:val="footnote reference"/>
    <w:basedOn w:val="DefaultParagraphFont"/>
    <w:uiPriority w:val="99"/>
    <w:semiHidden/>
    <w:unhideWhenUsed/>
    <w:rsid w:val="004140BD"/>
    <w:rPr>
      <w:vertAlign w:val="superscript"/>
    </w:rPr>
  </w:style>
  <w:style w:type="character" w:styleId="Hyperlink">
    <w:name w:val="Hyperlink"/>
    <w:basedOn w:val="DefaultParagraphFont"/>
    <w:uiPriority w:val="99"/>
    <w:unhideWhenUsed/>
    <w:rsid w:val="00C15493"/>
    <w:rPr>
      <w:color w:val="0563C1" w:themeColor="hyperlink"/>
      <w:u w:val="single"/>
    </w:rPr>
  </w:style>
  <w:style w:type="paragraph" w:styleId="ListParagraph">
    <w:name w:val="List Paragraph"/>
    <w:basedOn w:val="Normal"/>
    <w:uiPriority w:val="34"/>
    <w:qFormat/>
    <w:rsid w:val="00DE7C6F"/>
    <w:pPr>
      <w:ind w:left="720"/>
      <w:contextualSpacing/>
    </w:pPr>
  </w:style>
  <w:style w:type="character" w:styleId="FollowedHyperlink">
    <w:name w:val="FollowedHyperlink"/>
    <w:basedOn w:val="DefaultParagraphFont"/>
    <w:uiPriority w:val="99"/>
    <w:semiHidden/>
    <w:unhideWhenUsed/>
    <w:rsid w:val="00E754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vps-guardians.co.uk/ludgate-house-case-study/" TargetMode="External"/><Relationship Id="rId1" Type="http://schemas.openxmlformats.org/officeDocument/2006/relationships/hyperlink" Target="mailto:jed.meers@york.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1EE72-C150-4A0F-9664-397750E0A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2001</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 Meers</dc:creator>
  <cp:keywords/>
  <dc:description/>
  <cp:lastModifiedBy>Jed Meers</cp:lastModifiedBy>
  <cp:revision>4</cp:revision>
  <dcterms:created xsi:type="dcterms:W3CDTF">2021-01-24T15:17:00Z</dcterms:created>
  <dcterms:modified xsi:type="dcterms:W3CDTF">2021-01-31T10:52:00Z</dcterms:modified>
</cp:coreProperties>
</file>