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908D9" w14:textId="0D4570AB" w:rsidR="00E603C7" w:rsidRPr="00BE597A" w:rsidRDefault="00B00B92" w:rsidP="00917109">
      <w:pPr>
        <w:widowControl w:val="0"/>
        <w:autoSpaceDE w:val="0"/>
        <w:autoSpaceDN w:val="0"/>
        <w:adjustRightInd w:val="0"/>
        <w:spacing w:after="240" w:line="480" w:lineRule="auto"/>
        <w:contextualSpacing/>
        <w:rPr>
          <w:rFonts w:ascii="Times New Roman" w:hAnsi="Times New Roman" w:cs="Times New Roman"/>
          <w:b/>
          <w:sz w:val="28"/>
          <w:szCs w:val="28"/>
          <w:lang w:val="en-US"/>
        </w:rPr>
      </w:pPr>
      <w:r w:rsidRPr="00BE597A">
        <w:rPr>
          <w:rFonts w:ascii="Times New Roman" w:hAnsi="Times New Roman" w:cs="Times New Roman"/>
          <w:b/>
          <w:sz w:val="28"/>
          <w:szCs w:val="28"/>
          <w:lang w:val="en-US"/>
        </w:rPr>
        <w:t>C</w:t>
      </w:r>
      <w:r w:rsidR="004F4EAD" w:rsidRPr="00BE597A">
        <w:rPr>
          <w:rFonts w:ascii="Times New Roman" w:hAnsi="Times New Roman" w:cs="Times New Roman"/>
          <w:b/>
          <w:sz w:val="28"/>
          <w:szCs w:val="28"/>
          <w:lang w:val="en-US"/>
        </w:rPr>
        <w:t>oercion</w:t>
      </w:r>
      <w:r w:rsidRPr="00BE597A">
        <w:rPr>
          <w:rFonts w:ascii="Times New Roman" w:hAnsi="Times New Roman" w:cs="Times New Roman"/>
          <w:b/>
          <w:sz w:val="28"/>
          <w:szCs w:val="28"/>
          <w:lang w:val="en-US"/>
        </w:rPr>
        <w:t xml:space="preserve"> and third-party </w:t>
      </w:r>
      <w:r w:rsidR="00135D65" w:rsidRPr="00BE597A">
        <w:rPr>
          <w:rFonts w:ascii="Times New Roman" w:hAnsi="Times New Roman" w:cs="Times New Roman"/>
          <w:b/>
          <w:sz w:val="28"/>
          <w:szCs w:val="28"/>
          <w:lang w:val="en-US"/>
        </w:rPr>
        <w:t xml:space="preserve">mediation of </w:t>
      </w:r>
      <w:r w:rsidRPr="00BE597A">
        <w:rPr>
          <w:rFonts w:ascii="Times New Roman" w:hAnsi="Times New Roman" w:cs="Times New Roman"/>
          <w:b/>
          <w:sz w:val="28"/>
          <w:szCs w:val="28"/>
          <w:lang w:val="en-US"/>
        </w:rPr>
        <w:t>identity-based</w:t>
      </w:r>
      <w:r w:rsidR="00135D65" w:rsidRPr="00BE597A">
        <w:rPr>
          <w:rFonts w:ascii="Times New Roman" w:hAnsi="Times New Roman" w:cs="Times New Roman"/>
          <w:b/>
          <w:sz w:val="28"/>
          <w:szCs w:val="28"/>
          <w:lang w:val="en-US"/>
        </w:rPr>
        <w:t xml:space="preserve"> conflict</w:t>
      </w:r>
    </w:p>
    <w:p w14:paraId="0E2DAEC4" w14:textId="00EF37F4" w:rsidR="00AE5B94" w:rsidRPr="00BE597A" w:rsidRDefault="002C0890" w:rsidP="00917109">
      <w:pPr>
        <w:spacing w:line="480" w:lineRule="auto"/>
        <w:contextualSpacing/>
        <w:jc w:val="both"/>
        <w:rPr>
          <w:rFonts w:ascii="Times New Roman" w:hAnsi="Times New Roman" w:cs="Times New Roman"/>
        </w:rPr>
      </w:pPr>
      <w:r w:rsidRPr="00BE597A">
        <w:rPr>
          <w:rFonts w:ascii="Times New Roman" w:hAnsi="Times New Roman" w:cs="Times New Roman"/>
        </w:rPr>
        <w:tab/>
      </w:r>
    </w:p>
    <w:p w14:paraId="3D24A07C" w14:textId="5C632693" w:rsidR="00E603C7" w:rsidRPr="00BE597A" w:rsidRDefault="00DC1F92" w:rsidP="00917109">
      <w:pPr>
        <w:spacing w:line="480" w:lineRule="auto"/>
        <w:ind w:firstLine="720"/>
        <w:contextualSpacing/>
        <w:jc w:val="both"/>
        <w:rPr>
          <w:rFonts w:ascii="Times New Roman" w:hAnsi="Times New Roman" w:cs="Times New Roman"/>
          <w:i/>
        </w:rPr>
      </w:pPr>
      <w:r w:rsidRPr="00BE597A">
        <w:rPr>
          <w:rFonts w:ascii="Times New Roman" w:hAnsi="Times New Roman" w:cs="Times New Roman"/>
          <w:i/>
        </w:rPr>
        <w:t xml:space="preserve">This article </w:t>
      </w:r>
      <w:r w:rsidR="00244AA8" w:rsidRPr="00BE597A">
        <w:rPr>
          <w:rFonts w:ascii="Times New Roman" w:hAnsi="Times New Roman" w:cs="Times New Roman"/>
          <w:i/>
        </w:rPr>
        <w:t xml:space="preserve">analyses third-party mediation of identity-based conflicts, which are notoriously difficult to resolve. It </w:t>
      </w:r>
      <w:r w:rsidR="00FB35D9" w:rsidRPr="00BE597A">
        <w:rPr>
          <w:rFonts w:ascii="Times New Roman" w:hAnsi="Times New Roman" w:cs="Times New Roman"/>
          <w:i/>
        </w:rPr>
        <w:t xml:space="preserve">seeks </w:t>
      </w:r>
      <w:r w:rsidR="00964FD6" w:rsidRPr="00BE597A">
        <w:rPr>
          <w:rFonts w:ascii="Times New Roman" w:hAnsi="Times New Roman" w:cs="Times New Roman"/>
          <w:i/>
        </w:rPr>
        <w:t>to reconcile the contradiction in the</w:t>
      </w:r>
      <w:r w:rsidR="00244AA8" w:rsidRPr="00BE597A">
        <w:rPr>
          <w:rFonts w:ascii="Times New Roman" w:hAnsi="Times New Roman" w:cs="Times New Roman"/>
          <w:i/>
        </w:rPr>
        <w:t xml:space="preserve"> mediation</w:t>
      </w:r>
      <w:r w:rsidR="00964FD6" w:rsidRPr="00BE597A">
        <w:rPr>
          <w:rFonts w:ascii="Times New Roman" w:hAnsi="Times New Roman" w:cs="Times New Roman"/>
          <w:i/>
        </w:rPr>
        <w:t xml:space="preserve"> literature between the need for less coercive strategies to ensure ownership of a peace agreement and the need for more coercive strategies to reach a final agreement. </w:t>
      </w:r>
      <w:r w:rsidR="00C22364" w:rsidRPr="00BE597A">
        <w:rPr>
          <w:rFonts w:ascii="Times New Roman" w:hAnsi="Times New Roman" w:cs="Times New Roman"/>
          <w:i/>
        </w:rPr>
        <w:t>Through an analysis of mediation of the Israeli-Palestinian c</w:t>
      </w:r>
      <w:r w:rsidR="00A72BFF" w:rsidRPr="00BE597A">
        <w:rPr>
          <w:rFonts w:ascii="Times New Roman" w:hAnsi="Times New Roman" w:cs="Times New Roman"/>
          <w:i/>
        </w:rPr>
        <w:t>onflict, the article makes four</w:t>
      </w:r>
      <w:r w:rsidR="00C22364" w:rsidRPr="00BE597A">
        <w:rPr>
          <w:rFonts w:ascii="Times New Roman" w:hAnsi="Times New Roman" w:cs="Times New Roman"/>
          <w:i/>
        </w:rPr>
        <w:t xml:space="preserve"> contributions to existing literature. First</w:t>
      </w:r>
      <w:r w:rsidR="005C0E13" w:rsidRPr="00BE597A">
        <w:rPr>
          <w:rFonts w:ascii="Times New Roman" w:hAnsi="Times New Roman" w:cs="Times New Roman"/>
          <w:i/>
        </w:rPr>
        <w:t xml:space="preserve">, </w:t>
      </w:r>
      <w:r w:rsidR="00C22364" w:rsidRPr="00BE597A">
        <w:rPr>
          <w:rFonts w:ascii="Times New Roman" w:hAnsi="Times New Roman" w:cs="Times New Roman"/>
          <w:i/>
        </w:rPr>
        <w:t>the article develops a</w:t>
      </w:r>
      <w:r w:rsidR="003A6875" w:rsidRPr="00BE597A">
        <w:rPr>
          <w:rFonts w:ascii="Times New Roman" w:hAnsi="Times New Roman" w:cs="Times New Roman"/>
          <w:i/>
        </w:rPr>
        <w:t xml:space="preserve"> theoretical</w:t>
      </w:r>
      <w:r w:rsidR="00C22364" w:rsidRPr="00BE597A">
        <w:rPr>
          <w:rFonts w:ascii="Times New Roman" w:hAnsi="Times New Roman" w:cs="Times New Roman"/>
          <w:i/>
        </w:rPr>
        <w:t xml:space="preserve"> ‘best fit’ model that proposes a u-shaped relationship between intensity of mediator coercion and transition through phases of negotiation. Second,</w:t>
      </w:r>
      <w:r w:rsidR="00A72BFF" w:rsidRPr="00BE597A">
        <w:rPr>
          <w:rFonts w:ascii="Times New Roman" w:hAnsi="Times New Roman" w:cs="Times New Roman"/>
          <w:i/>
        </w:rPr>
        <w:t xml:space="preserve"> it challenges the prevailing notion that pre-negotiation does not involve coercion. Third,</w:t>
      </w:r>
      <w:r w:rsidR="00C22364" w:rsidRPr="00BE597A">
        <w:rPr>
          <w:rFonts w:ascii="Times New Roman" w:hAnsi="Times New Roman" w:cs="Times New Roman"/>
          <w:i/>
        </w:rPr>
        <w:t xml:space="preserve"> it suggests that</w:t>
      </w:r>
      <w:r w:rsidR="002B7F35" w:rsidRPr="00BE597A">
        <w:rPr>
          <w:rFonts w:ascii="Times New Roman" w:hAnsi="Times New Roman" w:cs="Times New Roman"/>
          <w:i/>
        </w:rPr>
        <w:t xml:space="preserve"> epistemological and ontological understandings of a conflict and the role of a mediator by both th</w:t>
      </w:r>
      <w:r w:rsidR="00356B4A" w:rsidRPr="00BE597A">
        <w:rPr>
          <w:rFonts w:ascii="Times New Roman" w:hAnsi="Times New Roman" w:cs="Times New Roman"/>
          <w:i/>
        </w:rPr>
        <w:t>e mediator and the parties mean</w:t>
      </w:r>
      <w:r w:rsidR="002B7F35" w:rsidRPr="00BE597A">
        <w:rPr>
          <w:rFonts w:ascii="Times New Roman" w:hAnsi="Times New Roman" w:cs="Times New Roman"/>
          <w:i/>
        </w:rPr>
        <w:t xml:space="preserve"> that</w:t>
      </w:r>
      <w:r w:rsidR="00C22364" w:rsidRPr="00BE597A">
        <w:rPr>
          <w:rFonts w:ascii="Times New Roman" w:hAnsi="Times New Roman" w:cs="Times New Roman"/>
          <w:i/>
        </w:rPr>
        <w:t xml:space="preserve"> mediators enjoy limited capacity to </w:t>
      </w:r>
      <w:r w:rsidR="00267F34" w:rsidRPr="00BE597A">
        <w:rPr>
          <w:rFonts w:ascii="Times New Roman" w:hAnsi="Times New Roman" w:cs="Times New Roman"/>
          <w:i/>
        </w:rPr>
        <w:t xml:space="preserve">effectively </w:t>
      </w:r>
      <w:r w:rsidR="00C22364" w:rsidRPr="00BE597A">
        <w:rPr>
          <w:rFonts w:ascii="Times New Roman" w:hAnsi="Times New Roman" w:cs="Times New Roman"/>
          <w:i/>
        </w:rPr>
        <w:t>shift from h</w:t>
      </w:r>
      <w:r w:rsidR="002B7F35" w:rsidRPr="00BE597A">
        <w:rPr>
          <w:rFonts w:ascii="Times New Roman" w:hAnsi="Times New Roman" w:cs="Times New Roman"/>
          <w:i/>
        </w:rPr>
        <w:t>igh- to low-coercive strategies.</w:t>
      </w:r>
      <w:r w:rsidR="00C22364" w:rsidRPr="00BE597A">
        <w:rPr>
          <w:rFonts w:ascii="Times New Roman" w:hAnsi="Times New Roman" w:cs="Times New Roman"/>
          <w:i/>
        </w:rPr>
        <w:t xml:space="preserve"> </w:t>
      </w:r>
      <w:r w:rsidR="002B7F35" w:rsidRPr="00BE597A">
        <w:rPr>
          <w:rFonts w:ascii="Times New Roman" w:hAnsi="Times New Roman" w:cs="Times New Roman"/>
          <w:i/>
        </w:rPr>
        <w:t>M</w:t>
      </w:r>
      <w:r w:rsidR="00C22364" w:rsidRPr="00BE597A">
        <w:rPr>
          <w:rFonts w:ascii="Times New Roman" w:hAnsi="Times New Roman" w:cs="Times New Roman"/>
          <w:i/>
        </w:rPr>
        <w:t>ulti-party mediation can provide the flexibility needed to execute the coercion u-curve effectively.</w:t>
      </w:r>
      <w:r w:rsidR="00964FD6" w:rsidRPr="00BE597A">
        <w:rPr>
          <w:rFonts w:ascii="Times New Roman" w:hAnsi="Times New Roman" w:cs="Times New Roman"/>
          <w:i/>
        </w:rPr>
        <w:t xml:space="preserve"> </w:t>
      </w:r>
      <w:r w:rsidR="00A72BFF" w:rsidRPr="00BE597A">
        <w:rPr>
          <w:rFonts w:ascii="Times New Roman" w:hAnsi="Times New Roman" w:cs="Times New Roman"/>
          <w:i/>
        </w:rPr>
        <w:t>Fourth</w:t>
      </w:r>
      <w:r w:rsidR="00C22364" w:rsidRPr="00BE597A">
        <w:rPr>
          <w:rFonts w:ascii="Times New Roman" w:hAnsi="Times New Roman" w:cs="Times New Roman"/>
          <w:i/>
        </w:rPr>
        <w:t xml:space="preserve">, it challenges existing understandings of </w:t>
      </w:r>
      <w:r w:rsidR="008F4F1B" w:rsidRPr="00BE597A">
        <w:rPr>
          <w:rFonts w:ascii="Times New Roman" w:hAnsi="Times New Roman" w:cs="Times New Roman"/>
          <w:i/>
        </w:rPr>
        <w:t xml:space="preserve">the </w:t>
      </w:r>
      <w:r w:rsidR="007D46C2" w:rsidRPr="00BE597A">
        <w:rPr>
          <w:rFonts w:ascii="Times New Roman" w:hAnsi="Times New Roman" w:cs="Times New Roman"/>
          <w:i/>
        </w:rPr>
        <w:t xml:space="preserve">US-mediated </w:t>
      </w:r>
      <w:r w:rsidR="008F4F1B" w:rsidRPr="00BE597A">
        <w:rPr>
          <w:rFonts w:ascii="Times New Roman" w:hAnsi="Times New Roman" w:cs="Times New Roman"/>
          <w:i/>
        </w:rPr>
        <w:t xml:space="preserve">negotiations </w:t>
      </w:r>
      <w:r w:rsidR="007D46C2" w:rsidRPr="00BE597A">
        <w:rPr>
          <w:rFonts w:ascii="Times New Roman" w:hAnsi="Times New Roman" w:cs="Times New Roman"/>
          <w:i/>
        </w:rPr>
        <w:t>during</w:t>
      </w:r>
      <w:r w:rsidR="008F4F1B" w:rsidRPr="00BE597A">
        <w:rPr>
          <w:rFonts w:ascii="Times New Roman" w:hAnsi="Times New Roman" w:cs="Times New Roman"/>
          <w:i/>
        </w:rPr>
        <w:t xml:space="preserve"> the Annapolis process, 2007-8.</w:t>
      </w:r>
    </w:p>
    <w:p w14:paraId="5AC1D17A" w14:textId="77777777" w:rsidR="00EC0374" w:rsidRPr="00EC0374" w:rsidRDefault="00EC0374" w:rsidP="00EC0374">
      <w:pPr>
        <w:spacing w:line="480" w:lineRule="auto"/>
        <w:jc w:val="both"/>
        <w:rPr>
          <w:rFonts w:ascii="Times New Roman" w:hAnsi="Times New Roman" w:cs="Times New Roman"/>
        </w:rPr>
      </w:pPr>
    </w:p>
    <w:p w14:paraId="5CA89A83" w14:textId="25D796D3" w:rsidR="00DC1F92" w:rsidRPr="00EC0374" w:rsidRDefault="00EC0374" w:rsidP="00EC0374">
      <w:pPr>
        <w:spacing w:line="480" w:lineRule="auto"/>
        <w:jc w:val="both"/>
        <w:rPr>
          <w:rFonts w:ascii="Times New Roman" w:hAnsi="Times New Roman" w:cs="Times New Roman"/>
        </w:rPr>
      </w:pPr>
      <w:r w:rsidRPr="00EC0374">
        <w:rPr>
          <w:rFonts w:ascii="Times New Roman" w:hAnsi="Times New Roman" w:cs="Times New Roman"/>
        </w:rPr>
        <w:t xml:space="preserve">Keywords: Mediation, Coercion, Identity-based conflict, Israeli-Palestinian conflict </w:t>
      </w:r>
    </w:p>
    <w:p w14:paraId="1BF821D3" w14:textId="77777777" w:rsidR="00EC0374" w:rsidRPr="00EC0374" w:rsidRDefault="00EC0374" w:rsidP="00EC0374">
      <w:pPr>
        <w:spacing w:line="480" w:lineRule="auto"/>
        <w:jc w:val="both"/>
        <w:rPr>
          <w:rFonts w:ascii="Times New Roman" w:hAnsi="Times New Roman" w:cs="Times New Roman"/>
        </w:rPr>
      </w:pPr>
    </w:p>
    <w:p w14:paraId="1ADFD1FE" w14:textId="049F845A" w:rsidR="00EC0374" w:rsidRPr="00EC0374" w:rsidRDefault="00EC0374" w:rsidP="00EC0374">
      <w:pPr>
        <w:spacing w:line="480" w:lineRule="auto"/>
        <w:jc w:val="both"/>
        <w:rPr>
          <w:rFonts w:ascii="Times New Roman" w:eastAsia="Times New Roman" w:hAnsi="Times New Roman" w:cs="Times New Roman"/>
          <w:color w:val="222222"/>
        </w:rPr>
      </w:pPr>
      <w:r w:rsidRPr="00EC0374">
        <w:rPr>
          <w:rFonts w:ascii="Times New Roman" w:eastAsia="Times New Roman" w:hAnsi="Times New Roman" w:cs="Times New Roman"/>
          <w:color w:val="222222"/>
        </w:rPr>
        <w:t>Dr Jacob Eriksson is the Al Tajir Lecturer in Post-war Recovery Studies in the Department of Politics at the University of York</w:t>
      </w:r>
      <w:r w:rsidRPr="005A5297">
        <w:rPr>
          <w:rFonts w:ascii="Times New Roman" w:eastAsia="Times New Roman" w:hAnsi="Times New Roman" w:cs="Times New Roman"/>
          <w:color w:val="222222"/>
        </w:rPr>
        <w:t xml:space="preserve">. </w:t>
      </w:r>
      <w:r w:rsidR="005A5297" w:rsidRPr="005A5297">
        <w:rPr>
          <w:rFonts w:ascii="Times New Roman" w:eastAsia="Times New Roman" w:hAnsi="Times New Roman" w:cs="Times New Roman"/>
          <w:color w:val="222222"/>
        </w:rPr>
        <w:t>His research interests include</w:t>
      </w:r>
      <w:r w:rsidR="005A5297">
        <w:rPr>
          <w:rFonts w:ascii="Times New Roman" w:eastAsia="Times New Roman" w:hAnsi="Times New Roman" w:cs="Times New Roman"/>
          <w:color w:val="222222"/>
        </w:rPr>
        <w:t xml:space="preserve"> conflict resolution, the Israeli-Palestinian conflict,</w:t>
      </w:r>
      <w:r w:rsidR="005A5297" w:rsidRPr="005A5297">
        <w:rPr>
          <w:rFonts w:ascii="Times New Roman" w:eastAsia="Times New Roman" w:hAnsi="Times New Roman" w:cs="Times New Roman"/>
          <w:color w:val="222222"/>
        </w:rPr>
        <w:t xml:space="preserve"> Middle Eastern politics and security, </w:t>
      </w:r>
      <w:r w:rsidR="005A5297">
        <w:rPr>
          <w:rFonts w:ascii="Times New Roman" w:eastAsia="Times New Roman" w:hAnsi="Times New Roman" w:cs="Times New Roman"/>
          <w:color w:val="222222"/>
        </w:rPr>
        <w:t>and</w:t>
      </w:r>
      <w:r w:rsidR="005A5297" w:rsidRPr="005A5297">
        <w:rPr>
          <w:rFonts w:ascii="Times New Roman" w:eastAsia="Times New Roman" w:hAnsi="Times New Roman" w:cs="Times New Roman"/>
          <w:color w:val="222222"/>
        </w:rPr>
        <w:t xml:space="preserve"> post-war recovery.</w:t>
      </w:r>
      <w:r w:rsidR="005A5297">
        <w:rPr>
          <w:rFonts w:eastAsia="Times New Roman"/>
          <w:color w:val="222222"/>
        </w:rPr>
        <w:t xml:space="preserve"> </w:t>
      </w:r>
      <w:r>
        <w:rPr>
          <w:rFonts w:ascii="Times New Roman" w:eastAsia="Times New Roman" w:hAnsi="Times New Roman" w:cs="Times New Roman"/>
          <w:color w:val="222222"/>
        </w:rPr>
        <w:t>H</w:t>
      </w:r>
      <w:r w:rsidRPr="00EC0374">
        <w:rPr>
          <w:rFonts w:ascii="Times New Roman" w:eastAsia="Times New Roman" w:hAnsi="Times New Roman" w:cs="Times New Roman"/>
          <w:color w:val="222222"/>
        </w:rPr>
        <w:t>is first book, </w:t>
      </w:r>
      <w:r w:rsidRPr="00EC0374">
        <w:rPr>
          <w:rFonts w:ascii="Times New Roman" w:eastAsia="Times New Roman" w:hAnsi="Times New Roman" w:cs="Times New Roman"/>
          <w:i/>
          <w:iCs/>
          <w:color w:val="222222"/>
        </w:rPr>
        <w:t>Small-state Mediation in International Conflicts: Diplomacy and Negotiation in Israel-Palestine</w:t>
      </w:r>
      <w:r w:rsidRPr="00EC0374">
        <w:rPr>
          <w:rFonts w:ascii="Times New Roman" w:eastAsia="Times New Roman" w:hAnsi="Times New Roman" w:cs="Times New Roman"/>
          <w:color w:val="222222"/>
        </w:rPr>
        <w:t> was</w:t>
      </w:r>
      <w:r>
        <w:rPr>
          <w:rFonts w:ascii="Times New Roman" w:eastAsia="Times New Roman" w:hAnsi="Times New Roman" w:cs="Times New Roman"/>
          <w:color w:val="222222"/>
        </w:rPr>
        <w:t xml:space="preserve"> published by IB Tauris </w:t>
      </w:r>
      <w:r>
        <w:rPr>
          <w:rFonts w:ascii="Times New Roman" w:eastAsia="Times New Roman" w:hAnsi="Times New Roman" w:cs="Times New Roman"/>
          <w:color w:val="222222"/>
        </w:rPr>
        <w:lastRenderedPageBreak/>
        <w:t xml:space="preserve">in 2015, and he has published multiple journal articles and book chapters on </w:t>
      </w:r>
      <w:r w:rsidR="00580AA1">
        <w:rPr>
          <w:rFonts w:ascii="Times New Roman" w:eastAsia="Times New Roman" w:hAnsi="Times New Roman" w:cs="Times New Roman"/>
          <w:color w:val="222222"/>
        </w:rPr>
        <w:t xml:space="preserve">different aspects of </w:t>
      </w:r>
      <w:r>
        <w:rPr>
          <w:rFonts w:ascii="Times New Roman" w:eastAsia="Times New Roman" w:hAnsi="Times New Roman" w:cs="Times New Roman"/>
          <w:color w:val="222222"/>
        </w:rPr>
        <w:t xml:space="preserve">the Israeli-Palestinian conflict. He is the editor, together with Dr Ahmed Khaleel, of </w:t>
      </w:r>
      <w:r>
        <w:rPr>
          <w:rFonts w:ascii="Times New Roman" w:eastAsia="Times New Roman" w:hAnsi="Times New Roman" w:cs="Times New Roman"/>
          <w:i/>
          <w:color w:val="222222"/>
        </w:rPr>
        <w:t>Iraq after ISIS: The challenges of post-war recovery</w:t>
      </w:r>
      <w:r>
        <w:rPr>
          <w:rFonts w:ascii="Times New Roman" w:eastAsia="Times New Roman" w:hAnsi="Times New Roman" w:cs="Times New Roman"/>
          <w:color w:val="222222"/>
        </w:rPr>
        <w:t xml:space="preserve">, published by Palgrave in 2018. </w:t>
      </w:r>
    </w:p>
    <w:p w14:paraId="4E632717" w14:textId="77777777" w:rsidR="00EC0374" w:rsidRPr="00EC0374" w:rsidRDefault="00EC0374" w:rsidP="00EC0374">
      <w:pPr>
        <w:spacing w:line="480" w:lineRule="auto"/>
        <w:jc w:val="both"/>
        <w:rPr>
          <w:rFonts w:ascii="Times New Roman" w:hAnsi="Times New Roman" w:cs="Times New Roman"/>
        </w:rPr>
      </w:pPr>
    </w:p>
    <w:p w14:paraId="58E164E8" w14:textId="28318733" w:rsidR="00EC0374" w:rsidRDefault="00EC0374" w:rsidP="00EC0374">
      <w:pPr>
        <w:spacing w:line="36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Institutional and email addresses: </w:t>
      </w:r>
    </w:p>
    <w:p w14:paraId="5BCED56C" w14:textId="59E8EFB9" w:rsidR="00EC0374" w:rsidRPr="00EC0374" w:rsidRDefault="00EC0374" w:rsidP="00EC0374">
      <w:pPr>
        <w:spacing w:line="360" w:lineRule="auto"/>
        <w:rPr>
          <w:rFonts w:ascii="Times New Roman" w:eastAsia="Times New Roman" w:hAnsi="Times New Roman" w:cs="Times New Roman"/>
          <w:sz w:val="20"/>
          <w:szCs w:val="20"/>
        </w:rPr>
      </w:pPr>
      <w:r w:rsidRPr="00EC0374">
        <w:rPr>
          <w:rFonts w:ascii="Times New Roman" w:eastAsia="Times New Roman" w:hAnsi="Times New Roman" w:cs="Times New Roman"/>
          <w:color w:val="222222"/>
        </w:rPr>
        <w:t>Department of Politics</w:t>
      </w:r>
      <w:r w:rsidRPr="00EC0374">
        <w:rPr>
          <w:rFonts w:ascii="Times New Roman" w:eastAsia="Times New Roman" w:hAnsi="Times New Roman" w:cs="Times New Roman"/>
          <w:color w:val="222222"/>
        </w:rPr>
        <w:br/>
        <w:t>University of York </w:t>
      </w:r>
    </w:p>
    <w:p w14:paraId="28DE7397" w14:textId="77777777" w:rsidR="00EC0374" w:rsidRDefault="00EC0374" w:rsidP="00EC0374">
      <w:pPr>
        <w:spacing w:line="360" w:lineRule="auto"/>
        <w:rPr>
          <w:rFonts w:ascii="Times New Roman" w:eastAsia="Times New Roman" w:hAnsi="Times New Roman" w:cs="Times New Roman"/>
          <w:color w:val="222222"/>
        </w:rPr>
      </w:pPr>
      <w:r w:rsidRPr="00EC0374">
        <w:rPr>
          <w:rFonts w:ascii="Times New Roman" w:eastAsia="Times New Roman" w:hAnsi="Times New Roman" w:cs="Times New Roman"/>
          <w:color w:val="222222"/>
        </w:rPr>
        <w:t>Heslington, York</w:t>
      </w:r>
      <w:r w:rsidRPr="00EC0374">
        <w:rPr>
          <w:rFonts w:ascii="Times New Roman" w:eastAsia="Times New Roman" w:hAnsi="Times New Roman" w:cs="Times New Roman"/>
          <w:color w:val="222222"/>
        </w:rPr>
        <w:br/>
        <w:t>YO10 5DD</w:t>
      </w:r>
    </w:p>
    <w:p w14:paraId="79053C26" w14:textId="1526C14E" w:rsidR="00EC0374" w:rsidRDefault="00F15102" w:rsidP="00EC0374">
      <w:pPr>
        <w:spacing w:line="360" w:lineRule="auto"/>
        <w:rPr>
          <w:rFonts w:ascii="Times New Roman" w:eastAsia="Times New Roman" w:hAnsi="Times New Roman" w:cs="Times New Roman"/>
          <w:color w:val="222222"/>
          <w:sz w:val="20"/>
          <w:szCs w:val="20"/>
        </w:rPr>
      </w:pPr>
      <w:hyperlink r:id="rId8" w:history="1">
        <w:r w:rsidR="00EC0374" w:rsidRPr="004664BC">
          <w:rPr>
            <w:rStyle w:val="Hyperlink"/>
            <w:rFonts w:ascii="Times New Roman" w:eastAsia="Times New Roman" w:hAnsi="Times New Roman" w:cs="Times New Roman"/>
            <w:sz w:val="20"/>
            <w:szCs w:val="20"/>
          </w:rPr>
          <w:t>jacob.eriksson@york.ac.uk</w:t>
        </w:r>
      </w:hyperlink>
    </w:p>
    <w:p w14:paraId="0A3855F7" w14:textId="77777777" w:rsidR="00EC0374" w:rsidRPr="00EC0374" w:rsidRDefault="00EC0374" w:rsidP="00EC0374">
      <w:pPr>
        <w:spacing w:line="360" w:lineRule="auto"/>
        <w:rPr>
          <w:rFonts w:ascii="Times New Roman" w:eastAsia="Times New Roman" w:hAnsi="Times New Roman" w:cs="Times New Roman"/>
          <w:color w:val="222222"/>
          <w:sz w:val="20"/>
          <w:szCs w:val="20"/>
        </w:rPr>
      </w:pPr>
    </w:p>
    <w:p w14:paraId="588E1155" w14:textId="77777777" w:rsidR="00EC0374" w:rsidRDefault="00EC0374" w:rsidP="00EC0374">
      <w:pPr>
        <w:spacing w:line="480" w:lineRule="auto"/>
        <w:jc w:val="both"/>
        <w:rPr>
          <w:rFonts w:ascii="Times New Roman" w:hAnsi="Times New Roman" w:cs="Times New Roman"/>
        </w:rPr>
      </w:pPr>
    </w:p>
    <w:p w14:paraId="5B103495" w14:textId="77777777" w:rsidR="00BB7117" w:rsidRPr="00BE597A" w:rsidRDefault="00BB7117" w:rsidP="00EC0374">
      <w:pPr>
        <w:spacing w:line="480" w:lineRule="auto"/>
        <w:jc w:val="both"/>
        <w:rPr>
          <w:rFonts w:ascii="Times New Roman" w:hAnsi="Times New Roman" w:cs="Times New Roman"/>
        </w:rPr>
      </w:pPr>
    </w:p>
    <w:p w14:paraId="3E11C1F7" w14:textId="251BE257" w:rsidR="00135D65" w:rsidRPr="00BE597A" w:rsidRDefault="00135D65" w:rsidP="00917109">
      <w:pPr>
        <w:spacing w:line="480" w:lineRule="auto"/>
        <w:ind w:firstLine="720"/>
        <w:jc w:val="both"/>
        <w:rPr>
          <w:rFonts w:ascii="Times New Roman" w:hAnsi="Times New Roman" w:cs="Times New Roman"/>
        </w:rPr>
      </w:pPr>
      <w:r w:rsidRPr="00BE597A">
        <w:rPr>
          <w:rFonts w:ascii="Times New Roman" w:hAnsi="Times New Roman" w:cs="Times New Roman"/>
        </w:rPr>
        <w:t>Although mediation is accepted as a crucial component of conflict resolution in international relations, opinion is divided among scholars about which mediation strategies are most effective, and what the role of coercion should be. This article examines these issues in the context of intractable identity-based conflict, specifically the Israeli-Palestinian conflict. Those who argue in favour of ‘pure’ mediation, like Burton and Dukes, reject the idea that third party mediators should use leverage and coercion, whereas these factors are central to ‘power’ mediation as understood by Touval and Carnevale.</w:t>
      </w:r>
      <w:r w:rsidRPr="00BE597A">
        <w:rPr>
          <w:rStyle w:val="FootnoteReference"/>
          <w:rFonts w:ascii="Times New Roman" w:hAnsi="Times New Roman" w:cs="Times New Roman"/>
        </w:rPr>
        <w:footnoteReference w:id="1"/>
      </w:r>
      <w:r w:rsidRPr="00BE597A">
        <w:rPr>
          <w:rFonts w:ascii="Times New Roman" w:hAnsi="Times New Roman" w:cs="Times New Roman"/>
        </w:rPr>
        <w:t xml:space="preserve"> However, as Rubin, Zartman and Touval, and Heemsbergen and Siniver have argued, this binary distinction overlooks the many nuances of power involved in mediation, which are better conceptualised on a spectrum</w:t>
      </w:r>
      <w:r w:rsidR="00322903" w:rsidRPr="00BE597A">
        <w:rPr>
          <w:rFonts w:ascii="Times New Roman" w:hAnsi="Times New Roman" w:cs="Times New Roman"/>
        </w:rPr>
        <w:t xml:space="preserve"> from the material to the social-psychological</w:t>
      </w:r>
      <w:r w:rsidRPr="00BE597A">
        <w:rPr>
          <w:rFonts w:ascii="Times New Roman" w:hAnsi="Times New Roman" w:cs="Times New Roman"/>
        </w:rPr>
        <w:t>.</w:t>
      </w:r>
      <w:r w:rsidRPr="00BE597A">
        <w:rPr>
          <w:rStyle w:val="FootnoteReference"/>
          <w:rFonts w:ascii="Times New Roman" w:hAnsi="Times New Roman" w:cs="Times New Roman"/>
        </w:rPr>
        <w:footnoteReference w:id="2"/>
      </w:r>
    </w:p>
    <w:p w14:paraId="1860672B" w14:textId="0C28E28C" w:rsidR="00573350" w:rsidRPr="00BE597A" w:rsidRDefault="00135D65" w:rsidP="00917109">
      <w:pPr>
        <w:spacing w:line="480" w:lineRule="auto"/>
        <w:ind w:firstLine="720"/>
        <w:jc w:val="both"/>
        <w:rPr>
          <w:rFonts w:ascii="Times New Roman" w:hAnsi="Times New Roman" w:cs="Times New Roman"/>
        </w:rPr>
      </w:pPr>
      <w:r w:rsidRPr="00BE597A">
        <w:rPr>
          <w:rFonts w:ascii="Times New Roman" w:hAnsi="Times New Roman" w:cs="Times New Roman"/>
        </w:rPr>
        <w:t>The effectiveness of certain forms of power depends on what the mediator is trying to accomplish. If the parties’ positions are far from one another and their dialogue is not well developed, then something closer to ‘pure’ mediation is more relevant to build a relationship and increase mutual understanding.</w:t>
      </w:r>
      <w:r w:rsidRPr="00BE597A">
        <w:rPr>
          <w:rStyle w:val="FootnoteReference"/>
          <w:rFonts w:ascii="Times New Roman" w:hAnsi="Times New Roman" w:cs="Times New Roman"/>
        </w:rPr>
        <w:footnoteReference w:id="3"/>
      </w:r>
      <w:r w:rsidRPr="00BE597A">
        <w:rPr>
          <w:rFonts w:ascii="Times New Roman" w:hAnsi="Times New Roman" w:cs="Times New Roman"/>
        </w:rPr>
        <w:t xml:space="preserve"> If looking to secure an agreement, quantitative analysis of large conflict mediation data sets suggests that coercive use of leverage is the most effective.</w:t>
      </w:r>
      <w:r w:rsidRPr="00BE597A">
        <w:rPr>
          <w:rStyle w:val="FootnoteReference"/>
          <w:rFonts w:ascii="Times New Roman" w:hAnsi="Times New Roman" w:cs="Times New Roman"/>
        </w:rPr>
        <w:footnoteReference w:id="4"/>
      </w:r>
      <w:r w:rsidRPr="00BE597A">
        <w:rPr>
          <w:rFonts w:ascii="Times New Roman" w:hAnsi="Times New Roman" w:cs="Times New Roman"/>
        </w:rPr>
        <w:t xml:space="preserve"> </w:t>
      </w:r>
      <w:r w:rsidR="00AE6E08" w:rsidRPr="00BE597A">
        <w:rPr>
          <w:rFonts w:ascii="Times New Roman" w:hAnsi="Times New Roman" w:cs="Times New Roman"/>
        </w:rPr>
        <w:t xml:space="preserve">Indeed, </w:t>
      </w:r>
      <w:r w:rsidR="00944174" w:rsidRPr="00BE597A">
        <w:rPr>
          <w:rFonts w:ascii="Times New Roman" w:hAnsi="Times New Roman" w:cs="Times New Roman"/>
        </w:rPr>
        <w:t>Saunders has argued that the effectiveness of a particular mediation strategy can vary depending on the stage of the conflict.</w:t>
      </w:r>
      <w:r w:rsidR="00944174" w:rsidRPr="00BE597A">
        <w:rPr>
          <w:rStyle w:val="FootnoteReference"/>
          <w:rFonts w:ascii="Times New Roman" w:hAnsi="Times New Roman" w:cs="Times New Roman"/>
        </w:rPr>
        <w:footnoteReference w:id="5"/>
      </w:r>
      <w:r w:rsidR="00944174" w:rsidRPr="00BE597A">
        <w:rPr>
          <w:rFonts w:ascii="Times New Roman" w:hAnsi="Times New Roman" w:cs="Times New Roman"/>
        </w:rPr>
        <w:t xml:space="preserve"> </w:t>
      </w:r>
      <w:r w:rsidRPr="00BE597A">
        <w:rPr>
          <w:rFonts w:ascii="Times New Roman" w:hAnsi="Times New Roman" w:cs="Times New Roman"/>
        </w:rPr>
        <w:t xml:space="preserve">However, </w:t>
      </w:r>
      <w:r w:rsidR="00AF4688" w:rsidRPr="00BE597A">
        <w:rPr>
          <w:rFonts w:ascii="Times New Roman" w:hAnsi="Times New Roman" w:cs="Times New Roman"/>
        </w:rPr>
        <w:t>studies on effectiveness have yet to focus specifically on identity-based co</w:t>
      </w:r>
      <w:r w:rsidR="00555F26" w:rsidRPr="00BE597A">
        <w:rPr>
          <w:rFonts w:ascii="Times New Roman" w:hAnsi="Times New Roman" w:cs="Times New Roman"/>
        </w:rPr>
        <w:t>nflict, which tend to be</w:t>
      </w:r>
      <w:r w:rsidR="00AF4688" w:rsidRPr="00BE597A">
        <w:rPr>
          <w:rFonts w:ascii="Times New Roman" w:hAnsi="Times New Roman" w:cs="Times New Roman"/>
        </w:rPr>
        <w:t xml:space="preserve"> the most intractable</w:t>
      </w:r>
      <w:r w:rsidR="00555F26" w:rsidRPr="00BE597A">
        <w:rPr>
          <w:rFonts w:ascii="Times New Roman" w:hAnsi="Times New Roman" w:cs="Times New Roman"/>
        </w:rPr>
        <w:t xml:space="preserve">, nor do they </w:t>
      </w:r>
      <w:r w:rsidR="007E0438" w:rsidRPr="00BE597A">
        <w:rPr>
          <w:rFonts w:ascii="Times New Roman" w:hAnsi="Times New Roman" w:cs="Times New Roman"/>
        </w:rPr>
        <w:t xml:space="preserve">explicitly </w:t>
      </w:r>
      <w:r w:rsidR="00555F26" w:rsidRPr="00BE597A">
        <w:rPr>
          <w:rFonts w:ascii="Times New Roman" w:hAnsi="Times New Roman" w:cs="Times New Roman"/>
        </w:rPr>
        <w:t xml:space="preserve">consider how </w:t>
      </w:r>
      <w:r w:rsidR="00121F9E" w:rsidRPr="00BE597A">
        <w:rPr>
          <w:rFonts w:ascii="Times New Roman" w:hAnsi="Times New Roman" w:cs="Times New Roman"/>
        </w:rPr>
        <w:t xml:space="preserve">the sequencing of mediation activities </w:t>
      </w:r>
      <w:r w:rsidR="00A44787" w:rsidRPr="00BE597A">
        <w:rPr>
          <w:rFonts w:ascii="Times New Roman" w:hAnsi="Times New Roman" w:cs="Times New Roman"/>
        </w:rPr>
        <w:t>impacts on</w:t>
      </w:r>
      <w:r w:rsidR="00121F9E" w:rsidRPr="00BE597A">
        <w:rPr>
          <w:rFonts w:ascii="Times New Roman" w:hAnsi="Times New Roman" w:cs="Times New Roman"/>
        </w:rPr>
        <w:t xml:space="preserve"> </w:t>
      </w:r>
      <w:r w:rsidR="00555F26" w:rsidRPr="00BE597A">
        <w:rPr>
          <w:rFonts w:ascii="Times New Roman" w:hAnsi="Times New Roman" w:cs="Times New Roman"/>
        </w:rPr>
        <w:t>effectiveness</w:t>
      </w:r>
      <w:r w:rsidR="00AF4688" w:rsidRPr="00BE597A">
        <w:rPr>
          <w:rFonts w:ascii="Times New Roman" w:hAnsi="Times New Roman" w:cs="Times New Roman"/>
        </w:rPr>
        <w:t>.</w:t>
      </w:r>
      <w:r w:rsidR="00483452" w:rsidRPr="00BE597A">
        <w:rPr>
          <w:rStyle w:val="FootnoteReference"/>
          <w:rFonts w:ascii="Times New Roman" w:hAnsi="Times New Roman" w:cs="Times New Roman"/>
        </w:rPr>
        <w:footnoteReference w:id="6"/>
      </w:r>
      <w:r w:rsidR="00AF4688" w:rsidRPr="00BE597A">
        <w:rPr>
          <w:rFonts w:ascii="Times New Roman" w:hAnsi="Times New Roman" w:cs="Times New Roman"/>
        </w:rPr>
        <w:t xml:space="preserve"> </w:t>
      </w:r>
      <w:r w:rsidR="00573350" w:rsidRPr="00BE597A">
        <w:rPr>
          <w:rFonts w:ascii="Times New Roman" w:hAnsi="Times New Roman" w:cs="Times New Roman"/>
        </w:rPr>
        <w:t>Fisher and Keashly’s ‘contingency model’ of third party intervention provides an important basis for thinking about the relationship between strategies, power, and timing, reflecting on the appropriateness of different types of third party activity at different stages of a conflict. In addition to emphasising the importance of conflict context when determining a mediation strategy, they argue that ‘pure’ and ‘power’ approaches to mediation need not be adversarial, but can be complementary.</w:t>
      </w:r>
      <w:r w:rsidR="00573350" w:rsidRPr="00BE597A">
        <w:rPr>
          <w:rStyle w:val="FootnoteReference"/>
          <w:rFonts w:ascii="Times New Roman" w:hAnsi="Times New Roman" w:cs="Times New Roman"/>
        </w:rPr>
        <w:footnoteReference w:id="7"/>
      </w:r>
      <w:r w:rsidR="00573350" w:rsidRPr="00BE597A">
        <w:rPr>
          <w:rFonts w:ascii="Times New Roman" w:hAnsi="Times New Roman" w:cs="Times New Roman"/>
        </w:rPr>
        <w:t xml:space="preserve"> </w:t>
      </w:r>
    </w:p>
    <w:p w14:paraId="4A4AF58D" w14:textId="73F0D385" w:rsidR="00135D65" w:rsidRPr="00BE597A" w:rsidRDefault="00135D65" w:rsidP="00917109">
      <w:pPr>
        <w:spacing w:line="480" w:lineRule="auto"/>
        <w:ind w:firstLine="720"/>
        <w:jc w:val="both"/>
        <w:rPr>
          <w:rFonts w:ascii="Times New Roman" w:hAnsi="Times New Roman" w:cs="Times New Roman"/>
        </w:rPr>
      </w:pPr>
    </w:p>
    <w:p w14:paraId="3226A6C1" w14:textId="75C35210" w:rsidR="00060446" w:rsidRPr="00BE597A" w:rsidRDefault="00135D65" w:rsidP="00917109">
      <w:pPr>
        <w:spacing w:line="480" w:lineRule="auto"/>
        <w:ind w:firstLine="720"/>
        <w:jc w:val="both"/>
        <w:rPr>
          <w:rFonts w:ascii="Times New Roman" w:hAnsi="Times New Roman" w:cs="Times New Roman"/>
        </w:rPr>
      </w:pPr>
      <w:r w:rsidRPr="00BE597A">
        <w:rPr>
          <w:rFonts w:ascii="Times New Roman" w:hAnsi="Times New Roman" w:cs="Times New Roman"/>
        </w:rPr>
        <w:t xml:space="preserve">Drawing on </w:t>
      </w:r>
      <w:r w:rsidR="0055165C" w:rsidRPr="00BE597A">
        <w:rPr>
          <w:rFonts w:ascii="Times New Roman" w:hAnsi="Times New Roman" w:cs="Times New Roman"/>
        </w:rPr>
        <w:t>Fisher and Keashly’s</w:t>
      </w:r>
      <w:r w:rsidRPr="00BE597A">
        <w:rPr>
          <w:rFonts w:ascii="Times New Roman" w:hAnsi="Times New Roman" w:cs="Times New Roman"/>
        </w:rPr>
        <w:t xml:space="preserve"> contingency approach, this article proposes a theoretically informed model to understand the applicability of coercive mediation strategies to </w:t>
      </w:r>
      <w:r w:rsidR="00B5366F" w:rsidRPr="00BE597A">
        <w:rPr>
          <w:rFonts w:ascii="Times New Roman" w:hAnsi="Times New Roman" w:cs="Times New Roman"/>
        </w:rPr>
        <w:t xml:space="preserve">identity-based conflicts such as </w:t>
      </w:r>
      <w:r w:rsidRPr="00BE597A">
        <w:rPr>
          <w:rFonts w:ascii="Times New Roman" w:hAnsi="Times New Roman" w:cs="Times New Roman"/>
        </w:rPr>
        <w:t>the Israeli-Palestinian conflict, focusing in particular on the US as a mediator. While the US is a crucial actor, it has proved ‘unfailingly inept at launching successful initiatives’ in the realm of Israeli-Palestinian peace and has an extensive track record marked by failure.</w:t>
      </w:r>
      <w:r w:rsidRPr="00BE597A">
        <w:rPr>
          <w:rStyle w:val="FootnoteReference"/>
          <w:rFonts w:ascii="Times New Roman" w:hAnsi="Times New Roman" w:cs="Times New Roman"/>
        </w:rPr>
        <w:footnoteReference w:id="8"/>
      </w:r>
      <w:r w:rsidRPr="00BE597A">
        <w:rPr>
          <w:rFonts w:ascii="Times New Roman" w:hAnsi="Times New Roman" w:cs="Times New Roman"/>
        </w:rPr>
        <w:t xml:space="preserve"> </w:t>
      </w:r>
      <w:r w:rsidR="00943595" w:rsidRPr="00BE597A">
        <w:rPr>
          <w:rFonts w:ascii="Times New Roman" w:hAnsi="Times New Roman" w:cs="Times New Roman"/>
        </w:rPr>
        <w:t>Despite its leverage as a superpower and a major donor to both parties, the US has failed to exercise this coercive power effectively.</w:t>
      </w:r>
      <w:r w:rsidR="00943595" w:rsidRPr="00BE597A">
        <w:rPr>
          <w:rStyle w:val="FootnoteReference"/>
          <w:rFonts w:ascii="Times New Roman" w:hAnsi="Times New Roman" w:cs="Times New Roman"/>
        </w:rPr>
        <w:footnoteReference w:id="9"/>
      </w:r>
      <w:r w:rsidR="00943595" w:rsidRPr="00BE597A">
        <w:rPr>
          <w:rFonts w:ascii="Times New Roman" w:hAnsi="Times New Roman" w:cs="Times New Roman"/>
        </w:rPr>
        <w:t xml:space="preserve"> </w:t>
      </w:r>
      <w:r w:rsidRPr="00BE597A">
        <w:rPr>
          <w:rFonts w:ascii="Times New Roman" w:hAnsi="Times New Roman" w:cs="Times New Roman"/>
        </w:rPr>
        <w:t xml:space="preserve">This poses important questions about the concepts of power, leverage, and coercion in the mediation of identity-based conflicts. </w:t>
      </w:r>
      <w:r w:rsidR="00943595" w:rsidRPr="00BE597A">
        <w:rPr>
          <w:rFonts w:ascii="Times New Roman" w:hAnsi="Times New Roman" w:cs="Times New Roman"/>
        </w:rPr>
        <w:t>First, w</w:t>
      </w:r>
      <w:r w:rsidRPr="00BE597A">
        <w:rPr>
          <w:rFonts w:ascii="Times New Roman" w:hAnsi="Times New Roman" w:cs="Times New Roman"/>
        </w:rPr>
        <w:t xml:space="preserve">hat should the role of leverage be when negotiating an identity-based conflict? How and when should it be used? </w:t>
      </w:r>
      <w:r w:rsidR="00060446" w:rsidRPr="00BE597A">
        <w:rPr>
          <w:rFonts w:ascii="Times New Roman" w:hAnsi="Times New Roman" w:cs="Times New Roman"/>
        </w:rPr>
        <w:t>Thrall argues in favour of coercion as ‘the only language they understand,’ but how appropriate is coercive mediation to solving identity-based conflict, where it is hard to reduce deeply cherished identity elements to bargaining chips?</w:t>
      </w:r>
      <w:r w:rsidR="00060446" w:rsidRPr="00BE597A">
        <w:rPr>
          <w:rStyle w:val="FootnoteReference"/>
          <w:rFonts w:ascii="Times New Roman" w:hAnsi="Times New Roman" w:cs="Times New Roman"/>
        </w:rPr>
        <w:footnoteReference w:id="10"/>
      </w:r>
      <w:r w:rsidR="00060446" w:rsidRPr="00BE597A">
        <w:rPr>
          <w:rFonts w:ascii="Times New Roman" w:hAnsi="Times New Roman" w:cs="Times New Roman"/>
        </w:rPr>
        <w:t xml:space="preserve"> As Barak has argued, mediators have often erroneously treated the Israeli-Palestinian conflict as an inter-state conflict.</w:t>
      </w:r>
      <w:r w:rsidR="00060446" w:rsidRPr="00BE597A">
        <w:rPr>
          <w:rStyle w:val="FootnoteReference"/>
          <w:rFonts w:ascii="Times New Roman" w:hAnsi="Times New Roman" w:cs="Times New Roman"/>
        </w:rPr>
        <w:footnoteReference w:id="11"/>
      </w:r>
      <w:r w:rsidR="00060446" w:rsidRPr="00BE597A">
        <w:rPr>
          <w:rFonts w:ascii="Times New Roman" w:hAnsi="Times New Roman" w:cs="Times New Roman"/>
        </w:rPr>
        <w:t xml:space="preserve"> Thrall and other analysts of US mediation compare mediation of the Israeli-Palestinian conflict with that of the wider Arab-Israeli conflict, such as that between Israel and Egypt, but these parallels are problematic due to the difference in the nature of the conflicts. The relatively straightforward ‘land for peace’ concept which guided Israeli-Egyptian peace has proven impossible to translate from one conflict to the other.</w:t>
      </w:r>
      <w:r w:rsidR="00060446" w:rsidRPr="00BE597A">
        <w:rPr>
          <w:rStyle w:val="FootnoteReference"/>
          <w:rFonts w:ascii="Times New Roman" w:hAnsi="Times New Roman" w:cs="Times New Roman"/>
        </w:rPr>
        <w:footnoteReference w:id="12"/>
      </w:r>
    </w:p>
    <w:p w14:paraId="01834040" w14:textId="0DCEFC50" w:rsidR="00135D65" w:rsidRPr="00BE597A" w:rsidRDefault="00943595" w:rsidP="00917109">
      <w:pPr>
        <w:spacing w:line="480" w:lineRule="auto"/>
        <w:ind w:firstLine="720"/>
        <w:jc w:val="both"/>
        <w:rPr>
          <w:rFonts w:ascii="Times New Roman" w:hAnsi="Times New Roman" w:cs="Times New Roman"/>
        </w:rPr>
      </w:pPr>
      <w:r w:rsidRPr="00BE597A">
        <w:rPr>
          <w:rFonts w:ascii="Times New Roman" w:hAnsi="Times New Roman" w:cs="Times New Roman"/>
        </w:rPr>
        <w:t>Second, h</w:t>
      </w:r>
      <w:r w:rsidR="00135D65" w:rsidRPr="00BE597A">
        <w:rPr>
          <w:rFonts w:ascii="Times New Roman" w:hAnsi="Times New Roman" w:cs="Times New Roman"/>
        </w:rPr>
        <w:t>ow does the power and leverage the US possesses affect its strategy and perception by the parties? Are US mediators able to employ alternative mediation strategies which do not centre around coercion? Heemsbergen and Siniver argue that the choice of which type of power to exercise and by extension which mediation strategy to pursue stems from ontological and epistemological understandings of the conflict and its causes.</w:t>
      </w:r>
      <w:r w:rsidR="00135D65" w:rsidRPr="00BE597A">
        <w:rPr>
          <w:rStyle w:val="FootnoteReference"/>
          <w:rFonts w:ascii="Times New Roman" w:hAnsi="Times New Roman" w:cs="Times New Roman"/>
        </w:rPr>
        <w:footnoteReference w:id="13"/>
      </w:r>
      <w:r w:rsidR="00135D65" w:rsidRPr="00BE597A">
        <w:rPr>
          <w:rFonts w:ascii="Times New Roman" w:hAnsi="Times New Roman" w:cs="Times New Roman"/>
        </w:rPr>
        <w:t xml:space="preserve"> This poses an important question: if strategy reflects a particular ontological and epistemological stance on the conflict, to what extent can one expect the same mediator to be adaptive and use different strategies </w:t>
      </w:r>
      <w:r w:rsidR="00B9323B" w:rsidRPr="00BE597A">
        <w:rPr>
          <w:rFonts w:ascii="Times New Roman" w:hAnsi="Times New Roman" w:cs="Times New Roman"/>
        </w:rPr>
        <w:t xml:space="preserve">effectively </w:t>
      </w:r>
      <w:r w:rsidR="00135D65" w:rsidRPr="00BE597A">
        <w:rPr>
          <w:rFonts w:ascii="Times New Roman" w:hAnsi="Times New Roman" w:cs="Times New Roman"/>
        </w:rPr>
        <w:t xml:space="preserve">at different points within a set period of negotiations? </w:t>
      </w:r>
    </w:p>
    <w:p w14:paraId="166E400D" w14:textId="2C60BE73" w:rsidR="00135D65" w:rsidRPr="00BE597A" w:rsidRDefault="00135D65" w:rsidP="00917109">
      <w:pPr>
        <w:spacing w:line="480" w:lineRule="auto"/>
        <w:ind w:firstLine="720"/>
        <w:jc w:val="both"/>
        <w:rPr>
          <w:rFonts w:ascii="Times New Roman" w:hAnsi="Times New Roman" w:cs="Times New Roman"/>
        </w:rPr>
      </w:pPr>
      <w:r w:rsidRPr="00BE597A">
        <w:rPr>
          <w:rFonts w:ascii="Times New Roman" w:hAnsi="Times New Roman" w:cs="Times New Roman"/>
        </w:rPr>
        <w:t>The article begins exploring these issues by establishing a theoretical framework to do with issues of mediation strategy, leverage, power, and coercion in the context of identity-based conflicts</w:t>
      </w:r>
      <w:r w:rsidR="005632A9" w:rsidRPr="00BE597A">
        <w:rPr>
          <w:rFonts w:ascii="Times New Roman" w:hAnsi="Times New Roman" w:cs="Times New Roman"/>
        </w:rPr>
        <w:t>, and reflects on different theoretical approaches to US mediation of the conflict</w:t>
      </w:r>
      <w:r w:rsidRPr="00BE597A">
        <w:rPr>
          <w:rFonts w:ascii="Times New Roman" w:hAnsi="Times New Roman" w:cs="Times New Roman"/>
        </w:rPr>
        <w:t xml:space="preserve">. It proposes a </w:t>
      </w:r>
      <w:r w:rsidR="00D847F2" w:rsidRPr="00BE597A">
        <w:rPr>
          <w:rFonts w:ascii="Times New Roman" w:hAnsi="Times New Roman" w:cs="Times New Roman"/>
        </w:rPr>
        <w:t xml:space="preserve">heuristic </w:t>
      </w:r>
      <w:r w:rsidRPr="00BE597A">
        <w:rPr>
          <w:rFonts w:ascii="Times New Roman" w:hAnsi="Times New Roman" w:cs="Times New Roman"/>
        </w:rPr>
        <w:t xml:space="preserve">theoretical model which </w:t>
      </w:r>
      <w:r w:rsidR="00D847F2" w:rsidRPr="00BE597A">
        <w:rPr>
          <w:rFonts w:ascii="Times New Roman" w:hAnsi="Times New Roman" w:cs="Times New Roman"/>
        </w:rPr>
        <w:t>illustrat</w:t>
      </w:r>
      <w:r w:rsidRPr="00BE597A">
        <w:rPr>
          <w:rFonts w:ascii="Times New Roman" w:hAnsi="Times New Roman" w:cs="Times New Roman"/>
        </w:rPr>
        <w:t xml:space="preserve">es the need to use particular strategies at certain stages of the negotiations. Initially, the parties may require a high level of coercion to </w:t>
      </w:r>
      <w:r w:rsidR="001B3E30" w:rsidRPr="00BE597A">
        <w:rPr>
          <w:rFonts w:ascii="Times New Roman" w:hAnsi="Times New Roman" w:cs="Times New Roman"/>
        </w:rPr>
        <w:t>overcome barriers to initiating</w:t>
      </w:r>
      <w:r w:rsidRPr="00BE597A">
        <w:rPr>
          <w:rFonts w:ascii="Times New Roman" w:hAnsi="Times New Roman" w:cs="Times New Roman"/>
        </w:rPr>
        <w:t xml:space="preserve"> dialogue, but coercion becomes less relevant once they have sat down at the negotiating table</w:t>
      </w:r>
      <w:r w:rsidR="001B3E30" w:rsidRPr="00BE597A">
        <w:rPr>
          <w:rFonts w:ascii="Times New Roman" w:hAnsi="Times New Roman" w:cs="Times New Roman"/>
        </w:rPr>
        <w:t xml:space="preserve"> and a framework for negotiations exists</w:t>
      </w:r>
      <w:r w:rsidRPr="00BE597A">
        <w:rPr>
          <w:rFonts w:ascii="Times New Roman" w:hAnsi="Times New Roman" w:cs="Times New Roman"/>
        </w:rPr>
        <w:t xml:space="preserve">. After </w:t>
      </w:r>
      <w:r w:rsidR="001B3E30" w:rsidRPr="00BE597A">
        <w:rPr>
          <w:rFonts w:ascii="Times New Roman" w:hAnsi="Times New Roman" w:cs="Times New Roman"/>
        </w:rPr>
        <w:t>extensive negotiations have narrowed the remaining areas of disagreement, significant leverage is</w:t>
      </w:r>
      <w:r w:rsidRPr="00BE597A">
        <w:rPr>
          <w:rFonts w:ascii="Times New Roman" w:hAnsi="Times New Roman" w:cs="Times New Roman"/>
        </w:rPr>
        <w:t xml:space="preserve"> </w:t>
      </w:r>
      <w:r w:rsidR="001B3E30" w:rsidRPr="00BE597A">
        <w:rPr>
          <w:rFonts w:ascii="Times New Roman" w:hAnsi="Times New Roman" w:cs="Times New Roman"/>
        </w:rPr>
        <w:t xml:space="preserve">likely to </w:t>
      </w:r>
      <w:r w:rsidRPr="00BE597A">
        <w:rPr>
          <w:rFonts w:ascii="Times New Roman" w:hAnsi="Times New Roman" w:cs="Times New Roman"/>
        </w:rPr>
        <w:t>be required in order to finalise an agreement.</w:t>
      </w:r>
      <w:r w:rsidR="001B3E30" w:rsidRPr="00BE597A">
        <w:rPr>
          <w:rFonts w:ascii="Times New Roman" w:hAnsi="Times New Roman" w:cs="Times New Roman"/>
        </w:rPr>
        <w:t xml:space="preserve"> In other words, leverage and coercion are key to the beginning and end of negotiations, but less intrusive strategies are crucial in between to ensure ownership of an agreement.</w:t>
      </w:r>
      <w:r w:rsidR="005262F7" w:rsidRPr="00BE597A">
        <w:rPr>
          <w:rFonts w:ascii="Times New Roman" w:hAnsi="Times New Roman" w:cs="Times New Roman"/>
        </w:rPr>
        <w:t xml:space="preserve"> Although this analysis centres on the Israeli-Palestinian conflict, the </w:t>
      </w:r>
      <w:r w:rsidR="00943595" w:rsidRPr="00BE597A">
        <w:rPr>
          <w:rFonts w:ascii="Times New Roman" w:hAnsi="Times New Roman" w:cs="Times New Roman"/>
        </w:rPr>
        <w:t>model and findings are</w:t>
      </w:r>
      <w:r w:rsidR="005262F7" w:rsidRPr="00BE597A">
        <w:rPr>
          <w:rFonts w:ascii="Times New Roman" w:hAnsi="Times New Roman" w:cs="Times New Roman"/>
        </w:rPr>
        <w:t xml:space="preserve"> relevant to other identity-based conflicts. </w:t>
      </w:r>
    </w:p>
    <w:p w14:paraId="1E00D274" w14:textId="516A431F" w:rsidR="000023DC" w:rsidRPr="00BE597A" w:rsidRDefault="000023DC" w:rsidP="00917109">
      <w:pPr>
        <w:spacing w:line="480" w:lineRule="auto"/>
        <w:ind w:firstLine="720"/>
        <w:jc w:val="both"/>
        <w:rPr>
          <w:rFonts w:ascii="Times New Roman" w:hAnsi="Times New Roman" w:cs="Times New Roman"/>
        </w:rPr>
      </w:pPr>
      <w:r w:rsidRPr="00BE597A">
        <w:rPr>
          <w:rFonts w:ascii="Times New Roman" w:hAnsi="Times New Roman" w:cs="Times New Roman"/>
        </w:rPr>
        <w:t>Existing empirical analysis of mediation of the Israeli-Palestinian conflict shows that the relationship between mediation strategy and effectiveness is far from linear, with less coercive mediation generating the groundbreaking Oslo Agreement and other important advancements in the peace process. This breakthrough also showed that using the right mediator and mediation strategy at the right time is an important determinant of success, and that multiple approaches are required either simultaneously or sequentially.</w:t>
      </w:r>
      <w:r w:rsidRPr="00BE597A">
        <w:rPr>
          <w:rStyle w:val="FootnoteReference"/>
          <w:rFonts w:ascii="Times New Roman" w:hAnsi="Times New Roman" w:cs="Times New Roman"/>
        </w:rPr>
        <w:footnoteReference w:id="14"/>
      </w:r>
      <w:r w:rsidRPr="00BE597A">
        <w:rPr>
          <w:rFonts w:ascii="Times New Roman" w:hAnsi="Times New Roman" w:cs="Times New Roman"/>
        </w:rPr>
        <w:t xml:space="preserve"> </w:t>
      </w:r>
      <w:r w:rsidR="00943595" w:rsidRPr="00BE597A">
        <w:rPr>
          <w:rFonts w:ascii="Times New Roman" w:hAnsi="Times New Roman" w:cs="Times New Roman"/>
        </w:rPr>
        <w:t xml:space="preserve">However, Oslo was not a permanent status agreement. </w:t>
      </w:r>
      <w:r w:rsidRPr="00BE597A">
        <w:rPr>
          <w:rFonts w:ascii="Times New Roman" w:hAnsi="Times New Roman" w:cs="Times New Roman"/>
        </w:rPr>
        <w:t>It is important to better understand this relationship in th</w:t>
      </w:r>
      <w:r w:rsidR="00943595" w:rsidRPr="00BE597A">
        <w:rPr>
          <w:rFonts w:ascii="Times New Roman" w:hAnsi="Times New Roman" w:cs="Times New Roman"/>
        </w:rPr>
        <w:t>e context of negotiating a permanent</w:t>
      </w:r>
      <w:r w:rsidRPr="00BE597A">
        <w:rPr>
          <w:rFonts w:ascii="Times New Roman" w:hAnsi="Times New Roman" w:cs="Times New Roman"/>
        </w:rPr>
        <w:t xml:space="preserve"> status agreement in order to increase the likelihood of successful mediation of a conflict which continues to defy resolution. </w:t>
      </w:r>
    </w:p>
    <w:p w14:paraId="1E9BE33E" w14:textId="75E9FD01" w:rsidR="00135D65" w:rsidRPr="00BE597A" w:rsidRDefault="00135D65" w:rsidP="00917109">
      <w:pPr>
        <w:spacing w:line="480" w:lineRule="auto"/>
        <w:ind w:firstLine="720"/>
        <w:jc w:val="both"/>
        <w:rPr>
          <w:rFonts w:ascii="Times New Roman" w:hAnsi="Times New Roman" w:cs="Times New Roman"/>
        </w:rPr>
      </w:pPr>
      <w:r w:rsidRPr="00BE597A">
        <w:rPr>
          <w:rFonts w:ascii="Times New Roman" w:hAnsi="Times New Roman" w:cs="Times New Roman"/>
        </w:rPr>
        <w:t xml:space="preserve">To illustrate the </w:t>
      </w:r>
      <w:r w:rsidR="00B4465E" w:rsidRPr="00BE597A">
        <w:rPr>
          <w:rFonts w:ascii="Times New Roman" w:hAnsi="Times New Roman" w:cs="Times New Roman"/>
        </w:rPr>
        <w:t>relevance</w:t>
      </w:r>
      <w:r w:rsidRPr="00BE597A">
        <w:rPr>
          <w:rFonts w:ascii="Times New Roman" w:hAnsi="Times New Roman" w:cs="Times New Roman"/>
        </w:rPr>
        <w:t xml:space="preserve"> </w:t>
      </w:r>
      <w:r w:rsidR="00B4465E" w:rsidRPr="00BE597A">
        <w:rPr>
          <w:rFonts w:ascii="Times New Roman" w:hAnsi="Times New Roman" w:cs="Times New Roman"/>
        </w:rPr>
        <w:t xml:space="preserve">of the model </w:t>
      </w:r>
      <w:r w:rsidRPr="00BE597A">
        <w:rPr>
          <w:rFonts w:ascii="Times New Roman" w:hAnsi="Times New Roman" w:cs="Times New Roman"/>
        </w:rPr>
        <w:t>empirically, this article then uses the Annapolis process, which included</w:t>
      </w:r>
      <w:r w:rsidR="00904E73" w:rsidRPr="00BE597A">
        <w:rPr>
          <w:rFonts w:ascii="Times New Roman" w:hAnsi="Times New Roman" w:cs="Times New Roman"/>
        </w:rPr>
        <w:t>:</w:t>
      </w:r>
      <w:r w:rsidRPr="00BE597A">
        <w:rPr>
          <w:rFonts w:ascii="Times New Roman" w:hAnsi="Times New Roman" w:cs="Times New Roman"/>
        </w:rPr>
        <w:t xml:space="preserve"> </w:t>
      </w:r>
      <w:r w:rsidR="00651AA7" w:rsidRPr="00BE597A">
        <w:rPr>
          <w:rFonts w:ascii="Times New Roman" w:hAnsi="Times New Roman" w:cs="Times New Roman"/>
        </w:rPr>
        <w:t>36 meetings between Israeli Prime Minister Ehud Olmert and Palestinian President Mahmoud Abbas (Abu Mazen) from December 2006 to mid-November 2008</w:t>
      </w:r>
      <w:r w:rsidR="00904E73" w:rsidRPr="00BE597A">
        <w:rPr>
          <w:rFonts w:ascii="Times New Roman" w:hAnsi="Times New Roman" w:cs="Times New Roman"/>
        </w:rPr>
        <w:t>;</w:t>
      </w:r>
      <w:r w:rsidR="00651AA7" w:rsidRPr="00BE597A">
        <w:rPr>
          <w:rFonts w:ascii="Times New Roman" w:hAnsi="Times New Roman" w:cs="Times New Roman"/>
        </w:rPr>
        <w:t xml:space="preserve"> </w:t>
      </w:r>
      <w:r w:rsidRPr="00BE597A">
        <w:rPr>
          <w:rFonts w:ascii="Times New Roman" w:hAnsi="Times New Roman" w:cs="Times New Roman"/>
        </w:rPr>
        <w:t>the 2007 Annapolis conference</w:t>
      </w:r>
      <w:r w:rsidR="00904E73" w:rsidRPr="00BE597A">
        <w:rPr>
          <w:rFonts w:ascii="Times New Roman" w:hAnsi="Times New Roman" w:cs="Times New Roman"/>
        </w:rPr>
        <w:t>;</w:t>
      </w:r>
      <w:r w:rsidRPr="00BE597A">
        <w:rPr>
          <w:rFonts w:ascii="Times New Roman" w:hAnsi="Times New Roman" w:cs="Times New Roman"/>
        </w:rPr>
        <w:t xml:space="preserve"> and the negotiations </w:t>
      </w:r>
      <w:r w:rsidR="00651AA7" w:rsidRPr="00BE597A">
        <w:rPr>
          <w:rFonts w:ascii="Times New Roman" w:hAnsi="Times New Roman" w:cs="Times New Roman"/>
        </w:rPr>
        <w:t>that followed</w:t>
      </w:r>
      <w:r w:rsidR="002D3F39" w:rsidRPr="00BE597A">
        <w:rPr>
          <w:rFonts w:ascii="Times New Roman" w:hAnsi="Times New Roman" w:cs="Times New Roman"/>
        </w:rPr>
        <w:t xml:space="preserve"> led by then Israeli Foreign Minister Tzipi Livni and longtime Palestinian negotiator Ahmed Qurie (Abu Ala)</w:t>
      </w:r>
      <w:r w:rsidR="006253A1" w:rsidRPr="00BE597A">
        <w:rPr>
          <w:rFonts w:ascii="Times New Roman" w:hAnsi="Times New Roman" w:cs="Times New Roman"/>
        </w:rPr>
        <w:t>.</w:t>
      </w:r>
      <w:r w:rsidRPr="00BE597A">
        <w:rPr>
          <w:rFonts w:ascii="Times New Roman" w:hAnsi="Times New Roman" w:cs="Times New Roman"/>
        </w:rPr>
        <w:t xml:space="preserve"> </w:t>
      </w:r>
      <w:r w:rsidR="00B4465E" w:rsidRPr="00BE597A">
        <w:rPr>
          <w:rFonts w:ascii="Times New Roman" w:hAnsi="Times New Roman" w:cs="Times New Roman"/>
        </w:rPr>
        <w:t>This is</w:t>
      </w:r>
      <w:r w:rsidRPr="00BE597A">
        <w:rPr>
          <w:rFonts w:ascii="Times New Roman" w:hAnsi="Times New Roman" w:cs="Times New Roman"/>
        </w:rPr>
        <w:t xml:space="preserve"> a </w:t>
      </w:r>
      <w:r w:rsidR="00B4465E" w:rsidRPr="00BE597A">
        <w:rPr>
          <w:rFonts w:ascii="Times New Roman" w:hAnsi="Times New Roman" w:cs="Times New Roman"/>
        </w:rPr>
        <w:t>particularly interesting case for two reasons. First,</w:t>
      </w:r>
      <w:r w:rsidRPr="00BE597A">
        <w:rPr>
          <w:rFonts w:ascii="Times New Roman" w:hAnsi="Times New Roman" w:cs="Times New Roman"/>
        </w:rPr>
        <w:t xml:space="preserve"> the broad strategy pursued by Secretary of State Condoleezza Rice was, as she herself stressed, different from previous American approaches.</w:t>
      </w:r>
      <w:r w:rsidRPr="00BE597A">
        <w:rPr>
          <w:rStyle w:val="FootnoteReference"/>
          <w:rFonts w:ascii="Times New Roman" w:hAnsi="Times New Roman" w:cs="Times New Roman"/>
        </w:rPr>
        <w:footnoteReference w:id="15"/>
      </w:r>
      <w:r w:rsidRPr="00BE597A">
        <w:rPr>
          <w:rFonts w:ascii="Times New Roman" w:hAnsi="Times New Roman" w:cs="Times New Roman"/>
        </w:rPr>
        <w:t xml:space="preserve"> Kurtzer </w:t>
      </w:r>
      <w:r w:rsidRPr="00BE597A">
        <w:rPr>
          <w:rFonts w:ascii="Times New Roman" w:hAnsi="Times New Roman" w:cs="Times New Roman"/>
          <w:i/>
        </w:rPr>
        <w:t>et al</w:t>
      </w:r>
      <w:r w:rsidRPr="00BE597A">
        <w:rPr>
          <w:rFonts w:ascii="Times New Roman" w:hAnsi="Times New Roman" w:cs="Times New Roman"/>
        </w:rPr>
        <w:t xml:space="preserve"> have described it as ‘facilitation from afar’, generated as a compromise between the President’s limited view of a US role, skepticism from the rest of the neo-conservative administration, and the Secretary’s own commitment to a deal.</w:t>
      </w:r>
      <w:r w:rsidRPr="00BE597A">
        <w:rPr>
          <w:rStyle w:val="FootnoteReference"/>
          <w:rFonts w:ascii="Times New Roman" w:hAnsi="Times New Roman" w:cs="Times New Roman"/>
        </w:rPr>
        <w:footnoteReference w:id="16"/>
      </w:r>
      <w:r w:rsidRPr="00BE597A">
        <w:rPr>
          <w:rFonts w:ascii="Times New Roman" w:hAnsi="Times New Roman" w:cs="Times New Roman"/>
        </w:rPr>
        <w:t xml:space="preserve"> Rather than coercing the parties into substantive trade-offs at the negotiating table, Rice was more focused on guiding and supporting the parties in their own negotiating process. This stood in stark contrast to the Clinton administration who were intimately involved as a broker in practically every detail, including Clinton himself who devoted untold hours to the negotiations.</w:t>
      </w:r>
      <w:r w:rsidRPr="00BE597A">
        <w:rPr>
          <w:rStyle w:val="FootnoteReference"/>
          <w:rFonts w:ascii="Times New Roman" w:hAnsi="Times New Roman" w:cs="Times New Roman"/>
        </w:rPr>
        <w:footnoteReference w:id="17"/>
      </w:r>
      <w:r w:rsidRPr="00BE597A">
        <w:rPr>
          <w:rFonts w:ascii="Times New Roman" w:hAnsi="Times New Roman" w:cs="Times New Roman"/>
        </w:rPr>
        <w:t xml:space="preserve"> </w:t>
      </w:r>
      <w:r w:rsidR="008C6F86" w:rsidRPr="00BE597A">
        <w:rPr>
          <w:rFonts w:ascii="Times New Roman" w:hAnsi="Times New Roman" w:cs="Times New Roman"/>
        </w:rPr>
        <w:t xml:space="preserve">Second, the case contains elements of success and failure during different phases of the negotiations, which help illustrate the model. </w:t>
      </w:r>
      <w:r w:rsidR="005C2441" w:rsidRPr="00BE597A">
        <w:rPr>
          <w:rFonts w:ascii="Times New Roman" w:hAnsi="Times New Roman" w:cs="Times New Roman"/>
        </w:rPr>
        <w:t xml:space="preserve">While Rice successfully restarted final status negotiations in a challenging context through committed diplomacy, she failed to generate bridging proposals to achieve either a framework agreement on permanent status or a conflict ending agreement. </w:t>
      </w:r>
    </w:p>
    <w:p w14:paraId="0516AED1" w14:textId="13936C91" w:rsidR="0020749B" w:rsidRPr="00BE597A" w:rsidRDefault="00135D65"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 xml:space="preserve">This analysis is based on author interviews with two former senior members of the US negotiating team who were directly involved throughout the entire process, and analysis of the leaked </w:t>
      </w:r>
      <w:r w:rsidR="008C6F86" w:rsidRPr="00BE597A">
        <w:rPr>
          <w:rFonts w:ascii="Times New Roman" w:hAnsi="Times New Roman" w:cs="Times New Roman"/>
        </w:rPr>
        <w:t xml:space="preserve">primary </w:t>
      </w:r>
      <w:r w:rsidRPr="00BE597A">
        <w:rPr>
          <w:rFonts w:ascii="Times New Roman" w:hAnsi="Times New Roman" w:cs="Times New Roman"/>
        </w:rPr>
        <w:t>documents</w:t>
      </w:r>
      <w:r w:rsidR="008C6F86" w:rsidRPr="00BE597A">
        <w:rPr>
          <w:rFonts w:ascii="Times New Roman" w:hAnsi="Times New Roman" w:cs="Times New Roman"/>
        </w:rPr>
        <w:t xml:space="preserve"> </w:t>
      </w:r>
      <w:r w:rsidR="0065418A" w:rsidRPr="00BE597A">
        <w:rPr>
          <w:rFonts w:ascii="Times New Roman" w:hAnsi="Times New Roman" w:cs="Times New Roman"/>
        </w:rPr>
        <w:t>(</w:t>
      </w:r>
      <w:r w:rsidR="008C6F86" w:rsidRPr="00BE597A">
        <w:rPr>
          <w:rFonts w:ascii="Times New Roman" w:hAnsi="Times New Roman" w:cs="Times New Roman"/>
        </w:rPr>
        <w:t>transcripts of negotiation meetings and notes from the Palestinian Negotiations Support Unit</w:t>
      </w:r>
      <w:r w:rsidR="0065418A" w:rsidRPr="00BE597A">
        <w:rPr>
          <w:rFonts w:ascii="Times New Roman" w:hAnsi="Times New Roman" w:cs="Times New Roman"/>
        </w:rPr>
        <w:t xml:space="preserve">) </w:t>
      </w:r>
      <w:r w:rsidRPr="00BE597A">
        <w:rPr>
          <w:rFonts w:ascii="Times New Roman" w:hAnsi="Times New Roman" w:cs="Times New Roman"/>
        </w:rPr>
        <w:t>known as the ‘Palestine Papers’, in addition to existing secondary sources. Compared to previous periods like the Oslo process</w:t>
      </w:r>
      <w:r w:rsidR="00AE11A7" w:rsidRPr="00BE597A">
        <w:rPr>
          <w:rFonts w:ascii="Times New Roman" w:hAnsi="Times New Roman" w:cs="Times New Roman"/>
        </w:rPr>
        <w:t xml:space="preserve"> and the failed Camp David summit</w:t>
      </w:r>
      <w:r w:rsidRPr="00BE597A">
        <w:rPr>
          <w:rFonts w:ascii="Times New Roman" w:hAnsi="Times New Roman" w:cs="Times New Roman"/>
        </w:rPr>
        <w:t>, this period has not yet been comprehensively analysed. While the G.W. Bush administration’s policy towards the conflict has received warranted criticism from both within and outside, this tends to centre around a lack of willingness to engage coercively without considering in detail the type of engagement pursued or required, or when a certain form of engagement would have been most appropriate.</w:t>
      </w:r>
      <w:r w:rsidRPr="00BE597A">
        <w:rPr>
          <w:rStyle w:val="FootnoteReference"/>
          <w:rFonts w:ascii="Times New Roman" w:hAnsi="Times New Roman" w:cs="Times New Roman"/>
        </w:rPr>
        <w:footnoteReference w:id="18"/>
      </w:r>
      <w:r w:rsidRPr="00BE597A">
        <w:rPr>
          <w:rFonts w:ascii="Times New Roman" w:hAnsi="Times New Roman" w:cs="Times New Roman"/>
        </w:rPr>
        <w:t xml:space="preserve"> </w:t>
      </w:r>
      <w:r w:rsidR="00B47DAB" w:rsidRPr="00BE597A">
        <w:rPr>
          <w:rFonts w:ascii="Times New Roman" w:hAnsi="Times New Roman" w:cs="Times New Roman"/>
        </w:rPr>
        <w:t xml:space="preserve">A micro-level </w:t>
      </w:r>
      <w:r w:rsidR="00D04714" w:rsidRPr="00BE597A">
        <w:rPr>
          <w:rFonts w:ascii="Times New Roman" w:hAnsi="Times New Roman" w:cs="Times New Roman"/>
        </w:rPr>
        <w:t xml:space="preserve">empirical </w:t>
      </w:r>
      <w:r w:rsidR="00B47DAB" w:rsidRPr="00BE597A">
        <w:rPr>
          <w:rFonts w:ascii="Times New Roman" w:hAnsi="Times New Roman" w:cs="Times New Roman"/>
        </w:rPr>
        <w:t>analysis of mediation strategies is necessary to better understand the lessons to be learned for effective mediation</w:t>
      </w:r>
      <w:r w:rsidR="00572C05" w:rsidRPr="00BE597A">
        <w:rPr>
          <w:rFonts w:ascii="Times New Roman" w:hAnsi="Times New Roman" w:cs="Times New Roman"/>
        </w:rPr>
        <w:t>, and is a necessary complement to broader quantitative studies</w:t>
      </w:r>
      <w:r w:rsidR="00B47DAB" w:rsidRPr="00BE597A">
        <w:rPr>
          <w:rFonts w:ascii="Times New Roman" w:hAnsi="Times New Roman" w:cs="Times New Roman"/>
        </w:rPr>
        <w:t>.</w:t>
      </w:r>
      <w:r w:rsidR="00572C05" w:rsidRPr="00BE597A">
        <w:rPr>
          <w:rStyle w:val="FootnoteReference"/>
          <w:rFonts w:ascii="Times New Roman" w:hAnsi="Times New Roman" w:cs="Times New Roman"/>
        </w:rPr>
        <w:footnoteReference w:id="19"/>
      </w:r>
      <w:r w:rsidR="00B47DAB" w:rsidRPr="00BE597A">
        <w:rPr>
          <w:rFonts w:ascii="Times New Roman" w:hAnsi="Times New Roman" w:cs="Times New Roman"/>
        </w:rPr>
        <w:t xml:space="preserve"> </w:t>
      </w:r>
    </w:p>
    <w:p w14:paraId="4522AFAB" w14:textId="77777777" w:rsidR="00135D65" w:rsidRPr="00BE597A" w:rsidRDefault="00135D65" w:rsidP="00917109">
      <w:pPr>
        <w:spacing w:line="480" w:lineRule="auto"/>
        <w:contextualSpacing/>
        <w:jc w:val="both"/>
        <w:rPr>
          <w:rFonts w:ascii="Times New Roman" w:hAnsi="Times New Roman" w:cs="Times New Roman"/>
        </w:rPr>
      </w:pPr>
    </w:p>
    <w:p w14:paraId="441BCFBE" w14:textId="6084B68D" w:rsidR="006F40C2" w:rsidRPr="00BE597A" w:rsidRDefault="000A2CA1" w:rsidP="009058A3">
      <w:pPr>
        <w:pStyle w:val="BodyTextIndent"/>
        <w:spacing w:line="480" w:lineRule="auto"/>
        <w:ind w:firstLine="0"/>
        <w:contextualSpacing/>
        <w:rPr>
          <w:b/>
        </w:rPr>
      </w:pPr>
      <w:r w:rsidRPr="00BE597A">
        <w:rPr>
          <w:b/>
        </w:rPr>
        <w:t xml:space="preserve">The merits and </w:t>
      </w:r>
      <w:r w:rsidR="00450087" w:rsidRPr="00BE597A">
        <w:rPr>
          <w:b/>
        </w:rPr>
        <w:t>limits</w:t>
      </w:r>
      <w:r w:rsidRPr="00BE597A">
        <w:rPr>
          <w:b/>
        </w:rPr>
        <w:t xml:space="preserve"> of coercion</w:t>
      </w:r>
    </w:p>
    <w:p w14:paraId="095C5C9B" w14:textId="77777777" w:rsidR="00302834" w:rsidRPr="00BE597A" w:rsidRDefault="00302834" w:rsidP="0033401F">
      <w:pPr>
        <w:pStyle w:val="BodyTextIndent"/>
        <w:spacing w:line="480" w:lineRule="auto"/>
        <w:ind w:firstLine="0"/>
        <w:contextualSpacing/>
      </w:pPr>
    </w:p>
    <w:p w14:paraId="37595A3C" w14:textId="0DC8426F" w:rsidR="00302834" w:rsidRPr="00BE597A" w:rsidRDefault="00E641E2" w:rsidP="00917109">
      <w:pPr>
        <w:pStyle w:val="BodyTextIndent"/>
        <w:spacing w:line="480" w:lineRule="auto"/>
        <w:contextualSpacing/>
      </w:pPr>
      <w:r w:rsidRPr="00BE597A">
        <w:t>In the context of mediation, coercion should not be viewed in absolute terms. It is a behaviour which is not inherently positive or negative, but one which may help</w:t>
      </w:r>
      <w:r w:rsidR="008F2BCE" w:rsidRPr="00BE597A">
        <w:t xml:space="preserve"> mediators accomplish certain goals at certain points of a mediation process. However, it can also</w:t>
      </w:r>
      <w:r w:rsidR="00CA3E72" w:rsidRPr="00BE597A">
        <w:t xml:space="preserve"> negatively affect </w:t>
      </w:r>
      <w:r w:rsidR="00F55EBB" w:rsidRPr="00BE597A">
        <w:t xml:space="preserve">a mediator’s </w:t>
      </w:r>
      <w:r w:rsidR="00CA3E72" w:rsidRPr="00BE597A">
        <w:t xml:space="preserve">relationship with the parties and </w:t>
      </w:r>
      <w:r w:rsidR="00F55EBB" w:rsidRPr="00BE597A">
        <w:t xml:space="preserve">possibly </w:t>
      </w:r>
      <w:r w:rsidR="00CA3E72" w:rsidRPr="00BE597A">
        <w:t>the outcome of mediation</w:t>
      </w:r>
      <w:r w:rsidR="00F55EBB" w:rsidRPr="00BE597A">
        <w:t>, depending on how and when it is employed</w:t>
      </w:r>
      <w:r w:rsidR="00CA3E72" w:rsidRPr="00BE597A">
        <w:t xml:space="preserve">. This section will consider the </w:t>
      </w:r>
      <w:r w:rsidR="0033401F" w:rsidRPr="00BE597A">
        <w:t xml:space="preserve">theoretical </w:t>
      </w:r>
      <w:r w:rsidR="00CA3E72" w:rsidRPr="00BE597A">
        <w:t xml:space="preserve">merits and limitations of mediation strategies that employ varying levels of coercion, and their applicability to different phases of the mediation process. </w:t>
      </w:r>
    </w:p>
    <w:p w14:paraId="157CE7BC" w14:textId="37A61BF2" w:rsidR="006F40C2" w:rsidRPr="00BE597A" w:rsidRDefault="00E564B9" w:rsidP="00917109">
      <w:pPr>
        <w:pStyle w:val="BodyTextIndent"/>
        <w:spacing w:line="480" w:lineRule="auto"/>
        <w:contextualSpacing/>
      </w:pPr>
      <w:r w:rsidRPr="00BE597A">
        <w:t>Mediation strategy i</w:t>
      </w:r>
      <w:r w:rsidR="006F40C2" w:rsidRPr="00BE597A">
        <w:t>s ‘an overall plan, approach, or method a mediator has for resolving a dispute … it is the way the mediator intends to manage the case, the parties, and the issue[s].’</w:t>
      </w:r>
      <w:r w:rsidR="006F40C2" w:rsidRPr="00BE597A">
        <w:rPr>
          <w:rStyle w:val="FootnoteReference"/>
        </w:rPr>
        <w:footnoteReference w:id="20"/>
      </w:r>
      <w:r w:rsidR="006F40C2" w:rsidRPr="00BE597A">
        <w:t xml:space="preserve"> The choice of strategy by a mediator is a rational response to a specific conflict situation, taking into account the needs, interests, capabilities and perceptions of the parties, as well as those of the mediator, and the relevance</w:t>
      </w:r>
      <w:r w:rsidR="0080521A" w:rsidRPr="00BE597A">
        <w:t xml:space="preserve"> of various sources of power</w:t>
      </w:r>
      <w:r w:rsidR="006F40C2" w:rsidRPr="00BE597A">
        <w:t>.</w:t>
      </w:r>
      <w:r w:rsidR="006F40C2" w:rsidRPr="00BE597A">
        <w:rPr>
          <w:rStyle w:val="FootnoteReference"/>
        </w:rPr>
        <w:footnoteReference w:id="21"/>
      </w:r>
      <w:r w:rsidR="004D30EB" w:rsidRPr="00BE597A">
        <w:t xml:space="preserve"> </w:t>
      </w:r>
      <w:r w:rsidR="00F9232E" w:rsidRPr="00BE597A">
        <w:t xml:space="preserve">A prominent </w:t>
      </w:r>
      <w:r w:rsidR="006F40C2" w:rsidRPr="00BE597A">
        <w:t xml:space="preserve">categorisation of mediator behaviour </w:t>
      </w:r>
      <w:r w:rsidR="00F9232E" w:rsidRPr="00BE597A">
        <w:t>used</w:t>
      </w:r>
      <w:r w:rsidR="006F40C2" w:rsidRPr="00BE597A">
        <w:t xml:space="preserve"> by </w:t>
      </w:r>
      <w:r w:rsidR="0080521A" w:rsidRPr="00BE597A">
        <w:t xml:space="preserve">conflict resolution </w:t>
      </w:r>
      <w:r w:rsidR="006F40C2" w:rsidRPr="00BE597A">
        <w:t>scholars</w:t>
      </w:r>
      <w:r w:rsidR="00972181" w:rsidRPr="00BE597A">
        <w:t xml:space="preserve"> like Bercovitch, Touval, Zartman</w:t>
      </w:r>
      <w:r w:rsidR="006F40C2" w:rsidRPr="00BE597A">
        <w:t>,</w:t>
      </w:r>
      <w:r w:rsidR="005B3D00" w:rsidRPr="00BE597A">
        <w:t xml:space="preserve"> and others,</w:t>
      </w:r>
      <w:r w:rsidR="007340B5" w:rsidRPr="00BE597A">
        <w:t xml:space="preserve"> identifies three </w:t>
      </w:r>
      <w:r w:rsidR="00F9232E" w:rsidRPr="00BE597A">
        <w:t xml:space="preserve">main </w:t>
      </w:r>
      <w:r w:rsidR="007340B5" w:rsidRPr="00BE597A">
        <w:t>strategies</w:t>
      </w:r>
      <w:r w:rsidR="0027661D" w:rsidRPr="00BE597A">
        <w:t xml:space="preserve"> which range from the least to the most coercive</w:t>
      </w:r>
      <w:r w:rsidR="007340B5" w:rsidRPr="00BE597A">
        <w:t>:</w:t>
      </w:r>
      <w:r w:rsidR="006F40C2" w:rsidRPr="00BE597A">
        <w:t xml:space="preserve"> communication-facilitation, formulation, and manipulation.</w:t>
      </w:r>
      <w:r w:rsidR="00F9232E" w:rsidRPr="00BE597A">
        <w:rPr>
          <w:rStyle w:val="FootnoteReference"/>
        </w:rPr>
        <w:footnoteReference w:id="22"/>
      </w:r>
    </w:p>
    <w:p w14:paraId="73D2C2C1" w14:textId="483A5334" w:rsidR="006F40C2" w:rsidRPr="00BE597A" w:rsidRDefault="006F40C2" w:rsidP="00917109">
      <w:pPr>
        <w:pStyle w:val="BodyTextIndent"/>
        <w:spacing w:line="480" w:lineRule="auto"/>
        <w:contextualSpacing/>
      </w:pPr>
      <w:r w:rsidRPr="00BE597A">
        <w:t xml:space="preserve">First, there is the role of ‘facilitator’, where the mediator serves primarily as a </w:t>
      </w:r>
      <w:r w:rsidR="005B3D00" w:rsidRPr="00BE597A">
        <w:t>host</w:t>
      </w:r>
      <w:r w:rsidRPr="00BE597A">
        <w:t xml:space="preserve"> </w:t>
      </w:r>
      <w:r w:rsidR="005B3D00" w:rsidRPr="00BE597A">
        <w:t>for</w:t>
      </w:r>
      <w:r w:rsidRPr="00BE597A">
        <w:t xml:space="preserve"> communication between the two parties. </w:t>
      </w:r>
      <w:r w:rsidR="00AE2460" w:rsidRPr="00BE597A">
        <w:t>A facilitator</w:t>
      </w:r>
      <w:r w:rsidRPr="00BE597A">
        <w:t xml:space="preserve"> </w:t>
      </w:r>
      <w:r w:rsidR="00A82C9C" w:rsidRPr="00BE597A">
        <w:t xml:space="preserve">can </w:t>
      </w:r>
      <w:r w:rsidR="00F9232E" w:rsidRPr="00BE597A">
        <w:t xml:space="preserve">communicate messages between them if their relationship makes direct interaction impossible, </w:t>
      </w:r>
      <w:r w:rsidR="00AE2460" w:rsidRPr="00BE597A">
        <w:t>arrange</w:t>
      </w:r>
      <w:r w:rsidRPr="00BE597A">
        <w:t xml:space="preserve"> interactions between the parties</w:t>
      </w:r>
      <w:r w:rsidR="00AE2460" w:rsidRPr="00BE597A">
        <w:t xml:space="preserve">, </w:t>
      </w:r>
      <w:r w:rsidR="00894C30" w:rsidRPr="00BE597A">
        <w:t xml:space="preserve">and </w:t>
      </w:r>
      <w:r w:rsidR="004E139D" w:rsidRPr="00BE597A">
        <w:t>give</w:t>
      </w:r>
      <w:r w:rsidR="00E6314D" w:rsidRPr="00BE597A">
        <w:t xml:space="preserve"> them </w:t>
      </w:r>
      <w:r w:rsidR="00622F45" w:rsidRPr="00BE597A">
        <w:t xml:space="preserve">a secure </w:t>
      </w:r>
      <w:r w:rsidR="00E6314D" w:rsidRPr="00BE597A">
        <w:t xml:space="preserve">space to </w:t>
      </w:r>
      <w:r w:rsidRPr="00BE597A">
        <w:t xml:space="preserve">clearly identify </w:t>
      </w:r>
      <w:r w:rsidR="0079525B" w:rsidRPr="00BE597A">
        <w:t xml:space="preserve">interests, </w:t>
      </w:r>
      <w:r w:rsidRPr="00BE597A">
        <w:t>issues</w:t>
      </w:r>
      <w:r w:rsidR="00E6314D" w:rsidRPr="00BE597A">
        <w:t xml:space="preserve">, and </w:t>
      </w:r>
      <w:r w:rsidRPr="00BE597A">
        <w:t>points of contention</w:t>
      </w:r>
      <w:r w:rsidR="00E6314D" w:rsidRPr="00BE597A">
        <w:t xml:space="preserve"> or agreement</w:t>
      </w:r>
      <w:r w:rsidR="0079525B" w:rsidRPr="00BE597A">
        <w:t xml:space="preserve"> to improve mutual understanding</w:t>
      </w:r>
      <w:r w:rsidRPr="00BE597A">
        <w:t>. There is, however, no substantive contribution to the negotiations themselves</w:t>
      </w:r>
      <w:r w:rsidR="00BB7154" w:rsidRPr="00BE597A">
        <w:t>, and</w:t>
      </w:r>
      <w:r w:rsidR="00714818" w:rsidRPr="00BE597A">
        <w:t xml:space="preserve"> the mediator is not </w:t>
      </w:r>
      <w:r w:rsidR="00DB6EF0" w:rsidRPr="00BE597A">
        <w:t xml:space="preserve">normally </w:t>
      </w:r>
      <w:r w:rsidR="00714818" w:rsidRPr="00BE597A">
        <w:t>present at the table</w:t>
      </w:r>
      <w:r w:rsidRPr="00BE597A">
        <w:t>.</w:t>
      </w:r>
      <w:r w:rsidR="00BB7154" w:rsidRPr="00BE597A">
        <w:t xml:space="preserve"> This strategy represents ‘pure’ mediation.</w:t>
      </w:r>
      <w:r w:rsidR="00E61541" w:rsidRPr="00BE597A">
        <w:rPr>
          <w:rStyle w:val="FootnoteReference"/>
        </w:rPr>
        <w:footnoteReference w:id="23"/>
      </w:r>
    </w:p>
    <w:p w14:paraId="77864D70" w14:textId="4221CDD3" w:rsidR="006F40C2" w:rsidRPr="00BE597A" w:rsidRDefault="006F40C2" w:rsidP="00917109">
      <w:pPr>
        <w:pStyle w:val="BodyTextIndent"/>
        <w:spacing w:line="480" w:lineRule="auto"/>
        <w:contextualSpacing/>
        <w:rPr>
          <w:i/>
        </w:rPr>
      </w:pPr>
      <w:r w:rsidRPr="00BE597A">
        <w:t xml:space="preserve">Second, similar to the role of facilitator but </w:t>
      </w:r>
      <w:r w:rsidR="00A5112D" w:rsidRPr="00BE597A">
        <w:t>more involved is the role of ‘formulator</w:t>
      </w:r>
      <w:r w:rsidRPr="00BE597A">
        <w:t>’</w:t>
      </w:r>
      <w:r w:rsidR="007D7A06" w:rsidRPr="00BE597A">
        <w:t xml:space="preserve">. Here, the mediator </w:t>
      </w:r>
      <w:r w:rsidRPr="00BE597A">
        <w:t xml:space="preserve">exercises a greater degree of control over the meetings in terms of their </w:t>
      </w:r>
      <w:r w:rsidR="00E866BD" w:rsidRPr="00BE597A">
        <w:t xml:space="preserve">frequency, </w:t>
      </w:r>
      <w:r w:rsidRPr="00BE597A">
        <w:t xml:space="preserve">pace, formality, protocol and procedures, and the physical </w:t>
      </w:r>
      <w:r w:rsidR="007D7A06" w:rsidRPr="00BE597A">
        <w:t>setting</w:t>
      </w:r>
      <w:r w:rsidRPr="00BE597A">
        <w:t xml:space="preserve">. A formulator </w:t>
      </w:r>
      <w:r w:rsidR="007723F5" w:rsidRPr="00BE597A">
        <w:t xml:space="preserve">thus </w:t>
      </w:r>
      <w:r w:rsidRPr="00BE597A">
        <w:t>continues to develop the relationship between the parties, but can also make some substantive suggestions or proposals</w:t>
      </w:r>
      <w:r w:rsidR="007723F5" w:rsidRPr="00BE597A">
        <w:t xml:space="preserve"> if they deem it appropriate or requested by the parties</w:t>
      </w:r>
      <w:r w:rsidRPr="00BE597A">
        <w:t>.</w:t>
      </w:r>
    </w:p>
    <w:p w14:paraId="02927A64" w14:textId="4B9CFF59" w:rsidR="00A73AB4" w:rsidRPr="00BE597A" w:rsidRDefault="006F40C2" w:rsidP="00917109">
      <w:pPr>
        <w:pStyle w:val="BodyTextIndent"/>
        <w:spacing w:line="480" w:lineRule="auto"/>
        <w:contextualSpacing/>
      </w:pPr>
      <w:r w:rsidRPr="00BE597A">
        <w:t xml:space="preserve">Third, there is the role of the ‘manipulator.’ </w:t>
      </w:r>
      <w:r w:rsidR="00836C8E" w:rsidRPr="00BE597A">
        <w:t xml:space="preserve">It is a coercive strategy, in that the mediator often uses </w:t>
      </w:r>
      <w:r w:rsidR="0068447F" w:rsidRPr="00BE597A">
        <w:t xml:space="preserve">material </w:t>
      </w:r>
      <w:r w:rsidR="00836C8E" w:rsidRPr="00BE597A">
        <w:t xml:space="preserve">power and leverage to guide the negotiations, by for example pressuring the parties to be flexible, rewarding concessions by promising resources, or threatening to withdraw from the process. The mediator offers ‘carrots’ or ‘sticks’ to the parties; it can offer incentives to encourage co-operation and compliance, or punish intransigence and make clear what the cost of a non-agreement would be. </w:t>
      </w:r>
      <w:r w:rsidRPr="00BE597A">
        <w:t xml:space="preserve">Such a strategy allows the mediator to put forth </w:t>
      </w:r>
      <w:r w:rsidR="007B33F4" w:rsidRPr="00BE597A">
        <w:t>proposed</w:t>
      </w:r>
      <w:r w:rsidRPr="00BE597A">
        <w:t xml:space="preserve"> solutions, help change the parties’ expectations, and take responsibility for concessions that could otherwise be unpopular with respective domestic audiences. </w:t>
      </w:r>
      <w:r w:rsidR="00825B57" w:rsidRPr="00BE597A">
        <w:t>Another key function can be to verify the compliance of both sides with any agreement, thereby ensuring accountability and implementation</w:t>
      </w:r>
      <w:r w:rsidR="0098455B" w:rsidRPr="00BE597A">
        <w:t>.</w:t>
      </w:r>
      <w:r w:rsidR="00BB7154" w:rsidRPr="00BE597A">
        <w:t xml:space="preserve"> This strategy represents ‘power’ mediation or, as some refer to it, a directive strategy.</w:t>
      </w:r>
      <w:r w:rsidR="00BB7154" w:rsidRPr="00BE597A">
        <w:rPr>
          <w:rStyle w:val="FootnoteReference"/>
        </w:rPr>
        <w:footnoteReference w:id="24"/>
      </w:r>
    </w:p>
    <w:p w14:paraId="6C489AFF" w14:textId="2ABE00AE" w:rsidR="00932E2C" w:rsidRPr="00BE597A" w:rsidRDefault="00A47439" w:rsidP="00917109">
      <w:pPr>
        <w:pStyle w:val="BodyTextIndent"/>
        <w:spacing w:line="480" w:lineRule="auto"/>
        <w:contextualSpacing/>
      </w:pPr>
      <w:r w:rsidRPr="00BE597A">
        <w:t xml:space="preserve">Clearly, some mediators are limited in the strategies they can pursue. </w:t>
      </w:r>
      <w:r w:rsidR="00D264B1" w:rsidRPr="00BE597A">
        <w:t>Facilitation</w:t>
      </w:r>
      <w:r w:rsidR="00902585" w:rsidRPr="00BE597A">
        <w:t xml:space="preserve"> </w:t>
      </w:r>
      <w:r w:rsidR="00D264B1" w:rsidRPr="00BE597A">
        <w:t>is commonly associated with influential individuals, non-governmental organisations, or small states who lack the material capability to coerce.</w:t>
      </w:r>
      <w:r w:rsidR="00D264B1" w:rsidRPr="00BE597A">
        <w:rPr>
          <w:rStyle w:val="FootnoteReference"/>
        </w:rPr>
        <w:footnoteReference w:id="25"/>
      </w:r>
      <w:r w:rsidR="00902585" w:rsidRPr="00BE597A">
        <w:t xml:space="preserve"> </w:t>
      </w:r>
      <w:r w:rsidR="0068447F" w:rsidRPr="00BE597A">
        <w:t>A manipulator</w:t>
      </w:r>
      <w:r w:rsidRPr="00BE597A">
        <w:t xml:space="preserve"> requires the necessary resources – military, economic, or political – to generate leverage and thereby the capacity to affect bargaining positions and, potentially, mediation outcomes. </w:t>
      </w:r>
      <w:r w:rsidR="009643EB" w:rsidRPr="00BE597A">
        <w:t xml:space="preserve">However, as Kleiboer </w:t>
      </w:r>
      <w:r w:rsidR="00CC7EB5" w:rsidRPr="00BE597A">
        <w:t>and Heemsbergen and Siniver argue, this strategy reflects a rationalist, positivist understandin</w:t>
      </w:r>
      <w:r w:rsidR="00FF73BA" w:rsidRPr="00BE597A">
        <w:t>g of conflict and power, whereas power can also be understood in a subjective, post-positivist, less tangible way.</w:t>
      </w:r>
      <w:r w:rsidR="00CC7EB5" w:rsidRPr="00BE597A">
        <w:rPr>
          <w:rStyle w:val="FootnoteReference"/>
        </w:rPr>
        <w:footnoteReference w:id="26"/>
      </w:r>
      <w:r w:rsidR="00CC7EB5" w:rsidRPr="00BE597A">
        <w:t xml:space="preserve"> Reflecting a social-psychological understanding, </w:t>
      </w:r>
      <w:r w:rsidR="00375E2C" w:rsidRPr="00BE597A">
        <w:t>Kleiboer argues that although we reflexively think of leverage in material terms, it can also be immaterial and rely on moral or psychological pressure.</w:t>
      </w:r>
      <w:r w:rsidR="00375E2C" w:rsidRPr="00BE597A">
        <w:rPr>
          <w:rStyle w:val="FootnoteReference"/>
        </w:rPr>
        <w:footnoteReference w:id="27"/>
      </w:r>
      <w:r w:rsidR="0068447F" w:rsidRPr="00BE597A">
        <w:t xml:space="preserve"> </w:t>
      </w:r>
      <w:r w:rsidR="00932E2C" w:rsidRPr="00BE597A">
        <w:t xml:space="preserve">Hampson and Zartman argue that the ability to intellectually convince the parties of the need for compromise is a key </w:t>
      </w:r>
      <w:r w:rsidR="007D1CC5" w:rsidRPr="00BE597A">
        <w:t>component</w:t>
      </w:r>
      <w:r w:rsidR="00932E2C" w:rsidRPr="00BE597A">
        <w:t>, which can be done by a wide variety of actors.</w:t>
      </w:r>
      <w:r w:rsidR="00932E2C" w:rsidRPr="00BE597A">
        <w:rPr>
          <w:rStyle w:val="FootnoteReference"/>
        </w:rPr>
        <w:footnoteReference w:id="28"/>
      </w:r>
      <w:r w:rsidR="00CA5376" w:rsidRPr="00BE597A">
        <w:t xml:space="preserve"> Successful use of leverage, whether </w:t>
      </w:r>
      <w:r w:rsidR="00B35629" w:rsidRPr="00BE597A">
        <w:t>in terms of</w:t>
      </w:r>
      <w:r w:rsidR="00CA5376" w:rsidRPr="00BE597A">
        <w:t xml:space="preserve"> tangible or intangible resources, also depends on the willingness of the mediator to employ it against the parties, and the skill with which this is done; leverage alone is not a sufficient condition for achieving successful mediation outcomes.</w:t>
      </w:r>
      <w:r w:rsidR="00CA5376" w:rsidRPr="00BE597A">
        <w:rPr>
          <w:rStyle w:val="FootnoteReference"/>
        </w:rPr>
        <w:footnoteReference w:id="29"/>
      </w:r>
    </w:p>
    <w:p w14:paraId="7D4A236A" w14:textId="3CBA16BE" w:rsidR="004F27DD" w:rsidRPr="00BE597A" w:rsidRDefault="00CD04ED" w:rsidP="00143CFB">
      <w:pPr>
        <w:spacing w:line="480" w:lineRule="auto"/>
        <w:ind w:firstLine="720"/>
        <w:jc w:val="both"/>
        <w:rPr>
          <w:rFonts w:ascii="Times New Roman" w:hAnsi="Times New Roman" w:cs="Times New Roman"/>
        </w:rPr>
      </w:pPr>
      <w:r w:rsidRPr="00BE597A">
        <w:rPr>
          <w:rFonts w:ascii="Times New Roman" w:hAnsi="Times New Roman" w:cs="Times New Roman"/>
        </w:rPr>
        <w:t xml:space="preserve">Although a powerful state could in theory act as a facilitator, this can prove problematic due to its nature. The parties can come to expect a certain type of behaviour from a mediator due to the very possession of </w:t>
      </w:r>
      <w:r w:rsidR="00D30C0B" w:rsidRPr="00BE597A">
        <w:rPr>
          <w:rFonts w:ascii="Times New Roman" w:hAnsi="Times New Roman" w:cs="Times New Roman"/>
        </w:rPr>
        <w:t xml:space="preserve">material </w:t>
      </w:r>
      <w:r w:rsidRPr="00BE597A">
        <w:rPr>
          <w:rFonts w:ascii="Times New Roman" w:hAnsi="Times New Roman" w:cs="Times New Roman"/>
        </w:rPr>
        <w:t>power and leverage. As Princen argues, ‘the degree to which the United States can foster communication and trust – between itself and each of the parties and between the two parties – is highly constrained by the structural relationship between the third party and the disputants.’</w:t>
      </w:r>
      <w:r w:rsidRPr="00BE597A">
        <w:rPr>
          <w:rStyle w:val="FootnoteReference"/>
          <w:rFonts w:ascii="Times New Roman" w:hAnsi="Times New Roman" w:cs="Times New Roman"/>
        </w:rPr>
        <w:footnoteReference w:id="30"/>
      </w:r>
      <w:r w:rsidRPr="00BE597A">
        <w:rPr>
          <w:rFonts w:ascii="Times New Roman" w:hAnsi="Times New Roman" w:cs="Times New Roman"/>
        </w:rPr>
        <w:t xml:space="preserve"> </w:t>
      </w:r>
      <w:r w:rsidR="0032760C" w:rsidRPr="00BE597A">
        <w:rPr>
          <w:rFonts w:ascii="Times New Roman" w:hAnsi="Times New Roman" w:cs="Times New Roman"/>
        </w:rPr>
        <w:t xml:space="preserve">Moreover, the disputants will develop expectations on the basis of previous interactions. Heemsbergen and Siniver argue that once a coercive mediator has exercised this power in negotiations, the parties will tend to respond favourably only when these resources are used again, and can come to expect them to be used. </w:t>
      </w:r>
      <w:r w:rsidR="00052C6C" w:rsidRPr="00BE597A">
        <w:rPr>
          <w:rFonts w:ascii="Times New Roman" w:hAnsi="Times New Roman" w:cs="Times New Roman"/>
        </w:rPr>
        <w:t>This makes it difficult to effectively transition from a more to a less coercive strategy.</w:t>
      </w:r>
      <w:r w:rsidR="00A93A05" w:rsidRPr="00BE597A">
        <w:rPr>
          <w:rStyle w:val="FootnoteReference"/>
          <w:rFonts w:ascii="Times New Roman" w:hAnsi="Times New Roman" w:cs="Times New Roman"/>
        </w:rPr>
        <w:footnoteReference w:id="31"/>
      </w:r>
    </w:p>
    <w:p w14:paraId="73A0A0B7" w14:textId="40744856" w:rsidR="00FE3E30" w:rsidRPr="00BE597A" w:rsidRDefault="0053220E" w:rsidP="00124FD1">
      <w:pPr>
        <w:pStyle w:val="BodyTextIndent"/>
        <w:spacing w:line="480" w:lineRule="auto"/>
        <w:contextualSpacing/>
      </w:pPr>
      <w:r w:rsidRPr="00BE597A">
        <w:t>Whether one accepts this argument or not, l</w:t>
      </w:r>
      <w:r w:rsidR="00A72833" w:rsidRPr="00BE597A">
        <w:t>everage and coercion</w:t>
      </w:r>
      <w:r w:rsidR="00721449" w:rsidRPr="00BE597A">
        <w:t xml:space="preserve"> </w:t>
      </w:r>
      <w:r w:rsidR="00DB464C" w:rsidRPr="00BE597A">
        <w:t xml:space="preserve">nonetheless </w:t>
      </w:r>
      <w:r w:rsidR="00721449" w:rsidRPr="00BE597A">
        <w:t>need to be considered</w:t>
      </w:r>
      <w:r w:rsidR="00090EEB" w:rsidRPr="00BE597A">
        <w:t xml:space="preserve"> </w:t>
      </w:r>
      <w:r w:rsidR="00721449" w:rsidRPr="00BE597A">
        <w:t xml:space="preserve">within </w:t>
      </w:r>
      <w:r w:rsidR="00090EEB" w:rsidRPr="00BE597A">
        <w:t xml:space="preserve">the temporal dimension of a peace process. </w:t>
      </w:r>
      <w:r w:rsidR="00FE3E30" w:rsidRPr="00BE597A">
        <w:t>N</w:t>
      </w:r>
      <w:r w:rsidR="002F36B7" w:rsidRPr="00BE597A">
        <w:t>egotiation</w:t>
      </w:r>
      <w:r w:rsidR="00FE3E30" w:rsidRPr="00BE597A">
        <w:t xml:space="preserve"> is a process which</w:t>
      </w:r>
      <w:r w:rsidR="002F36B7" w:rsidRPr="00BE597A">
        <w:t xml:space="preserve"> can be broadly </w:t>
      </w:r>
      <w:r w:rsidR="002C2170" w:rsidRPr="00BE597A">
        <w:t xml:space="preserve">conceived of in </w:t>
      </w:r>
      <w:r w:rsidR="002F36B7" w:rsidRPr="00BE597A">
        <w:t>two stages:</w:t>
      </w:r>
      <w:r w:rsidR="002C2170" w:rsidRPr="00BE597A">
        <w:t xml:space="preserve"> </w:t>
      </w:r>
      <w:r w:rsidR="002F36B7" w:rsidRPr="00BE597A">
        <w:t xml:space="preserve">problem </w:t>
      </w:r>
      <w:r w:rsidR="002C2170" w:rsidRPr="00BE597A">
        <w:t>diagnosis and formulation</w:t>
      </w:r>
      <w:r w:rsidR="002F36B7" w:rsidRPr="00BE597A">
        <w:t>.</w:t>
      </w:r>
      <w:r w:rsidR="002F36B7" w:rsidRPr="00BE597A">
        <w:rPr>
          <w:rStyle w:val="FootnoteReference"/>
        </w:rPr>
        <w:footnoteReference w:id="32"/>
      </w:r>
      <w:r w:rsidR="002C2170" w:rsidRPr="00BE597A">
        <w:t xml:space="preserve"> </w:t>
      </w:r>
      <w:r w:rsidR="0080521A" w:rsidRPr="00BE597A">
        <w:t xml:space="preserve">If the parties’ positions are far from one another and their dialogue is not well developed, </w:t>
      </w:r>
      <w:r w:rsidR="005076CA" w:rsidRPr="00BE597A">
        <w:t xml:space="preserve">then the first two </w:t>
      </w:r>
      <w:r w:rsidR="00767BBA" w:rsidRPr="00BE597A">
        <w:t>less intrusive</w:t>
      </w:r>
      <w:r w:rsidR="0080521A" w:rsidRPr="00BE597A">
        <w:t xml:space="preserve"> strategies can help to bring the parties to</w:t>
      </w:r>
      <w:r w:rsidR="004F6B47" w:rsidRPr="00BE597A">
        <w:t xml:space="preserve">gether to improve understanding, </w:t>
      </w:r>
      <w:r w:rsidR="0080521A" w:rsidRPr="00BE597A">
        <w:t>nar</w:t>
      </w:r>
      <w:r w:rsidR="004F6B47" w:rsidRPr="00BE597A">
        <w:t>row down points of disagreement, and</w:t>
      </w:r>
      <w:r w:rsidR="0080521A" w:rsidRPr="00BE597A">
        <w:t xml:space="preserve"> develop a relationship between </w:t>
      </w:r>
      <w:r w:rsidR="007A4E2E" w:rsidRPr="00BE597A">
        <w:t xml:space="preserve">the parties </w:t>
      </w:r>
      <w:r w:rsidR="003318AC" w:rsidRPr="00BE597A">
        <w:t>(</w:t>
      </w:r>
      <w:r w:rsidR="007A4E2E" w:rsidRPr="00BE597A">
        <w:t xml:space="preserve">or </w:t>
      </w:r>
      <w:r w:rsidR="003318AC" w:rsidRPr="00BE597A">
        <w:t xml:space="preserve">at least the </w:t>
      </w:r>
      <w:r w:rsidR="007A4E2E" w:rsidRPr="00BE597A">
        <w:t>negotiators</w:t>
      </w:r>
      <w:r w:rsidR="003318AC" w:rsidRPr="00BE597A">
        <w:t>)</w:t>
      </w:r>
      <w:r w:rsidR="0080521A" w:rsidRPr="00BE597A">
        <w:t xml:space="preserve"> in order to foster trust. </w:t>
      </w:r>
      <w:r w:rsidR="00FE3E30" w:rsidRPr="00BE597A">
        <w:t>The</w:t>
      </w:r>
      <w:r w:rsidR="00FA5B91" w:rsidRPr="00BE597A">
        <w:t xml:space="preserve"> </w:t>
      </w:r>
      <w:r w:rsidR="001D7CF3" w:rsidRPr="00BE597A">
        <w:t xml:space="preserve">latter function means this </w:t>
      </w:r>
      <w:r w:rsidR="00FA5B91" w:rsidRPr="00BE597A">
        <w:t xml:space="preserve">stage will often be required </w:t>
      </w:r>
      <w:r w:rsidR="00FE3E30" w:rsidRPr="00BE597A">
        <w:t xml:space="preserve">between individuals </w:t>
      </w:r>
      <w:r w:rsidR="00FA5B91" w:rsidRPr="00BE597A">
        <w:t xml:space="preserve">even if the issues in dispute are well known. </w:t>
      </w:r>
      <w:r w:rsidR="0080521A" w:rsidRPr="00BE597A">
        <w:t xml:space="preserve">Zartman explains that ‘the nature of the activity lies not in conducting the combined search for </w:t>
      </w:r>
      <w:r w:rsidR="0080521A" w:rsidRPr="00BE597A">
        <w:rPr>
          <w:i/>
        </w:rPr>
        <w:t>a/the</w:t>
      </w:r>
      <w:r w:rsidR="0080521A" w:rsidRPr="00BE597A">
        <w:t xml:space="preserve"> solution but in arriving at and in convincing the other party to arrive at the conclusion that </w:t>
      </w:r>
      <w:r w:rsidR="0080521A" w:rsidRPr="00BE597A">
        <w:rPr>
          <w:i/>
        </w:rPr>
        <w:t>some</w:t>
      </w:r>
      <w:r w:rsidR="0080521A" w:rsidRPr="00BE597A">
        <w:t xml:space="preserve"> joint solution is possible…’</w:t>
      </w:r>
      <w:r w:rsidR="0080521A" w:rsidRPr="00BE597A">
        <w:rPr>
          <w:rStyle w:val="FootnoteReference"/>
        </w:rPr>
        <w:footnoteReference w:id="33"/>
      </w:r>
      <w:r w:rsidR="0080521A" w:rsidRPr="00BE597A">
        <w:t xml:space="preserve"> </w:t>
      </w:r>
      <w:r w:rsidR="00FE3E30" w:rsidRPr="00BE597A">
        <w:t>T</w:t>
      </w:r>
      <w:r w:rsidR="0080521A" w:rsidRPr="00BE597A">
        <w:t>hrough this process, the non-negotiable can become negotiable (even though underlying basic differences may not be reconcilable) when conflicting parties learn to listen, understand, and empathise with the other party’s position, interests and feelings, if these can be communicated effectively. Though not implying agreement, this can indicate an openness and responsiveness which reduces hostility and defensiveness, allowing the other to be more open and responsive</w:t>
      </w:r>
      <w:r w:rsidR="00503969" w:rsidRPr="00BE597A">
        <w:t>.</w:t>
      </w:r>
      <w:r w:rsidR="0080521A" w:rsidRPr="00BE597A">
        <w:rPr>
          <w:rStyle w:val="FootnoteReference"/>
        </w:rPr>
        <w:footnoteReference w:id="34"/>
      </w:r>
      <w:r w:rsidR="00FA5B91" w:rsidRPr="00BE597A">
        <w:t xml:space="preserve"> </w:t>
      </w:r>
    </w:p>
    <w:p w14:paraId="144FE429" w14:textId="2D40999A" w:rsidR="009E09FD" w:rsidRPr="00BE597A" w:rsidRDefault="0080521A" w:rsidP="00917109">
      <w:pPr>
        <w:pStyle w:val="BodyTextIndent"/>
        <w:spacing w:line="480" w:lineRule="auto"/>
        <w:contextualSpacing/>
      </w:pPr>
      <w:r w:rsidRPr="00BE597A">
        <w:t xml:space="preserve">While this </w:t>
      </w:r>
      <w:r w:rsidR="00FE3E30" w:rsidRPr="00BE597A">
        <w:t xml:space="preserve">initial stage </w:t>
      </w:r>
      <w:r w:rsidRPr="00BE597A">
        <w:t xml:space="preserve">is sometimes referred to as ‘pre-negotiation’, this term can obscure the fact that mediation </w:t>
      </w:r>
      <w:r w:rsidR="009E09FD" w:rsidRPr="00BE597A">
        <w:t xml:space="preserve">and negotiation </w:t>
      </w:r>
      <w:r w:rsidRPr="00BE597A">
        <w:t xml:space="preserve">can be required </w:t>
      </w:r>
      <w:r w:rsidR="008D6BA3" w:rsidRPr="00BE597A">
        <w:t xml:space="preserve">even </w:t>
      </w:r>
      <w:r w:rsidRPr="00BE597A">
        <w:t xml:space="preserve">to reach that </w:t>
      </w:r>
      <w:r w:rsidR="008D6BA3" w:rsidRPr="00BE597A">
        <w:t xml:space="preserve">initial </w:t>
      </w:r>
      <w:r w:rsidRPr="00BE597A">
        <w:t>stage.</w:t>
      </w:r>
      <w:r w:rsidR="00FE3E30" w:rsidRPr="00BE597A">
        <w:rPr>
          <w:rStyle w:val="FootnoteReference"/>
        </w:rPr>
        <w:footnoteReference w:id="35"/>
      </w:r>
      <w:r w:rsidR="00FA5B91" w:rsidRPr="00BE597A">
        <w:t xml:space="preserve"> </w:t>
      </w:r>
      <w:r w:rsidR="00EF7AF8" w:rsidRPr="00BE597A">
        <w:t>Given the nature of this stage, there is an</w:t>
      </w:r>
      <w:r w:rsidR="002657DB" w:rsidRPr="00BE597A">
        <w:t xml:space="preserve"> implicit assumption that facilitation or formulation are the central strategies, without acknowledging the fact that leverage and coercion might be required to </w:t>
      </w:r>
      <w:r w:rsidR="00EF7AF8" w:rsidRPr="00BE597A">
        <w:t xml:space="preserve">enable the dialogue to take place. </w:t>
      </w:r>
      <w:r w:rsidR="009E6B47" w:rsidRPr="00BE597A">
        <w:t xml:space="preserve">For example, </w:t>
      </w:r>
      <w:r w:rsidR="003B054F" w:rsidRPr="00BE597A">
        <w:t>S</w:t>
      </w:r>
      <w:r w:rsidR="001015E7" w:rsidRPr="00BE597A">
        <w:t>ecretary of State James Baker ‘practically</w:t>
      </w:r>
      <w:r w:rsidR="003B054F" w:rsidRPr="00BE597A">
        <w:t xml:space="preserve"> drag</w:t>
      </w:r>
      <w:r w:rsidR="001015E7" w:rsidRPr="00BE597A">
        <w:t>ged’</w:t>
      </w:r>
      <w:r w:rsidR="003B054F" w:rsidRPr="00BE597A">
        <w:t xml:space="preserve"> </w:t>
      </w:r>
      <w:r w:rsidR="009E6B47" w:rsidRPr="00BE597A">
        <w:t xml:space="preserve">an obstructionist </w:t>
      </w:r>
      <w:r w:rsidR="003B054F" w:rsidRPr="00BE597A">
        <w:t xml:space="preserve">Israeli Prime Minister Yitzhak Shamir to </w:t>
      </w:r>
      <w:r w:rsidR="001015E7" w:rsidRPr="00BE597A">
        <w:t xml:space="preserve">the 1991 </w:t>
      </w:r>
      <w:r w:rsidR="003B054F" w:rsidRPr="00BE597A">
        <w:t>Madrid</w:t>
      </w:r>
      <w:r w:rsidR="001015E7" w:rsidRPr="00BE597A">
        <w:t xml:space="preserve"> Conference</w:t>
      </w:r>
      <w:r w:rsidR="00BE7B89" w:rsidRPr="00BE597A">
        <w:t>, which eventually paved the way for the Oslo Agreement.</w:t>
      </w:r>
      <w:r w:rsidR="00BE7B89" w:rsidRPr="00BE597A">
        <w:rPr>
          <w:rStyle w:val="FootnoteReference"/>
        </w:rPr>
        <w:footnoteReference w:id="36"/>
      </w:r>
      <w:r w:rsidR="002657DB" w:rsidRPr="00BE597A">
        <w:t xml:space="preserve"> </w:t>
      </w:r>
      <w:r w:rsidR="00C214CF" w:rsidRPr="00BE597A">
        <w:t xml:space="preserve">Even if parties are willing to engage in indirect exploratory talks, a mediator </w:t>
      </w:r>
      <w:r w:rsidR="00482E82" w:rsidRPr="00BE597A">
        <w:t xml:space="preserve">who exercises some degree of coercion </w:t>
      </w:r>
      <w:r w:rsidR="00C214CF" w:rsidRPr="00BE597A">
        <w:t>can provide welcome cover for what is often a controversial decision.</w:t>
      </w:r>
      <w:r w:rsidR="00840587" w:rsidRPr="00BE597A">
        <w:t xml:space="preserve"> The same is true of any concessions that will ultimately have to be made in order to secure an agreement. </w:t>
      </w:r>
    </w:p>
    <w:p w14:paraId="1E50A096" w14:textId="77777777" w:rsidR="004F27DD" w:rsidRPr="00BE597A" w:rsidRDefault="004F27DD" w:rsidP="004F27DD">
      <w:pPr>
        <w:spacing w:line="480" w:lineRule="auto"/>
        <w:ind w:firstLine="720"/>
        <w:contextualSpacing/>
        <w:jc w:val="both"/>
        <w:rPr>
          <w:rFonts w:ascii="Times New Roman" w:hAnsi="Times New Roman" w:cs="Times New Roman"/>
        </w:rPr>
      </w:pPr>
      <w:r w:rsidRPr="00BE597A">
        <w:rPr>
          <w:rFonts w:ascii="Times New Roman" w:hAnsi="Times New Roman" w:cs="Times New Roman"/>
        </w:rPr>
        <w:t>However, the presence of a mediator at the table can also be a distraction. In negotiations between Israel and Syria in early 1996, Israeli negotiator Uri Savir noted that the Syrians were more interested in the American ‘mailman’ than their Israeli ‘suitors.’</w:t>
      </w:r>
      <w:r w:rsidRPr="00BE597A">
        <w:rPr>
          <w:rStyle w:val="FootnoteReference"/>
          <w:rFonts w:ascii="Times New Roman" w:hAnsi="Times New Roman" w:cs="Times New Roman"/>
        </w:rPr>
        <w:footnoteReference w:id="37"/>
      </w:r>
      <w:r w:rsidRPr="00BE597A">
        <w:t xml:space="preserve"> </w:t>
      </w:r>
      <w:r w:rsidRPr="00BE597A">
        <w:rPr>
          <w:rFonts w:ascii="Times New Roman" w:hAnsi="Times New Roman" w:cs="Times New Roman"/>
        </w:rPr>
        <w:t xml:space="preserve">Ultimately, it is the parties themselves who need to be the focal points of any understanding, and so their relationship should be paramount; they must feel a sense of ownership over any agreement if it is to be embraced and implemented. Indeed, Beardsley </w:t>
      </w:r>
      <w:r w:rsidRPr="00BE597A">
        <w:rPr>
          <w:rFonts w:ascii="Times New Roman" w:hAnsi="Times New Roman" w:cs="Times New Roman"/>
          <w:i/>
        </w:rPr>
        <w:t>et al</w:t>
      </w:r>
      <w:r w:rsidRPr="00BE597A">
        <w:rPr>
          <w:rFonts w:ascii="Times New Roman" w:hAnsi="Times New Roman" w:cs="Times New Roman"/>
        </w:rPr>
        <w:t xml:space="preserve"> found that the most durable agreements which secure a lasting peace are the ones reached with minimal external input, observing that ‘the more substantively intrusive styles of mediation – formulation and manipulation – may actually encourage a more passive stance regarding peace on the part of the adversaries.’</w:t>
      </w:r>
      <w:r w:rsidRPr="00BE597A">
        <w:rPr>
          <w:rStyle w:val="FootnoteReference"/>
          <w:rFonts w:ascii="Times New Roman" w:hAnsi="Times New Roman" w:cs="Times New Roman"/>
        </w:rPr>
        <w:footnoteReference w:id="38"/>
      </w:r>
      <w:r w:rsidRPr="00BE597A">
        <w:rPr>
          <w:rFonts w:ascii="Times New Roman" w:hAnsi="Times New Roman" w:cs="Times New Roman"/>
        </w:rPr>
        <w:t xml:space="preserve"> This is particularly relevant for identity-based conflicts or, to use a term coined by Azar, protracted social conflicts.</w:t>
      </w:r>
      <w:r w:rsidRPr="00BE597A">
        <w:rPr>
          <w:rStyle w:val="FootnoteReference"/>
          <w:rFonts w:ascii="Times New Roman" w:hAnsi="Times New Roman" w:cs="Times New Roman"/>
        </w:rPr>
        <w:footnoteReference w:id="39"/>
      </w:r>
      <w:r w:rsidRPr="00BE597A">
        <w:rPr>
          <w:rFonts w:ascii="Times New Roman" w:hAnsi="Times New Roman" w:cs="Times New Roman"/>
        </w:rPr>
        <w:t xml:space="preserve"> Such conflicts, which involve religious, cultural, or ethnic identity where basic needs such as security and communal recognition and developmental needs such as access to social institutions are not being met, may not lend themselves to coercive mediation.</w:t>
      </w:r>
      <w:r w:rsidRPr="00BE597A">
        <w:rPr>
          <w:rStyle w:val="FootnoteReference"/>
          <w:rFonts w:ascii="Times New Roman" w:hAnsi="Times New Roman" w:cs="Times New Roman"/>
        </w:rPr>
        <w:footnoteReference w:id="40"/>
      </w:r>
      <w:r w:rsidRPr="00BE597A">
        <w:rPr>
          <w:rFonts w:ascii="Times New Roman" w:hAnsi="Times New Roman" w:cs="Times New Roman"/>
        </w:rPr>
        <w:t xml:space="preserve"> In a situation where bargaining is not nearly as straightforward as in many inter-state conflicts, less intrusive strategies may be more appropriate than resource-based leverage to deliver concessions.</w:t>
      </w:r>
      <w:r w:rsidRPr="00BE597A">
        <w:rPr>
          <w:rStyle w:val="FootnoteReference"/>
          <w:rFonts w:ascii="Times New Roman" w:hAnsi="Times New Roman" w:cs="Times New Roman"/>
        </w:rPr>
        <w:footnoteReference w:id="41"/>
      </w:r>
    </w:p>
    <w:p w14:paraId="038CE3D6" w14:textId="77777777" w:rsidR="002A4D70" w:rsidRPr="00BE597A" w:rsidRDefault="00CD400E" w:rsidP="00917109">
      <w:pPr>
        <w:pStyle w:val="BodyTextIndent"/>
        <w:spacing w:line="480" w:lineRule="auto"/>
        <w:contextualSpacing/>
      </w:pPr>
      <w:r w:rsidRPr="00BE597A">
        <w:t xml:space="preserve">In their </w:t>
      </w:r>
      <w:r w:rsidR="00465800" w:rsidRPr="00BE597A">
        <w:t xml:space="preserve">2006 </w:t>
      </w:r>
      <w:r w:rsidRPr="00BE597A">
        <w:t xml:space="preserve">study of </w:t>
      </w:r>
      <w:r w:rsidR="0020715C" w:rsidRPr="00BE597A">
        <w:t xml:space="preserve">how different mediation strategies relate to </w:t>
      </w:r>
      <w:r w:rsidRPr="00BE597A">
        <w:t xml:space="preserve">crisis outcomes, Beardsley </w:t>
      </w:r>
      <w:r w:rsidRPr="00BE597A">
        <w:rPr>
          <w:i/>
        </w:rPr>
        <w:t>et al</w:t>
      </w:r>
      <w:r w:rsidRPr="00BE597A">
        <w:t xml:space="preserve"> </w:t>
      </w:r>
      <w:r w:rsidR="00A525CB" w:rsidRPr="00BE597A">
        <w:t xml:space="preserve">argue that facilitation was preferable when resolving the parties’ commitment problems and reducing tensions, while manipulative strategy was the most effective in securing an agreement. </w:t>
      </w:r>
      <w:r w:rsidR="006E7E07" w:rsidRPr="00BE597A">
        <w:t>They found that mediation is more effective when multiple strategies are used rather than just one, which reflects the importance of different</w:t>
      </w:r>
      <w:r w:rsidR="004309AD" w:rsidRPr="00BE597A">
        <w:t xml:space="preserve"> strategies at</w:t>
      </w:r>
      <w:r w:rsidR="00A525CB" w:rsidRPr="00BE597A">
        <w:t xml:space="preserve"> different stages.</w:t>
      </w:r>
      <w:r w:rsidR="005B14CF" w:rsidRPr="00BE597A">
        <w:rPr>
          <w:rStyle w:val="FootnoteReference"/>
        </w:rPr>
        <w:footnoteReference w:id="42"/>
      </w:r>
      <w:r w:rsidRPr="00BE597A">
        <w:t xml:space="preserve"> </w:t>
      </w:r>
      <w:r w:rsidR="007F3891" w:rsidRPr="00BE597A">
        <w:t>‘The key, it seems, is to increase the incentives of agre</w:t>
      </w:r>
      <w:r w:rsidR="00D4054A" w:rsidRPr="00BE597A">
        <w:t>e</w:t>
      </w:r>
      <w:r w:rsidR="007F3891" w:rsidRPr="00BE597A">
        <w:t>ment by structuring the costs of the conflict with a manipulative style while using the more integrative styles of facilitation and formulation to reach an agreement as consistent with the true distribution of capabilities as possible.’</w:t>
      </w:r>
      <w:r w:rsidR="009B04FB" w:rsidRPr="00BE597A">
        <w:rPr>
          <w:rStyle w:val="FootnoteReference"/>
        </w:rPr>
        <w:footnoteReference w:id="43"/>
      </w:r>
      <w:r w:rsidR="007F3891" w:rsidRPr="00BE597A">
        <w:t xml:space="preserve"> </w:t>
      </w:r>
      <w:r w:rsidR="00794A0A" w:rsidRPr="00BE597A">
        <w:t xml:space="preserve">This suggests that a </w:t>
      </w:r>
      <w:r w:rsidR="0020715C" w:rsidRPr="00BE597A">
        <w:t xml:space="preserve">more coercive strategy is appropriate </w:t>
      </w:r>
      <w:r w:rsidR="001305BD" w:rsidRPr="00BE597A">
        <w:t xml:space="preserve">towards the end of negotiations, although </w:t>
      </w:r>
      <w:r w:rsidR="00837A98" w:rsidRPr="00BE597A">
        <w:t>how to identify this point is notoriously difficult and only becomes clear after the fact</w:t>
      </w:r>
      <w:r w:rsidR="00EC2C04" w:rsidRPr="00BE597A">
        <w:t xml:space="preserve">. </w:t>
      </w:r>
      <w:r w:rsidR="007622DA" w:rsidRPr="00BE597A">
        <w:t xml:space="preserve">Process and sequencing remain vital, however. </w:t>
      </w:r>
      <w:r w:rsidR="00EC2C04" w:rsidRPr="00BE597A">
        <w:t>Zartman reflects that a</w:t>
      </w:r>
      <w:r w:rsidR="00786AD4" w:rsidRPr="00BE597A">
        <w:t xml:space="preserve"> proposed solution ‘which seeks to obviate the lengthy and inefficient </w:t>
      </w:r>
      <w:r w:rsidR="00EC2C04" w:rsidRPr="00BE597A">
        <w:t>process of negotiation</w:t>
      </w:r>
      <w:r w:rsidR="009259F7" w:rsidRPr="00BE597A">
        <w:t xml:space="preserve"> </w:t>
      </w:r>
      <w:r w:rsidR="00EC2C04" w:rsidRPr="00BE597A">
        <w:t>… is unlikely to be welcomed in situations of sharp conflict over indivisibles or over non-tradables, situations where process ownership is important, or situations where the stakes include high political commitment.’</w:t>
      </w:r>
      <w:r w:rsidR="00A973B0" w:rsidRPr="00BE597A">
        <w:rPr>
          <w:rStyle w:val="FootnoteReference"/>
        </w:rPr>
        <w:footnoteReference w:id="44"/>
      </w:r>
    </w:p>
    <w:p w14:paraId="793289BB" w14:textId="7C32363F" w:rsidR="0080521A" w:rsidRPr="00BE597A" w:rsidRDefault="00EC2C04" w:rsidP="00917109">
      <w:pPr>
        <w:pStyle w:val="BodyTextIndent"/>
        <w:spacing w:line="480" w:lineRule="auto"/>
        <w:contextualSpacing/>
      </w:pPr>
      <w:r w:rsidRPr="00BE597A">
        <w:t xml:space="preserve"> </w:t>
      </w:r>
      <w:r w:rsidR="00791D20" w:rsidRPr="00BE597A">
        <w:rPr>
          <w:lang w:val="en-US"/>
        </w:rPr>
        <w:drawing>
          <wp:inline distT="0" distB="0" distL="0" distR="0" wp14:anchorId="2D580E57" wp14:editId="55EFC6E9">
            <wp:extent cx="5270500" cy="2648585"/>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4-12 at 16.48.54.png"/>
                    <pic:cNvPicPr/>
                  </pic:nvPicPr>
                  <pic:blipFill>
                    <a:blip r:embed="rId9">
                      <a:extLst>
                        <a:ext uri="{28A0092B-C50C-407E-A947-70E740481C1C}">
                          <a14:useLocalDpi xmlns:a14="http://schemas.microsoft.com/office/drawing/2010/main" val="0"/>
                        </a:ext>
                      </a:extLst>
                    </a:blip>
                    <a:stretch>
                      <a:fillRect/>
                    </a:stretch>
                  </pic:blipFill>
                  <pic:spPr>
                    <a:xfrm>
                      <a:off x="0" y="0"/>
                      <a:ext cx="5270500" cy="2648585"/>
                    </a:xfrm>
                    <a:prstGeom prst="rect">
                      <a:avLst/>
                    </a:prstGeom>
                  </pic:spPr>
                </pic:pic>
              </a:graphicData>
            </a:graphic>
          </wp:inline>
        </w:drawing>
      </w:r>
    </w:p>
    <w:p w14:paraId="46EC231F" w14:textId="77777777" w:rsidR="002A4D70" w:rsidRPr="00BE597A" w:rsidRDefault="002A4D70" w:rsidP="00917109">
      <w:pPr>
        <w:pStyle w:val="BodyTextIndent"/>
        <w:spacing w:line="480" w:lineRule="auto"/>
        <w:contextualSpacing/>
      </w:pPr>
    </w:p>
    <w:p w14:paraId="6C0C48D5" w14:textId="4E3B0B9A" w:rsidR="002A4D70" w:rsidRPr="00BE597A" w:rsidRDefault="002A4D70" w:rsidP="00917109">
      <w:pPr>
        <w:pStyle w:val="BodyTextIndent"/>
        <w:spacing w:line="480" w:lineRule="auto"/>
        <w:contextualSpacing/>
      </w:pPr>
      <w:r w:rsidRPr="00BE597A">
        <w:t>Fig</w:t>
      </w:r>
      <w:r w:rsidR="00ED2ABE" w:rsidRPr="00BE597A">
        <w:t>.</w:t>
      </w:r>
      <w:r w:rsidRPr="00BE597A">
        <w:t xml:space="preserve"> 1: A model of </w:t>
      </w:r>
      <w:r w:rsidR="00791D20" w:rsidRPr="00BE597A">
        <w:t>levels of coercion</w:t>
      </w:r>
      <w:r w:rsidRPr="00BE597A">
        <w:t xml:space="preserve"> used over the course of negotiations</w:t>
      </w:r>
    </w:p>
    <w:p w14:paraId="2E52F4C9" w14:textId="77777777" w:rsidR="002A4D70" w:rsidRPr="00BE597A" w:rsidRDefault="002A4D70" w:rsidP="00917109">
      <w:pPr>
        <w:pStyle w:val="BodyTextIndent"/>
        <w:spacing w:line="480" w:lineRule="auto"/>
        <w:contextualSpacing/>
      </w:pPr>
    </w:p>
    <w:p w14:paraId="004AD761" w14:textId="7A72BB69" w:rsidR="00CD61D7" w:rsidRPr="00BE597A" w:rsidRDefault="006026BF" w:rsidP="00917109">
      <w:pPr>
        <w:pStyle w:val="BodyTextIndent"/>
        <w:spacing w:line="480" w:lineRule="auto"/>
        <w:contextualSpacing/>
      </w:pPr>
      <w:r w:rsidRPr="00BE597A">
        <w:t>These theoretical considerations are summarised in the model proposed in Fig</w:t>
      </w:r>
      <w:r w:rsidR="005F1157" w:rsidRPr="00BE597A">
        <w:t>.</w:t>
      </w:r>
      <w:r w:rsidRPr="00BE597A">
        <w:t xml:space="preserve"> 1</w:t>
      </w:r>
      <w:r w:rsidR="005F1157" w:rsidRPr="00BE597A">
        <w:t xml:space="preserve"> which seeks to balance all the competing requirements</w:t>
      </w:r>
      <w:r w:rsidR="00791D20" w:rsidRPr="00BE597A">
        <w:t>. A highly coercive strategy like m</w:t>
      </w:r>
      <w:r w:rsidRPr="00BE597A">
        <w:t>anipulat</w:t>
      </w:r>
      <w:r w:rsidR="00D90054" w:rsidRPr="00BE597A">
        <w:t>ion can</w:t>
      </w:r>
      <w:r w:rsidRPr="00BE597A">
        <w:t xml:space="preserve"> initially </w:t>
      </w:r>
      <w:r w:rsidR="00D90054" w:rsidRPr="00BE597A">
        <w:t xml:space="preserve">be </w:t>
      </w:r>
      <w:r w:rsidRPr="00BE597A">
        <w:t>required to</w:t>
      </w:r>
      <w:r w:rsidR="00D90054" w:rsidRPr="00BE597A">
        <w:t xml:space="preserve"> engage the parties in pre-negotiation, while these are normally mediated using less coercive process strategies. </w:t>
      </w:r>
      <w:r w:rsidR="009571D8" w:rsidRPr="00BE597A">
        <w:t xml:space="preserve">Once parties are at the negotiating table, these remain the most useful to ensure ownership of the talks. In order for an agreement to then be finalised on the basis of these talks, bridging proposals and a greater level of coercion is likely to be necessary.  </w:t>
      </w:r>
    </w:p>
    <w:p w14:paraId="5AF8292F" w14:textId="05648754" w:rsidR="001D0FCA" w:rsidRPr="00BE597A" w:rsidRDefault="000372CF" w:rsidP="00917109">
      <w:pPr>
        <w:pStyle w:val="BodyTextIndent"/>
        <w:spacing w:line="480" w:lineRule="auto"/>
        <w:contextualSpacing/>
      </w:pPr>
      <w:r w:rsidRPr="00BE597A">
        <w:t xml:space="preserve">A few caveats are in order. </w:t>
      </w:r>
      <w:r w:rsidR="00F64B17" w:rsidRPr="00BE597A">
        <w:t>First, strategies may need to</w:t>
      </w:r>
      <w:r w:rsidR="00D71F08" w:rsidRPr="00BE597A">
        <w:t xml:space="preserve"> vary in response to immediate changes in context. A crisis such as the outbreak of violence, for example, may lead to a suspension of talks and </w:t>
      </w:r>
      <w:r w:rsidR="005F1157" w:rsidRPr="00BE597A">
        <w:t xml:space="preserve">suddenly </w:t>
      </w:r>
      <w:r w:rsidR="00D71F08" w:rsidRPr="00BE597A">
        <w:t xml:space="preserve">require </w:t>
      </w:r>
      <w:r w:rsidR="005F1157" w:rsidRPr="00BE597A">
        <w:t>a manipulative strategy to resume them</w:t>
      </w:r>
      <w:r w:rsidR="00D71F08" w:rsidRPr="00BE597A">
        <w:t>. The model does not deny the need for addressing such events, but illustrates the broader trends of mediation strategy</w:t>
      </w:r>
      <w:r w:rsidR="00330E91" w:rsidRPr="00BE597A">
        <w:t xml:space="preserve"> usage</w:t>
      </w:r>
      <w:r w:rsidR="00D71F08" w:rsidRPr="00BE597A">
        <w:t>. Second, m</w:t>
      </w:r>
      <w:r w:rsidRPr="00BE597A">
        <w:t xml:space="preserve">ediation is a human activity, and as such is influenced by intangibles such as personalities. Qualities such as empathy and a sense of humour are often </w:t>
      </w:r>
      <w:r w:rsidR="00056D93" w:rsidRPr="00BE597A">
        <w:t>identified as key characteristics to building strong personal relationships, but these are difficult to account for in any model.</w:t>
      </w:r>
      <w:r w:rsidR="00CE24F3" w:rsidRPr="00BE597A">
        <w:rPr>
          <w:rStyle w:val="FootnoteReference"/>
        </w:rPr>
        <w:footnoteReference w:id="45"/>
      </w:r>
      <w:r w:rsidRPr="00BE597A">
        <w:t xml:space="preserve"> </w:t>
      </w:r>
      <w:r w:rsidR="00AB5462" w:rsidRPr="00BE597A">
        <w:t>To provide further theoretical grounding for the case study, the article will now consider the particular characteristics of US engagement as a mediator in the Israeli-Palestinian conflict.</w:t>
      </w:r>
    </w:p>
    <w:p w14:paraId="4FBE8457" w14:textId="77777777" w:rsidR="00F622F7" w:rsidRPr="00BE597A" w:rsidRDefault="00F622F7" w:rsidP="00917109">
      <w:pPr>
        <w:pStyle w:val="BodyTextIndent"/>
        <w:spacing w:line="480" w:lineRule="auto"/>
        <w:contextualSpacing/>
      </w:pPr>
    </w:p>
    <w:p w14:paraId="5AE7DF50" w14:textId="4D1FDEC7" w:rsidR="00F622F7" w:rsidRPr="00BE597A" w:rsidRDefault="00355A5D" w:rsidP="009058A3">
      <w:pPr>
        <w:pStyle w:val="BodyTextIndent"/>
        <w:spacing w:line="480" w:lineRule="auto"/>
        <w:ind w:firstLine="0"/>
        <w:contextualSpacing/>
        <w:rPr>
          <w:b/>
        </w:rPr>
      </w:pPr>
      <w:r w:rsidRPr="00BE597A">
        <w:rPr>
          <w:b/>
        </w:rPr>
        <w:t>The US and the Israeli-Palestinian conflict</w:t>
      </w:r>
    </w:p>
    <w:p w14:paraId="2680BE9F" w14:textId="77777777" w:rsidR="005D1C16" w:rsidRPr="00BE597A" w:rsidRDefault="005D1C16" w:rsidP="005D1C16">
      <w:pPr>
        <w:pStyle w:val="BodyTextIndent"/>
        <w:spacing w:line="480" w:lineRule="auto"/>
        <w:contextualSpacing/>
      </w:pPr>
    </w:p>
    <w:p w14:paraId="3956AC61" w14:textId="5276800F" w:rsidR="00355A5D" w:rsidRPr="00BE597A" w:rsidRDefault="00CC5262" w:rsidP="008D3A9F">
      <w:pPr>
        <w:pStyle w:val="BodyTextIndent"/>
        <w:spacing w:line="480" w:lineRule="auto"/>
        <w:contextualSpacing/>
      </w:pPr>
      <w:r w:rsidRPr="00BE597A">
        <w:t>In</w:t>
      </w:r>
      <w:r w:rsidR="005D1C16" w:rsidRPr="00BE597A">
        <w:t xml:space="preserve"> the Israeli-Palestinian conflict, Israel, the stronger party, has traditionally always preferred bilateral negotiations, while the weaker Palestinians have always preferred the presence of a mediator.</w:t>
      </w:r>
      <w:r w:rsidR="005D1C16" w:rsidRPr="00BE597A">
        <w:rPr>
          <w:rStyle w:val="FootnoteReference"/>
        </w:rPr>
        <w:footnoteReference w:id="46"/>
      </w:r>
      <w:r w:rsidR="005D1C16" w:rsidRPr="00BE597A">
        <w:t xml:space="preserve"> The US is by far Israel’s most important ally, with whom they share a cultural and democratic affinity unlike any other in the region. Consequently, public opinion polls among Israeli Jews indicate that America is the international actor whose intervention in the conflict is considered the most desirable.</w:t>
      </w:r>
      <w:r w:rsidR="005D1C16" w:rsidRPr="00BE597A">
        <w:rPr>
          <w:rStyle w:val="FootnoteReference"/>
        </w:rPr>
        <w:footnoteReference w:id="47"/>
      </w:r>
      <w:r w:rsidR="005D1C16" w:rsidRPr="00BE597A">
        <w:t xml:space="preserve"> Despite this</w:t>
      </w:r>
      <w:r w:rsidR="008D3A9F" w:rsidRPr="00BE597A">
        <w:t xml:space="preserve"> apparent bias</w:t>
      </w:r>
      <w:r w:rsidR="005D1C16" w:rsidRPr="00BE597A">
        <w:t xml:space="preserve">, </w:t>
      </w:r>
      <w:r w:rsidR="008D3A9F" w:rsidRPr="00BE597A">
        <w:t xml:space="preserve">why have the Palestinians traditionally </w:t>
      </w:r>
      <w:r w:rsidR="005D1C16" w:rsidRPr="00BE597A">
        <w:t>accepted the US as a mediator</w:t>
      </w:r>
      <w:r w:rsidR="008D3A9F" w:rsidRPr="00BE597A">
        <w:t>?</w:t>
      </w:r>
      <w:r w:rsidR="005D1C16" w:rsidRPr="00BE597A">
        <w:t xml:space="preserve"> </w:t>
      </w:r>
    </w:p>
    <w:p w14:paraId="6BD25BEB" w14:textId="341D9A0D" w:rsidR="00F622F7" w:rsidRPr="00BE597A" w:rsidRDefault="00F622F7" w:rsidP="00F622F7">
      <w:pPr>
        <w:pStyle w:val="BodyTextIndent"/>
        <w:spacing w:line="480" w:lineRule="auto"/>
        <w:contextualSpacing/>
      </w:pPr>
      <w:r w:rsidRPr="00BE597A">
        <w:t>While perceived impartiality rather than utopian ‘neutrality’ is emphasised by a number of conflict resolution theoreticians,</w:t>
      </w:r>
      <w:r w:rsidRPr="00BE597A">
        <w:rPr>
          <w:rStyle w:val="FootnoteReference"/>
        </w:rPr>
        <w:footnoteReference w:id="48"/>
      </w:r>
      <w:r w:rsidRPr="00BE597A">
        <w:t xml:space="preserve"> Touval and others argue that ‘confidence’ in a mediator is the key desirable attribute, which can stem from a variety of different factors.</w:t>
      </w:r>
      <w:r w:rsidRPr="00BE597A">
        <w:rPr>
          <w:rStyle w:val="FootnoteReference"/>
        </w:rPr>
        <w:footnoteReference w:id="49"/>
      </w:r>
      <w:r w:rsidRPr="00BE597A">
        <w:t xml:space="preserve"> A mediator with strong links to one side can indeed jeopardise their suitability by appearing biased, but at the same time a certain degree of influence over one party can also be useful to the other if it means the third party can convince it to make concessions. Said party could potentially be assured that an ally would not suggest a solution detrimental to them, and would not allow them to suffer as a result of an agreement, and could so be swayed to yield on certain issues. Zartman and Rubin argue that ‘biased mediators … can be effective in assisting negotiations only if they deliver the party toward whom they are biased. In negotiation, external intervention rides the diplomatic equivalent of a Trojan horse.’</w:t>
      </w:r>
      <w:r w:rsidRPr="00BE597A">
        <w:rPr>
          <w:rStyle w:val="FootnoteReference"/>
        </w:rPr>
        <w:footnoteReference w:id="50"/>
      </w:r>
    </w:p>
    <w:p w14:paraId="001D3E7C" w14:textId="77777777" w:rsidR="00F622F7" w:rsidRPr="00BE597A" w:rsidRDefault="00F622F7" w:rsidP="00F622F7">
      <w:pPr>
        <w:pStyle w:val="BodyTextIndent"/>
        <w:spacing w:line="480" w:lineRule="auto"/>
        <w:contextualSpacing/>
      </w:pPr>
      <w:r w:rsidRPr="00BE597A">
        <w:t>In an asymmetrical conflict, a mediator can thus serve to counterbalance the power of the stronger side.</w:t>
      </w:r>
      <w:r w:rsidRPr="00BE597A">
        <w:rPr>
          <w:rStyle w:val="FootnoteReference"/>
        </w:rPr>
        <w:footnoteReference w:id="51"/>
      </w:r>
      <w:r w:rsidRPr="00BE597A">
        <w:t xml:space="preserve"> As a result, even if originally negotiating from a position of weakness, a party may feel that a mediator who is traditionally biased towards the other may deliver an outcome preferable to the alternatives.</w:t>
      </w:r>
      <w:r w:rsidRPr="00BE597A">
        <w:rPr>
          <w:rStyle w:val="FootnoteReference"/>
        </w:rPr>
        <w:footnoteReference w:id="52"/>
      </w:r>
      <w:r w:rsidRPr="00BE597A">
        <w:t xml:space="preserve"> Moreover, the weaker party may feel that they cannot reject a powerful, biased mediator for fear of the consequences of saying no to such a superpower and moving them even closer to the opposing party. The potential of material rewards in terms of monetary aid, and the opportunity to improve relations with the superpower are also strong incentives to include them or accept them as mediators. </w:t>
      </w:r>
    </w:p>
    <w:p w14:paraId="07861ACB" w14:textId="2E4A28AB" w:rsidR="00F622F7" w:rsidRPr="00BE597A" w:rsidRDefault="00AC1259" w:rsidP="00F622F7">
      <w:pPr>
        <w:pStyle w:val="BodyTextIndent"/>
        <w:spacing w:line="480" w:lineRule="auto"/>
        <w:contextualSpacing/>
      </w:pPr>
      <w:r w:rsidRPr="00BE597A">
        <w:t xml:space="preserve">To understand the nature of US engagement in the Israeli-Palestinian conflict, </w:t>
      </w:r>
      <w:r w:rsidR="00F622F7" w:rsidRPr="00BE597A">
        <w:t xml:space="preserve">Ross and Makovsky suggest a typology of </w:t>
      </w:r>
      <w:r w:rsidR="006F2C96" w:rsidRPr="00BE597A">
        <w:t xml:space="preserve">epistemological and ontological </w:t>
      </w:r>
      <w:r w:rsidR="00F622F7" w:rsidRPr="00BE597A">
        <w:t>approaches</w:t>
      </w:r>
      <w:r w:rsidRPr="00BE597A">
        <w:t xml:space="preserve"> to the conflict and its resolution</w:t>
      </w:r>
      <w:r w:rsidR="00F622F7" w:rsidRPr="00BE597A">
        <w:t xml:space="preserve"> which has since been further developed by Thrall. First, there are the neo-conservatives, who Thrall labels ‘Skeptics.’ They argue that the Palestinians will not make peace with Israel, either because Palestinians completely refuse to accept the existence of a Jewish state, or because they will not acquiesce to the minimum terms acceptable to a majority of Israelis. Consequently, Skeptics consider negotiations pointless and do not believe the US should expend political capital on mediation, including brokering substantive compromises on key issues, and should certainly not coerce the Israelis in particular. Rather, any engagement should focus on easing the tensions on the ground caused by the occupation and improving Palestinian institutions.</w:t>
      </w:r>
      <w:r w:rsidR="00F622F7" w:rsidRPr="00BE597A">
        <w:rPr>
          <w:rStyle w:val="FootnoteReference"/>
        </w:rPr>
        <w:footnoteReference w:id="53"/>
      </w:r>
    </w:p>
    <w:p w14:paraId="109E4A51" w14:textId="77777777" w:rsidR="004D4E96" w:rsidRPr="00BE597A" w:rsidRDefault="00F622F7" w:rsidP="00F622F7">
      <w:pPr>
        <w:pStyle w:val="BodyTextIndent"/>
        <w:spacing w:line="480" w:lineRule="auto"/>
        <w:contextualSpacing/>
      </w:pPr>
      <w:r w:rsidRPr="00BE597A">
        <w:t>Second, there are the political realists, who Thrall labels ‘Reproachers.’ They argue that the US needs to take an active role, devise the parameters of a peace agreement to bridge the gaps between the parties, and pressure Israel into accepting them. As the more powerful party, Israel holds the cards and is the key to progress. Since the occupation has become an acceptable status quo for many Israelis, the US needs to show ‘tough love’ to compel them to act in their own best interests, and make the necessary concessions for peace.</w:t>
      </w:r>
      <w:r w:rsidRPr="00BE597A">
        <w:rPr>
          <w:rStyle w:val="FootnoteReference"/>
        </w:rPr>
        <w:footnoteReference w:id="54"/>
      </w:r>
      <w:r w:rsidRPr="00BE597A">
        <w:t xml:space="preserve"> </w:t>
      </w:r>
    </w:p>
    <w:p w14:paraId="6EABB8B7" w14:textId="2395D0BB" w:rsidR="005D1C16" w:rsidRPr="00BE597A" w:rsidRDefault="00F622F7" w:rsidP="00F622F7">
      <w:pPr>
        <w:pStyle w:val="BodyTextIndent"/>
        <w:spacing w:line="480" w:lineRule="auto"/>
        <w:contextualSpacing/>
      </w:pPr>
      <w:r w:rsidRPr="00BE597A">
        <w:t>Thrall also identifies a third category, the ‘Embracers’, who ‘combine the unconditional love of Israel of the Skeptics and the unwavering faith in the peace process of the Reproachers.’</w:t>
      </w:r>
      <w:r w:rsidRPr="00BE597A">
        <w:rPr>
          <w:rStyle w:val="FootnoteReference"/>
        </w:rPr>
        <w:footnoteReference w:id="55"/>
      </w:r>
      <w:r w:rsidRPr="00BE597A">
        <w:t xml:space="preserve"> They argue that the US is central to reaching a peace agreement, but that this must be done by embracing and reassuring Israel in order to give them the support they need to take the necessary risks for peace.</w:t>
      </w:r>
      <w:r w:rsidRPr="00BE597A">
        <w:rPr>
          <w:rStyle w:val="FootnoteReference"/>
        </w:rPr>
        <w:footnoteReference w:id="56"/>
      </w:r>
      <w:r w:rsidRPr="00BE597A">
        <w:t xml:space="preserve"> </w:t>
      </w:r>
    </w:p>
    <w:p w14:paraId="14F09009" w14:textId="656DA6E8" w:rsidR="00F622F7" w:rsidRPr="00BE597A" w:rsidRDefault="004D4E96" w:rsidP="00996B6C">
      <w:pPr>
        <w:pStyle w:val="BodyTextIndent"/>
        <w:spacing w:line="480" w:lineRule="auto"/>
        <w:contextualSpacing/>
      </w:pPr>
      <w:r w:rsidRPr="00BE597A">
        <w:t xml:space="preserve">As noted earlier, </w:t>
      </w:r>
      <w:r w:rsidR="00F622F7" w:rsidRPr="00BE597A">
        <w:t>the strength of a less or more coercive approach cannot be absolute but depends on context. While Ross and Makovsky make a case for adapting mediation strategy to suit the given context, they do not attempt to delineate which strategy is effective in which context or at which point in negotiations, nor do they reflect on the ability of the US to change strategies or execute them effectively.</w:t>
      </w:r>
      <w:r w:rsidR="00F622F7" w:rsidRPr="00BE597A">
        <w:rPr>
          <w:rStyle w:val="FootnoteReference"/>
        </w:rPr>
        <w:footnoteReference w:id="57"/>
      </w:r>
      <w:r w:rsidR="00587BD7" w:rsidRPr="00BE597A">
        <w:t xml:space="preserve"> The article will now go on to consider </w:t>
      </w:r>
      <w:r w:rsidR="00FD4BD5" w:rsidRPr="00BE597A">
        <w:t>the mediation strategies employed by</w:t>
      </w:r>
      <w:r w:rsidR="00587BD7" w:rsidRPr="00BE597A">
        <w:t xml:space="preserve"> the</w:t>
      </w:r>
      <w:r w:rsidR="00FD4BD5" w:rsidRPr="00BE597A">
        <w:t xml:space="preserve"> US during the</w:t>
      </w:r>
      <w:r w:rsidR="00587BD7" w:rsidRPr="00BE597A">
        <w:t xml:space="preserve"> Annapolis process, 2007-8. </w:t>
      </w:r>
    </w:p>
    <w:p w14:paraId="441CDA73" w14:textId="77777777" w:rsidR="0038312D" w:rsidRPr="00BE597A" w:rsidRDefault="0038312D" w:rsidP="00917109">
      <w:pPr>
        <w:pStyle w:val="BodyTextIndent"/>
        <w:spacing w:line="480" w:lineRule="auto"/>
        <w:contextualSpacing/>
        <w:rPr>
          <w:b/>
        </w:rPr>
      </w:pPr>
    </w:p>
    <w:p w14:paraId="1B344417" w14:textId="2AD37003" w:rsidR="00D42503" w:rsidRPr="00BE597A" w:rsidRDefault="00407B07" w:rsidP="009058A3">
      <w:pPr>
        <w:pStyle w:val="BodyTextIndent"/>
        <w:spacing w:line="480" w:lineRule="auto"/>
        <w:ind w:firstLine="0"/>
        <w:contextualSpacing/>
        <w:rPr>
          <w:b/>
        </w:rPr>
      </w:pPr>
      <w:r w:rsidRPr="00BE597A">
        <w:rPr>
          <w:b/>
        </w:rPr>
        <w:t>Pre-negotiation</w:t>
      </w:r>
    </w:p>
    <w:p w14:paraId="1D84DB9C" w14:textId="77777777" w:rsidR="0060363B" w:rsidRPr="00BE597A" w:rsidRDefault="0060363B" w:rsidP="00917109">
      <w:pPr>
        <w:pStyle w:val="BodyTextIndent"/>
        <w:spacing w:line="480" w:lineRule="auto"/>
        <w:ind w:firstLine="0"/>
        <w:contextualSpacing/>
      </w:pPr>
    </w:p>
    <w:p w14:paraId="60B6FAE2" w14:textId="0B11C3FB" w:rsidR="0052107F" w:rsidRPr="00BE597A" w:rsidRDefault="00161FE2" w:rsidP="00917109">
      <w:pPr>
        <w:pStyle w:val="BodyTextIndent"/>
        <w:spacing w:line="480" w:lineRule="auto"/>
        <w:contextualSpacing/>
      </w:pPr>
      <w:r w:rsidRPr="00BE597A">
        <w:t>After roughly a year of lobbying</w:t>
      </w:r>
      <w:r w:rsidR="006D4254" w:rsidRPr="00BE597A">
        <w:t>, Secretary of State Condoleezza Rice</w:t>
      </w:r>
      <w:r w:rsidR="00F07A67" w:rsidRPr="00BE597A">
        <w:t xml:space="preserve"> convinced</w:t>
      </w:r>
      <w:r w:rsidR="006D4254" w:rsidRPr="00BE597A">
        <w:t xml:space="preserve"> </w:t>
      </w:r>
      <w:r w:rsidR="00207844" w:rsidRPr="00BE597A">
        <w:t xml:space="preserve">a reluctant </w:t>
      </w:r>
      <w:r w:rsidR="006D4254" w:rsidRPr="00BE597A">
        <w:t xml:space="preserve">President </w:t>
      </w:r>
      <w:r w:rsidR="00F07A67" w:rsidRPr="00BE597A">
        <w:t xml:space="preserve">Bush </w:t>
      </w:r>
      <w:r w:rsidRPr="00BE597A">
        <w:t xml:space="preserve">in July 2007 </w:t>
      </w:r>
      <w:r w:rsidR="006D4254" w:rsidRPr="00BE597A">
        <w:t xml:space="preserve">to endorse </w:t>
      </w:r>
      <w:r w:rsidR="0036223F" w:rsidRPr="00BE597A">
        <w:t>an internati</w:t>
      </w:r>
      <w:r w:rsidRPr="00BE597A">
        <w:t>o</w:t>
      </w:r>
      <w:r w:rsidR="0036223F" w:rsidRPr="00BE597A">
        <w:t>n</w:t>
      </w:r>
      <w:r w:rsidRPr="00BE597A">
        <w:t>al meeting of Israelis, Palestinians, and Arab states</w:t>
      </w:r>
      <w:r w:rsidR="006D4254" w:rsidRPr="00BE597A">
        <w:t xml:space="preserve"> to restart </w:t>
      </w:r>
      <w:r w:rsidR="006A4A51" w:rsidRPr="00BE597A">
        <w:t>permanent</w:t>
      </w:r>
      <w:r w:rsidR="002070D7" w:rsidRPr="00BE597A">
        <w:t xml:space="preserve"> status </w:t>
      </w:r>
      <w:r w:rsidR="006D4254" w:rsidRPr="00BE597A">
        <w:t xml:space="preserve">negotiations. </w:t>
      </w:r>
      <w:r w:rsidR="0036223F" w:rsidRPr="00BE597A">
        <w:t xml:space="preserve">This was a significant change of policy. </w:t>
      </w:r>
      <w:r w:rsidR="00947C12" w:rsidRPr="00BE597A">
        <w:t>At the beginning of his fir</w:t>
      </w:r>
      <w:r w:rsidR="00F07A67" w:rsidRPr="00BE597A">
        <w:t xml:space="preserve">st </w:t>
      </w:r>
      <w:r w:rsidR="00947C12" w:rsidRPr="00BE597A">
        <w:t xml:space="preserve">term, it quickly became clear that </w:t>
      </w:r>
      <w:r w:rsidR="00142D45" w:rsidRPr="00BE597A">
        <w:t>Bush</w:t>
      </w:r>
      <w:r w:rsidR="00947C12" w:rsidRPr="00BE597A">
        <w:t xml:space="preserve"> </w:t>
      </w:r>
      <w:r w:rsidR="006B3D6E" w:rsidRPr="00BE597A">
        <w:t>had no desire</w:t>
      </w:r>
      <w:r w:rsidR="00947C12" w:rsidRPr="00BE597A">
        <w:t xml:space="preserve"> to get embroiled in the Israeli-Palestinian conflict in the same way that </w:t>
      </w:r>
      <w:r w:rsidR="00006A37" w:rsidRPr="00BE597A">
        <w:t>President Clinton</w:t>
      </w:r>
      <w:r w:rsidR="0052107F" w:rsidRPr="00BE597A">
        <w:t xml:space="preserve"> had;</w:t>
      </w:r>
      <w:r w:rsidR="00947C12" w:rsidRPr="00BE597A">
        <w:t xml:space="preserve"> </w:t>
      </w:r>
      <w:r w:rsidR="008D1BA9" w:rsidRPr="00BE597A">
        <w:t>Afghanistan and particularly Iraq assumed centre stage on the US foreign policy agenda</w:t>
      </w:r>
      <w:r w:rsidR="00B71D31" w:rsidRPr="00BE597A">
        <w:t xml:space="preserve"> as part of the ‘war on terror’</w:t>
      </w:r>
      <w:r w:rsidR="0052107F" w:rsidRPr="00BE597A">
        <w:t>.</w:t>
      </w:r>
      <w:r w:rsidR="0052107F" w:rsidRPr="00BE597A">
        <w:rPr>
          <w:rStyle w:val="FootnoteReference"/>
        </w:rPr>
        <w:footnoteReference w:id="58"/>
      </w:r>
      <w:r w:rsidR="004862D6" w:rsidRPr="00BE597A">
        <w:t xml:space="preserve"> </w:t>
      </w:r>
      <w:r w:rsidR="0076097D" w:rsidRPr="00BE597A">
        <w:t xml:space="preserve">Although </w:t>
      </w:r>
      <w:r w:rsidR="00201429" w:rsidRPr="00BE597A">
        <w:t>Bush</w:t>
      </w:r>
      <w:r w:rsidR="00E23180" w:rsidRPr="00BE597A">
        <w:t xml:space="preserve"> </w:t>
      </w:r>
      <w:r w:rsidR="004D2693" w:rsidRPr="00BE597A">
        <w:t xml:space="preserve">became the first US President to officially </w:t>
      </w:r>
      <w:r w:rsidR="0076097D" w:rsidRPr="00BE597A">
        <w:t xml:space="preserve">endorse the idea of </w:t>
      </w:r>
      <w:r w:rsidR="004D2693" w:rsidRPr="00BE597A">
        <w:t>a Palestinian state</w:t>
      </w:r>
      <w:r w:rsidR="00201429" w:rsidRPr="00BE597A">
        <w:t>,</w:t>
      </w:r>
      <w:r w:rsidR="00225C12" w:rsidRPr="00BE597A">
        <w:rPr>
          <w:rStyle w:val="FootnoteReference"/>
        </w:rPr>
        <w:footnoteReference w:id="59"/>
      </w:r>
      <w:r w:rsidR="004D2693" w:rsidRPr="00BE597A">
        <w:t xml:space="preserve"> </w:t>
      </w:r>
      <w:r w:rsidR="00F5044A" w:rsidRPr="00BE597A">
        <w:t>he was unwilling to commit any political resources to achieving it</w:t>
      </w:r>
      <w:r w:rsidR="00947C12" w:rsidRPr="00BE597A">
        <w:t>.</w:t>
      </w:r>
      <w:r w:rsidR="00A94F9A" w:rsidRPr="00BE597A">
        <w:t xml:space="preserve"> </w:t>
      </w:r>
      <w:r w:rsidR="007C107A" w:rsidRPr="00BE597A">
        <w:t xml:space="preserve">Diplomatic initiatives to address the conflict by Secretary of State Colin Powell like the creation of the Quartet (a multi-lateral body composed of representatives from the US, the EU, Russia, and the UN) and the Road Map were not given the requisite support </w:t>
      </w:r>
      <w:r w:rsidR="00F5044A" w:rsidRPr="00BE597A">
        <w:t xml:space="preserve">by the White House </w:t>
      </w:r>
      <w:r w:rsidR="007C107A" w:rsidRPr="00BE597A">
        <w:t>to have any real impact.</w:t>
      </w:r>
      <w:r w:rsidR="0052107F" w:rsidRPr="00BE597A">
        <w:rPr>
          <w:rStyle w:val="FootnoteReference"/>
        </w:rPr>
        <w:footnoteReference w:id="60"/>
      </w:r>
      <w:r w:rsidR="00175F48" w:rsidRPr="00BE597A">
        <w:t xml:space="preserve"> </w:t>
      </w:r>
    </w:p>
    <w:p w14:paraId="2EB37726" w14:textId="76E727FC" w:rsidR="00C93026" w:rsidRPr="00BE597A" w:rsidRDefault="0078291A" w:rsidP="00917109">
      <w:pPr>
        <w:pStyle w:val="BodyTextIndent"/>
        <w:spacing w:line="480" w:lineRule="auto"/>
        <w:contextualSpacing/>
      </w:pPr>
      <w:r w:rsidRPr="00BE597A">
        <w:t xml:space="preserve">This was a product of the Bush administration’s ontological and epistemological understanding of the conflict. </w:t>
      </w:r>
      <w:r w:rsidR="00882EF7" w:rsidRPr="00BE597A">
        <w:t>It was viewed through the lens of the ‘war on terror’, and Prime Minister Ariel Sharon’s argument that they shared a common enemy in this regard resonated strongly after 9/11.</w:t>
      </w:r>
      <w:r w:rsidR="00EA0D14" w:rsidRPr="00BE597A">
        <w:rPr>
          <w:rStyle w:val="FootnoteReference"/>
        </w:rPr>
        <w:footnoteReference w:id="61"/>
      </w:r>
      <w:r w:rsidR="00882EF7" w:rsidRPr="00BE597A">
        <w:t xml:space="preserve"> </w:t>
      </w:r>
      <w:r w:rsidR="00175F48" w:rsidRPr="00BE597A">
        <w:t>High-ranking</w:t>
      </w:r>
      <w:r w:rsidR="009222E6" w:rsidRPr="00BE597A">
        <w:t xml:space="preserve"> </w:t>
      </w:r>
      <w:r w:rsidR="00F51B08" w:rsidRPr="00BE597A">
        <w:t>neo-conservative ‘Skeptics’</w:t>
      </w:r>
      <w:r w:rsidRPr="00BE597A">
        <w:t xml:space="preserve">, </w:t>
      </w:r>
      <w:r w:rsidR="00BC6B24" w:rsidRPr="00BE597A">
        <w:t xml:space="preserve">including Vice President Dick Cheney, Secretary of Defense Donald Rumsfeld, and National Security Advisor Elliott Abrams, were </w:t>
      </w:r>
      <w:r w:rsidR="00DF05FE" w:rsidRPr="00BE597A">
        <w:t>deeply skeptical</w:t>
      </w:r>
      <w:r w:rsidR="00BC6B24" w:rsidRPr="00BE597A">
        <w:t xml:space="preserve"> </w:t>
      </w:r>
      <w:r w:rsidR="00DF05FE" w:rsidRPr="00BE597A">
        <w:t xml:space="preserve">that the Palestinians would ever be </w:t>
      </w:r>
      <w:r w:rsidR="00BC6B24" w:rsidRPr="00BE597A">
        <w:t>willing to make peace with Israel on terms the Israelis could accept</w:t>
      </w:r>
      <w:r w:rsidR="00DF05FE" w:rsidRPr="00BE597A">
        <w:t xml:space="preserve">. </w:t>
      </w:r>
      <w:r w:rsidR="00F54A55" w:rsidRPr="00BE597A">
        <w:t xml:space="preserve">To them, the fundamental cause of the conflict continued to be </w:t>
      </w:r>
      <w:r w:rsidR="00DF05FE" w:rsidRPr="00BE597A">
        <w:t>the Arab world</w:t>
      </w:r>
      <w:r w:rsidR="00F54A55" w:rsidRPr="00BE597A">
        <w:t>’s</w:t>
      </w:r>
      <w:r w:rsidR="00DF05FE" w:rsidRPr="00BE597A">
        <w:t xml:space="preserve"> </w:t>
      </w:r>
      <w:r w:rsidR="00F54A55" w:rsidRPr="00BE597A">
        <w:t>unwillingness to</w:t>
      </w:r>
      <w:r w:rsidR="00DF05FE" w:rsidRPr="00BE597A">
        <w:t xml:space="preserve"> accept the legitimacy of Israel</w:t>
      </w:r>
      <w:r w:rsidR="00BC6B24" w:rsidRPr="00BE597A">
        <w:t>.</w:t>
      </w:r>
      <w:r w:rsidR="005B55A4" w:rsidRPr="00BE597A">
        <w:rPr>
          <w:rStyle w:val="FootnoteReference"/>
        </w:rPr>
        <w:footnoteReference w:id="62"/>
      </w:r>
      <w:r w:rsidR="00BC6B24" w:rsidRPr="00BE597A">
        <w:t xml:space="preserve"> They </w:t>
      </w:r>
      <w:r w:rsidR="009222E6" w:rsidRPr="00BE597A">
        <w:t>explicitly vetoe</w:t>
      </w:r>
      <w:r w:rsidR="001B4231" w:rsidRPr="00BE597A">
        <w:t xml:space="preserve">d any diplomatic initiative, </w:t>
      </w:r>
      <w:r w:rsidR="008D315D" w:rsidRPr="00BE597A">
        <w:t>were against putting pressure on Israel to make any concessions, and assiduously avoided</w:t>
      </w:r>
      <w:r w:rsidR="009222E6" w:rsidRPr="00BE597A">
        <w:t xml:space="preserve"> using the term ‘peace process’</w:t>
      </w:r>
      <w:r w:rsidR="00E51CD5" w:rsidRPr="00BE597A">
        <w:t>.</w:t>
      </w:r>
      <w:r w:rsidR="00E51CD5" w:rsidRPr="00BE597A">
        <w:rPr>
          <w:rStyle w:val="FootnoteReference"/>
        </w:rPr>
        <w:footnoteReference w:id="63"/>
      </w:r>
    </w:p>
    <w:p w14:paraId="201DAAB1" w14:textId="5F667136" w:rsidR="00711CB6" w:rsidRPr="00BE597A" w:rsidRDefault="00C93026" w:rsidP="00917109">
      <w:pPr>
        <w:pStyle w:val="BodyTextIndent"/>
        <w:spacing w:line="480" w:lineRule="auto"/>
        <w:contextualSpacing/>
      </w:pPr>
      <w:r w:rsidRPr="00BE597A">
        <w:t>Instead, t</w:t>
      </w:r>
      <w:r w:rsidR="007F2D37" w:rsidRPr="00BE597A">
        <w:t xml:space="preserve">he administration </w:t>
      </w:r>
      <w:r w:rsidRPr="00BE597A">
        <w:t>preferred to support</w:t>
      </w:r>
      <w:r w:rsidR="007F2D37" w:rsidRPr="00BE597A">
        <w:t xml:space="preserve"> </w:t>
      </w:r>
      <w:r w:rsidRPr="00BE597A">
        <w:t xml:space="preserve">Prime Minister Ariel </w:t>
      </w:r>
      <w:r w:rsidR="00947C12" w:rsidRPr="00BE597A">
        <w:t>Sharon’s unilateral withdrawal from the Gaza Strip</w:t>
      </w:r>
      <w:r w:rsidRPr="00BE597A">
        <w:t xml:space="preserve">, which </w:t>
      </w:r>
      <w:r w:rsidR="00947C12" w:rsidRPr="00BE597A">
        <w:t xml:space="preserve">was not coordinated with Abu Mazen to </w:t>
      </w:r>
      <w:r w:rsidR="005C3DBD" w:rsidRPr="00BE597A">
        <w:t>strengthen him against his Islamist</w:t>
      </w:r>
      <w:r w:rsidR="00947C12" w:rsidRPr="00BE597A">
        <w:t xml:space="preserve"> rivals, </w:t>
      </w:r>
      <w:r w:rsidR="002174F0" w:rsidRPr="00BE597A">
        <w:t>Hamas.</w:t>
      </w:r>
      <w:r w:rsidR="002174F0" w:rsidRPr="00BE597A">
        <w:rPr>
          <w:rStyle w:val="FootnoteReference"/>
        </w:rPr>
        <w:footnoteReference w:id="64"/>
      </w:r>
      <w:r w:rsidR="005C3DBD" w:rsidRPr="00BE597A">
        <w:t xml:space="preserve"> </w:t>
      </w:r>
      <w:r w:rsidR="007E63B2" w:rsidRPr="00BE597A">
        <w:t>They in turn</w:t>
      </w:r>
      <w:r w:rsidR="00947C12" w:rsidRPr="00BE597A">
        <w:t xml:space="preserve"> gained power, prestige, and popular support at his expense</w:t>
      </w:r>
      <w:r w:rsidR="0045292E" w:rsidRPr="00BE597A">
        <w:t xml:space="preserve"> due to an </w:t>
      </w:r>
      <w:r w:rsidR="00744AC6" w:rsidRPr="00BE597A">
        <w:t>impression</w:t>
      </w:r>
      <w:r w:rsidR="0045292E" w:rsidRPr="00BE597A">
        <w:t xml:space="preserve"> that armed resistance had prompted this </w:t>
      </w:r>
      <w:r w:rsidR="00224D3A" w:rsidRPr="00BE597A">
        <w:t>withdrawal</w:t>
      </w:r>
      <w:r w:rsidR="00947C12" w:rsidRPr="00BE597A">
        <w:t xml:space="preserve">. </w:t>
      </w:r>
      <w:r w:rsidR="008C298B" w:rsidRPr="00BE597A">
        <w:t>Together with disillusionment with Fatah corruption and political failure, this</w:t>
      </w:r>
      <w:r w:rsidR="00E24C67" w:rsidRPr="00BE597A">
        <w:t xml:space="preserve"> helped</w:t>
      </w:r>
      <w:r w:rsidR="00947C12" w:rsidRPr="00BE597A">
        <w:t xml:space="preserve"> </w:t>
      </w:r>
      <w:r w:rsidR="00E24C67" w:rsidRPr="00BE597A">
        <w:t>produce a Hamas victory in the January 2006 Palestinian elections</w:t>
      </w:r>
      <w:r w:rsidR="008C298B" w:rsidRPr="00BE597A">
        <w:t xml:space="preserve"> which prompted a policy reconsideration</w:t>
      </w:r>
      <w:r w:rsidR="00E24C67" w:rsidRPr="00BE597A">
        <w:t>.</w:t>
      </w:r>
      <w:r w:rsidR="00913188" w:rsidRPr="00BE597A">
        <w:t xml:space="preserve"> Abu Mazen and moderate Palestinian forces needed to be strengthened, particularly following Hamas’ June 2007 takeover of Gaza. </w:t>
      </w:r>
      <w:r w:rsidR="00C41A9F" w:rsidRPr="00BE597A">
        <w:t>Rice argued that the Palestinians needed a ‘political horizon’ in order to generate hope and</w:t>
      </w:r>
      <w:r w:rsidR="00E222E6" w:rsidRPr="00BE597A">
        <w:t xml:space="preserve"> positive</w:t>
      </w:r>
      <w:r w:rsidR="00C41A9F" w:rsidRPr="00BE597A">
        <w:t xml:space="preserve"> momentum</w:t>
      </w:r>
      <w:r w:rsidR="00E222E6" w:rsidRPr="00BE597A">
        <w:t>: ‘People are lost now in the Middle East and we need to act, she said; we need to make a big proposal.’</w:t>
      </w:r>
      <w:r w:rsidR="00E222E6" w:rsidRPr="00BE597A">
        <w:rPr>
          <w:rStyle w:val="FootnoteReference"/>
        </w:rPr>
        <w:footnoteReference w:id="65"/>
      </w:r>
      <w:r w:rsidR="00E222E6" w:rsidRPr="00BE597A">
        <w:t xml:space="preserve"> </w:t>
      </w:r>
      <w:r w:rsidR="00913188" w:rsidRPr="00BE597A">
        <w:t xml:space="preserve">Furthermore, </w:t>
      </w:r>
      <w:r w:rsidR="00F4601B" w:rsidRPr="00BE597A">
        <w:t>US credibility</w:t>
      </w:r>
      <w:r w:rsidR="00AD1FB2" w:rsidRPr="00BE597A">
        <w:t xml:space="preserve"> and reputation</w:t>
      </w:r>
      <w:r w:rsidR="00F4601B" w:rsidRPr="00BE597A">
        <w:t xml:space="preserve"> in the Arab world was at an all-t</w:t>
      </w:r>
      <w:r w:rsidR="00C20847" w:rsidRPr="00BE597A">
        <w:t>ime low as Iraq was unravelling</w:t>
      </w:r>
      <w:r w:rsidR="00F4601B" w:rsidRPr="00BE597A">
        <w:t xml:space="preserve"> and</w:t>
      </w:r>
      <w:r w:rsidR="00CA22FB" w:rsidRPr="00BE597A">
        <w:t xml:space="preserve">, </w:t>
      </w:r>
      <w:r w:rsidR="00F4601B" w:rsidRPr="00BE597A">
        <w:t>following Bri</w:t>
      </w:r>
      <w:r w:rsidR="002F66D2" w:rsidRPr="00BE597A">
        <w:t>tish Prime Minister Tony Blair and the State Department’s</w:t>
      </w:r>
      <w:r w:rsidR="00F4601B" w:rsidRPr="00BE597A">
        <w:t xml:space="preserve"> longstanding </w:t>
      </w:r>
      <w:r w:rsidR="00C20847" w:rsidRPr="00BE597A">
        <w:t xml:space="preserve">line of </w:t>
      </w:r>
      <w:r w:rsidR="00F4601B" w:rsidRPr="00BE597A">
        <w:t>arg</w:t>
      </w:r>
      <w:r w:rsidR="00CA22FB" w:rsidRPr="00BE597A">
        <w:t xml:space="preserve">ument, </w:t>
      </w:r>
      <w:r w:rsidR="00F4601B" w:rsidRPr="00BE597A">
        <w:t xml:space="preserve">serious commitment to the Israeli-Palestinian peace process could ameliorate their image. </w:t>
      </w:r>
    </w:p>
    <w:p w14:paraId="0D68095C" w14:textId="35849E09" w:rsidR="006253A1" w:rsidRPr="00BE597A" w:rsidRDefault="000465E2" w:rsidP="00917109">
      <w:pPr>
        <w:pStyle w:val="BodyTextIndent"/>
        <w:spacing w:line="480" w:lineRule="auto"/>
        <w:contextualSpacing/>
      </w:pPr>
      <w:r w:rsidRPr="00BE597A">
        <w:t>Given years of violence</w:t>
      </w:r>
      <w:r w:rsidR="001143DC" w:rsidRPr="00BE597A">
        <w:t xml:space="preserve"> </w:t>
      </w:r>
      <w:r w:rsidR="00F51B08" w:rsidRPr="00BE597A">
        <w:t xml:space="preserve">during the second </w:t>
      </w:r>
      <w:r w:rsidR="00F51B08" w:rsidRPr="00BE597A">
        <w:rPr>
          <w:i/>
        </w:rPr>
        <w:t>intifada</w:t>
      </w:r>
      <w:r w:rsidR="00F51B08" w:rsidRPr="00BE597A">
        <w:t xml:space="preserve"> </w:t>
      </w:r>
      <w:r w:rsidRPr="00BE597A">
        <w:t xml:space="preserve">and diplomatic stagnation, </w:t>
      </w:r>
      <w:r w:rsidR="00406380" w:rsidRPr="00BE597A">
        <w:t xml:space="preserve">convening </w:t>
      </w:r>
      <w:r w:rsidR="006A4A51" w:rsidRPr="00BE597A">
        <w:t xml:space="preserve">the </w:t>
      </w:r>
      <w:r w:rsidR="00B648B2" w:rsidRPr="00BE597A">
        <w:t>Annapolis</w:t>
      </w:r>
      <w:r w:rsidR="00406380" w:rsidRPr="00BE597A">
        <w:t xml:space="preserve"> </w:t>
      </w:r>
      <w:r w:rsidR="006A4A51" w:rsidRPr="00BE597A">
        <w:t xml:space="preserve">Conference </w:t>
      </w:r>
      <w:r w:rsidR="00406380" w:rsidRPr="00BE597A">
        <w:t>at all</w:t>
      </w:r>
      <w:r w:rsidR="00B648B2" w:rsidRPr="00BE597A">
        <w:t xml:space="preserve"> was </w:t>
      </w:r>
      <w:r w:rsidR="00EA7D4E" w:rsidRPr="00BE597A">
        <w:t xml:space="preserve">an </w:t>
      </w:r>
      <w:r w:rsidR="00B648B2" w:rsidRPr="00BE597A">
        <w:t>accomplishment</w:t>
      </w:r>
      <w:r w:rsidR="00406380" w:rsidRPr="00BE597A">
        <w:t>.</w:t>
      </w:r>
      <w:r w:rsidR="00E75E1A" w:rsidRPr="00BE597A">
        <w:t xml:space="preserve"> </w:t>
      </w:r>
      <w:r w:rsidR="00F5044A" w:rsidRPr="00BE597A">
        <w:t>Under difficult circ</w:t>
      </w:r>
      <w:r w:rsidR="002E20AC" w:rsidRPr="00BE597A">
        <w:t xml:space="preserve">umstances marked by a turbulent </w:t>
      </w:r>
      <w:r w:rsidR="00F5044A" w:rsidRPr="00BE597A">
        <w:t xml:space="preserve">and </w:t>
      </w:r>
      <w:r w:rsidR="002E20AC" w:rsidRPr="00BE597A">
        <w:t xml:space="preserve">often </w:t>
      </w:r>
      <w:r w:rsidR="00F5044A" w:rsidRPr="00BE597A">
        <w:t xml:space="preserve">violent relationship between Fatah and Hamas, </w:t>
      </w:r>
      <w:r w:rsidR="00AC726F" w:rsidRPr="00BE597A">
        <w:t>Rice</w:t>
      </w:r>
      <w:r w:rsidR="00F5044A" w:rsidRPr="00BE597A">
        <w:t xml:space="preserve"> and her team made </w:t>
      </w:r>
      <w:r w:rsidR="003E4D77" w:rsidRPr="00BE597A">
        <w:t>eight</w:t>
      </w:r>
      <w:r w:rsidR="002208E3" w:rsidRPr="00BE597A">
        <w:t xml:space="preserve"> </w:t>
      </w:r>
      <w:r w:rsidR="00F5044A" w:rsidRPr="00BE597A">
        <w:t>trips to the region in 2007 prior to Annapolis</w:t>
      </w:r>
      <w:r w:rsidR="00515207" w:rsidRPr="00BE597A">
        <w:t xml:space="preserve"> to ensure</w:t>
      </w:r>
      <w:r w:rsidR="00F5044A" w:rsidRPr="00BE597A">
        <w:t xml:space="preserve"> Israeli and Palestinian commitment but also that of </w:t>
      </w:r>
      <w:r w:rsidR="00515207" w:rsidRPr="00BE597A">
        <w:t>key Arab state</w:t>
      </w:r>
      <w:r w:rsidRPr="00BE597A">
        <w:t>s</w:t>
      </w:r>
      <w:r w:rsidR="00515207" w:rsidRPr="00BE597A">
        <w:t xml:space="preserve"> like </w:t>
      </w:r>
      <w:r w:rsidR="00F5044A" w:rsidRPr="00BE597A">
        <w:t>Egypt, Jordan, and Saudi Arabia.</w:t>
      </w:r>
      <w:r w:rsidR="00515207" w:rsidRPr="00BE597A">
        <w:t xml:space="preserve"> </w:t>
      </w:r>
      <w:r w:rsidRPr="00BE597A">
        <w:t>E</w:t>
      </w:r>
      <w:r w:rsidR="001C5194" w:rsidRPr="00BE597A">
        <w:t xml:space="preserve">nsuring </w:t>
      </w:r>
      <w:r w:rsidRPr="00BE597A">
        <w:t>wide</w:t>
      </w:r>
      <w:r w:rsidR="001C5194" w:rsidRPr="00BE597A">
        <w:t xml:space="preserve"> participation and </w:t>
      </w:r>
      <w:r w:rsidRPr="00BE597A">
        <w:t>the presentation of</w:t>
      </w:r>
      <w:r w:rsidR="001C5194" w:rsidRPr="00BE597A">
        <w:t xml:space="preserve"> a joint statement </w:t>
      </w:r>
      <w:r w:rsidR="00406380" w:rsidRPr="00BE597A">
        <w:t>by the parties</w:t>
      </w:r>
      <w:r w:rsidR="001C5194" w:rsidRPr="00BE597A">
        <w:t xml:space="preserve"> required </w:t>
      </w:r>
      <w:r w:rsidR="00406380" w:rsidRPr="00BE597A">
        <w:t>considerable</w:t>
      </w:r>
      <w:r w:rsidR="001C5194" w:rsidRPr="00BE597A">
        <w:t xml:space="preserve"> effort</w:t>
      </w:r>
      <w:r w:rsidR="00406380" w:rsidRPr="00BE597A">
        <w:t xml:space="preserve"> and constituted impressive diplomacy.</w:t>
      </w:r>
      <w:r w:rsidR="00406380" w:rsidRPr="00BE597A">
        <w:rPr>
          <w:rStyle w:val="FootnoteReference"/>
        </w:rPr>
        <w:footnoteReference w:id="66"/>
      </w:r>
      <w:r w:rsidR="00AA705E" w:rsidRPr="00BE597A">
        <w:t>Although her overall</w:t>
      </w:r>
      <w:r w:rsidR="006253A1" w:rsidRPr="00BE597A">
        <w:t xml:space="preserve"> mediation strategy was not centred around coercion</w:t>
      </w:r>
      <w:r w:rsidR="00AA705E" w:rsidRPr="00BE597A">
        <w:t>, Rice did exert</w:t>
      </w:r>
      <w:r w:rsidR="006253A1" w:rsidRPr="00BE597A">
        <w:t xml:space="preserve"> significant </w:t>
      </w:r>
      <w:r w:rsidR="00AA705E" w:rsidRPr="00BE597A">
        <w:t xml:space="preserve">coercive </w:t>
      </w:r>
      <w:r w:rsidR="006253A1" w:rsidRPr="00BE597A">
        <w:t xml:space="preserve">influence </w:t>
      </w:r>
      <w:r w:rsidR="00AA705E" w:rsidRPr="00BE597A">
        <w:t xml:space="preserve">during this period </w:t>
      </w:r>
      <w:r w:rsidR="006253A1" w:rsidRPr="00BE597A">
        <w:t xml:space="preserve">to </w:t>
      </w:r>
      <w:r w:rsidR="00171CDA" w:rsidRPr="00BE597A">
        <w:t xml:space="preserve">resume negotiations, focusing predominantly on process </w:t>
      </w:r>
      <w:r w:rsidR="002E6C6C" w:rsidRPr="00BE597A">
        <w:t xml:space="preserve">and confidence-building </w:t>
      </w:r>
      <w:r w:rsidR="00171CDA" w:rsidRPr="00BE597A">
        <w:t xml:space="preserve">rather than substantive content. </w:t>
      </w:r>
      <w:r w:rsidR="006253A1" w:rsidRPr="00BE597A">
        <w:t xml:space="preserve">Much like the 1991 Madrid Conference, Annapolis highlighted the continued importance of dedicated US diplomacy to bring the parties to the table. </w:t>
      </w:r>
    </w:p>
    <w:p w14:paraId="2137F184" w14:textId="6B3BD6F3" w:rsidR="006253A1" w:rsidRPr="00BE597A" w:rsidRDefault="006253A1" w:rsidP="00917109">
      <w:pPr>
        <w:pStyle w:val="BodyTextIndent"/>
        <w:spacing w:line="480" w:lineRule="auto"/>
        <w:contextualSpacing/>
      </w:pPr>
      <w:r w:rsidRPr="00BE597A">
        <w:t xml:space="preserve">As a starting point, Rice managed to convince the skeptical Olmert who had pledged to continue Sharon’s unilateralism through his </w:t>
      </w:r>
      <w:r w:rsidRPr="00BE597A">
        <w:rPr>
          <w:i/>
        </w:rPr>
        <w:t>hitkansut</w:t>
      </w:r>
      <w:r w:rsidRPr="00BE597A">
        <w:t xml:space="preserve"> (‘withdrawing into oneself’) policy.</w:t>
      </w:r>
      <w:r w:rsidRPr="00BE597A">
        <w:rPr>
          <w:rStyle w:val="FootnoteReference"/>
        </w:rPr>
        <w:footnoteReference w:id="67"/>
      </w:r>
      <w:r w:rsidRPr="00BE597A">
        <w:t xml:space="preserve"> On 6 September, 2006, Rice and her team had what Abrams describes as ‘one of the worst meetings ever with the Israelis’. The Road Map had been built on the idea of parallel phases of implementation of key commitments by each party, eventually leading to final status negotiations in Phase III.</w:t>
      </w:r>
      <w:r w:rsidRPr="00BE597A">
        <w:rPr>
          <w:rStyle w:val="FootnoteReference"/>
        </w:rPr>
        <w:footnoteReference w:id="68"/>
      </w:r>
      <w:r w:rsidRPr="00BE597A">
        <w:t xml:space="preserve"> The White House, however, overruled the State Department and concurred with Sharon that Israeli obligations such as redeployment from the West Bank and a settlement freeze were to be conditional on Palestinian security improvement and reform.</w:t>
      </w:r>
      <w:r w:rsidRPr="00BE597A">
        <w:rPr>
          <w:rStyle w:val="FootnoteReference"/>
        </w:rPr>
        <w:footnoteReference w:id="69"/>
      </w:r>
      <w:r w:rsidRPr="00BE597A">
        <w:t xml:space="preserve"> When Rice pushed the idea of parallelism rather than conditionality and simultaneously called for a jump to Phase III of the Road Map, Olmert’s advisors Tourgeman and Turbowitz objected strongly, arguing that this was a reversion to Clinton’s policy of continuing to negotiate while Palestinian violence continued.</w:t>
      </w:r>
      <w:r w:rsidRPr="00BE597A">
        <w:rPr>
          <w:rStyle w:val="FootnoteReference"/>
        </w:rPr>
        <w:footnoteReference w:id="70"/>
      </w:r>
      <w:r w:rsidRPr="00BE597A">
        <w:t xml:space="preserve"> Rice, however, persisted and insisted.</w:t>
      </w:r>
      <w:r w:rsidRPr="00BE597A">
        <w:rPr>
          <w:rStyle w:val="FootnoteReference"/>
        </w:rPr>
        <w:footnoteReference w:id="71"/>
      </w:r>
    </w:p>
    <w:p w14:paraId="7A390D25" w14:textId="232F913C" w:rsidR="006253A1" w:rsidRPr="00BE597A" w:rsidRDefault="006253A1" w:rsidP="00917109">
      <w:pPr>
        <w:pStyle w:val="BodyTextIndent"/>
        <w:spacing w:line="480" w:lineRule="auto"/>
        <w:contextualSpacing/>
      </w:pPr>
      <w:r w:rsidRPr="00BE597A">
        <w:t xml:space="preserve">In mid-January and late March 2007, Rice pushed for a US role to supplement the bilateral talks which had begun </w:t>
      </w:r>
      <w:r w:rsidR="006A4A51" w:rsidRPr="00BE597A">
        <w:t xml:space="preserve">with her encouragement </w:t>
      </w:r>
      <w:r w:rsidRPr="00BE597A">
        <w:t>between Olmert and Abu Mazen to give them greater seriousness and credibility among Arab states. The Israelis were dubious about this trilateral format, arguing that they did not want to end up negotiating with the US, but relented and agreed that Rice could join their meetings sporadically for a trilateral.</w:t>
      </w:r>
      <w:r w:rsidRPr="00BE597A">
        <w:rPr>
          <w:rStyle w:val="FootnoteReference"/>
        </w:rPr>
        <w:footnoteReference w:id="72"/>
      </w:r>
      <w:r w:rsidRPr="00BE597A">
        <w:t xml:space="preserve"> During this period, she ensured that Olmert and Abu Mazen continued to meet despite what Israel saw as the unacceptable (and brief) unity government between Hamas and Fatah agreed in Mecca.</w:t>
      </w:r>
      <w:r w:rsidRPr="00BE597A">
        <w:rPr>
          <w:rStyle w:val="FootnoteReference"/>
        </w:rPr>
        <w:footnoteReference w:id="73"/>
      </w:r>
      <w:r w:rsidRPr="00BE597A">
        <w:t xml:space="preserve"> In this way, Rice’s engagement was more akin to formulation in that she was exerting influence over the frequency and nature of the meetings. But she also continued to put pressure on the Israelis and pushed for confidence-building measures like prisoner releases to the point where Abrams complained that ‘the road to Annapolis was to be paved with Israeli concessions.’</w:t>
      </w:r>
      <w:r w:rsidRPr="00BE597A">
        <w:rPr>
          <w:rStyle w:val="FootnoteReference"/>
        </w:rPr>
        <w:footnoteReference w:id="74"/>
      </w:r>
      <w:r w:rsidRPr="00BE597A">
        <w:t xml:space="preserve"> In conversations with the Americans, Olmert emphasised that he wanted to reach a deal with the current leadership on all sides, remarking, ‘You don’t need to pressure me for that’.</w:t>
      </w:r>
      <w:r w:rsidRPr="00BE597A">
        <w:rPr>
          <w:rStyle w:val="FootnoteReference"/>
        </w:rPr>
        <w:footnoteReference w:id="75"/>
      </w:r>
      <w:r w:rsidRPr="00BE597A">
        <w:t xml:space="preserve"> As the more reluctant party, significant energy was expended to get them to Annapolis. However, the same was also true of the wider Arab world.</w:t>
      </w:r>
      <w:r w:rsidRPr="00BE597A">
        <w:rPr>
          <w:rStyle w:val="FootnoteReference"/>
        </w:rPr>
        <w:footnoteReference w:id="76"/>
      </w:r>
      <w:r w:rsidRPr="00BE597A">
        <w:t xml:space="preserve"> </w:t>
      </w:r>
    </w:p>
    <w:p w14:paraId="79BA4D7B" w14:textId="77777777" w:rsidR="006253A1" w:rsidRPr="00BE597A" w:rsidRDefault="006253A1" w:rsidP="00917109">
      <w:pPr>
        <w:pStyle w:val="BodyTextIndent"/>
        <w:spacing w:line="480" w:lineRule="auto"/>
        <w:contextualSpacing/>
      </w:pPr>
      <w:r w:rsidRPr="00BE597A">
        <w:t>Up until the very last moment, there was ambiguity about the exact nature of Annapolis – whether it was going to be a crowning event to endorse a negotiated document, an actual negotiating session, or a launching pad for future negotiations – and who would be attending.</w:t>
      </w:r>
      <w:r w:rsidRPr="00BE597A">
        <w:rPr>
          <w:rStyle w:val="FootnoteReference"/>
        </w:rPr>
        <w:footnoteReference w:id="77"/>
      </w:r>
      <w:r w:rsidRPr="00BE597A">
        <w:t xml:space="preserve"> Official invitations were only issued a few days before the meeting. Abrams derides this period as one of Rice ‘substituting motion for progress’, reflecting a neo-conservative lack of faith in negotiations, while Ross and Makovsky and Schiff argue that this is evidence of a poorly prepared event and a lack of strategic direction from Rice.</w:t>
      </w:r>
      <w:r w:rsidRPr="00BE597A">
        <w:rPr>
          <w:rStyle w:val="FootnoteReference"/>
        </w:rPr>
        <w:footnoteReference w:id="78"/>
      </w:r>
      <w:r w:rsidRPr="00BE597A">
        <w:t xml:space="preserve"> While this latter criticism appears warranted, there was some merit to this operative ambiguity; amidst the uncertainty of what was possible, failing to meet an ambitious, publicly declared target would be far worse for the process.</w:t>
      </w:r>
      <w:r w:rsidRPr="00BE597A">
        <w:rPr>
          <w:rStyle w:val="FootnoteReference"/>
        </w:rPr>
        <w:footnoteReference w:id="79"/>
      </w:r>
      <w:r w:rsidRPr="00BE597A">
        <w:t xml:space="preserve"> </w:t>
      </w:r>
    </w:p>
    <w:p w14:paraId="7B3B706D" w14:textId="49578120" w:rsidR="006253A1" w:rsidRPr="00BE597A" w:rsidRDefault="006253A1" w:rsidP="00917109">
      <w:pPr>
        <w:widowControl w:val="0"/>
        <w:autoSpaceDE w:val="0"/>
        <w:autoSpaceDN w:val="0"/>
        <w:adjustRightInd w:val="0"/>
        <w:spacing w:after="240" w:line="480" w:lineRule="auto"/>
        <w:ind w:firstLine="720"/>
        <w:contextualSpacing/>
        <w:jc w:val="both"/>
        <w:rPr>
          <w:rFonts w:ascii="Times New Roman" w:hAnsi="Times New Roman" w:cs="Times New Roman"/>
          <w:lang w:val="en-US"/>
        </w:rPr>
      </w:pPr>
      <w:r w:rsidRPr="00BE597A">
        <w:rPr>
          <w:rFonts w:ascii="Times New Roman" w:hAnsi="Times New Roman" w:cs="Times New Roman"/>
        </w:rPr>
        <w:t xml:space="preserve">Israelis and Palestinians fundamentally wanted the event to accomplish very different things; the Israelis wanted something </w:t>
      </w:r>
      <w:r w:rsidR="00946E99" w:rsidRPr="00BE597A">
        <w:rPr>
          <w:rFonts w:ascii="Times New Roman" w:hAnsi="Times New Roman" w:cs="Times New Roman"/>
        </w:rPr>
        <w:t>broad which would relaunch permanent</w:t>
      </w:r>
      <w:r w:rsidRPr="00BE597A">
        <w:rPr>
          <w:rFonts w:ascii="Times New Roman" w:hAnsi="Times New Roman" w:cs="Times New Roman"/>
        </w:rPr>
        <w:t xml:space="preserve"> status negotiations, while the Palestinians wanted specifics on elements of a framework agreement on permanent status.</w:t>
      </w:r>
      <w:r w:rsidRPr="00BE597A">
        <w:rPr>
          <w:rStyle w:val="FootnoteReference"/>
          <w:rFonts w:ascii="Times New Roman" w:hAnsi="Times New Roman" w:cs="Times New Roman"/>
        </w:rPr>
        <w:footnoteReference w:id="80"/>
      </w:r>
      <w:r w:rsidRPr="00BE597A">
        <w:rPr>
          <w:rFonts w:ascii="Times New Roman" w:hAnsi="Times New Roman" w:cs="Times New Roman"/>
        </w:rPr>
        <w:t xml:space="preserve"> Attesting to these differences, Abrams recalls that in September 2007, just two months before the event, there was little enthusiasm for Annapolis on either side.</w:t>
      </w:r>
      <w:r w:rsidRPr="00BE597A">
        <w:rPr>
          <w:rStyle w:val="FootnoteReference"/>
          <w:rFonts w:ascii="Times New Roman" w:hAnsi="Times New Roman" w:cs="Times New Roman"/>
        </w:rPr>
        <w:footnoteReference w:id="81"/>
      </w:r>
      <w:r w:rsidRPr="00BE597A">
        <w:rPr>
          <w:rFonts w:ascii="Times New Roman" w:hAnsi="Times New Roman" w:cs="Times New Roman"/>
        </w:rPr>
        <w:t xml:space="preserve"> While their meetings were described as positive and making progress,</w:t>
      </w:r>
      <w:r w:rsidRPr="00BE597A">
        <w:rPr>
          <w:rStyle w:val="FootnoteReference"/>
          <w:rFonts w:ascii="Times New Roman" w:hAnsi="Times New Roman" w:cs="Times New Roman"/>
        </w:rPr>
        <w:footnoteReference w:id="82"/>
      </w:r>
      <w:r w:rsidRPr="00BE597A">
        <w:rPr>
          <w:rFonts w:ascii="Times New Roman" w:hAnsi="Times New Roman" w:cs="Times New Roman"/>
        </w:rPr>
        <w:t xml:space="preserve"> Olmert and Abu Mazen only delegated the negotiation of a joint understanding for Annapolis to their </w:t>
      </w:r>
      <w:r w:rsidR="00734DCD" w:rsidRPr="00BE597A">
        <w:rPr>
          <w:rFonts w:ascii="Times New Roman" w:hAnsi="Times New Roman" w:cs="Times New Roman"/>
        </w:rPr>
        <w:t xml:space="preserve">subordinate </w:t>
      </w:r>
      <w:r w:rsidRPr="00BE597A">
        <w:rPr>
          <w:rFonts w:ascii="Times New Roman" w:hAnsi="Times New Roman" w:cs="Times New Roman"/>
        </w:rPr>
        <w:t>teams after their 1 October meeting. These negotiations went down to the wire, with repeated disagreement between the parties about the language it contained.</w:t>
      </w:r>
      <w:r w:rsidRPr="00BE597A">
        <w:rPr>
          <w:rStyle w:val="FootnoteReference"/>
          <w:rFonts w:ascii="Times New Roman" w:hAnsi="Times New Roman" w:cs="Times New Roman"/>
        </w:rPr>
        <w:footnoteReference w:id="83"/>
      </w:r>
      <w:r w:rsidRPr="00BE597A">
        <w:rPr>
          <w:rFonts w:ascii="Times New Roman" w:hAnsi="Times New Roman" w:cs="Times New Roman"/>
        </w:rPr>
        <w:t xml:space="preserve"> Their second meeting on 10 October showed the simultaneous ambition and limited parameters of the talks, in that they sought to include language on each of the final status issues but predominantly pave the way for negotiations after Annapolis; Tzipi Livni observed, ‘T</w:t>
      </w:r>
      <w:r w:rsidRPr="00BE597A">
        <w:rPr>
          <w:rFonts w:ascii="Times New Roman" w:hAnsi="Times New Roman" w:cs="Times New Roman"/>
          <w:lang w:val="en-US"/>
        </w:rPr>
        <w:t>he key is to find two things: common ground, and a way to continue the process.’</w:t>
      </w:r>
      <w:r w:rsidRPr="00BE597A">
        <w:rPr>
          <w:rStyle w:val="FootnoteReference"/>
          <w:rFonts w:ascii="Times New Roman" w:hAnsi="Times New Roman" w:cs="Times New Roman"/>
          <w:lang w:val="en-US"/>
        </w:rPr>
        <w:footnoteReference w:id="84"/>
      </w:r>
      <w:r w:rsidRPr="00BE597A">
        <w:rPr>
          <w:rFonts w:ascii="Times New Roman" w:hAnsi="Times New Roman" w:cs="Times New Roman"/>
          <w:lang w:val="en-US"/>
        </w:rPr>
        <w:t xml:space="preserve"> By their seventh meeting on 12 November, it was clear that substantive issues were to be negotiated after Annapolis.</w:t>
      </w:r>
      <w:r w:rsidRPr="00BE597A">
        <w:rPr>
          <w:rStyle w:val="FootnoteReference"/>
          <w:rFonts w:ascii="Times New Roman" w:hAnsi="Times New Roman" w:cs="Times New Roman"/>
          <w:lang w:val="en-US"/>
        </w:rPr>
        <w:footnoteReference w:id="85"/>
      </w:r>
      <w:r w:rsidRPr="00BE597A">
        <w:rPr>
          <w:rFonts w:ascii="Times New Roman" w:hAnsi="Times New Roman" w:cs="Times New Roman"/>
          <w:lang w:val="en-US"/>
        </w:rPr>
        <w:t xml:space="preserve"> </w:t>
      </w:r>
      <w:r w:rsidRPr="00BE597A">
        <w:rPr>
          <w:rFonts w:ascii="Times New Roman" w:hAnsi="Times New Roman" w:cs="Times New Roman"/>
        </w:rPr>
        <w:t>While US input on language was evident as the negotiations mention US drafts, none of this activity extended to coercing concessions from either party on substantive issues.</w:t>
      </w:r>
      <w:r w:rsidRPr="00BE597A">
        <w:rPr>
          <w:rStyle w:val="FootnoteReference"/>
          <w:rFonts w:ascii="Times New Roman" w:hAnsi="Times New Roman" w:cs="Times New Roman"/>
        </w:rPr>
        <w:footnoteReference w:id="86"/>
      </w:r>
      <w:r w:rsidRPr="00BE597A">
        <w:rPr>
          <w:rFonts w:ascii="Times New Roman" w:hAnsi="Times New Roman" w:cs="Times New Roman"/>
          <w:lang w:val="en-US"/>
        </w:rPr>
        <w:t xml:space="preserve"> US officials did, however, on the morning before the beginning of the conference, have to put their foot down and threaten to cancel the whole event if the language in the joint statement was rejected.</w:t>
      </w:r>
      <w:r w:rsidRPr="00BE597A">
        <w:rPr>
          <w:rStyle w:val="FootnoteReference"/>
          <w:rFonts w:ascii="Times New Roman" w:hAnsi="Times New Roman" w:cs="Times New Roman"/>
          <w:lang w:val="en-US"/>
        </w:rPr>
        <w:footnoteReference w:id="87"/>
      </w:r>
    </w:p>
    <w:p w14:paraId="0155A6C7" w14:textId="125ACF41" w:rsidR="00407B07" w:rsidRPr="00BE597A" w:rsidRDefault="006253A1" w:rsidP="00917109">
      <w:pPr>
        <w:widowControl w:val="0"/>
        <w:autoSpaceDE w:val="0"/>
        <w:autoSpaceDN w:val="0"/>
        <w:adjustRightInd w:val="0"/>
        <w:spacing w:after="240" w:line="480" w:lineRule="auto"/>
        <w:ind w:firstLine="720"/>
        <w:contextualSpacing/>
        <w:jc w:val="both"/>
        <w:rPr>
          <w:rFonts w:ascii="Times New Roman" w:hAnsi="Times New Roman" w:cs="Times New Roman"/>
        </w:rPr>
      </w:pPr>
      <w:r w:rsidRPr="00BE597A">
        <w:rPr>
          <w:rFonts w:ascii="Times New Roman" w:hAnsi="Times New Roman" w:cs="Times New Roman"/>
          <w:lang w:val="en-US"/>
        </w:rPr>
        <w:t>Critics of Annapolis contend that the US should have pushed the parties harder and delineated a framework agreement to be endorsed at the event, much like the US could have done but failed to do prior to the Camp David summit in 2000.</w:t>
      </w:r>
      <w:r w:rsidRPr="00BE597A">
        <w:rPr>
          <w:rStyle w:val="FootnoteReference"/>
          <w:rFonts w:ascii="Times New Roman" w:hAnsi="Times New Roman" w:cs="Times New Roman"/>
          <w:lang w:val="en-US"/>
        </w:rPr>
        <w:footnoteReference w:id="88"/>
      </w:r>
      <w:r w:rsidRPr="00BE597A">
        <w:rPr>
          <w:rFonts w:ascii="Times New Roman" w:hAnsi="Times New Roman" w:cs="Times New Roman"/>
          <w:lang w:val="en-US"/>
        </w:rPr>
        <w:t xml:space="preserve"> Rice, however, had agreed that President Bush’s speech at Annapolis ‘should envelop the process and be encouraging,</w:t>
      </w:r>
      <w:r w:rsidR="00E96ECA" w:rsidRPr="00BE597A">
        <w:rPr>
          <w:rFonts w:ascii="Times New Roman" w:hAnsi="Times New Roman" w:cs="Times New Roman"/>
          <w:lang w:val="en-US"/>
        </w:rPr>
        <w:t xml:space="preserve"> but it should not be directive,</w:t>
      </w:r>
      <w:r w:rsidRPr="00BE597A">
        <w:rPr>
          <w:rFonts w:ascii="Times New Roman" w:hAnsi="Times New Roman" w:cs="Times New Roman"/>
          <w:lang w:val="en-US"/>
        </w:rPr>
        <w:t>’</w:t>
      </w:r>
      <w:r w:rsidR="00E96ECA" w:rsidRPr="00BE597A">
        <w:rPr>
          <w:rFonts w:ascii="Times New Roman" w:hAnsi="Times New Roman" w:cs="Times New Roman"/>
          <w:lang w:val="en-US"/>
        </w:rPr>
        <w:t xml:space="preserve"> which </w:t>
      </w:r>
      <w:r w:rsidR="00A26694" w:rsidRPr="00BE597A">
        <w:rPr>
          <w:rFonts w:ascii="Times New Roman" w:hAnsi="Times New Roman" w:cs="Times New Roman"/>
          <w:lang w:val="en-US"/>
        </w:rPr>
        <w:t>was in line with</w:t>
      </w:r>
      <w:r w:rsidR="00E96ECA" w:rsidRPr="00BE597A">
        <w:rPr>
          <w:rFonts w:ascii="Times New Roman" w:hAnsi="Times New Roman" w:cs="Times New Roman"/>
          <w:lang w:val="en-US"/>
        </w:rPr>
        <w:t xml:space="preserve"> the neo-conservative epistemological and ontological understanding of the conflict.</w:t>
      </w:r>
      <w:r w:rsidRPr="00BE597A">
        <w:rPr>
          <w:rStyle w:val="FootnoteReference"/>
          <w:rFonts w:ascii="Times New Roman" w:hAnsi="Times New Roman" w:cs="Times New Roman"/>
          <w:lang w:val="en-US"/>
        </w:rPr>
        <w:footnoteReference w:id="89"/>
      </w:r>
      <w:r w:rsidRPr="00BE597A">
        <w:rPr>
          <w:rFonts w:ascii="Times New Roman" w:hAnsi="Times New Roman" w:cs="Times New Roman"/>
          <w:lang w:val="en-US"/>
        </w:rPr>
        <w:t xml:space="preserve"> Such a move would have risked collapsing the negotiations prematurely at a point when they had yet to even agree to officially resume bilateral permanent status talks. Rice and her team looked to strike the inevitable balance between the ideal and the possible, erring on the side of caution to </w:t>
      </w:r>
      <w:r w:rsidRPr="00BE597A">
        <w:rPr>
          <w:rFonts w:ascii="Times New Roman" w:hAnsi="Times New Roman" w:cs="Times New Roman"/>
        </w:rPr>
        <w:t>capture what had been accomplished up to that point and create momentum for the future.</w:t>
      </w:r>
      <w:r w:rsidRPr="00BE597A">
        <w:rPr>
          <w:rStyle w:val="FootnoteReference"/>
          <w:rFonts w:ascii="Times New Roman" w:hAnsi="Times New Roman" w:cs="Times New Roman"/>
        </w:rPr>
        <w:footnoteReference w:id="90"/>
      </w:r>
      <w:r w:rsidRPr="00BE597A">
        <w:rPr>
          <w:rFonts w:ascii="Times New Roman" w:hAnsi="Times New Roman" w:cs="Times New Roman"/>
        </w:rPr>
        <w:t xml:space="preserve"> According to a former Israeli official involved in the talks, Rice ‘was pretty nervous and happy to have any results.’</w:t>
      </w:r>
      <w:r w:rsidRPr="00BE597A">
        <w:rPr>
          <w:rStyle w:val="FootnoteReference"/>
          <w:rFonts w:ascii="Times New Roman" w:hAnsi="Times New Roman" w:cs="Times New Roman"/>
        </w:rPr>
        <w:footnoteReference w:id="91"/>
      </w:r>
      <w:r w:rsidRPr="00BE597A">
        <w:rPr>
          <w:rFonts w:ascii="Times New Roman" w:hAnsi="Times New Roman" w:cs="Times New Roman"/>
        </w:rPr>
        <w:t xml:space="preserve"> While the broad contours of a possible framework agreement are well known from previous talks, immediate acceptance of these without extended negotiations would have been politically very difficult for either leader to agree to and would have sought to obviate an important part of the process.</w:t>
      </w:r>
      <w:r w:rsidRPr="00BE597A">
        <w:rPr>
          <w:rStyle w:val="FootnoteReference"/>
          <w:rFonts w:ascii="Times New Roman" w:hAnsi="Times New Roman" w:cs="Times New Roman"/>
        </w:rPr>
        <w:footnoteReference w:id="92"/>
      </w:r>
      <w:r w:rsidRPr="00BE597A">
        <w:rPr>
          <w:rFonts w:ascii="Times New Roman" w:hAnsi="Times New Roman" w:cs="Times New Roman"/>
        </w:rPr>
        <w:t xml:space="preserve"> Olmert made it clear in late October that he had to avoid this and would resist any such imposition.</w:t>
      </w:r>
      <w:r w:rsidRPr="00BE597A">
        <w:rPr>
          <w:rStyle w:val="FootnoteReference"/>
          <w:rFonts w:ascii="Times New Roman" w:hAnsi="Times New Roman" w:cs="Times New Roman"/>
        </w:rPr>
        <w:footnoteReference w:id="93"/>
      </w:r>
    </w:p>
    <w:p w14:paraId="2BB6D5EC" w14:textId="77777777" w:rsidR="006253A1" w:rsidRPr="00BE597A" w:rsidRDefault="006253A1" w:rsidP="00917109">
      <w:pPr>
        <w:widowControl w:val="0"/>
        <w:autoSpaceDE w:val="0"/>
        <w:autoSpaceDN w:val="0"/>
        <w:adjustRightInd w:val="0"/>
        <w:spacing w:after="240" w:line="480" w:lineRule="auto"/>
        <w:ind w:firstLine="720"/>
        <w:contextualSpacing/>
        <w:jc w:val="both"/>
        <w:rPr>
          <w:rFonts w:ascii="Times New Roman" w:hAnsi="Times New Roman" w:cs="Times New Roman"/>
        </w:rPr>
      </w:pPr>
    </w:p>
    <w:p w14:paraId="4DEBD80A" w14:textId="6BCBD6DE" w:rsidR="00407B07" w:rsidRPr="00BE597A" w:rsidRDefault="00407B07" w:rsidP="009058A3">
      <w:pPr>
        <w:pStyle w:val="BodyTextIndent"/>
        <w:spacing w:line="480" w:lineRule="auto"/>
        <w:ind w:firstLine="0"/>
        <w:contextualSpacing/>
        <w:rPr>
          <w:b/>
        </w:rPr>
      </w:pPr>
      <w:r w:rsidRPr="00BE597A">
        <w:rPr>
          <w:b/>
        </w:rPr>
        <w:t>Bilateral negotiations</w:t>
      </w:r>
    </w:p>
    <w:p w14:paraId="05FEE2C9" w14:textId="77777777" w:rsidR="00407B07" w:rsidRPr="00BE597A" w:rsidRDefault="00407B07" w:rsidP="00917109">
      <w:pPr>
        <w:pStyle w:val="BodyTextIndent"/>
        <w:spacing w:line="480" w:lineRule="auto"/>
        <w:contextualSpacing/>
      </w:pPr>
    </w:p>
    <w:p w14:paraId="6C20C155" w14:textId="38DD1A3A" w:rsidR="00075418" w:rsidRPr="00BE597A" w:rsidRDefault="00406380" w:rsidP="00917109">
      <w:pPr>
        <w:pStyle w:val="BodyTextIndent"/>
        <w:spacing w:line="480" w:lineRule="auto"/>
        <w:contextualSpacing/>
      </w:pPr>
      <w:r w:rsidRPr="00BE597A">
        <w:t xml:space="preserve">Significantly, </w:t>
      </w:r>
      <w:r w:rsidR="00E357CD" w:rsidRPr="00BE597A">
        <w:t>Annapolis serve</w:t>
      </w:r>
      <w:r w:rsidRPr="00BE597A">
        <w:t>d</w:t>
      </w:r>
      <w:r w:rsidR="00E357CD" w:rsidRPr="00BE597A">
        <w:t xml:space="preserve"> as a launching pad for </w:t>
      </w:r>
      <w:r w:rsidR="003C7093" w:rsidRPr="00BE597A">
        <w:t xml:space="preserve">direct </w:t>
      </w:r>
      <w:r w:rsidR="00946E99" w:rsidRPr="00BE597A">
        <w:t>permanent</w:t>
      </w:r>
      <w:r w:rsidR="00075418" w:rsidRPr="00BE597A">
        <w:t xml:space="preserve"> status negotiations</w:t>
      </w:r>
      <w:r w:rsidR="006E2E80" w:rsidRPr="00BE597A">
        <w:t>, which consisted</w:t>
      </w:r>
      <w:r w:rsidR="001A117D" w:rsidRPr="00BE597A">
        <w:t xml:space="preserve"> of three tracks</w:t>
      </w:r>
      <w:r w:rsidR="00075418" w:rsidRPr="00BE597A">
        <w:t xml:space="preserve">. </w:t>
      </w:r>
      <w:r w:rsidR="001A117D" w:rsidRPr="00BE597A">
        <w:t xml:space="preserve">The first track was between </w:t>
      </w:r>
      <w:r w:rsidR="00257663" w:rsidRPr="00BE597A">
        <w:t>Olmert and Abu Mazen</w:t>
      </w:r>
      <w:r w:rsidR="001A117D" w:rsidRPr="00BE597A">
        <w:t>, who</w:t>
      </w:r>
      <w:r w:rsidR="00E357CD" w:rsidRPr="00BE597A">
        <w:t xml:space="preserve"> agreed to meet bi-weekly</w:t>
      </w:r>
      <w:r w:rsidR="001A117D" w:rsidRPr="00BE597A">
        <w:t>. The second track was</w:t>
      </w:r>
      <w:r w:rsidR="00E357CD" w:rsidRPr="00BE597A">
        <w:t xml:space="preserve"> </w:t>
      </w:r>
      <w:r w:rsidR="00D92922" w:rsidRPr="00BE597A">
        <w:t>a ‘steering committee’ of the two</w:t>
      </w:r>
      <w:r w:rsidR="00E357CD" w:rsidRPr="00BE597A">
        <w:t xml:space="preserve"> negotia</w:t>
      </w:r>
      <w:r w:rsidR="00D92922" w:rsidRPr="00BE597A">
        <w:t>ting teams</w:t>
      </w:r>
      <w:r w:rsidR="001A117D" w:rsidRPr="00BE597A">
        <w:t>, led by Livni and Abu Ala,</w:t>
      </w:r>
      <w:r w:rsidR="00D92922" w:rsidRPr="00BE597A">
        <w:t xml:space="preserve"> </w:t>
      </w:r>
      <w:r w:rsidR="006B598D" w:rsidRPr="00BE597A">
        <w:t>w</w:t>
      </w:r>
      <w:r w:rsidR="001A117D" w:rsidRPr="00BE597A">
        <w:t>ho agreed</w:t>
      </w:r>
      <w:r w:rsidR="006B598D" w:rsidRPr="00BE597A">
        <w:t xml:space="preserve"> </w:t>
      </w:r>
      <w:r w:rsidR="00E357CD" w:rsidRPr="00BE597A">
        <w:t>to begin</w:t>
      </w:r>
      <w:r w:rsidR="006B598D" w:rsidRPr="00BE597A">
        <w:t xml:space="preserve"> meeting</w:t>
      </w:r>
      <w:r w:rsidR="00E357CD" w:rsidRPr="00BE597A">
        <w:t xml:space="preserve"> on 12 December</w:t>
      </w:r>
      <w:r w:rsidR="00C30D35" w:rsidRPr="00BE597A">
        <w:t>, 2007</w:t>
      </w:r>
      <w:r w:rsidR="001A117D" w:rsidRPr="00BE597A">
        <w:t xml:space="preserve"> and</w:t>
      </w:r>
      <w:r w:rsidR="00E357CD" w:rsidRPr="00BE597A">
        <w:t xml:space="preserve"> met regularly until September 2008.</w:t>
      </w:r>
      <w:r w:rsidR="001A117D" w:rsidRPr="00BE597A">
        <w:rPr>
          <w:rStyle w:val="FootnoteReference"/>
        </w:rPr>
        <w:footnoteReference w:id="94"/>
      </w:r>
      <w:r w:rsidR="00972B6B" w:rsidRPr="00BE597A">
        <w:t xml:space="preserve"> </w:t>
      </w:r>
      <w:r w:rsidR="001A117D" w:rsidRPr="00BE597A">
        <w:t xml:space="preserve">The third track consisted of committees of subject experts to discuss the more technical matters of the final status issues. </w:t>
      </w:r>
      <w:r w:rsidR="00972B6B" w:rsidRPr="00BE597A">
        <w:t xml:space="preserve">The most important </w:t>
      </w:r>
      <w:r w:rsidR="00E8728D" w:rsidRPr="00BE597A">
        <w:t>of these, however, was the track</w:t>
      </w:r>
      <w:r w:rsidR="00972B6B" w:rsidRPr="00BE597A">
        <w:t xml:space="preserve"> between Olmert and Abu Mazen. Accounts of their discussions show that these negotiations between the two leaders were serious and in good faith, aiming to produce a framework agreement on permanent status to affirm the principles that would guide the more detailed solutions to the difficult issues like Jerusalem, refugees, borders, and security.</w:t>
      </w:r>
      <w:r w:rsidR="00972B6B" w:rsidRPr="00BE597A">
        <w:rPr>
          <w:rStyle w:val="FootnoteReference"/>
        </w:rPr>
        <w:footnoteReference w:id="95"/>
      </w:r>
      <w:r w:rsidR="00972B6B" w:rsidRPr="00BE597A">
        <w:t xml:space="preserve"> </w:t>
      </w:r>
    </w:p>
    <w:p w14:paraId="56AEDD10" w14:textId="2DB0EF6F" w:rsidR="00876A7E" w:rsidRPr="00BE597A" w:rsidRDefault="00972B6B" w:rsidP="00917109">
      <w:pPr>
        <w:pStyle w:val="BodyTextIndent"/>
        <w:spacing w:line="480" w:lineRule="auto"/>
        <w:contextualSpacing/>
      </w:pPr>
      <w:r w:rsidRPr="00BE597A">
        <w:t xml:space="preserve">This was </w:t>
      </w:r>
      <w:r w:rsidR="00257663" w:rsidRPr="00BE597A">
        <w:t xml:space="preserve">a </w:t>
      </w:r>
      <w:r w:rsidRPr="00BE597A">
        <w:t>positive change from previous patterns of negotiations in that the two leaders were focused on these issues from the beginning.</w:t>
      </w:r>
      <w:r w:rsidR="00544B55" w:rsidRPr="00BE597A">
        <w:t xml:space="preserve"> A significant weakness of the Oslo process was that there was no clear ‘political horizon’ outlining a detailed two-state vision, and this weakness was being addressed at the highest level.</w:t>
      </w:r>
      <w:r w:rsidR="00544B55" w:rsidRPr="00BE597A">
        <w:rPr>
          <w:rStyle w:val="FootnoteReference"/>
        </w:rPr>
        <w:footnoteReference w:id="96"/>
      </w:r>
      <w:r w:rsidR="00544B55" w:rsidRPr="00BE597A">
        <w:t xml:space="preserve"> </w:t>
      </w:r>
      <w:r w:rsidRPr="00BE597A">
        <w:t>Moreover, they were talking directly</w:t>
      </w:r>
      <w:r w:rsidR="00257663" w:rsidRPr="00BE597A">
        <w:t xml:space="preserve"> in a way which was unprecedented</w:t>
      </w:r>
      <w:r w:rsidR="00E57353" w:rsidRPr="00BE597A">
        <w:t xml:space="preserve">, evidence of a ‘real relationship’ between the two leaders which </w:t>
      </w:r>
      <w:r w:rsidR="00946E99" w:rsidRPr="00BE597A">
        <w:t xml:space="preserve">had grown in pre-negotiations, </w:t>
      </w:r>
      <w:r w:rsidR="00E57353" w:rsidRPr="00BE597A">
        <w:t>allow</w:t>
      </w:r>
      <w:r w:rsidR="00946E99" w:rsidRPr="00BE597A">
        <w:t>ing</w:t>
      </w:r>
      <w:r w:rsidR="00E57353" w:rsidRPr="00BE597A">
        <w:t xml:space="preserve"> them to build trust and more clearly understand each other’s positions, constraints, and red lines</w:t>
      </w:r>
      <w:r w:rsidRPr="00BE597A">
        <w:t>.</w:t>
      </w:r>
      <w:r w:rsidR="00C16F3C" w:rsidRPr="00BE597A">
        <w:rPr>
          <w:rStyle w:val="FootnoteReference"/>
        </w:rPr>
        <w:footnoteReference w:id="97"/>
      </w:r>
      <w:r w:rsidRPr="00BE597A">
        <w:t xml:space="preserve"> Following the complete erosion of trust due to the violence of the second </w:t>
      </w:r>
      <w:r w:rsidRPr="00BE597A">
        <w:rPr>
          <w:i/>
        </w:rPr>
        <w:t>intifada</w:t>
      </w:r>
      <w:r w:rsidRPr="00BE597A">
        <w:t>, this was remarkable.</w:t>
      </w:r>
    </w:p>
    <w:p w14:paraId="38A872F8" w14:textId="224B24E3" w:rsidR="00AD3A96" w:rsidRPr="00BE597A" w:rsidRDefault="00AD3A96" w:rsidP="00917109">
      <w:pPr>
        <w:pStyle w:val="BodyTextIndent"/>
        <w:spacing w:line="480" w:lineRule="auto"/>
        <w:contextualSpacing/>
      </w:pPr>
      <w:r w:rsidRPr="00BE597A">
        <w:t xml:space="preserve">Kurtzer </w:t>
      </w:r>
      <w:r w:rsidRPr="00BE597A">
        <w:rPr>
          <w:i/>
        </w:rPr>
        <w:t>et al</w:t>
      </w:r>
      <w:r w:rsidRPr="00BE597A">
        <w:t xml:space="preserve"> write that, ‘Surprisingly, despite the weakness of American diplomacy, the negotiations did heat up after Annapolis.’</w:t>
      </w:r>
      <w:r w:rsidRPr="00BE597A">
        <w:rPr>
          <w:rStyle w:val="FootnoteReference"/>
        </w:rPr>
        <w:footnoteReference w:id="98"/>
      </w:r>
      <w:r w:rsidRPr="00BE597A">
        <w:t xml:space="preserve"> This disparaging view ignores the fact that a more facilitative strategy was appropriate at that stage. </w:t>
      </w:r>
      <w:r w:rsidRPr="00BE597A">
        <w:rPr>
          <w:lang w:val="en-US"/>
        </w:rPr>
        <w:t>At Annapolis, the parties structured their own negotiating process and did not specify a US role at the negotiating table.</w:t>
      </w:r>
      <w:r w:rsidRPr="00BE597A">
        <w:rPr>
          <w:rStyle w:val="FootnoteReference"/>
          <w:lang w:val="en-US"/>
        </w:rPr>
        <w:footnoteReference w:id="99"/>
      </w:r>
      <w:r w:rsidRPr="00BE597A">
        <w:rPr>
          <w:lang w:val="en-US"/>
        </w:rPr>
        <w:t xml:space="preserve"> </w:t>
      </w:r>
      <w:r w:rsidRPr="00BE597A">
        <w:t>Palestinian negotiator Saeb Erekat seemed to emphasise the importance of Israelis and Palestinians retaining control of the process: ‘</w:t>
      </w:r>
      <w:r w:rsidR="004428FF" w:rsidRPr="00BE597A">
        <w:rPr>
          <w:lang w:val="en-US"/>
        </w:rPr>
        <w:t xml:space="preserve">Annapolis is like a fire – if </w:t>
      </w:r>
      <w:r w:rsidRPr="00BE597A">
        <w:rPr>
          <w:lang w:val="en-US"/>
        </w:rPr>
        <w:t>we control it, it will warm us and bring us energy[;] if not, it will burn us.’</w:t>
      </w:r>
      <w:r w:rsidRPr="00BE597A">
        <w:rPr>
          <w:rStyle w:val="FootnoteReference"/>
          <w:lang w:val="en-US"/>
        </w:rPr>
        <w:footnoteReference w:id="100"/>
      </w:r>
      <w:r w:rsidRPr="00BE597A">
        <w:rPr>
          <w:lang w:val="en-US"/>
        </w:rPr>
        <w:t xml:space="preserve"> Livni emphasised the centrality of the bilateral process and said that there could be no substitute for this.</w:t>
      </w:r>
      <w:r w:rsidRPr="00BE597A">
        <w:rPr>
          <w:rStyle w:val="FootnoteReference"/>
          <w:lang w:val="en-US"/>
        </w:rPr>
        <w:footnoteReference w:id="101"/>
      </w:r>
      <w:r w:rsidRPr="00BE597A">
        <w:t xml:space="preserve"> Furthermore, the two leaders were committed to bilateral final status negotiations for different but complementary reasons, just as Rabin and Arafat before them, creating a mutually enticing opportunity.</w:t>
      </w:r>
      <w:r w:rsidRPr="00BE597A">
        <w:rPr>
          <w:rStyle w:val="FootnoteReference"/>
        </w:rPr>
        <w:footnoteReference w:id="102"/>
      </w:r>
      <w:r w:rsidRPr="00BE597A">
        <w:t xml:space="preserve"> Abu Mazen had long been the moderate vanguard of the PLO, committed to the two-state solution since the mid-1970’s, and central to any negotiations under Arafat.</w:t>
      </w:r>
      <w:r w:rsidRPr="00BE597A">
        <w:rPr>
          <w:rStyle w:val="FootnoteReference"/>
        </w:rPr>
        <w:footnoteReference w:id="103"/>
      </w:r>
      <w:r w:rsidRPr="00BE597A">
        <w:t xml:space="preserve"> With Fatah continuing to lose ground to the ever stronger Islamist challenge, a peace agreement and deliverance of Palestinian statehood would turn the tables in their favour. </w:t>
      </w:r>
    </w:p>
    <w:p w14:paraId="314F72F4" w14:textId="77777777" w:rsidR="00AD3A96" w:rsidRPr="00BE597A" w:rsidRDefault="00AD3A96" w:rsidP="00917109">
      <w:pPr>
        <w:pStyle w:val="BodyTextIndent"/>
        <w:spacing w:line="480" w:lineRule="auto"/>
        <w:contextualSpacing/>
      </w:pPr>
      <w:r w:rsidRPr="00BE597A">
        <w:t>Olmert had come to the conclusion that a negotiated peace with the Palestinians was necessary for the long-term security of Israel. As an advocate of ‘Greater Israel’, during his ten-year tenure as mayor of Jerusalem from 1993 to 2003 Olmert subscribed to the view of the city as the indivisible capital of Israel, and supported settlement construction in the East of the city and the West Bank beyond. In later years, however, his stance became increasingly pragmatic, and in 2005 he left Likud and joined the centrist Kadima party.</w:t>
      </w:r>
      <w:r w:rsidRPr="00BE597A">
        <w:rPr>
          <w:rStyle w:val="FootnoteReference"/>
        </w:rPr>
        <w:footnoteReference w:id="104"/>
      </w:r>
      <w:r w:rsidRPr="00BE597A">
        <w:t xml:space="preserve"> In an interview with </w:t>
      </w:r>
      <w:r w:rsidRPr="00BE597A">
        <w:rPr>
          <w:i/>
        </w:rPr>
        <w:t>Yedioth Ahronoth</w:t>
      </w:r>
      <w:r w:rsidRPr="00BE597A">
        <w:t xml:space="preserve"> (translated and reprinted in </w:t>
      </w:r>
      <w:r w:rsidRPr="00BE597A">
        <w:rPr>
          <w:i/>
        </w:rPr>
        <w:t>The New York Review of Books</w:t>
      </w:r>
      <w:r w:rsidRPr="00BE597A">
        <w:t xml:space="preserve">) following his resignation in 2008, Olmert acknowledged the need for territorial compromise, even in Jerusalem: </w:t>
      </w:r>
    </w:p>
    <w:p w14:paraId="4FF9D2D5" w14:textId="77777777" w:rsidR="00AD3A96" w:rsidRPr="00BE597A" w:rsidRDefault="00AD3A96" w:rsidP="00917109">
      <w:pPr>
        <w:pStyle w:val="BodyTextIndent"/>
        <w:spacing w:line="480" w:lineRule="auto"/>
        <w:ind w:left="284" w:right="226" w:firstLine="0"/>
        <w:contextualSpacing/>
      </w:pPr>
    </w:p>
    <w:p w14:paraId="3E1A0733" w14:textId="77777777" w:rsidR="00AD3A96" w:rsidRPr="00BE597A" w:rsidRDefault="00AD3A96" w:rsidP="00917109">
      <w:pPr>
        <w:pStyle w:val="BodyTextIndent"/>
        <w:spacing w:line="480" w:lineRule="auto"/>
        <w:ind w:left="284" w:right="226" w:firstLine="0"/>
        <w:contextualSpacing/>
        <w:rPr>
          <w:sz w:val="22"/>
          <w:szCs w:val="22"/>
        </w:rPr>
      </w:pPr>
      <w:r w:rsidRPr="00BE597A">
        <w:rPr>
          <w:sz w:val="22"/>
          <w:szCs w:val="22"/>
        </w:rPr>
        <w:t>‘We must reach an agreement with the Palestinians, meaning a withdrawal from nearly all, if not all, of the [occupied] territories. Some percentage of these territories would remain in our hands, but we must give the Palestinians the same percentage [of territory elsewhere] – without this, there will be no peace. … Including Jerusalem – with, I’d imagine, special arrangements made for the Temple Mount and the holy/historical sites. Whoever talks seriously about security in Jerusalem … must be willing to relinquish parts of Jerusalem. … I was the first person who wanted to maintain Israeli control over the entire city. I confess. … For a significant portion of those years I wasn’t ready to contemplate the depth of this reality.’</w:t>
      </w:r>
      <w:r w:rsidRPr="00BE597A">
        <w:rPr>
          <w:rStyle w:val="FootnoteReference"/>
          <w:sz w:val="22"/>
          <w:szCs w:val="22"/>
        </w:rPr>
        <w:footnoteReference w:id="105"/>
      </w:r>
    </w:p>
    <w:p w14:paraId="079316DB" w14:textId="77777777" w:rsidR="00AD3A96" w:rsidRPr="00BE597A" w:rsidRDefault="00AD3A96" w:rsidP="00917109">
      <w:pPr>
        <w:pStyle w:val="BodyTextIndent"/>
        <w:spacing w:line="480" w:lineRule="auto"/>
        <w:ind w:firstLine="0"/>
        <w:contextualSpacing/>
      </w:pPr>
    </w:p>
    <w:p w14:paraId="30E0958B" w14:textId="10EBA6D6" w:rsidR="00AD3A96" w:rsidRPr="00BE597A" w:rsidRDefault="00AD3A96" w:rsidP="00917109">
      <w:pPr>
        <w:pStyle w:val="BodyTextIndent"/>
        <w:spacing w:line="480" w:lineRule="auto"/>
        <w:contextualSpacing/>
      </w:pPr>
      <w:r w:rsidRPr="00BE597A">
        <w:t xml:space="preserve">Predominantly, the US role involved troubleshooting and ensuring that the talks survived numerous episodes of violence in Gaza and elsewhere – Abu Mazen, </w:t>
      </w:r>
      <w:r w:rsidR="00D542C6" w:rsidRPr="00BE597A">
        <w:t xml:space="preserve">for example, suspended negotiations </w:t>
      </w:r>
      <w:r w:rsidRPr="00BE597A">
        <w:t>in early March 2008, but Rice convinced him to resume them.</w:t>
      </w:r>
      <w:r w:rsidRPr="00BE597A">
        <w:rPr>
          <w:rStyle w:val="FootnoteReference"/>
        </w:rPr>
        <w:footnoteReference w:id="106"/>
      </w:r>
      <w:r w:rsidRPr="00BE597A">
        <w:t xml:space="preserve"> Once again, this veered into formulation rather than facilitation, which was also reflected in Rice’s insistence that she meet with the </w:t>
      </w:r>
      <w:r w:rsidR="00C54C03" w:rsidRPr="00BE597A">
        <w:t>negotiating teams</w:t>
      </w:r>
      <w:r w:rsidRPr="00BE597A">
        <w:t xml:space="preserve"> sporadically for a trilateral meeting</w:t>
      </w:r>
      <w:r w:rsidR="00266E7C" w:rsidRPr="00BE597A">
        <w:t xml:space="preserve"> </w:t>
      </w:r>
      <w:r w:rsidR="00114C8D" w:rsidRPr="00BE597A">
        <w:t>(</w:t>
      </w:r>
      <w:r w:rsidR="00266E7C" w:rsidRPr="00BE597A">
        <w:t xml:space="preserve">although </w:t>
      </w:r>
      <w:r w:rsidR="00114C8D" w:rsidRPr="00BE597A">
        <w:t>she did not do this with</w:t>
      </w:r>
      <w:r w:rsidR="006B4878" w:rsidRPr="00BE597A">
        <w:t xml:space="preserve"> the Olmert-Abu Mazen track</w:t>
      </w:r>
      <w:r w:rsidR="00114C8D" w:rsidRPr="00BE597A">
        <w:t>)</w:t>
      </w:r>
      <w:r w:rsidRPr="00BE597A">
        <w:t>. Former US consul general in Jerusalem Jake Walles argues that these were not negotiating sessions where Rice brought any new ideas or proposals, but chances for Rice to hear updates from the parties: ‘she would sometimes try to steer them in a certain direction, but it was not a very hands-on US role.’ Still, Rice, ‘in effect, forced the parties to meet with her in a trilateral setting to talk about the negotiations’ when ‘they did not want US officials in the room or managing their agenda.’</w:t>
      </w:r>
      <w:r w:rsidRPr="00BE597A">
        <w:rPr>
          <w:rStyle w:val="FootnoteReference"/>
        </w:rPr>
        <w:footnoteReference w:id="107"/>
      </w:r>
      <w:r w:rsidRPr="00BE597A">
        <w:t xml:space="preserve"> Minutes of the negotiations show that although the US did not have a specific agreed role in the negotiations at the parties’ insistence, they found it difficult to say no and tended to accommodate Rice’s requests for meetings. As Livni put it to her Palestinian counterparts, ‘</w:t>
      </w:r>
      <w:r w:rsidRPr="00BE597A">
        <w:rPr>
          <w:lang w:val="en-US"/>
        </w:rPr>
        <w:t>When they ask we obey but not as part of an understanding.’</w:t>
      </w:r>
      <w:r w:rsidRPr="00BE597A">
        <w:rPr>
          <w:rStyle w:val="FootnoteReference"/>
          <w:lang w:val="en-US"/>
        </w:rPr>
        <w:footnoteReference w:id="108"/>
      </w:r>
      <w:r w:rsidR="00266E7C" w:rsidRPr="00BE597A">
        <w:rPr>
          <w:lang w:val="en-US"/>
        </w:rPr>
        <w:t xml:space="preserve">  </w:t>
      </w:r>
    </w:p>
    <w:p w14:paraId="32D5C200" w14:textId="77777777" w:rsidR="00AD3A96" w:rsidRPr="00BE597A" w:rsidRDefault="00AD3A96"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Abrams recalls one such trilateral meeting with Rice, Livni, and Abu Ala during a trip to Jerusalem in June 2008, where the two lead negotiators ‘got into an argument that would have been avoided had we [the US] not been there. Both of them played to the US audience; there was no negotiating, and it was clear to me that there never would be while we were in the room.’ When Rice pushed for another trilateral, ‘both resisted, Livni with considerable energy. This was the only issue on which the Israelis and Palestinians truly saw eye to eye.’</w:t>
      </w:r>
      <w:r w:rsidRPr="00BE597A">
        <w:rPr>
          <w:rStyle w:val="FootnoteReference"/>
          <w:rFonts w:ascii="Times New Roman" w:hAnsi="Times New Roman" w:cs="Times New Roman"/>
        </w:rPr>
        <w:footnoteReference w:id="109"/>
      </w:r>
      <w:r w:rsidRPr="00BE597A">
        <w:rPr>
          <w:rFonts w:ascii="Times New Roman" w:hAnsi="Times New Roman" w:cs="Times New Roman"/>
        </w:rPr>
        <w:t xml:space="preserve"> He goes on to argue,</w:t>
      </w:r>
    </w:p>
    <w:p w14:paraId="4D803EEF" w14:textId="77777777" w:rsidR="00AD3A96" w:rsidRPr="00BE597A" w:rsidRDefault="00AD3A96" w:rsidP="00917109">
      <w:pPr>
        <w:spacing w:line="480" w:lineRule="auto"/>
        <w:ind w:firstLine="720"/>
        <w:contextualSpacing/>
        <w:jc w:val="both"/>
        <w:rPr>
          <w:rFonts w:ascii="Times New Roman" w:hAnsi="Times New Roman" w:cs="Times New Roman"/>
        </w:rPr>
      </w:pPr>
    </w:p>
    <w:p w14:paraId="4BFB34DC" w14:textId="77777777" w:rsidR="00AD3A96" w:rsidRPr="00BE597A" w:rsidRDefault="00AD3A96" w:rsidP="00917109">
      <w:pPr>
        <w:spacing w:line="480" w:lineRule="auto"/>
        <w:ind w:left="284" w:right="220"/>
        <w:contextualSpacing/>
        <w:jc w:val="both"/>
        <w:rPr>
          <w:rFonts w:ascii="Times New Roman" w:hAnsi="Times New Roman" w:cs="Times New Roman"/>
          <w:sz w:val="22"/>
          <w:szCs w:val="22"/>
        </w:rPr>
      </w:pPr>
      <w:r w:rsidRPr="00BE597A">
        <w:rPr>
          <w:rFonts w:ascii="Times New Roman" w:hAnsi="Times New Roman" w:cs="Times New Roman"/>
          <w:sz w:val="22"/>
          <w:szCs w:val="22"/>
        </w:rPr>
        <w:t>‘The serious negotiations are bilateral, and indeed in the case of Oslo were purely bilateral and kept secret from the United States. During the Bush years, efforts to insert the United States actually made bilateral Israeli-Palestinian negotiations harder. It is one thing to press the Israelis and Palestinians to negotiate but quite another to think that things will go more smoothly if we are physically present.’</w:t>
      </w:r>
      <w:r w:rsidRPr="00BE597A">
        <w:rPr>
          <w:rStyle w:val="FootnoteReference"/>
          <w:rFonts w:ascii="Times New Roman" w:hAnsi="Times New Roman" w:cs="Times New Roman"/>
          <w:sz w:val="22"/>
          <w:szCs w:val="22"/>
        </w:rPr>
        <w:footnoteReference w:id="110"/>
      </w:r>
    </w:p>
    <w:p w14:paraId="7F27B42F" w14:textId="77777777" w:rsidR="00AD3A96" w:rsidRPr="00BE597A" w:rsidRDefault="00AD3A96" w:rsidP="00917109">
      <w:pPr>
        <w:pStyle w:val="BodyTextIndent"/>
        <w:spacing w:line="480" w:lineRule="auto"/>
        <w:ind w:left="284" w:right="220"/>
        <w:contextualSpacing/>
        <w:rPr>
          <w:sz w:val="22"/>
          <w:szCs w:val="22"/>
        </w:rPr>
      </w:pPr>
    </w:p>
    <w:p w14:paraId="0CBF3F2C" w14:textId="20CB090B" w:rsidR="00C95A04" w:rsidRPr="00BE597A" w:rsidRDefault="00AD3A96" w:rsidP="00917109">
      <w:pPr>
        <w:pStyle w:val="BodyTextIndent"/>
        <w:spacing w:line="480" w:lineRule="auto"/>
        <w:contextualSpacing/>
      </w:pPr>
      <w:r w:rsidRPr="00BE597A">
        <w:t>Historically, Abu Mazen certainly preferred a direct bilateral track, whether official or unofficial Track II, as did his negotiator Erekat who told a meeting of EU Heads of Mission, ‘</w:t>
      </w:r>
      <w:r w:rsidRPr="00BE597A">
        <w:rPr>
          <w:lang w:val="en-US"/>
        </w:rPr>
        <w:t>Palestinians are better off sitting with Israelis alone. Personally speaking, I like to sit with Israelis alone. I have yet to see a third party play a role that is not biased to Israel.’</w:t>
      </w:r>
      <w:r w:rsidRPr="00BE597A">
        <w:rPr>
          <w:rStyle w:val="FootnoteReference"/>
          <w:lang w:val="en-US"/>
        </w:rPr>
        <w:footnoteReference w:id="111"/>
      </w:r>
      <w:r w:rsidRPr="00BE597A">
        <w:t xml:space="preserve"> Olmert too shared this preference, believing that direct talks with Abu Mazen would be more productive without the presence of a mediator at the table, as did Israeli negotiator Udi Dekel, who thought that the Palestinians regressed with an American presence in the room, opting to ‘wait it out’ as they thought Rice’s position on the final status issues was closer to theirs.</w:t>
      </w:r>
      <w:r w:rsidRPr="00BE597A">
        <w:rPr>
          <w:rStyle w:val="FootnoteReference"/>
        </w:rPr>
        <w:footnoteReference w:id="112"/>
      </w:r>
      <w:r w:rsidR="00053F3A" w:rsidRPr="00BE597A">
        <w:t xml:space="preserve"> </w:t>
      </w:r>
    </w:p>
    <w:p w14:paraId="241526A4" w14:textId="66134167" w:rsidR="00D67B10" w:rsidRPr="00BE597A" w:rsidRDefault="00185F26" w:rsidP="00917109">
      <w:pPr>
        <w:pStyle w:val="BodyTextIndent"/>
        <w:spacing w:line="480" w:lineRule="auto"/>
        <w:contextualSpacing/>
      </w:pPr>
      <w:r w:rsidRPr="00BE597A">
        <w:t>In a departure from the Bush administration’s epistemological and ontological understanding of the conflict, at times</w:t>
      </w:r>
      <w:r w:rsidR="00D67B10" w:rsidRPr="00BE597A">
        <w:t xml:space="preserve"> the US role did appear to engage on substantive issues. In a bilateral meeting with the Palestinian delegation in Washington DC on 16 July, 2008, Rice spoke of securing certain territorial percentages with the Israelis, and that at the next trilateral she would present new ideas for a mechanism to address the issue of Palestinian refugees. She also reflected on the US role, which included ‘to step back and say what we think is possible’ and ‘try to bridge the gaps.’</w:t>
      </w:r>
      <w:r w:rsidR="00D67B10" w:rsidRPr="00BE597A">
        <w:rPr>
          <w:rStyle w:val="FootnoteReference"/>
        </w:rPr>
        <w:footnoteReference w:id="113"/>
      </w:r>
      <w:r w:rsidR="00D67B10" w:rsidRPr="00BE597A">
        <w:t xml:space="preserve"> However, </w:t>
      </w:r>
      <w:r w:rsidR="009A78D5" w:rsidRPr="00BE597A">
        <w:t xml:space="preserve">as will be shown in the next section, </w:t>
      </w:r>
      <w:r w:rsidR="00D67B10" w:rsidRPr="00BE597A">
        <w:t>Rice failed to do this authoritatively and effectively</w:t>
      </w:r>
      <w:r w:rsidR="00FF2044" w:rsidRPr="00BE597A">
        <w:t xml:space="preserve"> on any of the negotiating tracks</w:t>
      </w:r>
      <w:r w:rsidR="00D67B10" w:rsidRPr="00BE597A">
        <w:t>.</w:t>
      </w:r>
    </w:p>
    <w:p w14:paraId="7B0B0C3C" w14:textId="7F55BB65" w:rsidR="00972B6B" w:rsidRPr="00BE597A" w:rsidRDefault="00AB127E" w:rsidP="00917109">
      <w:pPr>
        <w:pStyle w:val="BodyTextIndent"/>
        <w:spacing w:line="480" w:lineRule="auto"/>
        <w:contextualSpacing/>
      </w:pPr>
      <w:r w:rsidRPr="00BE597A">
        <w:t xml:space="preserve">Although the negotiations </w:t>
      </w:r>
      <w:r w:rsidR="000D55A9" w:rsidRPr="00BE597A">
        <w:t xml:space="preserve">ultimately </w:t>
      </w:r>
      <w:r w:rsidRPr="00BE597A">
        <w:t xml:space="preserve">failed and significant gaps remained, multiple accounts attest to </w:t>
      </w:r>
      <w:r w:rsidR="00646F25" w:rsidRPr="00BE597A">
        <w:t xml:space="preserve">the </w:t>
      </w:r>
      <w:r w:rsidRPr="00BE597A">
        <w:t xml:space="preserve">progress </w:t>
      </w:r>
      <w:r w:rsidR="00646F25" w:rsidRPr="00BE597A">
        <w:t>made on</w:t>
      </w:r>
      <w:r w:rsidRPr="00BE597A">
        <w:t xml:space="preserve"> </w:t>
      </w:r>
      <w:r w:rsidR="00AC1BF2" w:rsidRPr="00BE597A">
        <w:t>issues</w:t>
      </w:r>
      <w:r w:rsidR="008E21BB" w:rsidRPr="00BE597A">
        <w:t xml:space="preserve"> including security and</w:t>
      </w:r>
      <w:r w:rsidR="00646F25" w:rsidRPr="00BE597A">
        <w:t xml:space="preserve"> borders, </w:t>
      </w:r>
      <w:r w:rsidR="008E21BB" w:rsidRPr="00BE597A">
        <w:t>specifically that the baseline for swaps would be the June 1967 borders</w:t>
      </w:r>
      <w:r w:rsidRPr="00BE597A">
        <w:t>.</w:t>
      </w:r>
      <w:r w:rsidR="003D61BC" w:rsidRPr="00BE597A">
        <w:rPr>
          <w:rStyle w:val="FootnoteReference"/>
        </w:rPr>
        <w:footnoteReference w:id="114"/>
      </w:r>
      <w:r w:rsidR="00537DD3" w:rsidRPr="00BE597A">
        <w:rPr>
          <w:rStyle w:val="FootnoteReference"/>
        </w:rPr>
        <w:t xml:space="preserve"> </w:t>
      </w:r>
      <w:r w:rsidR="00D71308" w:rsidRPr="00BE597A">
        <w:t>This has been identified by a US official involved as ‘a major breakthrough’, a first in the history of negotiations and one of Rice’s biggest achievements.</w:t>
      </w:r>
      <w:r w:rsidR="00BC4C23" w:rsidRPr="00BE597A">
        <w:rPr>
          <w:rStyle w:val="FootnoteReference"/>
        </w:rPr>
        <w:footnoteReference w:id="115"/>
      </w:r>
      <w:r w:rsidR="004001A1" w:rsidRPr="00BE597A">
        <w:t xml:space="preserve"> </w:t>
      </w:r>
      <w:r w:rsidR="007E66CE" w:rsidRPr="00BE597A">
        <w:t xml:space="preserve">Golan notes that Olmert’s assessments have shifted and varied over time, </w:t>
      </w:r>
      <w:r w:rsidR="00736D4F" w:rsidRPr="00BE597A">
        <w:t>mostly in terms of apportioning blame for the failure</w:t>
      </w:r>
      <w:r w:rsidR="007E66CE" w:rsidRPr="00BE597A">
        <w:t xml:space="preserve"> to suit political interests, but his overall judgement appears to be very positive.</w:t>
      </w:r>
      <w:r w:rsidR="00272253" w:rsidRPr="00BE597A">
        <w:rPr>
          <w:rStyle w:val="FootnoteReference"/>
        </w:rPr>
        <w:footnoteReference w:id="116"/>
      </w:r>
      <w:r w:rsidR="007E66CE" w:rsidRPr="00BE597A">
        <w:t xml:space="preserve"> </w:t>
      </w:r>
      <w:r w:rsidR="001C4B43" w:rsidRPr="00BE597A">
        <w:t>Other participants</w:t>
      </w:r>
      <w:r w:rsidR="003E05DD" w:rsidRPr="00BE597A">
        <w:t>, however</w:t>
      </w:r>
      <w:r w:rsidR="00F87413" w:rsidRPr="00BE597A">
        <w:t xml:space="preserve">, </w:t>
      </w:r>
      <w:r w:rsidR="00FF0C46" w:rsidRPr="00BE597A">
        <w:t>claim that</w:t>
      </w:r>
      <w:r w:rsidR="001C4B43" w:rsidRPr="00BE597A">
        <w:t xml:space="preserve"> there was no</w:t>
      </w:r>
      <w:r w:rsidR="00634719" w:rsidRPr="00BE597A">
        <w:t xml:space="preserve"> explicit</w:t>
      </w:r>
      <w:r w:rsidR="001C4B43" w:rsidRPr="00BE597A">
        <w:t xml:space="preserve"> agreement on any of these issues.</w:t>
      </w:r>
      <w:r w:rsidR="002C2A41" w:rsidRPr="00BE597A">
        <w:t xml:space="preserve"> </w:t>
      </w:r>
      <w:r w:rsidR="003E05DD" w:rsidRPr="00BE597A">
        <w:t>Olmert’s advisors</w:t>
      </w:r>
      <w:r w:rsidR="002C2A41" w:rsidRPr="00BE597A">
        <w:t xml:space="preserve"> </w:t>
      </w:r>
      <w:r w:rsidR="00340A25" w:rsidRPr="00BE597A">
        <w:t xml:space="preserve">Shalom </w:t>
      </w:r>
      <w:r w:rsidR="002C2A41" w:rsidRPr="00BE597A">
        <w:t>Tourgema</w:t>
      </w:r>
      <w:r w:rsidR="003D61BC" w:rsidRPr="00BE597A">
        <w:t xml:space="preserve">n and </w:t>
      </w:r>
      <w:r w:rsidR="00340A25" w:rsidRPr="00BE597A">
        <w:t xml:space="preserve">Yoram </w:t>
      </w:r>
      <w:r w:rsidR="003D61BC" w:rsidRPr="00BE597A">
        <w:t>Turbowitz have both denied</w:t>
      </w:r>
      <w:r w:rsidR="00551575" w:rsidRPr="00BE597A">
        <w:t xml:space="preserve"> </w:t>
      </w:r>
      <w:r w:rsidR="003D61BC" w:rsidRPr="00BE597A">
        <w:t>it</w:t>
      </w:r>
      <w:r w:rsidR="002C2A41" w:rsidRPr="00BE597A">
        <w:t>, and</w:t>
      </w:r>
      <w:r w:rsidR="003E05DD" w:rsidRPr="00BE597A">
        <w:t xml:space="preserve"> </w:t>
      </w:r>
      <w:r w:rsidR="002C2A41" w:rsidRPr="00BE597A">
        <w:t xml:space="preserve">Palestinian officials </w:t>
      </w:r>
      <w:r w:rsidR="00E82216" w:rsidRPr="00BE597A">
        <w:t>visiting Moscow in October 2008 reported to Arab ambassadors there that ‘there is no serious progress on any of the permanent status issues</w:t>
      </w:r>
      <w:r w:rsidR="00E82216" w:rsidRPr="00BE597A">
        <w:rPr>
          <w:rStyle w:val="FooterChar"/>
        </w:rPr>
        <w:t>.’</w:t>
      </w:r>
      <w:r w:rsidR="00BE1F1D" w:rsidRPr="00BE597A">
        <w:rPr>
          <w:rStyle w:val="FootnoteReference"/>
        </w:rPr>
        <w:footnoteReference w:id="117"/>
      </w:r>
      <w:r w:rsidR="00FF0C46" w:rsidRPr="00BE597A">
        <w:t xml:space="preserve"> </w:t>
      </w:r>
    </w:p>
    <w:p w14:paraId="3D7674FA" w14:textId="7EB5AC41" w:rsidR="00894129" w:rsidRPr="00BE597A" w:rsidRDefault="00736D4F" w:rsidP="00917109">
      <w:pPr>
        <w:pStyle w:val="BodyTextIndent"/>
        <w:spacing w:line="480" w:lineRule="auto"/>
        <w:ind w:firstLine="0"/>
        <w:contextualSpacing/>
      </w:pPr>
      <w:r w:rsidRPr="00BE597A">
        <w:tab/>
        <w:t>Nonetheless, Olmert verbally outline</w:t>
      </w:r>
      <w:r w:rsidR="00167FEA" w:rsidRPr="00BE597A">
        <w:t>d</w:t>
      </w:r>
      <w:r w:rsidRPr="00BE597A">
        <w:t xml:space="preserve"> a</w:t>
      </w:r>
      <w:r w:rsidR="00167FEA" w:rsidRPr="00BE597A">
        <w:t xml:space="preserve"> </w:t>
      </w:r>
      <w:r w:rsidR="00B92162" w:rsidRPr="00BE597A">
        <w:t>significant</w:t>
      </w:r>
      <w:r w:rsidRPr="00BE597A">
        <w:t xml:space="preserve"> proposal to Abu Mazen on 16 September, 2008</w:t>
      </w:r>
      <w:r w:rsidR="00272236" w:rsidRPr="00BE597A">
        <w:t xml:space="preserve"> and insisted that he sign an accompanying map then and there. Abu Mazen did not, but instead requested a copy of the map to study further, which Olmert refused. They agreed to a meeting of advisors the following day but the Palestinians cancelled and the meeting never took place.</w:t>
      </w:r>
      <w:r w:rsidR="00272236" w:rsidRPr="00BE597A">
        <w:rPr>
          <w:rStyle w:val="FootnoteReference"/>
        </w:rPr>
        <w:footnoteReference w:id="118"/>
      </w:r>
      <w:r w:rsidR="00272236" w:rsidRPr="00BE597A">
        <w:t xml:space="preserve"> Although this episode has become another staple in the Israeli narrative of Palestinian rejectionism, the reality is more complicated. Abu Mazen never rejected it or made a counter-offer, but rather, as </w:t>
      </w:r>
      <w:r w:rsidR="000E19AC" w:rsidRPr="00BE597A">
        <w:t>Abrams, Kurtzer</w:t>
      </w:r>
      <w:r w:rsidR="007E6F85" w:rsidRPr="00BE597A">
        <w:t xml:space="preserve"> </w:t>
      </w:r>
      <w:r w:rsidR="007E6F85" w:rsidRPr="00BE597A">
        <w:rPr>
          <w:i/>
        </w:rPr>
        <w:t>et al</w:t>
      </w:r>
      <w:r w:rsidR="000E19AC" w:rsidRPr="00BE597A">
        <w:t xml:space="preserve">, and </w:t>
      </w:r>
      <w:r w:rsidR="00272236" w:rsidRPr="00BE597A">
        <w:t>Thral</w:t>
      </w:r>
      <w:r w:rsidR="000E19AC" w:rsidRPr="00BE597A">
        <w:t>l argue</w:t>
      </w:r>
      <w:r w:rsidR="00272236" w:rsidRPr="00BE597A">
        <w:t>, had a number of questions about the propo</w:t>
      </w:r>
      <w:r w:rsidR="004B554C" w:rsidRPr="00BE597A">
        <w:t>sal that were never answered. The proposal remained vague and</w:t>
      </w:r>
      <w:r w:rsidR="00272236" w:rsidRPr="00BE597A">
        <w:t xml:space="preserve"> </w:t>
      </w:r>
      <w:r w:rsidR="004B554C" w:rsidRPr="00BE597A">
        <w:t xml:space="preserve">there was </w:t>
      </w:r>
      <w:r w:rsidR="00272236" w:rsidRPr="00BE597A">
        <w:t>inconsistency in the details</w:t>
      </w:r>
      <w:r w:rsidR="000E19AC" w:rsidRPr="00BE597A">
        <w:t>, such as territorial percentages,</w:t>
      </w:r>
      <w:r w:rsidR="00272236" w:rsidRPr="00BE597A">
        <w:t xml:space="preserve"> that were not clarified.</w:t>
      </w:r>
      <w:r w:rsidR="00272236" w:rsidRPr="00BE597A">
        <w:rPr>
          <w:rStyle w:val="FootnoteReference"/>
        </w:rPr>
        <w:footnoteReference w:id="119"/>
      </w:r>
      <w:r w:rsidRPr="00BE597A">
        <w:t xml:space="preserve"> </w:t>
      </w:r>
      <w:r w:rsidR="00B92162" w:rsidRPr="00BE597A">
        <w:t>Notwithstanding the fact that is was poorly handled</w:t>
      </w:r>
      <w:r w:rsidR="006A7943" w:rsidRPr="00BE597A">
        <w:t>, t</w:t>
      </w:r>
      <w:r w:rsidR="006374A2" w:rsidRPr="00BE597A">
        <w:t>he very fact that Olmer</w:t>
      </w:r>
      <w:r w:rsidR="006A7943" w:rsidRPr="00BE597A">
        <w:t xml:space="preserve">t reached this point </w:t>
      </w:r>
      <w:r w:rsidR="006C7044" w:rsidRPr="00BE597A">
        <w:t xml:space="preserve">and went further than all previous leaders </w:t>
      </w:r>
      <w:r w:rsidR="006374A2" w:rsidRPr="00BE597A">
        <w:t xml:space="preserve">suggests that </w:t>
      </w:r>
      <w:r w:rsidR="00B944DE" w:rsidRPr="00BE597A">
        <w:t>progress had been made</w:t>
      </w:r>
      <w:r w:rsidR="00AD21B3" w:rsidRPr="00BE597A">
        <w:t xml:space="preserve"> and that there was some merit to the mediation strategy </w:t>
      </w:r>
      <w:r w:rsidR="004E359F" w:rsidRPr="00BE597A">
        <w:t>used</w:t>
      </w:r>
      <w:r w:rsidR="00AD21B3" w:rsidRPr="00BE597A">
        <w:t>.</w:t>
      </w:r>
      <w:r w:rsidR="00B944DE" w:rsidRPr="00BE597A">
        <w:t xml:space="preserve"> </w:t>
      </w:r>
    </w:p>
    <w:p w14:paraId="3DDD238A" w14:textId="4E681A92" w:rsidR="00C95A04" w:rsidRPr="00BE597A" w:rsidRDefault="00D67B10" w:rsidP="00917109">
      <w:pPr>
        <w:pStyle w:val="BodyTextIndent"/>
        <w:spacing w:line="480" w:lineRule="auto"/>
        <w:ind w:firstLine="0"/>
        <w:contextualSpacing/>
      </w:pPr>
      <w:r w:rsidRPr="00BE597A">
        <w:tab/>
      </w:r>
    </w:p>
    <w:p w14:paraId="67A92A5D" w14:textId="10581373" w:rsidR="00C95A04" w:rsidRPr="00BE597A" w:rsidRDefault="00C95A04" w:rsidP="009058A3">
      <w:pPr>
        <w:pStyle w:val="BodyTextIndent"/>
        <w:spacing w:line="480" w:lineRule="auto"/>
        <w:ind w:firstLine="0"/>
        <w:contextualSpacing/>
        <w:rPr>
          <w:b/>
        </w:rPr>
      </w:pPr>
      <w:r w:rsidRPr="00BE597A">
        <w:rPr>
          <w:b/>
        </w:rPr>
        <w:t>Bridging proposals</w:t>
      </w:r>
    </w:p>
    <w:p w14:paraId="5FCB2BB1" w14:textId="77777777" w:rsidR="00C95A04" w:rsidRPr="00BE597A" w:rsidRDefault="00C95A04" w:rsidP="00917109">
      <w:pPr>
        <w:pStyle w:val="BodyTextIndent"/>
        <w:spacing w:line="480" w:lineRule="auto"/>
        <w:contextualSpacing/>
      </w:pPr>
    </w:p>
    <w:p w14:paraId="53D57EA1" w14:textId="2316D459" w:rsidR="004F7693" w:rsidRPr="00BE597A" w:rsidRDefault="00F47CC1" w:rsidP="00917109">
      <w:pPr>
        <w:pStyle w:val="BodyTextIndent"/>
        <w:spacing w:line="480" w:lineRule="auto"/>
        <w:contextualSpacing/>
      </w:pPr>
      <w:r w:rsidRPr="00BE597A">
        <w:t>While documents from the Palestinian Negotiations Support Unit (NSU) emphasise that the parties did not want bridging proposals, i</w:t>
      </w:r>
      <w:r w:rsidR="002E2398" w:rsidRPr="00BE597A">
        <w:t>n a 2011 interview Abu Mazen suggested that US bridging proposals were required.</w:t>
      </w:r>
      <w:r w:rsidR="002E2398" w:rsidRPr="00BE597A">
        <w:rPr>
          <w:rStyle w:val="FootnoteReference"/>
        </w:rPr>
        <w:footnoteReference w:id="120"/>
      </w:r>
      <w:r w:rsidR="00B7799B" w:rsidRPr="00BE597A">
        <w:t xml:space="preserve"> Indeed</w:t>
      </w:r>
      <w:r w:rsidR="00EF02AE" w:rsidRPr="00BE597A">
        <w:t>,</w:t>
      </w:r>
      <w:r w:rsidR="003C625E" w:rsidRPr="00BE597A">
        <w:t xml:space="preserve"> at a certain point</w:t>
      </w:r>
      <w:r w:rsidR="00B93510" w:rsidRPr="00BE597A">
        <w:t xml:space="preserve"> more</w:t>
      </w:r>
      <w:r w:rsidR="003C625E" w:rsidRPr="00BE597A">
        <w:t xml:space="preserve"> coercive US med</w:t>
      </w:r>
      <w:r w:rsidR="00B93510" w:rsidRPr="00BE597A">
        <w:t xml:space="preserve">iation could have been welcome. </w:t>
      </w:r>
      <w:r w:rsidR="00B46529" w:rsidRPr="00BE597A">
        <w:t>During the 2008 negotiations, that point appears to have been some time between June 2008 and January 2009</w:t>
      </w:r>
      <w:r w:rsidR="00561B04" w:rsidRPr="00BE597A">
        <w:t>, when Bush was due to leave office</w:t>
      </w:r>
      <w:r w:rsidR="00B46529" w:rsidRPr="00BE597A">
        <w:t xml:space="preserve">. </w:t>
      </w:r>
    </w:p>
    <w:p w14:paraId="2E1D04C0" w14:textId="2D4E05B2" w:rsidR="00F66AA3" w:rsidRPr="00BE597A" w:rsidRDefault="00B46529" w:rsidP="00917109">
      <w:pPr>
        <w:pStyle w:val="BodyTextIndent"/>
        <w:spacing w:line="480" w:lineRule="auto"/>
        <w:contextualSpacing/>
      </w:pPr>
      <w:r w:rsidRPr="00BE597A">
        <w:t>Olmert had made Rice aware of his vision of a deal during her May 2008 visit to Jerusalem, and he gradually communicated this vision to A</w:t>
      </w:r>
      <w:r w:rsidR="00736D4F" w:rsidRPr="00BE597A">
        <w:t xml:space="preserve">bu Mazen in </w:t>
      </w:r>
      <w:r w:rsidR="00AD02D4" w:rsidRPr="00BE597A">
        <w:t xml:space="preserve">their </w:t>
      </w:r>
      <w:r w:rsidR="00736D4F" w:rsidRPr="00BE597A">
        <w:t>subsequent meetings, culminating in his proposal of 16 September.</w:t>
      </w:r>
      <w:r w:rsidR="00620531" w:rsidRPr="00BE597A">
        <w:rPr>
          <w:rStyle w:val="FootnoteReference"/>
        </w:rPr>
        <w:footnoteReference w:id="121"/>
      </w:r>
      <w:r w:rsidR="00736D4F" w:rsidRPr="00BE597A">
        <w:t xml:space="preserve"> </w:t>
      </w:r>
      <w:r w:rsidR="008A6950" w:rsidRPr="00BE597A">
        <w:t>Following one of their</w:t>
      </w:r>
      <w:r w:rsidR="0033031F" w:rsidRPr="00BE597A">
        <w:t xml:space="preserve"> bilateral</w:t>
      </w:r>
      <w:r w:rsidR="008A6950" w:rsidRPr="00BE597A">
        <w:t xml:space="preserve"> meetings in </w:t>
      </w:r>
      <w:r w:rsidR="0033031F" w:rsidRPr="00BE597A">
        <w:t xml:space="preserve">early </w:t>
      </w:r>
      <w:r w:rsidR="008A6950" w:rsidRPr="00BE597A">
        <w:t xml:space="preserve">August, a document </w:t>
      </w:r>
      <w:r w:rsidR="0033031F" w:rsidRPr="00BE597A">
        <w:t>entitled ‘President Bush Presents a “Trilateral Understanding”’</w:t>
      </w:r>
      <w:r w:rsidR="004205FA" w:rsidRPr="00BE597A">
        <w:t xml:space="preserve"> </w:t>
      </w:r>
      <w:r w:rsidR="0033031F" w:rsidRPr="00BE597A">
        <w:t>was drawn up</w:t>
      </w:r>
      <w:r w:rsidR="004205FA" w:rsidRPr="00BE597A">
        <w:t xml:space="preserve"> based on </w:t>
      </w:r>
      <w:r w:rsidR="0033031F" w:rsidRPr="00BE597A">
        <w:t>their</w:t>
      </w:r>
      <w:r w:rsidR="004205FA" w:rsidRPr="00BE597A">
        <w:t xml:space="preserve"> talks</w:t>
      </w:r>
      <w:r w:rsidR="0033031F" w:rsidRPr="00BE597A">
        <w:t>, and was</w:t>
      </w:r>
      <w:r w:rsidR="004205FA" w:rsidRPr="00BE597A">
        <w:t xml:space="preserve"> to be presented</w:t>
      </w:r>
      <w:r w:rsidR="0033031F" w:rsidRPr="00BE597A">
        <w:t xml:space="preserve"> during the</w:t>
      </w:r>
      <w:r w:rsidR="004205FA" w:rsidRPr="00BE597A">
        <w:t xml:space="preserve"> first week of September. This</w:t>
      </w:r>
      <w:r w:rsidR="0033031F" w:rsidRPr="00BE597A">
        <w:t xml:space="preserve"> seven-point</w:t>
      </w:r>
      <w:r w:rsidR="004205FA" w:rsidRPr="00BE597A">
        <w:t xml:space="preserve"> document </w:t>
      </w:r>
      <w:r w:rsidR="0033031F" w:rsidRPr="00BE597A">
        <w:t>resembles a framework agreement on permanent status, in that it delineates the basic approaches to territory, Jerusalem, refugees, and other issues, although</w:t>
      </w:r>
      <w:r w:rsidR="004205FA" w:rsidRPr="00BE597A">
        <w:t xml:space="preserve"> it remains </w:t>
      </w:r>
      <w:r w:rsidR="0033031F" w:rsidRPr="00BE597A">
        <w:t xml:space="preserve">(perhaps deliberately) </w:t>
      </w:r>
      <w:r w:rsidR="004205FA" w:rsidRPr="00BE597A">
        <w:t>vague in parts and leaves details to be negotiated.</w:t>
      </w:r>
      <w:r w:rsidR="00560A71" w:rsidRPr="00BE597A">
        <w:rPr>
          <w:rStyle w:val="FootnoteReference"/>
        </w:rPr>
        <w:footnoteReference w:id="122"/>
      </w:r>
      <w:r w:rsidRPr="00BE597A">
        <w:t xml:space="preserve"> </w:t>
      </w:r>
      <w:r w:rsidR="000322A9" w:rsidRPr="00BE597A">
        <w:t>While the author and origins of it are unclear, it suggests that the US was considering presenting a framework agreement to summarise the fruits of negotiations up until that point</w:t>
      </w:r>
      <w:r w:rsidR="008841E4" w:rsidRPr="00BE597A">
        <w:t>, possibly to the UN General Assembly in September</w:t>
      </w:r>
      <w:r w:rsidR="000322A9" w:rsidRPr="00BE597A">
        <w:t>.</w:t>
      </w:r>
      <w:r w:rsidR="000909EB" w:rsidRPr="00BE597A">
        <w:rPr>
          <w:rStyle w:val="FootnoteReference"/>
        </w:rPr>
        <w:footnoteReference w:id="123"/>
      </w:r>
    </w:p>
    <w:p w14:paraId="193F9C5C" w14:textId="6D2A335C" w:rsidR="00F962A5" w:rsidRPr="00BE597A" w:rsidRDefault="00B46529" w:rsidP="00917109">
      <w:pPr>
        <w:pStyle w:val="BodyTextIndent"/>
        <w:spacing w:line="480" w:lineRule="auto"/>
        <w:contextualSpacing/>
      </w:pPr>
      <w:r w:rsidRPr="00BE597A">
        <w:t xml:space="preserve">Golan and Abrams both recount a somewhat confusing final instance at the end of 2008 where the US could have </w:t>
      </w:r>
      <w:r w:rsidR="003C3514" w:rsidRPr="00BE597A">
        <w:t>pushed</w:t>
      </w:r>
      <w:r w:rsidRPr="00BE597A">
        <w:t xml:space="preserve"> </w:t>
      </w:r>
      <w:r w:rsidR="003C3514" w:rsidRPr="00BE597A">
        <w:t>to finalise a framework</w:t>
      </w:r>
      <w:r w:rsidRPr="00BE597A">
        <w:t xml:space="preserve"> agreement. President Bush has explained that the idea was for Olmert to deposit his proposal with him in Washington DC in November, Abu Mazen would then agree during his December visit, and a deal would be finalised in January. However, the Palestinians came to Washington DC on 18 December and Abu Mazen did not agree to Olmert’s proposal. The Palestinians claim it was agreed that the negotiators would come back on 3 January, 2009, to finalise a framework agreement. Olmert claims that he was never invited to such a meeting, </w:t>
      </w:r>
      <w:r w:rsidR="00CE2433" w:rsidRPr="00BE597A">
        <w:t>and in any event</w:t>
      </w:r>
      <w:r w:rsidR="008841E4" w:rsidRPr="00BE597A">
        <w:t xml:space="preserve">, </w:t>
      </w:r>
      <w:r w:rsidR="00CE2433" w:rsidRPr="00BE597A">
        <w:t>it</w:t>
      </w:r>
      <w:r w:rsidR="008841E4" w:rsidRPr="00BE597A">
        <w:t xml:space="preserve"> was cancelled due to violence in Gaza</w:t>
      </w:r>
      <w:r w:rsidRPr="00BE597A">
        <w:t>.</w:t>
      </w:r>
      <w:r w:rsidRPr="00BE597A">
        <w:rPr>
          <w:rStyle w:val="FootnoteReference"/>
        </w:rPr>
        <w:footnoteReference w:id="124"/>
      </w:r>
      <w:r w:rsidRPr="00BE597A">
        <w:t xml:space="preserve"> </w:t>
      </w:r>
      <w:r w:rsidR="00B3112D" w:rsidRPr="00BE597A">
        <w:t xml:space="preserve">An opportunity for intensive diplomatic engagement to formulate and mediate a bridging proposal </w:t>
      </w:r>
      <w:r w:rsidR="002A0182" w:rsidRPr="00BE597A">
        <w:t xml:space="preserve">based on Olmert’s offer </w:t>
      </w:r>
      <w:r w:rsidR="00B3112D" w:rsidRPr="00BE597A">
        <w:t>was missed.</w:t>
      </w:r>
      <w:r w:rsidR="006818F5" w:rsidRPr="00BE597A">
        <w:rPr>
          <w:rStyle w:val="FootnoteReference"/>
        </w:rPr>
        <w:footnoteReference w:id="125"/>
      </w:r>
      <w:r w:rsidR="00F962A5" w:rsidRPr="00BE597A">
        <w:t xml:space="preserve"> </w:t>
      </w:r>
    </w:p>
    <w:p w14:paraId="62DC5D21" w14:textId="69246274" w:rsidR="001A2AE2" w:rsidRPr="00BE597A" w:rsidRDefault="00F962A5" w:rsidP="00917109">
      <w:pPr>
        <w:pStyle w:val="BodyTextIndent"/>
        <w:spacing w:line="480" w:lineRule="auto"/>
        <w:contextualSpacing/>
      </w:pPr>
      <w:r w:rsidRPr="00BE597A">
        <w:t>Bush has been described by a former senior American official as a President reluctant ‘to get involved in that kind of detailed, mind-boggling nuanced nego</w:t>
      </w:r>
      <w:r w:rsidR="00C1747C" w:rsidRPr="00BE597A">
        <w:t>tiation and diplomatic activity</w:t>
      </w:r>
      <w:r w:rsidRPr="00BE597A">
        <w:t>’</w:t>
      </w:r>
      <w:r w:rsidR="00C1747C" w:rsidRPr="00BE597A">
        <w:t>, which fit the neo-conservative ‘Skeptic’ mould.</w:t>
      </w:r>
      <w:r w:rsidRPr="00BE597A">
        <w:rPr>
          <w:rStyle w:val="FootnoteReference"/>
        </w:rPr>
        <w:footnoteReference w:id="126"/>
      </w:r>
      <w:r w:rsidRPr="00BE597A">
        <w:t xml:space="preserve"> </w:t>
      </w:r>
      <w:r w:rsidR="000E20EA" w:rsidRPr="00BE597A">
        <w:t>This could</w:t>
      </w:r>
      <w:r w:rsidRPr="00BE597A">
        <w:t xml:space="preserve"> in fact </w:t>
      </w:r>
      <w:r w:rsidR="000E20EA" w:rsidRPr="00BE597A">
        <w:t xml:space="preserve">have </w:t>
      </w:r>
      <w:r w:rsidRPr="00BE597A">
        <w:t>be</w:t>
      </w:r>
      <w:r w:rsidR="000E20EA" w:rsidRPr="00BE597A">
        <w:t>en turned into a</w:t>
      </w:r>
      <w:r w:rsidRPr="00BE597A">
        <w:t xml:space="preserve"> positive. Miller argues that Clinton’s commitment was such that it reached the point where his availability and presence became taken for granted. While this showed intense commitment, it also meant that a toughness, an ability to intimidate, and the credibility of threats to walk away in the face of intransigence were lost.</w:t>
      </w:r>
      <w:r w:rsidRPr="00BE597A">
        <w:rPr>
          <w:rStyle w:val="FootnoteReference"/>
        </w:rPr>
        <w:footnoteReference w:id="127"/>
      </w:r>
      <w:r w:rsidR="000E20EA" w:rsidRPr="00BE597A">
        <w:t xml:space="preserve"> Although Bush may have accumulated goodwill and credibil</w:t>
      </w:r>
      <w:r w:rsidR="00C95C56" w:rsidRPr="00BE597A">
        <w:t>ity, he was unwilling to use it to secure any type of agreement.</w:t>
      </w:r>
    </w:p>
    <w:p w14:paraId="59A61450" w14:textId="701AEF0F" w:rsidR="00254272" w:rsidRPr="00BE597A" w:rsidRDefault="000545AD" w:rsidP="00917109">
      <w:pPr>
        <w:pStyle w:val="BodyTextIndent"/>
        <w:spacing w:line="480" w:lineRule="auto"/>
        <w:contextualSpacing/>
      </w:pPr>
      <w:r w:rsidRPr="00BE597A">
        <w:t>C</w:t>
      </w:r>
      <w:r w:rsidR="001815E7" w:rsidRPr="00BE597A">
        <w:t xml:space="preserve">ontextual factors </w:t>
      </w:r>
      <w:r w:rsidR="000778E5" w:rsidRPr="00BE597A">
        <w:t>have been identified as</w:t>
      </w:r>
      <w:r w:rsidR="00294B19" w:rsidRPr="00BE597A">
        <w:t xml:space="preserve"> </w:t>
      </w:r>
      <w:r w:rsidR="000778E5" w:rsidRPr="00BE597A">
        <w:t>the main</w:t>
      </w:r>
      <w:r w:rsidR="001F4BA9" w:rsidRPr="00BE597A">
        <w:t xml:space="preserve"> reason for</w:t>
      </w:r>
      <w:r w:rsidR="001815E7" w:rsidRPr="00BE597A">
        <w:t xml:space="preserve"> the failure of the negotiations.</w:t>
      </w:r>
      <w:r w:rsidR="001F4BA9" w:rsidRPr="00BE597A">
        <w:t xml:space="preserve"> </w:t>
      </w:r>
      <w:r w:rsidR="0021174A" w:rsidRPr="00BE597A">
        <w:t xml:space="preserve">Although committed, both leaders were weak, and although this weakness may actually have strengthened their commitment, it </w:t>
      </w:r>
      <w:r w:rsidR="00A36B02" w:rsidRPr="00BE597A">
        <w:t>did little to inspire confidence</w:t>
      </w:r>
      <w:r w:rsidR="0021174A" w:rsidRPr="00BE597A">
        <w:t xml:space="preserve">. </w:t>
      </w:r>
      <w:r w:rsidR="00297D38" w:rsidRPr="00BE597A">
        <w:t xml:space="preserve">Abu Mazen was politically weak, struggling to effectively confront the challenge </w:t>
      </w:r>
      <w:r w:rsidR="004E119D" w:rsidRPr="00BE597A">
        <w:t xml:space="preserve">from Hamas, </w:t>
      </w:r>
      <w:r w:rsidR="005F1609" w:rsidRPr="00BE597A">
        <w:t>and his popula</w:t>
      </w:r>
      <w:r w:rsidR="00FE2CAF" w:rsidRPr="00BE597A">
        <w:t>rity among Palestinians was</w:t>
      </w:r>
      <w:r w:rsidR="005F1609" w:rsidRPr="00BE597A">
        <w:t xml:space="preserve"> low.</w:t>
      </w:r>
      <w:r w:rsidR="00D16ED4" w:rsidRPr="00BE597A">
        <w:t xml:space="preserve"> </w:t>
      </w:r>
      <w:r w:rsidR="00FE2CAF" w:rsidRPr="00BE597A">
        <w:t xml:space="preserve">Similarly, </w:t>
      </w:r>
      <w:r w:rsidR="005F1609" w:rsidRPr="00BE597A">
        <w:t xml:space="preserve">Olmert had been irreparably damaged by the </w:t>
      </w:r>
      <w:r w:rsidR="00874D49" w:rsidRPr="00BE597A">
        <w:t>poorly managed</w:t>
      </w:r>
      <w:r w:rsidR="005F1609" w:rsidRPr="00BE597A">
        <w:t xml:space="preserve"> 2006 Lebanon War against Hizb’allah</w:t>
      </w:r>
      <w:r w:rsidR="00FE2CAF" w:rsidRPr="00BE597A">
        <w:t xml:space="preserve"> and had the lowest approval ratings of any Israeli Prime Minister in history</w:t>
      </w:r>
      <w:r w:rsidR="005F1609" w:rsidRPr="00BE597A">
        <w:t>.</w:t>
      </w:r>
      <w:r w:rsidR="00F12906" w:rsidRPr="00BE597A">
        <w:rPr>
          <w:rStyle w:val="FootnoteReference"/>
        </w:rPr>
        <w:footnoteReference w:id="128"/>
      </w:r>
      <w:r w:rsidR="00D16ED4" w:rsidRPr="00BE597A">
        <w:t xml:space="preserve"> </w:t>
      </w:r>
      <w:r w:rsidR="00725720" w:rsidRPr="00BE597A">
        <w:t>Furthermore</w:t>
      </w:r>
      <w:r w:rsidR="004E2475" w:rsidRPr="00BE597A">
        <w:t xml:space="preserve">, corruption </w:t>
      </w:r>
      <w:r w:rsidR="001C232E" w:rsidRPr="00BE597A">
        <w:t xml:space="preserve">accusations and </w:t>
      </w:r>
      <w:r w:rsidR="004E2475" w:rsidRPr="00BE597A">
        <w:t>charges were being brought against him</w:t>
      </w:r>
      <w:r w:rsidR="00A21ABD" w:rsidRPr="00BE597A">
        <w:t xml:space="preserve"> throughout 2008</w:t>
      </w:r>
      <w:r w:rsidR="001407AE" w:rsidRPr="00BE597A">
        <w:t xml:space="preserve"> and he was forced to </w:t>
      </w:r>
      <w:r w:rsidR="00A21ABD" w:rsidRPr="00BE597A">
        <w:t xml:space="preserve">effectively </w:t>
      </w:r>
      <w:r w:rsidR="001407AE" w:rsidRPr="00BE597A">
        <w:t>resign</w:t>
      </w:r>
      <w:r w:rsidR="00A21ABD" w:rsidRPr="00BE597A">
        <w:t xml:space="preserve"> on 30 July, announcing that he would not stand in the Kadima party primaries. His official resignation came</w:t>
      </w:r>
      <w:r w:rsidR="001407AE" w:rsidRPr="00BE597A">
        <w:t xml:space="preserve"> on 21 September, </w:t>
      </w:r>
      <w:r w:rsidR="00B55A8D" w:rsidRPr="00BE597A">
        <w:t>2008, and h</w:t>
      </w:r>
      <w:r w:rsidR="004E2475" w:rsidRPr="00BE597A">
        <w:t>is mandate to negotiate as a caretaker Prime Minister was questionable.</w:t>
      </w:r>
      <w:r w:rsidR="00764509" w:rsidRPr="00BE597A">
        <w:rPr>
          <w:rStyle w:val="FootnoteReference"/>
        </w:rPr>
        <w:footnoteReference w:id="129"/>
      </w:r>
      <w:r w:rsidR="00DE14E2" w:rsidRPr="00BE597A">
        <w:t xml:space="preserve"> Thus, on both sides there were serious doubts about whether the other would be able to deliver their respective publics and implement an agreement.</w:t>
      </w:r>
    </w:p>
    <w:p w14:paraId="388A986D" w14:textId="096AD7CA" w:rsidR="00CA5871" w:rsidRPr="00BE597A" w:rsidRDefault="00254272" w:rsidP="00917109">
      <w:pPr>
        <w:pStyle w:val="BodyTextIndent"/>
        <w:spacing w:line="480" w:lineRule="auto"/>
        <w:contextualSpacing/>
      </w:pPr>
      <w:r w:rsidRPr="00BE597A">
        <w:t xml:space="preserve">Moreover, division </w:t>
      </w:r>
      <w:r w:rsidR="001D778D" w:rsidRPr="00BE597A">
        <w:t xml:space="preserve">and political intrigue </w:t>
      </w:r>
      <w:r w:rsidRPr="00BE597A">
        <w:t xml:space="preserve">within the Israeli government led to mixed messages being sent to the Palestinians. Multiple sources report that </w:t>
      </w:r>
      <w:r w:rsidR="008D5BE5" w:rsidRPr="00BE597A">
        <w:t>from September</w:t>
      </w:r>
      <w:r w:rsidR="0058269D" w:rsidRPr="00BE597A">
        <w:t xml:space="preserve"> 2008, </w:t>
      </w:r>
      <w:r w:rsidRPr="00BE597A">
        <w:t xml:space="preserve">Abu Mazen was being encouraged by Livni </w:t>
      </w:r>
      <w:r w:rsidR="00BC568F" w:rsidRPr="00BE597A">
        <w:t xml:space="preserve">and </w:t>
      </w:r>
      <w:r w:rsidR="00725720" w:rsidRPr="00BE597A">
        <w:t xml:space="preserve">former Prime Minister Ehud Barak </w:t>
      </w:r>
      <w:r w:rsidRPr="00BE597A">
        <w:t>not to sign anything with Olmert</w:t>
      </w:r>
      <w:r w:rsidR="00897294" w:rsidRPr="00BE597A">
        <w:t xml:space="preserve"> due to his weak standing</w:t>
      </w:r>
      <w:r w:rsidRPr="00BE597A">
        <w:t>, and that he should wait until Livni had achieved her ambition to become the new Israeli Prime Minister.</w:t>
      </w:r>
      <w:r w:rsidR="000D7744" w:rsidRPr="00BE597A">
        <w:rPr>
          <w:rStyle w:val="FootnoteReference"/>
        </w:rPr>
        <w:footnoteReference w:id="130"/>
      </w:r>
      <w:r w:rsidRPr="00BE597A">
        <w:t xml:space="preserve"> Even </w:t>
      </w:r>
      <w:r w:rsidR="00291231" w:rsidRPr="00BE597A">
        <w:t>though</w:t>
      </w:r>
      <w:r w:rsidRPr="00BE597A">
        <w:t xml:space="preserve"> the terms might not have been better – </w:t>
      </w:r>
      <w:r w:rsidR="002A0182" w:rsidRPr="00BE597A">
        <w:t>the Palestine Papers</w:t>
      </w:r>
      <w:r w:rsidR="00464BFA" w:rsidRPr="00BE597A">
        <w:t xml:space="preserve"> suggest that </w:t>
      </w:r>
      <w:r w:rsidRPr="00BE597A">
        <w:t>Livni was a tough negotiator</w:t>
      </w:r>
      <w:r w:rsidR="00464BFA" w:rsidRPr="00BE597A">
        <w:t>, particularly on refugees,</w:t>
      </w:r>
      <w:r w:rsidR="00A81867" w:rsidRPr="00BE597A">
        <w:rPr>
          <w:rStyle w:val="FootnoteReference"/>
        </w:rPr>
        <w:footnoteReference w:id="131"/>
      </w:r>
      <w:r w:rsidR="00344A62" w:rsidRPr="00BE597A">
        <w:t xml:space="preserve"> </w:t>
      </w:r>
      <w:r w:rsidRPr="00BE597A">
        <w:t>and Olmert went further than she</w:t>
      </w:r>
      <w:r w:rsidR="00B620EC" w:rsidRPr="00BE597A">
        <w:t xml:space="preserve"> probably</w:t>
      </w:r>
      <w:r w:rsidRPr="00BE597A">
        <w:t xml:space="preserve"> would have done – she would have had a better mandate to implement a deal. </w:t>
      </w:r>
      <w:r w:rsidR="007149FA" w:rsidRPr="00BE597A">
        <w:t>P</w:t>
      </w:r>
      <w:r w:rsidR="00FD1526" w:rsidRPr="00BE597A">
        <w:t xml:space="preserve">olitical competition between Olmert and Livni </w:t>
      </w:r>
      <w:r w:rsidR="007149FA" w:rsidRPr="00BE597A">
        <w:t>is also likely to have informed Olmert’s preference for a separate negotiating track with Abu Mazen and the lack of synchronisation between that track and Livni’s negotiations.</w:t>
      </w:r>
      <w:r w:rsidR="007149FA" w:rsidRPr="00BE597A">
        <w:rPr>
          <w:rStyle w:val="FootnoteReference"/>
        </w:rPr>
        <w:footnoteReference w:id="132"/>
      </w:r>
      <w:r w:rsidR="007149FA" w:rsidRPr="00BE597A">
        <w:t xml:space="preserve"> </w:t>
      </w:r>
      <w:r w:rsidR="008D5BE5" w:rsidRPr="00BE597A">
        <w:t xml:space="preserve">Livni’s leadership bid </w:t>
      </w:r>
      <w:r w:rsidR="00E004C5" w:rsidRPr="00BE597A">
        <w:t xml:space="preserve">for the Kadima party </w:t>
      </w:r>
      <w:r w:rsidR="004D27B8" w:rsidRPr="00BE597A">
        <w:t xml:space="preserve">also meant that her negotiating posture changed, with Abu Ala </w:t>
      </w:r>
      <w:r w:rsidR="009519EA" w:rsidRPr="00BE597A">
        <w:t>complaining to Rice that she was not focused.</w:t>
      </w:r>
      <w:r w:rsidR="00E05E77" w:rsidRPr="00BE597A">
        <w:rPr>
          <w:rStyle w:val="FootnoteReference"/>
        </w:rPr>
        <w:footnoteReference w:id="133"/>
      </w:r>
      <w:r w:rsidR="009519EA" w:rsidRPr="00BE597A">
        <w:t xml:space="preserve"> </w:t>
      </w:r>
      <w:r w:rsidR="00084D06" w:rsidRPr="00BE597A">
        <w:t>During an August negotiation session</w:t>
      </w:r>
      <w:r w:rsidR="009519EA" w:rsidRPr="00BE597A">
        <w:t xml:space="preserve">, she was </w:t>
      </w:r>
      <w:r w:rsidR="00B24DA6" w:rsidRPr="00BE597A">
        <w:t>unwilling to d</w:t>
      </w:r>
      <w:r w:rsidR="009519EA" w:rsidRPr="00BE597A">
        <w:t>iscuss Jerusalem</w:t>
      </w:r>
      <w:r w:rsidR="00B24DA6" w:rsidRPr="00BE597A">
        <w:t>, lest anything should leak and harm her campaign.</w:t>
      </w:r>
      <w:r w:rsidR="00835291" w:rsidRPr="00BE597A">
        <w:rPr>
          <w:rStyle w:val="FootnoteReference"/>
        </w:rPr>
        <w:footnoteReference w:id="134"/>
      </w:r>
    </w:p>
    <w:p w14:paraId="602CE93D" w14:textId="31E5BD58" w:rsidR="003B1E28" w:rsidRPr="00BE597A" w:rsidRDefault="00F709E0" w:rsidP="00917109">
      <w:pPr>
        <w:pStyle w:val="BodyTextIndent"/>
        <w:spacing w:line="480" w:lineRule="auto"/>
        <w:contextualSpacing/>
      </w:pPr>
      <w:r w:rsidRPr="00BE597A">
        <w:t>President Bush puts these political difficulties under the rubric of timing, identifying this as the key reason for failure: Abu Mazen ‘did not want to make an agreement with a Prime Minister on his way out of office’.</w:t>
      </w:r>
      <w:r w:rsidR="00063CCB" w:rsidRPr="00BE597A">
        <w:rPr>
          <w:rStyle w:val="FootnoteReference"/>
        </w:rPr>
        <w:footnoteReference w:id="135"/>
      </w:r>
      <w:r w:rsidR="002A0182" w:rsidRPr="00BE597A">
        <w:t xml:space="preserve"> While reasonable, these context</w:t>
      </w:r>
      <w:r w:rsidR="00AA74D1" w:rsidRPr="00BE597A">
        <w:t>u</w:t>
      </w:r>
      <w:r w:rsidR="002A0182" w:rsidRPr="00BE597A">
        <w:t>al</w:t>
      </w:r>
      <w:r w:rsidRPr="00BE597A">
        <w:t xml:space="preserve"> </w:t>
      </w:r>
      <w:r w:rsidR="002A0182" w:rsidRPr="00BE597A">
        <w:t xml:space="preserve">weaknesses </w:t>
      </w:r>
      <w:r w:rsidRPr="00BE597A">
        <w:t xml:space="preserve">could </w:t>
      </w:r>
      <w:r w:rsidR="002A0182" w:rsidRPr="00BE597A">
        <w:t xml:space="preserve">in part </w:t>
      </w:r>
      <w:r w:rsidRPr="00BE597A">
        <w:t>have been addressed by anchoring an agreement with the US and international organisations, making it a lega</w:t>
      </w:r>
      <w:r w:rsidR="00464309" w:rsidRPr="00BE597A">
        <w:t xml:space="preserve">cy for the next administrations, but this was not seriously pursued. </w:t>
      </w:r>
      <w:r w:rsidR="00231D99" w:rsidRPr="00BE597A">
        <w:t>Renewed conflict between Israel and Hamas in the Gaza Strip in December made this difficult, as diplomatic conflicts emerged over the pursuit of a Security Council resolution.</w:t>
      </w:r>
      <w:r w:rsidR="000C48E1" w:rsidRPr="00BE597A">
        <w:rPr>
          <w:rStyle w:val="FootnoteReference"/>
        </w:rPr>
        <w:footnoteReference w:id="136"/>
      </w:r>
      <w:r w:rsidR="00573FB5" w:rsidRPr="00BE597A">
        <w:t xml:space="preserve"> </w:t>
      </w:r>
      <w:r w:rsidR="00231D99" w:rsidRPr="00BE597A">
        <w:t xml:space="preserve">While these were hardly propitious conditions for the finalising of a framework agreement, an earlier initiative could have pre-empted this. </w:t>
      </w:r>
    </w:p>
    <w:p w14:paraId="6C2707AE" w14:textId="6E2195D5" w:rsidR="00C67F01" w:rsidRPr="00BE597A" w:rsidRDefault="00C67F01" w:rsidP="00917109">
      <w:pPr>
        <w:spacing w:line="480" w:lineRule="auto"/>
        <w:contextualSpacing/>
        <w:jc w:val="both"/>
        <w:rPr>
          <w:rFonts w:ascii="Times New Roman" w:hAnsi="Times New Roman" w:cs="Times New Roman"/>
        </w:rPr>
      </w:pPr>
    </w:p>
    <w:p w14:paraId="59AF402A" w14:textId="59C8CECC" w:rsidR="00456FF2" w:rsidRPr="00BE597A" w:rsidRDefault="00456FF2" w:rsidP="009058A3">
      <w:pPr>
        <w:spacing w:line="480" w:lineRule="auto"/>
        <w:contextualSpacing/>
        <w:jc w:val="both"/>
        <w:rPr>
          <w:rFonts w:ascii="Times New Roman" w:hAnsi="Times New Roman" w:cs="Times New Roman"/>
          <w:b/>
        </w:rPr>
      </w:pPr>
      <w:r w:rsidRPr="00BE597A">
        <w:rPr>
          <w:rFonts w:ascii="Times New Roman" w:hAnsi="Times New Roman" w:cs="Times New Roman"/>
          <w:b/>
        </w:rPr>
        <w:t>Conclusion</w:t>
      </w:r>
    </w:p>
    <w:p w14:paraId="333D829F" w14:textId="77777777" w:rsidR="00456FF2" w:rsidRPr="00BE597A" w:rsidRDefault="00456FF2" w:rsidP="00917109">
      <w:pPr>
        <w:spacing w:line="480" w:lineRule="auto"/>
        <w:ind w:firstLine="720"/>
        <w:contextualSpacing/>
        <w:jc w:val="both"/>
        <w:rPr>
          <w:rFonts w:ascii="Times New Roman" w:hAnsi="Times New Roman" w:cs="Times New Roman"/>
        </w:rPr>
      </w:pPr>
    </w:p>
    <w:p w14:paraId="73FDDBEC" w14:textId="7F4AB857" w:rsidR="00702624" w:rsidRPr="00BE597A" w:rsidRDefault="0080579C"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 xml:space="preserve">This article has proposed a new theoretical model for approaching levels of coercion in mediation of </w:t>
      </w:r>
      <w:r w:rsidR="000547A1" w:rsidRPr="00BE597A">
        <w:rPr>
          <w:rFonts w:ascii="Times New Roman" w:hAnsi="Times New Roman" w:cs="Times New Roman"/>
        </w:rPr>
        <w:t>identity-based conflicts</w:t>
      </w:r>
      <w:r w:rsidRPr="00BE597A">
        <w:rPr>
          <w:rFonts w:ascii="Times New Roman" w:hAnsi="Times New Roman" w:cs="Times New Roman"/>
        </w:rPr>
        <w:t xml:space="preserve">, illustrating it empirically using a set of negotiations </w:t>
      </w:r>
      <w:r w:rsidR="000547A1" w:rsidRPr="00BE597A">
        <w:rPr>
          <w:rFonts w:ascii="Times New Roman" w:hAnsi="Times New Roman" w:cs="Times New Roman"/>
        </w:rPr>
        <w:t>in the Israeli-Palestinian conflict</w:t>
      </w:r>
      <w:r w:rsidRPr="00BE597A">
        <w:rPr>
          <w:rFonts w:ascii="Times New Roman" w:hAnsi="Times New Roman" w:cs="Times New Roman"/>
        </w:rPr>
        <w:t xml:space="preserve">. </w:t>
      </w:r>
      <w:r w:rsidR="001A6F51" w:rsidRPr="00BE597A">
        <w:rPr>
          <w:rFonts w:ascii="Times New Roman" w:hAnsi="Times New Roman" w:cs="Times New Roman"/>
        </w:rPr>
        <w:t xml:space="preserve">As </w:t>
      </w:r>
      <w:r w:rsidR="00F80579" w:rsidRPr="00BE597A">
        <w:rPr>
          <w:rFonts w:ascii="Times New Roman" w:hAnsi="Times New Roman" w:cs="Times New Roman"/>
        </w:rPr>
        <w:t xml:space="preserve">the model proposes and </w:t>
      </w:r>
      <w:r w:rsidR="001A6F51" w:rsidRPr="00BE597A">
        <w:rPr>
          <w:rFonts w:ascii="Times New Roman" w:hAnsi="Times New Roman" w:cs="Times New Roman"/>
        </w:rPr>
        <w:t xml:space="preserve">analysis of this case study has shown, engagement should not be uniformly constant but adapted to what the </w:t>
      </w:r>
      <w:r w:rsidR="00F80579" w:rsidRPr="00BE597A">
        <w:rPr>
          <w:rFonts w:ascii="Times New Roman" w:hAnsi="Times New Roman" w:cs="Times New Roman"/>
        </w:rPr>
        <w:t xml:space="preserve">process and </w:t>
      </w:r>
      <w:r w:rsidR="001A6F51" w:rsidRPr="00BE597A">
        <w:rPr>
          <w:rFonts w:ascii="Times New Roman" w:hAnsi="Times New Roman" w:cs="Times New Roman"/>
        </w:rPr>
        <w:t>parties</w:t>
      </w:r>
      <w:r w:rsidR="00F80579" w:rsidRPr="00BE597A">
        <w:rPr>
          <w:rFonts w:ascii="Times New Roman" w:hAnsi="Times New Roman" w:cs="Times New Roman"/>
        </w:rPr>
        <w:t xml:space="preserve"> </w:t>
      </w:r>
      <w:r w:rsidR="001A6F51" w:rsidRPr="00BE597A">
        <w:rPr>
          <w:rFonts w:ascii="Times New Roman" w:hAnsi="Times New Roman" w:cs="Times New Roman"/>
        </w:rPr>
        <w:t xml:space="preserve">need at each stage, evidencing Beardsley </w:t>
      </w:r>
      <w:r w:rsidR="001A6F51" w:rsidRPr="00BE597A">
        <w:rPr>
          <w:rFonts w:ascii="Times New Roman" w:hAnsi="Times New Roman" w:cs="Times New Roman"/>
          <w:i/>
        </w:rPr>
        <w:t>et al</w:t>
      </w:r>
      <w:r w:rsidR="001A6F51" w:rsidRPr="00BE597A">
        <w:rPr>
          <w:rFonts w:ascii="Times New Roman" w:hAnsi="Times New Roman" w:cs="Times New Roman"/>
        </w:rPr>
        <w:t>’s emphasis on the need for multiple strategies and Zartman’s emphasis on process. This is the primary weakness of the typologies identified by Ross and Makovsky and Thrall. Rather than arguing for any one type of approach, this model argues for a theoretically informed diplomacy which shows adaptability by using different elements of each typology at different stages.</w:t>
      </w:r>
    </w:p>
    <w:p w14:paraId="61BD786A" w14:textId="500F8825" w:rsidR="009A3D2B" w:rsidRPr="00BE597A" w:rsidRDefault="009A3D2B"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 xml:space="preserve">For all of the warranted criticism levelled at the second Bush administration’s policy, significant elements of Rice’s mediation strategy were theoretically sound and broadly fit the proposed model. Those who argue that the administration was not deeply enough engaged in the peace process obfuscate an important distinction between different types of engagement at different points of the negotiations. </w:t>
      </w:r>
      <w:r w:rsidR="00FA5F72" w:rsidRPr="00BE597A">
        <w:rPr>
          <w:rFonts w:ascii="Times New Roman" w:hAnsi="Times New Roman" w:cs="Times New Roman"/>
        </w:rPr>
        <w:t xml:space="preserve">Following her </w:t>
      </w:r>
      <w:r w:rsidR="00592C95" w:rsidRPr="00BE597A">
        <w:rPr>
          <w:rFonts w:ascii="Times New Roman" w:hAnsi="Times New Roman" w:cs="Times New Roman"/>
        </w:rPr>
        <w:t xml:space="preserve">coercive </w:t>
      </w:r>
      <w:r w:rsidR="00FA5F72" w:rsidRPr="00BE597A">
        <w:rPr>
          <w:rFonts w:ascii="Times New Roman" w:hAnsi="Times New Roman" w:cs="Times New Roman"/>
        </w:rPr>
        <w:t xml:space="preserve">push for a resumption of final status negotiations, Rice’s more hands-off process strategy of ‘facilitation from afar’, which could sometimes more accurately be described as formulation, was appropriate for significant portions of the 2008 negotiations when you had committed leaders working seriously towards an agreement. </w:t>
      </w:r>
      <w:r w:rsidR="00142352" w:rsidRPr="00BE597A">
        <w:rPr>
          <w:rFonts w:ascii="Times New Roman" w:hAnsi="Times New Roman" w:cs="Times New Roman"/>
        </w:rPr>
        <w:t xml:space="preserve">This strategy was appropriate for both the </w:t>
      </w:r>
      <w:r w:rsidR="009332A0" w:rsidRPr="00BE597A">
        <w:rPr>
          <w:rFonts w:ascii="Times New Roman" w:hAnsi="Times New Roman" w:cs="Times New Roman"/>
        </w:rPr>
        <w:t xml:space="preserve">Olmert-Abu Mazen and the Livni-Abu Ala tracks. </w:t>
      </w:r>
      <w:r w:rsidR="00687086" w:rsidRPr="00BE597A">
        <w:rPr>
          <w:rFonts w:ascii="Times New Roman" w:hAnsi="Times New Roman" w:cs="Times New Roman"/>
        </w:rPr>
        <w:t>This extended period of bilateral negotiations was critical, as this created a positive relationship between the two leaders which enabled Olmert to make his offer</w:t>
      </w:r>
      <w:r w:rsidR="00652495" w:rsidRPr="00BE597A">
        <w:rPr>
          <w:rFonts w:ascii="Times New Roman" w:hAnsi="Times New Roman" w:cs="Times New Roman"/>
        </w:rPr>
        <w:t xml:space="preserve"> and showed ownership of the concessions it entailed</w:t>
      </w:r>
      <w:r w:rsidR="00687086" w:rsidRPr="00BE597A">
        <w:rPr>
          <w:rFonts w:ascii="Times New Roman" w:hAnsi="Times New Roman" w:cs="Times New Roman"/>
        </w:rPr>
        <w:t xml:space="preserve">. </w:t>
      </w:r>
    </w:p>
    <w:p w14:paraId="5D4D1F91" w14:textId="44A8A668" w:rsidR="00B96223" w:rsidRPr="00BE597A" w:rsidRDefault="00FA5F72"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When bilateral negotiations seemed to reach an impasse in September 2008, a more substantive and coercive mediation strategy could have been pursued in order to clarify Olmert’s offer, generate bridging proposals, and finalise a framework agreement. However, the transition from a process strategy to a more coercive strategy was not made.</w:t>
      </w:r>
      <w:r w:rsidR="00762069" w:rsidRPr="00BE597A">
        <w:rPr>
          <w:rFonts w:ascii="Times New Roman" w:hAnsi="Times New Roman" w:cs="Times New Roman"/>
        </w:rPr>
        <w:t xml:space="preserve"> </w:t>
      </w:r>
      <w:r w:rsidR="00FC7C2C" w:rsidRPr="00BE597A">
        <w:rPr>
          <w:rFonts w:ascii="Times New Roman" w:hAnsi="Times New Roman" w:cs="Times New Roman"/>
        </w:rPr>
        <w:t>Although there can be no certainty as to th</w:t>
      </w:r>
      <w:r w:rsidR="00F32ACA" w:rsidRPr="00BE597A">
        <w:rPr>
          <w:rFonts w:ascii="Times New Roman" w:hAnsi="Times New Roman" w:cs="Times New Roman"/>
        </w:rPr>
        <w:t>e outcome, such an approach would fit</w:t>
      </w:r>
      <w:r w:rsidR="00FC7C2C" w:rsidRPr="00BE597A">
        <w:rPr>
          <w:rFonts w:ascii="Times New Roman" w:hAnsi="Times New Roman" w:cs="Times New Roman"/>
        </w:rPr>
        <w:t xml:space="preserve"> Beardsley </w:t>
      </w:r>
      <w:r w:rsidR="00FC7C2C" w:rsidRPr="00BE597A">
        <w:rPr>
          <w:rFonts w:ascii="Times New Roman" w:hAnsi="Times New Roman" w:cs="Times New Roman"/>
          <w:i/>
        </w:rPr>
        <w:t>et al</w:t>
      </w:r>
      <w:r w:rsidR="00F32ACA" w:rsidRPr="00BE597A">
        <w:rPr>
          <w:rFonts w:ascii="Times New Roman" w:hAnsi="Times New Roman" w:cs="Times New Roman"/>
        </w:rPr>
        <w:t>’s quantitative findings regarding the need for a more coercive, manipulative strategy to secure an agreement.</w:t>
      </w:r>
      <w:r w:rsidR="00FC7C2C" w:rsidRPr="00BE597A">
        <w:rPr>
          <w:rFonts w:ascii="Times New Roman" w:hAnsi="Times New Roman" w:cs="Times New Roman"/>
        </w:rPr>
        <w:t xml:space="preserve"> </w:t>
      </w:r>
      <w:r w:rsidR="0096402F" w:rsidRPr="00BE597A">
        <w:rPr>
          <w:rFonts w:ascii="Times New Roman" w:hAnsi="Times New Roman" w:cs="Times New Roman"/>
        </w:rPr>
        <w:t>US officials involved in this process and former officials who have analysed it have also advocated this approach.</w:t>
      </w:r>
      <w:r w:rsidR="0096402F" w:rsidRPr="00BE597A">
        <w:rPr>
          <w:rStyle w:val="FootnoteReference"/>
          <w:rFonts w:ascii="Times New Roman" w:hAnsi="Times New Roman" w:cs="Times New Roman"/>
        </w:rPr>
        <w:footnoteReference w:id="137"/>
      </w:r>
      <w:r w:rsidR="0096402F" w:rsidRPr="00BE597A">
        <w:rPr>
          <w:rFonts w:ascii="Times New Roman" w:hAnsi="Times New Roman" w:cs="Times New Roman"/>
        </w:rPr>
        <w:t xml:space="preserve"> </w:t>
      </w:r>
      <w:r w:rsidR="00652495" w:rsidRPr="00BE597A">
        <w:rPr>
          <w:rFonts w:ascii="Times New Roman" w:hAnsi="Times New Roman" w:cs="Times New Roman"/>
        </w:rPr>
        <w:t xml:space="preserve">Due to its power and relationship with </w:t>
      </w:r>
      <w:r w:rsidR="000C6E71" w:rsidRPr="00BE597A">
        <w:rPr>
          <w:rFonts w:ascii="Times New Roman" w:hAnsi="Times New Roman" w:cs="Times New Roman"/>
        </w:rPr>
        <w:t xml:space="preserve">both parties but particularly </w:t>
      </w:r>
      <w:r w:rsidR="00652495" w:rsidRPr="00BE597A">
        <w:rPr>
          <w:rFonts w:ascii="Times New Roman" w:hAnsi="Times New Roman" w:cs="Times New Roman"/>
        </w:rPr>
        <w:t>Israel, US leverage will be needed when finalising any agreement in order to create a less attractive alternative to a negotiated agreement. Israel has little incentive to take the risks involved when the fallback option of a largely cost-free occupation is perfectly acceptable.</w:t>
      </w:r>
      <w:r w:rsidR="00652495" w:rsidRPr="00BE597A">
        <w:rPr>
          <w:rStyle w:val="FootnoteReference"/>
          <w:rFonts w:ascii="Times New Roman" w:hAnsi="Times New Roman" w:cs="Times New Roman"/>
        </w:rPr>
        <w:footnoteReference w:id="138"/>
      </w:r>
      <w:r w:rsidR="00652495" w:rsidRPr="00BE597A">
        <w:rPr>
          <w:rFonts w:ascii="Times New Roman" w:hAnsi="Times New Roman" w:cs="Times New Roman"/>
        </w:rPr>
        <w:t xml:space="preserve"> </w:t>
      </w:r>
      <w:r w:rsidR="00E36C7F" w:rsidRPr="00BE597A">
        <w:rPr>
          <w:rFonts w:ascii="Times New Roman" w:hAnsi="Times New Roman" w:cs="Times New Roman"/>
        </w:rPr>
        <w:t>Daniel Levy, a former Israeli negotiator, argues that leaders ‘</w:t>
      </w:r>
      <w:r w:rsidR="00E36C7F" w:rsidRPr="00BE597A">
        <w:rPr>
          <w:rFonts w:ascii="Times New Roman" w:hAnsi="Times New Roman" w:cs="Times New Roman"/>
          <w:lang w:val="en-US"/>
        </w:rPr>
        <w:t>need to be able to say, “Washington is holding my feet to the fire on this.”’</w:t>
      </w:r>
      <w:r w:rsidR="00E36C7F" w:rsidRPr="00BE597A">
        <w:rPr>
          <w:rStyle w:val="FootnoteReference"/>
          <w:rFonts w:ascii="Times New Roman" w:hAnsi="Times New Roman" w:cs="Times New Roman"/>
          <w:lang w:val="en-US"/>
        </w:rPr>
        <w:footnoteReference w:id="139"/>
      </w:r>
      <w:r w:rsidR="00E36C7F" w:rsidRPr="00BE597A">
        <w:rPr>
          <w:rFonts w:ascii="Times New Roman" w:hAnsi="Times New Roman" w:cs="Times New Roman"/>
          <w:lang w:val="en-US"/>
        </w:rPr>
        <w:t xml:space="preserve"> </w:t>
      </w:r>
      <w:r w:rsidR="00652495" w:rsidRPr="00BE597A">
        <w:rPr>
          <w:rFonts w:ascii="Times New Roman" w:hAnsi="Times New Roman" w:cs="Times New Roman"/>
        </w:rPr>
        <w:t>This pressure will need to be accompanied by US assurances and commitments on key issues like security.</w:t>
      </w:r>
      <w:r w:rsidR="00495638" w:rsidRPr="00BE597A">
        <w:rPr>
          <w:rFonts w:ascii="Times New Roman" w:hAnsi="Times New Roman" w:cs="Times New Roman"/>
        </w:rPr>
        <w:t xml:space="preserve"> </w:t>
      </w:r>
    </w:p>
    <w:p w14:paraId="5B21AFF7" w14:textId="02A7739F" w:rsidR="00DF3551" w:rsidRPr="00BE597A" w:rsidRDefault="00A34E7D"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The evidence</w:t>
      </w:r>
      <w:r w:rsidR="000C2A96" w:rsidRPr="00BE597A">
        <w:rPr>
          <w:rFonts w:ascii="Times New Roman" w:hAnsi="Times New Roman" w:cs="Times New Roman"/>
        </w:rPr>
        <w:t xml:space="preserve"> casts doubt</w:t>
      </w:r>
      <w:r w:rsidR="00B96223" w:rsidRPr="00BE597A">
        <w:rPr>
          <w:rFonts w:ascii="Times New Roman" w:hAnsi="Times New Roman" w:cs="Times New Roman"/>
        </w:rPr>
        <w:t xml:space="preserve"> as to whether </w:t>
      </w:r>
      <w:r w:rsidR="001A28CF" w:rsidRPr="00BE597A">
        <w:rPr>
          <w:rFonts w:ascii="Times New Roman" w:hAnsi="Times New Roman" w:cs="Times New Roman"/>
        </w:rPr>
        <w:t>one mediator can be</w:t>
      </w:r>
      <w:r w:rsidR="00101E60" w:rsidRPr="00BE597A">
        <w:rPr>
          <w:rFonts w:ascii="Times New Roman" w:hAnsi="Times New Roman" w:cs="Times New Roman"/>
        </w:rPr>
        <w:t xml:space="preserve"> sufficiently adaptable to use th</w:t>
      </w:r>
      <w:r w:rsidR="005A6727" w:rsidRPr="00BE597A">
        <w:rPr>
          <w:rFonts w:ascii="Times New Roman" w:hAnsi="Times New Roman" w:cs="Times New Roman"/>
        </w:rPr>
        <w:t xml:space="preserve">e different strategies required. The Bush administration’s ontological and epistemological view of the conflict </w:t>
      </w:r>
      <w:r w:rsidR="001F3246" w:rsidRPr="00BE597A">
        <w:rPr>
          <w:rFonts w:ascii="Times New Roman" w:hAnsi="Times New Roman" w:cs="Times New Roman"/>
        </w:rPr>
        <w:t xml:space="preserve">and its own role in it </w:t>
      </w:r>
      <w:r w:rsidR="005A6727" w:rsidRPr="00BE597A">
        <w:rPr>
          <w:rFonts w:ascii="Times New Roman" w:hAnsi="Times New Roman" w:cs="Times New Roman"/>
        </w:rPr>
        <w:t xml:space="preserve">meant that the coercive mediation needed to bridge </w:t>
      </w:r>
      <w:r w:rsidR="008929D0" w:rsidRPr="00BE597A">
        <w:rPr>
          <w:rFonts w:ascii="Times New Roman" w:hAnsi="Times New Roman" w:cs="Times New Roman"/>
        </w:rPr>
        <w:t xml:space="preserve">the </w:t>
      </w:r>
      <w:r w:rsidR="005A6727" w:rsidRPr="00BE597A">
        <w:rPr>
          <w:rFonts w:ascii="Times New Roman" w:hAnsi="Times New Roman" w:cs="Times New Roman"/>
        </w:rPr>
        <w:t>remaining gaps</w:t>
      </w:r>
      <w:r w:rsidR="00B86C1D" w:rsidRPr="00BE597A">
        <w:rPr>
          <w:rFonts w:ascii="Times New Roman" w:hAnsi="Times New Roman" w:cs="Times New Roman"/>
        </w:rPr>
        <w:t>, on substance as well as process,</w:t>
      </w:r>
      <w:r w:rsidR="005A6727" w:rsidRPr="00BE597A">
        <w:rPr>
          <w:rFonts w:ascii="Times New Roman" w:hAnsi="Times New Roman" w:cs="Times New Roman"/>
        </w:rPr>
        <w:t xml:space="preserve"> was beyond </w:t>
      </w:r>
      <w:r w:rsidR="00FE7A0C" w:rsidRPr="00BE597A">
        <w:rPr>
          <w:rFonts w:ascii="Times New Roman" w:hAnsi="Times New Roman" w:cs="Times New Roman"/>
        </w:rPr>
        <w:t>them</w:t>
      </w:r>
      <w:r w:rsidR="005A6727" w:rsidRPr="00BE597A">
        <w:rPr>
          <w:rFonts w:ascii="Times New Roman" w:hAnsi="Times New Roman" w:cs="Times New Roman"/>
        </w:rPr>
        <w:t xml:space="preserve">. </w:t>
      </w:r>
      <w:r w:rsidR="008929D0" w:rsidRPr="00BE597A">
        <w:rPr>
          <w:rFonts w:ascii="Times New Roman" w:hAnsi="Times New Roman" w:cs="Times New Roman"/>
        </w:rPr>
        <w:t xml:space="preserve">If indeed the US is required to play this coercive role, as both theory and evidence suggest, </w:t>
      </w:r>
      <w:r w:rsidR="00CA1370" w:rsidRPr="00BE597A">
        <w:rPr>
          <w:rFonts w:ascii="Times New Roman" w:hAnsi="Times New Roman" w:cs="Times New Roman"/>
        </w:rPr>
        <w:t>then perhaps it</w:t>
      </w:r>
      <w:r w:rsidR="001A28CF" w:rsidRPr="00BE597A">
        <w:rPr>
          <w:rFonts w:ascii="Times New Roman" w:hAnsi="Times New Roman" w:cs="Times New Roman"/>
        </w:rPr>
        <w:t xml:space="preserve"> should not play the less coercive roles which are not the best us</w:t>
      </w:r>
      <w:r w:rsidR="00CA1370" w:rsidRPr="00BE597A">
        <w:rPr>
          <w:rFonts w:ascii="Times New Roman" w:hAnsi="Times New Roman" w:cs="Times New Roman"/>
        </w:rPr>
        <w:t>e of its</w:t>
      </w:r>
      <w:r w:rsidR="001A28CF" w:rsidRPr="00BE597A">
        <w:rPr>
          <w:rFonts w:ascii="Times New Roman" w:hAnsi="Times New Roman" w:cs="Times New Roman"/>
        </w:rPr>
        <w:t xml:space="preserve"> energies and resources</w:t>
      </w:r>
      <w:r w:rsidR="008929D0" w:rsidRPr="00BE597A">
        <w:rPr>
          <w:rFonts w:ascii="Times New Roman" w:hAnsi="Times New Roman" w:cs="Times New Roman"/>
        </w:rPr>
        <w:t>.</w:t>
      </w:r>
      <w:r w:rsidR="000E62C3" w:rsidRPr="00BE597A">
        <w:rPr>
          <w:rFonts w:ascii="Times New Roman" w:hAnsi="Times New Roman" w:cs="Times New Roman"/>
        </w:rPr>
        <w:t xml:space="preserve"> </w:t>
      </w:r>
      <w:r w:rsidR="00101E60" w:rsidRPr="00BE597A">
        <w:rPr>
          <w:rFonts w:ascii="Times New Roman" w:hAnsi="Times New Roman" w:cs="Times New Roman"/>
        </w:rPr>
        <w:t>Although Rice’s predominant blend of facilitation and formulation appeared fruitful</w:t>
      </w:r>
      <w:r w:rsidR="00F31D40" w:rsidRPr="00BE597A">
        <w:rPr>
          <w:rFonts w:ascii="Times New Roman" w:hAnsi="Times New Roman" w:cs="Times New Roman"/>
        </w:rPr>
        <w:t xml:space="preserve">, </w:t>
      </w:r>
      <w:r w:rsidR="00101E60" w:rsidRPr="00BE597A">
        <w:rPr>
          <w:rFonts w:ascii="Times New Roman" w:hAnsi="Times New Roman" w:cs="Times New Roman"/>
        </w:rPr>
        <w:t xml:space="preserve">clear frictions were created by the presence at the table of </w:t>
      </w:r>
      <w:r w:rsidR="00A31832" w:rsidRPr="00BE597A">
        <w:rPr>
          <w:rFonts w:ascii="Times New Roman" w:hAnsi="Times New Roman" w:cs="Times New Roman"/>
        </w:rPr>
        <w:t xml:space="preserve">a </w:t>
      </w:r>
      <w:r w:rsidR="00E05797" w:rsidRPr="00BE597A">
        <w:rPr>
          <w:rFonts w:ascii="Times New Roman" w:hAnsi="Times New Roman" w:cs="Times New Roman"/>
        </w:rPr>
        <w:t>power</w:t>
      </w:r>
      <w:r w:rsidR="00101E60" w:rsidRPr="00BE597A">
        <w:rPr>
          <w:rFonts w:ascii="Times New Roman" w:hAnsi="Times New Roman" w:cs="Times New Roman"/>
        </w:rPr>
        <w:t>ful actor</w:t>
      </w:r>
      <w:r w:rsidR="00291287" w:rsidRPr="00BE597A">
        <w:rPr>
          <w:rFonts w:ascii="Times New Roman" w:hAnsi="Times New Roman" w:cs="Times New Roman"/>
        </w:rPr>
        <w:t xml:space="preserve"> such</w:t>
      </w:r>
      <w:r w:rsidR="00E05797" w:rsidRPr="00BE597A">
        <w:rPr>
          <w:rFonts w:ascii="Times New Roman" w:hAnsi="Times New Roman" w:cs="Times New Roman"/>
        </w:rPr>
        <w:t xml:space="preserve"> </w:t>
      </w:r>
      <w:r w:rsidR="00291287" w:rsidRPr="00BE597A">
        <w:rPr>
          <w:rFonts w:ascii="Times New Roman" w:hAnsi="Times New Roman" w:cs="Times New Roman"/>
        </w:rPr>
        <w:t xml:space="preserve">as </w:t>
      </w:r>
      <w:r w:rsidR="00E05797" w:rsidRPr="00BE597A">
        <w:rPr>
          <w:rFonts w:ascii="Times New Roman" w:hAnsi="Times New Roman" w:cs="Times New Roman"/>
        </w:rPr>
        <w:t xml:space="preserve">the </w:t>
      </w:r>
      <w:r w:rsidR="00F31D40" w:rsidRPr="00BE597A">
        <w:rPr>
          <w:rFonts w:ascii="Times New Roman" w:hAnsi="Times New Roman" w:cs="Times New Roman"/>
        </w:rPr>
        <w:t xml:space="preserve">Secretary of State. </w:t>
      </w:r>
      <w:r w:rsidR="00C35E8E" w:rsidRPr="00BE597A">
        <w:rPr>
          <w:rFonts w:ascii="Times New Roman" w:hAnsi="Times New Roman" w:cs="Times New Roman"/>
        </w:rPr>
        <w:t xml:space="preserve">An alternative envoy, whether an individual, </w:t>
      </w:r>
      <w:r w:rsidR="002371DA" w:rsidRPr="00BE597A">
        <w:rPr>
          <w:rFonts w:ascii="Times New Roman" w:hAnsi="Times New Roman" w:cs="Times New Roman"/>
        </w:rPr>
        <w:t xml:space="preserve">government, </w:t>
      </w:r>
      <w:r w:rsidR="00027790" w:rsidRPr="00BE597A">
        <w:rPr>
          <w:rFonts w:ascii="Times New Roman" w:hAnsi="Times New Roman" w:cs="Times New Roman"/>
        </w:rPr>
        <w:t xml:space="preserve">or </w:t>
      </w:r>
      <w:r w:rsidR="00C35E8E" w:rsidRPr="00BE597A">
        <w:rPr>
          <w:rFonts w:ascii="Times New Roman" w:hAnsi="Times New Roman" w:cs="Times New Roman"/>
        </w:rPr>
        <w:t>non-governmental organisation,</w:t>
      </w:r>
      <w:r w:rsidR="00C30AA4" w:rsidRPr="00BE597A">
        <w:rPr>
          <w:rFonts w:ascii="Times New Roman" w:hAnsi="Times New Roman" w:cs="Times New Roman"/>
        </w:rPr>
        <w:t xml:space="preserve"> </w:t>
      </w:r>
      <w:r w:rsidR="00141F8D" w:rsidRPr="00BE597A">
        <w:rPr>
          <w:rFonts w:ascii="Times New Roman" w:hAnsi="Times New Roman" w:cs="Times New Roman"/>
        </w:rPr>
        <w:t>could perhaps have played the role of facilitator or formulator</w:t>
      </w:r>
      <w:r w:rsidR="00DB5560" w:rsidRPr="00BE597A">
        <w:rPr>
          <w:rFonts w:ascii="Times New Roman" w:hAnsi="Times New Roman" w:cs="Times New Roman"/>
        </w:rPr>
        <w:t xml:space="preserve"> better</w:t>
      </w:r>
      <w:r w:rsidR="00C35E8E" w:rsidRPr="00BE597A">
        <w:rPr>
          <w:rFonts w:ascii="Times New Roman" w:hAnsi="Times New Roman" w:cs="Times New Roman"/>
        </w:rPr>
        <w:t>, as was the case at several points throughout the Oslo process.</w:t>
      </w:r>
      <w:r w:rsidR="00C35E8E" w:rsidRPr="00BE597A">
        <w:rPr>
          <w:rStyle w:val="FootnoteReference"/>
          <w:rFonts w:ascii="Times New Roman" w:hAnsi="Times New Roman" w:cs="Times New Roman"/>
        </w:rPr>
        <w:footnoteReference w:id="140"/>
      </w:r>
      <w:r w:rsidR="00C35E8E" w:rsidRPr="00BE597A">
        <w:rPr>
          <w:rFonts w:ascii="Times New Roman" w:hAnsi="Times New Roman" w:cs="Times New Roman"/>
        </w:rPr>
        <w:t xml:space="preserve"> This </w:t>
      </w:r>
      <w:r w:rsidR="00671C89" w:rsidRPr="00BE597A">
        <w:rPr>
          <w:rFonts w:ascii="Times New Roman" w:hAnsi="Times New Roman" w:cs="Times New Roman"/>
        </w:rPr>
        <w:t xml:space="preserve">type of multi-party mediation </w:t>
      </w:r>
      <w:r w:rsidR="00C35E8E" w:rsidRPr="00BE597A">
        <w:rPr>
          <w:rFonts w:ascii="Times New Roman" w:hAnsi="Times New Roman" w:cs="Times New Roman"/>
        </w:rPr>
        <w:t xml:space="preserve">would have </w:t>
      </w:r>
      <w:r w:rsidR="00B36258" w:rsidRPr="00BE597A">
        <w:rPr>
          <w:rFonts w:ascii="Times New Roman" w:hAnsi="Times New Roman" w:cs="Times New Roman"/>
        </w:rPr>
        <w:t>required a willingness from</w:t>
      </w:r>
      <w:r w:rsidR="00C35E8E" w:rsidRPr="00BE597A">
        <w:rPr>
          <w:rFonts w:ascii="Times New Roman" w:hAnsi="Times New Roman" w:cs="Times New Roman"/>
        </w:rPr>
        <w:t xml:space="preserve"> Rice to give up a certain measure of control over the process, and would have had to have been approved by the parties. It would have created an additional relationship to manage between different mediators and the parties, with implications for the security of commun</w:t>
      </w:r>
      <w:r w:rsidR="00F705DD" w:rsidRPr="00BE597A">
        <w:rPr>
          <w:rFonts w:ascii="Times New Roman" w:hAnsi="Times New Roman" w:cs="Times New Roman"/>
        </w:rPr>
        <w:t>ication and prevention of leaks</w:t>
      </w:r>
      <w:r w:rsidR="00DF3551" w:rsidRPr="00BE597A">
        <w:rPr>
          <w:rFonts w:ascii="Times New Roman" w:hAnsi="Times New Roman" w:cs="Times New Roman"/>
        </w:rPr>
        <w:t xml:space="preserve">, </w:t>
      </w:r>
      <w:r w:rsidR="00A31832" w:rsidRPr="00BE597A">
        <w:rPr>
          <w:rFonts w:ascii="Times New Roman" w:hAnsi="Times New Roman" w:cs="Times New Roman"/>
        </w:rPr>
        <w:t xml:space="preserve">but </w:t>
      </w:r>
      <w:r w:rsidR="00DF3551" w:rsidRPr="00BE597A">
        <w:rPr>
          <w:rFonts w:ascii="Times New Roman" w:hAnsi="Times New Roman" w:cs="Times New Roman"/>
        </w:rPr>
        <w:t>it nonetheless remained an option which could have benefitted the process</w:t>
      </w:r>
      <w:r w:rsidR="00F705DD" w:rsidRPr="00BE597A">
        <w:rPr>
          <w:rFonts w:ascii="Times New Roman" w:hAnsi="Times New Roman" w:cs="Times New Roman"/>
        </w:rPr>
        <w:t>.</w:t>
      </w:r>
      <w:r w:rsidR="00DF3551" w:rsidRPr="00BE597A">
        <w:rPr>
          <w:rStyle w:val="FootnoteReference"/>
          <w:rFonts w:ascii="Times New Roman" w:hAnsi="Times New Roman" w:cs="Times New Roman"/>
        </w:rPr>
        <w:footnoteReference w:id="141"/>
      </w:r>
      <w:r w:rsidR="00F705DD" w:rsidRPr="00BE597A">
        <w:rPr>
          <w:rFonts w:ascii="Times New Roman" w:hAnsi="Times New Roman" w:cs="Times New Roman"/>
        </w:rPr>
        <w:t xml:space="preserve"> </w:t>
      </w:r>
    </w:p>
    <w:p w14:paraId="4910F50C" w14:textId="4A6E1677" w:rsidR="00E05986" w:rsidRPr="00BE597A" w:rsidRDefault="00F705DD"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 xml:space="preserve">While it is beyond the scope of this article to consider the </w:t>
      </w:r>
      <w:r w:rsidR="00DF3551" w:rsidRPr="00BE597A">
        <w:rPr>
          <w:rFonts w:ascii="Times New Roman" w:hAnsi="Times New Roman" w:cs="Times New Roman"/>
        </w:rPr>
        <w:t>strengths and weaknesses of the multi-party</w:t>
      </w:r>
      <w:r w:rsidRPr="00BE597A">
        <w:rPr>
          <w:rFonts w:ascii="Times New Roman" w:hAnsi="Times New Roman" w:cs="Times New Roman"/>
        </w:rPr>
        <w:t xml:space="preserve"> approach,</w:t>
      </w:r>
      <w:r w:rsidR="00C35E8E" w:rsidRPr="00BE597A">
        <w:rPr>
          <w:rFonts w:ascii="Times New Roman" w:hAnsi="Times New Roman" w:cs="Times New Roman"/>
        </w:rPr>
        <w:t xml:space="preserve"> </w:t>
      </w:r>
      <w:r w:rsidR="00DF3551" w:rsidRPr="00BE597A">
        <w:rPr>
          <w:rFonts w:ascii="Times New Roman" w:hAnsi="Times New Roman" w:cs="Times New Roman"/>
        </w:rPr>
        <w:t>it</w:t>
      </w:r>
      <w:r w:rsidRPr="00BE597A">
        <w:rPr>
          <w:rFonts w:ascii="Times New Roman" w:hAnsi="Times New Roman" w:cs="Times New Roman"/>
        </w:rPr>
        <w:t xml:space="preserve"> warrants further research</w:t>
      </w:r>
      <w:r w:rsidR="00DF3551" w:rsidRPr="00BE597A">
        <w:rPr>
          <w:rFonts w:ascii="Times New Roman" w:hAnsi="Times New Roman" w:cs="Times New Roman"/>
        </w:rPr>
        <w:t xml:space="preserve"> in this conflict contex</w:t>
      </w:r>
      <w:r w:rsidR="001D46A8" w:rsidRPr="00BE597A">
        <w:rPr>
          <w:rFonts w:ascii="Times New Roman" w:hAnsi="Times New Roman" w:cs="Times New Roman"/>
        </w:rPr>
        <w:t xml:space="preserve">t. Could an alternative actor working in tandem with the US provide the benefits of the less coercive mediation strategies? </w:t>
      </w:r>
      <w:r w:rsidR="00645946" w:rsidRPr="00BE597A">
        <w:rPr>
          <w:rFonts w:ascii="Times New Roman" w:hAnsi="Times New Roman" w:cs="Times New Roman"/>
        </w:rPr>
        <w:t xml:space="preserve">Would this structure be acceptable to both parties? </w:t>
      </w:r>
      <w:r w:rsidR="0019554F" w:rsidRPr="00BE597A">
        <w:rPr>
          <w:rFonts w:ascii="Times New Roman" w:hAnsi="Times New Roman" w:cs="Times New Roman"/>
        </w:rPr>
        <w:t>Beyond the Israeli-Palestinian context, it would be useful to apply these theoretical arguments to o</w:t>
      </w:r>
      <w:r w:rsidR="009C678D" w:rsidRPr="00BE597A">
        <w:rPr>
          <w:rFonts w:ascii="Times New Roman" w:hAnsi="Times New Roman" w:cs="Times New Roman"/>
        </w:rPr>
        <w:t xml:space="preserve">ther identity-based conflicts </w:t>
      </w:r>
      <w:r w:rsidR="0019554F" w:rsidRPr="00BE597A">
        <w:rPr>
          <w:rFonts w:ascii="Times New Roman" w:hAnsi="Times New Roman" w:cs="Times New Roman"/>
        </w:rPr>
        <w:t>in order to</w:t>
      </w:r>
      <w:r w:rsidR="009C678D" w:rsidRPr="00BE597A">
        <w:rPr>
          <w:rFonts w:ascii="Times New Roman" w:hAnsi="Times New Roman" w:cs="Times New Roman"/>
        </w:rPr>
        <w:t xml:space="preserve"> </w:t>
      </w:r>
      <w:r w:rsidR="0019554F" w:rsidRPr="00BE597A">
        <w:rPr>
          <w:rFonts w:ascii="Times New Roman" w:hAnsi="Times New Roman" w:cs="Times New Roman"/>
        </w:rPr>
        <w:t xml:space="preserve">empirically </w:t>
      </w:r>
      <w:r w:rsidR="009C678D" w:rsidRPr="00BE597A">
        <w:rPr>
          <w:rFonts w:ascii="Times New Roman" w:hAnsi="Times New Roman" w:cs="Times New Roman"/>
        </w:rPr>
        <w:t xml:space="preserve">examine the viability of the </w:t>
      </w:r>
      <w:r w:rsidR="00264B79" w:rsidRPr="00BE597A">
        <w:rPr>
          <w:rFonts w:ascii="Times New Roman" w:hAnsi="Times New Roman" w:cs="Times New Roman"/>
        </w:rPr>
        <w:t xml:space="preserve">proposed </w:t>
      </w:r>
      <w:r w:rsidR="001D46A8" w:rsidRPr="00BE597A">
        <w:rPr>
          <w:rFonts w:ascii="Times New Roman" w:hAnsi="Times New Roman" w:cs="Times New Roman"/>
        </w:rPr>
        <w:t>model.</w:t>
      </w:r>
    </w:p>
    <w:p w14:paraId="5B956906" w14:textId="18346B01" w:rsidR="0083314C" w:rsidRPr="00A32CCB" w:rsidRDefault="00E05986" w:rsidP="00917109">
      <w:pPr>
        <w:spacing w:line="480" w:lineRule="auto"/>
        <w:ind w:firstLine="720"/>
        <w:contextualSpacing/>
        <w:jc w:val="both"/>
        <w:rPr>
          <w:rFonts w:ascii="Times New Roman" w:hAnsi="Times New Roman" w:cs="Times New Roman"/>
        </w:rPr>
      </w:pPr>
      <w:r w:rsidRPr="00BE597A">
        <w:rPr>
          <w:rFonts w:ascii="Times New Roman" w:hAnsi="Times New Roman" w:cs="Times New Roman"/>
        </w:rPr>
        <w:t>Some have argued that mediation as a conflict resolution strategy has exhausted itself</w:t>
      </w:r>
      <w:r w:rsidR="006072D1" w:rsidRPr="00BE597A">
        <w:rPr>
          <w:rFonts w:ascii="Times New Roman" w:hAnsi="Times New Roman" w:cs="Times New Roman"/>
        </w:rPr>
        <w:t xml:space="preserve"> in the Israeli-Palestinian context</w:t>
      </w:r>
      <w:r w:rsidRPr="00BE597A">
        <w:rPr>
          <w:rFonts w:ascii="Times New Roman" w:hAnsi="Times New Roman" w:cs="Times New Roman"/>
        </w:rPr>
        <w:t>, and that it is time to try other strategies.</w:t>
      </w:r>
      <w:r w:rsidRPr="00BE597A">
        <w:rPr>
          <w:rStyle w:val="FootnoteReference"/>
          <w:rFonts w:ascii="Times New Roman" w:hAnsi="Times New Roman" w:cs="Times New Roman"/>
        </w:rPr>
        <w:footnoteReference w:id="142"/>
      </w:r>
      <w:r w:rsidRPr="00BE597A">
        <w:rPr>
          <w:rFonts w:ascii="Times New Roman" w:hAnsi="Times New Roman" w:cs="Times New Roman"/>
        </w:rPr>
        <w:t xml:space="preserve"> However, bizarre as it may sound</w:t>
      </w:r>
      <w:r w:rsidR="008804B7" w:rsidRPr="00BE597A">
        <w:rPr>
          <w:rFonts w:ascii="Times New Roman" w:hAnsi="Times New Roman" w:cs="Times New Roman"/>
        </w:rPr>
        <w:t xml:space="preserve"> after decades of mediation</w:t>
      </w:r>
      <w:r w:rsidRPr="00BE597A">
        <w:rPr>
          <w:rFonts w:ascii="Times New Roman" w:hAnsi="Times New Roman" w:cs="Times New Roman"/>
        </w:rPr>
        <w:t>, this seems premature. The essence of the conflict may not change, but the individuals involved and the po</w:t>
      </w:r>
      <w:r w:rsidR="00736A6A" w:rsidRPr="00BE597A">
        <w:rPr>
          <w:rFonts w:ascii="Times New Roman" w:hAnsi="Times New Roman" w:cs="Times New Roman"/>
        </w:rPr>
        <w:t>litical context do, which may provide future opportunities</w:t>
      </w:r>
      <w:r w:rsidRPr="00BE597A">
        <w:rPr>
          <w:rFonts w:ascii="Times New Roman" w:hAnsi="Times New Roman" w:cs="Times New Roman"/>
        </w:rPr>
        <w:t xml:space="preserve">. </w:t>
      </w:r>
      <w:r w:rsidR="008804B7" w:rsidRPr="00BE597A">
        <w:rPr>
          <w:rFonts w:ascii="Times New Roman" w:hAnsi="Times New Roman" w:cs="Times New Roman"/>
        </w:rPr>
        <w:t xml:space="preserve">When those opportunities arise, the right </w:t>
      </w:r>
      <w:r w:rsidR="00620A80" w:rsidRPr="00BE597A">
        <w:rPr>
          <w:rFonts w:ascii="Times New Roman" w:hAnsi="Times New Roman" w:cs="Times New Roman"/>
        </w:rPr>
        <w:t xml:space="preserve">constellation of </w:t>
      </w:r>
      <w:r w:rsidR="008804B7" w:rsidRPr="00BE597A">
        <w:rPr>
          <w:rFonts w:ascii="Times New Roman" w:hAnsi="Times New Roman" w:cs="Times New Roman"/>
        </w:rPr>
        <w:t xml:space="preserve">strategies </w:t>
      </w:r>
      <w:r w:rsidR="00620A80" w:rsidRPr="00BE597A">
        <w:rPr>
          <w:rFonts w:ascii="Times New Roman" w:hAnsi="Times New Roman" w:cs="Times New Roman"/>
        </w:rPr>
        <w:t xml:space="preserve">employed by the right actors is one crucial component of </w:t>
      </w:r>
      <w:r w:rsidR="00E86890" w:rsidRPr="00BE597A">
        <w:rPr>
          <w:rFonts w:ascii="Times New Roman" w:hAnsi="Times New Roman" w:cs="Times New Roman"/>
        </w:rPr>
        <w:t xml:space="preserve">any possible </w:t>
      </w:r>
      <w:r w:rsidR="00620A80" w:rsidRPr="00BE597A">
        <w:rPr>
          <w:rFonts w:ascii="Times New Roman" w:hAnsi="Times New Roman" w:cs="Times New Roman"/>
        </w:rPr>
        <w:t xml:space="preserve">success. </w:t>
      </w:r>
      <w:r w:rsidRPr="00BE597A">
        <w:rPr>
          <w:rFonts w:ascii="Times New Roman" w:hAnsi="Times New Roman" w:cs="Times New Roman"/>
        </w:rPr>
        <w:t>Even though m</w:t>
      </w:r>
      <w:r w:rsidR="00D553A5" w:rsidRPr="00BE597A">
        <w:rPr>
          <w:rFonts w:ascii="Times New Roman" w:hAnsi="Times New Roman" w:cs="Times New Roman"/>
        </w:rPr>
        <w:t>ediation continues to fail, one should not be too quick to dismiss repeated attempts as evidence of Ein</w:t>
      </w:r>
      <w:r w:rsidR="006B42A9" w:rsidRPr="00BE597A">
        <w:rPr>
          <w:rFonts w:ascii="Times New Roman" w:hAnsi="Times New Roman" w:cs="Times New Roman"/>
        </w:rPr>
        <w:t>stein’s definition of insanity.</w:t>
      </w:r>
    </w:p>
    <w:p w14:paraId="4FE8A8B6" w14:textId="77777777" w:rsidR="00EB258F" w:rsidRDefault="00EB258F" w:rsidP="00917109">
      <w:pPr>
        <w:spacing w:line="480" w:lineRule="auto"/>
        <w:ind w:firstLine="720"/>
        <w:contextualSpacing/>
        <w:jc w:val="both"/>
        <w:rPr>
          <w:rFonts w:ascii="Times New Roman" w:hAnsi="Times New Roman" w:cs="Times New Roman"/>
        </w:rPr>
      </w:pPr>
    </w:p>
    <w:p w14:paraId="1882CCBC" w14:textId="46CE6471" w:rsidR="0076480F" w:rsidRPr="00A32CCB" w:rsidRDefault="000341A3" w:rsidP="00277458">
      <w:pPr>
        <w:spacing w:line="480" w:lineRule="auto"/>
        <w:ind w:firstLine="720"/>
        <w:contextualSpacing/>
        <w:jc w:val="both"/>
        <w:rPr>
          <w:rFonts w:ascii="Times New Roman" w:hAnsi="Times New Roman" w:cs="Times New Roman"/>
        </w:rPr>
      </w:pPr>
      <w:r>
        <w:rPr>
          <w:rFonts w:ascii="Times New Roman" w:hAnsi="Times New Roman" w:cs="Times New Roman"/>
        </w:rPr>
        <w:t>Acknowledgements:</w:t>
      </w:r>
      <w:r w:rsidRPr="000341A3">
        <w:rPr>
          <w:rFonts w:ascii="Times New Roman" w:hAnsi="Times New Roman" w:cs="Times New Roman"/>
        </w:rPr>
        <w:t xml:space="preserve"> </w:t>
      </w:r>
      <w:r w:rsidRPr="000341A3">
        <w:rPr>
          <w:rFonts w:ascii="Times New Roman" w:hAnsi="Times New Roman" w:cs="Times New Roman"/>
          <w:lang w:val="en-US"/>
        </w:rPr>
        <w:t>The author would like to thank Nina Caspersen, L</w:t>
      </w:r>
      <w:r>
        <w:rPr>
          <w:rFonts w:ascii="Times New Roman" w:hAnsi="Times New Roman" w:cs="Times New Roman"/>
          <w:lang w:val="en-US"/>
        </w:rPr>
        <w:t>iam Clegg, Marcus Schultzke,</w:t>
      </w:r>
      <w:r w:rsidRPr="000341A3">
        <w:rPr>
          <w:rFonts w:ascii="Times New Roman" w:hAnsi="Times New Roman" w:cs="Times New Roman"/>
          <w:lang w:val="en-US"/>
        </w:rPr>
        <w:t xml:space="preserve"> Asaf Siniver</w:t>
      </w:r>
      <w:r>
        <w:rPr>
          <w:rFonts w:ascii="Times New Roman" w:hAnsi="Times New Roman" w:cs="Times New Roman"/>
          <w:lang w:val="en-US"/>
        </w:rPr>
        <w:t>, and two anonymous reviewers</w:t>
      </w:r>
      <w:r w:rsidRPr="000341A3">
        <w:rPr>
          <w:rFonts w:ascii="Times New Roman" w:hAnsi="Times New Roman" w:cs="Times New Roman"/>
          <w:lang w:val="en-US"/>
        </w:rPr>
        <w:t xml:space="preserve"> for </w:t>
      </w:r>
      <w:r>
        <w:rPr>
          <w:rFonts w:ascii="Times New Roman" w:hAnsi="Times New Roman" w:cs="Times New Roman"/>
          <w:lang w:val="en-US"/>
        </w:rPr>
        <w:t xml:space="preserve">their helpful </w:t>
      </w:r>
      <w:r w:rsidRPr="000341A3">
        <w:rPr>
          <w:rFonts w:ascii="Times New Roman" w:hAnsi="Times New Roman" w:cs="Times New Roman"/>
          <w:lang w:val="en-US"/>
        </w:rPr>
        <w:t>comments on previous drafts.</w:t>
      </w:r>
    </w:p>
    <w:sectPr w:rsidR="0076480F" w:rsidRPr="00A32CCB" w:rsidSect="00805E40">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67F18" w14:textId="77777777" w:rsidR="00851B9B" w:rsidRDefault="00851B9B" w:rsidP="00947C12">
      <w:r>
        <w:separator/>
      </w:r>
    </w:p>
  </w:endnote>
  <w:endnote w:type="continuationSeparator" w:id="0">
    <w:p w14:paraId="736D5119" w14:textId="77777777" w:rsidR="00851B9B" w:rsidRDefault="00851B9B" w:rsidP="0094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F183" w14:textId="77777777" w:rsidR="00851B9B" w:rsidRDefault="00851B9B" w:rsidP="000361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6521D" w14:textId="77777777" w:rsidR="00851B9B" w:rsidRDefault="00851B9B" w:rsidP="00E84E3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BBC13" w14:textId="77777777" w:rsidR="00851B9B" w:rsidRPr="00E84E32" w:rsidRDefault="00851B9B" w:rsidP="00036169">
    <w:pPr>
      <w:pStyle w:val="Footer"/>
      <w:framePr w:wrap="around" w:vAnchor="text" w:hAnchor="margin" w:xAlign="right" w:y="1"/>
      <w:rPr>
        <w:rStyle w:val="PageNumber"/>
        <w:rFonts w:ascii="Times New Roman" w:hAnsi="Times New Roman" w:cs="Times New Roman"/>
      </w:rPr>
    </w:pPr>
    <w:r w:rsidRPr="00E84E32">
      <w:rPr>
        <w:rStyle w:val="PageNumber"/>
        <w:rFonts w:ascii="Times New Roman" w:hAnsi="Times New Roman" w:cs="Times New Roman"/>
      </w:rPr>
      <w:fldChar w:fldCharType="begin"/>
    </w:r>
    <w:r w:rsidRPr="00E84E32">
      <w:rPr>
        <w:rStyle w:val="PageNumber"/>
        <w:rFonts w:ascii="Times New Roman" w:hAnsi="Times New Roman" w:cs="Times New Roman"/>
      </w:rPr>
      <w:instrText xml:space="preserve">PAGE  </w:instrText>
    </w:r>
    <w:r w:rsidRPr="00E84E32">
      <w:rPr>
        <w:rStyle w:val="PageNumber"/>
        <w:rFonts w:ascii="Times New Roman" w:hAnsi="Times New Roman" w:cs="Times New Roman"/>
      </w:rPr>
      <w:fldChar w:fldCharType="separate"/>
    </w:r>
    <w:r w:rsidR="00F00956">
      <w:rPr>
        <w:rStyle w:val="PageNumber"/>
        <w:rFonts w:ascii="Times New Roman" w:hAnsi="Times New Roman" w:cs="Times New Roman"/>
        <w:noProof/>
      </w:rPr>
      <w:t>1</w:t>
    </w:r>
    <w:r w:rsidRPr="00E84E32">
      <w:rPr>
        <w:rStyle w:val="PageNumber"/>
        <w:rFonts w:ascii="Times New Roman" w:hAnsi="Times New Roman" w:cs="Times New Roman"/>
      </w:rPr>
      <w:fldChar w:fldCharType="end"/>
    </w:r>
  </w:p>
  <w:p w14:paraId="5F939A1A" w14:textId="77777777" w:rsidR="00851B9B" w:rsidRPr="00E84E32" w:rsidRDefault="00851B9B" w:rsidP="00E84E32">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4B233" w14:textId="77777777" w:rsidR="00851B9B" w:rsidRDefault="00851B9B" w:rsidP="00947C12">
      <w:r>
        <w:separator/>
      </w:r>
    </w:p>
  </w:footnote>
  <w:footnote w:type="continuationSeparator" w:id="0">
    <w:p w14:paraId="59B8127A" w14:textId="77777777" w:rsidR="00851B9B" w:rsidRDefault="00851B9B" w:rsidP="00947C12">
      <w:r>
        <w:continuationSeparator/>
      </w:r>
    </w:p>
  </w:footnote>
  <w:footnote w:id="1">
    <w:p w14:paraId="325F9B3D" w14:textId="26BE9739" w:rsidR="00851B9B" w:rsidRPr="00BE597A" w:rsidRDefault="00851B9B" w:rsidP="00135D65">
      <w:pPr>
        <w:pStyle w:val="FootnoteText"/>
      </w:pPr>
      <w:r w:rsidRPr="00BE597A">
        <w:rPr>
          <w:rStyle w:val="FootnoteReference"/>
        </w:rPr>
        <w:footnoteRef/>
      </w:r>
      <w:r>
        <w:t xml:space="preserve"> John Burton and Frank </w:t>
      </w:r>
      <w:r w:rsidRPr="00BE597A">
        <w:t xml:space="preserve">Dukes, </w:t>
      </w:r>
      <w:r w:rsidRPr="00BE597A">
        <w:rPr>
          <w:i/>
        </w:rPr>
        <w:t>Conflict: Practices, Settlement, and Resolution</w:t>
      </w:r>
      <w:r>
        <w:t xml:space="preserve"> (London: Macmillan, 1990); Saadia</w:t>
      </w:r>
      <w:r w:rsidRPr="00BE597A">
        <w:t xml:space="preserve"> Touval, </w:t>
      </w:r>
      <w:r w:rsidRPr="00BE597A">
        <w:rPr>
          <w:i/>
        </w:rPr>
        <w:t>The Peace Brokers: Mediators in the Arab-Israeli Conflict</w:t>
      </w:r>
      <w:r w:rsidRPr="00BE597A">
        <w:t xml:space="preserve"> (Princeton, N.J.: Princ</w:t>
      </w:r>
      <w:r>
        <w:t>eton University Press, 1982); Peter</w:t>
      </w:r>
      <w:r w:rsidRPr="00BE597A">
        <w:t xml:space="preserve"> Carnevale, </w:t>
      </w:r>
      <w:r>
        <w:t>‘Mediating from Strength’, in Jacob</w:t>
      </w:r>
      <w:r w:rsidRPr="00BE597A">
        <w:t xml:space="preserve"> Bercovitch (ed.), </w:t>
      </w:r>
      <w:r w:rsidRPr="00BE597A">
        <w:rPr>
          <w:i/>
        </w:rPr>
        <w:t>Studies in International Mediation: Essays in Honor of Jeffrey Z. Rubin</w:t>
      </w:r>
      <w:r w:rsidRPr="00BE597A">
        <w:t xml:space="preserve"> (London: Palgrave, 2002);</w:t>
      </w:r>
      <w:r w:rsidRPr="00BE597A">
        <w:rPr>
          <w:i/>
        </w:rPr>
        <w:t xml:space="preserve"> </w:t>
      </w:r>
      <w:r>
        <w:t xml:space="preserve">James </w:t>
      </w:r>
      <w:r w:rsidRPr="00BE597A">
        <w:t xml:space="preserve">D.D. Smith, ‘Mediator Impartiality: Banishing the Chimera’, </w:t>
      </w:r>
      <w:r w:rsidRPr="00BE597A">
        <w:rPr>
          <w:i/>
        </w:rPr>
        <w:t>Journal of Peace Research</w:t>
      </w:r>
      <w:r w:rsidRPr="00BE597A">
        <w:t>, Vol. 31, No. 4, 1994, pp. 445-450</w:t>
      </w:r>
    </w:p>
  </w:footnote>
  <w:footnote w:id="2">
    <w:p w14:paraId="18D3328D" w14:textId="2603F9E6" w:rsidR="00851B9B" w:rsidRPr="00BE597A" w:rsidRDefault="00851B9B" w:rsidP="00135D65">
      <w:pPr>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Jeffrey </w:t>
      </w:r>
      <w:r w:rsidRPr="00BE597A">
        <w:rPr>
          <w:rFonts w:ascii="Times New Roman" w:hAnsi="Times New Roman" w:cs="Times New Roman"/>
          <w:sz w:val="20"/>
          <w:szCs w:val="20"/>
        </w:rPr>
        <w:t>Z. Rubin, ‘Internatio</w:t>
      </w:r>
      <w:r>
        <w:rPr>
          <w:rFonts w:ascii="Times New Roman" w:hAnsi="Times New Roman" w:cs="Times New Roman"/>
          <w:sz w:val="20"/>
          <w:szCs w:val="20"/>
        </w:rPr>
        <w:t xml:space="preserve">nal Mediation in Context’, in Jacob Bercovitch &amp; Jeffrey </w:t>
      </w:r>
      <w:r w:rsidRPr="00BE597A">
        <w:rPr>
          <w:rFonts w:ascii="Times New Roman" w:hAnsi="Times New Roman" w:cs="Times New Roman"/>
          <w:sz w:val="20"/>
          <w:szCs w:val="20"/>
        </w:rPr>
        <w:t xml:space="preserve">Z. Rubin (eds.), </w:t>
      </w:r>
      <w:r w:rsidRPr="00BE597A">
        <w:rPr>
          <w:rFonts w:ascii="Times New Roman" w:hAnsi="Times New Roman" w:cs="Times New Roman"/>
          <w:i/>
          <w:sz w:val="20"/>
          <w:szCs w:val="20"/>
        </w:rPr>
        <w:t>Mediation in International Relations: Multiple Approaches to Conflict Management</w:t>
      </w:r>
      <w:r>
        <w:rPr>
          <w:rFonts w:ascii="Times New Roman" w:hAnsi="Times New Roman" w:cs="Times New Roman"/>
          <w:sz w:val="20"/>
          <w:szCs w:val="20"/>
        </w:rPr>
        <w:t xml:space="preserve"> (London: Palgrave, 1992); I. William Zartman and Saadia</w:t>
      </w:r>
      <w:r w:rsidRPr="00BE597A">
        <w:rPr>
          <w:rFonts w:ascii="Times New Roman" w:hAnsi="Times New Roman" w:cs="Times New Roman"/>
          <w:sz w:val="20"/>
          <w:szCs w:val="20"/>
        </w:rPr>
        <w:t xml:space="preserve"> Touval, ‘International Mediation</w:t>
      </w:r>
      <w:r>
        <w:rPr>
          <w:rFonts w:ascii="Times New Roman" w:hAnsi="Times New Roman" w:cs="Times New Roman"/>
          <w:sz w:val="20"/>
          <w:szCs w:val="20"/>
        </w:rPr>
        <w:t xml:space="preserve"> in the Post-Cold War Era’ in Chester Crocker, Fen Osler Hampson and Pamela</w:t>
      </w:r>
      <w:r w:rsidRPr="00BE597A">
        <w:rPr>
          <w:rFonts w:ascii="Times New Roman" w:hAnsi="Times New Roman" w:cs="Times New Roman"/>
          <w:sz w:val="20"/>
          <w:szCs w:val="20"/>
        </w:rPr>
        <w:t xml:space="preserve"> Aall (eds.), </w:t>
      </w:r>
      <w:r w:rsidRPr="00BE597A">
        <w:rPr>
          <w:rFonts w:ascii="Times New Roman" w:hAnsi="Times New Roman" w:cs="Times New Roman"/>
          <w:i/>
          <w:iCs/>
          <w:sz w:val="20"/>
          <w:szCs w:val="20"/>
        </w:rPr>
        <w:t>Turbulent Peace: The Challenges of Managing International Conflict</w:t>
      </w:r>
      <w:r w:rsidRPr="00BE597A">
        <w:rPr>
          <w:rFonts w:ascii="Times New Roman" w:hAnsi="Times New Roman" w:cs="Times New Roman"/>
          <w:sz w:val="20"/>
          <w:szCs w:val="20"/>
        </w:rPr>
        <w:t xml:space="preserve"> (Washington D.C.: USIP Press</w:t>
      </w:r>
      <w:r>
        <w:rPr>
          <w:rFonts w:ascii="Times New Roman" w:hAnsi="Times New Roman" w:cs="Times New Roman"/>
          <w:sz w:val="20"/>
          <w:szCs w:val="20"/>
        </w:rPr>
        <w:t>, 2001); Luke Heemsbergen and Asaf</w:t>
      </w:r>
      <w:r w:rsidRPr="00BE597A">
        <w:rPr>
          <w:rFonts w:ascii="Times New Roman" w:hAnsi="Times New Roman" w:cs="Times New Roman"/>
          <w:sz w:val="20"/>
          <w:szCs w:val="20"/>
        </w:rPr>
        <w:t xml:space="preserve"> Siniver, ‘New routes to power: towards a typology of power mediation’, </w:t>
      </w:r>
      <w:r w:rsidRPr="00BE597A">
        <w:rPr>
          <w:rFonts w:ascii="Times New Roman" w:hAnsi="Times New Roman" w:cs="Times New Roman"/>
          <w:i/>
          <w:sz w:val="20"/>
          <w:szCs w:val="20"/>
        </w:rPr>
        <w:t>Review of International Studies</w:t>
      </w:r>
      <w:r w:rsidRPr="00BE597A">
        <w:rPr>
          <w:rFonts w:ascii="Times New Roman" w:hAnsi="Times New Roman" w:cs="Times New Roman"/>
          <w:sz w:val="20"/>
          <w:szCs w:val="20"/>
        </w:rPr>
        <w:t xml:space="preserve">, Vol. 37, No. 3, 2011, pp. 1169-1190 </w:t>
      </w:r>
    </w:p>
  </w:footnote>
  <w:footnote w:id="3">
    <w:p w14:paraId="79471852" w14:textId="5778D930" w:rsidR="00851B9B" w:rsidRPr="00BE597A" w:rsidRDefault="00851B9B" w:rsidP="00135D65">
      <w:pPr>
        <w:pStyle w:val="FootnoteText"/>
      </w:pPr>
      <w:r w:rsidRPr="00BE597A">
        <w:rPr>
          <w:rStyle w:val="FootnoteReference"/>
        </w:rPr>
        <w:footnoteRef/>
      </w:r>
      <w:r w:rsidRPr="00BE597A">
        <w:t xml:space="preserve"> I.</w:t>
      </w:r>
      <w:r>
        <w:t xml:space="preserve"> William</w:t>
      </w:r>
      <w:r w:rsidRPr="00BE597A">
        <w:t xml:space="preserve"> Zartman, ‘Prenegotiation</w:t>
      </w:r>
      <w:r>
        <w:t>: phases and functions’, in Janice Gross</w:t>
      </w:r>
      <w:r w:rsidRPr="00BE597A">
        <w:t xml:space="preserve"> Stein (ed.), </w:t>
      </w:r>
      <w:r w:rsidRPr="00BE597A">
        <w:rPr>
          <w:i/>
        </w:rPr>
        <w:t>Getting to the Table: The Processes of International Prenegotiation</w:t>
      </w:r>
      <w:r w:rsidRPr="00BE597A">
        <w:t xml:space="preserve"> (Baltimore: Johns Hop</w:t>
      </w:r>
      <w:r>
        <w:t>kins University Press, 1989); Karin</w:t>
      </w:r>
      <w:r w:rsidRPr="00BE597A">
        <w:t xml:space="preserve"> Aggestam, ‘Mediating Asymmetrical Conflict’, </w:t>
      </w:r>
      <w:r w:rsidRPr="00BE597A">
        <w:rPr>
          <w:i/>
        </w:rPr>
        <w:t>Mediterranean Politics</w:t>
      </w:r>
      <w:r w:rsidRPr="00BE597A">
        <w:t>, Vol. 7, No. 1, 2002, p. 73</w:t>
      </w:r>
    </w:p>
  </w:footnote>
  <w:footnote w:id="4">
    <w:p w14:paraId="377CFE78" w14:textId="37E79181" w:rsidR="00851B9B" w:rsidRPr="00BE597A" w:rsidRDefault="00851B9B" w:rsidP="00135D65">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Kyle C. Beardsley, David M. Quinn, Bidisha Biswas, and Jonathan</w:t>
      </w:r>
      <w:r w:rsidRPr="00BE597A">
        <w:rPr>
          <w:rFonts w:ascii="Times New Roman" w:hAnsi="Times New Roman" w:cs="Times New Roman"/>
          <w:sz w:val="20"/>
          <w:szCs w:val="20"/>
        </w:rPr>
        <w:t xml:space="preserve"> Wilkenfeld, ‘Mediation Style and Crisis Outcomes’, </w:t>
      </w:r>
      <w:r w:rsidRPr="00BE597A">
        <w:rPr>
          <w:rFonts w:ascii="Times New Roman" w:hAnsi="Times New Roman" w:cs="Times New Roman"/>
          <w:i/>
          <w:sz w:val="20"/>
          <w:szCs w:val="20"/>
        </w:rPr>
        <w:t>Journal of Conflict Resolution</w:t>
      </w:r>
      <w:r w:rsidRPr="00BE597A">
        <w:rPr>
          <w:rFonts w:ascii="Times New Roman" w:hAnsi="Times New Roman" w:cs="Times New Roman"/>
          <w:sz w:val="20"/>
          <w:szCs w:val="20"/>
        </w:rPr>
        <w:t>, Vol</w:t>
      </w:r>
      <w:r>
        <w:rPr>
          <w:rFonts w:ascii="Times New Roman" w:hAnsi="Times New Roman" w:cs="Times New Roman"/>
          <w:sz w:val="20"/>
          <w:szCs w:val="20"/>
        </w:rPr>
        <w:t xml:space="preserve">. 50, No. 1, 2006, pp. 58-86; Jacob Bercovitch and Scott </w:t>
      </w:r>
      <w:r w:rsidRPr="00BE597A">
        <w:rPr>
          <w:rFonts w:ascii="Times New Roman" w:hAnsi="Times New Roman" w:cs="Times New Roman"/>
          <w:sz w:val="20"/>
          <w:szCs w:val="20"/>
        </w:rPr>
        <w:t>S. Gartner, ‘Is there method in the madness of mediation? Some lessons for mediators from quantitative studies of media</w:t>
      </w:r>
      <w:r>
        <w:rPr>
          <w:rFonts w:ascii="Times New Roman" w:hAnsi="Times New Roman" w:cs="Times New Roman"/>
          <w:sz w:val="20"/>
          <w:szCs w:val="20"/>
        </w:rPr>
        <w:t xml:space="preserve">tion’ in Jacob Bercovitch and Scott </w:t>
      </w:r>
      <w:r w:rsidRPr="00BE597A">
        <w:rPr>
          <w:rFonts w:ascii="Times New Roman" w:hAnsi="Times New Roman" w:cs="Times New Roman"/>
          <w:sz w:val="20"/>
          <w:szCs w:val="20"/>
        </w:rPr>
        <w:t xml:space="preserve">S. Gartner (eds.), </w:t>
      </w:r>
      <w:r w:rsidRPr="00BE597A">
        <w:rPr>
          <w:rFonts w:ascii="Times New Roman" w:hAnsi="Times New Roman" w:cs="Times New Roman"/>
          <w:i/>
          <w:iCs/>
          <w:sz w:val="20"/>
          <w:szCs w:val="20"/>
        </w:rPr>
        <w:t>International Conflict Mediation: New Approaches and Findings</w:t>
      </w:r>
      <w:r>
        <w:rPr>
          <w:rFonts w:ascii="Times New Roman" w:hAnsi="Times New Roman" w:cs="Times New Roman"/>
          <w:sz w:val="20"/>
          <w:szCs w:val="20"/>
        </w:rPr>
        <w:t xml:space="preserve"> (London: Routledge, 2009); Jacob Bercovitch &amp; Allison</w:t>
      </w:r>
      <w:r w:rsidRPr="00BE597A">
        <w:rPr>
          <w:rFonts w:ascii="Times New Roman" w:hAnsi="Times New Roman" w:cs="Times New Roman"/>
          <w:sz w:val="20"/>
          <w:szCs w:val="20"/>
        </w:rPr>
        <w:t xml:space="preserve"> Houston, ‘Why Do They Do It Like This? An analysis of the factors influencing mediation behaviour in international conflicts’, </w:t>
      </w:r>
      <w:r w:rsidRPr="00BE597A">
        <w:rPr>
          <w:rFonts w:ascii="Times New Roman" w:hAnsi="Times New Roman" w:cs="Times New Roman"/>
          <w:i/>
          <w:sz w:val="20"/>
          <w:szCs w:val="20"/>
        </w:rPr>
        <w:t>Journal of Conflict Resolution</w:t>
      </w:r>
      <w:r w:rsidRPr="00BE597A">
        <w:rPr>
          <w:rFonts w:ascii="Times New Roman" w:hAnsi="Times New Roman" w:cs="Times New Roman"/>
          <w:sz w:val="20"/>
          <w:szCs w:val="20"/>
        </w:rPr>
        <w:t xml:space="preserve">, Vol. </w:t>
      </w:r>
      <w:r>
        <w:rPr>
          <w:rFonts w:ascii="Times New Roman" w:hAnsi="Times New Roman" w:cs="Times New Roman"/>
          <w:sz w:val="20"/>
          <w:szCs w:val="20"/>
        </w:rPr>
        <w:t>44, No. 2, 2000, pp. 170-202; Jonathan Wilkenfeld, Kathleen Young, Victor Asal and David</w:t>
      </w:r>
      <w:r w:rsidRPr="00BE597A">
        <w:rPr>
          <w:rFonts w:ascii="Times New Roman" w:hAnsi="Times New Roman" w:cs="Times New Roman"/>
          <w:sz w:val="20"/>
          <w:szCs w:val="20"/>
        </w:rPr>
        <w:t xml:space="preserve"> Quinn, ‘Mediating International Crises: Cross-national and experimental perspectives’, </w:t>
      </w:r>
      <w:r w:rsidRPr="00BE597A">
        <w:rPr>
          <w:rFonts w:ascii="Times New Roman" w:hAnsi="Times New Roman" w:cs="Times New Roman"/>
          <w:i/>
          <w:sz w:val="20"/>
          <w:szCs w:val="20"/>
        </w:rPr>
        <w:t>Journal of Conflict Resolution</w:t>
      </w:r>
      <w:r w:rsidRPr="00BE597A">
        <w:rPr>
          <w:rFonts w:ascii="Times New Roman" w:hAnsi="Times New Roman" w:cs="Times New Roman"/>
          <w:sz w:val="20"/>
          <w:szCs w:val="20"/>
        </w:rPr>
        <w:t>, Vol. 47, No. 3, 2003, pp. 279-301</w:t>
      </w:r>
    </w:p>
  </w:footnote>
  <w:footnote w:id="5">
    <w:p w14:paraId="6868B0EB" w14:textId="6DCDD00E" w:rsidR="00851B9B" w:rsidRPr="00BE597A" w:rsidRDefault="00851B9B">
      <w:pPr>
        <w:pStyle w:val="FootnoteText"/>
      </w:pPr>
      <w:r w:rsidRPr="00BE597A">
        <w:rPr>
          <w:rStyle w:val="FootnoteReference"/>
        </w:rPr>
        <w:footnoteRef/>
      </w:r>
      <w:r>
        <w:t xml:space="preserve"> Harold</w:t>
      </w:r>
      <w:r w:rsidRPr="00BE597A">
        <w:t xml:space="preserve"> Saunders, ‘Pre-negotiation and Circum-negotiation: Arenas of Mu</w:t>
      </w:r>
      <w:r>
        <w:t>lti-level Peace Processes’ in Chester</w:t>
      </w:r>
      <w:r w:rsidRPr="00BE597A">
        <w:t xml:space="preserve"> Crocker, </w:t>
      </w:r>
      <w:r>
        <w:t>Fen Osler Hampson and Pamela</w:t>
      </w:r>
      <w:r w:rsidRPr="00BE597A">
        <w:t xml:space="preserve"> Aall (eds.), </w:t>
      </w:r>
      <w:r w:rsidRPr="00BE597A">
        <w:rPr>
          <w:i/>
          <w:iCs/>
        </w:rPr>
        <w:t>Turbulent Peace: The Challenges of Managing International Conflict</w:t>
      </w:r>
      <w:r w:rsidRPr="00BE597A">
        <w:t xml:space="preserve"> (Washington D.C.: USIP Press, 2001), p. 489</w:t>
      </w:r>
    </w:p>
  </w:footnote>
  <w:footnote w:id="6">
    <w:p w14:paraId="519F03BC" w14:textId="5E7C1110" w:rsidR="00851B9B" w:rsidRPr="00BE597A" w:rsidRDefault="00851B9B">
      <w:pPr>
        <w:pStyle w:val="FootnoteText"/>
      </w:pPr>
      <w:r w:rsidRPr="00BE597A">
        <w:rPr>
          <w:rStyle w:val="FootnoteReference"/>
        </w:rPr>
        <w:footnoteRef/>
      </w:r>
      <w:r w:rsidRPr="00BE597A">
        <w:t xml:space="preserve"> Beardsley </w:t>
      </w:r>
      <w:r w:rsidRPr="00BE597A">
        <w:rPr>
          <w:i/>
        </w:rPr>
        <w:t>et al</w:t>
      </w:r>
      <w:r w:rsidRPr="00BE597A">
        <w:t xml:space="preserve"> (2006), p. 83</w:t>
      </w:r>
    </w:p>
  </w:footnote>
  <w:footnote w:id="7">
    <w:p w14:paraId="50BD9979" w14:textId="77777777" w:rsidR="00851B9B" w:rsidRPr="00BE597A" w:rsidRDefault="00851B9B" w:rsidP="00573350">
      <w:pPr>
        <w:pStyle w:val="FootnoteText"/>
      </w:pPr>
      <w:r w:rsidRPr="00BE597A">
        <w:rPr>
          <w:rStyle w:val="FootnoteReference"/>
        </w:rPr>
        <w:footnoteRef/>
      </w:r>
      <w:r w:rsidRPr="00BE597A">
        <w:t xml:space="preserve"> Ronald J. Fisher &amp; Loraleigh Keashly, ‘The Potential Complementarity of Mediation and Consultation within a Contingency Model of Third Party Intervention’, </w:t>
      </w:r>
      <w:r w:rsidRPr="00BE597A">
        <w:rPr>
          <w:i/>
        </w:rPr>
        <w:t>Journal of Peace Research</w:t>
      </w:r>
      <w:r w:rsidRPr="00BE597A">
        <w:t>, Vol. 28, No. 1, 1991, p. 30</w:t>
      </w:r>
    </w:p>
  </w:footnote>
  <w:footnote w:id="8">
    <w:p w14:paraId="0683FC09" w14:textId="075ED87E" w:rsidR="00851B9B" w:rsidRPr="00BE597A" w:rsidRDefault="00851B9B" w:rsidP="00135D65">
      <w:pPr>
        <w:pStyle w:val="FootnoteText"/>
        <w:jc w:val="both"/>
      </w:pPr>
      <w:r w:rsidRPr="00BE597A">
        <w:rPr>
          <w:rStyle w:val="FootnoteReference"/>
        </w:rPr>
        <w:footnoteRef/>
      </w:r>
      <w:r>
        <w:t xml:space="preserve"> Robert Malley and Hussein</w:t>
      </w:r>
      <w:r w:rsidRPr="00BE597A">
        <w:t xml:space="preserve"> Agha, ‘How Not to Make Peace in the Middle East’, </w:t>
      </w:r>
      <w:r w:rsidRPr="00BE597A">
        <w:rPr>
          <w:i/>
        </w:rPr>
        <w:t xml:space="preserve">The </w:t>
      </w:r>
      <w:r w:rsidRPr="00BE597A">
        <w:rPr>
          <w:i/>
          <w:iCs/>
        </w:rPr>
        <w:t>New York Review of Books</w:t>
      </w:r>
      <w:r w:rsidRPr="00BE597A">
        <w:t xml:space="preserve">, Vol. 56, No. 1, January </w:t>
      </w:r>
      <w:r>
        <w:t>2009; Asaf</w:t>
      </w:r>
      <w:r w:rsidRPr="00BE597A">
        <w:t xml:space="preserve"> Siniver, ‘Arbitrating the Israeli-Palestinian territorial dispute’, </w:t>
      </w:r>
      <w:r w:rsidRPr="00BE597A">
        <w:rPr>
          <w:i/>
        </w:rPr>
        <w:t>International Politics</w:t>
      </w:r>
      <w:r w:rsidRPr="00BE597A">
        <w:t>, Vol. 49, No. 1, 2012, pp. 117-129. During the Oslo process, the US did broker the 1996 Hebron Agreement, the 1997 Wye River Memorandum, and the 1999 Sharm el-Sheikh Agreement. However, these were either negotiations about the implementation of previous agreements like Oslo II or renegotiations of those previous agreements.</w:t>
      </w:r>
    </w:p>
  </w:footnote>
  <w:footnote w:id="9">
    <w:p w14:paraId="39595D28" w14:textId="1B6F4F81" w:rsidR="00851B9B" w:rsidRPr="00BE597A" w:rsidRDefault="00851B9B" w:rsidP="00943595">
      <w:pPr>
        <w:pStyle w:val="FootnoteText"/>
      </w:pPr>
      <w:r w:rsidRPr="00BE597A">
        <w:rPr>
          <w:rStyle w:val="FootnoteReference"/>
        </w:rPr>
        <w:footnoteRef/>
      </w:r>
      <w:r>
        <w:t xml:space="preserve"> Nathan</w:t>
      </w:r>
      <w:r w:rsidRPr="00BE597A">
        <w:t xml:space="preserve"> Thrall, ‘Israel and the US: The Delusions of Our Diplomacy’, </w:t>
      </w:r>
      <w:r w:rsidRPr="00BE597A">
        <w:rPr>
          <w:i/>
        </w:rPr>
        <w:t>The New York Review of Books</w:t>
      </w:r>
      <w:r w:rsidRPr="00BE597A">
        <w:t>, 9 October, 2014. One can argue whether this is a case of being unable or unwilling, but this is beyond the scope of this article.</w:t>
      </w:r>
    </w:p>
  </w:footnote>
  <w:footnote w:id="10">
    <w:p w14:paraId="2606CCE4" w14:textId="1E70F885" w:rsidR="00851B9B" w:rsidRPr="00BE597A" w:rsidRDefault="00851B9B" w:rsidP="00060446">
      <w:pPr>
        <w:pStyle w:val="FootnoteText"/>
      </w:pPr>
      <w:r w:rsidRPr="00BE597A">
        <w:rPr>
          <w:rStyle w:val="FootnoteReference"/>
        </w:rPr>
        <w:footnoteRef/>
      </w:r>
      <w:r w:rsidRPr="00BE597A">
        <w:t xml:space="preserve"> </w:t>
      </w:r>
      <w:r>
        <w:t>Nathan</w:t>
      </w:r>
      <w:r w:rsidRPr="00BE597A">
        <w:t xml:space="preserve"> Thrall, </w:t>
      </w:r>
      <w:r w:rsidRPr="00BE597A">
        <w:rPr>
          <w:i/>
        </w:rPr>
        <w:t>The Only Language They Understand: Forcing Compromise in Israel-Palestine</w:t>
      </w:r>
      <w:r w:rsidRPr="00BE597A">
        <w:t xml:space="preserve"> (New York: Metropolitan, 2017)</w:t>
      </w:r>
    </w:p>
  </w:footnote>
  <w:footnote w:id="11">
    <w:p w14:paraId="6DEF07DD" w14:textId="251DC241" w:rsidR="00851B9B" w:rsidRPr="00BE597A" w:rsidRDefault="00851B9B" w:rsidP="00060446">
      <w:pPr>
        <w:jc w:val="both"/>
        <w:rPr>
          <w:rFonts w:ascii="Times New Roman" w:hAnsi="Times New Roman" w:cs="Times New Roman"/>
          <w:i/>
          <w:iCs/>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Oren</w:t>
      </w:r>
      <w:r w:rsidRPr="00BE597A">
        <w:rPr>
          <w:rFonts w:ascii="Times New Roman" w:hAnsi="Times New Roman" w:cs="Times New Roman"/>
          <w:sz w:val="20"/>
          <w:szCs w:val="20"/>
        </w:rPr>
        <w:t xml:space="preserve"> Barak, ‘The Failure of the Israeli-Palestinian Peace Process, 1993-2000’, </w:t>
      </w:r>
      <w:r w:rsidRPr="00BE597A">
        <w:rPr>
          <w:rFonts w:ascii="Times New Roman" w:hAnsi="Times New Roman" w:cs="Times New Roman"/>
          <w:i/>
          <w:iCs/>
          <w:sz w:val="20"/>
          <w:szCs w:val="20"/>
        </w:rPr>
        <w:t>Journal of Peace Research</w:t>
      </w:r>
      <w:r w:rsidRPr="00BE597A">
        <w:rPr>
          <w:rFonts w:ascii="Times New Roman" w:hAnsi="Times New Roman" w:cs="Times New Roman"/>
          <w:iCs/>
          <w:sz w:val="20"/>
          <w:szCs w:val="20"/>
        </w:rPr>
        <w:t>,</w:t>
      </w:r>
      <w:r w:rsidRPr="00BE597A">
        <w:rPr>
          <w:rFonts w:ascii="Times New Roman" w:hAnsi="Times New Roman" w:cs="Times New Roman"/>
          <w:sz w:val="20"/>
          <w:szCs w:val="20"/>
        </w:rPr>
        <w:t xml:space="preserve"> Vol. 42, No. 6, 2005, pp. 719-736</w:t>
      </w:r>
    </w:p>
  </w:footnote>
  <w:footnote w:id="12">
    <w:p w14:paraId="060D9C9B" w14:textId="69D89EBB" w:rsidR="00851B9B" w:rsidRPr="00BE597A" w:rsidRDefault="00851B9B" w:rsidP="00060446">
      <w:pPr>
        <w:pStyle w:val="FootnoteText"/>
      </w:pPr>
      <w:r w:rsidRPr="00BE597A">
        <w:rPr>
          <w:rStyle w:val="FootnoteReference"/>
        </w:rPr>
        <w:footnoteRef/>
      </w:r>
      <w:r w:rsidRPr="00BE597A">
        <w:t xml:space="preserve"> For all of their strengths, this is a weakness of Thral</w:t>
      </w:r>
      <w:r>
        <w:t>l (2017), Siniver (2012), and Jeremy</w:t>
      </w:r>
      <w:r w:rsidRPr="00BE597A">
        <w:t xml:space="preserve"> Pressman, ‘American engagement and the pathways to Arab-Israeli peace’, </w:t>
      </w:r>
      <w:r w:rsidRPr="00BE597A">
        <w:rPr>
          <w:i/>
        </w:rPr>
        <w:t>Cooperation and Conflict</w:t>
      </w:r>
      <w:r w:rsidRPr="00BE597A">
        <w:t>, Vol. 49, No. 4, 2014, pp. 536-553</w:t>
      </w:r>
    </w:p>
  </w:footnote>
  <w:footnote w:id="13">
    <w:p w14:paraId="57E7AAF1" w14:textId="5C1CBAF6" w:rsidR="00851B9B" w:rsidRPr="00BE597A" w:rsidRDefault="00851B9B" w:rsidP="00135D65">
      <w:pPr>
        <w:pStyle w:val="FootnoteText"/>
      </w:pPr>
      <w:r w:rsidRPr="00BE597A">
        <w:rPr>
          <w:rStyle w:val="FootnoteReference"/>
        </w:rPr>
        <w:footnoteRef/>
      </w:r>
      <w:r w:rsidRPr="00BE597A">
        <w:t xml:space="preserve"> Heemsbergen &amp; Siniver (2011), p. 1176</w:t>
      </w:r>
    </w:p>
  </w:footnote>
  <w:footnote w:id="14">
    <w:p w14:paraId="16AA4AB5" w14:textId="366BEEE5" w:rsidR="00851B9B" w:rsidRPr="00BE597A" w:rsidRDefault="00851B9B" w:rsidP="000023DC">
      <w:pPr>
        <w:pStyle w:val="FootnoteText"/>
      </w:pPr>
      <w:r w:rsidRPr="00BE597A">
        <w:rPr>
          <w:rStyle w:val="FootnoteReference"/>
        </w:rPr>
        <w:footnoteRef/>
      </w:r>
      <w:r>
        <w:t xml:space="preserve"> Jacob</w:t>
      </w:r>
      <w:r w:rsidRPr="00BE597A">
        <w:t xml:space="preserve"> Eriksson, </w:t>
      </w:r>
      <w:r w:rsidRPr="00BE597A">
        <w:rPr>
          <w:i/>
        </w:rPr>
        <w:t>Small-state Mediation in International Conflicts: Diplomacy and Negotiation in Israel-Palestine</w:t>
      </w:r>
      <w:r>
        <w:t xml:space="preserve"> (London: IB Tauris, 2015); Louis</w:t>
      </w:r>
      <w:r w:rsidRPr="00BE597A">
        <w:t xml:space="preserve"> Kriesberg, ‘Mediation and the Transformation of the Israeli-Palestinian Conflict’, </w:t>
      </w:r>
      <w:r w:rsidRPr="00BE597A">
        <w:rPr>
          <w:i/>
        </w:rPr>
        <w:t>Journal of Peace Research</w:t>
      </w:r>
      <w:r w:rsidRPr="00BE597A">
        <w:t>, Vol. 38, No. 3, 2001, pp. 373-392; Aggestam (2002)</w:t>
      </w:r>
    </w:p>
  </w:footnote>
  <w:footnote w:id="15">
    <w:p w14:paraId="3DA5B791" w14:textId="5B9BCD41" w:rsidR="00851B9B" w:rsidRPr="00BE597A" w:rsidRDefault="00851B9B" w:rsidP="00135D65">
      <w:pPr>
        <w:pStyle w:val="FootnoteText"/>
      </w:pPr>
      <w:r w:rsidRPr="00BE597A">
        <w:rPr>
          <w:rStyle w:val="FootnoteReference"/>
        </w:rPr>
        <w:footnoteRef/>
      </w:r>
      <w:r>
        <w:t xml:space="preserve"> Helene</w:t>
      </w:r>
      <w:r w:rsidRPr="00BE597A">
        <w:t xml:space="preserve"> Cooper, ‘Rice’s Way: Restraint in Quest for Peace’, </w:t>
      </w:r>
      <w:r w:rsidRPr="00BE597A">
        <w:rPr>
          <w:i/>
        </w:rPr>
        <w:t>The New York Times</w:t>
      </w:r>
      <w:r w:rsidRPr="00BE597A">
        <w:t>, 29 November, 2007</w:t>
      </w:r>
    </w:p>
  </w:footnote>
  <w:footnote w:id="16">
    <w:p w14:paraId="198011EA" w14:textId="129F8BE7" w:rsidR="00851B9B" w:rsidRPr="00BE597A" w:rsidRDefault="00851B9B" w:rsidP="00135D65">
      <w:pPr>
        <w:pStyle w:val="FootnoteText"/>
      </w:pPr>
      <w:r w:rsidRPr="00BE597A">
        <w:rPr>
          <w:rStyle w:val="FootnoteReference"/>
        </w:rPr>
        <w:footnoteRef/>
      </w:r>
      <w:r>
        <w:t xml:space="preserve"> Daniel Kurtzer, Scott Lasensky, William Quandt, Steven Spiegel and Shibley</w:t>
      </w:r>
      <w:r w:rsidRPr="00BE597A">
        <w:t xml:space="preserve"> Telhami, </w:t>
      </w:r>
      <w:r w:rsidRPr="00BE597A">
        <w:rPr>
          <w:i/>
        </w:rPr>
        <w:t>The Peace Puzzle: America’s Quest for Arab-Israeli Peace, 1989-2011</w:t>
      </w:r>
      <w:r w:rsidRPr="00BE597A">
        <w:t xml:space="preserve"> (New York: Cornell University Press, 2013), p. 220</w:t>
      </w:r>
    </w:p>
  </w:footnote>
  <w:footnote w:id="17">
    <w:p w14:paraId="613C087C" w14:textId="219CA8B1" w:rsidR="00851B9B" w:rsidRPr="00BE597A" w:rsidRDefault="00851B9B" w:rsidP="00AC0BDA">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Aaron </w:t>
      </w:r>
      <w:r w:rsidRPr="00BE597A">
        <w:rPr>
          <w:rFonts w:ascii="Times New Roman" w:hAnsi="Times New Roman" w:cs="Times New Roman"/>
          <w:sz w:val="20"/>
          <w:szCs w:val="20"/>
        </w:rPr>
        <w:t xml:space="preserve">D. Miller, </w:t>
      </w:r>
      <w:r w:rsidRPr="00BE597A">
        <w:rPr>
          <w:rFonts w:ascii="Times New Roman" w:hAnsi="Times New Roman" w:cs="Times New Roman"/>
          <w:i/>
          <w:iCs/>
          <w:sz w:val="20"/>
          <w:szCs w:val="20"/>
        </w:rPr>
        <w:t>The Much Too Promised Land: America’s Elusive Search for Arab-Israeli Peace</w:t>
      </w:r>
      <w:r w:rsidRPr="00BE597A">
        <w:rPr>
          <w:rFonts w:ascii="Times New Roman" w:hAnsi="Times New Roman" w:cs="Times New Roman"/>
          <w:sz w:val="20"/>
          <w:szCs w:val="20"/>
        </w:rPr>
        <w:t xml:space="preserve"> (New York: Bantam Books, 2008), p. 300, 310-311</w:t>
      </w:r>
    </w:p>
  </w:footnote>
  <w:footnote w:id="18">
    <w:p w14:paraId="571E6C04" w14:textId="6E718606" w:rsidR="00851B9B" w:rsidRPr="00BE597A" w:rsidRDefault="00851B9B" w:rsidP="00135D65">
      <w:pPr>
        <w:pStyle w:val="FootnoteText"/>
      </w:pPr>
      <w:r w:rsidRPr="00BE597A">
        <w:rPr>
          <w:rStyle w:val="FootnoteReference"/>
        </w:rPr>
        <w:footnoteRef/>
      </w:r>
      <w:r w:rsidRPr="00BE597A">
        <w:t xml:space="preserve"> </w:t>
      </w:r>
      <w:r>
        <w:t>Elliott</w:t>
      </w:r>
      <w:r w:rsidRPr="00BE597A">
        <w:t xml:space="preserve"> Abrams, </w:t>
      </w:r>
      <w:r w:rsidRPr="00BE597A">
        <w:rPr>
          <w:i/>
        </w:rPr>
        <w:t>Tested by Zion: The Bush Administration and the Israeli-Palestinian Conflict</w:t>
      </w:r>
      <w:r w:rsidRPr="00BE597A">
        <w:t xml:space="preserve"> (New York: Cambridge University Press, 2013); </w:t>
      </w:r>
      <w:r>
        <w:t>Martin</w:t>
      </w:r>
      <w:r w:rsidRPr="00BE597A">
        <w:t xml:space="preserve"> Indyk, </w:t>
      </w:r>
      <w:r w:rsidRPr="00BE597A">
        <w:rPr>
          <w:i/>
          <w:iCs/>
        </w:rPr>
        <w:t>In</w:t>
      </w:r>
      <w:bookmarkStart w:id="0" w:name="_GoBack"/>
      <w:bookmarkEnd w:id="0"/>
      <w:r w:rsidRPr="00BE597A">
        <w:rPr>
          <w:i/>
          <w:iCs/>
        </w:rPr>
        <w:t>nocent Abroad: An Intimate Account of American Peace Diplomacy in the Middle East</w:t>
      </w:r>
      <w:r w:rsidRPr="00BE597A">
        <w:t xml:space="preserve"> (New York: Simon &amp; Schuster, 2009); Kurtzer </w:t>
      </w:r>
      <w:r w:rsidRPr="00BE597A">
        <w:rPr>
          <w:i/>
        </w:rPr>
        <w:t>et al</w:t>
      </w:r>
      <w:r w:rsidRPr="00BE597A">
        <w:t xml:space="preserve"> (2013); Miller (2008); </w:t>
      </w:r>
      <w:r>
        <w:t>Dennis Ross and David</w:t>
      </w:r>
      <w:r w:rsidRPr="00BE597A">
        <w:t xml:space="preserve"> Makovsky, </w:t>
      </w:r>
      <w:r w:rsidRPr="00BE597A">
        <w:rPr>
          <w:i/>
        </w:rPr>
        <w:t>Myths, Illusions, and Peace: Finding a New Direction for America in the Middle East</w:t>
      </w:r>
      <w:r w:rsidRPr="00BE597A">
        <w:t xml:space="preserve"> (London, Viking, 2009)</w:t>
      </w:r>
      <w:r>
        <w:t>; Daniel</w:t>
      </w:r>
      <w:r w:rsidRPr="00BE597A">
        <w:t xml:space="preserve"> Zoughbie, </w:t>
      </w:r>
      <w:r w:rsidRPr="00BE597A">
        <w:rPr>
          <w:i/>
        </w:rPr>
        <w:t>Indecision Points: George W. Bush and the Israeli-Palestinian Conflict</w:t>
      </w:r>
      <w:r w:rsidRPr="00BE597A">
        <w:t xml:space="preserve"> (Cambridge, MA: MIT Press, 2014)</w:t>
      </w:r>
    </w:p>
  </w:footnote>
  <w:footnote w:id="19">
    <w:p w14:paraId="58FEE62A" w14:textId="089C0A81" w:rsidR="00851B9B" w:rsidRPr="00BE597A" w:rsidRDefault="00851B9B">
      <w:pPr>
        <w:pStyle w:val="FootnoteText"/>
      </w:pPr>
      <w:r w:rsidRPr="00BE597A">
        <w:rPr>
          <w:rStyle w:val="FootnoteReference"/>
        </w:rPr>
        <w:footnoteRef/>
      </w:r>
      <w:r w:rsidRPr="00BE597A">
        <w:t xml:space="preserve"> Beardsley </w:t>
      </w:r>
      <w:r w:rsidRPr="00BE597A">
        <w:rPr>
          <w:i/>
        </w:rPr>
        <w:t>et al</w:t>
      </w:r>
      <w:r w:rsidRPr="00BE597A">
        <w:t xml:space="preserve"> (2006), p. 83</w:t>
      </w:r>
    </w:p>
  </w:footnote>
  <w:footnote w:id="20">
    <w:p w14:paraId="0FBC2989" w14:textId="55F9A521" w:rsidR="00851B9B" w:rsidRPr="00BE597A" w:rsidRDefault="00851B9B" w:rsidP="006F40C2">
      <w:pPr>
        <w:pStyle w:val="FootnoteText"/>
        <w:jc w:val="both"/>
      </w:pPr>
      <w:r w:rsidRPr="00BE597A">
        <w:rPr>
          <w:rStyle w:val="FootnoteReference"/>
        </w:rPr>
        <w:footnoteRef/>
      </w:r>
      <w:r>
        <w:t xml:space="preserve"> Quoted in Jacob</w:t>
      </w:r>
      <w:r w:rsidRPr="00BE597A">
        <w:t xml:space="preserve"> Bercovitch, ‘Introduction: Put</w:t>
      </w:r>
      <w:r>
        <w:t>ting Mediation in Context’ in Jacob</w:t>
      </w:r>
      <w:r w:rsidRPr="00BE597A">
        <w:t xml:space="preserve"> Bercovitch (ed.), </w:t>
      </w:r>
      <w:r w:rsidRPr="00BE597A">
        <w:rPr>
          <w:i/>
          <w:iCs/>
        </w:rPr>
        <w:t>Studies in International Mediation</w:t>
      </w:r>
      <w:r w:rsidRPr="00BE597A">
        <w:t xml:space="preserve"> (Basingstoke: Palgrave Macmillan, 2002), p. 15</w:t>
      </w:r>
    </w:p>
  </w:footnote>
  <w:footnote w:id="21">
    <w:p w14:paraId="409220EB" w14:textId="47897C27" w:rsidR="00851B9B" w:rsidRPr="00BE597A" w:rsidRDefault="00851B9B" w:rsidP="006F40C2">
      <w:pPr>
        <w:pStyle w:val="FootnoteText"/>
        <w:jc w:val="both"/>
      </w:pPr>
      <w:r w:rsidRPr="00BE597A">
        <w:rPr>
          <w:rStyle w:val="FootnoteReference"/>
        </w:rPr>
        <w:footnoteRef/>
      </w:r>
      <w:r>
        <w:t xml:space="preserve"> Jacob</w:t>
      </w:r>
      <w:r w:rsidRPr="00BE597A">
        <w:t xml:space="preserve"> Bercovitch, ‘The Structure and Diversity of Mediation i</w:t>
      </w:r>
      <w:r>
        <w:t>n International Relations’ in Jacob</w:t>
      </w:r>
      <w:r w:rsidRPr="00BE597A">
        <w:t xml:space="preserve"> Be</w:t>
      </w:r>
      <w:r>
        <w:t xml:space="preserve">rcovitch and Jeffrey </w:t>
      </w:r>
      <w:r w:rsidRPr="00BE597A">
        <w:t xml:space="preserve">Z. Rubin (eds.), </w:t>
      </w:r>
      <w:r w:rsidRPr="00BE597A">
        <w:rPr>
          <w:i/>
        </w:rPr>
        <w:t>Mediation in International Relations: Multiple Approaches to Conflict Management</w:t>
      </w:r>
      <w:r w:rsidRPr="00BE597A">
        <w:t xml:space="preserve"> (London: Palgrave Macmillan, 1992), p. 17; Bercovitch (2002), p. 16; Bercovitch and Gartner (2009), p. 27</w:t>
      </w:r>
    </w:p>
  </w:footnote>
  <w:footnote w:id="22">
    <w:p w14:paraId="0841FA33" w14:textId="27139E5D" w:rsidR="00851B9B" w:rsidRPr="00BE597A" w:rsidRDefault="00851B9B" w:rsidP="00F9232E">
      <w:pPr>
        <w:pStyle w:val="FootnoteText"/>
        <w:jc w:val="both"/>
      </w:pPr>
      <w:r w:rsidRPr="00BE597A">
        <w:rPr>
          <w:rStyle w:val="FootnoteReference"/>
        </w:rPr>
        <w:footnoteRef/>
      </w:r>
      <w:r w:rsidRPr="00BE597A">
        <w:t xml:space="preserve"> Beardsley </w:t>
      </w:r>
      <w:r w:rsidRPr="00BE597A">
        <w:rPr>
          <w:i/>
        </w:rPr>
        <w:t>et al</w:t>
      </w:r>
      <w:r w:rsidRPr="00BE597A">
        <w:t>. (2006); Bercovitch (1992) &amp; (2002); B</w:t>
      </w:r>
      <w:r>
        <w:t>ercovitch and Gartner (2009); Saadia Touval and I. William</w:t>
      </w:r>
      <w:r w:rsidRPr="00BE597A">
        <w:t xml:space="preserve"> Zartman (eds.), </w:t>
      </w:r>
      <w:r w:rsidRPr="00BE597A">
        <w:rPr>
          <w:rStyle w:val="Emphasis"/>
        </w:rPr>
        <w:t>International Mediation in Theory and Practice</w:t>
      </w:r>
      <w:r w:rsidRPr="00BE597A">
        <w:t xml:space="preserve"> (Boulder, Colorado: Westview Press, 1985); Wilkenfeld </w:t>
      </w:r>
      <w:r w:rsidRPr="00AB5797">
        <w:rPr>
          <w:i/>
        </w:rPr>
        <w:t>et al.</w:t>
      </w:r>
      <w:r w:rsidRPr="00BE597A">
        <w:t xml:space="preserve"> (2003)</w:t>
      </w:r>
    </w:p>
  </w:footnote>
  <w:footnote w:id="23">
    <w:p w14:paraId="52230E76" w14:textId="3C251CA3" w:rsidR="00851B9B" w:rsidRPr="00BE597A" w:rsidRDefault="00851B9B">
      <w:pPr>
        <w:pStyle w:val="FootnoteText"/>
      </w:pPr>
      <w:r w:rsidRPr="00BE597A">
        <w:rPr>
          <w:rStyle w:val="FootnoteReference"/>
        </w:rPr>
        <w:footnoteRef/>
      </w:r>
      <w:r w:rsidRPr="00BE597A">
        <w:t xml:space="preserve"> Aggestam (2002), p. 73 </w:t>
      </w:r>
    </w:p>
  </w:footnote>
  <w:footnote w:id="24">
    <w:p w14:paraId="60FCD7D1" w14:textId="54C00E61" w:rsidR="00851B9B" w:rsidRPr="00BE597A" w:rsidRDefault="00851B9B">
      <w:pPr>
        <w:pStyle w:val="FootnoteText"/>
      </w:pPr>
      <w:r w:rsidRPr="00BE597A">
        <w:rPr>
          <w:rStyle w:val="FootnoteReference"/>
        </w:rPr>
        <w:footnoteRef/>
      </w:r>
      <w:r w:rsidRPr="00BE597A">
        <w:t xml:space="preserve"> Bercovitch and Houston (2000), p. 175</w:t>
      </w:r>
    </w:p>
  </w:footnote>
  <w:footnote w:id="25">
    <w:p w14:paraId="33585CC8" w14:textId="20CD0935" w:rsidR="00851B9B" w:rsidRPr="00BE597A" w:rsidRDefault="00851B9B">
      <w:pPr>
        <w:pStyle w:val="FootnoteText"/>
      </w:pPr>
      <w:r w:rsidRPr="00BE597A">
        <w:rPr>
          <w:rStyle w:val="FootnoteReference"/>
        </w:rPr>
        <w:footnoteRef/>
      </w:r>
      <w:r w:rsidRPr="00BE597A">
        <w:t xml:space="preserve"> Eriksson (2015), p. 3</w:t>
      </w:r>
    </w:p>
  </w:footnote>
  <w:footnote w:id="26">
    <w:p w14:paraId="6A2FEE9A" w14:textId="782699F2" w:rsidR="00851B9B" w:rsidRPr="00BE597A" w:rsidRDefault="00851B9B" w:rsidP="00CC7EB5">
      <w:pPr>
        <w:contextualSpacing/>
        <w:jc w:val="both"/>
        <w:rPr>
          <w:rFonts w:ascii="Times New Roman" w:hAnsi="Times New Roman" w:cs="Times New Roman"/>
          <w:i/>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Marieke</w:t>
      </w:r>
      <w:r w:rsidRPr="00BE597A">
        <w:rPr>
          <w:rFonts w:ascii="Times New Roman" w:hAnsi="Times New Roman" w:cs="Times New Roman"/>
          <w:sz w:val="20"/>
          <w:szCs w:val="20"/>
        </w:rPr>
        <w:t xml:space="preserve"> Kleiboer, ‘Understanding Success and Failure of International Mediation’, </w:t>
      </w:r>
      <w:r w:rsidRPr="00BE597A">
        <w:rPr>
          <w:rFonts w:ascii="Times New Roman" w:hAnsi="Times New Roman" w:cs="Times New Roman"/>
          <w:i/>
          <w:sz w:val="20"/>
          <w:szCs w:val="20"/>
        </w:rPr>
        <w:t>Journal of Conflict Resolution</w:t>
      </w:r>
      <w:r w:rsidRPr="00BE597A">
        <w:rPr>
          <w:rFonts w:ascii="Times New Roman" w:hAnsi="Times New Roman" w:cs="Times New Roman"/>
          <w:sz w:val="20"/>
          <w:szCs w:val="20"/>
        </w:rPr>
        <w:t>, Vol. 40, No. 2, 1996; Heemsbergen and Siniver (2012), p 1177</w:t>
      </w:r>
    </w:p>
  </w:footnote>
  <w:footnote w:id="27">
    <w:p w14:paraId="40E46B6C" w14:textId="57C1530C" w:rsidR="00851B9B" w:rsidRPr="00BE597A" w:rsidRDefault="00851B9B" w:rsidP="00375E2C">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Marieke</w:t>
      </w:r>
      <w:r w:rsidRPr="00BE597A">
        <w:rPr>
          <w:rFonts w:ascii="Times New Roman" w:hAnsi="Times New Roman" w:cs="Times New Roman"/>
          <w:sz w:val="20"/>
          <w:szCs w:val="20"/>
        </w:rPr>
        <w:t xml:space="preserve"> Kleiboer, ‘Great Power Mediation: Using Levera</w:t>
      </w:r>
      <w:r>
        <w:rPr>
          <w:rFonts w:ascii="Times New Roman" w:hAnsi="Times New Roman" w:cs="Times New Roman"/>
          <w:sz w:val="20"/>
          <w:szCs w:val="20"/>
        </w:rPr>
        <w:t>ge to Make Peace?’ in Jacob</w:t>
      </w:r>
      <w:r w:rsidRPr="00BE597A">
        <w:rPr>
          <w:rFonts w:ascii="Times New Roman" w:hAnsi="Times New Roman" w:cs="Times New Roman"/>
          <w:sz w:val="20"/>
          <w:szCs w:val="20"/>
        </w:rPr>
        <w:t xml:space="preserve"> Bercovitch (ed.), </w:t>
      </w:r>
      <w:r w:rsidRPr="00BE597A">
        <w:rPr>
          <w:rFonts w:ascii="Times New Roman" w:hAnsi="Times New Roman" w:cs="Times New Roman"/>
          <w:i/>
          <w:iCs/>
          <w:sz w:val="20"/>
          <w:szCs w:val="20"/>
        </w:rPr>
        <w:t>Studies in International Mediation</w:t>
      </w:r>
      <w:r w:rsidRPr="00BE597A">
        <w:rPr>
          <w:rFonts w:ascii="Times New Roman" w:hAnsi="Times New Roman" w:cs="Times New Roman"/>
          <w:sz w:val="20"/>
          <w:szCs w:val="20"/>
        </w:rPr>
        <w:t xml:space="preserve"> (Basingstoke: Palgrave Macmillan, 2000)</w:t>
      </w:r>
    </w:p>
  </w:footnote>
  <w:footnote w:id="28">
    <w:p w14:paraId="04C0A447" w14:textId="764BEB6B" w:rsidR="00851B9B" w:rsidRPr="00BE597A" w:rsidRDefault="00851B9B" w:rsidP="00932E2C">
      <w:pPr>
        <w:pStyle w:val="FootnoteText"/>
        <w:jc w:val="both"/>
      </w:pPr>
      <w:r w:rsidRPr="00BE597A">
        <w:rPr>
          <w:rStyle w:val="FootnoteReference"/>
        </w:rPr>
        <w:footnoteRef/>
      </w:r>
      <w:r>
        <w:t xml:space="preserve"> Fen Osler</w:t>
      </w:r>
      <w:r w:rsidRPr="00BE597A">
        <w:t xml:space="preserve"> Hampson, ‘Third Party Role</w:t>
      </w:r>
      <w:r>
        <w:t xml:space="preserve">s in Conflict Management’, in Chester Crocker, Fen Osler Hampson and Pamela </w:t>
      </w:r>
      <w:r w:rsidRPr="00BE597A">
        <w:t xml:space="preserve">Aall (eds.), </w:t>
      </w:r>
      <w:r w:rsidRPr="00BE597A">
        <w:rPr>
          <w:i/>
          <w:iCs/>
        </w:rPr>
        <w:t>Turbulent Peace: The Challenges of Managing International Conflict</w:t>
      </w:r>
      <w:r w:rsidRPr="00BE597A">
        <w:t xml:space="preserve"> (Washington D.C.: USIP Press, 2001), p. 396 </w:t>
      </w:r>
    </w:p>
  </w:footnote>
  <w:footnote w:id="29">
    <w:p w14:paraId="15699100" w14:textId="77777777" w:rsidR="00851B9B" w:rsidRPr="00BE597A" w:rsidRDefault="00851B9B" w:rsidP="00CA5376">
      <w:pPr>
        <w:pStyle w:val="FootnoteText"/>
      </w:pPr>
      <w:r w:rsidRPr="00BE597A">
        <w:rPr>
          <w:rStyle w:val="FootnoteReference"/>
        </w:rPr>
        <w:footnoteRef/>
      </w:r>
      <w:r w:rsidRPr="00BE597A">
        <w:t xml:space="preserve"> Kleiboer (2000)</w:t>
      </w:r>
    </w:p>
  </w:footnote>
  <w:footnote w:id="30">
    <w:p w14:paraId="7D28A764" w14:textId="55707BF1" w:rsidR="00851B9B" w:rsidRPr="00BE597A" w:rsidRDefault="00851B9B" w:rsidP="00CD04ED">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lang w:val="fr-FR"/>
        </w:rPr>
        <w:t xml:space="preserve"> Thomas</w:t>
      </w:r>
      <w:r w:rsidRPr="00BE597A">
        <w:rPr>
          <w:rFonts w:ascii="Times New Roman" w:hAnsi="Times New Roman" w:cs="Times New Roman"/>
          <w:sz w:val="20"/>
          <w:szCs w:val="20"/>
          <w:lang w:val="fr-FR"/>
        </w:rPr>
        <w:t xml:space="preserve"> </w:t>
      </w:r>
      <w:r w:rsidRPr="00BE597A">
        <w:rPr>
          <w:rFonts w:ascii="Times New Roman" w:hAnsi="Times New Roman" w:cs="Times New Roman"/>
          <w:sz w:val="20"/>
          <w:szCs w:val="20"/>
        </w:rPr>
        <w:t xml:space="preserve">Princen, </w:t>
      </w:r>
      <w:r w:rsidRPr="00BE597A">
        <w:rPr>
          <w:rFonts w:ascii="Times New Roman" w:hAnsi="Times New Roman" w:cs="Times New Roman"/>
          <w:i/>
          <w:sz w:val="20"/>
          <w:szCs w:val="20"/>
        </w:rPr>
        <w:t>Intermediaries in International Conflict</w:t>
      </w:r>
      <w:r w:rsidRPr="00BE597A">
        <w:rPr>
          <w:rFonts w:ascii="Times New Roman" w:hAnsi="Times New Roman" w:cs="Times New Roman"/>
          <w:sz w:val="20"/>
          <w:szCs w:val="20"/>
        </w:rPr>
        <w:t xml:space="preserve"> (Princeton, N.J.: Princeton Uni. Press, 1992), </w:t>
      </w:r>
      <w:r w:rsidRPr="00BE597A">
        <w:rPr>
          <w:rFonts w:ascii="Times New Roman" w:hAnsi="Times New Roman" w:cs="Times New Roman"/>
          <w:sz w:val="20"/>
          <w:szCs w:val="20"/>
          <w:lang w:val="fr-FR"/>
        </w:rPr>
        <w:t>p. 22</w:t>
      </w:r>
    </w:p>
  </w:footnote>
  <w:footnote w:id="31">
    <w:p w14:paraId="6B8953EA" w14:textId="22340CC2" w:rsidR="00851B9B" w:rsidRPr="00BE597A" w:rsidRDefault="00851B9B" w:rsidP="00A93A05">
      <w:pPr>
        <w:pStyle w:val="FootnoteText"/>
      </w:pPr>
      <w:r w:rsidRPr="00BE597A">
        <w:rPr>
          <w:rStyle w:val="FootnoteReference"/>
        </w:rPr>
        <w:footnoteRef/>
      </w:r>
      <w:r w:rsidRPr="00BE597A">
        <w:t xml:space="preserve"> Heemsbergen &amp; Siniver (2012), p. 1188-1189; Kleiboer (1996), p. 372</w:t>
      </w:r>
    </w:p>
  </w:footnote>
  <w:footnote w:id="32">
    <w:p w14:paraId="48C24711" w14:textId="06C413D5" w:rsidR="00851B9B" w:rsidRPr="00BE597A" w:rsidRDefault="00851B9B">
      <w:pPr>
        <w:pStyle w:val="FootnoteText"/>
      </w:pPr>
      <w:r w:rsidRPr="00BE597A">
        <w:rPr>
          <w:rStyle w:val="FootnoteReference"/>
        </w:rPr>
        <w:footnoteRef/>
      </w:r>
      <w:r>
        <w:t xml:space="preserve"> I. William</w:t>
      </w:r>
      <w:r w:rsidRPr="00BE597A">
        <w:t xml:space="preserve"> Zartman, ‘Conflict R</w:t>
      </w:r>
      <w:r>
        <w:t>esolution and Negotiation’ in Jacob Bercovitch, Victor</w:t>
      </w:r>
      <w:r w:rsidRPr="00BE597A">
        <w:t xml:space="preserve"> Kremenyuk and I.</w:t>
      </w:r>
      <w:r>
        <w:t xml:space="preserve"> William</w:t>
      </w:r>
      <w:r w:rsidRPr="00BE597A">
        <w:t xml:space="preserve"> Zartman (eds.), </w:t>
      </w:r>
      <w:r w:rsidRPr="00BE597A">
        <w:rPr>
          <w:i/>
        </w:rPr>
        <w:t>The SAGE Handbook of Conflict Resolution</w:t>
      </w:r>
      <w:r w:rsidRPr="00BE597A">
        <w:t xml:space="preserve"> (London: SAGE Publications, 2009), p. 330-331</w:t>
      </w:r>
    </w:p>
  </w:footnote>
  <w:footnote w:id="33">
    <w:p w14:paraId="5E6B5425" w14:textId="28B94FD0" w:rsidR="00851B9B" w:rsidRPr="00BE597A" w:rsidRDefault="00851B9B" w:rsidP="0080521A">
      <w:pPr>
        <w:pStyle w:val="FootnoteText"/>
        <w:jc w:val="both"/>
        <w:rPr>
          <w:lang w:val="en-GB"/>
        </w:rPr>
      </w:pPr>
      <w:r w:rsidRPr="00BE597A">
        <w:rPr>
          <w:rStyle w:val="FootnoteReference"/>
        </w:rPr>
        <w:footnoteRef/>
      </w:r>
      <w:r w:rsidRPr="00BE597A">
        <w:t xml:space="preserve"> </w:t>
      </w:r>
      <w:r w:rsidRPr="00BE597A">
        <w:rPr>
          <w:lang w:val="en-GB"/>
        </w:rPr>
        <w:t>Zartman (1989), p. 4, 13</w:t>
      </w:r>
    </w:p>
  </w:footnote>
  <w:footnote w:id="34">
    <w:p w14:paraId="56880527" w14:textId="3CBCFBE0" w:rsidR="00851B9B" w:rsidRPr="00BE597A" w:rsidRDefault="00851B9B" w:rsidP="0080521A">
      <w:pPr>
        <w:pStyle w:val="FootnoteText"/>
        <w:jc w:val="both"/>
        <w:rPr>
          <w:lang w:val="en-GB"/>
        </w:rPr>
      </w:pPr>
      <w:r w:rsidRPr="00BE597A">
        <w:rPr>
          <w:rStyle w:val="FootnoteReference"/>
        </w:rPr>
        <w:footnoteRef/>
      </w:r>
      <w:r>
        <w:t xml:space="preserve"> Morton</w:t>
      </w:r>
      <w:r w:rsidRPr="00BE597A">
        <w:t xml:space="preserve"> </w:t>
      </w:r>
      <w:r w:rsidRPr="00BE597A">
        <w:rPr>
          <w:bCs/>
        </w:rPr>
        <w:t>Deutsch, ‘Commentary: On Negot</w:t>
      </w:r>
      <w:r>
        <w:rPr>
          <w:bCs/>
        </w:rPr>
        <w:t xml:space="preserve">iating the Non-Negotiable’ in Barbara Kellerman and Jeffrey </w:t>
      </w:r>
      <w:r w:rsidRPr="00BE597A">
        <w:rPr>
          <w:bCs/>
        </w:rPr>
        <w:t xml:space="preserve">Z. </w:t>
      </w:r>
      <w:r w:rsidRPr="00BE597A">
        <w:t xml:space="preserve">Rubin (eds.), </w:t>
      </w:r>
      <w:r w:rsidRPr="00BE597A">
        <w:rPr>
          <w:rStyle w:val="Strong"/>
          <w:b w:val="0"/>
          <w:bCs w:val="0"/>
          <w:i/>
          <w:iCs/>
        </w:rPr>
        <w:t>Leadership and Negotiation in the Middle East</w:t>
      </w:r>
      <w:r w:rsidRPr="00BE597A">
        <w:rPr>
          <w:rStyle w:val="Strong"/>
          <w:b w:val="0"/>
          <w:bCs w:val="0"/>
        </w:rPr>
        <w:t xml:space="preserve"> (London: Praeger, 1988),</w:t>
      </w:r>
      <w:r w:rsidRPr="00BE597A">
        <w:rPr>
          <w:b/>
          <w:lang w:val="en-GB"/>
        </w:rPr>
        <w:t xml:space="preserve"> </w:t>
      </w:r>
      <w:r w:rsidRPr="00BE597A">
        <w:rPr>
          <w:lang w:val="en-GB"/>
        </w:rPr>
        <w:t>p. 252</w:t>
      </w:r>
    </w:p>
  </w:footnote>
  <w:footnote w:id="35">
    <w:p w14:paraId="76D0E13D" w14:textId="1C8EEB02" w:rsidR="00851B9B" w:rsidRPr="00BE597A" w:rsidRDefault="00851B9B" w:rsidP="00FE3E30">
      <w:pPr>
        <w:pStyle w:val="FootnoteText"/>
      </w:pPr>
      <w:r w:rsidRPr="00BE597A">
        <w:rPr>
          <w:rStyle w:val="FootnoteReference"/>
        </w:rPr>
        <w:footnoteRef/>
      </w:r>
      <w:r>
        <w:t xml:space="preserve"> Zartman (1989), p. 2, 5; Janice Gross</w:t>
      </w:r>
      <w:r w:rsidRPr="00BE597A">
        <w:t xml:space="preserve"> Stein, ‘Pre-negotiation in the Arab-Israeli Conflict: the Paradoxes </w:t>
      </w:r>
      <w:r>
        <w:t>of Success and Failure’, in Janice Gross</w:t>
      </w:r>
      <w:r w:rsidRPr="00BE597A">
        <w:t xml:space="preserve"> Stein (ed.), </w:t>
      </w:r>
      <w:r w:rsidRPr="00BE597A">
        <w:rPr>
          <w:i/>
        </w:rPr>
        <w:t>Getting to the Table: The Processes of International Prenegotiation</w:t>
      </w:r>
      <w:r w:rsidRPr="00BE597A">
        <w:t xml:space="preserve"> (Baltimore: Johns Hopkins University Press, 1989). For this and other reasons, the author prefers Bercovitch’s definition of mediation which allows inclusion of such activities: mediation is ‘a process of conflict management, related to but distinct from the parties’ own efforts, where the disputing parties or their representatives seek the assistance, or accept an offer of help, from an individual, group, state or organization to change, affect or influence their perceptions or behaviour, without resorting to physical force or invoking the authority of the law.’ (Bercovitch, (1992), p. 7)</w:t>
      </w:r>
    </w:p>
  </w:footnote>
  <w:footnote w:id="36">
    <w:p w14:paraId="6EA207CA" w14:textId="36CB3B96" w:rsidR="00851B9B" w:rsidRPr="00BE597A" w:rsidRDefault="00851B9B">
      <w:pPr>
        <w:pStyle w:val="FootnoteText"/>
      </w:pPr>
      <w:r w:rsidRPr="00BE597A">
        <w:rPr>
          <w:rStyle w:val="FootnoteReference"/>
        </w:rPr>
        <w:footnoteRef/>
      </w:r>
      <w:r>
        <w:t xml:space="preserve"> Shlomo </w:t>
      </w:r>
      <w:r w:rsidRPr="00BE597A">
        <w:t xml:space="preserve">Ben-Ami, </w:t>
      </w:r>
      <w:r w:rsidRPr="00BE597A">
        <w:rPr>
          <w:i/>
          <w:iCs/>
        </w:rPr>
        <w:t>Scars of War,</w:t>
      </w:r>
      <w:r w:rsidRPr="00BE597A">
        <w:t xml:space="preserve"> </w:t>
      </w:r>
      <w:r w:rsidRPr="00BE597A">
        <w:rPr>
          <w:i/>
          <w:iCs/>
        </w:rPr>
        <w:t>Wounds of Peace: The Israeli-Arab Tragedy</w:t>
      </w:r>
      <w:r w:rsidRPr="00BE597A">
        <w:t xml:space="preserve">  (New York: Oxford University Press, 2006), p. 198; Kurtzer </w:t>
      </w:r>
      <w:r w:rsidRPr="00BE597A">
        <w:rPr>
          <w:i/>
        </w:rPr>
        <w:t xml:space="preserve"> et al</w:t>
      </w:r>
      <w:r w:rsidRPr="00BE597A">
        <w:t xml:space="preserve"> (2013), p. 28-29</w:t>
      </w:r>
    </w:p>
  </w:footnote>
  <w:footnote w:id="37">
    <w:p w14:paraId="162D5670" w14:textId="4B8A19E9" w:rsidR="00851B9B" w:rsidRPr="00BE597A" w:rsidRDefault="00851B9B" w:rsidP="004F27DD">
      <w:pPr>
        <w:pStyle w:val="FootnoteText"/>
        <w:jc w:val="both"/>
      </w:pPr>
      <w:r w:rsidRPr="00BE597A">
        <w:rPr>
          <w:rStyle w:val="FootnoteReference"/>
        </w:rPr>
        <w:footnoteRef/>
      </w:r>
      <w:r>
        <w:t xml:space="preserve"> Uri</w:t>
      </w:r>
      <w:r w:rsidRPr="00BE597A">
        <w:t xml:space="preserve"> Savir, </w:t>
      </w:r>
      <w:r w:rsidRPr="00BE597A">
        <w:rPr>
          <w:i/>
          <w:iCs/>
        </w:rPr>
        <w:t>The Process: 1100 days that changed the Middle East</w:t>
      </w:r>
      <w:r w:rsidRPr="00BE597A">
        <w:t xml:space="preserve"> (New York: Random House, 1998), p. 280</w:t>
      </w:r>
    </w:p>
  </w:footnote>
  <w:footnote w:id="38">
    <w:p w14:paraId="6459C626" w14:textId="77777777" w:rsidR="00851B9B" w:rsidRPr="00BE597A" w:rsidRDefault="00851B9B" w:rsidP="004F27DD">
      <w:pPr>
        <w:pStyle w:val="FootnoteText"/>
      </w:pPr>
      <w:r w:rsidRPr="00BE597A">
        <w:rPr>
          <w:rStyle w:val="FootnoteReference"/>
        </w:rPr>
        <w:footnoteRef/>
      </w:r>
      <w:r w:rsidRPr="00BE597A">
        <w:t xml:space="preserve"> Beardsley </w:t>
      </w:r>
      <w:r w:rsidRPr="00BE597A">
        <w:rPr>
          <w:i/>
        </w:rPr>
        <w:t>et al</w:t>
      </w:r>
      <w:r w:rsidRPr="00BE597A">
        <w:t xml:space="preserve"> (2006), p. 82</w:t>
      </w:r>
    </w:p>
  </w:footnote>
  <w:footnote w:id="39">
    <w:p w14:paraId="63139A3C" w14:textId="6A81BC59" w:rsidR="00851B9B" w:rsidRPr="00BE597A" w:rsidRDefault="00851B9B" w:rsidP="004F27DD">
      <w:pPr>
        <w:pStyle w:val="FootnoteText"/>
      </w:pPr>
      <w:r w:rsidRPr="00BE597A">
        <w:rPr>
          <w:rStyle w:val="FootnoteReference"/>
        </w:rPr>
        <w:footnoteRef/>
      </w:r>
      <w:r>
        <w:t xml:space="preserve"> Edward</w:t>
      </w:r>
      <w:r w:rsidRPr="00BE597A">
        <w:t xml:space="preserve"> Azar, </w:t>
      </w:r>
      <w:r w:rsidRPr="00BE597A">
        <w:rPr>
          <w:i/>
        </w:rPr>
        <w:t>The Management of Protracted Social Conflict: Theory and Cases</w:t>
      </w:r>
      <w:r w:rsidRPr="00BE597A">
        <w:t xml:space="preserve"> </w:t>
      </w:r>
      <w:r>
        <w:t>(Aldershot: Dartmouth, 1990); Oliver</w:t>
      </w:r>
      <w:r w:rsidRPr="00BE597A">
        <w:t xml:space="preserve"> Ramsbotham, ‘The analysis of protracted social conflict: a tribute to Edward Azar’, </w:t>
      </w:r>
      <w:r w:rsidRPr="00BE597A">
        <w:rPr>
          <w:i/>
        </w:rPr>
        <w:t>Review of International Studies</w:t>
      </w:r>
      <w:r w:rsidRPr="00BE597A">
        <w:t>, Vol. 31, No. 1, 2005</w:t>
      </w:r>
    </w:p>
  </w:footnote>
  <w:footnote w:id="40">
    <w:p w14:paraId="0210E85C" w14:textId="77777777" w:rsidR="00851B9B" w:rsidRPr="00BE597A" w:rsidRDefault="00851B9B" w:rsidP="004F27DD">
      <w:pPr>
        <w:pStyle w:val="FootnoteText"/>
      </w:pPr>
      <w:r w:rsidRPr="00BE597A">
        <w:rPr>
          <w:rStyle w:val="FootnoteReference"/>
        </w:rPr>
        <w:footnoteRef/>
      </w:r>
      <w:r w:rsidRPr="00BE597A">
        <w:t xml:space="preserve"> Azar (1990), p. 2, 7-10</w:t>
      </w:r>
    </w:p>
  </w:footnote>
  <w:footnote w:id="41">
    <w:p w14:paraId="5DAECEDD" w14:textId="05D2FB60" w:rsidR="00851B9B" w:rsidRPr="00BE597A" w:rsidRDefault="00851B9B" w:rsidP="004F27DD">
      <w:pPr>
        <w:pStyle w:val="FootnoteText"/>
      </w:pPr>
      <w:r w:rsidRPr="00BE597A">
        <w:rPr>
          <w:rStyle w:val="FootnoteReference"/>
        </w:rPr>
        <w:footnoteRef/>
      </w:r>
      <w:r>
        <w:t xml:space="preserve"> Edward Azar and Chung In</w:t>
      </w:r>
      <w:r w:rsidRPr="00BE597A">
        <w:t xml:space="preserve"> Moon, ‘Managing Protracted Social Conflicts in the Third World: Facilitation and Development Diplomacy’, </w:t>
      </w:r>
      <w:r w:rsidRPr="00BE597A">
        <w:rPr>
          <w:i/>
        </w:rPr>
        <w:t>Millenium</w:t>
      </w:r>
      <w:r w:rsidRPr="00BE597A">
        <w:t xml:space="preserve">, </w:t>
      </w:r>
      <w:r>
        <w:t>Vol. 15, No. 3, 1986, p. 401; Jacob Bercovitch and Jeff</w:t>
      </w:r>
      <w:r w:rsidRPr="00BE597A">
        <w:t xml:space="preserve"> Langley, ‘The Nature of the Dispute and the Effectiveness of International Mediation’, </w:t>
      </w:r>
      <w:r w:rsidRPr="00BE597A">
        <w:rPr>
          <w:i/>
        </w:rPr>
        <w:t>Journal of Conflict Resolution</w:t>
      </w:r>
      <w:r w:rsidRPr="00BE597A">
        <w:t>, Vol. 37, No. 4, 1993, p. 677; Bercovitch and Houston (2000), p. 177-178, 189; Zartman (2009), p. 335; Kleiboer (1996), p. 364; Eriksson (2015)</w:t>
      </w:r>
    </w:p>
  </w:footnote>
  <w:footnote w:id="42">
    <w:p w14:paraId="75E951AA" w14:textId="7639C8B1" w:rsidR="00851B9B" w:rsidRPr="00BE597A" w:rsidRDefault="00851B9B">
      <w:pPr>
        <w:pStyle w:val="FootnoteText"/>
      </w:pPr>
      <w:r w:rsidRPr="00BE597A">
        <w:rPr>
          <w:rStyle w:val="FootnoteReference"/>
        </w:rPr>
        <w:footnoteRef/>
      </w:r>
      <w:r w:rsidRPr="00BE597A">
        <w:t xml:space="preserve"> Beardsley </w:t>
      </w:r>
      <w:r w:rsidRPr="00BE597A">
        <w:rPr>
          <w:i/>
        </w:rPr>
        <w:t>et al</w:t>
      </w:r>
      <w:r w:rsidRPr="00BE597A">
        <w:t xml:space="preserve"> (2006), p. 81-83</w:t>
      </w:r>
    </w:p>
  </w:footnote>
  <w:footnote w:id="43">
    <w:p w14:paraId="747C9449" w14:textId="5AD41191" w:rsidR="00851B9B" w:rsidRPr="00BE597A" w:rsidRDefault="00851B9B">
      <w:pPr>
        <w:pStyle w:val="FootnoteText"/>
      </w:pPr>
      <w:r w:rsidRPr="00BE597A">
        <w:rPr>
          <w:rStyle w:val="FootnoteReference"/>
        </w:rPr>
        <w:footnoteRef/>
      </w:r>
      <w:r w:rsidRPr="00BE597A">
        <w:t xml:space="preserve"> </w:t>
      </w:r>
      <w:r w:rsidRPr="00BE597A">
        <w:rPr>
          <w:i/>
        </w:rPr>
        <w:t>ibid</w:t>
      </w:r>
      <w:r w:rsidRPr="00BE597A">
        <w:t>, p. 81</w:t>
      </w:r>
    </w:p>
  </w:footnote>
  <w:footnote w:id="44">
    <w:p w14:paraId="0E2B34FB" w14:textId="1A1E7E45" w:rsidR="00851B9B" w:rsidRPr="00BE597A" w:rsidRDefault="00851B9B">
      <w:pPr>
        <w:pStyle w:val="FootnoteText"/>
      </w:pPr>
      <w:r w:rsidRPr="00BE597A">
        <w:rPr>
          <w:rStyle w:val="FootnoteReference"/>
        </w:rPr>
        <w:footnoteRef/>
      </w:r>
      <w:r w:rsidRPr="00BE597A">
        <w:t xml:space="preserve"> Zartman (2009), p. 328</w:t>
      </w:r>
    </w:p>
  </w:footnote>
  <w:footnote w:id="45">
    <w:p w14:paraId="14E81C8A" w14:textId="6145530A" w:rsidR="00851B9B" w:rsidRPr="00BE597A" w:rsidRDefault="00851B9B">
      <w:pPr>
        <w:pStyle w:val="FootnoteText"/>
      </w:pPr>
      <w:r w:rsidRPr="00BE597A">
        <w:rPr>
          <w:rStyle w:val="FootnoteReference"/>
        </w:rPr>
        <w:footnoteRef/>
      </w:r>
      <w:r>
        <w:t xml:space="preserve"> Jacob Bercovitch and Richard</w:t>
      </w:r>
      <w:r w:rsidRPr="00BE597A">
        <w:t xml:space="preserve"> Jackson, </w:t>
      </w:r>
      <w:r w:rsidRPr="00BE597A">
        <w:rPr>
          <w:i/>
        </w:rPr>
        <w:t>Conflict Resolution in the Twenty-first Century: Principles, Methods and Approaches</w:t>
      </w:r>
      <w:r w:rsidRPr="00BE597A">
        <w:t xml:space="preserve"> (Ann Arbor, Michigan: University of Michigan Press, 2009), p. 38</w:t>
      </w:r>
    </w:p>
  </w:footnote>
  <w:footnote w:id="46">
    <w:p w14:paraId="2D50CF5F" w14:textId="04FD8640" w:rsidR="00851B9B" w:rsidRPr="00BE597A" w:rsidRDefault="00851B9B" w:rsidP="005D1C16">
      <w:pPr>
        <w:pStyle w:val="FootnoteText"/>
        <w:jc w:val="both"/>
      </w:pPr>
      <w:r w:rsidRPr="00BE597A">
        <w:rPr>
          <w:rStyle w:val="FootnoteReference"/>
        </w:rPr>
        <w:footnoteRef/>
      </w:r>
      <w:r>
        <w:t xml:space="preserve"> Saadia</w:t>
      </w:r>
      <w:r w:rsidRPr="00BE597A">
        <w:t xml:space="preserve"> Touval, ‘The Impact of Multiple Asymmetries on Arab-Israeli Negotiations’, in I.</w:t>
      </w:r>
      <w:r>
        <w:t xml:space="preserve"> William Zartman and Jeffrey </w:t>
      </w:r>
      <w:r w:rsidRPr="00BE597A">
        <w:t xml:space="preserve">Z. Rubin (eds.), </w:t>
      </w:r>
      <w:r w:rsidRPr="00BE597A">
        <w:rPr>
          <w:i/>
          <w:iCs/>
        </w:rPr>
        <w:t>Power and Negotiation</w:t>
      </w:r>
      <w:r w:rsidRPr="00BE597A">
        <w:t xml:space="preserve"> (Ann Arbor, Michigan: University of Michigan Press, 2000), p. 169</w:t>
      </w:r>
    </w:p>
  </w:footnote>
  <w:footnote w:id="47">
    <w:p w14:paraId="103042D6" w14:textId="518BE111" w:rsidR="00851B9B" w:rsidRPr="00BE597A" w:rsidRDefault="00851B9B" w:rsidP="005D1C16">
      <w:pPr>
        <w:pStyle w:val="FootnoteText"/>
        <w:jc w:val="both"/>
        <w:rPr>
          <w:lang w:val="en-GB"/>
        </w:rPr>
      </w:pPr>
      <w:r w:rsidRPr="00BE597A">
        <w:rPr>
          <w:rStyle w:val="FootnoteReference"/>
        </w:rPr>
        <w:footnoteRef/>
      </w:r>
      <w:r>
        <w:t xml:space="preserve"> Tamar</w:t>
      </w:r>
      <w:r w:rsidRPr="00BE597A">
        <w:t xml:space="preserve"> </w:t>
      </w:r>
      <w:r w:rsidRPr="00BE597A">
        <w:rPr>
          <w:bCs/>
          <w:lang w:val="en-GB"/>
        </w:rPr>
        <w:t xml:space="preserve">Hermann, ‘Only America, and Only Through Diplomacy: Israeli Jewish Attitudes to International Involvement in the Quest for a Solution to the Conflict’, </w:t>
      </w:r>
      <w:r w:rsidRPr="00BE597A">
        <w:rPr>
          <w:bCs/>
          <w:i/>
          <w:iCs/>
          <w:lang w:val="en-GB"/>
        </w:rPr>
        <w:t>Palestine-Israel Journal</w:t>
      </w:r>
      <w:r w:rsidRPr="00BE597A">
        <w:rPr>
          <w:bCs/>
          <w:lang w:val="en-GB"/>
        </w:rPr>
        <w:t>, Vol. 11, No. 2, 2004</w:t>
      </w:r>
    </w:p>
  </w:footnote>
  <w:footnote w:id="48">
    <w:p w14:paraId="0AE6B0FA" w14:textId="491E63F8" w:rsidR="00851B9B" w:rsidRPr="00BE597A" w:rsidRDefault="00851B9B" w:rsidP="00F622F7">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sidRPr="00BE597A">
        <w:rPr>
          <w:rFonts w:ascii="Times New Roman" w:hAnsi="Times New Roman" w:cs="Times New Roman"/>
          <w:sz w:val="20"/>
          <w:szCs w:val="20"/>
        </w:rPr>
        <w:t xml:space="preserve"> Bercovitch and Gartner (</w:t>
      </w:r>
      <w:r>
        <w:rPr>
          <w:rFonts w:ascii="Times New Roman" w:hAnsi="Times New Roman" w:cs="Times New Roman"/>
          <w:sz w:val="20"/>
          <w:szCs w:val="20"/>
        </w:rPr>
        <w:t>2009), p. 26; Princen (1992); Oran</w:t>
      </w:r>
      <w:r w:rsidRPr="00BE597A">
        <w:rPr>
          <w:rFonts w:ascii="Times New Roman" w:hAnsi="Times New Roman" w:cs="Times New Roman"/>
          <w:sz w:val="20"/>
          <w:szCs w:val="20"/>
        </w:rPr>
        <w:t xml:space="preserve"> Young, </w:t>
      </w:r>
      <w:r w:rsidRPr="00BE597A">
        <w:rPr>
          <w:rFonts w:ascii="Times New Roman" w:hAnsi="Times New Roman" w:cs="Times New Roman"/>
          <w:i/>
          <w:iCs/>
          <w:sz w:val="20"/>
          <w:szCs w:val="20"/>
        </w:rPr>
        <w:t>The Intermediaries: Third Parties in International Crises</w:t>
      </w:r>
      <w:r w:rsidRPr="00BE597A">
        <w:rPr>
          <w:rFonts w:ascii="Times New Roman" w:hAnsi="Times New Roman" w:cs="Times New Roman"/>
          <w:sz w:val="20"/>
          <w:szCs w:val="20"/>
        </w:rPr>
        <w:t xml:space="preserve"> (Princeton, New Jersey: Princeton University Press, 1967), p. 81</w:t>
      </w:r>
    </w:p>
  </w:footnote>
  <w:footnote w:id="49">
    <w:p w14:paraId="4F2016D9" w14:textId="77777777" w:rsidR="00851B9B" w:rsidRPr="00BE597A" w:rsidRDefault="00851B9B" w:rsidP="00F622F7">
      <w:pPr>
        <w:pStyle w:val="FootnoteText"/>
        <w:jc w:val="both"/>
      </w:pPr>
      <w:r w:rsidRPr="00BE597A">
        <w:rPr>
          <w:rStyle w:val="FootnoteReference"/>
        </w:rPr>
        <w:footnoteRef/>
      </w:r>
      <w:r w:rsidRPr="00BE597A">
        <w:rPr>
          <w:lang w:val="en-GB"/>
        </w:rPr>
        <w:t xml:space="preserve"> </w:t>
      </w:r>
      <w:r w:rsidRPr="00BE597A">
        <w:t>Touval (1982), p. 11-14</w:t>
      </w:r>
    </w:p>
  </w:footnote>
  <w:footnote w:id="50">
    <w:p w14:paraId="1D196D3C" w14:textId="35AD0354" w:rsidR="00851B9B" w:rsidRPr="00BE597A" w:rsidRDefault="00851B9B" w:rsidP="00F622F7">
      <w:pPr>
        <w:pStyle w:val="FootnoteText"/>
        <w:jc w:val="both"/>
      </w:pPr>
      <w:r w:rsidRPr="00BE597A">
        <w:rPr>
          <w:rStyle w:val="FootnoteReference"/>
        </w:rPr>
        <w:footnoteRef/>
      </w:r>
      <w:r w:rsidRPr="00BE597A">
        <w:t xml:space="preserve"> I.</w:t>
      </w:r>
      <w:r>
        <w:t xml:space="preserve"> William</w:t>
      </w:r>
      <w:r w:rsidRPr="00BE597A">
        <w:t xml:space="preserve"> Zartman and J</w:t>
      </w:r>
      <w:r>
        <w:t xml:space="preserve">effrey </w:t>
      </w:r>
      <w:r w:rsidRPr="00BE597A">
        <w:t>Z. Rubin, ‘Symmetry and Asymmetry in Negotiation’ in I.</w:t>
      </w:r>
      <w:r>
        <w:t xml:space="preserve"> William Zartman and Jeffrey </w:t>
      </w:r>
      <w:r w:rsidRPr="00BE597A">
        <w:t xml:space="preserve">Z. Rubin (eds.), </w:t>
      </w:r>
      <w:r w:rsidRPr="00BE597A">
        <w:rPr>
          <w:i/>
          <w:iCs/>
        </w:rPr>
        <w:t>Power and Negotiation</w:t>
      </w:r>
      <w:r w:rsidRPr="00BE597A">
        <w:t xml:space="preserve"> (Ann Arbor, Michigan: University of Michigan Press, 2000), p. 288</w:t>
      </w:r>
    </w:p>
  </w:footnote>
  <w:footnote w:id="51">
    <w:p w14:paraId="73804793" w14:textId="77777777" w:rsidR="00851B9B" w:rsidRPr="00BE597A" w:rsidRDefault="00851B9B" w:rsidP="00F622F7">
      <w:pPr>
        <w:pStyle w:val="FootnoteText"/>
      </w:pPr>
      <w:r w:rsidRPr="00BE597A">
        <w:rPr>
          <w:rStyle w:val="FootnoteReference"/>
        </w:rPr>
        <w:footnoteRef/>
      </w:r>
      <w:r w:rsidRPr="00BE597A">
        <w:t xml:space="preserve"> Aggestam (2002), p. 74</w:t>
      </w:r>
    </w:p>
  </w:footnote>
  <w:footnote w:id="52">
    <w:p w14:paraId="1B46B5C3" w14:textId="69E65E73" w:rsidR="00851B9B" w:rsidRPr="00BE597A" w:rsidRDefault="00851B9B" w:rsidP="00F622F7">
      <w:pPr>
        <w:pStyle w:val="FootnoteText"/>
        <w:jc w:val="both"/>
      </w:pPr>
      <w:r w:rsidRPr="00BE597A">
        <w:rPr>
          <w:rStyle w:val="FootnoteReference"/>
        </w:rPr>
        <w:footnoteRef/>
      </w:r>
      <w:r>
        <w:t xml:space="preserve"> Jeswald </w:t>
      </w:r>
      <w:r w:rsidRPr="00BE597A">
        <w:t>W. Salacuse, ‘Lessons for Practice’ in I.</w:t>
      </w:r>
      <w:r>
        <w:t xml:space="preserve"> William Zartman and Jeffrey </w:t>
      </w:r>
      <w:r w:rsidRPr="00BE597A">
        <w:t xml:space="preserve">Z. Rubin (eds.), </w:t>
      </w:r>
      <w:r w:rsidRPr="00BE597A">
        <w:rPr>
          <w:i/>
          <w:iCs/>
        </w:rPr>
        <w:t>Power and Negotiation</w:t>
      </w:r>
      <w:r w:rsidRPr="00BE597A">
        <w:t xml:space="preserve"> (Ann Arbor, Michigan: University of Michigan Press, 2000), p. 258-259</w:t>
      </w:r>
    </w:p>
  </w:footnote>
  <w:footnote w:id="53">
    <w:p w14:paraId="2FA80B73" w14:textId="6357E263" w:rsidR="00851B9B" w:rsidRPr="00BE597A" w:rsidRDefault="00851B9B" w:rsidP="00F622F7">
      <w:pPr>
        <w:pStyle w:val="FootnoteText"/>
      </w:pPr>
      <w:r w:rsidRPr="00BE597A">
        <w:rPr>
          <w:rStyle w:val="FootnoteReference"/>
        </w:rPr>
        <w:footnoteRef/>
      </w:r>
      <w:r>
        <w:t xml:space="preserve"> Ross and Makovsky (2009)</w:t>
      </w:r>
      <w:r w:rsidRPr="00BE597A">
        <w:t>, p. 91-113; Thrall (2014)</w:t>
      </w:r>
    </w:p>
  </w:footnote>
  <w:footnote w:id="54">
    <w:p w14:paraId="5CCC0960" w14:textId="77777777" w:rsidR="00851B9B" w:rsidRPr="00BE597A" w:rsidRDefault="00851B9B" w:rsidP="00F622F7">
      <w:pPr>
        <w:pStyle w:val="FootnoteText"/>
      </w:pPr>
      <w:r w:rsidRPr="00BE597A">
        <w:rPr>
          <w:rStyle w:val="FootnoteReference"/>
        </w:rPr>
        <w:footnoteRef/>
      </w:r>
      <w:r w:rsidRPr="00BE597A">
        <w:t xml:space="preserve"> Ross and Makovsky (2009), p. 114-130; Thrall (2014)</w:t>
      </w:r>
    </w:p>
  </w:footnote>
  <w:footnote w:id="55">
    <w:p w14:paraId="1A909679" w14:textId="77777777" w:rsidR="00851B9B" w:rsidRPr="00BE597A" w:rsidRDefault="00851B9B" w:rsidP="00F622F7">
      <w:pPr>
        <w:pStyle w:val="FootnoteText"/>
      </w:pPr>
      <w:r w:rsidRPr="00BE597A">
        <w:rPr>
          <w:rStyle w:val="FootnoteReference"/>
        </w:rPr>
        <w:footnoteRef/>
      </w:r>
      <w:r w:rsidRPr="00BE597A">
        <w:t xml:space="preserve"> Thrall (2014)</w:t>
      </w:r>
    </w:p>
  </w:footnote>
  <w:footnote w:id="56">
    <w:p w14:paraId="37E95754" w14:textId="39485E80" w:rsidR="00851B9B" w:rsidRPr="00BE597A" w:rsidRDefault="00851B9B" w:rsidP="00F622F7">
      <w:pPr>
        <w:pStyle w:val="FootnoteText"/>
      </w:pPr>
      <w:r w:rsidRPr="00BE597A">
        <w:rPr>
          <w:rStyle w:val="FootnoteReference"/>
        </w:rPr>
        <w:footnoteRef/>
      </w:r>
      <w:r>
        <w:t xml:space="preserve"> Thrall (2017), p. 39; Thrall (2014); Indyk (2009)</w:t>
      </w:r>
      <w:r w:rsidRPr="00BE597A">
        <w:t>, p. 408;</w:t>
      </w:r>
      <w:r>
        <w:t xml:space="preserve"> Abrams (2013)</w:t>
      </w:r>
      <w:r w:rsidRPr="00BE597A">
        <w:t>, p. 307</w:t>
      </w:r>
    </w:p>
  </w:footnote>
  <w:footnote w:id="57">
    <w:p w14:paraId="0DC81446" w14:textId="77777777" w:rsidR="00851B9B" w:rsidRPr="00BE597A" w:rsidRDefault="00851B9B" w:rsidP="00F622F7">
      <w:pPr>
        <w:pStyle w:val="FootnoteText"/>
      </w:pPr>
      <w:r w:rsidRPr="00BE597A">
        <w:rPr>
          <w:rStyle w:val="FootnoteReference"/>
        </w:rPr>
        <w:footnoteRef/>
      </w:r>
      <w:r w:rsidRPr="00BE597A">
        <w:t xml:space="preserve"> Ross and Makovsky (2009), p. 135-137; Bercovitch and Houston (2000), p. 196-198 </w:t>
      </w:r>
    </w:p>
  </w:footnote>
  <w:footnote w:id="58">
    <w:p w14:paraId="0D522080" w14:textId="5431DCE7" w:rsidR="00851B9B" w:rsidRPr="00BE597A" w:rsidRDefault="00851B9B" w:rsidP="0052107F">
      <w:pPr>
        <w:pStyle w:val="FootnoteText"/>
      </w:pPr>
      <w:r w:rsidRPr="00BE597A">
        <w:rPr>
          <w:rStyle w:val="FootnoteReference"/>
        </w:rPr>
        <w:footnoteRef/>
      </w:r>
      <w:r w:rsidRPr="00BE597A">
        <w:t xml:space="preserve"> Indyk (2009), p. 379; Kurtzer </w:t>
      </w:r>
      <w:r w:rsidRPr="00BE597A">
        <w:rPr>
          <w:i/>
        </w:rPr>
        <w:t>et al</w:t>
      </w:r>
      <w:r w:rsidRPr="00BE597A">
        <w:t xml:space="preserve"> (2013), p. 154-155, 157, 237; Miller (2008), p. 324</w:t>
      </w:r>
    </w:p>
  </w:footnote>
  <w:footnote w:id="59">
    <w:p w14:paraId="31B3849E" w14:textId="399394CE" w:rsidR="00851B9B" w:rsidRPr="00BE597A" w:rsidRDefault="00851B9B">
      <w:pPr>
        <w:pStyle w:val="FootnoteText"/>
      </w:pPr>
      <w:r w:rsidRPr="00BE597A">
        <w:rPr>
          <w:rStyle w:val="FootnoteReference"/>
        </w:rPr>
        <w:footnoteRef/>
      </w:r>
      <w:r w:rsidRPr="00BE597A">
        <w:t xml:space="preserve"> The Clinton parameters of December 2000 referred to a Palestinian state, but these were proposals rather than official government positions and expired when he left office.</w:t>
      </w:r>
    </w:p>
  </w:footnote>
  <w:footnote w:id="60">
    <w:p w14:paraId="630EFE29" w14:textId="5F5C6AF9" w:rsidR="00851B9B" w:rsidRPr="00BE597A" w:rsidRDefault="00851B9B">
      <w:pPr>
        <w:pStyle w:val="FootnoteText"/>
      </w:pPr>
      <w:r w:rsidRPr="00BE597A">
        <w:rPr>
          <w:rStyle w:val="FootnoteReference"/>
        </w:rPr>
        <w:footnoteRef/>
      </w:r>
      <w:r w:rsidRPr="00BE597A">
        <w:t xml:space="preserve"> Kurtzer </w:t>
      </w:r>
      <w:r w:rsidRPr="00BE597A">
        <w:rPr>
          <w:i/>
        </w:rPr>
        <w:t>et al</w:t>
      </w:r>
      <w:r w:rsidRPr="00BE597A">
        <w:t xml:space="preserve"> (2013), p. 163-164, 168-169, 178, 190; Indyk (2013), p. 380-381; Zoughbie (2014), p. 25, 48-53</w:t>
      </w:r>
    </w:p>
  </w:footnote>
  <w:footnote w:id="61">
    <w:p w14:paraId="1CF5D3B4" w14:textId="0D91040A" w:rsidR="00851B9B" w:rsidRPr="00BE597A" w:rsidRDefault="00851B9B">
      <w:pPr>
        <w:pStyle w:val="FootnoteText"/>
      </w:pPr>
      <w:r w:rsidRPr="00BE597A">
        <w:rPr>
          <w:rStyle w:val="FootnoteReference"/>
        </w:rPr>
        <w:footnoteRef/>
      </w:r>
      <w:r w:rsidRPr="00BE597A">
        <w:t xml:space="preserve"> Kurtzer </w:t>
      </w:r>
      <w:r w:rsidRPr="00BE597A">
        <w:rPr>
          <w:i/>
        </w:rPr>
        <w:t>et al</w:t>
      </w:r>
      <w:r w:rsidRPr="00BE597A">
        <w:t xml:space="preserve"> (2013), p. 158-159; Miller (2008), p. 325; Zoughbie (2014), p. 19-21</w:t>
      </w:r>
    </w:p>
  </w:footnote>
  <w:footnote w:id="62">
    <w:p w14:paraId="6AA39BD7" w14:textId="2E9013C3" w:rsidR="00851B9B" w:rsidRPr="00BE597A" w:rsidRDefault="00851B9B">
      <w:pPr>
        <w:pStyle w:val="FootnoteText"/>
      </w:pPr>
      <w:r w:rsidRPr="00BE597A">
        <w:rPr>
          <w:rStyle w:val="FootnoteReference"/>
        </w:rPr>
        <w:footnoteRef/>
      </w:r>
      <w:r w:rsidRPr="00BE597A">
        <w:t xml:space="preserve"> Kurtzer </w:t>
      </w:r>
      <w:r w:rsidRPr="00BE597A">
        <w:rPr>
          <w:i/>
        </w:rPr>
        <w:t>et al</w:t>
      </w:r>
      <w:r w:rsidR="00F00956">
        <w:t xml:space="preserve"> (2013), p. 155, 188-189; Ross and</w:t>
      </w:r>
      <w:r w:rsidRPr="00BE597A">
        <w:t xml:space="preserve"> Makovsky (2009), p. 91-113; Thrall (2014)</w:t>
      </w:r>
    </w:p>
  </w:footnote>
  <w:footnote w:id="63">
    <w:p w14:paraId="4E2F9EFC" w14:textId="3369CAA3" w:rsidR="00851B9B" w:rsidRPr="00BE597A" w:rsidRDefault="00851B9B" w:rsidP="00E51CD5">
      <w:pPr>
        <w:pStyle w:val="FootnoteText"/>
      </w:pPr>
      <w:r w:rsidRPr="00BE597A">
        <w:rPr>
          <w:rStyle w:val="FootnoteReference"/>
        </w:rPr>
        <w:footnoteRef/>
      </w:r>
      <w:r w:rsidRPr="00BE597A">
        <w:t xml:space="preserve"> Indyk (2009), p. 379-380</w:t>
      </w:r>
    </w:p>
  </w:footnote>
  <w:footnote w:id="64">
    <w:p w14:paraId="7109056B" w14:textId="1A216B7C" w:rsidR="00851B9B" w:rsidRPr="00BE597A" w:rsidRDefault="00851B9B">
      <w:pPr>
        <w:pStyle w:val="FootnoteText"/>
      </w:pPr>
      <w:r w:rsidRPr="00BE597A">
        <w:rPr>
          <w:rStyle w:val="FootnoteReference"/>
        </w:rPr>
        <w:footnoteRef/>
      </w:r>
      <w:r w:rsidRPr="00BE597A">
        <w:t xml:space="preserve"> Kurtzer </w:t>
      </w:r>
      <w:r w:rsidRPr="00BE597A">
        <w:rPr>
          <w:i/>
        </w:rPr>
        <w:t>et al</w:t>
      </w:r>
      <w:r w:rsidRPr="00BE597A">
        <w:t xml:space="preserve"> (2013), p. 196-197</w:t>
      </w:r>
    </w:p>
  </w:footnote>
  <w:footnote w:id="65">
    <w:p w14:paraId="0913C271" w14:textId="77777777" w:rsidR="00851B9B" w:rsidRPr="00BE597A" w:rsidRDefault="00851B9B" w:rsidP="00E222E6">
      <w:pPr>
        <w:pStyle w:val="FootnoteText"/>
      </w:pPr>
      <w:r w:rsidRPr="00BE597A">
        <w:rPr>
          <w:rStyle w:val="FootnoteReference"/>
        </w:rPr>
        <w:footnoteRef/>
      </w:r>
      <w:r w:rsidRPr="00BE597A">
        <w:t xml:space="preserve"> Abrams (2013), p. 191-195</w:t>
      </w:r>
    </w:p>
  </w:footnote>
  <w:footnote w:id="66">
    <w:p w14:paraId="65E4EECA" w14:textId="4F5A369B" w:rsidR="00851B9B" w:rsidRPr="00BE597A" w:rsidRDefault="00851B9B" w:rsidP="00406380">
      <w:pPr>
        <w:pStyle w:val="FootnoteText"/>
      </w:pPr>
      <w:r w:rsidRPr="00BE597A">
        <w:rPr>
          <w:rStyle w:val="FootnoteReference"/>
        </w:rPr>
        <w:footnoteRef/>
      </w:r>
      <w:r w:rsidRPr="00BE597A">
        <w:t xml:space="preserve"> Author interview with former US official, 24/05/2017; Kurtzer </w:t>
      </w:r>
      <w:r w:rsidRPr="00BE597A">
        <w:rPr>
          <w:i/>
        </w:rPr>
        <w:t>et al</w:t>
      </w:r>
      <w:r w:rsidRPr="00BE597A">
        <w:t xml:space="preserve"> (2013), p. 230</w:t>
      </w:r>
    </w:p>
  </w:footnote>
  <w:footnote w:id="67">
    <w:p w14:paraId="7FE6BC95" w14:textId="5252CA97" w:rsidR="00851B9B" w:rsidRPr="00BE597A" w:rsidRDefault="00851B9B" w:rsidP="006253A1">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sidRPr="00BE597A">
        <w:rPr>
          <w:rFonts w:ascii="Times New Roman" w:hAnsi="Times New Roman" w:cs="Times New Roman"/>
          <w:sz w:val="20"/>
          <w:szCs w:val="20"/>
        </w:rPr>
        <w:t xml:space="preserve"> </w:t>
      </w:r>
      <w:r>
        <w:rPr>
          <w:rFonts w:ascii="Times New Roman" w:hAnsi="Times New Roman" w:cs="Times New Roman"/>
          <w:sz w:val="20"/>
          <w:szCs w:val="20"/>
        </w:rPr>
        <w:t>Condoleezza</w:t>
      </w:r>
      <w:r w:rsidRPr="00BE597A">
        <w:rPr>
          <w:rFonts w:ascii="Times New Roman" w:hAnsi="Times New Roman" w:cs="Times New Roman"/>
          <w:sz w:val="20"/>
          <w:szCs w:val="20"/>
        </w:rPr>
        <w:t xml:space="preserve"> Rice, </w:t>
      </w:r>
      <w:r w:rsidRPr="00BE597A">
        <w:rPr>
          <w:rFonts w:ascii="Times New Roman" w:hAnsi="Times New Roman" w:cs="Times New Roman"/>
          <w:i/>
          <w:sz w:val="20"/>
          <w:szCs w:val="20"/>
        </w:rPr>
        <w:t>No Higher Honour: A Memoir of My Years in Washington</w:t>
      </w:r>
      <w:r w:rsidRPr="00BE597A">
        <w:rPr>
          <w:rFonts w:ascii="Times New Roman" w:hAnsi="Times New Roman" w:cs="Times New Roman"/>
          <w:sz w:val="20"/>
          <w:szCs w:val="20"/>
        </w:rPr>
        <w:t xml:space="preserve"> (New York: Random House, 2011), p. 414; Philologos, ‘Hitkansut’, </w:t>
      </w:r>
      <w:r w:rsidRPr="00BE597A">
        <w:rPr>
          <w:rFonts w:ascii="Times New Roman" w:hAnsi="Times New Roman" w:cs="Times New Roman"/>
          <w:i/>
          <w:sz w:val="20"/>
          <w:szCs w:val="20"/>
        </w:rPr>
        <w:t>Forward</w:t>
      </w:r>
      <w:r w:rsidRPr="00BE597A">
        <w:rPr>
          <w:rFonts w:ascii="Times New Roman" w:hAnsi="Times New Roman" w:cs="Times New Roman"/>
          <w:sz w:val="20"/>
          <w:szCs w:val="20"/>
        </w:rPr>
        <w:t xml:space="preserve">, 31 March, 2006. Available at: </w:t>
      </w:r>
      <w:hyperlink r:id="rId1" w:history="1">
        <w:r w:rsidRPr="00BE597A">
          <w:rPr>
            <w:rStyle w:val="Hyperlink"/>
            <w:rFonts w:ascii="Times New Roman" w:hAnsi="Times New Roman" w:cs="Times New Roman"/>
            <w:sz w:val="20"/>
            <w:szCs w:val="20"/>
          </w:rPr>
          <w:t>http://forward.com/articles/1165/hitkansut/</w:t>
        </w:r>
      </w:hyperlink>
    </w:p>
  </w:footnote>
  <w:footnote w:id="68">
    <w:p w14:paraId="51DD9BE9" w14:textId="77777777" w:rsidR="00851B9B" w:rsidRPr="00BE597A" w:rsidRDefault="00851B9B" w:rsidP="006253A1">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sidRPr="00BE597A">
        <w:rPr>
          <w:rFonts w:ascii="Times New Roman" w:hAnsi="Times New Roman" w:cs="Times New Roman"/>
          <w:sz w:val="20"/>
          <w:szCs w:val="20"/>
        </w:rPr>
        <w:t xml:space="preserve"> United Nations, ‘A performance-based road map to a permanent two-state solution to the Israeli-Palestinian conflict’ (No date). Available at:</w:t>
      </w:r>
    </w:p>
    <w:p w14:paraId="3DB3162E" w14:textId="77777777" w:rsidR="00851B9B" w:rsidRPr="00BE597A" w:rsidRDefault="00851B9B" w:rsidP="006253A1">
      <w:pPr>
        <w:pStyle w:val="FootnoteText"/>
      </w:pPr>
      <w:hyperlink r:id="rId2" w:history="1">
        <w:r w:rsidRPr="00BE597A">
          <w:rPr>
            <w:rStyle w:val="Hyperlink"/>
          </w:rPr>
          <w:t>http://www.un.org/News/dh/mideast/roadmap122002.pdf</w:t>
        </w:r>
      </w:hyperlink>
    </w:p>
  </w:footnote>
  <w:footnote w:id="69">
    <w:p w14:paraId="1A66C911" w14:textId="67BA96FC" w:rsidR="00851B9B" w:rsidRPr="00BE597A" w:rsidRDefault="00851B9B" w:rsidP="006253A1">
      <w:pPr>
        <w:pStyle w:val="FootnoteText"/>
      </w:pPr>
      <w:r w:rsidRPr="00BE597A">
        <w:rPr>
          <w:rStyle w:val="FootnoteReference"/>
        </w:rPr>
        <w:footnoteRef/>
      </w:r>
      <w:r>
        <w:t xml:space="preserve"> Khaled</w:t>
      </w:r>
      <w:r w:rsidRPr="00BE597A">
        <w:t xml:space="preserve"> Elgindy, ‘The Middle East Quartet: A Post-mortem’, Analysis paper, The Saban Centre for Middle East Policy at Brookings, No. 25, February 2012, p. 11-12</w:t>
      </w:r>
    </w:p>
  </w:footnote>
  <w:footnote w:id="70">
    <w:p w14:paraId="743C494B" w14:textId="77777777" w:rsidR="00851B9B" w:rsidRPr="00BE597A" w:rsidRDefault="00851B9B" w:rsidP="006253A1">
      <w:pPr>
        <w:pStyle w:val="FootnoteText"/>
      </w:pPr>
      <w:r w:rsidRPr="00BE597A">
        <w:rPr>
          <w:rStyle w:val="FootnoteReference"/>
        </w:rPr>
        <w:footnoteRef/>
      </w:r>
      <w:r w:rsidRPr="00BE597A">
        <w:t xml:space="preserve"> Abrams (2013), p. 200-202</w:t>
      </w:r>
    </w:p>
  </w:footnote>
  <w:footnote w:id="71">
    <w:p w14:paraId="47D4C452" w14:textId="77777777" w:rsidR="00851B9B" w:rsidRPr="00BE597A" w:rsidRDefault="00851B9B" w:rsidP="006253A1">
      <w:pPr>
        <w:pStyle w:val="FootnoteText"/>
      </w:pPr>
      <w:r w:rsidRPr="00BE597A">
        <w:rPr>
          <w:rStyle w:val="FootnoteReference"/>
        </w:rPr>
        <w:footnoteRef/>
      </w:r>
      <w:r w:rsidRPr="00BE597A">
        <w:t xml:space="preserve"> In her memoirs, Rice reflects on a conversation with Olmert about his </w:t>
      </w:r>
      <w:r w:rsidRPr="00BE597A">
        <w:rPr>
          <w:i/>
        </w:rPr>
        <w:t xml:space="preserve">hitkansut </w:t>
      </w:r>
      <w:r w:rsidRPr="00BE597A">
        <w:t>policy: ‘I didn’t like the sound of that term but thought it could be shaped to mean a negotiated solution – not a unilateral one – to the Palestinian question.’ (Rice (2011), p. 414)</w:t>
      </w:r>
    </w:p>
  </w:footnote>
  <w:footnote w:id="72">
    <w:p w14:paraId="487C6437" w14:textId="77777777" w:rsidR="00851B9B" w:rsidRPr="00BE597A" w:rsidRDefault="00851B9B" w:rsidP="006253A1">
      <w:pPr>
        <w:pStyle w:val="FootnoteText"/>
      </w:pPr>
      <w:r w:rsidRPr="00BE597A">
        <w:rPr>
          <w:rStyle w:val="FootnoteReference"/>
        </w:rPr>
        <w:footnoteRef/>
      </w:r>
      <w:r w:rsidRPr="00BE597A">
        <w:t xml:space="preserve"> Abrams (2013), p. 222-223</w:t>
      </w:r>
    </w:p>
  </w:footnote>
  <w:footnote w:id="73">
    <w:p w14:paraId="671D776E" w14:textId="77777777" w:rsidR="00851B9B" w:rsidRPr="00BE597A" w:rsidRDefault="00851B9B" w:rsidP="006253A1">
      <w:pPr>
        <w:pStyle w:val="FootnoteText"/>
      </w:pPr>
      <w:r w:rsidRPr="00BE597A">
        <w:rPr>
          <w:rStyle w:val="FootnoteReference"/>
        </w:rPr>
        <w:footnoteRef/>
      </w:r>
      <w:r w:rsidRPr="00BE597A">
        <w:t xml:space="preserve"> Rice (2011), p. 459, 551-554, 575, 582</w:t>
      </w:r>
    </w:p>
  </w:footnote>
  <w:footnote w:id="74">
    <w:p w14:paraId="707BB4EA" w14:textId="77777777" w:rsidR="00851B9B" w:rsidRPr="00BE597A" w:rsidRDefault="00851B9B" w:rsidP="006253A1">
      <w:pPr>
        <w:pStyle w:val="FootnoteText"/>
      </w:pPr>
      <w:r w:rsidRPr="00BE597A">
        <w:rPr>
          <w:rStyle w:val="FootnoteReference"/>
        </w:rPr>
        <w:footnoteRef/>
      </w:r>
      <w:r w:rsidRPr="00BE597A">
        <w:t xml:space="preserve"> Abrams (2013), p. 250</w:t>
      </w:r>
    </w:p>
  </w:footnote>
  <w:footnote w:id="75">
    <w:p w14:paraId="54D85BCF" w14:textId="77777777" w:rsidR="00851B9B" w:rsidRPr="00BE597A" w:rsidRDefault="00851B9B" w:rsidP="006253A1">
      <w:pPr>
        <w:pStyle w:val="FootnoteText"/>
      </w:pPr>
      <w:r w:rsidRPr="00BE597A">
        <w:rPr>
          <w:rStyle w:val="FootnoteReference"/>
        </w:rPr>
        <w:footnoteRef/>
      </w:r>
      <w:r w:rsidRPr="00BE597A">
        <w:t xml:space="preserve"> Abrams (2013), p. 249-251</w:t>
      </w:r>
    </w:p>
  </w:footnote>
  <w:footnote w:id="76">
    <w:p w14:paraId="0B46F622" w14:textId="38E1C2DE" w:rsidR="00851B9B" w:rsidRPr="00BE597A" w:rsidRDefault="00851B9B" w:rsidP="006253A1">
      <w:pPr>
        <w:pStyle w:val="FootnoteText"/>
      </w:pPr>
      <w:r w:rsidRPr="00BE597A">
        <w:rPr>
          <w:rStyle w:val="FootnoteReference"/>
        </w:rPr>
        <w:footnoteRef/>
      </w:r>
      <w:r w:rsidRPr="00BE597A">
        <w:t xml:space="preserve"> Author interview with former US official, 24/05/2017; Rice (2011), p. 602-605; The Palestine Papers, ‘Preliminary thoughts on process’, 04/10/2007</w:t>
      </w:r>
    </w:p>
  </w:footnote>
  <w:footnote w:id="77">
    <w:p w14:paraId="3C5D3957" w14:textId="34667F98" w:rsidR="00851B9B" w:rsidRPr="00BE597A" w:rsidRDefault="00851B9B" w:rsidP="006253A1">
      <w:pPr>
        <w:pStyle w:val="FootnoteText"/>
      </w:pPr>
      <w:r w:rsidRPr="00BE597A">
        <w:rPr>
          <w:rStyle w:val="FootnoteReference"/>
        </w:rPr>
        <w:footnoteRef/>
      </w:r>
      <w:r>
        <w:t xml:space="preserve"> Shai Feldman and Khalil</w:t>
      </w:r>
      <w:r w:rsidRPr="00BE597A">
        <w:t xml:space="preserve"> Shikaki, ‘Is It Still Fall in Annapolis? Thinking About a Scheduled Meeting’, Crown Center for Middle East Studies Middle East Brief, No. 21, November 2007; Rice (2011), p. 613-616</w:t>
      </w:r>
    </w:p>
  </w:footnote>
  <w:footnote w:id="78">
    <w:p w14:paraId="5F6D80EA" w14:textId="52135BF4" w:rsidR="00851B9B" w:rsidRPr="00BE597A" w:rsidRDefault="00851B9B" w:rsidP="006253A1">
      <w:pPr>
        <w:pStyle w:val="FootnoteText"/>
      </w:pPr>
      <w:r w:rsidRPr="00BE597A">
        <w:rPr>
          <w:rStyle w:val="FootnoteReference"/>
        </w:rPr>
        <w:footnoteRef/>
      </w:r>
      <w:r w:rsidRPr="00BE597A">
        <w:t xml:space="preserve"> Abrams (2013), p. 226; Ross </w:t>
      </w:r>
      <w:r w:rsidR="00F00956">
        <w:t>and</w:t>
      </w:r>
      <w:r w:rsidRPr="00BE597A">
        <w:t xml:space="preserve"> Makovsky (2009</w:t>
      </w:r>
      <w:r>
        <w:t>), p. 110-111, 141; Amira</w:t>
      </w:r>
      <w:r w:rsidRPr="00BE597A">
        <w:t xml:space="preserve"> Schiff, ‘The “Annapolis Process”: a chronology of failure’, </w:t>
      </w:r>
      <w:r w:rsidRPr="00BE597A">
        <w:rPr>
          <w:i/>
        </w:rPr>
        <w:t>Israel Affairs</w:t>
      </w:r>
      <w:r w:rsidRPr="00BE597A">
        <w:t xml:space="preserve">, Vol. 19, No. 4, 2013, p. 666 </w:t>
      </w:r>
    </w:p>
  </w:footnote>
  <w:footnote w:id="79">
    <w:p w14:paraId="06F787B3" w14:textId="77777777" w:rsidR="00851B9B" w:rsidRPr="00BE597A" w:rsidRDefault="00851B9B" w:rsidP="006253A1">
      <w:pPr>
        <w:pStyle w:val="FootnoteText"/>
      </w:pPr>
      <w:r w:rsidRPr="00BE597A">
        <w:rPr>
          <w:rStyle w:val="FootnoteReference"/>
        </w:rPr>
        <w:footnoteRef/>
      </w:r>
      <w:r w:rsidRPr="00BE597A">
        <w:t xml:space="preserve"> Olmert himself emphasised that creating inflated expectations would be dangerous (Abrams (2013), p. 235)</w:t>
      </w:r>
    </w:p>
  </w:footnote>
  <w:footnote w:id="80">
    <w:p w14:paraId="611D86B6" w14:textId="79CCA616" w:rsidR="00851B9B" w:rsidRPr="00BE597A" w:rsidRDefault="00851B9B" w:rsidP="006253A1">
      <w:pPr>
        <w:pStyle w:val="FootnoteText"/>
      </w:pPr>
      <w:r w:rsidRPr="00BE597A">
        <w:rPr>
          <w:rStyle w:val="FootnoteReference"/>
        </w:rPr>
        <w:footnoteRef/>
      </w:r>
      <w:r w:rsidRPr="00BE597A">
        <w:t xml:space="preserve"> Rice (2011), p. 61</w:t>
      </w:r>
      <w:r>
        <w:t>2; Carol</w:t>
      </w:r>
      <w:r w:rsidRPr="00BE597A">
        <w:t xml:space="preserve"> Migdalovitz, ‘Israeli-Palestinian Peace Process: The Annapolis Conference’, CRS Report for Congress, 7 December, 2007, p. 2</w:t>
      </w:r>
    </w:p>
  </w:footnote>
  <w:footnote w:id="81">
    <w:p w14:paraId="44C5E628" w14:textId="77777777" w:rsidR="00851B9B" w:rsidRPr="00BE597A" w:rsidRDefault="00851B9B" w:rsidP="006253A1">
      <w:pPr>
        <w:pStyle w:val="FootnoteText"/>
      </w:pPr>
      <w:r w:rsidRPr="00BE597A">
        <w:rPr>
          <w:rStyle w:val="FootnoteReference"/>
        </w:rPr>
        <w:footnoteRef/>
      </w:r>
      <w:r w:rsidRPr="00BE597A">
        <w:t xml:space="preserve"> Abrams (2013), p. 249</w:t>
      </w:r>
    </w:p>
  </w:footnote>
  <w:footnote w:id="82">
    <w:p w14:paraId="771B77E7" w14:textId="77777777" w:rsidR="00851B9B" w:rsidRPr="00BE597A" w:rsidRDefault="00851B9B" w:rsidP="006253A1">
      <w:pPr>
        <w:pStyle w:val="FootnoteText"/>
      </w:pPr>
      <w:r w:rsidRPr="00BE597A">
        <w:rPr>
          <w:rStyle w:val="FootnoteReference"/>
        </w:rPr>
        <w:footnoteRef/>
      </w:r>
      <w:r w:rsidRPr="00BE597A">
        <w:t xml:space="preserve"> </w:t>
      </w:r>
      <w:r w:rsidRPr="00BE597A">
        <w:rPr>
          <w:i/>
        </w:rPr>
        <w:t>ibid</w:t>
      </w:r>
      <w:r w:rsidRPr="00BE597A">
        <w:t>; The Palestine Papers, ‘Meeting summary: Erekat and EU Heads of Mission’, 13/11/2007</w:t>
      </w:r>
    </w:p>
  </w:footnote>
  <w:footnote w:id="83">
    <w:p w14:paraId="73D3BDEB" w14:textId="62F011B3" w:rsidR="00851B9B" w:rsidRPr="00BE597A" w:rsidRDefault="00851B9B" w:rsidP="006253A1">
      <w:pPr>
        <w:pStyle w:val="FootnoteText"/>
      </w:pPr>
      <w:r w:rsidRPr="00BE597A">
        <w:rPr>
          <w:rStyle w:val="FootnoteReference"/>
        </w:rPr>
        <w:footnoteRef/>
      </w:r>
      <w:r w:rsidRPr="00BE597A">
        <w:t xml:space="preserve"> Author interview with former US official, 31/05/2017; Rice (2011), p. 613-614</w:t>
      </w:r>
    </w:p>
  </w:footnote>
  <w:footnote w:id="84">
    <w:p w14:paraId="1D29DAE2" w14:textId="77777777" w:rsidR="00851B9B" w:rsidRPr="00BE597A" w:rsidRDefault="00851B9B" w:rsidP="006253A1">
      <w:pPr>
        <w:pStyle w:val="FootnoteText"/>
      </w:pPr>
      <w:r w:rsidRPr="00BE597A">
        <w:rPr>
          <w:rStyle w:val="FootnoteReference"/>
        </w:rPr>
        <w:footnoteRef/>
      </w:r>
      <w:r w:rsidRPr="00BE597A">
        <w:t xml:space="preserve"> The Palestine Papers, ‘Meeting minutes: 2</w:t>
      </w:r>
      <w:r w:rsidRPr="00BE597A">
        <w:rPr>
          <w:vertAlign w:val="superscript"/>
        </w:rPr>
        <w:t>nd</w:t>
      </w:r>
      <w:r w:rsidRPr="00BE597A">
        <w:t xml:space="preserve"> negotiation team meeting’, 15/10/2007</w:t>
      </w:r>
    </w:p>
  </w:footnote>
  <w:footnote w:id="85">
    <w:p w14:paraId="69BEC2FA" w14:textId="77777777" w:rsidR="00851B9B" w:rsidRPr="00BE597A" w:rsidRDefault="00851B9B" w:rsidP="006253A1">
      <w:pPr>
        <w:pStyle w:val="FootnoteText"/>
      </w:pPr>
      <w:r w:rsidRPr="00BE597A">
        <w:rPr>
          <w:rStyle w:val="FootnoteReference"/>
        </w:rPr>
        <w:footnoteRef/>
      </w:r>
      <w:r w:rsidRPr="00BE597A">
        <w:t xml:space="preserve"> The Palestine Papers, ‘Meeting minutes: 7</w:t>
      </w:r>
      <w:r w:rsidRPr="00BE597A">
        <w:rPr>
          <w:vertAlign w:val="superscript"/>
        </w:rPr>
        <w:t>th</w:t>
      </w:r>
      <w:r w:rsidRPr="00BE597A">
        <w:t xml:space="preserve"> negotiation team meeting’, 12/11/2007</w:t>
      </w:r>
    </w:p>
  </w:footnote>
  <w:footnote w:id="86">
    <w:p w14:paraId="564AD779" w14:textId="77777777" w:rsidR="00851B9B" w:rsidRPr="00BE597A" w:rsidRDefault="00851B9B" w:rsidP="006253A1">
      <w:pPr>
        <w:pStyle w:val="FootnoteText"/>
      </w:pPr>
      <w:r w:rsidRPr="00BE597A">
        <w:rPr>
          <w:rStyle w:val="FootnoteReference"/>
        </w:rPr>
        <w:footnoteRef/>
      </w:r>
      <w:r w:rsidRPr="00BE597A">
        <w:t xml:space="preserve"> The Palestine Papers, ‘Meeting minutes: 6</w:t>
      </w:r>
      <w:r w:rsidRPr="00BE597A">
        <w:rPr>
          <w:vertAlign w:val="superscript"/>
        </w:rPr>
        <w:t>th</w:t>
      </w:r>
      <w:r w:rsidRPr="00BE597A">
        <w:t xml:space="preserve"> negotiation team meeting’, 08/11/2007; The Palestine Papers, ‘Meeting minutes: 9</w:t>
      </w:r>
      <w:r w:rsidRPr="00BE597A">
        <w:rPr>
          <w:vertAlign w:val="superscript"/>
        </w:rPr>
        <w:t>th</w:t>
      </w:r>
      <w:r w:rsidRPr="00BE597A">
        <w:t xml:space="preserve"> negotiation team meeting’, 17/11/2007; The Palestine Papers, ‘Meeting summary: Erekat and EU Heads of Mission’, 13/11/2007</w:t>
      </w:r>
    </w:p>
  </w:footnote>
  <w:footnote w:id="87">
    <w:p w14:paraId="103910F4" w14:textId="7BB90BF8" w:rsidR="00851B9B" w:rsidRPr="00BE597A" w:rsidRDefault="00851B9B" w:rsidP="006253A1">
      <w:pPr>
        <w:pStyle w:val="FootnoteText"/>
      </w:pPr>
      <w:r w:rsidRPr="00BE597A">
        <w:rPr>
          <w:rStyle w:val="FootnoteReference"/>
        </w:rPr>
        <w:footnoteRef/>
      </w:r>
      <w:r w:rsidRPr="00BE597A">
        <w:t xml:space="preserve"> Author interview with former US official, 31/05/2017</w:t>
      </w:r>
    </w:p>
  </w:footnote>
  <w:footnote w:id="88">
    <w:p w14:paraId="784C2BDE" w14:textId="5ACE8113" w:rsidR="00851B9B" w:rsidRPr="00BE597A" w:rsidRDefault="00851B9B" w:rsidP="006253A1">
      <w:pPr>
        <w:pStyle w:val="NormalWeb"/>
        <w:spacing w:before="0" w:beforeAutospacing="0" w:after="0" w:afterAutospacing="0"/>
        <w:contextualSpacing/>
        <w:rPr>
          <w:rFonts w:ascii="Times New Roman" w:hAnsi="Times New Roman"/>
          <w:color w:val="333333"/>
        </w:rPr>
      </w:pPr>
      <w:r w:rsidRPr="00BE597A">
        <w:rPr>
          <w:rStyle w:val="FootnoteReference"/>
        </w:rPr>
        <w:footnoteRef/>
      </w:r>
      <w:r w:rsidRPr="00BE597A">
        <w:t xml:space="preserve"> </w:t>
      </w:r>
      <w:r w:rsidRPr="00BE597A">
        <w:rPr>
          <w:rFonts w:ascii="Times New Roman" w:hAnsi="Times New Roman"/>
          <w:color w:val="333333"/>
        </w:rPr>
        <w:t xml:space="preserve">Zbigniew Brzezinski, Lee H. Hamilton, Carla Hills, Nancy Kassebaum-Baker, Thomas R. Pickering, Brent Scowcroft, Theodore C. Sorensen, and Paul Volcker, ‘Failure Risks Devastating Consequences’, </w:t>
      </w:r>
      <w:r w:rsidRPr="00BE597A">
        <w:rPr>
          <w:rFonts w:ascii="Times New Roman" w:hAnsi="Times New Roman"/>
          <w:i/>
          <w:color w:val="333333"/>
        </w:rPr>
        <w:t>The New York Review of Books</w:t>
      </w:r>
      <w:r w:rsidRPr="00BE597A">
        <w:rPr>
          <w:rFonts w:ascii="Times New Roman" w:hAnsi="Times New Roman"/>
          <w:color w:val="333333"/>
        </w:rPr>
        <w:t xml:space="preserve">, Vol. 54, No. 17, 08/11/2007; </w:t>
      </w:r>
      <w:r>
        <w:t>Ross and</w:t>
      </w:r>
      <w:r w:rsidRPr="00BE597A">
        <w:t xml:space="preserve"> Makovsky (2009), p. 123-125. They reference an article by William Quandt entitled, ‘Reluctant Peacemaker: Bush Brought Arabs and Israelis Together but Failed to Put Forth Proposals and Apply Pressure’); Cooper (2007). For analysis of this element of Camp David in 2000, see Eriksson (2015), p. 190 </w:t>
      </w:r>
    </w:p>
  </w:footnote>
  <w:footnote w:id="89">
    <w:p w14:paraId="1D3BCB94" w14:textId="77777777" w:rsidR="00851B9B" w:rsidRPr="00BE597A" w:rsidRDefault="00851B9B" w:rsidP="006253A1">
      <w:pPr>
        <w:pStyle w:val="FootnoteText"/>
      </w:pPr>
      <w:r w:rsidRPr="00BE597A">
        <w:rPr>
          <w:rStyle w:val="FootnoteReference"/>
        </w:rPr>
        <w:footnoteRef/>
      </w:r>
      <w:r w:rsidRPr="00BE597A">
        <w:t xml:space="preserve"> Cooper (2007)</w:t>
      </w:r>
    </w:p>
  </w:footnote>
  <w:footnote w:id="90">
    <w:p w14:paraId="19FD9DD9" w14:textId="24AFE6F7" w:rsidR="00851B9B" w:rsidRPr="00BE597A" w:rsidRDefault="00851B9B" w:rsidP="006253A1">
      <w:pPr>
        <w:pStyle w:val="FootnoteText"/>
      </w:pPr>
      <w:r w:rsidRPr="00BE597A">
        <w:rPr>
          <w:rStyle w:val="FootnoteReference"/>
        </w:rPr>
        <w:footnoteRef/>
      </w:r>
      <w:r w:rsidRPr="00BE597A">
        <w:t xml:space="preserve"> Author interview with former US official, 31/05/2017; Cooper (2007); Rice (2011), p. 600</w:t>
      </w:r>
    </w:p>
  </w:footnote>
  <w:footnote w:id="91">
    <w:p w14:paraId="319D4056" w14:textId="77777777" w:rsidR="00851B9B" w:rsidRPr="00BE597A" w:rsidRDefault="00851B9B" w:rsidP="006253A1">
      <w:pPr>
        <w:pStyle w:val="FootnoteText"/>
      </w:pPr>
      <w:r w:rsidRPr="00BE597A">
        <w:rPr>
          <w:rStyle w:val="FootnoteReference"/>
        </w:rPr>
        <w:footnoteRef/>
      </w:r>
      <w:r w:rsidRPr="00BE597A">
        <w:t xml:space="preserve"> Kurtzer </w:t>
      </w:r>
      <w:r w:rsidRPr="00BE597A">
        <w:rPr>
          <w:i/>
        </w:rPr>
        <w:t>et al</w:t>
      </w:r>
      <w:r w:rsidRPr="00BE597A">
        <w:t xml:space="preserve"> (2013), p. 222</w:t>
      </w:r>
    </w:p>
  </w:footnote>
  <w:footnote w:id="92">
    <w:p w14:paraId="78B9E70D" w14:textId="77777777" w:rsidR="00851B9B" w:rsidRPr="00BE597A" w:rsidRDefault="00851B9B" w:rsidP="006253A1">
      <w:pPr>
        <w:pStyle w:val="FootnoteText"/>
      </w:pPr>
      <w:r w:rsidRPr="00BE597A">
        <w:rPr>
          <w:rStyle w:val="FootnoteReference"/>
        </w:rPr>
        <w:footnoteRef/>
      </w:r>
      <w:r w:rsidRPr="00BE597A">
        <w:t xml:space="preserve"> In his negotiations with the Palestinians and the Syrians (1999-2000), Israeli Prime Minister Ehud Barak was particularly concerned about being seen to make significant concessions up front (Indyk (2009), p. 251; Eriksson (2015), p. 190)  </w:t>
      </w:r>
    </w:p>
  </w:footnote>
  <w:footnote w:id="93">
    <w:p w14:paraId="0EE1C653" w14:textId="77777777" w:rsidR="00851B9B" w:rsidRPr="00BE597A" w:rsidRDefault="00851B9B" w:rsidP="006253A1">
      <w:pPr>
        <w:pStyle w:val="FootnoteText"/>
      </w:pPr>
      <w:r w:rsidRPr="00BE597A">
        <w:rPr>
          <w:rStyle w:val="FootnoteReference"/>
        </w:rPr>
        <w:footnoteRef/>
      </w:r>
      <w:r w:rsidRPr="00BE597A">
        <w:t xml:space="preserve"> Abrams (2013), p. 250</w:t>
      </w:r>
    </w:p>
  </w:footnote>
  <w:footnote w:id="94">
    <w:p w14:paraId="30562594" w14:textId="77777777" w:rsidR="00851B9B" w:rsidRPr="00BE597A" w:rsidRDefault="00851B9B" w:rsidP="001A117D">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sidRPr="00BE597A">
        <w:rPr>
          <w:rFonts w:ascii="Times New Roman" w:hAnsi="Times New Roman" w:cs="Times New Roman"/>
          <w:sz w:val="20"/>
          <w:szCs w:val="20"/>
        </w:rPr>
        <w:t xml:space="preserve"> Israel Ministry of Foreign Affairs, ‘Israel and the PLO Joint Understanding presented to the Annapolis Conference by US President George W. Bush,’ 27/11/2007. Available at:</w:t>
      </w:r>
    </w:p>
    <w:p w14:paraId="73EC6AE4" w14:textId="77777777" w:rsidR="00851B9B" w:rsidRPr="00BE597A" w:rsidRDefault="00851B9B" w:rsidP="001A117D">
      <w:pPr>
        <w:pStyle w:val="FootnoteText"/>
      </w:pPr>
      <w:hyperlink r:id="rId3" w:history="1">
        <w:r w:rsidRPr="00BE597A">
          <w:rPr>
            <w:rStyle w:val="Hyperlink"/>
          </w:rPr>
          <w:t>http://www.mfa.gov.il/mfa/aboutisrael/history/pages/the%20annapolis%20conference%2027-nov-2007.aspx</w:t>
        </w:r>
      </w:hyperlink>
    </w:p>
  </w:footnote>
  <w:footnote w:id="95">
    <w:p w14:paraId="67BD59A6" w14:textId="4D9C89D4" w:rsidR="00851B9B" w:rsidRPr="00BE597A" w:rsidRDefault="00851B9B" w:rsidP="00972B6B">
      <w:pPr>
        <w:pStyle w:val="FootnoteText"/>
      </w:pPr>
      <w:r w:rsidRPr="00BE597A">
        <w:rPr>
          <w:rStyle w:val="FootnoteReference"/>
        </w:rPr>
        <w:footnoteRef/>
      </w:r>
      <w:r>
        <w:t xml:space="preserve"> Bernard</w:t>
      </w:r>
      <w:r w:rsidRPr="00BE597A">
        <w:t xml:space="preserve"> Avishai, ‘A plan for peace that still could be’, </w:t>
      </w:r>
      <w:r w:rsidRPr="00BE597A">
        <w:rPr>
          <w:i/>
        </w:rPr>
        <w:t xml:space="preserve">The New York Times Magazine, </w:t>
      </w:r>
      <w:r>
        <w:t>0</w:t>
      </w:r>
      <w:r w:rsidRPr="00BE597A">
        <w:t>7</w:t>
      </w:r>
      <w:r>
        <w:t>/02/</w:t>
      </w:r>
      <w:r w:rsidRPr="00BE597A">
        <w:t xml:space="preserve">2011. While Avishai claims the meetings ended in mid-September, Abrams confirms that another meeting took place on 17 November, 2008 (Abrams (2013), p. 287). </w:t>
      </w:r>
    </w:p>
  </w:footnote>
  <w:footnote w:id="96">
    <w:p w14:paraId="65613FFB" w14:textId="09632E4F" w:rsidR="00851B9B" w:rsidRPr="00BE597A" w:rsidRDefault="00851B9B" w:rsidP="009E4361">
      <w:pPr>
        <w:contextualSpacing/>
        <w:jc w:val="both"/>
        <w:rPr>
          <w:rFonts w:ascii="Times New Roman" w:hAnsi="Times New Roman" w:cs="Times New Roman"/>
          <w:sz w:val="20"/>
          <w:szCs w:val="20"/>
        </w:rPr>
      </w:pPr>
      <w:r w:rsidRPr="00BE597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Rice (2011)</w:t>
      </w:r>
      <w:r w:rsidRPr="00BE597A">
        <w:rPr>
          <w:rFonts w:ascii="Times New Roman" w:hAnsi="Times New Roman" w:cs="Times New Roman"/>
          <w:sz w:val="20"/>
          <w:szCs w:val="20"/>
        </w:rPr>
        <w:t>, p. 552-553. Author interview with Ron Pundak, 10/07/2013. For more on the development of a two-state vision during the Oslo process, see Er</w:t>
      </w:r>
      <w:r>
        <w:rPr>
          <w:rFonts w:ascii="Times New Roman" w:hAnsi="Times New Roman" w:cs="Times New Roman"/>
          <w:sz w:val="20"/>
          <w:szCs w:val="20"/>
        </w:rPr>
        <w:t>iksson (2015), p. 120-163 and Jacob</w:t>
      </w:r>
      <w:r w:rsidRPr="00BE597A">
        <w:rPr>
          <w:rFonts w:ascii="Times New Roman" w:hAnsi="Times New Roman" w:cs="Times New Roman"/>
          <w:sz w:val="20"/>
          <w:szCs w:val="20"/>
        </w:rPr>
        <w:t xml:space="preserve"> Eriksson, ‘Israeli Track II Diplomacy: The Beilin</w:t>
      </w:r>
      <w:r>
        <w:rPr>
          <w:rFonts w:ascii="Times New Roman" w:hAnsi="Times New Roman" w:cs="Times New Roman"/>
          <w:sz w:val="20"/>
          <w:szCs w:val="20"/>
        </w:rPr>
        <w:t>-Abu Mazen Understandings’ in Clive Jones and Tore</w:t>
      </w:r>
      <w:r w:rsidRPr="00BE597A">
        <w:rPr>
          <w:rFonts w:ascii="Times New Roman" w:hAnsi="Times New Roman" w:cs="Times New Roman"/>
          <w:sz w:val="20"/>
          <w:szCs w:val="20"/>
        </w:rPr>
        <w:t xml:space="preserve"> Petersen (eds.), </w:t>
      </w:r>
      <w:r w:rsidRPr="00BE597A">
        <w:rPr>
          <w:rFonts w:ascii="Times New Roman" w:hAnsi="Times New Roman" w:cs="Times New Roman"/>
          <w:i/>
          <w:sz w:val="20"/>
          <w:szCs w:val="20"/>
        </w:rPr>
        <w:t>Israel’s Clandestine Diplomacies</w:t>
      </w:r>
      <w:r w:rsidRPr="00BE597A">
        <w:rPr>
          <w:rFonts w:ascii="Times New Roman" w:hAnsi="Times New Roman" w:cs="Times New Roman"/>
          <w:sz w:val="20"/>
          <w:szCs w:val="20"/>
        </w:rPr>
        <w:t xml:space="preserve"> (London: Hurst, 2013)</w:t>
      </w:r>
    </w:p>
  </w:footnote>
  <w:footnote w:id="97">
    <w:p w14:paraId="1D151D97" w14:textId="0209A79E" w:rsidR="00851B9B" w:rsidRPr="00BE597A" w:rsidRDefault="00851B9B">
      <w:pPr>
        <w:pStyle w:val="FootnoteText"/>
      </w:pPr>
      <w:r w:rsidRPr="00BE597A">
        <w:rPr>
          <w:rStyle w:val="FootnoteReference"/>
        </w:rPr>
        <w:footnoteRef/>
      </w:r>
      <w:r>
        <w:t xml:space="preserve"> Elie</w:t>
      </w:r>
      <w:r w:rsidRPr="00BE597A">
        <w:t xml:space="preserve"> Podeh, </w:t>
      </w:r>
      <w:r w:rsidRPr="00BE597A">
        <w:rPr>
          <w:i/>
        </w:rPr>
        <w:t xml:space="preserve">Chances for Peace: Missed Opportunities in the Arab-Israeli Conflict </w:t>
      </w:r>
      <w:r w:rsidRPr="00BE597A">
        <w:t xml:space="preserve">(Austin, TX: University of Texas Press, 2016), p. 355; Council on Foreign Relations, ‘Abbas-Olmert Talks a “First” in Mideast Diplomacy: Interview with Aaron David Miller’, 30/04/2008. Available at: </w:t>
      </w:r>
      <w:hyperlink r:id="rId4" w:history="1">
        <w:r w:rsidRPr="00BE597A">
          <w:rPr>
            <w:rStyle w:val="Hyperlink"/>
            <w:color w:val="auto"/>
          </w:rPr>
          <w:t>http://www.cfr.org/israel/abbas-olmert-talks-first-mideast-diplomacy/p16148</w:t>
        </w:r>
      </w:hyperlink>
      <w:r w:rsidRPr="00BE597A">
        <w:rPr>
          <w:rStyle w:val="Hyperlink"/>
          <w:color w:val="auto"/>
        </w:rPr>
        <w:t xml:space="preserve"> </w:t>
      </w:r>
    </w:p>
  </w:footnote>
  <w:footnote w:id="98">
    <w:p w14:paraId="066D6C06" w14:textId="77777777" w:rsidR="00851B9B" w:rsidRPr="00BE597A" w:rsidRDefault="00851B9B" w:rsidP="00AD3A96">
      <w:pPr>
        <w:pStyle w:val="FootnoteText"/>
      </w:pPr>
      <w:r w:rsidRPr="00BE597A">
        <w:rPr>
          <w:rStyle w:val="FootnoteReference"/>
        </w:rPr>
        <w:footnoteRef/>
      </w:r>
      <w:r w:rsidRPr="00BE597A">
        <w:t xml:space="preserve"> Kurtzer </w:t>
      </w:r>
      <w:r w:rsidRPr="00BE597A">
        <w:rPr>
          <w:i/>
        </w:rPr>
        <w:t>et al</w:t>
      </w:r>
      <w:r w:rsidRPr="00BE597A">
        <w:t xml:space="preserve"> (2013), p. 225</w:t>
      </w:r>
    </w:p>
  </w:footnote>
  <w:footnote w:id="99">
    <w:p w14:paraId="2ED5E70A" w14:textId="2ABCC462" w:rsidR="00851B9B" w:rsidRPr="00BE597A" w:rsidRDefault="00851B9B" w:rsidP="00AD3A96">
      <w:pPr>
        <w:pStyle w:val="FootnoteText"/>
      </w:pPr>
      <w:r w:rsidRPr="00BE597A">
        <w:rPr>
          <w:rStyle w:val="FootnoteReference"/>
        </w:rPr>
        <w:footnoteRef/>
      </w:r>
      <w:r w:rsidRPr="00BE597A">
        <w:t xml:space="preserve"> Author interview with former US official, 31/05/2017</w:t>
      </w:r>
    </w:p>
  </w:footnote>
  <w:footnote w:id="100">
    <w:p w14:paraId="5F0D41B3" w14:textId="77777777" w:rsidR="00851B9B" w:rsidRPr="00BE597A" w:rsidRDefault="00851B9B" w:rsidP="00AD3A96">
      <w:pPr>
        <w:pStyle w:val="FootnoteText"/>
      </w:pPr>
      <w:r w:rsidRPr="00BE597A">
        <w:rPr>
          <w:rStyle w:val="FootnoteReference"/>
        </w:rPr>
        <w:footnoteRef/>
      </w:r>
      <w:r w:rsidRPr="00BE597A">
        <w:t xml:space="preserve"> The Palestine Papers, ‘Meeting minutes: 2</w:t>
      </w:r>
      <w:r w:rsidRPr="00BE597A">
        <w:rPr>
          <w:vertAlign w:val="superscript"/>
        </w:rPr>
        <w:t>nd</w:t>
      </w:r>
      <w:r w:rsidRPr="00BE597A">
        <w:t xml:space="preserve"> negotiation team meeting’, 15/10/2007</w:t>
      </w:r>
    </w:p>
  </w:footnote>
  <w:footnote w:id="101">
    <w:p w14:paraId="1A9E4C6B" w14:textId="77777777" w:rsidR="00851B9B" w:rsidRPr="00BE597A" w:rsidRDefault="00851B9B" w:rsidP="00AD3A96">
      <w:pPr>
        <w:pStyle w:val="FootnoteText"/>
      </w:pPr>
      <w:r w:rsidRPr="00BE597A">
        <w:rPr>
          <w:rStyle w:val="FootnoteReference"/>
        </w:rPr>
        <w:footnoteRef/>
      </w:r>
      <w:r w:rsidRPr="00BE597A">
        <w:t xml:space="preserve"> The Palestine Papers, ‘Meeting minutes: 8</w:t>
      </w:r>
      <w:r w:rsidRPr="00BE597A">
        <w:rPr>
          <w:vertAlign w:val="superscript"/>
        </w:rPr>
        <w:t>th</w:t>
      </w:r>
      <w:r w:rsidRPr="00BE597A">
        <w:t xml:space="preserve"> negotiation team meeting’, 13/11/2007</w:t>
      </w:r>
    </w:p>
  </w:footnote>
  <w:footnote w:id="102">
    <w:p w14:paraId="45E656EC" w14:textId="53648F59" w:rsidR="00851B9B" w:rsidRPr="00BE597A" w:rsidRDefault="00851B9B" w:rsidP="00AD3A96">
      <w:pPr>
        <w:pStyle w:val="FootnoteText"/>
      </w:pPr>
      <w:r w:rsidRPr="00BE597A">
        <w:rPr>
          <w:rStyle w:val="FootnoteReference"/>
        </w:rPr>
        <w:footnoteRef/>
      </w:r>
      <w:r w:rsidRPr="00BE597A">
        <w:t xml:space="preserve"> I.</w:t>
      </w:r>
      <w:r w:rsidR="00865AD2">
        <w:t xml:space="preserve"> William</w:t>
      </w:r>
      <w:r w:rsidRPr="00BE597A">
        <w:t xml:space="preserve"> Zartman, ‘Explaining Oslo’, </w:t>
      </w:r>
      <w:r w:rsidRPr="00BE597A">
        <w:rPr>
          <w:i/>
        </w:rPr>
        <w:t>Negotiation Journal</w:t>
      </w:r>
      <w:r w:rsidRPr="00BE597A">
        <w:t>, Vol. 2, No. 2, 1997, pp. 195-215</w:t>
      </w:r>
    </w:p>
  </w:footnote>
  <w:footnote w:id="103">
    <w:p w14:paraId="30A18276" w14:textId="77777777" w:rsidR="00851B9B" w:rsidRPr="00BE597A" w:rsidRDefault="00851B9B" w:rsidP="00AD3A96">
      <w:pPr>
        <w:pStyle w:val="FootnoteText"/>
      </w:pPr>
      <w:r w:rsidRPr="00BE597A">
        <w:rPr>
          <w:rStyle w:val="FootnoteReference"/>
        </w:rPr>
        <w:footnoteRef/>
      </w:r>
      <w:r w:rsidRPr="00BE597A">
        <w:t xml:space="preserve"> Eriksson (2015), p. 193-194; Avishai (2011)</w:t>
      </w:r>
    </w:p>
  </w:footnote>
  <w:footnote w:id="104">
    <w:p w14:paraId="3F16C3D5" w14:textId="7B0FD8FE" w:rsidR="00851B9B" w:rsidRPr="00BE597A" w:rsidRDefault="00851B9B" w:rsidP="00AD3A96">
      <w:pPr>
        <w:pStyle w:val="FootnoteText"/>
      </w:pPr>
      <w:r w:rsidRPr="00BE597A">
        <w:rPr>
          <w:rStyle w:val="FootnoteReference"/>
        </w:rPr>
        <w:footnoteRef/>
      </w:r>
      <w:r w:rsidRPr="00BE597A">
        <w:t xml:space="preserve"> </w:t>
      </w:r>
      <w:r w:rsidR="003B4297">
        <w:t>Galia</w:t>
      </w:r>
      <w:r w:rsidR="003B4297" w:rsidRPr="00BE597A">
        <w:t xml:space="preserve"> Golan, </w:t>
      </w:r>
      <w:r w:rsidR="003B4297" w:rsidRPr="00BE597A">
        <w:rPr>
          <w:i/>
        </w:rPr>
        <w:t>Israeli Peacemaking since 1967: Factors Behind the Breakthroughs and Failures</w:t>
      </w:r>
      <w:r w:rsidR="003B4297" w:rsidRPr="00BE597A">
        <w:t xml:space="preserve"> (London: Routledge, 2015)</w:t>
      </w:r>
      <w:r w:rsidRPr="00BE597A">
        <w:t>, p. 171</w:t>
      </w:r>
    </w:p>
  </w:footnote>
  <w:footnote w:id="105">
    <w:p w14:paraId="6763897C" w14:textId="77777777" w:rsidR="00851B9B" w:rsidRPr="00BE597A" w:rsidRDefault="00851B9B" w:rsidP="00AD3A96">
      <w:pPr>
        <w:pStyle w:val="FootnoteText"/>
      </w:pPr>
      <w:r w:rsidRPr="00BE597A">
        <w:rPr>
          <w:rStyle w:val="FootnoteReference"/>
        </w:rPr>
        <w:footnoteRef/>
      </w:r>
      <w:r w:rsidRPr="00BE597A">
        <w:t xml:space="preserve"> ‘The Time Has Come to Say These Things’, </w:t>
      </w:r>
      <w:r w:rsidRPr="00BE597A">
        <w:rPr>
          <w:i/>
        </w:rPr>
        <w:t xml:space="preserve">The </w:t>
      </w:r>
      <w:r w:rsidRPr="00BE597A">
        <w:rPr>
          <w:i/>
          <w:iCs/>
        </w:rPr>
        <w:t>New York Review of Books</w:t>
      </w:r>
      <w:r w:rsidRPr="00BE597A">
        <w:t>, Vol. 55, No. 19, 4 December 2008</w:t>
      </w:r>
    </w:p>
  </w:footnote>
  <w:footnote w:id="106">
    <w:p w14:paraId="709E4258" w14:textId="77777777" w:rsidR="00851B9B" w:rsidRPr="00BE597A" w:rsidRDefault="00851B9B" w:rsidP="00AD3A96">
      <w:pPr>
        <w:pStyle w:val="FootnoteText"/>
      </w:pPr>
      <w:r w:rsidRPr="00BE597A">
        <w:rPr>
          <w:rStyle w:val="FootnoteReference"/>
        </w:rPr>
        <w:footnoteRef/>
      </w:r>
      <w:r w:rsidRPr="00BE597A">
        <w:t xml:space="preserve"> Abrams (2013), p. 267-268</w:t>
      </w:r>
    </w:p>
  </w:footnote>
  <w:footnote w:id="107">
    <w:p w14:paraId="0264242E" w14:textId="77777777" w:rsidR="00851B9B" w:rsidRPr="00BE597A" w:rsidRDefault="00851B9B" w:rsidP="00AD3A96">
      <w:pPr>
        <w:pStyle w:val="FootnoteText"/>
      </w:pPr>
      <w:r w:rsidRPr="00BE597A">
        <w:rPr>
          <w:rStyle w:val="FootnoteReference"/>
        </w:rPr>
        <w:footnoteRef/>
      </w:r>
      <w:r w:rsidRPr="00BE597A">
        <w:t xml:space="preserve"> Kurtzer </w:t>
      </w:r>
      <w:r w:rsidRPr="00BE597A">
        <w:rPr>
          <w:i/>
        </w:rPr>
        <w:t>et al</w:t>
      </w:r>
      <w:r w:rsidRPr="00BE597A">
        <w:t xml:space="preserve"> (2013), p. 226</w:t>
      </w:r>
    </w:p>
  </w:footnote>
  <w:footnote w:id="108">
    <w:p w14:paraId="56CCB613" w14:textId="77777777" w:rsidR="00851B9B" w:rsidRPr="00BE597A" w:rsidRDefault="00851B9B" w:rsidP="00AD3A96">
      <w:pPr>
        <w:pStyle w:val="FootnoteText"/>
      </w:pPr>
      <w:r w:rsidRPr="00BE597A">
        <w:rPr>
          <w:rStyle w:val="FootnoteReference"/>
        </w:rPr>
        <w:footnoteRef/>
      </w:r>
      <w:r w:rsidRPr="00BE597A">
        <w:t xml:space="preserve"> The Palestine Papers, ‘Meeting minutes: General plenary meeting’, 29/06/2008</w:t>
      </w:r>
    </w:p>
  </w:footnote>
  <w:footnote w:id="109">
    <w:p w14:paraId="0671EE0B" w14:textId="77777777" w:rsidR="00851B9B" w:rsidRPr="00BE597A" w:rsidRDefault="00851B9B" w:rsidP="00AD3A96">
      <w:pPr>
        <w:pStyle w:val="FootnoteText"/>
      </w:pPr>
      <w:r w:rsidRPr="00BE597A">
        <w:rPr>
          <w:rStyle w:val="FootnoteReference"/>
        </w:rPr>
        <w:footnoteRef/>
      </w:r>
      <w:r w:rsidRPr="00BE597A">
        <w:t xml:space="preserve"> Abrams (2013), p. 277-278</w:t>
      </w:r>
    </w:p>
  </w:footnote>
  <w:footnote w:id="110">
    <w:p w14:paraId="5BC5DF21" w14:textId="77777777" w:rsidR="00851B9B" w:rsidRPr="00BE597A" w:rsidRDefault="00851B9B" w:rsidP="00AD3A96">
      <w:pPr>
        <w:pStyle w:val="FootnoteText"/>
      </w:pPr>
      <w:r w:rsidRPr="00BE597A">
        <w:rPr>
          <w:rStyle w:val="FootnoteReference"/>
        </w:rPr>
        <w:footnoteRef/>
      </w:r>
      <w:r w:rsidRPr="00BE597A">
        <w:t xml:space="preserve"> Abrams (2013), p. 311</w:t>
      </w:r>
    </w:p>
  </w:footnote>
  <w:footnote w:id="111">
    <w:p w14:paraId="510DEB99" w14:textId="77777777" w:rsidR="00851B9B" w:rsidRPr="00BE597A" w:rsidRDefault="00851B9B" w:rsidP="00AD3A96">
      <w:pPr>
        <w:pStyle w:val="FootnoteText"/>
      </w:pPr>
      <w:r w:rsidRPr="00BE597A">
        <w:rPr>
          <w:rStyle w:val="FootnoteReference"/>
        </w:rPr>
        <w:footnoteRef/>
      </w:r>
      <w:r w:rsidRPr="00BE597A">
        <w:t xml:space="preserve"> The Palestine Papers, ‘Meeting summary: Erekat and EU Heads of Mission’, 13/11/2007</w:t>
      </w:r>
    </w:p>
  </w:footnote>
  <w:footnote w:id="112">
    <w:p w14:paraId="1E143B07" w14:textId="524FF989" w:rsidR="00851B9B" w:rsidRPr="00BE597A" w:rsidRDefault="00851B9B" w:rsidP="00AD3A96">
      <w:pPr>
        <w:pStyle w:val="FootnoteText"/>
      </w:pPr>
      <w:r w:rsidRPr="00BE597A">
        <w:rPr>
          <w:rStyle w:val="FootnoteReference"/>
        </w:rPr>
        <w:footnoteRef/>
      </w:r>
      <w:r w:rsidRPr="00BE597A">
        <w:t xml:space="preserve"> Golan (2015), p. 191; Kurtzer </w:t>
      </w:r>
      <w:r w:rsidRPr="00BE597A">
        <w:rPr>
          <w:i/>
        </w:rPr>
        <w:t xml:space="preserve">et al </w:t>
      </w:r>
      <w:r w:rsidR="00EE76B1">
        <w:t>(2013), p. 222, 230; Barak Ravid and Aluf</w:t>
      </w:r>
      <w:r w:rsidRPr="00BE597A">
        <w:t xml:space="preserve"> Benn, ‘Olmert’s Negotiator: Full Mideast Peace Impossible’, </w:t>
      </w:r>
      <w:r w:rsidRPr="00BE597A">
        <w:rPr>
          <w:i/>
        </w:rPr>
        <w:t>Ha’aretz</w:t>
      </w:r>
      <w:r w:rsidR="00EE76B1">
        <w:t>, 25/01/</w:t>
      </w:r>
      <w:r w:rsidRPr="00BE597A">
        <w:t xml:space="preserve">2010 </w:t>
      </w:r>
    </w:p>
  </w:footnote>
  <w:footnote w:id="113">
    <w:p w14:paraId="4D001DEB" w14:textId="77777777" w:rsidR="00851B9B" w:rsidRPr="00BE597A" w:rsidRDefault="00851B9B" w:rsidP="00D67B10">
      <w:pPr>
        <w:pStyle w:val="FootnoteText"/>
      </w:pPr>
      <w:r w:rsidRPr="00BE597A">
        <w:rPr>
          <w:rStyle w:val="FootnoteReference"/>
        </w:rPr>
        <w:footnoteRef/>
      </w:r>
      <w:r w:rsidRPr="00BE597A">
        <w:t xml:space="preserve"> The Palestine Papers, ‘Meeting minutes: US-Palestinian bilateral session’, 16/07/2008</w:t>
      </w:r>
    </w:p>
  </w:footnote>
  <w:footnote w:id="114">
    <w:p w14:paraId="0C527076" w14:textId="5A0958AB" w:rsidR="00851B9B" w:rsidRPr="00BE597A" w:rsidRDefault="00851B9B" w:rsidP="003D61BC">
      <w:pPr>
        <w:pStyle w:val="FootnoteText"/>
      </w:pPr>
      <w:r w:rsidRPr="00BE597A">
        <w:rPr>
          <w:rStyle w:val="FootnoteReference"/>
        </w:rPr>
        <w:footnoteRef/>
      </w:r>
      <w:r w:rsidRPr="00BE597A">
        <w:t xml:space="preserve"> Kurtzer </w:t>
      </w:r>
      <w:r w:rsidRPr="00BE597A">
        <w:rPr>
          <w:i/>
        </w:rPr>
        <w:t>et al</w:t>
      </w:r>
      <w:r w:rsidRPr="00BE597A">
        <w:t xml:space="preserve">. (2013), p. 228-229; Avishai (2011); </w:t>
      </w:r>
      <w:r w:rsidRPr="00BE597A">
        <w:rPr>
          <w:i/>
        </w:rPr>
        <w:t>The Middle East Media Research Institute</w:t>
      </w:r>
      <w:r w:rsidRPr="00BE597A">
        <w:t>, ‘Mahmoud Abbas: “I reached understandings with Olmert on Borders, Security,”’ 1</w:t>
      </w:r>
      <w:r w:rsidR="0037316A">
        <w:t>6/11/</w:t>
      </w:r>
      <w:r w:rsidRPr="00BE597A">
        <w:t>2010</w:t>
      </w:r>
    </w:p>
  </w:footnote>
  <w:footnote w:id="115">
    <w:p w14:paraId="689AFF3A" w14:textId="05F895C0" w:rsidR="00851B9B" w:rsidRPr="00BE597A" w:rsidRDefault="00851B9B">
      <w:pPr>
        <w:pStyle w:val="FootnoteText"/>
      </w:pPr>
      <w:r w:rsidRPr="00BE597A">
        <w:rPr>
          <w:rStyle w:val="FootnoteReference"/>
        </w:rPr>
        <w:footnoteRef/>
      </w:r>
      <w:r w:rsidRPr="00BE597A">
        <w:t xml:space="preserve"> Kurtzer </w:t>
      </w:r>
      <w:r w:rsidRPr="00BE597A">
        <w:rPr>
          <w:i/>
        </w:rPr>
        <w:t>et al.</w:t>
      </w:r>
      <w:r w:rsidRPr="00BE597A">
        <w:t xml:space="preserve"> (2013), p. 229</w:t>
      </w:r>
    </w:p>
  </w:footnote>
  <w:footnote w:id="116">
    <w:p w14:paraId="55893623" w14:textId="4F83BBDC" w:rsidR="00851B9B" w:rsidRPr="00BE597A" w:rsidRDefault="00851B9B">
      <w:pPr>
        <w:pStyle w:val="FootnoteText"/>
      </w:pPr>
      <w:r w:rsidRPr="00BE597A">
        <w:rPr>
          <w:rStyle w:val="FootnoteReference"/>
        </w:rPr>
        <w:footnoteRef/>
      </w:r>
      <w:r w:rsidR="003B4297">
        <w:t xml:space="preserve"> Golan (2015)</w:t>
      </w:r>
      <w:r w:rsidRPr="00BE597A">
        <w:t>, p. 185</w:t>
      </w:r>
    </w:p>
  </w:footnote>
  <w:footnote w:id="117">
    <w:p w14:paraId="372AB395" w14:textId="4DD2A873" w:rsidR="00851B9B" w:rsidRPr="00BE597A" w:rsidRDefault="00851B9B">
      <w:pPr>
        <w:pStyle w:val="FootnoteText"/>
      </w:pPr>
      <w:r w:rsidRPr="00BE597A">
        <w:rPr>
          <w:rStyle w:val="FootnoteReference"/>
        </w:rPr>
        <w:footnoteRef/>
      </w:r>
      <w:r w:rsidRPr="00BE597A">
        <w:t xml:space="preserve"> Abrams (2013), p. 290; The Palestine Papers, ‘Report on diplomatic outreach to Russia and Czech Republic’, 10/10/2008. However, as Golan (2015, p. 183) argues, this may be because advisors were not always present for the leaders’ talks.  </w:t>
      </w:r>
    </w:p>
  </w:footnote>
  <w:footnote w:id="118">
    <w:p w14:paraId="4DB100BF" w14:textId="77777777" w:rsidR="00851B9B" w:rsidRPr="00BE597A" w:rsidRDefault="00851B9B" w:rsidP="00272236">
      <w:pPr>
        <w:pStyle w:val="FootnoteText"/>
      </w:pPr>
      <w:r w:rsidRPr="00BE597A">
        <w:rPr>
          <w:rStyle w:val="FootnoteReference"/>
        </w:rPr>
        <w:footnoteRef/>
      </w:r>
      <w:r w:rsidRPr="00BE597A">
        <w:t xml:space="preserve"> For detailed analysis of the offer made, see Abrams (2013), p. 287-293; Avishai (2011); Golan (2015), p. 179-183; Kurtzer </w:t>
      </w:r>
      <w:r w:rsidRPr="00BE597A">
        <w:rPr>
          <w:i/>
        </w:rPr>
        <w:t>et al</w:t>
      </w:r>
      <w:r w:rsidRPr="00BE597A">
        <w:t xml:space="preserve"> (2013), p. 231-232 </w:t>
      </w:r>
    </w:p>
  </w:footnote>
  <w:footnote w:id="119">
    <w:p w14:paraId="1A767BED" w14:textId="69B3C582" w:rsidR="00851B9B" w:rsidRPr="00BE597A" w:rsidRDefault="00851B9B" w:rsidP="00272236">
      <w:pPr>
        <w:pStyle w:val="FootnoteText"/>
      </w:pPr>
      <w:r w:rsidRPr="00BE597A">
        <w:rPr>
          <w:rStyle w:val="FootnoteReference"/>
        </w:rPr>
        <w:footnoteRef/>
      </w:r>
      <w:r w:rsidRPr="00BE597A">
        <w:t xml:space="preserve"> Abrams (2013), p. 291; Kurtzer </w:t>
      </w:r>
      <w:r w:rsidRPr="00BE597A">
        <w:rPr>
          <w:i/>
        </w:rPr>
        <w:t>et al</w:t>
      </w:r>
      <w:r w:rsidRPr="00BE597A">
        <w:t xml:space="preserve"> (2013), p. 231-232; Thrall (2017), p. 181-183; Author interview with former US official, 31/05/2017</w:t>
      </w:r>
    </w:p>
  </w:footnote>
  <w:footnote w:id="120">
    <w:p w14:paraId="7F01B026" w14:textId="13D63823" w:rsidR="00851B9B" w:rsidRPr="00BE597A" w:rsidRDefault="00851B9B" w:rsidP="002E2398">
      <w:pPr>
        <w:pStyle w:val="FootnoteText"/>
      </w:pPr>
      <w:r w:rsidRPr="00BE597A">
        <w:rPr>
          <w:rStyle w:val="FootnoteReference"/>
        </w:rPr>
        <w:footnoteRef/>
      </w:r>
      <w:r w:rsidRPr="00BE597A">
        <w:t xml:space="preserve"> The Palestine Papers, ‘</w:t>
      </w:r>
      <w:hyperlink r:id="rId5" w:history="1">
        <w:r w:rsidRPr="00BE597A">
          <w:rPr>
            <w:bCs/>
          </w:rPr>
          <w:t>Talking Points for President Mahmoud Abbas Re: Upcoming Quartet Meeting</w:t>
        </w:r>
      </w:hyperlink>
      <w:r w:rsidRPr="00BE597A">
        <w:t>’</w:t>
      </w:r>
      <w:r w:rsidR="00C474D9">
        <w:t>, 09/11/2008; Avishai (2011); Gil Hoffman and Niv</w:t>
      </w:r>
      <w:r w:rsidRPr="00BE597A">
        <w:t xml:space="preserve"> Elis, ‘Abbas: Olmert negotiations would have succeeded’, </w:t>
      </w:r>
      <w:r w:rsidRPr="00BE597A">
        <w:rPr>
          <w:i/>
        </w:rPr>
        <w:t>The Jerusalem Post</w:t>
      </w:r>
      <w:r w:rsidRPr="00BE597A">
        <w:t>, 14 October, 2012</w:t>
      </w:r>
    </w:p>
  </w:footnote>
  <w:footnote w:id="121">
    <w:p w14:paraId="2F7C137E" w14:textId="6EF51B72" w:rsidR="00851B9B" w:rsidRPr="00BE597A" w:rsidRDefault="00851B9B">
      <w:pPr>
        <w:pStyle w:val="FootnoteText"/>
      </w:pPr>
      <w:r w:rsidRPr="00BE597A">
        <w:rPr>
          <w:rStyle w:val="FootnoteReference"/>
        </w:rPr>
        <w:footnoteRef/>
      </w:r>
      <w:r w:rsidRPr="00BE597A">
        <w:t xml:space="preserve"> Rice (2011), p. 651-653. NSU documents dated 9 September 2008 confirm that elements of Olmert’s offer had been discussed prior to the presentation of the map on 16 September (The Palestine Papers, ‘</w:t>
      </w:r>
      <w:r w:rsidRPr="00BE597A">
        <w:rPr>
          <w:bCs/>
        </w:rPr>
        <w:t>NSU Emails Re: Meeting Summary - Saeb Erekat and Territory Team - and Discussion’, 09/09/2008)</w:t>
      </w:r>
      <w:r w:rsidRPr="00BE597A">
        <w:t xml:space="preserve"> </w:t>
      </w:r>
    </w:p>
  </w:footnote>
  <w:footnote w:id="122">
    <w:p w14:paraId="51931BA8" w14:textId="7697775E" w:rsidR="00851B9B" w:rsidRPr="00BE597A" w:rsidRDefault="00851B9B">
      <w:pPr>
        <w:pStyle w:val="FootnoteText"/>
      </w:pPr>
      <w:r w:rsidRPr="00BE597A">
        <w:rPr>
          <w:rStyle w:val="FootnoteReference"/>
        </w:rPr>
        <w:footnoteRef/>
      </w:r>
      <w:r w:rsidRPr="00BE597A">
        <w:t xml:space="preserve"> The Palestine Papers, ‘President Bush Presents a “Trilateral Understanding”’, 10/08/2008</w:t>
      </w:r>
    </w:p>
  </w:footnote>
  <w:footnote w:id="123">
    <w:p w14:paraId="5A212A8B" w14:textId="36BFE708" w:rsidR="00851B9B" w:rsidRPr="00BE597A" w:rsidRDefault="00851B9B">
      <w:pPr>
        <w:pStyle w:val="FootnoteText"/>
      </w:pPr>
      <w:r w:rsidRPr="00BE597A">
        <w:rPr>
          <w:rStyle w:val="FootnoteReference"/>
        </w:rPr>
        <w:footnoteRef/>
      </w:r>
      <w:r w:rsidRPr="00BE597A">
        <w:t xml:space="preserve"> Golan (2015), p. 184</w:t>
      </w:r>
    </w:p>
  </w:footnote>
  <w:footnote w:id="124">
    <w:p w14:paraId="3D99C988" w14:textId="15F79E13" w:rsidR="00851B9B" w:rsidRPr="00BE597A" w:rsidRDefault="00851B9B" w:rsidP="00B46529">
      <w:pPr>
        <w:pStyle w:val="FootnoteText"/>
      </w:pPr>
      <w:r w:rsidRPr="00BE597A">
        <w:rPr>
          <w:rStyle w:val="FootnoteReference"/>
        </w:rPr>
        <w:footnoteRef/>
      </w:r>
      <w:r w:rsidRPr="00BE597A">
        <w:t xml:space="preserve"> Golan (2015), p. 184, 194; Abrams (2013), p. 292-293; Podeh (2016), p. 352-353</w:t>
      </w:r>
    </w:p>
  </w:footnote>
  <w:footnote w:id="125">
    <w:p w14:paraId="60689391" w14:textId="68BAEC15" w:rsidR="00851B9B" w:rsidRPr="00BE597A" w:rsidRDefault="00851B9B">
      <w:pPr>
        <w:pStyle w:val="FootnoteText"/>
      </w:pPr>
      <w:r w:rsidRPr="00BE597A">
        <w:rPr>
          <w:rStyle w:val="FootnoteReference"/>
        </w:rPr>
        <w:footnoteRef/>
      </w:r>
      <w:r w:rsidRPr="00BE597A">
        <w:t xml:space="preserve"> Podeh (2016), p. 356; Kurzter </w:t>
      </w:r>
      <w:r w:rsidRPr="00BE597A">
        <w:rPr>
          <w:i/>
        </w:rPr>
        <w:t>et al</w:t>
      </w:r>
      <w:r w:rsidRPr="00BE597A">
        <w:t xml:space="preserve"> (2013), p. 275</w:t>
      </w:r>
    </w:p>
  </w:footnote>
  <w:footnote w:id="126">
    <w:p w14:paraId="7B87A36F" w14:textId="4680DA39" w:rsidR="00851B9B" w:rsidRPr="00BE597A" w:rsidRDefault="00851B9B" w:rsidP="00F962A5">
      <w:pPr>
        <w:pStyle w:val="FootnoteText"/>
      </w:pPr>
      <w:r w:rsidRPr="00BE597A">
        <w:rPr>
          <w:rStyle w:val="FootnoteReference"/>
        </w:rPr>
        <w:footnoteRef/>
      </w:r>
      <w:r w:rsidRPr="00BE597A">
        <w:t xml:space="preserve"> Kurtzer </w:t>
      </w:r>
      <w:r w:rsidRPr="00BE597A">
        <w:rPr>
          <w:i/>
        </w:rPr>
        <w:t>et al.</w:t>
      </w:r>
      <w:r w:rsidRPr="00BE597A">
        <w:t xml:space="preserve"> (2013), p. 187; Author interview with former US official, 31/05/2017</w:t>
      </w:r>
    </w:p>
  </w:footnote>
  <w:footnote w:id="127">
    <w:p w14:paraId="1D95DCAD" w14:textId="77777777" w:rsidR="00851B9B" w:rsidRPr="00BE597A" w:rsidRDefault="00851B9B" w:rsidP="00F962A5">
      <w:pPr>
        <w:pStyle w:val="FootnoteText"/>
      </w:pPr>
      <w:r w:rsidRPr="00BE597A">
        <w:rPr>
          <w:rStyle w:val="FootnoteReference"/>
        </w:rPr>
        <w:footnoteRef/>
      </w:r>
      <w:r w:rsidRPr="00BE597A">
        <w:t xml:space="preserve"> Miller (2008), p. 300, 310-311</w:t>
      </w:r>
    </w:p>
  </w:footnote>
  <w:footnote w:id="128">
    <w:p w14:paraId="694ABB42" w14:textId="70B96E21" w:rsidR="00851B9B" w:rsidRPr="00BE597A" w:rsidRDefault="00851B9B">
      <w:pPr>
        <w:pStyle w:val="FootnoteText"/>
      </w:pPr>
      <w:r w:rsidRPr="00BE597A">
        <w:rPr>
          <w:rStyle w:val="FootnoteReference"/>
        </w:rPr>
        <w:footnoteRef/>
      </w:r>
      <w:r w:rsidRPr="00BE597A">
        <w:t xml:space="preserve"> Podeh (2016), p. 354; Golan (2015), p. 195</w:t>
      </w:r>
    </w:p>
  </w:footnote>
  <w:footnote w:id="129">
    <w:p w14:paraId="5451F641" w14:textId="6C045403" w:rsidR="00851B9B" w:rsidRPr="00BE597A" w:rsidRDefault="00851B9B">
      <w:pPr>
        <w:pStyle w:val="FootnoteText"/>
      </w:pPr>
      <w:r w:rsidRPr="00BE597A">
        <w:rPr>
          <w:rStyle w:val="FootnoteReference"/>
        </w:rPr>
        <w:footnoteRef/>
      </w:r>
      <w:r w:rsidRPr="00BE597A">
        <w:t xml:space="preserve"> Abrams (2013), p. 284, 291</w:t>
      </w:r>
    </w:p>
  </w:footnote>
  <w:footnote w:id="130">
    <w:p w14:paraId="734867D2" w14:textId="36FA6F05" w:rsidR="00851B9B" w:rsidRPr="00BE597A" w:rsidRDefault="00851B9B">
      <w:pPr>
        <w:pStyle w:val="FootnoteText"/>
      </w:pPr>
      <w:r w:rsidRPr="00BE597A">
        <w:rPr>
          <w:rStyle w:val="FootnoteReference"/>
        </w:rPr>
        <w:footnoteRef/>
      </w:r>
      <w:r w:rsidRPr="00BE597A">
        <w:t xml:space="preserve"> Abrams (2013), p. 285, 291; Golan (2015),</w:t>
      </w:r>
      <w:r w:rsidR="007D2EEB">
        <w:t xml:space="preserve"> p. 184; Rice (2011), p. 724; Avi</w:t>
      </w:r>
      <w:r w:rsidRPr="00BE597A">
        <w:t xml:space="preserve"> Isacharoff, ‘Revealed: Olmert’s 2008 Peace Offer to Palestinians’, </w:t>
      </w:r>
      <w:r w:rsidRPr="00BE597A">
        <w:rPr>
          <w:i/>
        </w:rPr>
        <w:t>The Jerusalem Post</w:t>
      </w:r>
      <w:r w:rsidRPr="00BE597A">
        <w:t>, 24 May, 2013</w:t>
      </w:r>
    </w:p>
  </w:footnote>
  <w:footnote w:id="131">
    <w:p w14:paraId="6FC13952" w14:textId="4F3C0A6C" w:rsidR="00851B9B" w:rsidRPr="00BE597A" w:rsidRDefault="00851B9B">
      <w:pPr>
        <w:pStyle w:val="FootnoteText"/>
      </w:pPr>
      <w:r w:rsidRPr="00BE597A">
        <w:rPr>
          <w:rStyle w:val="FootnoteReference"/>
        </w:rPr>
        <w:footnoteRef/>
      </w:r>
      <w:r w:rsidR="007D2EEB">
        <w:t xml:space="preserve"> Clayton </w:t>
      </w:r>
      <w:r w:rsidRPr="00BE597A">
        <w:t xml:space="preserve">E. Swisher, </w:t>
      </w:r>
      <w:r w:rsidRPr="00BE597A">
        <w:rPr>
          <w:i/>
        </w:rPr>
        <w:t xml:space="preserve">The Palestine Papers: The End of the Road? </w:t>
      </w:r>
      <w:r w:rsidRPr="00BE597A">
        <w:t>(London: Hesperus, 2011), p. 38-50</w:t>
      </w:r>
    </w:p>
  </w:footnote>
  <w:footnote w:id="132">
    <w:p w14:paraId="62E518BA" w14:textId="40DEDC14" w:rsidR="00851B9B" w:rsidRPr="00BE597A" w:rsidRDefault="00851B9B">
      <w:pPr>
        <w:pStyle w:val="FootnoteText"/>
      </w:pPr>
      <w:r w:rsidRPr="00BE597A">
        <w:rPr>
          <w:rStyle w:val="FootnoteReference"/>
        </w:rPr>
        <w:footnoteRef/>
      </w:r>
      <w:r w:rsidRPr="00BE597A">
        <w:t xml:space="preserve"> Golan (2015), p. 178, 179</w:t>
      </w:r>
    </w:p>
  </w:footnote>
  <w:footnote w:id="133">
    <w:p w14:paraId="36A71619" w14:textId="779FB137" w:rsidR="00851B9B" w:rsidRPr="00BE597A" w:rsidRDefault="00851B9B">
      <w:pPr>
        <w:pStyle w:val="FootnoteText"/>
      </w:pPr>
      <w:r w:rsidRPr="00BE597A">
        <w:rPr>
          <w:rStyle w:val="FootnoteReference"/>
        </w:rPr>
        <w:footnoteRef/>
      </w:r>
      <w:r w:rsidRPr="00BE597A">
        <w:t xml:space="preserve"> Kurtzer </w:t>
      </w:r>
      <w:r w:rsidRPr="00BE597A">
        <w:rPr>
          <w:i/>
        </w:rPr>
        <w:t>et al</w:t>
      </w:r>
      <w:r w:rsidRPr="00BE597A">
        <w:t xml:space="preserve"> (2013), p. 230</w:t>
      </w:r>
    </w:p>
  </w:footnote>
  <w:footnote w:id="134">
    <w:p w14:paraId="6D9B50FA" w14:textId="2B6B61A8" w:rsidR="00851B9B" w:rsidRPr="00BE597A" w:rsidRDefault="00851B9B">
      <w:pPr>
        <w:pStyle w:val="FootnoteText"/>
      </w:pPr>
      <w:r w:rsidRPr="00BE597A">
        <w:rPr>
          <w:rStyle w:val="FootnoteReference"/>
        </w:rPr>
        <w:footnoteRef/>
      </w:r>
      <w:r w:rsidRPr="00BE597A">
        <w:t xml:space="preserve"> The Palestine Papers, ‘Meeting Minutes: General Plenary Meeting’, 29/06/2008; Abrams (2013), p. 279</w:t>
      </w:r>
    </w:p>
  </w:footnote>
  <w:footnote w:id="135">
    <w:p w14:paraId="62EDC7D2" w14:textId="68DC4103" w:rsidR="00851B9B" w:rsidRPr="00BE597A" w:rsidRDefault="00851B9B">
      <w:pPr>
        <w:pStyle w:val="FootnoteText"/>
      </w:pPr>
      <w:r w:rsidRPr="00BE597A">
        <w:rPr>
          <w:rStyle w:val="FootnoteReference"/>
        </w:rPr>
        <w:footnoteRef/>
      </w:r>
      <w:r w:rsidRPr="00BE597A">
        <w:t xml:space="preserve"> Golan (2015), p. 188; Author interviews with US officials, 24/05/2017 &amp; 31/05/2017</w:t>
      </w:r>
    </w:p>
  </w:footnote>
  <w:footnote w:id="136">
    <w:p w14:paraId="3BF8673B" w14:textId="489CF152" w:rsidR="00851B9B" w:rsidRPr="00BE597A" w:rsidRDefault="00851B9B">
      <w:pPr>
        <w:pStyle w:val="FootnoteText"/>
      </w:pPr>
      <w:r w:rsidRPr="00BE597A">
        <w:rPr>
          <w:rStyle w:val="FootnoteReference"/>
        </w:rPr>
        <w:footnoteRef/>
      </w:r>
      <w:r w:rsidRPr="00BE597A">
        <w:t xml:space="preserve"> Zoughbie (2014), p. 140-141</w:t>
      </w:r>
    </w:p>
  </w:footnote>
  <w:footnote w:id="137">
    <w:p w14:paraId="1504CA49" w14:textId="47F6FE75" w:rsidR="00851B9B" w:rsidRPr="00BE597A" w:rsidRDefault="00851B9B">
      <w:pPr>
        <w:pStyle w:val="FootnoteText"/>
      </w:pPr>
      <w:r w:rsidRPr="00BE597A">
        <w:rPr>
          <w:rStyle w:val="FootnoteReference"/>
        </w:rPr>
        <w:footnoteRef/>
      </w:r>
      <w:r w:rsidRPr="00BE597A">
        <w:t xml:space="preserve"> Interview with former US official, 31/05/2017; Kurtzer </w:t>
      </w:r>
      <w:r w:rsidRPr="00BE597A">
        <w:rPr>
          <w:i/>
        </w:rPr>
        <w:t>et al</w:t>
      </w:r>
      <w:r w:rsidRPr="00BE597A">
        <w:t xml:space="preserve"> (2013), p. 232-233; Miller (2008), p. 360, 381</w:t>
      </w:r>
    </w:p>
  </w:footnote>
  <w:footnote w:id="138">
    <w:p w14:paraId="4B7E13D8" w14:textId="77777777" w:rsidR="00851B9B" w:rsidRPr="00BE597A" w:rsidRDefault="00851B9B" w:rsidP="00652495">
      <w:pPr>
        <w:pStyle w:val="FootnoteText"/>
      </w:pPr>
      <w:r w:rsidRPr="00BE597A">
        <w:rPr>
          <w:rStyle w:val="FootnoteReference"/>
        </w:rPr>
        <w:footnoteRef/>
      </w:r>
      <w:r w:rsidRPr="00BE597A">
        <w:t xml:space="preserve"> Thrall (2017), p. 68-74</w:t>
      </w:r>
    </w:p>
  </w:footnote>
  <w:footnote w:id="139">
    <w:p w14:paraId="29966691" w14:textId="77777777" w:rsidR="00851B9B" w:rsidRPr="00BE597A" w:rsidRDefault="00851B9B" w:rsidP="00E36C7F">
      <w:pPr>
        <w:pStyle w:val="FootnoteText"/>
      </w:pPr>
      <w:r w:rsidRPr="00BE597A">
        <w:rPr>
          <w:rStyle w:val="FootnoteReference"/>
        </w:rPr>
        <w:footnoteRef/>
      </w:r>
      <w:r w:rsidRPr="00BE597A">
        <w:t xml:space="preserve"> Cooper (2007)</w:t>
      </w:r>
    </w:p>
  </w:footnote>
  <w:footnote w:id="140">
    <w:p w14:paraId="6FF7B76E" w14:textId="77777777" w:rsidR="00851B9B" w:rsidRPr="00BE597A" w:rsidRDefault="00851B9B" w:rsidP="00C35E8E">
      <w:pPr>
        <w:pStyle w:val="FootnoteText"/>
      </w:pPr>
      <w:r w:rsidRPr="00BE597A">
        <w:rPr>
          <w:rStyle w:val="FootnoteReference"/>
        </w:rPr>
        <w:footnoteRef/>
      </w:r>
      <w:r w:rsidRPr="00BE597A">
        <w:t xml:space="preserve"> Eriksson (2015)</w:t>
      </w:r>
    </w:p>
  </w:footnote>
  <w:footnote w:id="141">
    <w:p w14:paraId="545C665E" w14:textId="290C3FEC" w:rsidR="00851B9B" w:rsidRPr="00BE597A" w:rsidRDefault="00851B9B" w:rsidP="00DF3551">
      <w:pPr>
        <w:pStyle w:val="FootnoteText"/>
      </w:pPr>
      <w:r w:rsidRPr="00BE597A">
        <w:rPr>
          <w:rStyle w:val="FootnoteReference"/>
        </w:rPr>
        <w:footnoteRef/>
      </w:r>
      <w:r w:rsidR="00C72638">
        <w:t xml:space="preserve"> Chester Crocker, Fen Osler Hampson, and Pamela</w:t>
      </w:r>
      <w:r w:rsidRPr="00BE597A">
        <w:t xml:space="preserve"> Aall, ‘Two’s Company But Is Three a Crowd? Some Hypotheses a</w:t>
      </w:r>
      <w:r w:rsidR="00C72638">
        <w:t>bout Multiparty Mediation’ in Jacob</w:t>
      </w:r>
      <w:r w:rsidRPr="00BE597A">
        <w:t xml:space="preserve"> Bercovitch (ed.), </w:t>
      </w:r>
      <w:r w:rsidRPr="00BE597A">
        <w:rPr>
          <w:i/>
          <w:iCs/>
        </w:rPr>
        <w:t>Studies in International Mediation</w:t>
      </w:r>
      <w:r w:rsidRPr="00BE597A">
        <w:t xml:space="preserve"> (Basingstoke: Palgrave Macmillan, 2002)</w:t>
      </w:r>
    </w:p>
  </w:footnote>
  <w:footnote w:id="142">
    <w:p w14:paraId="057E07C0" w14:textId="6913F508" w:rsidR="00851B9B" w:rsidRPr="006072D1" w:rsidRDefault="00851B9B">
      <w:pPr>
        <w:pStyle w:val="FootnoteText"/>
      </w:pPr>
      <w:r w:rsidRPr="00BE597A">
        <w:rPr>
          <w:rStyle w:val="FootnoteReference"/>
        </w:rPr>
        <w:footnoteRef/>
      </w:r>
      <w:r w:rsidR="00C72638">
        <w:t xml:space="preserve"> Asaf</w:t>
      </w:r>
      <w:r w:rsidRPr="00BE597A">
        <w:t xml:space="preserve"> Siniver, ‘Arbitrating the Israeli-Palestinian territorial dispute’, </w:t>
      </w:r>
      <w:r w:rsidRPr="00BE597A">
        <w:rPr>
          <w:i/>
        </w:rPr>
        <w:t xml:space="preserve">International Politics, </w:t>
      </w:r>
      <w:r w:rsidRPr="00BE597A">
        <w:t>Vol. 49, No. 1, pp. 117-129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2255A"/>
    <w:multiLevelType w:val="hybridMultilevel"/>
    <w:tmpl w:val="964C6CEA"/>
    <w:lvl w:ilvl="0" w:tplc="9DF089D0">
      <w:numFmt w:val="bullet"/>
      <w:lvlText w:val="-"/>
      <w:lvlJc w:val="left"/>
      <w:pPr>
        <w:ind w:left="1620" w:hanging="90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12"/>
    <w:rsid w:val="000005D7"/>
    <w:rsid w:val="0000073D"/>
    <w:rsid w:val="00001D60"/>
    <w:rsid w:val="000023DC"/>
    <w:rsid w:val="00002582"/>
    <w:rsid w:val="00002A65"/>
    <w:rsid w:val="00002DC9"/>
    <w:rsid w:val="000031E9"/>
    <w:rsid w:val="00006A37"/>
    <w:rsid w:val="0001027F"/>
    <w:rsid w:val="00010344"/>
    <w:rsid w:val="00010E32"/>
    <w:rsid w:val="00011163"/>
    <w:rsid w:val="00012755"/>
    <w:rsid w:val="00014288"/>
    <w:rsid w:val="00014A76"/>
    <w:rsid w:val="00016BA2"/>
    <w:rsid w:val="00021A1A"/>
    <w:rsid w:val="00021E23"/>
    <w:rsid w:val="00023D22"/>
    <w:rsid w:val="0002542F"/>
    <w:rsid w:val="00026B76"/>
    <w:rsid w:val="00027790"/>
    <w:rsid w:val="00027B5A"/>
    <w:rsid w:val="0003053A"/>
    <w:rsid w:val="000322A9"/>
    <w:rsid w:val="00032609"/>
    <w:rsid w:val="0003384B"/>
    <w:rsid w:val="000341A3"/>
    <w:rsid w:val="0003457E"/>
    <w:rsid w:val="00036169"/>
    <w:rsid w:val="000372CF"/>
    <w:rsid w:val="0003769E"/>
    <w:rsid w:val="00037CCC"/>
    <w:rsid w:val="00040166"/>
    <w:rsid w:val="00041F2A"/>
    <w:rsid w:val="000429B8"/>
    <w:rsid w:val="00042B1B"/>
    <w:rsid w:val="000436BE"/>
    <w:rsid w:val="00045858"/>
    <w:rsid w:val="00045DAF"/>
    <w:rsid w:val="00046397"/>
    <w:rsid w:val="000463C5"/>
    <w:rsid w:val="00046520"/>
    <w:rsid w:val="000465E2"/>
    <w:rsid w:val="0005089C"/>
    <w:rsid w:val="00052C6C"/>
    <w:rsid w:val="000531D0"/>
    <w:rsid w:val="00053683"/>
    <w:rsid w:val="00053C49"/>
    <w:rsid w:val="00053F3A"/>
    <w:rsid w:val="000545AD"/>
    <w:rsid w:val="000547A1"/>
    <w:rsid w:val="000549BB"/>
    <w:rsid w:val="000553E2"/>
    <w:rsid w:val="00055EB5"/>
    <w:rsid w:val="000562A1"/>
    <w:rsid w:val="00056D93"/>
    <w:rsid w:val="00060446"/>
    <w:rsid w:val="00060E5A"/>
    <w:rsid w:val="00061163"/>
    <w:rsid w:val="0006231C"/>
    <w:rsid w:val="00063CCB"/>
    <w:rsid w:val="000644DC"/>
    <w:rsid w:val="00064965"/>
    <w:rsid w:val="00067439"/>
    <w:rsid w:val="00067DFF"/>
    <w:rsid w:val="00070109"/>
    <w:rsid w:val="0007053C"/>
    <w:rsid w:val="00070543"/>
    <w:rsid w:val="00071875"/>
    <w:rsid w:val="000718E1"/>
    <w:rsid w:val="00071A60"/>
    <w:rsid w:val="000723A9"/>
    <w:rsid w:val="00074DBE"/>
    <w:rsid w:val="00075418"/>
    <w:rsid w:val="00075D17"/>
    <w:rsid w:val="000778E5"/>
    <w:rsid w:val="00080ABB"/>
    <w:rsid w:val="00084D06"/>
    <w:rsid w:val="000857C2"/>
    <w:rsid w:val="00087F0C"/>
    <w:rsid w:val="000909EB"/>
    <w:rsid w:val="00090EEB"/>
    <w:rsid w:val="0009156C"/>
    <w:rsid w:val="000927D7"/>
    <w:rsid w:val="00094C44"/>
    <w:rsid w:val="00097392"/>
    <w:rsid w:val="000973A9"/>
    <w:rsid w:val="000977B0"/>
    <w:rsid w:val="000A0244"/>
    <w:rsid w:val="000A1C43"/>
    <w:rsid w:val="000A2CA1"/>
    <w:rsid w:val="000A410B"/>
    <w:rsid w:val="000A56A9"/>
    <w:rsid w:val="000A6AA6"/>
    <w:rsid w:val="000A6B27"/>
    <w:rsid w:val="000A73C2"/>
    <w:rsid w:val="000A7F01"/>
    <w:rsid w:val="000B3A47"/>
    <w:rsid w:val="000B43E2"/>
    <w:rsid w:val="000B4726"/>
    <w:rsid w:val="000B5632"/>
    <w:rsid w:val="000B6095"/>
    <w:rsid w:val="000C115A"/>
    <w:rsid w:val="000C1BEF"/>
    <w:rsid w:val="000C1F3F"/>
    <w:rsid w:val="000C2A96"/>
    <w:rsid w:val="000C487F"/>
    <w:rsid w:val="000C48E1"/>
    <w:rsid w:val="000C4983"/>
    <w:rsid w:val="000C4FA4"/>
    <w:rsid w:val="000C661E"/>
    <w:rsid w:val="000C6E71"/>
    <w:rsid w:val="000C6E96"/>
    <w:rsid w:val="000D20EF"/>
    <w:rsid w:val="000D55A9"/>
    <w:rsid w:val="000D7744"/>
    <w:rsid w:val="000E0261"/>
    <w:rsid w:val="000E16B1"/>
    <w:rsid w:val="000E19AC"/>
    <w:rsid w:val="000E1D4E"/>
    <w:rsid w:val="000E20EA"/>
    <w:rsid w:val="000E233C"/>
    <w:rsid w:val="000E4D21"/>
    <w:rsid w:val="000E5D40"/>
    <w:rsid w:val="000E62C3"/>
    <w:rsid w:val="000E7C02"/>
    <w:rsid w:val="000F1AAE"/>
    <w:rsid w:val="000F1DF1"/>
    <w:rsid w:val="000F2FD8"/>
    <w:rsid w:val="000F4A73"/>
    <w:rsid w:val="000F5D0E"/>
    <w:rsid w:val="000F7BF9"/>
    <w:rsid w:val="00100ACA"/>
    <w:rsid w:val="00101501"/>
    <w:rsid w:val="001015E7"/>
    <w:rsid w:val="00101E60"/>
    <w:rsid w:val="00103555"/>
    <w:rsid w:val="001049D9"/>
    <w:rsid w:val="00106097"/>
    <w:rsid w:val="00106178"/>
    <w:rsid w:val="001063DA"/>
    <w:rsid w:val="00106E96"/>
    <w:rsid w:val="00106FD3"/>
    <w:rsid w:val="001104C6"/>
    <w:rsid w:val="00110666"/>
    <w:rsid w:val="00110AE5"/>
    <w:rsid w:val="00111AF5"/>
    <w:rsid w:val="00111FA1"/>
    <w:rsid w:val="00112286"/>
    <w:rsid w:val="00112918"/>
    <w:rsid w:val="00113FBA"/>
    <w:rsid w:val="001143DC"/>
    <w:rsid w:val="00114C8D"/>
    <w:rsid w:val="0011519F"/>
    <w:rsid w:val="00117836"/>
    <w:rsid w:val="00117CC2"/>
    <w:rsid w:val="001205EE"/>
    <w:rsid w:val="00121F9E"/>
    <w:rsid w:val="001232C4"/>
    <w:rsid w:val="00123B40"/>
    <w:rsid w:val="00124586"/>
    <w:rsid w:val="001249C1"/>
    <w:rsid w:val="00124FD1"/>
    <w:rsid w:val="00125C76"/>
    <w:rsid w:val="00125E5E"/>
    <w:rsid w:val="001305BD"/>
    <w:rsid w:val="0013113B"/>
    <w:rsid w:val="00131917"/>
    <w:rsid w:val="00132C24"/>
    <w:rsid w:val="00132CA8"/>
    <w:rsid w:val="00132E2F"/>
    <w:rsid w:val="00133D78"/>
    <w:rsid w:val="001343A7"/>
    <w:rsid w:val="0013474C"/>
    <w:rsid w:val="0013572D"/>
    <w:rsid w:val="00135D65"/>
    <w:rsid w:val="00135DEE"/>
    <w:rsid w:val="00135ED4"/>
    <w:rsid w:val="00136385"/>
    <w:rsid w:val="00137849"/>
    <w:rsid w:val="001403CE"/>
    <w:rsid w:val="001407AE"/>
    <w:rsid w:val="00141F8D"/>
    <w:rsid w:val="001422B9"/>
    <w:rsid w:val="00142352"/>
    <w:rsid w:val="00142D45"/>
    <w:rsid w:val="0014309A"/>
    <w:rsid w:val="00143858"/>
    <w:rsid w:val="00143A80"/>
    <w:rsid w:val="00143CFB"/>
    <w:rsid w:val="001444A6"/>
    <w:rsid w:val="0014785D"/>
    <w:rsid w:val="00147FB0"/>
    <w:rsid w:val="00150461"/>
    <w:rsid w:val="00150F43"/>
    <w:rsid w:val="00151C96"/>
    <w:rsid w:val="00152009"/>
    <w:rsid w:val="00155990"/>
    <w:rsid w:val="00157CEA"/>
    <w:rsid w:val="00160D66"/>
    <w:rsid w:val="001616EB"/>
    <w:rsid w:val="00161FE2"/>
    <w:rsid w:val="00162EA4"/>
    <w:rsid w:val="00162FDF"/>
    <w:rsid w:val="00163272"/>
    <w:rsid w:val="001646B0"/>
    <w:rsid w:val="00164B62"/>
    <w:rsid w:val="00164D6A"/>
    <w:rsid w:val="00165417"/>
    <w:rsid w:val="00167FEA"/>
    <w:rsid w:val="0017087E"/>
    <w:rsid w:val="00171BF6"/>
    <w:rsid w:val="00171CDA"/>
    <w:rsid w:val="00172ABA"/>
    <w:rsid w:val="00174DC7"/>
    <w:rsid w:val="00175525"/>
    <w:rsid w:val="00175F48"/>
    <w:rsid w:val="00177083"/>
    <w:rsid w:val="00180966"/>
    <w:rsid w:val="001810DE"/>
    <w:rsid w:val="001815E7"/>
    <w:rsid w:val="00181779"/>
    <w:rsid w:val="00182733"/>
    <w:rsid w:val="001836F8"/>
    <w:rsid w:val="001840D8"/>
    <w:rsid w:val="00184755"/>
    <w:rsid w:val="00184968"/>
    <w:rsid w:val="00184A83"/>
    <w:rsid w:val="00184EDE"/>
    <w:rsid w:val="00185F26"/>
    <w:rsid w:val="00186786"/>
    <w:rsid w:val="00187696"/>
    <w:rsid w:val="00191273"/>
    <w:rsid w:val="001946F7"/>
    <w:rsid w:val="00194CF2"/>
    <w:rsid w:val="00194FBE"/>
    <w:rsid w:val="00195384"/>
    <w:rsid w:val="0019554F"/>
    <w:rsid w:val="0019623D"/>
    <w:rsid w:val="001966C7"/>
    <w:rsid w:val="001A037E"/>
    <w:rsid w:val="001A10DD"/>
    <w:rsid w:val="001A117D"/>
    <w:rsid w:val="001A1273"/>
    <w:rsid w:val="001A14A9"/>
    <w:rsid w:val="001A1D97"/>
    <w:rsid w:val="001A28CF"/>
    <w:rsid w:val="001A2AE2"/>
    <w:rsid w:val="001A3D3A"/>
    <w:rsid w:val="001A3DC2"/>
    <w:rsid w:val="001A469C"/>
    <w:rsid w:val="001A4B5E"/>
    <w:rsid w:val="001A6A98"/>
    <w:rsid w:val="001A6F51"/>
    <w:rsid w:val="001A74AE"/>
    <w:rsid w:val="001A7876"/>
    <w:rsid w:val="001A787E"/>
    <w:rsid w:val="001B0882"/>
    <w:rsid w:val="001B1B4D"/>
    <w:rsid w:val="001B23C9"/>
    <w:rsid w:val="001B2930"/>
    <w:rsid w:val="001B3E30"/>
    <w:rsid w:val="001B4231"/>
    <w:rsid w:val="001B4C28"/>
    <w:rsid w:val="001B542F"/>
    <w:rsid w:val="001B59BC"/>
    <w:rsid w:val="001C1394"/>
    <w:rsid w:val="001C1891"/>
    <w:rsid w:val="001C232E"/>
    <w:rsid w:val="001C3662"/>
    <w:rsid w:val="001C4B43"/>
    <w:rsid w:val="001C5194"/>
    <w:rsid w:val="001D0FCA"/>
    <w:rsid w:val="001D1A14"/>
    <w:rsid w:val="001D1E2B"/>
    <w:rsid w:val="001D2010"/>
    <w:rsid w:val="001D3E8B"/>
    <w:rsid w:val="001D40BE"/>
    <w:rsid w:val="001D4157"/>
    <w:rsid w:val="001D46A8"/>
    <w:rsid w:val="001D54C1"/>
    <w:rsid w:val="001D5925"/>
    <w:rsid w:val="001D778D"/>
    <w:rsid w:val="001D7CF3"/>
    <w:rsid w:val="001E1FF6"/>
    <w:rsid w:val="001E30E8"/>
    <w:rsid w:val="001F095F"/>
    <w:rsid w:val="001F1325"/>
    <w:rsid w:val="001F30B5"/>
    <w:rsid w:val="001F3246"/>
    <w:rsid w:val="001F4BA9"/>
    <w:rsid w:val="001F6C98"/>
    <w:rsid w:val="001F744C"/>
    <w:rsid w:val="00201429"/>
    <w:rsid w:val="002018F8"/>
    <w:rsid w:val="00202275"/>
    <w:rsid w:val="00203FC0"/>
    <w:rsid w:val="00204B58"/>
    <w:rsid w:val="0020502B"/>
    <w:rsid w:val="002069A2"/>
    <w:rsid w:val="00206A61"/>
    <w:rsid w:val="002070D7"/>
    <w:rsid w:val="0020715C"/>
    <w:rsid w:val="0020749B"/>
    <w:rsid w:val="00207844"/>
    <w:rsid w:val="00210503"/>
    <w:rsid w:val="00210EE4"/>
    <w:rsid w:val="0021174A"/>
    <w:rsid w:val="002139B5"/>
    <w:rsid w:val="00214316"/>
    <w:rsid w:val="0021487E"/>
    <w:rsid w:val="00217380"/>
    <w:rsid w:val="002174F0"/>
    <w:rsid w:val="00220308"/>
    <w:rsid w:val="002208E3"/>
    <w:rsid w:val="00221F10"/>
    <w:rsid w:val="002220E6"/>
    <w:rsid w:val="002228BF"/>
    <w:rsid w:val="00224029"/>
    <w:rsid w:val="00224867"/>
    <w:rsid w:val="00224D3A"/>
    <w:rsid w:val="00225C12"/>
    <w:rsid w:val="00225F55"/>
    <w:rsid w:val="0022637B"/>
    <w:rsid w:val="00230278"/>
    <w:rsid w:val="00230B2E"/>
    <w:rsid w:val="002318A0"/>
    <w:rsid w:val="00231D99"/>
    <w:rsid w:val="00232AC2"/>
    <w:rsid w:val="00233574"/>
    <w:rsid w:val="00234F7D"/>
    <w:rsid w:val="0023689C"/>
    <w:rsid w:val="002371DA"/>
    <w:rsid w:val="00240C1C"/>
    <w:rsid w:val="002439B5"/>
    <w:rsid w:val="00243AFA"/>
    <w:rsid w:val="002448AE"/>
    <w:rsid w:val="00244AA8"/>
    <w:rsid w:val="00244E88"/>
    <w:rsid w:val="00245D28"/>
    <w:rsid w:val="002464FC"/>
    <w:rsid w:val="002465E5"/>
    <w:rsid w:val="002468C1"/>
    <w:rsid w:val="0024746B"/>
    <w:rsid w:val="00247664"/>
    <w:rsid w:val="00251931"/>
    <w:rsid w:val="00251AF6"/>
    <w:rsid w:val="00253BF7"/>
    <w:rsid w:val="00253EDB"/>
    <w:rsid w:val="002540BB"/>
    <w:rsid w:val="00254272"/>
    <w:rsid w:val="002548DD"/>
    <w:rsid w:val="00255CEF"/>
    <w:rsid w:val="00255E90"/>
    <w:rsid w:val="0025710F"/>
    <w:rsid w:val="00257663"/>
    <w:rsid w:val="00257679"/>
    <w:rsid w:val="002634D7"/>
    <w:rsid w:val="0026432E"/>
    <w:rsid w:val="00264B79"/>
    <w:rsid w:val="00265084"/>
    <w:rsid w:val="002657DB"/>
    <w:rsid w:val="00266E7C"/>
    <w:rsid w:val="00267121"/>
    <w:rsid w:val="00267F34"/>
    <w:rsid w:val="00272236"/>
    <w:rsid w:val="00272253"/>
    <w:rsid w:val="00273975"/>
    <w:rsid w:val="0027661D"/>
    <w:rsid w:val="00276BAF"/>
    <w:rsid w:val="00277458"/>
    <w:rsid w:val="002776C9"/>
    <w:rsid w:val="002811F4"/>
    <w:rsid w:val="00281484"/>
    <w:rsid w:val="00281F50"/>
    <w:rsid w:val="00282C8D"/>
    <w:rsid w:val="0028422A"/>
    <w:rsid w:val="002851E7"/>
    <w:rsid w:val="002853CF"/>
    <w:rsid w:val="00285D8D"/>
    <w:rsid w:val="002867C9"/>
    <w:rsid w:val="002867D1"/>
    <w:rsid w:val="0028767E"/>
    <w:rsid w:val="00291231"/>
    <w:rsid w:val="00291287"/>
    <w:rsid w:val="00291B60"/>
    <w:rsid w:val="0029225F"/>
    <w:rsid w:val="00293419"/>
    <w:rsid w:val="00293D1A"/>
    <w:rsid w:val="00294AF3"/>
    <w:rsid w:val="00294B19"/>
    <w:rsid w:val="00295D61"/>
    <w:rsid w:val="0029671A"/>
    <w:rsid w:val="00297123"/>
    <w:rsid w:val="00297970"/>
    <w:rsid w:val="00297D38"/>
    <w:rsid w:val="002A0182"/>
    <w:rsid w:val="002A0E2B"/>
    <w:rsid w:val="002A0ED2"/>
    <w:rsid w:val="002A1079"/>
    <w:rsid w:val="002A1763"/>
    <w:rsid w:val="002A272C"/>
    <w:rsid w:val="002A2759"/>
    <w:rsid w:val="002A3C5F"/>
    <w:rsid w:val="002A4C2D"/>
    <w:rsid w:val="002A4D70"/>
    <w:rsid w:val="002B1D73"/>
    <w:rsid w:val="002B228E"/>
    <w:rsid w:val="002B3055"/>
    <w:rsid w:val="002B7949"/>
    <w:rsid w:val="002B7E60"/>
    <w:rsid w:val="002B7EA1"/>
    <w:rsid w:val="002B7F35"/>
    <w:rsid w:val="002B7F40"/>
    <w:rsid w:val="002C0890"/>
    <w:rsid w:val="002C2170"/>
    <w:rsid w:val="002C2A41"/>
    <w:rsid w:val="002C2B57"/>
    <w:rsid w:val="002C50F0"/>
    <w:rsid w:val="002C6919"/>
    <w:rsid w:val="002C7A7C"/>
    <w:rsid w:val="002D0FB9"/>
    <w:rsid w:val="002D3932"/>
    <w:rsid w:val="002D3F39"/>
    <w:rsid w:val="002D418E"/>
    <w:rsid w:val="002D58FF"/>
    <w:rsid w:val="002D5E42"/>
    <w:rsid w:val="002D64D2"/>
    <w:rsid w:val="002D6590"/>
    <w:rsid w:val="002D696B"/>
    <w:rsid w:val="002D73AF"/>
    <w:rsid w:val="002D7E99"/>
    <w:rsid w:val="002E005C"/>
    <w:rsid w:val="002E0209"/>
    <w:rsid w:val="002E0B77"/>
    <w:rsid w:val="002E0C7D"/>
    <w:rsid w:val="002E1632"/>
    <w:rsid w:val="002E1752"/>
    <w:rsid w:val="002E20AC"/>
    <w:rsid w:val="002E2398"/>
    <w:rsid w:val="002E2F3F"/>
    <w:rsid w:val="002E4127"/>
    <w:rsid w:val="002E5088"/>
    <w:rsid w:val="002E5DAE"/>
    <w:rsid w:val="002E657B"/>
    <w:rsid w:val="002E6C6C"/>
    <w:rsid w:val="002E78F5"/>
    <w:rsid w:val="002E7F85"/>
    <w:rsid w:val="002F1B41"/>
    <w:rsid w:val="002F30D4"/>
    <w:rsid w:val="002F36B7"/>
    <w:rsid w:val="002F47CA"/>
    <w:rsid w:val="002F4837"/>
    <w:rsid w:val="002F52A5"/>
    <w:rsid w:val="002F66D2"/>
    <w:rsid w:val="003011FB"/>
    <w:rsid w:val="003012C8"/>
    <w:rsid w:val="00301FD7"/>
    <w:rsid w:val="00302117"/>
    <w:rsid w:val="003024CB"/>
    <w:rsid w:val="003027B8"/>
    <w:rsid w:val="00302834"/>
    <w:rsid w:val="0030411A"/>
    <w:rsid w:val="00305889"/>
    <w:rsid w:val="00306451"/>
    <w:rsid w:val="00307105"/>
    <w:rsid w:val="0031495F"/>
    <w:rsid w:val="00315DFF"/>
    <w:rsid w:val="00317B49"/>
    <w:rsid w:val="00322903"/>
    <w:rsid w:val="003230E6"/>
    <w:rsid w:val="00323B2B"/>
    <w:rsid w:val="00324886"/>
    <w:rsid w:val="0032735F"/>
    <w:rsid w:val="0032760C"/>
    <w:rsid w:val="0033031F"/>
    <w:rsid w:val="00330E91"/>
    <w:rsid w:val="003312EF"/>
    <w:rsid w:val="003318AC"/>
    <w:rsid w:val="0033401F"/>
    <w:rsid w:val="003364DA"/>
    <w:rsid w:val="00336E6E"/>
    <w:rsid w:val="00336E81"/>
    <w:rsid w:val="00337B64"/>
    <w:rsid w:val="00340A25"/>
    <w:rsid w:val="0034138C"/>
    <w:rsid w:val="003442A2"/>
    <w:rsid w:val="00344A62"/>
    <w:rsid w:val="00344E00"/>
    <w:rsid w:val="003451A2"/>
    <w:rsid w:val="0034594C"/>
    <w:rsid w:val="003464E6"/>
    <w:rsid w:val="003477D5"/>
    <w:rsid w:val="00347DB3"/>
    <w:rsid w:val="003502BA"/>
    <w:rsid w:val="00350EB7"/>
    <w:rsid w:val="00352232"/>
    <w:rsid w:val="003528A0"/>
    <w:rsid w:val="00353D2C"/>
    <w:rsid w:val="00354880"/>
    <w:rsid w:val="00355340"/>
    <w:rsid w:val="00355A5D"/>
    <w:rsid w:val="00356904"/>
    <w:rsid w:val="00356B4A"/>
    <w:rsid w:val="00356F3D"/>
    <w:rsid w:val="0035717C"/>
    <w:rsid w:val="00357D89"/>
    <w:rsid w:val="00360465"/>
    <w:rsid w:val="0036223F"/>
    <w:rsid w:val="003627B6"/>
    <w:rsid w:val="0036441A"/>
    <w:rsid w:val="00364C75"/>
    <w:rsid w:val="00364D39"/>
    <w:rsid w:val="00365E38"/>
    <w:rsid w:val="00370372"/>
    <w:rsid w:val="0037074B"/>
    <w:rsid w:val="00371747"/>
    <w:rsid w:val="00372618"/>
    <w:rsid w:val="0037316A"/>
    <w:rsid w:val="00373A28"/>
    <w:rsid w:val="003749D0"/>
    <w:rsid w:val="00375E2C"/>
    <w:rsid w:val="00377942"/>
    <w:rsid w:val="003803C9"/>
    <w:rsid w:val="00380525"/>
    <w:rsid w:val="00380DCF"/>
    <w:rsid w:val="00380E5E"/>
    <w:rsid w:val="00381915"/>
    <w:rsid w:val="00382ECE"/>
    <w:rsid w:val="0038305E"/>
    <w:rsid w:val="0038312D"/>
    <w:rsid w:val="00386D8E"/>
    <w:rsid w:val="003914B2"/>
    <w:rsid w:val="00391861"/>
    <w:rsid w:val="003918A5"/>
    <w:rsid w:val="0039289D"/>
    <w:rsid w:val="0039343C"/>
    <w:rsid w:val="00397A3B"/>
    <w:rsid w:val="00397D02"/>
    <w:rsid w:val="003A0871"/>
    <w:rsid w:val="003A13E6"/>
    <w:rsid w:val="003A589B"/>
    <w:rsid w:val="003A5E0D"/>
    <w:rsid w:val="003A5E91"/>
    <w:rsid w:val="003A6875"/>
    <w:rsid w:val="003A69A3"/>
    <w:rsid w:val="003A74AF"/>
    <w:rsid w:val="003B0050"/>
    <w:rsid w:val="003B028A"/>
    <w:rsid w:val="003B054F"/>
    <w:rsid w:val="003B1E28"/>
    <w:rsid w:val="003B2E37"/>
    <w:rsid w:val="003B324F"/>
    <w:rsid w:val="003B4297"/>
    <w:rsid w:val="003B69D9"/>
    <w:rsid w:val="003C1BAE"/>
    <w:rsid w:val="003C1D8F"/>
    <w:rsid w:val="003C2F5A"/>
    <w:rsid w:val="003C3514"/>
    <w:rsid w:val="003C3886"/>
    <w:rsid w:val="003C4660"/>
    <w:rsid w:val="003C5086"/>
    <w:rsid w:val="003C625E"/>
    <w:rsid w:val="003C6789"/>
    <w:rsid w:val="003C7093"/>
    <w:rsid w:val="003C70EE"/>
    <w:rsid w:val="003C7303"/>
    <w:rsid w:val="003C789F"/>
    <w:rsid w:val="003D0ACD"/>
    <w:rsid w:val="003D2126"/>
    <w:rsid w:val="003D25D2"/>
    <w:rsid w:val="003D2CF3"/>
    <w:rsid w:val="003D34BF"/>
    <w:rsid w:val="003D4657"/>
    <w:rsid w:val="003D5B9F"/>
    <w:rsid w:val="003D5D0D"/>
    <w:rsid w:val="003D61BC"/>
    <w:rsid w:val="003E028A"/>
    <w:rsid w:val="003E0578"/>
    <w:rsid w:val="003E05DD"/>
    <w:rsid w:val="003E0762"/>
    <w:rsid w:val="003E1507"/>
    <w:rsid w:val="003E3804"/>
    <w:rsid w:val="003E4020"/>
    <w:rsid w:val="003E4D77"/>
    <w:rsid w:val="003E51FC"/>
    <w:rsid w:val="003E6B42"/>
    <w:rsid w:val="003E6B8E"/>
    <w:rsid w:val="003F0EE5"/>
    <w:rsid w:val="003F0F04"/>
    <w:rsid w:val="003F560B"/>
    <w:rsid w:val="003F73F3"/>
    <w:rsid w:val="003F78E6"/>
    <w:rsid w:val="004001A1"/>
    <w:rsid w:val="00401976"/>
    <w:rsid w:val="00401D1B"/>
    <w:rsid w:val="00402313"/>
    <w:rsid w:val="00402AA1"/>
    <w:rsid w:val="004030AF"/>
    <w:rsid w:val="00403846"/>
    <w:rsid w:val="00404362"/>
    <w:rsid w:val="004047BC"/>
    <w:rsid w:val="00406380"/>
    <w:rsid w:val="00407B07"/>
    <w:rsid w:val="00410AE2"/>
    <w:rsid w:val="00410DB8"/>
    <w:rsid w:val="00411CBB"/>
    <w:rsid w:val="00412766"/>
    <w:rsid w:val="00412A37"/>
    <w:rsid w:val="004134B0"/>
    <w:rsid w:val="00413A86"/>
    <w:rsid w:val="004140B0"/>
    <w:rsid w:val="00414D2F"/>
    <w:rsid w:val="004159A1"/>
    <w:rsid w:val="0041602B"/>
    <w:rsid w:val="00416AF4"/>
    <w:rsid w:val="00417FA4"/>
    <w:rsid w:val="004205FA"/>
    <w:rsid w:val="00420C59"/>
    <w:rsid w:val="00421B8C"/>
    <w:rsid w:val="00422971"/>
    <w:rsid w:val="004229DB"/>
    <w:rsid w:val="00422F39"/>
    <w:rsid w:val="0042387C"/>
    <w:rsid w:val="00425C62"/>
    <w:rsid w:val="004260B5"/>
    <w:rsid w:val="00427646"/>
    <w:rsid w:val="004309AD"/>
    <w:rsid w:val="0043245C"/>
    <w:rsid w:val="00434091"/>
    <w:rsid w:val="00435666"/>
    <w:rsid w:val="00436F9C"/>
    <w:rsid w:val="00437C50"/>
    <w:rsid w:val="00441894"/>
    <w:rsid w:val="004428FF"/>
    <w:rsid w:val="00444B31"/>
    <w:rsid w:val="0044758F"/>
    <w:rsid w:val="00450087"/>
    <w:rsid w:val="00450571"/>
    <w:rsid w:val="00450BEC"/>
    <w:rsid w:val="00451273"/>
    <w:rsid w:val="00451339"/>
    <w:rsid w:val="004514F8"/>
    <w:rsid w:val="00452360"/>
    <w:rsid w:val="0045267A"/>
    <w:rsid w:val="0045292E"/>
    <w:rsid w:val="00454AC6"/>
    <w:rsid w:val="00455C79"/>
    <w:rsid w:val="00456FF2"/>
    <w:rsid w:val="00457FAD"/>
    <w:rsid w:val="00460ACC"/>
    <w:rsid w:val="00462AD8"/>
    <w:rsid w:val="00462FF9"/>
    <w:rsid w:val="00463FCB"/>
    <w:rsid w:val="004640C8"/>
    <w:rsid w:val="00464309"/>
    <w:rsid w:val="00464BFA"/>
    <w:rsid w:val="00465800"/>
    <w:rsid w:val="00470368"/>
    <w:rsid w:val="00470954"/>
    <w:rsid w:val="004774E5"/>
    <w:rsid w:val="004819AC"/>
    <w:rsid w:val="00481D11"/>
    <w:rsid w:val="004823E9"/>
    <w:rsid w:val="00482E82"/>
    <w:rsid w:val="00483452"/>
    <w:rsid w:val="00485107"/>
    <w:rsid w:val="004862D6"/>
    <w:rsid w:val="00487DB7"/>
    <w:rsid w:val="00490F62"/>
    <w:rsid w:val="00491586"/>
    <w:rsid w:val="00491AFD"/>
    <w:rsid w:val="00495478"/>
    <w:rsid w:val="00495638"/>
    <w:rsid w:val="004963E9"/>
    <w:rsid w:val="00497380"/>
    <w:rsid w:val="004A004A"/>
    <w:rsid w:val="004A06C6"/>
    <w:rsid w:val="004A082E"/>
    <w:rsid w:val="004A0CA1"/>
    <w:rsid w:val="004A1335"/>
    <w:rsid w:val="004A18E6"/>
    <w:rsid w:val="004A3833"/>
    <w:rsid w:val="004A38DE"/>
    <w:rsid w:val="004A39F6"/>
    <w:rsid w:val="004A53C4"/>
    <w:rsid w:val="004A5F09"/>
    <w:rsid w:val="004A67FC"/>
    <w:rsid w:val="004B06BF"/>
    <w:rsid w:val="004B090F"/>
    <w:rsid w:val="004B1797"/>
    <w:rsid w:val="004B18DB"/>
    <w:rsid w:val="004B2D24"/>
    <w:rsid w:val="004B38BE"/>
    <w:rsid w:val="004B3F0B"/>
    <w:rsid w:val="004B4755"/>
    <w:rsid w:val="004B5434"/>
    <w:rsid w:val="004B554C"/>
    <w:rsid w:val="004B60D1"/>
    <w:rsid w:val="004B6327"/>
    <w:rsid w:val="004B67A1"/>
    <w:rsid w:val="004B7BFA"/>
    <w:rsid w:val="004B7D7D"/>
    <w:rsid w:val="004C0273"/>
    <w:rsid w:val="004C0481"/>
    <w:rsid w:val="004C1AE5"/>
    <w:rsid w:val="004C2E36"/>
    <w:rsid w:val="004C344C"/>
    <w:rsid w:val="004C45D1"/>
    <w:rsid w:val="004D0256"/>
    <w:rsid w:val="004D14FE"/>
    <w:rsid w:val="004D1D76"/>
    <w:rsid w:val="004D222F"/>
    <w:rsid w:val="004D2693"/>
    <w:rsid w:val="004D27B8"/>
    <w:rsid w:val="004D30EB"/>
    <w:rsid w:val="004D4E96"/>
    <w:rsid w:val="004D5752"/>
    <w:rsid w:val="004D601B"/>
    <w:rsid w:val="004D7563"/>
    <w:rsid w:val="004E0E27"/>
    <w:rsid w:val="004E119D"/>
    <w:rsid w:val="004E139D"/>
    <w:rsid w:val="004E1BFA"/>
    <w:rsid w:val="004E1E17"/>
    <w:rsid w:val="004E2475"/>
    <w:rsid w:val="004E2D72"/>
    <w:rsid w:val="004E359F"/>
    <w:rsid w:val="004E3751"/>
    <w:rsid w:val="004E4243"/>
    <w:rsid w:val="004E428C"/>
    <w:rsid w:val="004E4B86"/>
    <w:rsid w:val="004E4E12"/>
    <w:rsid w:val="004E5372"/>
    <w:rsid w:val="004E5517"/>
    <w:rsid w:val="004E64B5"/>
    <w:rsid w:val="004E6DC0"/>
    <w:rsid w:val="004F133A"/>
    <w:rsid w:val="004F27DD"/>
    <w:rsid w:val="004F2945"/>
    <w:rsid w:val="004F3CBC"/>
    <w:rsid w:val="004F4EAD"/>
    <w:rsid w:val="004F5672"/>
    <w:rsid w:val="004F6584"/>
    <w:rsid w:val="004F6B47"/>
    <w:rsid w:val="004F7003"/>
    <w:rsid w:val="004F7693"/>
    <w:rsid w:val="005031AF"/>
    <w:rsid w:val="00503969"/>
    <w:rsid w:val="00505CE2"/>
    <w:rsid w:val="0050633A"/>
    <w:rsid w:val="005076CA"/>
    <w:rsid w:val="00510140"/>
    <w:rsid w:val="005132FD"/>
    <w:rsid w:val="00513325"/>
    <w:rsid w:val="00515207"/>
    <w:rsid w:val="005155B2"/>
    <w:rsid w:val="00520850"/>
    <w:rsid w:val="0052107F"/>
    <w:rsid w:val="00523DB0"/>
    <w:rsid w:val="00524E00"/>
    <w:rsid w:val="00525289"/>
    <w:rsid w:val="005253FA"/>
    <w:rsid w:val="005262F7"/>
    <w:rsid w:val="0052679E"/>
    <w:rsid w:val="00527C44"/>
    <w:rsid w:val="00527EF2"/>
    <w:rsid w:val="0053220E"/>
    <w:rsid w:val="005323F4"/>
    <w:rsid w:val="00534D0B"/>
    <w:rsid w:val="0053605B"/>
    <w:rsid w:val="005374E0"/>
    <w:rsid w:val="00537DD3"/>
    <w:rsid w:val="00540041"/>
    <w:rsid w:val="0054027E"/>
    <w:rsid w:val="00541039"/>
    <w:rsid w:val="00542B88"/>
    <w:rsid w:val="00543B82"/>
    <w:rsid w:val="00543DF2"/>
    <w:rsid w:val="0054419C"/>
    <w:rsid w:val="00544B55"/>
    <w:rsid w:val="00545E0E"/>
    <w:rsid w:val="005468EB"/>
    <w:rsid w:val="00550449"/>
    <w:rsid w:val="00550E0D"/>
    <w:rsid w:val="00551575"/>
    <w:rsid w:val="0055165C"/>
    <w:rsid w:val="00551D1A"/>
    <w:rsid w:val="005524E2"/>
    <w:rsid w:val="00552A97"/>
    <w:rsid w:val="0055383B"/>
    <w:rsid w:val="00553EFA"/>
    <w:rsid w:val="00555F26"/>
    <w:rsid w:val="005560C3"/>
    <w:rsid w:val="00556BB5"/>
    <w:rsid w:val="00556CD6"/>
    <w:rsid w:val="0055745E"/>
    <w:rsid w:val="005575E6"/>
    <w:rsid w:val="00560482"/>
    <w:rsid w:val="00560A71"/>
    <w:rsid w:val="00561B04"/>
    <w:rsid w:val="00561C27"/>
    <w:rsid w:val="00562DEF"/>
    <w:rsid w:val="005632A9"/>
    <w:rsid w:val="005636AF"/>
    <w:rsid w:val="00563C1D"/>
    <w:rsid w:val="0056646F"/>
    <w:rsid w:val="005675D7"/>
    <w:rsid w:val="00571068"/>
    <w:rsid w:val="00572C05"/>
    <w:rsid w:val="00573350"/>
    <w:rsid w:val="005735C3"/>
    <w:rsid w:val="00573FB5"/>
    <w:rsid w:val="00575F97"/>
    <w:rsid w:val="0057747A"/>
    <w:rsid w:val="00580AA1"/>
    <w:rsid w:val="00580BE4"/>
    <w:rsid w:val="0058269D"/>
    <w:rsid w:val="00582E74"/>
    <w:rsid w:val="005867B0"/>
    <w:rsid w:val="00586B35"/>
    <w:rsid w:val="00587081"/>
    <w:rsid w:val="00587BD7"/>
    <w:rsid w:val="00587EDD"/>
    <w:rsid w:val="00590C5C"/>
    <w:rsid w:val="00590C67"/>
    <w:rsid w:val="00590F59"/>
    <w:rsid w:val="00591B55"/>
    <w:rsid w:val="00591E90"/>
    <w:rsid w:val="00592C95"/>
    <w:rsid w:val="005958BD"/>
    <w:rsid w:val="00595C3A"/>
    <w:rsid w:val="005A0FF0"/>
    <w:rsid w:val="005A5297"/>
    <w:rsid w:val="005A57A5"/>
    <w:rsid w:val="005A5D1C"/>
    <w:rsid w:val="005A6727"/>
    <w:rsid w:val="005A67B1"/>
    <w:rsid w:val="005B0BA4"/>
    <w:rsid w:val="005B14CF"/>
    <w:rsid w:val="005B2391"/>
    <w:rsid w:val="005B3D00"/>
    <w:rsid w:val="005B47F9"/>
    <w:rsid w:val="005B55A4"/>
    <w:rsid w:val="005B602E"/>
    <w:rsid w:val="005B643A"/>
    <w:rsid w:val="005B6E69"/>
    <w:rsid w:val="005B6FFF"/>
    <w:rsid w:val="005B7B46"/>
    <w:rsid w:val="005C09DE"/>
    <w:rsid w:val="005C0E13"/>
    <w:rsid w:val="005C1472"/>
    <w:rsid w:val="005C22CE"/>
    <w:rsid w:val="005C2441"/>
    <w:rsid w:val="005C2663"/>
    <w:rsid w:val="005C267B"/>
    <w:rsid w:val="005C27C9"/>
    <w:rsid w:val="005C3DBD"/>
    <w:rsid w:val="005D001D"/>
    <w:rsid w:val="005D1819"/>
    <w:rsid w:val="005D1C16"/>
    <w:rsid w:val="005D36A8"/>
    <w:rsid w:val="005D3AC0"/>
    <w:rsid w:val="005D54EA"/>
    <w:rsid w:val="005D5FC1"/>
    <w:rsid w:val="005D7B36"/>
    <w:rsid w:val="005D7BA2"/>
    <w:rsid w:val="005E334A"/>
    <w:rsid w:val="005E36B5"/>
    <w:rsid w:val="005E4D44"/>
    <w:rsid w:val="005F1102"/>
    <w:rsid w:val="005F1157"/>
    <w:rsid w:val="005F1609"/>
    <w:rsid w:val="005F4396"/>
    <w:rsid w:val="005F4774"/>
    <w:rsid w:val="005F48BF"/>
    <w:rsid w:val="005F547C"/>
    <w:rsid w:val="005F6C48"/>
    <w:rsid w:val="006006C7"/>
    <w:rsid w:val="00600EFF"/>
    <w:rsid w:val="00601E1D"/>
    <w:rsid w:val="00602082"/>
    <w:rsid w:val="006026BF"/>
    <w:rsid w:val="00602CAC"/>
    <w:rsid w:val="00603157"/>
    <w:rsid w:val="0060363B"/>
    <w:rsid w:val="00603DE5"/>
    <w:rsid w:val="0060465B"/>
    <w:rsid w:val="0060499E"/>
    <w:rsid w:val="006050A6"/>
    <w:rsid w:val="006050E0"/>
    <w:rsid w:val="006072D1"/>
    <w:rsid w:val="0061090C"/>
    <w:rsid w:val="006114BE"/>
    <w:rsid w:val="006153C3"/>
    <w:rsid w:val="00616955"/>
    <w:rsid w:val="00620531"/>
    <w:rsid w:val="00620A80"/>
    <w:rsid w:val="006217E7"/>
    <w:rsid w:val="00621B48"/>
    <w:rsid w:val="00621EB8"/>
    <w:rsid w:val="00621F43"/>
    <w:rsid w:val="006228EF"/>
    <w:rsid w:val="00622E3C"/>
    <w:rsid w:val="00622F45"/>
    <w:rsid w:val="00623029"/>
    <w:rsid w:val="00623098"/>
    <w:rsid w:val="00623FAB"/>
    <w:rsid w:val="00624A3F"/>
    <w:rsid w:val="006253A1"/>
    <w:rsid w:val="00625CC0"/>
    <w:rsid w:val="0062724C"/>
    <w:rsid w:val="00631506"/>
    <w:rsid w:val="00631D95"/>
    <w:rsid w:val="00632227"/>
    <w:rsid w:val="006323BA"/>
    <w:rsid w:val="00632942"/>
    <w:rsid w:val="006339E5"/>
    <w:rsid w:val="00633F30"/>
    <w:rsid w:val="006343FC"/>
    <w:rsid w:val="00634719"/>
    <w:rsid w:val="006358F9"/>
    <w:rsid w:val="006362C5"/>
    <w:rsid w:val="006367CA"/>
    <w:rsid w:val="00636BC5"/>
    <w:rsid w:val="006372B8"/>
    <w:rsid w:val="006374A2"/>
    <w:rsid w:val="00642EE8"/>
    <w:rsid w:val="006453B8"/>
    <w:rsid w:val="006458E3"/>
    <w:rsid w:val="00645946"/>
    <w:rsid w:val="00646F25"/>
    <w:rsid w:val="00647800"/>
    <w:rsid w:val="00647965"/>
    <w:rsid w:val="00651AA7"/>
    <w:rsid w:val="00652495"/>
    <w:rsid w:val="006526A8"/>
    <w:rsid w:val="006526E6"/>
    <w:rsid w:val="00652B33"/>
    <w:rsid w:val="00652BC4"/>
    <w:rsid w:val="0065418A"/>
    <w:rsid w:val="00654736"/>
    <w:rsid w:val="006575C0"/>
    <w:rsid w:val="006621E0"/>
    <w:rsid w:val="00662ED7"/>
    <w:rsid w:val="006632B3"/>
    <w:rsid w:val="00663A44"/>
    <w:rsid w:val="006651E0"/>
    <w:rsid w:val="00666225"/>
    <w:rsid w:val="0066678F"/>
    <w:rsid w:val="00666C48"/>
    <w:rsid w:val="00667152"/>
    <w:rsid w:val="0066728F"/>
    <w:rsid w:val="0067151B"/>
    <w:rsid w:val="00671687"/>
    <w:rsid w:val="00671C89"/>
    <w:rsid w:val="00673365"/>
    <w:rsid w:val="0067386C"/>
    <w:rsid w:val="006739B0"/>
    <w:rsid w:val="00675D47"/>
    <w:rsid w:val="0067657D"/>
    <w:rsid w:val="0067700E"/>
    <w:rsid w:val="006818F5"/>
    <w:rsid w:val="00682302"/>
    <w:rsid w:val="00683995"/>
    <w:rsid w:val="0068447F"/>
    <w:rsid w:val="00685982"/>
    <w:rsid w:val="00685B95"/>
    <w:rsid w:val="006863A0"/>
    <w:rsid w:val="006866BB"/>
    <w:rsid w:val="00687086"/>
    <w:rsid w:val="0069110D"/>
    <w:rsid w:val="00692ABE"/>
    <w:rsid w:val="006954D6"/>
    <w:rsid w:val="00695A5E"/>
    <w:rsid w:val="0069670A"/>
    <w:rsid w:val="00696A94"/>
    <w:rsid w:val="00696D6F"/>
    <w:rsid w:val="006971C9"/>
    <w:rsid w:val="00697A6B"/>
    <w:rsid w:val="006A1C92"/>
    <w:rsid w:val="006A2300"/>
    <w:rsid w:val="006A2B62"/>
    <w:rsid w:val="006A2DFB"/>
    <w:rsid w:val="006A34C5"/>
    <w:rsid w:val="006A4A51"/>
    <w:rsid w:val="006A6C92"/>
    <w:rsid w:val="006A7924"/>
    <w:rsid w:val="006A7943"/>
    <w:rsid w:val="006A7FF5"/>
    <w:rsid w:val="006B010E"/>
    <w:rsid w:val="006B3D6E"/>
    <w:rsid w:val="006B42A9"/>
    <w:rsid w:val="006B45D5"/>
    <w:rsid w:val="006B4878"/>
    <w:rsid w:val="006B598D"/>
    <w:rsid w:val="006B5A92"/>
    <w:rsid w:val="006B707B"/>
    <w:rsid w:val="006C00C7"/>
    <w:rsid w:val="006C1D03"/>
    <w:rsid w:val="006C23B9"/>
    <w:rsid w:val="006C248C"/>
    <w:rsid w:val="006C3B76"/>
    <w:rsid w:val="006C3CBC"/>
    <w:rsid w:val="006C4A6A"/>
    <w:rsid w:val="006C6F88"/>
    <w:rsid w:val="006C6FD4"/>
    <w:rsid w:val="006C7044"/>
    <w:rsid w:val="006D024C"/>
    <w:rsid w:val="006D1111"/>
    <w:rsid w:val="006D221C"/>
    <w:rsid w:val="006D2A25"/>
    <w:rsid w:val="006D2FFA"/>
    <w:rsid w:val="006D4254"/>
    <w:rsid w:val="006D441F"/>
    <w:rsid w:val="006D4C01"/>
    <w:rsid w:val="006D51F2"/>
    <w:rsid w:val="006D559F"/>
    <w:rsid w:val="006D67A6"/>
    <w:rsid w:val="006E2E80"/>
    <w:rsid w:val="006E2FE4"/>
    <w:rsid w:val="006E616F"/>
    <w:rsid w:val="006E7E07"/>
    <w:rsid w:val="006F08C6"/>
    <w:rsid w:val="006F2C96"/>
    <w:rsid w:val="006F342C"/>
    <w:rsid w:val="006F36E1"/>
    <w:rsid w:val="006F37A5"/>
    <w:rsid w:val="006F385F"/>
    <w:rsid w:val="006F40C2"/>
    <w:rsid w:val="00700F7F"/>
    <w:rsid w:val="007014B8"/>
    <w:rsid w:val="00702624"/>
    <w:rsid w:val="007029D8"/>
    <w:rsid w:val="00702DD2"/>
    <w:rsid w:val="0070414B"/>
    <w:rsid w:val="00704F06"/>
    <w:rsid w:val="00705B58"/>
    <w:rsid w:val="007110C8"/>
    <w:rsid w:val="00711B7D"/>
    <w:rsid w:val="00711CB6"/>
    <w:rsid w:val="00712CEE"/>
    <w:rsid w:val="00712F24"/>
    <w:rsid w:val="00714818"/>
    <w:rsid w:val="007149FA"/>
    <w:rsid w:val="0071575F"/>
    <w:rsid w:val="00716C46"/>
    <w:rsid w:val="007175CE"/>
    <w:rsid w:val="00717AE4"/>
    <w:rsid w:val="007205EA"/>
    <w:rsid w:val="00720D9B"/>
    <w:rsid w:val="00721449"/>
    <w:rsid w:val="0072172E"/>
    <w:rsid w:val="0072282B"/>
    <w:rsid w:val="00724352"/>
    <w:rsid w:val="0072537B"/>
    <w:rsid w:val="00725720"/>
    <w:rsid w:val="007268F8"/>
    <w:rsid w:val="00727958"/>
    <w:rsid w:val="0073177A"/>
    <w:rsid w:val="00732729"/>
    <w:rsid w:val="00732B5B"/>
    <w:rsid w:val="007333AA"/>
    <w:rsid w:val="007340B5"/>
    <w:rsid w:val="00734252"/>
    <w:rsid w:val="00734DCD"/>
    <w:rsid w:val="00734E11"/>
    <w:rsid w:val="00736792"/>
    <w:rsid w:val="007367B8"/>
    <w:rsid w:val="00736A6A"/>
    <w:rsid w:val="00736D4F"/>
    <w:rsid w:val="00740EE2"/>
    <w:rsid w:val="0074299C"/>
    <w:rsid w:val="0074315F"/>
    <w:rsid w:val="00744AC6"/>
    <w:rsid w:val="00744FA2"/>
    <w:rsid w:val="00746E0C"/>
    <w:rsid w:val="00747235"/>
    <w:rsid w:val="007506ED"/>
    <w:rsid w:val="007508C7"/>
    <w:rsid w:val="00752557"/>
    <w:rsid w:val="0075579F"/>
    <w:rsid w:val="007568B0"/>
    <w:rsid w:val="00756B2B"/>
    <w:rsid w:val="00756C1F"/>
    <w:rsid w:val="00757784"/>
    <w:rsid w:val="00757DBA"/>
    <w:rsid w:val="0076097D"/>
    <w:rsid w:val="00762069"/>
    <w:rsid w:val="007622DA"/>
    <w:rsid w:val="0076246B"/>
    <w:rsid w:val="007636C1"/>
    <w:rsid w:val="00764450"/>
    <w:rsid w:val="00764509"/>
    <w:rsid w:val="0076480F"/>
    <w:rsid w:val="00765D91"/>
    <w:rsid w:val="0076623E"/>
    <w:rsid w:val="00767BBA"/>
    <w:rsid w:val="00767D0E"/>
    <w:rsid w:val="00767D74"/>
    <w:rsid w:val="00771251"/>
    <w:rsid w:val="007714CB"/>
    <w:rsid w:val="007723F5"/>
    <w:rsid w:val="00772ECC"/>
    <w:rsid w:val="00773208"/>
    <w:rsid w:val="00773A25"/>
    <w:rsid w:val="00775674"/>
    <w:rsid w:val="007764CF"/>
    <w:rsid w:val="00776A7D"/>
    <w:rsid w:val="00776D19"/>
    <w:rsid w:val="007776ED"/>
    <w:rsid w:val="0078034B"/>
    <w:rsid w:val="007820E9"/>
    <w:rsid w:val="0078291A"/>
    <w:rsid w:val="007830DB"/>
    <w:rsid w:val="00785464"/>
    <w:rsid w:val="00786103"/>
    <w:rsid w:val="00786AD4"/>
    <w:rsid w:val="00787A67"/>
    <w:rsid w:val="00790391"/>
    <w:rsid w:val="00791461"/>
    <w:rsid w:val="00791622"/>
    <w:rsid w:val="00791833"/>
    <w:rsid w:val="00791D20"/>
    <w:rsid w:val="007924A3"/>
    <w:rsid w:val="00794A0A"/>
    <w:rsid w:val="0079518E"/>
    <w:rsid w:val="0079525B"/>
    <w:rsid w:val="007969E4"/>
    <w:rsid w:val="00797BFC"/>
    <w:rsid w:val="00797D1E"/>
    <w:rsid w:val="007A31D0"/>
    <w:rsid w:val="007A36F2"/>
    <w:rsid w:val="007A4E2E"/>
    <w:rsid w:val="007A6E4B"/>
    <w:rsid w:val="007A71C4"/>
    <w:rsid w:val="007B0019"/>
    <w:rsid w:val="007B05BD"/>
    <w:rsid w:val="007B33F4"/>
    <w:rsid w:val="007B3903"/>
    <w:rsid w:val="007B5137"/>
    <w:rsid w:val="007B5870"/>
    <w:rsid w:val="007B5C48"/>
    <w:rsid w:val="007B5E74"/>
    <w:rsid w:val="007B5F73"/>
    <w:rsid w:val="007B601D"/>
    <w:rsid w:val="007C027A"/>
    <w:rsid w:val="007C107A"/>
    <w:rsid w:val="007C3045"/>
    <w:rsid w:val="007C34A8"/>
    <w:rsid w:val="007C4FA3"/>
    <w:rsid w:val="007C64CE"/>
    <w:rsid w:val="007C6836"/>
    <w:rsid w:val="007C765A"/>
    <w:rsid w:val="007D0144"/>
    <w:rsid w:val="007D1CC5"/>
    <w:rsid w:val="007D26E3"/>
    <w:rsid w:val="007D2EEB"/>
    <w:rsid w:val="007D40BE"/>
    <w:rsid w:val="007D4250"/>
    <w:rsid w:val="007D4420"/>
    <w:rsid w:val="007D46C2"/>
    <w:rsid w:val="007D4D1D"/>
    <w:rsid w:val="007D6ABC"/>
    <w:rsid w:val="007D6B7B"/>
    <w:rsid w:val="007D7025"/>
    <w:rsid w:val="007D7A06"/>
    <w:rsid w:val="007E0438"/>
    <w:rsid w:val="007E05D7"/>
    <w:rsid w:val="007E091E"/>
    <w:rsid w:val="007E2E62"/>
    <w:rsid w:val="007E5DE5"/>
    <w:rsid w:val="007E6128"/>
    <w:rsid w:val="007E63B2"/>
    <w:rsid w:val="007E66CE"/>
    <w:rsid w:val="007E6F85"/>
    <w:rsid w:val="007F28D6"/>
    <w:rsid w:val="007F2D37"/>
    <w:rsid w:val="007F3891"/>
    <w:rsid w:val="007F446B"/>
    <w:rsid w:val="007F4A85"/>
    <w:rsid w:val="007F550E"/>
    <w:rsid w:val="007F633A"/>
    <w:rsid w:val="00800367"/>
    <w:rsid w:val="00803788"/>
    <w:rsid w:val="008045F8"/>
    <w:rsid w:val="0080521A"/>
    <w:rsid w:val="0080579C"/>
    <w:rsid w:val="00805E40"/>
    <w:rsid w:val="00810A20"/>
    <w:rsid w:val="00812177"/>
    <w:rsid w:val="00814282"/>
    <w:rsid w:val="0081435D"/>
    <w:rsid w:val="00817336"/>
    <w:rsid w:val="00821217"/>
    <w:rsid w:val="00823596"/>
    <w:rsid w:val="008259F6"/>
    <w:rsid w:val="00825B57"/>
    <w:rsid w:val="00825FE7"/>
    <w:rsid w:val="008272A4"/>
    <w:rsid w:val="008276D2"/>
    <w:rsid w:val="0083001D"/>
    <w:rsid w:val="00830550"/>
    <w:rsid w:val="00830585"/>
    <w:rsid w:val="00830AE2"/>
    <w:rsid w:val="0083314C"/>
    <w:rsid w:val="008334C9"/>
    <w:rsid w:val="008344E1"/>
    <w:rsid w:val="00834980"/>
    <w:rsid w:val="00835291"/>
    <w:rsid w:val="008354A5"/>
    <w:rsid w:val="00835EBC"/>
    <w:rsid w:val="00836543"/>
    <w:rsid w:val="00836C8E"/>
    <w:rsid w:val="0083720D"/>
    <w:rsid w:val="00837943"/>
    <w:rsid w:val="00837A98"/>
    <w:rsid w:val="00840036"/>
    <w:rsid w:val="0084005B"/>
    <w:rsid w:val="008400F3"/>
    <w:rsid w:val="00840583"/>
    <w:rsid w:val="00840587"/>
    <w:rsid w:val="00841418"/>
    <w:rsid w:val="00842CEA"/>
    <w:rsid w:val="00844EA2"/>
    <w:rsid w:val="0085187F"/>
    <w:rsid w:val="00851B9B"/>
    <w:rsid w:val="00851D43"/>
    <w:rsid w:val="008524C4"/>
    <w:rsid w:val="00854363"/>
    <w:rsid w:val="00855BF6"/>
    <w:rsid w:val="0085773D"/>
    <w:rsid w:val="00861793"/>
    <w:rsid w:val="00861AC9"/>
    <w:rsid w:val="00862D4E"/>
    <w:rsid w:val="00863A22"/>
    <w:rsid w:val="00863E35"/>
    <w:rsid w:val="00864451"/>
    <w:rsid w:val="008646E2"/>
    <w:rsid w:val="00865AD2"/>
    <w:rsid w:val="00866FCF"/>
    <w:rsid w:val="00871502"/>
    <w:rsid w:val="0087163B"/>
    <w:rsid w:val="00872568"/>
    <w:rsid w:val="00872C28"/>
    <w:rsid w:val="00873099"/>
    <w:rsid w:val="00873602"/>
    <w:rsid w:val="008743A5"/>
    <w:rsid w:val="00874D49"/>
    <w:rsid w:val="008750A7"/>
    <w:rsid w:val="008761A2"/>
    <w:rsid w:val="00876246"/>
    <w:rsid w:val="00876A7E"/>
    <w:rsid w:val="00880011"/>
    <w:rsid w:val="0088036F"/>
    <w:rsid w:val="008804B7"/>
    <w:rsid w:val="00882277"/>
    <w:rsid w:val="00882EF7"/>
    <w:rsid w:val="008841E4"/>
    <w:rsid w:val="008856CC"/>
    <w:rsid w:val="00886518"/>
    <w:rsid w:val="00890FBF"/>
    <w:rsid w:val="0089106C"/>
    <w:rsid w:val="00891757"/>
    <w:rsid w:val="00891D7A"/>
    <w:rsid w:val="008929D0"/>
    <w:rsid w:val="00892C44"/>
    <w:rsid w:val="00893F59"/>
    <w:rsid w:val="00894129"/>
    <w:rsid w:val="00894C30"/>
    <w:rsid w:val="00895246"/>
    <w:rsid w:val="008955D1"/>
    <w:rsid w:val="00895C0C"/>
    <w:rsid w:val="008970C2"/>
    <w:rsid w:val="00897294"/>
    <w:rsid w:val="00897428"/>
    <w:rsid w:val="008A014E"/>
    <w:rsid w:val="008A4692"/>
    <w:rsid w:val="008A6950"/>
    <w:rsid w:val="008A6E0C"/>
    <w:rsid w:val="008B0601"/>
    <w:rsid w:val="008B0D2B"/>
    <w:rsid w:val="008B12BE"/>
    <w:rsid w:val="008B282C"/>
    <w:rsid w:val="008B2A42"/>
    <w:rsid w:val="008B2A43"/>
    <w:rsid w:val="008B345D"/>
    <w:rsid w:val="008B39DB"/>
    <w:rsid w:val="008B3FF1"/>
    <w:rsid w:val="008B6837"/>
    <w:rsid w:val="008C0283"/>
    <w:rsid w:val="008C0AB4"/>
    <w:rsid w:val="008C1503"/>
    <w:rsid w:val="008C298B"/>
    <w:rsid w:val="008C6497"/>
    <w:rsid w:val="008C6659"/>
    <w:rsid w:val="008C6D97"/>
    <w:rsid w:val="008C6F86"/>
    <w:rsid w:val="008D0D58"/>
    <w:rsid w:val="008D12A7"/>
    <w:rsid w:val="008D1736"/>
    <w:rsid w:val="008D1BA9"/>
    <w:rsid w:val="008D2049"/>
    <w:rsid w:val="008D315D"/>
    <w:rsid w:val="008D3A9F"/>
    <w:rsid w:val="008D3EDD"/>
    <w:rsid w:val="008D3F02"/>
    <w:rsid w:val="008D4419"/>
    <w:rsid w:val="008D52A6"/>
    <w:rsid w:val="008D5BE5"/>
    <w:rsid w:val="008D5FE7"/>
    <w:rsid w:val="008D6BA3"/>
    <w:rsid w:val="008D6BF4"/>
    <w:rsid w:val="008D6D28"/>
    <w:rsid w:val="008D6E60"/>
    <w:rsid w:val="008D7998"/>
    <w:rsid w:val="008E1596"/>
    <w:rsid w:val="008E2014"/>
    <w:rsid w:val="008E21BB"/>
    <w:rsid w:val="008E2391"/>
    <w:rsid w:val="008E4ABC"/>
    <w:rsid w:val="008E5196"/>
    <w:rsid w:val="008E7BCF"/>
    <w:rsid w:val="008E7D67"/>
    <w:rsid w:val="008F1939"/>
    <w:rsid w:val="008F255E"/>
    <w:rsid w:val="008F2BCE"/>
    <w:rsid w:val="008F417D"/>
    <w:rsid w:val="008F42C4"/>
    <w:rsid w:val="008F4891"/>
    <w:rsid w:val="008F4F1B"/>
    <w:rsid w:val="008F5624"/>
    <w:rsid w:val="008F606F"/>
    <w:rsid w:val="008F6DA5"/>
    <w:rsid w:val="008F714B"/>
    <w:rsid w:val="0090008C"/>
    <w:rsid w:val="00900BE7"/>
    <w:rsid w:val="00901376"/>
    <w:rsid w:val="009024BC"/>
    <w:rsid w:val="00902585"/>
    <w:rsid w:val="00902A33"/>
    <w:rsid w:val="00902ABE"/>
    <w:rsid w:val="00904E73"/>
    <w:rsid w:val="00904F57"/>
    <w:rsid w:val="009058A3"/>
    <w:rsid w:val="00906126"/>
    <w:rsid w:val="0090663F"/>
    <w:rsid w:val="0090687A"/>
    <w:rsid w:val="00910970"/>
    <w:rsid w:val="00911D4D"/>
    <w:rsid w:val="00911E9B"/>
    <w:rsid w:val="00911FA4"/>
    <w:rsid w:val="00912C5E"/>
    <w:rsid w:val="00913188"/>
    <w:rsid w:val="009135FB"/>
    <w:rsid w:val="0091412A"/>
    <w:rsid w:val="00914C99"/>
    <w:rsid w:val="009154F7"/>
    <w:rsid w:val="0091576F"/>
    <w:rsid w:val="00916FC2"/>
    <w:rsid w:val="00917109"/>
    <w:rsid w:val="009222E6"/>
    <w:rsid w:val="00923745"/>
    <w:rsid w:val="00923CC2"/>
    <w:rsid w:val="009259F7"/>
    <w:rsid w:val="0092607E"/>
    <w:rsid w:val="009262FD"/>
    <w:rsid w:val="00927AD7"/>
    <w:rsid w:val="009307B4"/>
    <w:rsid w:val="00932E2C"/>
    <w:rsid w:val="009332A0"/>
    <w:rsid w:val="00936E76"/>
    <w:rsid w:val="00937A59"/>
    <w:rsid w:val="00940E9F"/>
    <w:rsid w:val="009419C4"/>
    <w:rsid w:val="00943595"/>
    <w:rsid w:val="009438F3"/>
    <w:rsid w:val="00944174"/>
    <w:rsid w:val="00945368"/>
    <w:rsid w:val="009454B2"/>
    <w:rsid w:val="00946249"/>
    <w:rsid w:val="00946E99"/>
    <w:rsid w:val="00947C12"/>
    <w:rsid w:val="009519EA"/>
    <w:rsid w:val="00952B31"/>
    <w:rsid w:val="009533A9"/>
    <w:rsid w:val="00955D5D"/>
    <w:rsid w:val="00956316"/>
    <w:rsid w:val="009571D8"/>
    <w:rsid w:val="009579EA"/>
    <w:rsid w:val="009616F3"/>
    <w:rsid w:val="0096186A"/>
    <w:rsid w:val="00961B56"/>
    <w:rsid w:val="00961F11"/>
    <w:rsid w:val="00962413"/>
    <w:rsid w:val="0096269A"/>
    <w:rsid w:val="00962812"/>
    <w:rsid w:val="00962AF6"/>
    <w:rsid w:val="009632DB"/>
    <w:rsid w:val="0096402F"/>
    <w:rsid w:val="009643EB"/>
    <w:rsid w:val="00964FD6"/>
    <w:rsid w:val="00965E4D"/>
    <w:rsid w:val="009664E0"/>
    <w:rsid w:val="009709D8"/>
    <w:rsid w:val="00971F79"/>
    <w:rsid w:val="00972181"/>
    <w:rsid w:val="00972B6B"/>
    <w:rsid w:val="009730CC"/>
    <w:rsid w:val="00973E4F"/>
    <w:rsid w:val="0097499C"/>
    <w:rsid w:val="00974A31"/>
    <w:rsid w:val="00975D86"/>
    <w:rsid w:val="009760D2"/>
    <w:rsid w:val="009801AF"/>
    <w:rsid w:val="009801B1"/>
    <w:rsid w:val="0098319C"/>
    <w:rsid w:val="00983FBC"/>
    <w:rsid w:val="0098455B"/>
    <w:rsid w:val="0098570A"/>
    <w:rsid w:val="00987C19"/>
    <w:rsid w:val="00987D5F"/>
    <w:rsid w:val="009914BF"/>
    <w:rsid w:val="0099187D"/>
    <w:rsid w:val="00994D43"/>
    <w:rsid w:val="00996B6C"/>
    <w:rsid w:val="0099705A"/>
    <w:rsid w:val="00997622"/>
    <w:rsid w:val="009977ED"/>
    <w:rsid w:val="00997C9E"/>
    <w:rsid w:val="009A1C08"/>
    <w:rsid w:val="009A1ED1"/>
    <w:rsid w:val="009A3D2B"/>
    <w:rsid w:val="009A3DD7"/>
    <w:rsid w:val="009A407E"/>
    <w:rsid w:val="009A475F"/>
    <w:rsid w:val="009A4AD8"/>
    <w:rsid w:val="009A538D"/>
    <w:rsid w:val="009A594B"/>
    <w:rsid w:val="009A78D5"/>
    <w:rsid w:val="009B04FB"/>
    <w:rsid w:val="009B0CEF"/>
    <w:rsid w:val="009B0D6D"/>
    <w:rsid w:val="009B15B2"/>
    <w:rsid w:val="009B28D5"/>
    <w:rsid w:val="009B4381"/>
    <w:rsid w:val="009B43DD"/>
    <w:rsid w:val="009B5088"/>
    <w:rsid w:val="009B5202"/>
    <w:rsid w:val="009B5866"/>
    <w:rsid w:val="009B749D"/>
    <w:rsid w:val="009C008C"/>
    <w:rsid w:val="009C2C4E"/>
    <w:rsid w:val="009C37EC"/>
    <w:rsid w:val="009C5A0A"/>
    <w:rsid w:val="009C678D"/>
    <w:rsid w:val="009C69B5"/>
    <w:rsid w:val="009C73A9"/>
    <w:rsid w:val="009C7F62"/>
    <w:rsid w:val="009D1981"/>
    <w:rsid w:val="009D2952"/>
    <w:rsid w:val="009D38A5"/>
    <w:rsid w:val="009D5188"/>
    <w:rsid w:val="009D582F"/>
    <w:rsid w:val="009D7E6F"/>
    <w:rsid w:val="009E09FD"/>
    <w:rsid w:val="009E2067"/>
    <w:rsid w:val="009E2F1E"/>
    <w:rsid w:val="009E3E16"/>
    <w:rsid w:val="009E3E21"/>
    <w:rsid w:val="009E4329"/>
    <w:rsid w:val="009E4361"/>
    <w:rsid w:val="009E46A2"/>
    <w:rsid w:val="009E5478"/>
    <w:rsid w:val="009E5649"/>
    <w:rsid w:val="009E6616"/>
    <w:rsid w:val="009E6B47"/>
    <w:rsid w:val="009E6C94"/>
    <w:rsid w:val="009F0160"/>
    <w:rsid w:val="009F2D15"/>
    <w:rsid w:val="009F5A01"/>
    <w:rsid w:val="009F655E"/>
    <w:rsid w:val="009F6EF9"/>
    <w:rsid w:val="00A000D2"/>
    <w:rsid w:val="00A019B9"/>
    <w:rsid w:val="00A01A0B"/>
    <w:rsid w:val="00A05BED"/>
    <w:rsid w:val="00A05CAC"/>
    <w:rsid w:val="00A06000"/>
    <w:rsid w:val="00A11BAD"/>
    <w:rsid w:val="00A11E72"/>
    <w:rsid w:val="00A1248D"/>
    <w:rsid w:val="00A12E40"/>
    <w:rsid w:val="00A13237"/>
    <w:rsid w:val="00A13264"/>
    <w:rsid w:val="00A13F9E"/>
    <w:rsid w:val="00A15CF3"/>
    <w:rsid w:val="00A16C7F"/>
    <w:rsid w:val="00A17598"/>
    <w:rsid w:val="00A17604"/>
    <w:rsid w:val="00A176E4"/>
    <w:rsid w:val="00A205F1"/>
    <w:rsid w:val="00A2094D"/>
    <w:rsid w:val="00A21ABD"/>
    <w:rsid w:val="00A21DF9"/>
    <w:rsid w:val="00A22619"/>
    <w:rsid w:val="00A228C8"/>
    <w:rsid w:val="00A24460"/>
    <w:rsid w:val="00A2487A"/>
    <w:rsid w:val="00A2501E"/>
    <w:rsid w:val="00A26694"/>
    <w:rsid w:val="00A30B55"/>
    <w:rsid w:val="00A31832"/>
    <w:rsid w:val="00A31C73"/>
    <w:rsid w:val="00A32CCB"/>
    <w:rsid w:val="00A33970"/>
    <w:rsid w:val="00A34E7D"/>
    <w:rsid w:val="00A35D01"/>
    <w:rsid w:val="00A361CE"/>
    <w:rsid w:val="00A362DF"/>
    <w:rsid w:val="00A36B02"/>
    <w:rsid w:val="00A36F0F"/>
    <w:rsid w:val="00A3747D"/>
    <w:rsid w:val="00A37B90"/>
    <w:rsid w:val="00A40520"/>
    <w:rsid w:val="00A4109E"/>
    <w:rsid w:val="00A43519"/>
    <w:rsid w:val="00A44123"/>
    <w:rsid w:val="00A44787"/>
    <w:rsid w:val="00A45511"/>
    <w:rsid w:val="00A455A9"/>
    <w:rsid w:val="00A45AE1"/>
    <w:rsid w:val="00A45E2C"/>
    <w:rsid w:val="00A47439"/>
    <w:rsid w:val="00A47776"/>
    <w:rsid w:val="00A5112D"/>
    <w:rsid w:val="00A525CB"/>
    <w:rsid w:val="00A546BF"/>
    <w:rsid w:val="00A54B64"/>
    <w:rsid w:val="00A55943"/>
    <w:rsid w:val="00A56FE1"/>
    <w:rsid w:val="00A57689"/>
    <w:rsid w:val="00A606E8"/>
    <w:rsid w:val="00A60820"/>
    <w:rsid w:val="00A6138B"/>
    <w:rsid w:val="00A627CC"/>
    <w:rsid w:val="00A62A8E"/>
    <w:rsid w:val="00A62D7D"/>
    <w:rsid w:val="00A63406"/>
    <w:rsid w:val="00A65089"/>
    <w:rsid w:val="00A66108"/>
    <w:rsid w:val="00A66CA7"/>
    <w:rsid w:val="00A710CD"/>
    <w:rsid w:val="00A71BFC"/>
    <w:rsid w:val="00A71C8C"/>
    <w:rsid w:val="00A722A4"/>
    <w:rsid w:val="00A72833"/>
    <w:rsid w:val="00A72BFF"/>
    <w:rsid w:val="00A72DE8"/>
    <w:rsid w:val="00A73385"/>
    <w:rsid w:val="00A73407"/>
    <w:rsid w:val="00A73AB4"/>
    <w:rsid w:val="00A75A43"/>
    <w:rsid w:val="00A76FBE"/>
    <w:rsid w:val="00A772A8"/>
    <w:rsid w:val="00A775C9"/>
    <w:rsid w:val="00A77C9E"/>
    <w:rsid w:val="00A77D79"/>
    <w:rsid w:val="00A803E2"/>
    <w:rsid w:val="00A80446"/>
    <w:rsid w:val="00A809EA"/>
    <w:rsid w:val="00A80C73"/>
    <w:rsid w:val="00A81867"/>
    <w:rsid w:val="00A82C9C"/>
    <w:rsid w:val="00A83895"/>
    <w:rsid w:val="00A84265"/>
    <w:rsid w:val="00A84BF7"/>
    <w:rsid w:val="00A85D57"/>
    <w:rsid w:val="00A87040"/>
    <w:rsid w:val="00A87C65"/>
    <w:rsid w:val="00A90BAC"/>
    <w:rsid w:val="00A92116"/>
    <w:rsid w:val="00A938A3"/>
    <w:rsid w:val="00A93A05"/>
    <w:rsid w:val="00A94B0C"/>
    <w:rsid w:val="00A94EC8"/>
    <w:rsid w:val="00A94F9A"/>
    <w:rsid w:val="00A95143"/>
    <w:rsid w:val="00A963FE"/>
    <w:rsid w:val="00A973B0"/>
    <w:rsid w:val="00AA0B76"/>
    <w:rsid w:val="00AA16B1"/>
    <w:rsid w:val="00AA18EB"/>
    <w:rsid w:val="00AA3FC9"/>
    <w:rsid w:val="00AA485A"/>
    <w:rsid w:val="00AA55BB"/>
    <w:rsid w:val="00AA581E"/>
    <w:rsid w:val="00AA5874"/>
    <w:rsid w:val="00AA5B39"/>
    <w:rsid w:val="00AA68B7"/>
    <w:rsid w:val="00AA705E"/>
    <w:rsid w:val="00AA71D7"/>
    <w:rsid w:val="00AA74D1"/>
    <w:rsid w:val="00AA75AA"/>
    <w:rsid w:val="00AA7BA4"/>
    <w:rsid w:val="00AA7D7C"/>
    <w:rsid w:val="00AB0CC7"/>
    <w:rsid w:val="00AB127E"/>
    <w:rsid w:val="00AB3167"/>
    <w:rsid w:val="00AB5029"/>
    <w:rsid w:val="00AB5462"/>
    <w:rsid w:val="00AB5797"/>
    <w:rsid w:val="00AB59D2"/>
    <w:rsid w:val="00AB78EA"/>
    <w:rsid w:val="00AC0858"/>
    <w:rsid w:val="00AC0BDA"/>
    <w:rsid w:val="00AC1259"/>
    <w:rsid w:val="00AC17E9"/>
    <w:rsid w:val="00AC1A58"/>
    <w:rsid w:val="00AC1BF2"/>
    <w:rsid w:val="00AC1CB6"/>
    <w:rsid w:val="00AC41E6"/>
    <w:rsid w:val="00AC44DE"/>
    <w:rsid w:val="00AC48EC"/>
    <w:rsid w:val="00AC4C42"/>
    <w:rsid w:val="00AC5596"/>
    <w:rsid w:val="00AC5D23"/>
    <w:rsid w:val="00AC68E4"/>
    <w:rsid w:val="00AC726F"/>
    <w:rsid w:val="00AC7734"/>
    <w:rsid w:val="00AD02D4"/>
    <w:rsid w:val="00AD1FB2"/>
    <w:rsid w:val="00AD21B3"/>
    <w:rsid w:val="00AD249D"/>
    <w:rsid w:val="00AD2CDD"/>
    <w:rsid w:val="00AD3A96"/>
    <w:rsid w:val="00AD45B8"/>
    <w:rsid w:val="00AD6616"/>
    <w:rsid w:val="00AD7FC2"/>
    <w:rsid w:val="00AE11A7"/>
    <w:rsid w:val="00AE1896"/>
    <w:rsid w:val="00AE20A5"/>
    <w:rsid w:val="00AE2460"/>
    <w:rsid w:val="00AE2E8C"/>
    <w:rsid w:val="00AE376A"/>
    <w:rsid w:val="00AE41A6"/>
    <w:rsid w:val="00AE51E7"/>
    <w:rsid w:val="00AE5647"/>
    <w:rsid w:val="00AE5B94"/>
    <w:rsid w:val="00AE5E4B"/>
    <w:rsid w:val="00AE6A2E"/>
    <w:rsid w:val="00AE6E08"/>
    <w:rsid w:val="00AF4688"/>
    <w:rsid w:val="00AF54C6"/>
    <w:rsid w:val="00AF56CD"/>
    <w:rsid w:val="00AF6301"/>
    <w:rsid w:val="00AF6613"/>
    <w:rsid w:val="00AF7920"/>
    <w:rsid w:val="00AF7F51"/>
    <w:rsid w:val="00B00B92"/>
    <w:rsid w:val="00B013FE"/>
    <w:rsid w:val="00B01678"/>
    <w:rsid w:val="00B04CDD"/>
    <w:rsid w:val="00B06380"/>
    <w:rsid w:val="00B06CBB"/>
    <w:rsid w:val="00B11079"/>
    <w:rsid w:val="00B1264A"/>
    <w:rsid w:val="00B15A28"/>
    <w:rsid w:val="00B15C0D"/>
    <w:rsid w:val="00B17EA4"/>
    <w:rsid w:val="00B2090A"/>
    <w:rsid w:val="00B21591"/>
    <w:rsid w:val="00B24876"/>
    <w:rsid w:val="00B248DB"/>
    <w:rsid w:val="00B24DA6"/>
    <w:rsid w:val="00B252B4"/>
    <w:rsid w:val="00B26068"/>
    <w:rsid w:val="00B2622C"/>
    <w:rsid w:val="00B3112D"/>
    <w:rsid w:val="00B311F4"/>
    <w:rsid w:val="00B3328A"/>
    <w:rsid w:val="00B33807"/>
    <w:rsid w:val="00B355BC"/>
    <w:rsid w:val="00B35629"/>
    <w:rsid w:val="00B36258"/>
    <w:rsid w:val="00B4062F"/>
    <w:rsid w:val="00B40865"/>
    <w:rsid w:val="00B40BDE"/>
    <w:rsid w:val="00B410C0"/>
    <w:rsid w:val="00B42477"/>
    <w:rsid w:val="00B4285C"/>
    <w:rsid w:val="00B42EA8"/>
    <w:rsid w:val="00B4399A"/>
    <w:rsid w:val="00B43A68"/>
    <w:rsid w:val="00B4465E"/>
    <w:rsid w:val="00B45238"/>
    <w:rsid w:val="00B46359"/>
    <w:rsid w:val="00B46529"/>
    <w:rsid w:val="00B47DAB"/>
    <w:rsid w:val="00B50CEE"/>
    <w:rsid w:val="00B51B53"/>
    <w:rsid w:val="00B52807"/>
    <w:rsid w:val="00B530A5"/>
    <w:rsid w:val="00B5366F"/>
    <w:rsid w:val="00B53D10"/>
    <w:rsid w:val="00B54FD3"/>
    <w:rsid w:val="00B5520B"/>
    <w:rsid w:val="00B5589C"/>
    <w:rsid w:val="00B55A8D"/>
    <w:rsid w:val="00B55AEE"/>
    <w:rsid w:val="00B56620"/>
    <w:rsid w:val="00B571EA"/>
    <w:rsid w:val="00B572C7"/>
    <w:rsid w:val="00B57625"/>
    <w:rsid w:val="00B5767D"/>
    <w:rsid w:val="00B57B92"/>
    <w:rsid w:val="00B620EC"/>
    <w:rsid w:val="00B63CF9"/>
    <w:rsid w:val="00B64429"/>
    <w:rsid w:val="00B648B2"/>
    <w:rsid w:val="00B64BBC"/>
    <w:rsid w:val="00B64BDB"/>
    <w:rsid w:val="00B65A9B"/>
    <w:rsid w:val="00B65D71"/>
    <w:rsid w:val="00B67708"/>
    <w:rsid w:val="00B67A8C"/>
    <w:rsid w:val="00B70AF4"/>
    <w:rsid w:val="00B71D31"/>
    <w:rsid w:val="00B74F3A"/>
    <w:rsid w:val="00B75A77"/>
    <w:rsid w:val="00B76A3D"/>
    <w:rsid w:val="00B7799B"/>
    <w:rsid w:val="00B77DE0"/>
    <w:rsid w:val="00B81510"/>
    <w:rsid w:val="00B81F93"/>
    <w:rsid w:val="00B838AA"/>
    <w:rsid w:val="00B84035"/>
    <w:rsid w:val="00B84D14"/>
    <w:rsid w:val="00B85830"/>
    <w:rsid w:val="00B866CA"/>
    <w:rsid w:val="00B86C1D"/>
    <w:rsid w:val="00B86F9E"/>
    <w:rsid w:val="00B872ED"/>
    <w:rsid w:val="00B8770C"/>
    <w:rsid w:val="00B90479"/>
    <w:rsid w:val="00B90B2F"/>
    <w:rsid w:val="00B92162"/>
    <w:rsid w:val="00B9323B"/>
    <w:rsid w:val="00B93510"/>
    <w:rsid w:val="00B944DE"/>
    <w:rsid w:val="00B95696"/>
    <w:rsid w:val="00B96223"/>
    <w:rsid w:val="00B962EA"/>
    <w:rsid w:val="00B96939"/>
    <w:rsid w:val="00BA18C9"/>
    <w:rsid w:val="00BA3286"/>
    <w:rsid w:val="00BA6C5C"/>
    <w:rsid w:val="00BB0A1D"/>
    <w:rsid w:val="00BB1539"/>
    <w:rsid w:val="00BB1B79"/>
    <w:rsid w:val="00BB1C20"/>
    <w:rsid w:val="00BB2353"/>
    <w:rsid w:val="00BB54B9"/>
    <w:rsid w:val="00BB6CD9"/>
    <w:rsid w:val="00BB7117"/>
    <w:rsid w:val="00BB7154"/>
    <w:rsid w:val="00BB739A"/>
    <w:rsid w:val="00BC10CC"/>
    <w:rsid w:val="00BC211F"/>
    <w:rsid w:val="00BC2D65"/>
    <w:rsid w:val="00BC2F28"/>
    <w:rsid w:val="00BC349A"/>
    <w:rsid w:val="00BC4C23"/>
    <w:rsid w:val="00BC559A"/>
    <w:rsid w:val="00BC568F"/>
    <w:rsid w:val="00BC6177"/>
    <w:rsid w:val="00BC6B24"/>
    <w:rsid w:val="00BC6C3D"/>
    <w:rsid w:val="00BC701D"/>
    <w:rsid w:val="00BD1696"/>
    <w:rsid w:val="00BD1B29"/>
    <w:rsid w:val="00BD30AE"/>
    <w:rsid w:val="00BD3F37"/>
    <w:rsid w:val="00BD422E"/>
    <w:rsid w:val="00BD4AFF"/>
    <w:rsid w:val="00BD5262"/>
    <w:rsid w:val="00BD6299"/>
    <w:rsid w:val="00BE0D27"/>
    <w:rsid w:val="00BE1F1D"/>
    <w:rsid w:val="00BE26C1"/>
    <w:rsid w:val="00BE3A81"/>
    <w:rsid w:val="00BE3B44"/>
    <w:rsid w:val="00BE3EAF"/>
    <w:rsid w:val="00BE4363"/>
    <w:rsid w:val="00BE4FBA"/>
    <w:rsid w:val="00BE597A"/>
    <w:rsid w:val="00BE5EE5"/>
    <w:rsid w:val="00BE6001"/>
    <w:rsid w:val="00BE65E9"/>
    <w:rsid w:val="00BE750D"/>
    <w:rsid w:val="00BE7522"/>
    <w:rsid w:val="00BE7B89"/>
    <w:rsid w:val="00BE7CA1"/>
    <w:rsid w:val="00BF0122"/>
    <w:rsid w:val="00BF486E"/>
    <w:rsid w:val="00BF6055"/>
    <w:rsid w:val="00BF6652"/>
    <w:rsid w:val="00BF6B07"/>
    <w:rsid w:val="00C013A7"/>
    <w:rsid w:val="00C0363C"/>
    <w:rsid w:val="00C04110"/>
    <w:rsid w:val="00C058B9"/>
    <w:rsid w:val="00C0604B"/>
    <w:rsid w:val="00C06920"/>
    <w:rsid w:val="00C06C50"/>
    <w:rsid w:val="00C078D4"/>
    <w:rsid w:val="00C13A70"/>
    <w:rsid w:val="00C13BA5"/>
    <w:rsid w:val="00C1412C"/>
    <w:rsid w:val="00C14D42"/>
    <w:rsid w:val="00C16F3C"/>
    <w:rsid w:val="00C1747C"/>
    <w:rsid w:val="00C20475"/>
    <w:rsid w:val="00C20847"/>
    <w:rsid w:val="00C214CF"/>
    <w:rsid w:val="00C217C6"/>
    <w:rsid w:val="00C22364"/>
    <w:rsid w:val="00C229B5"/>
    <w:rsid w:val="00C239E6"/>
    <w:rsid w:val="00C26137"/>
    <w:rsid w:val="00C264DA"/>
    <w:rsid w:val="00C279B7"/>
    <w:rsid w:val="00C27C4A"/>
    <w:rsid w:val="00C27FAA"/>
    <w:rsid w:val="00C3016E"/>
    <w:rsid w:val="00C30AA4"/>
    <w:rsid w:val="00C30D35"/>
    <w:rsid w:val="00C3150A"/>
    <w:rsid w:val="00C33F94"/>
    <w:rsid w:val="00C35E8E"/>
    <w:rsid w:val="00C36308"/>
    <w:rsid w:val="00C37E23"/>
    <w:rsid w:val="00C4032E"/>
    <w:rsid w:val="00C40A66"/>
    <w:rsid w:val="00C41A9F"/>
    <w:rsid w:val="00C42A01"/>
    <w:rsid w:val="00C43D64"/>
    <w:rsid w:val="00C44816"/>
    <w:rsid w:val="00C44C0B"/>
    <w:rsid w:val="00C455AE"/>
    <w:rsid w:val="00C474D9"/>
    <w:rsid w:val="00C518A1"/>
    <w:rsid w:val="00C528DE"/>
    <w:rsid w:val="00C54775"/>
    <w:rsid w:val="00C54C03"/>
    <w:rsid w:val="00C55D3B"/>
    <w:rsid w:val="00C55EE5"/>
    <w:rsid w:val="00C56301"/>
    <w:rsid w:val="00C60DCC"/>
    <w:rsid w:val="00C60EC4"/>
    <w:rsid w:val="00C614F5"/>
    <w:rsid w:val="00C61F71"/>
    <w:rsid w:val="00C63BB6"/>
    <w:rsid w:val="00C640ED"/>
    <w:rsid w:val="00C64B0D"/>
    <w:rsid w:val="00C6519A"/>
    <w:rsid w:val="00C65BC2"/>
    <w:rsid w:val="00C67F01"/>
    <w:rsid w:val="00C70354"/>
    <w:rsid w:val="00C72638"/>
    <w:rsid w:val="00C7401E"/>
    <w:rsid w:val="00C761DA"/>
    <w:rsid w:val="00C77DCC"/>
    <w:rsid w:val="00C80EF1"/>
    <w:rsid w:val="00C81233"/>
    <w:rsid w:val="00C8266D"/>
    <w:rsid w:val="00C8288F"/>
    <w:rsid w:val="00C82A1A"/>
    <w:rsid w:val="00C8556D"/>
    <w:rsid w:val="00C86A10"/>
    <w:rsid w:val="00C91334"/>
    <w:rsid w:val="00C91C7D"/>
    <w:rsid w:val="00C92D51"/>
    <w:rsid w:val="00C93026"/>
    <w:rsid w:val="00C9422A"/>
    <w:rsid w:val="00C9593A"/>
    <w:rsid w:val="00C95A04"/>
    <w:rsid w:val="00C95C56"/>
    <w:rsid w:val="00C973DF"/>
    <w:rsid w:val="00C9767A"/>
    <w:rsid w:val="00CA1370"/>
    <w:rsid w:val="00CA17CC"/>
    <w:rsid w:val="00CA22FB"/>
    <w:rsid w:val="00CA23DA"/>
    <w:rsid w:val="00CA2963"/>
    <w:rsid w:val="00CA3E72"/>
    <w:rsid w:val="00CA524D"/>
    <w:rsid w:val="00CA5376"/>
    <w:rsid w:val="00CA5871"/>
    <w:rsid w:val="00CA6667"/>
    <w:rsid w:val="00CA6D58"/>
    <w:rsid w:val="00CB2753"/>
    <w:rsid w:val="00CB30CE"/>
    <w:rsid w:val="00CB62AA"/>
    <w:rsid w:val="00CB7582"/>
    <w:rsid w:val="00CC0C67"/>
    <w:rsid w:val="00CC2C48"/>
    <w:rsid w:val="00CC36EC"/>
    <w:rsid w:val="00CC5262"/>
    <w:rsid w:val="00CC7092"/>
    <w:rsid w:val="00CC7EB5"/>
    <w:rsid w:val="00CD04ED"/>
    <w:rsid w:val="00CD1FC3"/>
    <w:rsid w:val="00CD400E"/>
    <w:rsid w:val="00CD48CA"/>
    <w:rsid w:val="00CD61D7"/>
    <w:rsid w:val="00CD6C09"/>
    <w:rsid w:val="00CD7254"/>
    <w:rsid w:val="00CD7390"/>
    <w:rsid w:val="00CE1ADC"/>
    <w:rsid w:val="00CE2433"/>
    <w:rsid w:val="00CE24F3"/>
    <w:rsid w:val="00CE2541"/>
    <w:rsid w:val="00CE2B4B"/>
    <w:rsid w:val="00CE3055"/>
    <w:rsid w:val="00CE352A"/>
    <w:rsid w:val="00CE4DAD"/>
    <w:rsid w:val="00CE6D8A"/>
    <w:rsid w:val="00CF2BBE"/>
    <w:rsid w:val="00CF3300"/>
    <w:rsid w:val="00CF362D"/>
    <w:rsid w:val="00CF3659"/>
    <w:rsid w:val="00CF37E8"/>
    <w:rsid w:val="00CF3B69"/>
    <w:rsid w:val="00CF3CB1"/>
    <w:rsid w:val="00CF5806"/>
    <w:rsid w:val="00CF5A1D"/>
    <w:rsid w:val="00D00858"/>
    <w:rsid w:val="00D032ED"/>
    <w:rsid w:val="00D03DDF"/>
    <w:rsid w:val="00D04714"/>
    <w:rsid w:val="00D05CF7"/>
    <w:rsid w:val="00D10D23"/>
    <w:rsid w:val="00D113C6"/>
    <w:rsid w:val="00D12EE9"/>
    <w:rsid w:val="00D15B6D"/>
    <w:rsid w:val="00D161EF"/>
    <w:rsid w:val="00D16ED4"/>
    <w:rsid w:val="00D171FB"/>
    <w:rsid w:val="00D22F3D"/>
    <w:rsid w:val="00D244C6"/>
    <w:rsid w:val="00D24E6D"/>
    <w:rsid w:val="00D252A1"/>
    <w:rsid w:val="00D25E33"/>
    <w:rsid w:val="00D264B1"/>
    <w:rsid w:val="00D30C0B"/>
    <w:rsid w:val="00D31E55"/>
    <w:rsid w:val="00D34EB5"/>
    <w:rsid w:val="00D3582C"/>
    <w:rsid w:val="00D40171"/>
    <w:rsid w:val="00D4054A"/>
    <w:rsid w:val="00D42081"/>
    <w:rsid w:val="00D42503"/>
    <w:rsid w:val="00D4679C"/>
    <w:rsid w:val="00D46E4C"/>
    <w:rsid w:val="00D47255"/>
    <w:rsid w:val="00D52615"/>
    <w:rsid w:val="00D53ACD"/>
    <w:rsid w:val="00D542C6"/>
    <w:rsid w:val="00D553A5"/>
    <w:rsid w:val="00D62154"/>
    <w:rsid w:val="00D622D7"/>
    <w:rsid w:val="00D623AE"/>
    <w:rsid w:val="00D626E5"/>
    <w:rsid w:val="00D636B9"/>
    <w:rsid w:val="00D644E3"/>
    <w:rsid w:val="00D648F9"/>
    <w:rsid w:val="00D650F3"/>
    <w:rsid w:val="00D67A35"/>
    <w:rsid w:val="00D67B10"/>
    <w:rsid w:val="00D71308"/>
    <w:rsid w:val="00D71D68"/>
    <w:rsid w:val="00D71F08"/>
    <w:rsid w:val="00D72786"/>
    <w:rsid w:val="00D72E13"/>
    <w:rsid w:val="00D73687"/>
    <w:rsid w:val="00D738AC"/>
    <w:rsid w:val="00D754D0"/>
    <w:rsid w:val="00D758F3"/>
    <w:rsid w:val="00D7592D"/>
    <w:rsid w:val="00D77634"/>
    <w:rsid w:val="00D83A84"/>
    <w:rsid w:val="00D847F2"/>
    <w:rsid w:val="00D850B9"/>
    <w:rsid w:val="00D856B7"/>
    <w:rsid w:val="00D85C96"/>
    <w:rsid w:val="00D90054"/>
    <w:rsid w:val="00D924F3"/>
    <w:rsid w:val="00D92922"/>
    <w:rsid w:val="00D931D3"/>
    <w:rsid w:val="00D97604"/>
    <w:rsid w:val="00D97EDA"/>
    <w:rsid w:val="00DA4F4A"/>
    <w:rsid w:val="00DA5A86"/>
    <w:rsid w:val="00DB0FE0"/>
    <w:rsid w:val="00DB309D"/>
    <w:rsid w:val="00DB464C"/>
    <w:rsid w:val="00DB48CB"/>
    <w:rsid w:val="00DB5560"/>
    <w:rsid w:val="00DB6033"/>
    <w:rsid w:val="00DB6EF0"/>
    <w:rsid w:val="00DC1F92"/>
    <w:rsid w:val="00DC23A7"/>
    <w:rsid w:val="00DC3853"/>
    <w:rsid w:val="00DC39DC"/>
    <w:rsid w:val="00DC416D"/>
    <w:rsid w:val="00DC4474"/>
    <w:rsid w:val="00DC4BDC"/>
    <w:rsid w:val="00DD2B63"/>
    <w:rsid w:val="00DD34DB"/>
    <w:rsid w:val="00DD3805"/>
    <w:rsid w:val="00DD5AE4"/>
    <w:rsid w:val="00DD5B96"/>
    <w:rsid w:val="00DD7318"/>
    <w:rsid w:val="00DD7C8F"/>
    <w:rsid w:val="00DE0CEE"/>
    <w:rsid w:val="00DE14E2"/>
    <w:rsid w:val="00DE1B55"/>
    <w:rsid w:val="00DE2070"/>
    <w:rsid w:val="00DE2159"/>
    <w:rsid w:val="00DE2235"/>
    <w:rsid w:val="00DE63D2"/>
    <w:rsid w:val="00DE6C26"/>
    <w:rsid w:val="00DF05FE"/>
    <w:rsid w:val="00DF1945"/>
    <w:rsid w:val="00DF3551"/>
    <w:rsid w:val="00DF383C"/>
    <w:rsid w:val="00DF50BE"/>
    <w:rsid w:val="00DF521A"/>
    <w:rsid w:val="00DF5687"/>
    <w:rsid w:val="00DF74FB"/>
    <w:rsid w:val="00E004C5"/>
    <w:rsid w:val="00E008B1"/>
    <w:rsid w:val="00E00A2D"/>
    <w:rsid w:val="00E021CC"/>
    <w:rsid w:val="00E053F9"/>
    <w:rsid w:val="00E05410"/>
    <w:rsid w:val="00E05797"/>
    <w:rsid w:val="00E05986"/>
    <w:rsid w:val="00E05E77"/>
    <w:rsid w:val="00E07842"/>
    <w:rsid w:val="00E10452"/>
    <w:rsid w:val="00E135F1"/>
    <w:rsid w:val="00E151B4"/>
    <w:rsid w:val="00E15CBD"/>
    <w:rsid w:val="00E16955"/>
    <w:rsid w:val="00E2174F"/>
    <w:rsid w:val="00E222E6"/>
    <w:rsid w:val="00E23180"/>
    <w:rsid w:val="00E23505"/>
    <w:rsid w:val="00E238CA"/>
    <w:rsid w:val="00E23967"/>
    <w:rsid w:val="00E23C8D"/>
    <w:rsid w:val="00E2427C"/>
    <w:rsid w:val="00E242E7"/>
    <w:rsid w:val="00E24C67"/>
    <w:rsid w:val="00E319C9"/>
    <w:rsid w:val="00E32280"/>
    <w:rsid w:val="00E32ACB"/>
    <w:rsid w:val="00E357CD"/>
    <w:rsid w:val="00E36C7F"/>
    <w:rsid w:val="00E417A5"/>
    <w:rsid w:val="00E43F3A"/>
    <w:rsid w:val="00E45F33"/>
    <w:rsid w:val="00E4663E"/>
    <w:rsid w:val="00E47D13"/>
    <w:rsid w:val="00E5042F"/>
    <w:rsid w:val="00E51CD5"/>
    <w:rsid w:val="00E564B9"/>
    <w:rsid w:val="00E5663A"/>
    <w:rsid w:val="00E56751"/>
    <w:rsid w:val="00E57353"/>
    <w:rsid w:val="00E602FF"/>
    <w:rsid w:val="00E603C7"/>
    <w:rsid w:val="00E61541"/>
    <w:rsid w:val="00E61C06"/>
    <w:rsid w:val="00E61EE6"/>
    <w:rsid w:val="00E6314D"/>
    <w:rsid w:val="00E63266"/>
    <w:rsid w:val="00E63347"/>
    <w:rsid w:val="00E641E2"/>
    <w:rsid w:val="00E64781"/>
    <w:rsid w:val="00E64F84"/>
    <w:rsid w:val="00E65505"/>
    <w:rsid w:val="00E6661D"/>
    <w:rsid w:val="00E6685B"/>
    <w:rsid w:val="00E70323"/>
    <w:rsid w:val="00E7101F"/>
    <w:rsid w:val="00E74178"/>
    <w:rsid w:val="00E75929"/>
    <w:rsid w:val="00E75E1A"/>
    <w:rsid w:val="00E760C3"/>
    <w:rsid w:val="00E77835"/>
    <w:rsid w:val="00E82216"/>
    <w:rsid w:val="00E82CEF"/>
    <w:rsid w:val="00E83328"/>
    <w:rsid w:val="00E84649"/>
    <w:rsid w:val="00E84E32"/>
    <w:rsid w:val="00E866BD"/>
    <w:rsid w:val="00E86890"/>
    <w:rsid w:val="00E86EC4"/>
    <w:rsid w:val="00E8728D"/>
    <w:rsid w:val="00E875B2"/>
    <w:rsid w:val="00E90A87"/>
    <w:rsid w:val="00E926C2"/>
    <w:rsid w:val="00E94481"/>
    <w:rsid w:val="00E94E40"/>
    <w:rsid w:val="00E96ECA"/>
    <w:rsid w:val="00E9726E"/>
    <w:rsid w:val="00E97787"/>
    <w:rsid w:val="00EA0D14"/>
    <w:rsid w:val="00EA2C41"/>
    <w:rsid w:val="00EA3CD2"/>
    <w:rsid w:val="00EA410F"/>
    <w:rsid w:val="00EA449A"/>
    <w:rsid w:val="00EA4C34"/>
    <w:rsid w:val="00EA5F29"/>
    <w:rsid w:val="00EA7D4E"/>
    <w:rsid w:val="00EB16DD"/>
    <w:rsid w:val="00EB1977"/>
    <w:rsid w:val="00EB258F"/>
    <w:rsid w:val="00EB3BE6"/>
    <w:rsid w:val="00EB5537"/>
    <w:rsid w:val="00EB717B"/>
    <w:rsid w:val="00EB740A"/>
    <w:rsid w:val="00EC0374"/>
    <w:rsid w:val="00EC1468"/>
    <w:rsid w:val="00EC2C04"/>
    <w:rsid w:val="00EC3B78"/>
    <w:rsid w:val="00EC558D"/>
    <w:rsid w:val="00ED036A"/>
    <w:rsid w:val="00ED03E5"/>
    <w:rsid w:val="00ED1C39"/>
    <w:rsid w:val="00ED1CE8"/>
    <w:rsid w:val="00ED2167"/>
    <w:rsid w:val="00ED27B8"/>
    <w:rsid w:val="00ED2ABE"/>
    <w:rsid w:val="00ED2D37"/>
    <w:rsid w:val="00ED2D62"/>
    <w:rsid w:val="00ED2D8B"/>
    <w:rsid w:val="00ED2F5F"/>
    <w:rsid w:val="00ED39FB"/>
    <w:rsid w:val="00ED52E9"/>
    <w:rsid w:val="00ED548E"/>
    <w:rsid w:val="00ED646E"/>
    <w:rsid w:val="00EE0E2E"/>
    <w:rsid w:val="00EE243B"/>
    <w:rsid w:val="00EE26FA"/>
    <w:rsid w:val="00EE273D"/>
    <w:rsid w:val="00EE3F1A"/>
    <w:rsid w:val="00EE40AC"/>
    <w:rsid w:val="00EE4B5B"/>
    <w:rsid w:val="00EE51AD"/>
    <w:rsid w:val="00EE542E"/>
    <w:rsid w:val="00EE76B1"/>
    <w:rsid w:val="00EE777E"/>
    <w:rsid w:val="00EF0194"/>
    <w:rsid w:val="00EF0273"/>
    <w:rsid w:val="00EF02AE"/>
    <w:rsid w:val="00EF0345"/>
    <w:rsid w:val="00EF094B"/>
    <w:rsid w:val="00EF0E73"/>
    <w:rsid w:val="00EF1766"/>
    <w:rsid w:val="00EF1EDD"/>
    <w:rsid w:val="00EF5CB8"/>
    <w:rsid w:val="00EF75DF"/>
    <w:rsid w:val="00EF7AF8"/>
    <w:rsid w:val="00F00908"/>
    <w:rsid w:val="00F00956"/>
    <w:rsid w:val="00F00B6C"/>
    <w:rsid w:val="00F028FF"/>
    <w:rsid w:val="00F02D63"/>
    <w:rsid w:val="00F03104"/>
    <w:rsid w:val="00F03B90"/>
    <w:rsid w:val="00F05547"/>
    <w:rsid w:val="00F06AB8"/>
    <w:rsid w:val="00F07885"/>
    <w:rsid w:val="00F07A67"/>
    <w:rsid w:val="00F07E98"/>
    <w:rsid w:val="00F10266"/>
    <w:rsid w:val="00F111D7"/>
    <w:rsid w:val="00F11BFC"/>
    <w:rsid w:val="00F12906"/>
    <w:rsid w:val="00F1483A"/>
    <w:rsid w:val="00F15102"/>
    <w:rsid w:val="00F16956"/>
    <w:rsid w:val="00F17122"/>
    <w:rsid w:val="00F20372"/>
    <w:rsid w:val="00F21747"/>
    <w:rsid w:val="00F2217F"/>
    <w:rsid w:val="00F23965"/>
    <w:rsid w:val="00F240B8"/>
    <w:rsid w:val="00F255F7"/>
    <w:rsid w:val="00F265F3"/>
    <w:rsid w:val="00F27520"/>
    <w:rsid w:val="00F27CFA"/>
    <w:rsid w:val="00F306EB"/>
    <w:rsid w:val="00F31721"/>
    <w:rsid w:val="00F31D40"/>
    <w:rsid w:val="00F32532"/>
    <w:rsid w:val="00F32A0B"/>
    <w:rsid w:val="00F32ACA"/>
    <w:rsid w:val="00F3309A"/>
    <w:rsid w:val="00F3374A"/>
    <w:rsid w:val="00F35358"/>
    <w:rsid w:val="00F36D11"/>
    <w:rsid w:val="00F40773"/>
    <w:rsid w:val="00F40921"/>
    <w:rsid w:val="00F43683"/>
    <w:rsid w:val="00F43D76"/>
    <w:rsid w:val="00F44C57"/>
    <w:rsid w:val="00F44E4C"/>
    <w:rsid w:val="00F45ADB"/>
    <w:rsid w:val="00F4601B"/>
    <w:rsid w:val="00F47BCD"/>
    <w:rsid w:val="00F47CC1"/>
    <w:rsid w:val="00F5037C"/>
    <w:rsid w:val="00F5044A"/>
    <w:rsid w:val="00F505CC"/>
    <w:rsid w:val="00F5098E"/>
    <w:rsid w:val="00F50CD9"/>
    <w:rsid w:val="00F51B08"/>
    <w:rsid w:val="00F52D04"/>
    <w:rsid w:val="00F54A55"/>
    <w:rsid w:val="00F54E1A"/>
    <w:rsid w:val="00F55EBB"/>
    <w:rsid w:val="00F5694D"/>
    <w:rsid w:val="00F56B40"/>
    <w:rsid w:val="00F57387"/>
    <w:rsid w:val="00F61554"/>
    <w:rsid w:val="00F6174F"/>
    <w:rsid w:val="00F621E2"/>
    <w:rsid w:val="00F622F7"/>
    <w:rsid w:val="00F63B0A"/>
    <w:rsid w:val="00F64B17"/>
    <w:rsid w:val="00F66AA3"/>
    <w:rsid w:val="00F705DD"/>
    <w:rsid w:val="00F707A6"/>
    <w:rsid w:val="00F709E0"/>
    <w:rsid w:val="00F72442"/>
    <w:rsid w:val="00F74934"/>
    <w:rsid w:val="00F7510C"/>
    <w:rsid w:val="00F75F5E"/>
    <w:rsid w:val="00F76E9D"/>
    <w:rsid w:val="00F80579"/>
    <w:rsid w:val="00F80AD2"/>
    <w:rsid w:val="00F819FD"/>
    <w:rsid w:val="00F81CED"/>
    <w:rsid w:val="00F8496B"/>
    <w:rsid w:val="00F850EF"/>
    <w:rsid w:val="00F8737E"/>
    <w:rsid w:val="00F87413"/>
    <w:rsid w:val="00F90700"/>
    <w:rsid w:val="00F90C0A"/>
    <w:rsid w:val="00F91A59"/>
    <w:rsid w:val="00F9232E"/>
    <w:rsid w:val="00F93889"/>
    <w:rsid w:val="00F962A5"/>
    <w:rsid w:val="00F973F6"/>
    <w:rsid w:val="00F97619"/>
    <w:rsid w:val="00F978AF"/>
    <w:rsid w:val="00FA03F8"/>
    <w:rsid w:val="00FA063B"/>
    <w:rsid w:val="00FA1D05"/>
    <w:rsid w:val="00FA1D2C"/>
    <w:rsid w:val="00FA263F"/>
    <w:rsid w:val="00FA2C57"/>
    <w:rsid w:val="00FA492A"/>
    <w:rsid w:val="00FA5B91"/>
    <w:rsid w:val="00FA5F3E"/>
    <w:rsid w:val="00FA5F72"/>
    <w:rsid w:val="00FA76E2"/>
    <w:rsid w:val="00FA7F69"/>
    <w:rsid w:val="00FB14CB"/>
    <w:rsid w:val="00FB18AD"/>
    <w:rsid w:val="00FB35D9"/>
    <w:rsid w:val="00FB469E"/>
    <w:rsid w:val="00FB4E25"/>
    <w:rsid w:val="00FB53E6"/>
    <w:rsid w:val="00FB5A77"/>
    <w:rsid w:val="00FB5B61"/>
    <w:rsid w:val="00FB7954"/>
    <w:rsid w:val="00FC0604"/>
    <w:rsid w:val="00FC1770"/>
    <w:rsid w:val="00FC3773"/>
    <w:rsid w:val="00FC39A7"/>
    <w:rsid w:val="00FC6935"/>
    <w:rsid w:val="00FC7C2C"/>
    <w:rsid w:val="00FD09F7"/>
    <w:rsid w:val="00FD0B63"/>
    <w:rsid w:val="00FD0D9B"/>
    <w:rsid w:val="00FD1526"/>
    <w:rsid w:val="00FD22CA"/>
    <w:rsid w:val="00FD3EEE"/>
    <w:rsid w:val="00FD4789"/>
    <w:rsid w:val="00FD4BD5"/>
    <w:rsid w:val="00FD5122"/>
    <w:rsid w:val="00FD692E"/>
    <w:rsid w:val="00FE0410"/>
    <w:rsid w:val="00FE0498"/>
    <w:rsid w:val="00FE09C3"/>
    <w:rsid w:val="00FE133C"/>
    <w:rsid w:val="00FE1BA0"/>
    <w:rsid w:val="00FE2BF5"/>
    <w:rsid w:val="00FE2CAF"/>
    <w:rsid w:val="00FE3E30"/>
    <w:rsid w:val="00FE4289"/>
    <w:rsid w:val="00FE42E4"/>
    <w:rsid w:val="00FE4373"/>
    <w:rsid w:val="00FE4BB1"/>
    <w:rsid w:val="00FE6F55"/>
    <w:rsid w:val="00FE7A0C"/>
    <w:rsid w:val="00FF0C46"/>
    <w:rsid w:val="00FF2044"/>
    <w:rsid w:val="00FF3DA5"/>
    <w:rsid w:val="00FF61CB"/>
    <w:rsid w:val="00FF73BA"/>
    <w:rsid w:val="00FF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B64A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qFormat/>
    <w:rsid w:val="007714CB"/>
    <w:pPr>
      <w:keepNext/>
      <w:keepLines/>
      <w:spacing w:before="200" w:line="276" w:lineRule="auto"/>
      <w:outlineLvl w:val="1"/>
    </w:pPr>
    <w:rPr>
      <w:rFonts w:ascii="Cambria" w:eastAsia="SimSun" w:hAnsi="Cambria" w:cs="Times New Roman"/>
      <w:b/>
      <w:bCs/>
      <w:color w:val="DDDDDD"/>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47C12"/>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rsid w:val="00947C12"/>
    <w:rPr>
      <w:rFonts w:ascii="Times New Roman" w:eastAsia="Times New Roman" w:hAnsi="Times New Roman" w:cs="Times New Roman"/>
      <w:noProof/>
      <w:sz w:val="20"/>
      <w:szCs w:val="20"/>
    </w:rPr>
  </w:style>
  <w:style w:type="character" w:styleId="FootnoteReference">
    <w:name w:val="footnote reference"/>
    <w:rsid w:val="00947C12"/>
    <w:rPr>
      <w:vertAlign w:val="superscript"/>
    </w:rPr>
  </w:style>
  <w:style w:type="paragraph" w:styleId="BodyTextIndent">
    <w:name w:val="Body Text Indent"/>
    <w:basedOn w:val="Normal"/>
    <w:link w:val="BodyTextIndentChar"/>
    <w:semiHidden/>
    <w:rsid w:val="00947C12"/>
    <w:pPr>
      <w:spacing w:line="360" w:lineRule="auto"/>
      <w:ind w:firstLine="720"/>
      <w:jc w:val="both"/>
    </w:pPr>
    <w:rPr>
      <w:rFonts w:ascii="Times New Roman" w:eastAsia="Times New Roman" w:hAnsi="Times New Roman" w:cs="Times New Roman"/>
      <w:noProof/>
    </w:rPr>
  </w:style>
  <w:style w:type="character" w:customStyle="1" w:styleId="BodyTextIndentChar">
    <w:name w:val="Body Text Indent Char"/>
    <w:basedOn w:val="DefaultParagraphFont"/>
    <w:link w:val="BodyTextIndent"/>
    <w:semiHidden/>
    <w:rsid w:val="00947C12"/>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E84E32"/>
    <w:pPr>
      <w:tabs>
        <w:tab w:val="center" w:pos="4320"/>
        <w:tab w:val="right" w:pos="8640"/>
      </w:tabs>
    </w:pPr>
  </w:style>
  <w:style w:type="character" w:customStyle="1" w:styleId="FooterChar">
    <w:name w:val="Footer Char"/>
    <w:basedOn w:val="DefaultParagraphFont"/>
    <w:link w:val="Footer"/>
    <w:uiPriority w:val="99"/>
    <w:rsid w:val="00E84E32"/>
    <w:rPr>
      <w:lang w:val="en-GB"/>
    </w:rPr>
  </w:style>
  <w:style w:type="character" w:styleId="PageNumber">
    <w:name w:val="page number"/>
    <w:basedOn w:val="DefaultParagraphFont"/>
    <w:uiPriority w:val="99"/>
    <w:semiHidden/>
    <w:unhideWhenUsed/>
    <w:rsid w:val="00E84E32"/>
  </w:style>
  <w:style w:type="paragraph" w:styleId="Header">
    <w:name w:val="header"/>
    <w:basedOn w:val="Normal"/>
    <w:link w:val="HeaderChar"/>
    <w:uiPriority w:val="99"/>
    <w:unhideWhenUsed/>
    <w:rsid w:val="00E84E32"/>
    <w:pPr>
      <w:tabs>
        <w:tab w:val="center" w:pos="4320"/>
        <w:tab w:val="right" w:pos="8640"/>
      </w:tabs>
    </w:pPr>
  </w:style>
  <w:style w:type="character" w:customStyle="1" w:styleId="HeaderChar">
    <w:name w:val="Header Char"/>
    <w:basedOn w:val="DefaultParagraphFont"/>
    <w:link w:val="Header"/>
    <w:uiPriority w:val="99"/>
    <w:rsid w:val="00E84E32"/>
    <w:rPr>
      <w:lang w:val="en-GB"/>
    </w:rPr>
  </w:style>
  <w:style w:type="character" w:customStyle="1" w:styleId="Heading2Char">
    <w:name w:val="Heading 2 Char"/>
    <w:basedOn w:val="DefaultParagraphFont"/>
    <w:link w:val="Heading2"/>
    <w:rsid w:val="007714CB"/>
    <w:rPr>
      <w:rFonts w:ascii="Cambria" w:eastAsia="SimSun" w:hAnsi="Cambria" w:cs="Times New Roman"/>
      <w:b/>
      <w:bCs/>
      <w:color w:val="DDDDDD"/>
      <w:sz w:val="26"/>
      <w:szCs w:val="26"/>
      <w:lang w:eastAsia="zh-CN"/>
    </w:rPr>
  </w:style>
  <w:style w:type="character" w:styleId="Strong">
    <w:name w:val="Strong"/>
    <w:qFormat/>
    <w:rsid w:val="007714CB"/>
    <w:rPr>
      <w:b/>
      <w:bCs/>
    </w:rPr>
  </w:style>
  <w:style w:type="character" w:styleId="Emphasis">
    <w:name w:val="Emphasis"/>
    <w:qFormat/>
    <w:rsid w:val="007714CB"/>
    <w:rPr>
      <w:i/>
      <w:iCs/>
    </w:rPr>
  </w:style>
  <w:style w:type="character" w:customStyle="1" w:styleId="textsmallitalic1">
    <w:name w:val="text_smallitalic1"/>
    <w:rsid w:val="007714CB"/>
    <w:rPr>
      <w:rFonts w:ascii="Verdana" w:hAnsi="Verdana" w:hint="default"/>
      <w:i/>
      <w:iCs/>
      <w:sz w:val="16"/>
      <w:szCs w:val="16"/>
    </w:rPr>
  </w:style>
  <w:style w:type="character" w:styleId="Hyperlink">
    <w:name w:val="Hyperlink"/>
    <w:rsid w:val="007714CB"/>
    <w:rPr>
      <w:color w:val="0000FF"/>
      <w:u w:val="single"/>
    </w:rPr>
  </w:style>
  <w:style w:type="paragraph" w:styleId="ListParagraph">
    <w:name w:val="List Paragraph"/>
    <w:basedOn w:val="Normal"/>
    <w:uiPriority w:val="34"/>
    <w:qFormat/>
    <w:rsid w:val="00135DEE"/>
    <w:pPr>
      <w:ind w:left="720"/>
      <w:contextualSpacing/>
    </w:pPr>
  </w:style>
  <w:style w:type="paragraph" w:styleId="DocumentMap">
    <w:name w:val="Document Map"/>
    <w:basedOn w:val="Normal"/>
    <w:link w:val="DocumentMapChar"/>
    <w:uiPriority w:val="99"/>
    <w:semiHidden/>
    <w:unhideWhenUsed/>
    <w:rsid w:val="00D10D23"/>
    <w:rPr>
      <w:rFonts w:ascii="Lucida Grande" w:hAnsi="Lucida Grande" w:cs="Lucida Grande"/>
    </w:rPr>
  </w:style>
  <w:style w:type="character" w:customStyle="1" w:styleId="DocumentMapChar">
    <w:name w:val="Document Map Char"/>
    <w:basedOn w:val="DefaultParagraphFont"/>
    <w:link w:val="DocumentMap"/>
    <w:uiPriority w:val="99"/>
    <w:semiHidden/>
    <w:rsid w:val="00D10D23"/>
    <w:rPr>
      <w:rFonts w:ascii="Lucida Grande" w:hAnsi="Lucida Grande" w:cs="Lucida Grande"/>
      <w:lang w:val="en-GB"/>
    </w:rPr>
  </w:style>
  <w:style w:type="paragraph" w:styleId="BalloonText">
    <w:name w:val="Balloon Text"/>
    <w:basedOn w:val="Normal"/>
    <w:link w:val="BalloonTextChar"/>
    <w:uiPriority w:val="99"/>
    <w:semiHidden/>
    <w:unhideWhenUsed/>
    <w:rsid w:val="002A4D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D70"/>
    <w:rPr>
      <w:rFonts w:ascii="Lucida Grande" w:hAnsi="Lucida Grande" w:cs="Lucida Grande"/>
      <w:sz w:val="18"/>
      <w:szCs w:val="18"/>
      <w:lang w:val="en-GB"/>
    </w:rPr>
  </w:style>
  <w:style w:type="paragraph" w:styleId="NormalWeb">
    <w:name w:val="Normal (Web)"/>
    <w:basedOn w:val="Normal"/>
    <w:uiPriority w:val="99"/>
    <w:unhideWhenUsed/>
    <w:rsid w:val="007506E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qFormat/>
    <w:rsid w:val="007714CB"/>
    <w:pPr>
      <w:keepNext/>
      <w:keepLines/>
      <w:spacing w:before="200" w:line="276" w:lineRule="auto"/>
      <w:outlineLvl w:val="1"/>
    </w:pPr>
    <w:rPr>
      <w:rFonts w:ascii="Cambria" w:eastAsia="SimSun" w:hAnsi="Cambria" w:cs="Times New Roman"/>
      <w:b/>
      <w:bCs/>
      <w:color w:val="DDDDDD"/>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47C12"/>
    <w:rPr>
      <w:rFonts w:ascii="Times New Roman" w:eastAsia="Times New Roman" w:hAnsi="Times New Roman" w:cs="Times New Roman"/>
      <w:noProof/>
      <w:sz w:val="20"/>
      <w:szCs w:val="20"/>
      <w:lang w:val="en-US"/>
    </w:rPr>
  </w:style>
  <w:style w:type="character" w:customStyle="1" w:styleId="FootnoteTextChar">
    <w:name w:val="Footnote Text Char"/>
    <w:basedOn w:val="DefaultParagraphFont"/>
    <w:link w:val="FootnoteText"/>
    <w:rsid w:val="00947C12"/>
    <w:rPr>
      <w:rFonts w:ascii="Times New Roman" w:eastAsia="Times New Roman" w:hAnsi="Times New Roman" w:cs="Times New Roman"/>
      <w:noProof/>
      <w:sz w:val="20"/>
      <w:szCs w:val="20"/>
    </w:rPr>
  </w:style>
  <w:style w:type="character" w:styleId="FootnoteReference">
    <w:name w:val="footnote reference"/>
    <w:rsid w:val="00947C12"/>
    <w:rPr>
      <w:vertAlign w:val="superscript"/>
    </w:rPr>
  </w:style>
  <w:style w:type="paragraph" w:styleId="BodyTextIndent">
    <w:name w:val="Body Text Indent"/>
    <w:basedOn w:val="Normal"/>
    <w:link w:val="BodyTextIndentChar"/>
    <w:semiHidden/>
    <w:rsid w:val="00947C12"/>
    <w:pPr>
      <w:spacing w:line="360" w:lineRule="auto"/>
      <w:ind w:firstLine="720"/>
      <w:jc w:val="both"/>
    </w:pPr>
    <w:rPr>
      <w:rFonts w:ascii="Times New Roman" w:eastAsia="Times New Roman" w:hAnsi="Times New Roman" w:cs="Times New Roman"/>
      <w:noProof/>
    </w:rPr>
  </w:style>
  <w:style w:type="character" w:customStyle="1" w:styleId="BodyTextIndentChar">
    <w:name w:val="Body Text Indent Char"/>
    <w:basedOn w:val="DefaultParagraphFont"/>
    <w:link w:val="BodyTextIndent"/>
    <w:semiHidden/>
    <w:rsid w:val="00947C12"/>
    <w:rPr>
      <w:rFonts w:ascii="Times New Roman" w:eastAsia="Times New Roman" w:hAnsi="Times New Roman" w:cs="Times New Roman"/>
      <w:noProof/>
      <w:lang w:val="en-GB"/>
    </w:rPr>
  </w:style>
  <w:style w:type="paragraph" w:styleId="Footer">
    <w:name w:val="footer"/>
    <w:basedOn w:val="Normal"/>
    <w:link w:val="FooterChar"/>
    <w:uiPriority w:val="99"/>
    <w:unhideWhenUsed/>
    <w:rsid w:val="00E84E32"/>
    <w:pPr>
      <w:tabs>
        <w:tab w:val="center" w:pos="4320"/>
        <w:tab w:val="right" w:pos="8640"/>
      </w:tabs>
    </w:pPr>
  </w:style>
  <w:style w:type="character" w:customStyle="1" w:styleId="FooterChar">
    <w:name w:val="Footer Char"/>
    <w:basedOn w:val="DefaultParagraphFont"/>
    <w:link w:val="Footer"/>
    <w:uiPriority w:val="99"/>
    <w:rsid w:val="00E84E32"/>
    <w:rPr>
      <w:lang w:val="en-GB"/>
    </w:rPr>
  </w:style>
  <w:style w:type="character" w:styleId="PageNumber">
    <w:name w:val="page number"/>
    <w:basedOn w:val="DefaultParagraphFont"/>
    <w:uiPriority w:val="99"/>
    <w:semiHidden/>
    <w:unhideWhenUsed/>
    <w:rsid w:val="00E84E32"/>
  </w:style>
  <w:style w:type="paragraph" w:styleId="Header">
    <w:name w:val="header"/>
    <w:basedOn w:val="Normal"/>
    <w:link w:val="HeaderChar"/>
    <w:uiPriority w:val="99"/>
    <w:unhideWhenUsed/>
    <w:rsid w:val="00E84E32"/>
    <w:pPr>
      <w:tabs>
        <w:tab w:val="center" w:pos="4320"/>
        <w:tab w:val="right" w:pos="8640"/>
      </w:tabs>
    </w:pPr>
  </w:style>
  <w:style w:type="character" w:customStyle="1" w:styleId="HeaderChar">
    <w:name w:val="Header Char"/>
    <w:basedOn w:val="DefaultParagraphFont"/>
    <w:link w:val="Header"/>
    <w:uiPriority w:val="99"/>
    <w:rsid w:val="00E84E32"/>
    <w:rPr>
      <w:lang w:val="en-GB"/>
    </w:rPr>
  </w:style>
  <w:style w:type="character" w:customStyle="1" w:styleId="Heading2Char">
    <w:name w:val="Heading 2 Char"/>
    <w:basedOn w:val="DefaultParagraphFont"/>
    <w:link w:val="Heading2"/>
    <w:rsid w:val="007714CB"/>
    <w:rPr>
      <w:rFonts w:ascii="Cambria" w:eastAsia="SimSun" w:hAnsi="Cambria" w:cs="Times New Roman"/>
      <w:b/>
      <w:bCs/>
      <w:color w:val="DDDDDD"/>
      <w:sz w:val="26"/>
      <w:szCs w:val="26"/>
      <w:lang w:eastAsia="zh-CN"/>
    </w:rPr>
  </w:style>
  <w:style w:type="character" w:styleId="Strong">
    <w:name w:val="Strong"/>
    <w:qFormat/>
    <w:rsid w:val="007714CB"/>
    <w:rPr>
      <w:b/>
      <w:bCs/>
    </w:rPr>
  </w:style>
  <w:style w:type="character" w:styleId="Emphasis">
    <w:name w:val="Emphasis"/>
    <w:qFormat/>
    <w:rsid w:val="007714CB"/>
    <w:rPr>
      <w:i/>
      <w:iCs/>
    </w:rPr>
  </w:style>
  <w:style w:type="character" w:customStyle="1" w:styleId="textsmallitalic1">
    <w:name w:val="text_smallitalic1"/>
    <w:rsid w:val="007714CB"/>
    <w:rPr>
      <w:rFonts w:ascii="Verdana" w:hAnsi="Verdana" w:hint="default"/>
      <w:i/>
      <w:iCs/>
      <w:sz w:val="16"/>
      <w:szCs w:val="16"/>
    </w:rPr>
  </w:style>
  <w:style w:type="character" w:styleId="Hyperlink">
    <w:name w:val="Hyperlink"/>
    <w:rsid w:val="007714CB"/>
    <w:rPr>
      <w:color w:val="0000FF"/>
      <w:u w:val="single"/>
    </w:rPr>
  </w:style>
  <w:style w:type="paragraph" w:styleId="ListParagraph">
    <w:name w:val="List Paragraph"/>
    <w:basedOn w:val="Normal"/>
    <w:uiPriority w:val="34"/>
    <w:qFormat/>
    <w:rsid w:val="00135DEE"/>
    <w:pPr>
      <w:ind w:left="720"/>
      <w:contextualSpacing/>
    </w:pPr>
  </w:style>
  <w:style w:type="paragraph" w:styleId="DocumentMap">
    <w:name w:val="Document Map"/>
    <w:basedOn w:val="Normal"/>
    <w:link w:val="DocumentMapChar"/>
    <w:uiPriority w:val="99"/>
    <w:semiHidden/>
    <w:unhideWhenUsed/>
    <w:rsid w:val="00D10D23"/>
    <w:rPr>
      <w:rFonts w:ascii="Lucida Grande" w:hAnsi="Lucida Grande" w:cs="Lucida Grande"/>
    </w:rPr>
  </w:style>
  <w:style w:type="character" w:customStyle="1" w:styleId="DocumentMapChar">
    <w:name w:val="Document Map Char"/>
    <w:basedOn w:val="DefaultParagraphFont"/>
    <w:link w:val="DocumentMap"/>
    <w:uiPriority w:val="99"/>
    <w:semiHidden/>
    <w:rsid w:val="00D10D23"/>
    <w:rPr>
      <w:rFonts w:ascii="Lucida Grande" w:hAnsi="Lucida Grande" w:cs="Lucida Grande"/>
      <w:lang w:val="en-GB"/>
    </w:rPr>
  </w:style>
  <w:style w:type="paragraph" w:styleId="BalloonText">
    <w:name w:val="Balloon Text"/>
    <w:basedOn w:val="Normal"/>
    <w:link w:val="BalloonTextChar"/>
    <w:uiPriority w:val="99"/>
    <w:semiHidden/>
    <w:unhideWhenUsed/>
    <w:rsid w:val="002A4D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4D70"/>
    <w:rPr>
      <w:rFonts w:ascii="Lucida Grande" w:hAnsi="Lucida Grande" w:cs="Lucida Grande"/>
      <w:sz w:val="18"/>
      <w:szCs w:val="18"/>
      <w:lang w:val="en-GB"/>
    </w:rPr>
  </w:style>
  <w:style w:type="paragraph" w:styleId="NormalWeb">
    <w:name w:val="Normal (Web)"/>
    <w:basedOn w:val="Normal"/>
    <w:uiPriority w:val="99"/>
    <w:unhideWhenUsed/>
    <w:rsid w:val="007506E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8595">
      <w:bodyDiv w:val="1"/>
      <w:marLeft w:val="0"/>
      <w:marRight w:val="0"/>
      <w:marTop w:val="0"/>
      <w:marBottom w:val="0"/>
      <w:divBdr>
        <w:top w:val="none" w:sz="0" w:space="0" w:color="auto"/>
        <w:left w:val="none" w:sz="0" w:space="0" w:color="auto"/>
        <w:bottom w:val="none" w:sz="0" w:space="0" w:color="auto"/>
        <w:right w:val="none" w:sz="0" w:space="0" w:color="auto"/>
      </w:divBdr>
      <w:divsChild>
        <w:div w:id="376781739">
          <w:marLeft w:val="0"/>
          <w:marRight w:val="0"/>
          <w:marTop w:val="0"/>
          <w:marBottom w:val="0"/>
          <w:divBdr>
            <w:top w:val="none" w:sz="0" w:space="0" w:color="auto"/>
            <w:left w:val="none" w:sz="0" w:space="0" w:color="auto"/>
            <w:bottom w:val="none" w:sz="0" w:space="0" w:color="auto"/>
            <w:right w:val="none" w:sz="0" w:space="0" w:color="auto"/>
          </w:divBdr>
        </w:div>
      </w:divsChild>
    </w:div>
    <w:div w:id="1212885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cob.eriksson@york.ac.uk" TargetMode="Externa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mfa.gov.il/mfa/aboutisrael/history/pages/the%20annapolis%20conference%2027-nov-2007.aspx" TargetMode="External"/><Relationship Id="rId4" Type="http://schemas.openxmlformats.org/officeDocument/2006/relationships/hyperlink" Target="http://www.cfr.org/israel/abbas-olmert-talks-first-mideast-diplomacy/p16148" TargetMode="External"/><Relationship Id="rId5" Type="http://schemas.openxmlformats.org/officeDocument/2006/relationships/hyperlink" Target="http://transparency.aljazeera.net/en/projects/thepalestinepapers/2012182039631861.html" TargetMode="External"/><Relationship Id="rId1" Type="http://schemas.openxmlformats.org/officeDocument/2006/relationships/hyperlink" Target="http://forward.com/articles/1165/hitkansut/" TargetMode="External"/><Relationship Id="rId2" Type="http://schemas.openxmlformats.org/officeDocument/2006/relationships/hyperlink" Target="http://www.un.org/News/dh/mideast/roadmap12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38</Pages>
  <Words>9142</Words>
  <Characters>52111</Characters>
  <Application>Microsoft Macintosh Word</Application>
  <DocSecurity>0</DocSecurity>
  <Lines>434</Lines>
  <Paragraphs>122</Paragraphs>
  <ScaleCrop>false</ScaleCrop>
  <Company/>
  <LinksUpToDate>false</LinksUpToDate>
  <CharactersWithSpaces>61131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Eriksson</dc:creator>
  <cp:keywords/>
  <dc:description/>
  <cp:lastModifiedBy>Jacob Eriksson</cp:lastModifiedBy>
  <cp:revision>48</cp:revision>
  <cp:lastPrinted>2018-04-06T12:45:00Z</cp:lastPrinted>
  <dcterms:created xsi:type="dcterms:W3CDTF">2018-12-02T20:31:00Z</dcterms:created>
  <dcterms:modified xsi:type="dcterms:W3CDTF">2018-12-03T19:52:00Z</dcterms:modified>
</cp:coreProperties>
</file>