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CC51" w14:textId="77777777" w:rsidR="00FA34EA" w:rsidRPr="00FA34EA" w:rsidRDefault="00FA34EA" w:rsidP="00FA34EA">
      <w:pPr>
        <w:spacing w:after="200" w:line="276" w:lineRule="auto"/>
        <w:rPr>
          <w:rFonts w:asciiTheme="minorHAnsi" w:eastAsiaTheme="minorHAnsi" w:hAnsiTheme="minorHAnsi" w:cstheme="minorBidi"/>
          <w:sz w:val="22"/>
          <w:szCs w:val="22"/>
          <w:lang w:val="fi-FI" w:eastAsia="en-US"/>
        </w:rPr>
      </w:pPr>
      <w:bookmarkStart w:id="0" w:name="_GoBack"/>
      <w:bookmarkEnd w:id="0"/>
    </w:p>
    <w:p w14:paraId="6D2B2D45" w14:textId="77777777" w:rsidR="00FA34EA" w:rsidRPr="00FA34EA" w:rsidRDefault="00FA34EA" w:rsidP="00FA34EA">
      <w:pPr>
        <w:spacing w:after="200" w:line="276" w:lineRule="auto"/>
        <w:rPr>
          <w:rFonts w:asciiTheme="minorHAnsi" w:eastAsiaTheme="minorHAnsi" w:hAnsiTheme="minorHAnsi" w:cstheme="minorBidi"/>
          <w:sz w:val="22"/>
          <w:szCs w:val="22"/>
          <w:lang w:val="fi-FI" w:eastAsia="en-US"/>
        </w:rPr>
      </w:pPr>
    </w:p>
    <w:p w14:paraId="2C7494D9" w14:textId="77777777" w:rsidR="00FA34EA" w:rsidRPr="00FA34EA" w:rsidRDefault="00FA34EA" w:rsidP="00FA34EA">
      <w:pPr>
        <w:spacing w:after="200" w:line="276" w:lineRule="auto"/>
        <w:jc w:val="center"/>
        <w:rPr>
          <w:rFonts w:eastAsiaTheme="minorHAnsi"/>
          <w:b/>
          <w:lang w:val="en-US" w:eastAsia="en-US"/>
        </w:rPr>
      </w:pPr>
      <w:r w:rsidRPr="00FA34EA">
        <w:rPr>
          <w:rFonts w:eastAsiaTheme="minorHAnsi"/>
          <w:b/>
          <w:lang w:val="en-US" w:eastAsia="en-US"/>
        </w:rPr>
        <w:t>Child poverty, child maintenance and interactions with social assistance benefits among lone parent families: a comparative analysis</w:t>
      </w:r>
    </w:p>
    <w:p w14:paraId="0F7F0826" w14:textId="77777777" w:rsidR="00FA34EA" w:rsidRPr="00FA34EA" w:rsidRDefault="00FA34EA" w:rsidP="00FA34EA">
      <w:pPr>
        <w:spacing w:after="200" w:line="276" w:lineRule="auto"/>
        <w:jc w:val="center"/>
        <w:rPr>
          <w:rFonts w:eastAsiaTheme="minorHAnsi"/>
          <w:b/>
          <w:lang w:val="en-US" w:eastAsia="en-US"/>
        </w:rPr>
      </w:pPr>
    </w:p>
    <w:p w14:paraId="17685FF1" w14:textId="77777777" w:rsidR="00FA34EA" w:rsidRPr="00FA34EA" w:rsidRDefault="00FA34EA" w:rsidP="00FA34EA">
      <w:pPr>
        <w:spacing w:after="200" w:line="276" w:lineRule="auto"/>
        <w:jc w:val="center"/>
        <w:rPr>
          <w:rFonts w:eastAsiaTheme="minorHAnsi"/>
          <w:b/>
          <w:lang w:val="en-US" w:eastAsia="en-US"/>
        </w:rPr>
      </w:pPr>
    </w:p>
    <w:p w14:paraId="1A3554A1" w14:textId="77777777" w:rsidR="00FA34EA" w:rsidRPr="00FA34EA" w:rsidRDefault="00FA34EA" w:rsidP="00FA34EA">
      <w:pPr>
        <w:spacing w:after="200" w:line="276" w:lineRule="auto"/>
        <w:jc w:val="center"/>
        <w:rPr>
          <w:rFonts w:eastAsiaTheme="minorHAnsi"/>
          <w:b/>
          <w:lang w:val="en-US" w:eastAsia="en-US"/>
        </w:rPr>
      </w:pPr>
    </w:p>
    <w:p w14:paraId="0AFC612F" w14:textId="77777777" w:rsidR="00FA34EA" w:rsidRPr="00FA34EA" w:rsidRDefault="00FA34EA" w:rsidP="00FA34EA">
      <w:pPr>
        <w:spacing w:after="200" w:line="276" w:lineRule="auto"/>
        <w:jc w:val="center"/>
        <w:rPr>
          <w:rFonts w:eastAsiaTheme="minorHAnsi"/>
          <w:lang w:val="fi-FI" w:eastAsia="en-US"/>
        </w:rPr>
      </w:pPr>
      <w:r w:rsidRPr="00FA34EA">
        <w:rPr>
          <w:rFonts w:eastAsiaTheme="minorHAnsi"/>
          <w:lang w:val="fi-FI" w:eastAsia="en-US"/>
        </w:rPr>
        <w:t>Mia Hakovirta* Christine Skinner** Heikki Hiilamo*** Merita Jokela****</w:t>
      </w:r>
    </w:p>
    <w:p w14:paraId="0F290080" w14:textId="77777777" w:rsidR="00FA34EA" w:rsidRPr="00FA34EA" w:rsidRDefault="00FA34EA" w:rsidP="00FA34EA">
      <w:pPr>
        <w:spacing w:after="200" w:line="276" w:lineRule="auto"/>
        <w:jc w:val="center"/>
        <w:rPr>
          <w:rFonts w:eastAsiaTheme="minorHAnsi"/>
          <w:lang w:val="fi-FI" w:eastAsia="en-US"/>
        </w:rPr>
      </w:pPr>
    </w:p>
    <w:p w14:paraId="3304D95C" w14:textId="77777777" w:rsidR="00FA34EA" w:rsidRPr="00FA34EA" w:rsidRDefault="00FA34EA" w:rsidP="00FA34EA">
      <w:pPr>
        <w:spacing w:after="200" w:line="276" w:lineRule="auto"/>
        <w:jc w:val="center"/>
        <w:rPr>
          <w:rFonts w:eastAsiaTheme="minorHAnsi"/>
          <w:lang w:val="en-US" w:eastAsia="en-US"/>
        </w:rPr>
      </w:pPr>
      <w:r w:rsidRPr="00FA34EA">
        <w:rPr>
          <w:rFonts w:eastAsiaTheme="minorHAnsi"/>
          <w:lang w:val="en-US" w:eastAsia="en-US"/>
        </w:rPr>
        <w:t>* University of Turku, Department of Social Research, Finland</w:t>
      </w:r>
    </w:p>
    <w:p w14:paraId="5C13745D" w14:textId="77777777" w:rsidR="00FA34EA" w:rsidRPr="00FA34EA" w:rsidRDefault="00FA34EA" w:rsidP="00FA34EA">
      <w:pPr>
        <w:spacing w:after="200" w:line="276" w:lineRule="auto"/>
        <w:jc w:val="center"/>
        <w:rPr>
          <w:rFonts w:eastAsiaTheme="minorHAnsi"/>
          <w:lang w:val="en-US" w:eastAsia="en-US"/>
        </w:rPr>
      </w:pPr>
      <w:r w:rsidRPr="00FA34EA">
        <w:rPr>
          <w:rFonts w:eastAsiaTheme="minorHAnsi"/>
          <w:lang w:val="en-US" w:eastAsia="en-US"/>
        </w:rPr>
        <w:t>**University of York, Department of Social Policy and Social Work, UK</w:t>
      </w:r>
    </w:p>
    <w:p w14:paraId="7163FABC" w14:textId="77777777" w:rsidR="00FA34EA" w:rsidRPr="00FA34EA" w:rsidRDefault="00FA34EA" w:rsidP="00FA34EA">
      <w:pPr>
        <w:spacing w:after="200" w:line="276" w:lineRule="auto"/>
        <w:jc w:val="center"/>
        <w:rPr>
          <w:rFonts w:eastAsiaTheme="minorHAnsi"/>
          <w:lang w:val="en-US" w:eastAsia="en-US"/>
        </w:rPr>
      </w:pPr>
      <w:r w:rsidRPr="00FA34EA">
        <w:rPr>
          <w:rFonts w:eastAsiaTheme="minorHAnsi"/>
          <w:lang w:val="en-US" w:eastAsia="en-US"/>
        </w:rPr>
        <w:t>*** University of Helsinki, Department of Social Research, Finland</w:t>
      </w:r>
    </w:p>
    <w:p w14:paraId="2396EE2B" w14:textId="77777777" w:rsidR="00FA34EA" w:rsidRPr="00FA34EA" w:rsidRDefault="00FA34EA" w:rsidP="00FA34EA">
      <w:pPr>
        <w:spacing w:after="200" w:line="276" w:lineRule="auto"/>
        <w:jc w:val="center"/>
        <w:rPr>
          <w:rFonts w:eastAsiaTheme="minorHAnsi"/>
          <w:lang w:val="en-US" w:eastAsia="en-US"/>
        </w:rPr>
      </w:pPr>
      <w:r w:rsidRPr="00FA34EA">
        <w:rPr>
          <w:rFonts w:eastAsiaTheme="minorHAnsi"/>
          <w:lang w:val="en-US" w:eastAsia="en-US"/>
        </w:rPr>
        <w:t>**** National Institute of Health and Welfare, Finland</w:t>
      </w:r>
    </w:p>
    <w:p w14:paraId="703BA270" w14:textId="77777777" w:rsidR="00FA34EA" w:rsidRPr="00FA34EA" w:rsidRDefault="00FA34EA" w:rsidP="00FA34EA">
      <w:pPr>
        <w:spacing w:after="200" w:line="276" w:lineRule="auto"/>
        <w:jc w:val="center"/>
        <w:rPr>
          <w:rFonts w:eastAsiaTheme="minorHAnsi"/>
          <w:lang w:val="en-US" w:eastAsia="en-US"/>
        </w:rPr>
      </w:pPr>
    </w:p>
    <w:p w14:paraId="3AD39315" w14:textId="77777777" w:rsidR="00FA34EA" w:rsidRPr="00FA34EA" w:rsidRDefault="00FA34EA" w:rsidP="00FA34EA">
      <w:pPr>
        <w:spacing w:after="200" w:line="276" w:lineRule="auto"/>
        <w:jc w:val="center"/>
        <w:rPr>
          <w:rFonts w:eastAsiaTheme="minorHAnsi"/>
          <w:lang w:val="en-US" w:eastAsia="en-US"/>
        </w:rPr>
      </w:pPr>
    </w:p>
    <w:p w14:paraId="61BE51C9" w14:textId="77777777" w:rsidR="00FA34EA" w:rsidRPr="00FA34EA" w:rsidRDefault="00FA34EA" w:rsidP="00FA34EA">
      <w:pPr>
        <w:spacing w:after="200" w:line="276" w:lineRule="auto"/>
        <w:jc w:val="center"/>
        <w:rPr>
          <w:rFonts w:eastAsiaTheme="minorHAnsi"/>
          <w:lang w:val="en-US" w:eastAsia="en-US"/>
        </w:rPr>
      </w:pPr>
    </w:p>
    <w:p w14:paraId="5D547EF5" w14:textId="77777777" w:rsidR="00FA34EA" w:rsidRPr="00FA34EA" w:rsidRDefault="00FA34EA" w:rsidP="00FA34EA">
      <w:pPr>
        <w:spacing w:after="200" w:line="276" w:lineRule="auto"/>
        <w:jc w:val="center"/>
        <w:rPr>
          <w:rFonts w:eastAsiaTheme="minorHAnsi"/>
          <w:lang w:val="en-US" w:eastAsia="en-US"/>
        </w:rPr>
      </w:pPr>
      <w:r w:rsidRPr="00FA34EA">
        <w:rPr>
          <w:rFonts w:eastAsiaTheme="minorHAnsi"/>
          <w:lang w:val="en-US" w:eastAsia="en-US"/>
        </w:rPr>
        <w:t>*corresponding author Dr. Mia Hakovirta, miahak@utu.fi</w:t>
      </w:r>
    </w:p>
    <w:p w14:paraId="6802FA59" w14:textId="77777777" w:rsidR="00FA34EA" w:rsidRDefault="00FA34EA">
      <w:pPr>
        <w:spacing w:after="200" w:line="276" w:lineRule="auto"/>
        <w:rPr>
          <w:b/>
          <w:sz w:val="28"/>
          <w:szCs w:val="28"/>
          <w:lang w:val="en-US"/>
        </w:rPr>
      </w:pPr>
      <w:r>
        <w:rPr>
          <w:b/>
          <w:sz w:val="28"/>
          <w:szCs w:val="28"/>
          <w:lang w:val="en-US"/>
        </w:rPr>
        <w:br w:type="page"/>
      </w:r>
    </w:p>
    <w:p w14:paraId="7C785570" w14:textId="701B7276" w:rsidR="00C24C93" w:rsidRPr="00547A9D" w:rsidRDefault="007B5085" w:rsidP="006C5917">
      <w:pPr>
        <w:jc w:val="center"/>
        <w:rPr>
          <w:b/>
          <w:sz w:val="28"/>
          <w:szCs w:val="28"/>
          <w:lang w:val="en-US"/>
        </w:rPr>
      </w:pPr>
      <w:r w:rsidRPr="00547A9D">
        <w:rPr>
          <w:b/>
          <w:sz w:val="28"/>
          <w:szCs w:val="28"/>
          <w:lang w:val="en-US"/>
        </w:rPr>
        <w:lastRenderedPageBreak/>
        <w:t>Child poverty, child maintenance and</w:t>
      </w:r>
      <w:r w:rsidR="004D7721" w:rsidRPr="00547A9D">
        <w:rPr>
          <w:b/>
          <w:sz w:val="28"/>
          <w:szCs w:val="28"/>
          <w:lang w:val="en-US"/>
        </w:rPr>
        <w:t xml:space="preserve"> </w:t>
      </w:r>
      <w:r w:rsidR="00CF1CE9" w:rsidRPr="00547A9D">
        <w:rPr>
          <w:b/>
          <w:sz w:val="28"/>
          <w:szCs w:val="28"/>
          <w:lang w:val="en-US"/>
        </w:rPr>
        <w:t>interaction</w:t>
      </w:r>
      <w:r w:rsidR="008F3D0C" w:rsidRPr="00547A9D">
        <w:rPr>
          <w:b/>
          <w:sz w:val="28"/>
          <w:szCs w:val="28"/>
          <w:lang w:val="en-US"/>
        </w:rPr>
        <w:t>s</w:t>
      </w:r>
      <w:r w:rsidR="00CF1CE9" w:rsidRPr="00547A9D">
        <w:rPr>
          <w:b/>
          <w:sz w:val="28"/>
          <w:szCs w:val="28"/>
          <w:lang w:val="en-US"/>
        </w:rPr>
        <w:t xml:space="preserve"> with social assistance benefits among lone parent</w:t>
      </w:r>
      <w:r w:rsidR="00BA16EC" w:rsidRPr="00547A9D">
        <w:rPr>
          <w:b/>
          <w:sz w:val="28"/>
          <w:szCs w:val="28"/>
          <w:lang w:val="en-US"/>
        </w:rPr>
        <w:t xml:space="preserve"> familie</w:t>
      </w:r>
      <w:r w:rsidR="00CF1CE9" w:rsidRPr="00547A9D">
        <w:rPr>
          <w:b/>
          <w:sz w:val="28"/>
          <w:szCs w:val="28"/>
          <w:lang w:val="en-US"/>
        </w:rPr>
        <w:t>s</w:t>
      </w:r>
      <w:r w:rsidRPr="00547A9D">
        <w:rPr>
          <w:b/>
          <w:sz w:val="28"/>
          <w:szCs w:val="28"/>
          <w:lang w:val="en-US"/>
        </w:rPr>
        <w:t xml:space="preserve">: a comparative analysis </w:t>
      </w:r>
    </w:p>
    <w:p w14:paraId="2F72B5A8" w14:textId="77777777" w:rsidR="006C5917" w:rsidRPr="00547A9D" w:rsidRDefault="006C5917" w:rsidP="006C5917">
      <w:pPr>
        <w:jc w:val="center"/>
        <w:rPr>
          <w:sz w:val="28"/>
          <w:szCs w:val="28"/>
          <w:lang w:val="en-US"/>
        </w:rPr>
      </w:pPr>
    </w:p>
    <w:p w14:paraId="42F5B565" w14:textId="77777777" w:rsidR="006C5917" w:rsidRPr="00547A9D" w:rsidRDefault="006C5917" w:rsidP="006C5917">
      <w:pPr>
        <w:jc w:val="center"/>
        <w:rPr>
          <w:lang w:val="en-US"/>
        </w:rPr>
      </w:pPr>
    </w:p>
    <w:p w14:paraId="2A42E511" w14:textId="77777777" w:rsidR="00635FFC" w:rsidRDefault="00635FFC" w:rsidP="008F7CA0">
      <w:pPr>
        <w:rPr>
          <w:lang w:val="en-US"/>
        </w:rPr>
      </w:pPr>
    </w:p>
    <w:p w14:paraId="4AF84204" w14:textId="77777777" w:rsidR="00595785" w:rsidRDefault="00595785" w:rsidP="008F7CA0">
      <w:pPr>
        <w:rPr>
          <w:lang w:val="en-US"/>
        </w:rPr>
      </w:pPr>
    </w:p>
    <w:p w14:paraId="0E705779" w14:textId="77777777" w:rsidR="00595785" w:rsidRPr="00D87462" w:rsidRDefault="00595785" w:rsidP="00595785">
      <w:pPr>
        <w:rPr>
          <w:b/>
          <w:lang w:val="en-US"/>
        </w:rPr>
      </w:pPr>
      <w:r w:rsidRPr="00D87462">
        <w:rPr>
          <w:b/>
          <w:lang w:val="en-US"/>
        </w:rPr>
        <w:t>Abstract</w:t>
      </w:r>
    </w:p>
    <w:p w14:paraId="4A919E9D" w14:textId="0D66526A" w:rsidR="00595785" w:rsidRPr="00595785" w:rsidRDefault="00595785" w:rsidP="00595785">
      <w:pPr>
        <w:rPr>
          <w:lang w:val="en-US"/>
        </w:rPr>
      </w:pPr>
      <w:r>
        <w:rPr>
          <w:lang w:val="en-US"/>
        </w:rPr>
        <w:t xml:space="preserve">In many developed </w:t>
      </w:r>
      <w:r w:rsidRPr="00595785">
        <w:rPr>
          <w:lang w:val="en-US"/>
        </w:rPr>
        <w:t xml:space="preserve">countries lone parent families </w:t>
      </w:r>
      <w:r w:rsidR="00D1661E">
        <w:rPr>
          <w:lang w:val="en-US"/>
        </w:rPr>
        <w:t>face high rates of child poverty</w:t>
      </w:r>
      <w:r>
        <w:rPr>
          <w:lang w:val="en-US"/>
        </w:rPr>
        <w:t xml:space="preserve">. </w:t>
      </w:r>
      <w:r w:rsidR="00A97296">
        <w:rPr>
          <w:lang w:val="en-US"/>
        </w:rPr>
        <w:t>A</w:t>
      </w:r>
      <w:r w:rsidRPr="00595785">
        <w:rPr>
          <w:lang w:val="en-US"/>
        </w:rPr>
        <w:t xml:space="preserve">mong those </w:t>
      </w:r>
      <w:r w:rsidR="00A97296">
        <w:rPr>
          <w:lang w:val="en-US"/>
        </w:rPr>
        <w:t xml:space="preserve">lone </w:t>
      </w:r>
      <w:r w:rsidRPr="00595785">
        <w:rPr>
          <w:lang w:val="en-US"/>
        </w:rPr>
        <w:t>parents who do get c</w:t>
      </w:r>
      <w:r w:rsidR="00BC795C">
        <w:rPr>
          <w:lang w:val="en-US"/>
        </w:rPr>
        <w:t>hild maintenance there is a</w:t>
      </w:r>
      <w:r w:rsidRPr="00595785">
        <w:rPr>
          <w:lang w:val="en-US"/>
        </w:rPr>
        <w:t xml:space="preserve"> hidden problem. States may retain all, or a proportion, of the maintenance that is paid in order to offset other fiscal costs. Thus, the potential of child maintenance to alleviate poverty among lone parent families may not be fully realized, especially if the families are also in receipt of social assistance benefits</w:t>
      </w:r>
      <w:r>
        <w:rPr>
          <w:lang w:val="en-US"/>
        </w:rPr>
        <w:t xml:space="preserve">. </w:t>
      </w:r>
      <w:r w:rsidR="00EC5931" w:rsidRPr="00EC5931">
        <w:rPr>
          <w:lang w:val="en-US"/>
        </w:rPr>
        <w:t>This paper provides a</w:t>
      </w:r>
      <w:r w:rsidR="00600531">
        <w:rPr>
          <w:lang w:val="en-US"/>
        </w:rPr>
        <w:t xml:space="preserve">n original </w:t>
      </w:r>
      <w:r w:rsidR="00EC5931" w:rsidRPr="00EC5931">
        <w:rPr>
          <w:lang w:val="en-US"/>
        </w:rPr>
        <w:t xml:space="preserve">comparative analysis exploring the effectiveness of child maintenance to reduce child poverty among lone parent families in receipt of social assistance. It addresses the question of whether effectiveness is compromised once interaction effects (such as the operation of a child </w:t>
      </w:r>
      <w:r w:rsidR="00600531">
        <w:rPr>
          <w:lang w:val="en-US"/>
        </w:rPr>
        <w:t xml:space="preserve">maintenance </w:t>
      </w:r>
      <w:r w:rsidR="00EC5931" w:rsidRPr="00EC5931">
        <w:rPr>
          <w:lang w:val="en-US"/>
        </w:rPr>
        <w:t>disregard) are taken i</w:t>
      </w:r>
      <w:r w:rsidR="00EC5931">
        <w:rPr>
          <w:lang w:val="en-US"/>
        </w:rPr>
        <w:t xml:space="preserve">nto account in four countries </w:t>
      </w:r>
      <w:r>
        <w:rPr>
          <w:lang w:val="en-US"/>
        </w:rPr>
        <w:t xml:space="preserve">Australia, Finland, Germany and </w:t>
      </w:r>
      <w:r w:rsidRPr="00595785">
        <w:rPr>
          <w:lang w:val="en-US"/>
        </w:rPr>
        <w:t>the U</w:t>
      </w:r>
      <w:r>
        <w:rPr>
          <w:lang w:val="en-US"/>
        </w:rPr>
        <w:t>K</w:t>
      </w:r>
      <w:r w:rsidR="00BC795C">
        <w:rPr>
          <w:lang w:val="en-US"/>
        </w:rPr>
        <w:t xml:space="preserve"> using the LIS dataset </w:t>
      </w:r>
      <w:r w:rsidR="00096DAA">
        <w:rPr>
          <w:lang w:val="en-US"/>
        </w:rPr>
        <w:t>(</w:t>
      </w:r>
      <w:r w:rsidR="00BC795C">
        <w:rPr>
          <w:lang w:val="en-US"/>
        </w:rPr>
        <w:t>2013</w:t>
      </w:r>
      <w:r w:rsidR="00096DAA">
        <w:rPr>
          <w:lang w:val="en-US"/>
        </w:rPr>
        <w:t>)</w:t>
      </w:r>
      <w:r w:rsidR="00BC795C">
        <w:rPr>
          <w:lang w:val="en-US"/>
        </w:rPr>
        <w:t>.</w:t>
      </w:r>
      <w:r>
        <w:rPr>
          <w:lang w:val="en-US"/>
        </w:rPr>
        <w:t xml:space="preserve"> </w:t>
      </w:r>
      <w:r w:rsidR="00096DAA">
        <w:rPr>
          <w:lang w:val="en-US"/>
        </w:rPr>
        <w:t xml:space="preserve">It raises important </w:t>
      </w:r>
      <w:r w:rsidR="00600531">
        <w:rPr>
          <w:lang w:val="en-US"/>
        </w:rPr>
        <w:t>policy considerations and provides evidence to show that</w:t>
      </w:r>
      <w:r w:rsidR="00096DAA">
        <w:rPr>
          <w:lang w:val="en-US"/>
        </w:rPr>
        <w:t xml:space="preserve"> if policy makers are serious about reducing child poverty, they must understand how hidden mechanisms </w:t>
      </w:r>
      <w:r w:rsidR="009A6A3C">
        <w:rPr>
          <w:lang w:val="en-US"/>
        </w:rPr>
        <w:t xml:space="preserve">within interactions between </w:t>
      </w:r>
      <w:r w:rsidR="00096DAA">
        <w:rPr>
          <w:lang w:val="en-US"/>
        </w:rPr>
        <w:t xml:space="preserve">child maintenance and social security systems </w:t>
      </w:r>
      <w:r w:rsidR="009A6A3C">
        <w:rPr>
          <w:lang w:val="en-US"/>
        </w:rPr>
        <w:t xml:space="preserve">can work </w:t>
      </w:r>
      <w:r w:rsidR="00096DAA">
        <w:rPr>
          <w:lang w:val="en-US"/>
        </w:rPr>
        <w:t xml:space="preserve">as effective cost recovery tools for the state, but have no poverty reduction impact. </w:t>
      </w:r>
    </w:p>
    <w:p w14:paraId="310981D3" w14:textId="77777777" w:rsidR="00595785" w:rsidRDefault="00595785" w:rsidP="008F7CA0">
      <w:pPr>
        <w:rPr>
          <w:lang w:val="en-US"/>
        </w:rPr>
      </w:pPr>
    </w:p>
    <w:p w14:paraId="510A1E19" w14:textId="77777777" w:rsidR="007F4D97" w:rsidRDefault="007F4D97" w:rsidP="008F7CA0">
      <w:pPr>
        <w:rPr>
          <w:lang w:val="en-US"/>
        </w:rPr>
      </w:pPr>
    </w:p>
    <w:p w14:paraId="74A8647C" w14:textId="77777777" w:rsidR="00A97296" w:rsidRPr="00547A9D" w:rsidRDefault="00A97296" w:rsidP="008F7CA0">
      <w:pPr>
        <w:rPr>
          <w:lang w:val="en-US"/>
        </w:rPr>
      </w:pPr>
    </w:p>
    <w:p w14:paraId="1F62860A" w14:textId="77777777" w:rsidR="006C5917" w:rsidRPr="0096170F" w:rsidRDefault="006C5917" w:rsidP="006C5917">
      <w:pPr>
        <w:rPr>
          <w:b/>
          <w:lang w:val="en-US"/>
        </w:rPr>
      </w:pPr>
      <w:r w:rsidRPr="0096170F">
        <w:rPr>
          <w:b/>
          <w:lang w:val="en-US"/>
        </w:rPr>
        <w:t>Introduction</w:t>
      </w:r>
    </w:p>
    <w:p w14:paraId="21BCEB14" w14:textId="77777777" w:rsidR="00F977BF" w:rsidRPr="0096170F" w:rsidRDefault="00F977BF" w:rsidP="006C5917">
      <w:pPr>
        <w:spacing w:line="360" w:lineRule="auto"/>
        <w:rPr>
          <w:lang w:val="en-US"/>
        </w:rPr>
      </w:pPr>
    </w:p>
    <w:p w14:paraId="30D84FFF" w14:textId="48154DAD" w:rsidR="00EB4F58" w:rsidRPr="00547A9D" w:rsidRDefault="00F977BF" w:rsidP="003C211A">
      <w:pPr>
        <w:spacing w:line="360" w:lineRule="auto"/>
        <w:rPr>
          <w:lang w:val="en-US"/>
        </w:rPr>
      </w:pPr>
      <w:r w:rsidRPr="00547A9D">
        <w:rPr>
          <w:lang w:val="en-US"/>
        </w:rPr>
        <w:t xml:space="preserve">In </w:t>
      </w:r>
      <w:r w:rsidR="00A97296">
        <w:rPr>
          <w:lang w:val="en-US"/>
        </w:rPr>
        <w:t xml:space="preserve">many </w:t>
      </w:r>
      <w:r w:rsidR="00410FD1">
        <w:rPr>
          <w:lang w:val="en-US"/>
        </w:rPr>
        <w:t>developed</w:t>
      </w:r>
      <w:r w:rsidR="00AC6CBD" w:rsidRPr="00547A9D">
        <w:rPr>
          <w:lang w:val="en-US"/>
        </w:rPr>
        <w:t xml:space="preserve"> </w:t>
      </w:r>
      <w:r w:rsidRPr="00547A9D">
        <w:rPr>
          <w:lang w:val="en-US"/>
        </w:rPr>
        <w:t xml:space="preserve">countries </w:t>
      </w:r>
      <w:r w:rsidR="00E81A56" w:rsidRPr="00547A9D">
        <w:rPr>
          <w:lang w:val="en-US"/>
        </w:rPr>
        <w:t xml:space="preserve">lone </w:t>
      </w:r>
      <w:r w:rsidRPr="00547A9D">
        <w:rPr>
          <w:lang w:val="en-US"/>
        </w:rPr>
        <w:t xml:space="preserve">parent families </w:t>
      </w:r>
      <w:r w:rsidR="00D1661E">
        <w:rPr>
          <w:lang w:val="en-US"/>
        </w:rPr>
        <w:t>face high rates of child poverty</w:t>
      </w:r>
      <w:r w:rsidR="00143D79">
        <w:rPr>
          <w:lang w:val="en-US"/>
        </w:rPr>
        <w:t xml:space="preserve"> </w:t>
      </w:r>
      <w:r w:rsidR="00BC3EB7">
        <w:fldChar w:fldCharType="begin" w:fldLock="1"/>
      </w:r>
      <w:r w:rsidR="00BC3EB7" w:rsidRPr="00547A9D">
        <w:rPr>
          <w:lang w:val="en-US"/>
        </w:rPr>
        <w:instrText>ADDIN CSL_CITATION { "citationItems" : [ { "id" : "ITEM-1", "itemData" : { "ISBN" : "9789264098732", "author" : [ { "dropping-particle" : "", "family" : "OECD", "given" : "", "non-dropping-particle" : "", "parse-names" : false, "suffix" : "" } ], "container-title" : "Www.Oecd.Org", "id" : "ITEM-1", "issued" : { "date-parts" : [ [ "2011" ] ] }, "title" : "Doing Better for Families", "type" : "book" }, "uris" : [ "http://www.mendeley.com/documents/?uuid=a4a70a7b-0b0c-485a-b1a0-7ad6c4e13998" ] }, { "id" : "ITEM-2", "itemData" : { "DOI" : "10.1016/j.childyouth.2011.10.016", "ISSN" : "01907409", "abstract" : "This paper draws on the Luxembourg Income Study (LIS) microdata to paint a portrait of child poverty across a diverse group of countries, as of 2004\u20132006. We will first synthesize past LIS-based research on child poverty, focusing on studies that aim to explain cross-national variation in child poverty rates. Our empirical sections will focus on child poverty in 20 high- and middle-income countries \u2014 including three Latin American countries, newly added to LIS. We will assess poverty among all households and among those with children, and using multiple poverty measures (relative and absolute, pre- and post-taxes and transfers). We will assess the effects of crucial micro-level factors \u2013 family structure, educational attainment, and labor market attachment \u2013 considering how the effects of these factors vary across counties. Finally, we will analyze the extent to which cross-national variation in child poverty is explained by families' characteristics and/or by the effects of (or returns to) those characteristics. Those returns encompass both market and state-generated income.", "author" : [ { "dropping-particle" : "", "family" : "Gornick", "given" : "Janet C.", "non-dropping-particle" : "", "parse-names" : false, "suffix" : "" }, { "dropping-particle" : "", "family" : "J\u00e4ntti", "given" : "Markus", "non-dropping-particle" : "", "parse-names" : false, "suffix" : "" } ], "container-title" : "Children and Youth Services Review", "id" : "ITEM-2", "issue" : "3", "issued" : { "date-parts" : [ [ "2012" ] ] }, "page" : "558-568", "title" : "Child poverty in cross-national perspective: Lessons from the Luxembourg Income Study", "type" : "article-journal", "volume" : "34" }, "uris" : [ "http://www.mendeley.com/documents/?uuid=178c6bf5-1c8d-3d19-9b7a-8b84f5d36fbe" ] } ], "mendeley" : { "formattedCitation" : "(Gornick &amp; J\u00e4ntti, 2012; OECD, 2011)", "plainTextFormattedCitation" : "(Gornick &amp; J\u00e4ntti, 2012; OECD, 2011)", "previouslyFormattedCitation" : "(Gornick &amp; J\u00e4ntti, 2012; OECD, 2011)" }, "properties" : { "noteIndex" : 0 }, "schema" : "https://github.com/citation-style-language/schema/raw/master/csl-citation.json" }</w:instrText>
      </w:r>
      <w:r w:rsidR="00BC3EB7">
        <w:fldChar w:fldCharType="separate"/>
      </w:r>
      <w:r w:rsidR="00BC3EB7" w:rsidRPr="00547A9D">
        <w:rPr>
          <w:noProof/>
          <w:lang w:val="en-US"/>
        </w:rPr>
        <w:t>(</w:t>
      </w:r>
      <w:r w:rsidR="00D46760">
        <w:rPr>
          <w:noProof/>
          <w:lang w:val="en-US"/>
        </w:rPr>
        <w:t xml:space="preserve">Barcena-Martin et al., 2018; </w:t>
      </w:r>
      <w:r w:rsidR="00D87462" w:rsidRPr="00D87462">
        <w:rPr>
          <w:noProof/>
          <w:lang w:val="en-US"/>
        </w:rPr>
        <w:t>Bradshaw et al.</w:t>
      </w:r>
      <w:r w:rsidR="00D46760">
        <w:rPr>
          <w:noProof/>
          <w:lang w:val="en-US"/>
        </w:rPr>
        <w:t>,</w:t>
      </w:r>
      <w:r w:rsidR="00D87462" w:rsidRPr="00D87462">
        <w:rPr>
          <w:noProof/>
          <w:lang w:val="en-US"/>
        </w:rPr>
        <w:t xml:space="preserve"> 2018</w:t>
      </w:r>
      <w:r w:rsidR="00D87462">
        <w:rPr>
          <w:noProof/>
          <w:lang w:val="en-US"/>
        </w:rPr>
        <w:t xml:space="preserve">; </w:t>
      </w:r>
      <w:r w:rsidR="00BC3EB7" w:rsidRPr="00547A9D">
        <w:rPr>
          <w:noProof/>
          <w:lang w:val="en-US"/>
        </w:rPr>
        <w:t xml:space="preserve">Gornick </w:t>
      </w:r>
      <w:r w:rsidR="0096405E">
        <w:rPr>
          <w:noProof/>
          <w:lang w:val="en-US"/>
        </w:rPr>
        <w:t xml:space="preserve">and </w:t>
      </w:r>
      <w:r w:rsidR="00BC3EB7" w:rsidRPr="00547A9D">
        <w:rPr>
          <w:noProof/>
          <w:lang w:val="en-US"/>
        </w:rPr>
        <w:t>Jäntti, 2012; OECD, 2011)</w:t>
      </w:r>
      <w:r w:rsidR="00BC3EB7">
        <w:fldChar w:fldCharType="end"/>
      </w:r>
      <w:r w:rsidR="001D10CD">
        <w:rPr>
          <w:lang w:val="en-US"/>
        </w:rPr>
        <w:t xml:space="preserve">. Social assistance benefits are vital for their economic survival and are important in fulfilling policy aims that intend to tackle poverty. In the pursuit of poverty reduction, </w:t>
      </w:r>
      <w:r w:rsidR="00D1661E">
        <w:rPr>
          <w:lang w:val="en-US"/>
        </w:rPr>
        <w:t xml:space="preserve">many countries </w:t>
      </w:r>
      <w:r w:rsidR="001D10CD">
        <w:rPr>
          <w:lang w:val="en-US"/>
        </w:rPr>
        <w:t xml:space="preserve">also </w:t>
      </w:r>
      <w:r w:rsidR="005843BA">
        <w:rPr>
          <w:lang w:val="en-US"/>
        </w:rPr>
        <w:t xml:space="preserve">use </w:t>
      </w:r>
      <w:r w:rsidRPr="00547A9D">
        <w:rPr>
          <w:lang w:val="en-US"/>
        </w:rPr>
        <w:t xml:space="preserve">child maintenance policies </w:t>
      </w:r>
      <w:r w:rsidR="001D10CD">
        <w:rPr>
          <w:lang w:val="en-US"/>
        </w:rPr>
        <w:t xml:space="preserve">to </w:t>
      </w:r>
      <w:r w:rsidR="00E95C23">
        <w:rPr>
          <w:lang w:val="en-US"/>
        </w:rPr>
        <w:t xml:space="preserve">enforce </w:t>
      </w:r>
      <w:r w:rsidR="00410FD1">
        <w:rPr>
          <w:lang w:val="en-US"/>
        </w:rPr>
        <w:t xml:space="preserve">the </w:t>
      </w:r>
      <w:r w:rsidR="002F013A">
        <w:rPr>
          <w:lang w:val="en-US"/>
        </w:rPr>
        <w:t>financial responsibilit</w:t>
      </w:r>
      <w:r w:rsidR="00410FD1">
        <w:rPr>
          <w:lang w:val="en-US"/>
        </w:rPr>
        <w:t xml:space="preserve">ies </w:t>
      </w:r>
      <w:r w:rsidR="002F013A">
        <w:rPr>
          <w:lang w:val="en-US"/>
        </w:rPr>
        <w:t xml:space="preserve">of </w:t>
      </w:r>
      <w:r w:rsidR="00483A4A">
        <w:rPr>
          <w:lang w:val="en-US"/>
        </w:rPr>
        <w:t xml:space="preserve">separated parents </w:t>
      </w:r>
      <w:r w:rsidR="00410FD1">
        <w:rPr>
          <w:lang w:val="en-US"/>
        </w:rPr>
        <w:t xml:space="preserve"> to pay </w:t>
      </w:r>
      <w:r w:rsidR="00410FD1">
        <w:rPr>
          <w:lang w:val="en-US"/>
        </w:rPr>
        <w:lastRenderedPageBreak/>
        <w:t>maintenance</w:t>
      </w:r>
      <w:r w:rsidR="002F013A">
        <w:rPr>
          <w:lang w:val="en-US"/>
        </w:rPr>
        <w:t xml:space="preserve"> </w:t>
      </w:r>
      <w:r w:rsidR="00143D79">
        <w:rPr>
          <w:lang w:val="en-US"/>
        </w:rPr>
        <w:t xml:space="preserve">for their children </w:t>
      </w:r>
      <w:r w:rsidR="0096170F">
        <w:fldChar w:fldCharType="begin" w:fldLock="1"/>
      </w:r>
      <w:r w:rsidR="0096170F" w:rsidRPr="00547A9D">
        <w:rPr>
          <w:lang w:val="en-US"/>
        </w:rPr>
        <w:instrText>ADDIN CSL_CITATION { "citationItems" : [ { "id" : "ITEM-1", "itemData" : { "DOI" : "10.1093/lawfam/ebn017", "ISBN" : "1360-9939", "ISSN" : "13609939", "abstract" : "Changes in family formations in western industrialized countries since the 1960s have not been reflected in cross-national research in the area of child maintenance. This article outlines child support regimes in 14 countries, considering the locus of formal decision making, the determination of child maintenance obligations - highlighted by way of national informant responses to two fictitious vignette scenarios - and the enforcement and penalty provisions used in the event of non-compliance. The article concludes that while some broad trends can be identified across countries, there is diversity in how countries respond to family change.", "author" : [ { "dropping-particle" : "", "family" : "Skinner", "given" : "Christine", "non-dropping-particle" : "", "parse-names" : false, "suffix" : "" }, { "dropping-particle" : "", "family" : "Davidson", "given" : "Jacqueline", "non-dropping-particle" : "", "parse-names" : false, "suffix" : "" } ], "container-title" : "International Journal of Law, Policy and the Family", "id" : "ITEM-1", "issue" : "1", "issued" : { "date-parts" : [ [ "2008" ] ] }, "page" : "25-52", "title" : "Recent trends in child maintenance schemes in 14 countries", "type" : "article-journal", "volume" : "23" }, "uris" : [ "http://www.mendeley.com/documents/?uuid=b4953efa-aa8f-4737-8a72-066e37685dec" ] } ], "mendeley" : { "formattedCitation" : "(Skinner &amp; Davidson, 2008)", "plainTextFormattedCitation" : "(Skinner &amp; Davidson, 2008)", "previouslyFormattedCitation" : "(Skinner &amp; Davidson, 2008)" }, "properties" : { "noteIndex" : 0 }, "schema" : "https://github.com/citation-style-language/schema/raw/master/csl-citation.json" }</w:instrText>
      </w:r>
      <w:r w:rsidR="0096170F">
        <w:fldChar w:fldCharType="separate"/>
      </w:r>
      <w:r w:rsidR="0096170F" w:rsidRPr="00547A9D">
        <w:rPr>
          <w:noProof/>
          <w:lang w:val="en-US"/>
        </w:rPr>
        <w:t xml:space="preserve">(Skinner </w:t>
      </w:r>
      <w:r w:rsidR="0096405E">
        <w:rPr>
          <w:noProof/>
          <w:lang w:val="en-US"/>
        </w:rPr>
        <w:t>and</w:t>
      </w:r>
      <w:r w:rsidR="0096170F" w:rsidRPr="00547A9D">
        <w:rPr>
          <w:noProof/>
          <w:lang w:val="en-US"/>
        </w:rPr>
        <w:t xml:space="preserve"> Davidson, 20</w:t>
      </w:r>
      <w:r w:rsidR="00CC7BBC">
        <w:rPr>
          <w:noProof/>
          <w:lang w:val="en-US"/>
        </w:rPr>
        <w:t>09</w:t>
      </w:r>
      <w:r w:rsidR="0096170F">
        <w:rPr>
          <w:noProof/>
          <w:lang w:val="en-US"/>
        </w:rPr>
        <w:t xml:space="preserve">; </w:t>
      </w:r>
      <w:r w:rsidR="0096170F">
        <w:fldChar w:fldCharType="end"/>
      </w:r>
      <w:r w:rsidR="00EC333A" w:rsidRPr="00547A9D">
        <w:rPr>
          <w:lang w:val="en-US"/>
        </w:rPr>
        <w:t>Skinner et al.</w:t>
      </w:r>
      <w:r w:rsidR="007E59D1">
        <w:rPr>
          <w:lang w:val="en-US"/>
        </w:rPr>
        <w:t>,</w:t>
      </w:r>
      <w:r w:rsidR="0096405E">
        <w:rPr>
          <w:lang w:val="en-US"/>
        </w:rPr>
        <w:t xml:space="preserve"> </w:t>
      </w:r>
      <w:r w:rsidR="00EC333A" w:rsidRPr="00547A9D">
        <w:rPr>
          <w:lang w:val="en-US"/>
        </w:rPr>
        <w:t>2012)</w:t>
      </w:r>
      <w:r w:rsidR="00410FD1">
        <w:rPr>
          <w:lang w:val="en-US"/>
        </w:rPr>
        <w:t>.</w:t>
      </w:r>
      <w:r w:rsidR="001D10CD">
        <w:rPr>
          <w:lang w:val="en-US"/>
        </w:rPr>
        <w:t xml:space="preserve"> Private </w:t>
      </w:r>
      <w:r w:rsidR="005843BA">
        <w:rPr>
          <w:lang w:val="en-US"/>
        </w:rPr>
        <w:t xml:space="preserve">child maintenance and public social security policies </w:t>
      </w:r>
      <w:r w:rsidR="001D10CD">
        <w:rPr>
          <w:lang w:val="en-US"/>
        </w:rPr>
        <w:t xml:space="preserve">therefore, </w:t>
      </w:r>
      <w:r w:rsidR="005843BA">
        <w:rPr>
          <w:lang w:val="en-US"/>
        </w:rPr>
        <w:t>should work in tandem to reduce poverty</w:t>
      </w:r>
      <w:r w:rsidR="001D10CD">
        <w:rPr>
          <w:lang w:val="en-US"/>
        </w:rPr>
        <w:t>, especially</w:t>
      </w:r>
      <w:r w:rsidR="005843BA">
        <w:rPr>
          <w:lang w:val="en-US"/>
        </w:rPr>
        <w:t xml:space="preserve"> </w:t>
      </w:r>
      <w:r w:rsidR="001D10CD">
        <w:rPr>
          <w:lang w:val="en-US"/>
        </w:rPr>
        <w:t xml:space="preserve">in </w:t>
      </w:r>
      <w:r w:rsidR="005843BA">
        <w:rPr>
          <w:lang w:val="en-US"/>
        </w:rPr>
        <w:t>lone parent families</w:t>
      </w:r>
      <w:r w:rsidR="001D10CD">
        <w:rPr>
          <w:lang w:val="en-US"/>
        </w:rPr>
        <w:t xml:space="preserve"> reliant on social assistance. </w:t>
      </w:r>
      <w:r w:rsidR="00A847F5" w:rsidRPr="00547A9D">
        <w:rPr>
          <w:lang w:val="en-US"/>
        </w:rPr>
        <w:t>Yet,</w:t>
      </w:r>
      <w:r w:rsidR="00856553" w:rsidRPr="00547A9D">
        <w:rPr>
          <w:lang w:val="en-US"/>
        </w:rPr>
        <w:t xml:space="preserve"> research shows that </w:t>
      </w:r>
      <w:r w:rsidR="00410FD1">
        <w:rPr>
          <w:lang w:val="en-US"/>
        </w:rPr>
        <w:t>child maintenance make</w:t>
      </w:r>
      <w:r w:rsidR="003B5B7F">
        <w:rPr>
          <w:lang w:val="en-US"/>
        </w:rPr>
        <w:t>s</w:t>
      </w:r>
      <w:r w:rsidR="00410FD1">
        <w:rPr>
          <w:lang w:val="en-US"/>
        </w:rPr>
        <w:t xml:space="preserve"> only small </w:t>
      </w:r>
      <w:r w:rsidR="00856553" w:rsidRPr="00547A9D">
        <w:rPr>
          <w:lang w:val="en-US"/>
        </w:rPr>
        <w:t>reduction</w:t>
      </w:r>
      <w:r w:rsidR="00410FD1">
        <w:rPr>
          <w:lang w:val="en-US"/>
        </w:rPr>
        <w:t>s to poverty</w:t>
      </w:r>
      <w:r w:rsidR="00856553" w:rsidRPr="00547A9D">
        <w:rPr>
          <w:lang w:val="en-US"/>
        </w:rPr>
        <w:t xml:space="preserve"> </w:t>
      </w:r>
      <w:r w:rsidR="00A847F5" w:rsidRPr="00547A9D">
        <w:rPr>
          <w:lang w:val="en-US"/>
        </w:rPr>
        <w:t>among eligible lone parent populations</w:t>
      </w:r>
      <w:r w:rsidR="00410FD1">
        <w:rPr>
          <w:lang w:val="en-US"/>
        </w:rPr>
        <w:t>,</w:t>
      </w:r>
      <w:r w:rsidR="00A847F5" w:rsidRPr="00547A9D">
        <w:rPr>
          <w:lang w:val="en-US"/>
        </w:rPr>
        <w:t xml:space="preserve"> because </w:t>
      </w:r>
      <w:r w:rsidR="00EB4F58" w:rsidRPr="00547A9D">
        <w:rPr>
          <w:lang w:val="en-US"/>
        </w:rPr>
        <w:t xml:space="preserve">only </w:t>
      </w:r>
      <w:r w:rsidR="003D10F7" w:rsidRPr="00547A9D">
        <w:rPr>
          <w:lang w:val="en-US"/>
        </w:rPr>
        <w:t xml:space="preserve">a minority </w:t>
      </w:r>
      <w:r w:rsidR="003D10F7">
        <w:rPr>
          <w:lang w:val="en-US"/>
        </w:rPr>
        <w:t xml:space="preserve">ever </w:t>
      </w:r>
      <w:r w:rsidR="003D10F7" w:rsidRPr="00547A9D">
        <w:rPr>
          <w:lang w:val="en-US"/>
        </w:rPr>
        <w:t>receives</w:t>
      </w:r>
      <w:r w:rsidR="00A847F5" w:rsidRPr="00547A9D">
        <w:rPr>
          <w:lang w:val="en-US"/>
        </w:rPr>
        <w:t xml:space="preserve"> it</w:t>
      </w:r>
      <w:r w:rsidR="003606B5">
        <w:rPr>
          <w:lang w:val="en-US"/>
        </w:rPr>
        <w:t>. F</w:t>
      </w:r>
      <w:r w:rsidR="00856553" w:rsidRPr="00547A9D">
        <w:rPr>
          <w:lang w:val="en-US"/>
        </w:rPr>
        <w:t xml:space="preserve">or those </w:t>
      </w:r>
      <w:r w:rsidR="00E95C23">
        <w:rPr>
          <w:lang w:val="en-US"/>
        </w:rPr>
        <w:t xml:space="preserve">parents </w:t>
      </w:r>
      <w:r w:rsidR="00A847F5" w:rsidRPr="00547A9D">
        <w:rPr>
          <w:lang w:val="en-US"/>
        </w:rPr>
        <w:t xml:space="preserve">who do get </w:t>
      </w:r>
      <w:r w:rsidR="00856553" w:rsidRPr="00547A9D">
        <w:rPr>
          <w:lang w:val="en-US"/>
        </w:rPr>
        <w:t>child maintenance</w:t>
      </w:r>
      <w:r w:rsidR="00483A4A">
        <w:rPr>
          <w:lang w:val="en-US"/>
        </w:rPr>
        <w:t xml:space="preserve"> (usually mothers)</w:t>
      </w:r>
      <w:r w:rsidR="00F95F0E">
        <w:rPr>
          <w:lang w:val="en-US"/>
        </w:rPr>
        <w:t xml:space="preserve">, </w:t>
      </w:r>
      <w:r w:rsidR="001D10CD">
        <w:rPr>
          <w:lang w:val="en-US"/>
        </w:rPr>
        <w:t xml:space="preserve">it does help to reduce poverty </w:t>
      </w:r>
      <w:r w:rsidR="00402671">
        <w:rPr>
          <w:lang w:val="en-US"/>
        </w:rPr>
        <w:t xml:space="preserve">to </w:t>
      </w:r>
      <w:r w:rsidR="00143D79">
        <w:rPr>
          <w:lang w:val="en-US"/>
        </w:rPr>
        <w:t>some</w:t>
      </w:r>
      <w:r w:rsidR="00F305A1">
        <w:rPr>
          <w:lang w:val="en-US"/>
        </w:rPr>
        <w:t xml:space="preserve"> </w:t>
      </w:r>
      <w:r w:rsidR="00402671">
        <w:rPr>
          <w:lang w:val="en-US"/>
        </w:rPr>
        <w:t>extent</w:t>
      </w:r>
      <w:r w:rsidR="00E95C23">
        <w:rPr>
          <w:lang w:val="en-US"/>
        </w:rPr>
        <w:t xml:space="preserve"> </w:t>
      </w:r>
      <w:r w:rsidR="0096405E" w:rsidRPr="0096405E">
        <w:rPr>
          <w:lang w:val="en-US"/>
        </w:rPr>
        <w:t>(Cuesta and Meyer, 2014; Hakovir</w:t>
      </w:r>
      <w:r w:rsidR="0096405E">
        <w:rPr>
          <w:lang w:val="en-US"/>
        </w:rPr>
        <w:t>ta, 2011; Skinner and Main 2013;</w:t>
      </w:r>
      <w:r w:rsidR="0096405E" w:rsidRPr="0096405E">
        <w:rPr>
          <w:lang w:val="en-US"/>
        </w:rPr>
        <w:t xml:space="preserve"> Skinner</w:t>
      </w:r>
      <w:r w:rsidR="0096405E">
        <w:rPr>
          <w:lang w:val="en-US"/>
        </w:rPr>
        <w:t xml:space="preserve"> et al. 2017a)</w:t>
      </w:r>
      <w:r w:rsidR="00856553" w:rsidRPr="00547A9D">
        <w:rPr>
          <w:lang w:val="en-US"/>
        </w:rPr>
        <w:t xml:space="preserve">. </w:t>
      </w:r>
      <w:r w:rsidR="003B5B7F">
        <w:rPr>
          <w:lang w:val="en-US"/>
        </w:rPr>
        <w:t>Arguabl</w:t>
      </w:r>
      <w:r w:rsidR="001D10CD">
        <w:rPr>
          <w:lang w:val="en-US"/>
        </w:rPr>
        <w:t>y</w:t>
      </w:r>
      <w:r w:rsidR="003B5B7F">
        <w:rPr>
          <w:lang w:val="en-US"/>
        </w:rPr>
        <w:t>, i</w:t>
      </w:r>
      <w:r w:rsidR="005843BA">
        <w:rPr>
          <w:lang w:val="en-US"/>
        </w:rPr>
        <w:t xml:space="preserve">mproving </w:t>
      </w:r>
      <w:r w:rsidR="00C0021C">
        <w:rPr>
          <w:lang w:val="en-US"/>
        </w:rPr>
        <w:t xml:space="preserve"> payment</w:t>
      </w:r>
      <w:r w:rsidR="005843BA">
        <w:rPr>
          <w:lang w:val="en-US"/>
        </w:rPr>
        <w:t xml:space="preserve"> compliance </w:t>
      </w:r>
      <w:r w:rsidR="00C0021C">
        <w:rPr>
          <w:lang w:val="en-US"/>
        </w:rPr>
        <w:t xml:space="preserve">among </w:t>
      </w:r>
      <w:r w:rsidR="00483A4A">
        <w:rPr>
          <w:lang w:val="en-US"/>
        </w:rPr>
        <w:t>non-resident parent</w:t>
      </w:r>
      <w:r w:rsidR="00C0021C">
        <w:rPr>
          <w:lang w:val="en-US"/>
        </w:rPr>
        <w:t>s</w:t>
      </w:r>
      <w:r w:rsidR="00483A4A">
        <w:rPr>
          <w:lang w:val="en-US"/>
        </w:rPr>
        <w:t xml:space="preserve"> (usually fathers) </w:t>
      </w:r>
      <w:r w:rsidR="005843BA">
        <w:rPr>
          <w:lang w:val="en-US"/>
        </w:rPr>
        <w:t>would help maximize the poverty effectiveness of child maintenance</w:t>
      </w:r>
      <w:r w:rsidR="00143D79">
        <w:rPr>
          <w:lang w:val="en-US"/>
        </w:rPr>
        <w:t xml:space="preserve"> and many countries </w:t>
      </w:r>
      <w:r w:rsidR="00856B68">
        <w:rPr>
          <w:lang w:val="en-US"/>
        </w:rPr>
        <w:t xml:space="preserve">do </w:t>
      </w:r>
      <w:r w:rsidR="00143D79">
        <w:rPr>
          <w:lang w:val="en-US"/>
        </w:rPr>
        <w:t>have strong enforcement powers to make this happen (Skinner et al</w:t>
      </w:r>
      <w:r w:rsidR="007E59D1">
        <w:rPr>
          <w:lang w:val="en-US"/>
        </w:rPr>
        <w:t>.,</w:t>
      </w:r>
      <w:r w:rsidR="00143D79">
        <w:rPr>
          <w:lang w:val="en-US"/>
        </w:rPr>
        <w:t xml:space="preserve"> 2007).</w:t>
      </w:r>
    </w:p>
    <w:p w14:paraId="09CB43D2" w14:textId="77777777" w:rsidR="00EB4F58" w:rsidRPr="00547A9D" w:rsidRDefault="00EB4F58" w:rsidP="003C211A">
      <w:pPr>
        <w:spacing w:line="360" w:lineRule="auto"/>
        <w:rPr>
          <w:lang w:val="en-US"/>
        </w:rPr>
      </w:pPr>
    </w:p>
    <w:p w14:paraId="3EA3444D" w14:textId="2BF63A6E" w:rsidR="00792BF9" w:rsidRDefault="00856553" w:rsidP="003C211A">
      <w:pPr>
        <w:spacing w:line="360" w:lineRule="auto"/>
        <w:rPr>
          <w:lang w:val="en-US"/>
        </w:rPr>
      </w:pPr>
      <w:r w:rsidRPr="00547A9D">
        <w:rPr>
          <w:lang w:val="en-US"/>
        </w:rPr>
        <w:t>However,</w:t>
      </w:r>
      <w:r w:rsidR="003C211A" w:rsidRPr="00547A9D">
        <w:rPr>
          <w:lang w:val="en-US"/>
        </w:rPr>
        <w:t xml:space="preserve"> </w:t>
      </w:r>
      <w:r w:rsidR="00792BF9">
        <w:rPr>
          <w:lang w:val="en-US"/>
        </w:rPr>
        <w:t xml:space="preserve">there is </w:t>
      </w:r>
      <w:r w:rsidR="00F95F0E">
        <w:rPr>
          <w:lang w:val="en-US"/>
        </w:rPr>
        <w:t>a</w:t>
      </w:r>
      <w:r w:rsidR="005843BA">
        <w:rPr>
          <w:lang w:val="en-US"/>
        </w:rPr>
        <w:t>nother, mostly h</w:t>
      </w:r>
      <w:r w:rsidR="004320DF">
        <w:rPr>
          <w:lang w:val="en-US"/>
        </w:rPr>
        <w:t>idden problem</w:t>
      </w:r>
      <w:r w:rsidR="00F305A1">
        <w:rPr>
          <w:lang w:val="en-US"/>
        </w:rPr>
        <w:t xml:space="preserve"> relating </w:t>
      </w:r>
      <w:r w:rsidR="00E95C23">
        <w:rPr>
          <w:lang w:val="en-US"/>
        </w:rPr>
        <w:t xml:space="preserve">to </w:t>
      </w:r>
      <w:r w:rsidR="005843BA">
        <w:rPr>
          <w:lang w:val="en-US"/>
        </w:rPr>
        <w:t>the poverty effectiveness of maintenance</w:t>
      </w:r>
      <w:r w:rsidR="001D10CD">
        <w:rPr>
          <w:lang w:val="en-US"/>
        </w:rPr>
        <w:t>. That is w</w:t>
      </w:r>
      <w:r w:rsidR="005843BA">
        <w:rPr>
          <w:lang w:val="en-US"/>
        </w:rPr>
        <w:t xml:space="preserve">here </w:t>
      </w:r>
      <w:r w:rsidR="00F305A1">
        <w:rPr>
          <w:lang w:val="en-US"/>
        </w:rPr>
        <w:t xml:space="preserve">states </w:t>
      </w:r>
      <w:r w:rsidR="00792BF9">
        <w:rPr>
          <w:lang w:val="en-US"/>
        </w:rPr>
        <w:t xml:space="preserve">retain all, or a proportion, of </w:t>
      </w:r>
      <w:r w:rsidR="00F305A1">
        <w:rPr>
          <w:lang w:val="en-US"/>
        </w:rPr>
        <w:t xml:space="preserve">child </w:t>
      </w:r>
      <w:r w:rsidR="00792BF9">
        <w:rPr>
          <w:lang w:val="en-US"/>
        </w:rPr>
        <w:t xml:space="preserve">maintenance </w:t>
      </w:r>
      <w:r w:rsidR="00F95F0E">
        <w:rPr>
          <w:lang w:val="en-US"/>
        </w:rPr>
        <w:t xml:space="preserve">in order </w:t>
      </w:r>
      <w:r w:rsidR="00792BF9">
        <w:rPr>
          <w:lang w:val="en-US"/>
        </w:rPr>
        <w:t>to offset other fiscal costs</w:t>
      </w:r>
      <w:r w:rsidR="00272FD2">
        <w:rPr>
          <w:lang w:val="en-US"/>
        </w:rPr>
        <w:t xml:space="preserve">. Thereby, its potential to alleviate poverty </w:t>
      </w:r>
      <w:r w:rsidR="001D10CD">
        <w:rPr>
          <w:lang w:val="en-US"/>
        </w:rPr>
        <w:t xml:space="preserve">is not fully realized </w:t>
      </w:r>
      <w:r w:rsidR="00272FD2">
        <w:rPr>
          <w:lang w:val="en-US"/>
        </w:rPr>
        <w:t xml:space="preserve">as its </w:t>
      </w:r>
      <w:r w:rsidR="005843BA">
        <w:rPr>
          <w:lang w:val="en-US"/>
        </w:rPr>
        <w:t xml:space="preserve">value </w:t>
      </w:r>
      <w:r w:rsidR="00143D79">
        <w:rPr>
          <w:lang w:val="en-US"/>
        </w:rPr>
        <w:t xml:space="preserve">to the income packages of </w:t>
      </w:r>
      <w:r w:rsidR="00272FD2">
        <w:rPr>
          <w:lang w:val="en-US"/>
        </w:rPr>
        <w:t xml:space="preserve">lone parent families is reduced. </w:t>
      </w:r>
      <w:r w:rsidR="00F305A1">
        <w:rPr>
          <w:lang w:val="en-US"/>
        </w:rPr>
        <w:t xml:space="preserve">This is especially so </w:t>
      </w:r>
      <w:r w:rsidR="00143D79">
        <w:rPr>
          <w:lang w:val="en-US"/>
        </w:rPr>
        <w:t>where lone parents are reliant on</w:t>
      </w:r>
      <w:r w:rsidR="00F95F0E">
        <w:rPr>
          <w:lang w:val="en-US"/>
        </w:rPr>
        <w:t xml:space="preserve"> social assistance benefits</w:t>
      </w:r>
      <w:r w:rsidR="000C727E">
        <w:rPr>
          <w:lang w:val="en-US"/>
        </w:rPr>
        <w:t>,</w:t>
      </w:r>
      <w:r w:rsidR="007E3199">
        <w:rPr>
          <w:lang w:val="en-US"/>
        </w:rPr>
        <w:t xml:space="preserve"> as </w:t>
      </w:r>
      <w:r w:rsidR="00790EB8">
        <w:rPr>
          <w:lang w:val="en-US"/>
        </w:rPr>
        <w:t>s</w:t>
      </w:r>
      <w:r w:rsidR="00F95F0E">
        <w:rPr>
          <w:lang w:val="en-US"/>
        </w:rPr>
        <w:t xml:space="preserve">ome states may </w:t>
      </w:r>
      <w:r w:rsidR="00143D79">
        <w:rPr>
          <w:lang w:val="en-US"/>
        </w:rPr>
        <w:t>not pass</w:t>
      </w:r>
      <w:r w:rsidR="001D10CD">
        <w:rPr>
          <w:lang w:val="en-US"/>
        </w:rPr>
        <w:t xml:space="preserve"> through all </w:t>
      </w:r>
      <w:r w:rsidR="00143D79">
        <w:rPr>
          <w:lang w:val="en-US"/>
        </w:rPr>
        <w:t xml:space="preserve">the maintenance </w:t>
      </w:r>
      <w:r w:rsidR="00B76E6B">
        <w:rPr>
          <w:lang w:val="en-US"/>
        </w:rPr>
        <w:t xml:space="preserve">that is paid </w:t>
      </w:r>
      <w:r w:rsidR="00856B68">
        <w:rPr>
          <w:lang w:val="en-US"/>
        </w:rPr>
        <w:t xml:space="preserve">by the other parent </w:t>
      </w:r>
      <w:r w:rsidR="003A489E">
        <w:rPr>
          <w:lang w:val="en-US"/>
        </w:rPr>
        <w:t xml:space="preserve">to </w:t>
      </w:r>
      <w:r w:rsidR="00B76E6B">
        <w:rPr>
          <w:lang w:val="en-US"/>
        </w:rPr>
        <w:t>lone parent</w:t>
      </w:r>
      <w:r w:rsidR="00600531">
        <w:rPr>
          <w:lang w:val="en-US"/>
        </w:rPr>
        <w:t xml:space="preserve"> families</w:t>
      </w:r>
      <w:r w:rsidR="00B76E6B">
        <w:rPr>
          <w:lang w:val="en-US"/>
        </w:rPr>
        <w:t xml:space="preserve"> </w:t>
      </w:r>
      <w:r w:rsidR="00F305A1">
        <w:rPr>
          <w:lang w:val="en-US"/>
        </w:rPr>
        <w:t>(Skinner et al</w:t>
      </w:r>
      <w:r w:rsidR="007E59D1">
        <w:rPr>
          <w:lang w:val="en-US"/>
        </w:rPr>
        <w:t>.,</w:t>
      </w:r>
      <w:r w:rsidR="00F305A1">
        <w:rPr>
          <w:lang w:val="en-US"/>
        </w:rPr>
        <w:t xml:space="preserve"> 2017b)</w:t>
      </w:r>
      <w:r w:rsidR="00F305A1" w:rsidRPr="00547A9D">
        <w:rPr>
          <w:lang w:val="en-US"/>
        </w:rPr>
        <w:t>.</w:t>
      </w:r>
      <w:r w:rsidR="00F95F0E">
        <w:rPr>
          <w:lang w:val="en-US"/>
        </w:rPr>
        <w:t xml:space="preserve"> A situation that is regarded as unsatisfactory by the OECD who state: </w:t>
      </w:r>
    </w:p>
    <w:p w14:paraId="02961B05" w14:textId="77777777" w:rsidR="00F95F0E" w:rsidRDefault="00F95F0E" w:rsidP="00F95F0E">
      <w:pPr>
        <w:spacing w:line="360" w:lineRule="auto"/>
        <w:rPr>
          <w:i/>
          <w:lang w:val="en-US"/>
        </w:rPr>
      </w:pPr>
    </w:p>
    <w:p w14:paraId="166D850E" w14:textId="4ED97759" w:rsidR="00F95F0E" w:rsidRPr="00547A9D" w:rsidRDefault="00F95F0E" w:rsidP="00F95F0E">
      <w:pPr>
        <w:spacing w:line="360" w:lineRule="auto"/>
        <w:ind w:left="720"/>
        <w:jc w:val="both"/>
        <w:rPr>
          <w:i/>
          <w:lang w:val="en-US"/>
        </w:rPr>
      </w:pPr>
      <w:r w:rsidRPr="00547A9D">
        <w:rPr>
          <w:i/>
          <w:lang w:val="en-US"/>
        </w:rPr>
        <w:t>In the absence of a system of advance maintenance payme</w:t>
      </w:r>
      <w:r>
        <w:rPr>
          <w:i/>
          <w:lang w:val="en-US"/>
        </w:rPr>
        <w:t xml:space="preserve">nts, at least some part of the </w:t>
      </w:r>
      <w:r w:rsidRPr="00547A9D">
        <w:rPr>
          <w:i/>
          <w:lang w:val="en-US"/>
        </w:rPr>
        <w:t>payment by the non-resident parents should go direct</w:t>
      </w:r>
      <w:r>
        <w:rPr>
          <w:i/>
          <w:lang w:val="en-US"/>
        </w:rPr>
        <w:t xml:space="preserve">ly to the child. Currently, in </w:t>
      </w:r>
      <w:r w:rsidRPr="00547A9D">
        <w:rPr>
          <w:i/>
          <w:lang w:val="en-US"/>
        </w:rPr>
        <w:t xml:space="preserve">some countries if the resident parent receives income </w:t>
      </w:r>
      <w:r>
        <w:rPr>
          <w:i/>
          <w:lang w:val="en-US"/>
        </w:rPr>
        <w:t xml:space="preserve">support, the payment collected </w:t>
      </w:r>
      <w:r w:rsidRPr="00547A9D">
        <w:rPr>
          <w:i/>
          <w:lang w:val="en-US"/>
        </w:rPr>
        <w:t>effectively goes to the government to offset the cost o</w:t>
      </w:r>
      <w:r>
        <w:rPr>
          <w:i/>
          <w:lang w:val="en-US"/>
        </w:rPr>
        <w:t xml:space="preserve">f income support being paid to </w:t>
      </w:r>
      <w:r w:rsidRPr="00547A9D">
        <w:rPr>
          <w:i/>
          <w:lang w:val="en-US"/>
        </w:rPr>
        <w:t xml:space="preserve">the family in </w:t>
      </w:r>
      <w:r w:rsidRPr="00547A9D">
        <w:rPr>
          <w:i/>
          <w:lang w:val="en-US"/>
        </w:rPr>
        <w:lastRenderedPageBreak/>
        <w:t xml:space="preserve">question. This may create disincentives </w:t>
      </w:r>
      <w:r>
        <w:rPr>
          <w:i/>
          <w:lang w:val="en-US"/>
        </w:rPr>
        <w:t xml:space="preserve">for the non-resident parent to </w:t>
      </w:r>
      <w:r w:rsidRPr="00547A9D">
        <w:rPr>
          <w:i/>
          <w:lang w:val="en-US"/>
        </w:rPr>
        <w:t>meet his/her commitments. Therefore, some portion of</w:t>
      </w:r>
      <w:r>
        <w:rPr>
          <w:i/>
          <w:lang w:val="en-US"/>
        </w:rPr>
        <w:t xml:space="preserve"> child-support payments should </w:t>
      </w:r>
      <w:r w:rsidRPr="00547A9D">
        <w:rPr>
          <w:i/>
          <w:lang w:val="en-US"/>
        </w:rPr>
        <w:t>always go to the child for which support is being paid.</w:t>
      </w:r>
      <w:r>
        <w:rPr>
          <w:i/>
          <w:lang w:val="en-US"/>
        </w:rPr>
        <w:t xml:space="preserve"> </w:t>
      </w:r>
      <w:r>
        <w:rPr>
          <w:i/>
        </w:rPr>
        <w:fldChar w:fldCharType="begin" w:fldLock="1"/>
      </w:r>
      <w:r w:rsidRPr="00547A9D">
        <w:rPr>
          <w:i/>
          <w:lang w:val="en-US"/>
        </w:rPr>
        <w:instrText>ADDIN CSL_CITATION { "citationItems" : [ { "id" : "ITEM-1", "itemData" : { "ISBN" : "9789264098732", "author" : [ { "dropping-particle" : "", "family" : "OECD", "given" : "", "non-dropping-particle" : "", "parse-names" : false, "suffix" : "" } ], "container-title" : "Www.Oecd.Org", "id" : "ITEM-1", "issued" : { "date-parts" : [ [ "2011" ] ] }, "title" : "Doing Better for Families", "type" : "book" }, "uris" : [ "http://www.mendeley.com/documents/?uuid=a4a70a7b-0b0c-485a-b1a0-7ad6c4e13998" ] } ], "mendeley" : { "formattedCitation" : "(OECD, 2011)", "manualFormatting" : "(OECD, 2011, 215)", "plainTextFormattedCitation" : "(OECD, 2011)", "previouslyFormattedCitation" : "(OECD, 2011)" }, "properties" : { "noteIndex" : 0 }, "schema" : "https://github.com/citation-style-language/schema/raw/master/csl-citation.json" }</w:instrText>
      </w:r>
      <w:r>
        <w:rPr>
          <w:i/>
        </w:rPr>
        <w:fldChar w:fldCharType="separate"/>
      </w:r>
      <w:r w:rsidRPr="00547A9D">
        <w:rPr>
          <w:noProof/>
          <w:lang w:val="en-US"/>
        </w:rPr>
        <w:t>(OECD, 2011</w:t>
      </w:r>
      <w:r w:rsidR="007E59D1">
        <w:rPr>
          <w:noProof/>
          <w:lang w:val="en-US"/>
        </w:rPr>
        <w:t>,</w:t>
      </w:r>
      <w:r w:rsidRPr="00547A9D">
        <w:rPr>
          <w:noProof/>
          <w:lang w:val="en-US"/>
        </w:rPr>
        <w:t xml:space="preserve"> 215)</w:t>
      </w:r>
      <w:r>
        <w:rPr>
          <w:i/>
        </w:rPr>
        <w:fldChar w:fldCharType="end"/>
      </w:r>
      <w:r w:rsidRPr="00547A9D">
        <w:rPr>
          <w:i/>
          <w:lang w:val="en-US"/>
        </w:rPr>
        <w:t xml:space="preserve"> </w:t>
      </w:r>
    </w:p>
    <w:p w14:paraId="046380A5" w14:textId="77777777" w:rsidR="00792BF9" w:rsidRDefault="00792BF9" w:rsidP="003C211A">
      <w:pPr>
        <w:spacing w:line="360" w:lineRule="auto"/>
        <w:rPr>
          <w:lang w:val="en-US"/>
        </w:rPr>
      </w:pPr>
    </w:p>
    <w:p w14:paraId="6CAC2614" w14:textId="3E677965" w:rsidR="00A5546A" w:rsidRDefault="0051651D" w:rsidP="00534C04">
      <w:pPr>
        <w:spacing w:line="360" w:lineRule="auto"/>
        <w:rPr>
          <w:lang w:val="en-US"/>
        </w:rPr>
      </w:pPr>
      <w:r>
        <w:rPr>
          <w:lang w:val="en-US"/>
        </w:rPr>
        <w:t xml:space="preserve">Such </w:t>
      </w:r>
      <w:r w:rsidR="001C18C2" w:rsidRPr="00547A9D">
        <w:rPr>
          <w:lang w:val="en-US"/>
        </w:rPr>
        <w:t xml:space="preserve">policy arguments </w:t>
      </w:r>
      <w:r w:rsidR="003B5B7F">
        <w:rPr>
          <w:lang w:val="en-US"/>
        </w:rPr>
        <w:t xml:space="preserve">for a </w:t>
      </w:r>
      <w:r w:rsidR="004320DF">
        <w:rPr>
          <w:lang w:val="en-US"/>
        </w:rPr>
        <w:t>‘</w:t>
      </w:r>
      <w:r w:rsidR="00501707">
        <w:rPr>
          <w:lang w:val="en-US"/>
        </w:rPr>
        <w:t>pass through</w:t>
      </w:r>
      <w:r w:rsidR="004320DF">
        <w:rPr>
          <w:lang w:val="en-US"/>
        </w:rPr>
        <w:t>’</w:t>
      </w:r>
      <w:r w:rsidR="003B5B7F">
        <w:rPr>
          <w:lang w:val="en-US"/>
        </w:rPr>
        <w:t xml:space="preserve"> </w:t>
      </w:r>
      <w:r w:rsidR="008D27BB">
        <w:rPr>
          <w:lang w:val="en-US"/>
        </w:rPr>
        <w:t xml:space="preserve">of child maintenance </w:t>
      </w:r>
      <w:r w:rsidR="007E3199">
        <w:rPr>
          <w:lang w:val="en-US"/>
        </w:rPr>
        <w:t>should</w:t>
      </w:r>
      <w:r w:rsidR="000C727E">
        <w:rPr>
          <w:lang w:val="en-US"/>
        </w:rPr>
        <w:t xml:space="preserve"> help alleviate child poverty. </w:t>
      </w:r>
      <w:r w:rsidR="00F305A1">
        <w:rPr>
          <w:lang w:val="en-US"/>
        </w:rPr>
        <w:t>At least</w:t>
      </w:r>
      <w:r w:rsidR="00143D79">
        <w:rPr>
          <w:lang w:val="en-US"/>
        </w:rPr>
        <w:t xml:space="preserve">, </w:t>
      </w:r>
      <w:r w:rsidR="00F305A1">
        <w:rPr>
          <w:lang w:val="en-US"/>
        </w:rPr>
        <w:t>the</w:t>
      </w:r>
      <w:r w:rsidR="00233DFB">
        <w:rPr>
          <w:lang w:val="en-US"/>
        </w:rPr>
        <w:t xml:space="preserve"> OECD </w:t>
      </w:r>
      <w:r w:rsidR="007E3199">
        <w:rPr>
          <w:lang w:val="en-US"/>
        </w:rPr>
        <w:t>argues</w:t>
      </w:r>
      <w:r w:rsidR="00F305A1">
        <w:rPr>
          <w:lang w:val="en-US"/>
        </w:rPr>
        <w:t xml:space="preserve">, </w:t>
      </w:r>
      <w:r w:rsidR="00B76E6B">
        <w:rPr>
          <w:lang w:val="en-US"/>
        </w:rPr>
        <w:t xml:space="preserve">the </w:t>
      </w:r>
      <w:r w:rsidR="00143D79">
        <w:rPr>
          <w:lang w:val="en-US"/>
        </w:rPr>
        <w:t xml:space="preserve">pass through should occur in countries where there is no </w:t>
      </w:r>
      <w:r>
        <w:rPr>
          <w:lang w:val="en-US"/>
        </w:rPr>
        <w:t>‘advance maintenance’ s</w:t>
      </w:r>
      <w:r w:rsidR="00334792">
        <w:rPr>
          <w:lang w:val="en-US"/>
        </w:rPr>
        <w:t xml:space="preserve">cheme. </w:t>
      </w:r>
      <w:r w:rsidR="00F305A1">
        <w:rPr>
          <w:lang w:val="en-US"/>
        </w:rPr>
        <w:t>An advance s</w:t>
      </w:r>
      <w:r w:rsidR="00334792">
        <w:rPr>
          <w:lang w:val="en-US"/>
        </w:rPr>
        <w:t xml:space="preserve">cheme </w:t>
      </w:r>
      <w:r w:rsidR="000C727E">
        <w:rPr>
          <w:lang w:val="en-US"/>
        </w:rPr>
        <w:t xml:space="preserve">(or guaranteed scheme) </w:t>
      </w:r>
      <w:r w:rsidR="00F305A1">
        <w:rPr>
          <w:lang w:val="en-US"/>
        </w:rPr>
        <w:t xml:space="preserve">is where </w:t>
      </w:r>
      <w:r>
        <w:rPr>
          <w:lang w:val="en-US"/>
        </w:rPr>
        <w:t xml:space="preserve">the state provides </w:t>
      </w:r>
      <w:r w:rsidR="00E95C23">
        <w:rPr>
          <w:lang w:val="en-US"/>
        </w:rPr>
        <w:t xml:space="preserve">some of the </w:t>
      </w:r>
      <w:r w:rsidR="007E3199">
        <w:rPr>
          <w:lang w:val="en-US"/>
        </w:rPr>
        <w:t xml:space="preserve">child </w:t>
      </w:r>
      <w:r w:rsidR="00E95C23">
        <w:rPr>
          <w:lang w:val="en-US"/>
        </w:rPr>
        <w:t xml:space="preserve">maintenance </w:t>
      </w:r>
      <w:r w:rsidR="007E3199">
        <w:rPr>
          <w:lang w:val="en-US"/>
        </w:rPr>
        <w:t xml:space="preserve">that is </w:t>
      </w:r>
      <w:r w:rsidR="00E95C23">
        <w:rPr>
          <w:lang w:val="en-US"/>
        </w:rPr>
        <w:t>owed up-</w:t>
      </w:r>
      <w:r>
        <w:rPr>
          <w:lang w:val="en-US"/>
        </w:rPr>
        <w:t xml:space="preserve">front and then pursues the other parent to collect </w:t>
      </w:r>
      <w:r w:rsidR="00334792">
        <w:rPr>
          <w:lang w:val="en-US"/>
        </w:rPr>
        <w:t xml:space="preserve">it back. </w:t>
      </w:r>
      <w:r w:rsidR="00790EB8">
        <w:rPr>
          <w:lang w:val="en-US"/>
        </w:rPr>
        <w:t xml:space="preserve">Once </w:t>
      </w:r>
      <w:r>
        <w:rPr>
          <w:lang w:val="en-US"/>
        </w:rPr>
        <w:t>collected, the state retains th</w:t>
      </w:r>
      <w:r w:rsidR="00334792">
        <w:rPr>
          <w:lang w:val="en-US"/>
        </w:rPr>
        <w:t xml:space="preserve">e maintenance </w:t>
      </w:r>
      <w:r>
        <w:rPr>
          <w:lang w:val="en-US"/>
        </w:rPr>
        <w:t>as they have already ‘paid it’</w:t>
      </w:r>
      <w:r w:rsidR="00334792">
        <w:rPr>
          <w:lang w:val="en-US"/>
        </w:rPr>
        <w:t xml:space="preserve"> to the eligible parent. </w:t>
      </w:r>
    </w:p>
    <w:p w14:paraId="119F0D58" w14:textId="77777777" w:rsidR="00A5546A" w:rsidRDefault="00A5546A" w:rsidP="00534C04">
      <w:pPr>
        <w:spacing w:line="360" w:lineRule="auto"/>
        <w:rPr>
          <w:lang w:val="en-US"/>
        </w:rPr>
      </w:pPr>
    </w:p>
    <w:p w14:paraId="3EC7B4A3" w14:textId="414FB121" w:rsidR="003B5B7F" w:rsidRDefault="007E3199" w:rsidP="00534C04">
      <w:pPr>
        <w:spacing w:line="360" w:lineRule="auto"/>
        <w:rPr>
          <w:lang w:val="en-US"/>
        </w:rPr>
      </w:pPr>
      <w:r>
        <w:rPr>
          <w:lang w:val="en-US"/>
        </w:rPr>
        <w:t xml:space="preserve">In practice it is difficult to </w:t>
      </w:r>
      <w:r w:rsidR="0051651D">
        <w:rPr>
          <w:lang w:val="en-US"/>
        </w:rPr>
        <w:t>identify what happens in countries with guaranteed maintenance schemes</w:t>
      </w:r>
      <w:r w:rsidR="00790EB8">
        <w:rPr>
          <w:lang w:val="en-US"/>
        </w:rPr>
        <w:t xml:space="preserve">, </w:t>
      </w:r>
      <w:r w:rsidR="008E5D2C">
        <w:rPr>
          <w:lang w:val="en-US"/>
        </w:rPr>
        <w:t xml:space="preserve">or </w:t>
      </w:r>
      <w:r w:rsidR="00334792">
        <w:rPr>
          <w:lang w:val="en-US"/>
        </w:rPr>
        <w:t>understand how the poverty outcomes produced by such schemes might vary</w:t>
      </w:r>
      <w:r w:rsidR="00E95C23">
        <w:rPr>
          <w:lang w:val="en-US"/>
        </w:rPr>
        <w:t>,</w:t>
      </w:r>
      <w:r w:rsidR="00334792">
        <w:rPr>
          <w:lang w:val="en-US"/>
        </w:rPr>
        <w:t xml:space="preserve"> especially in comparison to </w:t>
      </w:r>
      <w:r w:rsidR="00790EB8">
        <w:rPr>
          <w:lang w:val="en-US"/>
        </w:rPr>
        <w:t xml:space="preserve">countries </w:t>
      </w:r>
      <w:r w:rsidR="008E5D2C">
        <w:rPr>
          <w:lang w:val="en-US"/>
        </w:rPr>
        <w:t>without such schemes</w:t>
      </w:r>
      <w:r w:rsidR="0007003F">
        <w:rPr>
          <w:lang w:val="en-US"/>
        </w:rPr>
        <w:t xml:space="preserve"> (Skinner et al</w:t>
      </w:r>
      <w:r w:rsidR="007E59D1">
        <w:rPr>
          <w:lang w:val="en-US"/>
        </w:rPr>
        <w:t>.,</w:t>
      </w:r>
      <w:r w:rsidR="0007003F">
        <w:rPr>
          <w:lang w:val="en-US"/>
        </w:rPr>
        <w:t xml:space="preserve"> 2007</w:t>
      </w:r>
      <w:r w:rsidR="007E59D1">
        <w:rPr>
          <w:lang w:val="en-US"/>
        </w:rPr>
        <w:t>;</w:t>
      </w:r>
      <w:r w:rsidR="0007003F">
        <w:rPr>
          <w:lang w:val="en-US"/>
        </w:rPr>
        <w:t xml:space="preserve"> </w:t>
      </w:r>
      <w:r w:rsidR="00CC1386">
        <w:rPr>
          <w:lang w:val="en-US"/>
        </w:rPr>
        <w:t xml:space="preserve">Skinner et al., </w:t>
      </w:r>
      <w:r w:rsidR="0007003F">
        <w:rPr>
          <w:lang w:val="en-US"/>
        </w:rPr>
        <w:t>2017b)</w:t>
      </w:r>
      <w:r w:rsidR="00235319">
        <w:rPr>
          <w:lang w:val="en-US"/>
        </w:rPr>
        <w:t xml:space="preserve">. </w:t>
      </w:r>
      <w:r w:rsidR="000C727E">
        <w:rPr>
          <w:lang w:val="en-US"/>
        </w:rPr>
        <w:t xml:space="preserve">Partly, this is </w:t>
      </w:r>
      <w:r>
        <w:rPr>
          <w:lang w:val="en-US"/>
        </w:rPr>
        <w:t>because guaranteed schemes operate as a complex interaction between private child maintenance and public social assistance systems</w:t>
      </w:r>
      <w:r w:rsidR="00600531">
        <w:rPr>
          <w:lang w:val="en-US"/>
        </w:rPr>
        <w:t xml:space="preserve">. Therefore, </w:t>
      </w:r>
      <w:r w:rsidR="000C727E">
        <w:rPr>
          <w:lang w:val="en-US"/>
        </w:rPr>
        <w:t>their</w:t>
      </w:r>
      <w:r w:rsidR="003A5781">
        <w:rPr>
          <w:lang w:val="en-US"/>
        </w:rPr>
        <w:t xml:space="preserve"> effect on poverty reduction is difficult to disentangle in empirical research</w:t>
      </w:r>
      <w:r w:rsidR="0007003F">
        <w:rPr>
          <w:lang w:val="en-US"/>
        </w:rPr>
        <w:t xml:space="preserve">. </w:t>
      </w:r>
      <w:r w:rsidR="003A5781">
        <w:rPr>
          <w:lang w:val="en-US"/>
        </w:rPr>
        <w:t xml:space="preserve">However, </w:t>
      </w:r>
      <w:r w:rsidR="00B76E6B">
        <w:rPr>
          <w:lang w:val="en-US"/>
        </w:rPr>
        <w:t xml:space="preserve">a </w:t>
      </w:r>
      <w:r w:rsidR="003A5781">
        <w:rPr>
          <w:lang w:val="en-US"/>
        </w:rPr>
        <w:t xml:space="preserve">similar type of interaction operates via </w:t>
      </w:r>
      <w:r>
        <w:rPr>
          <w:lang w:val="en-US"/>
        </w:rPr>
        <w:t>the ‘pass through’ mechanism</w:t>
      </w:r>
      <w:r w:rsidR="0007003F">
        <w:rPr>
          <w:lang w:val="en-US"/>
        </w:rPr>
        <w:t xml:space="preserve"> and there is some research </w:t>
      </w:r>
      <w:r w:rsidR="003A5781">
        <w:rPr>
          <w:lang w:val="en-US"/>
        </w:rPr>
        <w:t>on th</w:t>
      </w:r>
      <w:r w:rsidR="008D27BB">
        <w:rPr>
          <w:lang w:val="en-US"/>
        </w:rPr>
        <w:t>is</w:t>
      </w:r>
      <w:r w:rsidR="0007003F">
        <w:rPr>
          <w:lang w:val="en-US"/>
        </w:rPr>
        <w:t xml:space="preserve">, </w:t>
      </w:r>
      <w:r w:rsidR="003A5781">
        <w:rPr>
          <w:lang w:val="en-US"/>
        </w:rPr>
        <w:t xml:space="preserve">mostly from the US. </w:t>
      </w:r>
      <w:r w:rsidR="003A5781" w:rsidRPr="003B5B7F">
        <w:rPr>
          <w:lang w:val="en-US"/>
        </w:rPr>
        <w:t>Under US federal law, for families receiving public assistance, (Temporary Assistance for Needy Families (TANF)), the individual state can keep child maintenance payments to reimburse itself and the federal government for TANF assistance. The level of the pass-through varies across states from a full</w:t>
      </w:r>
      <w:r w:rsidR="008D27BB">
        <w:rPr>
          <w:lang w:val="en-US"/>
        </w:rPr>
        <w:t>,</w:t>
      </w:r>
      <w:r w:rsidR="003A5781" w:rsidRPr="003B5B7F">
        <w:rPr>
          <w:lang w:val="en-US"/>
        </w:rPr>
        <w:t xml:space="preserve"> 100 per cent</w:t>
      </w:r>
      <w:r w:rsidR="008D27BB">
        <w:rPr>
          <w:lang w:val="en-US"/>
        </w:rPr>
        <w:t>,</w:t>
      </w:r>
      <w:r w:rsidR="003A5781" w:rsidRPr="003B5B7F">
        <w:rPr>
          <w:lang w:val="en-US"/>
        </w:rPr>
        <w:t xml:space="preserve"> to zero</w:t>
      </w:r>
      <w:r w:rsidR="008D27BB">
        <w:rPr>
          <w:lang w:val="en-US"/>
        </w:rPr>
        <w:t xml:space="preserve"> per cent</w:t>
      </w:r>
      <w:r w:rsidR="003A5781" w:rsidRPr="003B5B7F">
        <w:rPr>
          <w:lang w:val="en-US"/>
        </w:rPr>
        <w:t xml:space="preserve">. </w:t>
      </w:r>
      <w:r w:rsidR="003A489E">
        <w:rPr>
          <w:lang w:val="en-US"/>
        </w:rPr>
        <w:t xml:space="preserve">Strong research </w:t>
      </w:r>
      <w:r w:rsidR="003A489E">
        <w:rPr>
          <w:lang w:val="en-US"/>
        </w:rPr>
        <w:lastRenderedPageBreak/>
        <w:t xml:space="preserve">evidence </w:t>
      </w:r>
      <w:r w:rsidR="003A5781" w:rsidRPr="003B5B7F">
        <w:rPr>
          <w:lang w:val="en-US"/>
        </w:rPr>
        <w:t xml:space="preserve">shows </w:t>
      </w:r>
      <w:r w:rsidR="003A5781" w:rsidRPr="003B5B7F">
        <w:t>that a full pass-through increases compliance and th</w:t>
      </w:r>
      <w:r w:rsidR="004B14BB">
        <w:t>e</w:t>
      </w:r>
      <w:r w:rsidR="003A5781" w:rsidRPr="003B5B7F">
        <w:t xml:space="preserve"> custodial parents’ likelihood of receiving pa</w:t>
      </w:r>
      <w:r w:rsidR="004B14BB">
        <w:t xml:space="preserve">yments increases as does the amounts they receive </w:t>
      </w:r>
      <w:r w:rsidR="003A5781" w:rsidRPr="003B5B7F">
        <w:t xml:space="preserve">(Cancian </w:t>
      </w:r>
      <w:r w:rsidR="00A502AC">
        <w:t>et al.</w:t>
      </w:r>
      <w:r w:rsidR="000305D2">
        <w:t>,</w:t>
      </w:r>
      <w:r w:rsidR="00A502AC">
        <w:t xml:space="preserve"> </w:t>
      </w:r>
      <w:r w:rsidR="003A5781" w:rsidRPr="003B5B7F">
        <w:t>200</w:t>
      </w:r>
      <w:r w:rsidR="00A502AC">
        <w:t>6</w:t>
      </w:r>
      <w:r w:rsidR="003A5781" w:rsidRPr="003B5B7F">
        <w:t>; Cassetty et al.</w:t>
      </w:r>
      <w:r w:rsidR="007E59D1">
        <w:t>,</w:t>
      </w:r>
      <w:r w:rsidR="003A5781" w:rsidRPr="003B5B7F">
        <w:t xml:space="preserve"> 2002; Lippold et al.</w:t>
      </w:r>
      <w:r w:rsidR="007E59D1">
        <w:t>,</w:t>
      </w:r>
      <w:r w:rsidR="003A5781" w:rsidRPr="003B5B7F">
        <w:t xml:space="preserve"> 2010; Sorensen and Hill</w:t>
      </w:r>
      <w:r w:rsidR="007E59D1">
        <w:t>,</w:t>
      </w:r>
      <w:r w:rsidR="003A5781" w:rsidRPr="003B5B7F">
        <w:t xml:space="preserve"> 2004).</w:t>
      </w:r>
      <w:r w:rsidR="003A5781" w:rsidRPr="003B5B7F" w:rsidDel="00912588">
        <w:rPr>
          <w:lang w:val="en-US"/>
        </w:rPr>
        <w:t xml:space="preserve"> </w:t>
      </w:r>
      <w:r w:rsidR="003A5781" w:rsidRPr="003B5B7F">
        <w:rPr>
          <w:lang w:val="en-US"/>
        </w:rPr>
        <w:t xml:space="preserve">These </w:t>
      </w:r>
      <w:r w:rsidR="008D27BB">
        <w:rPr>
          <w:lang w:val="en-US"/>
        </w:rPr>
        <w:t xml:space="preserve">US </w:t>
      </w:r>
      <w:r w:rsidR="003A5781" w:rsidRPr="003B5B7F">
        <w:rPr>
          <w:lang w:val="en-US"/>
        </w:rPr>
        <w:t>studies however</w:t>
      </w:r>
      <w:r w:rsidR="004B14BB">
        <w:rPr>
          <w:lang w:val="en-US"/>
        </w:rPr>
        <w:t>,</w:t>
      </w:r>
      <w:r w:rsidR="003A5781" w:rsidRPr="003B5B7F">
        <w:rPr>
          <w:lang w:val="en-US"/>
        </w:rPr>
        <w:t xml:space="preserve"> </w:t>
      </w:r>
      <w:r w:rsidR="00B76E6B">
        <w:rPr>
          <w:lang w:val="en-US"/>
        </w:rPr>
        <w:t xml:space="preserve">did not </w:t>
      </w:r>
      <w:r w:rsidR="003A5781" w:rsidRPr="003B5B7F">
        <w:rPr>
          <w:lang w:val="en-US"/>
        </w:rPr>
        <w:t xml:space="preserve">analyze the full range of interaction effects </w:t>
      </w:r>
      <w:r w:rsidR="003B5B7F" w:rsidRPr="003B5B7F">
        <w:rPr>
          <w:lang w:val="en-US"/>
        </w:rPr>
        <w:t>relating</w:t>
      </w:r>
      <w:r w:rsidR="003A5781" w:rsidRPr="003B5B7F">
        <w:rPr>
          <w:lang w:val="en-US"/>
        </w:rPr>
        <w:t xml:space="preserve"> to child maintenance</w:t>
      </w:r>
      <w:r w:rsidR="00600531">
        <w:rPr>
          <w:lang w:val="en-US"/>
        </w:rPr>
        <w:t>,</w:t>
      </w:r>
      <w:r w:rsidR="003A5781" w:rsidRPr="003B5B7F">
        <w:rPr>
          <w:lang w:val="en-US"/>
        </w:rPr>
        <w:t xml:space="preserve"> or their antipoverty effects on recipients. </w:t>
      </w:r>
    </w:p>
    <w:p w14:paraId="08217AC2" w14:textId="77777777" w:rsidR="003B5B7F" w:rsidRDefault="003B5B7F" w:rsidP="00534C04">
      <w:pPr>
        <w:spacing w:line="360" w:lineRule="auto"/>
        <w:rPr>
          <w:lang w:val="en-US"/>
        </w:rPr>
      </w:pPr>
    </w:p>
    <w:p w14:paraId="6C6B9ECB" w14:textId="0802046F" w:rsidR="00B76E6B" w:rsidRDefault="00A5546A" w:rsidP="00534C04">
      <w:pPr>
        <w:spacing w:line="360" w:lineRule="auto"/>
        <w:rPr>
          <w:lang w:val="en-US"/>
        </w:rPr>
      </w:pPr>
      <w:r>
        <w:rPr>
          <w:lang w:val="en-US"/>
        </w:rPr>
        <w:t>Indeed</w:t>
      </w:r>
      <w:r w:rsidR="003D10F7">
        <w:rPr>
          <w:lang w:val="en-US"/>
        </w:rPr>
        <w:t>, little</w:t>
      </w:r>
      <w:r w:rsidR="00235319">
        <w:rPr>
          <w:lang w:val="en-US"/>
        </w:rPr>
        <w:t xml:space="preserve"> is known </w:t>
      </w:r>
      <w:r w:rsidR="00235319" w:rsidRPr="00547A9D">
        <w:rPr>
          <w:lang w:val="en-US"/>
        </w:rPr>
        <w:t xml:space="preserve">about interactions between </w:t>
      </w:r>
      <w:r w:rsidR="00334792">
        <w:rPr>
          <w:lang w:val="en-US"/>
        </w:rPr>
        <w:t xml:space="preserve">child maintenance </w:t>
      </w:r>
      <w:r w:rsidR="003A489E">
        <w:rPr>
          <w:lang w:val="en-US"/>
        </w:rPr>
        <w:t xml:space="preserve">systems enforcing private </w:t>
      </w:r>
      <w:r w:rsidR="003D10F7">
        <w:rPr>
          <w:lang w:val="en-US"/>
        </w:rPr>
        <w:t>obligations and</w:t>
      </w:r>
      <w:r w:rsidR="00235319" w:rsidRPr="00547A9D">
        <w:rPr>
          <w:lang w:val="en-US"/>
        </w:rPr>
        <w:t xml:space="preserve"> </w:t>
      </w:r>
      <w:r w:rsidR="00334792">
        <w:rPr>
          <w:lang w:val="en-US"/>
        </w:rPr>
        <w:t>social ass</w:t>
      </w:r>
      <w:r>
        <w:rPr>
          <w:lang w:val="en-US"/>
        </w:rPr>
        <w:t xml:space="preserve">istance </w:t>
      </w:r>
      <w:r w:rsidR="003A489E">
        <w:rPr>
          <w:lang w:val="en-US"/>
        </w:rPr>
        <w:t>systems providing</w:t>
      </w:r>
      <w:r w:rsidR="000C727E">
        <w:rPr>
          <w:lang w:val="en-US"/>
        </w:rPr>
        <w:t xml:space="preserve"> public benefits, </w:t>
      </w:r>
      <w:r w:rsidR="004B14BB">
        <w:rPr>
          <w:lang w:val="en-US"/>
        </w:rPr>
        <w:t xml:space="preserve">or </w:t>
      </w:r>
      <w:r w:rsidR="003B5B7F">
        <w:rPr>
          <w:lang w:val="en-US"/>
        </w:rPr>
        <w:t xml:space="preserve">their </w:t>
      </w:r>
      <w:r w:rsidR="003A489E">
        <w:rPr>
          <w:lang w:val="en-US"/>
        </w:rPr>
        <w:t xml:space="preserve">combined </w:t>
      </w:r>
      <w:r w:rsidR="003B5B7F">
        <w:rPr>
          <w:lang w:val="en-US"/>
        </w:rPr>
        <w:t>effects</w:t>
      </w:r>
      <w:r w:rsidR="004B14BB">
        <w:rPr>
          <w:lang w:val="en-US"/>
        </w:rPr>
        <w:t xml:space="preserve"> on alleviating poverty. </w:t>
      </w:r>
      <w:r>
        <w:rPr>
          <w:lang w:val="en-US"/>
        </w:rPr>
        <w:t xml:space="preserve">It could be that lone </w:t>
      </w:r>
      <w:r w:rsidR="008E5D2C">
        <w:rPr>
          <w:lang w:val="en-US"/>
        </w:rPr>
        <w:t xml:space="preserve">parents </w:t>
      </w:r>
      <w:r w:rsidR="008D27BB">
        <w:rPr>
          <w:lang w:val="en-US"/>
        </w:rPr>
        <w:t xml:space="preserve">on social assistance </w:t>
      </w:r>
      <w:r w:rsidR="008E5D2C">
        <w:rPr>
          <w:lang w:val="en-US"/>
        </w:rPr>
        <w:t xml:space="preserve">would be </w:t>
      </w:r>
      <w:r>
        <w:rPr>
          <w:lang w:val="en-US"/>
        </w:rPr>
        <w:t xml:space="preserve">no </w:t>
      </w:r>
      <w:r w:rsidR="008E5D2C">
        <w:rPr>
          <w:lang w:val="en-US"/>
        </w:rPr>
        <w:t>better off</w:t>
      </w:r>
      <w:r>
        <w:rPr>
          <w:lang w:val="en-US"/>
        </w:rPr>
        <w:t xml:space="preserve"> </w:t>
      </w:r>
      <w:r w:rsidR="004B14BB">
        <w:rPr>
          <w:lang w:val="en-US"/>
        </w:rPr>
        <w:t xml:space="preserve">financially </w:t>
      </w:r>
      <w:r w:rsidR="003B5B7F">
        <w:rPr>
          <w:lang w:val="en-US"/>
        </w:rPr>
        <w:t xml:space="preserve">from child maintenance </w:t>
      </w:r>
      <w:r w:rsidR="00FA6D1A">
        <w:rPr>
          <w:lang w:val="en-US"/>
        </w:rPr>
        <w:t xml:space="preserve">once </w:t>
      </w:r>
      <w:r>
        <w:rPr>
          <w:lang w:val="en-US"/>
        </w:rPr>
        <w:t xml:space="preserve">these </w:t>
      </w:r>
      <w:r w:rsidR="00FA6D1A">
        <w:rPr>
          <w:lang w:val="en-US"/>
        </w:rPr>
        <w:t>interactions are</w:t>
      </w:r>
      <w:r w:rsidR="003A489E">
        <w:rPr>
          <w:lang w:val="en-US"/>
        </w:rPr>
        <w:t xml:space="preserve"> accounted for</w:t>
      </w:r>
      <w:r w:rsidR="00402671">
        <w:rPr>
          <w:lang w:val="en-US"/>
        </w:rPr>
        <w:t>.</w:t>
      </w:r>
      <w:r w:rsidR="008E5D2C">
        <w:rPr>
          <w:lang w:val="en-US"/>
        </w:rPr>
        <w:t xml:space="preserve"> </w:t>
      </w:r>
      <w:r w:rsidR="00B76E6B">
        <w:rPr>
          <w:lang w:val="en-US"/>
        </w:rPr>
        <w:t>This is what Skinner et al</w:t>
      </w:r>
      <w:r w:rsidR="007E59D1">
        <w:rPr>
          <w:lang w:val="en-US"/>
        </w:rPr>
        <w:t>.</w:t>
      </w:r>
      <w:r w:rsidR="00B76E6B">
        <w:rPr>
          <w:lang w:val="en-US"/>
        </w:rPr>
        <w:t xml:space="preserve"> (2017b) found in their original analysis using a model families approach </w:t>
      </w:r>
      <w:r w:rsidR="00600531">
        <w:rPr>
          <w:lang w:val="en-US"/>
        </w:rPr>
        <w:t xml:space="preserve">across four </w:t>
      </w:r>
      <w:r w:rsidR="00B76E6B">
        <w:rPr>
          <w:lang w:val="en-US"/>
        </w:rPr>
        <w:t>countries with similar child maintenance systems (Australia, New Zealand, the UK and the US). Depending on the kind of interaction</w:t>
      </w:r>
      <w:r w:rsidR="004732E8">
        <w:rPr>
          <w:lang w:val="en-US"/>
        </w:rPr>
        <w:t>s</w:t>
      </w:r>
      <w:r w:rsidR="00B76E6B">
        <w:rPr>
          <w:lang w:val="en-US"/>
        </w:rPr>
        <w:t xml:space="preserve">, </w:t>
      </w:r>
      <w:r w:rsidR="00600531">
        <w:rPr>
          <w:lang w:val="en-US"/>
        </w:rPr>
        <w:t xml:space="preserve">they found </w:t>
      </w:r>
      <w:r w:rsidR="004732E8">
        <w:rPr>
          <w:lang w:val="en-US"/>
        </w:rPr>
        <w:t>some country systems could treat child maintenance as a complement to social assistance benefits</w:t>
      </w:r>
      <w:r w:rsidR="00E55216">
        <w:rPr>
          <w:lang w:val="en-US"/>
        </w:rPr>
        <w:t>, thereby</w:t>
      </w:r>
      <w:r w:rsidR="004732E8">
        <w:rPr>
          <w:lang w:val="en-US"/>
        </w:rPr>
        <w:t xml:space="preserve"> maximizing its potential to reduce poverty. Whereas in other systems, child maintenance was treated as a substitute for social assistance</w:t>
      </w:r>
      <w:r w:rsidR="00E55216">
        <w:rPr>
          <w:lang w:val="en-US"/>
        </w:rPr>
        <w:t>,</w:t>
      </w:r>
      <w:r w:rsidR="004732E8">
        <w:rPr>
          <w:lang w:val="en-US"/>
        </w:rPr>
        <w:t xml:space="preserve"> leaving lone parents no better off even if child maintenance was paid by the other parent. </w:t>
      </w:r>
    </w:p>
    <w:p w14:paraId="606E9AED" w14:textId="77777777" w:rsidR="00B76E6B" w:rsidRDefault="00B76E6B" w:rsidP="00534C04">
      <w:pPr>
        <w:spacing w:line="360" w:lineRule="auto"/>
        <w:rPr>
          <w:lang w:val="en-US"/>
        </w:rPr>
      </w:pPr>
    </w:p>
    <w:p w14:paraId="544A7BCD" w14:textId="6F3A27BC" w:rsidR="004B14BB" w:rsidRDefault="008D27BB" w:rsidP="00534C04">
      <w:pPr>
        <w:spacing w:line="360" w:lineRule="auto"/>
      </w:pPr>
      <w:r>
        <w:rPr>
          <w:lang w:val="en-US"/>
        </w:rPr>
        <w:t xml:space="preserve">This paper </w:t>
      </w:r>
      <w:r w:rsidR="000C727E">
        <w:rPr>
          <w:lang w:val="en-US"/>
        </w:rPr>
        <w:t xml:space="preserve">extend </w:t>
      </w:r>
      <w:r w:rsidR="004732E8">
        <w:rPr>
          <w:lang w:val="en-US"/>
        </w:rPr>
        <w:t>that earlier work by Skinner et al</w:t>
      </w:r>
      <w:r w:rsidR="00531349">
        <w:rPr>
          <w:lang w:val="en-US"/>
        </w:rPr>
        <w:t>.</w:t>
      </w:r>
      <w:r w:rsidR="004732E8">
        <w:rPr>
          <w:lang w:val="en-US"/>
        </w:rPr>
        <w:t xml:space="preserve"> (2017b). It use</w:t>
      </w:r>
      <w:r w:rsidR="00DB7C24">
        <w:rPr>
          <w:lang w:val="en-US"/>
        </w:rPr>
        <w:t>s</w:t>
      </w:r>
      <w:r w:rsidR="004732E8">
        <w:rPr>
          <w:lang w:val="en-US"/>
        </w:rPr>
        <w:t xml:space="preserve"> data</w:t>
      </w:r>
      <w:r w:rsidR="00E55216">
        <w:rPr>
          <w:lang w:val="en-US"/>
        </w:rPr>
        <w:t xml:space="preserve"> </w:t>
      </w:r>
      <w:r w:rsidR="004732E8">
        <w:rPr>
          <w:lang w:val="en-US"/>
        </w:rPr>
        <w:t>from the Luxembourg Income Study (LIS) of 2013 and will address the question of whether lone parents on social assistance benefits are any better off after child maintenance</w:t>
      </w:r>
      <w:r w:rsidR="00E55216">
        <w:rPr>
          <w:lang w:val="en-US"/>
        </w:rPr>
        <w:t xml:space="preserve"> is paid.</w:t>
      </w:r>
      <w:r w:rsidR="004732E8">
        <w:rPr>
          <w:lang w:val="en-US"/>
        </w:rPr>
        <w:t xml:space="preserve"> Uniquely</w:t>
      </w:r>
      <w:r w:rsidR="00E55216">
        <w:rPr>
          <w:lang w:val="en-US"/>
        </w:rPr>
        <w:t>,</w:t>
      </w:r>
      <w:r w:rsidR="004732E8">
        <w:rPr>
          <w:lang w:val="en-US"/>
        </w:rPr>
        <w:t xml:space="preserve"> it will provide a</w:t>
      </w:r>
      <w:r w:rsidR="00E55216">
        <w:rPr>
          <w:lang w:val="en-US"/>
        </w:rPr>
        <w:t xml:space="preserve"> comparative a</w:t>
      </w:r>
      <w:r w:rsidR="004B14BB">
        <w:rPr>
          <w:lang w:val="en-US"/>
        </w:rPr>
        <w:t xml:space="preserve">nalysis of the poverty reduction potential of child maintenance </w:t>
      </w:r>
      <w:r w:rsidR="00E55216">
        <w:rPr>
          <w:lang w:val="en-US"/>
        </w:rPr>
        <w:t xml:space="preserve">that </w:t>
      </w:r>
      <w:r w:rsidR="00E55216">
        <w:rPr>
          <w:lang w:val="en-US"/>
        </w:rPr>
        <w:lastRenderedPageBreak/>
        <w:t xml:space="preserve">takes </w:t>
      </w:r>
      <w:r w:rsidR="004B14BB">
        <w:rPr>
          <w:lang w:val="en-US"/>
        </w:rPr>
        <w:t xml:space="preserve">into account the interaction effects </w:t>
      </w:r>
      <w:r w:rsidR="00E55216">
        <w:rPr>
          <w:lang w:val="en-US"/>
        </w:rPr>
        <w:t>between child maintenance systems and social assistance systems using real data from LIS, rather than a model families approach</w:t>
      </w:r>
      <w:r w:rsidR="000C727E">
        <w:rPr>
          <w:lang w:val="en-US"/>
        </w:rPr>
        <w:t xml:space="preserve"> as used by Skinner et al</w:t>
      </w:r>
      <w:r w:rsidR="007E59D1">
        <w:rPr>
          <w:lang w:val="en-US"/>
        </w:rPr>
        <w:t>.</w:t>
      </w:r>
      <w:r w:rsidR="000C727E">
        <w:rPr>
          <w:lang w:val="en-US"/>
        </w:rPr>
        <w:t xml:space="preserve"> (2017</w:t>
      </w:r>
      <w:r w:rsidR="00C0021C">
        <w:rPr>
          <w:lang w:val="en-US"/>
        </w:rPr>
        <w:t>b</w:t>
      </w:r>
      <w:r w:rsidR="000C727E">
        <w:rPr>
          <w:lang w:val="en-US"/>
        </w:rPr>
        <w:t>)</w:t>
      </w:r>
      <w:r w:rsidR="00E55216">
        <w:rPr>
          <w:lang w:val="en-US"/>
        </w:rPr>
        <w:t>.</w:t>
      </w:r>
      <w:r w:rsidR="000C727E">
        <w:rPr>
          <w:lang w:val="en-US"/>
        </w:rPr>
        <w:t xml:space="preserve"> </w:t>
      </w:r>
      <w:r w:rsidR="00E55216">
        <w:rPr>
          <w:lang w:val="en-US"/>
        </w:rPr>
        <w:t xml:space="preserve"> </w:t>
      </w:r>
      <w:r w:rsidR="000C727E">
        <w:rPr>
          <w:lang w:val="en-US"/>
        </w:rPr>
        <w:t xml:space="preserve">The comparative analysis </w:t>
      </w:r>
      <w:r w:rsidR="00600531">
        <w:rPr>
          <w:lang w:val="en-US"/>
        </w:rPr>
        <w:t xml:space="preserve">reported here </w:t>
      </w:r>
      <w:r w:rsidR="000C727E">
        <w:rPr>
          <w:lang w:val="en-US"/>
        </w:rPr>
        <w:t xml:space="preserve">will involve four </w:t>
      </w:r>
      <w:r w:rsidR="002A5B6A">
        <w:rPr>
          <w:lang w:val="en-US"/>
        </w:rPr>
        <w:t xml:space="preserve">selected </w:t>
      </w:r>
      <w:r w:rsidR="002A5B6A" w:rsidRPr="00547A9D">
        <w:rPr>
          <w:lang w:val="en-US"/>
        </w:rPr>
        <w:t>countries</w:t>
      </w:r>
      <w:r w:rsidR="004B14BB">
        <w:rPr>
          <w:lang w:val="en-US"/>
        </w:rPr>
        <w:t xml:space="preserve"> </w:t>
      </w:r>
      <w:r w:rsidR="00E55216">
        <w:rPr>
          <w:lang w:val="en-US"/>
        </w:rPr>
        <w:t xml:space="preserve">(Australia, Finland, Germany and the United Kingdom) </w:t>
      </w:r>
      <w:r w:rsidR="000C727E">
        <w:rPr>
          <w:lang w:val="en-US"/>
        </w:rPr>
        <w:t xml:space="preserve">with </w:t>
      </w:r>
      <w:r w:rsidR="004B14BB">
        <w:rPr>
          <w:lang w:val="en-US"/>
        </w:rPr>
        <w:t>different child maintenance systems</w:t>
      </w:r>
      <w:r w:rsidR="000C727E">
        <w:rPr>
          <w:lang w:val="en-US"/>
        </w:rPr>
        <w:t xml:space="preserve">, to explore </w:t>
      </w:r>
      <w:r w:rsidR="00E55216">
        <w:rPr>
          <w:lang w:val="en-US"/>
        </w:rPr>
        <w:t>how the poverty outcomes might vary</w:t>
      </w:r>
      <w:r w:rsidR="000C727E">
        <w:rPr>
          <w:lang w:val="en-US"/>
        </w:rPr>
        <w:t xml:space="preserve"> depending on the interaction mechanisms</w:t>
      </w:r>
      <w:r w:rsidR="00E55216">
        <w:rPr>
          <w:lang w:val="en-US"/>
        </w:rPr>
        <w:t xml:space="preserve">. </w:t>
      </w:r>
    </w:p>
    <w:p w14:paraId="6521265B" w14:textId="77777777" w:rsidR="004B14BB" w:rsidRDefault="004B14BB" w:rsidP="00534C04">
      <w:pPr>
        <w:spacing w:line="360" w:lineRule="auto"/>
      </w:pPr>
    </w:p>
    <w:p w14:paraId="7336997E" w14:textId="3639D64A" w:rsidR="004320DF" w:rsidRDefault="002A5B6A" w:rsidP="00534C04">
      <w:pPr>
        <w:spacing w:line="360" w:lineRule="auto"/>
      </w:pPr>
      <w:r>
        <w:rPr>
          <w:lang w:val="en-US"/>
        </w:rPr>
        <w:t xml:space="preserve">This paper </w:t>
      </w:r>
      <w:r w:rsidR="0007003F">
        <w:rPr>
          <w:lang w:val="en-US"/>
        </w:rPr>
        <w:t xml:space="preserve">therefore, </w:t>
      </w:r>
      <w:r>
        <w:rPr>
          <w:lang w:val="en-US"/>
        </w:rPr>
        <w:t>provides new evidence to contribute to policy debates about the effectiveness of poverty reduction strategies for lone parent families</w:t>
      </w:r>
      <w:r w:rsidR="004B14BB">
        <w:rPr>
          <w:lang w:val="en-US"/>
        </w:rPr>
        <w:t xml:space="preserve"> in the following ways</w:t>
      </w:r>
      <w:r w:rsidR="00272FD2">
        <w:rPr>
          <w:lang w:val="en-US"/>
        </w:rPr>
        <w:t xml:space="preserve">: by </w:t>
      </w:r>
      <w:r>
        <w:rPr>
          <w:lang w:val="en-US"/>
        </w:rPr>
        <w:t xml:space="preserve">taking account of </w:t>
      </w:r>
      <w:r w:rsidR="00E55216">
        <w:rPr>
          <w:lang w:val="en-US"/>
        </w:rPr>
        <w:t xml:space="preserve">different </w:t>
      </w:r>
      <w:r>
        <w:rPr>
          <w:lang w:val="en-US"/>
        </w:rPr>
        <w:t xml:space="preserve">interaction effects </w:t>
      </w:r>
      <w:r w:rsidR="00272FD2">
        <w:rPr>
          <w:lang w:val="en-US"/>
        </w:rPr>
        <w:t xml:space="preserve">between private child maintenance and public social assistance systems </w:t>
      </w:r>
      <w:r>
        <w:rPr>
          <w:lang w:val="en-US"/>
        </w:rPr>
        <w:t xml:space="preserve">which </w:t>
      </w:r>
      <w:r w:rsidR="00272FD2">
        <w:rPr>
          <w:lang w:val="en-US"/>
        </w:rPr>
        <w:t xml:space="preserve">have </w:t>
      </w:r>
      <w:r w:rsidR="0007003F">
        <w:rPr>
          <w:lang w:val="en-US"/>
        </w:rPr>
        <w:t xml:space="preserve">hitherto </w:t>
      </w:r>
      <w:r w:rsidR="00272FD2">
        <w:rPr>
          <w:lang w:val="en-US"/>
        </w:rPr>
        <w:t xml:space="preserve">usually </w:t>
      </w:r>
      <w:r>
        <w:rPr>
          <w:lang w:val="en-US"/>
        </w:rPr>
        <w:t xml:space="preserve">been ignored; </w:t>
      </w:r>
      <w:r w:rsidR="00272FD2">
        <w:rPr>
          <w:lang w:val="en-US"/>
        </w:rPr>
        <w:t xml:space="preserve">by </w:t>
      </w:r>
      <w:r>
        <w:rPr>
          <w:lang w:val="en-US"/>
        </w:rPr>
        <w:t xml:space="preserve">presenting a more accurate and nuanced picture </w:t>
      </w:r>
      <w:r w:rsidRPr="00547A9D">
        <w:rPr>
          <w:lang w:val="en-US"/>
        </w:rPr>
        <w:t>of the anti-poverty</w:t>
      </w:r>
      <w:r>
        <w:rPr>
          <w:lang w:val="en-US"/>
        </w:rPr>
        <w:t xml:space="preserve"> effectiveness of child maintenance</w:t>
      </w:r>
      <w:r w:rsidR="00272FD2">
        <w:rPr>
          <w:lang w:val="en-US"/>
        </w:rPr>
        <w:t xml:space="preserve"> </w:t>
      </w:r>
      <w:r w:rsidR="00E55216">
        <w:rPr>
          <w:lang w:val="en-US"/>
        </w:rPr>
        <w:t xml:space="preserve">as a result of complex system interactions </w:t>
      </w:r>
      <w:r w:rsidR="00272FD2">
        <w:rPr>
          <w:lang w:val="en-US"/>
        </w:rPr>
        <w:t xml:space="preserve">and; </w:t>
      </w:r>
      <w:r w:rsidR="00C0021C">
        <w:rPr>
          <w:lang w:val="en-US"/>
        </w:rPr>
        <w:t xml:space="preserve">and </w:t>
      </w:r>
      <w:r w:rsidR="00272FD2">
        <w:rPr>
          <w:lang w:val="en-US"/>
        </w:rPr>
        <w:t xml:space="preserve">by comparing the poverty outcomes </w:t>
      </w:r>
      <w:r w:rsidRPr="00547A9D">
        <w:rPr>
          <w:lang w:val="en-US"/>
        </w:rPr>
        <w:t xml:space="preserve">across </w:t>
      </w:r>
      <w:r>
        <w:rPr>
          <w:lang w:val="en-US"/>
        </w:rPr>
        <w:t xml:space="preserve">selected </w:t>
      </w:r>
      <w:r w:rsidRPr="00547A9D">
        <w:rPr>
          <w:lang w:val="en-US"/>
        </w:rPr>
        <w:t>countries</w:t>
      </w:r>
      <w:r>
        <w:rPr>
          <w:lang w:val="en-US"/>
        </w:rPr>
        <w:t xml:space="preserve"> with quite different child maintenance </w:t>
      </w:r>
      <w:r w:rsidR="00272FD2">
        <w:rPr>
          <w:lang w:val="en-US"/>
        </w:rPr>
        <w:t xml:space="preserve">systems. </w:t>
      </w:r>
      <w:r w:rsidR="00394327">
        <w:rPr>
          <w:lang w:val="en-US"/>
        </w:rPr>
        <w:t xml:space="preserve">We argue that the effectiveness of child maintenance </w:t>
      </w:r>
      <w:r w:rsidR="003A489E">
        <w:rPr>
          <w:lang w:val="en-US"/>
        </w:rPr>
        <w:t xml:space="preserve">policies </w:t>
      </w:r>
      <w:r w:rsidR="007458E5">
        <w:rPr>
          <w:lang w:val="en-US"/>
        </w:rPr>
        <w:t>to reduce l</w:t>
      </w:r>
      <w:r w:rsidR="00394327">
        <w:rPr>
          <w:lang w:val="en-US"/>
        </w:rPr>
        <w:t>one parent poverty is curtailed in some countries due to interaction effects</w:t>
      </w:r>
      <w:r w:rsidR="004320DF">
        <w:rPr>
          <w:lang w:val="en-US"/>
        </w:rPr>
        <w:t>,</w:t>
      </w:r>
      <w:r w:rsidR="00394327">
        <w:rPr>
          <w:lang w:val="en-US"/>
        </w:rPr>
        <w:t xml:space="preserve"> leaving lone parents no better off even if child maintenance is paid. </w:t>
      </w:r>
      <w:r w:rsidR="00F06ACA">
        <w:rPr>
          <w:lang w:val="en-US"/>
        </w:rPr>
        <w:t xml:space="preserve">This is in contradiction to the OECD recommendation above. </w:t>
      </w:r>
    </w:p>
    <w:p w14:paraId="560355B2" w14:textId="77777777" w:rsidR="004B14BB" w:rsidRDefault="004B14BB" w:rsidP="00534C04">
      <w:pPr>
        <w:spacing w:line="360" w:lineRule="auto"/>
      </w:pPr>
    </w:p>
    <w:p w14:paraId="42686A69" w14:textId="6F74B14D" w:rsidR="009543CD" w:rsidRPr="00CB0719" w:rsidRDefault="003A489E" w:rsidP="00534C04">
      <w:pPr>
        <w:spacing w:line="360" w:lineRule="auto"/>
      </w:pPr>
      <w:r>
        <w:t>T</w:t>
      </w:r>
      <w:r w:rsidR="007C124F" w:rsidRPr="00CB0719">
        <w:t xml:space="preserve">he article begins by </w:t>
      </w:r>
      <w:r>
        <w:t xml:space="preserve">providing some </w:t>
      </w:r>
      <w:r w:rsidRPr="00CB0719">
        <w:t xml:space="preserve">contextual background, </w:t>
      </w:r>
      <w:r w:rsidR="007C124F" w:rsidRPr="00CB0719">
        <w:t>outlining the prior research on child poverty and child maintenance policies</w:t>
      </w:r>
      <w:r w:rsidR="00AF37F9" w:rsidRPr="00AF37F9">
        <w:t xml:space="preserve"> </w:t>
      </w:r>
      <w:r w:rsidR="00AF37F9" w:rsidRPr="00CB0719">
        <w:t>in the countries under study</w:t>
      </w:r>
      <w:r w:rsidR="00CB0719">
        <w:t xml:space="preserve">. We </w:t>
      </w:r>
      <w:r w:rsidR="005D6C7F">
        <w:t xml:space="preserve">then </w:t>
      </w:r>
      <w:r w:rsidR="00CB0719">
        <w:t xml:space="preserve">describe </w:t>
      </w:r>
      <w:r>
        <w:t xml:space="preserve">our approach to the </w:t>
      </w:r>
      <w:r w:rsidR="007E59D1">
        <w:t>analysis</w:t>
      </w:r>
      <w:r>
        <w:t xml:space="preserve"> and how we take accou</w:t>
      </w:r>
      <w:r w:rsidR="000D7146">
        <w:t xml:space="preserve">nt </w:t>
      </w:r>
      <w:r>
        <w:t xml:space="preserve">of </w:t>
      </w:r>
      <w:r w:rsidR="00CB0719">
        <w:t xml:space="preserve">different </w:t>
      </w:r>
      <w:r w:rsidR="00AF37F9">
        <w:t>interaction mechanisms</w:t>
      </w:r>
      <w:r>
        <w:t>,</w:t>
      </w:r>
      <w:r w:rsidR="00CB0719">
        <w:t xml:space="preserve"> </w:t>
      </w:r>
      <w:r w:rsidR="007C124F" w:rsidRPr="00CB0719">
        <w:t xml:space="preserve">before </w:t>
      </w:r>
      <w:r w:rsidR="00AF37F9">
        <w:t xml:space="preserve">explaining </w:t>
      </w:r>
      <w:r>
        <w:t xml:space="preserve">the variables we used for our data </w:t>
      </w:r>
      <w:r w:rsidR="007E59D1">
        <w:t>analysis</w:t>
      </w:r>
      <w:r>
        <w:t xml:space="preserve"> from the </w:t>
      </w:r>
      <w:r w:rsidR="007C124F" w:rsidRPr="00CB0719">
        <w:t xml:space="preserve">Luxembourg Income </w:t>
      </w:r>
      <w:r w:rsidR="007C124F" w:rsidRPr="00CB0719">
        <w:lastRenderedPageBreak/>
        <w:t xml:space="preserve">Study (LIS) </w:t>
      </w:r>
      <w:r>
        <w:t>2013. In the last two sections we present our findings and discuss the impl</w:t>
      </w:r>
      <w:r w:rsidR="0007003F">
        <w:t>i</w:t>
      </w:r>
      <w:r>
        <w:t>catio</w:t>
      </w:r>
      <w:r w:rsidR="0007003F">
        <w:t xml:space="preserve">ns </w:t>
      </w:r>
      <w:r>
        <w:t xml:space="preserve">for the poverty reduction potential of child </w:t>
      </w:r>
      <w:r w:rsidR="007E59D1">
        <w:t>maintenance</w:t>
      </w:r>
      <w:r>
        <w:t xml:space="preserve"> across </w:t>
      </w:r>
      <w:r w:rsidR="0007003F">
        <w:t>count</w:t>
      </w:r>
      <w:r w:rsidR="00B334FB">
        <w:t xml:space="preserve">ries </w:t>
      </w:r>
      <w:r w:rsidR="0007003F">
        <w:t xml:space="preserve">with different schemes. </w:t>
      </w:r>
    </w:p>
    <w:p w14:paraId="3727053C" w14:textId="77777777" w:rsidR="005B58D5" w:rsidRPr="00547A9D" w:rsidRDefault="005B58D5" w:rsidP="00685282">
      <w:pPr>
        <w:spacing w:line="360" w:lineRule="auto"/>
        <w:rPr>
          <w:lang w:val="en-US"/>
        </w:rPr>
      </w:pPr>
    </w:p>
    <w:p w14:paraId="45447E41" w14:textId="429ECE9F" w:rsidR="00BA0D5C" w:rsidRPr="00E12152" w:rsidRDefault="00E12152" w:rsidP="001C18C2">
      <w:pPr>
        <w:spacing w:line="360" w:lineRule="auto"/>
        <w:rPr>
          <w:b/>
          <w:lang w:val="en-US"/>
        </w:rPr>
      </w:pPr>
      <w:r w:rsidRPr="00E12152">
        <w:rPr>
          <w:b/>
          <w:lang w:val="en-US"/>
        </w:rPr>
        <w:t>Background</w:t>
      </w:r>
    </w:p>
    <w:p w14:paraId="4A3F9D91" w14:textId="77777777" w:rsidR="00E12152" w:rsidRDefault="00E12152" w:rsidP="001C18C2">
      <w:pPr>
        <w:spacing w:line="360" w:lineRule="auto"/>
        <w:rPr>
          <w:lang w:val="en-US"/>
        </w:rPr>
      </w:pPr>
    </w:p>
    <w:p w14:paraId="058CA742" w14:textId="1C28846F" w:rsidR="00E12152" w:rsidRPr="00E12152" w:rsidRDefault="00E12152" w:rsidP="001C18C2">
      <w:pPr>
        <w:spacing w:line="360" w:lineRule="auto"/>
        <w:rPr>
          <w:b/>
          <w:i/>
          <w:lang w:val="en-US"/>
        </w:rPr>
      </w:pPr>
      <w:r w:rsidRPr="00E12152">
        <w:rPr>
          <w:b/>
          <w:i/>
          <w:lang w:val="en-US"/>
        </w:rPr>
        <w:t xml:space="preserve">Poverty and </w:t>
      </w:r>
      <w:r w:rsidR="007458E5">
        <w:rPr>
          <w:b/>
          <w:i/>
          <w:lang w:val="en-US"/>
        </w:rPr>
        <w:t>child maintenance policies</w:t>
      </w:r>
    </w:p>
    <w:p w14:paraId="0D903DE0" w14:textId="77777777" w:rsidR="007458E5" w:rsidRDefault="007458E5" w:rsidP="001C18C2">
      <w:pPr>
        <w:spacing w:line="360" w:lineRule="auto"/>
        <w:rPr>
          <w:lang w:val="en-US"/>
        </w:rPr>
      </w:pPr>
    </w:p>
    <w:p w14:paraId="42463BEC" w14:textId="0DB31F93" w:rsidR="00F204D3" w:rsidRDefault="005D6C7F" w:rsidP="001C18C2">
      <w:pPr>
        <w:spacing w:line="360" w:lineRule="auto"/>
        <w:rPr>
          <w:lang w:val="en-US"/>
        </w:rPr>
      </w:pPr>
      <w:r>
        <w:rPr>
          <w:lang w:val="en-US"/>
        </w:rPr>
        <w:t>In most countries</w:t>
      </w:r>
      <w:r w:rsidR="001768A4">
        <w:rPr>
          <w:lang w:val="en-US"/>
        </w:rPr>
        <w:t xml:space="preserve"> children in lone parent families are at the greatest risk of poverty</w:t>
      </w:r>
      <w:r>
        <w:rPr>
          <w:lang w:val="en-US"/>
        </w:rPr>
        <w:t xml:space="preserve"> (e.g.</w:t>
      </w:r>
      <w:r w:rsidR="00114C7F" w:rsidRPr="00114C7F">
        <w:t xml:space="preserve"> </w:t>
      </w:r>
      <w:r w:rsidR="007E59D1" w:rsidRPr="007E59D1">
        <w:t>Barcena-Martin et al., 2018;</w:t>
      </w:r>
      <w:r w:rsidR="007E59D1">
        <w:t xml:space="preserve"> </w:t>
      </w:r>
      <w:r w:rsidR="00114C7F" w:rsidRPr="00114C7F">
        <w:rPr>
          <w:lang w:val="en-US"/>
        </w:rPr>
        <w:t>Bradshaw et al.</w:t>
      </w:r>
      <w:r w:rsidR="007E59D1">
        <w:rPr>
          <w:lang w:val="en-US"/>
        </w:rPr>
        <w:t>,</w:t>
      </w:r>
      <w:r w:rsidR="00114C7F" w:rsidRPr="00114C7F">
        <w:rPr>
          <w:lang w:val="en-US"/>
        </w:rPr>
        <w:t xml:space="preserve"> 2018</w:t>
      </w:r>
      <w:r w:rsidR="00114C7F">
        <w:rPr>
          <w:lang w:val="en-US"/>
        </w:rPr>
        <w:t>;</w:t>
      </w:r>
      <w:r w:rsidR="007E59D1">
        <w:rPr>
          <w:lang w:val="en-US"/>
        </w:rPr>
        <w:t xml:space="preserve"> </w:t>
      </w:r>
      <w:r>
        <w:rPr>
          <w:lang w:val="en-US"/>
        </w:rPr>
        <w:t>Gornick and Jäntti, 2002;</w:t>
      </w:r>
      <w:r w:rsidR="00114C7F">
        <w:rPr>
          <w:lang w:val="en-US"/>
        </w:rPr>
        <w:t xml:space="preserve"> OECD, 2011</w:t>
      </w:r>
      <w:r>
        <w:rPr>
          <w:lang w:val="en-US"/>
        </w:rPr>
        <w:t>)</w:t>
      </w:r>
      <w:r w:rsidR="00506322">
        <w:rPr>
          <w:lang w:val="en-US"/>
        </w:rPr>
        <w:t xml:space="preserve">. </w:t>
      </w:r>
      <w:r w:rsidR="005010B5">
        <w:rPr>
          <w:lang w:val="en-US"/>
        </w:rPr>
        <w:t>A s</w:t>
      </w:r>
      <w:r w:rsidR="00506322">
        <w:rPr>
          <w:lang w:val="en-US"/>
        </w:rPr>
        <w:t xml:space="preserve">tudy </w:t>
      </w:r>
      <w:r w:rsidR="005010B5">
        <w:rPr>
          <w:lang w:val="en-US"/>
        </w:rPr>
        <w:t xml:space="preserve">of 2004 </w:t>
      </w:r>
      <w:r w:rsidR="00506322">
        <w:rPr>
          <w:lang w:val="en-US"/>
        </w:rPr>
        <w:t xml:space="preserve">LIS data </w:t>
      </w:r>
      <w:r w:rsidR="005010B5">
        <w:rPr>
          <w:lang w:val="en-US"/>
        </w:rPr>
        <w:t>by</w:t>
      </w:r>
      <w:r w:rsidR="005010B5" w:rsidRPr="005010B5">
        <w:rPr>
          <w:lang w:val="en-US"/>
        </w:rPr>
        <w:t xml:space="preserve"> </w:t>
      </w:r>
      <w:r w:rsidR="005010B5">
        <w:rPr>
          <w:lang w:val="en-US"/>
        </w:rPr>
        <w:t>Gornick and Jäntti (2012)</w:t>
      </w:r>
      <w:r w:rsidR="00F43608">
        <w:rPr>
          <w:lang w:val="en-US"/>
        </w:rPr>
        <w:t>,</w:t>
      </w:r>
      <w:r w:rsidR="00506322">
        <w:rPr>
          <w:lang w:val="en-US"/>
        </w:rPr>
        <w:t xml:space="preserve"> showed that c</w:t>
      </w:r>
      <w:r w:rsidR="001768A4">
        <w:rPr>
          <w:lang w:val="en-US"/>
        </w:rPr>
        <w:t>hil</w:t>
      </w:r>
      <w:r w:rsidR="00506322">
        <w:rPr>
          <w:lang w:val="en-US"/>
        </w:rPr>
        <w:t>d</w:t>
      </w:r>
      <w:r w:rsidR="001768A4">
        <w:rPr>
          <w:lang w:val="en-US"/>
        </w:rPr>
        <w:t>ren of lone mothers</w:t>
      </w:r>
      <w:r w:rsidR="00506322">
        <w:rPr>
          <w:lang w:val="en-US"/>
        </w:rPr>
        <w:t xml:space="preserve"> </w:t>
      </w:r>
      <w:r w:rsidR="005010B5">
        <w:rPr>
          <w:lang w:val="en-US"/>
        </w:rPr>
        <w:t xml:space="preserve">were </w:t>
      </w:r>
      <w:r w:rsidR="00506322">
        <w:rPr>
          <w:lang w:val="en-US"/>
        </w:rPr>
        <w:t xml:space="preserve">on average three to four </w:t>
      </w:r>
      <w:r w:rsidR="005010B5">
        <w:rPr>
          <w:lang w:val="en-US"/>
        </w:rPr>
        <w:t xml:space="preserve">times more </w:t>
      </w:r>
      <w:r w:rsidR="00506322">
        <w:rPr>
          <w:lang w:val="en-US"/>
        </w:rPr>
        <w:t xml:space="preserve">likely to be poor </w:t>
      </w:r>
      <w:r w:rsidR="005010B5">
        <w:rPr>
          <w:lang w:val="en-US"/>
        </w:rPr>
        <w:t xml:space="preserve">compared to children in two parent families </w:t>
      </w:r>
      <w:r w:rsidR="00506322">
        <w:rPr>
          <w:lang w:val="en-US"/>
        </w:rPr>
        <w:t>in almost all countries</w:t>
      </w:r>
      <w:r w:rsidR="005010B5">
        <w:rPr>
          <w:lang w:val="en-US"/>
        </w:rPr>
        <w:t xml:space="preserve"> studied</w:t>
      </w:r>
      <w:r w:rsidR="00506322">
        <w:rPr>
          <w:lang w:val="en-US"/>
        </w:rPr>
        <w:t xml:space="preserve">. In Germany child poverty rates for lone mothers was highest </w:t>
      </w:r>
      <w:r w:rsidR="005010B5">
        <w:rPr>
          <w:lang w:val="en-US"/>
        </w:rPr>
        <w:t xml:space="preserve">at </w:t>
      </w:r>
      <w:r w:rsidR="00506322">
        <w:rPr>
          <w:lang w:val="en-US"/>
        </w:rPr>
        <w:t xml:space="preserve">43 </w:t>
      </w:r>
      <w:r w:rsidR="00B76E61">
        <w:rPr>
          <w:lang w:val="en-US"/>
        </w:rPr>
        <w:t>per</w:t>
      </w:r>
      <w:r w:rsidR="005010B5">
        <w:rPr>
          <w:lang w:val="en-US"/>
        </w:rPr>
        <w:t xml:space="preserve"> </w:t>
      </w:r>
      <w:r w:rsidR="00B76E61">
        <w:rPr>
          <w:lang w:val="en-US"/>
        </w:rPr>
        <w:t>ce</w:t>
      </w:r>
      <w:r w:rsidR="009F4DFD">
        <w:rPr>
          <w:lang w:val="en-US"/>
        </w:rPr>
        <w:t>nt</w:t>
      </w:r>
      <w:r w:rsidR="00506322">
        <w:rPr>
          <w:lang w:val="en-US"/>
        </w:rPr>
        <w:t>, compared to Australia and the UK w</w:t>
      </w:r>
      <w:r w:rsidR="005010B5">
        <w:rPr>
          <w:lang w:val="en-US"/>
        </w:rPr>
        <w:t>hich was at 32 per cent and Finland was the lowest</w:t>
      </w:r>
      <w:r w:rsidR="00600531">
        <w:rPr>
          <w:lang w:val="en-US"/>
        </w:rPr>
        <w:t xml:space="preserve">, with </w:t>
      </w:r>
      <w:r w:rsidR="00506322">
        <w:rPr>
          <w:lang w:val="en-US"/>
        </w:rPr>
        <w:t xml:space="preserve">child poverty rates </w:t>
      </w:r>
      <w:r w:rsidR="005010B5">
        <w:rPr>
          <w:lang w:val="en-US"/>
        </w:rPr>
        <w:t xml:space="preserve">for </w:t>
      </w:r>
      <w:r w:rsidR="00506322">
        <w:rPr>
          <w:lang w:val="en-US"/>
        </w:rPr>
        <w:t xml:space="preserve">lone mother families </w:t>
      </w:r>
      <w:r w:rsidR="005010B5">
        <w:rPr>
          <w:lang w:val="en-US"/>
        </w:rPr>
        <w:t xml:space="preserve">at </w:t>
      </w:r>
      <w:r w:rsidR="009F4DFD">
        <w:rPr>
          <w:lang w:val="en-US"/>
        </w:rPr>
        <w:t>11 per</w:t>
      </w:r>
      <w:r w:rsidR="005010B5">
        <w:rPr>
          <w:lang w:val="en-US"/>
        </w:rPr>
        <w:t xml:space="preserve"> </w:t>
      </w:r>
      <w:r w:rsidR="009F4DFD">
        <w:rPr>
          <w:lang w:val="en-US"/>
        </w:rPr>
        <w:t>cent</w:t>
      </w:r>
      <w:r w:rsidR="005010B5">
        <w:rPr>
          <w:lang w:val="en-US"/>
        </w:rPr>
        <w:t xml:space="preserve">. </w:t>
      </w:r>
      <w:r w:rsidR="001768A4">
        <w:rPr>
          <w:lang w:val="en-US"/>
        </w:rPr>
        <w:t xml:space="preserve">Bradshaw </w:t>
      </w:r>
      <w:r w:rsidR="00506322">
        <w:rPr>
          <w:lang w:val="en-US"/>
        </w:rPr>
        <w:t>et al</w:t>
      </w:r>
      <w:r w:rsidR="00531349">
        <w:rPr>
          <w:lang w:val="en-US"/>
        </w:rPr>
        <w:t>.</w:t>
      </w:r>
      <w:r w:rsidR="00506322">
        <w:rPr>
          <w:lang w:val="en-US"/>
        </w:rPr>
        <w:t xml:space="preserve"> (201</w:t>
      </w:r>
      <w:r w:rsidR="00DE31E3">
        <w:rPr>
          <w:lang w:val="en-US"/>
        </w:rPr>
        <w:t>8</w:t>
      </w:r>
      <w:r w:rsidR="00506322">
        <w:rPr>
          <w:lang w:val="en-US"/>
        </w:rPr>
        <w:t xml:space="preserve">) </w:t>
      </w:r>
      <w:r w:rsidR="00506322" w:rsidRPr="00115435">
        <w:rPr>
          <w:lang w:val="en-US"/>
        </w:rPr>
        <w:t>using the</w:t>
      </w:r>
      <w:r w:rsidR="005010B5" w:rsidRPr="00115435">
        <w:rPr>
          <w:lang w:val="en-US"/>
        </w:rPr>
        <w:t xml:space="preserve"> 2016</w:t>
      </w:r>
      <w:r w:rsidR="00506322" w:rsidRPr="00115435">
        <w:rPr>
          <w:lang w:val="en-US"/>
        </w:rPr>
        <w:t xml:space="preserve"> EUSILC </w:t>
      </w:r>
      <w:r w:rsidR="00115435" w:rsidRPr="00115435">
        <w:rPr>
          <w:rFonts w:eastAsiaTheme="minorHAnsi"/>
          <w:lang w:eastAsia="en-US"/>
        </w:rPr>
        <w:t>(European Union Statistics in Income and Living Conditions)</w:t>
      </w:r>
      <w:r w:rsidR="00115435">
        <w:rPr>
          <w:rFonts w:eastAsiaTheme="minorHAnsi"/>
          <w:lang w:eastAsia="en-US"/>
        </w:rPr>
        <w:t xml:space="preserve"> </w:t>
      </w:r>
      <w:r w:rsidR="00506322" w:rsidRPr="00115435">
        <w:rPr>
          <w:lang w:val="en-US"/>
        </w:rPr>
        <w:t>data</w:t>
      </w:r>
      <w:r w:rsidR="00B76E61">
        <w:rPr>
          <w:lang w:val="en-US"/>
        </w:rPr>
        <w:t xml:space="preserve"> also found that </w:t>
      </w:r>
      <w:r w:rsidR="005010B5">
        <w:rPr>
          <w:lang w:val="en-US"/>
        </w:rPr>
        <w:t xml:space="preserve">across </w:t>
      </w:r>
      <w:r w:rsidR="00B76E61" w:rsidRPr="00B76E61">
        <w:rPr>
          <w:lang w:val="en-US"/>
        </w:rPr>
        <w:t>all countries in the EU</w:t>
      </w:r>
      <w:r w:rsidR="005010B5">
        <w:rPr>
          <w:lang w:val="en-US"/>
        </w:rPr>
        <w:t xml:space="preserve">, </w:t>
      </w:r>
      <w:r w:rsidR="00B76E61">
        <w:rPr>
          <w:lang w:val="en-US"/>
        </w:rPr>
        <w:t xml:space="preserve">lone </w:t>
      </w:r>
      <w:r w:rsidR="00B76E61" w:rsidRPr="00B76E61">
        <w:rPr>
          <w:lang w:val="en-US"/>
        </w:rPr>
        <w:t xml:space="preserve">parents </w:t>
      </w:r>
      <w:r w:rsidR="005010B5">
        <w:rPr>
          <w:lang w:val="en-US"/>
        </w:rPr>
        <w:t>(</w:t>
      </w:r>
      <w:r w:rsidR="00F43608">
        <w:rPr>
          <w:lang w:val="en-US"/>
        </w:rPr>
        <w:t>which</w:t>
      </w:r>
      <w:r w:rsidR="000C727E">
        <w:rPr>
          <w:lang w:val="en-US"/>
        </w:rPr>
        <w:t xml:space="preserve"> collectively</w:t>
      </w:r>
      <w:r w:rsidR="00F43608">
        <w:rPr>
          <w:lang w:val="en-US"/>
        </w:rPr>
        <w:t xml:space="preserve"> </w:t>
      </w:r>
      <w:r w:rsidR="005010B5">
        <w:rPr>
          <w:lang w:val="en-US"/>
        </w:rPr>
        <w:t>includ</w:t>
      </w:r>
      <w:r w:rsidR="00F43608">
        <w:rPr>
          <w:lang w:val="en-US"/>
        </w:rPr>
        <w:t xml:space="preserve">es </w:t>
      </w:r>
      <w:r w:rsidR="005010B5">
        <w:rPr>
          <w:lang w:val="en-US"/>
        </w:rPr>
        <w:t>lone mother and lone father households)</w:t>
      </w:r>
      <w:r w:rsidR="005923DB">
        <w:rPr>
          <w:lang w:val="en-US"/>
        </w:rPr>
        <w:t xml:space="preserve"> </w:t>
      </w:r>
      <w:r w:rsidR="00B76E61" w:rsidRPr="00B76E61">
        <w:rPr>
          <w:lang w:val="en-US"/>
        </w:rPr>
        <w:t>ha</w:t>
      </w:r>
      <w:r w:rsidR="004B14BB">
        <w:rPr>
          <w:lang w:val="en-US"/>
        </w:rPr>
        <w:t xml:space="preserve">d </w:t>
      </w:r>
      <w:r w:rsidR="00B76E61" w:rsidRPr="00B76E61">
        <w:rPr>
          <w:lang w:val="en-US"/>
        </w:rPr>
        <w:t>a higher risk of poverty than couples.</w:t>
      </w:r>
      <w:r w:rsidR="009F4DFD">
        <w:rPr>
          <w:lang w:val="en-US"/>
        </w:rPr>
        <w:t xml:space="preserve"> </w:t>
      </w:r>
      <w:r w:rsidR="002E3906">
        <w:rPr>
          <w:lang w:val="en-US"/>
        </w:rPr>
        <w:t xml:space="preserve">In </w:t>
      </w:r>
      <w:r w:rsidR="009F4DFD">
        <w:rPr>
          <w:lang w:val="en-US"/>
        </w:rPr>
        <w:t>F</w:t>
      </w:r>
      <w:r w:rsidR="005010B5">
        <w:rPr>
          <w:lang w:val="en-US"/>
        </w:rPr>
        <w:t>inland 22 per cent of children i</w:t>
      </w:r>
      <w:r w:rsidR="009F4DFD">
        <w:rPr>
          <w:lang w:val="en-US"/>
        </w:rPr>
        <w:t>n</w:t>
      </w:r>
      <w:r w:rsidR="005010B5">
        <w:rPr>
          <w:lang w:val="en-US"/>
        </w:rPr>
        <w:t xml:space="preserve"> lone parent families were poor, compared to 33 per cent in </w:t>
      </w:r>
      <w:r w:rsidR="009F4DFD">
        <w:rPr>
          <w:lang w:val="en-US"/>
        </w:rPr>
        <w:t xml:space="preserve">Germany </w:t>
      </w:r>
      <w:r w:rsidR="005010B5">
        <w:rPr>
          <w:lang w:val="en-US"/>
        </w:rPr>
        <w:t xml:space="preserve">and 27 per cent in the UK. </w:t>
      </w:r>
      <w:r w:rsidR="000C727E">
        <w:rPr>
          <w:lang w:val="en-US"/>
        </w:rPr>
        <w:t>Whilst these studies are not directly comparable as they use different lone parent populations, t</w:t>
      </w:r>
      <w:r w:rsidR="009F4DFD">
        <w:rPr>
          <w:lang w:val="en-US"/>
        </w:rPr>
        <w:t>he</w:t>
      </w:r>
      <w:r w:rsidR="00C544CA">
        <w:rPr>
          <w:lang w:val="en-US"/>
        </w:rPr>
        <w:t xml:space="preserve"> key point </w:t>
      </w:r>
      <w:r w:rsidR="002E3906">
        <w:rPr>
          <w:lang w:val="en-US"/>
        </w:rPr>
        <w:t>Bradshaw et al</w:t>
      </w:r>
      <w:r w:rsidR="007E59D1">
        <w:rPr>
          <w:lang w:val="en-US"/>
        </w:rPr>
        <w:t>.</w:t>
      </w:r>
      <w:r w:rsidR="002E3906">
        <w:rPr>
          <w:lang w:val="en-US"/>
        </w:rPr>
        <w:t xml:space="preserve"> (2018) </w:t>
      </w:r>
      <w:r w:rsidR="005010B5">
        <w:rPr>
          <w:lang w:val="en-US"/>
        </w:rPr>
        <w:t>make</w:t>
      </w:r>
      <w:r w:rsidR="002E3906">
        <w:rPr>
          <w:lang w:val="en-US"/>
        </w:rPr>
        <w:t>,</w:t>
      </w:r>
      <w:r w:rsidR="00C544CA">
        <w:rPr>
          <w:lang w:val="en-US"/>
        </w:rPr>
        <w:t xml:space="preserve"> is that child poverty rates vary considerabl</w:t>
      </w:r>
      <w:r w:rsidR="005010B5">
        <w:rPr>
          <w:lang w:val="en-US"/>
        </w:rPr>
        <w:t xml:space="preserve">y </w:t>
      </w:r>
      <w:r w:rsidR="00C544CA">
        <w:rPr>
          <w:lang w:val="en-US"/>
        </w:rPr>
        <w:t xml:space="preserve">across countries </w:t>
      </w:r>
      <w:r w:rsidR="00600531">
        <w:rPr>
          <w:lang w:val="en-US"/>
        </w:rPr>
        <w:t xml:space="preserve">but </w:t>
      </w:r>
      <w:r w:rsidR="00C544CA">
        <w:rPr>
          <w:lang w:val="en-US"/>
        </w:rPr>
        <w:t>can be</w:t>
      </w:r>
      <w:r w:rsidR="00C544CA" w:rsidRPr="00C544CA">
        <w:rPr>
          <w:lang w:val="en-US"/>
        </w:rPr>
        <w:t xml:space="preserve"> reduced</w:t>
      </w:r>
      <w:r w:rsidR="002E3906">
        <w:rPr>
          <w:lang w:val="en-US"/>
        </w:rPr>
        <w:t xml:space="preserve"> for lone parent families</w:t>
      </w:r>
      <w:r w:rsidR="00C544CA" w:rsidRPr="00C544CA">
        <w:rPr>
          <w:lang w:val="en-US"/>
        </w:rPr>
        <w:t xml:space="preserve"> by social transfers</w:t>
      </w:r>
      <w:r w:rsidR="00C544CA">
        <w:rPr>
          <w:lang w:val="en-US"/>
        </w:rPr>
        <w:t xml:space="preserve">. </w:t>
      </w:r>
    </w:p>
    <w:p w14:paraId="08764A41" w14:textId="77777777" w:rsidR="00F204D3" w:rsidRDefault="00F204D3" w:rsidP="001C18C2">
      <w:pPr>
        <w:spacing w:line="360" w:lineRule="auto"/>
        <w:rPr>
          <w:lang w:val="en-US"/>
        </w:rPr>
      </w:pPr>
    </w:p>
    <w:p w14:paraId="37BD20B4" w14:textId="3399BFE1" w:rsidR="003F4BED" w:rsidRDefault="00F93CE2" w:rsidP="001C18C2">
      <w:pPr>
        <w:spacing w:line="360" w:lineRule="auto"/>
        <w:rPr>
          <w:lang w:val="en-US"/>
        </w:rPr>
      </w:pPr>
      <w:r>
        <w:rPr>
          <w:lang w:val="en-US"/>
        </w:rPr>
        <w:t>C</w:t>
      </w:r>
      <w:r w:rsidR="004B14BB">
        <w:rPr>
          <w:lang w:val="en-US"/>
        </w:rPr>
        <w:t>hild maintenance</w:t>
      </w:r>
      <w:r>
        <w:rPr>
          <w:lang w:val="en-US"/>
        </w:rPr>
        <w:t xml:space="preserve"> policies could have a part to play in understanding some of</w:t>
      </w:r>
      <w:r w:rsidR="00233DFB">
        <w:rPr>
          <w:lang w:val="en-US"/>
        </w:rPr>
        <w:t xml:space="preserve"> this variation</w:t>
      </w:r>
      <w:r w:rsidR="001065AC">
        <w:rPr>
          <w:lang w:val="en-US"/>
        </w:rPr>
        <w:t xml:space="preserve">. </w:t>
      </w:r>
      <w:r w:rsidR="00600531">
        <w:rPr>
          <w:lang w:val="en-US"/>
        </w:rPr>
        <w:t xml:space="preserve">It </w:t>
      </w:r>
      <w:r>
        <w:rPr>
          <w:lang w:val="en-US"/>
        </w:rPr>
        <w:t xml:space="preserve">is </w:t>
      </w:r>
      <w:r w:rsidR="004B14BB">
        <w:rPr>
          <w:lang w:val="en-US"/>
        </w:rPr>
        <w:t xml:space="preserve">a private transfer between separated parents </w:t>
      </w:r>
      <w:r w:rsidR="00F204D3">
        <w:rPr>
          <w:lang w:val="en-US"/>
        </w:rPr>
        <w:t>t</w:t>
      </w:r>
      <w:r w:rsidR="004B14BB">
        <w:rPr>
          <w:lang w:val="en-US"/>
        </w:rPr>
        <w:t>hat the state has an interest in</w:t>
      </w:r>
      <w:r w:rsidR="00600531">
        <w:rPr>
          <w:lang w:val="en-US"/>
        </w:rPr>
        <w:t xml:space="preserve"> upholding and has put institutional arrangements in place to make it so. </w:t>
      </w:r>
      <w:r w:rsidR="00F204D3">
        <w:rPr>
          <w:lang w:val="en-US"/>
        </w:rPr>
        <w:t>M</w:t>
      </w:r>
      <w:r w:rsidR="00C544CA">
        <w:rPr>
          <w:lang w:val="en-US"/>
        </w:rPr>
        <w:t xml:space="preserve">aintenance </w:t>
      </w:r>
      <w:r w:rsidR="002E3906">
        <w:rPr>
          <w:lang w:val="en-US"/>
        </w:rPr>
        <w:t xml:space="preserve">policies </w:t>
      </w:r>
      <w:r w:rsidR="00F204D3">
        <w:rPr>
          <w:lang w:val="en-US"/>
        </w:rPr>
        <w:t xml:space="preserve">do indeed </w:t>
      </w:r>
      <w:r w:rsidR="002E3906">
        <w:rPr>
          <w:lang w:val="en-US"/>
        </w:rPr>
        <w:t>represent an attempt by the state to ensure that separated parents</w:t>
      </w:r>
      <w:r w:rsidR="00F43608">
        <w:rPr>
          <w:lang w:val="en-US"/>
        </w:rPr>
        <w:t xml:space="preserve"> </w:t>
      </w:r>
      <w:r w:rsidR="00F204D3">
        <w:rPr>
          <w:lang w:val="en-US"/>
        </w:rPr>
        <w:t xml:space="preserve">meet their financial obligations to their children and usually </w:t>
      </w:r>
      <w:r w:rsidR="002E3906">
        <w:rPr>
          <w:lang w:val="en-US"/>
        </w:rPr>
        <w:t xml:space="preserve">fathers are </w:t>
      </w:r>
      <w:r w:rsidR="00F204D3">
        <w:rPr>
          <w:lang w:val="en-US"/>
        </w:rPr>
        <w:t xml:space="preserve">the </w:t>
      </w:r>
      <w:r w:rsidR="002E3906">
        <w:rPr>
          <w:lang w:val="en-US"/>
        </w:rPr>
        <w:t xml:space="preserve">payers and mothers </w:t>
      </w:r>
      <w:r w:rsidR="00F204D3">
        <w:rPr>
          <w:lang w:val="en-US"/>
        </w:rPr>
        <w:t>the rec</w:t>
      </w:r>
      <w:r w:rsidR="00600531">
        <w:rPr>
          <w:lang w:val="en-US"/>
        </w:rPr>
        <w:t xml:space="preserve">eivers. </w:t>
      </w:r>
      <w:r w:rsidR="00F204D3">
        <w:rPr>
          <w:lang w:val="en-US"/>
        </w:rPr>
        <w:t xml:space="preserve">Many policies across countries </w:t>
      </w:r>
      <w:r w:rsidR="00B904AB">
        <w:rPr>
          <w:lang w:val="en-US"/>
        </w:rPr>
        <w:t xml:space="preserve">aim </w:t>
      </w:r>
      <w:r w:rsidR="00F204D3">
        <w:rPr>
          <w:lang w:val="en-US"/>
        </w:rPr>
        <w:t>explicit</w:t>
      </w:r>
      <w:r w:rsidR="00600531">
        <w:rPr>
          <w:lang w:val="en-US"/>
        </w:rPr>
        <w:t>ly</w:t>
      </w:r>
      <w:r w:rsidR="00F204D3">
        <w:rPr>
          <w:lang w:val="en-US"/>
        </w:rPr>
        <w:t xml:space="preserve"> to use this as a means to reduce </w:t>
      </w:r>
      <w:r w:rsidR="00F43608">
        <w:rPr>
          <w:lang w:val="en-US"/>
        </w:rPr>
        <w:t xml:space="preserve">child poverty </w:t>
      </w:r>
      <w:r w:rsidR="00C84E50">
        <w:rPr>
          <w:lang w:val="en-US"/>
        </w:rPr>
        <w:t>(Skinner et al.</w:t>
      </w:r>
      <w:r w:rsidR="007E59D1">
        <w:rPr>
          <w:lang w:val="en-US"/>
        </w:rPr>
        <w:t>,</w:t>
      </w:r>
      <w:r w:rsidR="00C84E50">
        <w:rPr>
          <w:lang w:val="en-US"/>
        </w:rPr>
        <w:t xml:space="preserve"> 2012)</w:t>
      </w:r>
      <w:r w:rsidR="00F204D3">
        <w:rPr>
          <w:lang w:val="en-US"/>
        </w:rPr>
        <w:t xml:space="preserve"> and s</w:t>
      </w:r>
      <w:r w:rsidR="007B7776">
        <w:rPr>
          <w:lang w:val="en-US"/>
        </w:rPr>
        <w:t>ome national studies</w:t>
      </w:r>
      <w:r w:rsidR="00F204D3">
        <w:rPr>
          <w:lang w:val="en-US"/>
        </w:rPr>
        <w:t xml:space="preserve"> have explored their effectiveness in this regard. </w:t>
      </w:r>
      <w:r w:rsidR="003F4BED" w:rsidRPr="003F4BED">
        <w:rPr>
          <w:lang w:val="en-US"/>
        </w:rPr>
        <w:t>In the UK,</w:t>
      </w:r>
      <w:r w:rsidR="00F204D3" w:rsidRPr="00F204D3">
        <w:rPr>
          <w:lang w:val="en-US"/>
        </w:rPr>
        <w:t xml:space="preserve"> </w:t>
      </w:r>
      <w:r w:rsidR="00F204D3">
        <w:rPr>
          <w:lang w:val="en-US"/>
        </w:rPr>
        <w:t xml:space="preserve">using the </w:t>
      </w:r>
      <w:r w:rsidR="00F204D3" w:rsidRPr="003F4BED">
        <w:rPr>
          <w:lang w:val="en-US"/>
        </w:rPr>
        <w:t xml:space="preserve">Family and Children Study </w:t>
      </w:r>
      <w:r w:rsidR="00F204D3">
        <w:rPr>
          <w:lang w:val="en-US"/>
        </w:rPr>
        <w:t>(</w:t>
      </w:r>
      <w:r w:rsidR="00F204D3" w:rsidRPr="003F4BED">
        <w:rPr>
          <w:lang w:val="en-US"/>
        </w:rPr>
        <w:t>2008–09</w:t>
      </w:r>
      <w:r w:rsidR="00F204D3">
        <w:rPr>
          <w:lang w:val="en-US"/>
        </w:rPr>
        <w:t xml:space="preserve">) </w:t>
      </w:r>
      <w:r w:rsidR="003F4BED" w:rsidRPr="003F4BED">
        <w:rPr>
          <w:lang w:val="en-US"/>
        </w:rPr>
        <w:t xml:space="preserve">Skinner and Main (2013) </w:t>
      </w:r>
      <w:r w:rsidR="002E3906">
        <w:rPr>
          <w:lang w:val="en-US"/>
        </w:rPr>
        <w:t>found that</w:t>
      </w:r>
      <w:r w:rsidR="00C84E50">
        <w:rPr>
          <w:lang w:val="en-US"/>
        </w:rPr>
        <w:t xml:space="preserve"> </w:t>
      </w:r>
      <w:r w:rsidR="002E3906">
        <w:rPr>
          <w:lang w:val="en-US"/>
        </w:rPr>
        <w:t xml:space="preserve">only </w:t>
      </w:r>
      <w:r w:rsidR="003F4BED" w:rsidRPr="003F4BED">
        <w:rPr>
          <w:lang w:val="en-US"/>
        </w:rPr>
        <w:t xml:space="preserve">34 per cent of </w:t>
      </w:r>
      <w:r w:rsidR="00DA2602">
        <w:rPr>
          <w:lang w:val="en-US"/>
        </w:rPr>
        <w:t xml:space="preserve">all </w:t>
      </w:r>
      <w:r w:rsidR="003F4BED" w:rsidRPr="003F4BED">
        <w:rPr>
          <w:lang w:val="en-US"/>
        </w:rPr>
        <w:t xml:space="preserve">lone mothers </w:t>
      </w:r>
      <w:r w:rsidR="00DA2602">
        <w:rPr>
          <w:lang w:val="en-US"/>
        </w:rPr>
        <w:t xml:space="preserve">eligible to receive child maintenance actually did receive it, </w:t>
      </w:r>
      <w:r w:rsidR="003F4BED" w:rsidRPr="003F4BED">
        <w:rPr>
          <w:lang w:val="en-US"/>
        </w:rPr>
        <w:t>and of those</w:t>
      </w:r>
      <w:r w:rsidR="002E3906">
        <w:rPr>
          <w:lang w:val="en-US"/>
        </w:rPr>
        <w:t xml:space="preserve">, only </w:t>
      </w:r>
      <w:r w:rsidR="003F4BED" w:rsidRPr="003F4BED">
        <w:rPr>
          <w:lang w:val="en-US"/>
        </w:rPr>
        <w:t>14</w:t>
      </w:r>
      <w:r w:rsidR="00C84E50">
        <w:rPr>
          <w:lang w:val="en-US"/>
        </w:rPr>
        <w:t xml:space="preserve"> </w:t>
      </w:r>
      <w:r w:rsidR="003F4BED" w:rsidRPr="003F4BED">
        <w:rPr>
          <w:lang w:val="en-US"/>
        </w:rPr>
        <w:t xml:space="preserve">per cent were lifted out of poverty. </w:t>
      </w:r>
      <w:r w:rsidR="00DA2602">
        <w:rPr>
          <w:lang w:val="en-US"/>
        </w:rPr>
        <w:t xml:space="preserve"> </w:t>
      </w:r>
      <w:r w:rsidR="002E3906">
        <w:rPr>
          <w:lang w:val="en-US"/>
        </w:rPr>
        <w:t xml:space="preserve">In comparison, </w:t>
      </w:r>
      <w:r w:rsidR="003F4BED" w:rsidRPr="003F4BED">
        <w:rPr>
          <w:lang w:val="en-US"/>
        </w:rPr>
        <w:t>Bryson</w:t>
      </w:r>
      <w:r w:rsidR="00C84E50">
        <w:rPr>
          <w:lang w:val="en-US"/>
        </w:rPr>
        <w:t xml:space="preserve"> </w:t>
      </w:r>
      <w:r w:rsidR="003F4BED" w:rsidRPr="003F4BED">
        <w:rPr>
          <w:lang w:val="en-US"/>
        </w:rPr>
        <w:t>et al.</w:t>
      </w:r>
      <w:r w:rsidR="007B7776">
        <w:rPr>
          <w:lang w:val="en-US"/>
        </w:rPr>
        <w:t xml:space="preserve"> </w:t>
      </w:r>
      <w:r w:rsidR="003F4BED" w:rsidRPr="003F4BED">
        <w:rPr>
          <w:lang w:val="en-US"/>
        </w:rPr>
        <w:t>(201</w:t>
      </w:r>
      <w:r w:rsidR="007B7776">
        <w:rPr>
          <w:lang w:val="en-US"/>
        </w:rPr>
        <w:t>3</w:t>
      </w:r>
      <w:r w:rsidR="003F4BED" w:rsidRPr="003F4BED">
        <w:rPr>
          <w:lang w:val="en-US"/>
        </w:rPr>
        <w:t xml:space="preserve">) </w:t>
      </w:r>
      <w:r w:rsidR="002E3906">
        <w:rPr>
          <w:lang w:val="en-US"/>
        </w:rPr>
        <w:t>estimated the poverty effect</w:t>
      </w:r>
      <w:r w:rsidR="00DA2602">
        <w:rPr>
          <w:lang w:val="en-US"/>
        </w:rPr>
        <w:t xml:space="preserve">iveness for </w:t>
      </w:r>
      <w:r w:rsidR="00F204D3">
        <w:rPr>
          <w:lang w:val="en-US"/>
        </w:rPr>
        <w:t xml:space="preserve">a population of </w:t>
      </w:r>
      <w:r w:rsidR="002E3906">
        <w:rPr>
          <w:lang w:val="en-US"/>
        </w:rPr>
        <w:t>lone mothers who were on social ass</w:t>
      </w:r>
      <w:r w:rsidR="00DA2602">
        <w:rPr>
          <w:lang w:val="en-US"/>
        </w:rPr>
        <w:t xml:space="preserve">istance benefits </w:t>
      </w:r>
      <w:r w:rsidR="00037A8B">
        <w:rPr>
          <w:lang w:val="en-US"/>
        </w:rPr>
        <w:t>in the UK</w:t>
      </w:r>
      <w:r w:rsidR="00F204D3">
        <w:rPr>
          <w:lang w:val="en-US"/>
        </w:rPr>
        <w:t xml:space="preserve"> in 2012</w:t>
      </w:r>
      <w:r w:rsidR="00DA2602">
        <w:rPr>
          <w:lang w:val="en-US"/>
        </w:rPr>
        <w:t>. Not surprisingly, they found slightly higher rates</w:t>
      </w:r>
      <w:r w:rsidR="00F204D3">
        <w:rPr>
          <w:lang w:val="en-US"/>
        </w:rPr>
        <w:t>;</w:t>
      </w:r>
      <w:r w:rsidR="00DA2602">
        <w:rPr>
          <w:lang w:val="en-US"/>
        </w:rPr>
        <w:t xml:space="preserve"> some 36 per cent received child maintenance and </w:t>
      </w:r>
      <w:r w:rsidR="002E3906">
        <w:rPr>
          <w:lang w:val="en-US"/>
        </w:rPr>
        <w:t xml:space="preserve">19 per cent were lifted </w:t>
      </w:r>
      <w:r w:rsidR="002E3906" w:rsidRPr="003F4BED">
        <w:rPr>
          <w:lang w:val="en-US"/>
        </w:rPr>
        <w:t>above the poverty threshold</w:t>
      </w:r>
      <w:r w:rsidR="00F43608">
        <w:rPr>
          <w:lang w:val="en-US"/>
        </w:rPr>
        <w:t xml:space="preserve"> by maintenance</w:t>
      </w:r>
      <w:r w:rsidR="00DA2602">
        <w:rPr>
          <w:lang w:val="en-US"/>
        </w:rPr>
        <w:t xml:space="preserve">. </w:t>
      </w:r>
      <w:r w:rsidR="00226FC6">
        <w:rPr>
          <w:lang w:val="en-US"/>
        </w:rPr>
        <w:t>Skinner et al. (2017</w:t>
      </w:r>
      <w:r w:rsidR="007B7776">
        <w:rPr>
          <w:lang w:val="en-US"/>
        </w:rPr>
        <w:t>a</w:t>
      </w:r>
      <w:r w:rsidR="003F4BED" w:rsidRPr="003F4BED">
        <w:rPr>
          <w:lang w:val="en-US"/>
        </w:rPr>
        <w:t>) conducted a</w:t>
      </w:r>
      <w:r w:rsidR="007B7776">
        <w:rPr>
          <w:lang w:val="en-US"/>
        </w:rPr>
        <w:t xml:space="preserve">n </w:t>
      </w:r>
      <w:r w:rsidR="003F4BED" w:rsidRPr="003F4BED">
        <w:rPr>
          <w:lang w:val="en-US"/>
        </w:rPr>
        <w:t xml:space="preserve">analysis of the ‘Household Income and Labour Dynamics in Australia’ (HILDA) panel survey </w:t>
      </w:r>
      <w:r w:rsidR="00DA2602">
        <w:rPr>
          <w:lang w:val="en-US"/>
        </w:rPr>
        <w:t xml:space="preserve">for the </w:t>
      </w:r>
      <w:r w:rsidR="007B7776">
        <w:rPr>
          <w:lang w:val="en-US"/>
        </w:rPr>
        <w:t>year</w:t>
      </w:r>
      <w:r w:rsidR="0020625D">
        <w:rPr>
          <w:lang w:val="en-US"/>
        </w:rPr>
        <w:t xml:space="preserve"> </w:t>
      </w:r>
      <w:r w:rsidR="003F4BED" w:rsidRPr="003F4BED">
        <w:rPr>
          <w:lang w:val="en-US"/>
        </w:rPr>
        <w:t>2011. They found that over half (55</w:t>
      </w:r>
      <w:r w:rsidR="00DA2602">
        <w:rPr>
          <w:lang w:val="en-US"/>
        </w:rPr>
        <w:t>%)</w:t>
      </w:r>
      <w:r w:rsidR="003F4BED" w:rsidRPr="003F4BED">
        <w:rPr>
          <w:lang w:val="en-US"/>
        </w:rPr>
        <w:t xml:space="preserve"> of lone parent</w:t>
      </w:r>
      <w:r w:rsidR="00DA2602">
        <w:rPr>
          <w:lang w:val="en-US"/>
        </w:rPr>
        <w:t xml:space="preserve">s </w:t>
      </w:r>
      <w:r w:rsidR="00F204D3">
        <w:rPr>
          <w:lang w:val="en-US"/>
        </w:rPr>
        <w:t xml:space="preserve">in Australia </w:t>
      </w:r>
      <w:r w:rsidR="003F4BED" w:rsidRPr="003F4BED">
        <w:rPr>
          <w:lang w:val="en-US"/>
        </w:rPr>
        <w:t xml:space="preserve">received child maintenance in the previous year, and </w:t>
      </w:r>
      <w:r w:rsidR="00DA2602">
        <w:rPr>
          <w:lang w:val="en-US"/>
        </w:rPr>
        <w:t xml:space="preserve">their </w:t>
      </w:r>
      <w:r w:rsidR="003F4BED" w:rsidRPr="003F4BED">
        <w:rPr>
          <w:lang w:val="en-US"/>
        </w:rPr>
        <w:t>poverty was reduced by</w:t>
      </w:r>
      <w:r w:rsidR="00226FC6">
        <w:rPr>
          <w:lang w:val="en-US"/>
        </w:rPr>
        <w:t xml:space="preserve"> </w:t>
      </w:r>
      <w:r w:rsidR="003F4BED" w:rsidRPr="003F4BED">
        <w:rPr>
          <w:lang w:val="en-US"/>
        </w:rPr>
        <w:t xml:space="preserve">21 per cent when child maintenance was received. This </w:t>
      </w:r>
      <w:r w:rsidR="00DA2602">
        <w:rPr>
          <w:lang w:val="en-US"/>
        </w:rPr>
        <w:t xml:space="preserve">higher </w:t>
      </w:r>
      <w:r w:rsidR="003F4BED" w:rsidRPr="003F4BED">
        <w:rPr>
          <w:lang w:val="en-US"/>
        </w:rPr>
        <w:t xml:space="preserve">rate of receipt is comparable to that </w:t>
      </w:r>
      <w:r w:rsidR="00DA2602">
        <w:rPr>
          <w:lang w:val="en-US"/>
        </w:rPr>
        <w:t xml:space="preserve">reported </w:t>
      </w:r>
      <w:r w:rsidR="003F4BED" w:rsidRPr="003F4BED">
        <w:rPr>
          <w:lang w:val="en-US"/>
        </w:rPr>
        <w:t>in the Australian Longitudinal Study of Se</w:t>
      </w:r>
      <w:r w:rsidR="00115C7D">
        <w:rPr>
          <w:lang w:val="en-US"/>
        </w:rPr>
        <w:t>parated Families (Quet al.</w:t>
      </w:r>
      <w:r w:rsidR="00C677B5">
        <w:rPr>
          <w:lang w:val="en-US"/>
        </w:rPr>
        <w:t>, 2014</w:t>
      </w:r>
      <w:r w:rsidR="003F4BED" w:rsidRPr="003F4BED">
        <w:rPr>
          <w:lang w:val="en-US"/>
        </w:rPr>
        <w:t>).</w:t>
      </w:r>
    </w:p>
    <w:p w14:paraId="2B6561E0" w14:textId="77777777" w:rsidR="001768A4" w:rsidRDefault="001768A4" w:rsidP="001C18C2">
      <w:pPr>
        <w:spacing w:line="360" w:lineRule="auto"/>
        <w:rPr>
          <w:lang w:val="en-US"/>
        </w:rPr>
      </w:pPr>
    </w:p>
    <w:p w14:paraId="77CDD82B" w14:textId="1912D4E9" w:rsidR="003F4BED" w:rsidRPr="00115435" w:rsidRDefault="00226FC6" w:rsidP="00115435">
      <w:pPr>
        <w:autoSpaceDE w:val="0"/>
        <w:autoSpaceDN w:val="0"/>
        <w:adjustRightInd w:val="0"/>
        <w:spacing w:line="360" w:lineRule="auto"/>
        <w:rPr>
          <w:lang w:val="en-US"/>
        </w:rPr>
      </w:pPr>
      <w:r>
        <w:rPr>
          <w:lang w:val="en-US"/>
        </w:rPr>
        <w:lastRenderedPageBreak/>
        <w:t xml:space="preserve">Some comparative analysis </w:t>
      </w:r>
      <w:r w:rsidR="00037A8B">
        <w:rPr>
          <w:lang w:val="en-US"/>
        </w:rPr>
        <w:t xml:space="preserve">of EU countries </w:t>
      </w:r>
      <w:r>
        <w:rPr>
          <w:lang w:val="en-US"/>
        </w:rPr>
        <w:t>ha</w:t>
      </w:r>
      <w:r w:rsidR="00DA2602">
        <w:rPr>
          <w:lang w:val="en-US"/>
        </w:rPr>
        <w:t>s also been conducted</w:t>
      </w:r>
      <w:r w:rsidR="00037A8B">
        <w:rPr>
          <w:lang w:val="en-US"/>
        </w:rPr>
        <w:t>.</w:t>
      </w:r>
      <w:r>
        <w:rPr>
          <w:lang w:val="en-US"/>
        </w:rPr>
        <w:t xml:space="preserve"> </w:t>
      </w:r>
      <w:r w:rsidR="003F4BED" w:rsidRPr="003F4BED">
        <w:rPr>
          <w:lang w:val="en-US"/>
        </w:rPr>
        <w:t xml:space="preserve">Hakovirta’s (2011) analysis of LIS data found </w:t>
      </w:r>
      <w:r w:rsidR="007B7776">
        <w:rPr>
          <w:lang w:val="en-US"/>
        </w:rPr>
        <w:t>different</w:t>
      </w:r>
      <w:r w:rsidR="003F4BED" w:rsidRPr="003F4BED">
        <w:rPr>
          <w:lang w:val="en-US"/>
        </w:rPr>
        <w:t xml:space="preserve"> </w:t>
      </w:r>
      <w:r w:rsidR="00FD7FFA">
        <w:rPr>
          <w:lang w:val="en-US"/>
        </w:rPr>
        <w:t xml:space="preserve">child </w:t>
      </w:r>
      <w:r w:rsidR="003F4BED" w:rsidRPr="003F4BED">
        <w:rPr>
          <w:lang w:val="en-US"/>
        </w:rPr>
        <w:t>poverty reduction effects for those lone parent families who received maintenance</w:t>
      </w:r>
      <w:r w:rsidR="00DA2602">
        <w:rPr>
          <w:lang w:val="en-US"/>
        </w:rPr>
        <w:t xml:space="preserve">. </w:t>
      </w:r>
      <w:r w:rsidR="007B7776">
        <w:rPr>
          <w:lang w:val="en-US"/>
        </w:rPr>
        <w:t xml:space="preserve">In </w:t>
      </w:r>
      <w:r w:rsidR="00FD7FFA">
        <w:rPr>
          <w:lang w:val="en-US"/>
        </w:rPr>
        <w:t>Finland</w:t>
      </w:r>
      <w:r w:rsidR="00DA2602">
        <w:rPr>
          <w:lang w:val="en-US"/>
        </w:rPr>
        <w:t>,</w:t>
      </w:r>
      <w:r w:rsidR="00FD7FFA">
        <w:rPr>
          <w:lang w:val="en-US"/>
        </w:rPr>
        <w:t xml:space="preserve"> </w:t>
      </w:r>
      <w:r w:rsidR="003F4BED" w:rsidRPr="003F4BED">
        <w:rPr>
          <w:lang w:val="en-US"/>
        </w:rPr>
        <w:t xml:space="preserve">the proportion of children living in poverty decreased by </w:t>
      </w:r>
      <w:r w:rsidR="00FD7FFA">
        <w:rPr>
          <w:lang w:val="en-US"/>
        </w:rPr>
        <w:t xml:space="preserve">29 </w:t>
      </w:r>
      <w:r w:rsidR="003F4BED" w:rsidRPr="003F4BED">
        <w:rPr>
          <w:lang w:val="en-US"/>
        </w:rPr>
        <w:t xml:space="preserve">per cent after maintenance </w:t>
      </w:r>
      <w:r w:rsidR="00DA2602">
        <w:rPr>
          <w:lang w:val="en-US"/>
        </w:rPr>
        <w:t xml:space="preserve">was paid, </w:t>
      </w:r>
      <w:r w:rsidR="00FD7FFA">
        <w:rPr>
          <w:lang w:val="en-US"/>
        </w:rPr>
        <w:t xml:space="preserve">compared </w:t>
      </w:r>
      <w:r w:rsidR="00C677B5">
        <w:rPr>
          <w:lang w:val="en-US"/>
        </w:rPr>
        <w:t>to just</w:t>
      </w:r>
      <w:r w:rsidR="00B61693">
        <w:rPr>
          <w:lang w:val="en-US"/>
        </w:rPr>
        <w:t xml:space="preserve"> </w:t>
      </w:r>
      <w:r w:rsidR="00FD7FFA">
        <w:rPr>
          <w:lang w:val="en-US"/>
        </w:rPr>
        <w:t xml:space="preserve">11 per cent in Germany and 7 per </w:t>
      </w:r>
      <w:r w:rsidR="00C677B5">
        <w:rPr>
          <w:lang w:val="en-US"/>
        </w:rPr>
        <w:t>cent in</w:t>
      </w:r>
      <w:r w:rsidR="00FD7FFA">
        <w:rPr>
          <w:lang w:val="en-US"/>
        </w:rPr>
        <w:t xml:space="preserve"> the UK. </w:t>
      </w:r>
      <w:r w:rsidR="003F4BED" w:rsidRPr="003F4BED">
        <w:rPr>
          <w:lang w:val="en-US"/>
        </w:rPr>
        <w:t xml:space="preserve">The OECD’s latest analysis of LIS </w:t>
      </w:r>
      <w:r w:rsidR="00B61693">
        <w:rPr>
          <w:lang w:val="en-US"/>
        </w:rPr>
        <w:t xml:space="preserve">data </w:t>
      </w:r>
      <w:r w:rsidR="003F4BED" w:rsidRPr="003F4BED">
        <w:rPr>
          <w:lang w:val="en-US"/>
        </w:rPr>
        <w:t>(2011) found a similar ranking of countries with the largest poverty reduction effects occurring among lone pare</w:t>
      </w:r>
      <w:r w:rsidR="00114C7F">
        <w:rPr>
          <w:lang w:val="en-US"/>
        </w:rPr>
        <w:t>nt families in Nordic countries.</w:t>
      </w:r>
      <w:r w:rsidR="003F4BED" w:rsidRPr="003F4BED">
        <w:rPr>
          <w:lang w:val="en-US"/>
        </w:rPr>
        <w:t xml:space="preserve"> </w:t>
      </w:r>
      <w:r w:rsidR="00C677B5">
        <w:rPr>
          <w:lang w:val="en-US"/>
        </w:rPr>
        <w:t>Whereas, i</w:t>
      </w:r>
      <w:r w:rsidR="00C677B5" w:rsidRPr="003F4BED">
        <w:rPr>
          <w:lang w:val="en-US"/>
        </w:rPr>
        <w:t>n the UK and Australia, child maintenance reduced the proportion of lone parents living in poverty by</w:t>
      </w:r>
      <w:r w:rsidR="00C677B5">
        <w:rPr>
          <w:lang w:val="en-US"/>
        </w:rPr>
        <w:t xml:space="preserve"> only </w:t>
      </w:r>
      <w:r w:rsidR="00C677B5" w:rsidRPr="003F4BED">
        <w:rPr>
          <w:lang w:val="en-US"/>
        </w:rPr>
        <w:t>8</w:t>
      </w:r>
      <w:r w:rsidR="00C677B5">
        <w:rPr>
          <w:lang w:val="en-US"/>
        </w:rPr>
        <w:t xml:space="preserve"> </w:t>
      </w:r>
      <w:r w:rsidR="00C677B5" w:rsidRPr="003F4BED">
        <w:rPr>
          <w:lang w:val="en-US"/>
        </w:rPr>
        <w:t>and</w:t>
      </w:r>
      <w:r w:rsidR="00C677B5">
        <w:rPr>
          <w:lang w:val="en-US"/>
        </w:rPr>
        <w:t xml:space="preserve"> </w:t>
      </w:r>
      <w:r w:rsidR="00C677B5" w:rsidRPr="003F4BED">
        <w:rPr>
          <w:lang w:val="en-US"/>
        </w:rPr>
        <w:t>19</w:t>
      </w:r>
      <w:r w:rsidR="00C677B5">
        <w:rPr>
          <w:lang w:val="en-US"/>
        </w:rPr>
        <w:t xml:space="preserve"> </w:t>
      </w:r>
      <w:r w:rsidR="00C677B5" w:rsidRPr="003F4BED">
        <w:rPr>
          <w:lang w:val="en-US"/>
        </w:rPr>
        <w:t>per cent, respectively</w:t>
      </w:r>
      <w:r w:rsidR="00C677B5">
        <w:rPr>
          <w:lang w:val="en-US"/>
        </w:rPr>
        <w:t xml:space="preserve"> (OECD, 2011</w:t>
      </w:r>
      <w:r w:rsidR="00C677B5" w:rsidRPr="00D518E7">
        <w:rPr>
          <w:lang w:val="en-US"/>
        </w:rPr>
        <w:t>).</w:t>
      </w:r>
      <w:r w:rsidR="00C677B5" w:rsidRPr="00D518E7">
        <w:t xml:space="preserve"> </w:t>
      </w:r>
      <w:r w:rsidR="00115435" w:rsidRPr="005C5FB5">
        <w:rPr>
          <w:rFonts w:eastAsiaTheme="minorHAnsi"/>
          <w:lang w:eastAsia="en-US"/>
        </w:rPr>
        <w:t xml:space="preserve">More recently, Hakovirta and Jokela (2018) </w:t>
      </w:r>
      <w:r w:rsidR="000D7BA1">
        <w:rPr>
          <w:rFonts w:eastAsiaTheme="minorHAnsi"/>
          <w:lang w:eastAsia="en-US"/>
        </w:rPr>
        <w:t>looked at household poverty and found that p</w:t>
      </w:r>
      <w:r w:rsidR="00115435" w:rsidRPr="005C5FB5">
        <w:rPr>
          <w:rFonts w:eastAsiaTheme="minorHAnsi"/>
          <w:lang w:eastAsia="en-US"/>
        </w:rPr>
        <w:t xml:space="preserve">overty reduction </w:t>
      </w:r>
      <w:r w:rsidR="005C5FB5">
        <w:rPr>
          <w:rFonts w:eastAsiaTheme="minorHAnsi"/>
          <w:lang w:eastAsia="en-US"/>
        </w:rPr>
        <w:t xml:space="preserve">was </w:t>
      </w:r>
      <w:r w:rsidR="00115435" w:rsidRPr="005C5FB5">
        <w:rPr>
          <w:rFonts w:eastAsiaTheme="minorHAnsi"/>
          <w:lang w:eastAsia="en-US"/>
        </w:rPr>
        <w:t xml:space="preserve">highest in the UK and Finland while in the US, child maintenance </w:t>
      </w:r>
      <w:r w:rsidR="00111781">
        <w:rPr>
          <w:rFonts w:eastAsiaTheme="minorHAnsi"/>
          <w:lang w:eastAsia="en-US"/>
        </w:rPr>
        <w:t>was</w:t>
      </w:r>
      <w:r w:rsidR="00115435" w:rsidRPr="005C5FB5">
        <w:rPr>
          <w:rFonts w:eastAsiaTheme="minorHAnsi"/>
          <w:lang w:eastAsia="en-US"/>
        </w:rPr>
        <w:t xml:space="preserve"> less efficient in lifting lone mother families above the poverty line. </w:t>
      </w:r>
      <w:r w:rsidR="00DB3901" w:rsidRPr="00DB3901">
        <w:rPr>
          <w:rFonts w:eastAsiaTheme="minorHAnsi"/>
          <w:lang w:eastAsia="en-US"/>
        </w:rPr>
        <w:t xml:space="preserve">However, these </w:t>
      </w:r>
      <w:r w:rsidR="00DB3901">
        <w:rPr>
          <w:rFonts w:eastAsiaTheme="minorHAnsi"/>
          <w:lang w:eastAsia="en-US"/>
        </w:rPr>
        <w:t xml:space="preserve">earlier studies </w:t>
      </w:r>
      <w:r w:rsidR="00DB3901" w:rsidRPr="00DB3901">
        <w:rPr>
          <w:rFonts w:eastAsiaTheme="minorHAnsi"/>
          <w:lang w:eastAsia="en-US"/>
        </w:rPr>
        <w:t>ignore the interaction effects</w:t>
      </w:r>
      <w:r w:rsidR="00DB3901">
        <w:rPr>
          <w:rFonts w:eastAsiaTheme="minorHAnsi"/>
          <w:lang w:eastAsia="en-US"/>
        </w:rPr>
        <w:t xml:space="preserve"> and the</w:t>
      </w:r>
      <w:r w:rsidR="00DB3901" w:rsidRPr="00DB3901">
        <w:rPr>
          <w:rFonts w:eastAsiaTheme="minorHAnsi"/>
          <w:lang w:eastAsia="en-US"/>
        </w:rPr>
        <w:t xml:space="preserve"> </w:t>
      </w:r>
      <w:r w:rsidR="003F4BED" w:rsidRPr="00115435">
        <w:rPr>
          <w:lang w:val="en-US"/>
        </w:rPr>
        <w:t>key point from these analyses is that</w:t>
      </w:r>
      <w:r w:rsidR="00761184" w:rsidRPr="00115435">
        <w:rPr>
          <w:lang w:val="en-US"/>
        </w:rPr>
        <w:t xml:space="preserve"> </w:t>
      </w:r>
      <w:r w:rsidR="003F4BED" w:rsidRPr="00115435">
        <w:rPr>
          <w:lang w:val="en-US"/>
        </w:rPr>
        <w:t>the poverty reduction outcomes vary considerably</w:t>
      </w:r>
      <w:r w:rsidR="00C91A85" w:rsidRPr="00115435">
        <w:rPr>
          <w:lang w:val="en-US"/>
        </w:rPr>
        <w:t>, which</w:t>
      </w:r>
      <w:r w:rsidR="00F93CE2" w:rsidRPr="00115435">
        <w:rPr>
          <w:lang w:val="en-US"/>
        </w:rPr>
        <w:t>,</w:t>
      </w:r>
      <w:r w:rsidR="00B61693" w:rsidRPr="00115435">
        <w:rPr>
          <w:lang w:val="en-US"/>
        </w:rPr>
        <w:t xml:space="preserve"> </w:t>
      </w:r>
      <w:r w:rsidR="00037A8B" w:rsidRPr="00115435">
        <w:rPr>
          <w:lang w:val="en-US"/>
        </w:rPr>
        <w:t>we posit</w:t>
      </w:r>
      <w:r w:rsidR="00F93CE2" w:rsidRPr="00115435">
        <w:rPr>
          <w:lang w:val="en-US"/>
        </w:rPr>
        <w:t xml:space="preserve"> </w:t>
      </w:r>
      <w:r w:rsidR="00600531" w:rsidRPr="00115435">
        <w:rPr>
          <w:lang w:val="en-US"/>
        </w:rPr>
        <w:t xml:space="preserve">will partly depend </w:t>
      </w:r>
      <w:r w:rsidR="00C91A85" w:rsidRPr="00115435">
        <w:rPr>
          <w:lang w:val="en-US"/>
        </w:rPr>
        <w:t xml:space="preserve">on the interaction effects </w:t>
      </w:r>
      <w:r w:rsidR="00600531" w:rsidRPr="00115435">
        <w:rPr>
          <w:lang w:val="en-US"/>
        </w:rPr>
        <w:t xml:space="preserve">between </w:t>
      </w:r>
      <w:r w:rsidR="00C91A85" w:rsidRPr="00115435">
        <w:rPr>
          <w:lang w:val="en-US"/>
        </w:rPr>
        <w:t xml:space="preserve">child maintenance </w:t>
      </w:r>
      <w:r w:rsidR="00B61693" w:rsidRPr="00115435">
        <w:rPr>
          <w:lang w:val="en-US"/>
        </w:rPr>
        <w:t>systems and social security systems</w:t>
      </w:r>
      <w:r w:rsidR="00233FE2" w:rsidRPr="00115435">
        <w:rPr>
          <w:lang w:val="en-US"/>
        </w:rPr>
        <w:t xml:space="preserve"> which provide social assistance</w:t>
      </w:r>
      <w:r w:rsidR="00600531" w:rsidRPr="00115435">
        <w:rPr>
          <w:lang w:val="en-US"/>
        </w:rPr>
        <w:t xml:space="preserve"> benefits</w:t>
      </w:r>
      <w:r w:rsidR="00233FE2" w:rsidRPr="00115435">
        <w:rPr>
          <w:lang w:val="en-US"/>
        </w:rPr>
        <w:t xml:space="preserve">. </w:t>
      </w:r>
      <w:r w:rsidR="00B61693" w:rsidRPr="00115435">
        <w:rPr>
          <w:lang w:val="en-US"/>
        </w:rPr>
        <w:t xml:space="preserve"> </w:t>
      </w:r>
    </w:p>
    <w:p w14:paraId="6E01B946" w14:textId="77777777" w:rsidR="00FD7FFA" w:rsidRPr="00547A9D" w:rsidRDefault="00FD7FFA" w:rsidP="001C18C2">
      <w:pPr>
        <w:spacing w:line="360" w:lineRule="auto"/>
        <w:rPr>
          <w:lang w:val="en-US"/>
        </w:rPr>
      </w:pPr>
    </w:p>
    <w:p w14:paraId="2B8380A1" w14:textId="4DA66376" w:rsidR="00D314ED" w:rsidRPr="000E3728" w:rsidRDefault="00D314ED" w:rsidP="00D82E8D">
      <w:pPr>
        <w:rPr>
          <w:b/>
          <w:i/>
          <w:lang w:val="en-US"/>
        </w:rPr>
      </w:pPr>
      <w:r w:rsidRPr="000E3728">
        <w:rPr>
          <w:b/>
          <w:i/>
          <w:lang w:val="en-US"/>
        </w:rPr>
        <w:t xml:space="preserve">Interaction of child maintenance with social assistance benefits </w:t>
      </w:r>
    </w:p>
    <w:p w14:paraId="6FAC4C24" w14:textId="77777777" w:rsidR="00BA0D5C" w:rsidRPr="000E3728" w:rsidRDefault="00BA0D5C" w:rsidP="006309A9">
      <w:pPr>
        <w:spacing w:line="360" w:lineRule="auto"/>
        <w:rPr>
          <w:lang w:val="en-US"/>
        </w:rPr>
      </w:pPr>
    </w:p>
    <w:p w14:paraId="7C367D2B" w14:textId="7B0CA74A" w:rsidR="00780FEB" w:rsidRDefault="006309A9" w:rsidP="00F26FB4">
      <w:pPr>
        <w:spacing w:line="360" w:lineRule="auto"/>
        <w:rPr>
          <w:lang w:val="en-US"/>
        </w:rPr>
      </w:pPr>
      <w:r w:rsidRPr="000E3728">
        <w:rPr>
          <w:lang w:val="en-US"/>
        </w:rPr>
        <w:t xml:space="preserve">Before outlining </w:t>
      </w:r>
      <w:r w:rsidR="00F06ACA" w:rsidRPr="000E3728">
        <w:rPr>
          <w:lang w:val="en-US"/>
        </w:rPr>
        <w:t xml:space="preserve">the results of </w:t>
      </w:r>
      <w:r w:rsidR="007458E5" w:rsidRPr="000E3728">
        <w:rPr>
          <w:lang w:val="en-US"/>
        </w:rPr>
        <w:t xml:space="preserve">our </w:t>
      </w:r>
      <w:r w:rsidR="00A10775" w:rsidRPr="000E3728">
        <w:rPr>
          <w:lang w:val="en-US"/>
        </w:rPr>
        <w:t xml:space="preserve">analysis, </w:t>
      </w:r>
      <w:r w:rsidRPr="000E3728">
        <w:rPr>
          <w:lang w:val="en-US"/>
        </w:rPr>
        <w:t xml:space="preserve">it is helpful to </w:t>
      </w:r>
      <w:r w:rsidR="003E2462">
        <w:rPr>
          <w:lang w:val="en-US"/>
        </w:rPr>
        <w:t xml:space="preserve">explain social assistance schemes, </w:t>
      </w:r>
      <w:r w:rsidRPr="000E3728">
        <w:rPr>
          <w:lang w:val="en-US"/>
        </w:rPr>
        <w:t xml:space="preserve">highlight </w:t>
      </w:r>
      <w:r w:rsidR="008E7F09" w:rsidRPr="000E3728">
        <w:rPr>
          <w:lang w:val="en-US"/>
        </w:rPr>
        <w:t>the key means-</w:t>
      </w:r>
      <w:r w:rsidR="00B3162C" w:rsidRPr="000E3728">
        <w:rPr>
          <w:lang w:val="en-US"/>
        </w:rPr>
        <w:t xml:space="preserve">tested </w:t>
      </w:r>
      <w:r w:rsidR="007458E5" w:rsidRPr="000E3728">
        <w:rPr>
          <w:lang w:val="en-US"/>
        </w:rPr>
        <w:t xml:space="preserve">social assistance </w:t>
      </w:r>
      <w:r w:rsidR="00B3162C" w:rsidRPr="000E3728">
        <w:rPr>
          <w:lang w:val="en-US"/>
        </w:rPr>
        <w:t xml:space="preserve">programs for lone parents and </w:t>
      </w:r>
      <w:r w:rsidR="000D7146" w:rsidRPr="000E3728">
        <w:rPr>
          <w:lang w:val="en-US"/>
        </w:rPr>
        <w:t xml:space="preserve">explain what is known about </w:t>
      </w:r>
      <w:r w:rsidR="00B3162C" w:rsidRPr="000E3728">
        <w:rPr>
          <w:lang w:val="en-US"/>
        </w:rPr>
        <w:t>the</w:t>
      </w:r>
      <w:r w:rsidR="001C18C2" w:rsidRPr="000E3728">
        <w:rPr>
          <w:lang w:val="en-US"/>
        </w:rPr>
        <w:t xml:space="preserve"> </w:t>
      </w:r>
      <w:r w:rsidR="008A4C0F" w:rsidRPr="000E3728">
        <w:rPr>
          <w:lang w:val="en-US"/>
        </w:rPr>
        <w:t xml:space="preserve">interactions </w:t>
      </w:r>
      <w:r w:rsidR="00037A8B" w:rsidRPr="000E3728">
        <w:rPr>
          <w:lang w:val="en-US"/>
        </w:rPr>
        <w:t xml:space="preserve">operating </w:t>
      </w:r>
      <w:r w:rsidR="007458E5" w:rsidRPr="000E3728">
        <w:rPr>
          <w:lang w:val="en-US"/>
        </w:rPr>
        <w:t xml:space="preserve">between </w:t>
      </w:r>
      <w:r w:rsidR="001C18C2" w:rsidRPr="000E3728">
        <w:rPr>
          <w:lang w:val="en-US"/>
        </w:rPr>
        <w:t>child maintenance and social assistance</w:t>
      </w:r>
      <w:r w:rsidR="00780FEB" w:rsidRPr="000E3728">
        <w:rPr>
          <w:lang w:val="en-US"/>
        </w:rPr>
        <w:t xml:space="preserve"> systems</w:t>
      </w:r>
      <w:r w:rsidR="00F93CE2">
        <w:rPr>
          <w:lang w:val="en-US"/>
        </w:rPr>
        <w:t xml:space="preserve"> in our selected countries</w:t>
      </w:r>
      <w:r w:rsidR="001C18C2" w:rsidRPr="000E3728">
        <w:rPr>
          <w:lang w:val="en-US"/>
        </w:rPr>
        <w:t xml:space="preserve">. </w:t>
      </w:r>
    </w:p>
    <w:p w14:paraId="2F7AAE9B" w14:textId="77777777" w:rsidR="003E2462" w:rsidRDefault="003E2462" w:rsidP="00F26FB4">
      <w:pPr>
        <w:spacing w:line="360" w:lineRule="auto"/>
        <w:rPr>
          <w:lang w:val="en-US"/>
        </w:rPr>
      </w:pPr>
    </w:p>
    <w:p w14:paraId="1089395E" w14:textId="2597789B" w:rsidR="003E2462" w:rsidRPr="000E3728" w:rsidRDefault="003E2462" w:rsidP="003E2462">
      <w:pPr>
        <w:spacing w:line="360" w:lineRule="auto"/>
        <w:rPr>
          <w:lang w:val="en-US"/>
        </w:rPr>
      </w:pPr>
      <w:r w:rsidRPr="003E2462">
        <w:rPr>
          <w:lang w:val="en-US"/>
        </w:rPr>
        <w:lastRenderedPageBreak/>
        <w:t>Social assistance benefits are transfers made by government units to households intended to meet the same kinds of needs as social insurance benefits but are provided outside of an organized social insurance scheme and are not conditional on previous payments o</w:t>
      </w:r>
      <w:r w:rsidR="000D7BA1">
        <w:rPr>
          <w:lang w:val="en-US"/>
        </w:rPr>
        <w:t>r</w:t>
      </w:r>
      <w:r w:rsidRPr="003E2462">
        <w:rPr>
          <w:lang w:val="en-US"/>
        </w:rPr>
        <w:t xml:space="preserve"> contributions</w:t>
      </w:r>
      <w:r w:rsidR="00CE1FBE">
        <w:rPr>
          <w:lang w:val="en-US"/>
        </w:rPr>
        <w:t xml:space="preserve"> (OECD, 2001)</w:t>
      </w:r>
      <w:r w:rsidRPr="003E2462">
        <w:rPr>
          <w:lang w:val="en-US"/>
        </w:rPr>
        <w:t>.</w:t>
      </w:r>
      <w:r>
        <w:rPr>
          <w:lang w:val="en-US"/>
        </w:rPr>
        <w:t xml:space="preserve"> Usually benefits are </w:t>
      </w:r>
      <w:r w:rsidRPr="003E2462">
        <w:rPr>
          <w:lang w:val="en-US"/>
        </w:rPr>
        <w:t xml:space="preserve">means-tested or income-related </w:t>
      </w:r>
      <w:r>
        <w:rPr>
          <w:lang w:val="en-US"/>
        </w:rPr>
        <w:t xml:space="preserve">where </w:t>
      </w:r>
      <w:r w:rsidRPr="003E2462">
        <w:rPr>
          <w:lang w:val="en-US"/>
        </w:rPr>
        <w:t>eligibility is d</w:t>
      </w:r>
      <w:r>
        <w:rPr>
          <w:lang w:val="en-US"/>
        </w:rPr>
        <w:t xml:space="preserve">ependent upon current or recent </w:t>
      </w:r>
      <w:r w:rsidRPr="003E2462">
        <w:rPr>
          <w:lang w:val="en-US"/>
        </w:rPr>
        <w:t>resources, though other categorical conditions</w:t>
      </w:r>
      <w:r w:rsidR="000D7BA1">
        <w:rPr>
          <w:lang w:val="en-US"/>
        </w:rPr>
        <w:t xml:space="preserve"> </w:t>
      </w:r>
      <w:r w:rsidRPr="003E2462">
        <w:rPr>
          <w:lang w:val="en-US"/>
        </w:rPr>
        <w:t>may also apply</w:t>
      </w:r>
      <w:r w:rsidR="00CE1FBE">
        <w:rPr>
          <w:lang w:val="en-US"/>
        </w:rPr>
        <w:t xml:space="preserve"> (Gough</w:t>
      </w:r>
      <w:r>
        <w:rPr>
          <w:lang w:val="en-US"/>
        </w:rPr>
        <w:t xml:space="preserve"> et al</w:t>
      </w:r>
      <w:r w:rsidRPr="003E2462">
        <w:rPr>
          <w:lang w:val="en-US"/>
        </w:rPr>
        <w:t>.</w:t>
      </w:r>
      <w:r w:rsidR="00CE1FBE">
        <w:rPr>
          <w:lang w:val="en-US"/>
        </w:rPr>
        <w:t xml:space="preserve">1997). </w:t>
      </w:r>
      <w:r w:rsidR="0016740E">
        <w:rPr>
          <w:lang w:val="en-US"/>
        </w:rPr>
        <w:t xml:space="preserve">They are usually cash benefits intended to bring incomes up to a minimum standard set by law in each country. </w:t>
      </w:r>
    </w:p>
    <w:p w14:paraId="08538F86" w14:textId="77777777" w:rsidR="000D7146" w:rsidRPr="000E3728" w:rsidRDefault="000D7146" w:rsidP="00F26FB4">
      <w:pPr>
        <w:spacing w:line="360" w:lineRule="auto"/>
        <w:rPr>
          <w:lang w:val="en-US"/>
        </w:rPr>
      </w:pPr>
    </w:p>
    <w:p w14:paraId="10B76610" w14:textId="14050C2E" w:rsidR="000E3728" w:rsidRDefault="00F93CE2" w:rsidP="000E3728">
      <w:pPr>
        <w:spacing w:line="360" w:lineRule="auto"/>
        <w:rPr>
          <w:lang w:val="en-US"/>
        </w:rPr>
      </w:pPr>
      <w:r>
        <w:rPr>
          <w:lang w:val="en-US"/>
        </w:rPr>
        <w:t>I</w:t>
      </w:r>
      <w:r w:rsidR="003B5B7F" w:rsidRPr="000E3728">
        <w:rPr>
          <w:lang w:val="en-US"/>
        </w:rPr>
        <w:t>nteraction</w:t>
      </w:r>
      <w:r w:rsidR="000E3728">
        <w:rPr>
          <w:lang w:val="en-US"/>
        </w:rPr>
        <w:t>s</w:t>
      </w:r>
      <w:r w:rsidR="003B5B7F" w:rsidRPr="000E3728">
        <w:rPr>
          <w:lang w:val="en-US"/>
        </w:rPr>
        <w:t xml:space="preserve"> between child </w:t>
      </w:r>
      <w:r w:rsidR="005C5FB5">
        <w:rPr>
          <w:lang w:val="en-US"/>
        </w:rPr>
        <w:t>maintenance</w:t>
      </w:r>
      <w:r w:rsidR="003B5B7F" w:rsidRPr="000E3728">
        <w:rPr>
          <w:lang w:val="en-US"/>
        </w:rPr>
        <w:t xml:space="preserve"> and social assistance systems </w:t>
      </w:r>
      <w:r>
        <w:rPr>
          <w:lang w:val="en-US"/>
        </w:rPr>
        <w:t xml:space="preserve">were first explored by </w:t>
      </w:r>
      <w:r w:rsidRPr="000E3728">
        <w:rPr>
          <w:lang w:val="en-US"/>
        </w:rPr>
        <w:t xml:space="preserve">Skinner, Meyer, Cook and Fletcher </w:t>
      </w:r>
      <w:r w:rsidRPr="000E3728">
        <w:fldChar w:fldCharType="begin" w:fldLock="1"/>
      </w:r>
      <w:r w:rsidRPr="000E3728">
        <w:rPr>
          <w:lang w:val="en-US"/>
        </w:rPr>
        <w:instrText>ADDIN CSL_CITATION { "citationItems" : [ { "id" : "ITEM-1", "itemData" : { "DOI" : "10.1017/S0047279416000763", "ISSN" : "0047-2794", "abstract" : "&lt;p&gt;In most developed countries, children in lone parent families face a high risk of poverty. A partial solution commonly sought in English-speaking nations is to increase the amounts of private child maintenance paid by the other parent. However, where lone parent families are in receipt of social assistance benefits, some countries hold back a portion of the child maintenance to reduce public expenditures. This partial \u2018pass-through\u2019 treats child maintenance as a substitute for cash benefits which conceivably neutralises its poverty reduction potential. Such neutralising effects are not well understood and can be obscured further when more subtle interactions between child maintenance systems and social security systems operate. This research makes a unique contribution to knowledge by exposing the hidden interaction effects operating in similar child maintenance systems across four countries: the United Kingdom, United States (Wisconsin), Australia and New Zealand. We found that when child maintenance is counted as income in calculating benefit entitlements, it can reduce the value of cash benefits. Using model lone parent families with ten different employment and income scenarios, we show how the poverty reduction potential of child maintenance is affected by whether it is treated as a substitute for, or a complement to, cash benefits.&lt;/p&gt;", "author" : [ { "dropping-particle" : "", "family" : "SKINNER", "given" : "CHRISTINE", "non-dropping-particle" : "", "parse-names" : false, "suffix" : "" }, { "dropping-particle" : "", "family" : "MEYER", "given" : "DANIEL R.", "non-dropping-particle" : "", "parse-names" : false, "suffix" : "" }, { "dropping-particle" : "", "family" : "COOK", "given" : "KAY", "non-dropping-particle" : "", "parse-names" : false, "suffix" : "" }, { "dropping-particle" : "", "family" : "FLETCHER", "given" : "MICHAEL", "non-dropping-particle" : "", "parse-names" : false, "suffix" : "" } ], "container-title" : "Journal of Social Policy", "id" : "ITEM-1", "issued" : { "date-parts" : [ [ "2016" ] ] }, "page" : "1-22", "title" : "Child Maintenance and Social Security Interactions: the Poverty Reduction Effects in Model Lone Parent Families across Four Countries", "type" : "article-journal" }, "uris" : [ "http://www.mendeley.com/documents/?uuid=3bf8e9d2-f983-4e1f-883c-16d7181b506e" ] } ], "mendeley" : { "formattedCitation" : "(SKINNER et al., 2016)", "manualFormatting" : "(Skinner et al., 2016)", "plainTextFormattedCitation" : "(SKINNER et al., 2016)", "previouslyFormattedCitation" : "(SKINNER et al., 2016)" }, "properties" : { "noteIndex" : 0 }, "schema" : "https://github.com/citation-style-language/schema/raw/master/csl-citation.json" }</w:instrText>
      </w:r>
      <w:r w:rsidRPr="000E3728">
        <w:fldChar w:fldCharType="separate"/>
      </w:r>
      <w:r w:rsidRPr="000E3728">
        <w:rPr>
          <w:noProof/>
          <w:lang w:val="en-US"/>
        </w:rPr>
        <w:t>(2017b)</w:t>
      </w:r>
      <w:r w:rsidRPr="000E3728">
        <w:fldChar w:fldCharType="end"/>
      </w:r>
      <w:r>
        <w:t xml:space="preserve">. They identified </w:t>
      </w:r>
      <w:r w:rsidRPr="000E3728">
        <w:rPr>
          <w:lang w:val="en-US"/>
        </w:rPr>
        <w:t>explicit</w:t>
      </w:r>
      <w:r w:rsidR="00A10775" w:rsidRPr="000E3728">
        <w:rPr>
          <w:lang w:val="en-US"/>
        </w:rPr>
        <w:t xml:space="preserve"> mechanisms </w:t>
      </w:r>
      <w:r>
        <w:rPr>
          <w:lang w:val="en-US"/>
        </w:rPr>
        <w:t xml:space="preserve">such as the </w:t>
      </w:r>
      <w:r w:rsidR="00A10775" w:rsidRPr="000E3728">
        <w:rPr>
          <w:lang w:val="en-US"/>
        </w:rPr>
        <w:t>‘pass-through’ already described above</w:t>
      </w:r>
      <w:r>
        <w:rPr>
          <w:lang w:val="en-US"/>
        </w:rPr>
        <w:t xml:space="preserve">, which </w:t>
      </w:r>
      <w:r w:rsidR="00D518E7">
        <w:rPr>
          <w:lang w:val="en-US"/>
        </w:rPr>
        <w:t>states</w:t>
      </w:r>
      <w:r>
        <w:rPr>
          <w:lang w:val="en-US"/>
        </w:rPr>
        <w:t xml:space="preserve"> could use to recover some of their fiscal costs.</w:t>
      </w:r>
      <w:r w:rsidR="00A10775" w:rsidRPr="000E3728">
        <w:rPr>
          <w:lang w:val="en-US"/>
        </w:rPr>
        <w:t xml:space="preserve"> But they</w:t>
      </w:r>
      <w:r>
        <w:rPr>
          <w:lang w:val="en-US"/>
        </w:rPr>
        <w:t xml:space="preserve"> also found that cost recovery could happen in more hidden ways. One more </w:t>
      </w:r>
      <w:r w:rsidR="00A10775" w:rsidRPr="000E3728">
        <w:rPr>
          <w:lang w:val="en-US"/>
        </w:rPr>
        <w:t xml:space="preserve">hidden </w:t>
      </w:r>
      <w:r w:rsidR="003B5B7F" w:rsidRPr="000E3728">
        <w:rPr>
          <w:lang w:val="en-US"/>
        </w:rPr>
        <w:t>mechanism</w:t>
      </w:r>
      <w:r w:rsidR="00A10775" w:rsidRPr="000E3728">
        <w:rPr>
          <w:lang w:val="en-US"/>
        </w:rPr>
        <w:t xml:space="preserve"> </w:t>
      </w:r>
      <w:r w:rsidR="003B5B7F" w:rsidRPr="000E3728">
        <w:rPr>
          <w:lang w:val="en-US"/>
        </w:rPr>
        <w:t xml:space="preserve">operated </w:t>
      </w:r>
      <w:r w:rsidR="003D10F7">
        <w:rPr>
          <w:lang w:val="en-US"/>
        </w:rPr>
        <w:t xml:space="preserve">when </w:t>
      </w:r>
      <w:r w:rsidR="003B5B7F" w:rsidRPr="000E3728">
        <w:rPr>
          <w:lang w:val="en-US"/>
        </w:rPr>
        <w:t xml:space="preserve">child maintenance was counted as income in calculating social assistance benefits. Accordingly, benefits were reduced by the same amount as maintenance paid, leaving </w:t>
      </w:r>
      <w:r w:rsidR="003D10F7">
        <w:rPr>
          <w:lang w:val="en-US"/>
        </w:rPr>
        <w:t xml:space="preserve">lone parent </w:t>
      </w:r>
      <w:r w:rsidR="006740A3">
        <w:rPr>
          <w:lang w:val="en-US"/>
        </w:rPr>
        <w:t xml:space="preserve">model </w:t>
      </w:r>
      <w:r w:rsidR="003B5B7F" w:rsidRPr="000E3728">
        <w:rPr>
          <w:lang w:val="en-US"/>
        </w:rPr>
        <w:t>families no better off as their incomes were effectively capped at the level of social assistance benefits.</w:t>
      </w:r>
      <w:r w:rsidR="00C1585A">
        <w:rPr>
          <w:lang w:val="en-US"/>
        </w:rPr>
        <w:t xml:space="preserve"> This </w:t>
      </w:r>
      <w:r w:rsidR="000809CC">
        <w:rPr>
          <w:lang w:val="en-US"/>
        </w:rPr>
        <w:t>meant child maintenance was treated as a substitute for social assistance</w:t>
      </w:r>
      <w:r w:rsidR="00A7076E">
        <w:rPr>
          <w:lang w:val="en-US"/>
        </w:rPr>
        <w:t xml:space="preserve"> benefits</w:t>
      </w:r>
      <w:r w:rsidR="000809CC">
        <w:rPr>
          <w:lang w:val="en-US"/>
        </w:rPr>
        <w:t xml:space="preserve">. </w:t>
      </w:r>
      <w:r w:rsidR="003B5B7F" w:rsidRPr="000E3728">
        <w:rPr>
          <w:lang w:val="en-US"/>
        </w:rPr>
        <w:t xml:space="preserve">Some countries however could operate a ‘child </w:t>
      </w:r>
      <w:r w:rsidR="00DB7C24">
        <w:rPr>
          <w:lang w:val="en-US"/>
        </w:rPr>
        <w:t>maintenance</w:t>
      </w:r>
      <w:r w:rsidR="003B5B7F" w:rsidRPr="000E3728">
        <w:rPr>
          <w:lang w:val="en-US"/>
        </w:rPr>
        <w:t xml:space="preserve"> disregard’ within the social </w:t>
      </w:r>
      <w:r w:rsidR="00A10775" w:rsidRPr="000E3728">
        <w:rPr>
          <w:lang w:val="en-US"/>
        </w:rPr>
        <w:t xml:space="preserve">assistance </w:t>
      </w:r>
      <w:r w:rsidR="003B5B7F" w:rsidRPr="000E3728">
        <w:rPr>
          <w:lang w:val="en-US"/>
        </w:rPr>
        <w:t>system</w:t>
      </w:r>
      <w:r w:rsidR="000809CC">
        <w:rPr>
          <w:lang w:val="en-US"/>
        </w:rPr>
        <w:t xml:space="preserve">; meaning </w:t>
      </w:r>
      <w:r w:rsidR="003B5B7F" w:rsidRPr="000E3728">
        <w:rPr>
          <w:lang w:val="en-US"/>
        </w:rPr>
        <w:t xml:space="preserve">some (or all) of the child maintenance would </w:t>
      </w:r>
      <w:r w:rsidR="00A10775" w:rsidRPr="000E3728">
        <w:rPr>
          <w:lang w:val="en-US"/>
        </w:rPr>
        <w:t xml:space="preserve">be ignored when calculating benefit entitlements. Thereby, child maintenance was treated as a complement </w:t>
      </w:r>
      <w:r w:rsidR="003B5B7F" w:rsidRPr="000E3728">
        <w:rPr>
          <w:lang w:val="en-US"/>
        </w:rPr>
        <w:t>to social assistance benefits</w:t>
      </w:r>
      <w:r w:rsidR="000809CC">
        <w:rPr>
          <w:lang w:val="en-US"/>
        </w:rPr>
        <w:t xml:space="preserve"> and helped </w:t>
      </w:r>
      <w:r w:rsidR="00A10775" w:rsidRPr="000E3728">
        <w:rPr>
          <w:lang w:val="en-US"/>
        </w:rPr>
        <w:t>to reduce poverty</w:t>
      </w:r>
      <w:r w:rsidR="003B5B7F" w:rsidRPr="000E3728">
        <w:rPr>
          <w:lang w:val="en-US"/>
        </w:rPr>
        <w:t xml:space="preserve">. The UK was exceptional in this </w:t>
      </w:r>
      <w:r w:rsidR="003D10F7" w:rsidRPr="000E3728">
        <w:rPr>
          <w:lang w:val="en-US"/>
        </w:rPr>
        <w:t>regard;</w:t>
      </w:r>
      <w:r w:rsidR="003B5B7F" w:rsidRPr="000E3728">
        <w:rPr>
          <w:lang w:val="en-US"/>
        </w:rPr>
        <w:t xml:space="preserve"> </w:t>
      </w:r>
      <w:r w:rsidR="00AA450B">
        <w:rPr>
          <w:lang w:val="en-US"/>
        </w:rPr>
        <w:t xml:space="preserve">since reforms in 2010, </w:t>
      </w:r>
      <w:r w:rsidR="003B5B7F" w:rsidRPr="000E3728">
        <w:rPr>
          <w:lang w:val="en-US"/>
        </w:rPr>
        <w:t>parents could keep all the child maintenance</w:t>
      </w:r>
      <w:r w:rsidR="00A10775" w:rsidRPr="000E3728">
        <w:rPr>
          <w:lang w:val="en-US"/>
        </w:rPr>
        <w:t xml:space="preserve"> paid</w:t>
      </w:r>
      <w:r w:rsidR="003B5B7F" w:rsidRPr="000E3728">
        <w:rPr>
          <w:lang w:val="en-US"/>
        </w:rPr>
        <w:t xml:space="preserve"> increasing their incomes above social assistance levels. </w:t>
      </w:r>
      <w:r w:rsidR="000E3728" w:rsidRPr="000E3728">
        <w:rPr>
          <w:lang w:val="en-US"/>
        </w:rPr>
        <w:t>Consequently, Skinner et al</w:t>
      </w:r>
      <w:r w:rsidR="005C5FB5">
        <w:rPr>
          <w:lang w:val="en-US"/>
        </w:rPr>
        <w:t>.</w:t>
      </w:r>
      <w:r w:rsidR="000E3728" w:rsidRPr="000E3728">
        <w:rPr>
          <w:lang w:val="en-US"/>
        </w:rPr>
        <w:t xml:space="preserve"> (2017b) argued </w:t>
      </w:r>
      <w:r w:rsidR="006740A3">
        <w:rPr>
          <w:lang w:val="en-US"/>
        </w:rPr>
        <w:t xml:space="preserve">from their analysis of model families, </w:t>
      </w:r>
      <w:r w:rsidR="000E3728" w:rsidRPr="000E3728">
        <w:rPr>
          <w:lang w:val="en-US"/>
        </w:rPr>
        <w:t xml:space="preserve">that child maintenance has </w:t>
      </w:r>
      <w:r w:rsidR="000E3728" w:rsidRPr="000E3728">
        <w:rPr>
          <w:lang w:val="en-US"/>
        </w:rPr>
        <w:lastRenderedPageBreak/>
        <w:t xml:space="preserve">only a latent potential to reduce child poverty once these interactions are fully taken into account. </w:t>
      </w:r>
    </w:p>
    <w:p w14:paraId="5C7A3CA3" w14:textId="77777777" w:rsidR="000809CC" w:rsidRPr="000E3728" w:rsidRDefault="000809CC" w:rsidP="000E3728">
      <w:pPr>
        <w:spacing w:line="360" w:lineRule="auto"/>
        <w:rPr>
          <w:lang w:val="en-US"/>
        </w:rPr>
      </w:pPr>
    </w:p>
    <w:p w14:paraId="1AD5AE1B" w14:textId="333036BF" w:rsidR="00761184" w:rsidRDefault="000E3728" w:rsidP="006309A9">
      <w:pPr>
        <w:spacing w:line="360" w:lineRule="auto"/>
      </w:pPr>
      <w:r>
        <w:rPr>
          <w:lang w:val="en-US"/>
        </w:rPr>
        <w:t xml:space="preserve">The </w:t>
      </w:r>
      <w:r w:rsidR="003B5B7F" w:rsidRPr="000E3728">
        <w:rPr>
          <w:lang w:val="en-US"/>
        </w:rPr>
        <w:t xml:space="preserve">ways in which child maintenance payments are treated in determining social assistance benefits and whether a child maintenance disregard operates are </w:t>
      </w:r>
      <w:r w:rsidR="006740A3">
        <w:rPr>
          <w:lang w:val="en-US"/>
        </w:rPr>
        <w:t xml:space="preserve">therefore, </w:t>
      </w:r>
      <w:r w:rsidR="003B5B7F" w:rsidRPr="000E3728">
        <w:rPr>
          <w:lang w:val="en-US"/>
        </w:rPr>
        <w:t>very important factors to consider when assessing the potential of private child maintenance to reduce lone parent poverty.</w:t>
      </w:r>
      <w:r>
        <w:rPr>
          <w:lang w:val="en-US"/>
        </w:rPr>
        <w:t xml:space="preserve"> Moreover, </w:t>
      </w:r>
      <w:r w:rsidR="006740A3">
        <w:rPr>
          <w:lang w:val="en-US"/>
        </w:rPr>
        <w:t xml:space="preserve">it is important to note that </w:t>
      </w:r>
      <w:r>
        <w:rPr>
          <w:lang w:val="en-US"/>
        </w:rPr>
        <w:t>the pass through mechanism and the maintenance disregard can vary in the amounts of child maintenance they cho</w:t>
      </w:r>
      <w:r w:rsidR="003D10F7">
        <w:rPr>
          <w:lang w:val="en-US"/>
        </w:rPr>
        <w:t>ose</w:t>
      </w:r>
      <w:r>
        <w:rPr>
          <w:lang w:val="en-US"/>
        </w:rPr>
        <w:t xml:space="preserve"> to ignore. For example, the pass th</w:t>
      </w:r>
      <w:r w:rsidR="003D10F7">
        <w:rPr>
          <w:lang w:val="en-US"/>
        </w:rPr>
        <w:t>r</w:t>
      </w:r>
      <w:r>
        <w:rPr>
          <w:lang w:val="en-US"/>
        </w:rPr>
        <w:t xml:space="preserve">ough can vary from </w:t>
      </w:r>
      <w:r w:rsidR="003D10F7">
        <w:rPr>
          <w:lang w:val="en-US"/>
        </w:rPr>
        <w:t xml:space="preserve">100 per cent of the maintenance, </w:t>
      </w:r>
      <w:r>
        <w:rPr>
          <w:lang w:val="en-US"/>
        </w:rPr>
        <w:t xml:space="preserve">to </w:t>
      </w:r>
      <w:r w:rsidR="003D10F7">
        <w:rPr>
          <w:lang w:val="en-US"/>
        </w:rPr>
        <w:t xml:space="preserve">a </w:t>
      </w:r>
      <w:r>
        <w:rPr>
          <w:lang w:val="en-US"/>
        </w:rPr>
        <w:t xml:space="preserve">zero amount being passed to the lone parent recipient. </w:t>
      </w:r>
      <w:r w:rsidR="001C0931" w:rsidRPr="009E1253">
        <w:t xml:space="preserve">The </w:t>
      </w:r>
      <w:r w:rsidR="00F26FB4" w:rsidRPr="009E1253">
        <w:t xml:space="preserve">child maintenance disregard </w:t>
      </w:r>
      <w:r w:rsidRPr="009E1253">
        <w:t xml:space="preserve">can also </w:t>
      </w:r>
      <w:r w:rsidR="009E1253" w:rsidRPr="009E1253">
        <w:t xml:space="preserve">be a </w:t>
      </w:r>
      <w:r w:rsidR="00F26FB4" w:rsidRPr="009E1253">
        <w:t xml:space="preserve">‘full disregard’ meaning </w:t>
      </w:r>
      <w:r w:rsidR="00F80932" w:rsidRPr="009E1253">
        <w:t xml:space="preserve">all the child maintenance </w:t>
      </w:r>
      <w:r w:rsidR="002D3EDC">
        <w:t xml:space="preserve">is </w:t>
      </w:r>
      <w:r w:rsidR="00F80932" w:rsidRPr="009E1253">
        <w:t xml:space="preserve">ignored when </w:t>
      </w:r>
      <w:r w:rsidR="00F26FB4" w:rsidRPr="009E1253">
        <w:t>calculati</w:t>
      </w:r>
      <w:r w:rsidR="00F80932" w:rsidRPr="009E1253">
        <w:t xml:space="preserve">ng amounts of </w:t>
      </w:r>
      <w:r w:rsidR="00F26FB4" w:rsidRPr="009E1253">
        <w:t>social assistance benefits</w:t>
      </w:r>
      <w:r w:rsidR="009E1253" w:rsidRPr="009E1253">
        <w:t>,</w:t>
      </w:r>
      <w:r w:rsidR="00F80932" w:rsidRPr="009E1253">
        <w:t xml:space="preserve"> </w:t>
      </w:r>
      <w:r w:rsidRPr="009E1253">
        <w:t xml:space="preserve">or </w:t>
      </w:r>
      <w:r w:rsidR="009E1253" w:rsidRPr="009E1253">
        <w:t xml:space="preserve">it can be </w:t>
      </w:r>
      <w:r w:rsidRPr="009E1253">
        <w:t>a partial disregard</w:t>
      </w:r>
      <w:r w:rsidR="009E1253" w:rsidRPr="009E1253">
        <w:t xml:space="preserve"> or no disregard</w:t>
      </w:r>
      <w:r w:rsidRPr="009E1253">
        <w:t xml:space="preserve">. </w:t>
      </w:r>
      <w:r w:rsidR="009E1253" w:rsidRPr="009E1253">
        <w:t xml:space="preserve">Generally speaking, the pass through mechanism operates within the child maintenance system and the disregard within the social assistance system. But they can also combine in complex ways to produce the same outcomes. For example, </w:t>
      </w:r>
      <w:r w:rsidR="00C82501" w:rsidRPr="009E1253">
        <w:t xml:space="preserve">even if </w:t>
      </w:r>
      <w:r w:rsidR="004576B9" w:rsidRPr="009E1253">
        <w:t xml:space="preserve">all of </w:t>
      </w:r>
      <w:r w:rsidR="009E1253" w:rsidRPr="009E1253">
        <w:t xml:space="preserve">the maintenance is passed through to the receiving parent within the </w:t>
      </w:r>
      <w:r w:rsidR="005C5FB5" w:rsidRPr="009E1253">
        <w:t>maintenance</w:t>
      </w:r>
      <w:r w:rsidR="009E1253" w:rsidRPr="009E1253">
        <w:t xml:space="preserve"> system, it mig</w:t>
      </w:r>
      <w:r w:rsidR="00600531">
        <w:t xml:space="preserve">ht </w:t>
      </w:r>
      <w:r w:rsidR="009E1253" w:rsidRPr="009E1253">
        <w:t xml:space="preserve">not be disregarded when calculating benefits. </w:t>
      </w:r>
      <w:r w:rsidR="004576B9" w:rsidRPr="009E1253">
        <w:t>I</w:t>
      </w:r>
      <w:r w:rsidR="00052A9A" w:rsidRPr="009E1253">
        <w:t xml:space="preserve">n practice </w:t>
      </w:r>
      <w:r w:rsidR="009E1253" w:rsidRPr="009E1253">
        <w:t>therefore</w:t>
      </w:r>
      <w:r w:rsidR="00052A9A" w:rsidRPr="009E1253">
        <w:t xml:space="preserve">, </w:t>
      </w:r>
      <w:r w:rsidR="001C0931" w:rsidRPr="009E1253">
        <w:t>it is complex to</w:t>
      </w:r>
      <w:r w:rsidR="004576B9" w:rsidRPr="009E1253">
        <w:t xml:space="preserve"> work out how these different mechanisms can </w:t>
      </w:r>
      <w:r w:rsidR="009E1253" w:rsidRPr="009E1253">
        <w:t xml:space="preserve">combine </w:t>
      </w:r>
      <w:r w:rsidR="004576B9" w:rsidRPr="009E1253">
        <w:t>to produce the same outcomes.</w:t>
      </w:r>
      <w:r w:rsidR="008325C5" w:rsidRPr="009E1253">
        <w:t xml:space="preserve"> </w:t>
      </w:r>
      <w:r w:rsidR="009E1253" w:rsidRPr="009E1253">
        <w:t>Thus</w:t>
      </w:r>
      <w:r w:rsidR="00C709B4" w:rsidRPr="009E1253">
        <w:t>, w</w:t>
      </w:r>
      <w:r w:rsidR="008325C5" w:rsidRPr="009E1253">
        <w:t>ith</w:t>
      </w:r>
      <w:r w:rsidR="00C709B4" w:rsidRPr="009E1253">
        <w:t xml:space="preserve"> a</w:t>
      </w:r>
      <w:r w:rsidR="008325C5" w:rsidRPr="009E1253">
        <w:t xml:space="preserve"> full-pass through</w:t>
      </w:r>
      <w:r w:rsidR="006A2AA3" w:rsidRPr="009E1253">
        <w:t xml:space="preserve">, but </w:t>
      </w:r>
      <w:r w:rsidR="008325C5" w:rsidRPr="009E1253">
        <w:t xml:space="preserve">no disregard the </w:t>
      </w:r>
      <w:r w:rsidR="00F06ACA" w:rsidRPr="009E1253">
        <w:t xml:space="preserve">final outcome </w:t>
      </w:r>
      <w:r w:rsidR="008325C5" w:rsidRPr="009E1253">
        <w:t xml:space="preserve">may be identical </w:t>
      </w:r>
      <w:r w:rsidR="00C709B4" w:rsidRPr="009E1253">
        <w:t>to whe</w:t>
      </w:r>
      <w:r w:rsidR="004576B9" w:rsidRPr="009E1253">
        <w:t xml:space="preserve">n </w:t>
      </w:r>
      <w:r w:rsidR="002C37B4">
        <w:t xml:space="preserve">none of the maintenance is passed </w:t>
      </w:r>
      <w:r w:rsidR="00C709B4" w:rsidRPr="009E1253">
        <w:t xml:space="preserve">through. This exposes how </w:t>
      </w:r>
      <w:r w:rsidR="00F06ACA" w:rsidRPr="009E1253">
        <w:t>t</w:t>
      </w:r>
      <w:r w:rsidR="008325C5" w:rsidRPr="009E1253">
        <w:t>he institutional procedure</w:t>
      </w:r>
      <w:r w:rsidR="00C709B4" w:rsidRPr="009E1253">
        <w:t>s</w:t>
      </w:r>
      <w:r w:rsidR="008325C5" w:rsidRPr="009E1253">
        <w:t xml:space="preserve"> </w:t>
      </w:r>
      <w:r w:rsidR="00C709B4" w:rsidRPr="009E1253">
        <w:t>may differ</w:t>
      </w:r>
      <w:r w:rsidR="00955B09" w:rsidRPr="009E1253">
        <w:t xml:space="preserve"> across countries</w:t>
      </w:r>
      <w:r w:rsidR="00FC0129" w:rsidRPr="009E1253">
        <w:t xml:space="preserve">, </w:t>
      </w:r>
      <w:r w:rsidR="006A2AA3" w:rsidRPr="009E1253">
        <w:t xml:space="preserve">yet </w:t>
      </w:r>
      <w:r w:rsidR="00FC0129" w:rsidRPr="009E1253">
        <w:t>produce similar outcomes</w:t>
      </w:r>
      <w:r w:rsidR="003D10F7">
        <w:t xml:space="preserve"> and this has imp</w:t>
      </w:r>
      <w:r w:rsidR="006740A3">
        <w:t xml:space="preserve">ortant </w:t>
      </w:r>
      <w:r w:rsidR="003D10F7">
        <w:t>policy impl</w:t>
      </w:r>
      <w:r w:rsidR="006740A3">
        <w:t>ications</w:t>
      </w:r>
      <w:r w:rsidR="003D10F7">
        <w:t>, esp</w:t>
      </w:r>
      <w:r w:rsidR="006740A3">
        <w:t>e</w:t>
      </w:r>
      <w:r w:rsidR="003D10F7">
        <w:t>cially in the light of OECD recommendatio</w:t>
      </w:r>
      <w:r w:rsidR="006740A3">
        <w:t xml:space="preserve">ns highlighted </w:t>
      </w:r>
      <w:r w:rsidR="003D10F7">
        <w:t>in the in</w:t>
      </w:r>
      <w:r w:rsidR="006740A3">
        <w:t xml:space="preserve">troduction. </w:t>
      </w:r>
      <w:r w:rsidR="00F06ACA" w:rsidRPr="009E1253">
        <w:t xml:space="preserve">We will explore this further in the methods section. </w:t>
      </w:r>
      <w:r w:rsidR="006740A3">
        <w:lastRenderedPageBreak/>
        <w:t xml:space="preserve">Meanwhile, </w:t>
      </w:r>
      <w:r w:rsidR="006309A9" w:rsidRPr="009E1253">
        <w:t xml:space="preserve">the </w:t>
      </w:r>
      <w:r w:rsidR="00780FEB" w:rsidRPr="009E1253">
        <w:t xml:space="preserve">use </w:t>
      </w:r>
      <w:r w:rsidR="004576B9" w:rsidRPr="009E1253">
        <w:t xml:space="preserve">of </w:t>
      </w:r>
      <w:r w:rsidR="001C0931" w:rsidRPr="009E1253">
        <w:t>the two mechanism</w:t>
      </w:r>
      <w:r w:rsidR="006740A3">
        <w:t>s</w:t>
      </w:r>
      <w:r w:rsidR="001C0931" w:rsidRPr="009E1253">
        <w:t xml:space="preserve"> </w:t>
      </w:r>
      <w:r w:rsidR="004576B9" w:rsidRPr="009E1253">
        <w:t xml:space="preserve">and the </w:t>
      </w:r>
      <w:r w:rsidR="00C93796" w:rsidRPr="009E1253">
        <w:t>main social assista</w:t>
      </w:r>
      <w:r w:rsidR="00D3629C" w:rsidRPr="009E1253">
        <w:t xml:space="preserve">nce </w:t>
      </w:r>
      <w:r w:rsidR="00C93796" w:rsidRPr="009E1253">
        <w:t>benefit</w:t>
      </w:r>
      <w:r w:rsidR="00D3629C" w:rsidRPr="009E1253">
        <w:t>s</w:t>
      </w:r>
      <w:r w:rsidR="00C93796" w:rsidRPr="009E1253">
        <w:t xml:space="preserve"> for lone parents</w:t>
      </w:r>
      <w:r w:rsidR="00D30772" w:rsidRPr="009E1253">
        <w:t xml:space="preserve"> </w:t>
      </w:r>
      <w:r w:rsidR="006740A3">
        <w:t xml:space="preserve">are described now for </w:t>
      </w:r>
      <w:r w:rsidR="00D30772" w:rsidRPr="009E1253">
        <w:t>each country</w:t>
      </w:r>
      <w:r w:rsidR="00D3629C" w:rsidRPr="009E1253">
        <w:t xml:space="preserve"> </w:t>
      </w:r>
      <w:r w:rsidR="009E1253" w:rsidRPr="009E1253">
        <w:t>in Tab</w:t>
      </w:r>
      <w:r w:rsidR="00F93CE2">
        <w:t xml:space="preserve">le </w:t>
      </w:r>
      <w:r w:rsidR="009E1253" w:rsidRPr="009E1253">
        <w:t xml:space="preserve">1. </w:t>
      </w:r>
    </w:p>
    <w:p w14:paraId="051E453B" w14:textId="77777777" w:rsidR="009E1253" w:rsidRDefault="009E1253" w:rsidP="006309A9">
      <w:pPr>
        <w:spacing w:line="360" w:lineRule="auto"/>
        <w:rPr>
          <w:lang w:val="en-US"/>
        </w:rPr>
      </w:pPr>
    </w:p>
    <w:p w14:paraId="53414ED8" w14:textId="77777777" w:rsidR="000D7146" w:rsidRDefault="00D1661E">
      <w:pPr>
        <w:spacing w:after="200" w:line="276" w:lineRule="auto"/>
        <w:rPr>
          <w:lang w:val="en-US"/>
        </w:rPr>
      </w:pPr>
      <w:r>
        <w:rPr>
          <w:lang w:val="en-US"/>
        </w:rPr>
        <w:t xml:space="preserve">Table 1 HERE </w:t>
      </w:r>
    </w:p>
    <w:p w14:paraId="02A53827" w14:textId="77777777" w:rsidR="006740A3" w:rsidRDefault="006740A3">
      <w:pPr>
        <w:spacing w:after="200" w:line="276" w:lineRule="auto"/>
        <w:rPr>
          <w:lang w:val="en-US"/>
        </w:rPr>
      </w:pPr>
    </w:p>
    <w:p w14:paraId="23E2977B" w14:textId="08433B51" w:rsidR="00D30772" w:rsidRDefault="00857019" w:rsidP="00371F7F">
      <w:pPr>
        <w:spacing w:line="360" w:lineRule="auto"/>
        <w:rPr>
          <w:lang w:val="en-US"/>
        </w:rPr>
      </w:pPr>
      <w:r>
        <w:t xml:space="preserve">In Australia </w:t>
      </w:r>
      <w:r w:rsidR="009C6B63">
        <w:t xml:space="preserve">the main </w:t>
      </w:r>
      <w:r w:rsidR="006A2AA3">
        <w:t>social ass</w:t>
      </w:r>
      <w:r w:rsidR="00F45899">
        <w:t xml:space="preserve">istance </w:t>
      </w:r>
      <w:r w:rsidR="006A2AA3">
        <w:t xml:space="preserve">benefit </w:t>
      </w:r>
      <w:r w:rsidR="009C6B63">
        <w:t>for lone parent</w:t>
      </w:r>
      <w:r w:rsidR="006A2AA3">
        <w:t xml:space="preserve"> families</w:t>
      </w:r>
      <w:r w:rsidR="009C6B63">
        <w:t xml:space="preserve"> is </w:t>
      </w:r>
      <w:r w:rsidR="006A2AA3">
        <w:t xml:space="preserve">means-tested </w:t>
      </w:r>
      <w:r w:rsidR="00F45899">
        <w:t xml:space="preserve">parenting payment. All of the paid </w:t>
      </w:r>
      <w:r w:rsidR="00D30772" w:rsidRPr="00547A9D">
        <w:rPr>
          <w:lang w:val="en-US"/>
        </w:rPr>
        <w:t>child maintenance is passed through</w:t>
      </w:r>
      <w:r w:rsidR="00D30772">
        <w:rPr>
          <w:lang w:val="en-US"/>
        </w:rPr>
        <w:t xml:space="preserve"> to parents, the state does not retain any of </w:t>
      </w:r>
      <w:r w:rsidR="00F45899">
        <w:rPr>
          <w:lang w:val="en-US"/>
        </w:rPr>
        <w:t xml:space="preserve">it. </w:t>
      </w:r>
      <w:r w:rsidR="00D30772">
        <w:rPr>
          <w:lang w:val="en-US"/>
        </w:rPr>
        <w:t>However,</w:t>
      </w:r>
      <w:r w:rsidR="00F45899">
        <w:rPr>
          <w:lang w:val="en-US"/>
        </w:rPr>
        <w:t xml:space="preserve"> maintenance </w:t>
      </w:r>
      <w:r w:rsidR="00D30772">
        <w:rPr>
          <w:lang w:val="en-US"/>
        </w:rPr>
        <w:t xml:space="preserve">is counted as income when calculating social assistance benefits partially reducing its value to the income package of lone mothers. Thus, a portion of the child maintenance in Australia is treated </w:t>
      </w:r>
      <w:r w:rsidR="00D3629C">
        <w:rPr>
          <w:lang w:val="en-US"/>
        </w:rPr>
        <w:t xml:space="preserve">as </w:t>
      </w:r>
      <w:r w:rsidR="00F45899">
        <w:rPr>
          <w:lang w:val="en-US"/>
        </w:rPr>
        <w:t xml:space="preserve">a </w:t>
      </w:r>
      <w:r w:rsidR="00D30772">
        <w:rPr>
          <w:lang w:val="en-US"/>
        </w:rPr>
        <w:t xml:space="preserve">‘substitute’ for social assistance benefits. </w:t>
      </w:r>
    </w:p>
    <w:p w14:paraId="11E55473" w14:textId="77777777" w:rsidR="00D30772" w:rsidRDefault="00D30772" w:rsidP="00371F7F">
      <w:pPr>
        <w:spacing w:line="360" w:lineRule="auto"/>
        <w:rPr>
          <w:lang w:val="en-US"/>
        </w:rPr>
      </w:pPr>
    </w:p>
    <w:p w14:paraId="1DDA6052" w14:textId="251352DB" w:rsidR="00B619DA" w:rsidRDefault="009C6B63" w:rsidP="00B619DA">
      <w:pPr>
        <w:spacing w:line="360" w:lineRule="auto"/>
        <w:rPr>
          <w:lang w:val="en-US"/>
        </w:rPr>
      </w:pPr>
      <w:r>
        <w:rPr>
          <w:lang w:val="en-US"/>
        </w:rPr>
        <w:t xml:space="preserve">In Finland and Germany lone parents can </w:t>
      </w:r>
      <w:r w:rsidR="00D3629C">
        <w:rPr>
          <w:lang w:val="en-US"/>
        </w:rPr>
        <w:t>receive means-</w:t>
      </w:r>
      <w:r>
        <w:rPr>
          <w:lang w:val="en-US"/>
        </w:rPr>
        <w:t xml:space="preserve">tested social assistance if their incomes are low enough. </w:t>
      </w:r>
      <w:r w:rsidR="000809CC">
        <w:rPr>
          <w:lang w:val="en-US"/>
        </w:rPr>
        <w:t xml:space="preserve">They also have </w:t>
      </w:r>
      <w:r w:rsidR="00BF235F">
        <w:rPr>
          <w:lang w:val="en-US"/>
        </w:rPr>
        <w:t xml:space="preserve">guaranteed </w:t>
      </w:r>
      <w:r w:rsidR="001C0931">
        <w:rPr>
          <w:lang w:val="en-US"/>
        </w:rPr>
        <w:t xml:space="preserve">child </w:t>
      </w:r>
      <w:r w:rsidR="00BF235F">
        <w:rPr>
          <w:lang w:val="en-US"/>
        </w:rPr>
        <w:t>maintenance scheme</w:t>
      </w:r>
      <w:r w:rsidR="000809CC">
        <w:rPr>
          <w:lang w:val="en-US"/>
        </w:rPr>
        <w:t>s</w:t>
      </w:r>
      <w:r w:rsidR="00BF235F" w:rsidRPr="00BF235F">
        <w:rPr>
          <w:lang w:val="en-US"/>
        </w:rPr>
        <w:t xml:space="preserve"> which </w:t>
      </w:r>
      <w:r w:rsidR="001C0931">
        <w:rPr>
          <w:lang w:val="en-US"/>
        </w:rPr>
        <w:t xml:space="preserve">advances </w:t>
      </w:r>
      <w:r w:rsidR="00BF235F" w:rsidRPr="00BF235F">
        <w:rPr>
          <w:lang w:val="en-US"/>
        </w:rPr>
        <w:t xml:space="preserve">maintenance financed </w:t>
      </w:r>
      <w:r w:rsidR="001C0931">
        <w:rPr>
          <w:lang w:val="en-US"/>
        </w:rPr>
        <w:t xml:space="preserve">by the state </w:t>
      </w:r>
      <w:r w:rsidR="00BF235F" w:rsidRPr="00BF235F">
        <w:rPr>
          <w:lang w:val="en-US"/>
        </w:rPr>
        <w:t xml:space="preserve">if payments are not made by the </w:t>
      </w:r>
      <w:r w:rsidR="00D3629C">
        <w:rPr>
          <w:lang w:val="en-US"/>
        </w:rPr>
        <w:t xml:space="preserve">responsible </w:t>
      </w:r>
      <w:r w:rsidR="00BF235F" w:rsidRPr="00BF235F">
        <w:rPr>
          <w:lang w:val="en-US"/>
        </w:rPr>
        <w:t>parents, or if there is no non-resident parent, or if t</w:t>
      </w:r>
      <w:r w:rsidR="00D3629C">
        <w:rPr>
          <w:lang w:val="en-US"/>
        </w:rPr>
        <w:t xml:space="preserve">he level of maintenance </w:t>
      </w:r>
      <w:r w:rsidR="00BF235F" w:rsidRPr="00BF235F">
        <w:rPr>
          <w:lang w:val="en-US"/>
        </w:rPr>
        <w:t xml:space="preserve">is </w:t>
      </w:r>
      <w:r w:rsidR="001C0931">
        <w:rPr>
          <w:lang w:val="en-US"/>
        </w:rPr>
        <w:t xml:space="preserve">very </w:t>
      </w:r>
      <w:r w:rsidR="00BF235F" w:rsidRPr="00BF235F">
        <w:rPr>
          <w:lang w:val="en-US"/>
        </w:rPr>
        <w:t>low. The purpose of guaranteed maintenance is to compensate for, or supplement the child maintenance to which the child was otherwise entitled</w:t>
      </w:r>
      <w:r w:rsidR="00767193">
        <w:rPr>
          <w:lang w:val="en-US"/>
        </w:rPr>
        <w:t xml:space="preserve"> (</w:t>
      </w:r>
      <w:r w:rsidR="0074473B">
        <w:rPr>
          <w:lang w:val="en-US"/>
        </w:rPr>
        <w:t>Skinner and Davidson, 200</w:t>
      </w:r>
      <w:r w:rsidR="008F6AAA">
        <w:rPr>
          <w:lang w:val="en-US"/>
        </w:rPr>
        <w:t>9</w:t>
      </w:r>
      <w:r w:rsidR="00052A9A">
        <w:rPr>
          <w:lang w:val="en-US"/>
        </w:rPr>
        <w:t xml:space="preserve">). </w:t>
      </w:r>
      <w:r>
        <w:rPr>
          <w:lang w:val="en-US"/>
        </w:rPr>
        <w:t xml:space="preserve">Both countries </w:t>
      </w:r>
      <w:r w:rsidR="001C0931">
        <w:rPr>
          <w:lang w:val="en-US"/>
        </w:rPr>
        <w:t xml:space="preserve">also </w:t>
      </w:r>
      <w:r>
        <w:rPr>
          <w:lang w:val="en-US"/>
        </w:rPr>
        <w:t>operate</w:t>
      </w:r>
      <w:r w:rsidR="00761184">
        <w:rPr>
          <w:lang w:val="en-US"/>
        </w:rPr>
        <w:t xml:space="preserve"> </w:t>
      </w:r>
      <w:r w:rsidR="009E610B" w:rsidRPr="00547A9D">
        <w:rPr>
          <w:lang w:val="en-US"/>
        </w:rPr>
        <w:t xml:space="preserve">a </w:t>
      </w:r>
      <w:r w:rsidR="00BA0D5C" w:rsidRPr="00547A9D">
        <w:rPr>
          <w:lang w:val="en-US"/>
        </w:rPr>
        <w:t>full pass-through but no disregard</w:t>
      </w:r>
      <w:r w:rsidR="00052A9A">
        <w:rPr>
          <w:lang w:val="en-US"/>
        </w:rPr>
        <w:t xml:space="preserve">. </w:t>
      </w:r>
      <w:r w:rsidR="00010558">
        <w:rPr>
          <w:lang w:val="en-US"/>
        </w:rPr>
        <w:t xml:space="preserve">Meaning that regardless of </w:t>
      </w:r>
      <w:r w:rsidR="00052A9A">
        <w:rPr>
          <w:lang w:val="en-US"/>
        </w:rPr>
        <w:t xml:space="preserve">whether it is </w:t>
      </w:r>
      <w:r w:rsidR="00E95F5C">
        <w:rPr>
          <w:lang w:val="en-US"/>
        </w:rPr>
        <w:t xml:space="preserve">guaranteed </w:t>
      </w:r>
      <w:r w:rsidR="00052A9A">
        <w:rPr>
          <w:lang w:val="en-US"/>
        </w:rPr>
        <w:t>maintenance</w:t>
      </w:r>
      <w:r w:rsidR="000809CC">
        <w:rPr>
          <w:lang w:val="en-US"/>
        </w:rPr>
        <w:t xml:space="preserve"> paid by the state</w:t>
      </w:r>
      <w:r w:rsidR="00052A9A">
        <w:rPr>
          <w:lang w:val="en-US"/>
        </w:rPr>
        <w:t xml:space="preserve">, </w:t>
      </w:r>
      <w:r w:rsidR="000809CC">
        <w:rPr>
          <w:lang w:val="en-US"/>
        </w:rPr>
        <w:t xml:space="preserve">or maintenance paid </w:t>
      </w:r>
      <w:r w:rsidR="00E95F5C">
        <w:rPr>
          <w:lang w:val="en-US"/>
        </w:rPr>
        <w:t xml:space="preserve">by the other </w:t>
      </w:r>
      <w:r w:rsidR="00052A9A">
        <w:rPr>
          <w:lang w:val="en-US"/>
        </w:rPr>
        <w:t>parent,</w:t>
      </w:r>
      <w:r w:rsidR="00440E38">
        <w:rPr>
          <w:lang w:val="en-US"/>
        </w:rPr>
        <w:t xml:space="preserve"> </w:t>
      </w:r>
      <w:r w:rsidR="00010558">
        <w:rPr>
          <w:lang w:val="en-US"/>
        </w:rPr>
        <w:t xml:space="preserve">it </w:t>
      </w:r>
      <w:r w:rsidR="00BA0D5C" w:rsidRPr="00547A9D">
        <w:rPr>
          <w:lang w:val="en-US"/>
        </w:rPr>
        <w:t xml:space="preserve">is counted as </w:t>
      </w:r>
      <w:r w:rsidR="00B02FC7">
        <w:rPr>
          <w:lang w:val="en-US"/>
        </w:rPr>
        <w:t xml:space="preserve">the </w:t>
      </w:r>
      <w:r w:rsidR="00BA0D5C" w:rsidRPr="00547A9D">
        <w:rPr>
          <w:lang w:val="en-US"/>
        </w:rPr>
        <w:t>income of the receiving parent when calculating social assistance</w:t>
      </w:r>
      <w:r w:rsidR="00B772C0">
        <w:rPr>
          <w:lang w:val="en-US"/>
        </w:rPr>
        <w:t xml:space="preserve">. Thereby, </w:t>
      </w:r>
      <w:r w:rsidR="00BA0D5C" w:rsidRPr="00547A9D">
        <w:rPr>
          <w:lang w:val="en-US"/>
        </w:rPr>
        <w:t xml:space="preserve">social assistance is reduced by the </w:t>
      </w:r>
      <w:r w:rsidR="009E610B" w:rsidRPr="00547A9D">
        <w:rPr>
          <w:lang w:val="en-US"/>
        </w:rPr>
        <w:t xml:space="preserve">same </w:t>
      </w:r>
      <w:r w:rsidR="00BA0D5C" w:rsidRPr="00547A9D">
        <w:rPr>
          <w:lang w:val="en-US"/>
        </w:rPr>
        <w:t>amount of child maintenance</w:t>
      </w:r>
      <w:r w:rsidR="002650A7">
        <w:rPr>
          <w:lang w:val="en-US"/>
        </w:rPr>
        <w:t xml:space="preserve"> (Bundesministerium für Arbeit und Soziales</w:t>
      </w:r>
      <w:r w:rsidR="005C5FB5">
        <w:rPr>
          <w:lang w:val="en-US"/>
        </w:rPr>
        <w:t>,</w:t>
      </w:r>
      <w:r w:rsidR="002650A7">
        <w:rPr>
          <w:lang w:val="en-US"/>
        </w:rPr>
        <w:t xml:space="preserve"> 2017</w:t>
      </w:r>
      <w:r w:rsidR="00BF235F">
        <w:rPr>
          <w:lang w:val="en-US"/>
        </w:rPr>
        <w:t>; Social Insurance Institution</w:t>
      </w:r>
      <w:r w:rsidR="005C5FB5">
        <w:rPr>
          <w:lang w:val="en-US"/>
        </w:rPr>
        <w:t>,</w:t>
      </w:r>
      <w:r w:rsidR="00BF235F">
        <w:rPr>
          <w:lang w:val="en-US"/>
        </w:rPr>
        <w:t xml:space="preserve"> 2018</w:t>
      </w:r>
      <w:r w:rsidR="002650A7">
        <w:rPr>
          <w:lang w:val="en-US"/>
        </w:rPr>
        <w:t>)</w:t>
      </w:r>
      <w:r w:rsidR="002650A7" w:rsidRPr="00547A9D">
        <w:rPr>
          <w:lang w:val="en-US"/>
        </w:rPr>
        <w:t>.</w:t>
      </w:r>
      <w:r w:rsidR="00A24197">
        <w:rPr>
          <w:lang w:val="en-US"/>
        </w:rPr>
        <w:t xml:space="preserve"> Lone</w:t>
      </w:r>
      <w:r w:rsidR="00C96CED" w:rsidRPr="00547A9D">
        <w:rPr>
          <w:lang w:val="en-US"/>
        </w:rPr>
        <w:t xml:space="preserve"> parent</w:t>
      </w:r>
      <w:r w:rsidR="00010558">
        <w:rPr>
          <w:lang w:val="en-US"/>
        </w:rPr>
        <w:t>s</w:t>
      </w:r>
      <w:r w:rsidR="00C96CED" w:rsidRPr="00547A9D">
        <w:rPr>
          <w:lang w:val="en-US"/>
        </w:rPr>
        <w:t xml:space="preserve"> on social assistance benefit</w:t>
      </w:r>
      <w:r w:rsidR="00010558">
        <w:rPr>
          <w:lang w:val="en-US"/>
        </w:rPr>
        <w:t>s</w:t>
      </w:r>
      <w:r w:rsidR="00C96CED" w:rsidRPr="00547A9D">
        <w:rPr>
          <w:lang w:val="en-US"/>
        </w:rPr>
        <w:t xml:space="preserve"> </w:t>
      </w:r>
      <w:r w:rsidR="00E95F5C">
        <w:rPr>
          <w:lang w:val="en-US"/>
        </w:rPr>
        <w:lastRenderedPageBreak/>
        <w:t xml:space="preserve">are </w:t>
      </w:r>
      <w:r w:rsidR="00A24197">
        <w:rPr>
          <w:lang w:val="en-US"/>
        </w:rPr>
        <w:t xml:space="preserve">therefore </w:t>
      </w:r>
      <w:r w:rsidR="00600531">
        <w:rPr>
          <w:lang w:val="en-US"/>
        </w:rPr>
        <w:t xml:space="preserve">likely to be </w:t>
      </w:r>
      <w:r w:rsidR="00E95F5C">
        <w:rPr>
          <w:lang w:val="en-US"/>
        </w:rPr>
        <w:t>no better off fin</w:t>
      </w:r>
      <w:r w:rsidR="00A24197">
        <w:rPr>
          <w:lang w:val="en-US"/>
        </w:rPr>
        <w:t xml:space="preserve">ancially </w:t>
      </w:r>
      <w:r w:rsidR="00E95F5C">
        <w:rPr>
          <w:lang w:val="en-US"/>
        </w:rPr>
        <w:t xml:space="preserve">irrespective </w:t>
      </w:r>
      <w:r w:rsidR="005B63AA" w:rsidRPr="00547A9D">
        <w:rPr>
          <w:lang w:val="en-US"/>
        </w:rPr>
        <w:t xml:space="preserve">of </w:t>
      </w:r>
      <w:r w:rsidR="000809CC">
        <w:rPr>
          <w:lang w:val="en-US"/>
        </w:rPr>
        <w:t xml:space="preserve">any maintenance paid by the other parent, unless it is paid at very high levels. </w:t>
      </w:r>
      <w:r w:rsidR="00E95F5C">
        <w:rPr>
          <w:lang w:val="en-US"/>
        </w:rPr>
        <w:t xml:space="preserve">With no disregard in place, </w:t>
      </w:r>
      <w:r w:rsidR="00A24197">
        <w:rPr>
          <w:lang w:val="en-US"/>
        </w:rPr>
        <w:t>child maintenance is treated as a substitute for social assistance and a</w:t>
      </w:r>
      <w:r w:rsidR="00E95F5C">
        <w:rPr>
          <w:lang w:val="en-US"/>
        </w:rPr>
        <w:t xml:space="preserve">cts as a </w:t>
      </w:r>
      <w:r w:rsidR="00B772C0">
        <w:rPr>
          <w:lang w:val="en-US"/>
        </w:rPr>
        <w:t xml:space="preserve">cost recovery </w:t>
      </w:r>
      <w:r w:rsidR="00600531">
        <w:rPr>
          <w:lang w:val="en-US"/>
        </w:rPr>
        <w:t xml:space="preserve">tool </w:t>
      </w:r>
      <w:r w:rsidR="00E95F5C">
        <w:rPr>
          <w:lang w:val="en-US"/>
        </w:rPr>
        <w:t>for the state</w:t>
      </w:r>
      <w:r w:rsidR="00A24197">
        <w:rPr>
          <w:lang w:val="en-US"/>
        </w:rPr>
        <w:t xml:space="preserve">, simultaneously minimizing its </w:t>
      </w:r>
      <w:r w:rsidR="004B03E6" w:rsidRPr="00547A9D">
        <w:rPr>
          <w:lang w:val="en-US"/>
        </w:rPr>
        <w:t xml:space="preserve">value to lone parents.  </w:t>
      </w:r>
    </w:p>
    <w:p w14:paraId="0F36009F" w14:textId="662B3CE2" w:rsidR="005B63AA" w:rsidRDefault="005B63AA" w:rsidP="00371F7F">
      <w:pPr>
        <w:spacing w:line="360" w:lineRule="auto"/>
        <w:rPr>
          <w:lang w:val="en-US"/>
        </w:rPr>
      </w:pPr>
    </w:p>
    <w:p w14:paraId="0BB39E64" w14:textId="2D8B59B7" w:rsidR="00A42F23" w:rsidRDefault="00080D55" w:rsidP="00A42F23">
      <w:pPr>
        <w:spacing w:line="360" w:lineRule="auto"/>
        <w:rPr>
          <w:lang w:val="en-US"/>
        </w:rPr>
      </w:pPr>
      <w:r>
        <w:rPr>
          <w:lang w:val="en-US"/>
        </w:rPr>
        <w:t>In the UK, the main social assistance benefits are Income Support</w:t>
      </w:r>
      <w:r w:rsidR="000809CC">
        <w:rPr>
          <w:lang w:val="en-US"/>
        </w:rPr>
        <w:t>,</w:t>
      </w:r>
      <w:r>
        <w:rPr>
          <w:lang w:val="en-US"/>
        </w:rPr>
        <w:t xml:space="preserve"> or </w:t>
      </w:r>
      <w:r w:rsidR="00C64836">
        <w:rPr>
          <w:lang w:val="en-US"/>
        </w:rPr>
        <w:t xml:space="preserve">Income-based </w:t>
      </w:r>
      <w:r>
        <w:rPr>
          <w:lang w:val="en-US"/>
        </w:rPr>
        <w:t xml:space="preserve">Jobseekers Allowance (the latter </w:t>
      </w:r>
      <w:r w:rsidR="00C64836">
        <w:rPr>
          <w:lang w:val="en-US"/>
        </w:rPr>
        <w:t xml:space="preserve">is </w:t>
      </w:r>
      <w:r>
        <w:rPr>
          <w:lang w:val="en-US"/>
        </w:rPr>
        <w:t xml:space="preserve">for those </w:t>
      </w:r>
      <w:r w:rsidR="00C64836">
        <w:rPr>
          <w:lang w:val="en-US"/>
        </w:rPr>
        <w:t xml:space="preserve">lone parents who are </w:t>
      </w:r>
      <w:r>
        <w:rPr>
          <w:lang w:val="en-US"/>
        </w:rPr>
        <w:t xml:space="preserve">required to </w:t>
      </w:r>
      <w:r w:rsidR="004B02BB">
        <w:rPr>
          <w:lang w:val="en-US"/>
        </w:rPr>
        <w:t xml:space="preserve">seek or take </w:t>
      </w:r>
      <w:r>
        <w:rPr>
          <w:lang w:val="en-US"/>
        </w:rPr>
        <w:t>up work</w:t>
      </w:r>
      <w:r w:rsidR="00C64836">
        <w:rPr>
          <w:lang w:val="en-US"/>
        </w:rPr>
        <w:t xml:space="preserve"> based on the age of the youngest child</w:t>
      </w:r>
      <w:r>
        <w:rPr>
          <w:lang w:val="en-US"/>
        </w:rPr>
        <w:t xml:space="preserve">). These benefits (and others) are being amalgamated into one ‘Universal Credit’ which is being </w:t>
      </w:r>
      <w:r w:rsidR="0016740E">
        <w:rPr>
          <w:lang w:val="en-US"/>
        </w:rPr>
        <w:t xml:space="preserve">slowly </w:t>
      </w:r>
      <w:r>
        <w:rPr>
          <w:lang w:val="en-US"/>
        </w:rPr>
        <w:t>rolled out across the UK</w:t>
      </w:r>
      <w:r w:rsidR="000809CC">
        <w:rPr>
          <w:lang w:val="en-US"/>
        </w:rPr>
        <w:t xml:space="preserve">, so </w:t>
      </w:r>
      <w:r w:rsidR="00AA450B">
        <w:rPr>
          <w:lang w:val="en-US"/>
        </w:rPr>
        <w:t xml:space="preserve">lone </w:t>
      </w:r>
      <w:r w:rsidR="000809CC">
        <w:rPr>
          <w:lang w:val="en-US"/>
        </w:rPr>
        <w:t xml:space="preserve">parents </w:t>
      </w:r>
      <w:r w:rsidR="0016740E">
        <w:rPr>
          <w:lang w:val="en-US"/>
        </w:rPr>
        <w:t xml:space="preserve">in receipt of </w:t>
      </w:r>
      <w:r w:rsidR="00C64836">
        <w:rPr>
          <w:lang w:val="en-US"/>
        </w:rPr>
        <w:t xml:space="preserve"> social assistance </w:t>
      </w:r>
      <w:r w:rsidR="000809CC">
        <w:rPr>
          <w:lang w:val="en-US"/>
        </w:rPr>
        <w:t>could be on any one of these</w:t>
      </w:r>
      <w:r w:rsidR="00AA450B">
        <w:rPr>
          <w:lang w:val="en-US"/>
        </w:rPr>
        <w:t xml:space="preserve"> three benefits</w:t>
      </w:r>
      <w:r w:rsidR="004B02BB">
        <w:rPr>
          <w:lang w:val="en-US"/>
        </w:rPr>
        <w:t xml:space="preserve"> and consequently their incomes might vary slightly even if their circumstances are exactly the same</w:t>
      </w:r>
      <w:r w:rsidR="00AA450B">
        <w:rPr>
          <w:lang w:val="en-US"/>
        </w:rPr>
        <w:t>. T</w:t>
      </w:r>
      <w:r w:rsidR="00052A9A">
        <w:rPr>
          <w:lang w:val="en-US"/>
        </w:rPr>
        <w:t xml:space="preserve">here is a full pass through </w:t>
      </w:r>
      <w:r w:rsidR="00AA450B">
        <w:rPr>
          <w:lang w:val="en-US"/>
        </w:rPr>
        <w:t xml:space="preserve">of child maintenance </w:t>
      </w:r>
      <w:r>
        <w:rPr>
          <w:lang w:val="en-US"/>
        </w:rPr>
        <w:t>and payments are</w:t>
      </w:r>
      <w:r w:rsidR="00600531">
        <w:rPr>
          <w:lang w:val="en-US"/>
        </w:rPr>
        <w:t xml:space="preserve"> also</w:t>
      </w:r>
      <w:r>
        <w:rPr>
          <w:lang w:val="en-US"/>
        </w:rPr>
        <w:t xml:space="preserve"> fully disregarded </w:t>
      </w:r>
      <w:r w:rsidR="00052A9A">
        <w:rPr>
          <w:lang w:val="en-US"/>
        </w:rPr>
        <w:t>(</w:t>
      </w:r>
      <w:r w:rsidR="00B772C0">
        <w:rPr>
          <w:lang w:val="en-US"/>
        </w:rPr>
        <w:t>Skinner et al</w:t>
      </w:r>
      <w:r w:rsidR="005C5FB5">
        <w:rPr>
          <w:lang w:val="en-US"/>
        </w:rPr>
        <w:t>.,</w:t>
      </w:r>
      <w:r w:rsidR="00B772C0">
        <w:rPr>
          <w:lang w:val="en-US"/>
        </w:rPr>
        <w:t xml:space="preserve"> 2017</w:t>
      </w:r>
      <w:r w:rsidR="00BF235F">
        <w:rPr>
          <w:lang w:val="en-US"/>
        </w:rPr>
        <w:t>b</w:t>
      </w:r>
      <w:r w:rsidR="00BF235F" w:rsidRPr="00115C7D">
        <w:rPr>
          <w:lang w:val="en-US"/>
        </w:rPr>
        <w:t>; Bryson</w:t>
      </w:r>
      <w:r w:rsidR="005C5FB5">
        <w:rPr>
          <w:lang w:val="en-US"/>
        </w:rPr>
        <w:t>,</w:t>
      </w:r>
      <w:r w:rsidR="00BF235F" w:rsidRPr="00115C7D">
        <w:rPr>
          <w:lang w:val="en-US"/>
        </w:rPr>
        <w:t xml:space="preserve"> 2013</w:t>
      </w:r>
      <w:r w:rsidR="00B772C0" w:rsidRPr="00115C7D">
        <w:rPr>
          <w:lang w:val="en-US"/>
        </w:rPr>
        <w:t>).</w:t>
      </w:r>
      <w:r w:rsidR="00B772C0">
        <w:rPr>
          <w:lang w:val="en-US"/>
        </w:rPr>
        <w:t xml:space="preserve"> </w:t>
      </w:r>
      <w:r w:rsidR="00052A9A">
        <w:rPr>
          <w:lang w:val="en-US"/>
        </w:rPr>
        <w:t>Thus</w:t>
      </w:r>
      <w:r>
        <w:rPr>
          <w:lang w:val="en-US"/>
        </w:rPr>
        <w:t>,</w:t>
      </w:r>
      <w:r w:rsidR="00052A9A">
        <w:rPr>
          <w:lang w:val="en-US"/>
        </w:rPr>
        <w:t xml:space="preserve"> </w:t>
      </w:r>
      <w:r w:rsidR="00010558">
        <w:rPr>
          <w:lang w:val="en-US"/>
        </w:rPr>
        <w:t>t</w:t>
      </w:r>
      <w:r w:rsidR="00D30772" w:rsidRPr="00547A9D">
        <w:rPr>
          <w:lang w:val="en-US"/>
        </w:rPr>
        <w:t xml:space="preserve">he value of child maintenance </w:t>
      </w:r>
      <w:r w:rsidR="00052A9A">
        <w:rPr>
          <w:lang w:val="en-US"/>
        </w:rPr>
        <w:t>is maximized</w:t>
      </w:r>
      <w:r>
        <w:rPr>
          <w:lang w:val="en-US"/>
        </w:rPr>
        <w:t xml:space="preserve">, </w:t>
      </w:r>
      <w:r w:rsidR="00052A9A">
        <w:rPr>
          <w:lang w:val="en-US"/>
        </w:rPr>
        <w:t xml:space="preserve">(if it is paid) as it is treated </w:t>
      </w:r>
      <w:r w:rsidR="00010558">
        <w:rPr>
          <w:lang w:val="en-US"/>
        </w:rPr>
        <w:t>as a</w:t>
      </w:r>
      <w:r w:rsidR="00B619DA">
        <w:rPr>
          <w:lang w:val="en-US"/>
        </w:rPr>
        <w:t xml:space="preserve"> </w:t>
      </w:r>
      <w:r w:rsidR="00D30772">
        <w:rPr>
          <w:lang w:val="en-US"/>
        </w:rPr>
        <w:t xml:space="preserve">complement to social assistance benefits for all </w:t>
      </w:r>
      <w:r w:rsidR="00D30772" w:rsidRPr="00547A9D">
        <w:rPr>
          <w:lang w:val="en-US"/>
        </w:rPr>
        <w:t>families</w:t>
      </w:r>
      <w:r w:rsidR="00052A9A">
        <w:rPr>
          <w:lang w:val="en-US"/>
        </w:rPr>
        <w:t xml:space="preserve">. Evidence shows </w:t>
      </w:r>
      <w:r w:rsidR="00AA450B">
        <w:rPr>
          <w:lang w:val="en-US"/>
        </w:rPr>
        <w:t>since this reform was introduced in 2</w:t>
      </w:r>
      <w:r w:rsidR="00600531">
        <w:rPr>
          <w:lang w:val="en-US"/>
        </w:rPr>
        <w:t>010</w:t>
      </w:r>
      <w:r w:rsidR="00AA450B">
        <w:rPr>
          <w:lang w:val="en-US"/>
        </w:rPr>
        <w:t xml:space="preserve">, it has </w:t>
      </w:r>
      <w:r w:rsidR="00052A9A">
        <w:rPr>
          <w:lang w:val="en-US"/>
        </w:rPr>
        <w:t xml:space="preserve">worked to improve incentives </w:t>
      </w:r>
      <w:r w:rsidR="00D15E11">
        <w:rPr>
          <w:lang w:val="en-US"/>
        </w:rPr>
        <w:t>for non-</w:t>
      </w:r>
      <w:r w:rsidR="002125BA">
        <w:rPr>
          <w:lang w:val="en-US"/>
        </w:rPr>
        <w:t>resident</w:t>
      </w:r>
      <w:r w:rsidR="00D15E11">
        <w:rPr>
          <w:lang w:val="en-US"/>
        </w:rPr>
        <w:t xml:space="preserve"> parents to pay </w:t>
      </w:r>
      <w:r w:rsidR="00AA450B">
        <w:rPr>
          <w:lang w:val="en-US"/>
        </w:rPr>
        <w:t>(</w:t>
      </w:r>
      <w:r w:rsidR="00E95F5C">
        <w:rPr>
          <w:lang w:val="en-US"/>
        </w:rPr>
        <w:t>Bryson et al</w:t>
      </w:r>
      <w:r w:rsidR="005C5FB5">
        <w:rPr>
          <w:lang w:val="en-US"/>
        </w:rPr>
        <w:t>.,</w:t>
      </w:r>
      <w:r w:rsidR="00E95F5C">
        <w:rPr>
          <w:lang w:val="en-US"/>
        </w:rPr>
        <w:t xml:space="preserve"> 2013)</w:t>
      </w:r>
      <w:r w:rsidR="00856B68">
        <w:rPr>
          <w:lang w:val="en-US"/>
        </w:rPr>
        <w:t>.</w:t>
      </w:r>
      <w:r w:rsidR="00E95F5C">
        <w:rPr>
          <w:lang w:val="en-US"/>
        </w:rPr>
        <w:t xml:space="preserve"> </w:t>
      </w:r>
      <w:r>
        <w:rPr>
          <w:lang w:val="en-US"/>
        </w:rPr>
        <w:t xml:space="preserve">Overall, from </w:t>
      </w:r>
      <w:r w:rsidR="00A42F23" w:rsidRPr="00547A9D">
        <w:rPr>
          <w:lang w:val="en-US"/>
        </w:rPr>
        <w:t>the evidence available</w:t>
      </w:r>
      <w:r>
        <w:rPr>
          <w:lang w:val="en-US"/>
        </w:rPr>
        <w:t xml:space="preserve"> in the UK and US</w:t>
      </w:r>
      <w:r w:rsidR="00A42F23" w:rsidRPr="00547A9D">
        <w:rPr>
          <w:lang w:val="en-US"/>
        </w:rPr>
        <w:t xml:space="preserve">, it seems </w:t>
      </w:r>
      <w:r>
        <w:rPr>
          <w:lang w:val="en-US"/>
        </w:rPr>
        <w:t xml:space="preserve">a </w:t>
      </w:r>
      <w:r w:rsidR="00A42F23" w:rsidRPr="00547A9D">
        <w:rPr>
          <w:lang w:val="en-US"/>
        </w:rPr>
        <w:t>more generous pass</w:t>
      </w:r>
      <w:r w:rsidR="00856B68">
        <w:rPr>
          <w:lang w:val="en-US"/>
        </w:rPr>
        <w:t xml:space="preserve"> </w:t>
      </w:r>
      <w:r w:rsidR="00A42F23" w:rsidRPr="00547A9D">
        <w:rPr>
          <w:lang w:val="en-US"/>
        </w:rPr>
        <w:t>through and disregard</w:t>
      </w:r>
      <w:r w:rsidR="002D3EDC">
        <w:rPr>
          <w:lang w:val="en-US"/>
        </w:rPr>
        <w:t>s</w:t>
      </w:r>
      <w:r w:rsidR="00A42F23" w:rsidRPr="00547A9D">
        <w:rPr>
          <w:lang w:val="en-US"/>
        </w:rPr>
        <w:t xml:space="preserve"> are associated with higher levels of child maintenance</w:t>
      </w:r>
      <w:r>
        <w:rPr>
          <w:lang w:val="en-US"/>
        </w:rPr>
        <w:t xml:space="preserve">. The question is does this translate into a reduction in poverty? </w:t>
      </w:r>
    </w:p>
    <w:p w14:paraId="0B6065B7" w14:textId="77777777" w:rsidR="00AA450B" w:rsidRDefault="00AA450B" w:rsidP="00A42F23">
      <w:pPr>
        <w:spacing w:line="360" w:lineRule="auto"/>
        <w:rPr>
          <w:lang w:val="en-US"/>
        </w:rPr>
      </w:pPr>
    </w:p>
    <w:p w14:paraId="4C765B30" w14:textId="1D3BD1D5" w:rsidR="00DE33D8" w:rsidRDefault="00DE33D8" w:rsidP="00FC4C81">
      <w:pPr>
        <w:spacing w:line="480" w:lineRule="auto"/>
        <w:jc w:val="both"/>
        <w:rPr>
          <w:lang w:val="en-US"/>
        </w:rPr>
      </w:pPr>
      <w:r>
        <w:rPr>
          <w:rFonts w:eastAsia="Calibri"/>
          <w:b/>
          <w:lang w:val="en-US" w:eastAsia="en-US"/>
        </w:rPr>
        <w:t xml:space="preserve">Aims, </w:t>
      </w:r>
      <w:r w:rsidR="00AC6444">
        <w:rPr>
          <w:rFonts w:eastAsia="Calibri"/>
          <w:b/>
          <w:lang w:val="en-US" w:eastAsia="en-US"/>
        </w:rPr>
        <w:t>d</w:t>
      </w:r>
      <w:r w:rsidR="009D4DA5" w:rsidRPr="009D4DA5">
        <w:rPr>
          <w:rFonts w:eastAsia="Calibri"/>
          <w:b/>
          <w:lang w:val="en-US" w:eastAsia="en-US"/>
        </w:rPr>
        <w:t>ata</w:t>
      </w:r>
      <w:r w:rsidR="00AC6444">
        <w:rPr>
          <w:rFonts w:eastAsia="Calibri"/>
          <w:b/>
          <w:lang w:val="en-US" w:eastAsia="en-US"/>
        </w:rPr>
        <w:t xml:space="preserve"> and measures, s</w:t>
      </w:r>
      <w:r w:rsidR="009D4DA5" w:rsidRPr="009D4DA5">
        <w:rPr>
          <w:rFonts w:eastAsia="Calibri"/>
          <w:b/>
          <w:lang w:val="en-US" w:eastAsia="en-US"/>
        </w:rPr>
        <w:t>ampl</w:t>
      </w:r>
      <w:r w:rsidR="00AC6444">
        <w:rPr>
          <w:rFonts w:eastAsia="Calibri"/>
          <w:b/>
          <w:lang w:val="en-US" w:eastAsia="en-US"/>
        </w:rPr>
        <w:t xml:space="preserve">e </w:t>
      </w:r>
      <w:r w:rsidR="00B334FB">
        <w:rPr>
          <w:rFonts w:eastAsia="Calibri"/>
          <w:b/>
          <w:lang w:val="en-US" w:eastAsia="en-US"/>
        </w:rPr>
        <w:t xml:space="preserve">characteristics  </w:t>
      </w:r>
    </w:p>
    <w:p w14:paraId="4B0A6368" w14:textId="6E7C0AA7" w:rsidR="00DE33D8" w:rsidRPr="00547A9D" w:rsidRDefault="00DE33D8" w:rsidP="00DE33D8">
      <w:pPr>
        <w:spacing w:line="360" w:lineRule="auto"/>
        <w:rPr>
          <w:lang w:val="en-US"/>
        </w:rPr>
      </w:pPr>
      <w:r>
        <w:t xml:space="preserve">The aim </w:t>
      </w:r>
      <w:r w:rsidRPr="004F7B7D">
        <w:t xml:space="preserve">of </w:t>
      </w:r>
      <w:r>
        <w:t xml:space="preserve">this article is </w:t>
      </w:r>
      <w:r w:rsidRPr="004F7B7D">
        <w:t xml:space="preserve">to </w:t>
      </w:r>
      <w:r w:rsidR="000D7146">
        <w:t xml:space="preserve">discover </w:t>
      </w:r>
      <w:r>
        <w:t>whether child maintenance</w:t>
      </w:r>
      <w:r w:rsidRPr="004F7B7D">
        <w:t xml:space="preserve"> </w:t>
      </w:r>
      <w:r w:rsidR="000D7146">
        <w:t xml:space="preserve">provides </w:t>
      </w:r>
      <w:r w:rsidRPr="004F7B7D">
        <w:t xml:space="preserve">additional value to the income of </w:t>
      </w:r>
      <w:r w:rsidR="000D7146">
        <w:t xml:space="preserve">the poorest </w:t>
      </w:r>
      <w:r>
        <w:t>lone parents</w:t>
      </w:r>
      <w:r w:rsidR="000D7146">
        <w:t xml:space="preserve"> reliant on social assistance benefits </w:t>
      </w:r>
      <w:r w:rsidRPr="004F7B7D">
        <w:t>(</w:t>
      </w:r>
      <w:r w:rsidR="000D7146">
        <w:t xml:space="preserve">where </w:t>
      </w:r>
      <w:r w:rsidRPr="004F7B7D">
        <w:t>it is</w:t>
      </w:r>
      <w:r w:rsidR="000D7146">
        <w:t xml:space="preserve"> treated as</w:t>
      </w:r>
      <w:r w:rsidRPr="004F7B7D">
        <w:t xml:space="preserve"> a complement to </w:t>
      </w:r>
      <w:r w:rsidR="000D7146">
        <w:t xml:space="preserve">social assistance) </w:t>
      </w:r>
      <w:r>
        <w:t xml:space="preserve">or </w:t>
      </w:r>
      <w:r w:rsidRPr="004F7B7D">
        <w:t>whe</w:t>
      </w:r>
      <w:r>
        <w:t>ther</w:t>
      </w:r>
      <w:r w:rsidRPr="004F7B7D">
        <w:t xml:space="preserve"> it has </w:t>
      </w:r>
      <w:r w:rsidR="003D10F7" w:rsidRPr="004F7B7D">
        <w:t>no</w:t>
      </w:r>
      <w:r w:rsidR="003D10F7">
        <w:t xml:space="preserve">ne </w:t>
      </w:r>
      <w:r w:rsidR="003D10F7" w:rsidRPr="004F7B7D">
        <w:t>(</w:t>
      </w:r>
      <w:r w:rsidRPr="004F7B7D">
        <w:t xml:space="preserve">where </w:t>
      </w:r>
      <w:r w:rsidR="000D7146">
        <w:t xml:space="preserve">it </w:t>
      </w:r>
      <w:r w:rsidRPr="004F7B7D">
        <w:t>i</w:t>
      </w:r>
      <w:r>
        <w:t xml:space="preserve">s treated as a substitute </w:t>
      </w:r>
      <w:r>
        <w:lastRenderedPageBreak/>
        <w:t>for social assistance</w:t>
      </w:r>
      <w:r w:rsidRPr="004F7B7D">
        <w:t xml:space="preserve"> and </w:t>
      </w:r>
      <w:r>
        <w:t>incomes stay at the level of social assistance</w:t>
      </w:r>
      <w:r w:rsidRPr="004F7B7D">
        <w:t xml:space="preserve">). We can then see across countries the variations in </w:t>
      </w:r>
      <w:r>
        <w:t>anti-poverty effectiveness of child maintenance</w:t>
      </w:r>
      <w:r w:rsidRPr="004F7B7D">
        <w:t xml:space="preserve"> by taking into account these interaction effects</w:t>
      </w:r>
      <w:r>
        <w:t xml:space="preserve">. </w:t>
      </w:r>
      <w:r w:rsidRPr="004F7B7D">
        <w:t xml:space="preserve"> </w:t>
      </w:r>
    </w:p>
    <w:p w14:paraId="6D06D3C7" w14:textId="77777777" w:rsidR="00DE33D8" w:rsidRDefault="00DE33D8" w:rsidP="00EA5327">
      <w:pPr>
        <w:spacing w:line="360" w:lineRule="auto"/>
        <w:rPr>
          <w:lang w:val="en-US"/>
        </w:rPr>
      </w:pPr>
    </w:p>
    <w:p w14:paraId="1044742D" w14:textId="17A766C2" w:rsidR="00DE33D8" w:rsidRPr="00DE33D8" w:rsidRDefault="00DE33D8" w:rsidP="00EA5327">
      <w:pPr>
        <w:spacing w:line="360" w:lineRule="auto"/>
        <w:rPr>
          <w:lang w:val="en-US"/>
        </w:rPr>
      </w:pPr>
      <w:r>
        <w:rPr>
          <w:lang w:val="en-US"/>
        </w:rPr>
        <w:t>We have selected four countr</w:t>
      </w:r>
      <w:r w:rsidR="009905FA">
        <w:rPr>
          <w:lang w:val="en-US"/>
        </w:rPr>
        <w:t>ies for</w:t>
      </w:r>
      <w:r>
        <w:rPr>
          <w:lang w:val="en-US"/>
        </w:rPr>
        <w:t xml:space="preserve"> the analysis. </w:t>
      </w:r>
      <w:r w:rsidR="009905FA">
        <w:rPr>
          <w:lang w:val="en-US"/>
        </w:rPr>
        <w:t xml:space="preserve">Our original aim was to compare </w:t>
      </w:r>
      <w:r>
        <w:rPr>
          <w:lang w:val="en-US"/>
        </w:rPr>
        <w:t>twelve countries but we h</w:t>
      </w:r>
      <w:r w:rsidR="00212903">
        <w:rPr>
          <w:lang w:val="en-US"/>
        </w:rPr>
        <w:t xml:space="preserve">ad to </w:t>
      </w:r>
      <w:r w:rsidR="009905FA">
        <w:rPr>
          <w:lang w:val="en-US"/>
        </w:rPr>
        <w:t xml:space="preserve">reduce this due to data limitations. </w:t>
      </w:r>
      <w:r>
        <w:rPr>
          <w:lang w:val="en-US"/>
        </w:rPr>
        <w:t>For example we dropped the US because states have different disregard policies</w:t>
      </w:r>
      <w:r w:rsidR="009905FA">
        <w:rPr>
          <w:lang w:val="en-US"/>
        </w:rPr>
        <w:t xml:space="preserve"> and we dropped other countries because in LIS </w:t>
      </w:r>
      <w:r w:rsidR="005871C4">
        <w:rPr>
          <w:lang w:val="en-US"/>
        </w:rPr>
        <w:t xml:space="preserve">the </w:t>
      </w:r>
      <w:r w:rsidR="009905FA">
        <w:rPr>
          <w:lang w:val="en-US"/>
        </w:rPr>
        <w:t xml:space="preserve">child maintenance variable </w:t>
      </w:r>
      <w:r w:rsidR="005871C4">
        <w:rPr>
          <w:lang w:val="en-US"/>
        </w:rPr>
        <w:t xml:space="preserve">was missing </w:t>
      </w:r>
      <w:r w:rsidR="009905FA">
        <w:rPr>
          <w:lang w:val="en-US"/>
        </w:rPr>
        <w:t xml:space="preserve">in the data. In yet other countries </w:t>
      </w:r>
      <w:r>
        <w:rPr>
          <w:lang w:val="en-US"/>
        </w:rPr>
        <w:t xml:space="preserve">it was difficult to disaggregate social assistance </w:t>
      </w:r>
      <w:r w:rsidR="00212903">
        <w:rPr>
          <w:lang w:val="en-US"/>
        </w:rPr>
        <w:t>from other social transfers</w:t>
      </w:r>
      <w:r w:rsidR="009905FA">
        <w:rPr>
          <w:lang w:val="en-US"/>
        </w:rPr>
        <w:t>.</w:t>
      </w:r>
      <w:r>
        <w:rPr>
          <w:lang w:val="en-US"/>
        </w:rPr>
        <w:t xml:space="preserve"> </w:t>
      </w:r>
      <w:r w:rsidR="009905FA">
        <w:rPr>
          <w:lang w:val="en-US"/>
        </w:rPr>
        <w:t>We focu</w:t>
      </w:r>
      <w:r w:rsidR="005871C4">
        <w:rPr>
          <w:lang w:val="en-US"/>
        </w:rPr>
        <w:t>s</w:t>
      </w:r>
      <w:r w:rsidR="009905FA">
        <w:rPr>
          <w:lang w:val="en-US"/>
        </w:rPr>
        <w:t>ed on these four countries as there was reasonable data and they</w:t>
      </w:r>
      <w:r>
        <w:rPr>
          <w:lang w:val="en-US"/>
        </w:rPr>
        <w:t xml:space="preserve"> represent</w:t>
      </w:r>
      <w:r w:rsidR="009905FA">
        <w:rPr>
          <w:lang w:val="en-US"/>
        </w:rPr>
        <w:t>ed</w:t>
      </w:r>
      <w:r>
        <w:rPr>
          <w:lang w:val="en-US"/>
        </w:rPr>
        <w:t xml:space="preserve"> </w:t>
      </w:r>
      <w:r w:rsidR="00FF2D8A">
        <w:rPr>
          <w:lang w:val="en-US"/>
        </w:rPr>
        <w:t xml:space="preserve">the three types of child maintenance </w:t>
      </w:r>
      <w:r w:rsidR="00C64836">
        <w:rPr>
          <w:lang w:val="en-US"/>
        </w:rPr>
        <w:t xml:space="preserve">scheme models </w:t>
      </w:r>
      <w:r w:rsidR="00FF2D8A">
        <w:rPr>
          <w:lang w:val="en-US"/>
        </w:rPr>
        <w:t xml:space="preserve">as described by </w:t>
      </w:r>
      <w:r w:rsidR="00D2551C">
        <w:rPr>
          <w:lang w:val="en-US"/>
        </w:rPr>
        <w:t xml:space="preserve">Skinner and Davidson </w:t>
      </w:r>
      <w:r w:rsidR="00FF2D8A">
        <w:rPr>
          <w:lang w:val="en-US"/>
        </w:rPr>
        <w:t>(</w:t>
      </w:r>
      <w:r w:rsidR="00D2551C">
        <w:rPr>
          <w:lang w:val="en-US"/>
        </w:rPr>
        <w:t>200</w:t>
      </w:r>
      <w:r w:rsidR="00482213">
        <w:rPr>
          <w:lang w:val="en-US"/>
        </w:rPr>
        <w:t>9</w:t>
      </w:r>
      <w:r w:rsidR="00D2551C">
        <w:rPr>
          <w:lang w:val="en-US"/>
        </w:rPr>
        <w:t>).</w:t>
      </w:r>
      <w:r>
        <w:rPr>
          <w:lang w:val="en-US"/>
        </w:rPr>
        <w:t xml:space="preserve"> </w:t>
      </w:r>
      <w:r w:rsidR="00D2551C" w:rsidRPr="00D2551C">
        <w:rPr>
          <w:lang w:val="en-US"/>
        </w:rPr>
        <w:t xml:space="preserve">Australia and the UK have an </w:t>
      </w:r>
      <w:r w:rsidR="00C64836">
        <w:rPr>
          <w:lang w:val="en-US"/>
        </w:rPr>
        <w:t xml:space="preserve">administrative </w:t>
      </w:r>
      <w:r w:rsidR="00D2551C" w:rsidRPr="00D2551C">
        <w:rPr>
          <w:lang w:val="en-US"/>
        </w:rPr>
        <w:t xml:space="preserve">agency model, Germany a court based model and Finland </w:t>
      </w:r>
      <w:r w:rsidR="005871C4">
        <w:rPr>
          <w:lang w:val="en-US"/>
        </w:rPr>
        <w:t xml:space="preserve">a </w:t>
      </w:r>
      <w:r w:rsidR="00D2551C" w:rsidRPr="00D2551C">
        <w:rPr>
          <w:lang w:val="en-US"/>
        </w:rPr>
        <w:t xml:space="preserve">hybrid model; a mix of court and agency. </w:t>
      </w:r>
      <w:r w:rsidR="005871C4">
        <w:rPr>
          <w:lang w:val="en-US"/>
        </w:rPr>
        <w:t>The c</w:t>
      </w:r>
      <w:r w:rsidR="00D2551C" w:rsidRPr="00D2551C">
        <w:rPr>
          <w:lang w:val="en-US"/>
        </w:rPr>
        <w:t>ountries also differ in terms of how they treat child maintenance in their means-tested social assistance schemes</w:t>
      </w:r>
      <w:r w:rsidR="00D2551C">
        <w:rPr>
          <w:lang w:val="en-US"/>
        </w:rPr>
        <w:t xml:space="preserve"> </w:t>
      </w:r>
      <w:r w:rsidR="00D2551C" w:rsidRPr="00D2551C">
        <w:rPr>
          <w:lang w:val="en-US"/>
        </w:rPr>
        <w:t>(Skinner et al.</w:t>
      </w:r>
      <w:r w:rsidR="005C5FB5">
        <w:rPr>
          <w:lang w:val="en-US"/>
        </w:rPr>
        <w:t>,</w:t>
      </w:r>
      <w:r w:rsidR="00D2551C" w:rsidRPr="00D2551C">
        <w:rPr>
          <w:lang w:val="en-US"/>
        </w:rPr>
        <w:t xml:space="preserve"> 2017</w:t>
      </w:r>
      <w:r w:rsidR="00D2551C">
        <w:rPr>
          <w:lang w:val="en-US"/>
        </w:rPr>
        <w:t>b</w:t>
      </w:r>
      <w:r w:rsidR="00D2551C" w:rsidRPr="00D2551C">
        <w:rPr>
          <w:lang w:val="en-US"/>
        </w:rPr>
        <w:t>).</w:t>
      </w:r>
      <w:r w:rsidR="00D2551C">
        <w:rPr>
          <w:lang w:val="en-US"/>
        </w:rPr>
        <w:t xml:space="preserve"> </w:t>
      </w:r>
      <w:r w:rsidR="005871C4">
        <w:rPr>
          <w:lang w:val="en-US"/>
        </w:rPr>
        <w:t xml:space="preserve">This analysis makes </w:t>
      </w:r>
      <w:r w:rsidR="00D2551C" w:rsidRPr="00D2551C">
        <w:rPr>
          <w:lang w:val="en-US"/>
        </w:rPr>
        <w:t xml:space="preserve">a new contribution to comparative </w:t>
      </w:r>
      <w:r w:rsidR="005871C4">
        <w:rPr>
          <w:lang w:val="en-US"/>
        </w:rPr>
        <w:t xml:space="preserve">research </w:t>
      </w:r>
      <w:r w:rsidR="00D2551C" w:rsidRPr="00D2551C">
        <w:rPr>
          <w:lang w:val="en-US"/>
        </w:rPr>
        <w:t xml:space="preserve">by providing a different perspective – that is by examining not just specific policies, but also how they might interact to produce hitherto unknown outcomes.  </w:t>
      </w:r>
    </w:p>
    <w:p w14:paraId="4695AB9E" w14:textId="490A997E" w:rsidR="00DE33D8" w:rsidRPr="00547A9D" w:rsidRDefault="00DE33D8" w:rsidP="00EA5327">
      <w:pPr>
        <w:spacing w:line="360" w:lineRule="auto"/>
        <w:rPr>
          <w:lang w:val="en-US"/>
        </w:rPr>
      </w:pPr>
    </w:p>
    <w:p w14:paraId="0A72F08A" w14:textId="1CB2848D" w:rsidR="00DE33D8" w:rsidRPr="00FC4C81" w:rsidRDefault="00DE33D8" w:rsidP="00EA5327">
      <w:pPr>
        <w:spacing w:line="360" w:lineRule="auto"/>
        <w:rPr>
          <w:i/>
          <w:lang w:val="en-US"/>
        </w:rPr>
      </w:pPr>
      <w:r w:rsidRPr="00FC4C81">
        <w:rPr>
          <w:i/>
          <w:lang w:val="en-US"/>
        </w:rPr>
        <w:t>Data</w:t>
      </w:r>
      <w:r>
        <w:rPr>
          <w:i/>
          <w:lang w:val="en-US"/>
        </w:rPr>
        <w:t xml:space="preserve"> and i</w:t>
      </w:r>
      <w:r w:rsidRPr="00DE33D8">
        <w:rPr>
          <w:i/>
          <w:lang w:val="en-US"/>
        </w:rPr>
        <w:t>ncome indicators</w:t>
      </w:r>
    </w:p>
    <w:p w14:paraId="499A03AA" w14:textId="79370C52" w:rsidR="007F23D9" w:rsidRPr="00547A9D" w:rsidRDefault="004D229B" w:rsidP="00EA5327">
      <w:pPr>
        <w:spacing w:line="360" w:lineRule="auto"/>
        <w:rPr>
          <w:lang w:val="en-US"/>
        </w:rPr>
      </w:pPr>
      <w:r w:rsidRPr="00547A9D">
        <w:rPr>
          <w:lang w:val="en-US"/>
        </w:rPr>
        <w:t xml:space="preserve">We use </w:t>
      </w:r>
      <w:r w:rsidR="005871C4">
        <w:rPr>
          <w:lang w:val="en-US"/>
        </w:rPr>
        <w:t>L</w:t>
      </w:r>
      <w:r w:rsidR="0049489B">
        <w:rPr>
          <w:lang w:val="en-US"/>
        </w:rPr>
        <w:t>uxembourg Income Study (LIS)</w:t>
      </w:r>
      <w:r w:rsidR="005871C4">
        <w:rPr>
          <w:lang w:val="en-US"/>
        </w:rPr>
        <w:t xml:space="preserve"> data from 2013 (</w:t>
      </w:r>
      <w:r w:rsidR="00DD67D6">
        <w:rPr>
          <w:lang w:val="en-US"/>
        </w:rPr>
        <w:t xml:space="preserve">Australia </w:t>
      </w:r>
      <w:r w:rsidR="005E26C2">
        <w:rPr>
          <w:lang w:val="en-US"/>
        </w:rPr>
        <w:t xml:space="preserve">data is from </w:t>
      </w:r>
      <w:r w:rsidR="00DD67D6">
        <w:rPr>
          <w:lang w:val="en-US"/>
        </w:rPr>
        <w:t>2010</w:t>
      </w:r>
      <w:r w:rsidR="00651E67">
        <w:rPr>
          <w:lang w:val="en-US"/>
        </w:rPr>
        <w:t xml:space="preserve"> as 2014 data does not include child maintenance</w:t>
      </w:r>
      <w:r w:rsidR="00DD67D6">
        <w:rPr>
          <w:lang w:val="en-US"/>
        </w:rPr>
        <w:t>)</w:t>
      </w:r>
      <w:r w:rsidR="005871C4">
        <w:rPr>
          <w:lang w:val="en-US"/>
        </w:rPr>
        <w:t xml:space="preserve">. </w:t>
      </w:r>
      <w:r w:rsidRPr="00547A9D">
        <w:rPr>
          <w:lang w:val="en-US"/>
        </w:rPr>
        <w:t xml:space="preserve">The distinct advantage </w:t>
      </w:r>
      <w:r w:rsidR="00B303DE" w:rsidRPr="00547A9D">
        <w:rPr>
          <w:lang w:val="en-US"/>
        </w:rPr>
        <w:t>of</w:t>
      </w:r>
      <w:r w:rsidRPr="00547A9D">
        <w:rPr>
          <w:lang w:val="en-US"/>
        </w:rPr>
        <w:t xml:space="preserve"> using LIS income data is that </w:t>
      </w:r>
      <w:r w:rsidR="005871C4">
        <w:rPr>
          <w:lang w:val="en-US"/>
        </w:rPr>
        <w:t xml:space="preserve">it </w:t>
      </w:r>
      <w:r w:rsidRPr="00547A9D">
        <w:rPr>
          <w:lang w:val="en-US"/>
        </w:rPr>
        <w:t xml:space="preserve">enables us to disaggregate income and examine the </w:t>
      </w:r>
      <w:r w:rsidR="005871C4">
        <w:rPr>
          <w:lang w:val="en-US"/>
        </w:rPr>
        <w:t xml:space="preserve">different </w:t>
      </w:r>
      <w:r w:rsidRPr="00547A9D">
        <w:rPr>
          <w:lang w:val="en-US"/>
        </w:rPr>
        <w:t xml:space="preserve">income sources. Several large LIS-based studies have assessed child </w:t>
      </w:r>
      <w:r w:rsidR="00AB247C" w:rsidRPr="00547A9D">
        <w:rPr>
          <w:lang w:val="en-US"/>
        </w:rPr>
        <w:t>maintenance and child poverty (</w:t>
      </w:r>
      <w:r w:rsidR="006449D4" w:rsidRPr="006449D4">
        <w:rPr>
          <w:lang w:val="en-US"/>
        </w:rPr>
        <w:t>Cuesta</w:t>
      </w:r>
      <w:r w:rsidR="006449D4">
        <w:rPr>
          <w:lang w:val="en-US"/>
        </w:rPr>
        <w:t xml:space="preserve"> et </w:t>
      </w:r>
      <w:r w:rsidR="006449D4">
        <w:rPr>
          <w:lang w:val="en-US"/>
        </w:rPr>
        <w:lastRenderedPageBreak/>
        <w:t>al.</w:t>
      </w:r>
      <w:r w:rsidR="006449D4" w:rsidRPr="006449D4">
        <w:rPr>
          <w:lang w:val="en-US"/>
        </w:rPr>
        <w:t>, 2018</w:t>
      </w:r>
      <w:r w:rsidR="006449D4">
        <w:rPr>
          <w:lang w:val="en-US"/>
        </w:rPr>
        <w:t xml:space="preserve">; </w:t>
      </w:r>
      <w:r w:rsidR="0074473B" w:rsidRPr="0074473B">
        <w:rPr>
          <w:lang w:val="en-US"/>
        </w:rPr>
        <w:t>Hakovirta</w:t>
      </w:r>
      <w:r w:rsidR="005C5FB5">
        <w:rPr>
          <w:lang w:val="en-US"/>
        </w:rPr>
        <w:t>,</w:t>
      </w:r>
      <w:r w:rsidR="0074473B" w:rsidRPr="0074473B">
        <w:rPr>
          <w:lang w:val="en-US"/>
        </w:rPr>
        <w:t xml:space="preserve"> 2011; Hakovirta</w:t>
      </w:r>
      <w:r w:rsidR="005C5FB5">
        <w:rPr>
          <w:lang w:val="en-US"/>
        </w:rPr>
        <w:t xml:space="preserve"> and </w:t>
      </w:r>
      <w:r w:rsidR="0074473B" w:rsidRPr="0074473B">
        <w:rPr>
          <w:lang w:val="en-US"/>
        </w:rPr>
        <w:t>Jokela, 2018</w:t>
      </w:r>
      <w:r w:rsidR="0074473B">
        <w:rPr>
          <w:lang w:val="en-US"/>
        </w:rPr>
        <w:t xml:space="preserve">; </w:t>
      </w:r>
      <w:r w:rsidR="0074473B" w:rsidRPr="0074473B">
        <w:rPr>
          <w:lang w:val="en-US"/>
        </w:rPr>
        <w:t>OECD</w:t>
      </w:r>
      <w:r w:rsidR="005C5FB5">
        <w:rPr>
          <w:lang w:val="en-US"/>
        </w:rPr>
        <w:t>,</w:t>
      </w:r>
      <w:r w:rsidR="0074473B" w:rsidRPr="0074473B">
        <w:rPr>
          <w:lang w:val="en-US"/>
        </w:rPr>
        <w:t xml:space="preserve"> 2011</w:t>
      </w:r>
      <w:r w:rsidR="0074473B">
        <w:rPr>
          <w:lang w:val="en-US"/>
        </w:rPr>
        <w:t xml:space="preserve">; </w:t>
      </w:r>
      <w:r w:rsidR="00AB247C" w:rsidRPr="00547A9D">
        <w:rPr>
          <w:lang w:val="en-US"/>
        </w:rPr>
        <w:t>Skin</w:t>
      </w:r>
      <w:r w:rsidR="0074473B">
        <w:rPr>
          <w:lang w:val="en-US"/>
        </w:rPr>
        <w:t>ner et al.</w:t>
      </w:r>
      <w:r w:rsidR="005C5FB5">
        <w:rPr>
          <w:lang w:val="en-US"/>
        </w:rPr>
        <w:t>,</w:t>
      </w:r>
      <w:r w:rsidR="0074473B">
        <w:rPr>
          <w:lang w:val="en-US"/>
        </w:rPr>
        <w:t xml:space="preserve"> 2007</w:t>
      </w:r>
      <w:r w:rsidR="00AB247C" w:rsidRPr="00547A9D">
        <w:rPr>
          <w:lang w:val="en-US"/>
        </w:rPr>
        <w:t xml:space="preserve">) but no research </w:t>
      </w:r>
      <w:r w:rsidR="001A597C" w:rsidRPr="00547A9D">
        <w:rPr>
          <w:lang w:val="en-US"/>
        </w:rPr>
        <w:t xml:space="preserve">exists </w:t>
      </w:r>
      <w:r w:rsidR="005871C4">
        <w:rPr>
          <w:lang w:val="en-US"/>
        </w:rPr>
        <w:t xml:space="preserve">that looks exclusively at </w:t>
      </w:r>
      <w:r w:rsidR="00AB247C" w:rsidRPr="00547A9D">
        <w:rPr>
          <w:lang w:val="en-US"/>
        </w:rPr>
        <w:t>lone parent families on</w:t>
      </w:r>
      <w:r w:rsidR="00513E97">
        <w:rPr>
          <w:lang w:val="en-US"/>
        </w:rPr>
        <w:t xml:space="preserve"> social assistance benefits or </w:t>
      </w:r>
      <w:r w:rsidR="005871C4">
        <w:rPr>
          <w:lang w:val="en-US"/>
        </w:rPr>
        <w:t xml:space="preserve">on </w:t>
      </w:r>
      <w:r w:rsidR="001A597C" w:rsidRPr="00547A9D">
        <w:rPr>
          <w:lang w:val="en-US"/>
        </w:rPr>
        <w:t xml:space="preserve">the </w:t>
      </w:r>
      <w:r w:rsidR="00AB247C" w:rsidRPr="00547A9D">
        <w:rPr>
          <w:lang w:val="en-US"/>
        </w:rPr>
        <w:t>contribution child maintenance makes to child poverty reduction</w:t>
      </w:r>
      <w:r w:rsidR="001A597C" w:rsidRPr="00547A9D">
        <w:rPr>
          <w:lang w:val="en-US"/>
        </w:rPr>
        <w:t xml:space="preserve"> that takes account of the interaction effects.</w:t>
      </w:r>
      <w:r w:rsidR="00AB247C" w:rsidRPr="00547A9D">
        <w:rPr>
          <w:lang w:val="en-US"/>
        </w:rPr>
        <w:t xml:space="preserve"> </w:t>
      </w:r>
      <w:r w:rsidR="00D72A92" w:rsidRPr="00547A9D">
        <w:rPr>
          <w:lang w:val="en-US"/>
        </w:rPr>
        <w:t>Skinner et al</w:t>
      </w:r>
      <w:r w:rsidR="005C5FB5">
        <w:rPr>
          <w:lang w:val="en-US"/>
        </w:rPr>
        <w:t>.,</w:t>
      </w:r>
      <w:r w:rsidR="00D72A92" w:rsidRPr="00547A9D">
        <w:rPr>
          <w:lang w:val="en-US"/>
        </w:rPr>
        <w:t xml:space="preserve"> (2017</w:t>
      </w:r>
      <w:r w:rsidR="00212903">
        <w:rPr>
          <w:lang w:val="en-US"/>
        </w:rPr>
        <w:t>b</w:t>
      </w:r>
      <w:r w:rsidR="00D72A92" w:rsidRPr="00547A9D">
        <w:rPr>
          <w:lang w:val="en-US"/>
        </w:rPr>
        <w:t xml:space="preserve">) </w:t>
      </w:r>
      <w:r w:rsidR="00FC0129" w:rsidRPr="00547A9D">
        <w:rPr>
          <w:lang w:val="en-US"/>
        </w:rPr>
        <w:t>as stated</w:t>
      </w:r>
      <w:r w:rsidR="00F83E24" w:rsidRPr="00547A9D">
        <w:rPr>
          <w:lang w:val="en-US"/>
        </w:rPr>
        <w:t xml:space="preserve"> </w:t>
      </w:r>
      <w:r w:rsidR="003D10F7" w:rsidRPr="00547A9D">
        <w:rPr>
          <w:lang w:val="en-US"/>
        </w:rPr>
        <w:t>above</w:t>
      </w:r>
      <w:r w:rsidR="003B6783">
        <w:rPr>
          <w:lang w:val="en-US"/>
        </w:rPr>
        <w:t>,</w:t>
      </w:r>
      <w:r w:rsidR="00FC0129" w:rsidRPr="00547A9D">
        <w:rPr>
          <w:lang w:val="en-US"/>
        </w:rPr>
        <w:t xml:space="preserve"> </w:t>
      </w:r>
      <w:r w:rsidR="005871C4">
        <w:rPr>
          <w:lang w:val="en-US"/>
        </w:rPr>
        <w:t xml:space="preserve">used country level data and </w:t>
      </w:r>
      <w:r w:rsidR="00D72A92" w:rsidRPr="00547A9D">
        <w:rPr>
          <w:lang w:val="en-US"/>
        </w:rPr>
        <w:t>fictitious model families</w:t>
      </w:r>
      <w:r w:rsidR="005871C4">
        <w:rPr>
          <w:lang w:val="en-US"/>
        </w:rPr>
        <w:t xml:space="preserve"> to estimate the effects of interactions. Their analysis </w:t>
      </w:r>
      <w:r w:rsidR="003B6783">
        <w:rPr>
          <w:lang w:val="en-US"/>
        </w:rPr>
        <w:t xml:space="preserve">however, </w:t>
      </w:r>
      <w:r w:rsidR="005871C4">
        <w:rPr>
          <w:lang w:val="en-US"/>
        </w:rPr>
        <w:t xml:space="preserve">was not based </w:t>
      </w:r>
      <w:r w:rsidR="00D72A92" w:rsidRPr="00547A9D">
        <w:rPr>
          <w:lang w:val="en-US"/>
        </w:rPr>
        <w:t>on real data collected from lone parent</w:t>
      </w:r>
      <w:r w:rsidR="00561683" w:rsidRPr="00547A9D">
        <w:rPr>
          <w:lang w:val="en-US"/>
        </w:rPr>
        <w:t xml:space="preserve"> household</w:t>
      </w:r>
      <w:r w:rsidR="005E26C2">
        <w:rPr>
          <w:lang w:val="en-US"/>
        </w:rPr>
        <w:t>s</w:t>
      </w:r>
      <w:r w:rsidR="00D72A92" w:rsidRPr="00547A9D">
        <w:rPr>
          <w:lang w:val="en-US"/>
        </w:rPr>
        <w:t xml:space="preserve">. </w:t>
      </w:r>
    </w:p>
    <w:p w14:paraId="6F90E11B" w14:textId="77777777" w:rsidR="0090532B" w:rsidRDefault="0090532B" w:rsidP="0090532B">
      <w:pPr>
        <w:spacing w:line="360" w:lineRule="auto"/>
        <w:rPr>
          <w:i/>
          <w:lang w:val="en-US"/>
        </w:rPr>
      </w:pPr>
    </w:p>
    <w:p w14:paraId="353658BD" w14:textId="3E2CAB50" w:rsidR="0090532B" w:rsidRPr="00547A9D" w:rsidRDefault="0090532B" w:rsidP="0090532B">
      <w:pPr>
        <w:spacing w:line="360" w:lineRule="auto"/>
        <w:rPr>
          <w:lang w:val="en-US"/>
        </w:rPr>
      </w:pPr>
      <w:r w:rsidRPr="00547A9D">
        <w:rPr>
          <w:lang w:val="en-US"/>
        </w:rPr>
        <w:t>We use three main income variables</w:t>
      </w:r>
      <w:r w:rsidR="00212903">
        <w:rPr>
          <w:lang w:val="en-US"/>
        </w:rPr>
        <w:t xml:space="preserve"> for the analysis</w:t>
      </w:r>
      <w:r w:rsidRPr="00547A9D">
        <w:rPr>
          <w:lang w:val="en-US"/>
        </w:rPr>
        <w:t xml:space="preserve">: </w:t>
      </w:r>
      <w:r>
        <w:rPr>
          <w:lang w:val="en-US"/>
        </w:rPr>
        <w:t xml:space="preserve">1) </w:t>
      </w:r>
      <w:r w:rsidRPr="00547A9D">
        <w:rPr>
          <w:lang w:val="en-US"/>
        </w:rPr>
        <w:t xml:space="preserve">child maintenance received, </w:t>
      </w:r>
      <w:r>
        <w:rPr>
          <w:lang w:val="en-US"/>
        </w:rPr>
        <w:t xml:space="preserve">2) </w:t>
      </w:r>
      <w:r w:rsidRPr="00547A9D">
        <w:rPr>
          <w:lang w:val="en-US"/>
        </w:rPr>
        <w:t>social assistance</w:t>
      </w:r>
      <w:r>
        <w:rPr>
          <w:lang w:val="en-US"/>
        </w:rPr>
        <w:t xml:space="preserve"> received</w:t>
      </w:r>
      <w:r w:rsidRPr="00547A9D">
        <w:rPr>
          <w:lang w:val="en-US"/>
        </w:rPr>
        <w:t xml:space="preserve"> and for poverty calculations </w:t>
      </w:r>
      <w:r>
        <w:rPr>
          <w:lang w:val="en-US"/>
        </w:rPr>
        <w:t xml:space="preserve">3) </w:t>
      </w:r>
      <w:r w:rsidRPr="00547A9D">
        <w:rPr>
          <w:lang w:val="en-US"/>
        </w:rPr>
        <w:t>dispos</w:t>
      </w:r>
      <w:r>
        <w:rPr>
          <w:lang w:val="en-US"/>
        </w:rPr>
        <w:t>ab</w:t>
      </w:r>
      <w:r w:rsidRPr="00547A9D">
        <w:rPr>
          <w:lang w:val="en-US"/>
        </w:rPr>
        <w:t>le</w:t>
      </w:r>
      <w:r>
        <w:rPr>
          <w:lang w:val="en-US"/>
        </w:rPr>
        <w:t xml:space="preserve"> household</w:t>
      </w:r>
      <w:r w:rsidRPr="00547A9D">
        <w:rPr>
          <w:lang w:val="en-US"/>
        </w:rPr>
        <w:t xml:space="preserve"> income before and after child maintenance. </w:t>
      </w:r>
      <w:r w:rsidR="00FA267D">
        <w:rPr>
          <w:lang w:val="en-US"/>
        </w:rPr>
        <w:t>Disposable household i</w:t>
      </w:r>
      <w:r w:rsidR="00FA267D" w:rsidRPr="00FA267D">
        <w:rPr>
          <w:lang w:val="en-US"/>
        </w:rPr>
        <w:t xml:space="preserve">ncome is </w:t>
      </w:r>
      <w:r w:rsidR="00055825" w:rsidRPr="00055825">
        <w:rPr>
          <w:lang w:val="en-US"/>
        </w:rPr>
        <w:t>a measure of post-tax-post-transfer income</w:t>
      </w:r>
      <w:r w:rsidR="00055825">
        <w:rPr>
          <w:lang w:val="en-US"/>
        </w:rPr>
        <w:t xml:space="preserve"> before housing costs. </w:t>
      </w:r>
    </w:p>
    <w:p w14:paraId="00F722B4" w14:textId="77777777" w:rsidR="0090532B" w:rsidRPr="00547A9D" w:rsidRDefault="0090532B" w:rsidP="0090532B">
      <w:pPr>
        <w:spacing w:line="360" w:lineRule="auto"/>
        <w:rPr>
          <w:lang w:val="en-US"/>
        </w:rPr>
      </w:pPr>
    </w:p>
    <w:p w14:paraId="23FB1747" w14:textId="076A34F1" w:rsidR="0090532B" w:rsidRPr="00547A9D" w:rsidRDefault="0090532B" w:rsidP="0090532B">
      <w:pPr>
        <w:spacing w:line="360" w:lineRule="auto"/>
        <w:rPr>
          <w:lang w:val="en-US"/>
        </w:rPr>
      </w:pPr>
      <w:r w:rsidRPr="00547A9D">
        <w:rPr>
          <w:i/>
          <w:lang w:val="en-US"/>
        </w:rPr>
        <w:t>Child maintenance:</w:t>
      </w:r>
      <w:r w:rsidRPr="00547A9D">
        <w:rPr>
          <w:lang w:val="en-US"/>
        </w:rPr>
        <w:t xml:space="preserve"> Child maintenance is  an amount of cash financial support, normally paid by a non-resident parent to the resident parent </w:t>
      </w:r>
      <w:r w:rsidR="003B6783">
        <w:rPr>
          <w:lang w:val="en-US"/>
        </w:rPr>
        <w:t xml:space="preserve">to support the </w:t>
      </w:r>
      <w:r w:rsidRPr="00547A9D">
        <w:rPr>
          <w:lang w:val="en-US"/>
        </w:rPr>
        <w:t>raising of children when parents have separated and do not live together</w:t>
      </w:r>
      <w:r w:rsidR="00233DFB">
        <w:rPr>
          <w:lang w:val="en-US"/>
        </w:rPr>
        <w:t xml:space="preserve"> (INCSS.org)</w:t>
      </w:r>
      <w:r w:rsidRPr="00547A9D">
        <w:rPr>
          <w:lang w:val="en-US"/>
        </w:rPr>
        <w:t xml:space="preserve">. In </w:t>
      </w:r>
      <w:r>
        <w:rPr>
          <w:lang w:val="en-US"/>
        </w:rPr>
        <w:t xml:space="preserve">the </w:t>
      </w:r>
      <w:r w:rsidRPr="00547A9D">
        <w:rPr>
          <w:lang w:val="en-US"/>
        </w:rPr>
        <w:t xml:space="preserve">LIS </w:t>
      </w:r>
      <w:r>
        <w:rPr>
          <w:lang w:val="en-US"/>
        </w:rPr>
        <w:t xml:space="preserve">data </w:t>
      </w:r>
      <w:r w:rsidRPr="00547A9D">
        <w:rPr>
          <w:lang w:val="en-US"/>
        </w:rPr>
        <w:t xml:space="preserve">the variable </w:t>
      </w:r>
      <w:r w:rsidRPr="00547A9D">
        <w:rPr>
          <w:lang w:val="en-US" w:eastAsia="fi-FI"/>
        </w:rPr>
        <w:t xml:space="preserve">includes </w:t>
      </w:r>
      <w:r w:rsidRPr="008A2E43">
        <w:rPr>
          <w:lang w:val="en-US" w:eastAsia="fi-FI"/>
        </w:rPr>
        <w:t xml:space="preserve">monetary alimony and/or child </w:t>
      </w:r>
      <w:r>
        <w:rPr>
          <w:lang w:val="en-US" w:eastAsia="fi-FI"/>
        </w:rPr>
        <w:t xml:space="preserve">maintenance </w:t>
      </w:r>
      <w:r w:rsidRPr="008A2E43">
        <w:rPr>
          <w:lang w:val="en-US" w:eastAsia="fi-FI"/>
        </w:rPr>
        <w:t>transfers from other private persons</w:t>
      </w:r>
      <w:r>
        <w:rPr>
          <w:lang w:val="en-US" w:eastAsia="fi-FI"/>
        </w:rPr>
        <w:t xml:space="preserve"> or </w:t>
      </w:r>
      <w:r w:rsidRPr="008A2E43">
        <w:rPr>
          <w:lang w:val="en-US" w:eastAsia="fi-FI"/>
        </w:rPr>
        <w:t>households.</w:t>
      </w:r>
      <w:r>
        <w:rPr>
          <w:lang w:val="en-US" w:eastAsia="fi-FI"/>
        </w:rPr>
        <w:t xml:space="preserve"> Even though alimony is included in the variable, very few families receive it (Meyer and Hu</w:t>
      </w:r>
      <w:r w:rsidR="003207E2">
        <w:rPr>
          <w:lang w:val="en-US" w:eastAsia="fi-FI"/>
        </w:rPr>
        <w:t>,</w:t>
      </w:r>
      <w:r>
        <w:rPr>
          <w:lang w:val="en-US" w:eastAsia="fi-FI"/>
        </w:rPr>
        <w:t xml:space="preserve"> 1999). </w:t>
      </w:r>
      <w:r w:rsidR="003207E2">
        <w:rPr>
          <w:lang w:val="en-US" w:eastAsia="fi-FI"/>
        </w:rPr>
        <w:t xml:space="preserve">For </w:t>
      </w:r>
      <w:r w:rsidR="006449D4">
        <w:rPr>
          <w:lang w:val="en-US" w:eastAsia="fi-FI"/>
        </w:rPr>
        <w:t xml:space="preserve">Finland and Germany, where guaranteed maintenance exits, </w:t>
      </w:r>
      <w:r w:rsidR="003207E2">
        <w:rPr>
          <w:lang w:val="en-US" w:eastAsia="fi-FI"/>
        </w:rPr>
        <w:t>w</w:t>
      </w:r>
      <w:r w:rsidRPr="00547A9D">
        <w:rPr>
          <w:lang w:val="en-US" w:eastAsia="fi-FI"/>
        </w:rPr>
        <w:t xml:space="preserve">e have </w:t>
      </w:r>
      <w:r>
        <w:rPr>
          <w:lang w:val="en-US" w:eastAsia="fi-FI"/>
        </w:rPr>
        <w:t xml:space="preserve">merged </w:t>
      </w:r>
      <w:r w:rsidRPr="00547A9D">
        <w:rPr>
          <w:lang w:val="en-US" w:eastAsia="fi-FI"/>
        </w:rPr>
        <w:t>two variables</w:t>
      </w:r>
      <w:r>
        <w:rPr>
          <w:lang w:val="en-US" w:eastAsia="fi-FI"/>
        </w:rPr>
        <w:t xml:space="preserve">, </w:t>
      </w:r>
      <w:r w:rsidRPr="00547A9D">
        <w:rPr>
          <w:lang w:val="en-US" w:eastAsia="fi-FI"/>
        </w:rPr>
        <w:t>child maintenance and guaranteed maintenance</w:t>
      </w:r>
      <w:r>
        <w:rPr>
          <w:lang w:val="en-US" w:eastAsia="fi-FI"/>
        </w:rPr>
        <w:t>,</w:t>
      </w:r>
      <w:r w:rsidRPr="00547A9D">
        <w:rPr>
          <w:lang w:val="en-US" w:eastAsia="fi-FI"/>
        </w:rPr>
        <w:t xml:space="preserve"> to </w:t>
      </w:r>
      <w:r>
        <w:rPr>
          <w:lang w:val="en-US" w:eastAsia="fi-FI"/>
        </w:rPr>
        <w:t>calculate</w:t>
      </w:r>
      <w:r w:rsidRPr="00547A9D">
        <w:rPr>
          <w:lang w:val="en-US" w:eastAsia="fi-FI"/>
        </w:rPr>
        <w:t xml:space="preserve"> total child maintenance</w:t>
      </w:r>
      <w:r>
        <w:rPr>
          <w:lang w:val="en-US" w:eastAsia="fi-FI"/>
        </w:rPr>
        <w:t>; in some cases parent</w:t>
      </w:r>
      <w:r w:rsidR="00233DFB">
        <w:rPr>
          <w:lang w:val="en-US" w:eastAsia="fi-FI"/>
        </w:rPr>
        <w:t>s</w:t>
      </w:r>
      <w:r>
        <w:rPr>
          <w:lang w:val="en-US" w:eastAsia="fi-FI"/>
        </w:rPr>
        <w:t xml:space="preserve"> with care may </w:t>
      </w:r>
      <w:r w:rsidR="003B6783">
        <w:rPr>
          <w:lang w:val="en-US" w:eastAsia="fi-FI"/>
        </w:rPr>
        <w:t xml:space="preserve">receive </w:t>
      </w:r>
      <w:r>
        <w:rPr>
          <w:lang w:val="en-US" w:eastAsia="fi-FI"/>
        </w:rPr>
        <w:t>both child maintenance and guaranteed maintenance, for example when the non-resident parent has stopped making maintenance payments in the middle of the year</w:t>
      </w:r>
      <w:r w:rsidRPr="00547A9D">
        <w:rPr>
          <w:lang w:val="en-US" w:eastAsia="fi-FI"/>
        </w:rPr>
        <w:t xml:space="preserve">. </w:t>
      </w:r>
      <w:r w:rsidRPr="00547A9D">
        <w:rPr>
          <w:lang w:val="en-US"/>
        </w:rPr>
        <w:t xml:space="preserve">Calculations are based on the total </w:t>
      </w:r>
      <w:r>
        <w:rPr>
          <w:lang w:val="en-US"/>
        </w:rPr>
        <w:t xml:space="preserve">yearly </w:t>
      </w:r>
      <w:r w:rsidRPr="00547A9D">
        <w:rPr>
          <w:lang w:val="en-US"/>
        </w:rPr>
        <w:t>amount of child maintenance received irrespective of eligible numbers of children in the family.</w:t>
      </w:r>
    </w:p>
    <w:p w14:paraId="72B8C7FF" w14:textId="77777777" w:rsidR="0090532B" w:rsidRPr="00547A9D" w:rsidRDefault="0090532B" w:rsidP="0090532B">
      <w:pPr>
        <w:spacing w:line="360" w:lineRule="auto"/>
        <w:rPr>
          <w:lang w:val="en-US"/>
        </w:rPr>
      </w:pPr>
    </w:p>
    <w:p w14:paraId="35DD78BC" w14:textId="5FEC4FEE" w:rsidR="0090532B" w:rsidRPr="00547A9D" w:rsidRDefault="0090532B" w:rsidP="0090532B">
      <w:pPr>
        <w:spacing w:line="360" w:lineRule="auto"/>
        <w:rPr>
          <w:lang w:val="en-US"/>
        </w:rPr>
      </w:pPr>
      <w:r w:rsidRPr="00547A9D">
        <w:rPr>
          <w:i/>
          <w:lang w:val="en-US"/>
        </w:rPr>
        <w:t>Social assistance:</w:t>
      </w:r>
      <w:r w:rsidRPr="00547A9D">
        <w:rPr>
          <w:lang w:val="en-US"/>
        </w:rPr>
        <w:t xml:space="preserve"> </w:t>
      </w:r>
      <w:r w:rsidRPr="006D3744">
        <w:rPr>
          <w:lang w:val="en-US"/>
        </w:rPr>
        <w:t>All countries selected for this study have means-tested minimum income schemes.</w:t>
      </w:r>
      <w:r>
        <w:rPr>
          <w:lang w:val="en-US"/>
        </w:rPr>
        <w:t xml:space="preserve"> </w:t>
      </w:r>
      <w:r w:rsidRPr="00547A9D">
        <w:rPr>
          <w:lang w:val="en-US"/>
        </w:rPr>
        <w:t>Whether lone parents are in receipt of social assistance is identified using the LIS variable</w:t>
      </w:r>
      <w:r>
        <w:rPr>
          <w:lang w:val="en-US"/>
        </w:rPr>
        <w:t>s</w:t>
      </w:r>
      <w:r w:rsidRPr="00547A9D">
        <w:rPr>
          <w:lang w:val="en-US"/>
        </w:rPr>
        <w:t xml:space="preserve"> for general social assistance</w:t>
      </w:r>
      <w:r w:rsidR="00FF6C38">
        <w:rPr>
          <w:lang w:val="en-US"/>
        </w:rPr>
        <w:t>. For the UK and Germany, we also included unemployment assistance schemes that form part of the last-resort systems in these countries</w:t>
      </w:r>
      <w:r w:rsidR="001117BE">
        <w:rPr>
          <w:lang w:val="en-US"/>
        </w:rPr>
        <w:t>. General social assistance includes</w:t>
      </w:r>
      <w:r w:rsidRPr="00547A9D">
        <w:rPr>
          <w:lang w:val="en-US"/>
        </w:rPr>
        <w:t xml:space="preserve"> monetary transfers from minimum income guarantee systems or last resort systems, received from the state through social programs targeted towards individuals or households in need</w:t>
      </w:r>
      <w:r w:rsidR="001117BE">
        <w:rPr>
          <w:lang w:val="en-US"/>
        </w:rPr>
        <w:t xml:space="preserve"> (for full description, see appendix 1)</w:t>
      </w:r>
      <w:r w:rsidR="00686852">
        <w:rPr>
          <w:lang w:val="en-US"/>
        </w:rPr>
        <w:t>.</w:t>
      </w:r>
      <w:r w:rsidR="00993150">
        <w:rPr>
          <w:lang w:val="en-US"/>
        </w:rPr>
        <w:t xml:space="preserve">While the LIS database relies on national household income surveys and provides extensive harmonized and comparable information on households’ earnings and social transfers, one obvious limitation that has to do with the harmonization process is the availability of country specific information on social transfers. In our study this means that the social assistance schemes included in </w:t>
      </w:r>
      <w:r w:rsidR="00A33B00">
        <w:rPr>
          <w:lang w:val="en-US"/>
        </w:rPr>
        <w:t xml:space="preserve">the </w:t>
      </w:r>
      <w:r w:rsidR="00993150">
        <w:rPr>
          <w:lang w:val="en-US"/>
        </w:rPr>
        <w:t xml:space="preserve">general social assistance </w:t>
      </w:r>
      <w:r w:rsidR="00A33B00">
        <w:rPr>
          <w:lang w:val="en-US"/>
        </w:rPr>
        <w:t xml:space="preserve">variable </w:t>
      </w:r>
      <w:r w:rsidR="00993150">
        <w:rPr>
          <w:lang w:val="en-US"/>
        </w:rPr>
        <w:t xml:space="preserve">are predetermined for each country and cannot be </w:t>
      </w:r>
      <w:r w:rsidR="00A33B00">
        <w:rPr>
          <w:lang w:val="en-US"/>
        </w:rPr>
        <w:t>studied</w:t>
      </w:r>
      <w:r w:rsidR="00993150">
        <w:rPr>
          <w:lang w:val="en-US"/>
        </w:rPr>
        <w:t xml:space="preserve"> separately.  </w:t>
      </w:r>
    </w:p>
    <w:p w14:paraId="0C6DA688" w14:textId="77777777" w:rsidR="0090532B" w:rsidRPr="00547A9D" w:rsidRDefault="0090532B" w:rsidP="0090532B">
      <w:pPr>
        <w:spacing w:line="360" w:lineRule="auto"/>
        <w:rPr>
          <w:lang w:val="en-US"/>
        </w:rPr>
      </w:pPr>
    </w:p>
    <w:p w14:paraId="6018873C" w14:textId="308924EB" w:rsidR="004D229B" w:rsidRDefault="0090532B" w:rsidP="0090532B">
      <w:pPr>
        <w:spacing w:line="360" w:lineRule="auto"/>
        <w:rPr>
          <w:lang w:val="en-US"/>
        </w:rPr>
      </w:pPr>
      <w:r w:rsidRPr="00547A9D">
        <w:rPr>
          <w:i/>
          <w:lang w:val="en-US"/>
        </w:rPr>
        <w:t xml:space="preserve">Poverty indicator: </w:t>
      </w:r>
      <w:r w:rsidR="000D75D0">
        <w:rPr>
          <w:lang w:val="en-US"/>
        </w:rPr>
        <w:t>W</w:t>
      </w:r>
      <w:r w:rsidRPr="00547A9D">
        <w:rPr>
          <w:lang w:val="en-US"/>
        </w:rPr>
        <w:t xml:space="preserve">e use the disposable </w:t>
      </w:r>
      <w:r>
        <w:rPr>
          <w:lang w:val="en-US"/>
        </w:rPr>
        <w:t xml:space="preserve">household </w:t>
      </w:r>
      <w:r w:rsidRPr="00547A9D">
        <w:rPr>
          <w:lang w:val="en-US"/>
        </w:rPr>
        <w:t>income variable for child poverty calculations</w:t>
      </w:r>
      <w:r>
        <w:rPr>
          <w:lang w:val="en-US"/>
        </w:rPr>
        <w:t xml:space="preserve"> with 50% median equalized disposable income poverty threshold</w:t>
      </w:r>
      <w:r w:rsidRPr="00547A9D">
        <w:rPr>
          <w:lang w:val="en-US"/>
        </w:rPr>
        <w:t xml:space="preserve">. </w:t>
      </w:r>
      <w:r w:rsidRPr="006D3744">
        <w:rPr>
          <w:lang w:val="en-US"/>
        </w:rPr>
        <w:t>Incomes are adjusted using the square root equivalence scale.</w:t>
      </w:r>
      <w:r>
        <w:rPr>
          <w:lang w:val="en-US"/>
        </w:rPr>
        <w:t xml:space="preserve"> </w:t>
      </w:r>
      <w:r w:rsidRPr="00547A9D">
        <w:rPr>
          <w:lang w:val="en-US"/>
        </w:rPr>
        <w:t xml:space="preserve">The child poverty rate is calculated by multiplying the number of poor families with children by the number of children in them using a child weight. The percentages then represent the proportion of children living in a household below the relevant poverty line. </w:t>
      </w:r>
      <w:r>
        <w:rPr>
          <w:lang w:val="en-US"/>
        </w:rPr>
        <w:t>P</w:t>
      </w:r>
      <w:r w:rsidRPr="00DD6112">
        <w:rPr>
          <w:lang w:val="en-US"/>
        </w:rPr>
        <w:t>overty reduction shows the proportion of all children lifted above the poverty line</w:t>
      </w:r>
      <w:r>
        <w:rPr>
          <w:lang w:val="en-US"/>
        </w:rPr>
        <w:t xml:space="preserve"> by child maintenance.</w:t>
      </w:r>
    </w:p>
    <w:p w14:paraId="60F21C7A" w14:textId="77777777" w:rsidR="00AC6444" w:rsidRDefault="00AC6444" w:rsidP="0090532B">
      <w:pPr>
        <w:spacing w:line="360" w:lineRule="auto"/>
        <w:rPr>
          <w:lang w:val="en-US"/>
        </w:rPr>
      </w:pPr>
    </w:p>
    <w:p w14:paraId="31A40057" w14:textId="7D958673" w:rsidR="00AC6444" w:rsidRPr="00547A9D" w:rsidRDefault="00087097" w:rsidP="0090532B">
      <w:pPr>
        <w:spacing w:line="360" w:lineRule="auto"/>
        <w:rPr>
          <w:lang w:val="en-US"/>
        </w:rPr>
      </w:pPr>
      <w:r>
        <w:rPr>
          <w:lang w:val="en-US"/>
        </w:rPr>
        <w:lastRenderedPageBreak/>
        <w:t xml:space="preserve">For </w:t>
      </w:r>
      <w:r w:rsidR="004B02BB">
        <w:rPr>
          <w:lang w:val="en-US"/>
        </w:rPr>
        <w:t xml:space="preserve">the </w:t>
      </w:r>
      <w:r>
        <w:rPr>
          <w:lang w:val="en-US"/>
        </w:rPr>
        <w:t>child poverty analysis in Table 3 we used equivalen</w:t>
      </w:r>
      <w:r w:rsidR="004B02BB">
        <w:rPr>
          <w:lang w:val="en-US"/>
        </w:rPr>
        <w:t xml:space="preserve">t </w:t>
      </w:r>
      <w:r>
        <w:rPr>
          <w:lang w:val="en-US"/>
        </w:rPr>
        <w:t>disposable income to set a poverty threshold and calculate child poverty rates. For table 4</w:t>
      </w:r>
      <w:r w:rsidR="004B02BB">
        <w:rPr>
          <w:lang w:val="en-US"/>
        </w:rPr>
        <w:t>,</w:t>
      </w:r>
      <w:r>
        <w:rPr>
          <w:lang w:val="en-US"/>
        </w:rPr>
        <w:t xml:space="preserve"> t</w:t>
      </w:r>
      <w:r w:rsidR="00AC6444" w:rsidRPr="00AC6444">
        <w:rPr>
          <w:lang w:val="en-US"/>
        </w:rPr>
        <w:t>o underline the interaction between child maintenance and social assistance benefits</w:t>
      </w:r>
      <w:r w:rsidR="004B02BB">
        <w:rPr>
          <w:lang w:val="en-US"/>
        </w:rPr>
        <w:t>,</w:t>
      </w:r>
      <w:r w:rsidR="00AC6444" w:rsidRPr="00AC6444">
        <w:rPr>
          <w:lang w:val="en-US"/>
        </w:rPr>
        <w:t xml:space="preserve"> we calculated a new disposable household income variable that removes all types of rece</w:t>
      </w:r>
      <w:r>
        <w:rPr>
          <w:lang w:val="en-US"/>
        </w:rPr>
        <w:t>ived child maintenance</w:t>
      </w:r>
      <w:r w:rsidR="00AC6444" w:rsidRPr="00AC6444">
        <w:rPr>
          <w:lang w:val="en-US"/>
        </w:rPr>
        <w:t xml:space="preserve">. In effect, this </w:t>
      </w:r>
      <w:r w:rsidR="003D10F7" w:rsidRPr="00AC6444">
        <w:rPr>
          <w:lang w:val="en-US"/>
        </w:rPr>
        <w:t>method</w:t>
      </w:r>
      <w:r w:rsidR="00AC6444" w:rsidRPr="00AC6444">
        <w:rPr>
          <w:lang w:val="en-US"/>
        </w:rPr>
        <w:t xml:space="preserve"> allows us to study more closely if child maintenance lift</w:t>
      </w:r>
      <w:r w:rsidR="002D3EDC">
        <w:rPr>
          <w:lang w:val="en-US"/>
        </w:rPr>
        <w:t>s</w:t>
      </w:r>
      <w:r w:rsidR="00AC6444" w:rsidRPr="00AC6444">
        <w:rPr>
          <w:lang w:val="en-US"/>
        </w:rPr>
        <w:t xml:space="preserve"> lone parent families from poverty if they simultaneously are receiving social assistance benefits. Thus the child poverty threshold of 50% of disposable household income in interaction analysis is </w:t>
      </w:r>
      <w:r w:rsidR="004B02BB">
        <w:rPr>
          <w:lang w:val="en-US"/>
        </w:rPr>
        <w:t xml:space="preserve">based on </w:t>
      </w:r>
      <w:r w:rsidR="00AC6444" w:rsidRPr="00AC6444">
        <w:rPr>
          <w:lang w:val="en-US"/>
        </w:rPr>
        <w:t>income pre</w:t>
      </w:r>
      <w:r w:rsidR="004B02BB">
        <w:rPr>
          <w:lang w:val="en-US"/>
        </w:rPr>
        <w:t>-</w:t>
      </w:r>
      <w:r w:rsidR="00AC6444" w:rsidRPr="00AC6444">
        <w:rPr>
          <w:lang w:val="en-US"/>
        </w:rPr>
        <w:t>child maintenance</w:t>
      </w:r>
      <w:r>
        <w:rPr>
          <w:lang w:val="en-US"/>
        </w:rPr>
        <w:t>. In this way we are not double counting child maintenance in pre and post poverty analysis</w:t>
      </w:r>
      <w:r w:rsidR="00AC6444" w:rsidRPr="00AC6444">
        <w:rPr>
          <w:lang w:val="en-US"/>
        </w:rPr>
        <w:t xml:space="preserve"> (see </w:t>
      </w:r>
      <w:r w:rsidR="001E45EE">
        <w:rPr>
          <w:lang w:val="en-US"/>
        </w:rPr>
        <w:t xml:space="preserve">Skinner and </w:t>
      </w:r>
      <w:r w:rsidR="00AC6444" w:rsidRPr="00AC6444">
        <w:rPr>
          <w:lang w:val="en-US"/>
        </w:rPr>
        <w:t>Meyer</w:t>
      </w:r>
      <w:r>
        <w:rPr>
          <w:lang w:val="en-US"/>
        </w:rPr>
        <w:t>, 2006; Skinner and Main 2013</w:t>
      </w:r>
      <w:r w:rsidR="005C4025">
        <w:rPr>
          <w:lang w:val="en-US"/>
        </w:rPr>
        <w:t>; Skinner et al.</w:t>
      </w:r>
      <w:r w:rsidR="00482213">
        <w:rPr>
          <w:lang w:val="en-US"/>
        </w:rPr>
        <w:t>,</w:t>
      </w:r>
      <w:r w:rsidR="00A502AC">
        <w:rPr>
          <w:lang w:val="en-US"/>
        </w:rPr>
        <w:t xml:space="preserve"> </w:t>
      </w:r>
      <w:r w:rsidR="005C4025">
        <w:rPr>
          <w:lang w:val="en-US"/>
        </w:rPr>
        <w:t>2017a</w:t>
      </w:r>
      <w:r>
        <w:rPr>
          <w:lang w:val="en-US"/>
        </w:rPr>
        <w:t xml:space="preserve">).  </w:t>
      </w:r>
    </w:p>
    <w:p w14:paraId="41BA2F19" w14:textId="77777777" w:rsidR="0090532B" w:rsidRDefault="0090532B" w:rsidP="00AB247C">
      <w:pPr>
        <w:spacing w:line="360" w:lineRule="auto"/>
        <w:rPr>
          <w:i/>
        </w:rPr>
      </w:pPr>
    </w:p>
    <w:p w14:paraId="5DDBC503" w14:textId="22595115" w:rsidR="00A749EF" w:rsidRDefault="00A749EF" w:rsidP="00AB247C">
      <w:pPr>
        <w:spacing w:line="360" w:lineRule="auto"/>
        <w:rPr>
          <w:i/>
        </w:rPr>
      </w:pPr>
      <w:r>
        <w:rPr>
          <w:i/>
        </w:rPr>
        <w:t xml:space="preserve">Sample </w:t>
      </w:r>
      <w:r w:rsidR="000D7146">
        <w:rPr>
          <w:i/>
        </w:rPr>
        <w:t>size and proportions receiving child maintenance and social assist</w:t>
      </w:r>
      <w:r w:rsidR="00B334FB">
        <w:rPr>
          <w:i/>
        </w:rPr>
        <w:t>ance benefits</w:t>
      </w:r>
    </w:p>
    <w:p w14:paraId="05A13B21" w14:textId="77777777" w:rsidR="000D7146" w:rsidRDefault="000D7146" w:rsidP="00AB247C">
      <w:pPr>
        <w:spacing w:line="360" w:lineRule="auto"/>
        <w:rPr>
          <w:i/>
        </w:rPr>
      </w:pPr>
    </w:p>
    <w:p w14:paraId="39AA9AAA" w14:textId="43BACA85" w:rsidR="00AB247C" w:rsidRDefault="00754848" w:rsidP="00AB247C">
      <w:pPr>
        <w:spacing w:line="360" w:lineRule="auto"/>
        <w:rPr>
          <w:lang w:val="en-US"/>
        </w:rPr>
      </w:pPr>
      <w:r>
        <w:rPr>
          <w:lang w:val="en-US"/>
        </w:rPr>
        <w:t xml:space="preserve">Our sample consists of </w:t>
      </w:r>
      <w:r w:rsidR="00513E97">
        <w:rPr>
          <w:lang w:val="en-US"/>
        </w:rPr>
        <w:t>lone parent households</w:t>
      </w:r>
      <w:r>
        <w:rPr>
          <w:lang w:val="en-US"/>
        </w:rPr>
        <w:t xml:space="preserve">: which is </w:t>
      </w:r>
      <w:r w:rsidR="009F1B82" w:rsidRPr="00547A9D">
        <w:rPr>
          <w:lang w:val="en-US"/>
        </w:rPr>
        <w:t xml:space="preserve">a parent with no </w:t>
      </w:r>
      <w:r w:rsidR="005E26C2">
        <w:rPr>
          <w:lang w:val="en-US"/>
        </w:rPr>
        <w:t xml:space="preserve">partner present in their household and who live with one or more dependent </w:t>
      </w:r>
      <w:r w:rsidR="009F1B82" w:rsidRPr="00547A9D">
        <w:rPr>
          <w:lang w:val="en-US"/>
        </w:rPr>
        <w:t>children under the age of 18. We have excluded families where relatives or non-relatives</w:t>
      </w:r>
      <w:r w:rsidR="001A597C" w:rsidRPr="00547A9D">
        <w:rPr>
          <w:lang w:val="en-US"/>
        </w:rPr>
        <w:t xml:space="preserve"> may be</w:t>
      </w:r>
      <w:r w:rsidR="009F1B82" w:rsidRPr="00547A9D">
        <w:rPr>
          <w:lang w:val="en-US"/>
        </w:rPr>
        <w:t xml:space="preserve"> living in the household</w:t>
      </w:r>
      <w:r>
        <w:rPr>
          <w:lang w:val="en-US"/>
        </w:rPr>
        <w:t xml:space="preserve"> and excluded widows (widows have no other parent to pay). </w:t>
      </w:r>
      <w:r w:rsidR="00AB247C" w:rsidRPr="00547A9D">
        <w:rPr>
          <w:lang w:val="en-US"/>
        </w:rPr>
        <w:t xml:space="preserve">Sample sizes are presented in Table </w:t>
      </w:r>
      <w:r w:rsidR="00FB3188">
        <w:rPr>
          <w:lang w:val="en-US"/>
        </w:rPr>
        <w:t>2</w:t>
      </w:r>
      <w:r w:rsidR="00AE5CD8" w:rsidRPr="00547A9D">
        <w:rPr>
          <w:lang w:val="en-US"/>
        </w:rPr>
        <w:t xml:space="preserve">. </w:t>
      </w:r>
      <w:r w:rsidR="003F6C22" w:rsidRPr="00547A9D">
        <w:rPr>
          <w:lang w:val="en-US"/>
        </w:rPr>
        <w:t>Finland ha</w:t>
      </w:r>
      <w:r w:rsidR="00030D00">
        <w:rPr>
          <w:lang w:val="en-US"/>
        </w:rPr>
        <w:t>s</w:t>
      </w:r>
      <w:r w:rsidR="003F6C22" w:rsidRPr="00547A9D">
        <w:rPr>
          <w:lang w:val="en-US"/>
        </w:rPr>
        <w:t xml:space="preserve"> </w:t>
      </w:r>
      <w:r w:rsidR="00D72A92" w:rsidRPr="00547A9D">
        <w:rPr>
          <w:lang w:val="en-US"/>
        </w:rPr>
        <w:t>roughly about a quarter</w:t>
      </w:r>
      <w:r>
        <w:rPr>
          <w:lang w:val="en-US"/>
        </w:rPr>
        <w:t xml:space="preserve"> of the sample size</w:t>
      </w:r>
      <w:r w:rsidR="00D72A92" w:rsidRPr="00547A9D">
        <w:rPr>
          <w:lang w:val="en-US"/>
        </w:rPr>
        <w:t xml:space="preserve"> compared to the rest</w:t>
      </w:r>
      <w:r>
        <w:rPr>
          <w:lang w:val="en-US"/>
        </w:rPr>
        <w:t xml:space="preserve"> (349 lone parents) and this must be </w:t>
      </w:r>
      <w:r w:rsidR="003F6C22" w:rsidRPr="00547A9D">
        <w:rPr>
          <w:lang w:val="en-US"/>
        </w:rPr>
        <w:t>borne in mind when interpreting the results</w:t>
      </w:r>
      <w:r>
        <w:rPr>
          <w:lang w:val="en-US"/>
        </w:rPr>
        <w:t xml:space="preserve">. </w:t>
      </w:r>
      <w:r w:rsidR="003207E2">
        <w:rPr>
          <w:lang w:val="en-US"/>
        </w:rPr>
        <w:t xml:space="preserve"> </w:t>
      </w:r>
    </w:p>
    <w:p w14:paraId="0DEF5B0B" w14:textId="77777777" w:rsidR="005F0E32" w:rsidRDefault="005F0E32" w:rsidP="00AB247C">
      <w:pPr>
        <w:spacing w:line="360" w:lineRule="auto"/>
        <w:rPr>
          <w:lang w:val="en-US"/>
        </w:rPr>
      </w:pPr>
    </w:p>
    <w:p w14:paraId="7D8F0723" w14:textId="49C3674D" w:rsidR="00C677B5" w:rsidRDefault="00C677B5" w:rsidP="00FC4C81">
      <w:pPr>
        <w:rPr>
          <w:lang w:val="en-US"/>
        </w:rPr>
      </w:pPr>
      <w:r>
        <w:rPr>
          <w:lang w:val="en-US"/>
        </w:rPr>
        <w:t>Table 2 here</w:t>
      </w:r>
    </w:p>
    <w:p w14:paraId="0C6D52AE" w14:textId="77777777" w:rsidR="00C677B5" w:rsidRDefault="00C677B5" w:rsidP="00FC4C81">
      <w:pPr>
        <w:rPr>
          <w:lang w:val="en-US"/>
        </w:rPr>
      </w:pPr>
    </w:p>
    <w:p w14:paraId="0F7D7C28" w14:textId="77777777" w:rsidR="00754848" w:rsidRDefault="00754848" w:rsidP="00754848">
      <w:pPr>
        <w:spacing w:line="360" w:lineRule="auto"/>
        <w:rPr>
          <w:lang w:val="en-US"/>
        </w:rPr>
      </w:pPr>
    </w:p>
    <w:p w14:paraId="180E0D61" w14:textId="0793AAA1" w:rsidR="00754848" w:rsidRDefault="00754848" w:rsidP="00B204EF">
      <w:pPr>
        <w:spacing w:line="360" w:lineRule="auto"/>
        <w:rPr>
          <w:lang w:val="en-US"/>
        </w:rPr>
      </w:pPr>
      <w:r w:rsidRPr="00FC4C81">
        <w:rPr>
          <w:lang w:val="en-US"/>
        </w:rPr>
        <w:lastRenderedPageBreak/>
        <w:t xml:space="preserve">Table 2 </w:t>
      </w:r>
      <w:r>
        <w:rPr>
          <w:lang w:val="en-US"/>
        </w:rPr>
        <w:t xml:space="preserve">also sets the context by showing the </w:t>
      </w:r>
      <w:r w:rsidRPr="00FC4C81">
        <w:rPr>
          <w:lang w:val="en-US"/>
        </w:rPr>
        <w:t>receipt of child maintenance and social assistance benefits.</w:t>
      </w:r>
      <w:r>
        <w:rPr>
          <w:lang w:val="en-US"/>
        </w:rPr>
        <w:t xml:space="preserve"> In </w:t>
      </w:r>
      <w:r w:rsidRPr="00FC4C81">
        <w:rPr>
          <w:lang w:val="en-US"/>
        </w:rPr>
        <w:t>Finland the majority of lone parents receive</w:t>
      </w:r>
      <w:r>
        <w:rPr>
          <w:lang w:val="en-US"/>
        </w:rPr>
        <w:t>d</w:t>
      </w:r>
      <w:r w:rsidRPr="00FC4C81">
        <w:rPr>
          <w:lang w:val="en-US"/>
        </w:rPr>
        <w:t xml:space="preserve"> maintenance in 2013 (74%), while </w:t>
      </w:r>
      <w:r w:rsidR="005712F9">
        <w:rPr>
          <w:lang w:val="en-US"/>
        </w:rPr>
        <w:t>it was 4</w:t>
      </w:r>
      <w:r>
        <w:rPr>
          <w:lang w:val="en-US"/>
        </w:rPr>
        <w:t>3 per cent in Australia</w:t>
      </w:r>
      <w:r w:rsidR="005712F9">
        <w:rPr>
          <w:lang w:val="en-US"/>
        </w:rPr>
        <w:t xml:space="preserve"> and just </w:t>
      </w:r>
      <w:r>
        <w:rPr>
          <w:lang w:val="en-US"/>
        </w:rPr>
        <w:t xml:space="preserve">34 per cent </w:t>
      </w:r>
      <w:r w:rsidR="005712F9">
        <w:rPr>
          <w:lang w:val="en-US"/>
        </w:rPr>
        <w:t xml:space="preserve">in Germany and the UK. In </w:t>
      </w:r>
      <w:r w:rsidRPr="00FC4C81">
        <w:rPr>
          <w:lang w:val="en-US"/>
        </w:rPr>
        <w:t>Germany</w:t>
      </w:r>
      <w:r w:rsidR="005712F9">
        <w:rPr>
          <w:lang w:val="en-US"/>
        </w:rPr>
        <w:t xml:space="preserve">, prior to 2017, </w:t>
      </w:r>
      <w:r w:rsidRPr="00FC4C81">
        <w:rPr>
          <w:lang w:val="en-US"/>
        </w:rPr>
        <w:t>there were special conditions for the guarantee</w:t>
      </w:r>
      <w:r w:rsidR="005712F9">
        <w:rPr>
          <w:lang w:val="en-US"/>
        </w:rPr>
        <w:t>d</w:t>
      </w:r>
      <w:r w:rsidRPr="00FC4C81">
        <w:rPr>
          <w:lang w:val="en-US"/>
        </w:rPr>
        <w:t xml:space="preserve"> </w:t>
      </w:r>
      <w:r w:rsidR="00DC0987">
        <w:rPr>
          <w:lang w:val="en-US"/>
        </w:rPr>
        <w:t xml:space="preserve">maintenance </w:t>
      </w:r>
      <w:r w:rsidRPr="00FC4C81">
        <w:rPr>
          <w:lang w:val="en-US"/>
        </w:rPr>
        <w:t>schemes (Skinner et al.</w:t>
      </w:r>
      <w:r w:rsidR="00482213">
        <w:rPr>
          <w:lang w:val="en-US"/>
        </w:rPr>
        <w:t>,</w:t>
      </w:r>
      <w:r w:rsidRPr="00FC4C81">
        <w:rPr>
          <w:lang w:val="en-US"/>
        </w:rPr>
        <w:t xml:space="preserve"> 2007), which is why many </w:t>
      </w:r>
      <w:r>
        <w:rPr>
          <w:lang w:val="en-US"/>
        </w:rPr>
        <w:t>lone parents did not receive it</w:t>
      </w:r>
      <w:r w:rsidR="00482213" w:rsidRPr="00482213">
        <w:rPr>
          <w:vertAlign w:val="superscript"/>
          <w:lang w:val="en-US"/>
        </w:rPr>
        <w:t>1</w:t>
      </w:r>
      <w:r w:rsidRPr="00FC4C81">
        <w:rPr>
          <w:lang w:val="en-US"/>
        </w:rPr>
        <w:t xml:space="preserve">. </w:t>
      </w:r>
      <w:r w:rsidR="00C667DB">
        <w:rPr>
          <w:lang w:val="en-US"/>
        </w:rPr>
        <w:t>T</w:t>
      </w:r>
      <w:r w:rsidR="005712F9">
        <w:rPr>
          <w:lang w:val="en-US"/>
        </w:rPr>
        <w:t xml:space="preserve">he UK has had consistently low rates of receipt since its implementation in 1993 for a range of complex reasons. </w:t>
      </w:r>
      <w:r>
        <w:rPr>
          <w:lang w:val="en-US"/>
        </w:rPr>
        <w:t xml:space="preserve">Regarding social assistance </w:t>
      </w:r>
      <w:r w:rsidR="005712F9">
        <w:rPr>
          <w:lang w:val="en-US"/>
        </w:rPr>
        <w:t xml:space="preserve">benefits, </w:t>
      </w:r>
      <w:r>
        <w:rPr>
          <w:lang w:val="en-US"/>
        </w:rPr>
        <w:t>t</w:t>
      </w:r>
      <w:r w:rsidRPr="00FC4C81">
        <w:rPr>
          <w:lang w:val="en-US"/>
        </w:rPr>
        <w:t xml:space="preserve">he UK </w:t>
      </w:r>
      <w:r>
        <w:rPr>
          <w:lang w:val="en-US"/>
        </w:rPr>
        <w:t xml:space="preserve">has </w:t>
      </w:r>
      <w:r w:rsidRPr="00FC4C81">
        <w:rPr>
          <w:lang w:val="en-US"/>
        </w:rPr>
        <w:t>the highest rate</w:t>
      </w:r>
      <w:r w:rsidR="005712F9">
        <w:rPr>
          <w:lang w:val="en-US"/>
        </w:rPr>
        <w:t xml:space="preserve"> with </w:t>
      </w:r>
      <w:r w:rsidRPr="00FC4C81">
        <w:rPr>
          <w:lang w:val="en-US"/>
        </w:rPr>
        <w:t>69</w:t>
      </w:r>
      <w:r>
        <w:rPr>
          <w:lang w:val="en-US"/>
        </w:rPr>
        <w:t xml:space="preserve"> per cent of lone parents receiv</w:t>
      </w:r>
      <w:r w:rsidR="005712F9">
        <w:rPr>
          <w:lang w:val="en-US"/>
        </w:rPr>
        <w:t xml:space="preserve">ing these </w:t>
      </w:r>
      <w:r>
        <w:rPr>
          <w:lang w:val="en-US"/>
        </w:rPr>
        <w:t xml:space="preserve">in 2013 </w:t>
      </w:r>
      <w:r w:rsidRPr="00FC4C81">
        <w:rPr>
          <w:lang w:val="en-US"/>
        </w:rPr>
        <w:t xml:space="preserve">compared to </w:t>
      </w:r>
      <w:r>
        <w:rPr>
          <w:lang w:val="en-US"/>
        </w:rPr>
        <w:t xml:space="preserve">50 per cent in Australia, 42 per cent in </w:t>
      </w:r>
      <w:r w:rsidRPr="00FC4C81">
        <w:rPr>
          <w:lang w:val="en-US"/>
        </w:rPr>
        <w:t xml:space="preserve">Germany </w:t>
      </w:r>
      <w:r>
        <w:rPr>
          <w:lang w:val="en-US"/>
        </w:rPr>
        <w:t xml:space="preserve">and </w:t>
      </w:r>
      <w:r w:rsidR="005712F9">
        <w:rPr>
          <w:lang w:val="en-US"/>
        </w:rPr>
        <w:t xml:space="preserve">only </w:t>
      </w:r>
      <w:r w:rsidRPr="00FC4C81">
        <w:rPr>
          <w:lang w:val="en-US"/>
        </w:rPr>
        <w:t xml:space="preserve">23 percent in Finland.  This </w:t>
      </w:r>
      <w:r>
        <w:rPr>
          <w:lang w:val="en-US"/>
        </w:rPr>
        <w:t xml:space="preserve">variation </w:t>
      </w:r>
      <w:r w:rsidRPr="00FC4C81">
        <w:rPr>
          <w:lang w:val="en-US"/>
        </w:rPr>
        <w:t xml:space="preserve">most likely reflects a range of factors such </w:t>
      </w:r>
      <w:r>
        <w:rPr>
          <w:lang w:val="en-US"/>
        </w:rPr>
        <w:t xml:space="preserve">as </w:t>
      </w:r>
      <w:r w:rsidRPr="00FC4C81">
        <w:rPr>
          <w:lang w:val="en-US"/>
        </w:rPr>
        <w:t>eligibility rules, employment rates and earnings of lone parents.</w:t>
      </w:r>
      <w:r w:rsidR="00C26C89">
        <w:rPr>
          <w:lang w:val="en-US"/>
        </w:rPr>
        <w:t xml:space="preserve"> </w:t>
      </w:r>
    </w:p>
    <w:p w14:paraId="20B9D678" w14:textId="77777777" w:rsidR="003207E2" w:rsidRPr="00FC4C81" w:rsidRDefault="003207E2" w:rsidP="005F0E32">
      <w:pPr>
        <w:spacing w:line="360" w:lineRule="auto"/>
        <w:rPr>
          <w:lang w:val="en-US"/>
        </w:rPr>
      </w:pPr>
    </w:p>
    <w:p w14:paraId="7921CAEB" w14:textId="1F8AAC3A" w:rsidR="004D229B" w:rsidRPr="007F5198" w:rsidRDefault="007F5198" w:rsidP="006D3744">
      <w:pPr>
        <w:spacing w:line="360" w:lineRule="auto"/>
        <w:rPr>
          <w:b/>
          <w:lang w:val="en-US"/>
        </w:rPr>
      </w:pPr>
      <w:r w:rsidRPr="007F5198">
        <w:rPr>
          <w:b/>
          <w:lang w:val="en-US"/>
        </w:rPr>
        <w:t>Results</w:t>
      </w:r>
    </w:p>
    <w:p w14:paraId="739D9B06" w14:textId="77777777" w:rsidR="00C6603A" w:rsidRPr="00547A9D" w:rsidRDefault="00C6603A">
      <w:pPr>
        <w:spacing w:line="360" w:lineRule="auto"/>
        <w:rPr>
          <w:b/>
          <w:lang w:val="en-US"/>
        </w:rPr>
      </w:pPr>
    </w:p>
    <w:p w14:paraId="29AEF154" w14:textId="77777777" w:rsidR="000442C3" w:rsidRPr="00547A9D" w:rsidRDefault="00C6603A">
      <w:pPr>
        <w:spacing w:line="360" w:lineRule="auto"/>
        <w:rPr>
          <w:b/>
          <w:lang w:val="en-US"/>
        </w:rPr>
      </w:pPr>
      <w:r w:rsidRPr="00547A9D">
        <w:rPr>
          <w:b/>
          <w:lang w:val="en-US"/>
        </w:rPr>
        <w:t xml:space="preserve">Child maintenance and child poverty </w:t>
      </w:r>
    </w:p>
    <w:p w14:paraId="358A453F" w14:textId="77777777" w:rsidR="00C6603A" w:rsidRPr="00547A9D" w:rsidRDefault="00C6603A">
      <w:pPr>
        <w:spacing w:line="360" w:lineRule="auto"/>
        <w:rPr>
          <w:b/>
          <w:lang w:val="en-US"/>
        </w:rPr>
      </w:pPr>
    </w:p>
    <w:p w14:paraId="194DE480" w14:textId="3676146D" w:rsidR="00DE695C" w:rsidRDefault="00C6603A">
      <w:pPr>
        <w:spacing w:line="360" w:lineRule="auto"/>
        <w:rPr>
          <w:lang w:val="en-US"/>
        </w:rPr>
      </w:pPr>
      <w:r w:rsidRPr="00547A9D">
        <w:rPr>
          <w:lang w:val="en-US"/>
        </w:rPr>
        <w:t xml:space="preserve">This section presents </w:t>
      </w:r>
      <w:r w:rsidR="008E196A">
        <w:rPr>
          <w:lang w:val="en-US"/>
        </w:rPr>
        <w:t xml:space="preserve">an </w:t>
      </w:r>
      <w:r w:rsidRPr="00547A9D">
        <w:rPr>
          <w:lang w:val="en-US"/>
        </w:rPr>
        <w:t xml:space="preserve">analysis </w:t>
      </w:r>
      <w:r w:rsidR="008E196A">
        <w:rPr>
          <w:lang w:val="en-US"/>
        </w:rPr>
        <w:t xml:space="preserve">of </w:t>
      </w:r>
      <w:r w:rsidRPr="00547A9D">
        <w:rPr>
          <w:lang w:val="en-US"/>
        </w:rPr>
        <w:t>child poverty</w:t>
      </w:r>
      <w:r w:rsidR="00847695" w:rsidRPr="00547A9D">
        <w:rPr>
          <w:lang w:val="en-US"/>
        </w:rPr>
        <w:t xml:space="preserve"> </w:t>
      </w:r>
      <w:r w:rsidR="008E196A">
        <w:rPr>
          <w:lang w:val="en-US"/>
        </w:rPr>
        <w:t xml:space="preserve">rates of </w:t>
      </w:r>
      <w:r w:rsidR="00847695" w:rsidRPr="00547A9D">
        <w:rPr>
          <w:lang w:val="en-US"/>
        </w:rPr>
        <w:t>different po</w:t>
      </w:r>
      <w:r w:rsidR="00217AD9" w:rsidRPr="00547A9D">
        <w:rPr>
          <w:lang w:val="en-US"/>
        </w:rPr>
        <w:t>p</w:t>
      </w:r>
      <w:r w:rsidR="00847695" w:rsidRPr="00547A9D">
        <w:rPr>
          <w:lang w:val="en-US"/>
        </w:rPr>
        <w:t>ulations</w:t>
      </w:r>
      <w:r w:rsidR="003B3DEB">
        <w:rPr>
          <w:lang w:val="en-US"/>
        </w:rPr>
        <w:t xml:space="preserve"> of parents</w:t>
      </w:r>
      <w:r w:rsidR="008E196A">
        <w:rPr>
          <w:lang w:val="en-US"/>
        </w:rPr>
        <w:t xml:space="preserve">. This is shown in Table 3, first the rates for </w:t>
      </w:r>
      <w:r w:rsidR="000A3278">
        <w:rPr>
          <w:lang w:val="en-US"/>
        </w:rPr>
        <w:t>all families with children</w:t>
      </w:r>
      <w:r w:rsidR="008E196A">
        <w:rPr>
          <w:lang w:val="en-US"/>
        </w:rPr>
        <w:t xml:space="preserve"> are presented, then all </w:t>
      </w:r>
      <w:r w:rsidR="000A3278">
        <w:rPr>
          <w:lang w:val="en-US"/>
        </w:rPr>
        <w:t>lone parent families</w:t>
      </w:r>
      <w:r w:rsidR="008E196A">
        <w:rPr>
          <w:lang w:val="en-US"/>
        </w:rPr>
        <w:t xml:space="preserve">, those lone </w:t>
      </w:r>
      <w:r w:rsidR="008E55F6" w:rsidRPr="008E55F6">
        <w:rPr>
          <w:lang w:val="en-US"/>
        </w:rPr>
        <w:t>parents receiving social assistance</w:t>
      </w:r>
      <w:r w:rsidR="008E55F6">
        <w:rPr>
          <w:lang w:val="en-US"/>
        </w:rPr>
        <w:t xml:space="preserve">, and lastly </w:t>
      </w:r>
      <w:r w:rsidR="008E196A">
        <w:rPr>
          <w:lang w:val="en-US"/>
        </w:rPr>
        <w:t xml:space="preserve">for lone parents who do not receive child maintenance and for </w:t>
      </w:r>
      <w:r w:rsidR="00847695" w:rsidRPr="00547A9D">
        <w:rPr>
          <w:lang w:val="en-US"/>
        </w:rPr>
        <w:t xml:space="preserve">those </w:t>
      </w:r>
      <w:r w:rsidR="003B3DEB">
        <w:rPr>
          <w:lang w:val="en-US"/>
        </w:rPr>
        <w:t xml:space="preserve">lone parent families </w:t>
      </w:r>
      <w:r w:rsidR="008E196A">
        <w:rPr>
          <w:lang w:val="en-US"/>
        </w:rPr>
        <w:t>w</w:t>
      </w:r>
      <w:r w:rsidR="00847695" w:rsidRPr="00547A9D">
        <w:rPr>
          <w:lang w:val="en-US"/>
        </w:rPr>
        <w:t xml:space="preserve">ho </w:t>
      </w:r>
      <w:r w:rsidR="008E196A">
        <w:rPr>
          <w:lang w:val="en-US"/>
        </w:rPr>
        <w:t xml:space="preserve">do </w:t>
      </w:r>
      <w:r w:rsidR="00847695" w:rsidRPr="00547A9D">
        <w:rPr>
          <w:lang w:val="en-US"/>
        </w:rPr>
        <w:t>receive child mainte</w:t>
      </w:r>
      <w:r w:rsidR="0096170F">
        <w:rPr>
          <w:lang w:val="en-US"/>
        </w:rPr>
        <w:t>n</w:t>
      </w:r>
      <w:r w:rsidR="00847695" w:rsidRPr="00547A9D">
        <w:rPr>
          <w:lang w:val="en-US"/>
        </w:rPr>
        <w:t>ance</w:t>
      </w:r>
      <w:r w:rsidR="008E196A">
        <w:rPr>
          <w:lang w:val="en-US"/>
        </w:rPr>
        <w:t xml:space="preserve">. The poverty threshold is set at household </w:t>
      </w:r>
      <w:r w:rsidR="008E196A" w:rsidRPr="00547A9D">
        <w:rPr>
          <w:lang w:val="en-US"/>
        </w:rPr>
        <w:t xml:space="preserve">income below 50 percent of the population median </w:t>
      </w:r>
      <w:r w:rsidR="008E196A">
        <w:rPr>
          <w:lang w:val="en-US"/>
        </w:rPr>
        <w:t xml:space="preserve">disposable </w:t>
      </w:r>
      <w:r w:rsidR="008E196A" w:rsidRPr="00547A9D">
        <w:rPr>
          <w:lang w:val="en-US"/>
        </w:rPr>
        <w:t xml:space="preserve">income in each country. </w:t>
      </w:r>
      <w:r w:rsidR="008E196A">
        <w:rPr>
          <w:lang w:val="en-US"/>
        </w:rPr>
        <w:t>This helps set the poverty context for the sample of LIS data from 2013, especially highlighting poverty rates for families on social assistance benefits as well as the differen</w:t>
      </w:r>
      <w:r w:rsidR="003B3DEB">
        <w:rPr>
          <w:lang w:val="en-US"/>
        </w:rPr>
        <w:t xml:space="preserve">t poverty rates for the two sub-groups of lone parents </w:t>
      </w:r>
      <w:r w:rsidR="003B3DEB">
        <w:rPr>
          <w:lang w:val="en-US"/>
        </w:rPr>
        <w:lastRenderedPageBreak/>
        <w:t xml:space="preserve">those </w:t>
      </w:r>
      <w:r w:rsidR="008E196A">
        <w:rPr>
          <w:lang w:val="en-US"/>
        </w:rPr>
        <w:t>who do get child maintenance</w:t>
      </w:r>
      <w:r w:rsidR="003B3DEB">
        <w:rPr>
          <w:lang w:val="en-US"/>
        </w:rPr>
        <w:t xml:space="preserve"> compared to those who do not (note we are not </w:t>
      </w:r>
      <w:r w:rsidR="000D65EF">
        <w:rPr>
          <w:lang w:val="en-US"/>
        </w:rPr>
        <w:t>measuring</w:t>
      </w:r>
      <w:r w:rsidR="003B3DEB">
        <w:rPr>
          <w:lang w:val="en-US"/>
        </w:rPr>
        <w:t xml:space="preserve"> the effect of </w:t>
      </w:r>
      <w:r w:rsidR="000D65EF">
        <w:rPr>
          <w:lang w:val="en-US"/>
        </w:rPr>
        <w:t>child maintenance on poverty reduction in this table</w:t>
      </w:r>
      <w:r w:rsidR="00446D1F">
        <w:rPr>
          <w:lang w:val="en-US"/>
        </w:rPr>
        <w:t xml:space="preserve">, we are simply describing </w:t>
      </w:r>
      <w:r w:rsidR="006E6F40">
        <w:rPr>
          <w:lang w:val="en-US"/>
        </w:rPr>
        <w:t xml:space="preserve">poverty </w:t>
      </w:r>
      <w:r w:rsidR="00446D1F">
        <w:rPr>
          <w:lang w:val="en-US"/>
        </w:rPr>
        <w:t>rates for different populations)</w:t>
      </w:r>
      <w:r w:rsidR="008E196A">
        <w:rPr>
          <w:lang w:val="en-US"/>
        </w:rPr>
        <w:t xml:space="preserve">.  </w:t>
      </w:r>
    </w:p>
    <w:p w14:paraId="2D6F6092" w14:textId="77777777" w:rsidR="00DE695C" w:rsidRDefault="00DE695C">
      <w:pPr>
        <w:spacing w:line="360" w:lineRule="auto"/>
        <w:rPr>
          <w:lang w:val="en-US"/>
        </w:rPr>
      </w:pPr>
    </w:p>
    <w:p w14:paraId="495BA727" w14:textId="1830D33D" w:rsidR="007E0456" w:rsidRPr="00F271A2" w:rsidRDefault="00000D37" w:rsidP="00C677B5">
      <w:pPr>
        <w:rPr>
          <w:sz w:val="20"/>
          <w:szCs w:val="18"/>
          <w:lang w:val="en-US"/>
        </w:rPr>
      </w:pPr>
      <w:r w:rsidRPr="00547A9D">
        <w:rPr>
          <w:lang w:val="en-US"/>
        </w:rPr>
        <w:t xml:space="preserve">Table </w:t>
      </w:r>
      <w:r w:rsidR="000B540C">
        <w:rPr>
          <w:lang w:val="en-US"/>
        </w:rPr>
        <w:t>3</w:t>
      </w:r>
      <w:r w:rsidR="00C677B5">
        <w:rPr>
          <w:lang w:val="en-US"/>
        </w:rPr>
        <w:t xml:space="preserve"> here </w:t>
      </w:r>
    </w:p>
    <w:p w14:paraId="554B8FF6" w14:textId="77777777" w:rsidR="00834B69" w:rsidRDefault="00834B69">
      <w:pPr>
        <w:spacing w:line="360" w:lineRule="auto"/>
        <w:rPr>
          <w:lang w:val="en-US"/>
        </w:rPr>
      </w:pPr>
    </w:p>
    <w:p w14:paraId="40B6C8EC" w14:textId="77777777" w:rsidR="00A656AA" w:rsidRDefault="00446D1F" w:rsidP="000D65EF">
      <w:pPr>
        <w:spacing w:line="360" w:lineRule="auto"/>
        <w:rPr>
          <w:lang w:val="en-US"/>
        </w:rPr>
      </w:pPr>
      <w:r>
        <w:rPr>
          <w:lang w:val="en-US"/>
        </w:rPr>
        <w:t>Table 3 shows that c</w:t>
      </w:r>
      <w:r w:rsidR="001E2E0A" w:rsidRPr="00547A9D">
        <w:rPr>
          <w:lang w:val="en-US"/>
        </w:rPr>
        <w:t>hild poverty rates</w:t>
      </w:r>
      <w:r w:rsidR="00321D16">
        <w:rPr>
          <w:lang w:val="en-US"/>
        </w:rPr>
        <w:t xml:space="preserve"> are hig</w:t>
      </w:r>
      <w:r w:rsidR="00DD6112">
        <w:rPr>
          <w:lang w:val="en-US"/>
        </w:rPr>
        <w:t>her i</w:t>
      </w:r>
      <w:r w:rsidR="00321D16">
        <w:rPr>
          <w:lang w:val="en-US"/>
        </w:rPr>
        <w:t>n lone parent families tha</w:t>
      </w:r>
      <w:r w:rsidR="00891782">
        <w:rPr>
          <w:lang w:val="en-US"/>
        </w:rPr>
        <w:t>n</w:t>
      </w:r>
      <w:r w:rsidR="00321D16">
        <w:rPr>
          <w:lang w:val="en-US"/>
        </w:rPr>
        <w:t xml:space="preserve"> in all families with children</w:t>
      </w:r>
      <w:r w:rsidR="00891782">
        <w:rPr>
          <w:lang w:val="en-US"/>
        </w:rPr>
        <w:t xml:space="preserve"> across </w:t>
      </w:r>
      <w:r w:rsidR="00321D16">
        <w:rPr>
          <w:lang w:val="en-US"/>
        </w:rPr>
        <w:t xml:space="preserve">all </w:t>
      </w:r>
      <w:r w:rsidR="003B3DEB">
        <w:rPr>
          <w:lang w:val="en-US"/>
        </w:rPr>
        <w:t xml:space="preserve">four </w:t>
      </w:r>
      <w:r w:rsidR="00321D16">
        <w:rPr>
          <w:lang w:val="en-US"/>
        </w:rPr>
        <w:t>c</w:t>
      </w:r>
      <w:r w:rsidR="00DD6112">
        <w:rPr>
          <w:lang w:val="en-US"/>
        </w:rPr>
        <w:t>ountries studied.</w:t>
      </w:r>
      <w:r w:rsidRPr="00446D1F">
        <w:rPr>
          <w:lang w:val="en-US"/>
        </w:rPr>
        <w:t xml:space="preserve"> </w:t>
      </w:r>
      <w:r w:rsidRPr="008E55F6">
        <w:rPr>
          <w:lang w:val="en-US"/>
        </w:rPr>
        <w:t xml:space="preserve">This is </w:t>
      </w:r>
      <w:r>
        <w:rPr>
          <w:lang w:val="en-US"/>
        </w:rPr>
        <w:t xml:space="preserve">in </w:t>
      </w:r>
      <w:r w:rsidRPr="008E55F6">
        <w:rPr>
          <w:lang w:val="en-US"/>
        </w:rPr>
        <w:t>accordance with earlier studies</w:t>
      </w:r>
      <w:r>
        <w:rPr>
          <w:lang w:val="en-US"/>
        </w:rPr>
        <w:t xml:space="preserve"> confirming the higher risks among lone parent families</w:t>
      </w:r>
      <w:r w:rsidRPr="008E55F6">
        <w:rPr>
          <w:lang w:val="en-US"/>
        </w:rPr>
        <w:t xml:space="preserve">. </w:t>
      </w:r>
      <w:r w:rsidR="003B3DEB">
        <w:rPr>
          <w:lang w:val="en-US"/>
        </w:rPr>
        <w:t>The rates do still vary across countries</w:t>
      </w:r>
      <w:r w:rsidR="000D65EF">
        <w:rPr>
          <w:lang w:val="en-US"/>
        </w:rPr>
        <w:t xml:space="preserve"> however</w:t>
      </w:r>
      <w:r w:rsidR="003B3DEB">
        <w:rPr>
          <w:lang w:val="en-US"/>
        </w:rPr>
        <w:t xml:space="preserve">, </w:t>
      </w:r>
      <w:r w:rsidR="001E2E0A" w:rsidRPr="00547A9D">
        <w:rPr>
          <w:lang w:val="en-US"/>
        </w:rPr>
        <w:t xml:space="preserve">being the highest in </w:t>
      </w:r>
      <w:r w:rsidR="00C86D6B">
        <w:rPr>
          <w:lang w:val="en-US"/>
        </w:rPr>
        <w:t>Australia</w:t>
      </w:r>
      <w:r w:rsidR="001E2E0A" w:rsidRPr="00547A9D">
        <w:rPr>
          <w:lang w:val="en-US"/>
        </w:rPr>
        <w:t xml:space="preserve"> a</w:t>
      </w:r>
      <w:r w:rsidR="00321D16">
        <w:rPr>
          <w:lang w:val="en-US"/>
        </w:rPr>
        <w:t xml:space="preserve">nd </w:t>
      </w:r>
      <w:r w:rsidR="003B3DEB">
        <w:rPr>
          <w:lang w:val="en-US"/>
        </w:rPr>
        <w:t xml:space="preserve">Germany (41% and 37% respectively) and </w:t>
      </w:r>
      <w:r w:rsidR="00321D16">
        <w:rPr>
          <w:lang w:val="en-US"/>
        </w:rPr>
        <w:t>lowest in Finland and the UK</w:t>
      </w:r>
      <w:r w:rsidR="003B3DEB">
        <w:rPr>
          <w:lang w:val="en-US"/>
        </w:rPr>
        <w:t xml:space="preserve"> (17% and 13%</w:t>
      </w:r>
      <w:r w:rsidR="000D65EF">
        <w:rPr>
          <w:lang w:val="en-US"/>
        </w:rPr>
        <w:t xml:space="preserve"> respectively</w:t>
      </w:r>
      <w:r w:rsidR="003B3DEB">
        <w:rPr>
          <w:lang w:val="en-US"/>
        </w:rPr>
        <w:t>).</w:t>
      </w:r>
      <w:r w:rsidR="001E2E0A" w:rsidRPr="00547A9D">
        <w:rPr>
          <w:lang w:val="en-US"/>
        </w:rPr>
        <w:t xml:space="preserve"> </w:t>
      </w:r>
    </w:p>
    <w:p w14:paraId="1EE765F6" w14:textId="77777777" w:rsidR="00A656AA" w:rsidRDefault="00A656AA" w:rsidP="000D65EF">
      <w:pPr>
        <w:spacing w:line="360" w:lineRule="auto"/>
        <w:rPr>
          <w:lang w:val="en-US"/>
        </w:rPr>
      </w:pPr>
    </w:p>
    <w:p w14:paraId="2E3F5999" w14:textId="164D00F8" w:rsidR="00A656AA" w:rsidRDefault="003B3DEB" w:rsidP="000D65EF">
      <w:pPr>
        <w:spacing w:line="360" w:lineRule="auto"/>
        <w:rPr>
          <w:lang w:val="en-US"/>
        </w:rPr>
      </w:pPr>
      <w:r>
        <w:rPr>
          <w:lang w:val="en-US"/>
        </w:rPr>
        <w:t xml:space="preserve">For the </w:t>
      </w:r>
      <w:r w:rsidR="00A656AA">
        <w:rPr>
          <w:lang w:val="en-US"/>
        </w:rPr>
        <w:t xml:space="preserve">next </w:t>
      </w:r>
      <w:r>
        <w:rPr>
          <w:lang w:val="en-US"/>
        </w:rPr>
        <w:t>sub group of lone parents on social assistance benefits, it is not surprising to see higher rates of poverty across most countries. Germany overtakes Australia as having the highest poverty rate (51</w:t>
      </w:r>
      <w:r w:rsidR="00C677B5">
        <w:rPr>
          <w:lang w:val="en-US"/>
        </w:rPr>
        <w:t>% compared</w:t>
      </w:r>
      <w:r>
        <w:rPr>
          <w:lang w:val="en-US"/>
        </w:rPr>
        <w:t xml:space="preserve"> to 46%), with Finland at </w:t>
      </w:r>
      <w:r w:rsidR="000D65EF">
        <w:rPr>
          <w:lang w:val="en-US"/>
        </w:rPr>
        <w:t xml:space="preserve">26 per cent. The UK, shows a slightly lower rate of child poverty among lone parents in receipt of social assistance compared to all lone </w:t>
      </w:r>
      <w:r w:rsidR="00C677B5">
        <w:rPr>
          <w:lang w:val="en-US"/>
        </w:rPr>
        <w:t>parents;</w:t>
      </w:r>
      <w:r w:rsidR="000D65EF">
        <w:rPr>
          <w:lang w:val="en-US"/>
        </w:rPr>
        <w:t xml:space="preserve"> this is not easily explained as it is counter to what might be expected</w:t>
      </w:r>
      <w:r w:rsidR="00F03AC1">
        <w:rPr>
          <w:lang w:val="en-US"/>
        </w:rPr>
        <w:t xml:space="preserve">, although at </w:t>
      </w:r>
      <w:r w:rsidR="00FC1189">
        <w:rPr>
          <w:lang w:val="en-US"/>
        </w:rPr>
        <w:t xml:space="preserve">3 </w:t>
      </w:r>
      <w:r w:rsidR="00F03AC1">
        <w:rPr>
          <w:lang w:val="en-US"/>
        </w:rPr>
        <w:t>per</w:t>
      </w:r>
      <w:r w:rsidR="00FF79EF">
        <w:rPr>
          <w:lang w:val="en-US"/>
        </w:rPr>
        <w:t xml:space="preserve"> </w:t>
      </w:r>
      <w:r w:rsidR="00F03AC1">
        <w:rPr>
          <w:lang w:val="en-US"/>
        </w:rPr>
        <w:t xml:space="preserve">cent </w:t>
      </w:r>
      <w:r w:rsidR="00FC1189">
        <w:rPr>
          <w:lang w:val="en-US"/>
        </w:rPr>
        <w:t>th</w:t>
      </w:r>
      <w:r w:rsidR="00F03AC1">
        <w:rPr>
          <w:lang w:val="en-US"/>
        </w:rPr>
        <w:t xml:space="preserve">e margin for difference is small </w:t>
      </w:r>
      <w:r w:rsidR="006559C7">
        <w:rPr>
          <w:lang w:val="en-US"/>
        </w:rPr>
        <w:t>(see further discussion below)</w:t>
      </w:r>
      <w:r w:rsidR="000D65EF">
        <w:rPr>
          <w:lang w:val="en-US"/>
        </w:rPr>
        <w:t xml:space="preserve">. </w:t>
      </w:r>
    </w:p>
    <w:p w14:paraId="3E74D6CF" w14:textId="77777777" w:rsidR="00A656AA" w:rsidRDefault="00A656AA" w:rsidP="000D65EF">
      <w:pPr>
        <w:spacing w:line="360" w:lineRule="auto"/>
        <w:rPr>
          <w:lang w:val="en-US"/>
        </w:rPr>
      </w:pPr>
    </w:p>
    <w:p w14:paraId="743E9135" w14:textId="0FA1E647" w:rsidR="001E2E0A" w:rsidRDefault="003B3DEB" w:rsidP="000D65EF">
      <w:pPr>
        <w:spacing w:line="360" w:lineRule="auto"/>
        <w:rPr>
          <w:lang w:val="en-US"/>
        </w:rPr>
      </w:pPr>
      <w:r>
        <w:rPr>
          <w:lang w:val="en-US"/>
        </w:rPr>
        <w:t xml:space="preserve">When comparing </w:t>
      </w:r>
      <w:r w:rsidR="000D65EF">
        <w:rPr>
          <w:lang w:val="en-US"/>
        </w:rPr>
        <w:t>t</w:t>
      </w:r>
      <w:r w:rsidR="001E2E0A" w:rsidRPr="00547A9D">
        <w:rPr>
          <w:lang w:val="en-US"/>
        </w:rPr>
        <w:t>h</w:t>
      </w:r>
      <w:r w:rsidR="00A656AA">
        <w:rPr>
          <w:lang w:val="en-US"/>
        </w:rPr>
        <w:t xml:space="preserve">e two last sub groups of </w:t>
      </w:r>
      <w:r w:rsidR="001E2E0A" w:rsidRPr="00547A9D">
        <w:rPr>
          <w:lang w:val="en-US"/>
        </w:rPr>
        <w:t>lone parents</w:t>
      </w:r>
      <w:r w:rsidR="00A656AA">
        <w:rPr>
          <w:lang w:val="en-US"/>
        </w:rPr>
        <w:t xml:space="preserve">, those </w:t>
      </w:r>
      <w:r w:rsidR="001E2E0A" w:rsidRPr="00547A9D">
        <w:rPr>
          <w:lang w:val="en-US"/>
        </w:rPr>
        <w:t xml:space="preserve">who do receive child maintenance </w:t>
      </w:r>
      <w:r w:rsidR="000D65EF">
        <w:rPr>
          <w:lang w:val="en-US"/>
        </w:rPr>
        <w:t xml:space="preserve">with those that do not, as </w:t>
      </w:r>
      <w:r w:rsidR="00A656AA">
        <w:rPr>
          <w:lang w:val="en-US"/>
        </w:rPr>
        <w:t xml:space="preserve">might be </w:t>
      </w:r>
      <w:r w:rsidR="000D65EF">
        <w:rPr>
          <w:lang w:val="en-US"/>
        </w:rPr>
        <w:t>expected</w:t>
      </w:r>
      <w:r w:rsidR="00F03AC1">
        <w:rPr>
          <w:lang w:val="en-US"/>
        </w:rPr>
        <w:t>,</w:t>
      </w:r>
      <w:r w:rsidR="000D65EF">
        <w:rPr>
          <w:lang w:val="en-US"/>
        </w:rPr>
        <w:t xml:space="preserve"> those with no child maintenance have higher rates of poverty</w:t>
      </w:r>
      <w:r w:rsidR="00A656AA">
        <w:rPr>
          <w:lang w:val="en-US"/>
        </w:rPr>
        <w:t xml:space="preserve"> for a</w:t>
      </w:r>
      <w:r w:rsidR="000D65EF">
        <w:rPr>
          <w:lang w:val="en-US"/>
        </w:rPr>
        <w:t xml:space="preserve">ll countries. Again, there </w:t>
      </w:r>
      <w:r w:rsidR="001E2E0A" w:rsidRPr="00547A9D">
        <w:rPr>
          <w:lang w:val="en-US"/>
        </w:rPr>
        <w:t>is considerable variation</w:t>
      </w:r>
      <w:r w:rsidR="000D65EF">
        <w:rPr>
          <w:lang w:val="en-US"/>
        </w:rPr>
        <w:t xml:space="preserve">; Australia has </w:t>
      </w:r>
      <w:r w:rsidR="000D65EF">
        <w:rPr>
          <w:lang w:val="en-US"/>
        </w:rPr>
        <w:lastRenderedPageBreak/>
        <w:t>the highest rate (33%) closely followed by Germany (30%) and then Finland (14</w:t>
      </w:r>
      <w:r w:rsidR="00446D1F">
        <w:rPr>
          <w:lang w:val="en-US"/>
        </w:rPr>
        <w:t>%</w:t>
      </w:r>
      <w:r w:rsidR="000D65EF">
        <w:rPr>
          <w:lang w:val="en-US"/>
        </w:rPr>
        <w:t xml:space="preserve">) with the UK having the lowest poverty rate at just 5 per cent. </w:t>
      </w:r>
      <w:r w:rsidR="001E2E0A" w:rsidRPr="00547A9D">
        <w:rPr>
          <w:lang w:val="en-US"/>
        </w:rPr>
        <w:t>We cannot tell from this</w:t>
      </w:r>
      <w:r w:rsidR="00A656AA">
        <w:rPr>
          <w:lang w:val="en-US"/>
        </w:rPr>
        <w:t xml:space="preserve"> analysis, t</w:t>
      </w:r>
      <w:r w:rsidR="001E2E0A" w:rsidRPr="00547A9D">
        <w:rPr>
          <w:lang w:val="en-US"/>
        </w:rPr>
        <w:t xml:space="preserve">he </w:t>
      </w:r>
      <w:r w:rsidR="00446D1F">
        <w:rPr>
          <w:lang w:val="en-US"/>
        </w:rPr>
        <w:t xml:space="preserve">many </w:t>
      </w:r>
      <w:r w:rsidR="001E2E0A" w:rsidRPr="00547A9D">
        <w:rPr>
          <w:lang w:val="en-US"/>
        </w:rPr>
        <w:t>possible factors that might be influencing poverty rates (for example employment and earnings). However, we do know in the UK that richer lone parent families and those in work are more lik</w:t>
      </w:r>
      <w:r w:rsidR="0096170F">
        <w:rPr>
          <w:lang w:val="en-US"/>
        </w:rPr>
        <w:t>e</w:t>
      </w:r>
      <w:r w:rsidR="001E2E0A" w:rsidRPr="00547A9D">
        <w:rPr>
          <w:lang w:val="en-US"/>
        </w:rPr>
        <w:t>ly to receive child maintenance (Hakovirta and</w:t>
      </w:r>
      <w:r w:rsidR="00DD6112">
        <w:rPr>
          <w:lang w:val="en-US"/>
        </w:rPr>
        <w:t xml:space="preserve"> Jokela</w:t>
      </w:r>
      <w:r w:rsidR="008E55F6">
        <w:rPr>
          <w:lang w:val="en-US"/>
        </w:rPr>
        <w:t>,</w:t>
      </w:r>
      <w:r w:rsidR="00DD6112">
        <w:rPr>
          <w:lang w:val="en-US"/>
        </w:rPr>
        <w:t xml:space="preserve"> 2018</w:t>
      </w:r>
      <w:r w:rsidR="001E2E0A" w:rsidRPr="00547A9D">
        <w:rPr>
          <w:lang w:val="en-US"/>
        </w:rPr>
        <w:t>)</w:t>
      </w:r>
      <w:r w:rsidR="00446D1F">
        <w:rPr>
          <w:lang w:val="en-US"/>
        </w:rPr>
        <w:t>;</w:t>
      </w:r>
      <w:r w:rsidR="001E2E0A" w:rsidRPr="00547A9D">
        <w:rPr>
          <w:lang w:val="en-US"/>
        </w:rPr>
        <w:t xml:space="preserve"> so the poverty rates among those families </w:t>
      </w:r>
      <w:r w:rsidR="00446D1F">
        <w:rPr>
          <w:lang w:val="en-US"/>
        </w:rPr>
        <w:t xml:space="preserve">who receive child maintenance may be </w:t>
      </w:r>
      <w:r w:rsidR="001E2E0A" w:rsidRPr="00547A9D">
        <w:rPr>
          <w:lang w:val="en-US"/>
        </w:rPr>
        <w:t>lower in any case, even before they receive child maintenance. That is why it is important for our an</w:t>
      </w:r>
      <w:r w:rsidR="0096170F">
        <w:rPr>
          <w:lang w:val="en-US"/>
        </w:rPr>
        <w:t>a</w:t>
      </w:r>
      <w:r w:rsidR="001E2E0A" w:rsidRPr="00547A9D">
        <w:rPr>
          <w:lang w:val="en-US"/>
        </w:rPr>
        <w:t xml:space="preserve">lysis to consider the poverty reduction effects </w:t>
      </w:r>
      <w:r w:rsidR="00446D1F">
        <w:rPr>
          <w:lang w:val="en-US"/>
        </w:rPr>
        <w:t xml:space="preserve">of maintenance </w:t>
      </w:r>
      <w:r w:rsidR="001E2E0A" w:rsidRPr="00547A9D">
        <w:rPr>
          <w:lang w:val="en-US"/>
        </w:rPr>
        <w:t>for the poorest lone par</w:t>
      </w:r>
      <w:r w:rsidR="0096170F">
        <w:rPr>
          <w:lang w:val="en-US"/>
        </w:rPr>
        <w:t>e</w:t>
      </w:r>
      <w:r w:rsidR="001E2E0A" w:rsidRPr="00547A9D">
        <w:rPr>
          <w:lang w:val="en-US"/>
        </w:rPr>
        <w:t>nt families; i.e</w:t>
      </w:r>
      <w:r w:rsidR="006E6F40">
        <w:rPr>
          <w:lang w:val="en-US"/>
        </w:rPr>
        <w:t>.</w:t>
      </w:r>
      <w:r w:rsidR="001E2E0A" w:rsidRPr="00547A9D">
        <w:rPr>
          <w:lang w:val="en-US"/>
        </w:rPr>
        <w:t xml:space="preserve"> those in receipt of social assistance benefits, to which we </w:t>
      </w:r>
      <w:r w:rsidR="00446D1F">
        <w:rPr>
          <w:lang w:val="en-US"/>
        </w:rPr>
        <w:t xml:space="preserve">now </w:t>
      </w:r>
      <w:r w:rsidR="001E2E0A" w:rsidRPr="00547A9D">
        <w:rPr>
          <w:lang w:val="en-US"/>
        </w:rPr>
        <w:t>turn.</w:t>
      </w:r>
    </w:p>
    <w:p w14:paraId="4BD0A8DF" w14:textId="77777777" w:rsidR="00E16DB5" w:rsidRPr="00DB04A9" w:rsidRDefault="00E16DB5" w:rsidP="001E2E0A">
      <w:pPr>
        <w:spacing w:line="360" w:lineRule="auto"/>
      </w:pPr>
    </w:p>
    <w:p w14:paraId="7579A02C" w14:textId="77777777" w:rsidR="001E2E0A" w:rsidRPr="00074187" w:rsidRDefault="001E2E0A" w:rsidP="00EA5327">
      <w:pPr>
        <w:spacing w:line="360" w:lineRule="auto"/>
        <w:rPr>
          <w:lang w:val="en-US"/>
        </w:rPr>
      </w:pPr>
    </w:p>
    <w:p w14:paraId="7D762310" w14:textId="4E92CED1" w:rsidR="003E015A" w:rsidRDefault="00000D37" w:rsidP="00EA5327">
      <w:pPr>
        <w:spacing w:line="360" w:lineRule="auto"/>
        <w:rPr>
          <w:lang w:val="en-US"/>
        </w:rPr>
      </w:pPr>
      <w:r w:rsidRPr="00074187">
        <w:rPr>
          <w:b/>
          <w:lang w:val="en-US"/>
        </w:rPr>
        <w:t>The interaction of child maintenance with social assistance benefits</w:t>
      </w:r>
      <w:r w:rsidR="006E6F40">
        <w:rPr>
          <w:b/>
          <w:lang w:val="en-US"/>
        </w:rPr>
        <w:t xml:space="preserve"> and the effect on poverty reduction </w:t>
      </w:r>
    </w:p>
    <w:p w14:paraId="19D6EAC1" w14:textId="77777777" w:rsidR="00DD6112" w:rsidRPr="008B4C0A" w:rsidRDefault="00DD6112" w:rsidP="00EA5327">
      <w:pPr>
        <w:spacing w:line="360" w:lineRule="auto"/>
        <w:rPr>
          <w:lang w:val="en-US"/>
        </w:rPr>
      </w:pPr>
    </w:p>
    <w:p w14:paraId="21E0D2B5" w14:textId="50CE8CE5" w:rsidR="00976086" w:rsidRDefault="00E16DB5" w:rsidP="00C35FE1">
      <w:pPr>
        <w:spacing w:line="360" w:lineRule="auto"/>
        <w:rPr>
          <w:lang w:val="en-US"/>
        </w:rPr>
      </w:pPr>
      <w:r>
        <w:rPr>
          <w:lang w:val="en-US"/>
        </w:rPr>
        <w:t>T</w:t>
      </w:r>
      <w:r w:rsidR="007F5198">
        <w:rPr>
          <w:lang w:val="en-US"/>
        </w:rPr>
        <w:t xml:space="preserve">he second </w:t>
      </w:r>
      <w:r w:rsidR="00C677B5">
        <w:rPr>
          <w:lang w:val="en-US"/>
        </w:rPr>
        <w:t xml:space="preserve">part of our </w:t>
      </w:r>
      <w:r w:rsidR="00C677B5" w:rsidRPr="00074187">
        <w:rPr>
          <w:lang w:val="en-US"/>
        </w:rPr>
        <w:t>child poverty analysis</w:t>
      </w:r>
      <w:r w:rsidR="00C677B5">
        <w:rPr>
          <w:lang w:val="en-US"/>
        </w:rPr>
        <w:t xml:space="preserve"> considers</w:t>
      </w:r>
      <w:r w:rsidR="006E6F40">
        <w:rPr>
          <w:lang w:val="en-US"/>
        </w:rPr>
        <w:t xml:space="preserve"> a sub-</w:t>
      </w:r>
      <w:r w:rsidR="007F5198">
        <w:rPr>
          <w:lang w:val="en-US"/>
        </w:rPr>
        <w:t>sample of only</w:t>
      </w:r>
      <w:r w:rsidR="00000D37" w:rsidRPr="00074187">
        <w:rPr>
          <w:lang w:val="en-US"/>
        </w:rPr>
        <w:t xml:space="preserve"> </w:t>
      </w:r>
      <w:r w:rsidR="00152DA2">
        <w:rPr>
          <w:lang w:val="en-US"/>
        </w:rPr>
        <w:t xml:space="preserve">those </w:t>
      </w:r>
      <w:r w:rsidR="00000D37" w:rsidRPr="00074187">
        <w:rPr>
          <w:lang w:val="en-US"/>
        </w:rPr>
        <w:t>lone parent families</w:t>
      </w:r>
      <w:r w:rsidR="00152DA2">
        <w:rPr>
          <w:lang w:val="en-US"/>
        </w:rPr>
        <w:t xml:space="preserve"> who receive </w:t>
      </w:r>
      <w:r w:rsidR="0006497D">
        <w:rPr>
          <w:lang w:val="en-US"/>
        </w:rPr>
        <w:t>child maintenance</w:t>
      </w:r>
      <w:r w:rsidR="00446D1F">
        <w:rPr>
          <w:lang w:val="en-US"/>
        </w:rPr>
        <w:t>. As we have seen in Table 3 above, these are the group of lone parents with the lowest child poverty rates. So it might feel a little odd to focus on them</w:t>
      </w:r>
      <w:r w:rsidR="00976086">
        <w:rPr>
          <w:lang w:val="en-US"/>
        </w:rPr>
        <w:t xml:space="preserve"> when doing an analysis of poverty</w:t>
      </w:r>
      <w:r w:rsidR="00446D1F">
        <w:rPr>
          <w:lang w:val="en-US"/>
        </w:rPr>
        <w:t xml:space="preserve">, but we need to do that in order to </w:t>
      </w:r>
      <w:r w:rsidR="00976086">
        <w:rPr>
          <w:lang w:val="en-US"/>
        </w:rPr>
        <w:t>explore the anti-poverty effectiveness of child maintenance that can also take account of interaction effects. Because clearly if lone parent families do not receive child maintenance there is no interaction effect</w:t>
      </w:r>
      <w:r w:rsidR="00A656AA">
        <w:rPr>
          <w:lang w:val="en-US"/>
        </w:rPr>
        <w:t xml:space="preserve"> between child maintenance systems and social </w:t>
      </w:r>
      <w:r w:rsidR="00C667DB">
        <w:rPr>
          <w:lang w:val="en-US"/>
        </w:rPr>
        <w:t>assistance systems</w:t>
      </w:r>
      <w:r w:rsidR="00A656AA">
        <w:rPr>
          <w:lang w:val="en-US"/>
        </w:rPr>
        <w:t xml:space="preserve">. </w:t>
      </w:r>
      <w:r w:rsidR="009D4D2B">
        <w:rPr>
          <w:lang w:val="en-US"/>
        </w:rPr>
        <w:t xml:space="preserve">This analysis is therefore focusing on the poverty reduction potential of child maintenance </w:t>
      </w:r>
      <w:r w:rsidR="00CA1030" w:rsidRPr="00A75D42">
        <w:rPr>
          <w:lang w:val="en-US"/>
        </w:rPr>
        <w:t>only</w:t>
      </w:r>
      <w:r w:rsidR="00CA1030">
        <w:rPr>
          <w:lang w:val="en-US"/>
        </w:rPr>
        <w:t xml:space="preserve"> </w:t>
      </w:r>
      <w:r w:rsidR="009D4D2B">
        <w:rPr>
          <w:lang w:val="en-US"/>
        </w:rPr>
        <w:t xml:space="preserve">when </w:t>
      </w:r>
      <w:r w:rsidR="009D4D2B" w:rsidRPr="006E6F40">
        <w:rPr>
          <w:lang w:val="en-US"/>
        </w:rPr>
        <w:t>it is</w:t>
      </w:r>
      <w:r w:rsidR="009D4D2B">
        <w:rPr>
          <w:lang w:val="en-US"/>
        </w:rPr>
        <w:t xml:space="preserve"> paid. </w:t>
      </w:r>
    </w:p>
    <w:p w14:paraId="2625FE52" w14:textId="77777777" w:rsidR="00976086" w:rsidRDefault="00976086" w:rsidP="00C35FE1">
      <w:pPr>
        <w:spacing w:line="360" w:lineRule="auto"/>
        <w:rPr>
          <w:lang w:val="en-US"/>
        </w:rPr>
      </w:pPr>
    </w:p>
    <w:p w14:paraId="4A6D2FA2" w14:textId="628A2801" w:rsidR="00C429D0" w:rsidRDefault="00446D1F" w:rsidP="00C35FE1">
      <w:pPr>
        <w:spacing w:line="360" w:lineRule="auto"/>
        <w:rPr>
          <w:lang w:val="en-US"/>
        </w:rPr>
      </w:pPr>
      <w:r>
        <w:rPr>
          <w:lang w:val="en-US"/>
        </w:rPr>
        <w:t>Among th</w:t>
      </w:r>
      <w:r w:rsidR="006E6F40">
        <w:rPr>
          <w:lang w:val="en-US"/>
        </w:rPr>
        <w:t>e sub-</w:t>
      </w:r>
      <w:r w:rsidR="00976086">
        <w:rPr>
          <w:lang w:val="en-US"/>
        </w:rPr>
        <w:t>sample who receive child maintenance</w:t>
      </w:r>
      <w:r>
        <w:rPr>
          <w:lang w:val="en-US"/>
        </w:rPr>
        <w:t xml:space="preserve">, we </w:t>
      </w:r>
      <w:r w:rsidR="006E6F40">
        <w:rPr>
          <w:lang w:val="en-US"/>
        </w:rPr>
        <w:t xml:space="preserve">make a further comparison of the </w:t>
      </w:r>
      <w:r w:rsidR="009D4D2B">
        <w:rPr>
          <w:lang w:val="en-US"/>
        </w:rPr>
        <w:t xml:space="preserve">poverty rates of those </w:t>
      </w:r>
      <w:r w:rsidR="00D24EDD">
        <w:rPr>
          <w:lang w:val="en-US"/>
        </w:rPr>
        <w:t>who</w:t>
      </w:r>
      <w:r w:rsidR="0006497D">
        <w:rPr>
          <w:lang w:val="en-US"/>
        </w:rPr>
        <w:t xml:space="preserve"> rely on </w:t>
      </w:r>
      <w:r w:rsidR="00152DA2">
        <w:rPr>
          <w:lang w:val="en-US"/>
        </w:rPr>
        <w:t xml:space="preserve">social assistance </w:t>
      </w:r>
      <w:r w:rsidR="009D4D2B">
        <w:rPr>
          <w:lang w:val="en-US"/>
        </w:rPr>
        <w:t xml:space="preserve">benefits </w:t>
      </w:r>
      <w:r w:rsidR="006E6F40">
        <w:rPr>
          <w:lang w:val="en-US"/>
        </w:rPr>
        <w:t xml:space="preserve">with those who do not. </w:t>
      </w:r>
      <w:r w:rsidR="009D4D2B">
        <w:rPr>
          <w:lang w:val="en-US"/>
        </w:rPr>
        <w:t xml:space="preserve">We </w:t>
      </w:r>
      <w:r w:rsidR="006E6F40">
        <w:rPr>
          <w:lang w:val="en-US"/>
        </w:rPr>
        <w:t xml:space="preserve">then </w:t>
      </w:r>
      <w:r w:rsidR="009D4D2B">
        <w:rPr>
          <w:lang w:val="en-US"/>
        </w:rPr>
        <w:t>present the poverty rates for both groups before and after they receive child maintenance.</w:t>
      </w:r>
      <w:r w:rsidR="00976086">
        <w:rPr>
          <w:lang w:val="en-US"/>
        </w:rPr>
        <w:t xml:space="preserve"> </w:t>
      </w:r>
      <w:r w:rsidR="00CA1030">
        <w:rPr>
          <w:lang w:val="en-US"/>
        </w:rPr>
        <w:t xml:space="preserve">In this </w:t>
      </w:r>
      <w:r w:rsidR="00976086">
        <w:rPr>
          <w:lang w:val="en-US"/>
        </w:rPr>
        <w:t xml:space="preserve">way we can take account of the </w:t>
      </w:r>
      <w:r w:rsidR="009D4D2B">
        <w:rPr>
          <w:lang w:val="en-US"/>
        </w:rPr>
        <w:t xml:space="preserve">effect of the </w:t>
      </w:r>
      <w:r w:rsidR="00C35FE1">
        <w:rPr>
          <w:lang w:val="en-US"/>
        </w:rPr>
        <w:t xml:space="preserve">interaction </w:t>
      </w:r>
      <w:r w:rsidR="00976086">
        <w:rPr>
          <w:lang w:val="en-US"/>
        </w:rPr>
        <w:t xml:space="preserve">mechanism of the </w:t>
      </w:r>
      <w:r w:rsidR="006E6F40">
        <w:rPr>
          <w:lang w:val="en-US"/>
        </w:rPr>
        <w:t>child maintenance disregard</w:t>
      </w:r>
      <w:r w:rsidR="00C429D0">
        <w:rPr>
          <w:lang w:val="en-US"/>
        </w:rPr>
        <w:t xml:space="preserve"> for those in receipt of social assistance benefits compared to those not in receipt of social assistance. </w:t>
      </w:r>
      <w:r w:rsidR="006E6F40">
        <w:rPr>
          <w:lang w:val="en-US"/>
        </w:rPr>
        <w:t xml:space="preserve">For example we would </w:t>
      </w:r>
      <w:r w:rsidR="00C429D0">
        <w:rPr>
          <w:lang w:val="en-US"/>
        </w:rPr>
        <w:t>hypothesize</w:t>
      </w:r>
      <w:r w:rsidR="006E6F40">
        <w:rPr>
          <w:lang w:val="en-US"/>
        </w:rPr>
        <w:t xml:space="preserve"> that the countries that do not operate a disregard (Germany and Finland) or only a partial disregard (Australia) would be less effective at reducing poverty </w:t>
      </w:r>
      <w:r w:rsidR="00C429D0">
        <w:rPr>
          <w:lang w:val="en-US"/>
        </w:rPr>
        <w:t xml:space="preserve">among lone parents on social assistance benefits </w:t>
      </w:r>
      <w:r w:rsidR="006E6F40">
        <w:rPr>
          <w:lang w:val="en-US"/>
        </w:rPr>
        <w:t xml:space="preserve">than those that do </w:t>
      </w:r>
      <w:r w:rsidR="00C429D0">
        <w:rPr>
          <w:lang w:val="en-US"/>
        </w:rPr>
        <w:t xml:space="preserve">have a disregard </w:t>
      </w:r>
      <w:r w:rsidR="006E6F40">
        <w:rPr>
          <w:lang w:val="en-US"/>
        </w:rPr>
        <w:t xml:space="preserve">(the UK). </w:t>
      </w:r>
      <w:r w:rsidR="00C429D0">
        <w:rPr>
          <w:lang w:val="en-US"/>
        </w:rPr>
        <w:t>In our comparison of these four countries, w</w:t>
      </w:r>
      <w:r w:rsidR="00976086">
        <w:rPr>
          <w:lang w:val="en-US"/>
        </w:rPr>
        <w:t xml:space="preserve">e are automatically including the effect of the pass-through mechanism, because </w:t>
      </w:r>
      <w:r w:rsidR="00CA1030">
        <w:rPr>
          <w:lang w:val="en-US"/>
        </w:rPr>
        <w:t xml:space="preserve">within the child maintenance systems, </w:t>
      </w:r>
      <w:r w:rsidR="00976086">
        <w:rPr>
          <w:lang w:val="en-US"/>
        </w:rPr>
        <w:t>all four countries pass 100 per cent of the maintenance</w:t>
      </w:r>
      <w:r w:rsidR="009D4D2B">
        <w:rPr>
          <w:lang w:val="en-US"/>
        </w:rPr>
        <w:t xml:space="preserve"> that is p</w:t>
      </w:r>
      <w:r w:rsidR="00976086">
        <w:rPr>
          <w:lang w:val="en-US"/>
        </w:rPr>
        <w:t xml:space="preserve">aid to the </w:t>
      </w:r>
      <w:r w:rsidR="009D4D2B">
        <w:rPr>
          <w:lang w:val="en-US"/>
        </w:rPr>
        <w:t>lone parent</w:t>
      </w:r>
      <w:r w:rsidR="00976086">
        <w:rPr>
          <w:lang w:val="en-US"/>
        </w:rPr>
        <w:t>. However</w:t>
      </w:r>
      <w:r w:rsidR="00C429D0">
        <w:rPr>
          <w:lang w:val="en-US"/>
        </w:rPr>
        <w:t>,</w:t>
      </w:r>
      <w:r w:rsidR="00976086">
        <w:rPr>
          <w:lang w:val="en-US"/>
        </w:rPr>
        <w:t xml:space="preserve"> that means we cannot </w:t>
      </w:r>
      <w:r w:rsidR="009D4D2B">
        <w:rPr>
          <w:lang w:val="en-US"/>
        </w:rPr>
        <w:t>isolate any independent effect of the pass through mechanism by comparing countries with and without a pass through. We tried to include the US for that purpose, but because the pass through proportion varies across states this was not possible.</w:t>
      </w:r>
      <w:r w:rsidR="00C429D0">
        <w:rPr>
          <w:lang w:val="en-US"/>
        </w:rPr>
        <w:t xml:space="preserve"> The results </w:t>
      </w:r>
      <w:r w:rsidR="00CA1030">
        <w:rPr>
          <w:lang w:val="en-US"/>
        </w:rPr>
        <w:t>for our four countries are</w:t>
      </w:r>
      <w:r w:rsidR="00C429D0">
        <w:rPr>
          <w:lang w:val="en-US"/>
        </w:rPr>
        <w:t xml:space="preserve"> presented in Table 4.</w:t>
      </w:r>
    </w:p>
    <w:p w14:paraId="348F7D8E" w14:textId="77777777" w:rsidR="00C429D0" w:rsidRDefault="00C429D0" w:rsidP="00C35FE1">
      <w:pPr>
        <w:spacing w:line="360" w:lineRule="auto"/>
        <w:rPr>
          <w:lang w:val="en-US"/>
        </w:rPr>
      </w:pPr>
    </w:p>
    <w:p w14:paraId="7B8409FC" w14:textId="4E08639C" w:rsidR="00C429D0" w:rsidRPr="00C429D0" w:rsidRDefault="00C429D0" w:rsidP="00C35FE1">
      <w:pPr>
        <w:spacing w:line="360" w:lineRule="auto"/>
        <w:rPr>
          <w:b/>
          <w:lang w:val="en-US"/>
        </w:rPr>
      </w:pPr>
      <w:r w:rsidRPr="00C429D0">
        <w:rPr>
          <w:b/>
          <w:lang w:val="en-US"/>
        </w:rPr>
        <w:t xml:space="preserve">Table 4 </w:t>
      </w:r>
      <w:r>
        <w:rPr>
          <w:b/>
          <w:lang w:val="en-US"/>
        </w:rPr>
        <w:t xml:space="preserve">about </w:t>
      </w:r>
      <w:r w:rsidRPr="00C429D0">
        <w:rPr>
          <w:b/>
          <w:lang w:val="en-US"/>
        </w:rPr>
        <w:t xml:space="preserve">here </w:t>
      </w:r>
    </w:p>
    <w:p w14:paraId="4CF1ACF5" w14:textId="77777777" w:rsidR="00E16DB5" w:rsidRDefault="00E16DB5" w:rsidP="00C35FE1">
      <w:pPr>
        <w:spacing w:line="360" w:lineRule="auto"/>
        <w:rPr>
          <w:lang w:val="en-US"/>
        </w:rPr>
      </w:pPr>
    </w:p>
    <w:p w14:paraId="27AFEE6B" w14:textId="4EF0A5DA" w:rsidR="008428F8" w:rsidRDefault="00635FFC" w:rsidP="00635FFC">
      <w:pPr>
        <w:spacing w:after="200" w:line="360" w:lineRule="auto"/>
      </w:pPr>
      <w:r>
        <w:t xml:space="preserve">The first two columns in Table 4 report the child poverty rates for all lone parents </w:t>
      </w:r>
      <w:r w:rsidR="00C429D0">
        <w:t xml:space="preserve">who are in receipt of child maintenance, both </w:t>
      </w:r>
      <w:r>
        <w:t>before</w:t>
      </w:r>
      <w:r w:rsidR="00C429D0">
        <w:t xml:space="preserve"> they receive child maintenance and after they receive it. </w:t>
      </w:r>
      <w:r w:rsidR="00E16DB5">
        <w:t xml:space="preserve">Results reveal that </w:t>
      </w:r>
      <w:r w:rsidR="00C429D0">
        <w:t xml:space="preserve">child maintenance is effective at reducing </w:t>
      </w:r>
      <w:r w:rsidR="00E16DB5">
        <w:t>c</w:t>
      </w:r>
      <w:r>
        <w:t xml:space="preserve">hild </w:t>
      </w:r>
      <w:r w:rsidR="00C429D0">
        <w:t>poverty in all countries</w:t>
      </w:r>
      <w:r w:rsidR="00155BA0">
        <w:t xml:space="preserve"> among all types of lone parent families</w:t>
      </w:r>
      <w:r w:rsidR="00C429D0">
        <w:t xml:space="preserve">, </w:t>
      </w:r>
      <w:r>
        <w:t xml:space="preserve">but </w:t>
      </w:r>
      <w:r w:rsidR="00C429D0">
        <w:t xml:space="preserve">is </w:t>
      </w:r>
      <w:r w:rsidR="00695C9D">
        <w:t xml:space="preserve">most effective </w:t>
      </w:r>
      <w:r>
        <w:t xml:space="preserve">in </w:t>
      </w:r>
      <w:r w:rsidR="00DD4D8B">
        <w:t xml:space="preserve">the UK with a drop </w:t>
      </w:r>
      <w:r w:rsidR="00593485">
        <w:lastRenderedPageBreak/>
        <w:t>from 11 per</w:t>
      </w:r>
      <w:r w:rsidR="00DD4D8B">
        <w:t xml:space="preserve">cent in poverty pre child maintenance to just 5 percent post child maintenance, representing a poverty reduction value of around 54 per cent. </w:t>
      </w:r>
      <w:r w:rsidR="00593485">
        <w:t>I</w:t>
      </w:r>
      <w:r w:rsidR="00DD4D8B">
        <w:t xml:space="preserve">n comparison in Germany </w:t>
      </w:r>
      <w:r w:rsidR="00593485">
        <w:t xml:space="preserve">and Finland, </w:t>
      </w:r>
      <w:r w:rsidR="00DD4D8B">
        <w:t>child maintenance has a poverty reduction value of around 44 percent and in Australia</w:t>
      </w:r>
      <w:r w:rsidR="00593485">
        <w:t xml:space="preserve"> it is 30 per</w:t>
      </w:r>
      <w:r w:rsidR="00DD4D8B">
        <w:t xml:space="preserve">cent. </w:t>
      </w:r>
    </w:p>
    <w:p w14:paraId="07265A9F" w14:textId="7BAACDDA" w:rsidR="00635FFC" w:rsidRDefault="006E3A82" w:rsidP="00635FFC">
      <w:pPr>
        <w:spacing w:after="200" w:line="360" w:lineRule="auto"/>
      </w:pPr>
      <w:r>
        <w:t>C</w:t>
      </w:r>
      <w:r w:rsidR="00635FFC">
        <w:t>olum</w:t>
      </w:r>
      <w:r w:rsidR="00C667DB">
        <w:t>n</w:t>
      </w:r>
      <w:r w:rsidR="00635FFC">
        <w:t xml:space="preserve">s </w:t>
      </w:r>
      <w:r>
        <w:t xml:space="preserve">three and four </w:t>
      </w:r>
      <w:r w:rsidR="00635FFC">
        <w:t xml:space="preserve">indicate the child poverty </w:t>
      </w:r>
      <w:r w:rsidR="008428F8">
        <w:t xml:space="preserve">effect </w:t>
      </w:r>
      <w:r w:rsidR="00635FFC">
        <w:t xml:space="preserve">for those lone parents </w:t>
      </w:r>
      <w:r w:rsidR="00695C9D">
        <w:t xml:space="preserve">in </w:t>
      </w:r>
      <w:r w:rsidR="00635FFC">
        <w:t>re</w:t>
      </w:r>
      <w:r w:rsidR="00695C9D">
        <w:t>ceipt of child maintenance</w:t>
      </w:r>
      <w:r w:rsidR="00091B0A">
        <w:t>,</w:t>
      </w:r>
      <w:r w:rsidR="00695C9D">
        <w:t xml:space="preserve"> but not in receipt o</w:t>
      </w:r>
      <w:r w:rsidR="00091B0A">
        <w:t xml:space="preserve">f social </w:t>
      </w:r>
      <w:r w:rsidR="00C667DB">
        <w:t>assistance</w:t>
      </w:r>
      <w:r w:rsidR="00091B0A">
        <w:t xml:space="preserve"> benefits. </w:t>
      </w:r>
      <w:r w:rsidR="00695C9D">
        <w:t>We see</w:t>
      </w:r>
      <w:r w:rsidR="00DD4D8B">
        <w:t xml:space="preserve"> a slightly different trend, with child </w:t>
      </w:r>
      <w:r w:rsidR="00C667DB">
        <w:t>maintenance</w:t>
      </w:r>
      <w:r w:rsidR="00DD4D8B">
        <w:t xml:space="preserve"> in Germany having the greatest poverty reduction potential – with 39 percent of lone parents </w:t>
      </w:r>
      <w:r w:rsidR="00593485">
        <w:t>i</w:t>
      </w:r>
      <w:r w:rsidR="00DD4D8B">
        <w:t>n poverty pre child maintenance dropping to 22 per cent post; representing a poverty reduction effect of around 44</w:t>
      </w:r>
      <w:r w:rsidR="00593485">
        <w:t xml:space="preserve"> per</w:t>
      </w:r>
      <w:r w:rsidR="00DD4D8B">
        <w:t>cent. The UK</w:t>
      </w:r>
      <w:r w:rsidR="00593485">
        <w:t xml:space="preserve"> is next at 38 per</w:t>
      </w:r>
      <w:r w:rsidR="00DD4D8B">
        <w:t>cent poverty reduction effect, followed by Australia (36%) and Finland (12</w:t>
      </w:r>
      <w:r w:rsidR="0043179F">
        <w:t xml:space="preserve">%). </w:t>
      </w:r>
    </w:p>
    <w:p w14:paraId="63AAF3A5" w14:textId="67F0B588" w:rsidR="008648F7" w:rsidRDefault="00BA6D56" w:rsidP="00635FFC">
      <w:pPr>
        <w:spacing w:after="200" w:line="360" w:lineRule="auto"/>
      </w:pPr>
      <w:r>
        <w:t xml:space="preserve">Columns </w:t>
      </w:r>
      <w:r w:rsidR="006E3A82">
        <w:t>five and six</w:t>
      </w:r>
      <w:r w:rsidR="00635FFC">
        <w:t xml:space="preserve"> are the most interesting</w:t>
      </w:r>
      <w:r>
        <w:t xml:space="preserve">. They </w:t>
      </w:r>
      <w:r w:rsidR="00635FFC">
        <w:t>report the poverty reductio</w:t>
      </w:r>
      <w:r>
        <w:t xml:space="preserve">n </w:t>
      </w:r>
      <w:r w:rsidR="008428F8">
        <w:t xml:space="preserve">effect which includes the </w:t>
      </w:r>
      <w:r>
        <w:t xml:space="preserve">interaction </w:t>
      </w:r>
      <w:r w:rsidR="008428F8">
        <w:t xml:space="preserve">mechanisms, and especially highlights the differential effects of the child </w:t>
      </w:r>
      <w:r w:rsidR="00C667DB">
        <w:t>maintenance</w:t>
      </w:r>
      <w:r w:rsidR="008428F8">
        <w:t xml:space="preserve"> disregard across countries. </w:t>
      </w:r>
      <w:r w:rsidR="00635FFC">
        <w:t>Now the</w:t>
      </w:r>
      <w:r w:rsidR="006F401E">
        <w:t xml:space="preserve"> </w:t>
      </w:r>
      <w:r w:rsidR="00C667DB">
        <w:t>analysis tends to</w:t>
      </w:r>
      <w:r w:rsidR="000E10C6">
        <w:t xml:space="preserve"> show </w:t>
      </w:r>
      <w:r w:rsidR="00593485">
        <w:t xml:space="preserve">entirely different results for some countries to those reported in the left hand side of the table. </w:t>
      </w:r>
      <w:r w:rsidR="000E10C6">
        <w:t xml:space="preserve">Thus, in Germany and Finland for lone parents in receipt of social assistance benefits, child maintenance have no or minimal poverty </w:t>
      </w:r>
      <w:r w:rsidR="00C667DB">
        <w:t>reduction</w:t>
      </w:r>
      <w:r w:rsidR="000E10C6">
        <w:t xml:space="preserve"> effects. This result highlights the effect of the zero amount of a child </w:t>
      </w:r>
      <w:r w:rsidR="00C667DB">
        <w:t>maintenance</w:t>
      </w:r>
      <w:r w:rsidR="008648F7">
        <w:t xml:space="preserve"> disregard, thus </w:t>
      </w:r>
      <w:r w:rsidR="00091B0A">
        <w:t xml:space="preserve">it seems to show how </w:t>
      </w:r>
      <w:r w:rsidR="008648F7">
        <w:t xml:space="preserve">all maintenance </w:t>
      </w:r>
      <w:r w:rsidR="000E10C6">
        <w:t xml:space="preserve">is counted as income in calculating social assistance benefits. Meaning that even among this group of lone parents where child </w:t>
      </w:r>
      <w:r w:rsidR="00C667DB">
        <w:t>maintenance</w:t>
      </w:r>
      <w:r w:rsidR="000E10C6">
        <w:t xml:space="preserve"> is paid, it has no poverty reduction potential. Effectively, lone parents</w:t>
      </w:r>
      <w:r w:rsidR="008648F7">
        <w:t>’</w:t>
      </w:r>
      <w:r w:rsidR="000E10C6">
        <w:t xml:space="preserve"> incomes are capped at the level of social assistance benefits</w:t>
      </w:r>
      <w:r w:rsidR="00A01698">
        <w:t xml:space="preserve"> in these two countries. </w:t>
      </w:r>
      <w:r w:rsidR="000E10C6">
        <w:t xml:space="preserve"> </w:t>
      </w:r>
    </w:p>
    <w:p w14:paraId="76213FD5" w14:textId="46C8322A" w:rsidR="00091B0A" w:rsidRDefault="00593485" w:rsidP="00635FFC">
      <w:pPr>
        <w:spacing w:after="200" w:line="360" w:lineRule="auto"/>
      </w:pPr>
      <w:r>
        <w:lastRenderedPageBreak/>
        <w:t>The UK performs the best with child mainte</w:t>
      </w:r>
      <w:r w:rsidR="006F401E">
        <w:t>n</w:t>
      </w:r>
      <w:r>
        <w:t xml:space="preserve">ance having a potential poverty reduction effect of around 60 percent. So </w:t>
      </w:r>
      <w:r w:rsidR="00C667DB">
        <w:t>although</w:t>
      </w:r>
      <w:r>
        <w:t xml:space="preserve"> the level of poverty among lone parents in the UK starts from a low base </w:t>
      </w:r>
      <w:r w:rsidR="00155BA0">
        <w:t xml:space="preserve">in this analysis </w:t>
      </w:r>
      <w:r>
        <w:t xml:space="preserve">(of those on social assistance, only 10 per cent are in poverty) child </w:t>
      </w:r>
      <w:r w:rsidR="00C667DB">
        <w:t>maintenance</w:t>
      </w:r>
      <w:r>
        <w:t xml:space="preserve"> has a powerful reduction effect. </w:t>
      </w:r>
      <w:r w:rsidR="00635FFC">
        <w:t>Australia</w:t>
      </w:r>
      <w:r w:rsidR="003D084E">
        <w:t xml:space="preserve"> </w:t>
      </w:r>
      <w:r>
        <w:t xml:space="preserve">also does reasonably well with </w:t>
      </w:r>
      <w:r w:rsidR="006F401E">
        <w:t xml:space="preserve">a potential reduction effect of around 28 percent (where child poverty rates drop from 50% pre child </w:t>
      </w:r>
      <w:r w:rsidR="00C667DB">
        <w:t>maintenance</w:t>
      </w:r>
      <w:r w:rsidR="006F401E">
        <w:t xml:space="preserve"> to 36% post child maintenance). This shows</w:t>
      </w:r>
      <w:r w:rsidR="00A01698">
        <w:t xml:space="preserve"> how </w:t>
      </w:r>
      <w:r w:rsidR="00CA1030">
        <w:t xml:space="preserve">comparatively </w:t>
      </w:r>
      <w:r w:rsidR="008648F7">
        <w:t xml:space="preserve">effective the </w:t>
      </w:r>
      <w:r w:rsidR="00635FFC">
        <w:t>f</w:t>
      </w:r>
      <w:r w:rsidR="00635FFC" w:rsidRPr="00B067A1">
        <w:t>ull pass th</w:t>
      </w:r>
      <w:r w:rsidR="00635FFC">
        <w:t xml:space="preserve">rough and disregard </w:t>
      </w:r>
      <w:r w:rsidR="00A01698">
        <w:t xml:space="preserve">are </w:t>
      </w:r>
      <w:r w:rsidR="00635FFC">
        <w:t>for soc</w:t>
      </w:r>
      <w:r w:rsidR="00E16DB5">
        <w:t>ial</w:t>
      </w:r>
      <w:r w:rsidR="00635FFC">
        <w:t xml:space="preserve"> assistance benefit recipients</w:t>
      </w:r>
      <w:r w:rsidR="006F401E">
        <w:t xml:space="preserve"> in the UK and in Australia as we hypothesised. </w:t>
      </w:r>
      <w:r w:rsidR="00091B0A">
        <w:t>There are some counterintuitive results for the UK however, when comparing within country results as presented across all the columns</w:t>
      </w:r>
      <w:r w:rsidR="00CA1030">
        <w:t xml:space="preserve"> in table 4</w:t>
      </w:r>
      <w:r w:rsidR="00091B0A">
        <w:t xml:space="preserve">. </w:t>
      </w:r>
      <w:r w:rsidR="0092709A">
        <w:t>These warrant some f</w:t>
      </w:r>
      <w:r w:rsidR="00091B0A">
        <w:t>urth</w:t>
      </w:r>
      <w:r w:rsidR="0092709A">
        <w:t xml:space="preserve">er discussion. </w:t>
      </w:r>
      <w:r w:rsidR="00091B0A">
        <w:t xml:space="preserve"> </w:t>
      </w:r>
    </w:p>
    <w:p w14:paraId="2D5F3F24" w14:textId="7B91CCA2" w:rsidR="00091B0A" w:rsidRDefault="00091B0A" w:rsidP="00635FFC">
      <w:pPr>
        <w:spacing w:after="200" w:line="360" w:lineRule="auto"/>
      </w:pPr>
      <w:r>
        <w:t xml:space="preserve">For example in the UK, </w:t>
      </w:r>
      <w:r w:rsidR="0092709A">
        <w:t xml:space="preserve">like </w:t>
      </w:r>
      <w:r>
        <w:t xml:space="preserve">all </w:t>
      </w:r>
      <w:r w:rsidR="0092709A">
        <w:t xml:space="preserve">the </w:t>
      </w:r>
      <w:r>
        <w:t>other co</w:t>
      </w:r>
      <w:r w:rsidR="0092709A">
        <w:t xml:space="preserve">untries in Table 4, </w:t>
      </w:r>
      <w:r>
        <w:t>you might expect lower poverty rates among lone pa</w:t>
      </w:r>
      <w:r w:rsidR="0092709A">
        <w:t>r</w:t>
      </w:r>
      <w:r>
        <w:t>ents who are not in rec</w:t>
      </w:r>
      <w:r w:rsidR="0092709A">
        <w:t>e</w:t>
      </w:r>
      <w:r>
        <w:t>ipt of social ass</w:t>
      </w:r>
      <w:r w:rsidR="0092709A">
        <w:t xml:space="preserve">istance </w:t>
      </w:r>
      <w:r>
        <w:t>benefits</w:t>
      </w:r>
      <w:r w:rsidR="0092709A">
        <w:t xml:space="preserve"> </w:t>
      </w:r>
      <w:r w:rsidR="00712393">
        <w:t>compared</w:t>
      </w:r>
      <w:r w:rsidR="0092709A">
        <w:t xml:space="preserve"> to th</w:t>
      </w:r>
      <w:r w:rsidR="00E72FE4">
        <w:t xml:space="preserve">ose </w:t>
      </w:r>
      <w:r w:rsidR="0092709A">
        <w:t xml:space="preserve">who </w:t>
      </w:r>
      <w:r w:rsidR="00E72FE4">
        <w:t xml:space="preserve">are </w:t>
      </w:r>
      <w:r w:rsidR="0092709A">
        <w:t>on social ass</w:t>
      </w:r>
      <w:r w:rsidR="00712393">
        <w:t>is</w:t>
      </w:r>
      <w:r w:rsidR="0092709A">
        <w:t xml:space="preserve">tance. </w:t>
      </w:r>
      <w:r w:rsidR="00712393">
        <w:t>T</w:t>
      </w:r>
      <w:r w:rsidR="0092709A">
        <w:t>able 4 (columns 3 and 5) show</w:t>
      </w:r>
      <w:r w:rsidR="00712393">
        <w:t>s</w:t>
      </w:r>
      <w:r w:rsidR="0092709A">
        <w:t xml:space="preserve"> that on average</w:t>
      </w:r>
      <w:r w:rsidR="00CA1030">
        <w:t>,</w:t>
      </w:r>
      <w:r w:rsidR="0092709A">
        <w:t xml:space="preserve"> they have a slightly higher poverty rate at 13 per cent compared to 10 per cent (both measures are before maintenance). There is no obvious explanation for this. It could be </w:t>
      </w:r>
      <w:r w:rsidR="00E72FE4">
        <w:t xml:space="preserve">we are </w:t>
      </w:r>
      <w:r w:rsidR="0092709A">
        <w:t xml:space="preserve">picking up an effect of </w:t>
      </w:r>
      <w:r w:rsidR="00C667DB">
        <w:t>housing subsidies</w:t>
      </w:r>
      <w:r w:rsidR="0092709A">
        <w:t xml:space="preserve">. In the UK, social assistance benefits act as a passport </w:t>
      </w:r>
      <w:r w:rsidR="00E72FE4">
        <w:t xml:space="preserve">to other benefits and </w:t>
      </w:r>
      <w:r w:rsidR="0092709A">
        <w:t>qualify</w:t>
      </w:r>
      <w:r w:rsidR="00E72FE4">
        <w:t xml:space="preserve"> people for </w:t>
      </w:r>
      <w:r w:rsidR="00C667DB">
        <w:t>additional</w:t>
      </w:r>
      <w:r w:rsidR="0092709A">
        <w:t xml:space="preserve"> housing subsidies</w:t>
      </w:r>
      <w:r w:rsidR="00E72FE4">
        <w:t xml:space="preserve"> for example</w:t>
      </w:r>
      <w:r w:rsidR="0092709A">
        <w:t xml:space="preserve">. </w:t>
      </w:r>
      <w:r w:rsidR="00E72FE4">
        <w:t xml:space="preserve">So </w:t>
      </w:r>
      <w:r w:rsidR="000B633A">
        <w:t>those receiving Universal Credit may have housing subsidies included in their total income, inflating their income slightly</w:t>
      </w:r>
      <w:r w:rsidR="00C567FC">
        <w:t xml:space="preserve">, so this </w:t>
      </w:r>
      <w:r w:rsidR="00C567FC" w:rsidRPr="00CF067C">
        <w:t>mig</w:t>
      </w:r>
      <w:r w:rsidR="003A1236" w:rsidRPr="00CF067C">
        <w:t>ht</w:t>
      </w:r>
      <w:r w:rsidR="00C567FC">
        <w:t xml:space="preserve"> explain it</w:t>
      </w:r>
      <w:r w:rsidR="00155BA0">
        <w:t xml:space="preserve">. </w:t>
      </w:r>
      <w:r w:rsidR="00E6028B">
        <w:t xml:space="preserve">It </w:t>
      </w:r>
      <w:r w:rsidR="00155BA0">
        <w:t xml:space="preserve">could </w:t>
      </w:r>
      <w:r w:rsidR="00E6028B">
        <w:t xml:space="preserve">also </w:t>
      </w:r>
      <w:r w:rsidR="00155BA0">
        <w:t xml:space="preserve">be </w:t>
      </w:r>
      <w:r w:rsidR="00C567FC">
        <w:t xml:space="preserve">an effect of child tax credits, in which </w:t>
      </w:r>
      <w:r w:rsidR="006559C7">
        <w:t>this is automatically included in social assistance benefit claims (Income Support and Universal Credit) but there may be a lower take-up of this among non</w:t>
      </w:r>
      <w:r w:rsidR="00C667DB">
        <w:t>-</w:t>
      </w:r>
      <w:r w:rsidR="006559C7">
        <w:t xml:space="preserve">benefit recipients as they have to actively apply for it. </w:t>
      </w:r>
      <w:r w:rsidR="00756DAD">
        <w:t xml:space="preserve">Indeed, </w:t>
      </w:r>
      <w:r w:rsidR="00B6284D">
        <w:t>ana</w:t>
      </w:r>
      <w:r w:rsidR="00756DAD">
        <w:t>l</w:t>
      </w:r>
      <w:r w:rsidR="00B6284D">
        <w:t>ysis of take-up</w:t>
      </w:r>
      <w:r w:rsidR="00E6028B">
        <w:t xml:space="preserve"> shows</w:t>
      </w:r>
      <w:r w:rsidR="00756DAD">
        <w:t xml:space="preserve"> much lower</w:t>
      </w:r>
      <w:r w:rsidR="00E6028B">
        <w:t xml:space="preserve"> rates</w:t>
      </w:r>
      <w:r w:rsidR="00756DAD">
        <w:t xml:space="preserve"> among families with children who are in work compared to those families out of work and therefore more </w:t>
      </w:r>
      <w:r w:rsidR="00756DAD">
        <w:lastRenderedPageBreak/>
        <w:t xml:space="preserve">likely to be receiving social assistance (63% compared to 93% respectively) (HMRC, 2017:15). </w:t>
      </w:r>
      <w:r w:rsidR="00C567FC">
        <w:t xml:space="preserve">Or it could be </w:t>
      </w:r>
      <w:r w:rsidR="00155BA0">
        <w:t xml:space="preserve">an </w:t>
      </w:r>
      <w:r w:rsidR="00C667DB">
        <w:t>anomalous</w:t>
      </w:r>
      <w:r w:rsidR="00B6284D">
        <w:t xml:space="preserve"> result given that </w:t>
      </w:r>
      <w:r w:rsidR="00155BA0">
        <w:t xml:space="preserve">the UK is </w:t>
      </w:r>
      <w:r w:rsidR="00C567FC">
        <w:t>i</w:t>
      </w:r>
      <w:r w:rsidR="00155BA0">
        <w:t xml:space="preserve">n the middle of a </w:t>
      </w:r>
      <w:r w:rsidR="00C567FC">
        <w:t xml:space="preserve">long </w:t>
      </w:r>
      <w:r w:rsidR="00155BA0">
        <w:t xml:space="preserve">transition phase in which all previous in-work and </w:t>
      </w:r>
      <w:r w:rsidR="00C567FC">
        <w:t xml:space="preserve">out-of-work </w:t>
      </w:r>
      <w:r w:rsidR="00155BA0">
        <w:t>benefits are being amalgamated into one benefit Universal Credit, so we have old and new benefits being in</w:t>
      </w:r>
      <w:r w:rsidR="003A1236">
        <w:t>cluded</w:t>
      </w:r>
      <w:r w:rsidR="00155BA0">
        <w:t xml:space="preserve"> within </w:t>
      </w:r>
      <w:r w:rsidR="00E6028B">
        <w:t xml:space="preserve">our </w:t>
      </w:r>
      <w:r w:rsidR="00155BA0">
        <w:t xml:space="preserve">social </w:t>
      </w:r>
      <w:r w:rsidR="00155BA0" w:rsidRPr="00CF067C">
        <w:t>ass</w:t>
      </w:r>
      <w:r w:rsidR="003A1236" w:rsidRPr="00CF067C">
        <w:t>is</w:t>
      </w:r>
      <w:r w:rsidR="00155BA0" w:rsidRPr="003E2462">
        <w:t>tance</w:t>
      </w:r>
      <w:r w:rsidR="00155BA0">
        <w:t xml:space="preserve"> measure with unknown </w:t>
      </w:r>
      <w:r w:rsidR="000E78CC">
        <w:t xml:space="preserve">combined </w:t>
      </w:r>
      <w:r w:rsidR="00155BA0">
        <w:t xml:space="preserve"> effects.</w:t>
      </w:r>
      <w:r w:rsidR="00C667DB">
        <w:t xml:space="preserve"> </w:t>
      </w:r>
      <w:r w:rsidR="00E72FE4">
        <w:t>In any event, this unexpected result does not invalidate the analy</w:t>
      </w:r>
      <w:r w:rsidR="003A1236">
        <w:t>sis</w:t>
      </w:r>
      <w:r w:rsidR="00E72FE4">
        <w:t xml:space="preserve"> or the findings, which are </w:t>
      </w:r>
      <w:r w:rsidR="00914533">
        <w:t xml:space="preserve">about </w:t>
      </w:r>
      <w:r w:rsidR="00E72FE4">
        <w:t xml:space="preserve">comparing differences across countries </w:t>
      </w:r>
      <w:r w:rsidR="00CA1030">
        <w:t xml:space="preserve">of </w:t>
      </w:r>
      <w:r w:rsidR="00E72FE4">
        <w:t xml:space="preserve">the </w:t>
      </w:r>
      <w:r w:rsidR="00914533">
        <w:t xml:space="preserve">anti-poverty </w:t>
      </w:r>
      <w:r w:rsidR="00E72FE4">
        <w:t xml:space="preserve">effects of different mechanisms </w:t>
      </w:r>
      <w:r w:rsidR="00914533">
        <w:t xml:space="preserve">on maintenance </w:t>
      </w:r>
      <w:r w:rsidR="00E72FE4">
        <w:t xml:space="preserve">for those on social assistance benefits. </w:t>
      </w:r>
    </w:p>
    <w:p w14:paraId="5FA5F80B" w14:textId="77777777" w:rsidR="003D084E" w:rsidRDefault="003D084E" w:rsidP="00EA5327">
      <w:pPr>
        <w:spacing w:line="360" w:lineRule="auto"/>
        <w:rPr>
          <w:b/>
          <w:lang w:val="en-US"/>
        </w:rPr>
      </w:pPr>
    </w:p>
    <w:p w14:paraId="0160E6D6" w14:textId="185A29DC" w:rsidR="002F52C5" w:rsidRDefault="00404DEF" w:rsidP="00EA5327">
      <w:pPr>
        <w:spacing w:line="360" w:lineRule="auto"/>
        <w:rPr>
          <w:b/>
          <w:lang w:val="en-US"/>
        </w:rPr>
      </w:pPr>
      <w:r>
        <w:rPr>
          <w:b/>
          <w:lang w:val="en-US"/>
        </w:rPr>
        <w:t>Conclusion</w:t>
      </w:r>
      <w:r w:rsidR="000D75D0">
        <w:rPr>
          <w:b/>
          <w:lang w:val="en-US"/>
        </w:rPr>
        <w:t>s</w:t>
      </w:r>
    </w:p>
    <w:p w14:paraId="626366DA" w14:textId="77777777" w:rsidR="00635FFC" w:rsidRDefault="00635FFC" w:rsidP="00EA5327">
      <w:pPr>
        <w:spacing w:line="360" w:lineRule="auto"/>
        <w:rPr>
          <w:b/>
          <w:lang w:val="en-US"/>
        </w:rPr>
      </w:pPr>
    </w:p>
    <w:p w14:paraId="63A2377D" w14:textId="0C58E569" w:rsidR="001A1053" w:rsidRDefault="004B5ECD" w:rsidP="00FC4C81">
      <w:pPr>
        <w:spacing w:line="360" w:lineRule="auto"/>
      </w:pPr>
      <w:r w:rsidRPr="00FC4C81">
        <w:rPr>
          <w:lang w:val="en-US"/>
        </w:rPr>
        <w:t xml:space="preserve">In this article </w:t>
      </w:r>
      <w:r>
        <w:rPr>
          <w:lang w:val="en-US"/>
        </w:rPr>
        <w:t xml:space="preserve">we have made a unique contribution to </w:t>
      </w:r>
      <w:r w:rsidR="00914533">
        <w:rPr>
          <w:lang w:val="en-US"/>
        </w:rPr>
        <w:t xml:space="preserve">understanding the potential value of child maintenance in reducing </w:t>
      </w:r>
      <w:r w:rsidR="008F6AAA">
        <w:rPr>
          <w:lang w:val="en-US"/>
        </w:rPr>
        <w:t>child poverty</w:t>
      </w:r>
      <w:r w:rsidR="00914533">
        <w:rPr>
          <w:lang w:val="en-US"/>
        </w:rPr>
        <w:t xml:space="preserve">. The research </w:t>
      </w:r>
      <w:r w:rsidR="009D2857">
        <w:rPr>
          <w:lang w:val="en-US"/>
        </w:rPr>
        <w:t>has tested the</w:t>
      </w:r>
      <w:r w:rsidR="00914533">
        <w:rPr>
          <w:lang w:val="en-US"/>
        </w:rPr>
        <w:t xml:space="preserve"> hitherto hidden effect of the </w:t>
      </w:r>
      <w:r w:rsidR="009D2857" w:rsidRPr="009D2857">
        <w:rPr>
          <w:lang w:val="en-US"/>
        </w:rPr>
        <w:t>mechanism</w:t>
      </w:r>
      <w:r w:rsidR="00914533">
        <w:rPr>
          <w:lang w:val="en-US"/>
        </w:rPr>
        <w:t>s</w:t>
      </w:r>
      <w:r w:rsidR="009D2857" w:rsidRPr="009D2857">
        <w:rPr>
          <w:lang w:val="en-US"/>
        </w:rPr>
        <w:t xml:space="preserve"> of the</w:t>
      </w:r>
      <w:r w:rsidR="00914533">
        <w:rPr>
          <w:lang w:val="en-US"/>
        </w:rPr>
        <w:t xml:space="preserve"> ‘pass through’ and the ‘</w:t>
      </w:r>
      <w:r w:rsidR="009D2857" w:rsidRPr="009D2857">
        <w:rPr>
          <w:lang w:val="en-US"/>
        </w:rPr>
        <w:t>child</w:t>
      </w:r>
      <w:r w:rsidR="009D2857">
        <w:rPr>
          <w:lang w:val="en-US"/>
        </w:rPr>
        <w:t xml:space="preserve"> </w:t>
      </w:r>
      <w:r w:rsidR="00914533">
        <w:rPr>
          <w:lang w:val="en-US"/>
        </w:rPr>
        <w:t xml:space="preserve">maintenance </w:t>
      </w:r>
      <w:r w:rsidR="009D2857">
        <w:rPr>
          <w:lang w:val="en-US"/>
        </w:rPr>
        <w:t>disregard</w:t>
      </w:r>
      <w:r w:rsidR="00914533">
        <w:rPr>
          <w:lang w:val="en-US"/>
        </w:rPr>
        <w:t>’</w:t>
      </w:r>
      <w:r w:rsidR="009D2857">
        <w:rPr>
          <w:lang w:val="en-US"/>
        </w:rPr>
        <w:t xml:space="preserve"> that </w:t>
      </w:r>
      <w:r w:rsidR="008428F8">
        <w:rPr>
          <w:lang w:val="en-US"/>
        </w:rPr>
        <w:t>operates</w:t>
      </w:r>
      <w:r w:rsidR="009D2857" w:rsidRPr="009D2857">
        <w:rPr>
          <w:lang w:val="en-US"/>
        </w:rPr>
        <w:t xml:space="preserve"> in</w:t>
      </w:r>
      <w:r w:rsidR="00404DEF">
        <w:rPr>
          <w:lang w:val="en-US"/>
        </w:rPr>
        <w:t xml:space="preserve"> the interaction between child maintenance </w:t>
      </w:r>
      <w:r w:rsidR="009D2857" w:rsidRPr="009D2857">
        <w:rPr>
          <w:lang w:val="en-US"/>
        </w:rPr>
        <w:t>and social assistance systems</w:t>
      </w:r>
      <w:r w:rsidR="006F586C">
        <w:t xml:space="preserve">. </w:t>
      </w:r>
      <w:r w:rsidR="00EA057C" w:rsidRPr="00EA057C">
        <w:rPr>
          <w:lang w:val="en-US"/>
        </w:rPr>
        <w:t>We analyze</w:t>
      </w:r>
      <w:r w:rsidR="00EA057C">
        <w:rPr>
          <w:lang w:val="en-US"/>
        </w:rPr>
        <w:t>d</w:t>
      </w:r>
      <w:r w:rsidR="00EA057C" w:rsidRPr="00EA057C">
        <w:rPr>
          <w:lang w:val="en-US"/>
        </w:rPr>
        <w:t xml:space="preserve"> whether there is a potential for child maintenance to provide surplus value to the incomes of </w:t>
      </w:r>
      <w:r w:rsidR="00914533">
        <w:rPr>
          <w:lang w:val="en-US"/>
        </w:rPr>
        <w:t xml:space="preserve">lone parent families </w:t>
      </w:r>
      <w:r w:rsidR="00EA057C" w:rsidRPr="00EA057C">
        <w:rPr>
          <w:lang w:val="en-US"/>
        </w:rPr>
        <w:t xml:space="preserve">or whether </w:t>
      </w:r>
      <w:r w:rsidR="00914533">
        <w:rPr>
          <w:lang w:val="en-US"/>
        </w:rPr>
        <w:t xml:space="preserve">maintenance </w:t>
      </w:r>
      <w:r w:rsidR="00EA057C" w:rsidRPr="00EA057C">
        <w:rPr>
          <w:lang w:val="en-US"/>
        </w:rPr>
        <w:t>are partially or wholly subsumed within social assistance entitlements</w:t>
      </w:r>
      <w:r w:rsidR="00914533">
        <w:rPr>
          <w:lang w:val="en-US"/>
        </w:rPr>
        <w:t xml:space="preserve"> because of the ways these mechanisms operate. </w:t>
      </w:r>
      <w:r w:rsidR="00FA74D9" w:rsidRPr="00FA74D9">
        <w:t>It is</w:t>
      </w:r>
      <w:r w:rsidR="00914533">
        <w:t xml:space="preserve"> the </w:t>
      </w:r>
      <w:r w:rsidR="00FA74D9" w:rsidRPr="00FA74D9">
        <w:t xml:space="preserve">first analysis of its kind </w:t>
      </w:r>
      <w:r w:rsidR="00914533">
        <w:t xml:space="preserve">that </w:t>
      </w:r>
      <w:r w:rsidR="00270F4A">
        <w:t>tries</w:t>
      </w:r>
      <w:r w:rsidR="00914533">
        <w:t xml:space="preserve"> </w:t>
      </w:r>
      <w:r w:rsidR="00FA74D9" w:rsidRPr="00FA74D9">
        <w:t xml:space="preserve">to expose interaction effects using </w:t>
      </w:r>
      <w:r w:rsidR="00684C46">
        <w:t xml:space="preserve">LIS </w:t>
      </w:r>
      <w:r>
        <w:t>income</w:t>
      </w:r>
      <w:r w:rsidR="00FA74D9" w:rsidRPr="00FA74D9">
        <w:t xml:space="preserve"> data.</w:t>
      </w:r>
      <w:r>
        <w:t xml:space="preserve"> </w:t>
      </w:r>
      <w:r w:rsidR="001A1053">
        <w:t xml:space="preserve">It extends, and helps to confirm </w:t>
      </w:r>
      <w:r w:rsidR="00FA74D9" w:rsidRPr="003C6BE2">
        <w:t>work by Skinner et al</w:t>
      </w:r>
      <w:r w:rsidR="00270F4A">
        <w:t>.,</w:t>
      </w:r>
      <w:r w:rsidR="00FA74D9" w:rsidRPr="003C6BE2">
        <w:t xml:space="preserve"> (2017</w:t>
      </w:r>
      <w:r>
        <w:t>b</w:t>
      </w:r>
      <w:r w:rsidR="006F586C">
        <w:t>) who used</w:t>
      </w:r>
      <w:r w:rsidR="00FA74D9" w:rsidRPr="003C6BE2">
        <w:t xml:space="preserve"> </w:t>
      </w:r>
      <w:r w:rsidR="001A1053">
        <w:t xml:space="preserve">a similar analytical approach, but on </w:t>
      </w:r>
      <w:r w:rsidR="00FA74D9" w:rsidRPr="003C6BE2">
        <w:t>model families</w:t>
      </w:r>
      <w:r w:rsidR="001A1053">
        <w:t xml:space="preserve"> that could only estimate the impacts </w:t>
      </w:r>
      <w:r w:rsidR="00CA1030">
        <w:t xml:space="preserve">and even then, for only some kinds of </w:t>
      </w:r>
      <w:r w:rsidR="00270F4A">
        <w:t>fictitious</w:t>
      </w:r>
      <w:r w:rsidR="001A1053">
        <w:t xml:space="preserve"> families. </w:t>
      </w:r>
    </w:p>
    <w:p w14:paraId="56B7558F" w14:textId="77777777" w:rsidR="001A1053" w:rsidRDefault="001A1053" w:rsidP="00FC4C81">
      <w:pPr>
        <w:spacing w:line="360" w:lineRule="auto"/>
      </w:pPr>
    </w:p>
    <w:p w14:paraId="69963D7D" w14:textId="003B67B7" w:rsidR="00A656AA" w:rsidRDefault="00404DEF" w:rsidP="0021595C">
      <w:pPr>
        <w:spacing w:line="360" w:lineRule="auto"/>
      </w:pPr>
      <w:r>
        <w:lastRenderedPageBreak/>
        <w:t xml:space="preserve">As expected, the results confirmed that </w:t>
      </w:r>
      <w:r w:rsidR="009D2857" w:rsidRPr="009D2857">
        <w:t xml:space="preserve">lone parents who do receive child maintenance have a lower child poverty rate </w:t>
      </w:r>
      <w:r w:rsidR="009D2857">
        <w:t xml:space="preserve">compared to those who do not receive </w:t>
      </w:r>
      <w:r w:rsidR="001A1053">
        <w:t xml:space="preserve">any </w:t>
      </w:r>
      <w:r w:rsidR="009D2857" w:rsidRPr="009D2857">
        <w:t>and this is consistent across countries.</w:t>
      </w:r>
      <w:r w:rsidR="009D2857">
        <w:t xml:space="preserve"> This means that child m</w:t>
      </w:r>
      <w:r w:rsidR="00A656AA">
        <w:t xml:space="preserve">aintenance, if received, can reduce </w:t>
      </w:r>
      <w:r w:rsidR="009D2857">
        <w:t xml:space="preserve">child poverty. </w:t>
      </w:r>
      <w:r w:rsidR="001A1053">
        <w:t xml:space="preserve">That much is already known, but the most </w:t>
      </w:r>
      <w:r w:rsidR="009D2857">
        <w:t xml:space="preserve">important finding </w:t>
      </w:r>
      <w:r w:rsidR="001A1053">
        <w:t xml:space="preserve">is </w:t>
      </w:r>
      <w:r w:rsidR="0029242D">
        <w:t>the way i</w:t>
      </w:r>
      <w:r w:rsidR="001A1053">
        <w:t xml:space="preserve">t highlights </w:t>
      </w:r>
      <w:r w:rsidR="0029242D">
        <w:t xml:space="preserve">how </w:t>
      </w:r>
      <w:r w:rsidR="001A1053">
        <w:t xml:space="preserve">child maintenance </w:t>
      </w:r>
      <w:r w:rsidR="0021595C">
        <w:t xml:space="preserve">has almost no effect in reducing </w:t>
      </w:r>
      <w:r w:rsidR="00270F4A">
        <w:t xml:space="preserve">child </w:t>
      </w:r>
      <w:r w:rsidR="0021595C">
        <w:t xml:space="preserve">poverty for </w:t>
      </w:r>
      <w:r>
        <w:t xml:space="preserve">the poorest lone </w:t>
      </w:r>
      <w:r w:rsidR="0021595C">
        <w:t xml:space="preserve">parents on social assistance benefits in some countries. Thus, in Germany and Finland, even if child </w:t>
      </w:r>
      <w:r w:rsidR="00270F4A">
        <w:t>maintenance</w:t>
      </w:r>
      <w:r w:rsidR="0021595C">
        <w:t xml:space="preserve"> is paid, it does not reduce poverty because it is not disregarded when </w:t>
      </w:r>
      <w:r w:rsidR="00270F4A">
        <w:t>calculating</w:t>
      </w:r>
      <w:r w:rsidR="0021595C">
        <w:t xml:space="preserve"> benefit amounts. In those countries, </w:t>
      </w:r>
      <w:r w:rsidR="0021595C" w:rsidRPr="009D2857">
        <w:t xml:space="preserve">maintenance </w:t>
      </w:r>
      <w:r w:rsidR="0021595C">
        <w:t xml:space="preserve">is treated </w:t>
      </w:r>
      <w:r w:rsidR="0021595C" w:rsidRPr="009D2857">
        <w:t xml:space="preserve">as </w:t>
      </w:r>
      <w:r w:rsidR="0021595C">
        <w:t>a substitute income source</w:t>
      </w:r>
      <w:r w:rsidR="0021595C" w:rsidRPr="009D2857">
        <w:t xml:space="preserve">, so that </w:t>
      </w:r>
      <w:r w:rsidR="0021595C">
        <w:t xml:space="preserve">lone parent </w:t>
      </w:r>
      <w:r w:rsidR="0021595C" w:rsidRPr="009D2857">
        <w:t xml:space="preserve">families who receive more </w:t>
      </w:r>
      <w:r w:rsidR="008F6AAA">
        <w:t xml:space="preserve">child maintenance </w:t>
      </w:r>
      <w:r w:rsidR="0021595C" w:rsidRPr="009D2857">
        <w:t>would receive less from social assistance benefits.</w:t>
      </w:r>
      <w:r w:rsidR="0021595C" w:rsidRPr="0021595C">
        <w:t xml:space="preserve"> </w:t>
      </w:r>
      <w:r w:rsidR="0021595C">
        <w:t>Furthermore, as both Germany and Finland also operate</w:t>
      </w:r>
      <w:r w:rsidR="00DC2AE2">
        <w:t>d</w:t>
      </w:r>
      <w:r w:rsidR="0021595C">
        <w:t xml:space="preserve"> a </w:t>
      </w:r>
      <w:r w:rsidR="0021595C" w:rsidRPr="000128CE">
        <w:t xml:space="preserve">guaranteed </w:t>
      </w:r>
      <w:r w:rsidR="0021595C">
        <w:t xml:space="preserve">maintenance scheme, even if the state pays some of the </w:t>
      </w:r>
      <w:r w:rsidR="004F4E82">
        <w:t>maintenance</w:t>
      </w:r>
      <w:r w:rsidR="0021595C">
        <w:t xml:space="preserve"> up front in advance, this is still not </w:t>
      </w:r>
      <w:r w:rsidR="004F4E82">
        <w:t>increasing</w:t>
      </w:r>
      <w:r w:rsidR="0021595C">
        <w:t xml:space="preserve"> the income of lone parents </w:t>
      </w:r>
      <w:r w:rsidR="0029242D">
        <w:t xml:space="preserve">who remain </w:t>
      </w:r>
      <w:r w:rsidR="0021595C">
        <w:t xml:space="preserve">on social assistance and is therefore </w:t>
      </w:r>
      <w:r w:rsidR="0029242D">
        <w:t xml:space="preserve">not </w:t>
      </w:r>
      <w:r w:rsidR="0021595C">
        <w:t xml:space="preserve">reducing child poverty. </w:t>
      </w:r>
      <w:r w:rsidR="00DC2AE2">
        <w:t>At least that is</w:t>
      </w:r>
      <w:r w:rsidR="00E6028B">
        <w:t>,</w:t>
      </w:r>
      <w:r w:rsidR="00DC2AE2">
        <w:t xml:space="preserve"> at the time the data was collected in 2013, before Germany had revised its </w:t>
      </w:r>
      <w:r w:rsidR="008F6AAA">
        <w:t>g</w:t>
      </w:r>
      <w:r w:rsidR="00DC2AE2">
        <w:t xml:space="preserve">uaranteed </w:t>
      </w:r>
      <w:r w:rsidR="008F6AAA">
        <w:t>m</w:t>
      </w:r>
      <w:r w:rsidR="00DC2AE2">
        <w:t>aintenance scheme.</w:t>
      </w:r>
      <w:r w:rsidR="00270F4A">
        <w:t xml:space="preserve"> </w:t>
      </w:r>
      <w:r w:rsidR="00DC2AE2">
        <w:t>W</w:t>
      </w:r>
      <w:r w:rsidR="0021595C">
        <w:t xml:space="preserve">hereas in Australia and the UK </w:t>
      </w:r>
      <w:r w:rsidR="00270F4A">
        <w:t xml:space="preserve">child </w:t>
      </w:r>
      <w:r w:rsidR="0021595C">
        <w:t xml:space="preserve">poverty is reduced, not </w:t>
      </w:r>
      <w:r>
        <w:t xml:space="preserve">just </w:t>
      </w:r>
      <w:r w:rsidR="0021595C">
        <w:t xml:space="preserve">because </w:t>
      </w:r>
      <w:r>
        <w:t xml:space="preserve">of the pass through </w:t>
      </w:r>
      <w:r w:rsidR="004F4E82">
        <w:t>mechanism</w:t>
      </w:r>
      <w:r>
        <w:t xml:space="preserve"> but </w:t>
      </w:r>
      <w:r w:rsidR="00754509">
        <w:t xml:space="preserve">also </w:t>
      </w:r>
      <w:r>
        <w:t xml:space="preserve">because of the disregard. This means that child </w:t>
      </w:r>
      <w:r w:rsidR="004F4E82">
        <w:t>maintenance</w:t>
      </w:r>
      <w:r>
        <w:t xml:space="preserve"> is treated, in whole or in part, as a complement to the incomes of lone parent families in receipt of social ass</w:t>
      </w:r>
      <w:r w:rsidR="00A656AA">
        <w:t xml:space="preserve">istance </w:t>
      </w:r>
      <w:r>
        <w:t>benefits</w:t>
      </w:r>
      <w:r w:rsidR="00A656AA">
        <w:t xml:space="preserve"> helping to reduce their poverty</w:t>
      </w:r>
      <w:r>
        <w:t xml:space="preserve">. </w:t>
      </w:r>
    </w:p>
    <w:p w14:paraId="7CEB550E" w14:textId="77777777" w:rsidR="00A656AA" w:rsidRDefault="00A656AA" w:rsidP="0021595C">
      <w:pPr>
        <w:spacing w:line="360" w:lineRule="auto"/>
      </w:pPr>
    </w:p>
    <w:p w14:paraId="23D58E88" w14:textId="1B6A8383" w:rsidR="009E5350" w:rsidRDefault="00A656AA" w:rsidP="0021595C">
      <w:pPr>
        <w:spacing w:line="360" w:lineRule="auto"/>
      </w:pPr>
      <w:r>
        <w:t xml:space="preserve">Analysing the effects of these </w:t>
      </w:r>
      <w:r w:rsidR="00404DEF">
        <w:t>pass through and disregard</w:t>
      </w:r>
      <w:r w:rsidR="0021595C" w:rsidRPr="00914D52">
        <w:t xml:space="preserve"> </w:t>
      </w:r>
      <w:r w:rsidR="00404DEF">
        <w:t xml:space="preserve">mechanisms </w:t>
      </w:r>
      <w:r w:rsidR="001E45EE">
        <w:t xml:space="preserve">helps to understand </w:t>
      </w:r>
      <w:r w:rsidR="00404DEF">
        <w:t>how these hidden mechanisms work</w:t>
      </w:r>
      <w:r w:rsidR="00E6028B">
        <w:t xml:space="preserve"> and raises very</w:t>
      </w:r>
      <w:r w:rsidR="00404DEF">
        <w:t xml:space="preserve"> important policy considerations. </w:t>
      </w:r>
      <w:r w:rsidR="0029242D">
        <w:t xml:space="preserve">For example, the </w:t>
      </w:r>
      <w:r w:rsidR="00CA1030">
        <w:t xml:space="preserve">OECD has called for policy changes </w:t>
      </w:r>
      <w:r w:rsidR="0029242D">
        <w:t xml:space="preserve">so that </w:t>
      </w:r>
      <w:r w:rsidR="00CA1030">
        <w:t xml:space="preserve">countries </w:t>
      </w:r>
      <w:r w:rsidR="0029242D">
        <w:t xml:space="preserve">consider passing </w:t>
      </w:r>
      <w:r w:rsidR="00CA1030">
        <w:t xml:space="preserve">through at least some of the </w:t>
      </w:r>
      <w:r w:rsidR="004F4E82">
        <w:t>maintenance</w:t>
      </w:r>
      <w:r w:rsidR="00CA1030">
        <w:t xml:space="preserve"> that is paid. Certainly the argument for doing so makes sense as </w:t>
      </w:r>
      <w:r w:rsidR="00CA1030">
        <w:lastRenderedPageBreak/>
        <w:t>it is assumed this would help enco</w:t>
      </w:r>
      <w:r w:rsidR="009E5350">
        <w:t xml:space="preserve">urage </w:t>
      </w:r>
      <w:r w:rsidR="00453CB5">
        <w:t xml:space="preserve">higher </w:t>
      </w:r>
      <w:r w:rsidR="009E5350">
        <w:t xml:space="preserve">rates of payment </w:t>
      </w:r>
      <w:r w:rsidR="00CA1030">
        <w:t>compliance among parents who are responsib</w:t>
      </w:r>
      <w:r w:rsidR="009E5350">
        <w:t>le for paying it. This, the OECD argues</w:t>
      </w:r>
      <w:r w:rsidR="0029242D">
        <w:t>,</w:t>
      </w:r>
      <w:r w:rsidR="009E5350">
        <w:t xml:space="preserve"> would </w:t>
      </w:r>
      <w:r w:rsidR="0029242D">
        <w:t xml:space="preserve">help </w:t>
      </w:r>
      <w:r w:rsidR="009E5350">
        <w:t xml:space="preserve">halt the cost recovery approach adopted by the state to keep the </w:t>
      </w:r>
      <w:r w:rsidR="004F4E82">
        <w:t>maintenance</w:t>
      </w:r>
      <w:r w:rsidR="0029242D">
        <w:t xml:space="preserve"> that is paid to off</w:t>
      </w:r>
      <w:r w:rsidR="009E5350">
        <w:t>set fiscal costs. Our analysis shows that</w:t>
      </w:r>
      <w:r w:rsidR="0029242D">
        <w:t>,</w:t>
      </w:r>
      <w:r w:rsidR="009E5350">
        <w:t xml:space="preserve"> whilst this is a reasonable policy recommendation, it </w:t>
      </w:r>
      <w:r w:rsidR="00AB62F0">
        <w:t xml:space="preserve">could </w:t>
      </w:r>
      <w:r w:rsidR="009E5350">
        <w:t>completely fail to have the desired effect</w:t>
      </w:r>
      <w:r w:rsidR="0029242D">
        <w:t xml:space="preserve"> in practice: because it does not allow for </w:t>
      </w:r>
      <w:r w:rsidR="009E5350">
        <w:t xml:space="preserve">the complexity of the interaction mechanisms and how they can combine in such a way that the state may appear to give with one hand, but can </w:t>
      </w:r>
      <w:r w:rsidR="0029242D">
        <w:t xml:space="preserve">still </w:t>
      </w:r>
      <w:r w:rsidR="009E5350">
        <w:t>take away with the other. So</w:t>
      </w:r>
      <w:r w:rsidR="0029242D">
        <w:t xml:space="preserve"> all our four countries </w:t>
      </w:r>
      <w:r w:rsidR="009E5350">
        <w:t>operated a full</w:t>
      </w:r>
      <w:r w:rsidR="0029242D">
        <w:t xml:space="preserve"> pass through as </w:t>
      </w:r>
      <w:r w:rsidR="004F4E82">
        <w:t>recommended</w:t>
      </w:r>
      <w:r w:rsidR="0029242D">
        <w:t xml:space="preserve"> by the </w:t>
      </w:r>
      <w:r w:rsidR="009E5350">
        <w:t xml:space="preserve">OECD, but it </w:t>
      </w:r>
      <w:r w:rsidR="0029242D">
        <w:t xml:space="preserve">made no difference without also having a maintenance disregard in place. It was only </w:t>
      </w:r>
      <w:r w:rsidR="009E5350">
        <w:t xml:space="preserve">in </w:t>
      </w:r>
      <w:r w:rsidR="004F4E82">
        <w:t>Australia</w:t>
      </w:r>
      <w:r w:rsidR="009E5350">
        <w:t xml:space="preserve"> and the UK where the child mainte</w:t>
      </w:r>
      <w:r w:rsidR="0029242D">
        <w:t>n</w:t>
      </w:r>
      <w:r w:rsidR="009E5350">
        <w:t xml:space="preserve">ance disregard </w:t>
      </w:r>
      <w:r w:rsidR="0029242D">
        <w:t xml:space="preserve">operated </w:t>
      </w:r>
      <w:r w:rsidR="009E5350">
        <w:t xml:space="preserve">within </w:t>
      </w:r>
      <w:r w:rsidR="0029242D">
        <w:t xml:space="preserve">the social assistance system </w:t>
      </w:r>
      <w:r w:rsidR="009E5350">
        <w:t xml:space="preserve">did it make any difference to child poverty. </w:t>
      </w:r>
    </w:p>
    <w:p w14:paraId="1F3FDFAC" w14:textId="77777777" w:rsidR="009E5350" w:rsidRDefault="009E5350" w:rsidP="0021595C">
      <w:pPr>
        <w:spacing w:line="360" w:lineRule="auto"/>
      </w:pPr>
    </w:p>
    <w:p w14:paraId="4C495780" w14:textId="29F9E975" w:rsidR="00CF067C" w:rsidRDefault="001159AE" w:rsidP="00CF067C">
      <w:pPr>
        <w:spacing w:line="360" w:lineRule="auto"/>
      </w:pPr>
      <w:r w:rsidRPr="001159AE">
        <w:t xml:space="preserve">The results clearly demonstrate that the principle of child </w:t>
      </w:r>
      <w:r>
        <w:t xml:space="preserve">maintenance </w:t>
      </w:r>
      <w:r w:rsidRPr="001159AE">
        <w:t xml:space="preserve">as children's own income does not </w:t>
      </w:r>
      <w:r w:rsidR="00453CB5">
        <w:t xml:space="preserve">help </w:t>
      </w:r>
      <w:r w:rsidRPr="001159AE">
        <w:t xml:space="preserve">the poorest children in </w:t>
      </w:r>
      <w:r>
        <w:t xml:space="preserve">those countries where paid maintenance </w:t>
      </w:r>
      <w:r w:rsidRPr="001159AE">
        <w:t xml:space="preserve">is deducted from social assistance. </w:t>
      </w:r>
      <w:r w:rsidR="0029650C">
        <w:t xml:space="preserve">It </w:t>
      </w:r>
      <w:r w:rsidR="00453CB5">
        <w:t xml:space="preserve">could </w:t>
      </w:r>
      <w:r w:rsidR="0029650C">
        <w:t xml:space="preserve">be current </w:t>
      </w:r>
      <w:r w:rsidR="00CF067C">
        <w:t xml:space="preserve">policy </w:t>
      </w:r>
      <w:r w:rsidR="00453CB5">
        <w:t xml:space="preserve">is </w:t>
      </w:r>
      <w:r w:rsidR="00CF067C">
        <w:t xml:space="preserve">acting as a disincentive for </w:t>
      </w:r>
      <w:r w:rsidR="0029650C">
        <w:t xml:space="preserve">non-resident parents to pay child maintenance - </w:t>
      </w:r>
      <w:r w:rsidR="00CF067C">
        <w:t>especially if they know that their children will not receive any of it</w:t>
      </w:r>
      <w:r w:rsidR="00453CB5">
        <w:t xml:space="preserve"> whe</w:t>
      </w:r>
      <w:r w:rsidR="00A67F07">
        <w:t xml:space="preserve">n </w:t>
      </w:r>
      <w:r w:rsidR="00453CB5">
        <w:t xml:space="preserve"> </w:t>
      </w:r>
      <w:r w:rsidR="00CF067C">
        <w:t xml:space="preserve">it is not passed through to the receiving parent in the first place. </w:t>
      </w:r>
      <w:r w:rsidR="0029650C">
        <w:t>We</w:t>
      </w:r>
      <w:r w:rsidR="00CF067C">
        <w:t xml:space="preserve"> can also say there is an additional disincentive effect that is not picked up by the OECD and that is when, even if it is all passed th</w:t>
      </w:r>
      <w:r w:rsidR="00453CB5">
        <w:t>r</w:t>
      </w:r>
      <w:r w:rsidR="00CF067C">
        <w:t>ough, maintenance could be treated as a substitute to social assistance</w:t>
      </w:r>
      <w:r w:rsidR="00453CB5">
        <w:t>. M</w:t>
      </w:r>
      <w:r w:rsidR="00CF067C">
        <w:t xml:space="preserve">eaning </w:t>
      </w:r>
      <w:r w:rsidR="00453CB5">
        <w:t xml:space="preserve">that </w:t>
      </w:r>
      <w:r w:rsidR="00CF067C">
        <w:t>all of it is regarded as income and social assistance benefits are therefore subsequently reduced</w:t>
      </w:r>
      <w:r w:rsidR="00453CB5">
        <w:t xml:space="preserve"> leaving the lone parent family no better off</w:t>
      </w:r>
      <w:r w:rsidR="00CF067C">
        <w:t xml:space="preserve">. This produces the same outcome as far as a non-resident parent is </w:t>
      </w:r>
      <w:r w:rsidR="0029650C">
        <w:t>concerned;</w:t>
      </w:r>
      <w:r w:rsidR="00CF067C">
        <w:t xml:space="preserve"> none of the maintenance actually goes to children</w:t>
      </w:r>
      <w:r w:rsidR="00A67F07">
        <w:t xml:space="preserve"> and </w:t>
      </w:r>
      <w:r w:rsidR="00467F9B">
        <w:t>thereby reduc</w:t>
      </w:r>
      <w:r w:rsidR="00A67F07">
        <w:t xml:space="preserve">es </w:t>
      </w:r>
      <w:r w:rsidR="00521AFB">
        <w:t>incentives to pay as there would be no point financially.</w:t>
      </w:r>
    </w:p>
    <w:p w14:paraId="234AAF83" w14:textId="77777777" w:rsidR="00161BD5" w:rsidRDefault="00161BD5" w:rsidP="00CF067C">
      <w:pPr>
        <w:spacing w:line="360" w:lineRule="auto"/>
      </w:pPr>
    </w:p>
    <w:p w14:paraId="27B45332" w14:textId="6A8001F3" w:rsidR="00AB62F0" w:rsidRDefault="004010D7" w:rsidP="00AB62F0">
      <w:pPr>
        <w:spacing w:line="360" w:lineRule="auto"/>
      </w:pPr>
      <w:r>
        <w:t xml:space="preserve">Ultimately, our analysis raises questions about the legitimacy of child maintenance policies that proclaim to tackle child poverty when hidden interaction mechanisms continue to operate as cost recovery tools for the state. Crucially and contrary to what is believed, </w:t>
      </w:r>
      <w:r w:rsidR="00FF79EF">
        <w:t xml:space="preserve">even when </w:t>
      </w:r>
      <w:r>
        <w:t xml:space="preserve">child maintenance </w:t>
      </w:r>
      <w:r w:rsidR="00FF79EF">
        <w:t xml:space="preserve">is paid, it </w:t>
      </w:r>
      <w:r>
        <w:t>can be ineffective at reducing child poverty</w:t>
      </w:r>
      <w:r w:rsidR="00FF79EF">
        <w:t xml:space="preserve">. But in addition, the interaction mechanisms may build in </w:t>
      </w:r>
      <w:r>
        <w:t xml:space="preserve">disincentives to pay. </w:t>
      </w:r>
      <w:r w:rsidR="00FF79EF">
        <w:t>Yet, p</w:t>
      </w:r>
      <w:r w:rsidR="00CF067C">
        <w:t xml:space="preserve">olicy makers may be unaware of how these two mechanisms </w:t>
      </w:r>
      <w:r w:rsidR="003072D1">
        <w:t>combine</w:t>
      </w:r>
      <w:r w:rsidR="00CF067C">
        <w:t xml:space="preserve"> to produce such </w:t>
      </w:r>
      <w:r w:rsidR="00883D56">
        <w:t xml:space="preserve">negative </w:t>
      </w:r>
      <w:r w:rsidR="00CF067C">
        <w:t>outcomes</w:t>
      </w:r>
      <w:r w:rsidR="00A67F07">
        <w:t xml:space="preserve">. </w:t>
      </w:r>
      <w:r w:rsidR="00883D56">
        <w:t xml:space="preserve">Our analysis </w:t>
      </w:r>
      <w:r w:rsidR="00882134">
        <w:t xml:space="preserve">opens up the possibility for </w:t>
      </w:r>
      <w:r w:rsidR="00883D56">
        <w:t xml:space="preserve">policy makers </w:t>
      </w:r>
      <w:r w:rsidR="00882134">
        <w:t>to c</w:t>
      </w:r>
      <w:r w:rsidR="00754509">
        <w:t xml:space="preserve">reate a win-win situation </w:t>
      </w:r>
      <w:r>
        <w:t xml:space="preserve">(reducing poverty and improving payment compliance) </w:t>
      </w:r>
      <w:r w:rsidR="00882134">
        <w:t xml:space="preserve">if they reviewed </w:t>
      </w:r>
      <w:r w:rsidR="00754509">
        <w:t xml:space="preserve">both </w:t>
      </w:r>
      <w:r w:rsidR="00883D56">
        <w:t xml:space="preserve">child maintenance and socially security </w:t>
      </w:r>
      <w:r>
        <w:t xml:space="preserve">policies </w:t>
      </w:r>
      <w:r w:rsidR="00882134">
        <w:t xml:space="preserve">together to take full account of interaction mechanisms </w:t>
      </w:r>
      <w:r w:rsidR="00883D56">
        <w:t xml:space="preserve">to ensure </w:t>
      </w:r>
      <w:r w:rsidR="00754509">
        <w:t xml:space="preserve">that </w:t>
      </w:r>
      <w:r w:rsidR="00883D56">
        <w:t>one</w:t>
      </w:r>
      <w:r w:rsidR="00882134">
        <w:t xml:space="preserve"> policy</w:t>
      </w:r>
      <w:r w:rsidR="00883D56">
        <w:t xml:space="preserve"> is not </w:t>
      </w:r>
      <w:r w:rsidR="00754509">
        <w:t>countermanding the other</w:t>
      </w:r>
      <w:r w:rsidR="00751BE9">
        <w:t xml:space="preserve">. </w:t>
      </w:r>
      <w:r w:rsidR="00CF067C">
        <w:t>The UK's approach that has decoupled child maintenance from social assistance benefits provides a simple and clear way to maximise the anti-poverty effectiveness of child maintenance and potentially</w:t>
      </w:r>
      <w:r w:rsidR="003072D1">
        <w:t xml:space="preserve"> </w:t>
      </w:r>
      <w:r w:rsidR="00754509">
        <w:t>may</w:t>
      </w:r>
      <w:r w:rsidR="00AB62F0">
        <w:t xml:space="preserve"> also</w:t>
      </w:r>
      <w:r w:rsidR="00754509">
        <w:t xml:space="preserve"> </w:t>
      </w:r>
      <w:r w:rsidR="00CF067C">
        <w:t>improve incentives to pay</w:t>
      </w:r>
      <w:r w:rsidR="003072D1">
        <w:t xml:space="preserve">. In the UK, child maintenance </w:t>
      </w:r>
      <w:r w:rsidR="002D3EDC">
        <w:t>is</w:t>
      </w:r>
      <w:r w:rsidR="003072D1">
        <w:t xml:space="preserve"> therefore meaningful to both the payer and receiver</w:t>
      </w:r>
      <w:r w:rsidR="00882134">
        <w:t xml:space="preserve"> and reduces poverty</w:t>
      </w:r>
      <w:r w:rsidR="003072D1">
        <w:t>.</w:t>
      </w:r>
    </w:p>
    <w:p w14:paraId="56709605" w14:textId="25978324" w:rsidR="00C64836" w:rsidRDefault="00C64836" w:rsidP="00CF067C">
      <w:pPr>
        <w:spacing w:line="360" w:lineRule="auto"/>
      </w:pPr>
    </w:p>
    <w:p w14:paraId="7B184B57" w14:textId="6C1A0EB3" w:rsidR="00763CA0" w:rsidRDefault="00625704" w:rsidP="00FC4C81">
      <w:pPr>
        <w:spacing w:line="360" w:lineRule="auto"/>
      </w:pPr>
      <w:r w:rsidRPr="00625704">
        <w:t xml:space="preserve">Despite </w:t>
      </w:r>
      <w:r w:rsidR="00856B68">
        <w:t xml:space="preserve">our </w:t>
      </w:r>
      <w:r w:rsidRPr="00625704">
        <w:t>unique analy</w:t>
      </w:r>
      <w:r w:rsidR="0029242D">
        <w:t xml:space="preserve">sis, </w:t>
      </w:r>
      <w:r w:rsidR="00856B68">
        <w:t xml:space="preserve">the </w:t>
      </w:r>
      <w:r>
        <w:t xml:space="preserve">approach </w:t>
      </w:r>
      <w:r w:rsidR="0029242D">
        <w:t xml:space="preserve">is restricted. </w:t>
      </w:r>
      <w:r>
        <w:t>Due to the data limitation</w:t>
      </w:r>
      <w:r w:rsidR="0029242D">
        <w:t>s</w:t>
      </w:r>
      <w:r>
        <w:t xml:space="preserve"> we were able to include only four countries</w:t>
      </w:r>
      <w:r w:rsidR="0029242D">
        <w:t xml:space="preserve"> a</w:t>
      </w:r>
      <w:r w:rsidR="00763CA0">
        <w:t xml:space="preserve">nd </w:t>
      </w:r>
      <w:r w:rsidR="0029242D">
        <w:t>even a</w:t>
      </w:r>
      <w:r>
        <w:t>mong th</w:t>
      </w:r>
      <w:r w:rsidR="0029242D">
        <w:t>ose</w:t>
      </w:r>
      <w:r w:rsidR="00856B68">
        <w:t>,</w:t>
      </w:r>
      <w:r w:rsidR="0029242D">
        <w:t xml:space="preserve"> it was very </w:t>
      </w:r>
      <w:r>
        <w:t xml:space="preserve">challenging to operationalize the data </w:t>
      </w:r>
      <w:r w:rsidR="00763CA0">
        <w:t xml:space="preserve">to categorise benefits into </w:t>
      </w:r>
      <w:r>
        <w:t>social assistance schemes</w:t>
      </w:r>
      <w:r w:rsidR="00763CA0">
        <w:t xml:space="preserve">. </w:t>
      </w:r>
      <w:r w:rsidR="000128CE" w:rsidRPr="000128CE">
        <w:t>It is</w:t>
      </w:r>
      <w:r w:rsidR="00763CA0">
        <w:t xml:space="preserve"> also important to note that pass </w:t>
      </w:r>
      <w:r w:rsidR="000128CE" w:rsidRPr="000128CE">
        <w:t xml:space="preserve">through and disregard </w:t>
      </w:r>
      <w:r w:rsidR="00521AFB">
        <w:t>mechanisms</w:t>
      </w:r>
      <w:r w:rsidR="000128CE" w:rsidRPr="000128CE">
        <w:t xml:space="preserve"> are only one element of larger mainten</w:t>
      </w:r>
      <w:r w:rsidR="00763CA0">
        <w:t xml:space="preserve">ance and welfare state policies. We have learned some lessons however, that are important to note when </w:t>
      </w:r>
      <w:r w:rsidR="000128CE" w:rsidRPr="000128CE">
        <w:t>conducting comparati</w:t>
      </w:r>
      <w:r w:rsidR="000128CE">
        <w:t>ve analysis in this policy area.</w:t>
      </w:r>
      <w:r w:rsidR="00763CA0">
        <w:t xml:space="preserve"> Researchers must be </w:t>
      </w:r>
      <w:r w:rsidR="00521AFB">
        <w:t xml:space="preserve">wary </w:t>
      </w:r>
      <w:r w:rsidR="00763CA0">
        <w:t>of mak</w:t>
      </w:r>
      <w:r w:rsidR="00763CA0">
        <w:lastRenderedPageBreak/>
        <w:t xml:space="preserve">ing universal assumptions that child maintenance is a complement to income and </w:t>
      </w:r>
      <w:r w:rsidR="00856B68">
        <w:t xml:space="preserve">that </w:t>
      </w:r>
      <w:r w:rsidR="00763CA0">
        <w:t>just because it is paid</w:t>
      </w:r>
      <w:r w:rsidR="00856B68">
        <w:t>,</w:t>
      </w:r>
      <w:r w:rsidR="00763CA0">
        <w:t xml:space="preserve"> it can </w:t>
      </w:r>
      <w:r w:rsidR="004F4E82">
        <w:t>help</w:t>
      </w:r>
      <w:r w:rsidR="00763CA0">
        <w:t xml:space="preserve"> reduce poverty. Our analysis show</w:t>
      </w:r>
      <w:r w:rsidR="001159AE">
        <w:t>s</w:t>
      </w:r>
      <w:r w:rsidR="00763CA0">
        <w:t xml:space="preserve"> that this is unlikely to be the case. </w:t>
      </w:r>
    </w:p>
    <w:p w14:paraId="5AB10739" w14:textId="77777777" w:rsidR="00763CA0" w:rsidRDefault="00763CA0" w:rsidP="00FC4C81">
      <w:pPr>
        <w:spacing w:line="360" w:lineRule="auto"/>
      </w:pPr>
    </w:p>
    <w:p w14:paraId="69124362" w14:textId="6DAE4FEB" w:rsidR="00482213" w:rsidRDefault="00482213" w:rsidP="00FC4C81">
      <w:pPr>
        <w:spacing w:line="360" w:lineRule="auto"/>
      </w:pPr>
      <w:r>
        <w:t>Acknowledgements</w:t>
      </w:r>
    </w:p>
    <w:p w14:paraId="691BC2EF" w14:textId="6EAD3DED" w:rsidR="00482213" w:rsidRPr="004F4E82" w:rsidRDefault="004F4E82" w:rsidP="00FC4C81">
      <w:pPr>
        <w:spacing w:line="360" w:lineRule="auto"/>
        <w:rPr>
          <w:sz w:val="18"/>
          <w:szCs w:val="18"/>
        </w:rPr>
      </w:pPr>
      <w:r w:rsidRPr="004F4E82">
        <w:rPr>
          <w:sz w:val="18"/>
          <w:szCs w:val="18"/>
        </w:rPr>
        <w:t xml:space="preserve">This work was supported by the Academy of </w:t>
      </w:r>
      <w:r w:rsidR="007616A5">
        <w:rPr>
          <w:sz w:val="18"/>
          <w:szCs w:val="18"/>
        </w:rPr>
        <w:t xml:space="preserve">Finland grant No. 294648. </w:t>
      </w:r>
      <w:r w:rsidRPr="004F4E82">
        <w:rPr>
          <w:sz w:val="18"/>
          <w:szCs w:val="18"/>
        </w:rPr>
        <w:t xml:space="preserve">We also thank </w:t>
      </w:r>
      <w:r w:rsidR="00521AFB">
        <w:rPr>
          <w:sz w:val="18"/>
          <w:szCs w:val="18"/>
        </w:rPr>
        <w:t xml:space="preserve">Professor Daniel Meyer from the University of Wisconsin-Madison for helpful advice on the analysis and </w:t>
      </w:r>
      <w:r w:rsidRPr="004F4E82">
        <w:rPr>
          <w:sz w:val="18"/>
          <w:szCs w:val="18"/>
        </w:rPr>
        <w:t>anonymous referees for their useful comments.</w:t>
      </w:r>
    </w:p>
    <w:p w14:paraId="3A320C68" w14:textId="77777777" w:rsidR="004F4E82" w:rsidRDefault="004F4E82" w:rsidP="00FC4C81">
      <w:pPr>
        <w:spacing w:line="360" w:lineRule="auto"/>
      </w:pPr>
    </w:p>
    <w:p w14:paraId="3CBB970A" w14:textId="039E4077" w:rsidR="00482213" w:rsidRDefault="00482213" w:rsidP="00FC4C81">
      <w:pPr>
        <w:spacing w:line="360" w:lineRule="auto"/>
      </w:pPr>
      <w:r>
        <w:t>Notes</w:t>
      </w:r>
    </w:p>
    <w:p w14:paraId="49B41B8C" w14:textId="407A4D14" w:rsidR="00482213" w:rsidRPr="004F4E82" w:rsidRDefault="00482213" w:rsidP="00FC4C81">
      <w:pPr>
        <w:spacing w:line="360" w:lineRule="auto"/>
        <w:rPr>
          <w:sz w:val="18"/>
          <w:szCs w:val="18"/>
        </w:rPr>
      </w:pPr>
      <w:r w:rsidRPr="004F4E82">
        <w:rPr>
          <w:vertAlign w:val="superscript"/>
        </w:rPr>
        <w:t>1</w:t>
      </w:r>
      <w:r>
        <w:t xml:space="preserve"> </w:t>
      </w:r>
      <w:r w:rsidRPr="004F4E82">
        <w:rPr>
          <w:sz w:val="18"/>
          <w:szCs w:val="18"/>
        </w:rPr>
        <w:t>Before July 2017, the German guaranteed maintenance scheme only included lone parents’ children up to 12 years old for a maximum period of 72 months. In July 2017, the scheme was changed to apply to children under 18 years old with no maximum period. See https://www.bmfsfj.de/blob/93500/0caab0f096677ab72724ba27b75c2175/der-unterhaltsvorschuss-data.pdf</w:t>
      </w:r>
    </w:p>
    <w:p w14:paraId="010AA181" w14:textId="77777777" w:rsidR="0022105D" w:rsidRPr="00547A9D" w:rsidRDefault="0022105D" w:rsidP="00EA5327">
      <w:pPr>
        <w:spacing w:line="360" w:lineRule="auto"/>
        <w:rPr>
          <w:lang w:val="en-US"/>
        </w:rPr>
      </w:pPr>
    </w:p>
    <w:p w14:paraId="44544E29" w14:textId="0BBD951D" w:rsidR="002022F7" w:rsidRDefault="004B5ECD" w:rsidP="00EA5327">
      <w:pPr>
        <w:spacing w:line="360" w:lineRule="auto"/>
        <w:rPr>
          <w:b/>
        </w:rPr>
      </w:pPr>
      <w:r>
        <w:rPr>
          <w:b/>
        </w:rPr>
        <w:t>References</w:t>
      </w:r>
    </w:p>
    <w:p w14:paraId="603EB4C2" w14:textId="77777777" w:rsidR="00A45B82" w:rsidRDefault="00A45B82" w:rsidP="00FC4C81">
      <w:pPr>
        <w:widowControl w:val="0"/>
        <w:autoSpaceDE w:val="0"/>
        <w:autoSpaceDN w:val="0"/>
        <w:adjustRightInd w:val="0"/>
        <w:spacing w:line="360" w:lineRule="auto"/>
        <w:rPr>
          <w:lang w:val="en-US"/>
        </w:rPr>
      </w:pPr>
    </w:p>
    <w:p w14:paraId="6B0917EE" w14:textId="2E7A548D" w:rsidR="00D46760" w:rsidRDefault="00D46760" w:rsidP="00FC4C81">
      <w:pPr>
        <w:widowControl w:val="0"/>
        <w:autoSpaceDE w:val="0"/>
        <w:autoSpaceDN w:val="0"/>
        <w:adjustRightInd w:val="0"/>
        <w:spacing w:line="360" w:lineRule="auto"/>
        <w:rPr>
          <w:lang w:val="en-US"/>
        </w:rPr>
      </w:pPr>
      <w:r w:rsidRPr="00D46760">
        <w:rPr>
          <w:lang w:val="en-US"/>
        </w:rPr>
        <w:t>B</w:t>
      </w:r>
      <w:r>
        <w:rPr>
          <w:lang w:val="en-US"/>
        </w:rPr>
        <w:t xml:space="preserve">arcena-Martin, E., Blanco-Arana, M., and Perez-Moreno, S. (2018), </w:t>
      </w:r>
      <w:r w:rsidR="00AC1EA3">
        <w:rPr>
          <w:lang w:val="en-US"/>
        </w:rPr>
        <w:t>‘</w:t>
      </w:r>
      <w:r w:rsidRPr="00D46760">
        <w:rPr>
          <w:lang w:val="en-US"/>
        </w:rPr>
        <w:t>Social Transfers and Child Poverty in European Countries: Pro-poor Targeting or Pro-child Targeting?</w:t>
      </w:r>
      <w:r w:rsidR="00AC1EA3">
        <w:rPr>
          <w:lang w:val="en-US"/>
        </w:rPr>
        <w:t>’,</w:t>
      </w:r>
      <w:r w:rsidRPr="00D46760">
        <w:rPr>
          <w:lang w:val="en-US"/>
        </w:rPr>
        <w:t xml:space="preserve"> Journal of Social Policy, 47</w:t>
      </w:r>
      <w:r w:rsidR="00AC1EA3">
        <w:rPr>
          <w:lang w:val="en-US"/>
        </w:rPr>
        <w:t>,</w:t>
      </w:r>
      <w:r w:rsidRPr="00D46760">
        <w:rPr>
          <w:lang w:val="en-US"/>
        </w:rPr>
        <w:t>4, 739-758.</w:t>
      </w:r>
    </w:p>
    <w:p w14:paraId="68A708CA" w14:textId="77777777" w:rsidR="00D46760" w:rsidRDefault="00D46760" w:rsidP="00FC4C81">
      <w:pPr>
        <w:widowControl w:val="0"/>
        <w:autoSpaceDE w:val="0"/>
        <w:autoSpaceDN w:val="0"/>
        <w:adjustRightInd w:val="0"/>
        <w:spacing w:line="360" w:lineRule="auto"/>
        <w:rPr>
          <w:lang w:val="en-US"/>
        </w:rPr>
      </w:pPr>
    </w:p>
    <w:p w14:paraId="4C441557" w14:textId="2329BB03" w:rsidR="00A45B82" w:rsidRPr="00FC4C81" w:rsidRDefault="00A45B82" w:rsidP="00FC4C81">
      <w:pPr>
        <w:widowControl w:val="0"/>
        <w:autoSpaceDE w:val="0"/>
        <w:autoSpaceDN w:val="0"/>
        <w:adjustRightInd w:val="0"/>
        <w:spacing w:line="360" w:lineRule="auto"/>
        <w:rPr>
          <w:lang w:val="en-US"/>
        </w:rPr>
      </w:pPr>
      <w:r w:rsidRPr="00FC4C81">
        <w:rPr>
          <w:lang w:val="en-US"/>
        </w:rPr>
        <w:t>Bradshaw, J., Keung, A.</w:t>
      </w:r>
      <w:r>
        <w:rPr>
          <w:lang w:val="en-US"/>
        </w:rPr>
        <w:t xml:space="preserve"> and</w:t>
      </w:r>
      <w:r w:rsidRPr="00FC4C81">
        <w:rPr>
          <w:lang w:val="en-US"/>
        </w:rPr>
        <w:t xml:space="preserve"> Chzhen, Y. </w:t>
      </w:r>
      <w:r>
        <w:rPr>
          <w:lang w:val="en-US"/>
        </w:rPr>
        <w:t>(</w:t>
      </w:r>
      <w:r w:rsidRPr="00FC4C81">
        <w:rPr>
          <w:lang w:val="en-US"/>
        </w:rPr>
        <w:t>2018)</w:t>
      </w:r>
      <w:r w:rsidR="00AC1EA3">
        <w:rPr>
          <w:lang w:val="en-US"/>
        </w:rPr>
        <w:t>,</w:t>
      </w:r>
      <w:r w:rsidRPr="00FC4C81">
        <w:rPr>
          <w:lang w:val="en-US"/>
        </w:rPr>
        <w:t xml:space="preserve"> </w:t>
      </w:r>
      <w:r w:rsidR="00AC1EA3">
        <w:rPr>
          <w:lang w:val="en-US"/>
        </w:rPr>
        <w:t>‘</w:t>
      </w:r>
      <w:r w:rsidRPr="00FC4C81">
        <w:rPr>
          <w:lang w:val="en-US"/>
        </w:rPr>
        <w:t>Cash benefits and poverty in single-parent families</w:t>
      </w:r>
      <w:r w:rsidR="00AC1EA3">
        <w:rPr>
          <w:lang w:val="en-US"/>
        </w:rPr>
        <w:t>’</w:t>
      </w:r>
      <w:r w:rsidRPr="00FC4C81">
        <w:rPr>
          <w:lang w:val="en-US"/>
        </w:rPr>
        <w:t>. In R. Nieuwenhuis</w:t>
      </w:r>
      <w:r w:rsidR="00AC1EA3">
        <w:rPr>
          <w:lang w:val="en-US"/>
        </w:rPr>
        <w:t xml:space="preserve"> and</w:t>
      </w:r>
      <w:r w:rsidRPr="00FC4C81">
        <w:rPr>
          <w:lang w:val="en-US"/>
        </w:rPr>
        <w:t xml:space="preserve"> L. Maldonado </w:t>
      </w:r>
      <w:r w:rsidR="00DE31E3">
        <w:rPr>
          <w:lang w:val="en-US"/>
        </w:rPr>
        <w:t>(</w:t>
      </w:r>
      <w:r w:rsidRPr="00FC4C81">
        <w:rPr>
          <w:lang w:val="en-US"/>
        </w:rPr>
        <w:t>eds</w:t>
      </w:r>
      <w:r w:rsidR="00AC1EA3">
        <w:rPr>
          <w:lang w:val="en-US"/>
        </w:rPr>
        <w:t>.</w:t>
      </w:r>
      <w:r w:rsidR="00DE31E3">
        <w:rPr>
          <w:lang w:val="en-US"/>
        </w:rPr>
        <w:t>)</w:t>
      </w:r>
      <w:r w:rsidRPr="00FC4C81">
        <w:rPr>
          <w:lang w:val="en-US"/>
        </w:rPr>
        <w:t xml:space="preserve"> </w:t>
      </w:r>
      <w:r w:rsidRPr="006F586C">
        <w:rPr>
          <w:i/>
          <w:lang w:val="en-US"/>
        </w:rPr>
        <w:t>The triple bind of single-parent families: resources, employment and policies to improve well-being</w:t>
      </w:r>
      <w:r w:rsidR="00AC1EA3">
        <w:rPr>
          <w:lang w:val="en-US"/>
        </w:rPr>
        <w:t>,</w:t>
      </w:r>
      <w:r w:rsidR="00DE31E3">
        <w:rPr>
          <w:lang w:val="en-US"/>
        </w:rPr>
        <w:t xml:space="preserve"> Bristol: Policy Press. </w:t>
      </w:r>
    </w:p>
    <w:p w14:paraId="6AF39706" w14:textId="77777777" w:rsidR="00A45B82" w:rsidRDefault="00A45B82" w:rsidP="00FC4C81">
      <w:pPr>
        <w:widowControl w:val="0"/>
        <w:autoSpaceDE w:val="0"/>
        <w:autoSpaceDN w:val="0"/>
        <w:adjustRightInd w:val="0"/>
        <w:spacing w:line="360" w:lineRule="auto"/>
        <w:rPr>
          <w:lang w:val="en-US"/>
        </w:rPr>
      </w:pPr>
    </w:p>
    <w:p w14:paraId="26D402D0" w14:textId="79EAF6F8" w:rsidR="00DE31E3" w:rsidRDefault="00DE31E3" w:rsidP="00FC4C81">
      <w:pPr>
        <w:widowControl w:val="0"/>
        <w:autoSpaceDE w:val="0"/>
        <w:autoSpaceDN w:val="0"/>
        <w:adjustRightInd w:val="0"/>
        <w:spacing w:line="360" w:lineRule="auto"/>
        <w:rPr>
          <w:lang w:val="en-US"/>
        </w:rPr>
      </w:pPr>
      <w:r w:rsidRPr="00FC4C81">
        <w:rPr>
          <w:lang w:val="en-US"/>
        </w:rPr>
        <w:t>Bryson, C., Skipp, A., Allbeson, J., Poole, E., Ireland, E., and Marsh, V. (2013)</w:t>
      </w:r>
      <w:r>
        <w:rPr>
          <w:lang w:val="en-US"/>
        </w:rPr>
        <w:t>,</w:t>
      </w:r>
      <w:r w:rsidRPr="00FC4C81">
        <w:rPr>
          <w:lang w:val="en-US"/>
        </w:rPr>
        <w:t xml:space="preserve"> </w:t>
      </w:r>
      <w:r w:rsidRPr="00FC4C81">
        <w:rPr>
          <w:i/>
          <w:lang w:val="en-US"/>
        </w:rPr>
        <w:t xml:space="preserve">Kids aren’t </w:t>
      </w:r>
      <w:r w:rsidRPr="00FC4C81">
        <w:rPr>
          <w:i/>
          <w:lang w:val="en-US"/>
        </w:rPr>
        <w:lastRenderedPageBreak/>
        <w:t>free: child maintenance payments of single parents on benefits in 2012,</w:t>
      </w:r>
      <w:r w:rsidRPr="00FC4C81">
        <w:rPr>
          <w:lang w:val="en-US"/>
        </w:rPr>
        <w:t xml:space="preserve"> London:</w:t>
      </w:r>
      <w:r>
        <w:rPr>
          <w:lang w:val="en-US"/>
        </w:rPr>
        <w:t xml:space="preserve"> </w:t>
      </w:r>
      <w:r w:rsidRPr="00FC4C81">
        <w:rPr>
          <w:lang w:val="en-US"/>
        </w:rPr>
        <w:t xml:space="preserve">The Nuffield Foundation. </w:t>
      </w:r>
    </w:p>
    <w:p w14:paraId="55C68D54" w14:textId="77777777" w:rsidR="005A5D9B" w:rsidRPr="00FC4C81" w:rsidRDefault="005A5D9B" w:rsidP="00FC4C81">
      <w:pPr>
        <w:widowControl w:val="0"/>
        <w:autoSpaceDE w:val="0"/>
        <w:autoSpaceDN w:val="0"/>
        <w:adjustRightInd w:val="0"/>
        <w:spacing w:line="360" w:lineRule="auto"/>
        <w:rPr>
          <w:lang w:val="en-US"/>
        </w:rPr>
      </w:pPr>
    </w:p>
    <w:p w14:paraId="67AB8112" w14:textId="12F839E9" w:rsidR="002650A7" w:rsidRPr="00651E67" w:rsidRDefault="002650A7" w:rsidP="00FC4C81">
      <w:pPr>
        <w:widowControl w:val="0"/>
        <w:autoSpaceDE w:val="0"/>
        <w:autoSpaceDN w:val="0"/>
        <w:adjustRightInd w:val="0"/>
        <w:spacing w:line="360" w:lineRule="auto"/>
        <w:rPr>
          <w:lang w:val="sv-SE"/>
        </w:rPr>
      </w:pPr>
      <w:r w:rsidRPr="00FC4C81">
        <w:rPr>
          <w:lang w:val="sv-SE"/>
        </w:rPr>
        <w:t>Bundesministerium für Arbeit und Soziales (2017)</w:t>
      </w:r>
      <w:r w:rsidR="00AC1EA3">
        <w:rPr>
          <w:lang w:val="sv-SE"/>
        </w:rPr>
        <w:t>,</w:t>
      </w:r>
      <w:r w:rsidRPr="00FC4C81">
        <w:rPr>
          <w:lang w:val="sv-SE"/>
        </w:rPr>
        <w:t xml:space="preserve"> </w:t>
      </w:r>
      <w:r w:rsidR="00AC1EA3">
        <w:rPr>
          <w:lang w:val="sv-SE"/>
        </w:rPr>
        <w:t>’</w:t>
      </w:r>
      <w:r w:rsidRPr="00FC4C81">
        <w:rPr>
          <w:lang w:val="sv-SE"/>
        </w:rPr>
        <w:t>Sozialhilfe und Grundsicherung im Alter</w:t>
      </w:r>
      <w:r w:rsidR="00914D52" w:rsidRPr="00FC4C81">
        <w:rPr>
          <w:lang w:val="sv-SE"/>
        </w:rPr>
        <w:t xml:space="preserve"> </w:t>
      </w:r>
      <w:r w:rsidRPr="00FC4C81">
        <w:rPr>
          <w:lang w:val="sv-SE"/>
        </w:rPr>
        <w:t>und bei Erwerbsminderung</w:t>
      </w:r>
      <w:r w:rsidR="00AC1EA3">
        <w:rPr>
          <w:lang w:val="sv-SE"/>
        </w:rPr>
        <w:t>’,</w:t>
      </w:r>
      <w:r w:rsidR="00FF1D66" w:rsidRPr="00FC4C81">
        <w:rPr>
          <w:lang w:val="sv-SE"/>
        </w:rPr>
        <w:t xml:space="preserve"> </w:t>
      </w:r>
      <w:r w:rsidR="00161BD5" w:rsidRPr="00651E67">
        <w:rPr>
          <w:lang w:val="sv-SE"/>
        </w:rPr>
        <w:t>http://www.bmas.de/SharedDocs/Downloads/DE/PDF-Publikationen/a207-sozialhilfe-und-grundsicherung.pdf?__blob=publicationFile&amp;v=8 [Accessed 13.9.2017]</w:t>
      </w:r>
    </w:p>
    <w:p w14:paraId="424E5AF9" w14:textId="77777777" w:rsidR="00914D52" w:rsidRPr="00651E67" w:rsidRDefault="00914D52" w:rsidP="002650A7">
      <w:pPr>
        <w:widowControl w:val="0"/>
        <w:autoSpaceDE w:val="0"/>
        <w:autoSpaceDN w:val="0"/>
        <w:adjustRightInd w:val="0"/>
        <w:spacing w:line="360" w:lineRule="auto"/>
        <w:ind w:left="480" w:hanging="480"/>
        <w:rPr>
          <w:lang w:val="sv-SE"/>
        </w:rPr>
      </w:pPr>
    </w:p>
    <w:p w14:paraId="413E277E" w14:textId="3A1F25B2" w:rsidR="002650A7" w:rsidRDefault="009C58CA" w:rsidP="002650A7">
      <w:pPr>
        <w:widowControl w:val="0"/>
        <w:autoSpaceDE w:val="0"/>
        <w:autoSpaceDN w:val="0"/>
        <w:adjustRightInd w:val="0"/>
        <w:spacing w:line="360" w:lineRule="auto"/>
      </w:pPr>
      <w:r w:rsidRPr="009C58CA">
        <w:t>Cassetty, J, Cancian,</w:t>
      </w:r>
      <w:r w:rsidR="00914D52">
        <w:t xml:space="preserve"> M</w:t>
      </w:r>
      <w:r w:rsidRPr="009C58CA">
        <w:t xml:space="preserve"> and Meyer</w:t>
      </w:r>
      <w:r w:rsidR="00914D52">
        <w:t>, D</w:t>
      </w:r>
      <w:r w:rsidRPr="009C58CA">
        <w:t xml:space="preserve">. </w:t>
      </w:r>
      <w:r w:rsidR="00914D52">
        <w:t>(</w:t>
      </w:r>
      <w:r w:rsidRPr="009C58CA">
        <w:t>2002</w:t>
      </w:r>
      <w:r w:rsidR="00914D52">
        <w:t>),</w:t>
      </w:r>
      <w:r w:rsidRPr="009C58CA">
        <w:t xml:space="preserve"> </w:t>
      </w:r>
      <w:r w:rsidRPr="00FC4C81">
        <w:rPr>
          <w:i/>
        </w:rPr>
        <w:t xml:space="preserve">Child </w:t>
      </w:r>
      <w:r w:rsidR="00914D52" w:rsidRPr="00FC4C81">
        <w:rPr>
          <w:i/>
        </w:rPr>
        <w:t>s</w:t>
      </w:r>
      <w:r w:rsidRPr="00FC4C81">
        <w:rPr>
          <w:i/>
        </w:rPr>
        <w:t xml:space="preserve">upport </w:t>
      </w:r>
      <w:r w:rsidR="00914D52" w:rsidRPr="00FC4C81">
        <w:rPr>
          <w:i/>
        </w:rPr>
        <w:t>d</w:t>
      </w:r>
      <w:r w:rsidRPr="00FC4C81">
        <w:rPr>
          <w:i/>
        </w:rPr>
        <w:t xml:space="preserve">isregard </w:t>
      </w:r>
      <w:r w:rsidR="00914D52" w:rsidRPr="00FC4C81">
        <w:rPr>
          <w:i/>
        </w:rPr>
        <w:t>p</w:t>
      </w:r>
      <w:r w:rsidRPr="00FC4C81">
        <w:rPr>
          <w:i/>
        </w:rPr>
        <w:t xml:space="preserve">olicies and </w:t>
      </w:r>
      <w:r w:rsidR="00914D52" w:rsidRPr="00FC4C81">
        <w:rPr>
          <w:i/>
        </w:rPr>
        <w:t>p</w:t>
      </w:r>
      <w:r w:rsidRPr="00FC4C81">
        <w:rPr>
          <w:i/>
        </w:rPr>
        <w:t xml:space="preserve">rogram </w:t>
      </w:r>
      <w:r w:rsidR="00914D52" w:rsidRPr="00FC4C81">
        <w:rPr>
          <w:i/>
        </w:rPr>
        <w:t>o</w:t>
      </w:r>
      <w:r w:rsidRPr="00FC4C81">
        <w:rPr>
          <w:i/>
        </w:rPr>
        <w:t xml:space="preserve">utcomes: An </w:t>
      </w:r>
      <w:r w:rsidR="00914D52" w:rsidRPr="00FC4C81">
        <w:rPr>
          <w:i/>
        </w:rPr>
        <w:t>a</w:t>
      </w:r>
      <w:r w:rsidRPr="00FC4C81">
        <w:rPr>
          <w:i/>
        </w:rPr>
        <w:t xml:space="preserve">nalysis of </w:t>
      </w:r>
      <w:r w:rsidR="00914D52" w:rsidRPr="00FC4C81">
        <w:rPr>
          <w:i/>
        </w:rPr>
        <w:t>d</w:t>
      </w:r>
      <w:r w:rsidRPr="00FC4C81">
        <w:rPr>
          <w:i/>
        </w:rPr>
        <w:t>ata from  the OCSE.</w:t>
      </w:r>
      <w:r w:rsidRPr="009C58CA">
        <w:t xml:space="preserve"> </w:t>
      </w:r>
      <w:r w:rsidRPr="00CC7BBC">
        <w:rPr>
          <w:i/>
        </w:rPr>
        <w:t>W-2 Child Support Demonstration Evaluation</w:t>
      </w:r>
      <w:r w:rsidR="00914D52" w:rsidRPr="00CC7BBC">
        <w:rPr>
          <w:i/>
        </w:rPr>
        <w:t xml:space="preserve"> </w:t>
      </w:r>
      <w:r w:rsidRPr="00CC7BBC">
        <w:rPr>
          <w:i/>
        </w:rPr>
        <w:t>Report on Nonexperimental Analyses</w:t>
      </w:r>
      <w:r w:rsidR="00914D52">
        <w:t xml:space="preserve">, </w:t>
      </w:r>
      <w:r w:rsidRPr="009C58CA">
        <w:t xml:space="preserve">  </w:t>
      </w:r>
      <w:r w:rsidR="00AC1EA3" w:rsidRPr="00AC1EA3">
        <w:t>University of Wisconsin-Madison</w:t>
      </w:r>
      <w:r w:rsidR="00AC1EA3" w:rsidRPr="00AC1EA3" w:rsidDel="00AC1EA3">
        <w:t xml:space="preserve"> </w:t>
      </w:r>
      <w:r w:rsidRPr="009C58CA">
        <w:t>: Institute for Research on Poverty.</w:t>
      </w:r>
    </w:p>
    <w:p w14:paraId="74C86460" w14:textId="77777777" w:rsidR="009C58CA" w:rsidRDefault="009C58CA" w:rsidP="002650A7">
      <w:pPr>
        <w:widowControl w:val="0"/>
        <w:autoSpaceDE w:val="0"/>
        <w:autoSpaceDN w:val="0"/>
        <w:adjustRightInd w:val="0"/>
        <w:spacing w:line="360" w:lineRule="auto"/>
      </w:pPr>
    </w:p>
    <w:p w14:paraId="3BCF0B64" w14:textId="6AB39219" w:rsidR="00912588" w:rsidRDefault="00101FAD" w:rsidP="002650A7">
      <w:pPr>
        <w:widowControl w:val="0"/>
        <w:autoSpaceDE w:val="0"/>
        <w:autoSpaceDN w:val="0"/>
        <w:adjustRightInd w:val="0"/>
        <w:spacing w:line="360" w:lineRule="auto"/>
      </w:pPr>
      <w:r w:rsidRPr="00101FAD">
        <w:t>Cancian M</w:t>
      </w:r>
      <w:r w:rsidR="00E24E9D">
        <w:t>.</w:t>
      </w:r>
      <w:r w:rsidRPr="00101FAD">
        <w:t>, Meyer DR</w:t>
      </w:r>
      <w:r w:rsidR="00E24E9D">
        <w:t xml:space="preserve">. and </w:t>
      </w:r>
      <w:r w:rsidRPr="00101FAD">
        <w:t>Roff J.</w:t>
      </w:r>
      <w:r w:rsidR="00E24E9D">
        <w:t xml:space="preserve"> (2006),</w:t>
      </w:r>
      <w:r w:rsidRPr="00101FAD">
        <w:t xml:space="preserve"> </w:t>
      </w:r>
      <w:r w:rsidRPr="00FC4C81">
        <w:rPr>
          <w:i/>
        </w:rPr>
        <w:t>The effects of child support pass-through and disregard policies.</w:t>
      </w:r>
      <w:r w:rsidR="00E24E9D" w:rsidRPr="00E24E9D">
        <w:t xml:space="preserve"> University of Wisconsin-Madison</w:t>
      </w:r>
      <w:r w:rsidRPr="00101FAD">
        <w:t>: In</w:t>
      </w:r>
      <w:r w:rsidR="00E24E9D">
        <w:t xml:space="preserve">stitute for Research on Poverty. </w:t>
      </w:r>
    </w:p>
    <w:p w14:paraId="57E0CBCC" w14:textId="77777777" w:rsidR="000D75D0" w:rsidRDefault="000D75D0" w:rsidP="002650A7">
      <w:pPr>
        <w:widowControl w:val="0"/>
        <w:autoSpaceDE w:val="0"/>
        <w:autoSpaceDN w:val="0"/>
        <w:adjustRightInd w:val="0"/>
        <w:spacing w:line="360" w:lineRule="auto"/>
      </w:pPr>
    </w:p>
    <w:p w14:paraId="65F736EF" w14:textId="45AB6586" w:rsidR="000D75D0" w:rsidRDefault="000D75D0" w:rsidP="002650A7">
      <w:pPr>
        <w:widowControl w:val="0"/>
        <w:autoSpaceDE w:val="0"/>
        <w:autoSpaceDN w:val="0"/>
        <w:adjustRightInd w:val="0"/>
        <w:spacing w:line="360" w:lineRule="auto"/>
      </w:pPr>
      <w:r w:rsidRPr="000D75D0">
        <w:t>Cuesta, L</w:t>
      </w:r>
      <w:r>
        <w:t>.,</w:t>
      </w:r>
      <w:r w:rsidRPr="000D75D0">
        <w:t xml:space="preserve"> Hakovirta, M</w:t>
      </w:r>
      <w:r>
        <w:t>. and</w:t>
      </w:r>
      <w:r w:rsidRPr="000D75D0">
        <w:t xml:space="preserve"> Jokela, M</w:t>
      </w:r>
      <w:r>
        <w:t>.</w:t>
      </w:r>
      <w:r w:rsidRPr="000D75D0">
        <w:t xml:space="preserve"> (2018) </w:t>
      </w:r>
      <w:r>
        <w:t>‘</w:t>
      </w:r>
      <w:r w:rsidRPr="000D75D0">
        <w:t>The antipoverty effectiveness of child support: Empirical evidence for Latin American countries</w:t>
      </w:r>
      <w:r>
        <w:t>’</w:t>
      </w:r>
      <w:r w:rsidRPr="000D75D0">
        <w:t xml:space="preserve">. </w:t>
      </w:r>
      <w:r w:rsidRPr="000D75D0">
        <w:rPr>
          <w:i/>
        </w:rPr>
        <w:t>Social Policy and Administration,</w:t>
      </w:r>
      <w:r w:rsidRPr="000D75D0">
        <w:t xml:space="preserve"> 52(6), 1233-1251.</w:t>
      </w:r>
    </w:p>
    <w:p w14:paraId="675826A2" w14:textId="77777777" w:rsidR="00912588" w:rsidRDefault="00912588" w:rsidP="002650A7">
      <w:pPr>
        <w:widowControl w:val="0"/>
        <w:autoSpaceDE w:val="0"/>
        <w:autoSpaceDN w:val="0"/>
        <w:adjustRightInd w:val="0"/>
        <w:spacing w:line="360" w:lineRule="auto"/>
      </w:pPr>
    </w:p>
    <w:p w14:paraId="4FC96CD5" w14:textId="1074570E" w:rsidR="00E24E9D" w:rsidRDefault="00E24E9D" w:rsidP="002650A7">
      <w:pPr>
        <w:widowControl w:val="0"/>
        <w:autoSpaceDE w:val="0"/>
        <w:autoSpaceDN w:val="0"/>
        <w:adjustRightInd w:val="0"/>
        <w:spacing w:line="360" w:lineRule="auto"/>
      </w:pPr>
      <w:r>
        <w:t xml:space="preserve">Cuesta, L. and Meyer, DR. (2014), </w:t>
      </w:r>
      <w:r w:rsidR="00AC1EA3">
        <w:t>‘</w:t>
      </w:r>
      <w:r w:rsidRPr="00E24E9D">
        <w:t>The role of child support in the economic wellbeing of custodial-mother families in less developed countries: The case of Colombia</w:t>
      </w:r>
      <w:r w:rsidR="00AC1EA3">
        <w:t>’,</w:t>
      </w:r>
      <w:r w:rsidRPr="00E24E9D">
        <w:t xml:space="preserve"> </w:t>
      </w:r>
      <w:r w:rsidRPr="00FC4C81">
        <w:rPr>
          <w:i/>
        </w:rPr>
        <w:t>International Journal of Law, Policy and the Family</w:t>
      </w:r>
      <w:r>
        <w:t>, 28</w:t>
      </w:r>
      <w:r w:rsidR="00AC1EA3">
        <w:t>,</w:t>
      </w:r>
      <w:r>
        <w:t>1</w:t>
      </w:r>
      <w:r w:rsidRPr="00E24E9D">
        <w:t>, 60–76.</w:t>
      </w:r>
    </w:p>
    <w:p w14:paraId="05FBEF1E" w14:textId="77777777" w:rsidR="00CE1FBE" w:rsidRDefault="00CE1FBE" w:rsidP="00CE1FBE">
      <w:pPr>
        <w:widowControl w:val="0"/>
        <w:autoSpaceDE w:val="0"/>
        <w:autoSpaceDN w:val="0"/>
        <w:adjustRightInd w:val="0"/>
        <w:spacing w:line="360" w:lineRule="auto"/>
      </w:pPr>
    </w:p>
    <w:p w14:paraId="208027D5" w14:textId="5A3C6649" w:rsidR="00CE1FBE" w:rsidRDefault="00CE1FBE" w:rsidP="00CE1FBE">
      <w:pPr>
        <w:widowControl w:val="0"/>
        <w:autoSpaceDE w:val="0"/>
        <w:autoSpaceDN w:val="0"/>
        <w:adjustRightInd w:val="0"/>
        <w:spacing w:line="360" w:lineRule="auto"/>
      </w:pPr>
      <w:r>
        <w:t>Gough, I., Bradshaw, J., Ditch, J., Eardley, T. and Whiteford, P. (1997)</w:t>
      </w:r>
      <w:r w:rsidR="00AC1EA3">
        <w:t>,</w:t>
      </w:r>
      <w:r w:rsidR="00161BD5">
        <w:t xml:space="preserve"> </w:t>
      </w:r>
      <w:r w:rsidR="00AC1EA3">
        <w:t>‘</w:t>
      </w:r>
      <w:r w:rsidR="00161BD5">
        <w:t>Social Assistance in OECD</w:t>
      </w:r>
      <w:r w:rsidRPr="00CE1FBE">
        <w:t xml:space="preserve"> Countries</w:t>
      </w:r>
      <w:r w:rsidR="00AC1EA3">
        <w:t>’,</w:t>
      </w:r>
      <w:r>
        <w:t xml:space="preserve"> </w:t>
      </w:r>
      <w:r w:rsidRPr="00CC7BBC">
        <w:rPr>
          <w:i/>
        </w:rPr>
        <w:t>Journal of European Social Policy 7,</w:t>
      </w:r>
      <w:r w:rsidR="00AC1EA3" w:rsidRPr="00CC7BBC">
        <w:rPr>
          <w:i/>
        </w:rPr>
        <w:t xml:space="preserve"> </w:t>
      </w:r>
      <w:r w:rsidRPr="00CC7BBC">
        <w:rPr>
          <w:i/>
        </w:rPr>
        <w:t>1, 17 – 43.</w:t>
      </w:r>
    </w:p>
    <w:p w14:paraId="293FAD43" w14:textId="77777777" w:rsidR="00E24E9D" w:rsidRDefault="00E24E9D" w:rsidP="002650A7">
      <w:pPr>
        <w:widowControl w:val="0"/>
        <w:autoSpaceDE w:val="0"/>
        <w:autoSpaceDN w:val="0"/>
        <w:adjustRightInd w:val="0"/>
        <w:spacing w:line="360" w:lineRule="auto"/>
      </w:pPr>
    </w:p>
    <w:p w14:paraId="7096D8BB" w14:textId="2DE26DF8" w:rsidR="00E24E9D" w:rsidRDefault="00E24E9D" w:rsidP="00E24E9D">
      <w:pPr>
        <w:widowControl w:val="0"/>
        <w:autoSpaceDE w:val="0"/>
        <w:autoSpaceDN w:val="0"/>
        <w:adjustRightInd w:val="0"/>
        <w:spacing w:line="360" w:lineRule="auto"/>
      </w:pPr>
      <w:r>
        <w:t xml:space="preserve">Gornick, J., and Jäntti, M. (2012), </w:t>
      </w:r>
      <w:r w:rsidR="00AC1EA3">
        <w:t>‘</w:t>
      </w:r>
      <w:r>
        <w:t>Child poverty in cross-national perspective: Lessons from the Luxembourg Income Study</w:t>
      </w:r>
      <w:r w:rsidR="00AC1EA3">
        <w:t>’,</w:t>
      </w:r>
      <w:r>
        <w:t xml:space="preserve"> </w:t>
      </w:r>
      <w:r w:rsidRPr="00FC4C81">
        <w:rPr>
          <w:i/>
        </w:rPr>
        <w:t>Children and Youth Services Review, 34</w:t>
      </w:r>
      <w:r w:rsidR="00AC1EA3">
        <w:rPr>
          <w:i/>
        </w:rPr>
        <w:t>,</w:t>
      </w:r>
      <w:r w:rsidRPr="00FC4C81">
        <w:rPr>
          <w:i/>
        </w:rPr>
        <w:t>3, 558–568</w:t>
      </w:r>
      <w:r>
        <w:t xml:space="preserve">. </w:t>
      </w:r>
    </w:p>
    <w:p w14:paraId="605F3A44" w14:textId="77777777" w:rsidR="00E24E9D" w:rsidRDefault="00E24E9D" w:rsidP="00E24E9D">
      <w:pPr>
        <w:widowControl w:val="0"/>
        <w:autoSpaceDE w:val="0"/>
        <w:autoSpaceDN w:val="0"/>
        <w:adjustRightInd w:val="0"/>
        <w:spacing w:line="360" w:lineRule="auto"/>
      </w:pPr>
    </w:p>
    <w:p w14:paraId="3435B6AC" w14:textId="686B23E8" w:rsidR="00E24E9D" w:rsidRPr="00FC4C81" w:rsidRDefault="00E24E9D" w:rsidP="00E24E9D">
      <w:pPr>
        <w:widowControl w:val="0"/>
        <w:autoSpaceDE w:val="0"/>
        <w:autoSpaceDN w:val="0"/>
        <w:adjustRightInd w:val="0"/>
        <w:spacing w:line="360" w:lineRule="auto"/>
        <w:rPr>
          <w:i/>
        </w:rPr>
      </w:pPr>
      <w:r>
        <w:t xml:space="preserve">Hakovirta, M. (2011), </w:t>
      </w:r>
      <w:r w:rsidR="00AC1EA3">
        <w:t>‘</w:t>
      </w:r>
      <w:r>
        <w:t>Child maintenance and child poverty: A comparative analysis</w:t>
      </w:r>
      <w:r w:rsidR="00AC1EA3">
        <w:t>’</w:t>
      </w:r>
      <w:r>
        <w:t xml:space="preserve"> </w:t>
      </w:r>
      <w:r w:rsidRPr="00FC4C81">
        <w:rPr>
          <w:i/>
        </w:rPr>
        <w:t>Journal of Poverty and Social Justice, 19</w:t>
      </w:r>
      <w:r w:rsidR="00AC1EA3">
        <w:rPr>
          <w:i/>
        </w:rPr>
        <w:t>,</w:t>
      </w:r>
      <w:r w:rsidRPr="00FC4C81">
        <w:rPr>
          <w:i/>
        </w:rPr>
        <w:t xml:space="preserve">3, 249–262. </w:t>
      </w:r>
    </w:p>
    <w:p w14:paraId="41960B21" w14:textId="77777777" w:rsidR="00E24E9D" w:rsidRDefault="00E24E9D" w:rsidP="002650A7">
      <w:pPr>
        <w:widowControl w:val="0"/>
        <w:autoSpaceDE w:val="0"/>
        <w:autoSpaceDN w:val="0"/>
        <w:adjustRightInd w:val="0"/>
        <w:spacing w:line="360" w:lineRule="auto"/>
      </w:pPr>
    </w:p>
    <w:p w14:paraId="61AED7D2" w14:textId="54CF85AD" w:rsidR="00DE31E3" w:rsidRPr="00FC4C81" w:rsidRDefault="00DE31E3" w:rsidP="002650A7">
      <w:pPr>
        <w:widowControl w:val="0"/>
        <w:autoSpaceDE w:val="0"/>
        <w:autoSpaceDN w:val="0"/>
        <w:adjustRightInd w:val="0"/>
        <w:spacing w:line="360" w:lineRule="auto"/>
        <w:rPr>
          <w:i/>
        </w:rPr>
      </w:pPr>
      <w:r w:rsidRPr="00AC1EA3">
        <w:t xml:space="preserve">Hakovirta, M. and Jokela, M. (2018), </w:t>
      </w:r>
      <w:r w:rsidR="00767193">
        <w:t>‘</w:t>
      </w:r>
      <w:r w:rsidRPr="00AC1EA3">
        <w:t>Contribution of child maintenance on lone mothers’ income in five welfare states</w:t>
      </w:r>
      <w:r w:rsidR="00767193">
        <w:t>’,</w:t>
      </w:r>
      <w:r w:rsidRPr="00AC1EA3">
        <w:t xml:space="preserve"> </w:t>
      </w:r>
      <w:r w:rsidRPr="00AC1EA3">
        <w:rPr>
          <w:i/>
        </w:rPr>
        <w:t>Journal of European Social Policy</w:t>
      </w:r>
      <w:r w:rsidR="00AC1EA3">
        <w:rPr>
          <w:i/>
        </w:rPr>
        <w:t>,</w:t>
      </w:r>
      <w:r w:rsidR="00A502AC">
        <w:rPr>
          <w:i/>
        </w:rPr>
        <w:t xml:space="preserve"> </w:t>
      </w:r>
      <w:r w:rsidR="00161BD5" w:rsidRPr="00161BD5">
        <w:t>Article first published online: February 13, 2018</w:t>
      </w:r>
      <w:r w:rsidR="00AC1EA3">
        <w:t>.</w:t>
      </w:r>
      <w:r w:rsidRPr="00161BD5">
        <w:rPr>
          <w:i/>
          <w:highlight w:val="yellow"/>
        </w:rPr>
        <w:t xml:space="preserve"> </w:t>
      </w:r>
    </w:p>
    <w:p w14:paraId="434A23C2" w14:textId="77777777" w:rsidR="00DE31E3" w:rsidRDefault="00DE31E3" w:rsidP="002650A7">
      <w:pPr>
        <w:widowControl w:val="0"/>
        <w:autoSpaceDE w:val="0"/>
        <w:autoSpaceDN w:val="0"/>
        <w:adjustRightInd w:val="0"/>
        <w:spacing w:line="360" w:lineRule="auto"/>
        <w:rPr>
          <w:i/>
        </w:rPr>
      </w:pPr>
    </w:p>
    <w:p w14:paraId="50DFDA9E" w14:textId="784E237F" w:rsidR="00B6284D" w:rsidRDefault="00756DAD" w:rsidP="00756DAD">
      <w:pPr>
        <w:widowControl w:val="0"/>
        <w:autoSpaceDE w:val="0"/>
        <w:autoSpaceDN w:val="0"/>
        <w:adjustRightInd w:val="0"/>
        <w:spacing w:line="360" w:lineRule="auto"/>
      </w:pPr>
      <w:r>
        <w:t>HMRC (2017)</w:t>
      </w:r>
      <w:r w:rsidR="00AC1EA3">
        <w:t>,’</w:t>
      </w:r>
      <w:r w:rsidRPr="00161BD5">
        <w:rPr>
          <w:i/>
        </w:rPr>
        <w:t>Benefits and Credits Child Benefit, Child Tax Credit and Working Tax Credit Take-up rates 2015-16</w:t>
      </w:r>
      <w:r w:rsidR="00AC1EA3">
        <w:rPr>
          <w:i/>
        </w:rPr>
        <w:t>’</w:t>
      </w:r>
      <w:r>
        <w:t>,</w:t>
      </w:r>
      <w:r w:rsidR="00161BD5" w:rsidRPr="00161BD5">
        <w:t>https://assets.publishing.service.gov.uk/government/uploads/system/uploads/attachment_data/file/666846/Child_Benefit__Child_Tax_Credit_and_Working_Tax_Credit_Take-up_rates_201....pdf</w:t>
      </w:r>
      <w:r w:rsidR="004A6789">
        <w:t xml:space="preserve"> [</w:t>
      </w:r>
      <w:r w:rsidR="004A6789" w:rsidRPr="004A6789">
        <w:t>Accessed 11.9.18</w:t>
      </w:r>
      <w:r w:rsidR="004A6789">
        <w:t>]</w:t>
      </w:r>
    </w:p>
    <w:p w14:paraId="0346926B" w14:textId="77777777" w:rsidR="00161BD5" w:rsidRDefault="00161BD5" w:rsidP="002650A7">
      <w:pPr>
        <w:widowControl w:val="0"/>
        <w:autoSpaceDE w:val="0"/>
        <w:autoSpaceDN w:val="0"/>
        <w:adjustRightInd w:val="0"/>
        <w:spacing w:line="360" w:lineRule="auto"/>
      </w:pPr>
    </w:p>
    <w:p w14:paraId="759CB492" w14:textId="68B4B1C6" w:rsidR="004A6789" w:rsidRDefault="004A6789" w:rsidP="002650A7">
      <w:pPr>
        <w:widowControl w:val="0"/>
        <w:autoSpaceDE w:val="0"/>
        <w:autoSpaceDN w:val="0"/>
        <w:adjustRightInd w:val="0"/>
        <w:spacing w:line="360" w:lineRule="auto"/>
      </w:pPr>
      <w:r w:rsidRPr="004A6789">
        <w:t xml:space="preserve">Lippold, K., Nichols, A. and Sorensen E. (2010), </w:t>
      </w:r>
      <w:r w:rsidR="00CC7BBC">
        <w:t>‘</w:t>
      </w:r>
      <w:r w:rsidRPr="004A6789">
        <w:t xml:space="preserve">Evaluation of the $150 child support pass-through and disregard policy in the </w:t>
      </w:r>
      <w:r>
        <w:t>d</w:t>
      </w:r>
      <w:r w:rsidRPr="004A6789">
        <w:t>istrict of Columbia</w:t>
      </w:r>
      <w:r w:rsidR="00CC7BBC">
        <w:t>’</w:t>
      </w:r>
      <w:r w:rsidRPr="004A6789">
        <w:t xml:space="preserve"> Washington, DC: Urban Institute.</w:t>
      </w:r>
    </w:p>
    <w:p w14:paraId="2A5CA54D" w14:textId="77777777" w:rsidR="004A6789" w:rsidRDefault="004A6789" w:rsidP="002650A7">
      <w:pPr>
        <w:widowControl w:val="0"/>
        <w:autoSpaceDE w:val="0"/>
        <w:autoSpaceDN w:val="0"/>
        <w:adjustRightInd w:val="0"/>
        <w:spacing w:line="360" w:lineRule="auto"/>
      </w:pPr>
    </w:p>
    <w:p w14:paraId="149A79D0" w14:textId="0AF13B9A" w:rsidR="00DE31E3" w:rsidRPr="00FC4C81" w:rsidRDefault="00DE31E3" w:rsidP="002650A7">
      <w:pPr>
        <w:widowControl w:val="0"/>
        <w:autoSpaceDE w:val="0"/>
        <w:autoSpaceDN w:val="0"/>
        <w:adjustRightInd w:val="0"/>
        <w:spacing w:line="360" w:lineRule="auto"/>
        <w:rPr>
          <w:i/>
        </w:rPr>
      </w:pPr>
      <w:r w:rsidRPr="00FC4C81">
        <w:t xml:space="preserve">Meyer, D. and Hu, M., </w:t>
      </w:r>
      <w:r>
        <w:t>(</w:t>
      </w:r>
      <w:r w:rsidRPr="00FC4C81">
        <w:t>1999</w:t>
      </w:r>
      <w:r>
        <w:t>)</w:t>
      </w:r>
      <w:r w:rsidRPr="00FC4C81">
        <w:t xml:space="preserve">, </w:t>
      </w:r>
      <w:r w:rsidR="00CC7BBC">
        <w:t>‘</w:t>
      </w:r>
      <w:r w:rsidRPr="00FC4C81">
        <w:t xml:space="preserve">A note on the antipoverty effectiveness of child support </w:t>
      </w:r>
      <w:r w:rsidRPr="00FC4C81">
        <w:lastRenderedPageBreak/>
        <w:t>among mother-only families</w:t>
      </w:r>
      <w:r w:rsidR="00CC7BBC">
        <w:t>’,</w:t>
      </w:r>
      <w:r>
        <w:rPr>
          <w:i/>
        </w:rPr>
        <w:t xml:space="preserve"> Journal of Human Resources, 34</w:t>
      </w:r>
      <w:r w:rsidR="00CC7BBC">
        <w:rPr>
          <w:i/>
        </w:rPr>
        <w:t>,</w:t>
      </w:r>
      <w:r>
        <w:rPr>
          <w:i/>
        </w:rPr>
        <w:t xml:space="preserve">1, </w:t>
      </w:r>
      <w:r w:rsidRPr="00DE31E3">
        <w:rPr>
          <w:i/>
        </w:rPr>
        <w:t>225–234.</w:t>
      </w:r>
    </w:p>
    <w:p w14:paraId="72880951" w14:textId="77777777" w:rsidR="00E24E9D" w:rsidRDefault="00E24E9D" w:rsidP="002650A7">
      <w:pPr>
        <w:widowControl w:val="0"/>
        <w:autoSpaceDE w:val="0"/>
        <w:autoSpaceDN w:val="0"/>
        <w:adjustRightInd w:val="0"/>
        <w:spacing w:line="360" w:lineRule="auto"/>
      </w:pPr>
    </w:p>
    <w:p w14:paraId="06F3C282" w14:textId="7D0C8E59" w:rsidR="00CE1FBE" w:rsidRDefault="00CE1FBE" w:rsidP="002650A7">
      <w:pPr>
        <w:widowControl w:val="0"/>
        <w:autoSpaceDE w:val="0"/>
        <w:autoSpaceDN w:val="0"/>
        <w:adjustRightInd w:val="0"/>
        <w:spacing w:line="360" w:lineRule="auto"/>
      </w:pPr>
      <w:r>
        <w:t>OECD (</w:t>
      </w:r>
      <w:r w:rsidRPr="00CE1FBE">
        <w:t>2001</w:t>
      </w:r>
      <w:r>
        <w:t>)</w:t>
      </w:r>
      <w:r w:rsidR="00FA267D">
        <w:t xml:space="preserve">, </w:t>
      </w:r>
      <w:r>
        <w:t xml:space="preserve">Glossary of statistical terms, </w:t>
      </w:r>
      <w:hyperlink r:id="rId8" w:history="1">
        <w:r w:rsidRPr="00C973AD">
          <w:rPr>
            <w:rStyle w:val="Hyperlink"/>
          </w:rPr>
          <w:t>https://stats.oecd.org/glossary/detail.asp?ID=2477</w:t>
        </w:r>
      </w:hyperlink>
      <w:r>
        <w:t xml:space="preserve"> [acce</w:t>
      </w:r>
      <w:r w:rsidR="00FA267D">
        <w:t>sed 13.9.2018].</w:t>
      </w:r>
    </w:p>
    <w:p w14:paraId="4B689A49" w14:textId="77777777" w:rsidR="00CE1FBE" w:rsidRDefault="00CE1FBE" w:rsidP="002650A7">
      <w:pPr>
        <w:widowControl w:val="0"/>
        <w:autoSpaceDE w:val="0"/>
        <w:autoSpaceDN w:val="0"/>
        <w:adjustRightInd w:val="0"/>
        <w:spacing w:line="360" w:lineRule="auto"/>
      </w:pPr>
    </w:p>
    <w:p w14:paraId="3F2360D6" w14:textId="713C0E23" w:rsidR="00E24E9D" w:rsidRDefault="00E24E9D" w:rsidP="002650A7">
      <w:pPr>
        <w:widowControl w:val="0"/>
        <w:autoSpaceDE w:val="0"/>
        <w:autoSpaceDN w:val="0"/>
        <w:adjustRightInd w:val="0"/>
        <w:spacing w:line="360" w:lineRule="auto"/>
      </w:pPr>
      <w:r>
        <w:t xml:space="preserve">OECD (2011), </w:t>
      </w:r>
      <w:r w:rsidRPr="00FC4C81">
        <w:rPr>
          <w:i/>
        </w:rPr>
        <w:t>Doing Better for Families</w:t>
      </w:r>
      <w:r>
        <w:t>, Paris:</w:t>
      </w:r>
      <w:r w:rsidR="00FA267D">
        <w:t xml:space="preserve"> </w:t>
      </w:r>
      <w:r>
        <w:t xml:space="preserve">OECD. </w:t>
      </w:r>
    </w:p>
    <w:p w14:paraId="6000AFAC" w14:textId="77777777" w:rsidR="006F586C" w:rsidRDefault="006F586C" w:rsidP="007E70BF">
      <w:pPr>
        <w:widowControl w:val="0"/>
        <w:autoSpaceDE w:val="0"/>
        <w:autoSpaceDN w:val="0"/>
        <w:adjustRightInd w:val="0"/>
        <w:spacing w:line="360" w:lineRule="auto"/>
      </w:pPr>
    </w:p>
    <w:p w14:paraId="0E32E883" w14:textId="61321555" w:rsidR="007E70BF" w:rsidRDefault="007E70BF" w:rsidP="007E70BF">
      <w:pPr>
        <w:widowControl w:val="0"/>
        <w:autoSpaceDE w:val="0"/>
        <w:autoSpaceDN w:val="0"/>
        <w:adjustRightInd w:val="0"/>
        <w:spacing w:line="360" w:lineRule="auto"/>
      </w:pPr>
      <w:r>
        <w:t xml:space="preserve">Skinner, C., Bradshaw, J. and Davidson, J., (2007), </w:t>
      </w:r>
      <w:r w:rsidR="00CC7BBC">
        <w:t>‘</w:t>
      </w:r>
      <w:r w:rsidRPr="00FC4C81">
        <w:rPr>
          <w:i/>
        </w:rPr>
        <w:t>Child support policy: An international perspective</w:t>
      </w:r>
      <w:r w:rsidR="00CC7BBC">
        <w:rPr>
          <w:i/>
        </w:rPr>
        <w:t>’</w:t>
      </w:r>
      <w:r w:rsidRPr="00FC4C81">
        <w:rPr>
          <w:i/>
        </w:rPr>
        <w:t xml:space="preserve">. </w:t>
      </w:r>
      <w:r>
        <w:t>DWP Research Report No. 405, Leeds: Corporate Document Services.</w:t>
      </w:r>
    </w:p>
    <w:p w14:paraId="520EAE73" w14:textId="77777777" w:rsidR="007E70BF" w:rsidRDefault="007E70BF" w:rsidP="007E70BF">
      <w:pPr>
        <w:widowControl w:val="0"/>
        <w:autoSpaceDE w:val="0"/>
        <w:autoSpaceDN w:val="0"/>
        <w:adjustRightInd w:val="0"/>
        <w:spacing w:line="360" w:lineRule="auto"/>
      </w:pPr>
    </w:p>
    <w:p w14:paraId="184748D9" w14:textId="524CB8BC" w:rsidR="007E70BF" w:rsidRPr="00FC4C81" w:rsidRDefault="007E70BF" w:rsidP="007E70BF">
      <w:pPr>
        <w:widowControl w:val="0"/>
        <w:autoSpaceDE w:val="0"/>
        <w:autoSpaceDN w:val="0"/>
        <w:adjustRightInd w:val="0"/>
        <w:spacing w:line="360" w:lineRule="auto"/>
        <w:rPr>
          <w:i/>
        </w:rPr>
      </w:pPr>
      <w:r>
        <w:t>Skinner, C. and Davidson, J. (200</w:t>
      </w:r>
      <w:r w:rsidR="00482213">
        <w:t>9</w:t>
      </w:r>
      <w:r>
        <w:t>)</w:t>
      </w:r>
      <w:r w:rsidR="00CC7BBC">
        <w:t>,</w:t>
      </w:r>
      <w:r>
        <w:t xml:space="preserve"> </w:t>
      </w:r>
      <w:r w:rsidR="00CC7BBC">
        <w:t>‘</w:t>
      </w:r>
      <w:r>
        <w:t>Recent trends in child maintenance schemes in 14 countries</w:t>
      </w:r>
      <w:r w:rsidR="00CC7BBC">
        <w:t>’</w:t>
      </w:r>
      <w:r>
        <w:t xml:space="preserve"> </w:t>
      </w:r>
      <w:r w:rsidRPr="00FC4C81">
        <w:rPr>
          <w:i/>
        </w:rPr>
        <w:t>International Journal of Law, Policy and the Family, 23</w:t>
      </w:r>
      <w:r w:rsidR="00CC7BBC">
        <w:rPr>
          <w:i/>
        </w:rPr>
        <w:t>,</w:t>
      </w:r>
      <w:r w:rsidRPr="00FC4C81">
        <w:rPr>
          <w:i/>
        </w:rPr>
        <w:t xml:space="preserve">1, 25–52. </w:t>
      </w:r>
    </w:p>
    <w:p w14:paraId="66F3C413" w14:textId="77777777" w:rsidR="007E70BF" w:rsidRDefault="007E70BF" w:rsidP="007E70BF">
      <w:pPr>
        <w:widowControl w:val="0"/>
        <w:autoSpaceDE w:val="0"/>
        <w:autoSpaceDN w:val="0"/>
        <w:adjustRightInd w:val="0"/>
        <w:spacing w:line="360" w:lineRule="auto"/>
        <w:rPr>
          <w:i/>
        </w:rPr>
      </w:pPr>
    </w:p>
    <w:p w14:paraId="35C3F8B3" w14:textId="6457D392" w:rsidR="00A45B82" w:rsidRPr="00FC4C81" w:rsidRDefault="00A45B82" w:rsidP="007E70BF">
      <w:pPr>
        <w:widowControl w:val="0"/>
        <w:autoSpaceDE w:val="0"/>
        <w:autoSpaceDN w:val="0"/>
        <w:adjustRightInd w:val="0"/>
        <w:spacing w:line="360" w:lineRule="auto"/>
      </w:pPr>
      <w:r w:rsidRPr="00FC4C81">
        <w:t>Skinner, C., Hakovirta, M.</w:t>
      </w:r>
      <w:r>
        <w:t xml:space="preserve"> and</w:t>
      </w:r>
      <w:r w:rsidRPr="00FC4C81">
        <w:t xml:space="preserve"> Davidson J. (2012)</w:t>
      </w:r>
      <w:r>
        <w:t>,</w:t>
      </w:r>
      <w:r w:rsidRPr="00FC4C81">
        <w:t xml:space="preserve"> </w:t>
      </w:r>
      <w:r w:rsidR="00CC7BBC">
        <w:t>‘</w:t>
      </w:r>
      <w:r w:rsidRPr="00FC4C81">
        <w:t>A comparative analysis of child maintenance schemes in five countries</w:t>
      </w:r>
      <w:r w:rsidR="00CC7BBC">
        <w:t>’</w:t>
      </w:r>
      <w:r w:rsidRPr="00FC4C81">
        <w:t xml:space="preserve">, </w:t>
      </w:r>
      <w:r w:rsidRPr="00FC4C81">
        <w:rPr>
          <w:i/>
        </w:rPr>
        <w:t>European Journal of Social Security, 14</w:t>
      </w:r>
      <w:r w:rsidR="00CC7BBC">
        <w:rPr>
          <w:i/>
        </w:rPr>
        <w:t>,</w:t>
      </w:r>
      <w:r w:rsidRPr="00FC4C81">
        <w:rPr>
          <w:i/>
        </w:rPr>
        <w:t>4, 330-348.</w:t>
      </w:r>
    </w:p>
    <w:p w14:paraId="2B109229" w14:textId="77777777" w:rsidR="00A45B82" w:rsidRDefault="00A45B82" w:rsidP="007E70BF">
      <w:pPr>
        <w:widowControl w:val="0"/>
        <w:autoSpaceDE w:val="0"/>
        <w:autoSpaceDN w:val="0"/>
        <w:adjustRightInd w:val="0"/>
        <w:spacing w:line="360" w:lineRule="auto"/>
        <w:rPr>
          <w:i/>
        </w:rPr>
      </w:pPr>
    </w:p>
    <w:p w14:paraId="5283C249" w14:textId="185C68A0" w:rsidR="007E70BF" w:rsidRDefault="007E70BF" w:rsidP="007E70BF">
      <w:pPr>
        <w:widowControl w:val="0"/>
        <w:autoSpaceDE w:val="0"/>
        <w:autoSpaceDN w:val="0"/>
        <w:adjustRightInd w:val="0"/>
        <w:spacing w:line="360" w:lineRule="auto"/>
        <w:rPr>
          <w:i/>
        </w:rPr>
      </w:pPr>
      <w:r w:rsidRPr="00FC4C81">
        <w:t>Skinner, C. and Main, G. (</w:t>
      </w:r>
      <w:r>
        <w:t xml:space="preserve">2013), </w:t>
      </w:r>
      <w:r w:rsidR="00CC7BBC">
        <w:t>‘</w:t>
      </w:r>
      <w:r w:rsidRPr="00FC4C81">
        <w:t xml:space="preserve">The contribution of child maintenance payments to the income packages of lone mothers'. </w:t>
      </w:r>
      <w:r w:rsidRPr="00FC4C81">
        <w:rPr>
          <w:i/>
        </w:rPr>
        <w:t>Journal of Poverty and Social Justice, 21</w:t>
      </w:r>
      <w:r w:rsidR="00CC7BBC">
        <w:rPr>
          <w:i/>
        </w:rPr>
        <w:t>,</w:t>
      </w:r>
      <w:r w:rsidRPr="00FC4C81">
        <w:rPr>
          <w:i/>
        </w:rPr>
        <w:t>1, 47-60.</w:t>
      </w:r>
    </w:p>
    <w:p w14:paraId="37999368" w14:textId="77777777" w:rsidR="001E45EE" w:rsidRDefault="001E45EE" w:rsidP="007E70BF">
      <w:pPr>
        <w:widowControl w:val="0"/>
        <w:autoSpaceDE w:val="0"/>
        <w:autoSpaceDN w:val="0"/>
        <w:adjustRightInd w:val="0"/>
        <w:spacing w:line="360" w:lineRule="auto"/>
        <w:rPr>
          <w:i/>
        </w:rPr>
      </w:pPr>
    </w:p>
    <w:p w14:paraId="19B8C803" w14:textId="48F0BD74" w:rsidR="001E45EE" w:rsidRPr="001E45EE" w:rsidRDefault="001E45EE" w:rsidP="001E45EE">
      <w:pPr>
        <w:widowControl w:val="0"/>
        <w:autoSpaceDE w:val="0"/>
        <w:autoSpaceDN w:val="0"/>
        <w:adjustRightInd w:val="0"/>
        <w:spacing w:line="360" w:lineRule="auto"/>
      </w:pPr>
      <w:r w:rsidRPr="001E45EE">
        <w:t>Skinner, C. and Meyer, D.R. (2006) ‘After All the Policy Reform,  Is  Child  Support  Actually  Helping  Low- Income Mothers?’</w:t>
      </w:r>
      <w:r>
        <w:rPr>
          <w:i/>
        </w:rPr>
        <w:t xml:space="preserve"> </w:t>
      </w:r>
      <w:r w:rsidRPr="001E45EE">
        <w:rPr>
          <w:i/>
        </w:rPr>
        <w:t>Benefits</w:t>
      </w:r>
      <w:r>
        <w:rPr>
          <w:i/>
        </w:rPr>
        <w:t xml:space="preserve"> </w:t>
      </w:r>
      <w:r w:rsidRPr="001E45EE">
        <w:t>14,</w:t>
      </w:r>
      <w:r>
        <w:t xml:space="preserve"> </w:t>
      </w:r>
      <w:r w:rsidRPr="001E45EE">
        <w:t>3, 209–222.</w:t>
      </w:r>
    </w:p>
    <w:p w14:paraId="5845C22B" w14:textId="77777777" w:rsidR="007E70BF" w:rsidRDefault="007E70BF" w:rsidP="007E70BF">
      <w:pPr>
        <w:widowControl w:val="0"/>
        <w:autoSpaceDE w:val="0"/>
        <w:autoSpaceDN w:val="0"/>
        <w:adjustRightInd w:val="0"/>
        <w:spacing w:line="360" w:lineRule="auto"/>
      </w:pPr>
    </w:p>
    <w:p w14:paraId="4DC25833" w14:textId="5B40BDB1" w:rsidR="007E70BF" w:rsidRPr="00FC4C81" w:rsidRDefault="006F586C" w:rsidP="007E70BF">
      <w:pPr>
        <w:widowControl w:val="0"/>
        <w:autoSpaceDE w:val="0"/>
        <w:autoSpaceDN w:val="0"/>
        <w:adjustRightInd w:val="0"/>
        <w:spacing w:line="360" w:lineRule="auto"/>
        <w:rPr>
          <w:i/>
        </w:rPr>
      </w:pPr>
      <w:r>
        <w:t>Skinner C., Cook K. and</w:t>
      </w:r>
      <w:r w:rsidR="007E70BF" w:rsidRPr="007E70BF">
        <w:t xml:space="preserve"> Sinclair S. </w:t>
      </w:r>
      <w:r w:rsidR="007E70BF">
        <w:t>(2017</w:t>
      </w:r>
      <w:r w:rsidR="00A45B82">
        <w:t>a</w:t>
      </w:r>
      <w:r w:rsidR="007E70BF">
        <w:t xml:space="preserve">), </w:t>
      </w:r>
      <w:r w:rsidR="00CC7BBC">
        <w:t>‘</w:t>
      </w:r>
      <w:r w:rsidR="007E70BF" w:rsidRPr="007E70BF">
        <w:t xml:space="preserve">The potential of child support to reduce lone </w:t>
      </w:r>
      <w:r w:rsidR="007E70BF" w:rsidRPr="007E70BF">
        <w:lastRenderedPageBreak/>
        <w:t>mother poverty: comparing population surv</w:t>
      </w:r>
      <w:r w:rsidR="007E70BF">
        <w:t>ey data in Australia and the UK</w:t>
      </w:r>
      <w:r w:rsidR="00CC7BBC">
        <w:t>’,</w:t>
      </w:r>
      <w:r w:rsidR="007E70BF" w:rsidRPr="00FC4C81">
        <w:t xml:space="preserve"> </w:t>
      </w:r>
      <w:r w:rsidR="007E70BF" w:rsidRPr="00FC4C81">
        <w:rPr>
          <w:i/>
        </w:rPr>
        <w:t xml:space="preserve">Journal of Poverty and Social Justice, </w:t>
      </w:r>
      <w:r w:rsidR="00A45B82" w:rsidRPr="00FC4C81">
        <w:rPr>
          <w:i/>
        </w:rPr>
        <w:t>25</w:t>
      </w:r>
      <w:r w:rsidR="00CC7BBC">
        <w:rPr>
          <w:i/>
        </w:rPr>
        <w:t>,</w:t>
      </w:r>
      <w:r w:rsidR="00A45B82" w:rsidRPr="00FC4C81">
        <w:rPr>
          <w:i/>
        </w:rPr>
        <w:t xml:space="preserve">1, 79-94. </w:t>
      </w:r>
    </w:p>
    <w:p w14:paraId="1A5139B7" w14:textId="77777777" w:rsidR="00A45B82" w:rsidRPr="00FC4C81" w:rsidRDefault="00A45B82" w:rsidP="007E70BF">
      <w:pPr>
        <w:widowControl w:val="0"/>
        <w:autoSpaceDE w:val="0"/>
        <w:autoSpaceDN w:val="0"/>
        <w:adjustRightInd w:val="0"/>
        <w:spacing w:line="360" w:lineRule="auto"/>
      </w:pPr>
    </w:p>
    <w:p w14:paraId="75146EC4" w14:textId="118E289D" w:rsidR="007F0746" w:rsidRPr="007F0746" w:rsidRDefault="007E70BF" w:rsidP="007E70BF">
      <w:pPr>
        <w:widowControl w:val="0"/>
        <w:autoSpaceDE w:val="0"/>
        <w:autoSpaceDN w:val="0"/>
        <w:adjustRightInd w:val="0"/>
        <w:spacing w:line="360" w:lineRule="auto"/>
      </w:pPr>
      <w:r>
        <w:t xml:space="preserve">Skinner, C., Meyer, D., Cook, K. and Fletcher, M., (2017b), </w:t>
      </w:r>
      <w:r w:rsidR="00CC7BBC">
        <w:t>‘</w:t>
      </w:r>
      <w:r>
        <w:t>Child maintenance and social security interactions: the poverty reduction effects in model lone parent families across four countries</w:t>
      </w:r>
      <w:r w:rsidR="00CC7BBC">
        <w:t>’,</w:t>
      </w:r>
      <w:r>
        <w:t xml:space="preserve">  </w:t>
      </w:r>
      <w:r w:rsidRPr="00FC4C81">
        <w:rPr>
          <w:i/>
        </w:rPr>
        <w:t>Jou</w:t>
      </w:r>
      <w:r w:rsidR="00A45B82">
        <w:rPr>
          <w:i/>
        </w:rPr>
        <w:t>r</w:t>
      </w:r>
      <w:r w:rsidRPr="00FC4C81">
        <w:rPr>
          <w:i/>
        </w:rPr>
        <w:t>nal of Social Policy, 46</w:t>
      </w:r>
      <w:r w:rsidR="00CC7BBC">
        <w:rPr>
          <w:i/>
        </w:rPr>
        <w:t>,</w:t>
      </w:r>
      <w:r w:rsidRPr="00FC4C81">
        <w:rPr>
          <w:i/>
        </w:rPr>
        <w:t xml:space="preserve">3, 495-516. </w:t>
      </w:r>
    </w:p>
    <w:p w14:paraId="195743FA" w14:textId="77777777" w:rsidR="007E70BF" w:rsidRDefault="007E70BF" w:rsidP="007E70BF">
      <w:pPr>
        <w:widowControl w:val="0"/>
        <w:autoSpaceDE w:val="0"/>
        <w:autoSpaceDN w:val="0"/>
        <w:adjustRightInd w:val="0"/>
        <w:spacing w:line="360" w:lineRule="auto"/>
      </w:pPr>
    </w:p>
    <w:p w14:paraId="2E56D449" w14:textId="078FF520" w:rsidR="007E70BF" w:rsidRPr="00FC4C81" w:rsidRDefault="007E70BF" w:rsidP="007E70BF">
      <w:pPr>
        <w:widowControl w:val="0"/>
        <w:autoSpaceDE w:val="0"/>
        <w:autoSpaceDN w:val="0"/>
        <w:adjustRightInd w:val="0"/>
        <w:spacing w:line="360" w:lineRule="auto"/>
        <w:rPr>
          <w:i/>
        </w:rPr>
      </w:pPr>
      <w:r>
        <w:t xml:space="preserve">Sorensen, E. and Hill, A. (2004), </w:t>
      </w:r>
      <w:r w:rsidR="00CC7BBC">
        <w:t>‘</w:t>
      </w:r>
      <w:r>
        <w:t>Single mothers and their child support receipt: How well is child support doing?</w:t>
      </w:r>
      <w:r w:rsidR="00CC7BBC">
        <w:t>’</w:t>
      </w:r>
      <w:r>
        <w:t xml:space="preserve"> </w:t>
      </w:r>
      <w:r w:rsidRPr="00FC4C81">
        <w:rPr>
          <w:i/>
        </w:rPr>
        <w:t>Journal of H</w:t>
      </w:r>
      <w:r w:rsidR="00A45B82" w:rsidRPr="00FC4C81">
        <w:rPr>
          <w:i/>
        </w:rPr>
        <w:t>uman Resources 39</w:t>
      </w:r>
      <w:r w:rsidR="00CC7BBC">
        <w:rPr>
          <w:i/>
        </w:rPr>
        <w:t>,</w:t>
      </w:r>
      <w:r w:rsidR="00A45B82" w:rsidRPr="00FC4C81">
        <w:rPr>
          <w:i/>
        </w:rPr>
        <w:t xml:space="preserve">1, </w:t>
      </w:r>
      <w:r w:rsidRPr="00FC4C81">
        <w:rPr>
          <w:i/>
        </w:rPr>
        <w:t>135-154</w:t>
      </w:r>
      <w:r w:rsidR="00A45B82" w:rsidRPr="00FC4C81">
        <w:rPr>
          <w:i/>
        </w:rPr>
        <w:t>.</w:t>
      </w:r>
    </w:p>
    <w:p w14:paraId="31F639DD" w14:textId="48425806" w:rsidR="00D018EF" w:rsidRDefault="00D018EF" w:rsidP="00712393">
      <w:pPr>
        <w:spacing w:after="200" w:line="276" w:lineRule="auto"/>
      </w:pPr>
    </w:p>
    <w:p w14:paraId="480F43F0" w14:textId="77777777" w:rsidR="00FA34EA" w:rsidRDefault="00FA34EA">
      <w:pPr>
        <w:spacing w:after="200" w:line="276" w:lineRule="auto"/>
        <w:rPr>
          <w:lang w:val="en-US"/>
        </w:rPr>
      </w:pPr>
      <w:r>
        <w:rPr>
          <w:lang w:val="en-US"/>
        </w:rPr>
        <w:br w:type="page"/>
      </w:r>
    </w:p>
    <w:p w14:paraId="23D751A9" w14:textId="6E8A3B3B" w:rsidR="00FA34EA" w:rsidRPr="00547A9D" w:rsidRDefault="00FA34EA" w:rsidP="00FA34EA">
      <w:pPr>
        <w:spacing w:line="360" w:lineRule="auto"/>
        <w:rPr>
          <w:lang w:val="en-US"/>
        </w:rPr>
      </w:pPr>
      <w:r w:rsidRPr="00547A9D">
        <w:rPr>
          <w:lang w:val="en-US"/>
        </w:rPr>
        <w:lastRenderedPageBreak/>
        <w:t>Table 1. Social assistance scheme</w:t>
      </w:r>
      <w:r>
        <w:rPr>
          <w:lang w:val="en-US"/>
        </w:rPr>
        <w:t>s</w:t>
      </w:r>
      <w:r w:rsidRPr="00547A9D">
        <w:rPr>
          <w:lang w:val="en-US"/>
        </w:rPr>
        <w:t xml:space="preserve"> for lone parent</w:t>
      </w:r>
      <w:r>
        <w:rPr>
          <w:lang w:val="en-US"/>
        </w:rPr>
        <w:t xml:space="preserve"> families </w:t>
      </w:r>
      <w:r w:rsidRPr="00547A9D">
        <w:rPr>
          <w:lang w:val="en-US"/>
        </w:rPr>
        <w:t xml:space="preserve">and </w:t>
      </w:r>
      <w:r>
        <w:rPr>
          <w:lang w:val="en-US"/>
        </w:rPr>
        <w:t>operational mechanisms for state recovery of child maintenance payments</w:t>
      </w:r>
      <w:r w:rsidRPr="00547A9D">
        <w:rPr>
          <w:lang w:val="en-US"/>
        </w:rPr>
        <w:t xml:space="preserve"> </w:t>
      </w:r>
      <w:r w:rsidRPr="00D30772">
        <w:rPr>
          <w:lang w:val="en-US"/>
        </w:rPr>
        <w:t>in 2013.</w:t>
      </w:r>
    </w:p>
    <w:tbl>
      <w:tblPr>
        <w:tblStyle w:val="TableGrid"/>
        <w:tblW w:w="0" w:type="auto"/>
        <w:tblInd w:w="108" w:type="dxa"/>
        <w:tblLook w:val="04A0" w:firstRow="1" w:lastRow="0" w:firstColumn="1" w:lastColumn="0" w:noHBand="0" w:noVBand="1"/>
      </w:tblPr>
      <w:tblGrid>
        <w:gridCol w:w="1109"/>
        <w:gridCol w:w="3859"/>
        <w:gridCol w:w="1777"/>
        <w:gridCol w:w="1899"/>
      </w:tblGrid>
      <w:tr w:rsidR="00FA34EA" w:rsidRPr="00D3629C" w14:paraId="599EC8DE" w14:textId="77777777" w:rsidTr="008C535D">
        <w:tc>
          <w:tcPr>
            <w:tcW w:w="1027" w:type="dxa"/>
          </w:tcPr>
          <w:p w14:paraId="1664954B" w14:textId="77777777" w:rsidR="00FA34EA" w:rsidRPr="00D3629C" w:rsidRDefault="00FA34EA" w:rsidP="008C535D">
            <w:pPr>
              <w:tabs>
                <w:tab w:val="center" w:pos="4819"/>
                <w:tab w:val="right" w:pos="9638"/>
              </w:tabs>
              <w:rPr>
                <w:sz w:val="22"/>
                <w:szCs w:val="22"/>
                <w:lang w:val="en-US"/>
              </w:rPr>
            </w:pPr>
          </w:p>
        </w:tc>
        <w:tc>
          <w:tcPr>
            <w:tcW w:w="3859" w:type="dxa"/>
          </w:tcPr>
          <w:p w14:paraId="2BC01582" w14:textId="77777777" w:rsidR="00FA34EA" w:rsidRPr="00D3629C" w:rsidRDefault="00FA34EA" w:rsidP="008C535D">
            <w:pPr>
              <w:keepNext/>
              <w:keepLines/>
              <w:spacing w:before="200"/>
              <w:outlineLvl w:val="8"/>
              <w:rPr>
                <w:sz w:val="22"/>
                <w:szCs w:val="22"/>
                <w:lang w:val="en-US"/>
              </w:rPr>
            </w:pPr>
            <w:r w:rsidRPr="00D3629C">
              <w:rPr>
                <w:sz w:val="22"/>
                <w:szCs w:val="22"/>
                <w:lang w:val="en-US"/>
              </w:rPr>
              <w:t>Means-tested social assistance  schemes for lone parents</w:t>
            </w:r>
          </w:p>
        </w:tc>
        <w:tc>
          <w:tcPr>
            <w:tcW w:w="1777" w:type="dxa"/>
          </w:tcPr>
          <w:p w14:paraId="0305E15A" w14:textId="77777777" w:rsidR="00FA34EA" w:rsidRPr="00D3629C" w:rsidRDefault="00FA34EA" w:rsidP="008C535D">
            <w:pPr>
              <w:rPr>
                <w:sz w:val="22"/>
                <w:szCs w:val="22"/>
              </w:rPr>
            </w:pPr>
          </w:p>
          <w:p w14:paraId="13A2EF9C" w14:textId="77777777" w:rsidR="00FA34EA" w:rsidRPr="00D3629C" w:rsidRDefault="00FA34EA" w:rsidP="008C535D">
            <w:pPr>
              <w:rPr>
                <w:sz w:val="22"/>
                <w:szCs w:val="22"/>
              </w:rPr>
            </w:pPr>
            <w:r w:rsidRPr="00D3629C">
              <w:rPr>
                <w:sz w:val="22"/>
                <w:szCs w:val="22"/>
              </w:rPr>
              <w:t>Pass-Through</w:t>
            </w:r>
          </w:p>
        </w:tc>
        <w:tc>
          <w:tcPr>
            <w:tcW w:w="1899" w:type="dxa"/>
          </w:tcPr>
          <w:p w14:paraId="6CCEEE74" w14:textId="77777777" w:rsidR="00FA34EA" w:rsidRPr="00D3629C" w:rsidRDefault="00FA34EA" w:rsidP="008C535D">
            <w:pPr>
              <w:rPr>
                <w:sz w:val="22"/>
                <w:szCs w:val="22"/>
              </w:rPr>
            </w:pPr>
            <w:r w:rsidRPr="00D3629C">
              <w:rPr>
                <w:sz w:val="22"/>
                <w:szCs w:val="22"/>
              </w:rPr>
              <w:t>Child Maintenance Disregard</w:t>
            </w:r>
          </w:p>
        </w:tc>
      </w:tr>
      <w:tr w:rsidR="00FA34EA" w:rsidRPr="00D3629C" w14:paraId="39BB39E7" w14:textId="77777777" w:rsidTr="008C535D">
        <w:trPr>
          <w:trHeight w:val="636"/>
        </w:trPr>
        <w:tc>
          <w:tcPr>
            <w:tcW w:w="1027" w:type="dxa"/>
          </w:tcPr>
          <w:p w14:paraId="3B8CE476" w14:textId="77777777" w:rsidR="00FA34EA" w:rsidRPr="00D3629C" w:rsidRDefault="00FA34EA" w:rsidP="008C535D">
            <w:pPr>
              <w:rPr>
                <w:b/>
                <w:sz w:val="22"/>
                <w:szCs w:val="22"/>
              </w:rPr>
            </w:pPr>
            <w:r w:rsidRPr="00D3629C">
              <w:rPr>
                <w:b/>
                <w:sz w:val="22"/>
                <w:szCs w:val="22"/>
              </w:rPr>
              <w:t>Australia</w:t>
            </w:r>
          </w:p>
        </w:tc>
        <w:tc>
          <w:tcPr>
            <w:tcW w:w="3859" w:type="dxa"/>
          </w:tcPr>
          <w:p w14:paraId="2725475A" w14:textId="77777777" w:rsidR="00FA34EA" w:rsidRPr="00D3629C" w:rsidRDefault="00FA34EA" w:rsidP="00FA34EA">
            <w:pPr>
              <w:pStyle w:val="ListParagraph"/>
              <w:numPr>
                <w:ilvl w:val="0"/>
                <w:numId w:val="5"/>
              </w:numPr>
              <w:rPr>
                <w:rFonts w:ascii="Times New Roman" w:hAnsi="Times New Roman" w:cs="Times New Roman"/>
              </w:rPr>
            </w:pPr>
            <w:r w:rsidRPr="00D3629C">
              <w:rPr>
                <w:rFonts w:ascii="Times New Roman" w:hAnsi="Times New Roman" w:cs="Times New Roman"/>
              </w:rPr>
              <w:t xml:space="preserve">General social assistance </w:t>
            </w:r>
          </w:p>
          <w:p w14:paraId="5C2F2248" w14:textId="77777777" w:rsidR="00FA34EA" w:rsidRPr="00D3629C" w:rsidRDefault="00FA34EA" w:rsidP="00FA34EA">
            <w:pPr>
              <w:pStyle w:val="ListParagraph"/>
              <w:numPr>
                <w:ilvl w:val="0"/>
                <w:numId w:val="5"/>
              </w:numPr>
              <w:rPr>
                <w:rFonts w:ascii="Times New Roman" w:hAnsi="Times New Roman" w:cs="Times New Roman"/>
              </w:rPr>
            </w:pPr>
            <w:r w:rsidRPr="00D3629C">
              <w:rPr>
                <w:rFonts w:ascii="Times New Roman" w:hAnsi="Times New Roman" w:cs="Times New Roman"/>
              </w:rPr>
              <w:t>Child care tax rebate</w:t>
            </w:r>
          </w:p>
          <w:p w14:paraId="17431527" w14:textId="77777777" w:rsidR="00FA34EA" w:rsidRPr="00D3629C" w:rsidRDefault="00FA34EA" w:rsidP="00FA34EA">
            <w:pPr>
              <w:pStyle w:val="ListParagraph"/>
              <w:numPr>
                <w:ilvl w:val="0"/>
                <w:numId w:val="5"/>
              </w:numPr>
              <w:rPr>
                <w:rFonts w:ascii="Times New Roman" w:hAnsi="Times New Roman" w:cs="Times New Roman"/>
              </w:rPr>
            </w:pPr>
            <w:r w:rsidRPr="00D3629C">
              <w:rPr>
                <w:rFonts w:ascii="Times New Roman" w:hAnsi="Times New Roman" w:cs="Times New Roman"/>
              </w:rPr>
              <w:t>Parenting payment</w:t>
            </w:r>
          </w:p>
          <w:p w14:paraId="038F295A" w14:textId="77777777" w:rsidR="00FA34EA" w:rsidRPr="00D3629C" w:rsidRDefault="00FA34EA" w:rsidP="008C535D">
            <w:pPr>
              <w:rPr>
                <w:sz w:val="22"/>
                <w:szCs w:val="22"/>
              </w:rPr>
            </w:pPr>
          </w:p>
        </w:tc>
        <w:tc>
          <w:tcPr>
            <w:tcW w:w="1777" w:type="dxa"/>
          </w:tcPr>
          <w:p w14:paraId="26320D4E" w14:textId="77777777" w:rsidR="00FA34EA" w:rsidRPr="00D3629C" w:rsidRDefault="00FA34EA" w:rsidP="008C535D">
            <w:pPr>
              <w:rPr>
                <w:sz w:val="22"/>
                <w:szCs w:val="22"/>
              </w:rPr>
            </w:pPr>
            <w:r w:rsidRPr="00D3629C">
              <w:rPr>
                <w:sz w:val="22"/>
                <w:szCs w:val="22"/>
              </w:rPr>
              <w:t>Full pass-through</w:t>
            </w:r>
          </w:p>
        </w:tc>
        <w:tc>
          <w:tcPr>
            <w:tcW w:w="1899" w:type="dxa"/>
          </w:tcPr>
          <w:p w14:paraId="6935383C" w14:textId="77777777" w:rsidR="00FA34EA" w:rsidRPr="00D3629C" w:rsidRDefault="00FA34EA" w:rsidP="008C535D">
            <w:pPr>
              <w:rPr>
                <w:sz w:val="22"/>
                <w:szCs w:val="22"/>
              </w:rPr>
            </w:pPr>
            <w:r w:rsidRPr="00D3629C">
              <w:rPr>
                <w:sz w:val="22"/>
                <w:szCs w:val="22"/>
              </w:rPr>
              <w:t>Yes, partial disregard</w:t>
            </w:r>
          </w:p>
        </w:tc>
      </w:tr>
      <w:tr w:rsidR="00FA34EA" w:rsidRPr="00D3629C" w14:paraId="6798F452" w14:textId="77777777" w:rsidTr="008C535D">
        <w:tc>
          <w:tcPr>
            <w:tcW w:w="1027" w:type="dxa"/>
          </w:tcPr>
          <w:p w14:paraId="5EA9202B" w14:textId="77777777" w:rsidR="00FA34EA" w:rsidRPr="00D3629C" w:rsidRDefault="00FA34EA" w:rsidP="008C535D">
            <w:pPr>
              <w:rPr>
                <w:b/>
                <w:sz w:val="22"/>
                <w:szCs w:val="22"/>
              </w:rPr>
            </w:pPr>
            <w:r w:rsidRPr="00D3629C">
              <w:rPr>
                <w:b/>
                <w:sz w:val="22"/>
                <w:szCs w:val="22"/>
              </w:rPr>
              <w:t>Finland</w:t>
            </w:r>
          </w:p>
        </w:tc>
        <w:tc>
          <w:tcPr>
            <w:tcW w:w="3859" w:type="dxa"/>
          </w:tcPr>
          <w:p w14:paraId="1943F5E1" w14:textId="77777777" w:rsidR="00FA34EA" w:rsidRPr="00D3629C" w:rsidRDefault="00FA34EA" w:rsidP="00FA34EA">
            <w:pPr>
              <w:pStyle w:val="ListParagraph"/>
              <w:numPr>
                <w:ilvl w:val="0"/>
                <w:numId w:val="6"/>
              </w:numPr>
              <w:rPr>
                <w:rFonts w:ascii="Times New Roman" w:hAnsi="Times New Roman" w:cs="Times New Roman"/>
              </w:rPr>
            </w:pPr>
            <w:r w:rsidRPr="00D3629C">
              <w:rPr>
                <w:rFonts w:ascii="Times New Roman" w:hAnsi="Times New Roman" w:cs="Times New Roman"/>
              </w:rPr>
              <w:t>Social assistance (=toimeentulotuki)</w:t>
            </w:r>
          </w:p>
          <w:p w14:paraId="5F3C6D90" w14:textId="77777777" w:rsidR="00FA34EA" w:rsidRPr="00D3629C" w:rsidRDefault="00FA34EA" w:rsidP="008C535D">
            <w:pPr>
              <w:rPr>
                <w:color w:val="000000"/>
                <w:sz w:val="22"/>
                <w:szCs w:val="22"/>
              </w:rPr>
            </w:pPr>
          </w:p>
        </w:tc>
        <w:tc>
          <w:tcPr>
            <w:tcW w:w="1777" w:type="dxa"/>
          </w:tcPr>
          <w:p w14:paraId="2C440953" w14:textId="77777777" w:rsidR="00FA34EA" w:rsidRPr="00D3629C" w:rsidRDefault="00FA34EA" w:rsidP="008C535D">
            <w:pPr>
              <w:rPr>
                <w:sz w:val="22"/>
                <w:szCs w:val="22"/>
              </w:rPr>
            </w:pPr>
            <w:r w:rsidRPr="00D3629C">
              <w:rPr>
                <w:sz w:val="22"/>
                <w:szCs w:val="22"/>
              </w:rPr>
              <w:t>Full pass-through</w:t>
            </w:r>
          </w:p>
        </w:tc>
        <w:tc>
          <w:tcPr>
            <w:tcW w:w="1899" w:type="dxa"/>
          </w:tcPr>
          <w:p w14:paraId="49269117" w14:textId="77777777" w:rsidR="00FA34EA" w:rsidRPr="00D3629C" w:rsidRDefault="00FA34EA" w:rsidP="008C535D">
            <w:pPr>
              <w:rPr>
                <w:sz w:val="22"/>
                <w:szCs w:val="22"/>
              </w:rPr>
            </w:pPr>
            <w:r w:rsidRPr="00D3629C">
              <w:rPr>
                <w:sz w:val="22"/>
                <w:szCs w:val="22"/>
              </w:rPr>
              <w:t>No</w:t>
            </w:r>
          </w:p>
        </w:tc>
      </w:tr>
      <w:tr w:rsidR="00FA34EA" w:rsidRPr="00D3629C" w14:paraId="1A682FF9" w14:textId="77777777" w:rsidTr="008C535D">
        <w:tc>
          <w:tcPr>
            <w:tcW w:w="1027" w:type="dxa"/>
          </w:tcPr>
          <w:p w14:paraId="71E1ED3D" w14:textId="77777777" w:rsidR="00FA34EA" w:rsidRPr="00D3629C" w:rsidRDefault="00FA34EA" w:rsidP="008C535D">
            <w:pPr>
              <w:rPr>
                <w:b/>
                <w:sz w:val="22"/>
                <w:szCs w:val="22"/>
              </w:rPr>
            </w:pPr>
            <w:r w:rsidRPr="00D3629C">
              <w:rPr>
                <w:b/>
                <w:sz w:val="22"/>
                <w:szCs w:val="22"/>
              </w:rPr>
              <w:t>Germany</w:t>
            </w:r>
          </w:p>
        </w:tc>
        <w:tc>
          <w:tcPr>
            <w:tcW w:w="3859" w:type="dxa"/>
          </w:tcPr>
          <w:p w14:paraId="03573C3E" w14:textId="77777777" w:rsidR="00FA34EA" w:rsidRPr="00D3629C" w:rsidRDefault="00FA34EA" w:rsidP="00FA34EA">
            <w:pPr>
              <w:pStyle w:val="ListParagraph"/>
              <w:numPr>
                <w:ilvl w:val="0"/>
                <w:numId w:val="6"/>
              </w:numPr>
              <w:rPr>
                <w:rFonts w:ascii="Times New Roman" w:hAnsi="Times New Roman" w:cs="Times New Roman"/>
                <w:color w:val="000000"/>
              </w:rPr>
            </w:pPr>
            <w:r w:rsidRPr="00D3629C">
              <w:rPr>
                <w:rFonts w:ascii="Times New Roman" w:hAnsi="Times New Roman" w:cs="Times New Roman"/>
                <w:color w:val="000000"/>
              </w:rPr>
              <w:t>General social assistance (=Sozialhilfe).</w:t>
            </w:r>
          </w:p>
          <w:p w14:paraId="44AECC66" w14:textId="77777777" w:rsidR="00FA34EA" w:rsidRPr="00D3629C" w:rsidRDefault="00FA34EA" w:rsidP="00FA34EA">
            <w:pPr>
              <w:pStyle w:val="ListParagraph"/>
              <w:numPr>
                <w:ilvl w:val="0"/>
                <w:numId w:val="6"/>
              </w:numPr>
              <w:rPr>
                <w:rFonts w:ascii="Times New Roman" w:hAnsi="Times New Roman" w:cs="Times New Roman"/>
                <w:color w:val="000000"/>
              </w:rPr>
            </w:pPr>
            <w:r w:rsidRPr="00D3629C">
              <w:rPr>
                <w:rFonts w:ascii="Times New Roman" w:hAnsi="Times New Roman" w:cs="Times New Roman"/>
                <w:color w:val="000000"/>
              </w:rPr>
              <w:t>Unemployment assistance and social benefit (=Arbeitslosengeld II, Sozialgeld).</w:t>
            </w:r>
          </w:p>
          <w:p w14:paraId="00E42F8A" w14:textId="77777777" w:rsidR="00FA34EA" w:rsidRPr="00D3629C" w:rsidRDefault="00FA34EA" w:rsidP="008C535D">
            <w:pPr>
              <w:tabs>
                <w:tab w:val="center" w:pos="4819"/>
                <w:tab w:val="right" w:pos="9638"/>
              </w:tabs>
              <w:rPr>
                <w:color w:val="000000"/>
                <w:sz w:val="22"/>
                <w:szCs w:val="22"/>
                <w:lang w:val="en-US"/>
              </w:rPr>
            </w:pPr>
          </w:p>
        </w:tc>
        <w:tc>
          <w:tcPr>
            <w:tcW w:w="1777" w:type="dxa"/>
          </w:tcPr>
          <w:p w14:paraId="4D006360" w14:textId="77777777" w:rsidR="00FA34EA" w:rsidRPr="00D3629C" w:rsidRDefault="00FA34EA" w:rsidP="008C535D">
            <w:pPr>
              <w:rPr>
                <w:sz w:val="22"/>
                <w:szCs w:val="22"/>
              </w:rPr>
            </w:pPr>
            <w:r w:rsidRPr="00D3629C">
              <w:rPr>
                <w:sz w:val="22"/>
                <w:szCs w:val="22"/>
              </w:rPr>
              <w:t>Full pass-through</w:t>
            </w:r>
          </w:p>
        </w:tc>
        <w:tc>
          <w:tcPr>
            <w:tcW w:w="1899" w:type="dxa"/>
          </w:tcPr>
          <w:p w14:paraId="22F13418" w14:textId="77777777" w:rsidR="00FA34EA" w:rsidRPr="00D3629C" w:rsidRDefault="00FA34EA" w:rsidP="008C535D">
            <w:pPr>
              <w:rPr>
                <w:sz w:val="22"/>
                <w:szCs w:val="22"/>
              </w:rPr>
            </w:pPr>
            <w:r w:rsidRPr="00D3629C">
              <w:rPr>
                <w:sz w:val="22"/>
                <w:szCs w:val="22"/>
              </w:rPr>
              <w:t>No</w:t>
            </w:r>
          </w:p>
        </w:tc>
      </w:tr>
      <w:tr w:rsidR="00FA34EA" w:rsidRPr="00D3629C" w14:paraId="788C5237" w14:textId="77777777" w:rsidTr="008C535D">
        <w:tc>
          <w:tcPr>
            <w:tcW w:w="1027" w:type="dxa"/>
          </w:tcPr>
          <w:p w14:paraId="2A05203A" w14:textId="77777777" w:rsidR="00FA34EA" w:rsidRPr="00D3629C" w:rsidRDefault="00FA34EA" w:rsidP="008C535D">
            <w:pPr>
              <w:rPr>
                <w:b/>
                <w:sz w:val="22"/>
                <w:szCs w:val="22"/>
              </w:rPr>
            </w:pPr>
            <w:r w:rsidRPr="00D3629C">
              <w:rPr>
                <w:b/>
                <w:sz w:val="22"/>
                <w:szCs w:val="22"/>
              </w:rPr>
              <w:t>UK</w:t>
            </w:r>
          </w:p>
        </w:tc>
        <w:tc>
          <w:tcPr>
            <w:tcW w:w="3859" w:type="dxa"/>
          </w:tcPr>
          <w:p w14:paraId="21B21076" w14:textId="77777777" w:rsidR="00FA34EA" w:rsidRPr="00D3629C" w:rsidRDefault="00FA34EA" w:rsidP="00FA34EA">
            <w:pPr>
              <w:pStyle w:val="ListParagraph"/>
              <w:numPr>
                <w:ilvl w:val="0"/>
                <w:numId w:val="4"/>
              </w:numPr>
              <w:rPr>
                <w:rFonts w:ascii="Times New Roman" w:hAnsi="Times New Roman" w:cs="Times New Roman"/>
              </w:rPr>
            </w:pPr>
            <w:r w:rsidRPr="00D3629C">
              <w:rPr>
                <w:rFonts w:ascii="Times New Roman" w:hAnsi="Times New Roman" w:cs="Times New Roman"/>
              </w:rPr>
              <w:t xml:space="preserve">Income support </w:t>
            </w:r>
            <w:r>
              <w:rPr>
                <w:rFonts w:ascii="Times New Roman" w:hAnsi="Times New Roman" w:cs="Times New Roman"/>
              </w:rPr>
              <w:t xml:space="preserve"> (IS)</w:t>
            </w:r>
          </w:p>
          <w:p w14:paraId="472E4BF8" w14:textId="77777777" w:rsidR="00FA34EA" w:rsidRPr="00D3629C" w:rsidRDefault="00FA34EA" w:rsidP="00FA34EA">
            <w:pPr>
              <w:pStyle w:val="ListParagraph"/>
              <w:numPr>
                <w:ilvl w:val="0"/>
                <w:numId w:val="4"/>
              </w:numPr>
              <w:rPr>
                <w:rFonts w:ascii="Times New Roman" w:hAnsi="Times New Roman" w:cs="Times New Roman"/>
              </w:rPr>
            </w:pPr>
            <w:r>
              <w:rPr>
                <w:rFonts w:ascii="Times New Roman" w:hAnsi="Times New Roman" w:cs="Times New Roman"/>
              </w:rPr>
              <w:t xml:space="preserve">Income-based </w:t>
            </w:r>
            <w:r w:rsidRPr="00D3629C">
              <w:rPr>
                <w:rFonts w:ascii="Times New Roman" w:hAnsi="Times New Roman" w:cs="Times New Roman"/>
              </w:rPr>
              <w:t>Jobseeker allowance</w:t>
            </w:r>
            <w:r>
              <w:rPr>
                <w:rFonts w:ascii="Times New Roman" w:hAnsi="Times New Roman" w:cs="Times New Roman"/>
              </w:rPr>
              <w:t xml:space="preserve"> (JSA)</w:t>
            </w:r>
          </w:p>
          <w:p w14:paraId="56253F69" w14:textId="77777777" w:rsidR="00FA34EA" w:rsidRPr="00D3629C" w:rsidRDefault="00FA34EA" w:rsidP="00FA34EA">
            <w:pPr>
              <w:pStyle w:val="ListParagraph"/>
              <w:numPr>
                <w:ilvl w:val="0"/>
                <w:numId w:val="4"/>
              </w:numPr>
              <w:rPr>
                <w:rFonts w:ascii="Times New Roman" w:hAnsi="Times New Roman" w:cs="Times New Roman"/>
              </w:rPr>
            </w:pPr>
            <w:r w:rsidRPr="00D3629C">
              <w:rPr>
                <w:rFonts w:ascii="Times New Roman" w:hAnsi="Times New Roman" w:cs="Times New Roman"/>
              </w:rPr>
              <w:t xml:space="preserve">(Universal Credit)* </w:t>
            </w:r>
            <w:r>
              <w:rPr>
                <w:rFonts w:ascii="Times New Roman" w:hAnsi="Times New Roman" w:cs="Times New Roman"/>
              </w:rPr>
              <w:t>(UC)</w:t>
            </w:r>
          </w:p>
          <w:p w14:paraId="6DFE8292" w14:textId="77777777" w:rsidR="00FA34EA" w:rsidRPr="00D3629C" w:rsidRDefault="00FA34EA" w:rsidP="008C535D">
            <w:pPr>
              <w:rPr>
                <w:sz w:val="22"/>
                <w:szCs w:val="22"/>
              </w:rPr>
            </w:pPr>
          </w:p>
        </w:tc>
        <w:tc>
          <w:tcPr>
            <w:tcW w:w="1777" w:type="dxa"/>
          </w:tcPr>
          <w:p w14:paraId="57E41CAA" w14:textId="77777777" w:rsidR="00FA34EA" w:rsidRPr="00D3629C" w:rsidRDefault="00FA34EA" w:rsidP="008C535D">
            <w:pPr>
              <w:rPr>
                <w:sz w:val="22"/>
                <w:szCs w:val="22"/>
              </w:rPr>
            </w:pPr>
            <w:r w:rsidRPr="00D3629C">
              <w:rPr>
                <w:sz w:val="22"/>
                <w:szCs w:val="22"/>
              </w:rPr>
              <w:t>Full pass-through</w:t>
            </w:r>
          </w:p>
        </w:tc>
        <w:tc>
          <w:tcPr>
            <w:tcW w:w="1899" w:type="dxa"/>
          </w:tcPr>
          <w:p w14:paraId="652C88E3" w14:textId="77777777" w:rsidR="00FA34EA" w:rsidRPr="00D3629C" w:rsidRDefault="00FA34EA" w:rsidP="008C535D">
            <w:pPr>
              <w:rPr>
                <w:sz w:val="22"/>
                <w:szCs w:val="22"/>
              </w:rPr>
            </w:pPr>
            <w:r w:rsidRPr="00D3629C">
              <w:rPr>
                <w:sz w:val="22"/>
                <w:szCs w:val="22"/>
              </w:rPr>
              <w:t>Yes, full disregard</w:t>
            </w:r>
          </w:p>
        </w:tc>
      </w:tr>
    </w:tbl>
    <w:p w14:paraId="3A3AFB72" w14:textId="77777777" w:rsidR="00FA34EA" w:rsidRDefault="00FA34EA" w:rsidP="00FA34EA">
      <w:pPr>
        <w:spacing w:line="360" w:lineRule="auto"/>
        <w:rPr>
          <w:sz w:val="20"/>
          <w:szCs w:val="20"/>
        </w:rPr>
      </w:pPr>
      <w:r w:rsidRPr="003A6F2C">
        <w:rPr>
          <w:sz w:val="20"/>
          <w:szCs w:val="20"/>
        </w:rPr>
        <w:t>Sources: Skinner et al. 2017b; Social Insurance Institution Finland 2017; Bundesministerium für Arbeit und Soziales 2017.</w:t>
      </w:r>
    </w:p>
    <w:p w14:paraId="03CD1ACF" w14:textId="2A5F08F9" w:rsidR="00FA34EA" w:rsidRDefault="00FA34EA" w:rsidP="00FA34EA">
      <w:pPr>
        <w:spacing w:line="360" w:lineRule="auto"/>
        <w:rPr>
          <w:sz w:val="20"/>
          <w:szCs w:val="20"/>
        </w:rPr>
      </w:pPr>
      <w:r>
        <w:rPr>
          <w:sz w:val="20"/>
          <w:szCs w:val="20"/>
        </w:rPr>
        <w:t xml:space="preserve">* Universal  Credit is a new benefit and will replace all previous benefits when the rolling programme of implementation is completed (around 2020). So LIS may pick up parents who are on IS, or others on income-based JSA, or others on UC.  </w:t>
      </w:r>
    </w:p>
    <w:p w14:paraId="1AE814EC" w14:textId="77777777" w:rsidR="00FA34EA" w:rsidRDefault="00FA34EA">
      <w:pPr>
        <w:spacing w:after="200" w:line="276" w:lineRule="auto"/>
        <w:rPr>
          <w:sz w:val="20"/>
          <w:szCs w:val="20"/>
        </w:rPr>
      </w:pPr>
      <w:r>
        <w:rPr>
          <w:sz w:val="20"/>
          <w:szCs w:val="20"/>
        </w:rPr>
        <w:br w:type="page"/>
      </w:r>
    </w:p>
    <w:p w14:paraId="3358E5BA" w14:textId="77777777" w:rsidR="00FA34EA" w:rsidRDefault="00FA34EA" w:rsidP="00FA34EA">
      <w:pPr>
        <w:rPr>
          <w:sz w:val="16"/>
          <w:szCs w:val="16"/>
          <w:lang w:val="en-US"/>
        </w:rPr>
      </w:pPr>
      <w:r w:rsidRPr="00D3482E">
        <w:rPr>
          <w:sz w:val="16"/>
          <w:szCs w:val="16"/>
          <w:lang w:val="en-US"/>
        </w:rPr>
        <w:lastRenderedPageBreak/>
        <w:t>Table 2. Number of lone parent families and proportion (%) of lone parents receiving social assistance and child maintenance in LIS dataset, 2013</w:t>
      </w:r>
    </w:p>
    <w:p w14:paraId="7471D31B" w14:textId="77777777" w:rsidR="00FA34EA" w:rsidRPr="00D3482E" w:rsidRDefault="00FA34EA" w:rsidP="00FA34EA">
      <w:pPr>
        <w:rPr>
          <w:sz w:val="16"/>
          <w:szCs w:val="16"/>
          <w:lang w:val="en-US"/>
        </w:rPr>
      </w:pPr>
    </w:p>
    <w:tbl>
      <w:tblPr>
        <w:tblStyle w:val="TableGrid"/>
        <w:tblW w:w="91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077"/>
        <w:gridCol w:w="1100"/>
        <w:gridCol w:w="1378"/>
        <w:gridCol w:w="776"/>
        <w:gridCol w:w="727"/>
        <w:gridCol w:w="789"/>
        <w:gridCol w:w="652"/>
        <w:gridCol w:w="977"/>
        <w:gridCol w:w="708"/>
      </w:tblGrid>
      <w:tr w:rsidR="00E3678D" w:rsidRPr="00D3482E" w14:paraId="5F325D7D" w14:textId="77777777" w:rsidTr="00E3678D">
        <w:trPr>
          <w:trHeight w:val="1469"/>
        </w:trPr>
        <w:tc>
          <w:tcPr>
            <w:tcW w:w="1010" w:type="dxa"/>
            <w:hideMark/>
          </w:tcPr>
          <w:p w14:paraId="4DBC9809" w14:textId="77777777" w:rsidR="00FA34EA" w:rsidRPr="00D3482E" w:rsidRDefault="00FA34EA" w:rsidP="008C535D">
            <w:pPr>
              <w:jc w:val="center"/>
              <w:rPr>
                <w:sz w:val="16"/>
                <w:szCs w:val="16"/>
              </w:rPr>
            </w:pPr>
          </w:p>
        </w:tc>
        <w:tc>
          <w:tcPr>
            <w:tcW w:w="1077" w:type="dxa"/>
            <w:tcBorders>
              <w:top w:val="single" w:sz="4" w:space="0" w:color="auto"/>
              <w:bottom w:val="single" w:sz="4" w:space="0" w:color="auto"/>
            </w:tcBorders>
            <w:vAlign w:val="center"/>
            <w:hideMark/>
          </w:tcPr>
          <w:p w14:paraId="57217A65" w14:textId="77777777" w:rsidR="00FA34EA" w:rsidRPr="00D3482E" w:rsidRDefault="00FA34EA" w:rsidP="008C535D">
            <w:pPr>
              <w:jc w:val="center"/>
              <w:rPr>
                <w:sz w:val="16"/>
                <w:szCs w:val="16"/>
              </w:rPr>
            </w:pPr>
            <w:r w:rsidRPr="00D3482E">
              <w:rPr>
                <w:sz w:val="16"/>
                <w:szCs w:val="16"/>
              </w:rPr>
              <w:t>Total sample</w:t>
            </w:r>
          </w:p>
        </w:tc>
        <w:tc>
          <w:tcPr>
            <w:tcW w:w="1100" w:type="dxa"/>
            <w:tcBorders>
              <w:top w:val="single" w:sz="4" w:space="0" w:color="auto"/>
              <w:bottom w:val="single" w:sz="4" w:space="0" w:color="auto"/>
            </w:tcBorders>
            <w:vAlign w:val="center"/>
            <w:hideMark/>
          </w:tcPr>
          <w:p w14:paraId="3A614876" w14:textId="77777777" w:rsidR="00FA34EA" w:rsidRPr="00D3482E" w:rsidRDefault="00FA34EA" w:rsidP="008C535D">
            <w:pPr>
              <w:jc w:val="center"/>
              <w:rPr>
                <w:sz w:val="16"/>
                <w:szCs w:val="16"/>
              </w:rPr>
            </w:pPr>
            <w:r w:rsidRPr="00D3482E">
              <w:rPr>
                <w:sz w:val="16"/>
                <w:szCs w:val="16"/>
              </w:rPr>
              <w:t>All lone parents with children under 18 years old</w:t>
            </w:r>
          </w:p>
        </w:tc>
        <w:tc>
          <w:tcPr>
            <w:tcW w:w="1378" w:type="dxa"/>
            <w:tcBorders>
              <w:top w:val="single" w:sz="4" w:space="0" w:color="auto"/>
              <w:bottom w:val="single" w:sz="4" w:space="0" w:color="auto"/>
            </w:tcBorders>
            <w:vAlign w:val="center"/>
            <w:hideMark/>
          </w:tcPr>
          <w:p w14:paraId="4125B38E" w14:textId="77777777" w:rsidR="00FA34EA" w:rsidRPr="00D3482E" w:rsidRDefault="00FA34EA" w:rsidP="008C535D">
            <w:pPr>
              <w:jc w:val="center"/>
              <w:rPr>
                <w:sz w:val="16"/>
                <w:szCs w:val="16"/>
              </w:rPr>
            </w:pPr>
            <w:r w:rsidRPr="00D3482E">
              <w:rPr>
                <w:sz w:val="16"/>
                <w:szCs w:val="16"/>
              </w:rPr>
              <w:t>Non-widowed lone parents with children under 18 years old</w:t>
            </w:r>
          </w:p>
        </w:tc>
        <w:tc>
          <w:tcPr>
            <w:tcW w:w="1503" w:type="dxa"/>
            <w:gridSpan w:val="2"/>
            <w:tcBorders>
              <w:top w:val="single" w:sz="4" w:space="0" w:color="auto"/>
              <w:bottom w:val="single" w:sz="4" w:space="0" w:color="auto"/>
            </w:tcBorders>
            <w:vAlign w:val="center"/>
            <w:hideMark/>
          </w:tcPr>
          <w:p w14:paraId="5E661C83" w14:textId="77777777" w:rsidR="00FA34EA" w:rsidRPr="00D3482E" w:rsidRDefault="00FA34EA" w:rsidP="008C535D">
            <w:pPr>
              <w:jc w:val="center"/>
              <w:rPr>
                <w:sz w:val="16"/>
                <w:szCs w:val="16"/>
              </w:rPr>
            </w:pPr>
            <w:r w:rsidRPr="00D3482E">
              <w:rPr>
                <w:sz w:val="16"/>
                <w:szCs w:val="16"/>
              </w:rPr>
              <w:t>All lone parents receiving social assistance benefits</w:t>
            </w:r>
          </w:p>
        </w:tc>
        <w:tc>
          <w:tcPr>
            <w:tcW w:w="1441" w:type="dxa"/>
            <w:gridSpan w:val="2"/>
            <w:tcBorders>
              <w:top w:val="single" w:sz="4" w:space="0" w:color="auto"/>
              <w:bottom w:val="single" w:sz="4" w:space="0" w:color="auto"/>
            </w:tcBorders>
            <w:vAlign w:val="center"/>
            <w:hideMark/>
          </w:tcPr>
          <w:p w14:paraId="0E60A3D6" w14:textId="77777777" w:rsidR="00FA34EA" w:rsidRPr="00D3482E" w:rsidRDefault="00FA34EA" w:rsidP="008C535D">
            <w:pPr>
              <w:jc w:val="center"/>
              <w:rPr>
                <w:sz w:val="16"/>
                <w:szCs w:val="16"/>
              </w:rPr>
            </w:pPr>
            <w:r w:rsidRPr="00D3482E">
              <w:rPr>
                <w:sz w:val="16"/>
                <w:szCs w:val="16"/>
              </w:rPr>
              <w:t>Lone parents receiving child maintenance</w:t>
            </w:r>
          </w:p>
        </w:tc>
        <w:tc>
          <w:tcPr>
            <w:tcW w:w="1685" w:type="dxa"/>
            <w:gridSpan w:val="2"/>
            <w:tcBorders>
              <w:top w:val="single" w:sz="4" w:space="0" w:color="auto"/>
              <w:bottom w:val="single" w:sz="4" w:space="0" w:color="auto"/>
            </w:tcBorders>
            <w:vAlign w:val="center"/>
            <w:hideMark/>
          </w:tcPr>
          <w:p w14:paraId="2C79FED8" w14:textId="77777777" w:rsidR="00FA34EA" w:rsidRPr="00D3482E" w:rsidRDefault="00FA34EA" w:rsidP="008C535D">
            <w:pPr>
              <w:jc w:val="center"/>
              <w:rPr>
                <w:sz w:val="16"/>
                <w:szCs w:val="16"/>
              </w:rPr>
            </w:pPr>
            <w:r w:rsidRPr="00D3482E">
              <w:rPr>
                <w:sz w:val="16"/>
                <w:szCs w:val="16"/>
              </w:rPr>
              <w:t>Social assistance recipients receiving child maintenance</w:t>
            </w:r>
          </w:p>
        </w:tc>
      </w:tr>
      <w:tr w:rsidR="00E3678D" w:rsidRPr="00D3482E" w14:paraId="5938BAA6" w14:textId="77777777" w:rsidTr="00E3678D">
        <w:trPr>
          <w:trHeight w:val="313"/>
        </w:trPr>
        <w:tc>
          <w:tcPr>
            <w:tcW w:w="1010" w:type="dxa"/>
            <w:hideMark/>
          </w:tcPr>
          <w:p w14:paraId="2A396704" w14:textId="77777777" w:rsidR="00FA34EA" w:rsidRPr="00D3482E" w:rsidRDefault="00FA34EA" w:rsidP="008C535D">
            <w:pPr>
              <w:rPr>
                <w:sz w:val="16"/>
                <w:szCs w:val="16"/>
              </w:rPr>
            </w:pPr>
          </w:p>
        </w:tc>
        <w:tc>
          <w:tcPr>
            <w:tcW w:w="1077" w:type="dxa"/>
            <w:tcBorders>
              <w:top w:val="single" w:sz="4" w:space="0" w:color="auto"/>
            </w:tcBorders>
            <w:vAlign w:val="center"/>
            <w:hideMark/>
          </w:tcPr>
          <w:p w14:paraId="7731DFCA" w14:textId="77777777" w:rsidR="00FA34EA" w:rsidRPr="00D3482E" w:rsidRDefault="00FA34EA" w:rsidP="008C535D">
            <w:pPr>
              <w:jc w:val="center"/>
              <w:rPr>
                <w:sz w:val="16"/>
                <w:szCs w:val="16"/>
              </w:rPr>
            </w:pPr>
            <w:r w:rsidRPr="00D3482E">
              <w:rPr>
                <w:sz w:val="16"/>
                <w:szCs w:val="16"/>
              </w:rPr>
              <w:t>N</w:t>
            </w:r>
          </w:p>
        </w:tc>
        <w:tc>
          <w:tcPr>
            <w:tcW w:w="1100" w:type="dxa"/>
            <w:tcBorders>
              <w:top w:val="single" w:sz="4" w:space="0" w:color="auto"/>
            </w:tcBorders>
            <w:vAlign w:val="center"/>
            <w:hideMark/>
          </w:tcPr>
          <w:p w14:paraId="4F633255" w14:textId="77777777" w:rsidR="00FA34EA" w:rsidRPr="00D3482E" w:rsidRDefault="00FA34EA" w:rsidP="008C535D">
            <w:pPr>
              <w:jc w:val="center"/>
              <w:rPr>
                <w:sz w:val="16"/>
                <w:szCs w:val="16"/>
              </w:rPr>
            </w:pPr>
            <w:r w:rsidRPr="00D3482E">
              <w:rPr>
                <w:sz w:val="16"/>
                <w:szCs w:val="16"/>
              </w:rPr>
              <w:t>N</w:t>
            </w:r>
          </w:p>
        </w:tc>
        <w:tc>
          <w:tcPr>
            <w:tcW w:w="1378" w:type="dxa"/>
            <w:tcBorders>
              <w:top w:val="single" w:sz="4" w:space="0" w:color="auto"/>
            </w:tcBorders>
            <w:vAlign w:val="center"/>
            <w:hideMark/>
          </w:tcPr>
          <w:p w14:paraId="2B8EBABA" w14:textId="77777777" w:rsidR="00FA34EA" w:rsidRPr="00D3482E" w:rsidRDefault="00FA34EA" w:rsidP="008C535D">
            <w:pPr>
              <w:jc w:val="center"/>
              <w:rPr>
                <w:sz w:val="16"/>
                <w:szCs w:val="16"/>
              </w:rPr>
            </w:pPr>
            <w:r w:rsidRPr="00D3482E">
              <w:rPr>
                <w:sz w:val="16"/>
                <w:szCs w:val="16"/>
              </w:rPr>
              <w:t>N</w:t>
            </w:r>
          </w:p>
        </w:tc>
        <w:tc>
          <w:tcPr>
            <w:tcW w:w="776" w:type="dxa"/>
            <w:tcBorders>
              <w:top w:val="single" w:sz="4" w:space="0" w:color="auto"/>
            </w:tcBorders>
            <w:vAlign w:val="center"/>
            <w:hideMark/>
          </w:tcPr>
          <w:p w14:paraId="1D9E2EDD" w14:textId="77777777" w:rsidR="00FA34EA" w:rsidRPr="00D3482E" w:rsidRDefault="00FA34EA" w:rsidP="008C535D">
            <w:pPr>
              <w:jc w:val="center"/>
              <w:rPr>
                <w:sz w:val="16"/>
                <w:szCs w:val="16"/>
              </w:rPr>
            </w:pPr>
            <w:r w:rsidRPr="00D3482E">
              <w:rPr>
                <w:sz w:val="16"/>
                <w:szCs w:val="16"/>
              </w:rPr>
              <w:t>N</w:t>
            </w:r>
          </w:p>
        </w:tc>
        <w:tc>
          <w:tcPr>
            <w:tcW w:w="727" w:type="dxa"/>
            <w:tcBorders>
              <w:top w:val="single" w:sz="4" w:space="0" w:color="auto"/>
            </w:tcBorders>
            <w:vAlign w:val="center"/>
            <w:hideMark/>
          </w:tcPr>
          <w:p w14:paraId="58789E17" w14:textId="77777777" w:rsidR="00FA34EA" w:rsidRPr="00D3482E" w:rsidRDefault="00FA34EA" w:rsidP="008C535D">
            <w:pPr>
              <w:jc w:val="center"/>
              <w:rPr>
                <w:sz w:val="16"/>
                <w:szCs w:val="16"/>
              </w:rPr>
            </w:pPr>
            <w:r w:rsidRPr="00D3482E">
              <w:rPr>
                <w:sz w:val="16"/>
                <w:szCs w:val="16"/>
              </w:rPr>
              <w:t>%</w:t>
            </w:r>
          </w:p>
        </w:tc>
        <w:tc>
          <w:tcPr>
            <w:tcW w:w="789" w:type="dxa"/>
            <w:tcBorders>
              <w:top w:val="single" w:sz="4" w:space="0" w:color="auto"/>
            </w:tcBorders>
            <w:vAlign w:val="center"/>
            <w:hideMark/>
          </w:tcPr>
          <w:p w14:paraId="2655AEF9" w14:textId="77777777" w:rsidR="00FA34EA" w:rsidRPr="00D3482E" w:rsidRDefault="00FA34EA" w:rsidP="008C535D">
            <w:pPr>
              <w:jc w:val="center"/>
              <w:rPr>
                <w:sz w:val="16"/>
                <w:szCs w:val="16"/>
              </w:rPr>
            </w:pPr>
            <w:r w:rsidRPr="00D3482E">
              <w:rPr>
                <w:sz w:val="16"/>
                <w:szCs w:val="16"/>
              </w:rPr>
              <w:t>N</w:t>
            </w:r>
          </w:p>
        </w:tc>
        <w:tc>
          <w:tcPr>
            <w:tcW w:w="652" w:type="dxa"/>
            <w:tcBorders>
              <w:top w:val="single" w:sz="4" w:space="0" w:color="auto"/>
            </w:tcBorders>
            <w:vAlign w:val="center"/>
            <w:hideMark/>
          </w:tcPr>
          <w:p w14:paraId="40265F66" w14:textId="77777777" w:rsidR="00FA34EA" w:rsidRPr="00D3482E" w:rsidRDefault="00FA34EA" w:rsidP="008C535D">
            <w:pPr>
              <w:jc w:val="center"/>
              <w:rPr>
                <w:sz w:val="16"/>
                <w:szCs w:val="16"/>
              </w:rPr>
            </w:pPr>
            <w:r w:rsidRPr="00D3482E">
              <w:rPr>
                <w:sz w:val="16"/>
                <w:szCs w:val="16"/>
              </w:rPr>
              <w:t>%</w:t>
            </w:r>
          </w:p>
        </w:tc>
        <w:tc>
          <w:tcPr>
            <w:tcW w:w="977" w:type="dxa"/>
            <w:tcBorders>
              <w:top w:val="single" w:sz="4" w:space="0" w:color="auto"/>
            </w:tcBorders>
            <w:vAlign w:val="center"/>
            <w:hideMark/>
          </w:tcPr>
          <w:p w14:paraId="1B2696D6" w14:textId="77777777" w:rsidR="00FA34EA" w:rsidRPr="00D3482E" w:rsidRDefault="00FA34EA" w:rsidP="008C535D">
            <w:pPr>
              <w:jc w:val="center"/>
              <w:rPr>
                <w:sz w:val="16"/>
                <w:szCs w:val="16"/>
              </w:rPr>
            </w:pPr>
            <w:r w:rsidRPr="00D3482E">
              <w:rPr>
                <w:sz w:val="16"/>
                <w:szCs w:val="16"/>
              </w:rPr>
              <w:t>N</w:t>
            </w:r>
          </w:p>
        </w:tc>
        <w:tc>
          <w:tcPr>
            <w:tcW w:w="708" w:type="dxa"/>
            <w:tcBorders>
              <w:top w:val="single" w:sz="4" w:space="0" w:color="auto"/>
            </w:tcBorders>
            <w:vAlign w:val="center"/>
            <w:hideMark/>
          </w:tcPr>
          <w:p w14:paraId="32754DDC" w14:textId="77777777" w:rsidR="00FA34EA" w:rsidRPr="00D3482E" w:rsidRDefault="00FA34EA" w:rsidP="008C535D">
            <w:pPr>
              <w:jc w:val="center"/>
              <w:rPr>
                <w:sz w:val="16"/>
                <w:szCs w:val="16"/>
              </w:rPr>
            </w:pPr>
            <w:r w:rsidRPr="00D3482E">
              <w:rPr>
                <w:sz w:val="16"/>
                <w:szCs w:val="16"/>
              </w:rPr>
              <w:t>%</w:t>
            </w:r>
          </w:p>
        </w:tc>
      </w:tr>
      <w:tr w:rsidR="00E3678D" w:rsidRPr="00D3482E" w14:paraId="6574AB39" w14:textId="77777777" w:rsidTr="00E3678D">
        <w:trPr>
          <w:trHeight w:val="313"/>
        </w:trPr>
        <w:tc>
          <w:tcPr>
            <w:tcW w:w="1010" w:type="dxa"/>
            <w:hideMark/>
          </w:tcPr>
          <w:p w14:paraId="705D6850" w14:textId="77777777" w:rsidR="00FA34EA" w:rsidRPr="00D3482E" w:rsidRDefault="00FA34EA" w:rsidP="008C535D">
            <w:pPr>
              <w:rPr>
                <w:sz w:val="16"/>
                <w:szCs w:val="16"/>
              </w:rPr>
            </w:pPr>
            <w:r w:rsidRPr="00D3482E">
              <w:rPr>
                <w:sz w:val="16"/>
                <w:szCs w:val="16"/>
              </w:rPr>
              <w:t>Australia</w:t>
            </w:r>
          </w:p>
        </w:tc>
        <w:tc>
          <w:tcPr>
            <w:tcW w:w="1077" w:type="dxa"/>
            <w:vAlign w:val="center"/>
            <w:hideMark/>
          </w:tcPr>
          <w:p w14:paraId="4A77C87D" w14:textId="77777777" w:rsidR="00FA34EA" w:rsidRPr="00D3482E" w:rsidRDefault="00FA34EA" w:rsidP="008C535D">
            <w:pPr>
              <w:jc w:val="center"/>
              <w:rPr>
                <w:sz w:val="16"/>
                <w:szCs w:val="16"/>
              </w:rPr>
            </w:pPr>
            <w:r w:rsidRPr="00D3482E">
              <w:rPr>
                <w:sz w:val="16"/>
                <w:szCs w:val="16"/>
              </w:rPr>
              <w:t>18071</w:t>
            </w:r>
          </w:p>
        </w:tc>
        <w:tc>
          <w:tcPr>
            <w:tcW w:w="1100" w:type="dxa"/>
            <w:vAlign w:val="center"/>
            <w:hideMark/>
          </w:tcPr>
          <w:p w14:paraId="70532DF6" w14:textId="77777777" w:rsidR="00FA34EA" w:rsidRPr="00D3482E" w:rsidRDefault="00FA34EA" w:rsidP="008C535D">
            <w:pPr>
              <w:jc w:val="center"/>
              <w:rPr>
                <w:sz w:val="16"/>
                <w:szCs w:val="16"/>
              </w:rPr>
            </w:pPr>
            <w:r w:rsidRPr="00D3482E">
              <w:rPr>
                <w:sz w:val="16"/>
                <w:szCs w:val="16"/>
              </w:rPr>
              <w:t>1297</w:t>
            </w:r>
          </w:p>
        </w:tc>
        <w:tc>
          <w:tcPr>
            <w:tcW w:w="1378" w:type="dxa"/>
            <w:vAlign w:val="center"/>
            <w:hideMark/>
          </w:tcPr>
          <w:p w14:paraId="42172C4E" w14:textId="77777777" w:rsidR="00FA34EA" w:rsidRPr="00D3482E" w:rsidRDefault="00FA34EA" w:rsidP="008C535D">
            <w:pPr>
              <w:jc w:val="center"/>
              <w:rPr>
                <w:sz w:val="16"/>
                <w:szCs w:val="16"/>
              </w:rPr>
            </w:pPr>
            <w:r w:rsidRPr="00D3482E">
              <w:rPr>
                <w:sz w:val="16"/>
                <w:szCs w:val="16"/>
              </w:rPr>
              <w:t>na</w:t>
            </w:r>
          </w:p>
        </w:tc>
        <w:tc>
          <w:tcPr>
            <w:tcW w:w="776" w:type="dxa"/>
            <w:vAlign w:val="center"/>
            <w:hideMark/>
          </w:tcPr>
          <w:p w14:paraId="0E0B8295" w14:textId="77777777" w:rsidR="00FA34EA" w:rsidRPr="00D3482E" w:rsidRDefault="00FA34EA" w:rsidP="008C535D">
            <w:pPr>
              <w:jc w:val="center"/>
              <w:rPr>
                <w:sz w:val="16"/>
                <w:szCs w:val="16"/>
              </w:rPr>
            </w:pPr>
            <w:r w:rsidRPr="00D3482E">
              <w:rPr>
                <w:sz w:val="16"/>
                <w:szCs w:val="16"/>
              </w:rPr>
              <w:t>654</w:t>
            </w:r>
          </w:p>
        </w:tc>
        <w:tc>
          <w:tcPr>
            <w:tcW w:w="727" w:type="dxa"/>
            <w:vAlign w:val="center"/>
            <w:hideMark/>
          </w:tcPr>
          <w:p w14:paraId="6A9D443A" w14:textId="77777777" w:rsidR="00FA34EA" w:rsidRPr="00D3482E" w:rsidRDefault="00FA34EA" w:rsidP="008C535D">
            <w:pPr>
              <w:jc w:val="center"/>
              <w:rPr>
                <w:sz w:val="16"/>
                <w:szCs w:val="16"/>
              </w:rPr>
            </w:pPr>
            <w:r w:rsidRPr="00D3482E">
              <w:rPr>
                <w:sz w:val="16"/>
                <w:szCs w:val="16"/>
              </w:rPr>
              <w:t>50</w:t>
            </w:r>
          </w:p>
        </w:tc>
        <w:tc>
          <w:tcPr>
            <w:tcW w:w="789" w:type="dxa"/>
            <w:vAlign w:val="center"/>
            <w:hideMark/>
          </w:tcPr>
          <w:p w14:paraId="2E4F4475" w14:textId="77777777" w:rsidR="00FA34EA" w:rsidRPr="00D3482E" w:rsidRDefault="00FA34EA" w:rsidP="008C535D">
            <w:pPr>
              <w:jc w:val="center"/>
              <w:rPr>
                <w:sz w:val="16"/>
                <w:szCs w:val="16"/>
              </w:rPr>
            </w:pPr>
            <w:r w:rsidRPr="00D3482E">
              <w:rPr>
                <w:sz w:val="16"/>
                <w:szCs w:val="16"/>
              </w:rPr>
              <w:t>560</w:t>
            </w:r>
          </w:p>
        </w:tc>
        <w:tc>
          <w:tcPr>
            <w:tcW w:w="652" w:type="dxa"/>
            <w:vAlign w:val="center"/>
            <w:hideMark/>
          </w:tcPr>
          <w:p w14:paraId="3201F8BF" w14:textId="77777777" w:rsidR="00FA34EA" w:rsidRPr="00D3482E" w:rsidRDefault="00FA34EA" w:rsidP="008C535D">
            <w:pPr>
              <w:jc w:val="center"/>
              <w:rPr>
                <w:sz w:val="16"/>
                <w:szCs w:val="16"/>
              </w:rPr>
            </w:pPr>
            <w:r w:rsidRPr="00D3482E">
              <w:rPr>
                <w:sz w:val="16"/>
                <w:szCs w:val="16"/>
              </w:rPr>
              <w:t>43</w:t>
            </w:r>
          </w:p>
        </w:tc>
        <w:tc>
          <w:tcPr>
            <w:tcW w:w="977" w:type="dxa"/>
            <w:vAlign w:val="center"/>
            <w:hideMark/>
          </w:tcPr>
          <w:p w14:paraId="10B092BA" w14:textId="77777777" w:rsidR="00FA34EA" w:rsidRPr="00D3482E" w:rsidRDefault="00FA34EA" w:rsidP="008C535D">
            <w:pPr>
              <w:jc w:val="center"/>
              <w:rPr>
                <w:sz w:val="16"/>
                <w:szCs w:val="16"/>
              </w:rPr>
            </w:pPr>
            <w:r w:rsidRPr="00D3482E">
              <w:rPr>
                <w:sz w:val="16"/>
                <w:szCs w:val="16"/>
              </w:rPr>
              <w:t>345</w:t>
            </w:r>
          </w:p>
        </w:tc>
        <w:tc>
          <w:tcPr>
            <w:tcW w:w="708" w:type="dxa"/>
            <w:vAlign w:val="center"/>
            <w:hideMark/>
          </w:tcPr>
          <w:p w14:paraId="60F9AD27" w14:textId="77777777" w:rsidR="00FA34EA" w:rsidRPr="00D3482E" w:rsidRDefault="00FA34EA" w:rsidP="008C535D">
            <w:pPr>
              <w:jc w:val="center"/>
              <w:rPr>
                <w:sz w:val="16"/>
                <w:szCs w:val="16"/>
              </w:rPr>
            </w:pPr>
            <w:r w:rsidRPr="00D3482E">
              <w:rPr>
                <w:sz w:val="16"/>
                <w:szCs w:val="16"/>
              </w:rPr>
              <w:t>53</w:t>
            </w:r>
          </w:p>
        </w:tc>
      </w:tr>
      <w:tr w:rsidR="00E3678D" w:rsidRPr="00D3482E" w14:paraId="7D22DE6E" w14:textId="77777777" w:rsidTr="00E3678D">
        <w:trPr>
          <w:trHeight w:val="313"/>
        </w:trPr>
        <w:tc>
          <w:tcPr>
            <w:tcW w:w="1010" w:type="dxa"/>
            <w:hideMark/>
          </w:tcPr>
          <w:p w14:paraId="47D9A5CA" w14:textId="77777777" w:rsidR="00FA34EA" w:rsidRPr="00D3482E" w:rsidRDefault="00FA34EA" w:rsidP="008C535D">
            <w:pPr>
              <w:rPr>
                <w:sz w:val="16"/>
                <w:szCs w:val="16"/>
              </w:rPr>
            </w:pPr>
            <w:r w:rsidRPr="00D3482E">
              <w:rPr>
                <w:sz w:val="16"/>
                <w:szCs w:val="16"/>
              </w:rPr>
              <w:t>Finland</w:t>
            </w:r>
          </w:p>
        </w:tc>
        <w:tc>
          <w:tcPr>
            <w:tcW w:w="1077" w:type="dxa"/>
            <w:vAlign w:val="center"/>
            <w:hideMark/>
          </w:tcPr>
          <w:p w14:paraId="03BA086F" w14:textId="77777777" w:rsidR="00FA34EA" w:rsidRPr="00D3482E" w:rsidRDefault="00FA34EA" w:rsidP="008C535D">
            <w:pPr>
              <w:jc w:val="center"/>
              <w:rPr>
                <w:sz w:val="16"/>
                <w:szCs w:val="16"/>
              </w:rPr>
            </w:pPr>
            <w:r w:rsidRPr="00D3482E">
              <w:rPr>
                <w:sz w:val="16"/>
                <w:szCs w:val="16"/>
              </w:rPr>
              <w:t>11030</w:t>
            </w:r>
          </w:p>
        </w:tc>
        <w:tc>
          <w:tcPr>
            <w:tcW w:w="1100" w:type="dxa"/>
            <w:vAlign w:val="center"/>
            <w:hideMark/>
          </w:tcPr>
          <w:p w14:paraId="12E239D5" w14:textId="77777777" w:rsidR="00FA34EA" w:rsidRPr="00D3482E" w:rsidRDefault="00FA34EA" w:rsidP="008C535D">
            <w:pPr>
              <w:jc w:val="center"/>
              <w:rPr>
                <w:sz w:val="16"/>
                <w:szCs w:val="16"/>
              </w:rPr>
            </w:pPr>
            <w:r w:rsidRPr="00D3482E">
              <w:rPr>
                <w:sz w:val="16"/>
                <w:szCs w:val="16"/>
              </w:rPr>
              <w:t>349</w:t>
            </w:r>
          </w:p>
        </w:tc>
        <w:tc>
          <w:tcPr>
            <w:tcW w:w="1378" w:type="dxa"/>
            <w:vAlign w:val="center"/>
            <w:hideMark/>
          </w:tcPr>
          <w:p w14:paraId="0BD15A01" w14:textId="77777777" w:rsidR="00FA34EA" w:rsidRPr="00D3482E" w:rsidRDefault="00FA34EA" w:rsidP="008C535D">
            <w:pPr>
              <w:jc w:val="center"/>
              <w:rPr>
                <w:sz w:val="16"/>
                <w:szCs w:val="16"/>
              </w:rPr>
            </w:pPr>
            <w:r w:rsidRPr="00D3482E">
              <w:rPr>
                <w:sz w:val="16"/>
                <w:szCs w:val="16"/>
              </w:rPr>
              <w:t>332</w:t>
            </w:r>
          </w:p>
        </w:tc>
        <w:tc>
          <w:tcPr>
            <w:tcW w:w="776" w:type="dxa"/>
            <w:vAlign w:val="center"/>
            <w:hideMark/>
          </w:tcPr>
          <w:p w14:paraId="79767F9F" w14:textId="77777777" w:rsidR="00FA34EA" w:rsidRPr="00D3482E" w:rsidRDefault="00FA34EA" w:rsidP="008C535D">
            <w:pPr>
              <w:jc w:val="center"/>
              <w:rPr>
                <w:sz w:val="16"/>
                <w:szCs w:val="16"/>
              </w:rPr>
            </w:pPr>
            <w:r w:rsidRPr="00D3482E">
              <w:rPr>
                <w:sz w:val="16"/>
                <w:szCs w:val="16"/>
              </w:rPr>
              <w:t>79</w:t>
            </w:r>
          </w:p>
        </w:tc>
        <w:tc>
          <w:tcPr>
            <w:tcW w:w="727" w:type="dxa"/>
            <w:vAlign w:val="center"/>
            <w:hideMark/>
          </w:tcPr>
          <w:p w14:paraId="520AFDDB" w14:textId="77777777" w:rsidR="00FA34EA" w:rsidRPr="00D3482E" w:rsidRDefault="00FA34EA" w:rsidP="008C535D">
            <w:pPr>
              <w:jc w:val="center"/>
              <w:rPr>
                <w:sz w:val="16"/>
                <w:szCs w:val="16"/>
              </w:rPr>
            </w:pPr>
            <w:r w:rsidRPr="00D3482E">
              <w:rPr>
                <w:sz w:val="16"/>
                <w:szCs w:val="16"/>
              </w:rPr>
              <w:t>23</w:t>
            </w:r>
          </w:p>
        </w:tc>
        <w:tc>
          <w:tcPr>
            <w:tcW w:w="789" w:type="dxa"/>
            <w:vAlign w:val="center"/>
            <w:hideMark/>
          </w:tcPr>
          <w:p w14:paraId="0AB9A795" w14:textId="77777777" w:rsidR="00FA34EA" w:rsidRPr="00D3482E" w:rsidRDefault="00FA34EA" w:rsidP="008C535D">
            <w:pPr>
              <w:jc w:val="center"/>
              <w:rPr>
                <w:sz w:val="16"/>
                <w:szCs w:val="16"/>
              </w:rPr>
            </w:pPr>
            <w:r w:rsidRPr="00D3482E">
              <w:rPr>
                <w:sz w:val="16"/>
                <w:szCs w:val="16"/>
              </w:rPr>
              <w:t>246</w:t>
            </w:r>
          </w:p>
        </w:tc>
        <w:tc>
          <w:tcPr>
            <w:tcW w:w="652" w:type="dxa"/>
            <w:vAlign w:val="center"/>
            <w:hideMark/>
          </w:tcPr>
          <w:p w14:paraId="0F5EBD9F" w14:textId="77777777" w:rsidR="00FA34EA" w:rsidRPr="00D3482E" w:rsidRDefault="00FA34EA" w:rsidP="008C535D">
            <w:pPr>
              <w:jc w:val="center"/>
              <w:rPr>
                <w:sz w:val="16"/>
                <w:szCs w:val="16"/>
              </w:rPr>
            </w:pPr>
            <w:r w:rsidRPr="00D3482E">
              <w:rPr>
                <w:sz w:val="16"/>
                <w:szCs w:val="16"/>
              </w:rPr>
              <w:t>74</w:t>
            </w:r>
          </w:p>
        </w:tc>
        <w:tc>
          <w:tcPr>
            <w:tcW w:w="977" w:type="dxa"/>
            <w:vAlign w:val="center"/>
            <w:hideMark/>
          </w:tcPr>
          <w:p w14:paraId="409D42F8" w14:textId="77777777" w:rsidR="00FA34EA" w:rsidRPr="00D3482E" w:rsidRDefault="00FA34EA" w:rsidP="008C535D">
            <w:pPr>
              <w:jc w:val="center"/>
              <w:rPr>
                <w:sz w:val="16"/>
                <w:szCs w:val="16"/>
              </w:rPr>
            </w:pPr>
            <w:r w:rsidRPr="00D3482E">
              <w:rPr>
                <w:sz w:val="16"/>
                <w:szCs w:val="16"/>
              </w:rPr>
              <w:t>66</w:t>
            </w:r>
          </w:p>
        </w:tc>
        <w:tc>
          <w:tcPr>
            <w:tcW w:w="708" w:type="dxa"/>
            <w:vAlign w:val="center"/>
            <w:hideMark/>
          </w:tcPr>
          <w:p w14:paraId="6C1F0580" w14:textId="77777777" w:rsidR="00FA34EA" w:rsidRPr="00D3482E" w:rsidRDefault="00FA34EA" w:rsidP="008C535D">
            <w:pPr>
              <w:jc w:val="center"/>
              <w:rPr>
                <w:sz w:val="16"/>
                <w:szCs w:val="16"/>
              </w:rPr>
            </w:pPr>
            <w:r w:rsidRPr="00D3482E">
              <w:rPr>
                <w:sz w:val="16"/>
                <w:szCs w:val="16"/>
              </w:rPr>
              <w:t>84</w:t>
            </w:r>
          </w:p>
        </w:tc>
      </w:tr>
      <w:tr w:rsidR="00E3678D" w:rsidRPr="00D3482E" w14:paraId="457C80FB" w14:textId="77777777" w:rsidTr="00E3678D">
        <w:trPr>
          <w:trHeight w:val="313"/>
        </w:trPr>
        <w:tc>
          <w:tcPr>
            <w:tcW w:w="1010" w:type="dxa"/>
            <w:hideMark/>
          </w:tcPr>
          <w:p w14:paraId="3DBC278F" w14:textId="77777777" w:rsidR="00FA34EA" w:rsidRPr="00D3482E" w:rsidRDefault="00FA34EA" w:rsidP="008C535D">
            <w:pPr>
              <w:rPr>
                <w:sz w:val="16"/>
                <w:szCs w:val="16"/>
              </w:rPr>
            </w:pPr>
            <w:r w:rsidRPr="00D3482E">
              <w:rPr>
                <w:sz w:val="16"/>
                <w:szCs w:val="16"/>
              </w:rPr>
              <w:t>Germany</w:t>
            </w:r>
          </w:p>
        </w:tc>
        <w:tc>
          <w:tcPr>
            <w:tcW w:w="1077" w:type="dxa"/>
            <w:vAlign w:val="center"/>
            <w:hideMark/>
          </w:tcPr>
          <w:p w14:paraId="76466DB1" w14:textId="77777777" w:rsidR="00FA34EA" w:rsidRPr="00D3482E" w:rsidRDefault="00FA34EA" w:rsidP="008C535D">
            <w:pPr>
              <w:jc w:val="center"/>
              <w:rPr>
                <w:sz w:val="16"/>
                <w:szCs w:val="16"/>
              </w:rPr>
            </w:pPr>
            <w:r w:rsidRPr="00D3482E">
              <w:rPr>
                <w:sz w:val="16"/>
                <w:szCs w:val="16"/>
              </w:rPr>
              <w:t>15946</w:t>
            </w:r>
          </w:p>
        </w:tc>
        <w:tc>
          <w:tcPr>
            <w:tcW w:w="1100" w:type="dxa"/>
            <w:vAlign w:val="center"/>
            <w:hideMark/>
          </w:tcPr>
          <w:p w14:paraId="06EB09DA" w14:textId="77777777" w:rsidR="00FA34EA" w:rsidRPr="00D3482E" w:rsidRDefault="00FA34EA" w:rsidP="008C535D">
            <w:pPr>
              <w:jc w:val="center"/>
              <w:rPr>
                <w:sz w:val="16"/>
                <w:szCs w:val="16"/>
              </w:rPr>
            </w:pPr>
            <w:r w:rsidRPr="00D3482E">
              <w:rPr>
                <w:sz w:val="16"/>
                <w:szCs w:val="16"/>
              </w:rPr>
              <w:t>1389</w:t>
            </w:r>
          </w:p>
        </w:tc>
        <w:tc>
          <w:tcPr>
            <w:tcW w:w="1378" w:type="dxa"/>
            <w:vAlign w:val="center"/>
            <w:hideMark/>
          </w:tcPr>
          <w:p w14:paraId="01E5AF10" w14:textId="77777777" w:rsidR="00FA34EA" w:rsidRPr="00D3482E" w:rsidRDefault="00FA34EA" w:rsidP="008C535D">
            <w:pPr>
              <w:jc w:val="center"/>
              <w:rPr>
                <w:sz w:val="16"/>
                <w:szCs w:val="16"/>
              </w:rPr>
            </w:pPr>
            <w:r w:rsidRPr="00D3482E">
              <w:rPr>
                <w:sz w:val="16"/>
                <w:szCs w:val="16"/>
              </w:rPr>
              <w:t>1312</w:t>
            </w:r>
          </w:p>
        </w:tc>
        <w:tc>
          <w:tcPr>
            <w:tcW w:w="776" w:type="dxa"/>
            <w:vAlign w:val="center"/>
            <w:hideMark/>
          </w:tcPr>
          <w:p w14:paraId="6379BB7F" w14:textId="77777777" w:rsidR="00FA34EA" w:rsidRPr="00D3482E" w:rsidRDefault="00FA34EA" w:rsidP="008C535D">
            <w:pPr>
              <w:jc w:val="center"/>
              <w:rPr>
                <w:sz w:val="16"/>
                <w:szCs w:val="16"/>
              </w:rPr>
            </w:pPr>
            <w:r w:rsidRPr="00D3482E">
              <w:rPr>
                <w:sz w:val="16"/>
                <w:szCs w:val="16"/>
              </w:rPr>
              <w:t>581</w:t>
            </w:r>
          </w:p>
        </w:tc>
        <w:tc>
          <w:tcPr>
            <w:tcW w:w="727" w:type="dxa"/>
            <w:vAlign w:val="center"/>
            <w:hideMark/>
          </w:tcPr>
          <w:p w14:paraId="501AEA4E" w14:textId="77777777" w:rsidR="00FA34EA" w:rsidRPr="00D3482E" w:rsidRDefault="00FA34EA" w:rsidP="008C535D">
            <w:pPr>
              <w:jc w:val="center"/>
              <w:rPr>
                <w:sz w:val="16"/>
                <w:szCs w:val="16"/>
              </w:rPr>
            </w:pPr>
            <w:r w:rsidRPr="00D3482E">
              <w:rPr>
                <w:sz w:val="16"/>
                <w:szCs w:val="16"/>
              </w:rPr>
              <w:t>42</w:t>
            </w:r>
          </w:p>
        </w:tc>
        <w:tc>
          <w:tcPr>
            <w:tcW w:w="789" w:type="dxa"/>
            <w:vAlign w:val="center"/>
            <w:hideMark/>
          </w:tcPr>
          <w:p w14:paraId="339B83C9" w14:textId="77777777" w:rsidR="00FA34EA" w:rsidRPr="00D3482E" w:rsidRDefault="00FA34EA" w:rsidP="008C535D">
            <w:pPr>
              <w:jc w:val="center"/>
              <w:rPr>
                <w:sz w:val="16"/>
                <w:szCs w:val="16"/>
              </w:rPr>
            </w:pPr>
            <w:r w:rsidRPr="00D3482E">
              <w:rPr>
                <w:sz w:val="16"/>
                <w:szCs w:val="16"/>
              </w:rPr>
              <w:t>449</w:t>
            </w:r>
          </w:p>
        </w:tc>
        <w:tc>
          <w:tcPr>
            <w:tcW w:w="652" w:type="dxa"/>
            <w:vAlign w:val="center"/>
            <w:hideMark/>
          </w:tcPr>
          <w:p w14:paraId="701B7A80" w14:textId="77777777" w:rsidR="00FA34EA" w:rsidRPr="00D3482E" w:rsidRDefault="00FA34EA" w:rsidP="008C535D">
            <w:pPr>
              <w:jc w:val="center"/>
              <w:rPr>
                <w:sz w:val="16"/>
                <w:szCs w:val="16"/>
              </w:rPr>
            </w:pPr>
            <w:r w:rsidRPr="00D3482E">
              <w:rPr>
                <w:sz w:val="16"/>
                <w:szCs w:val="16"/>
              </w:rPr>
              <w:t>34</w:t>
            </w:r>
          </w:p>
        </w:tc>
        <w:tc>
          <w:tcPr>
            <w:tcW w:w="977" w:type="dxa"/>
            <w:vAlign w:val="center"/>
            <w:hideMark/>
          </w:tcPr>
          <w:p w14:paraId="69378173" w14:textId="77777777" w:rsidR="00FA34EA" w:rsidRPr="00D3482E" w:rsidRDefault="00FA34EA" w:rsidP="008C535D">
            <w:pPr>
              <w:jc w:val="center"/>
              <w:rPr>
                <w:sz w:val="16"/>
                <w:szCs w:val="16"/>
              </w:rPr>
            </w:pPr>
            <w:r w:rsidRPr="00D3482E">
              <w:rPr>
                <w:sz w:val="16"/>
                <w:szCs w:val="16"/>
              </w:rPr>
              <w:t>174</w:t>
            </w:r>
          </w:p>
        </w:tc>
        <w:tc>
          <w:tcPr>
            <w:tcW w:w="708" w:type="dxa"/>
            <w:vAlign w:val="center"/>
            <w:hideMark/>
          </w:tcPr>
          <w:p w14:paraId="116E09D9" w14:textId="77777777" w:rsidR="00FA34EA" w:rsidRPr="00D3482E" w:rsidRDefault="00FA34EA" w:rsidP="008C535D">
            <w:pPr>
              <w:jc w:val="center"/>
              <w:rPr>
                <w:sz w:val="16"/>
                <w:szCs w:val="16"/>
              </w:rPr>
            </w:pPr>
            <w:r w:rsidRPr="00D3482E">
              <w:rPr>
                <w:sz w:val="16"/>
                <w:szCs w:val="16"/>
              </w:rPr>
              <w:t>31</w:t>
            </w:r>
          </w:p>
        </w:tc>
      </w:tr>
      <w:tr w:rsidR="00E3678D" w:rsidRPr="00D3482E" w14:paraId="2C575A3D" w14:textId="77777777" w:rsidTr="00E3678D">
        <w:trPr>
          <w:trHeight w:val="313"/>
        </w:trPr>
        <w:tc>
          <w:tcPr>
            <w:tcW w:w="1010" w:type="dxa"/>
          </w:tcPr>
          <w:p w14:paraId="546CEB08" w14:textId="77777777" w:rsidR="00FA34EA" w:rsidRPr="00D3482E" w:rsidRDefault="00FA34EA" w:rsidP="008C535D">
            <w:pPr>
              <w:rPr>
                <w:sz w:val="16"/>
                <w:szCs w:val="16"/>
              </w:rPr>
            </w:pPr>
            <w:r w:rsidRPr="00D3482E">
              <w:rPr>
                <w:sz w:val="16"/>
                <w:szCs w:val="16"/>
              </w:rPr>
              <w:t>UK</w:t>
            </w:r>
          </w:p>
        </w:tc>
        <w:tc>
          <w:tcPr>
            <w:tcW w:w="1077" w:type="dxa"/>
            <w:vAlign w:val="center"/>
          </w:tcPr>
          <w:p w14:paraId="7181878A" w14:textId="77777777" w:rsidR="00FA34EA" w:rsidRPr="00D3482E" w:rsidRDefault="00FA34EA" w:rsidP="008C535D">
            <w:pPr>
              <w:jc w:val="center"/>
              <w:rPr>
                <w:sz w:val="16"/>
                <w:szCs w:val="16"/>
              </w:rPr>
            </w:pPr>
            <w:r w:rsidRPr="00D3482E">
              <w:rPr>
                <w:sz w:val="16"/>
                <w:szCs w:val="16"/>
              </w:rPr>
              <w:t>20137</w:t>
            </w:r>
          </w:p>
        </w:tc>
        <w:tc>
          <w:tcPr>
            <w:tcW w:w="1100" w:type="dxa"/>
            <w:vAlign w:val="center"/>
          </w:tcPr>
          <w:p w14:paraId="1139C015" w14:textId="77777777" w:rsidR="00FA34EA" w:rsidRPr="00D3482E" w:rsidRDefault="00FA34EA" w:rsidP="008C535D">
            <w:pPr>
              <w:jc w:val="center"/>
              <w:rPr>
                <w:sz w:val="16"/>
                <w:szCs w:val="16"/>
              </w:rPr>
            </w:pPr>
            <w:r w:rsidRPr="00D3482E">
              <w:rPr>
                <w:sz w:val="16"/>
                <w:szCs w:val="16"/>
              </w:rPr>
              <w:t>1582</w:t>
            </w:r>
          </w:p>
        </w:tc>
        <w:tc>
          <w:tcPr>
            <w:tcW w:w="1378" w:type="dxa"/>
            <w:vAlign w:val="center"/>
          </w:tcPr>
          <w:p w14:paraId="6F8A9E59" w14:textId="77777777" w:rsidR="00FA34EA" w:rsidRPr="00D3482E" w:rsidRDefault="00FA34EA" w:rsidP="008C535D">
            <w:pPr>
              <w:jc w:val="center"/>
              <w:rPr>
                <w:sz w:val="16"/>
                <w:szCs w:val="16"/>
              </w:rPr>
            </w:pPr>
            <w:r w:rsidRPr="00D3482E">
              <w:rPr>
                <w:sz w:val="16"/>
                <w:szCs w:val="16"/>
              </w:rPr>
              <w:t>1541</w:t>
            </w:r>
          </w:p>
        </w:tc>
        <w:tc>
          <w:tcPr>
            <w:tcW w:w="776" w:type="dxa"/>
            <w:vAlign w:val="center"/>
          </w:tcPr>
          <w:p w14:paraId="33E9A96E" w14:textId="77777777" w:rsidR="00FA34EA" w:rsidRPr="00D3482E" w:rsidRDefault="00FA34EA" w:rsidP="008C535D">
            <w:pPr>
              <w:jc w:val="center"/>
              <w:rPr>
                <w:sz w:val="16"/>
                <w:szCs w:val="16"/>
              </w:rPr>
            </w:pPr>
            <w:r w:rsidRPr="00D3482E">
              <w:rPr>
                <w:sz w:val="16"/>
                <w:szCs w:val="16"/>
              </w:rPr>
              <w:t>1093</w:t>
            </w:r>
          </w:p>
        </w:tc>
        <w:tc>
          <w:tcPr>
            <w:tcW w:w="727" w:type="dxa"/>
            <w:vAlign w:val="center"/>
          </w:tcPr>
          <w:p w14:paraId="2615A66C" w14:textId="77777777" w:rsidR="00FA34EA" w:rsidRPr="00D3482E" w:rsidRDefault="00FA34EA" w:rsidP="008C535D">
            <w:pPr>
              <w:jc w:val="center"/>
              <w:rPr>
                <w:sz w:val="16"/>
                <w:szCs w:val="16"/>
              </w:rPr>
            </w:pPr>
            <w:r w:rsidRPr="00D3482E">
              <w:rPr>
                <w:sz w:val="16"/>
                <w:szCs w:val="16"/>
              </w:rPr>
              <w:t>69</w:t>
            </w:r>
          </w:p>
        </w:tc>
        <w:tc>
          <w:tcPr>
            <w:tcW w:w="789" w:type="dxa"/>
            <w:vAlign w:val="center"/>
          </w:tcPr>
          <w:p w14:paraId="279E3F53" w14:textId="77777777" w:rsidR="00FA34EA" w:rsidRPr="00D3482E" w:rsidRDefault="00FA34EA" w:rsidP="008C535D">
            <w:pPr>
              <w:jc w:val="center"/>
              <w:rPr>
                <w:sz w:val="16"/>
                <w:szCs w:val="16"/>
              </w:rPr>
            </w:pPr>
            <w:r w:rsidRPr="00D3482E">
              <w:rPr>
                <w:sz w:val="16"/>
                <w:szCs w:val="16"/>
              </w:rPr>
              <w:t>525</w:t>
            </w:r>
          </w:p>
        </w:tc>
        <w:tc>
          <w:tcPr>
            <w:tcW w:w="652" w:type="dxa"/>
            <w:vAlign w:val="center"/>
          </w:tcPr>
          <w:p w14:paraId="7CF00E91" w14:textId="77777777" w:rsidR="00FA34EA" w:rsidRPr="00D3482E" w:rsidRDefault="00FA34EA" w:rsidP="008C535D">
            <w:pPr>
              <w:jc w:val="center"/>
              <w:rPr>
                <w:sz w:val="16"/>
                <w:szCs w:val="16"/>
              </w:rPr>
            </w:pPr>
            <w:r w:rsidRPr="00D3482E">
              <w:rPr>
                <w:sz w:val="16"/>
                <w:szCs w:val="16"/>
              </w:rPr>
              <w:t>34</w:t>
            </w:r>
          </w:p>
        </w:tc>
        <w:tc>
          <w:tcPr>
            <w:tcW w:w="977" w:type="dxa"/>
            <w:vAlign w:val="center"/>
          </w:tcPr>
          <w:p w14:paraId="206BD274" w14:textId="77777777" w:rsidR="00FA34EA" w:rsidRPr="00D3482E" w:rsidRDefault="00FA34EA" w:rsidP="008C535D">
            <w:pPr>
              <w:jc w:val="center"/>
              <w:rPr>
                <w:sz w:val="16"/>
                <w:szCs w:val="16"/>
              </w:rPr>
            </w:pPr>
            <w:r w:rsidRPr="00D3482E">
              <w:rPr>
                <w:sz w:val="16"/>
                <w:szCs w:val="16"/>
              </w:rPr>
              <w:t>375</w:t>
            </w:r>
          </w:p>
        </w:tc>
        <w:tc>
          <w:tcPr>
            <w:tcW w:w="708" w:type="dxa"/>
            <w:vAlign w:val="center"/>
          </w:tcPr>
          <w:p w14:paraId="637576B1" w14:textId="77777777" w:rsidR="00FA34EA" w:rsidRPr="00D3482E" w:rsidRDefault="00FA34EA" w:rsidP="008C535D">
            <w:pPr>
              <w:jc w:val="center"/>
              <w:rPr>
                <w:sz w:val="16"/>
                <w:szCs w:val="16"/>
              </w:rPr>
            </w:pPr>
            <w:r w:rsidRPr="00D3482E">
              <w:rPr>
                <w:sz w:val="16"/>
                <w:szCs w:val="16"/>
              </w:rPr>
              <w:t>35</w:t>
            </w:r>
          </w:p>
        </w:tc>
      </w:tr>
    </w:tbl>
    <w:p w14:paraId="2E2DAC41" w14:textId="77777777" w:rsidR="00FA34EA" w:rsidRPr="00D3482E" w:rsidRDefault="00FA34EA" w:rsidP="00FA34EA">
      <w:pPr>
        <w:rPr>
          <w:sz w:val="16"/>
          <w:szCs w:val="16"/>
          <w:lang w:val="en-US"/>
        </w:rPr>
      </w:pPr>
      <w:r w:rsidRPr="00D3482E">
        <w:rPr>
          <w:sz w:val="16"/>
          <w:szCs w:val="16"/>
          <w:lang w:val="en-US"/>
        </w:rPr>
        <w:t>Source: Luxembourg Income Study 2013 (Australia 2010)</w:t>
      </w:r>
      <w:r w:rsidRPr="00D3482E">
        <w:rPr>
          <w:sz w:val="16"/>
          <w:szCs w:val="16"/>
          <w:lang w:val="en-US"/>
        </w:rPr>
        <w:tab/>
      </w:r>
    </w:p>
    <w:p w14:paraId="29360824" w14:textId="77777777" w:rsidR="00FA34EA" w:rsidRPr="00D3482E" w:rsidRDefault="00FA34EA" w:rsidP="00FA34EA">
      <w:pPr>
        <w:rPr>
          <w:sz w:val="16"/>
          <w:szCs w:val="16"/>
          <w:lang w:val="en-US"/>
        </w:rPr>
      </w:pPr>
      <w:r w:rsidRPr="00D3482E">
        <w:rPr>
          <w:sz w:val="16"/>
          <w:szCs w:val="16"/>
          <w:lang w:val="en-US"/>
        </w:rPr>
        <w:t xml:space="preserve">Note: weighted frequencies. Widows excluded in figures on lone parents receiving child maintenance. </w:t>
      </w:r>
    </w:p>
    <w:p w14:paraId="18E30E58" w14:textId="77777777" w:rsidR="00FA34EA" w:rsidRPr="00D3482E" w:rsidRDefault="00FA34EA" w:rsidP="00FA34EA">
      <w:pPr>
        <w:rPr>
          <w:sz w:val="16"/>
          <w:szCs w:val="16"/>
          <w:lang w:val="en-US"/>
        </w:rPr>
      </w:pPr>
      <w:r w:rsidRPr="00D3482E">
        <w:rPr>
          <w:sz w:val="16"/>
          <w:szCs w:val="16"/>
          <w:lang w:val="en-US"/>
        </w:rPr>
        <w:t>Child maintenance in Germany and Finland also includes advanced maintenance</w:t>
      </w:r>
    </w:p>
    <w:p w14:paraId="59AA0176" w14:textId="77777777" w:rsidR="00FA34EA" w:rsidRPr="00D3482E" w:rsidRDefault="00FA34EA" w:rsidP="00FA34EA"/>
    <w:p w14:paraId="56D0FBF7" w14:textId="77777777" w:rsidR="00FA34EA" w:rsidRPr="003A6F2C" w:rsidRDefault="00FA34EA" w:rsidP="00FA34EA">
      <w:pPr>
        <w:spacing w:line="360" w:lineRule="auto"/>
        <w:rPr>
          <w:sz w:val="20"/>
          <w:szCs w:val="20"/>
        </w:rPr>
      </w:pPr>
    </w:p>
    <w:p w14:paraId="56738A7C" w14:textId="03691889" w:rsidR="00FA34EA" w:rsidRDefault="00FA34EA">
      <w:pPr>
        <w:spacing w:after="200" w:line="276" w:lineRule="auto"/>
      </w:pPr>
      <w:r>
        <w:br w:type="page"/>
      </w:r>
    </w:p>
    <w:p w14:paraId="367CB0C6" w14:textId="77777777" w:rsidR="00FA34EA" w:rsidRPr="00413209" w:rsidRDefault="00FA34EA" w:rsidP="00FA34EA">
      <w:pPr>
        <w:rPr>
          <w:sz w:val="20"/>
          <w:szCs w:val="20"/>
          <w:lang w:val="en-US"/>
        </w:rPr>
      </w:pPr>
      <w:r w:rsidRPr="00413209">
        <w:rPr>
          <w:sz w:val="20"/>
          <w:szCs w:val="20"/>
          <w:lang w:val="en-US"/>
        </w:rPr>
        <w:lastRenderedPageBreak/>
        <w:t>Table 3. Child poverty rates (using 50 percent median disposable income thre</w:t>
      </w:r>
      <w:r>
        <w:rPr>
          <w:sz w:val="20"/>
          <w:szCs w:val="20"/>
          <w:lang w:val="en-US"/>
        </w:rPr>
        <w:t>shold) for lone parent families and</w:t>
      </w:r>
      <w:r w:rsidRPr="00413209">
        <w:rPr>
          <w:sz w:val="20"/>
          <w:szCs w:val="20"/>
          <w:lang w:val="en-US"/>
        </w:rPr>
        <w:t xml:space="preserve"> for those receiving CM and those not receiving CM (%), 2013</w:t>
      </w:r>
    </w:p>
    <w:p w14:paraId="68966488" w14:textId="77777777" w:rsidR="00FA34EA" w:rsidRPr="00413209" w:rsidRDefault="00FA34EA" w:rsidP="00FA34EA">
      <w:pPr>
        <w:rPr>
          <w:sz w:val="20"/>
          <w:szCs w:val="20"/>
          <w:lang w:val="en-US"/>
        </w:rPr>
      </w:pPr>
    </w:p>
    <w:tbl>
      <w:tblPr>
        <w:tblStyle w:val="TableGrid1"/>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76"/>
        <w:gridCol w:w="1559"/>
        <w:gridCol w:w="1418"/>
        <w:gridCol w:w="1843"/>
        <w:gridCol w:w="1701"/>
      </w:tblGrid>
      <w:tr w:rsidR="00FA34EA" w:rsidRPr="00413209" w14:paraId="67C489F5" w14:textId="77777777" w:rsidTr="008C535D">
        <w:trPr>
          <w:trHeight w:val="1107"/>
        </w:trPr>
        <w:tc>
          <w:tcPr>
            <w:tcW w:w="1242" w:type="dxa"/>
            <w:hideMark/>
          </w:tcPr>
          <w:p w14:paraId="6C9BB5FB" w14:textId="77777777" w:rsidR="00FA34EA" w:rsidRPr="00413209" w:rsidRDefault="00FA34EA" w:rsidP="008C535D">
            <w:pPr>
              <w:rPr>
                <w:color w:val="000000"/>
                <w:sz w:val="20"/>
                <w:szCs w:val="20"/>
                <w:lang w:val="en-US" w:eastAsia="en-US"/>
              </w:rPr>
            </w:pPr>
            <w:r w:rsidRPr="00413209">
              <w:rPr>
                <w:color w:val="000000"/>
                <w:sz w:val="20"/>
                <w:szCs w:val="20"/>
                <w:lang w:val="en-US" w:eastAsia="en-US"/>
              </w:rPr>
              <w:t> </w:t>
            </w:r>
          </w:p>
        </w:tc>
        <w:tc>
          <w:tcPr>
            <w:tcW w:w="1276" w:type="dxa"/>
            <w:tcBorders>
              <w:top w:val="single" w:sz="4" w:space="0" w:color="auto"/>
              <w:bottom w:val="single" w:sz="4" w:space="0" w:color="auto"/>
            </w:tcBorders>
            <w:hideMark/>
          </w:tcPr>
          <w:p w14:paraId="2CA152B3"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All families with children</w:t>
            </w:r>
          </w:p>
          <w:p w14:paraId="43EE61E3"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w:t>
            </w:r>
          </w:p>
        </w:tc>
        <w:tc>
          <w:tcPr>
            <w:tcW w:w="1559" w:type="dxa"/>
            <w:tcBorders>
              <w:top w:val="single" w:sz="4" w:space="0" w:color="auto"/>
              <w:bottom w:val="single" w:sz="4" w:space="0" w:color="auto"/>
            </w:tcBorders>
            <w:hideMark/>
          </w:tcPr>
          <w:p w14:paraId="2B2E1888"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All lone parent families</w:t>
            </w:r>
          </w:p>
          <w:p w14:paraId="226FF5CC"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w:t>
            </w:r>
          </w:p>
        </w:tc>
        <w:tc>
          <w:tcPr>
            <w:tcW w:w="1418" w:type="dxa"/>
            <w:tcBorders>
              <w:top w:val="single" w:sz="4" w:space="0" w:color="auto"/>
              <w:bottom w:val="single" w:sz="4" w:space="0" w:color="auto"/>
            </w:tcBorders>
          </w:tcPr>
          <w:p w14:paraId="3C354529" w14:textId="77777777" w:rsidR="00FA34EA" w:rsidRPr="00413209" w:rsidRDefault="00FA34EA" w:rsidP="008C535D">
            <w:pPr>
              <w:jc w:val="center"/>
              <w:rPr>
                <w:sz w:val="20"/>
                <w:szCs w:val="20"/>
              </w:rPr>
            </w:pPr>
            <w:r w:rsidRPr="00413209">
              <w:rPr>
                <w:sz w:val="20"/>
                <w:szCs w:val="20"/>
              </w:rPr>
              <w:t>Lone parents in receipt of SA</w:t>
            </w:r>
          </w:p>
          <w:p w14:paraId="62AB1C9F" w14:textId="77777777" w:rsidR="00FA34EA" w:rsidRPr="00413209" w:rsidRDefault="00FA34EA" w:rsidP="008C535D">
            <w:pPr>
              <w:jc w:val="center"/>
              <w:rPr>
                <w:color w:val="000000"/>
                <w:sz w:val="20"/>
                <w:szCs w:val="20"/>
                <w:lang w:val="en-US" w:eastAsia="en-US"/>
              </w:rPr>
            </w:pPr>
            <w:r w:rsidRPr="00413209">
              <w:rPr>
                <w:sz w:val="20"/>
                <w:szCs w:val="20"/>
              </w:rPr>
              <w:t>%</w:t>
            </w:r>
          </w:p>
        </w:tc>
        <w:tc>
          <w:tcPr>
            <w:tcW w:w="1843" w:type="dxa"/>
            <w:tcBorders>
              <w:top w:val="single" w:sz="4" w:space="0" w:color="auto"/>
              <w:bottom w:val="single" w:sz="4" w:space="0" w:color="auto"/>
            </w:tcBorders>
          </w:tcPr>
          <w:p w14:paraId="5975DAB9" w14:textId="77777777" w:rsidR="00FA34EA" w:rsidRPr="00413209" w:rsidRDefault="00FA34EA" w:rsidP="008C535D">
            <w:pPr>
              <w:jc w:val="center"/>
              <w:rPr>
                <w:color w:val="000000"/>
                <w:sz w:val="20"/>
                <w:szCs w:val="20"/>
                <w:lang w:val="en-US" w:eastAsia="en-US"/>
              </w:rPr>
            </w:pPr>
            <w:r w:rsidRPr="00413209">
              <w:rPr>
                <w:color w:val="000000"/>
                <w:sz w:val="20"/>
                <w:szCs w:val="20"/>
                <w:lang w:val="en-US" w:eastAsia="en-US"/>
              </w:rPr>
              <w:t>Lone parent families not receiving CM</w:t>
            </w:r>
          </w:p>
          <w:p w14:paraId="1954D8AE" w14:textId="77777777" w:rsidR="00FA34EA" w:rsidRPr="00413209" w:rsidRDefault="00FA34EA" w:rsidP="008C535D">
            <w:pPr>
              <w:jc w:val="center"/>
              <w:rPr>
                <w:color w:val="000000"/>
                <w:sz w:val="20"/>
                <w:szCs w:val="20"/>
                <w:lang w:val="en-US" w:eastAsia="en-US"/>
              </w:rPr>
            </w:pPr>
            <w:r w:rsidRPr="00413209">
              <w:rPr>
                <w:color w:val="000000"/>
                <w:sz w:val="20"/>
                <w:szCs w:val="20"/>
                <w:lang w:val="en-US" w:eastAsia="en-US"/>
              </w:rPr>
              <w:t>%</w:t>
            </w:r>
          </w:p>
        </w:tc>
        <w:tc>
          <w:tcPr>
            <w:tcW w:w="1701" w:type="dxa"/>
            <w:tcBorders>
              <w:top w:val="single" w:sz="4" w:space="0" w:color="auto"/>
              <w:bottom w:val="single" w:sz="4" w:space="0" w:color="auto"/>
            </w:tcBorders>
            <w:hideMark/>
          </w:tcPr>
          <w:p w14:paraId="67094D25" w14:textId="77777777" w:rsidR="00FA34EA" w:rsidRPr="00413209" w:rsidRDefault="00FA34EA" w:rsidP="008C535D">
            <w:pPr>
              <w:jc w:val="center"/>
              <w:rPr>
                <w:color w:val="000000"/>
                <w:sz w:val="20"/>
                <w:szCs w:val="20"/>
                <w:lang w:val="en-US" w:eastAsia="en-US"/>
              </w:rPr>
            </w:pPr>
            <w:r w:rsidRPr="00413209">
              <w:rPr>
                <w:color w:val="000000"/>
                <w:sz w:val="20"/>
                <w:szCs w:val="20"/>
                <w:lang w:val="en-US" w:eastAsia="en-US"/>
              </w:rPr>
              <w:t>Lone parent families receiving CM</w:t>
            </w:r>
          </w:p>
          <w:p w14:paraId="6AE17EA6" w14:textId="77777777" w:rsidR="00FA34EA" w:rsidRPr="00413209" w:rsidRDefault="00FA34EA" w:rsidP="008C535D">
            <w:pPr>
              <w:jc w:val="center"/>
              <w:rPr>
                <w:color w:val="000000"/>
                <w:sz w:val="20"/>
                <w:szCs w:val="20"/>
                <w:lang w:val="en-US" w:eastAsia="en-US"/>
              </w:rPr>
            </w:pPr>
            <w:r w:rsidRPr="00413209">
              <w:rPr>
                <w:color w:val="000000"/>
                <w:sz w:val="20"/>
                <w:szCs w:val="20"/>
                <w:lang w:val="en-US" w:eastAsia="en-US"/>
              </w:rPr>
              <w:t>%</w:t>
            </w:r>
          </w:p>
        </w:tc>
      </w:tr>
      <w:tr w:rsidR="00FA34EA" w:rsidRPr="00413209" w14:paraId="6C8AC769" w14:textId="77777777" w:rsidTr="008C535D">
        <w:trPr>
          <w:trHeight w:val="384"/>
        </w:trPr>
        <w:tc>
          <w:tcPr>
            <w:tcW w:w="1242" w:type="dxa"/>
            <w:hideMark/>
          </w:tcPr>
          <w:p w14:paraId="79ED6C51" w14:textId="77777777" w:rsidR="00FA34EA" w:rsidRPr="00413209" w:rsidRDefault="00FA34EA" w:rsidP="008C535D">
            <w:pPr>
              <w:rPr>
                <w:color w:val="000000"/>
                <w:sz w:val="20"/>
                <w:szCs w:val="20"/>
                <w:lang w:val="fi-FI" w:eastAsia="en-US"/>
              </w:rPr>
            </w:pPr>
            <w:r w:rsidRPr="00413209">
              <w:rPr>
                <w:color w:val="000000"/>
                <w:sz w:val="20"/>
                <w:szCs w:val="20"/>
                <w:lang w:val="fi-FI" w:eastAsia="en-US"/>
              </w:rPr>
              <w:t>Australia</w:t>
            </w:r>
          </w:p>
        </w:tc>
        <w:tc>
          <w:tcPr>
            <w:tcW w:w="1276" w:type="dxa"/>
            <w:tcBorders>
              <w:top w:val="single" w:sz="4" w:space="0" w:color="auto"/>
            </w:tcBorders>
            <w:hideMark/>
          </w:tcPr>
          <w:p w14:paraId="24616A58"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15</w:t>
            </w:r>
          </w:p>
        </w:tc>
        <w:tc>
          <w:tcPr>
            <w:tcW w:w="1559" w:type="dxa"/>
            <w:tcBorders>
              <w:top w:val="single" w:sz="4" w:space="0" w:color="auto"/>
            </w:tcBorders>
            <w:hideMark/>
          </w:tcPr>
          <w:p w14:paraId="483982D1"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41</w:t>
            </w:r>
          </w:p>
        </w:tc>
        <w:tc>
          <w:tcPr>
            <w:tcW w:w="1418" w:type="dxa"/>
            <w:tcBorders>
              <w:top w:val="single" w:sz="4" w:space="0" w:color="auto"/>
            </w:tcBorders>
          </w:tcPr>
          <w:p w14:paraId="615C6563"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46</w:t>
            </w:r>
          </w:p>
        </w:tc>
        <w:tc>
          <w:tcPr>
            <w:tcW w:w="1843" w:type="dxa"/>
            <w:tcBorders>
              <w:top w:val="single" w:sz="4" w:space="0" w:color="auto"/>
            </w:tcBorders>
          </w:tcPr>
          <w:p w14:paraId="30AA8286"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48</w:t>
            </w:r>
          </w:p>
        </w:tc>
        <w:tc>
          <w:tcPr>
            <w:tcW w:w="1701" w:type="dxa"/>
            <w:tcBorders>
              <w:top w:val="single" w:sz="4" w:space="0" w:color="auto"/>
            </w:tcBorders>
            <w:hideMark/>
          </w:tcPr>
          <w:p w14:paraId="185E1650"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33</w:t>
            </w:r>
          </w:p>
        </w:tc>
      </w:tr>
      <w:tr w:rsidR="00FA34EA" w:rsidRPr="00413209" w14:paraId="554DDD02" w14:textId="77777777" w:rsidTr="008C535D">
        <w:trPr>
          <w:trHeight w:val="384"/>
        </w:trPr>
        <w:tc>
          <w:tcPr>
            <w:tcW w:w="1242" w:type="dxa"/>
            <w:hideMark/>
          </w:tcPr>
          <w:p w14:paraId="23110ADF" w14:textId="77777777" w:rsidR="00FA34EA" w:rsidRPr="00413209" w:rsidRDefault="00FA34EA" w:rsidP="008C535D">
            <w:pPr>
              <w:rPr>
                <w:color w:val="000000"/>
                <w:sz w:val="20"/>
                <w:szCs w:val="20"/>
                <w:lang w:val="fi-FI" w:eastAsia="en-US"/>
              </w:rPr>
            </w:pPr>
            <w:r w:rsidRPr="00413209">
              <w:rPr>
                <w:color w:val="000000"/>
                <w:sz w:val="20"/>
                <w:szCs w:val="20"/>
                <w:lang w:val="fi-FI" w:eastAsia="en-US"/>
              </w:rPr>
              <w:t>Finland</w:t>
            </w:r>
          </w:p>
        </w:tc>
        <w:tc>
          <w:tcPr>
            <w:tcW w:w="1276" w:type="dxa"/>
            <w:hideMark/>
          </w:tcPr>
          <w:p w14:paraId="5FDACD13"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5</w:t>
            </w:r>
          </w:p>
        </w:tc>
        <w:tc>
          <w:tcPr>
            <w:tcW w:w="1559" w:type="dxa"/>
            <w:hideMark/>
          </w:tcPr>
          <w:p w14:paraId="67FA375A"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17</w:t>
            </w:r>
          </w:p>
        </w:tc>
        <w:tc>
          <w:tcPr>
            <w:tcW w:w="1418" w:type="dxa"/>
          </w:tcPr>
          <w:p w14:paraId="052A75A7"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26</w:t>
            </w:r>
          </w:p>
        </w:tc>
        <w:tc>
          <w:tcPr>
            <w:tcW w:w="1843" w:type="dxa"/>
          </w:tcPr>
          <w:p w14:paraId="48F0481B"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28</w:t>
            </w:r>
          </w:p>
        </w:tc>
        <w:tc>
          <w:tcPr>
            <w:tcW w:w="1701" w:type="dxa"/>
            <w:hideMark/>
          </w:tcPr>
          <w:p w14:paraId="450B15BD"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14</w:t>
            </w:r>
          </w:p>
        </w:tc>
      </w:tr>
      <w:tr w:rsidR="00FA34EA" w:rsidRPr="00413209" w14:paraId="4D695BFD" w14:textId="77777777" w:rsidTr="008C535D">
        <w:trPr>
          <w:trHeight w:val="384"/>
        </w:trPr>
        <w:tc>
          <w:tcPr>
            <w:tcW w:w="1242" w:type="dxa"/>
            <w:hideMark/>
          </w:tcPr>
          <w:p w14:paraId="27247E67" w14:textId="77777777" w:rsidR="00FA34EA" w:rsidRPr="00413209" w:rsidRDefault="00FA34EA" w:rsidP="008C535D">
            <w:pPr>
              <w:rPr>
                <w:color w:val="000000"/>
                <w:sz w:val="20"/>
                <w:szCs w:val="20"/>
                <w:lang w:val="fi-FI" w:eastAsia="en-US"/>
              </w:rPr>
            </w:pPr>
            <w:r w:rsidRPr="00413209">
              <w:rPr>
                <w:color w:val="000000"/>
                <w:sz w:val="20"/>
                <w:szCs w:val="20"/>
                <w:lang w:val="fi-FI" w:eastAsia="en-US"/>
              </w:rPr>
              <w:t>Germany</w:t>
            </w:r>
          </w:p>
        </w:tc>
        <w:tc>
          <w:tcPr>
            <w:tcW w:w="1276" w:type="dxa"/>
            <w:hideMark/>
          </w:tcPr>
          <w:p w14:paraId="3E1205BE"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10</w:t>
            </w:r>
          </w:p>
        </w:tc>
        <w:tc>
          <w:tcPr>
            <w:tcW w:w="1559" w:type="dxa"/>
            <w:hideMark/>
          </w:tcPr>
          <w:p w14:paraId="54731912"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37</w:t>
            </w:r>
          </w:p>
        </w:tc>
        <w:tc>
          <w:tcPr>
            <w:tcW w:w="1418" w:type="dxa"/>
          </w:tcPr>
          <w:p w14:paraId="5E95B994"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51</w:t>
            </w:r>
          </w:p>
        </w:tc>
        <w:tc>
          <w:tcPr>
            <w:tcW w:w="1843" w:type="dxa"/>
          </w:tcPr>
          <w:p w14:paraId="30FD4E24"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41</w:t>
            </w:r>
          </w:p>
        </w:tc>
        <w:tc>
          <w:tcPr>
            <w:tcW w:w="1701" w:type="dxa"/>
            <w:hideMark/>
          </w:tcPr>
          <w:p w14:paraId="00AB79B9"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30</w:t>
            </w:r>
          </w:p>
        </w:tc>
      </w:tr>
      <w:tr w:rsidR="00FA34EA" w:rsidRPr="00413209" w14:paraId="05439263" w14:textId="77777777" w:rsidTr="008C535D">
        <w:trPr>
          <w:trHeight w:val="384"/>
        </w:trPr>
        <w:tc>
          <w:tcPr>
            <w:tcW w:w="1242" w:type="dxa"/>
          </w:tcPr>
          <w:p w14:paraId="5DFAD213" w14:textId="77777777" w:rsidR="00FA34EA" w:rsidRPr="00413209" w:rsidRDefault="00FA34EA" w:rsidP="008C535D">
            <w:pPr>
              <w:rPr>
                <w:color w:val="000000"/>
                <w:sz w:val="20"/>
                <w:szCs w:val="20"/>
                <w:lang w:val="fi-FI" w:eastAsia="en-US"/>
              </w:rPr>
            </w:pPr>
            <w:r w:rsidRPr="00413209">
              <w:rPr>
                <w:color w:val="000000"/>
                <w:sz w:val="20"/>
                <w:szCs w:val="20"/>
                <w:lang w:val="fi-FI" w:eastAsia="en-US"/>
              </w:rPr>
              <w:t>UK</w:t>
            </w:r>
          </w:p>
        </w:tc>
        <w:tc>
          <w:tcPr>
            <w:tcW w:w="1276" w:type="dxa"/>
          </w:tcPr>
          <w:p w14:paraId="7A5A0E0C"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8</w:t>
            </w:r>
          </w:p>
        </w:tc>
        <w:tc>
          <w:tcPr>
            <w:tcW w:w="1559" w:type="dxa"/>
          </w:tcPr>
          <w:p w14:paraId="6BD9D8D2"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13</w:t>
            </w:r>
          </w:p>
        </w:tc>
        <w:tc>
          <w:tcPr>
            <w:tcW w:w="1418" w:type="dxa"/>
          </w:tcPr>
          <w:p w14:paraId="1F5FD0E0"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12</w:t>
            </w:r>
          </w:p>
        </w:tc>
        <w:tc>
          <w:tcPr>
            <w:tcW w:w="1843" w:type="dxa"/>
          </w:tcPr>
          <w:p w14:paraId="39DCDA19"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18</w:t>
            </w:r>
          </w:p>
        </w:tc>
        <w:tc>
          <w:tcPr>
            <w:tcW w:w="1701" w:type="dxa"/>
          </w:tcPr>
          <w:p w14:paraId="68A7B7D0" w14:textId="77777777" w:rsidR="00FA34EA" w:rsidRPr="00413209" w:rsidRDefault="00FA34EA" w:rsidP="008C535D">
            <w:pPr>
              <w:jc w:val="center"/>
              <w:rPr>
                <w:color w:val="000000"/>
                <w:sz w:val="20"/>
                <w:szCs w:val="20"/>
                <w:lang w:val="fi-FI" w:eastAsia="en-US"/>
              </w:rPr>
            </w:pPr>
            <w:r w:rsidRPr="00413209">
              <w:rPr>
                <w:color w:val="000000"/>
                <w:sz w:val="20"/>
                <w:szCs w:val="20"/>
                <w:lang w:val="fi-FI" w:eastAsia="en-US"/>
              </w:rPr>
              <w:t>5</w:t>
            </w:r>
          </w:p>
        </w:tc>
      </w:tr>
    </w:tbl>
    <w:p w14:paraId="0C53A20E" w14:textId="77777777" w:rsidR="00FA34EA" w:rsidRPr="00413209" w:rsidRDefault="00FA34EA" w:rsidP="00FA34EA">
      <w:pPr>
        <w:rPr>
          <w:sz w:val="16"/>
          <w:szCs w:val="16"/>
          <w:lang w:val="en-US"/>
        </w:rPr>
      </w:pPr>
      <w:r w:rsidRPr="00413209">
        <w:rPr>
          <w:sz w:val="16"/>
          <w:szCs w:val="16"/>
          <w:lang w:val="en-US"/>
        </w:rPr>
        <w:t>Source: Luxembourg Income Study 2013 (Australia 2010)</w:t>
      </w:r>
      <w:r w:rsidRPr="00413209">
        <w:rPr>
          <w:sz w:val="16"/>
          <w:szCs w:val="16"/>
          <w:lang w:val="en-US"/>
        </w:rPr>
        <w:tab/>
      </w:r>
    </w:p>
    <w:p w14:paraId="7F7CAE80" w14:textId="77777777" w:rsidR="00FA34EA" w:rsidRPr="00413209" w:rsidRDefault="00FA34EA" w:rsidP="00FA34EA">
      <w:pPr>
        <w:rPr>
          <w:sz w:val="16"/>
          <w:szCs w:val="16"/>
          <w:lang w:val="en-US"/>
        </w:rPr>
      </w:pPr>
      <w:r w:rsidRPr="00413209">
        <w:rPr>
          <w:sz w:val="16"/>
          <w:szCs w:val="16"/>
          <w:lang w:val="en-US"/>
        </w:rPr>
        <w:t>Note: Widows excluded in figures on lone parents receiving child maintenance. Child maintenance in Germany and Finland also includes advanced maintenance</w:t>
      </w:r>
    </w:p>
    <w:p w14:paraId="6D3F6646" w14:textId="77777777" w:rsidR="00FA34EA" w:rsidRPr="00413209" w:rsidRDefault="00FA34EA" w:rsidP="00FA34EA">
      <w:pPr>
        <w:rPr>
          <w:sz w:val="20"/>
          <w:szCs w:val="20"/>
        </w:rPr>
      </w:pPr>
    </w:p>
    <w:p w14:paraId="71DEE17C" w14:textId="77777777" w:rsidR="00FA34EA" w:rsidRDefault="00FA34EA" w:rsidP="00712393">
      <w:pPr>
        <w:spacing w:after="200" w:line="276" w:lineRule="auto"/>
      </w:pPr>
    </w:p>
    <w:p w14:paraId="60A78971" w14:textId="77777777" w:rsidR="00FA34EA" w:rsidRDefault="00FA34EA" w:rsidP="00FA34EA">
      <w:pPr>
        <w:rPr>
          <w:sz w:val="20"/>
          <w:szCs w:val="20"/>
          <w:lang w:val="en-US"/>
        </w:rPr>
      </w:pPr>
      <w:r w:rsidRPr="008454E1">
        <w:rPr>
          <w:sz w:val="20"/>
          <w:szCs w:val="20"/>
          <w:lang w:val="en-US"/>
        </w:rPr>
        <w:t>Table 4. Child poverty rates (50 % of median income threshold) for lone parent families receiving child maintenance before and after considering child maintenance payments, %</w:t>
      </w:r>
    </w:p>
    <w:p w14:paraId="16508D85" w14:textId="77777777" w:rsidR="00FA34EA" w:rsidRPr="008454E1" w:rsidRDefault="00FA34EA" w:rsidP="00FA34EA">
      <w:pPr>
        <w:rPr>
          <w:sz w:val="20"/>
          <w:szCs w:val="20"/>
          <w:lang w:val="en-US"/>
        </w:rPr>
      </w:pPr>
    </w:p>
    <w:tbl>
      <w:tblPr>
        <w:tblStyle w:val="TableGridLight1"/>
        <w:tblW w:w="903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1255"/>
        <w:gridCol w:w="1340"/>
        <w:gridCol w:w="1461"/>
        <w:gridCol w:w="1435"/>
        <w:gridCol w:w="1310"/>
        <w:gridCol w:w="1276"/>
      </w:tblGrid>
      <w:tr w:rsidR="00FA34EA" w:rsidRPr="008454E1" w14:paraId="191E526D" w14:textId="77777777" w:rsidTr="008C535D">
        <w:trPr>
          <w:trHeight w:val="328"/>
        </w:trPr>
        <w:tc>
          <w:tcPr>
            <w:tcW w:w="962" w:type="dxa"/>
            <w:hideMark/>
          </w:tcPr>
          <w:p w14:paraId="2B51D626" w14:textId="77777777" w:rsidR="00FA34EA" w:rsidRPr="008454E1" w:rsidRDefault="00FA34EA" w:rsidP="008C535D">
            <w:pPr>
              <w:rPr>
                <w:sz w:val="20"/>
                <w:szCs w:val="20"/>
                <w:lang w:val="en-AU" w:eastAsia="en-AU"/>
              </w:rPr>
            </w:pPr>
            <w:r w:rsidRPr="008454E1">
              <w:rPr>
                <w:sz w:val="20"/>
                <w:szCs w:val="20"/>
                <w:lang w:val="en-AU" w:eastAsia="en-AU"/>
              </w:rPr>
              <w:t> </w:t>
            </w:r>
          </w:p>
        </w:tc>
        <w:tc>
          <w:tcPr>
            <w:tcW w:w="2595" w:type="dxa"/>
            <w:gridSpan w:val="2"/>
            <w:tcBorders>
              <w:bottom w:val="nil"/>
            </w:tcBorders>
            <w:hideMark/>
          </w:tcPr>
          <w:p w14:paraId="7D91376F" w14:textId="77777777" w:rsidR="00FA34EA" w:rsidRPr="008454E1" w:rsidRDefault="00FA34EA" w:rsidP="008C535D">
            <w:pPr>
              <w:jc w:val="center"/>
              <w:rPr>
                <w:sz w:val="20"/>
                <w:szCs w:val="20"/>
                <w:lang w:val="en-AU" w:eastAsia="en-AU"/>
              </w:rPr>
            </w:pPr>
            <w:r w:rsidRPr="008454E1">
              <w:rPr>
                <w:sz w:val="20"/>
                <w:szCs w:val="20"/>
                <w:lang w:val="en-AU" w:eastAsia="en-AU"/>
              </w:rPr>
              <w:t>All lone parents</w:t>
            </w:r>
          </w:p>
        </w:tc>
        <w:tc>
          <w:tcPr>
            <w:tcW w:w="2896" w:type="dxa"/>
            <w:gridSpan w:val="2"/>
            <w:tcBorders>
              <w:bottom w:val="nil"/>
            </w:tcBorders>
            <w:hideMark/>
          </w:tcPr>
          <w:p w14:paraId="4708900A" w14:textId="77777777" w:rsidR="00FA34EA" w:rsidRPr="008454E1" w:rsidRDefault="00FA34EA" w:rsidP="008C535D">
            <w:pPr>
              <w:jc w:val="center"/>
              <w:rPr>
                <w:sz w:val="20"/>
                <w:szCs w:val="20"/>
                <w:lang w:val="en-AU" w:eastAsia="en-AU"/>
              </w:rPr>
            </w:pPr>
            <w:r w:rsidRPr="008454E1">
              <w:rPr>
                <w:sz w:val="20"/>
                <w:szCs w:val="20"/>
                <w:lang w:val="en-AU" w:eastAsia="en-AU"/>
              </w:rPr>
              <w:t>Lone parents not receipt of SA</w:t>
            </w:r>
          </w:p>
        </w:tc>
        <w:tc>
          <w:tcPr>
            <w:tcW w:w="2586" w:type="dxa"/>
            <w:gridSpan w:val="2"/>
            <w:tcBorders>
              <w:bottom w:val="nil"/>
            </w:tcBorders>
            <w:hideMark/>
          </w:tcPr>
          <w:p w14:paraId="2E8AAD12" w14:textId="77777777" w:rsidR="00FA34EA" w:rsidRPr="008454E1" w:rsidRDefault="00FA34EA" w:rsidP="008C535D">
            <w:pPr>
              <w:jc w:val="center"/>
              <w:rPr>
                <w:sz w:val="20"/>
                <w:szCs w:val="20"/>
                <w:lang w:val="en-AU" w:eastAsia="en-AU"/>
              </w:rPr>
            </w:pPr>
            <w:r w:rsidRPr="008454E1">
              <w:rPr>
                <w:sz w:val="20"/>
                <w:szCs w:val="20"/>
                <w:lang w:val="en-AU" w:eastAsia="en-AU"/>
              </w:rPr>
              <w:t>Lone parents receipt of social assistance</w:t>
            </w:r>
          </w:p>
        </w:tc>
      </w:tr>
      <w:tr w:rsidR="00FA34EA" w:rsidRPr="008454E1" w14:paraId="011AEE99" w14:textId="77777777" w:rsidTr="008C535D">
        <w:trPr>
          <w:trHeight w:val="955"/>
        </w:trPr>
        <w:tc>
          <w:tcPr>
            <w:tcW w:w="962" w:type="dxa"/>
            <w:hideMark/>
          </w:tcPr>
          <w:p w14:paraId="3B4CCCA1" w14:textId="77777777" w:rsidR="00FA34EA" w:rsidRPr="008454E1" w:rsidRDefault="00FA34EA" w:rsidP="008C535D">
            <w:pPr>
              <w:rPr>
                <w:sz w:val="20"/>
                <w:szCs w:val="20"/>
                <w:lang w:val="en-AU" w:eastAsia="en-AU"/>
              </w:rPr>
            </w:pPr>
            <w:r w:rsidRPr="008454E1">
              <w:rPr>
                <w:sz w:val="20"/>
                <w:szCs w:val="20"/>
                <w:lang w:val="en-AU" w:eastAsia="en-AU"/>
              </w:rPr>
              <w:t> </w:t>
            </w:r>
          </w:p>
        </w:tc>
        <w:tc>
          <w:tcPr>
            <w:tcW w:w="1255" w:type="dxa"/>
            <w:tcBorders>
              <w:top w:val="nil"/>
              <w:bottom w:val="single" w:sz="4" w:space="0" w:color="auto"/>
            </w:tcBorders>
            <w:hideMark/>
          </w:tcPr>
          <w:p w14:paraId="0C531CB3" w14:textId="77777777" w:rsidR="00FA34EA" w:rsidRPr="008454E1" w:rsidRDefault="00FA34EA" w:rsidP="008C535D">
            <w:pPr>
              <w:jc w:val="center"/>
              <w:rPr>
                <w:sz w:val="20"/>
                <w:szCs w:val="20"/>
                <w:lang w:val="en-AU" w:eastAsia="en-AU"/>
              </w:rPr>
            </w:pPr>
            <w:r w:rsidRPr="008454E1">
              <w:rPr>
                <w:sz w:val="20"/>
                <w:szCs w:val="20"/>
                <w:lang w:val="en-AU" w:eastAsia="en-AU"/>
              </w:rPr>
              <w:t>Before child maintenance payments</w:t>
            </w:r>
          </w:p>
          <w:p w14:paraId="6B80BB31" w14:textId="77777777" w:rsidR="00FA34EA" w:rsidRPr="008454E1" w:rsidRDefault="00FA34EA" w:rsidP="008C535D">
            <w:pPr>
              <w:jc w:val="center"/>
              <w:rPr>
                <w:sz w:val="20"/>
                <w:szCs w:val="20"/>
                <w:lang w:val="en-AU" w:eastAsia="en-AU"/>
              </w:rPr>
            </w:pPr>
            <w:r w:rsidRPr="008454E1">
              <w:rPr>
                <w:sz w:val="20"/>
                <w:szCs w:val="20"/>
                <w:lang w:val="en-AU" w:eastAsia="en-AU"/>
              </w:rPr>
              <w:t>%</w:t>
            </w:r>
          </w:p>
        </w:tc>
        <w:tc>
          <w:tcPr>
            <w:tcW w:w="1340" w:type="dxa"/>
            <w:tcBorders>
              <w:top w:val="nil"/>
              <w:bottom w:val="single" w:sz="4" w:space="0" w:color="auto"/>
            </w:tcBorders>
            <w:hideMark/>
          </w:tcPr>
          <w:p w14:paraId="449A4189" w14:textId="77777777" w:rsidR="00FA34EA" w:rsidRPr="008454E1" w:rsidRDefault="00FA34EA" w:rsidP="008C535D">
            <w:pPr>
              <w:jc w:val="center"/>
              <w:rPr>
                <w:sz w:val="20"/>
                <w:szCs w:val="20"/>
                <w:lang w:val="en-AU" w:eastAsia="en-AU"/>
              </w:rPr>
            </w:pPr>
            <w:r w:rsidRPr="008454E1">
              <w:rPr>
                <w:sz w:val="20"/>
                <w:szCs w:val="20"/>
                <w:lang w:val="en-AU" w:eastAsia="en-AU"/>
              </w:rPr>
              <w:t>After child maintenance payments</w:t>
            </w:r>
          </w:p>
          <w:p w14:paraId="6CD0ECA0" w14:textId="77777777" w:rsidR="00FA34EA" w:rsidRPr="008454E1" w:rsidRDefault="00FA34EA" w:rsidP="008C535D">
            <w:pPr>
              <w:jc w:val="center"/>
              <w:rPr>
                <w:sz w:val="20"/>
                <w:szCs w:val="20"/>
                <w:lang w:val="en-AU" w:eastAsia="en-AU"/>
              </w:rPr>
            </w:pPr>
            <w:r w:rsidRPr="008454E1">
              <w:rPr>
                <w:sz w:val="20"/>
                <w:szCs w:val="20"/>
                <w:lang w:val="en-AU" w:eastAsia="en-AU"/>
              </w:rPr>
              <w:t>%</w:t>
            </w:r>
          </w:p>
        </w:tc>
        <w:tc>
          <w:tcPr>
            <w:tcW w:w="1461" w:type="dxa"/>
            <w:tcBorders>
              <w:top w:val="nil"/>
              <w:bottom w:val="single" w:sz="4" w:space="0" w:color="auto"/>
            </w:tcBorders>
            <w:hideMark/>
          </w:tcPr>
          <w:p w14:paraId="26129762" w14:textId="77777777" w:rsidR="00FA34EA" w:rsidRPr="008454E1" w:rsidRDefault="00FA34EA" w:rsidP="008C535D">
            <w:pPr>
              <w:jc w:val="center"/>
              <w:rPr>
                <w:sz w:val="20"/>
                <w:szCs w:val="20"/>
                <w:lang w:val="en-AU" w:eastAsia="en-AU"/>
              </w:rPr>
            </w:pPr>
            <w:r w:rsidRPr="008454E1">
              <w:rPr>
                <w:sz w:val="20"/>
                <w:szCs w:val="20"/>
                <w:lang w:val="en-AU" w:eastAsia="en-AU"/>
              </w:rPr>
              <w:t>Before child maintenance payments</w:t>
            </w:r>
          </w:p>
          <w:p w14:paraId="32465BC0" w14:textId="77777777" w:rsidR="00FA34EA" w:rsidRPr="008454E1" w:rsidRDefault="00FA34EA" w:rsidP="008C535D">
            <w:pPr>
              <w:jc w:val="center"/>
              <w:rPr>
                <w:sz w:val="20"/>
                <w:szCs w:val="20"/>
                <w:lang w:val="en-AU" w:eastAsia="en-AU"/>
              </w:rPr>
            </w:pPr>
            <w:r w:rsidRPr="008454E1">
              <w:rPr>
                <w:sz w:val="20"/>
                <w:szCs w:val="20"/>
                <w:lang w:val="en-AU" w:eastAsia="en-AU"/>
              </w:rPr>
              <w:t>%</w:t>
            </w:r>
          </w:p>
        </w:tc>
        <w:tc>
          <w:tcPr>
            <w:tcW w:w="1435" w:type="dxa"/>
            <w:tcBorders>
              <w:top w:val="nil"/>
              <w:bottom w:val="single" w:sz="4" w:space="0" w:color="auto"/>
            </w:tcBorders>
            <w:hideMark/>
          </w:tcPr>
          <w:p w14:paraId="503AA3B9" w14:textId="77777777" w:rsidR="00FA34EA" w:rsidRPr="008454E1" w:rsidRDefault="00FA34EA" w:rsidP="008C535D">
            <w:pPr>
              <w:jc w:val="center"/>
              <w:rPr>
                <w:sz w:val="20"/>
                <w:szCs w:val="20"/>
                <w:lang w:val="en-AU" w:eastAsia="en-AU"/>
              </w:rPr>
            </w:pPr>
            <w:r w:rsidRPr="008454E1">
              <w:rPr>
                <w:sz w:val="20"/>
                <w:szCs w:val="20"/>
                <w:lang w:val="en-AU" w:eastAsia="en-AU"/>
              </w:rPr>
              <w:t>After child maintenance payments</w:t>
            </w:r>
          </w:p>
          <w:p w14:paraId="74A7DB47" w14:textId="77777777" w:rsidR="00FA34EA" w:rsidRPr="008454E1" w:rsidRDefault="00FA34EA" w:rsidP="008C535D">
            <w:pPr>
              <w:jc w:val="center"/>
              <w:rPr>
                <w:sz w:val="20"/>
                <w:szCs w:val="20"/>
                <w:lang w:val="en-AU" w:eastAsia="en-AU"/>
              </w:rPr>
            </w:pPr>
            <w:r w:rsidRPr="008454E1">
              <w:rPr>
                <w:sz w:val="20"/>
                <w:szCs w:val="20"/>
                <w:lang w:val="en-AU" w:eastAsia="en-AU"/>
              </w:rPr>
              <w:t>%</w:t>
            </w:r>
          </w:p>
        </w:tc>
        <w:tc>
          <w:tcPr>
            <w:tcW w:w="1310" w:type="dxa"/>
            <w:tcBorders>
              <w:top w:val="nil"/>
              <w:bottom w:val="single" w:sz="4" w:space="0" w:color="auto"/>
            </w:tcBorders>
            <w:hideMark/>
          </w:tcPr>
          <w:p w14:paraId="66942249" w14:textId="77777777" w:rsidR="00FA34EA" w:rsidRPr="008454E1" w:rsidRDefault="00FA34EA" w:rsidP="008C535D">
            <w:pPr>
              <w:jc w:val="center"/>
              <w:rPr>
                <w:sz w:val="20"/>
                <w:szCs w:val="20"/>
                <w:lang w:val="en-AU" w:eastAsia="en-AU"/>
              </w:rPr>
            </w:pPr>
            <w:r w:rsidRPr="008454E1">
              <w:rPr>
                <w:sz w:val="20"/>
                <w:szCs w:val="20"/>
                <w:lang w:val="en-AU" w:eastAsia="en-AU"/>
              </w:rPr>
              <w:t>Before child maintenance payments</w:t>
            </w:r>
          </w:p>
          <w:p w14:paraId="5BF42F26" w14:textId="77777777" w:rsidR="00FA34EA" w:rsidRPr="008454E1" w:rsidRDefault="00FA34EA" w:rsidP="008C535D">
            <w:pPr>
              <w:jc w:val="center"/>
              <w:rPr>
                <w:sz w:val="20"/>
                <w:szCs w:val="20"/>
                <w:lang w:val="en-AU" w:eastAsia="en-AU"/>
              </w:rPr>
            </w:pPr>
            <w:r w:rsidRPr="008454E1">
              <w:rPr>
                <w:sz w:val="20"/>
                <w:szCs w:val="20"/>
                <w:lang w:val="en-AU" w:eastAsia="en-AU"/>
              </w:rPr>
              <w:t>%</w:t>
            </w:r>
          </w:p>
        </w:tc>
        <w:tc>
          <w:tcPr>
            <w:tcW w:w="1276" w:type="dxa"/>
            <w:tcBorders>
              <w:top w:val="nil"/>
              <w:bottom w:val="single" w:sz="4" w:space="0" w:color="auto"/>
            </w:tcBorders>
            <w:hideMark/>
          </w:tcPr>
          <w:p w14:paraId="41C19C79" w14:textId="77777777" w:rsidR="00FA34EA" w:rsidRPr="008454E1" w:rsidRDefault="00FA34EA" w:rsidP="008C535D">
            <w:pPr>
              <w:jc w:val="center"/>
              <w:rPr>
                <w:sz w:val="20"/>
                <w:szCs w:val="20"/>
                <w:lang w:val="en-AU" w:eastAsia="en-AU"/>
              </w:rPr>
            </w:pPr>
            <w:r w:rsidRPr="008454E1">
              <w:rPr>
                <w:sz w:val="20"/>
                <w:szCs w:val="20"/>
                <w:lang w:val="en-AU" w:eastAsia="en-AU"/>
              </w:rPr>
              <w:t>After child maintenance payments</w:t>
            </w:r>
          </w:p>
          <w:p w14:paraId="3B9C955D" w14:textId="77777777" w:rsidR="00FA34EA" w:rsidRPr="008454E1" w:rsidRDefault="00FA34EA" w:rsidP="008C535D">
            <w:pPr>
              <w:jc w:val="center"/>
              <w:rPr>
                <w:sz w:val="20"/>
                <w:szCs w:val="20"/>
                <w:lang w:val="en-AU" w:eastAsia="en-AU"/>
              </w:rPr>
            </w:pPr>
            <w:r w:rsidRPr="008454E1">
              <w:rPr>
                <w:sz w:val="20"/>
                <w:szCs w:val="20"/>
                <w:lang w:val="en-AU" w:eastAsia="en-AU"/>
              </w:rPr>
              <w:t>%</w:t>
            </w:r>
          </w:p>
        </w:tc>
      </w:tr>
      <w:tr w:rsidR="00FA34EA" w:rsidRPr="008454E1" w14:paraId="0E2C3680" w14:textId="77777777" w:rsidTr="008C535D">
        <w:trPr>
          <w:trHeight w:val="328"/>
        </w:trPr>
        <w:tc>
          <w:tcPr>
            <w:tcW w:w="962" w:type="dxa"/>
            <w:hideMark/>
          </w:tcPr>
          <w:p w14:paraId="014026F2" w14:textId="77777777" w:rsidR="00FA34EA" w:rsidRPr="008454E1" w:rsidRDefault="00FA34EA" w:rsidP="008C535D">
            <w:pPr>
              <w:rPr>
                <w:sz w:val="20"/>
                <w:szCs w:val="20"/>
                <w:lang w:val="en-AU" w:eastAsia="en-AU"/>
              </w:rPr>
            </w:pPr>
            <w:r w:rsidRPr="008454E1">
              <w:rPr>
                <w:sz w:val="20"/>
                <w:szCs w:val="20"/>
                <w:lang w:val="en-AU" w:eastAsia="en-AU"/>
              </w:rPr>
              <w:t>Australia</w:t>
            </w:r>
          </w:p>
        </w:tc>
        <w:tc>
          <w:tcPr>
            <w:tcW w:w="1255" w:type="dxa"/>
            <w:tcBorders>
              <w:top w:val="single" w:sz="4" w:space="0" w:color="auto"/>
            </w:tcBorders>
            <w:hideMark/>
          </w:tcPr>
          <w:p w14:paraId="1522D0B5" w14:textId="77777777" w:rsidR="00FA34EA" w:rsidRPr="008454E1" w:rsidRDefault="00FA34EA" w:rsidP="008C535D">
            <w:pPr>
              <w:jc w:val="center"/>
              <w:rPr>
                <w:sz w:val="20"/>
                <w:szCs w:val="20"/>
                <w:lang w:val="en-AU" w:eastAsia="en-AU"/>
              </w:rPr>
            </w:pPr>
            <w:r w:rsidRPr="008454E1">
              <w:rPr>
                <w:sz w:val="20"/>
                <w:szCs w:val="20"/>
                <w:lang w:val="en-AU" w:eastAsia="en-AU"/>
              </w:rPr>
              <w:t>47</w:t>
            </w:r>
          </w:p>
        </w:tc>
        <w:tc>
          <w:tcPr>
            <w:tcW w:w="1340" w:type="dxa"/>
            <w:tcBorders>
              <w:top w:val="single" w:sz="4" w:space="0" w:color="auto"/>
            </w:tcBorders>
            <w:hideMark/>
          </w:tcPr>
          <w:p w14:paraId="73AD76F8" w14:textId="77777777" w:rsidR="00FA34EA" w:rsidRPr="008454E1" w:rsidRDefault="00FA34EA" w:rsidP="008C535D">
            <w:pPr>
              <w:jc w:val="center"/>
              <w:rPr>
                <w:sz w:val="20"/>
                <w:szCs w:val="20"/>
                <w:lang w:val="en-AU" w:eastAsia="en-AU"/>
              </w:rPr>
            </w:pPr>
            <w:r w:rsidRPr="008454E1">
              <w:rPr>
                <w:sz w:val="20"/>
                <w:szCs w:val="20"/>
                <w:lang w:val="en-AU" w:eastAsia="en-AU"/>
              </w:rPr>
              <w:t>33</w:t>
            </w:r>
          </w:p>
        </w:tc>
        <w:tc>
          <w:tcPr>
            <w:tcW w:w="1461" w:type="dxa"/>
            <w:tcBorders>
              <w:top w:val="single" w:sz="4" w:space="0" w:color="auto"/>
            </w:tcBorders>
            <w:hideMark/>
          </w:tcPr>
          <w:p w14:paraId="60B9F706" w14:textId="77777777" w:rsidR="00FA34EA" w:rsidRPr="008454E1" w:rsidRDefault="00FA34EA" w:rsidP="008C535D">
            <w:pPr>
              <w:jc w:val="center"/>
              <w:rPr>
                <w:sz w:val="20"/>
                <w:szCs w:val="20"/>
                <w:lang w:val="en-AU" w:eastAsia="en-AU"/>
              </w:rPr>
            </w:pPr>
            <w:r w:rsidRPr="008454E1">
              <w:rPr>
                <w:sz w:val="20"/>
                <w:szCs w:val="20"/>
                <w:lang w:val="en-AU" w:eastAsia="en-AU"/>
              </w:rPr>
              <w:t>39</w:t>
            </w:r>
          </w:p>
        </w:tc>
        <w:tc>
          <w:tcPr>
            <w:tcW w:w="1435" w:type="dxa"/>
            <w:tcBorders>
              <w:top w:val="single" w:sz="4" w:space="0" w:color="auto"/>
            </w:tcBorders>
            <w:hideMark/>
          </w:tcPr>
          <w:p w14:paraId="59468B34" w14:textId="77777777" w:rsidR="00FA34EA" w:rsidRPr="008454E1" w:rsidRDefault="00FA34EA" w:rsidP="008C535D">
            <w:pPr>
              <w:jc w:val="center"/>
              <w:rPr>
                <w:sz w:val="20"/>
                <w:szCs w:val="20"/>
                <w:lang w:val="en-AU" w:eastAsia="en-AU"/>
              </w:rPr>
            </w:pPr>
            <w:r w:rsidRPr="008454E1">
              <w:rPr>
                <w:sz w:val="20"/>
                <w:szCs w:val="20"/>
                <w:lang w:val="en-AU" w:eastAsia="en-AU"/>
              </w:rPr>
              <w:t>25</w:t>
            </w:r>
          </w:p>
        </w:tc>
        <w:tc>
          <w:tcPr>
            <w:tcW w:w="1310" w:type="dxa"/>
            <w:tcBorders>
              <w:top w:val="single" w:sz="4" w:space="0" w:color="auto"/>
            </w:tcBorders>
            <w:hideMark/>
          </w:tcPr>
          <w:p w14:paraId="0257248F" w14:textId="77777777" w:rsidR="00FA34EA" w:rsidRPr="008454E1" w:rsidRDefault="00FA34EA" w:rsidP="008C535D">
            <w:pPr>
              <w:jc w:val="center"/>
              <w:rPr>
                <w:sz w:val="20"/>
                <w:szCs w:val="20"/>
                <w:lang w:val="en-AU" w:eastAsia="en-AU"/>
              </w:rPr>
            </w:pPr>
            <w:r w:rsidRPr="008454E1">
              <w:rPr>
                <w:sz w:val="20"/>
                <w:szCs w:val="20"/>
                <w:lang w:val="en-AU" w:eastAsia="en-AU"/>
              </w:rPr>
              <w:t>50</w:t>
            </w:r>
          </w:p>
        </w:tc>
        <w:tc>
          <w:tcPr>
            <w:tcW w:w="1276" w:type="dxa"/>
            <w:tcBorders>
              <w:top w:val="single" w:sz="4" w:space="0" w:color="auto"/>
            </w:tcBorders>
            <w:hideMark/>
          </w:tcPr>
          <w:p w14:paraId="64222D2E" w14:textId="77777777" w:rsidR="00FA34EA" w:rsidRPr="008454E1" w:rsidRDefault="00FA34EA" w:rsidP="008C535D">
            <w:pPr>
              <w:jc w:val="center"/>
              <w:rPr>
                <w:sz w:val="20"/>
                <w:szCs w:val="20"/>
                <w:lang w:val="en-AU" w:eastAsia="en-AU"/>
              </w:rPr>
            </w:pPr>
            <w:r w:rsidRPr="008454E1">
              <w:rPr>
                <w:sz w:val="20"/>
                <w:szCs w:val="20"/>
                <w:lang w:val="en-AU" w:eastAsia="en-AU"/>
              </w:rPr>
              <w:t>36</w:t>
            </w:r>
          </w:p>
        </w:tc>
      </w:tr>
      <w:tr w:rsidR="00FA34EA" w:rsidRPr="008454E1" w14:paraId="205785DE" w14:textId="77777777" w:rsidTr="008C535D">
        <w:trPr>
          <w:trHeight w:val="328"/>
        </w:trPr>
        <w:tc>
          <w:tcPr>
            <w:tcW w:w="962" w:type="dxa"/>
            <w:hideMark/>
          </w:tcPr>
          <w:p w14:paraId="51338F7C" w14:textId="77777777" w:rsidR="00FA34EA" w:rsidRPr="008454E1" w:rsidRDefault="00FA34EA" w:rsidP="008C535D">
            <w:pPr>
              <w:rPr>
                <w:sz w:val="20"/>
                <w:szCs w:val="20"/>
                <w:lang w:val="en-AU" w:eastAsia="en-AU"/>
              </w:rPr>
            </w:pPr>
            <w:r w:rsidRPr="008454E1">
              <w:rPr>
                <w:sz w:val="20"/>
                <w:szCs w:val="20"/>
                <w:lang w:val="en-AU" w:eastAsia="en-AU"/>
              </w:rPr>
              <w:t>Finland</w:t>
            </w:r>
          </w:p>
        </w:tc>
        <w:tc>
          <w:tcPr>
            <w:tcW w:w="1255" w:type="dxa"/>
            <w:hideMark/>
          </w:tcPr>
          <w:p w14:paraId="421470B9" w14:textId="77777777" w:rsidR="00FA34EA" w:rsidRPr="008454E1" w:rsidRDefault="00FA34EA" w:rsidP="008C535D">
            <w:pPr>
              <w:jc w:val="center"/>
              <w:rPr>
                <w:sz w:val="20"/>
                <w:szCs w:val="20"/>
                <w:lang w:val="en-AU" w:eastAsia="en-AU"/>
              </w:rPr>
            </w:pPr>
            <w:r w:rsidRPr="008454E1">
              <w:rPr>
                <w:sz w:val="20"/>
                <w:szCs w:val="20"/>
                <w:lang w:val="en-AU" w:eastAsia="en-AU"/>
              </w:rPr>
              <w:t>25</w:t>
            </w:r>
          </w:p>
        </w:tc>
        <w:tc>
          <w:tcPr>
            <w:tcW w:w="1340" w:type="dxa"/>
            <w:hideMark/>
          </w:tcPr>
          <w:p w14:paraId="25353988" w14:textId="77777777" w:rsidR="00FA34EA" w:rsidRPr="008454E1" w:rsidRDefault="00FA34EA" w:rsidP="008C535D">
            <w:pPr>
              <w:jc w:val="center"/>
              <w:rPr>
                <w:sz w:val="20"/>
                <w:szCs w:val="20"/>
                <w:lang w:val="en-AU" w:eastAsia="en-AU"/>
              </w:rPr>
            </w:pPr>
            <w:r w:rsidRPr="008454E1">
              <w:rPr>
                <w:sz w:val="20"/>
                <w:szCs w:val="20"/>
                <w:lang w:val="en-AU" w:eastAsia="en-AU"/>
              </w:rPr>
              <w:t>14</w:t>
            </w:r>
          </w:p>
        </w:tc>
        <w:tc>
          <w:tcPr>
            <w:tcW w:w="1461" w:type="dxa"/>
            <w:hideMark/>
          </w:tcPr>
          <w:p w14:paraId="05ECE576" w14:textId="77777777" w:rsidR="00FA34EA" w:rsidRPr="008454E1" w:rsidRDefault="00FA34EA" w:rsidP="008C535D">
            <w:pPr>
              <w:jc w:val="center"/>
              <w:rPr>
                <w:sz w:val="20"/>
                <w:szCs w:val="20"/>
                <w:lang w:val="en-AU" w:eastAsia="en-AU"/>
              </w:rPr>
            </w:pPr>
            <w:r w:rsidRPr="008454E1">
              <w:rPr>
                <w:sz w:val="20"/>
                <w:szCs w:val="20"/>
                <w:lang w:val="en-AU" w:eastAsia="en-AU"/>
              </w:rPr>
              <w:t>17</w:t>
            </w:r>
          </w:p>
        </w:tc>
        <w:tc>
          <w:tcPr>
            <w:tcW w:w="1435" w:type="dxa"/>
            <w:hideMark/>
          </w:tcPr>
          <w:p w14:paraId="6C2B852E" w14:textId="77777777" w:rsidR="00FA34EA" w:rsidRPr="008454E1" w:rsidRDefault="00FA34EA" w:rsidP="008C535D">
            <w:pPr>
              <w:jc w:val="center"/>
              <w:rPr>
                <w:sz w:val="20"/>
                <w:szCs w:val="20"/>
                <w:lang w:val="en-AU" w:eastAsia="en-AU"/>
              </w:rPr>
            </w:pPr>
            <w:r w:rsidRPr="008454E1">
              <w:rPr>
                <w:sz w:val="20"/>
                <w:szCs w:val="20"/>
                <w:lang w:val="en-AU" w:eastAsia="en-AU"/>
              </w:rPr>
              <w:t>9</w:t>
            </w:r>
          </w:p>
        </w:tc>
        <w:tc>
          <w:tcPr>
            <w:tcW w:w="1310" w:type="dxa"/>
            <w:hideMark/>
          </w:tcPr>
          <w:p w14:paraId="5CA12115" w14:textId="77777777" w:rsidR="00FA34EA" w:rsidRPr="008454E1" w:rsidRDefault="00FA34EA" w:rsidP="008C535D">
            <w:pPr>
              <w:jc w:val="center"/>
              <w:rPr>
                <w:sz w:val="20"/>
                <w:szCs w:val="20"/>
                <w:lang w:val="en-AU" w:eastAsia="en-AU"/>
              </w:rPr>
            </w:pPr>
            <w:r w:rsidRPr="008454E1">
              <w:rPr>
                <w:sz w:val="20"/>
                <w:szCs w:val="20"/>
                <w:lang w:val="en-AU" w:eastAsia="en-AU"/>
              </w:rPr>
              <w:t>26</w:t>
            </w:r>
          </w:p>
        </w:tc>
        <w:tc>
          <w:tcPr>
            <w:tcW w:w="1276" w:type="dxa"/>
            <w:hideMark/>
          </w:tcPr>
          <w:p w14:paraId="2C7F07B5" w14:textId="77777777" w:rsidR="00FA34EA" w:rsidRPr="008454E1" w:rsidRDefault="00FA34EA" w:rsidP="008C535D">
            <w:pPr>
              <w:jc w:val="center"/>
              <w:rPr>
                <w:sz w:val="20"/>
                <w:szCs w:val="20"/>
                <w:lang w:val="en-AU" w:eastAsia="en-AU"/>
              </w:rPr>
            </w:pPr>
            <w:r w:rsidRPr="008454E1">
              <w:rPr>
                <w:sz w:val="20"/>
                <w:szCs w:val="20"/>
                <w:lang w:val="en-AU" w:eastAsia="en-AU"/>
              </w:rPr>
              <w:t>26</w:t>
            </w:r>
          </w:p>
        </w:tc>
      </w:tr>
      <w:tr w:rsidR="00FA34EA" w:rsidRPr="008454E1" w14:paraId="3BF8AA95" w14:textId="77777777" w:rsidTr="008C535D">
        <w:trPr>
          <w:trHeight w:val="328"/>
        </w:trPr>
        <w:tc>
          <w:tcPr>
            <w:tcW w:w="962" w:type="dxa"/>
            <w:hideMark/>
          </w:tcPr>
          <w:p w14:paraId="58B76AB1" w14:textId="77777777" w:rsidR="00FA34EA" w:rsidRPr="008454E1" w:rsidRDefault="00FA34EA" w:rsidP="008C535D">
            <w:pPr>
              <w:rPr>
                <w:sz w:val="20"/>
                <w:szCs w:val="20"/>
                <w:lang w:val="en-AU" w:eastAsia="en-AU"/>
              </w:rPr>
            </w:pPr>
            <w:r w:rsidRPr="008454E1">
              <w:rPr>
                <w:sz w:val="20"/>
                <w:szCs w:val="20"/>
                <w:lang w:val="en-AU" w:eastAsia="en-AU"/>
              </w:rPr>
              <w:t>Germany</w:t>
            </w:r>
          </w:p>
        </w:tc>
        <w:tc>
          <w:tcPr>
            <w:tcW w:w="1255" w:type="dxa"/>
            <w:hideMark/>
          </w:tcPr>
          <w:p w14:paraId="0F84E85D" w14:textId="77777777" w:rsidR="00FA34EA" w:rsidRPr="008454E1" w:rsidRDefault="00FA34EA" w:rsidP="008C535D">
            <w:pPr>
              <w:jc w:val="center"/>
              <w:rPr>
                <w:sz w:val="20"/>
                <w:szCs w:val="20"/>
                <w:lang w:val="en-AU" w:eastAsia="en-AU"/>
              </w:rPr>
            </w:pPr>
            <w:r w:rsidRPr="008454E1">
              <w:rPr>
                <w:sz w:val="20"/>
                <w:szCs w:val="20"/>
                <w:lang w:val="en-AU" w:eastAsia="en-AU"/>
              </w:rPr>
              <w:t>54</w:t>
            </w:r>
          </w:p>
        </w:tc>
        <w:tc>
          <w:tcPr>
            <w:tcW w:w="1340" w:type="dxa"/>
            <w:hideMark/>
          </w:tcPr>
          <w:p w14:paraId="78D2E603" w14:textId="77777777" w:rsidR="00FA34EA" w:rsidRPr="008454E1" w:rsidRDefault="00FA34EA" w:rsidP="008C535D">
            <w:pPr>
              <w:jc w:val="center"/>
              <w:rPr>
                <w:sz w:val="20"/>
                <w:szCs w:val="20"/>
                <w:lang w:val="en-AU" w:eastAsia="en-AU"/>
              </w:rPr>
            </w:pPr>
            <w:r w:rsidRPr="008454E1">
              <w:rPr>
                <w:sz w:val="20"/>
                <w:szCs w:val="20"/>
                <w:lang w:val="en-AU" w:eastAsia="en-AU"/>
              </w:rPr>
              <w:t>30</w:t>
            </w:r>
          </w:p>
        </w:tc>
        <w:tc>
          <w:tcPr>
            <w:tcW w:w="1461" w:type="dxa"/>
            <w:hideMark/>
          </w:tcPr>
          <w:p w14:paraId="4DCF0410" w14:textId="77777777" w:rsidR="00FA34EA" w:rsidRPr="008454E1" w:rsidRDefault="00FA34EA" w:rsidP="008C535D">
            <w:pPr>
              <w:jc w:val="center"/>
              <w:rPr>
                <w:sz w:val="20"/>
                <w:szCs w:val="20"/>
                <w:lang w:val="en-AU" w:eastAsia="en-AU"/>
              </w:rPr>
            </w:pPr>
            <w:r w:rsidRPr="008454E1">
              <w:rPr>
                <w:sz w:val="20"/>
                <w:szCs w:val="20"/>
                <w:lang w:val="en-AU" w:eastAsia="en-AU"/>
              </w:rPr>
              <w:t>39</w:t>
            </w:r>
          </w:p>
        </w:tc>
        <w:tc>
          <w:tcPr>
            <w:tcW w:w="1435" w:type="dxa"/>
            <w:hideMark/>
          </w:tcPr>
          <w:p w14:paraId="19DBC723" w14:textId="77777777" w:rsidR="00FA34EA" w:rsidRPr="008454E1" w:rsidRDefault="00FA34EA" w:rsidP="008C535D">
            <w:pPr>
              <w:jc w:val="center"/>
              <w:rPr>
                <w:sz w:val="20"/>
                <w:szCs w:val="20"/>
                <w:lang w:val="en-AU" w:eastAsia="en-AU"/>
              </w:rPr>
            </w:pPr>
            <w:r w:rsidRPr="008454E1">
              <w:rPr>
                <w:sz w:val="20"/>
                <w:szCs w:val="20"/>
                <w:lang w:val="en-AU" w:eastAsia="en-AU"/>
              </w:rPr>
              <w:t>22</w:t>
            </w:r>
          </w:p>
        </w:tc>
        <w:tc>
          <w:tcPr>
            <w:tcW w:w="1310" w:type="dxa"/>
            <w:hideMark/>
          </w:tcPr>
          <w:p w14:paraId="1F733DB8" w14:textId="77777777" w:rsidR="00FA34EA" w:rsidRPr="008454E1" w:rsidRDefault="00FA34EA" w:rsidP="008C535D">
            <w:pPr>
              <w:jc w:val="center"/>
              <w:rPr>
                <w:sz w:val="20"/>
                <w:szCs w:val="20"/>
                <w:lang w:val="en-AU" w:eastAsia="en-AU"/>
              </w:rPr>
            </w:pPr>
            <w:r w:rsidRPr="008454E1">
              <w:rPr>
                <w:sz w:val="20"/>
                <w:szCs w:val="20"/>
                <w:lang w:val="en-AU" w:eastAsia="en-AU"/>
              </w:rPr>
              <w:t>41</w:t>
            </w:r>
          </w:p>
        </w:tc>
        <w:tc>
          <w:tcPr>
            <w:tcW w:w="1276" w:type="dxa"/>
            <w:hideMark/>
          </w:tcPr>
          <w:p w14:paraId="23137192" w14:textId="77777777" w:rsidR="00FA34EA" w:rsidRPr="008454E1" w:rsidRDefault="00FA34EA" w:rsidP="008C535D">
            <w:pPr>
              <w:jc w:val="center"/>
              <w:rPr>
                <w:sz w:val="20"/>
                <w:szCs w:val="20"/>
                <w:lang w:val="en-AU" w:eastAsia="en-AU"/>
              </w:rPr>
            </w:pPr>
            <w:r w:rsidRPr="008454E1">
              <w:rPr>
                <w:sz w:val="20"/>
                <w:szCs w:val="20"/>
                <w:lang w:val="en-AU" w:eastAsia="en-AU"/>
              </w:rPr>
              <w:t>40</w:t>
            </w:r>
          </w:p>
        </w:tc>
      </w:tr>
      <w:tr w:rsidR="00FA34EA" w:rsidRPr="008454E1" w14:paraId="148215B9" w14:textId="77777777" w:rsidTr="008C535D">
        <w:trPr>
          <w:trHeight w:val="328"/>
        </w:trPr>
        <w:tc>
          <w:tcPr>
            <w:tcW w:w="962" w:type="dxa"/>
          </w:tcPr>
          <w:p w14:paraId="4DB4E6FA" w14:textId="77777777" w:rsidR="00FA34EA" w:rsidRPr="008454E1" w:rsidRDefault="00FA34EA" w:rsidP="008C535D">
            <w:pPr>
              <w:rPr>
                <w:sz w:val="20"/>
                <w:szCs w:val="20"/>
                <w:lang w:val="en-AU" w:eastAsia="en-AU"/>
              </w:rPr>
            </w:pPr>
            <w:r w:rsidRPr="008454E1">
              <w:rPr>
                <w:sz w:val="20"/>
                <w:szCs w:val="20"/>
                <w:lang w:val="en-AU" w:eastAsia="en-AU"/>
              </w:rPr>
              <w:t>UK</w:t>
            </w:r>
          </w:p>
        </w:tc>
        <w:tc>
          <w:tcPr>
            <w:tcW w:w="1255" w:type="dxa"/>
          </w:tcPr>
          <w:p w14:paraId="300DDE49" w14:textId="77777777" w:rsidR="00FA34EA" w:rsidRPr="008454E1" w:rsidRDefault="00FA34EA" w:rsidP="008C535D">
            <w:pPr>
              <w:jc w:val="center"/>
              <w:rPr>
                <w:sz w:val="20"/>
                <w:szCs w:val="20"/>
                <w:lang w:val="en-AU" w:eastAsia="en-AU"/>
              </w:rPr>
            </w:pPr>
            <w:r w:rsidRPr="008454E1">
              <w:rPr>
                <w:sz w:val="20"/>
                <w:szCs w:val="20"/>
                <w:lang w:val="en-AU" w:eastAsia="en-AU"/>
              </w:rPr>
              <w:t>11</w:t>
            </w:r>
          </w:p>
        </w:tc>
        <w:tc>
          <w:tcPr>
            <w:tcW w:w="1340" w:type="dxa"/>
          </w:tcPr>
          <w:p w14:paraId="1F156BB7" w14:textId="77777777" w:rsidR="00FA34EA" w:rsidRPr="008454E1" w:rsidRDefault="00FA34EA" w:rsidP="008C535D">
            <w:pPr>
              <w:jc w:val="center"/>
              <w:rPr>
                <w:sz w:val="20"/>
                <w:szCs w:val="20"/>
                <w:lang w:val="en-AU" w:eastAsia="en-AU"/>
              </w:rPr>
            </w:pPr>
            <w:r w:rsidRPr="008454E1">
              <w:rPr>
                <w:sz w:val="20"/>
                <w:szCs w:val="20"/>
                <w:lang w:val="en-AU" w:eastAsia="en-AU"/>
              </w:rPr>
              <w:t>5</w:t>
            </w:r>
          </w:p>
        </w:tc>
        <w:tc>
          <w:tcPr>
            <w:tcW w:w="1461" w:type="dxa"/>
          </w:tcPr>
          <w:p w14:paraId="13D2131D" w14:textId="77777777" w:rsidR="00FA34EA" w:rsidRPr="008454E1" w:rsidRDefault="00FA34EA" w:rsidP="008C535D">
            <w:pPr>
              <w:jc w:val="center"/>
              <w:rPr>
                <w:sz w:val="20"/>
                <w:szCs w:val="20"/>
                <w:lang w:val="en-AU" w:eastAsia="en-AU"/>
              </w:rPr>
            </w:pPr>
            <w:r w:rsidRPr="008454E1">
              <w:rPr>
                <w:sz w:val="20"/>
                <w:szCs w:val="20"/>
                <w:lang w:val="en-AU" w:eastAsia="en-AU"/>
              </w:rPr>
              <w:t>13</w:t>
            </w:r>
          </w:p>
        </w:tc>
        <w:tc>
          <w:tcPr>
            <w:tcW w:w="1435" w:type="dxa"/>
          </w:tcPr>
          <w:p w14:paraId="7D340BE2" w14:textId="77777777" w:rsidR="00FA34EA" w:rsidRPr="008454E1" w:rsidRDefault="00FA34EA" w:rsidP="008C535D">
            <w:pPr>
              <w:jc w:val="center"/>
              <w:rPr>
                <w:sz w:val="20"/>
                <w:szCs w:val="20"/>
                <w:lang w:val="en-AU" w:eastAsia="en-AU"/>
              </w:rPr>
            </w:pPr>
            <w:r w:rsidRPr="008454E1">
              <w:rPr>
                <w:sz w:val="20"/>
                <w:szCs w:val="20"/>
                <w:lang w:val="en-AU" w:eastAsia="en-AU"/>
              </w:rPr>
              <w:t>8</w:t>
            </w:r>
          </w:p>
        </w:tc>
        <w:tc>
          <w:tcPr>
            <w:tcW w:w="1310" w:type="dxa"/>
          </w:tcPr>
          <w:p w14:paraId="50B8E0D3" w14:textId="77777777" w:rsidR="00FA34EA" w:rsidRPr="008454E1" w:rsidRDefault="00FA34EA" w:rsidP="008C535D">
            <w:pPr>
              <w:jc w:val="center"/>
              <w:rPr>
                <w:sz w:val="20"/>
                <w:szCs w:val="20"/>
                <w:lang w:val="en-AU" w:eastAsia="en-AU"/>
              </w:rPr>
            </w:pPr>
            <w:r w:rsidRPr="008454E1">
              <w:rPr>
                <w:sz w:val="20"/>
                <w:szCs w:val="20"/>
                <w:lang w:val="en-AU" w:eastAsia="en-AU"/>
              </w:rPr>
              <w:t>10</w:t>
            </w:r>
          </w:p>
        </w:tc>
        <w:tc>
          <w:tcPr>
            <w:tcW w:w="1276" w:type="dxa"/>
          </w:tcPr>
          <w:p w14:paraId="5F95E514" w14:textId="77777777" w:rsidR="00FA34EA" w:rsidRPr="008454E1" w:rsidRDefault="00FA34EA" w:rsidP="008C535D">
            <w:pPr>
              <w:jc w:val="center"/>
              <w:rPr>
                <w:sz w:val="20"/>
                <w:szCs w:val="20"/>
                <w:lang w:val="en-AU" w:eastAsia="en-AU"/>
              </w:rPr>
            </w:pPr>
            <w:r w:rsidRPr="008454E1">
              <w:rPr>
                <w:sz w:val="20"/>
                <w:szCs w:val="20"/>
                <w:lang w:val="en-AU" w:eastAsia="en-AU"/>
              </w:rPr>
              <w:t>4</w:t>
            </w:r>
          </w:p>
        </w:tc>
      </w:tr>
    </w:tbl>
    <w:p w14:paraId="5D880B6F" w14:textId="77777777" w:rsidR="00FA34EA" w:rsidRPr="008454E1" w:rsidRDefault="00FA34EA" w:rsidP="00FA34EA">
      <w:pPr>
        <w:rPr>
          <w:sz w:val="16"/>
          <w:szCs w:val="16"/>
          <w:lang w:val="en-US"/>
        </w:rPr>
      </w:pPr>
      <w:r w:rsidRPr="008454E1">
        <w:rPr>
          <w:sz w:val="16"/>
          <w:szCs w:val="16"/>
          <w:lang w:val="en-US"/>
        </w:rPr>
        <w:t>Source: Luxembourg Income Study 2013 (Australia 2010)</w:t>
      </w:r>
      <w:r w:rsidRPr="008454E1">
        <w:rPr>
          <w:sz w:val="16"/>
          <w:szCs w:val="16"/>
          <w:lang w:val="en-US"/>
        </w:rPr>
        <w:tab/>
      </w:r>
    </w:p>
    <w:p w14:paraId="472B8820" w14:textId="77777777" w:rsidR="00FA34EA" w:rsidRPr="008454E1" w:rsidRDefault="00FA34EA" w:rsidP="00FA34EA">
      <w:pPr>
        <w:rPr>
          <w:sz w:val="16"/>
          <w:szCs w:val="16"/>
          <w:lang w:val="en-US"/>
        </w:rPr>
      </w:pPr>
      <w:r w:rsidRPr="008454E1">
        <w:rPr>
          <w:sz w:val="16"/>
          <w:szCs w:val="16"/>
          <w:lang w:val="en-US"/>
        </w:rPr>
        <w:t>Note: Widows excluded. Poverty threshold is calculated using disposable household income excluding child maintenance payments.</w:t>
      </w:r>
    </w:p>
    <w:p w14:paraId="6C12158E" w14:textId="77777777" w:rsidR="00FA34EA" w:rsidRPr="008454E1" w:rsidRDefault="00FA34EA" w:rsidP="00FA34EA">
      <w:pPr>
        <w:spacing w:line="360" w:lineRule="auto"/>
        <w:rPr>
          <w:sz w:val="16"/>
          <w:szCs w:val="16"/>
          <w:lang w:val="en-US"/>
        </w:rPr>
      </w:pPr>
    </w:p>
    <w:p w14:paraId="0CD1D1F0" w14:textId="77777777" w:rsidR="00FA34EA" w:rsidRPr="008454E1" w:rsidRDefault="00FA34EA" w:rsidP="00FA34EA">
      <w:pPr>
        <w:rPr>
          <w:sz w:val="20"/>
          <w:szCs w:val="20"/>
        </w:rPr>
      </w:pPr>
    </w:p>
    <w:p w14:paraId="01ECDB5A" w14:textId="7A2CB567" w:rsidR="00FA34EA" w:rsidRDefault="00FA34EA">
      <w:pPr>
        <w:spacing w:after="200" w:line="276" w:lineRule="auto"/>
      </w:pPr>
      <w:r>
        <w:br w:type="page"/>
      </w:r>
    </w:p>
    <w:p w14:paraId="1B545871" w14:textId="77777777" w:rsidR="00FA34EA" w:rsidRPr="00FA34EA" w:rsidRDefault="00FA34EA" w:rsidP="00FA34EA">
      <w:pPr>
        <w:widowControl w:val="0"/>
        <w:autoSpaceDE w:val="0"/>
        <w:autoSpaceDN w:val="0"/>
        <w:adjustRightInd w:val="0"/>
        <w:spacing w:line="360" w:lineRule="auto"/>
        <w:ind w:left="480" w:hanging="480"/>
      </w:pPr>
      <w:r w:rsidRPr="00FA34EA">
        <w:lastRenderedPageBreak/>
        <w:t>Appendix 1. Description of social assistance benefit and child maintenance by country</w:t>
      </w: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5"/>
        <w:gridCol w:w="2370"/>
        <w:gridCol w:w="1555"/>
        <w:gridCol w:w="1701"/>
        <w:gridCol w:w="2618"/>
      </w:tblGrid>
      <w:tr w:rsidR="00FA34EA" w:rsidRPr="00FA34EA" w14:paraId="6081F642" w14:textId="77777777" w:rsidTr="008C535D">
        <w:trPr>
          <w:trHeight w:val="299"/>
        </w:trPr>
        <w:tc>
          <w:tcPr>
            <w:tcW w:w="1145" w:type="dxa"/>
            <w:tcBorders>
              <w:top w:val="single" w:sz="4" w:space="0" w:color="auto"/>
            </w:tcBorders>
            <w:hideMark/>
          </w:tcPr>
          <w:p w14:paraId="0DD1BA13"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p>
        </w:tc>
        <w:tc>
          <w:tcPr>
            <w:tcW w:w="2370" w:type="dxa"/>
            <w:tcBorders>
              <w:top w:val="single" w:sz="4" w:space="0" w:color="auto"/>
            </w:tcBorders>
          </w:tcPr>
          <w:p w14:paraId="41DC2845" w14:textId="77777777" w:rsidR="00FA34EA" w:rsidRPr="00FA34EA" w:rsidRDefault="00FA34EA" w:rsidP="00FA34EA">
            <w:pPr>
              <w:widowControl w:val="0"/>
              <w:autoSpaceDE w:val="0"/>
              <w:autoSpaceDN w:val="0"/>
              <w:adjustRightInd w:val="0"/>
              <w:spacing w:after="200" w:line="276" w:lineRule="auto"/>
              <w:ind w:left="480" w:hanging="480"/>
              <w:jc w:val="center"/>
              <w:rPr>
                <w:sz w:val="20"/>
                <w:szCs w:val="20"/>
              </w:rPr>
            </w:pPr>
            <w:r w:rsidRPr="00FA34EA">
              <w:rPr>
                <w:sz w:val="20"/>
                <w:szCs w:val="20"/>
              </w:rPr>
              <w:t>Original dataset</w:t>
            </w:r>
          </w:p>
        </w:tc>
        <w:tc>
          <w:tcPr>
            <w:tcW w:w="1555" w:type="dxa"/>
            <w:tcBorders>
              <w:top w:val="single" w:sz="4" w:space="0" w:color="auto"/>
            </w:tcBorders>
          </w:tcPr>
          <w:p w14:paraId="3601AFD7" w14:textId="77777777" w:rsidR="00FA34EA" w:rsidRPr="00FA34EA" w:rsidRDefault="00FA34EA" w:rsidP="00FA34EA">
            <w:pPr>
              <w:widowControl w:val="0"/>
              <w:autoSpaceDE w:val="0"/>
              <w:autoSpaceDN w:val="0"/>
              <w:adjustRightInd w:val="0"/>
              <w:spacing w:after="200" w:line="276" w:lineRule="auto"/>
              <w:ind w:left="-113"/>
              <w:jc w:val="center"/>
              <w:rPr>
                <w:sz w:val="20"/>
                <w:szCs w:val="20"/>
              </w:rPr>
            </w:pPr>
            <w:r w:rsidRPr="00FA34EA">
              <w:rPr>
                <w:sz w:val="20"/>
                <w:szCs w:val="20"/>
              </w:rPr>
              <w:t xml:space="preserve">Child maintenance </w:t>
            </w:r>
          </w:p>
        </w:tc>
        <w:tc>
          <w:tcPr>
            <w:tcW w:w="4319" w:type="dxa"/>
            <w:gridSpan w:val="2"/>
            <w:tcBorders>
              <w:top w:val="single" w:sz="4" w:space="0" w:color="auto"/>
            </w:tcBorders>
            <w:hideMark/>
          </w:tcPr>
          <w:p w14:paraId="79C39D99" w14:textId="77777777" w:rsidR="00FA34EA" w:rsidRPr="00FA34EA" w:rsidRDefault="00FA34EA" w:rsidP="00FA34EA">
            <w:pPr>
              <w:widowControl w:val="0"/>
              <w:autoSpaceDE w:val="0"/>
              <w:autoSpaceDN w:val="0"/>
              <w:adjustRightInd w:val="0"/>
              <w:spacing w:after="200" w:line="276" w:lineRule="auto"/>
              <w:ind w:left="480" w:hanging="480"/>
              <w:jc w:val="center"/>
              <w:rPr>
                <w:sz w:val="20"/>
                <w:szCs w:val="20"/>
              </w:rPr>
            </w:pPr>
            <w:r w:rsidRPr="00FA34EA">
              <w:rPr>
                <w:sz w:val="20"/>
                <w:szCs w:val="20"/>
              </w:rPr>
              <w:t>Social assistance</w:t>
            </w:r>
          </w:p>
        </w:tc>
      </w:tr>
      <w:tr w:rsidR="00FA34EA" w:rsidRPr="00FA34EA" w14:paraId="3C8190F1" w14:textId="77777777" w:rsidTr="008C535D">
        <w:trPr>
          <w:trHeight w:val="410"/>
        </w:trPr>
        <w:tc>
          <w:tcPr>
            <w:tcW w:w="1145" w:type="dxa"/>
            <w:tcBorders>
              <w:bottom w:val="single" w:sz="4" w:space="0" w:color="auto"/>
            </w:tcBorders>
          </w:tcPr>
          <w:p w14:paraId="74D12F98" w14:textId="77777777" w:rsidR="00FA34EA" w:rsidRPr="00FA34EA" w:rsidRDefault="00FA34EA" w:rsidP="00FA34EA">
            <w:pPr>
              <w:widowControl w:val="0"/>
              <w:autoSpaceDE w:val="0"/>
              <w:autoSpaceDN w:val="0"/>
              <w:adjustRightInd w:val="0"/>
              <w:spacing w:after="200" w:line="276" w:lineRule="auto"/>
              <w:ind w:left="480" w:hanging="480"/>
              <w:jc w:val="center"/>
              <w:rPr>
                <w:sz w:val="20"/>
                <w:szCs w:val="20"/>
              </w:rPr>
            </w:pPr>
          </w:p>
        </w:tc>
        <w:tc>
          <w:tcPr>
            <w:tcW w:w="2370" w:type="dxa"/>
            <w:tcBorders>
              <w:bottom w:val="single" w:sz="4" w:space="0" w:color="auto"/>
            </w:tcBorders>
          </w:tcPr>
          <w:p w14:paraId="181BD075"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p>
        </w:tc>
        <w:tc>
          <w:tcPr>
            <w:tcW w:w="1555" w:type="dxa"/>
            <w:tcBorders>
              <w:bottom w:val="single" w:sz="4" w:space="0" w:color="auto"/>
            </w:tcBorders>
          </w:tcPr>
          <w:p w14:paraId="7E18E441"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LIS variable</w:t>
            </w:r>
          </w:p>
        </w:tc>
        <w:tc>
          <w:tcPr>
            <w:tcW w:w="1701" w:type="dxa"/>
            <w:tcBorders>
              <w:bottom w:val="single" w:sz="4" w:space="0" w:color="auto"/>
            </w:tcBorders>
          </w:tcPr>
          <w:p w14:paraId="1BF983F5"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LIS variable</w:t>
            </w:r>
          </w:p>
        </w:tc>
        <w:tc>
          <w:tcPr>
            <w:tcW w:w="2618" w:type="dxa"/>
            <w:tcBorders>
              <w:bottom w:val="single" w:sz="4" w:space="0" w:color="auto"/>
            </w:tcBorders>
          </w:tcPr>
          <w:p w14:paraId="4E4808AC" w14:textId="77777777" w:rsidR="00FA34EA" w:rsidRPr="00FA34EA" w:rsidRDefault="00FA34EA" w:rsidP="00FA34EA">
            <w:pPr>
              <w:widowControl w:val="0"/>
              <w:autoSpaceDE w:val="0"/>
              <w:autoSpaceDN w:val="0"/>
              <w:adjustRightInd w:val="0"/>
              <w:spacing w:after="200" w:line="276" w:lineRule="auto"/>
              <w:ind w:left="-112"/>
              <w:rPr>
                <w:sz w:val="20"/>
                <w:szCs w:val="20"/>
              </w:rPr>
            </w:pPr>
            <w:r w:rsidRPr="00FA34EA">
              <w:rPr>
                <w:sz w:val="20"/>
                <w:szCs w:val="20"/>
              </w:rPr>
              <w:t>Included benefits/programs</w:t>
            </w:r>
          </w:p>
        </w:tc>
      </w:tr>
      <w:tr w:rsidR="00FA34EA" w:rsidRPr="00FA34EA" w14:paraId="52B97B27" w14:textId="77777777" w:rsidTr="008C535D">
        <w:trPr>
          <w:trHeight w:val="1197"/>
        </w:trPr>
        <w:tc>
          <w:tcPr>
            <w:tcW w:w="1145" w:type="dxa"/>
            <w:tcBorders>
              <w:top w:val="single" w:sz="4" w:space="0" w:color="auto"/>
            </w:tcBorders>
            <w:hideMark/>
          </w:tcPr>
          <w:p w14:paraId="51A23AF3"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Australia</w:t>
            </w:r>
          </w:p>
        </w:tc>
        <w:tc>
          <w:tcPr>
            <w:tcW w:w="2370" w:type="dxa"/>
            <w:tcBorders>
              <w:top w:val="single" w:sz="4" w:space="0" w:color="auto"/>
            </w:tcBorders>
          </w:tcPr>
          <w:p w14:paraId="57BC6E78" w14:textId="77777777" w:rsidR="00FA34EA" w:rsidRPr="00FA34EA" w:rsidRDefault="00FA34EA" w:rsidP="00FA34EA">
            <w:pPr>
              <w:widowControl w:val="0"/>
              <w:autoSpaceDE w:val="0"/>
              <w:autoSpaceDN w:val="0"/>
              <w:adjustRightInd w:val="0"/>
              <w:spacing w:after="200" w:line="276" w:lineRule="auto"/>
              <w:ind w:left="-11"/>
              <w:rPr>
                <w:sz w:val="20"/>
                <w:szCs w:val="20"/>
              </w:rPr>
            </w:pPr>
            <w:r w:rsidRPr="00FA34EA">
              <w:rPr>
                <w:sz w:val="20"/>
                <w:szCs w:val="20"/>
              </w:rPr>
              <w:t xml:space="preserve">Survey of Income and Housing (SIH) </w:t>
            </w:r>
          </w:p>
        </w:tc>
        <w:tc>
          <w:tcPr>
            <w:tcW w:w="1555" w:type="dxa"/>
            <w:tcBorders>
              <w:top w:val="single" w:sz="4" w:space="0" w:color="auto"/>
            </w:tcBorders>
          </w:tcPr>
          <w:p w14:paraId="72E6C489" w14:textId="77777777" w:rsidR="00FA34EA" w:rsidRPr="00FA34EA" w:rsidRDefault="00FA34EA" w:rsidP="00FA34EA">
            <w:pPr>
              <w:widowControl w:val="0"/>
              <w:autoSpaceDE w:val="0"/>
              <w:autoSpaceDN w:val="0"/>
              <w:adjustRightInd w:val="0"/>
              <w:spacing w:after="200" w:line="276" w:lineRule="auto"/>
              <w:ind w:left="-113"/>
              <w:rPr>
                <w:sz w:val="20"/>
                <w:szCs w:val="20"/>
              </w:rPr>
            </w:pPr>
            <w:r w:rsidRPr="00FA34EA">
              <w:rPr>
                <w:sz w:val="20"/>
                <w:szCs w:val="20"/>
              </w:rPr>
              <w:t>hmitpiha</w:t>
            </w:r>
          </w:p>
        </w:tc>
        <w:tc>
          <w:tcPr>
            <w:tcW w:w="1701" w:type="dxa"/>
            <w:tcBorders>
              <w:top w:val="single" w:sz="4" w:space="0" w:color="auto"/>
            </w:tcBorders>
            <w:hideMark/>
          </w:tcPr>
          <w:p w14:paraId="1A0EBEE6"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hmitsagen</w:t>
            </w:r>
          </w:p>
          <w:p w14:paraId="42BE2C3C"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hmitsufacc</w:t>
            </w:r>
          </w:p>
        </w:tc>
        <w:tc>
          <w:tcPr>
            <w:tcW w:w="2618" w:type="dxa"/>
            <w:tcBorders>
              <w:top w:val="single" w:sz="4" w:space="0" w:color="auto"/>
            </w:tcBorders>
            <w:hideMark/>
          </w:tcPr>
          <w:p w14:paraId="14B3D9DC" w14:textId="77777777" w:rsidR="00FA34EA" w:rsidRPr="00FA34EA" w:rsidRDefault="00FA34EA" w:rsidP="00FA34EA">
            <w:pPr>
              <w:widowControl w:val="0"/>
              <w:autoSpaceDE w:val="0"/>
              <w:autoSpaceDN w:val="0"/>
              <w:adjustRightInd w:val="0"/>
              <w:spacing w:after="200" w:line="276" w:lineRule="auto"/>
              <w:ind w:left="-112"/>
              <w:rPr>
                <w:sz w:val="20"/>
                <w:szCs w:val="20"/>
              </w:rPr>
            </w:pPr>
            <w:r w:rsidRPr="00FA34EA">
              <w:rPr>
                <w:sz w:val="20"/>
                <w:szCs w:val="20"/>
              </w:rPr>
              <w:t>General social assistance (special benefit), child care tax rebate, parenting payment</w:t>
            </w:r>
          </w:p>
        </w:tc>
      </w:tr>
      <w:tr w:rsidR="00FA34EA" w:rsidRPr="00FA34EA" w14:paraId="6FB6AD33" w14:textId="77777777" w:rsidTr="008C535D">
        <w:trPr>
          <w:trHeight w:val="598"/>
        </w:trPr>
        <w:tc>
          <w:tcPr>
            <w:tcW w:w="1145" w:type="dxa"/>
            <w:hideMark/>
          </w:tcPr>
          <w:p w14:paraId="30B663C8"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Finland</w:t>
            </w:r>
          </w:p>
        </w:tc>
        <w:tc>
          <w:tcPr>
            <w:tcW w:w="2370" w:type="dxa"/>
          </w:tcPr>
          <w:p w14:paraId="601EB69D" w14:textId="77777777" w:rsidR="00FA34EA" w:rsidRPr="00FA34EA" w:rsidRDefault="00FA34EA" w:rsidP="00FA34EA">
            <w:pPr>
              <w:widowControl w:val="0"/>
              <w:autoSpaceDE w:val="0"/>
              <w:autoSpaceDN w:val="0"/>
              <w:adjustRightInd w:val="0"/>
              <w:spacing w:after="200" w:line="276" w:lineRule="auto"/>
              <w:ind w:left="-11" w:firstLine="11"/>
              <w:rPr>
                <w:sz w:val="20"/>
                <w:szCs w:val="20"/>
              </w:rPr>
            </w:pPr>
            <w:r w:rsidRPr="00FA34EA">
              <w:rPr>
                <w:sz w:val="20"/>
                <w:szCs w:val="20"/>
              </w:rPr>
              <w:t>Income Distribution Survey (IDS)/ Survey of Income and Living Conditions (SILC)</w:t>
            </w:r>
          </w:p>
        </w:tc>
        <w:tc>
          <w:tcPr>
            <w:tcW w:w="1555" w:type="dxa"/>
          </w:tcPr>
          <w:p w14:paraId="15507F67" w14:textId="77777777" w:rsidR="00FA34EA" w:rsidRPr="00FA34EA" w:rsidRDefault="00FA34EA" w:rsidP="00FA34EA">
            <w:pPr>
              <w:widowControl w:val="0"/>
              <w:autoSpaceDE w:val="0"/>
              <w:autoSpaceDN w:val="0"/>
              <w:adjustRightInd w:val="0"/>
              <w:spacing w:after="200" w:line="276" w:lineRule="auto"/>
              <w:ind w:left="-113"/>
              <w:rPr>
                <w:sz w:val="20"/>
                <w:szCs w:val="20"/>
              </w:rPr>
            </w:pPr>
            <w:r w:rsidRPr="00FA34EA">
              <w:rPr>
                <w:sz w:val="20"/>
                <w:szCs w:val="20"/>
              </w:rPr>
              <w:t>hmitpiha</w:t>
            </w:r>
          </w:p>
          <w:p w14:paraId="4C344824" w14:textId="77777777" w:rsidR="00FA34EA" w:rsidRPr="00FA34EA" w:rsidRDefault="00FA34EA" w:rsidP="00FA34EA">
            <w:pPr>
              <w:widowControl w:val="0"/>
              <w:autoSpaceDE w:val="0"/>
              <w:autoSpaceDN w:val="0"/>
              <w:adjustRightInd w:val="0"/>
              <w:spacing w:after="200" w:line="276" w:lineRule="auto"/>
              <w:ind w:left="-113"/>
              <w:rPr>
                <w:sz w:val="20"/>
                <w:szCs w:val="20"/>
              </w:rPr>
            </w:pPr>
            <w:r w:rsidRPr="00FA34EA">
              <w:rPr>
                <w:sz w:val="20"/>
                <w:szCs w:val="20"/>
              </w:rPr>
              <w:t>hmitsufaam (guaranteed maintenance)</w:t>
            </w:r>
          </w:p>
          <w:p w14:paraId="0CC06FFD" w14:textId="77777777" w:rsidR="00FA34EA" w:rsidRPr="00FA34EA" w:rsidRDefault="00FA34EA" w:rsidP="00FA34EA">
            <w:pPr>
              <w:widowControl w:val="0"/>
              <w:autoSpaceDE w:val="0"/>
              <w:autoSpaceDN w:val="0"/>
              <w:adjustRightInd w:val="0"/>
              <w:spacing w:after="200" w:line="276" w:lineRule="auto"/>
              <w:ind w:left="-113"/>
              <w:rPr>
                <w:sz w:val="20"/>
                <w:szCs w:val="20"/>
              </w:rPr>
            </w:pPr>
          </w:p>
        </w:tc>
        <w:tc>
          <w:tcPr>
            <w:tcW w:w="1701" w:type="dxa"/>
            <w:hideMark/>
          </w:tcPr>
          <w:p w14:paraId="4D94E765"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hmitsagen</w:t>
            </w:r>
          </w:p>
        </w:tc>
        <w:tc>
          <w:tcPr>
            <w:tcW w:w="2618" w:type="dxa"/>
            <w:hideMark/>
          </w:tcPr>
          <w:p w14:paraId="647DE727" w14:textId="77777777" w:rsidR="00FA34EA" w:rsidRPr="00FA34EA" w:rsidRDefault="00FA34EA" w:rsidP="00FA34EA">
            <w:pPr>
              <w:widowControl w:val="0"/>
              <w:autoSpaceDE w:val="0"/>
              <w:autoSpaceDN w:val="0"/>
              <w:adjustRightInd w:val="0"/>
              <w:spacing w:after="200" w:line="276" w:lineRule="auto"/>
              <w:ind w:left="-112"/>
              <w:rPr>
                <w:sz w:val="20"/>
                <w:szCs w:val="20"/>
              </w:rPr>
            </w:pPr>
            <w:r w:rsidRPr="00FA34EA">
              <w:rPr>
                <w:sz w:val="20"/>
                <w:szCs w:val="20"/>
              </w:rPr>
              <w:t>General social</w:t>
            </w:r>
          </w:p>
          <w:p w14:paraId="4D19BEB9" w14:textId="77777777" w:rsidR="00FA34EA" w:rsidRPr="00FA34EA" w:rsidRDefault="00FA34EA" w:rsidP="00FA34EA">
            <w:pPr>
              <w:widowControl w:val="0"/>
              <w:autoSpaceDE w:val="0"/>
              <w:autoSpaceDN w:val="0"/>
              <w:adjustRightInd w:val="0"/>
              <w:spacing w:after="200" w:line="276" w:lineRule="auto"/>
              <w:ind w:left="-112"/>
              <w:rPr>
                <w:sz w:val="20"/>
                <w:szCs w:val="20"/>
              </w:rPr>
            </w:pPr>
            <w:r w:rsidRPr="00FA34EA">
              <w:rPr>
                <w:sz w:val="20"/>
                <w:szCs w:val="20"/>
              </w:rPr>
              <w:t>assistance (toimeentulotuki)</w:t>
            </w:r>
          </w:p>
        </w:tc>
      </w:tr>
      <w:tr w:rsidR="00FA34EA" w:rsidRPr="00FA34EA" w14:paraId="7704669C" w14:textId="77777777" w:rsidTr="008C535D">
        <w:trPr>
          <w:trHeight w:val="1496"/>
        </w:trPr>
        <w:tc>
          <w:tcPr>
            <w:tcW w:w="1145" w:type="dxa"/>
            <w:hideMark/>
          </w:tcPr>
          <w:p w14:paraId="4E1F703E"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Germany</w:t>
            </w:r>
          </w:p>
        </w:tc>
        <w:tc>
          <w:tcPr>
            <w:tcW w:w="2370" w:type="dxa"/>
          </w:tcPr>
          <w:p w14:paraId="2721D7F6" w14:textId="77777777" w:rsidR="00FA34EA" w:rsidRPr="00FA34EA" w:rsidRDefault="00FA34EA" w:rsidP="00FA34EA">
            <w:pPr>
              <w:widowControl w:val="0"/>
              <w:autoSpaceDE w:val="0"/>
              <w:autoSpaceDN w:val="0"/>
              <w:adjustRightInd w:val="0"/>
              <w:spacing w:after="200" w:line="276" w:lineRule="auto"/>
              <w:ind w:left="-11" w:firstLine="11"/>
              <w:rPr>
                <w:sz w:val="20"/>
                <w:szCs w:val="20"/>
              </w:rPr>
            </w:pPr>
            <w:r w:rsidRPr="00FA34EA">
              <w:rPr>
                <w:sz w:val="20"/>
                <w:szCs w:val="20"/>
              </w:rPr>
              <w:t>German Socio-Economic Panel (GSOEP)</w:t>
            </w:r>
          </w:p>
        </w:tc>
        <w:tc>
          <w:tcPr>
            <w:tcW w:w="1555" w:type="dxa"/>
          </w:tcPr>
          <w:p w14:paraId="5866BF40" w14:textId="77777777" w:rsidR="00FA34EA" w:rsidRPr="00FA34EA" w:rsidRDefault="00FA34EA" w:rsidP="00FA34EA">
            <w:pPr>
              <w:widowControl w:val="0"/>
              <w:autoSpaceDE w:val="0"/>
              <w:autoSpaceDN w:val="0"/>
              <w:adjustRightInd w:val="0"/>
              <w:spacing w:after="200" w:line="276" w:lineRule="auto"/>
              <w:ind w:left="-113"/>
              <w:rPr>
                <w:sz w:val="20"/>
                <w:szCs w:val="20"/>
              </w:rPr>
            </w:pPr>
            <w:r w:rsidRPr="00FA34EA">
              <w:rPr>
                <w:sz w:val="20"/>
                <w:szCs w:val="20"/>
              </w:rPr>
              <w:t>hmitpiha hmitsufaam (guaranteed maintenance)</w:t>
            </w:r>
          </w:p>
        </w:tc>
        <w:tc>
          <w:tcPr>
            <w:tcW w:w="1701" w:type="dxa"/>
            <w:hideMark/>
          </w:tcPr>
          <w:p w14:paraId="78C3CDA4"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hmitsagen</w:t>
            </w:r>
          </w:p>
          <w:p w14:paraId="0AB51327"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hmitsaun</w:t>
            </w:r>
          </w:p>
        </w:tc>
        <w:tc>
          <w:tcPr>
            <w:tcW w:w="2618" w:type="dxa"/>
            <w:hideMark/>
          </w:tcPr>
          <w:p w14:paraId="5FAC7B55" w14:textId="77777777" w:rsidR="00FA34EA" w:rsidRPr="00FA34EA" w:rsidRDefault="00FA34EA" w:rsidP="00FA34EA">
            <w:pPr>
              <w:widowControl w:val="0"/>
              <w:autoSpaceDE w:val="0"/>
              <w:autoSpaceDN w:val="0"/>
              <w:adjustRightInd w:val="0"/>
              <w:spacing w:after="200" w:line="276" w:lineRule="auto"/>
              <w:ind w:left="-112"/>
              <w:rPr>
                <w:sz w:val="20"/>
                <w:szCs w:val="20"/>
              </w:rPr>
            </w:pPr>
            <w:r w:rsidRPr="00FA34EA">
              <w:rPr>
                <w:sz w:val="20"/>
                <w:szCs w:val="20"/>
              </w:rPr>
              <w:t>General social assistance (Sozialhilfe) , unemployment assistance and social benefit (arbeitslosengeld II, sozialgeld)</w:t>
            </w:r>
          </w:p>
        </w:tc>
      </w:tr>
      <w:tr w:rsidR="00FA34EA" w:rsidRPr="00FA34EA" w14:paraId="49B65104" w14:textId="77777777" w:rsidTr="008C535D">
        <w:trPr>
          <w:trHeight w:val="1496"/>
        </w:trPr>
        <w:tc>
          <w:tcPr>
            <w:tcW w:w="1145" w:type="dxa"/>
            <w:tcBorders>
              <w:bottom w:val="single" w:sz="4" w:space="0" w:color="auto"/>
            </w:tcBorders>
            <w:hideMark/>
          </w:tcPr>
          <w:p w14:paraId="7EE15CBD"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UK</w:t>
            </w:r>
          </w:p>
        </w:tc>
        <w:tc>
          <w:tcPr>
            <w:tcW w:w="2370" w:type="dxa"/>
            <w:tcBorders>
              <w:bottom w:val="single" w:sz="4" w:space="0" w:color="auto"/>
            </w:tcBorders>
          </w:tcPr>
          <w:p w14:paraId="26AFB86C" w14:textId="77777777" w:rsidR="00FA34EA" w:rsidRPr="00FA34EA" w:rsidRDefault="00FA34EA" w:rsidP="00FA34EA">
            <w:pPr>
              <w:widowControl w:val="0"/>
              <w:autoSpaceDE w:val="0"/>
              <w:autoSpaceDN w:val="0"/>
              <w:adjustRightInd w:val="0"/>
              <w:spacing w:after="200" w:line="276" w:lineRule="auto"/>
              <w:ind w:left="-11" w:firstLine="11"/>
              <w:rPr>
                <w:sz w:val="20"/>
                <w:szCs w:val="20"/>
              </w:rPr>
            </w:pPr>
            <w:r w:rsidRPr="00FA34EA">
              <w:rPr>
                <w:sz w:val="20"/>
                <w:szCs w:val="20"/>
              </w:rPr>
              <w:t>Family Resources Survey (FRS)</w:t>
            </w:r>
          </w:p>
        </w:tc>
        <w:tc>
          <w:tcPr>
            <w:tcW w:w="1555" w:type="dxa"/>
            <w:tcBorders>
              <w:bottom w:val="single" w:sz="4" w:space="0" w:color="auto"/>
            </w:tcBorders>
          </w:tcPr>
          <w:p w14:paraId="3E42C128" w14:textId="77777777" w:rsidR="00FA34EA" w:rsidRPr="00FA34EA" w:rsidRDefault="00FA34EA" w:rsidP="00FA34EA">
            <w:pPr>
              <w:widowControl w:val="0"/>
              <w:autoSpaceDE w:val="0"/>
              <w:autoSpaceDN w:val="0"/>
              <w:adjustRightInd w:val="0"/>
              <w:spacing w:after="200" w:line="276" w:lineRule="auto"/>
              <w:ind w:left="-113"/>
              <w:rPr>
                <w:sz w:val="20"/>
                <w:szCs w:val="20"/>
              </w:rPr>
            </w:pPr>
            <w:r w:rsidRPr="00FA34EA">
              <w:rPr>
                <w:sz w:val="20"/>
                <w:szCs w:val="20"/>
              </w:rPr>
              <w:t>hmitpiha</w:t>
            </w:r>
          </w:p>
        </w:tc>
        <w:tc>
          <w:tcPr>
            <w:tcW w:w="1701" w:type="dxa"/>
            <w:tcBorders>
              <w:bottom w:val="single" w:sz="4" w:space="0" w:color="auto"/>
            </w:tcBorders>
            <w:hideMark/>
          </w:tcPr>
          <w:p w14:paraId="21F8DEAB"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hmitsagen</w:t>
            </w:r>
          </w:p>
          <w:p w14:paraId="6383165E" w14:textId="77777777" w:rsidR="00FA34EA" w:rsidRPr="00FA34EA" w:rsidRDefault="00FA34EA" w:rsidP="00FA34EA">
            <w:pPr>
              <w:widowControl w:val="0"/>
              <w:autoSpaceDE w:val="0"/>
              <w:autoSpaceDN w:val="0"/>
              <w:adjustRightInd w:val="0"/>
              <w:spacing w:after="200" w:line="276" w:lineRule="auto"/>
              <w:ind w:left="480" w:hanging="480"/>
              <w:rPr>
                <w:sz w:val="20"/>
                <w:szCs w:val="20"/>
              </w:rPr>
            </w:pPr>
            <w:r w:rsidRPr="00FA34EA">
              <w:rPr>
                <w:sz w:val="20"/>
                <w:szCs w:val="20"/>
              </w:rPr>
              <w:t>hmitsaun</w:t>
            </w:r>
          </w:p>
        </w:tc>
        <w:tc>
          <w:tcPr>
            <w:tcW w:w="2618" w:type="dxa"/>
            <w:tcBorders>
              <w:bottom w:val="single" w:sz="4" w:space="0" w:color="auto"/>
            </w:tcBorders>
            <w:hideMark/>
          </w:tcPr>
          <w:p w14:paraId="36FE0298" w14:textId="77777777" w:rsidR="00FA34EA" w:rsidRPr="00FA34EA" w:rsidRDefault="00FA34EA" w:rsidP="00FA34EA">
            <w:pPr>
              <w:widowControl w:val="0"/>
              <w:autoSpaceDE w:val="0"/>
              <w:autoSpaceDN w:val="0"/>
              <w:adjustRightInd w:val="0"/>
              <w:spacing w:after="200" w:line="276" w:lineRule="auto"/>
              <w:ind w:left="-112"/>
              <w:rPr>
                <w:sz w:val="20"/>
                <w:szCs w:val="20"/>
              </w:rPr>
            </w:pPr>
            <w:r w:rsidRPr="00FA34EA">
              <w:rPr>
                <w:sz w:val="20"/>
                <w:szCs w:val="20"/>
              </w:rPr>
              <w:t>General social assistance (universal credit, working tax credit, income support), Income-based jobseeker's allowance (JSA)</w:t>
            </w:r>
          </w:p>
        </w:tc>
      </w:tr>
    </w:tbl>
    <w:p w14:paraId="724EF173" w14:textId="77777777" w:rsidR="00FA34EA" w:rsidRPr="00FA34EA" w:rsidRDefault="00FA34EA" w:rsidP="00FA34EA">
      <w:pPr>
        <w:widowControl w:val="0"/>
        <w:autoSpaceDE w:val="0"/>
        <w:autoSpaceDN w:val="0"/>
        <w:adjustRightInd w:val="0"/>
        <w:ind w:left="480" w:hanging="480"/>
        <w:rPr>
          <w:sz w:val="18"/>
        </w:rPr>
      </w:pPr>
      <w:r w:rsidRPr="00FA34EA">
        <w:rPr>
          <w:sz w:val="18"/>
        </w:rPr>
        <w:t>Note: Definition of social assistance (hmitsagen): Monetary transfers from minimum income guarantee systems/last resort systems, received from the state through social programmes targeted towards individuals or households in need.</w:t>
      </w:r>
    </w:p>
    <w:p w14:paraId="5991B14D" w14:textId="77777777" w:rsidR="00FA34EA" w:rsidRPr="00FA34EA" w:rsidRDefault="00FA34EA" w:rsidP="00FA34EA">
      <w:pPr>
        <w:widowControl w:val="0"/>
        <w:autoSpaceDE w:val="0"/>
        <w:autoSpaceDN w:val="0"/>
        <w:adjustRightInd w:val="0"/>
        <w:ind w:left="480" w:hanging="480"/>
        <w:rPr>
          <w:sz w:val="18"/>
        </w:rPr>
      </w:pPr>
      <w:r w:rsidRPr="00FA34EA">
        <w:rPr>
          <w:sz w:val="18"/>
        </w:rPr>
        <w:tab/>
        <w:t>Such means-tested systems are meant to provide a minimum subsistence level, covering frequently the totality of the population. Includes in-work benefits paid to those in low-paid jobs in order to raise disposable income without creating disincentives to work. Excludes minimum protection schemes which are covering only specific groups of the population such as the elderly, disabled, dependents of a deceased, or families.</w:t>
      </w:r>
    </w:p>
    <w:p w14:paraId="454BBFCC" w14:textId="77777777" w:rsidR="00FA34EA" w:rsidRPr="00FA34EA" w:rsidRDefault="00FA34EA" w:rsidP="00FA34EA">
      <w:pPr>
        <w:widowControl w:val="0"/>
        <w:autoSpaceDE w:val="0"/>
        <w:autoSpaceDN w:val="0"/>
        <w:adjustRightInd w:val="0"/>
        <w:ind w:left="480" w:hanging="480"/>
        <w:rPr>
          <w:sz w:val="18"/>
        </w:rPr>
      </w:pPr>
      <w:r w:rsidRPr="00FA34EA">
        <w:rPr>
          <w:sz w:val="18"/>
        </w:rPr>
        <w:tab/>
        <w:t>Definition of unemployment assistance: Monetary transfers from unemployment social programmes targeted towards individuals or households in need. Such means-tested transfers cover income poor unemployed persons.</w:t>
      </w:r>
    </w:p>
    <w:p w14:paraId="0609D35F" w14:textId="77777777" w:rsidR="00FA34EA" w:rsidRPr="00FA34EA" w:rsidRDefault="00FA34EA" w:rsidP="00FA34EA">
      <w:pPr>
        <w:widowControl w:val="0"/>
        <w:autoSpaceDE w:val="0"/>
        <w:autoSpaceDN w:val="0"/>
        <w:adjustRightInd w:val="0"/>
        <w:spacing w:line="360" w:lineRule="auto"/>
        <w:ind w:left="480" w:hanging="480"/>
      </w:pPr>
    </w:p>
    <w:p w14:paraId="203829F4" w14:textId="77777777" w:rsidR="00FA34EA" w:rsidRPr="00547A9D" w:rsidRDefault="00FA34EA" w:rsidP="00712393">
      <w:pPr>
        <w:spacing w:after="200" w:line="276" w:lineRule="auto"/>
      </w:pPr>
    </w:p>
    <w:sectPr w:rsidR="00FA34EA" w:rsidRPr="00547A9D" w:rsidSect="00C104CC">
      <w:headerReference w:type="default" r:id="rId9"/>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FEFC" w14:textId="77777777" w:rsidR="001B3B23" w:rsidRDefault="001B3B23" w:rsidP="00C543C6">
      <w:r>
        <w:separator/>
      </w:r>
    </w:p>
  </w:endnote>
  <w:endnote w:type="continuationSeparator" w:id="0">
    <w:p w14:paraId="3C9BA8A3" w14:textId="77777777" w:rsidR="001B3B23" w:rsidRDefault="001B3B23" w:rsidP="00C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65974"/>
      <w:docPartObj>
        <w:docPartGallery w:val="Page Numbers (Bottom of Page)"/>
        <w:docPartUnique/>
      </w:docPartObj>
    </w:sdtPr>
    <w:sdtEndPr>
      <w:rPr>
        <w:noProof/>
      </w:rPr>
    </w:sdtEndPr>
    <w:sdtContent>
      <w:p w14:paraId="6229662F" w14:textId="1F79EE4B" w:rsidR="000B633A" w:rsidRDefault="000B633A">
        <w:pPr>
          <w:pStyle w:val="Footer"/>
          <w:jc w:val="right"/>
        </w:pPr>
        <w:r>
          <w:fldChar w:fldCharType="begin"/>
        </w:r>
        <w:r>
          <w:instrText xml:space="preserve"> PAGE   \* MERGEFORMAT </w:instrText>
        </w:r>
        <w:r>
          <w:fldChar w:fldCharType="separate"/>
        </w:r>
        <w:r w:rsidR="00AA5FA9">
          <w:rPr>
            <w:noProof/>
          </w:rPr>
          <w:t>2</w:t>
        </w:r>
        <w:r>
          <w:rPr>
            <w:noProof/>
          </w:rPr>
          <w:fldChar w:fldCharType="end"/>
        </w:r>
      </w:p>
    </w:sdtContent>
  </w:sdt>
  <w:p w14:paraId="03C5752B" w14:textId="77777777" w:rsidR="000B633A" w:rsidRDefault="000B6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67D3" w14:textId="77777777" w:rsidR="001B3B23" w:rsidRDefault="001B3B23" w:rsidP="00C543C6">
      <w:r>
        <w:separator/>
      </w:r>
    </w:p>
  </w:footnote>
  <w:footnote w:type="continuationSeparator" w:id="0">
    <w:p w14:paraId="54D6DDF5" w14:textId="77777777" w:rsidR="001B3B23" w:rsidRDefault="001B3B23" w:rsidP="00C5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8E28" w14:textId="57A34658" w:rsidR="000B633A" w:rsidRDefault="000B633A">
    <w:pPr>
      <w:pStyle w:val="Header"/>
      <w:jc w:val="right"/>
    </w:pPr>
  </w:p>
  <w:p w14:paraId="37B1A34D" w14:textId="77777777" w:rsidR="000B633A" w:rsidRDefault="000B6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36BC"/>
    <w:multiLevelType w:val="hybridMultilevel"/>
    <w:tmpl w:val="F7FE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27F00"/>
    <w:multiLevelType w:val="hybridMultilevel"/>
    <w:tmpl w:val="0D0623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87D2EFC"/>
    <w:multiLevelType w:val="hybridMultilevel"/>
    <w:tmpl w:val="A1A0E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B1021D"/>
    <w:multiLevelType w:val="hybridMultilevel"/>
    <w:tmpl w:val="FA06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5A2ACD"/>
    <w:multiLevelType w:val="hybridMultilevel"/>
    <w:tmpl w:val="510C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01A33"/>
    <w:multiLevelType w:val="hybridMultilevel"/>
    <w:tmpl w:val="08BEB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E84E38"/>
    <w:multiLevelType w:val="hybridMultilevel"/>
    <w:tmpl w:val="F5185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7C492C"/>
    <w:multiLevelType w:val="hybridMultilevel"/>
    <w:tmpl w:val="AD78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C6E28"/>
    <w:multiLevelType w:val="hybridMultilevel"/>
    <w:tmpl w:val="A0BA9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D44A95"/>
    <w:multiLevelType w:val="hybridMultilevel"/>
    <w:tmpl w:val="0E5C5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7A3ED7"/>
    <w:multiLevelType w:val="hybridMultilevel"/>
    <w:tmpl w:val="FA123B2E"/>
    <w:lvl w:ilvl="0" w:tplc="97F074DE">
      <w:start w:val="58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56A66E9"/>
    <w:multiLevelType w:val="hybridMultilevel"/>
    <w:tmpl w:val="927C0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926BEE"/>
    <w:multiLevelType w:val="hybridMultilevel"/>
    <w:tmpl w:val="ABC42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11738A"/>
    <w:multiLevelType w:val="hybridMultilevel"/>
    <w:tmpl w:val="F0BE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16300"/>
    <w:multiLevelType w:val="hybridMultilevel"/>
    <w:tmpl w:val="9EAA5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C362EA"/>
    <w:multiLevelType w:val="hybridMultilevel"/>
    <w:tmpl w:val="E188ACA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4D866C2"/>
    <w:multiLevelType w:val="hybridMultilevel"/>
    <w:tmpl w:val="FDA6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20B2B"/>
    <w:multiLevelType w:val="hybridMultilevel"/>
    <w:tmpl w:val="43D8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90066"/>
    <w:multiLevelType w:val="hybridMultilevel"/>
    <w:tmpl w:val="FB188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4"/>
  </w:num>
  <w:num w:numId="4">
    <w:abstractNumId w:val="8"/>
  </w:num>
  <w:num w:numId="5">
    <w:abstractNumId w:val="12"/>
  </w:num>
  <w:num w:numId="6">
    <w:abstractNumId w:val="14"/>
  </w:num>
  <w:num w:numId="7">
    <w:abstractNumId w:val="9"/>
  </w:num>
  <w:num w:numId="8">
    <w:abstractNumId w:val="6"/>
  </w:num>
  <w:num w:numId="9">
    <w:abstractNumId w:val="5"/>
  </w:num>
  <w:num w:numId="10">
    <w:abstractNumId w:val="18"/>
  </w:num>
  <w:num w:numId="11">
    <w:abstractNumId w:val="3"/>
  </w:num>
  <w:num w:numId="12">
    <w:abstractNumId w:val="2"/>
  </w:num>
  <w:num w:numId="13">
    <w:abstractNumId w:val="11"/>
  </w:num>
  <w:num w:numId="14">
    <w:abstractNumId w:val="1"/>
  </w:num>
  <w:num w:numId="15">
    <w:abstractNumId w:val="7"/>
  </w:num>
  <w:num w:numId="16">
    <w:abstractNumId w:val="17"/>
  </w:num>
  <w:num w:numId="17">
    <w:abstractNumId w:val="0"/>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2D"/>
    <w:rsid w:val="00000D37"/>
    <w:rsid w:val="00003E43"/>
    <w:rsid w:val="00010558"/>
    <w:rsid w:val="000112FF"/>
    <w:rsid w:val="000128CE"/>
    <w:rsid w:val="00013C92"/>
    <w:rsid w:val="00017D8C"/>
    <w:rsid w:val="000305D2"/>
    <w:rsid w:val="00030D00"/>
    <w:rsid w:val="00034C24"/>
    <w:rsid w:val="00037A8B"/>
    <w:rsid w:val="000442C3"/>
    <w:rsid w:val="00046521"/>
    <w:rsid w:val="00046CC2"/>
    <w:rsid w:val="00052A9A"/>
    <w:rsid w:val="00055825"/>
    <w:rsid w:val="00061774"/>
    <w:rsid w:val="0006497D"/>
    <w:rsid w:val="00067610"/>
    <w:rsid w:val="0007003F"/>
    <w:rsid w:val="000704A5"/>
    <w:rsid w:val="00074187"/>
    <w:rsid w:val="00075B38"/>
    <w:rsid w:val="000809CC"/>
    <w:rsid w:val="00080D55"/>
    <w:rsid w:val="00087097"/>
    <w:rsid w:val="00091B0A"/>
    <w:rsid w:val="00095953"/>
    <w:rsid w:val="00096914"/>
    <w:rsid w:val="00096DAA"/>
    <w:rsid w:val="000A1A96"/>
    <w:rsid w:val="000A3278"/>
    <w:rsid w:val="000B4E3D"/>
    <w:rsid w:val="000B540C"/>
    <w:rsid w:val="000B633A"/>
    <w:rsid w:val="000C0159"/>
    <w:rsid w:val="000C20CB"/>
    <w:rsid w:val="000C6478"/>
    <w:rsid w:val="000C727E"/>
    <w:rsid w:val="000C7F82"/>
    <w:rsid w:val="000D3BE1"/>
    <w:rsid w:val="000D65EF"/>
    <w:rsid w:val="000D7146"/>
    <w:rsid w:val="000D75D0"/>
    <w:rsid w:val="000D7BA1"/>
    <w:rsid w:val="000E10C6"/>
    <w:rsid w:val="000E3728"/>
    <w:rsid w:val="000E40CD"/>
    <w:rsid w:val="000E7679"/>
    <w:rsid w:val="000E78CC"/>
    <w:rsid w:val="000F46AA"/>
    <w:rsid w:val="000F5485"/>
    <w:rsid w:val="00101FAD"/>
    <w:rsid w:val="001065AC"/>
    <w:rsid w:val="001112BC"/>
    <w:rsid w:val="00111781"/>
    <w:rsid w:val="001117BE"/>
    <w:rsid w:val="00113051"/>
    <w:rsid w:val="00114C7F"/>
    <w:rsid w:val="00115435"/>
    <w:rsid w:val="001159AE"/>
    <w:rsid w:val="00115C7D"/>
    <w:rsid w:val="00120C29"/>
    <w:rsid w:val="00125CF5"/>
    <w:rsid w:val="00143D79"/>
    <w:rsid w:val="00152429"/>
    <w:rsid w:val="00152DA2"/>
    <w:rsid w:val="00153363"/>
    <w:rsid w:val="00155BA0"/>
    <w:rsid w:val="0015646A"/>
    <w:rsid w:val="00161BD5"/>
    <w:rsid w:val="001626B0"/>
    <w:rsid w:val="0016740E"/>
    <w:rsid w:val="001768A4"/>
    <w:rsid w:val="00183BB1"/>
    <w:rsid w:val="00186486"/>
    <w:rsid w:val="00192C7B"/>
    <w:rsid w:val="00196B61"/>
    <w:rsid w:val="001A1053"/>
    <w:rsid w:val="001A3A8D"/>
    <w:rsid w:val="001A597C"/>
    <w:rsid w:val="001B14E9"/>
    <w:rsid w:val="001B24C2"/>
    <w:rsid w:val="001B3B23"/>
    <w:rsid w:val="001B4B02"/>
    <w:rsid w:val="001C0931"/>
    <w:rsid w:val="001C0B87"/>
    <w:rsid w:val="001C18C2"/>
    <w:rsid w:val="001C2D05"/>
    <w:rsid w:val="001C7406"/>
    <w:rsid w:val="001D06D9"/>
    <w:rsid w:val="001D1070"/>
    <w:rsid w:val="001D10CD"/>
    <w:rsid w:val="001D2897"/>
    <w:rsid w:val="001D43BB"/>
    <w:rsid w:val="001E19B1"/>
    <w:rsid w:val="001E2E0A"/>
    <w:rsid w:val="001E45EE"/>
    <w:rsid w:val="001F1A92"/>
    <w:rsid w:val="002022F7"/>
    <w:rsid w:val="00202CFF"/>
    <w:rsid w:val="0020625D"/>
    <w:rsid w:val="00212542"/>
    <w:rsid w:val="002125BA"/>
    <w:rsid w:val="00212903"/>
    <w:rsid w:val="0021595C"/>
    <w:rsid w:val="00217AD9"/>
    <w:rsid w:val="0022105D"/>
    <w:rsid w:val="00226FC6"/>
    <w:rsid w:val="00233410"/>
    <w:rsid w:val="00233DFB"/>
    <w:rsid w:val="00233FE2"/>
    <w:rsid w:val="00235319"/>
    <w:rsid w:val="00236478"/>
    <w:rsid w:val="00254C30"/>
    <w:rsid w:val="002650A7"/>
    <w:rsid w:val="0026653C"/>
    <w:rsid w:val="00270F4A"/>
    <w:rsid w:val="00272FD2"/>
    <w:rsid w:val="00274A4C"/>
    <w:rsid w:val="00280FC8"/>
    <w:rsid w:val="00283EF3"/>
    <w:rsid w:val="00284F62"/>
    <w:rsid w:val="002850DD"/>
    <w:rsid w:val="00285A96"/>
    <w:rsid w:val="00286039"/>
    <w:rsid w:val="0028628F"/>
    <w:rsid w:val="0029242D"/>
    <w:rsid w:val="0029650C"/>
    <w:rsid w:val="002969B8"/>
    <w:rsid w:val="0029796D"/>
    <w:rsid w:val="00297C31"/>
    <w:rsid w:val="002A052E"/>
    <w:rsid w:val="002A5B6A"/>
    <w:rsid w:val="002A6BA3"/>
    <w:rsid w:val="002B0432"/>
    <w:rsid w:val="002B09CE"/>
    <w:rsid w:val="002C1154"/>
    <w:rsid w:val="002C37B4"/>
    <w:rsid w:val="002C76FF"/>
    <w:rsid w:val="002D0B20"/>
    <w:rsid w:val="002D3EDC"/>
    <w:rsid w:val="002D549C"/>
    <w:rsid w:val="002E3906"/>
    <w:rsid w:val="002F0056"/>
    <w:rsid w:val="002F013A"/>
    <w:rsid w:val="002F2444"/>
    <w:rsid w:val="002F4A7A"/>
    <w:rsid w:val="002F52C5"/>
    <w:rsid w:val="002F7D8E"/>
    <w:rsid w:val="003011B6"/>
    <w:rsid w:val="003035EE"/>
    <w:rsid w:val="003049C5"/>
    <w:rsid w:val="003072D1"/>
    <w:rsid w:val="00307B10"/>
    <w:rsid w:val="00313BCD"/>
    <w:rsid w:val="003207E2"/>
    <w:rsid w:val="003213E8"/>
    <w:rsid w:val="00321D16"/>
    <w:rsid w:val="0032274C"/>
    <w:rsid w:val="00331F7F"/>
    <w:rsid w:val="00334792"/>
    <w:rsid w:val="00342ECF"/>
    <w:rsid w:val="00357FA0"/>
    <w:rsid w:val="003606B5"/>
    <w:rsid w:val="0036698F"/>
    <w:rsid w:val="00366E73"/>
    <w:rsid w:val="00371F7F"/>
    <w:rsid w:val="00374BA1"/>
    <w:rsid w:val="00381158"/>
    <w:rsid w:val="00393583"/>
    <w:rsid w:val="00394327"/>
    <w:rsid w:val="00396B1C"/>
    <w:rsid w:val="003A1236"/>
    <w:rsid w:val="003A2E71"/>
    <w:rsid w:val="003A489E"/>
    <w:rsid w:val="003A5781"/>
    <w:rsid w:val="003A67B8"/>
    <w:rsid w:val="003A6E46"/>
    <w:rsid w:val="003B3DEB"/>
    <w:rsid w:val="003B5B7F"/>
    <w:rsid w:val="003B5DC9"/>
    <w:rsid w:val="003B62A4"/>
    <w:rsid w:val="003B6783"/>
    <w:rsid w:val="003C120B"/>
    <w:rsid w:val="003C13A3"/>
    <w:rsid w:val="003C211A"/>
    <w:rsid w:val="003C6BE2"/>
    <w:rsid w:val="003D084E"/>
    <w:rsid w:val="003D10F7"/>
    <w:rsid w:val="003D48FD"/>
    <w:rsid w:val="003D5BB4"/>
    <w:rsid w:val="003E015A"/>
    <w:rsid w:val="003E2462"/>
    <w:rsid w:val="003F3174"/>
    <w:rsid w:val="003F4BED"/>
    <w:rsid w:val="003F6C22"/>
    <w:rsid w:val="004010D7"/>
    <w:rsid w:val="004015E6"/>
    <w:rsid w:val="00401F8F"/>
    <w:rsid w:val="00402671"/>
    <w:rsid w:val="00404DEF"/>
    <w:rsid w:val="00405AA7"/>
    <w:rsid w:val="00410FD1"/>
    <w:rsid w:val="0041308E"/>
    <w:rsid w:val="00414897"/>
    <w:rsid w:val="00414DA9"/>
    <w:rsid w:val="00422797"/>
    <w:rsid w:val="00427658"/>
    <w:rsid w:val="00427BB0"/>
    <w:rsid w:val="0043179F"/>
    <w:rsid w:val="004320DF"/>
    <w:rsid w:val="0043223E"/>
    <w:rsid w:val="00432BCB"/>
    <w:rsid w:val="004360E0"/>
    <w:rsid w:val="00437048"/>
    <w:rsid w:val="00437CAC"/>
    <w:rsid w:val="00440E38"/>
    <w:rsid w:val="0044230A"/>
    <w:rsid w:val="0044424C"/>
    <w:rsid w:val="00446D1F"/>
    <w:rsid w:val="0045184B"/>
    <w:rsid w:val="00453CB5"/>
    <w:rsid w:val="004576B9"/>
    <w:rsid w:val="004628D9"/>
    <w:rsid w:val="00462AA3"/>
    <w:rsid w:val="00462D42"/>
    <w:rsid w:val="00465D99"/>
    <w:rsid w:val="00467F9B"/>
    <w:rsid w:val="004732E8"/>
    <w:rsid w:val="00482213"/>
    <w:rsid w:val="00483A4A"/>
    <w:rsid w:val="00486626"/>
    <w:rsid w:val="004938D5"/>
    <w:rsid w:val="0049489B"/>
    <w:rsid w:val="004952CA"/>
    <w:rsid w:val="00497AA0"/>
    <w:rsid w:val="004A3F55"/>
    <w:rsid w:val="004A6789"/>
    <w:rsid w:val="004B02BB"/>
    <w:rsid w:val="004B03E6"/>
    <w:rsid w:val="004B05F9"/>
    <w:rsid w:val="004B14BB"/>
    <w:rsid w:val="004B4848"/>
    <w:rsid w:val="004B5ECD"/>
    <w:rsid w:val="004B6DCB"/>
    <w:rsid w:val="004D229B"/>
    <w:rsid w:val="004D2321"/>
    <w:rsid w:val="004D2584"/>
    <w:rsid w:val="004D3FED"/>
    <w:rsid w:val="004D7721"/>
    <w:rsid w:val="004E0861"/>
    <w:rsid w:val="004E21E7"/>
    <w:rsid w:val="004E26E1"/>
    <w:rsid w:val="004E3518"/>
    <w:rsid w:val="004F19FF"/>
    <w:rsid w:val="004F1B44"/>
    <w:rsid w:val="004F281A"/>
    <w:rsid w:val="004F4E82"/>
    <w:rsid w:val="004F5313"/>
    <w:rsid w:val="004F7B7D"/>
    <w:rsid w:val="005010B5"/>
    <w:rsid w:val="00501707"/>
    <w:rsid w:val="00506322"/>
    <w:rsid w:val="00513E97"/>
    <w:rsid w:val="0051651D"/>
    <w:rsid w:val="00516680"/>
    <w:rsid w:val="00521AFB"/>
    <w:rsid w:val="00522088"/>
    <w:rsid w:val="00531349"/>
    <w:rsid w:val="005343B8"/>
    <w:rsid w:val="005346DE"/>
    <w:rsid w:val="00534C04"/>
    <w:rsid w:val="005357E0"/>
    <w:rsid w:val="00547A9D"/>
    <w:rsid w:val="00550EBF"/>
    <w:rsid w:val="00555FE3"/>
    <w:rsid w:val="00561683"/>
    <w:rsid w:val="00564D62"/>
    <w:rsid w:val="00570398"/>
    <w:rsid w:val="005712F9"/>
    <w:rsid w:val="00571802"/>
    <w:rsid w:val="0057324A"/>
    <w:rsid w:val="00573900"/>
    <w:rsid w:val="0057722C"/>
    <w:rsid w:val="005839A0"/>
    <w:rsid w:val="005843BA"/>
    <w:rsid w:val="00584424"/>
    <w:rsid w:val="00585CED"/>
    <w:rsid w:val="00586691"/>
    <w:rsid w:val="005871C4"/>
    <w:rsid w:val="005923DB"/>
    <w:rsid w:val="0059274E"/>
    <w:rsid w:val="00593485"/>
    <w:rsid w:val="00595785"/>
    <w:rsid w:val="005A08DC"/>
    <w:rsid w:val="005A10E7"/>
    <w:rsid w:val="005A1CCE"/>
    <w:rsid w:val="005A3218"/>
    <w:rsid w:val="005A32AE"/>
    <w:rsid w:val="005A5386"/>
    <w:rsid w:val="005A5D9B"/>
    <w:rsid w:val="005B3295"/>
    <w:rsid w:val="005B360B"/>
    <w:rsid w:val="005B41CA"/>
    <w:rsid w:val="005B58D5"/>
    <w:rsid w:val="005B63AA"/>
    <w:rsid w:val="005C134E"/>
    <w:rsid w:val="005C389B"/>
    <w:rsid w:val="005C4025"/>
    <w:rsid w:val="005C56FE"/>
    <w:rsid w:val="005C5FB5"/>
    <w:rsid w:val="005D2F65"/>
    <w:rsid w:val="005D433F"/>
    <w:rsid w:val="005D44B3"/>
    <w:rsid w:val="005D6C7F"/>
    <w:rsid w:val="005D72E7"/>
    <w:rsid w:val="005E26C2"/>
    <w:rsid w:val="005E2EDB"/>
    <w:rsid w:val="005E4810"/>
    <w:rsid w:val="005F0E32"/>
    <w:rsid w:val="00600531"/>
    <w:rsid w:val="00604E2A"/>
    <w:rsid w:val="00605956"/>
    <w:rsid w:val="00625704"/>
    <w:rsid w:val="006309A9"/>
    <w:rsid w:val="00635FFC"/>
    <w:rsid w:val="006377ED"/>
    <w:rsid w:val="00641975"/>
    <w:rsid w:val="00641D24"/>
    <w:rsid w:val="006421EB"/>
    <w:rsid w:val="0064478C"/>
    <w:rsid w:val="006449D4"/>
    <w:rsid w:val="0065124F"/>
    <w:rsid w:val="00651E67"/>
    <w:rsid w:val="00653144"/>
    <w:rsid w:val="00653857"/>
    <w:rsid w:val="006559C7"/>
    <w:rsid w:val="0067118D"/>
    <w:rsid w:val="0067337A"/>
    <w:rsid w:val="00673939"/>
    <w:rsid w:val="00673947"/>
    <w:rsid w:val="006740A3"/>
    <w:rsid w:val="006742FF"/>
    <w:rsid w:val="0067546C"/>
    <w:rsid w:val="0068208A"/>
    <w:rsid w:val="00684C3F"/>
    <w:rsid w:val="00684C46"/>
    <w:rsid w:val="00685282"/>
    <w:rsid w:val="006855DB"/>
    <w:rsid w:val="00686852"/>
    <w:rsid w:val="00695C9D"/>
    <w:rsid w:val="00697261"/>
    <w:rsid w:val="006A2AA3"/>
    <w:rsid w:val="006C02A8"/>
    <w:rsid w:val="006C5917"/>
    <w:rsid w:val="006D09DA"/>
    <w:rsid w:val="006D3744"/>
    <w:rsid w:val="006D7438"/>
    <w:rsid w:val="006E3A82"/>
    <w:rsid w:val="006E4775"/>
    <w:rsid w:val="006E6F40"/>
    <w:rsid w:val="006F401E"/>
    <w:rsid w:val="006F4A80"/>
    <w:rsid w:val="006F586C"/>
    <w:rsid w:val="006F7339"/>
    <w:rsid w:val="007001BB"/>
    <w:rsid w:val="00702D9F"/>
    <w:rsid w:val="00710B9D"/>
    <w:rsid w:val="00711041"/>
    <w:rsid w:val="00712393"/>
    <w:rsid w:val="00713E64"/>
    <w:rsid w:val="00714DC1"/>
    <w:rsid w:val="00722B88"/>
    <w:rsid w:val="00725518"/>
    <w:rsid w:val="0074161D"/>
    <w:rsid w:val="0074264F"/>
    <w:rsid w:val="00744051"/>
    <w:rsid w:val="0074473B"/>
    <w:rsid w:val="007458E5"/>
    <w:rsid w:val="00751BE9"/>
    <w:rsid w:val="0075356C"/>
    <w:rsid w:val="00754509"/>
    <w:rsid w:val="00754848"/>
    <w:rsid w:val="00754D4C"/>
    <w:rsid w:val="00756DAD"/>
    <w:rsid w:val="00761184"/>
    <w:rsid w:val="007616A5"/>
    <w:rsid w:val="00763CA0"/>
    <w:rsid w:val="007646A2"/>
    <w:rsid w:val="00767193"/>
    <w:rsid w:val="00780FEB"/>
    <w:rsid w:val="00790EB8"/>
    <w:rsid w:val="00792BF9"/>
    <w:rsid w:val="007B177F"/>
    <w:rsid w:val="007B5085"/>
    <w:rsid w:val="007B7776"/>
    <w:rsid w:val="007C124F"/>
    <w:rsid w:val="007D19E8"/>
    <w:rsid w:val="007D3755"/>
    <w:rsid w:val="007D7801"/>
    <w:rsid w:val="007E0456"/>
    <w:rsid w:val="007E0471"/>
    <w:rsid w:val="007E3199"/>
    <w:rsid w:val="007E59D1"/>
    <w:rsid w:val="007E70BF"/>
    <w:rsid w:val="007E7533"/>
    <w:rsid w:val="007F0746"/>
    <w:rsid w:val="007F23D9"/>
    <w:rsid w:val="007F4CCD"/>
    <w:rsid w:val="007F4D97"/>
    <w:rsid w:val="007F5198"/>
    <w:rsid w:val="007F562B"/>
    <w:rsid w:val="00801986"/>
    <w:rsid w:val="00802A56"/>
    <w:rsid w:val="008042EA"/>
    <w:rsid w:val="008127F8"/>
    <w:rsid w:val="008141BD"/>
    <w:rsid w:val="008143AA"/>
    <w:rsid w:val="00816C68"/>
    <w:rsid w:val="008232E3"/>
    <w:rsid w:val="008236CF"/>
    <w:rsid w:val="008325C5"/>
    <w:rsid w:val="00834356"/>
    <w:rsid w:val="00834B69"/>
    <w:rsid w:val="00834BBB"/>
    <w:rsid w:val="008428F8"/>
    <w:rsid w:val="008431C2"/>
    <w:rsid w:val="008457CC"/>
    <w:rsid w:val="00846C12"/>
    <w:rsid w:val="00847695"/>
    <w:rsid w:val="00851FE5"/>
    <w:rsid w:val="00856553"/>
    <w:rsid w:val="00856B68"/>
    <w:rsid w:val="00857019"/>
    <w:rsid w:val="00857B02"/>
    <w:rsid w:val="00860409"/>
    <w:rsid w:val="00860525"/>
    <w:rsid w:val="0086110C"/>
    <w:rsid w:val="00863D30"/>
    <w:rsid w:val="008646A7"/>
    <w:rsid w:val="008648F7"/>
    <w:rsid w:val="00882134"/>
    <w:rsid w:val="00883D56"/>
    <w:rsid w:val="008864B8"/>
    <w:rsid w:val="00887630"/>
    <w:rsid w:val="00891782"/>
    <w:rsid w:val="00896F99"/>
    <w:rsid w:val="0089702E"/>
    <w:rsid w:val="008A0FF7"/>
    <w:rsid w:val="008A4C0F"/>
    <w:rsid w:val="008A6900"/>
    <w:rsid w:val="008B4C0A"/>
    <w:rsid w:val="008C3EEB"/>
    <w:rsid w:val="008D27BB"/>
    <w:rsid w:val="008D7B44"/>
    <w:rsid w:val="008E1663"/>
    <w:rsid w:val="008E17CF"/>
    <w:rsid w:val="008E196A"/>
    <w:rsid w:val="008E55F6"/>
    <w:rsid w:val="008E5C4D"/>
    <w:rsid w:val="008E5D2C"/>
    <w:rsid w:val="008E7DBA"/>
    <w:rsid w:val="008E7F09"/>
    <w:rsid w:val="008F3D0C"/>
    <w:rsid w:val="008F58A7"/>
    <w:rsid w:val="008F6AAA"/>
    <w:rsid w:val="008F7CA0"/>
    <w:rsid w:val="00900E26"/>
    <w:rsid w:val="00904899"/>
    <w:rsid w:val="0090532B"/>
    <w:rsid w:val="0090651A"/>
    <w:rsid w:val="00912588"/>
    <w:rsid w:val="00914533"/>
    <w:rsid w:val="00914D52"/>
    <w:rsid w:val="00915204"/>
    <w:rsid w:val="0092451C"/>
    <w:rsid w:val="0092709A"/>
    <w:rsid w:val="0092790A"/>
    <w:rsid w:val="00930E84"/>
    <w:rsid w:val="00940A28"/>
    <w:rsid w:val="00951083"/>
    <w:rsid w:val="009511DB"/>
    <w:rsid w:val="009543CD"/>
    <w:rsid w:val="00955B09"/>
    <w:rsid w:val="00956A98"/>
    <w:rsid w:val="0096170F"/>
    <w:rsid w:val="0096405E"/>
    <w:rsid w:val="00976086"/>
    <w:rsid w:val="009844C4"/>
    <w:rsid w:val="0098680F"/>
    <w:rsid w:val="00987E7F"/>
    <w:rsid w:val="009905FA"/>
    <w:rsid w:val="00993150"/>
    <w:rsid w:val="0099791B"/>
    <w:rsid w:val="009A1186"/>
    <w:rsid w:val="009A6A3C"/>
    <w:rsid w:val="009B1722"/>
    <w:rsid w:val="009B35C7"/>
    <w:rsid w:val="009B4B20"/>
    <w:rsid w:val="009B7958"/>
    <w:rsid w:val="009C58CA"/>
    <w:rsid w:val="009C6B63"/>
    <w:rsid w:val="009D1864"/>
    <w:rsid w:val="009D2857"/>
    <w:rsid w:val="009D4D2B"/>
    <w:rsid w:val="009D4DA5"/>
    <w:rsid w:val="009D5665"/>
    <w:rsid w:val="009D5A8A"/>
    <w:rsid w:val="009D663D"/>
    <w:rsid w:val="009D764A"/>
    <w:rsid w:val="009E1253"/>
    <w:rsid w:val="009E43C8"/>
    <w:rsid w:val="009E5350"/>
    <w:rsid w:val="009E610B"/>
    <w:rsid w:val="009F1B82"/>
    <w:rsid w:val="009F311C"/>
    <w:rsid w:val="009F4DFD"/>
    <w:rsid w:val="009F7DB5"/>
    <w:rsid w:val="00A01698"/>
    <w:rsid w:val="00A05957"/>
    <w:rsid w:val="00A07D25"/>
    <w:rsid w:val="00A10775"/>
    <w:rsid w:val="00A15841"/>
    <w:rsid w:val="00A24197"/>
    <w:rsid w:val="00A24321"/>
    <w:rsid w:val="00A2443A"/>
    <w:rsid w:val="00A25D6C"/>
    <w:rsid w:val="00A2700E"/>
    <w:rsid w:val="00A33B00"/>
    <w:rsid w:val="00A42F23"/>
    <w:rsid w:val="00A45B82"/>
    <w:rsid w:val="00A502AC"/>
    <w:rsid w:val="00A50EBC"/>
    <w:rsid w:val="00A5546A"/>
    <w:rsid w:val="00A656AA"/>
    <w:rsid w:val="00A67F07"/>
    <w:rsid w:val="00A7076E"/>
    <w:rsid w:val="00A749EF"/>
    <w:rsid w:val="00A75D42"/>
    <w:rsid w:val="00A847F5"/>
    <w:rsid w:val="00A97296"/>
    <w:rsid w:val="00AA450B"/>
    <w:rsid w:val="00AA5FA9"/>
    <w:rsid w:val="00AB1D25"/>
    <w:rsid w:val="00AB247C"/>
    <w:rsid w:val="00AB4F37"/>
    <w:rsid w:val="00AB5110"/>
    <w:rsid w:val="00AB62F0"/>
    <w:rsid w:val="00AC1EA3"/>
    <w:rsid w:val="00AC2FE3"/>
    <w:rsid w:val="00AC6444"/>
    <w:rsid w:val="00AC6CBD"/>
    <w:rsid w:val="00AD2E2D"/>
    <w:rsid w:val="00AD3C8B"/>
    <w:rsid w:val="00AD7C48"/>
    <w:rsid w:val="00AE0F3A"/>
    <w:rsid w:val="00AE5C46"/>
    <w:rsid w:val="00AE5CD8"/>
    <w:rsid w:val="00AF37F9"/>
    <w:rsid w:val="00AF3C42"/>
    <w:rsid w:val="00B02FC7"/>
    <w:rsid w:val="00B0569C"/>
    <w:rsid w:val="00B05ED5"/>
    <w:rsid w:val="00B067A1"/>
    <w:rsid w:val="00B139A6"/>
    <w:rsid w:val="00B14372"/>
    <w:rsid w:val="00B204EF"/>
    <w:rsid w:val="00B20F01"/>
    <w:rsid w:val="00B303DE"/>
    <w:rsid w:val="00B3162C"/>
    <w:rsid w:val="00B334FB"/>
    <w:rsid w:val="00B367BE"/>
    <w:rsid w:val="00B36E05"/>
    <w:rsid w:val="00B61693"/>
    <w:rsid w:val="00B619DA"/>
    <w:rsid w:val="00B6284D"/>
    <w:rsid w:val="00B7076D"/>
    <w:rsid w:val="00B74D47"/>
    <w:rsid w:val="00B76094"/>
    <w:rsid w:val="00B76E61"/>
    <w:rsid w:val="00B76E6B"/>
    <w:rsid w:val="00B772C0"/>
    <w:rsid w:val="00B811AE"/>
    <w:rsid w:val="00B818AD"/>
    <w:rsid w:val="00B87720"/>
    <w:rsid w:val="00B87D3C"/>
    <w:rsid w:val="00B904AB"/>
    <w:rsid w:val="00BA0D5C"/>
    <w:rsid w:val="00BA16EC"/>
    <w:rsid w:val="00BA19D9"/>
    <w:rsid w:val="00BA6D56"/>
    <w:rsid w:val="00BB4010"/>
    <w:rsid w:val="00BC3EB7"/>
    <w:rsid w:val="00BC795C"/>
    <w:rsid w:val="00BD138A"/>
    <w:rsid w:val="00BD7EC4"/>
    <w:rsid w:val="00BE6566"/>
    <w:rsid w:val="00BF235F"/>
    <w:rsid w:val="00BF29EC"/>
    <w:rsid w:val="00C0021C"/>
    <w:rsid w:val="00C02089"/>
    <w:rsid w:val="00C04BC1"/>
    <w:rsid w:val="00C104CC"/>
    <w:rsid w:val="00C13E5B"/>
    <w:rsid w:val="00C1495E"/>
    <w:rsid w:val="00C1585A"/>
    <w:rsid w:val="00C214C5"/>
    <w:rsid w:val="00C24C93"/>
    <w:rsid w:val="00C254E3"/>
    <w:rsid w:val="00C2644E"/>
    <w:rsid w:val="00C26C89"/>
    <w:rsid w:val="00C27B2F"/>
    <w:rsid w:val="00C3236E"/>
    <w:rsid w:val="00C348A8"/>
    <w:rsid w:val="00C35FE1"/>
    <w:rsid w:val="00C37B17"/>
    <w:rsid w:val="00C429D0"/>
    <w:rsid w:val="00C43106"/>
    <w:rsid w:val="00C43C1A"/>
    <w:rsid w:val="00C543C6"/>
    <w:rsid w:val="00C544CA"/>
    <w:rsid w:val="00C567FC"/>
    <w:rsid w:val="00C64836"/>
    <w:rsid w:val="00C6603A"/>
    <w:rsid w:val="00C660BE"/>
    <w:rsid w:val="00C667DB"/>
    <w:rsid w:val="00C677B5"/>
    <w:rsid w:val="00C709B4"/>
    <w:rsid w:val="00C714C6"/>
    <w:rsid w:val="00C82501"/>
    <w:rsid w:val="00C84759"/>
    <w:rsid w:val="00C84E50"/>
    <w:rsid w:val="00C86005"/>
    <w:rsid w:val="00C86D6B"/>
    <w:rsid w:val="00C91588"/>
    <w:rsid w:val="00C91A85"/>
    <w:rsid w:val="00C92B21"/>
    <w:rsid w:val="00C93796"/>
    <w:rsid w:val="00C93880"/>
    <w:rsid w:val="00C96040"/>
    <w:rsid w:val="00C96CED"/>
    <w:rsid w:val="00CA1030"/>
    <w:rsid w:val="00CA1071"/>
    <w:rsid w:val="00CB0719"/>
    <w:rsid w:val="00CB360F"/>
    <w:rsid w:val="00CC1386"/>
    <w:rsid w:val="00CC442C"/>
    <w:rsid w:val="00CC7BBC"/>
    <w:rsid w:val="00CE1FBE"/>
    <w:rsid w:val="00CE6083"/>
    <w:rsid w:val="00CE78EC"/>
    <w:rsid w:val="00CF067C"/>
    <w:rsid w:val="00CF1CE9"/>
    <w:rsid w:val="00CF5572"/>
    <w:rsid w:val="00D018EF"/>
    <w:rsid w:val="00D02E89"/>
    <w:rsid w:val="00D11498"/>
    <w:rsid w:val="00D15E11"/>
    <w:rsid w:val="00D1661E"/>
    <w:rsid w:val="00D17340"/>
    <w:rsid w:val="00D24EDD"/>
    <w:rsid w:val="00D2551C"/>
    <w:rsid w:val="00D25FA0"/>
    <w:rsid w:val="00D30772"/>
    <w:rsid w:val="00D312DC"/>
    <w:rsid w:val="00D314ED"/>
    <w:rsid w:val="00D3629C"/>
    <w:rsid w:val="00D375A4"/>
    <w:rsid w:val="00D46760"/>
    <w:rsid w:val="00D518E7"/>
    <w:rsid w:val="00D53830"/>
    <w:rsid w:val="00D61186"/>
    <w:rsid w:val="00D66B0E"/>
    <w:rsid w:val="00D67C07"/>
    <w:rsid w:val="00D70D0C"/>
    <w:rsid w:val="00D71661"/>
    <w:rsid w:val="00D72A92"/>
    <w:rsid w:val="00D73333"/>
    <w:rsid w:val="00D73A00"/>
    <w:rsid w:val="00D82E8D"/>
    <w:rsid w:val="00D8475B"/>
    <w:rsid w:val="00D87462"/>
    <w:rsid w:val="00D8792D"/>
    <w:rsid w:val="00D92824"/>
    <w:rsid w:val="00DA202C"/>
    <w:rsid w:val="00DA2602"/>
    <w:rsid w:val="00DA3962"/>
    <w:rsid w:val="00DA7065"/>
    <w:rsid w:val="00DB04A9"/>
    <w:rsid w:val="00DB3901"/>
    <w:rsid w:val="00DB7C24"/>
    <w:rsid w:val="00DC0987"/>
    <w:rsid w:val="00DC2AE2"/>
    <w:rsid w:val="00DC4D03"/>
    <w:rsid w:val="00DC58A2"/>
    <w:rsid w:val="00DC5EA9"/>
    <w:rsid w:val="00DD4D8B"/>
    <w:rsid w:val="00DD52AB"/>
    <w:rsid w:val="00DD6112"/>
    <w:rsid w:val="00DD6347"/>
    <w:rsid w:val="00DD67D6"/>
    <w:rsid w:val="00DE0803"/>
    <w:rsid w:val="00DE119D"/>
    <w:rsid w:val="00DE31E3"/>
    <w:rsid w:val="00DE33D8"/>
    <w:rsid w:val="00DE695C"/>
    <w:rsid w:val="00DF5709"/>
    <w:rsid w:val="00DF6CA9"/>
    <w:rsid w:val="00E00E54"/>
    <w:rsid w:val="00E01FA1"/>
    <w:rsid w:val="00E12152"/>
    <w:rsid w:val="00E16DB5"/>
    <w:rsid w:val="00E20B7E"/>
    <w:rsid w:val="00E24E9D"/>
    <w:rsid w:val="00E256DE"/>
    <w:rsid w:val="00E347A9"/>
    <w:rsid w:val="00E3678D"/>
    <w:rsid w:val="00E5032F"/>
    <w:rsid w:val="00E52A28"/>
    <w:rsid w:val="00E55216"/>
    <w:rsid w:val="00E6028B"/>
    <w:rsid w:val="00E66A19"/>
    <w:rsid w:val="00E72FE4"/>
    <w:rsid w:val="00E76CDA"/>
    <w:rsid w:val="00E81A56"/>
    <w:rsid w:val="00E90E35"/>
    <w:rsid w:val="00E9365D"/>
    <w:rsid w:val="00E95C23"/>
    <w:rsid w:val="00E95F5C"/>
    <w:rsid w:val="00EA057C"/>
    <w:rsid w:val="00EA0FD2"/>
    <w:rsid w:val="00EA235D"/>
    <w:rsid w:val="00EA5327"/>
    <w:rsid w:val="00EA556D"/>
    <w:rsid w:val="00EA6781"/>
    <w:rsid w:val="00EA7655"/>
    <w:rsid w:val="00EB4AA5"/>
    <w:rsid w:val="00EB4F58"/>
    <w:rsid w:val="00EB6BBB"/>
    <w:rsid w:val="00EB6D78"/>
    <w:rsid w:val="00EB73D4"/>
    <w:rsid w:val="00EC039E"/>
    <w:rsid w:val="00EC333A"/>
    <w:rsid w:val="00EC5931"/>
    <w:rsid w:val="00EC5AD1"/>
    <w:rsid w:val="00ED4F8B"/>
    <w:rsid w:val="00EE5AD9"/>
    <w:rsid w:val="00EF0366"/>
    <w:rsid w:val="00F03AC1"/>
    <w:rsid w:val="00F06ACA"/>
    <w:rsid w:val="00F07432"/>
    <w:rsid w:val="00F204D3"/>
    <w:rsid w:val="00F26FB4"/>
    <w:rsid w:val="00F305A1"/>
    <w:rsid w:val="00F333E5"/>
    <w:rsid w:val="00F34B73"/>
    <w:rsid w:val="00F353B3"/>
    <w:rsid w:val="00F43608"/>
    <w:rsid w:val="00F45899"/>
    <w:rsid w:val="00F460B9"/>
    <w:rsid w:val="00F4658E"/>
    <w:rsid w:val="00F53B46"/>
    <w:rsid w:val="00F55518"/>
    <w:rsid w:val="00F55774"/>
    <w:rsid w:val="00F60EE8"/>
    <w:rsid w:val="00F64DE8"/>
    <w:rsid w:val="00F7255D"/>
    <w:rsid w:val="00F76F3B"/>
    <w:rsid w:val="00F80932"/>
    <w:rsid w:val="00F83E24"/>
    <w:rsid w:val="00F9007E"/>
    <w:rsid w:val="00F93CE2"/>
    <w:rsid w:val="00F95F0E"/>
    <w:rsid w:val="00F977BF"/>
    <w:rsid w:val="00F97C6F"/>
    <w:rsid w:val="00FA1046"/>
    <w:rsid w:val="00FA267D"/>
    <w:rsid w:val="00FA34EA"/>
    <w:rsid w:val="00FA6D1A"/>
    <w:rsid w:val="00FA74D9"/>
    <w:rsid w:val="00FA75F6"/>
    <w:rsid w:val="00FB3188"/>
    <w:rsid w:val="00FB42E6"/>
    <w:rsid w:val="00FC0129"/>
    <w:rsid w:val="00FC1189"/>
    <w:rsid w:val="00FC4C81"/>
    <w:rsid w:val="00FD1992"/>
    <w:rsid w:val="00FD7FFA"/>
    <w:rsid w:val="00FE6446"/>
    <w:rsid w:val="00FE67EB"/>
    <w:rsid w:val="00FF1D66"/>
    <w:rsid w:val="00FF2D8A"/>
    <w:rsid w:val="00FF6C38"/>
    <w:rsid w:val="00FF6E8F"/>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367A8"/>
  <w15:docId w15:val="{C87D1C64-F8DB-428C-B2B7-B2A575F7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42"/>
    <w:pPr>
      <w:spacing w:after="0" w:line="240" w:lineRule="auto"/>
    </w:pPr>
    <w:rPr>
      <w:rFonts w:ascii="Times New Roman" w:eastAsia="Times New Roman" w:hAnsi="Times New Roman" w:cs="Times New Roman"/>
      <w:sz w:val="24"/>
      <w:szCs w:val="24"/>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19B1"/>
    <w:rPr>
      <w:rFonts w:ascii="Calibri" w:eastAsiaTheme="minorHAnsi" w:hAnsi="Calibri" w:cstheme="minorBidi"/>
      <w:sz w:val="22"/>
      <w:szCs w:val="21"/>
      <w:lang w:val="fi-FI" w:eastAsia="en-US"/>
    </w:rPr>
  </w:style>
  <w:style w:type="character" w:customStyle="1" w:styleId="PlainTextChar">
    <w:name w:val="Plain Text Char"/>
    <w:basedOn w:val="DefaultParagraphFont"/>
    <w:link w:val="PlainText"/>
    <w:uiPriority w:val="99"/>
    <w:rsid w:val="001E19B1"/>
    <w:rPr>
      <w:rFonts w:ascii="Calibri" w:hAnsi="Calibri"/>
      <w:szCs w:val="21"/>
      <w:lang w:val="fi-FI"/>
    </w:rPr>
  </w:style>
  <w:style w:type="paragraph" w:styleId="Header">
    <w:name w:val="header"/>
    <w:basedOn w:val="Normal"/>
    <w:link w:val="HeaderChar"/>
    <w:uiPriority w:val="99"/>
    <w:unhideWhenUsed/>
    <w:rsid w:val="00C543C6"/>
    <w:pPr>
      <w:tabs>
        <w:tab w:val="center" w:pos="4819"/>
        <w:tab w:val="right" w:pos="9638"/>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543C6"/>
  </w:style>
  <w:style w:type="paragraph" w:styleId="Footer">
    <w:name w:val="footer"/>
    <w:basedOn w:val="Normal"/>
    <w:link w:val="FooterChar"/>
    <w:uiPriority w:val="99"/>
    <w:unhideWhenUsed/>
    <w:rsid w:val="00C543C6"/>
    <w:pPr>
      <w:tabs>
        <w:tab w:val="center" w:pos="4819"/>
        <w:tab w:val="right" w:pos="9638"/>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543C6"/>
  </w:style>
  <w:style w:type="paragraph" w:styleId="BalloonText">
    <w:name w:val="Balloon Text"/>
    <w:basedOn w:val="Normal"/>
    <w:link w:val="BalloonTextChar"/>
    <w:uiPriority w:val="99"/>
    <w:semiHidden/>
    <w:unhideWhenUsed/>
    <w:rsid w:val="00C543C6"/>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C543C6"/>
    <w:rPr>
      <w:rFonts w:ascii="Tahoma" w:hAnsi="Tahoma" w:cs="Tahoma"/>
      <w:sz w:val="16"/>
      <w:szCs w:val="16"/>
    </w:rPr>
  </w:style>
  <w:style w:type="paragraph" w:styleId="FootnoteText">
    <w:name w:val="footnote text"/>
    <w:basedOn w:val="Normal"/>
    <w:link w:val="FootnoteTextChar"/>
    <w:uiPriority w:val="99"/>
    <w:unhideWhenUsed/>
    <w:rsid w:val="00C543C6"/>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C543C6"/>
    <w:rPr>
      <w:sz w:val="20"/>
      <w:szCs w:val="20"/>
    </w:rPr>
  </w:style>
  <w:style w:type="character" w:styleId="FootnoteReference">
    <w:name w:val="footnote reference"/>
    <w:basedOn w:val="DefaultParagraphFont"/>
    <w:uiPriority w:val="99"/>
    <w:unhideWhenUsed/>
    <w:rsid w:val="00C543C6"/>
    <w:rPr>
      <w:vertAlign w:val="superscript"/>
    </w:rPr>
  </w:style>
  <w:style w:type="table" w:styleId="TableGrid">
    <w:name w:val="Table Grid"/>
    <w:basedOn w:val="TableNormal"/>
    <w:uiPriority w:val="59"/>
    <w:rsid w:val="00A0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7ED"/>
    <w:pPr>
      <w:spacing w:after="200" w:line="276" w:lineRule="auto"/>
      <w:ind w:left="720"/>
      <w:contextualSpacing/>
    </w:pPr>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896F99"/>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6F99"/>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211A"/>
    <w:rPr>
      <w:sz w:val="16"/>
      <w:szCs w:val="16"/>
    </w:rPr>
  </w:style>
  <w:style w:type="paragraph" w:styleId="CommentText">
    <w:name w:val="annotation text"/>
    <w:basedOn w:val="Normal"/>
    <w:link w:val="CommentTextChar"/>
    <w:uiPriority w:val="99"/>
    <w:unhideWhenUsed/>
    <w:rsid w:val="003C211A"/>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3C211A"/>
    <w:rPr>
      <w:sz w:val="20"/>
      <w:szCs w:val="20"/>
    </w:rPr>
  </w:style>
  <w:style w:type="paragraph" w:styleId="CommentSubject">
    <w:name w:val="annotation subject"/>
    <w:basedOn w:val="CommentText"/>
    <w:next w:val="CommentText"/>
    <w:link w:val="CommentSubjectChar"/>
    <w:uiPriority w:val="99"/>
    <w:semiHidden/>
    <w:unhideWhenUsed/>
    <w:rsid w:val="003C211A"/>
    <w:rPr>
      <w:b/>
      <w:bCs/>
    </w:rPr>
  </w:style>
  <w:style w:type="character" w:customStyle="1" w:styleId="CommentSubjectChar">
    <w:name w:val="Comment Subject Char"/>
    <w:basedOn w:val="CommentTextChar"/>
    <w:link w:val="CommentSubject"/>
    <w:uiPriority w:val="99"/>
    <w:semiHidden/>
    <w:rsid w:val="003C211A"/>
    <w:rPr>
      <w:b/>
      <w:bCs/>
      <w:sz w:val="20"/>
      <w:szCs w:val="20"/>
    </w:rPr>
  </w:style>
  <w:style w:type="paragraph" w:styleId="Revision">
    <w:name w:val="Revision"/>
    <w:hidden/>
    <w:uiPriority w:val="99"/>
    <w:semiHidden/>
    <w:rsid w:val="003C211A"/>
    <w:pPr>
      <w:spacing w:after="0" w:line="240" w:lineRule="auto"/>
    </w:pPr>
  </w:style>
  <w:style w:type="character" w:styleId="Hyperlink">
    <w:name w:val="Hyperlink"/>
    <w:basedOn w:val="DefaultParagraphFont"/>
    <w:uiPriority w:val="99"/>
    <w:unhideWhenUsed/>
    <w:rsid w:val="00856553"/>
    <w:rPr>
      <w:color w:val="0000FF" w:themeColor="hyperlink"/>
      <w:u w:val="single"/>
    </w:rPr>
  </w:style>
  <w:style w:type="table" w:styleId="MediumList1">
    <w:name w:val="Medium List 1"/>
    <w:basedOn w:val="TableNormal"/>
    <w:uiPriority w:val="65"/>
    <w:rsid w:val="006E477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2">
    <w:name w:val="Medium Shading 2 Accent 2"/>
    <w:basedOn w:val="TableNormal"/>
    <w:uiPriority w:val="64"/>
    <w:rsid w:val="006E47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4B05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6">
    <w:name w:val="A6"/>
    <w:uiPriority w:val="99"/>
    <w:rsid w:val="005A3218"/>
    <w:rPr>
      <w:rFonts w:cs="Helvetica 45 Light"/>
      <w:color w:val="000000"/>
      <w:sz w:val="20"/>
      <w:szCs w:val="20"/>
    </w:rPr>
  </w:style>
  <w:style w:type="character" w:styleId="FollowedHyperlink">
    <w:name w:val="FollowedHyperlink"/>
    <w:basedOn w:val="DefaultParagraphFont"/>
    <w:uiPriority w:val="99"/>
    <w:semiHidden/>
    <w:unhideWhenUsed/>
    <w:rsid w:val="00914D52"/>
    <w:rPr>
      <w:color w:val="800080" w:themeColor="followedHyperlink"/>
      <w:u w:val="single"/>
    </w:rPr>
  </w:style>
  <w:style w:type="table" w:customStyle="1" w:styleId="TableGridLight1">
    <w:name w:val="Table Grid Light1"/>
    <w:basedOn w:val="TableNormal"/>
    <w:uiPriority w:val="40"/>
    <w:rsid w:val="009979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482213"/>
    <w:rPr>
      <w:sz w:val="20"/>
      <w:szCs w:val="20"/>
    </w:rPr>
  </w:style>
  <w:style w:type="character" w:customStyle="1" w:styleId="EndnoteTextChar">
    <w:name w:val="Endnote Text Char"/>
    <w:basedOn w:val="DefaultParagraphFont"/>
    <w:link w:val="EndnoteText"/>
    <w:uiPriority w:val="99"/>
    <w:semiHidden/>
    <w:rsid w:val="00482213"/>
    <w:rPr>
      <w:rFonts w:ascii="Times New Roman" w:eastAsia="Times New Roman" w:hAnsi="Times New Roman" w:cs="Times New Roman"/>
      <w:sz w:val="20"/>
      <w:szCs w:val="20"/>
      <w:lang w:val="en-GB" w:eastAsia="nb-NO"/>
    </w:rPr>
  </w:style>
  <w:style w:type="character" w:styleId="EndnoteReference">
    <w:name w:val="endnote reference"/>
    <w:basedOn w:val="DefaultParagraphFont"/>
    <w:uiPriority w:val="99"/>
    <w:semiHidden/>
    <w:unhideWhenUsed/>
    <w:rsid w:val="00482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2892">
      <w:bodyDiv w:val="1"/>
      <w:marLeft w:val="0"/>
      <w:marRight w:val="0"/>
      <w:marTop w:val="0"/>
      <w:marBottom w:val="0"/>
      <w:divBdr>
        <w:top w:val="none" w:sz="0" w:space="0" w:color="auto"/>
        <w:left w:val="none" w:sz="0" w:space="0" w:color="auto"/>
        <w:bottom w:val="none" w:sz="0" w:space="0" w:color="auto"/>
        <w:right w:val="none" w:sz="0" w:space="0" w:color="auto"/>
      </w:divBdr>
    </w:div>
    <w:div w:id="106047312">
      <w:bodyDiv w:val="1"/>
      <w:marLeft w:val="0"/>
      <w:marRight w:val="0"/>
      <w:marTop w:val="0"/>
      <w:marBottom w:val="0"/>
      <w:divBdr>
        <w:top w:val="none" w:sz="0" w:space="0" w:color="auto"/>
        <w:left w:val="none" w:sz="0" w:space="0" w:color="auto"/>
        <w:bottom w:val="none" w:sz="0" w:space="0" w:color="auto"/>
        <w:right w:val="none" w:sz="0" w:space="0" w:color="auto"/>
      </w:divBdr>
    </w:div>
    <w:div w:id="274217524">
      <w:bodyDiv w:val="1"/>
      <w:marLeft w:val="0"/>
      <w:marRight w:val="0"/>
      <w:marTop w:val="0"/>
      <w:marBottom w:val="0"/>
      <w:divBdr>
        <w:top w:val="none" w:sz="0" w:space="0" w:color="auto"/>
        <w:left w:val="none" w:sz="0" w:space="0" w:color="auto"/>
        <w:bottom w:val="none" w:sz="0" w:space="0" w:color="auto"/>
        <w:right w:val="none" w:sz="0" w:space="0" w:color="auto"/>
      </w:divBdr>
    </w:div>
    <w:div w:id="295263448">
      <w:bodyDiv w:val="1"/>
      <w:marLeft w:val="0"/>
      <w:marRight w:val="0"/>
      <w:marTop w:val="0"/>
      <w:marBottom w:val="0"/>
      <w:divBdr>
        <w:top w:val="none" w:sz="0" w:space="0" w:color="auto"/>
        <w:left w:val="none" w:sz="0" w:space="0" w:color="auto"/>
        <w:bottom w:val="none" w:sz="0" w:space="0" w:color="auto"/>
        <w:right w:val="none" w:sz="0" w:space="0" w:color="auto"/>
      </w:divBdr>
    </w:div>
    <w:div w:id="316423663">
      <w:bodyDiv w:val="1"/>
      <w:marLeft w:val="0"/>
      <w:marRight w:val="0"/>
      <w:marTop w:val="0"/>
      <w:marBottom w:val="0"/>
      <w:divBdr>
        <w:top w:val="none" w:sz="0" w:space="0" w:color="auto"/>
        <w:left w:val="none" w:sz="0" w:space="0" w:color="auto"/>
        <w:bottom w:val="none" w:sz="0" w:space="0" w:color="auto"/>
        <w:right w:val="none" w:sz="0" w:space="0" w:color="auto"/>
      </w:divBdr>
    </w:div>
    <w:div w:id="405542962">
      <w:bodyDiv w:val="1"/>
      <w:marLeft w:val="0"/>
      <w:marRight w:val="0"/>
      <w:marTop w:val="0"/>
      <w:marBottom w:val="0"/>
      <w:divBdr>
        <w:top w:val="none" w:sz="0" w:space="0" w:color="auto"/>
        <w:left w:val="none" w:sz="0" w:space="0" w:color="auto"/>
        <w:bottom w:val="none" w:sz="0" w:space="0" w:color="auto"/>
        <w:right w:val="none" w:sz="0" w:space="0" w:color="auto"/>
      </w:divBdr>
    </w:div>
    <w:div w:id="409742433">
      <w:bodyDiv w:val="1"/>
      <w:marLeft w:val="0"/>
      <w:marRight w:val="0"/>
      <w:marTop w:val="0"/>
      <w:marBottom w:val="0"/>
      <w:divBdr>
        <w:top w:val="none" w:sz="0" w:space="0" w:color="auto"/>
        <w:left w:val="none" w:sz="0" w:space="0" w:color="auto"/>
        <w:bottom w:val="none" w:sz="0" w:space="0" w:color="auto"/>
        <w:right w:val="none" w:sz="0" w:space="0" w:color="auto"/>
      </w:divBdr>
    </w:div>
    <w:div w:id="444161350">
      <w:bodyDiv w:val="1"/>
      <w:marLeft w:val="0"/>
      <w:marRight w:val="0"/>
      <w:marTop w:val="0"/>
      <w:marBottom w:val="0"/>
      <w:divBdr>
        <w:top w:val="none" w:sz="0" w:space="0" w:color="auto"/>
        <w:left w:val="none" w:sz="0" w:space="0" w:color="auto"/>
        <w:bottom w:val="none" w:sz="0" w:space="0" w:color="auto"/>
        <w:right w:val="none" w:sz="0" w:space="0" w:color="auto"/>
      </w:divBdr>
    </w:div>
    <w:div w:id="468787889">
      <w:bodyDiv w:val="1"/>
      <w:marLeft w:val="0"/>
      <w:marRight w:val="0"/>
      <w:marTop w:val="0"/>
      <w:marBottom w:val="0"/>
      <w:divBdr>
        <w:top w:val="none" w:sz="0" w:space="0" w:color="auto"/>
        <w:left w:val="none" w:sz="0" w:space="0" w:color="auto"/>
        <w:bottom w:val="none" w:sz="0" w:space="0" w:color="auto"/>
        <w:right w:val="none" w:sz="0" w:space="0" w:color="auto"/>
      </w:divBdr>
    </w:div>
    <w:div w:id="482158301">
      <w:bodyDiv w:val="1"/>
      <w:marLeft w:val="0"/>
      <w:marRight w:val="0"/>
      <w:marTop w:val="0"/>
      <w:marBottom w:val="0"/>
      <w:divBdr>
        <w:top w:val="none" w:sz="0" w:space="0" w:color="auto"/>
        <w:left w:val="none" w:sz="0" w:space="0" w:color="auto"/>
        <w:bottom w:val="none" w:sz="0" w:space="0" w:color="auto"/>
        <w:right w:val="none" w:sz="0" w:space="0" w:color="auto"/>
      </w:divBdr>
    </w:div>
    <w:div w:id="560140797">
      <w:bodyDiv w:val="1"/>
      <w:marLeft w:val="0"/>
      <w:marRight w:val="0"/>
      <w:marTop w:val="0"/>
      <w:marBottom w:val="0"/>
      <w:divBdr>
        <w:top w:val="none" w:sz="0" w:space="0" w:color="auto"/>
        <w:left w:val="none" w:sz="0" w:space="0" w:color="auto"/>
        <w:bottom w:val="none" w:sz="0" w:space="0" w:color="auto"/>
        <w:right w:val="none" w:sz="0" w:space="0" w:color="auto"/>
      </w:divBdr>
    </w:div>
    <w:div w:id="717777327">
      <w:bodyDiv w:val="1"/>
      <w:marLeft w:val="0"/>
      <w:marRight w:val="0"/>
      <w:marTop w:val="0"/>
      <w:marBottom w:val="0"/>
      <w:divBdr>
        <w:top w:val="none" w:sz="0" w:space="0" w:color="auto"/>
        <w:left w:val="none" w:sz="0" w:space="0" w:color="auto"/>
        <w:bottom w:val="none" w:sz="0" w:space="0" w:color="auto"/>
        <w:right w:val="none" w:sz="0" w:space="0" w:color="auto"/>
      </w:divBdr>
    </w:div>
    <w:div w:id="728916463">
      <w:bodyDiv w:val="1"/>
      <w:marLeft w:val="0"/>
      <w:marRight w:val="0"/>
      <w:marTop w:val="0"/>
      <w:marBottom w:val="0"/>
      <w:divBdr>
        <w:top w:val="none" w:sz="0" w:space="0" w:color="auto"/>
        <w:left w:val="none" w:sz="0" w:space="0" w:color="auto"/>
        <w:bottom w:val="none" w:sz="0" w:space="0" w:color="auto"/>
        <w:right w:val="none" w:sz="0" w:space="0" w:color="auto"/>
      </w:divBdr>
    </w:div>
    <w:div w:id="753748303">
      <w:bodyDiv w:val="1"/>
      <w:marLeft w:val="0"/>
      <w:marRight w:val="0"/>
      <w:marTop w:val="0"/>
      <w:marBottom w:val="0"/>
      <w:divBdr>
        <w:top w:val="none" w:sz="0" w:space="0" w:color="auto"/>
        <w:left w:val="none" w:sz="0" w:space="0" w:color="auto"/>
        <w:bottom w:val="none" w:sz="0" w:space="0" w:color="auto"/>
        <w:right w:val="none" w:sz="0" w:space="0" w:color="auto"/>
      </w:divBdr>
    </w:div>
    <w:div w:id="779422139">
      <w:bodyDiv w:val="1"/>
      <w:marLeft w:val="0"/>
      <w:marRight w:val="0"/>
      <w:marTop w:val="0"/>
      <w:marBottom w:val="0"/>
      <w:divBdr>
        <w:top w:val="none" w:sz="0" w:space="0" w:color="auto"/>
        <w:left w:val="none" w:sz="0" w:space="0" w:color="auto"/>
        <w:bottom w:val="none" w:sz="0" w:space="0" w:color="auto"/>
        <w:right w:val="none" w:sz="0" w:space="0" w:color="auto"/>
      </w:divBdr>
    </w:div>
    <w:div w:id="811362361">
      <w:bodyDiv w:val="1"/>
      <w:marLeft w:val="0"/>
      <w:marRight w:val="0"/>
      <w:marTop w:val="0"/>
      <w:marBottom w:val="0"/>
      <w:divBdr>
        <w:top w:val="none" w:sz="0" w:space="0" w:color="auto"/>
        <w:left w:val="none" w:sz="0" w:space="0" w:color="auto"/>
        <w:bottom w:val="none" w:sz="0" w:space="0" w:color="auto"/>
        <w:right w:val="none" w:sz="0" w:space="0" w:color="auto"/>
      </w:divBdr>
    </w:div>
    <w:div w:id="833687198">
      <w:bodyDiv w:val="1"/>
      <w:marLeft w:val="0"/>
      <w:marRight w:val="0"/>
      <w:marTop w:val="0"/>
      <w:marBottom w:val="0"/>
      <w:divBdr>
        <w:top w:val="none" w:sz="0" w:space="0" w:color="auto"/>
        <w:left w:val="none" w:sz="0" w:space="0" w:color="auto"/>
        <w:bottom w:val="none" w:sz="0" w:space="0" w:color="auto"/>
        <w:right w:val="none" w:sz="0" w:space="0" w:color="auto"/>
      </w:divBdr>
    </w:div>
    <w:div w:id="865219370">
      <w:bodyDiv w:val="1"/>
      <w:marLeft w:val="0"/>
      <w:marRight w:val="0"/>
      <w:marTop w:val="0"/>
      <w:marBottom w:val="0"/>
      <w:divBdr>
        <w:top w:val="none" w:sz="0" w:space="0" w:color="auto"/>
        <w:left w:val="none" w:sz="0" w:space="0" w:color="auto"/>
        <w:bottom w:val="none" w:sz="0" w:space="0" w:color="auto"/>
        <w:right w:val="none" w:sz="0" w:space="0" w:color="auto"/>
      </w:divBdr>
    </w:div>
    <w:div w:id="906233888">
      <w:bodyDiv w:val="1"/>
      <w:marLeft w:val="0"/>
      <w:marRight w:val="0"/>
      <w:marTop w:val="0"/>
      <w:marBottom w:val="0"/>
      <w:divBdr>
        <w:top w:val="none" w:sz="0" w:space="0" w:color="auto"/>
        <w:left w:val="none" w:sz="0" w:space="0" w:color="auto"/>
        <w:bottom w:val="none" w:sz="0" w:space="0" w:color="auto"/>
        <w:right w:val="none" w:sz="0" w:space="0" w:color="auto"/>
      </w:divBdr>
    </w:div>
    <w:div w:id="918058706">
      <w:bodyDiv w:val="1"/>
      <w:marLeft w:val="0"/>
      <w:marRight w:val="0"/>
      <w:marTop w:val="0"/>
      <w:marBottom w:val="0"/>
      <w:divBdr>
        <w:top w:val="none" w:sz="0" w:space="0" w:color="auto"/>
        <w:left w:val="none" w:sz="0" w:space="0" w:color="auto"/>
        <w:bottom w:val="none" w:sz="0" w:space="0" w:color="auto"/>
        <w:right w:val="none" w:sz="0" w:space="0" w:color="auto"/>
      </w:divBdr>
    </w:div>
    <w:div w:id="935334172">
      <w:bodyDiv w:val="1"/>
      <w:marLeft w:val="0"/>
      <w:marRight w:val="0"/>
      <w:marTop w:val="0"/>
      <w:marBottom w:val="0"/>
      <w:divBdr>
        <w:top w:val="none" w:sz="0" w:space="0" w:color="auto"/>
        <w:left w:val="none" w:sz="0" w:space="0" w:color="auto"/>
        <w:bottom w:val="none" w:sz="0" w:space="0" w:color="auto"/>
        <w:right w:val="none" w:sz="0" w:space="0" w:color="auto"/>
      </w:divBdr>
    </w:div>
    <w:div w:id="970746570">
      <w:bodyDiv w:val="1"/>
      <w:marLeft w:val="0"/>
      <w:marRight w:val="0"/>
      <w:marTop w:val="0"/>
      <w:marBottom w:val="0"/>
      <w:divBdr>
        <w:top w:val="none" w:sz="0" w:space="0" w:color="auto"/>
        <w:left w:val="none" w:sz="0" w:space="0" w:color="auto"/>
        <w:bottom w:val="none" w:sz="0" w:space="0" w:color="auto"/>
        <w:right w:val="none" w:sz="0" w:space="0" w:color="auto"/>
      </w:divBdr>
    </w:div>
    <w:div w:id="992947083">
      <w:bodyDiv w:val="1"/>
      <w:marLeft w:val="0"/>
      <w:marRight w:val="0"/>
      <w:marTop w:val="0"/>
      <w:marBottom w:val="0"/>
      <w:divBdr>
        <w:top w:val="none" w:sz="0" w:space="0" w:color="auto"/>
        <w:left w:val="none" w:sz="0" w:space="0" w:color="auto"/>
        <w:bottom w:val="none" w:sz="0" w:space="0" w:color="auto"/>
        <w:right w:val="none" w:sz="0" w:space="0" w:color="auto"/>
      </w:divBdr>
    </w:div>
    <w:div w:id="1027684090">
      <w:bodyDiv w:val="1"/>
      <w:marLeft w:val="0"/>
      <w:marRight w:val="0"/>
      <w:marTop w:val="0"/>
      <w:marBottom w:val="0"/>
      <w:divBdr>
        <w:top w:val="none" w:sz="0" w:space="0" w:color="auto"/>
        <w:left w:val="none" w:sz="0" w:space="0" w:color="auto"/>
        <w:bottom w:val="none" w:sz="0" w:space="0" w:color="auto"/>
        <w:right w:val="none" w:sz="0" w:space="0" w:color="auto"/>
      </w:divBdr>
    </w:div>
    <w:div w:id="1101681255">
      <w:bodyDiv w:val="1"/>
      <w:marLeft w:val="0"/>
      <w:marRight w:val="0"/>
      <w:marTop w:val="0"/>
      <w:marBottom w:val="0"/>
      <w:divBdr>
        <w:top w:val="none" w:sz="0" w:space="0" w:color="auto"/>
        <w:left w:val="none" w:sz="0" w:space="0" w:color="auto"/>
        <w:bottom w:val="none" w:sz="0" w:space="0" w:color="auto"/>
        <w:right w:val="none" w:sz="0" w:space="0" w:color="auto"/>
      </w:divBdr>
    </w:div>
    <w:div w:id="1133015899">
      <w:bodyDiv w:val="1"/>
      <w:marLeft w:val="0"/>
      <w:marRight w:val="0"/>
      <w:marTop w:val="0"/>
      <w:marBottom w:val="0"/>
      <w:divBdr>
        <w:top w:val="none" w:sz="0" w:space="0" w:color="auto"/>
        <w:left w:val="none" w:sz="0" w:space="0" w:color="auto"/>
        <w:bottom w:val="none" w:sz="0" w:space="0" w:color="auto"/>
        <w:right w:val="none" w:sz="0" w:space="0" w:color="auto"/>
      </w:divBdr>
    </w:div>
    <w:div w:id="1148323203">
      <w:bodyDiv w:val="1"/>
      <w:marLeft w:val="0"/>
      <w:marRight w:val="0"/>
      <w:marTop w:val="0"/>
      <w:marBottom w:val="0"/>
      <w:divBdr>
        <w:top w:val="none" w:sz="0" w:space="0" w:color="auto"/>
        <w:left w:val="none" w:sz="0" w:space="0" w:color="auto"/>
        <w:bottom w:val="none" w:sz="0" w:space="0" w:color="auto"/>
        <w:right w:val="none" w:sz="0" w:space="0" w:color="auto"/>
      </w:divBdr>
    </w:div>
    <w:div w:id="1155879633">
      <w:bodyDiv w:val="1"/>
      <w:marLeft w:val="0"/>
      <w:marRight w:val="0"/>
      <w:marTop w:val="0"/>
      <w:marBottom w:val="0"/>
      <w:divBdr>
        <w:top w:val="none" w:sz="0" w:space="0" w:color="auto"/>
        <w:left w:val="none" w:sz="0" w:space="0" w:color="auto"/>
        <w:bottom w:val="none" w:sz="0" w:space="0" w:color="auto"/>
        <w:right w:val="none" w:sz="0" w:space="0" w:color="auto"/>
      </w:divBdr>
    </w:div>
    <w:div w:id="1157960220">
      <w:bodyDiv w:val="1"/>
      <w:marLeft w:val="0"/>
      <w:marRight w:val="0"/>
      <w:marTop w:val="0"/>
      <w:marBottom w:val="0"/>
      <w:divBdr>
        <w:top w:val="none" w:sz="0" w:space="0" w:color="auto"/>
        <w:left w:val="none" w:sz="0" w:space="0" w:color="auto"/>
        <w:bottom w:val="none" w:sz="0" w:space="0" w:color="auto"/>
        <w:right w:val="none" w:sz="0" w:space="0" w:color="auto"/>
      </w:divBdr>
    </w:div>
    <w:div w:id="1172331650">
      <w:bodyDiv w:val="1"/>
      <w:marLeft w:val="0"/>
      <w:marRight w:val="0"/>
      <w:marTop w:val="0"/>
      <w:marBottom w:val="0"/>
      <w:divBdr>
        <w:top w:val="none" w:sz="0" w:space="0" w:color="auto"/>
        <w:left w:val="none" w:sz="0" w:space="0" w:color="auto"/>
        <w:bottom w:val="none" w:sz="0" w:space="0" w:color="auto"/>
        <w:right w:val="none" w:sz="0" w:space="0" w:color="auto"/>
      </w:divBdr>
    </w:div>
    <w:div w:id="1253703742">
      <w:bodyDiv w:val="1"/>
      <w:marLeft w:val="0"/>
      <w:marRight w:val="0"/>
      <w:marTop w:val="0"/>
      <w:marBottom w:val="0"/>
      <w:divBdr>
        <w:top w:val="none" w:sz="0" w:space="0" w:color="auto"/>
        <w:left w:val="none" w:sz="0" w:space="0" w:color="auto"/>
        <w:bottom w:val="none" w:sz="0" w:space="0" w:color="auto"/>
        <w:right w:val="none" w:sz="0" w:space="0" w:color="auto"/>
      </w:divBdr>
    </w:div>
    <w:div w:id="1290746220">
      <w:bodyDiv w:val="1"/>
      <w:marLeft w:val="0"/>
      <w:marRight w:val="0"/>
      <w:marTop w:val="0"/>
      <w:marBottom w:val="0"/>
      <w:divBdr>
        <w:top w:val="none" w:sz="0" w:space="0" w:color="auto"/>
        <w:left w:val="none" w:sz="0" w:space="0" w:color="auto"/>
        <w:bottom w:val="none" w:sz="0" w:space="0" w:color="auto"/>
        <w:right w:val="none" w:sz="0" w:space="0" w:color="auto"/>
      </w:divBdr>
    </w:div>
    <w:div w:id="1318680443">
      <w:bodyDiv w:val="1"/>
      <w:marLeft w:val="0"/>
      <w:marRight w:val="0"/>
      <w:marTop w:val="0"/>
      <w:marBottom w:val="0"/>
      <w:divBdr>
        <w:top w:val="none" w:sz="0" w:space="0" w:color="auto"/>
        <w:left w:val="none" w:sz="0" w:space="0" w:color="auto"/>
        <w:bottom w:val="none" w:sz="0" w:space="0" w:color="auto"/>
        <w:right w:val="none" w:sz="0" w:space="0" w:color="auto"/>
      </w:divBdr>
    </w:div>
    <w:div w:id="1388408950">
      <w:bodyDiv w:val="1"/>
      <w:marLeft w:val="0"/>
      <w:marRight w:val="0"/>
      <w:marTop w:val="0"/>
      <w:marBottom w:val="0"/>
      <w:divBdr>
        <w:top w:val="none" w:sz="0" w:space="0" w:color="auto"/>
        <w:left w:val="none" w:sz="0" w:space="0" w:color="auto"/>
        <w:bottom w:val="none" w:sz="0" w:space="0" w:color="auto"/>
        <w:right w:val="none" w:sz="0" w:space="0" w:color="auto"/>
      </w:divBdr>
    </w:div>
    <w:div w:id="1424645640">
      <w:bodyDiv w:val="1"/>
      <w:marLeft w:val="0"/>
      <w:marRight w:val="0"/>
      <w:marTop w:val="0"/>
      <w:marBottom w:val="0"/>
      <w:divBdr>
        <w:top w:val="none" w:sz="0" w:space="0" w:color="auto"/>
        <w:left w:val="none" w:sz="0" w:space="0" w:color="auto"/>
        <w:bottom w:val="none" w:sz="0" w:space="0" w:color="auto"/>
        <w:right w:val="none" w:sz="0" w:space="0" w:color="auto"/>
      </w:divBdr>
    </w:div>
    <w:div w:id="1432822109">
      <w:bodyDiv w:val="1"/>
      <w:marLeft w:val="0"/>
      <w:marRight w:val="0"/>
      <w:marTop w:val="0"/>
      <w:marBottom w:val="0"/>
      <w:divBdr>
        <w:top w:val="none" w:sz="0" w:space="0" w:color="auto"/>
        <w:left w:val="none" w:sz="0" w:space="0" w:color="auto"/>
        <w:bottom w:val="none" w:sz="0" w:space="0" w:color="auto"/>
        <w:right w:val="none" w:sz="0" w:space="0" w:color="auto"/>
      </w:divBdr>
    </w:div>
    <w:div w:id="1435633844">
      <w:bodyDiv w:val="1"/>
      <w:marLeft w:val="0"/>
      <w:marRight w:val="0"/>
      <w:marTop w:val="0"/>
      <w:marBottom w:val="0"/>
      <w:divBdr>
        <w:top w:val="none" w:sz="0" w:space="0" w:color="auto"/>
        <w:left w:val="none" w:sz="0" w:space="0" w:color="auto"/>
        <w:bottom w:val="none" w:sz="0" w:space="0" w:color="auto"/>
        <w:right w:val="none" w:sz="0" w:space="0" w:color="auto"/>
      </w:divBdr>
    </w:div>
    <w:div w:id="1442535015">
      <w:bodyDiv w:val="1"/>
      <w:marLeft w:val="0"/>
      <w:marRight w:val="0"/>
      <w:marTop w:val="0"/>
      <w:marBottom w:val="0"/>
      <w:divBdr>
        <w:top w:val="none" w:sz="0" w:space="0" w:color="auto"/>
        <w:left w:val="none" w:sz="0" w:space="0" w:color="auto"/>
        <w:bottom w:val="none" w:sz="0" w:space="0" w:color="auto"/>
        <w:right w:val="none" w:sz="0" w:space="0" w:color="auto"/>
      </w:divBdr>
    </w:div>
    <w:div w:id="1592617389">
      <w:bodyDiv w:val="1"/>
      <w:marLeft w:val="0"/>
      <w:marRight w:val="0"/>
      <w:marTop w:val="0"/>
      <w:marBottom w:val="0"/>
      <w:divBdr>
        <w:top w:val="none" w:sz="0" w:space="0" w:color="auto"/>
        <w:left w:val="none" w:sz="0" w:space="0" w:color="auto"/>
        <w:bottom w:val="none" w:sz="0" w:space="0" w:color="auto"/>
        <w:right w:val="none" w:sz="0" w:space="0" w:color="auto"/>
      </w:divBdr>
    </w:div>
    <w:div w:id="1704280011">
      <w:bodyDiv w:val="1"/>
      <w:marLeft w:val="0"/>
      <w:marRight w:val="0"/>
      <w:marTop w:val="0"/>
      <w:marBottom w:val="0"/>
      <w:divBdr>
        <w:top w:val="none" w:sz="0" w:space="0" w:color="auto"/>
        <w:left w:val="none" w:sz="0" w:space="0" w:color="auto"/>
        <w:bottom w:val="none" w:sz="0" w:space="0" w:color="auto"/>
        <w:right w:val="none" w:sz="0" w:space="0" w:color="auto"/>
      </w:divBdr>
    </w:div>
    <w:div w:id="1725257959">
      <w:bodyDiv w:val="1"/>
      <w:marLeft w:val="0"/>
      <w:marRight w:val="0"/>
      <w:marTop w:val="0"/>
      <w:marBottom w:val="0"/>
      <w:divBdr>
        <w:top w:val="none" w:sz="0" w:space="0" w:color="auto"/>
        <w:left w:val="none" w:sz="0" w:space="0" w:color="auto"/>
        <w:bottom w:val="none" w:sz="0" w:space="0" w:color="auto"/>
        <w:right w:val="none" w:sz="0" w:space="0" w:color="auto"/>
      </w:divBdr>
    </w:div>
    <w:div w:id="1734042171">
      <w:bodyDiv w:val="1"/>
      <w:marLeft w:val="0"/>
      <w:marRight w:val="0"/>
      <w:marTop w:val="0"/>
      <w:marBottom w:val="0"/>
      <w:divBdr>
        <w:top w:val="none" w:sz="0" w:space="0" w:color="auto"/>
        <w:left w:val="none" w:sz="0" w:space="0" w:color="auto"/>
        <w:bottom w:val="none" w:sz="0" w:space="0" w:color="auto"/>
        <w:right w:val="none" w:sz="0" w:space="0" w:color="auto"/>
      </w:divBdr>
    </w:div>
    <w:div w:id="2088112358">
      <w:bodyDiv w:val="1"/>
      <w:marLeft w:val="0"/>
      <w:marRight w:val="0"/>
      <w:marTop w:val="0"/>
      <w:marBottom w:val="0"/>
      <w:divBdr>
        <w:top w:val="none" w:sz="0" w:space="0" w:color="auto"/>
        <w:left w:val="none" w:sz="0" w:space="0" w:color="auto"/>
        <w:bottom w:val="none" w:sz="0" w:space="0" w:color="auto"/>
        <w:right w:val="none" w:sz="0" w:space="0" w:color="auto"/>
      </w:divBdr>
    </w:div>
    <w:div w:id="2090927278">
      <w:bodyDiv w:val="1"/>
      <w:marLeft w:val="0"/>
      <w:marRight w:val="0"/>
      <w:marTop w:val="0"/>
      <w:marBottom w:val="0"/>
      <w:divBdr>
        <w:top w:val="none" w:sz="0" w:space="0" w:color="auto"/>
        <w:left w:val="none" w:sz="0" w:space="0" w:color="auto"/>
        <w:bottom w:val="none" w:sz="0" w:space="0" w:color="auto"/>
        <w:right w:val="none" w:sz="0" w:space="0" w:color="auto"/>
      </w:divBdr>
    </w:div>
    <w:div w:id="2108501054">
      <w:bodyDiv w:val="1"/>
      <w:marLeft w:val="0"/>
      <w:marRight w:val="0"/>
      <w:marTop w:val="0"/>
      <w:marBottom w:val="0"/>
      <w:divBdr>
        <w:top w:val="none" w:sz="0" w:space="0" w:color="auto"/>
        <w:left w:val="none" w:sz="0" w:space="0" w:color="auto"/>
        <w:bottom w:val="none" w:sz="0" w:space="0" w:color="auto"/>
        <w:right w:val="none" w:sz="0" w:space="0" w:color="auto"/>
      </w:divBdr>
    </w:div>
    <w:div w:id="2115317424">
      <w:bodyDiv w:val="1"/>
      <w:marLeft w:val="0"/>
      <w:marRight w:val="0"/>
      <w:marTop w:val="0"/>
      <w:marBottom w:val="0"/>
      <w:divBdr>
        <w:top w:val="none" w:sz="0" w:space="0" w:color="auto"/>
        <w:left w:val="none" w:sz="0" w:space="0" w:color="auto"/>
        <w:bottom w:val="none" w:sz="0" w:space="0" w:color="auto"/>
        <w:right w:val="none" w:sz="0" w:space="0" w:color="auto"/>
      </w:divBdr>
    </w:div>
    <w:div w:id="2132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s.oecd.org/glossary/detail.asp?ID=24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8587-2F91-418B-9682-58BC2AC7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9796</Words>
  <Characters>55843</Characters>
  <Application>Microsoft Office Word</Application>
  <DocSecurity>4</DocSecurity>
  <Lines>465</Lines>
  <Paragraphs>131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Turku</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Hakovirta</dc:creator>
  <cp:lastModifiedBy>Matthew Wigzell</cp:lastModifiedBy>
  <cp:revision>2</cp:revision>
  <cp:lastPrinted>2018-07-26T15:57:00Z</cp:lastPrinted>
  <dcterms:created xsi:type="dcterms:W3CDTF">2018-11-28T12:23:00Z</dcterms:created>
  <dcterms:modified xsi:type="dcterms:W3CDTF">2018-11-28T12:23:00Z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371c7e7e-771d-3af6-9689-b2da86f80b1f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