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1BB1" w14:textId="77777777" w:rsidR="00A25982" w:rsidRPr="00A25982" w:rsidRDefault="00A25982" w:rsidP="00A25982">
      <w:pPr>
        <w:ind w:left="709" w:right="849"/>
        <w:jc w:val="center"/>
        <w:rPr>
          <w:rFonts w:ascii="Arial" w:hAnsi="Arial" w:cs="Arial"/>
          <w:b/>
        </w:rPr>
      </w:pPr>
      <w:r w:rsidRPr="00A25982">
        <w:rPr>
          <w:rFonts w:ascii="Arial" w:hAnsi="Arial" w:cs="Arial"/>
          <w:b/>
        </w:rPr>
        <w:t>Local food supply chain resilience to constitutional change: The Brexit effect</w:t>
      </w:r>
    </w:p>
    <w:p w14:paraId="154F1212" w14:textId="77777777" w:rsidR="00A25982" w:rsidRPr="00A25982" w:rsidRDefault="00A25982" w:rsidP="00A25982">
      <w:pPr>
        <w:jc w:val="center"/>
        <w:rPr>
          <w:rFonts w:ascii="Arial" w:hAnsi="Arial" w:cs="Arial"/>
          <w:lang w:val="en-IE"/>
        </w:rPr>
      </w:pPr>
    </w:p>
    <w:p w14:paraId="1574FBEE" w14:textId="77777777" w:rsidR="00A25982" w:rsidRPr="00A25982" w:rsidRDefault="00A25982" w:rsidP="00A25982">
      <w:pPr>
        <w:jc w:val="center"/>
        <w:rPr>
          <w:rFonts w:ascii="Arial" w:hAnsi="Arial" w:cs="Arial"/>
        </w:rPr>
      </w:pPr>
      <w:r w:rsidRPr="00A25982">
        <w:rPr>
          <w:rFonts w:ascii="Arial" w:hAnsi="Arial" w:cs="Arial"/>
        </w:rPr>
        <w:t>Linda C. Hendry</w:t>
      </w:r>
      <w:r w:rsidRPr="00A25982">
        <w:rPr>
          <w:rFonts w:ascii="Arial" w:hAnsi="Arial" w:cs="Arial"/>
          <w:vertAlign w:val="superscript"/>
        </w:rPr>
        <w:t>1</w:t>
      </w:r>
      <w:r w:rsidRPr="00A25982">
        <w:rPr>
          <w:rFonts w:ascii="Arial" w:hAnsi="Arial" w:cs="Arial"/>
        </w:rPr>
        <w:t>, Mark Stevenson</w:t>
      </w:r>
      <w:r w:rsidRPr="00A25982">
        <w:rPr>
          <w:rFonts w:ascii="Arial" w:hAnsi="Arial" w:cs="Arial"/>
          <w:vertAlign w:val="superscript"/>
        </w:rPr>
        <w:t>1</w:t>
      </w:r>
      <w:r w:rsidRPr="00A25982">
        <w:rPr>
          <w:rFonts w:ascii="Arial" w:hAnsi="Arial" w:cs="Arial"/>
        </w:rPr>
        <w:t>, Jillian MacBryde</w:t>
      </w:r>
      <w:r w:rsidRPr="00A25982">
        <w:rPr>
          <w:rFonts w:ascii="Arial" w:hAnsi="Arial" w:cs="Arial"/>
          <w:vertAlign w:val="superscript"/>
        </w:rPr>
        <w:t>2</w:t>
      </w:r>
      <w:r w:rsidRPr="00A25982">
        <w:rPr>
          <w:rFonts w:ascii="Arial" w:hAnsi="Arial" w:cs="Arial"/>
        </w:rPr>
        <w:t>, Peter Ball</w:t>
      </w:r>
      <w:r w:rsidRPr="00A25982">
        <w:rPr>
          <w:rFonts w:ascii="Arial" w:hAnsi="Arial" w:cs="Arial"/>
          <w:vertAlign w:val="superscript"/>
        </w:rPr>
        <w:t>2</w:t>
      </w:r>
      <w:r w:rsidRPr="00A25982">
        <w:rPr>
          <w:rFonts w:ascii="Arial" w:hAnsi="Arial" w:cs="Arial"/>
        </w:rPr>
        <w:t xml:space="preserve">, </w:t>
      </w:r>
      <w:proofErr w:type="spellStart"/>
      <w:r w:rsidRPr="00A25982">
        <w:rPr>
          <w:rFonts w:ascii="Arial" w:hAnsi="Arial" w:cs="Arial"/>
        </w:rPr>
        <w:t>Maysara</w:t>
      </w:r>
      <w:proofErr w:type="spellEnd"/>
      <w:r w:rsidRPr="00A25982">
        <w:rPr>
          <w:rFonts w:ascii="Arial" w:hAnsi="Arial" w:cs="Arial"/>
        </w:rPr>
        <w:t xml:space="preserve"> Sayed</w:t>
      </w:r>
      <w:r w:rsidRPr="00A25982">
        <w:rPr>
          <w:rFonts w:ascii="Arial" w:hAnsi="Arial" w:cs="Arial"/>
          <w:vertAlign w:val="superscript"/>
        </w:rPr>
        <w:t>3</w:t>
      </w:r>
      <w:r w:rsidRPr="00A25982">
        <w:rPr>
          <w:rFonts w:ascii="Arial" w:hAnsi="Arial" w:cs="Arial"/>
        </w:rPr>
        <w:t xml:space="preserve">, </w:t>
      </w:r>
      <w:proofErr w:type="spellStart"/>
      <w:r w:rsidRPr="00A25982">
        <w:rPr>
          <w:rFonts w:ascii="Arial" w:hAnsi="Arial" w:cs="Arial"/>
        </w:rPr>
        <w:t>Lingxuan</w:t>
      </w:r>
      <w:proofErr w:type="spellEnd"/>
      <w:r w:rsidRPr="00A25982">
        <w:rPr>
          <w:rFonts w:ascii="Arial" w:hAnsi="Arial" w:cs="Arial"/>
        </w:rPr>
        <w:t xml:space="preserve"> Liu</w:t>
      </w:r>
      <w:r w:rsidRPr="00A25982">
        <w:rPr>
          <w:rFonts w:ascii="Arial" w:hAnsi="Arial" w:cs="Arial"/>
          <w:vertAlign w:val="superscript"/>
        </w:rPr>
        <w:t>4</w:t>
      </w:r>
    </w:p>
    <w:p w14:paraId="076CBF10" w14:textId="77777777" w:rsidR="00A25982" w:rsidRPr="00A25982" w:rsidRDefault="00A25982" w:rsidP="00A25982">
      <w:pPr>
        <w:jc w:val="center"/>
        <w:rPr>
          <w:rFonts w:ascii="Arial" w:hAnsi="Arial" w:cs="Arial"/>
          <w:lang w:val="en-IE"/>
        </w:rPr>
      </w:pPr>
    </w:p>
    <w:p w14:paraId="201BDDDD" w14:textId="09B88902" w:rsidR="00A25982" w:rsidRPr="00A25982" w:rsidRDefault="00A25982" w:rsidP="00A25982">
      <w:pPr>
        <w:jc w:val="center"/>
        <w:rPr>
          <w:rFonts w:ascii="Arial" w:hAnsi="Arial" w:cs="Arial"/>
          <w:lang w:val="en-IE"/>
        </w:rPr>
      </w:pPr>
      <w:r w:rsidRPr="00A25982">
        <w:rPr>
          <w:rFonts w:ascii="Arial" w:hAnsi="Arial" w:cs="Arial"/>
          <w:lang w:val="en-IE"/>
        </w:rPr>
        <w:t>International Journal of Operations and Production Management</w:t>
      </w:r>
    </w:p>
    <w:p w14:paraId="73C8CC44" w14:textId="43F1A690" w:rsidR="00A25982" w:rsidRPr="00A25982" w:rsidRDefault="00A25982" w:rsidP="00A25982">
      <w:pPr>
        <w:ind w:left="142" w:hanging="142"/>
        <w:rPr>
          <w:rFonts w:ascii="Arial" w:hAnsi="Arial" w:cs="Arial"/>
          <w:vertAlign w:val="superscript"/>
        </w:rPr>
      </w:pPr>
    </w:p>
    <w:p w14:paraId="288FB8A2" w14:textId="68CA6588" w:rsidR="00A25982" w:rsidRPr="00A25982" w:rsidRDefault="00A25982" w:rsidP="00A25982">
      <w:pPr>
        <w:jc w:val="center"/>
        <w:rPr>
          <w:rFonts w:ascii="Arial" w:hAnsi="Arial" w:cs="Arial"/>
          <w:sz w:val="22"/>
        </w:rPr>
      </w:pPr>
      <w:r w:rsidRPr="00A25982">
        <w:rPr>
          <w:rFonts w:ascii="Arial" w:hAnsi="Arial" w:cs="Arial"/>
          <w:sz w:val="22"/>
        </w:rPr>
        <w:t xml:space="preserve">Accepted for publication 21 August 2018, </w:t>
      </w:r>
      <w:proofErr w:type="spellStart"/>
      <w:r w:rsidRPr="00A25982">
        <w:rPr>
          <w:rFonts w:ascii="Arial" w:hAnsi="Arial" w:cs="Arial"/>
          <w:sz w:val="22"/>
        </w:rPr>
        <w:t>DOI</w:t>
      </w:r>
      <w:proofErr w:type="spellEnd"/>
      <w:r w:rsidRPr="00A25982">
        <w:rPr>
          <w:rFonts w:ascii="Arial" w:hAnsi="Arial" w:cs="Arial"/>
          <w:sz w:val="22"/>
        </w:rPr>
        <w:t xml:space="preserve"> 10.1108/IJOPM-03-2018-0184</w:t>
      </w:r>
    </w:p>
    <w:p w14:paraId="27796E30" w14:textId="77777777" w:rsidR="00A5564D" w:rsidRPr="00A25982" w:rsidRDefault="00A5564D" w:rsidP="00A25982">
      <w:pPr>
        <w:ind w:left="142" w:hanging="142"/>
        <w:rPr>
          <w:rFonts w:ascii="Arial" w:hAnsi="Arial" w:cs="Arial"/>
          <w:sz w:val="18"/>
          <w:szCs w:val="18"/>
          <w:vertAlign w:val="superscript"/>
        </w:rPr>
      </w:pPr>
    </w:p>
    <w:p w14:paraId="3A765CC6" w14:textId="77777777" w:rsidR="00A25982" w:rsidRPr="00A25982" w:rsidRDefault="00A25982" w:rsidP="00A5564D">
      <w:pPr>
        <w:rPr>
          <w:rFonts w:ascii="Arial" w:hAnsi="Arial" w:cs="Arial"/>
          <w:b/>
          <w:sz w:val="20"/>
          <w:szCs w:val="18"/>
        </w:rPr>
      </w:pPr>
    </w:p>
    <w:p w14:paraId="6A786C4D" w14:textId="4DAB29FB" w:rsidR="00A5564D" w:rsidRPr="00A25982" w:rsidRDefault="00A5564D" w:rsidP="00A5564D">
      <w:pPr>
        <w:rPr>
          <w:rFonts w:ascii="Arial" w:hAnsi="Arial" w:cs="Arial"/>
          <w:b/>
          <w:sz w:val="20"/>
          <w:szCs w:val="18"/>
        </w:rPr>
      </w:pPr>
      <w:r w:rsidRPr="00A25982">
        <w:rPr>
          <w:rFonts w:ascii="Arial" w:hAnsi="Arial" w:cs="Arial"/>
          <w:b/>
          <w:sz w:val="20"/>
          <w:szCs w:val="18"/>
        </w:rPr>
        <w:t>Abstract</w:t>
      </w:r>
    </w:p>
    <w:p w14:paraId="28DFBE3C" w14:textId="77777777" w:rsidR="00A5564D" w:rsidRPr="00A25982" w:rsidRDefault="00A5564D" w:rsidP="00A5564D">
      <w:pPr>
        <w:rPr>
          <w:rFonts w:ascii="Arial" w:hAnsi="Arial" w:cs="Arial"/>
          <w:b/>
          <w:sz w:val="20"/>
          <w:szCs w:val="18"/>
        </w:rPr>
      </w:pPr>
    </w:p>
    <w:p w14:paraId="2A91CBBB" w14:textId="77777777" w:rsidR="00A5564D" w:rsidRPr="00A25982" w:rsidRDefault="00A5564D" w:rsidP="00A5564D">
      <w:pPr>
        <w:jc w:val="both"/>
        <w:rPr>
          <w:rFonts w:ascii="Arial" w:hAnsi="Arial" w:cs="Arial"/>
          <w:sz w:val="20"/>
          <w:szCs w:val="18"/>
        </w:rPr>
      </w:pPr>
      <w:r w:rsidRPr="00A25982">
        <w:rPr>
          <w:rFonts w:ascii="Arial" w:hAnsi="Arial" w:cs="Arial"/>
          <w:b/>
          <w:sz w:val="20"/>
          <w:szCs w:val="18"/>
        </w:rPr>
        <w:t>Purpose:</w:t>
      </w:r>
      <w:r w:rsidRPr="00A25982">
        <w:rPr>
          <w:rFonts w:ascii="Arial" w:hAnsi="Arial" w:cs="Arial"/>
          <w:sz w:val="20"/>
          <w:szCs w:val="18"/>
        </w:rPr>
        <w:t xml:space="preserve"> To investigate how local supply chains prepare for and respond to the threats and opportunities presented by constitutional change, thereby building resilience. </w:t>
      </w:r>
    </w:p>
    <w:p w14:paraId="1880F89D" w14:textId="77777777" w:rsidR="00A5564D" w:rsidRPr="00A25982" w:rsidRDefault="00A5564D" w:rsidP="00A5564D">
      <w:pPr>
        <w:jc w:val="both"/>
        <w:rPr>
          <w:rFonts w:ascii="Arial" w:hAnsi="Arial" w:cs="Arial"/>
          <w:b/>
          <w:sz w:val="20"/>
          <w:szCs w:val="18"/>
        </w:rPr>
      </w:pPr>
    </w:p>
    <w:p w14:paraId="364186CC" w14:textId="70CA35DB" w:rsidR="00A5564D" w:rsidRPr="00A25982" w:rsidRDefault="00A5564D" w:rsidP="00A5564D">
      <w:pPr>
        <w:jc w:val="both"/>
        <w:rPr>
          <w:rFonts w:ascii="Arial" w:hAnsi="Arial" w:cs="Arial"/>
          <w:b/>
          <w:sz w:val="20"/>
          <w:szCs w:val="18"/>
        </w:rPr>
      </w:pPr>
      <w:r w:rsidRPr="00A25982">
        <w:rPr>
          <w:rFonts w:ascii="Arial" w:hAnsi="Arial" w:cs="Arial"/>
          <w:b/>
          <w:sz w:val="20"/>
          <w:szCs w:val="18"/>
        </w:rPr>
        <w:t xml:space="preserve">Design/methodology/approach: </w:t>
      </w:r>
      <w:r w:rsidRPr="00A25982">
        <w:rPr>
          <w:rFonts w:ascii="Arial" w:hAnsi="Arial" w:cs="Arial"/>
          <w:sz w:val="20"/>
          <w:szCs w:val="18"/>
        </w:rPr>
        <w:t xml:space="preserve">Multiple case study analysis of 14 firms in the food sector is presented in the context of the United Kingdom’s impending exit from the European Union (Brexit). Organisations studied include </w:t>
      </w:r>
      <w:r w:rsidRPr="00A25982">
        <w:rPr>
          <w:rFonts w:ascii="Arial" w:hAnsi="Arial" w:cs="Arial"/>
          <w:sz w:val="20"/>
          <w:szCs w:val="18"/>
          <w:lang w:val="en-IE"/>
        </w:rPr>
        <w:t xml:space="preserve">farmers, processors, retailers, and non-government organisations (NGOs). Data from interviews and roundtable discussions </w:t>
      </w:r>
      <w:r w:rsidRPr="00A25982">
        <w:rPr>
          <w:rFonts w:ascii="Arial" w:hAnsi="Arial" w:cs="Arial"/>
          <w:noProof/>
          <w:sz w:val="20"/>
          <w:szCs w:val="18"/>
          <w:lang w:val="en-IE"/>
        </w:rPr>
        <w:t>has</w:t>
      </w:r>
      <w:r w:rsidRPr="00A25982">
        <w:rPr>
          <w:rFonts w:ascii="Arial" w:hAnsi="Arial" w:cs="Arial"/>
          <w:sz w:val="20"/>
          <w:szCs w:val="18"/>
          <w:lang w:val="en-IE"/>
        </w:rPr>
        <w:t xml:space="preserve"> been interpreted using the dynamic capabilities perspective, covering the sensing, seizing, and transforming stages.</w:t>
      </w:r>
    </w:p>
    <w:p w14:paraId="568AA2E1" w14:textId="77777777" w:rsidR="00A5564D" w:rsidRPr="00A25982" w:rsidRDefault="00A5564D" w:rsidP="00A5564D">
      <w:pPr>
        <w:jc w:val="both"/>
        <w:rPr>
          <w:rFonts w:ascii="Arial" w:hAnsi="Arial" w:cs="Arial"/>
          <w:b/>
          <w:sz w:val="20"/>
          <w:szCs w:val="18"/>
        </w:rPr>
      </w:pPr>
    </w:p>
    <w:p w14:paraId="0ADD0CFD" w14:textId="26CE61CC" w:rsidR="00A5564D" w:rsidRPr="00A25982" w:rsidRDefault="00A5564D" w:rsidP="00A5564D">
      <w:pPr>
        <w:jc w:val="both"/>
        <w:rPr>
          <w:rFonts w:ascii="Arial" w:hAnsi="Arial" w:cs="Arial"/>
          <w:sz w:val="20"/>
          <w:szCs w:val="18"/>
        </w:rPr>
      </w:pPr>
      <w:r w:rsidRPr="00A25982">
        <w:rPr>
          <w:rFonts w:ascii="Arial" w:hAnsi="Arial" w:cs="Arial"/>
          <w:b/>
          <w:sz w:val="20"/>
          <w:szCs w:val="18"/>
        </w:rPr>
        <w:t>Findings:</w:t>
      </w:r>
      <w:r w:rsidRPr="00A25982">
        <w:rPr>
          <w:rFonts w:ascii="Arial" w:hAnsi="Arial" w:cs="Arial"/>
          <w:sz w:val="20"/>
          <w:szCs w:val="18"/>
        </w:rPr>
        <w:t xml:space="preserve"> The data highlights the importance of both vertical and horizontal collaboration between supply chain actors as they seek to anticipate the impact of the disruption and influence the future shape of the constitution. There is also evidence to suggest firms in possession of dynamic capabilities can innovate to build resilience and enhance their competitive position. Characteristics of the disruption posed by constitutional change are identified and contrast with those of many other threats more typically described in the literature. As a result, the process of building resilience is different.</w:t>
      </w:r>
      <w:r w:rsidRPr="00A25982">
        <w:rPr>
          <w:rFonts w:ascii="Arial" w:hAnsi="Arial" w:cs="Arial"/>
          <w:color w:val="0070C0"/>
          <w:sz w:val="20"/>
          <w:szCs w:val="18"/>
        </w:rPr>
        <w:t xml:space="preserve"> </w:t>
      </w:r>
    </w:p>
    <w:p w14:paraId="0F741987" w14:textId="77777777" w:rsidR="00A5564D" w:rsidRPr="00A25982" w:rsidRDefault="00A5564D" w:rsidP="00A5564D">
      <w:pPr>
        <w:jc w:val="both"/>
        <w:rPr>
          <w:rFonts w:ascii="Arial" w:hAnsi="Arial" w:cs="Arial"/>
          <w:b/>
          <w:sz w:val="20"/>
          <w:szCs w:val="18"/>
        </w:rPr>
      </w:pPr>
    </w:p>
    <w:p w14:paraId="5D480752" w14:textId="1F976E6D" w:rsidR="00A5564D" w:rsidRPr="00A25982" w:rsidRDefault="00A5564D" w:rsidP="00A5564D">
      <w:pPr>
        <w:jc w:val="both"/>
        <w:rPr>
          <w:rFonts w:ascii="Arial" w:hAnsi="Arial" w:cs="Arial"/>
          <w:b/>
          <w:sz w:val="20"/>
          <w:szCs w:val="18"/>
        </w:rPr>
      </w:pPr>
      <w:r w:rsidRPr="00A25982">
        <w:rPr>
          <w:rFonts w:ascii="Arial" w:hAnsi="Arial" w:cs="Arial"/>
          <w:b/>
          <w:sz w:val="20"/>
          <w:szCs w:val="18"/>
        </w:rPr>
        <w:t>Research limitations/implications:</w:t>
      </w:r>
      <w:r w:rsidRPr="00A25982">
        <w:rPr>
          <w:rFonts w:ascii="Arial" w:hAnsi="Arial" w:cs="Arial"/>
          <w:sz w:val="20"/>
          <w:szCs w:val="18"/>
        </w:rPr>
        <w:t xml:space="preserve"> The study could be extended to include post-Brexit interviews </w:t>
      </w:r>
      <w:r w:rsidRPr="00A25982">
        <w:rPr>
          <w:rFonts w:ascii="Arial" w:hAnsi="Arial" w:cs="Arial"/>
          <w:noProof/>
          <w:sz w:val="20"/>
          <w:szCs w:val="18"/>
        </w:rPr>
        <w:t>to further understand the seizing</w:t>
      </w:r>
      <w:r w:rsidRPr="00A25982">
        <w:rPr>
          <w:rFonts w:ascii="Arial" w:hAnsi="Arial" w:cs="Arial"/>
          <w:sz w:val="20"/>
          <w:szCs w:val="18"/>
        </w:rPr>
        <w:t xml:space="preserve"> and transforming stages whilst the impact of Brexit on actors that remain within the EU could also be considered.</w:t>
      </w:r>
    </w:p>
    <w:p w14:paraId="587DDD32" w14:textId="77777777" w:rsidR="00A5564D" w:rsidRPr="00A25982" w:rsidRDefault="00A5564D" w:rsidP="00A5564D">
      <w:pPr>
        <w:jc w:val="both"/>
        <w:rPr>
          <w:rFonts w:ascii="Arial" w:hAnsi="Arial" w:cs="Arial"/>
          <w:b/>
          <w:sz w:val="20"/>
          <w:szCs w:val="18"/>
        </w:rPr>
      </w:pPr>
    </w:p>
    <w:p w14:paraId="2F4DC495" w14:textId="7403FFEB" w:rsidR="00A5564D" w:rsidRPr="00A25982" w:rsidRDefault="00A5564D" w:rsidP="00A5564D">
      <w:pPr>
        <w:jc w:val="both"/>
        <w:rPr>
          <w:rFonts w:ascii="Arial" w:hAnsi="Arial" w:cs="Arial"/>
          <w:sz w:val="20"/>
          <w:szCs w:val="18"/>
        </w:rPr>
      </w:pPr>
      <w:r w:rsidRPr="00A25982">
        <w:rPr>
          <w:rFonts w:ascii="Arial" w:hAnsi="Arial" w:cs="Arial"/>
          <w:b/>
          <w:sz w:val="20"/>
          <w:szCs w:val="18"/>
        </w:rPr>
        <w:t>Practical implications:</w:t>
      </w:r>
      <w:r w:rsidRPr="00A25982">
        <w:rPr>
          <w:rFonts w:ascii="Arial" w:hAnsi="Arial" w:cs="Arial"/>
          <w:sz w:val="20"/>
          <w:szCs w:val="18"/>
        </w:rPr>
        <w:t xml:space="preserve"> Practitioners need to work together to influence the future shape of the constitution; and they need to reconfigure their operations and supply chains </w:t>
      </w:r>
      <w:r w:rsidRPr="00A25982">
        <w:rPr>
          <w:rFonts w:ascii="Arial" w:hAnsi="Arial" w:cs="Arial"/>
          <w:noProof/>
          <w:sz w:val="20"/>
          <w:szCs w:val="18"/>
        </w:rPr>
        <w:t>where</w:t>
      </w:r>
      <w:r w:rsidRPr="00A25982">
        <w:rPr>
          <w:rFonts w:ascii="Arial" w:hAnsi="Arial" w:cs="Arial"/>
          <w:sz w:val="20"/>
          <w:szCs w:val="18"/>
        </w:rPr>
        <w:t xml:space="preserve"> necessary to become more resilient to the threat posed by Brexit, such as by reducing their reliance on EU funding streams and trade. The study also has policy implications.</w:t>
      </w:r>
    </w:p>
    <w:p w14:paraId="4156EB35" w14:textId="77777777" w:rsidR="00A5564D" w:rsidRPr="00A25982" w:rsidRDefault="00A5564D" w:rsidP="00A5564D">
      <w:pPr>
        <w:jc w:val="both"/>
        <w:rPr>
          <w:rFonts w:ascii="Arial" w:hAnsi="Arial" w:cs="Arial"/>
          <w:b/>
          <w:sz w:val="20"/>
          <w:szCs w:val="18"/>
        </w:rPr>
      </w:pPr>
    </w:p>
    <w:p w14:paraId="557B6244" w14:textId="6F9BA6B2" w:rsidR="00A5564D" w:rsidRPr="00A25982" w:rsidRDefault="00A5564D" w:rsidP="00A5564D">
      <w:pPr>
        <w:jc w:val="both"/>
        <w:rPr>
          <w:rFonts w:ascii="Arial" w:hAnsi="Arial" w:cs="Arial"/>
          <w:sz w:val="20"/>
          <w:szCs w:val="18"/>
        </w:rPr>
      </w:pPr>
      <w:r w:rsidRPr="00A25982">
        <w:rPr>
          <w:rFonts w:ascii="Arial" w:hAnsi="Arial" w:cs="Arial"/>
          <w:b/>
          <w:sz w:val="20"/>
          <w:szCs w:val="18"/>
        </w:rPr>
        <w:t>Originality/value:</w:t>
      </w:r>
      <w:r w:rsidRPr="00A25982">
        <w:rPr>
          <w:rFonts w:ascii="Arial" w:hAnsi="Arial" w:cs="Arial"/>
          <w:sz w:val="20"/>
          <w:szCs w:val="18"/>
        </w:rPr>
        <w:t xml:space="preserve"> The first study of supply chain resilience to constitutional change and a rare empirical study of resilience across multiple supply chain tiers. </w:t>
      </w:r>
    </w:p>
    <w:p w14:paraId="7975B83F" w14:textId="77777777" w:rsidR="00A5564D" w:rsidRPr="00A25982" w:rsidRDefault="00A5564D" w:rsidP="00A5564D">
      <w:pPr>
        <w:pStyle w:val="BodyText"/>
        <w:spacing w:before="0"/>
        <w:rPr>
          <w:rFonts w:ascii="Arial" w:hAnsi="Arial" w:cs="Arial"/>
          <w:b/>
          <w:sz w:val="20"/>
          <w:szCs w:val="18"/>
        </w:rPr>
      </w:pPr>
    </w:p>
    <w:p w14:paraId="342A3828" w14:textId="77777777" w:rsidR="00A5564D" w:rsidRPr="00A25982" w:rsidRDefault="00A5564D" w:rsidP="00A5564D">
      <w:pPr>
        <w:rPr>
          <w:rFonts w:ascii="Arial" w:hAnsi="Arial" w:cs="Arial"/>
          <w:b/>
          <w:sz w:val="20"/>
          <w:szCs w:val="18"/>
        </w:rPr>
      </w:pPr>
      <w:r w:rsidRPr="00A25982">
        <w:rPr>
          <w:rFonts w:ascii="Arial" w:hAnsi="Arial" w:cs="Arial"/>
          <w:b/>
          <w:sz w:val="20"/>
          <w:szCs w:val="18"/>
          <w:lang w:val="en-IE"/>
        </w:rPr>
        <w:t xml:space="preserve">Keywords: </w:t>
      </w:r>
      <w:r w:rsidRPr="00A25982">
        <w:rPr>
          <w:rFonts w:ascii="Arial" w:hAnsi="Arial" w:cs="Arial"/>
          <w:i/>
          <w:sz w:val="20"/>
          <w:szCs w:val="18"/>
          <w:lang w:val="en-IE"/>
        </w:rPr>
        <w:t>Supply chain resilience; Brexit; Constitutional change; Dynamic capabilities.</w:t>
      </w:r>
    </w:p>
    <w:p w14:paraId="52B92654" w14:textId="0054DD7A" w:rsidR="00A5564D" w:rsidRPr="00A25982" w:rsidRDefault="00A5564D" w:rsidP="00A5564D">
      <w:pPr>
        <w:rPr>
          <w:rFonts w:ascii="Arial" w:hAnsi="Arial" w:cs="Arial"/>
          <w:b/>
          <w:sz w:val="20"/>
          <w:szCs w:val="18"/>
        </w:rPr>
      </w:pPr>
    </w:p>
    <w:p w14:paraId="33F8D9AF" w14:textId="77777777" w:rsidR="00A25982" w:rsidRPr="00A25982" w:rsidRDefault="00A25982" w:rsidP="00A5564D">
      <w:pPr>
        <w:rPr>
          <w:rFonts w:ascii="Arial" w:hAnsi="Arial" w:cs="Arial"/>
          <w:b/>
          <w:sz w:val="20"/>
          <w:szCs w:val="18"/>
        </w:rPr>
      </w:pPr>
    </w:p>
    <w:p w14:paraId="023BB26C" w14:textId="77777777" w:rsidR="00A25982" w:rsidRPr="00A25982" w:rsidRDefault="00A25982" w:rsidP="00A25982">
      <w:pPr>
        <w:ind w:left="142" w:hanging="142"/>
        <w:rPr>
          <w:rFonts w:ascii="Arial" w:hAnsi="Arial" w:cs="Arial"/>
          <w:sz w:val="20"/>
          <w:szCs w:val="18"/>
        </w:rPr>
      </w:pPr>
      <w:r w:rsidRPr="00A25982">
        <w:rPr>
          <w:rFonts w:ascii="Arial" w:hAnsi="Arial" w:cs="Arial"/>
          <w:sz w:val="20"/>
          <w:szCs w:val="18"/>
          <w:vertAlign w:val="superscript"/>
        </w:rPr>
        <w:t xml:space="preserve">1 </w:t>
      </w:r>
      <w:r w:rsidRPr="00A25982">
        <w:rPr>
          <w:rFonts w:ascii="Arial" w:hAnsi="Arial" w:cs="Arial"/>
          <w:sz w:val="20"/>
          <w:szCs w:val="18"/>
        </w:rPr>
        <w:t>Department of Management Science, Lancaster University Management School, Lancaster University, Lancaster, UK</w:t>
      </w:r>
    </w:p>
    <w:p w14:paraId="47388584" w14:textId="77777777" w:rsidR="00A25982" w:rsidRPr="00A25982" w:rsidRDefault="00A25982" w:rsidP="00A25982">
      <w:pPr>
        <w:ind w:left="142" w:hanging="142"/>
        <w:rPr>
          <w:rFonts w:ascii="Arial" w:hAnsi="Arial" w:cs="Arial"/>
          <w:sz w:val="20"/>
          <w:szCs w:val="18"/>
        </w:rPr>
      </w:pPr>
      <w:r w:rsidRPr="00A25982">
        <w:rPr>
          <w:rFonts w:ascii="Arial" w:hAnsi="Arial" w:cs="Arial"/>
          <w:sz w:val="20"/>
          <w:szCs w:val="18"/>
          <w:vertAlign w:val="superscript"/>
        </w:rPr>
        <w:t xml:space="preserve">2 </w:t>
      </w:r>
      <w:r w:rsidRPr="00A25982">
        <w:rPr>
          <w:rFonts w:ascii="Arial" w:hAnsi="Arial" w:cs="Arial"/>
          <w:sz w:val="20"/>
          <w:szCs w:val="18"/>
        </w:rPr>
        <w:t>The York Management School, York, UK</w:t>
      </w:r>
    </w:p>
    <w:p w14:paraId="5E670035" w14:textId="77777777" w:rsidR="00A25982" w:rsidRPr="00A25982" w:rsidRDefault="00A25982" w:rsidP="00A25982">
      <w:pPr>
        <w:ind w:left="142" w:hanging="142"/>
        <w:rPr>
          <w:rFonts w:ascii="Arial" w:hAnsi="Arial" w:cs="Arial"/>
          <w:sz w:val="20"/>
          <w:szCs w:val="18"/>
        </w:rPr>
      </w:pPr>
      <w:r w:rsidRPr="00A25982">
        <w:rPr>
          <w:rFonts w:ascii="Arial" w:hAnsi="Arial" w:cs="Arial"/>
          <w:sz w:val="20"/>
          <w:szCs w:val="18"/>
          <w:vertAlign w:val="superscript"/>
        </w:rPr>
        <w:t xml:space="preserve">3 </w:t>
      </w:r>
      <w:r w:rsidRPr="00A25982">
        <w:rPr>
          <w:rFonts w:ascii="Arial" w:hAnsi="Arial" w:cs="Arial"/>
          <w:sz w:val="20"/>
          <w:szCs w:val="18"/>
        </w:rPr>
        <w:t>University of Edinburgh Business School, Edinburgh, UK</w:t>
      </w:r>
    </w:p>
    <w:p w14:paraId="307FC746" w14:textId="77777777" w:rsidR="00A25982" w:rsidRPr="00A25982" w:rsidRDefault="00A25982" w:rsidP="00A25982">
      <w:pPr>
        <w:ind w:left="142" w:hanging="142"/>
        <w:rPr>
          <w:rFonts w:ascii="Arial" w:hAnsi="Arial" w:cs="Arial"/>
          <w:sz w:val="20"/>
          <w:szCs w:val="18"/>
        </w:rPr>
      </w:pPr>
      <w:r w:rsidRPr="00A25982">
        <w:rPr>
          <w:rFonts w:ascii="Arial" w:hAnsi="Arial" w:cs="Arial"/>
          <w:sz w:val="20"/>
          <w:szCs w:val="18"/>
          <w:vertAlign w:val="superscript"/>
        </w:rPr>
        <w:t xml:space="preserve">4 </w:t>
      </w:r>
      <w:r w:rsidRPr="00A25982">
        <w:rPr>
          <w:rFonts w:ascii="Arial" w:hAnsi="Arial" w:cs="Arial"/>
          <w:sz w:val="20"/>
          <w:szCs w:val="18"/>
        </w:rPr>
        <w:t>Pentland Centre for Sustainability, Lancaster University Management School, Lancaster Univers</w:t>
      </w:r>
      <w:bookmarkStart w:id="0" w:name="_GoBack"/>
      <w:bookmarkEnd w:id="0"/>
      <w:r w:rsidRPr="00A25982">
        <w:rPr>
          <w:rFonts w:ascii="Arial" w:hAnsi="Arial" w:cs="Arial"/>
          <w:sz w:val="20"/>
          <w:szCs w:val="18"/>
        </w:rPr>
        <w:t>ity, Lancaster, UK</w:t>
      </w:r>
    </w:p>
    <w:p w14:paraId="310C8FFD" w14:textId="77777777" w:rsidR="00A25982" w:rsidRPr="00A25982" w:rsidRDefault="00A25982" w:rsidP="00A25982">
      <w:pPr>
        <w:rPr>
          <w:rFonts w:ascii="Arial" w:hAnsi="Arial" w:cs="Arial"/>
          <w:sz w:val="20"/>
          <w:szCs w:val="18"/>
        </w:rPr>
      </w:pPr>
      <w:r w:rsidRPr="00A25982">
        <w:rPr>
          <w:rFonts w:ascii="Arial" w:hAnsi="Arial" w:cs="Arial"/>
          <w:sz w:val="20"/>
          <w:szCs w:val="18"/>
        </w:rPr>
        <w:tab/>
      </w:r>
      <w:r w:rsidRPr="00A25982">
        <w:rPr>
          <w:rFonts w:ascii="Arial" w:hAnsi="Arial" w:cs="Arial"/>
          <w:sz w:val="20"/>
          <w:szCs w:val="18"/>
        </w:rPr>
        <w:tab/>
      </w:r>
    </w:p>
    <w:p w14:paraId="49FCA24B" w14:textId="77777777" w:rsidR="00A25982" w:rsidRPr="00A25982" w:rsidRDefault="00A25982" w:rsidP="00A25982">
      <w:pPr>
        <w:rPr>
          <w:rFonts w:ascii="Arial" w:hAnsi="Arial" w:cs="Arial"/>
          <w:sz w:val="20"/>
          <w:szCs w:val="18"/>
        </w:rPr>
      </w:pPr>
      <w:r w:rsidRPr="00A25982">
        <w:rPr>
          <w:rFonts w:ascii="Arial" w:hAnsi="Arial" w:cs="Arial"/>
          <w:sz w:val="20"/>
          <w:szCs w:val="18"/>
        </w:rPr>
        <w:t>Acknowledgment: This research has been funded by the N8 Agri-food research programme, which in turn is funded by HEFCE and the partner Universities of Lancaster and York.</w:t>
      </w:r>
    </w:p>
    <w:p w14:paraId="7BEAF8B9" w14:textId="77777777" w:rsidR="00A25982" w:rsidRPr="00A25982" w:rsidRDefault="00A25982" w:rsidP="00A25982">
      <w:pPr>
        <w:rPr>
          <w:rFonts w:ascii="Arial" w:hAnsi="Arial" w:cs="Arial"/>
          <w:sz w:val="20"/>
          <w:szCs w:val="18"/>
        </w:rPr>
      </w:pPr>
    </w:p>
    <w:p w14:paraId="3E15E106" w14:textId="34E720F4" w:rsidR="00AC72EE" w:rsidRPr="00A25982" w:rsidRDefault="00901D90" w:rsidP="00A25982">
      <w:pPr>
        <w:pStyle w:val="BodyText"/>
        <w:pageBreakBefore/>
        <w:numPr>
          <w:ilvl w:val="0"/>
          <w:numId w:val="28"/>
        </w:numPr>
        <w:spacing w:before="0"/>
        <w:ind w:left="284" w:hanging="284"/>
        <w:rPr>
          <w:rFonts w:ascii="Arial" w:hAnsi="Arial" w:cs="Arial"/>
          <w:b/>
          <w:lang w:val="en-IE"/>
        </w:rPr>
      </w:pPr>
      <w:r w:rsidRPr="00A25982">
        <w:rPr>
          <w:rFonts w:ascii="Arial" w:hAnsi="Arial" w:cs="Arial"/>
          <w:b/>
          <w:lang w:val="en-IE"/>
        </w:rPr>
        <w:lastRenderedPageBreak/>
        <w:t>Introduction</w:t>
      </w:r>
    </w:p>
    <w:p w14:paraId="237DE907" w14:textId="434B3095" w:rsidR="00870EA1" w:rsidRPr="00A25982" w:rsidRDefault="00820649" w:rsidP="00A25982">
      <w:pPr>
        <w:jc w:val="both"/>
        <w:rPr>
          <w:rFonts w:ascii="Arial" w:hAnsi="Arial" w:cs="Arial"/>
        </w:rPr>
      </w:pPr>
      <w:r w:rsidRPr="00A25982">
        <w:rPr>
          <w:rFonts w:ascii="Arial" w:hAnsi="Arial" w:cs="Arial"/>
        </w:rPr>
        <w:t>Supply Chain Resilience (</w:t>
      </w:r>
      <w:proofErr w:type="spellStart"/>
      <w:r w:rsidRPr="00A25982">
        <w:rPr>
          <w:rFonts w:ascii="Arial" w:hAnsi="Arial" w:cs="Arial"/>
          <w:noProof/>
        </w:rPr>
        <w:t>SCRes</w:t>
      </w:r>
      <w:proofErr w:type="spellEnd"/>
      <w:r w:rsidRPr="00A25982">
        <w:rPr>
          <w:rFonts w:ascii="Arial" w:hAnsi="Arial" w:cs="Arial"/>
        </w:rPr>
        <w:t xml:space="preserve">) </w:t>
      </w:r>
      <w:r w:rsidR="006D26E7" w:rsidRPr="00A25982">
        <w:rPr>
          <w:rFonts w:ascii="Arial" w:hAnsi="Arial" w:cs="Arial"/>
        </w:rPr>
        <w:t xml:space="preserve">broadly </w:t>
      </w:r>
      <w:r w:rsidRPr="00A25982">
        <w:rPr>
          <w:rFonts w:ascii="Arial" w:hAnsi="Arial" w:cs="Arial"/>
        </w:rPr>
        <w:t xml:space="preserve">refers to the ability of supply chains to </w:t>
      </w:r>
      <w:r w:rsidR="00732C08" w:rsidRPr="00A25982">
        <w:rPr>
          <w:rFonts w:ascii="Arial" w:hAnsi="Arial" w:cs="Arial"/>
        </w:rPr>
        <w:t xml:space="preserve">prepare for and/or </w:t>
      </w:r>
      <w:r w:rsidRPr="00A25982">
        <w:rPr>
          <w:rFonts w:ascii="Arial" w:hAnsi="Arial" w:cs="Arial"/>
        </w:rPr>
        <w:t xml:space="preserve">respond </w:t>
      </w:r>
      <w:r w:rsidRPr="00A25982">
        <w:rPr>
          <w:rFonts w:ascii="Arial" w:hAnsi="Arial" w:cs="Arial"/>
          <w:noProof/>
        </w:rPr>
        <w:t>effectively</w:t>
      </w:r>
      <w:r w:rsidRPr="00A25982">
        <w:rPr>
          <w:rFonts w:ascii="Arial" w:hAnsi="Arial" w:cs="Arial"/>
        </w:rPr>
        <w:t xml:space="preserve"> to disruption</w:t>
      </w:r>
      <w:r w:rsidR="00732C08" w:rsidRPr="00A25982">
        <w:rPr>
          <w:rFonts w:ascii="Arial" w:hAnsi="Arial" w:cs="Arial"/>
        </w:rPr>
        <w:t>s</w:t>
      </w:r>
      <w:r w:rsidRPr="00A25982">
        <w:rPr>
          <w:rFonts w:ascii="Arial" w:hAnsi="Arial" w:cs="Arial"/>
        </w:rPr>
        <w:t>, ideally emerging as stronger entities</w:t>
      </w:r>
      <w:r w:rsidR="00C5381F" w:rsidRPr="00A25982">
        <w:rPr>
          <w:rFonts w:ascii="Arial" w:hAnsi="Arial" w:cs="Arial"/>
        </w:rPr>
        <w:t xml:space="preserve"> (</w:t>
      </w:r>
      <w:proofErr w:type="spellStart"/>
      <w:r w:rsidR="00D14A01" w:rsidRPr="00A25982">
        <w:rPr>
          <w:rFonts w:ascii="Arial" w:hAnsi="Arial" w:cs="Arial"/>
        </w:rPr>
        <w:t>Sheffi</w:t>
      </w:r>
      <w:proofErr w:type="spellEnd"/>
      <w:r w:rsidR="00D14A01" w:rsidRPr="00A25982">
        <w:rPr>
          <w:rFonts w:ascii="Arial" w:hAnsi="Arial" w:cs="Arial"/>
        </w:rPr>
        <w:t xml:space="preserve">, 2005; </w:t>
      </w:r>
      <w:proofErr w:type="spellStart"/>
      <w:r w:rsidR="00F90642" w:rsidRPr="00A25982">
        <w:rPr>
          <w:rFonts w:ascii="Arial" w:hAnsi="Arial" w:cs="Arial"/>
        </w:rPr>
        <w:t>Ponomarov</w:t>
      </w:r>
      <w:proofErr w:type="spellEnd"/>
      <w:r w:rsidR="00F90642" w:rsidRPr="00A25982">
        <w:rPr>
          <w:rFonts w:ascii="Arial" w:hAnsi="Arial" w:cs="Arial"/>
        </w:rPr>
        <w:t xml:space="preserve"> &amp; Holcomb, 2009; </w:t>
      </w:r>
      <w:proofErr w:type="spellStart"/>
      <w:r w:rsidR="00C748A7" w:rsidRPr="00A25982">
        <w:rPr>
          <w:rFonts w:ascii="Arial" w:hAnsi="Arial" w:cs="Arial"/>
        </w:rPr>
        <w:t>Ponis</w:t>
      </w:r>
      <w:proofErr w:type="spellEnd"/>
      <w:r w:rsidR="00C748A7" w:rsidRPr="00A25982">
        <w:rPr>
          <w:rFonts w:ascii="Arial" w:hAnsi="Arial" w:cs="Arial"/>
        </w:rPr>
        <w:t xml:space="preserve"> &amp; </w:t>
      </w:r>
      <w:proofErr w:type="spellStart"/>
      <w:r w:rsidR="00C748A7" w:rsidRPr="00A25982">
        <w:rPr>
          <w:rFonts w:ascii="Arial" w:hAnsi="Arial" w:cs="Arial"/>
        </w:rPr>
        <w:t>Koronis</w:t>
      </w:r>
      <w:proofErr w:type="spellEnd"/>
      <w:r w:rsidR="00C748A7" w:rsidRPr="00A25982">
        <w:rPr>
          <w:rFonts w:ascii="Arial" w:hAnsi="Arial" w:cs="Arial"/>
        </w:rPr>
        <w:t>, 2012</w:t>
      </w:r>
      <w:r w:rsidR="00C5381F" w:rsidRPr="00A25982">
        <w:rPr>
          <w:rFonts w:ascii="Arial" w:hAnsi="Arial" w:cs="Arial"/>
        </w:rPr>
        <w:t xml:space="preserve">). </w:t>
      </w:r>
      <w:r w:rsidR="008A4F5A" w:rsidRPr="00A25982">
        <w:rPr>
          <w:rFonts w:ascii="Arial" w:hAnsi="Arial" w:cs="Arial"/>
        </w:rPr>
        <w:t xml:space="preserve">Several </w:t>
      </w:r>
      <w:r w:rsidR="002F533C" w:rsidRPr="00A25982">
        <w:rPr>
          <w:rFonts w:ascii="Arial" w:hAnsi="Arial" w:cs="Arial"/>
        </w:rPr>
        <w:t>stud</w:t>
      </w:r>
      <w:r w:rsidR="00C5381F" w:rsidRPr="00A25982">
        <w:rPr>
          <w:rFonts w:ascii="Arial" w:hAnsi="Arial" w:cs="Arial"/>
        </w:rPr>
        <w:t xml:space="preserve">ies have recently </w:t>
      </w:r>
      <w:r w:rsidR="006D26E7" w:rsidRPr="00A25982">
        <w:rPr>
          <w:rFonts w:ascii="Arial" w:hAnsi="Arial" w:cs="Arial"/>
        </w:rPr>
        <w:t>appear</w:t>
      </w:r>
      <w:r w:rsidR="00C5381F" w:rsidRPr="00A25982">
        <w:rPr>
          <w:rFonts w:ascii="Arial" w:hAnsi="Arial" w:cs="Arial"/>
        </w:rPr>
        <w:t xml:space="preserve">ed on </w:t>
      </w:r>
      <w:proofErr w:type="spellStart"/>
      <w:r w:rsidR="009104DF" w:rsidRPr="00A25982">
        <w:rPr>
          <w:rFonts w:ascii="Arial" w:hAnsi="Arial" w:cs="Arial"/>
        </w:rPr>
        <w:t>SCRes</w:t>
      </w:r>
      <w:proofErr w:type="spellEnd"/>
      <w:r w:rsidR="009104DF" w:rsidRPr="00A25982">
        <w:rPr>
          <w:rFonts w:ascii="Arial" w:hAnsi="Arial" w:cs="Arial"/>
        </w:rPr>
        <w:t>, and resilience more broadly</w:t>
      </w:r>
      <w:r w:rsidR="002F533C" w:rsidRPr="00A25982">
        <w:rPr>
          <w:rFonts w:ascii="Arial" w:hAnsi="Arial" w:cs="Arial"/>
        </w:rPr>
        <w:t xml:space="preserve">, as reviewed by </w:t>
      </w:r>
      <w:r w:rsidRPr="00A25982">
        <w:rPr>
          <w:rFonts w:ascii="Arial" w:hAnsi="Arial" w:cs="Arial"/>
        </w:rPr>
        <w:t xml:space="preserve">authors such as </w:t>
      </w:r>
      <w:r w:rsidR="00732C08" w:rsidRPr="00A25982">
        <w:rPr>
          <w:rFonts w:ascii="Arial" w:hAnsi="Arial" w:cs="Arial"/>
        </w:rPr>
        <w:t xml:space="preserve">Hohenstein </w:t>
      </w:r>
      <w:r w:rsidR="00732C08" w:rsidRPr="00A25982">
        <w:rPr>
          <w:rFonts w:ascii="Arial" w:hAnsi="Arial" w:cs="Arial"/>
          <w:i/>
        </w:rPr>
        <w:t>et al.</w:t>
      </w:r>
      <w:r w:rsidR="00732C08" w:rsidRPr="00A25982">
        <w:rPr>
          <w:rFonts w:ascii="Arial" w:hAnsi="Arial" w:cs="Arial"/>
        </w:rPr>
        <w:t xml:space="preserve"> (2015),</w:t>
      </w:r>
      <w:r w:rsidR="00F90642" w:rsidRPr="00A25982">
        <w:rPr>
          <w:rFonts w:ascii="Arial" w:hAnsi="Arial" w:cs="Arial"/>
        </w:rPr>
        <w:t xml:space="preserve"> </w:t>
      </w:r>
      <w:proofErr w:type="spellStart"/>
      <w:r w:rsidR="002F533C" w:rsidRPr="00A25982">
        <w:rPr>
          <w:rFonts w:ascii="Arial" w:hAnsi="Arial" w:cs="Arial"/>
        </w:rPr>
        <w:t>Tukamuhabwa</w:t>
      </w:r>
      <w:proofErr w:type="spellEnd"/>
      <w:r w:rsidR="002F533C" w:rsidRPr="00A25982">
        <w:rPr>
          <w:rFonts w:ascii="Arial" w:hAnsi="Arial" w:cs="Arial"/>
        </w:rPr>
        <w:t xml:space="preserve"> </w:t>
      </w:r>
      <w:r w:rsidR="002F533C" w:rsidRPr="00A25982">
        <w:rPr>
          <w:rFonts w:ascii="Arial" w:hAnsi="Arial" w:cs="Arial"/>
          <w:i/>
        </w:rPr>
        <w:t>et al.</w:t>
      </w:r>
      <w:r w:rsidR="002F533C" w:rsidRPr="00A25982">
        <w:rPr>
          <w:rFonts w:ascii="Arial" w:hAnsi="Arial" w:cs="Arial"/>
        </w:rPr>
        <w:t xml:space="preserve"> (2015</w:t>
      </w:r>
      <w:r w:rsidRPr="00A25982">
        <w:rPr>
          <w:rFonts w:ascii="Arial" w:hAnsi="Arial" w:cs="Arial"/>
        </w:rPr>
        <w:t>)</w:t>
      </w:r>
      <w:r w:rsidR="001C700D" w:rsidRPr="00A25982">
        <w:rPr>
          <w:rFonts w:ascii="Arial" w:hAnsi="Arial" w:cs="Arial"/>
        </w:rPr>
        <w:t xml:space="preserve">, and Stone &amp; </w:t>
      </w:r>
      <w:proofErr w:type="spellStart"/>
      <w:r w:rsidR="001C700D" w:rsidRPr="00A25982">
        <w:rPr>
          <w:rFonts w:ascii="Arial" w:hAnsi="Arial" w:cs="Arial"/>
        </w:rPr>
        <w:t>Rahimifard</w:t>
      </w:r>
      <w:proofErr w:type="spellEnd"/>
      <w:r w:rsidR="001C700D" w:rsidRPr="00A25982">
        <w:rPr>
          <w:rFonts w:ascii="Arial" w:hAnsi="Arial" w:cs="Arial"/>
        </w:rPr>
        <w:t xml:space="preserve"> (2018)</w:t>
      </w:r>
      <w:r w:rsidR="00C5381F" w:rsidRPr="00A25982">
        <w:rPr>
          <w:rFonts w:ascii="Arial" w:hAnsi="Arial" w:cs="Arial"/>
        </w:rPr>
        <w:t xml:space="preserve">. </w:t>
      </w:r>
      <w:r w:rsidR="008A4F5A" w:rsidRPr="00A25982">
        <w:rPr>
          <w:rFonts w:ascii="Arial" w:hAnsi="Arial" w:cs="Arial"/>
        </w:rPr>
        <w:t xml:space="preserve">For example, </w:t>
      </w:r>
      <w:proofErr w:type="spellStart"/>
      <w:r w:rsidR="00732C08" w:rsidRPr="00A25982">
        <w:rPr>
          <w:rFonts w:ascii="Arial" w:hAnsi="Arial" w:cs="Arial"/>
        </w:rPr>
        <w:t>Tukamuhabwa</w:t>
      </w:r>
      <w:proofErr w:type="spellEnd"/>
      <w:r w:rsidR="00732C08" w:rsidRPr="00A25982">
        <w:rPr>
          <w:rFonts w:ascii="Arial" w:hAnsi="Arial" w:cs="Arial"/>
        </w:rPr>
        <w:t xml:space="preserve"> </w:t>
      </w:r>
      <w:r w:rsidR="00732C08" w:rsidRPr="00A25982">
        <w:rPr>
          <w:rFonts w:ascii="Arial" w:hAnsi="Arial" w:cs="Arial"/>
          <w:i/>
        </w:rPr>
        <w:t>et al.</w:t>
      </w:r>
      <w:r w:rsidR="00732C08" w:rsidRPr="00A25982">
        <w:rPr>
          <w:rFonts w:ascii="Arial" w:hAnsi="Arial" w:cs="Arial"/>
        </w:rPr>
        <w:t xml:space="preserve"> (2015) </w:t>
      </w:r>
      <w:r w:rsidR="008A4F5A" w:rsidRPr="00A25982">
        <w:rPr>
          <w:rFonts w:ascii="Arial" w:hAnsi="Arial" w:cs="Arial"/>
        </w:rPr>
        <w:t xml:space="preserve">found </w:t>
      </w:r>
      <w:r w:rsidR="002F533C" w:rsidRPr="00A25982">
        <w:rPr>
          <w:rFonts w:ascii="Arial" w:hAnsi="Arial" w:cs="Arial"/>
        </w:rPr>
        <w:t xml:space="preserve">that the </w:t>
      </w:r>
      <w:proofErr w:type="spellStart"/>
      <w:r w:rsidR="002F533C" w:rsidRPr="00A25982">
        <w:rPr>
          <w:rFonts w:ascii="Arial" w:hAnsi="Arial" w:cs="Arial"/>
        </w:rPr>
        <w:t>SCRes</w:t>
      </w:r>
      <w:proofErr w:type="spellEnd"/>
      <w:r w:rsidR="002F533C" w:rsidRPr="00A25982">
        <w:rPr>
          <w:rFonts w:ascii="Arial" w:hAnsi="Arial" w:cs="Arial"/>
        </w:rPr>
        <w:t xml:space="preserve"> field remains in its infancy</w:t>
      </w:r>
      <w:r w:rsidR="006D26E7" w:rsidRPr="00A25982">
        <w:rPr>
          <w:rFonts w:ascii="Arial" w:hAnsi="Arial" w:cs="Arial"/>
        </w:rPr>
        <w:t xml:space="preserve"> with </w:t>
      </w:r>
      <w:r w:rsidR="002F533C" w:rsidRPr="00A25982">
        <w:rPr>
          <w:rFonts w:ascii="Arial" w:hAnsi="Arial" w:cs="Arial"/>
        </w:rPr>
        <w:t xml:space="preserve">limited empirical </w:t>
      </w:r>
      <w:r w:rsidR="00870EA1" w:rsidRPr="00A25982">
        <w:rPr>
          <w:rFonts w:ascii="Arial" w:hAnsi="Arial" w:cs="Arial"/>
        </w:rPr>
        <w:t>research</w:t>
      </w:r>
      <w:r w:rsidR="009D0508" w:rsidRPr="00A25982">
        <w:rPr>
          <w:rFonts w:ascii="Arial" w:hAnsi="Arial" w:cs="Arial"/>
        </w:rPr>
        <w:t>, including a lack of work that</w:t>
      </w:r>
      <w:r w:rsidR="006D26E7" w:rsidRPr="00A25982">
        <w:rPr>
          <w:rFonts w:ascii="Arial" w:hAnsi="Arial" w:cs="Arial"/>
        </w:rPr>
        <w:t xml:space="preserve"> </w:t>
      </w:r>
      <w:r w:rsidR="004B2786" w:rsidRPr="00A25982">
        <w:rPr>
          <w:rFonts w:ascii="Arial" w:hAnsi="Arial" w:cs="Arial"/>
        </w:rPr>
        <w:t xml:space="preserve">examines </w:t>
      </w:r>
      <w:r w:rsidR="002F533C" w:rsidRPr="00A25982">
        <w:rPr>
          <w:rFonts w:ascii="Arial" w:hAnsi="Arial" w:cs="Arial"/>
        </w:rPr>
        <w:t xml:space="preserve">multiple tiers of </w:t>
      </w:r>
      <w:r w:rsidR="00732C08" w:rsidRPr="00A25982">
        <w:rPr>
          <w:rFonts w:ascii="Arial" w:hAnsi="Arial" w:cs="Arial"/>
        </w:rPr>
        <w:t>a</w:t>
      </w:r>
      <w:r w:rsidR="002F533C" w:rsidRPr="00A25982">
        <w:rPr>
          <w:rFonts w:ascii="Arial" w:hAnsi="Arial" w:cs="Arial"/>
        </w:rPr>
        <w:t xml:space="preserve"> supply chain</w:t>
      </w:r>
      <w:r w:rsidR="00732C08" w:rsidRPr="00A25982">
        <w:rPr>
          <w:rFonts w:ascii="Arial" w:hAnsi="Arial" w:cs="Arial"/>
        </w:rPr>
        <w:t xml:space="preserve"> or network</w:t>
      </w:r>
      <w:r w:rsidR="00F90642" w:rsidRPr="00A25982">
        <w:rPr>
          <w:rFonts w:ascii="Arial" w:hAnsi="Arial" w:cs="Arial"/>
        </w:rPr>
        <w:t>. Meanwhile,</w:t>
      </w:r>
      <w:r w:rsidR="006D26E7" w:rsidRPr="00A25982">
        <w:rPr>
          <w:rFonts w:ascii="Arial" w:hAnsi="Arial" w:cs="Arial"/>
        </w:rPr>
        <w:t xml:space="preserve"> </w:t>
      </w:r>
      <w:r w:rsidR="00870EA1" w:rsidRPr="00A25982">
        <w:rPr>
          <w:rFonts w:ascii="Arial" w:hAnsi="Arial" w:cs="Arial"/>
        </w:rPr>
        <w:t xml:space="preserve">although there has been an emphasis on the disruptions to supply chains caused by high-profile catastrophic events such as earthquakes and terrorism, </w:t>
      </w:r>
      <w:r w:rsidR="006D26E7" w:rsidRPr="00A25982">
        <w:rPr>
          <w:rFonts w:ascii="Arial" w:hAnsi="Arial" w:cs="Arial"/>
        </w:rPr>
        <w:t>t</w:t>
      </w:r>
      <w:r w:rsidR="00F90642" w:rsidRPr="00A25982">
        <w:rPr>
          <w:rFonts w:ascii="Arial" w:hAnsi="Arial" w:cs="Arial"/>
        </w:rPr>
        <w:t xml:space="preserve">here is a </w:t>
      </w:r>
      <w:r w:rsidR="007D77EB" w:rsidRPr="00A25982">
        <w:rPr>
          <w:rFonts w:ascii="Arial" w:hAnsi="Arial" w:cs="Arial"/>
        </w:rPr>
        <w:t xml:space="preserve">lack of </w:t>
      </w:r>
      <w:r w:rsidR="002F533C" w:rsidRPr="00A25982">
        <w:rPr>
          <w:rFonts w:ascii="Arial" w:hAnsi="Arial" w:cs="Arial"/>
        </w:rPr>
        <w:t>research that considers resilience to constitutional change</w:t>
      </w:r>
      <w:r w:rsidR="006D26E7" w:rsidRPr="00A25982">
        <w:rPr>
          <w:rFonts w:ascii="Arial" w:hAnsi="Arial" w:cs="Arial"/>
        </w:rPr>
        <w:t xml:space="preserve">. This includes resilience to the changes </w:t>
      </w:r>
      <w:r w:rsidRPr="00A25982">
        <w:rPr>
          <w:rFonts w:ascii="Arial" w:hAnsi="Arial" w:cs="Arial"/>
        </w:rPr>
        <w:t xml:space="preserve">currently being experienced in the </w:t>
      </w:r>
      <w:r w:rsidR="006D26E7" w:rsidRPr="00A25982">
        <w:rPr>
          <w:rFonts w:ascii="Arial" w:hAnsi="Arial" w:cs="Arial"/>
        </w:rPr>
        <w:t>United Kingdom (</w:t>
      </w:r>
      <w:r w:rsidRPr="00A25982">
        <w:rPr>
          <w:rFonts w:ascii="Arial" w:hAnsi="Arial" w:cs="Arial"/>
        </w:rPr>
        <w:t>UK</w:t>
      </w:r>
      <w:r w:rsidR="006D26E7" w:rsidRPr="00A25982">
        <w:rPr>
          <w:rFonts w:ascii="Arial" w:hAnsi="Arial" w:cs="Arial"/>
        </w:rPr>
        <w:t>)</w:t>
      </w:r>
      <w:r w:rsidRPr="00A25982">
        <w:rPr>
          <w:rFonts w:ascii="Arial" w:hAnsi="Arial" w:cs="Arial"/>
        </w:rPr>
        <w:t xml:space="preserve"> </w:t>
      </w:r>
      <w:proofErr w:type="gramStart"/>
      <w:r w:rsidRPr="00A25982">
        <w:rPr>
          <w:rFonts w:ascii="Arial" w:hAnsi="Arial" w:cs="Arial"/>
        </w:rPr>
        <w:t xml:space="preserve">as a result </w:t>
      </w:r>
      <w:r w:rsidR="0058789D" w:rsidRPr="00A25982">
        <w:rPr>
          <w:rFonts w:ascii="Arial" w:hAnsi="Arial" w:cs="Arial"/>
        </w:rPr>
        <w:t>of</w:t>
      </w:r>
      <w:proofErr w:type="gramEnd"/>
      <w:r w:rsidR="0058789D" w:rsidRPr="00A25982">
        <w:rPr>
          <w:rFonts w:ascii="Arial" w:hAnsi="Arial" w:cs="Arial"/>
        </w:rPr>
        <w:t xml:space="preserve"> Brexit</w:t>
      </w:r>
      <w:r w:rsidR="003D41B3" w:rsidRPr="00A25982">
        <w:rPr>
          <w:rFonts w:ascii="Arial" w:hAnsi="Arial" w:cs="Arial"/>
        </w:rPr>
        <w:t>,</w:t>
      </w:r>
      <w:r w:rsidR="0058789D" w:rsidRPr="00A25982">
        <w:rPr>
          <w:rFonts w:ascii="Arial" w:hAnsi="Arial" w:cs="Arial"/>
        </w:rPr>
        <w:t xml:space="preserve"> i.e. the UK’s</w:t>
      </w:r>
      <w:r w:rsidR="00443431" w:rsidRPr="00A25982">
        <w:rPr>
          <w:rFonts w:ascii="Arial" w:hAnsi="Arial" w:cs="Arial"/>
        </w:rPr>
        <w:t xml:space="preserve"> planned exit from the European Union</w:t>
      </w:r>
      <w:r w:rsidR="006D26E7" w:rsidRPr="00A25982">
        <w:rPr>
          <w:rFonts w:ascii="Arial" w:hAnsi="Arial" w:cs="Arial"/>
        </w:rPr>
        <w:t xml:space="preserve"> (EU)</w:t>
      </w:r>
      <w:r w:rsidR="00443431" w:rsidRPr="00A25982">
        <w:rPr>
          <w:rFonts w:ascii="Arial" w:hAnsi="Arial" w:cs="Arial"/>
        </w:rPr>
        <w:t>.</w:t>
      </w:r>
      <w:r w:rsidR="007A5618" w:rsidRPr="00A25982">
        <w:rPr>
          <w:rFonts w:ascii="Arial" w:hAnsi="Arial" w:cs="Arial"/>
        </w:rPr>
        <w:t xml:space="preserve"> Brexit has the potential to have </w:t>
      </w:r>
      <w:r w:rsidR="00792A98" w:rsidRPr="00A25982">
        <w:rPr>
          <w:rFonts w:ascii="Arial" w:hAnsi="Arial" w:cs="Arial"/>
          <w:noProof/>
          <w:lang w:eastAsia="zh-CN"/>
        </w:rPr>
        <w:t>enormous</w:t>
      </w:r>
      <w:r w:rsidR="00792A98" w:rsidRPr="00A25982">
        <w:rPr>
          <w:rFonts w:ascii="Arial" w:hAnsi="Arial" w:cs="Arial"/>
        </w:rPr>
        <w:t xml:space="preserve"> </w:t>
      </w:r>
      <w:r w:rsidR="007A5618" w:rsidRPr="00A25982">
        <w:rPr>
          <w:rFonts w:ascii="Arial" w:hAnsi="Arial" w:cs="Arial"/>
        </w:rPr>
        <w:t xml:space="preserve">consequences for firms in the UK, impacting the cost and availability of both supply and demand from Europe and the availability of capacity resources, </w:t>
      </w:r>
      <w:r w:rsidR="0046007E" w:rsidRPr="00A25982">
        <w:rPr>
          <w:rFonts w:ascii="Arial" w:hAnsi="Arial" w:cs="Arial"/>
        </w:rPr>
        <w:t>including</w:t>
      </w:r>
      <w:r w:rsidR="007A5618" w:rsidRPr="00A25982">
        <w:rPr>
          <w:rFonts w:ascii="Arial" w:hAnsi="Arial" w:cs="Arial"/>
        </w:rPr>
        <w:t xml:space="preserve"> migrant workers</w:t>
      </w:r>
      <w:r w:rsidR="00870EA1" w:rsidRPr="00A25982">
        <w:rPr>
          <w:rFonts w:ascii="Arial" w:hAnsi="Arial" w:cs="Arial"/>
        </w:rPr>
        <w:t xml:space="preserve">; and the characteristics of the threat in terms of its probability of impact, the time available to prepare, and the uncertainty of its consequences make it different to </w:t>
      </w:r>
      <w:r w:rsidR="009E5037" w:rsidRPr="00A25982">
        <w:rPr>
          <w:rFonts w:ascii="Arial" w:hAnsi="Arial" w:cs="Arial"/>
        </w:rPr>
        <w:t xml:space="preserve">many </w:t>
      </w:r>
      <w:r w:rsidR="00870EA1" w:rsidRPr="00A25982">
        <w:rPr>
          <w:rFonts w:ascii="Arial" w:hAnsi="Arial" w:cs="Arial"/>
        </w:rPr>
        <w:t xml:space="preserve">other events studied in the </w:t>
      </w:r>
      <w:proofErr w:type="spellStart"/>
      <w:r w:rsidR="00870EA1" w:rsidRPr="00A25982">
        <w:rPr>
          <w:rFonts w:ascii="Arial" w:hAnsi="Arial" w:cs="Arial"/>
        </w:rPr>
        <w:t>SCRes</w:t>
      </w:r>
      <w:proofErr w:type="spellEnd"/>
      <w:r w:rsidR="00870EA1" w:rsidRPr="00A25982">
        <w:rPr>
          <w:rFonts w:ascii="Arial" w:hAnsi="Arial" w:cs="Arial"/>
        </w:rPr>
        <w:t xml:space="preserve"> literature</w:t>
      </w:r>
      <w:r w:rsidR="007A5618" w:rsidRPr="00A25982">
        <w:rPr>
          <w:rFonts w:ascii="Arial" w:hAnsi="Arial" w:cs="Arial"/>
        </w:rPr>
        <w:t>.</w:t>
      </w:r>
      <w:r w:rsidR="00F90642" w:rsidRPr="00A25982">
        <w:rPr>
          <w:rFonts w:ascii="Arial" w:hAnsi="Arial" w:cs="Arial"/>
        </w:rPr>
        <w:t xml:space="preserve"> </w:t>
      </w:r>
      <w:r w:rsidR="0035776B" w:rsidRPr="00A25982">
        <w:rPr>
          <w:rFonts w:ascii="Arial" w:hAnsi="Arial" w:cs="Arial"/>
        </w:rPr>
        <w:t>This</w:t>
      </w:r>
      <w:r w:rsidR="009D0508" w:rsidRPr="00A25982">
        <w:rPr>
          <w:rFonts w:ascii="Arial" w:hAnsi="Arial" w:cs="Arial"/>
        </w:rPr>
        <w:t xml:space="preserve"> </w:t>
      </w:r>
      <w:r w:rsidR="00732C08" w:rsidRPr="00A25982">
        <w:rPr>
          <w:rFonts w:ascii="Arial" w:hAnsi="Arial" w:cs="Arial"/>
        </w:rPr>
        <w:t>paper</w:t>
      </w:r>
      <w:r w:rsidR="008A4F5A" w:rsidRPr="00A25982">
        <w:rPr>
          <w:rFonts w:ascii="Arial" w:hAnsi="Arial" w:cs="Arial"/>
        </w:rPr>
        <w:t xml:space="preserve"> uses empirical evidence </w:t>
      </w:r>
      <w:r w:rsidR="00870EA1" w:rsidRPr="00A25982">
        <w:rPr>
          <w:rFonts w:ascii="Arial" w:hAnsi="Arial" w:cs="Arial"/>
        </w:rPr>
        <w:t>gathered from i</w:t>
      </w:r>
      <w:r w:rsidR="008A4F5A" w:rsidRPr="00A25982">
        <w:rPr>
          <w:rFonts w:ascii="Arial" w:hAnsi="Arial" w:cs="Arial"/>
        </w:rPr>
        <w:t xml:space="preserve">nterviews across multiple tiers of food supply chains, </w:t>
      </w:r>
      <w:r w:rsidR="008A4F5A" w:rsidRPr="00A25982">
        <w:rPr>
          <w:rFonts w:ascii="Arial" w:hAnsi="Arial" w:cs="Arial"/>
          <w:lang w:val="en-IE"/>
        </w:rPr>
        <w:t xml:space="preserve">including </w:t>
      </w:r>
      <w:r w:rsidR="009D0508" w:rsidRPr="00A25982">
        <w:rPr>
          <w:rFonts w:ascii="Arial" w:hAnsi="Arial" w:cs="Arial"/>
          <w:lang w:val="en-IE"/>
        </w:rPr>
        <w:t xml:space="preserve">with </w:t>
      </w:r>
      <w:r w:rsidR="008A4F5A" w:rsidRPr="00A25982">
        <w:rPr>
          <w:rFonts w:ascii="Arial" w:hAnsi="Arial" w:cs="Arial"/>
          <w:lang w:val="en-IE"/>
        </w:rPr>
        <w:t>farmers, processors, retailers</w:t>
      </w:r>
      <w:r w:rsidR="009E5037" w:rsidRPr="00A25982">
        <w:rPr>
          <w:rFonts w:ascii="Arial" w:hAnsi="Arial" w:cs="Arial"/>
          <w:lang w:val="en-IE"/>
        </w:rPr>
        <w:t>,</w:t>
      </w:r>
      <w:r w:rsidR="008A4F5A" w:rsidRPr="00A25982">
        <w:rPr>
          <w:rFonts w:ascii="Arial" w:hAnsi="Arial" w:cs="Arial"/>
          <w:lang w:val="en-IE"/>
        </w:rPr>
        <w:t xml:space="preserve"> and non-government organisations (NGOs),</w:t>
      </w:r>
      <w:r w:rsidR="008A4F5A" w:rsidRPr="00A25982">
        <w:rPr>
          <w:rFonts w:ascii="Arial" w:hAnsi="Arial" w:cs="Arial"/>
        </w:rPr>
        <w:t xml:space="preserve"> to uncover how </w:t>
      </w:r>
      <w:r w:rsidR="009D0508" w:rsidRPr="00A25982">
        <w:rPr>
          <w:rFonts w:ascii="Arial" w:hAnsi="Arial" w:cs="Arial"/>
        </w:rPr>
        <w:t>actors</w:t>
      </w:r>
      <w:r w:rsidR="008A4F5A" w:rsidRPr="00A25982">
        <w:rPr>
          <w:rFonts w:ascii="Arial" w:hAnsi="Arial" w:cs="Arial"/>
        </w:rPr>
        <w:t xml:space="preserve"> are preparing for and responding to the threats (and opportunities) presented by Brexit; and the resulting data has been interpreted from a dynamic capabilities perspective (Teece</w:t>
      </w:r>
      <w:r w:rsidR="005C7C72" w:rsidRPr="00A25982">
        <w:rPr>
          <w:rFonts w:ascii="Arial" w:hAnsi="Arial" w:cs="Arial"/>
        </w:rPr>
        <w:t xml:space="preserve"> </w:t>
      </w:r>
      <w:r w:rsidR="005C7C72" w:rsidRPr="00A25982">
        <w:rPr>
          <w:rFonts w:ascii="Arial" w:hAnsi="Arial" w:cs="Arial"/>
          <w:i/>
        </w:rPr>
        <w:t>et al.</w:t>
      </w:r>
      <w:r w:rsidR="008A4F5A" w:rsidRPr="00A25982">
        <w:rPr>
          <w:rFonts w:ascii="Arial" w:hAnsi="Arial" w:cs="Arial"/>
        </w:rPr>
        <w:t xml:space="preserve">, 1997). </w:t>
      </w:r>
    </w:p>
    <w:p w14:paraId="410A6124" w14:textId="4AB6681B" w:rsidR="008E1169" w:rsidRPr="00A25982" w:rsidRDefault="009D0508" w:rsidP="00A25982">
      <w:pPr>
        <w:ind w:firstLine="284"/>
        <w:jc w:val="both"/>
        <w:rPr>
          <w:rFonts w:ascii="Arial" w:hAnsi="Arial" w:cs="Arial"/>
        </w:rPr>
      </w:pPr>
      <w:r w:rsidRPr="00A25982">
        <w:rPr>
          <w:rFonts w:ascii="Arial" w:hAnsi="Arial" w:cs="Arial"/>
        </w:rPr>
        <w:t>Local food supply chains</w:t>
      </w:r>
      <w:r w:rsidR="00422520" w:rsidRPr="00A25982">
        <w:rPr>
          <w:rFonts w:ascii="Arial" w:hAnsi="Arial" w:cs="Arial"/>
        </w:rPr>
        <w:t>, including</w:t>
      </w:r>
      <w:r w:rsidRPr="00A25982">
        <w:rPr>
          <w:rFonts w:ascii="Arial" w:hAnsi="Arial" w:cs="Arial"/>
        </w:rPr>
        <w:t xml:space="preserve"> in the UK</w:t>
      </w:r>
      <w:r w:rsidR="00422520" w:rsidRPr="00A25982">
        <w:rPr>
          <w:rFonts w:ascii="Arial" w:hAnsi="Arial" w:cs="Arial"/>
        </w:rPr>
        <w:t>,</w:t>
      </w:r>
      <w:r w:rsidRPr="00A25982">
        <w:rPr>
          <w:rFonts w:ascii="Arial" w:hAnsi="Arial" w:cs="Arial"/>
        </w:rPr>
        <w:t xml:space="preserve"> </w:t>
      </w:r>
      <w:r w:rsidR="00422520" w:rsidRPr="00A25982">
        <w:rPr>
          <w:rFonts w:ascii="Arial" w:hAnsi="Arial" w:cs="Arial"/>
        </w:rPr>
        <w:t xml:space="preserve">have </w:t>
      </w:r>
      <w:r w:rsidRPr="00A25982">
        <w:rPr>
          <w:rFonts w:ascii="Arial" w:hAnsi="Arial" w:cs="Arial"/>
        </w:rPr>
        <w:t xml:space="preserve">become increasingly important in the light of global food security concerns, </w:t>
      </w:r>
      <w:r w:rsidR="002F533C" w:rsidRPr="00A25982">
        <w:rPr>
          <w:rFonts w:ascii="Arial" w:hAnsi="Arial" w:cs="Arial"/>
        </w:rPr>
        <w:t>calls for enhanced traceability</w:t>
      </w:r>
      <w:r w:rsidRPr="00A25982">
        <w:rPr>
          <w:rFonts w:ascii="Arial" w:hAnsi="Arial" w:cs="Arial"/>
        </w:rPr>
        <w:t>,</w:t>
      </w:r>
      <w:r w:rsidR="002F533C" w:rsidRPr="00A25982">
        <w:rPr>
          <w:rFonts w:ascii="Arial" w:hAnsi="Arial" w:cs="Arial"/>
        </w:rPr>
        <w:t xml:space="preserve"> increases in food poverty</w:t>
      </w:r>
      <w:r w:rsidRPr="00A25982">
        <w:rPr>
          <w:rFonts w:ascii="Arial" w:hAnsi="Arial" w:cs="Arial"/>
        </w:rPr>
        <w:t>,</w:t>
      </w:r>
      <w:r w:rsidR="002F533C" w:rsidRPr="00A25982">
        <w:rPr>
          <w:rFonts w:ascii="Arial" w:hAnsi="Arial" w:cs="Arial"/>
        </w:rPr>
        <w:t xml:space="preserve"> </w:t>
      </w:r>
      <w:r w:rsidR="00820649" w:rsidRPr="00A25982">
        <w:rPr>
          <w:rFonts w:ascii="Arial" w:hAnsi="Arial" w:cs="Arial"/>
        </w:rPr>
        <w:t xml:space="preserve">and </w:t>
      </w:r>
      <w:r w:rsidR="006D5D5A" w:rsidRPr="00A25982">
        <w:rPr>
          <w:rFonts w:ascii="Arial" w:hAnsi="Arial" w:cs="Arial"/>
        </w:rPr>
        <w:t xml:space="preserve">political and environmental </w:t>
      </w:r>
      <w:r w:rsidR="00422520" w:rsidRPr="00A25982">
        <w:rPr>
          <w:rFonts w:ascii="Arial" w:hAnsi="Arial" w:cs="Arial"/>
        </w:rPr>
        <w:t xml:space="preserve">disruptions to global </w:t>
      </w:r>
      <w:r w:rsidR="00820649" w:rsidRPr="00A25982">
        <w:rPr>
          <w:rFonts w:ascii="Arial" w:hAnsi="Arial" w:cs="Arial"/>
        </w:rPr>
        <w:t>supply chains</w:t>
      </w:r>
      <w:r w:rsidR="00F7792E" w:rsidRPr="00A25982">
        <w:rPr>
          <w:rFonts w:ascii="Arial" w:hAnsi="Arial" w:cs="Arial"/>
        </w:rPr>
        <w:t>.</w:t>
      </w:r>
      <w:r w:rsidR="00820649" w:rsidRPr="00A25982">
        <w:rPr>
          <w:rFonts w:ascii="Arial" w:hAnsi="Arial" w:cs="Arial"/>
        </w:rPr>
        <w:t xml:space="preserve"> </w:t>
      </w:r>
      <w:r w:rsidR="006D5D5A" w:rsidRPr="00A25982">
        <w:rPr>
          <w:rFonts w:ascii="Arial" w:hAnsi="Arial" w:cs="Arial"/>
        </w:rPr>
        <w:t>Indeed</w:t>
      </w:r>
      <w:r w:rsidR="00DF7FC8" w:rsidRPr="00A25982">
        <w:rPr>
          <w:rFonts w:ascii="Arial" w:hAnsi="Arial" w:cs="Arial"/>
        </w:rPr>
        <w:t xml:space="preserve">, the local food concept can be argued to have many competitive advantages, both in terms of business performance and sustainability that suggest it should be encouraged. For example, it addresses environmental sustainability through potential supply network changes that reduce food miles and social sustainability through </w:t>
      </w:r>
      <w:r w:rsidR="00DF7FC8" w:rsidRPr="00A25982">
        <w:rPr>
          <w:rFonts w:ascii="Arial" w:hAnsi="Arial" w:cs="Arial"/>
          <w:noProof/>
        </w:rPr>
        <w:t>employment</w:t>
      </w:r>
      <w:r w:rsidR="00DF7FC8" w:rsidRPr="00A25982">
        <w:rPr>
          <w:rFonts w:ascii="Arial" w:hAnsi="Arial" w:cs="Arial"/>
        </w:rPr>
        <w:t xml:space="preserve"> </w:t>
      </w:r>
      <w:r w:rsidR="006D5D5A" w:rsidRPr="00A25982">
        <w:rPr>
          <w:rFonts w:ascii="Arial" w:hAnsi="Arial" w:cs="Arial"/>
        </w:rPr>
        <w:t>of</w:t>
      </w:r>
      <w:r w:rsidR="00DF7FC8" w:rsidRPr="00A25982">
        <w:rPr>
          <w:rFonts w:ascii="Arial" w:hAnsi="Arial" w:cs="Arial"/>
        </w:rPr>
        <w:t xml:space="preserve"> the local community (</w:t>
      </w:r>
      <w:hyperlink w:anchor="_ENREF_39" w:tooltip="Oglethorpe, 2013 #399" w:history="1">
        <w:r w:rsidR="00DF7FC8" w:rsidRPr="00A25982">
          <w:rPr>
            <w:rFonts w:ascii="Arial" w:hAnsi="Arial" w:cs="Arial"/>
            <w:noProof/>
          </w:rPr>
          <w:t xml:space="preserve">Oglethorpe </w:t>
        </w:r>
        <w:r w:rsidR="00C82268" w:rsidRPr="00A25982">
          <w:rPr>
            <w:rFonts w:ascii="Arial" w:hAnsi="Arial" w:cs="Arial"/>
            <w:noProof/>
          </w:rPr>
          <w:t>&amp;</w:t>
        </w:r>
        <w:r w:rsidR="00DF7FC8" w:rsidRPr="00A25982">
          <w:rPr>
            <w:rFonts w:ascii="Arial" w:hAnsi="Arial" w:cs="Arial"/>
            <w:noProof/>
          </w:rPr>
          <w:t xml:space="preserve"> Heron, 2013</w:t>
        </w:r>
      </w:hyperlink>
      <w:r w:rsidR="00DF7FC8" w:rsidRPr="00A25982">
        <w:rPr>
          <w:rFonts w:ascii="Arial" w:hAnsi="Arial" w:cs="Arial"/>
          <w:noProof/>
        </w:rPr>
        <w:t xml:space="preserve">, Czinkota </w:t>
      </w:r>
      <w:r w:rsidR="00DF7FC8" w:rsidRPr="00A25982">
        <w:rPr>
          <w:rFonts w:ascii="Arial" w:hAnsi="Arial" w:cs="Arial"/>
          <w:i/>
          <w:noProof/>
        </w:rPr>
        <w:t>et al.</w:t>
      </w:r>
      <w:r w:rsidR="00DF7FC8" w:rsidRPr="00A25982">
        <w:rPr>
          <w:rFonts w:ascii="Arial" w:hAnsi="Arial" w:cs="Arial"/>
          <w:noProof/>
        </w:rPr>
        <w:t xml:space="preserve">, 2014). </w:t>
      </w:r>
      <w:r w:rsidR="00DF7FC8" w:rsidRPr="00A25982">
        <w:rPr>
          <w:rFonts w:ascii="Arial" w:hAnsi="Arial" w:cs="Arial"/>
        </w:rPr>
        <w:t xml:space="preserve">Yet </w:t>
      </w:r>
      <w:r w:rsidR="008E1169" w:rsidRPr="00A25982">
        <w:rPr>
          <w:rFonts w:ascii="Arial" w:hAnsi="Arial" w:cs="Arial"/>
        </w:rPr>
        <w:t>ongoing</w:t>
      </w:r>
      <w:r w:rsidR="00956D4A" w:rsidRPr="00A25982">
        <w:rPr>
          <w:rFonts w:ascii="Arial" w:hAnsi="Arial" w:cs="Arial"/>
        </w:rPr>
        <w:t>,</w:t>
      </w:r>
      <w:r w:rsidR="008E1169" w:rsidRPr="00A25982">
        <w:rPr>
          <w:rFonts w:ascii="Arial" w:hAnsi="Arial" w:cs="Arial"/>
        </w:rPr>
        <w:t xml:space="preserve"> increasing competitive pressures on small local farmers</w:t>
      </w:r>
      <w:r w:rsidR="00DF7FC8" w:rsidRPr="00A25982">
        <w:rPr>
          <w:rFonts w:ascii="Arial" w:hAnsi="Arial" w:cs="Arial"/>
        </w:rPr>
        <w:t xml:space="preserve"> and uncertainty caused by Brexit mean </w:t>
      </w:r>
      <w:r w:rsidR="008E1169" w:rsidRPr="00A25982">
        <w:rPr>
          <w:rFonts w:ascii="Arial" w:hAnsi="Arial" w:cs="Arial"/>
        </w:rPr>
        <w:t xml:space="preserve">the </w:t>
      </w:r>
      <w:r w:rsidR="00233846" w:rsidRPr="00A25982">
        <w:rPr>
          <w:rFonts w:ascii="Arial" w:hAnsi="Arial" w:cs="Arial"/>
        </w:rPr>
        <w:t>survival</w:t>
      </w:r>
      <w:r w:rsidR="008E1169" w:rsidRPr="00A25982">
        <w:rPr>
          <w:rFonts w:ascii="Arial" w:hAnsi="Arial" w:cs="Arial"/>
        </w:rPr>
        <w:t xml:space="preserve"> of local food supply chains </w:t>
      </w:r>
      <w:r w:rsidR="006D5D5A" w:rsidRPr="00A25982">
        <w:rPr>
          <w:rFonts w:ascii="Arial" w:hAnsi="Arial" w:cs="Arial"/>
        </w:rPr>
        <w:t xml:space="preserve">in the UK </w:t>
      </w:r>
      <w:r w:rsidR="008E1169" w:rsidRPr="00A25982">
        <w:rPr>
          <w:rFonts w:ascii="Arial" w:hAnsi="Arial" w:cs="Arial"/>
        </w:rPr>
        <w:t xml:space="preserve">may be under threat. </w:t>
      </w:r>
      <w:r w:rsidR="00D268D7" w:rsidRPr="00A25982">
        <w:rPr>
          <w:rFonts w:ascii="Arial" w:hAnsi="Arial" w:cs="Arial"/>
        </w:rPr>
        <w:t>Hence</w:t>
      </w:r>
      <w:r w:rsidRPr="00A25982">
        <w:rPr>
          <w:rFonts w:ascii="Arial" w:hAnsi="Arial" w:cs="Arial"/>
        </w:rPr>
        <w:t xml:space="preserve">, building </w:t>
      </w:r>
      <w:proofErr w:type="spellStart"/>
      <w:r w:rsidRPr="00A25982">
        <w:rPr>
          <w:rFonts w:ascii="Arial" w:hAnsi="Arial" w:cs="Arial"/>
        </w:rPr>
        <w:t>SCRes</w:t>
      </w:r>
      <w:proofErr w:type="spellEnd"/>
      <w:r w:rsidRPr="00A25982">
        <w:rPr>
          <w:rFonts w:ascii="Arial" w:hAnsi="Arial" w:cs="Arial"/>
        </w:rPr>
        <w:t xml:space="preserve"> for local food systems </w:t>
      </w:r>
      <w:proofErr w:type="gramStart"/>
      <w:r w:rsidRPr="00A25982">
        <w:rPr>
          <w:rFonts w:ascii="Arial" w:hAnsi="Arial" w:cs="Arial"/>
          <w:noProof/>
        </w:rPr>
        <w:t>in particular</w:t>
      </w:r>
      <w:r w:rsidRPr="00A25982">
        <w:rPr>
          <w:rFonts w:ascii="Arial" w:hAnsi="Arial" w:cs="Arial"/>
        </w:rPr>
        <w:t xml:space="preserve"> is</w:t>
      </w:r>
      <w:proofErr w:type="gramEnd"/>
      <w:r w:rsidRPr="00A25982">
        <w:rPr>
          <w:rFonts w:ascii="Arial" w:hAnsi="Arial" w:cs="Arial"/>
        </w:rPr>
        <w:t xml:space="preserve"> increasingly both a key challenge and opportunity</w:t>
      </w:r>
      <w:r w:rsidR="00DF7FC8" w:rsidRPr="00A25982">
        <w:rPr>
          <w:rFonts w:ascii="Arial" w:hAnsi="Arial" w:cs="Arial"/>
        </w:rPr>
        <w:t xml:space="preserve">. </w:t>
      </w:r>
      <w:r w:rsidR="00820649" w:rsidRPr="00A25982">
        <w:rPr>
          <w:rFonts w:ascii="Arial" w:hAnsi="Arial" w:cs="Arial"/>
        </w:rPr>
        <w:t>Th</w:t>
      </w:r>
      <w:r w:rsidR="006D5D5A" w:rsidRPr="00A25982">
        <w:rPr>
          <w:rFonts w:ascii="Arial" w:hAnsi="Arial" w:cs="Arial"/>
        </w:rPr>
        <w:t>us</w:t>
      </w:r>
      <w:r w:rsidR="00C46D8E" w:rsidRPr="00A25982">
        <w:rPr>
          <w:rFonts w:ascii="Arial" w:hAnsi="Arial" w:cs="Arial"/>
        </w:rPr>
        <w:t>,</w:t>
      </w:r>
      <w:r w:rsidR="00820649" w:rsidRPr="00A25982">
        <w:rPr>
          <w:rFonts w:ascii="Arial" w:hAnsi="Arial" w:cs="Arial"/>
        </w:rPr>
        <w:t xml:space="preserve"> there is a timely </w:t>
      </w:r>
      <w:r w:rsidR="004B2786" w:rsidRPr="00A25982">
        <w:rPr>
          <w:rFonts w:ascii="Arial" w:hAnsi="Arial" w:cs="Arial"/>
        </w:rPr>
        <w:t>motivation</w:t>
      </w:r>
      <w:r w:rsidR="00820649" w:rsidRPr="00A25982">
        <w:rPr>
          <w:rFonts w:ascii="Arial" w:hAnsi="Arial" w:cs="Arial"/>
        </w:rPr>
        <w:t xml:space="preserve"> to research the meas</w:t>
      </w:r>
      <w:r w:rsidR="008E1169" w:rsidRPr="00A25982">
        <w:rPr>
          <w:rFonts w:ascii="Arial" w:hAnsi="Arial" w:cs="Arial"/>
        </w:rPr>
        <w:t xml:space="preserve">ures needed to </w:t>
      </w:r>
      <w:r w:rsidR="0058789D" w:rsidRPr="00A25982">
        <w:rPr>
          <w:rFonts w:ascii="Arial" w:hAnsi="Arial" w:cs="Arial"/>
        </w:rPr>
        <w:t>sustain and strengthen</w:t>
      </w:r>
      <w:r w:rsidR="008E1169" w:rsidRPr="00A25982">
        <w:rPr>
          <w:rFonts w:ascii="Arial" w:hAnsi="Arial" w:cs="Arial"/>
        </w:rPr>
        <w:t xml:space="preserve"> local </w:t>
      </w:r>
      <w:r w:rsidR="00820649" w:rsidRPr="00A25982">
        <w:rPr>
          <w:rFonts w:ascii="Arial" w:hAnsi="Arial" w:cs="Arial"/>
        </w:rPr>
        <w:t>food supply chains</w:t>
      </w:r>
      <w:r w:rsidR="00956D4A" w:rsidRPr="00A25982">
        <w:rPr>
          <w:rFonts w:ascii="Arial" w:hAnsi="Arial" w:cs="Arial"/>
        </w:rPr>
        <w:t>,</w:t>
      </w:r>
      <w:r w:rsidR="006D26E7" w:rsidRPr="00A25982">
        <w:rPr>
          <w:rFonts w:ascii="Arial" w:hAnsi="Arial" w:cs="Arial"/>
        </w:rPr>
        <w:t xml:space="preserve"> thereby building</w:t>
      </w:r>
      <w:r w:rsidR="008F6EE4" w:rsidRPr="00A25982">
        <w:rPr>
          <w:rFonts w:ascii="Arial" w:hAnsi="Arial" w:cs="Arial"/>
        </w:rPr>
        <w:t xml:space="preserve"> </w:t>
      </w:r>
      <w:proofErr w:type="spellStart"/>
      <w:r w:rsidR="008E1169" w:rsidRPr="00A25982">
        <w:rPr>
          <w:rFonts w:ascii="Arial" w:hAnsi="Arial" w:cs="Arial"/>
        </w:rPr>
        <w:t>SCRes</w:t>
      </w:r>
      <w:proofErr w:type="spellEnd"/>
      <w:r w:rsidR="0058789D" w:rsidRPr="00A25982">
        <w:rPr>
          <w:rFonts w:ascii="Arial" w:hAnsi="Arial" w:cs="Arial"/>
        </w:rPr>
        <w:t xml:space="preserve"> in this context</w:t>
      </w:r>
      <w:r w:rsidR="008E1169" w:rsidRPr="00A25982">
        <w:rPr>
          <w:rFonts w:ascii="Arial" w:hAnsi="Arial" w:cs="Arial"/>
        </w:rPr>
        <w:t xml:space="preserve">. </w:t>
      </w:r>
    </w:p>
    <w:p w14:paraId="463D795F" w14:textId="02C90A16" w:rsidR="008E1169" w:rsidRPr="00A25982" w:rsidRDefault="00820649" w:rsidP="00A25982">
      <w:pPr>
        <w:ind w:firstLine="284"/>
        <w:jc w:val="both"/>
        <w:rPr>
          <w:rFonts w:ascii="Arial" w:hAnsi="Arial" w:cs="Arial"/>
        </w:rPr>
      </w:pPr>
      <w:r w:rsidRPr="00A25982">
        <w:rPr>
          <w:rFonts w:ascii="Arial" w:hAnsi="Arial" w:cs="Arial"/>
        </w:rPr>
        <w:t xml:space="preserve">This paper </w:t>
      </w:r>
      <w:r w:rsidR="00C46D8E" w:rsidRPr="00A25982">
        <w:rPr>
          <w:rFonts w:ascii="Arial" w:hAnsi="Arial" w:cs="Arial"/>
          <w:noProof/>
        </w:rPr>
        <w:t>therefore</w:t>
      </w:r>
      <w:r w:rsidR="00C46D8E" w:rsidRPr="00A25982">
        <w:rPr>
          <w:rFonts w:ascii="Arial" w:hAnsi="Arial" w:cs="Arial"/>
        </w:rPr>
        <w:t xml:space="preserve"> </w:t>
      </w:r>
      <w:r w:rsidRPr="00A25982">
        <w:rPr>
          <w:rFonts w:ascii="Arial" w:hAnsi="Arial" w:cs="Arial"/>
        </w:rPr>
        <w:t xml:space="preserve">addresses </w:t>
      </w:r>
      <w:r w:rsidR="00C5381F" w:rsidRPr="00A25982">
        <w:rPr>
          <w:rFonts w:ascii="Arial" w:hAnsi="Arial" w:cs="Arial"/>
        </w:rPr>
        <w:t xml:space="preserve">both </w:t>
      </w:r>
      <w:r w:rsidR="008E1169" w:rsidRPr="00A25982">
        <w:rPr>
          <w:rFonts w:ascii="Arial" w:hAnsi="Arial" w:cs="Arial"/>
        </w:rPr>
        <w:t>th</w:t>
      </w:r>
      <w:r w:rsidR="004B2786" w:rsidRPr="00A25982">
        <w:rPr>
          <w:rFonts w:ascii="Arial" w:hAnsi="Arial" w:cs="Arial"/>
        </w:rPr>
        <w:t>e</w:t>
      </w:r>
      <w:r w:rsidR="008E1169" w:rsidRPr="00A25982">
        <w:rPr>
          <w:rFonts w:ascii="Arial" w:hAnsi="Arial" w:cs="Arial"/>
        </w:rPr>
        <w:t xml:space="preserve"> timely need to investigate </w:t>
      </w:r>
      <w:proofErr w:type="spellStart"/>
      <w:r w:rsidR="008E1169" w:rsidRPr="00A25982">
        <w:rPr>
          <w:rFonts w:ascii="Arial" w:hAnsi="Arial" w:cs="Arial"/>
        </w:rPr>
        <w:t>SCRes</w:t>
      </w:r>
      <w:proofErr w:type="spellEnd"/>
      <w:r w:rsidR="008E1169" w:rsidRPr="00A25982">
        <w:rPr>
          <w:rFonts w:ascii="Arial" w:hAnsi="Arial" w:cs="Arial"/>
        </w:rPr>
        <w:t xml:space="preserve"> in the local food context</w:t>
      </w:r>
      <w:r w:rsidR="00C5381F" w:rsidRPr="00A25982">
        <w:rPr>
          <w:rFonts w:ascii="Arial" w:hAnsi="Arial" w:cs="Arial"/>
        </w:rPr>
        <w:t xml:space="preserve"> and the gaps </w:t>
      </w:r>
      <w:r w:rsidR="006D26E7" w:rsidRPr="00A25982">
        <w:rPr>
          <w:rFonts w:ascii="Arial" w:hAnsi="Arial" w:cs="Arial"/>
        </w:rPr>
        <w:t xml:space="preserve">identified </w:t>
      </w:r>
      <w:r w:rsidR="00C5381F" w:rsidRPr="00A25982">
        <w:rPr>
          <w:rFonts w:ascii="Arial" w:hAnsi="Arial" w:cs="Arial"/>
        </w:rPr>
        <w:t xml:space="preserve">in the </w:t>
      </w:r>
      <w:proofErr w:type="spellStart"/>
      <w:r w:rsidR="00C5381F" w:rsidRPr="00A25982">
        <w:rPr>
          <w:rFonts w:ascii="Arial" w:hAnsi="Arial" w:cs="Arial"/>
        </w:rPr>
        <w:t>SCRes</w:t>
      </w:r>
      <w:proofErr w:type="spellEnd"/>
      <w:r w:rsidR="00C5381F" w:rsidRPr="00A25982">
        <w:rPr>
          <w:rFonts w:ascii="Arial" w:hAnsi="Arial" w:cs="Arial"/>
        </w:rPr>
        <w:t xml:space="preserve"> literature</w:t>
      </w:r>
      <w:r w:rsidR="00C46D8E" w:rsidRPr="00A25982">
        <w:rPr>
          <w:rFonts w:ascii="Arial" w:hAnsi="Arial" w:cs="Arial"/>
        </w:rPr>
        <w:t>, i.e.</w:t>
      </w:r>
      <w:r w:rsidR="00C5381F" w:rsidRPr="00A25982">
        <w:rPr>
          <w:rFonts w:ascii="Arial" w:hAnsi="Arial" w:cs="Arial"/>
        </w:rPr>
        <w:t xml:space="preserve"> to consider resilience in the light of</w:t>
      </w:r>
      <w:r w:rsidR="0058789D" w:rsidRPr="00A25982">
        <w:rPr>
          <w:rFonts w:ascii="Arial" w:hAnsi="Arial" w:cs="Arial"/>
        </w:rPr>
        <w:t xml:space="preserve"> </w:t>
      </w:r>
      <w:r w:rsidR="0058789D" w:rsidRPr="00A25982">
        <w:rPr>
          <w:rFonts w:ascii="Arial" w:hAnsi="Arial" w:cs="Arial"/>
          <w:noProof/>
        </w:rPr>
        <w:t>constitutional</w:t>
      </w:r>
      <w:r w:rsidR="0058789D" w:rsidRPr="00A25982">
        <w:rPr>
          <w:rFonts w:ascii="Arial" w:hAnsi="Arial" w:cs="Arial"/>
        </w:rPr>
        <w:t xml:space="preserve"> change in </w:t>
      </w:r>
      <w:r w:rsidR="001E6BA4" w:rsidRPr="00A25982">
        <w:rPr>
          <w:rFonts w:ascii="Arial" w:hAnsi="Arial" w:cs="Arial"/>
        </w:rPr>
        <w:t>mult</w:t>
      </w:r>
      <w:r w:rsidR="00C5381F" w:rsidRPr="00A25982">
        <w:rPr>
          <w:rFonts w:ascii="Arial" w:hAnsi="Arial" w:cs="Arial"/>
        </w:rPr>
        <w:t>i-tier supply chain</w:t>
      </w:r>
      <w:r w:rsidR="0058789D" w:rsidRPr="00A25982">
        <w:rPr>
          <w:rFonts w:ascii="Arial" w:hAnsi="Arial" w:cs="Arial"/>
        </w:rPr>
        <w:t>s</w:t>
      </w:r>
      <w:r w:rsidR="006D26E7" w:rsidRPr="00A25982">
        <w:rPr>
          <w:rFonts w:ascii="Arial" w:hAnsi="Arial" w:cs="Arial"/>
        </w:rPr>
        <w:t xml:space="preserve">. It examines </w:t>
      </w:r>
      <w:r w:rsidR="008E1169" w:rsidRPr="00A25982">
        <w:rPr>
          <w:rFonts w:ascii="Arial" w:hAnsi="Arial" w:cs="Arial"/>
        </w:rPr>
        <w:t>the impact of Brexit on local food supply chains in the UK</w:t>
      </w:r>
      <w:r w:rsidR="006D26E7" w:rsidRPr="00A25982">
        <w:rPr>
          <w:rFonts w:ascii="Arial" w:hAnsi="Arial" w:cs="Arial"/>
        </w:rPr>
        <w:t xml:space="preserve"> with a </w:t>
      </w:r>
      <w:proofErr w:type="gramStart"/>
      <w:r w:rsidR="006D26E7" w:rsidRPr="00A25982">
        <w:rPr>
          <w:rFonts w:ascii="Arial" w:hAnsi="Arial" w:cs="Arial"/>
        </w:rPr>
        <w:t>particular focus</w:t>
      </w:r>
      <w:proofErr w:type="gramEnd"/>
      <w:r w:rsidR="006D26E7" w:rsidRPr="00A25982">
        <w:rPr>
          <w:rFonts w:ascii="Arial" w:hAnsi="Arial" w:cs="Arial"/>
        </w:rPr>
        <w:t xml:space="preserve"> on how supply chain actors are preparing for the UK’s planned exit from the EU</w:t>
      </w:r>
      <w:r w:rsidR="008E1169" w:rsidRPr="00A25982">
        <w:rPr>
          <w:rFonts w:ascii="Arial" w:hAnsi="Arial" w:cs="Arial"/>
        </w:rPr>
        <w:t xml:space="preserve">. </w:t>
      </w:r>
      <w:r w:rsidR="0034582E" w:rsidRPr="00A25982">
        <w:rPr>
          <w:rFonts w:ascii="Arial" w:hAnsi="Arial" w:cs="Arial"/>
        </w:rPr>
        <w:t xml:space="preserve">The study </w:t>
      </w:r>
      <w:r w:rsidR="00B26D90" w:rsidRPr="00A25982">
        <w:rPr>
          <w:rFonts w:ascii="Arial" w:hAnsi="Arial" w:cs="Arial"/>
          <w:noProof/>
        </w:rPr>
        <w:t>therefore</w:t>
      </w:r>
      <w:r w:rsidR="00B26D90" w:rsidRPr="00A25982">
        <w:rPr>
          <w:rFonts w:ascii="Arial" w:hAnsi="Arial" w:cs="Arial"/>
        </w:rPr>
        <w:t xml:space="preserve"> </w:t>
      </w:r>
      <w:r w:rsidR="00952798" w:rsidRPr="00A25982">
        <w:rPr>
          <w:rFonts w:ascii="Arial" w:hAnsi="Arial" w:cs="Arial"/>
        </w:rPr>
        <w:t>asks</w:t>
      </w:r>
      <w:r w:rsidR="008E1169" w:rsidRPr="00A25982">
        <w:rPr>
          <w:rFonts w:ascii="Arial" w:hAnsi="Arial" w:cs="Arial"/>
        </w:rPr>
        <w:t xml:space="preserve"> the following research question: </w:t>
      </w:r>
    </w:p>
    <w:p w14:paraId="3F65FC71" w14:textId="521C57B9" w:rsidR="002F533C" w:rsidRPr="00A25982" w:rsidRDefault="008E1169" w:rsidP="00A25982">
      <w:pPr>
        <w:ind w:left="284"/>
        <w:jc w:val="both"/>
        <w:rPr>
          <w:rFonts w:ascii="Arial" w:hAnsi="Arial" w:cs="Arial"/>
          <w:i/>
        </w:rPr>
      </w:pPr>
      <w:r w:rsidRPr="00A25982">
        <w:rPr>
          <w:rFonts w:ascii="Arial" w:hAnsi="Arial" w:cs="Arial"/>
          <w:i/>
        </w:rPr>
        <w:t xml:space="preserve">How can </w:t>
      </w:r>
      <w:proofErr w:type="spellStart"/>
      <w:r w:rsidR="00443431" w:rsidRPr="00A25982">
        <w:rPr>
          <w:rFonts w:ascii="Arial" w:hAnsi="Arial" w:cs="Arial"/>
          <w:i/>
        </w:rPr>
        <w:t>SCRes</w:t>
      </w:r>
      <w:proofErr w:type="spellEnd"/>
      <w:r w:rsidR="00443431" w:rsidRPr="00A25982">
        <w:rPr>
          <w:rFonts w:ascii="Arial" w:hAnsi="Arial" w:cs="Arial"/>
          <w:i/>
        </w:rPr>
        <w:t xml:space="preserve"> be built in </w:t>
      </w:r>
      <w:r w:rsidRPr="00A25982">
        <w:rPr>
          <w:rFonts w:ascii="Arial" w:hAnsi="Arial" w:cs="Arial"/>
          <w:i/>
        </w:rPr>
        <w:t xml:space="preserve">local food </w:t>
      </w:r>
      <w:r w:rsidR="002F533C" w:rsidRPr="00A25982">
        <w:rPr>
          <w:rFonts w:ascii="Arial" w:hAnsi="Arial" w:cs="Arial"/>
          <w:i/>
        </w:rPr>
        <w:t>supply chain</w:t>
      </w:r>
      <w:r w:rsidR="00443431" w:rsidRPr="00A25982">
        <w:rPr>
          <w:rFonts w:ascii="Arial" w:hAnsi="Arial" w:cs="Arial"/>
          <w:i/>
        </w:rPr>
        <w:t>s during periods of constitutional change?</w:t>
      </w:r>
      <w:r w:rsidR="00F25260" w:rsidRPr="00A25982">
        <w:rPr>
          <w:rFonts w:ascii="Arial" w:hAnsi="Arial" w:cs="Arial"/>
          <w:i/>
        </w:rPr>
        <w:t xml:space="preserve"> </w:t>
      </w:r>
    </w:p>
    <w:p w14:paraId="4D6FE556" w14:textId="77777777" w:rsidR="00A25982" w:rsidRDefault="00A25982" w:rsidP="00A25982">
      <w:pPr>
        <w:jc w:val="both"/>
        <w:rPr>
          <w:rFonts w:ascii="Arial" w:hAnsi="Arial" w:cs="Arial"/>
        </w:rPr>
      </w:pPr>
    </w:p>
    <w:p w14:paraId="48C87715" w14:textId="706E2AE1" w:rsidR="00B917E6" w:rsidRPr="00A25982" w:rsidRDefault="00025514" w:rsidP="00A25982">
      <w:pPr>
        <w:jc w:val="both"/>
        <w:rPr>
          <w:rFonts w:ascii="Arial" w:hAnsi="Arial" w:cs="Arial"/>
        </w:rPr>
      </w:pPr>
      <w:r w:rsidRPr="00A25982">
        <w:rPr>
          <w:rFonts w:ascii="Arial" w:hAnsi="Arial" w:cs="Arial"/>
        </w:rPr>
        <w:t xml:space="preserve">The dynamic capabilities theoretical lens that </w:t>
      </w:r>
      <w:r w:rsidRPr="00A25982">
        <w:rPr>
          <w:rFonts w:ascii="Arial" w:hAnsi="Arial" w:cs="Arial"/>
          <w:noProof/>
        </w:rPr>
        <w:t>is</w:t>
      </w:r>
      <w:r w:rsidRPr="00A25982">
        <w:rPr>
          <w:rFonts w:ascii="Arial" w:hAnsi="Arial" w:cs="Arial"/>
        </w:rPr>
        <w:t xml:space="preserve"> adopted helps to guide both the data collection process and the analysis of the findings to establish how the actors are ‘</w:t>
      </w:r>
      <w:r w:rsidRPr="00A25982">
        <w:rPr>
          <w:rFonts w:ascii="Arial" w:hAnsi="Arial" w:cs="Arial"/>
          <w:i/>
        </w:rPr>
        <w:t>sensing</w:t>
      </w:r>
      <w:r w:rsidRPr="00A25982">
        <w:rPr>
          <w:rFonts w:ascii="Arial" w:hAnsi="Arial" w:cs="Arial"/>
        </w:rPr>
        <w:t xml:space="preserve">’ the current supply chain context, including developing an understanding of the disruption caused by </w:t>
      </w:r>
      <w:r w:rsidRPr="00A25982">
        <w:rPr>
          <w:rFonts w:ascii="Arial" w:hAnsi="Arial" w:cs="Arial"/>
          <w:noProof/>
        </w:rPr>
        <w:t>constitutional</w:t>
      </w:r>
      <w:r w:rsidRPr="00A25982">
        <w:rPr>
          <w:rFonts w:ascii="Arial" w:hAnsi="Arial" w:cs="Arial"/>
        </w:rPr>
        <w:t xml:space="preserve"> change; how they are ‘</w:t>
      </w:r>
      <w:r w:rsidRPr="00A25982">
        <w:rPr>
          <w:rFonts w:ascii="Arial" w:hAnsi="Arial" w:cs="Arial"/>
          <w:i/>
        </w:rPr>
        <w:t>seizing</w:t>
      </w:r>
      <w:r w:rsidRPr="00A25982">
        <w:rPr>
          <w:rFonts w:ascii="Arial" w:hAnsi="Arial" w:cs="Arial"/>
        </w:rPr>
        <w:t>’ any associated opportunities; and subsequently how they are ‘</w:t>
      </w:r>
      <w:r w:rsidR="009104DF" w:rsidRPr="00A25982">
        <w:rPr>
          <w:rFonts w:ascii="Arial" w:hAnsi="Arial" w:cs="Arial"/>
          <w:i/>
        </w:rPr>
        <w:t>transform</w:t>
      </w:r>
      <w:r w:rsidRPr="00A25982">
        <w:rPr>
          <w:rFonts w:ascii="Arial" w:hAnsi="Arial" w:cs="Arial"/>
          <w:i/>
        </w:rPr>
        <w:t>ing</w:t>
      </w:r>
      <w:r w:rsidRPr="00A25982">
        <w:rPr>
          <w:rFonts w:ascii="Arial" w:hAnsi="Arial" w:cs="Arial"/>
        </w:rPr>
        <w:t xml:space="preserve">’ their businesses towards being more resilient. </w:t>
      </w:r>
      <w:r w:rsidR="00B26D90" w:rsidRPr="00A25982">
        <w:rPr>
          <w:rFonts w:ascii="Arial" w:hAnsi="Arial" w:cs="Arial"/>
        </w:rPr>
        <w:t>T</w:t>
      </w:r>
      <w:r w:rsidR="00C46D8E" w:rsidRPr="00A25982">
        <w:rPr>
          <w:rFonts w:ascii="Arial" w:hAnsi="Arial" w:cs="Arial"/>
        </w:rPr>
        <w:t xml:space="preserve">he paper contributes to the extant literature on </w:t>
      </w:r>
      <w:proofErr w:type="spellStart"/>
      <w:r w:rsidR="00C46D8E" w:rsidRPr="00A25982">
        <w:rPr>
          <w:rFonts w:ascii="Arial" w:hAnsi="Arial" w:cs="Arial"/>
        </w:rPr>
        <w:t>SCRes</w:t>
      </w:r>
      <w:proofErr w:type="spellEnd"/>
      <w:r w:rsidR="00C46D8E" w:rsidRPr="00A25982">
        <w:rPr>
          <w:rFonts w:ascii="Arial" w:hAnsi="Arial" w:cs="Arial"/>
        </w:rPr>
        <w:t xml:space="preserve"> by</w:t>
      </w:r>
      <w:r w:rsidR="00B917E6" w:rsidRPr="00A25982">
        <w:rPr>
          <w:rFonts w:ascii="Arial" w:hAnsi="Arial" w:cs="Arial"/>
        </w:rPr>
        <w:t xml:space="preserve"> providing the first empirical study of how firms are building resilience to constitutional change; by providing a rare study of resilience across multiple supply chain tiers; and by outlining how the characteristics of the threat posed by constitutional change differ from the characteristics of other threats more typically studied in the literature. Moreover, the paper contributes to the literature on dynamic capabilities by highl</w:t>
      </w:r>
      <w:r w:rsidR="00D9534C" w:rsidRPr="00A25982">
        <w:rPr>
          <w:rFonts w:ascii="Arial" w:hAnsi="Arial" w:cs="Arial"/>
        </w:rPr>
        <w:t>ighting the role of horizontal and vertical</w:t>
      </w:r>
      <w:r w:rsidR="00B917E6" w:rsidRPr="00A25982">
        <w:rPr>
          <w:rFonts w:ascii="Arial" w:hAnsi="Arial" w:cs="Arial"/>
        </w:rPr>
        <w:t xml:space="preserve"> collaboration between supply chain actors in the sensing, seizing, and transforming process.</w:t>
      </w:r>
    </w:p>
    <w:p w14:paraId="4C9AD6FA" w14:textId="03378E01" w:rsidR="00C14BE2" w:rsidRPr="00A25982" w:rsidRDefault="00C14BE2" w:rsidP="00A25982">
      <w:pPr>
        <w:pStyle w:val="NormalWeb"/>
        <w:tabs>
          <w:tab w:val="left" w:pos="284"/>
        </w:tabs>
        <w:spacing w:before="0" w:beforeAutospacing="0" w:after="0" w:afterAutospacing="0"/>
        <w:jc w:val="both"/>
        <w:rPr>
          <w:rFonts w:ascii="Arial" w:hAnsi="Arial" w:cs="Arial"/>
        </w:rPr>
      </w:pPr>
      <w:r w:rsidRPr="00A25982">
        <w:rPr>
          <w:rFonts w:ascii="Arial" w:hAnsi="Arial" w:cs="Arial"/>
        </w:rPr>
        <w:tab/>
        <w:t xml:space="preserve">The remainder of this paper is organised as follows. Section 2 presents the theoretical background to the study, including a brief review of relevant literature on </w:t>
      </w:r>
      <w:proofErr w:type="spellStart"/>
      <w:r w:rsidRPr="00A25982">
        <w:rPr>
          <w:rFonts w:ascii="Arial" w:hAnsi="Arial" w:cs="Arial"/>
        </w:rPr>
        <w:t>SCRes</w:t>
      </w:r>
      <w:proofErr w:type="spellEnd"/>
      <w:r w:rsidRPr="00A25982">
        <w:rPr>
          <w:rFonts w:ascii="Arial" w:hAnsi="Arial" w:cs="Arial"/>
        </w:rPr>
        <w:t xml:space="preserve"> and dynamic capabilities. Section 3 outlines the </w:t>
      </w:r>
      <w:r w:rsidR="0045395C" w:rsidRPr="00A25982">
        <w:rPr>
          <w:rFonts w:ascii="Arial" w:hAnsi="Arial" w:cs="Arial"/>
        </w:rPr>
        <w:t xml:space="preserve">empirical multi-case study </w:t>
      </w:r>
      <w:r w:rsidRPr="00A25982">
        <w:rPr>
          <w:rFonts w:ascii="Arial" w:hAnsi="Arial" w:cs="Arial"/>
        </w:rPr>
        <w:t>research method adopted before the findings are presented in Section 4. A discussion follows in Section 5 before the paper concludes in Section 6, including implications for practice and future research.</w:t>
      </w:r>
    </w:p>
    <w:p w14:paraId="054F5B9D" w14:textId="3A9B9A16" w:rsidR="009104DF" w:rsidRPr="00A25982" w:rsidRDefault="009104DF" w:rsidP="00A25982">
      <w:pPr>
        <w:pStyle w:val="NormalWeb"/>
        <w:tabs>
          <w:tab w:val="left" w:pos="284"/>
        </w:tabs>
        <w:spacing w:before="0" w:beforeAutospacing="0" w:after="0" w:afterAutospacing="0"/>
        <w:jc w:val="both"/>
        <w:rPr>
          <w:rFonts w:ascii="Arial" w:hAnsi="Arial" w:cs="Arial"/>
        </w:rPr>
      </w:pPr>
    </w:p>
    <w:p w14:paraId="4EE56C02" w14:textId="1FCDEF94" w:rsidR="00901D90" w:rsidRPr="00A25982" w:rsidRDefault="00901D90" w:rsidP="00A25982">
      <w:pPr>
        <w:pStyle w:val="NormalWeb"/>
        <w:numPr>
          <w:ilvl w:val="0"/>
          <w:numId w:val="28"/>
        </w:numPr>
        <w:spacing w:before="0" w:beforeAutospacing="0" w:after="0" w:afterAutospacing="0"/>
        <w:ind w:left="284" w:hanging="284"/>
        <w:jc w:val="both"/>
        <w:rPr>
          <w:rFonts w:ascii="Arial" w:hAnsi="Arial" w:cs="Arial"/>
          <w:b/>
        </w:rPr>
      </w:pPr>
      <w:r w:rsidRPr="00A25982">
        <w:rPr>
          <w:rFonts w:ascii="Arial" w:hAnsi="Arial" w:cs="Arial"/>
          <w:b/>
        </w:rPr>
        <w:t>Theoretical Background and Literature Review</w:t>
      </w:r>
    </w:p>
    <w:p w14:paraId="1077F8BA" w14:textId="633564F8" w:rsidR="0008074B" w:rsidRPr="00A25982" w:rsidRDefault="00726502" w:rsidP="00A25982">
      <w:pPr>
        <w:pStyle w:val="NormalWeb"/>
        <w:spacing w:before="0" w:beforeAutospacing="0" w:after="0" w:afterAutospacing="0"/>
        <w:jc w:val="both"/>
        <w:rPr>
          <w:rFonts w:ascii="Arial" w:hAnsi="Arial" w:cs="Arial"/>
        </w:rPr>
      </w:pPr>
      <w:r w:rsidRPr="00A25982">
        <w:rPr>
          <w:rFonts w:ascii="Arial" w:hAnsi="Arial" w:cs="Arial"/>
        </w:rPr>
        <w:t xml:space="preserve">Section 2.1 below briefly describes the importance of the local food supply chain and the need to study this in the context of </w:t>
      </w:r>
      <w:proofErr w:type="spellStart"/>
      <w:r w:rsidRPr="00A25982">
        <w:rPr>
          <w:rFonts w:ascii="Arial" w:hAnsi="Arial" w:cs="Arial"/>
        </w:rPr>
        <w:t>SCRes</w:t>
      </w:r>
      <w:proofErr w:type="spellEnd"/>
      <w:r w:rsidRPr="00A25982">
        <w:rPr>
          <w:rFonts w:ascii="Arial" w:hAnsi="Arial" w:cs="Arial"/>
        </w:rPr>
        <w:t xml:space="preserve">. </w:t>
      </w:r>
      <w:r w:rsidR="008F6EE4" w:rsidRPr="00A25982">
        <w:rPr>
          <w:rFonts w:ascii="Arial" w:hAnsi="Arial" w:cs="Arial"/>
        </w:rPr>
        <w:t>Section 2.</w:t>
      </w:r>
      <w:r w:rsidRPr="00A25982">
        <w:rPr>
          <w:rFonts w:ascii="Arial" w:hAnsi="Arial" w:cs="Arial"/>
        </w:rPr>
        <w:t>2</w:t>
      </w:r>
      <w:r w:rsidR="008F6EE4" w:rsidRPr="00A25982">
        <w:rPr>
          <w:rFonts w:ascii="Arial" w:hAnsi="Arial" w:cs="Arial"/>
        </w:rPr>
        <w:t xml:space="preserve"> </w:t>
      </w:r>
      <w:r w:rsidRPr="00A25982">
        <w:rPr>
          <w:rFonts w:ascii="Arial" w:hAnsi="Arial" w:cs="Arial"/>
        </w:rPr>
        <w:t>then</w:t>
      </w:r>
      <w:r w:rsidR="008F6EE4" w:rsidRPr="00A25982">
        <w:rPr>
          <w:rFonts w:ascii="Arial" w:hAnsi="Arial" w:cs="Arial"/>
        </w:rPr>
        <w:t xml:space="preserve"> reviews the literature on </w:t>
      </w:r>
      <w:proofErr w:type="spellStart"/>
      <w:r w:rsidR="008F6EE4" w:rsidRPr="00A25982">
        <w:rPr>
          <w:rFonts w:ascii="Arial" w:hAnsi="Arial" w:cs="Arial"/>
        </w:rPr>
        <w:t>SCRes</w:t>
      </w:r>
      <w:proofErr w:type="spellEnd"/>
      <w:r w:rsidR="00157EC8" w:rsidRPr="00A25982">
        <w:rPr>
          <w:rFonts w:ascii="Arial" w:hAnsi="Arial" w:cs="Arial"/>
        </w:rPr>
        <w:t>, drawing on broader resilience theory from other disciplines,</w:t>
      </w:r>
      <w:r w:rsidR="008F6EE4" w:rsidRPr="00A25982">
        <w:rPr>
          <w:rFonts w:ascii="Arial" w:hAnsi="Arial" w:cs="Arial"/>
        </w:rPr>
        <w:t xml:space="preserve"> and identifies the research gaps to be addressed in this study. </w:t>
      </w:r>
      <w:r w:rsidR="009104DF" w:rsidRPr="00A25982">
        <w:rPr>
          <w:rFonts w:ascii="Arial" w:hAnsi="Arial" w:cs="Arial"/>
        </w:rPr>
        <w:t>Finally, t</w:t>
      </w:r>
      <w:r w:rsidR="008F6EE4" w:rsidRPr="00A25982">
        <w:rPr>
          <w:rFonts w:ascii="Arial" w:hAnsi="Arial" w:cs="Arial"/>
        </w:rPr>
        <w:t xml:space="preserve">he theoretical lens adopted is </w:t>
      </w:r>
      <w:r w:rsidR="009104DF" w:rsidRPr="00A25982">
        <w:rPr>
          <w:rFonts w:ascii="Arial" w:hAnsi="Arial" w:cs="Arial"/>
        </w:rPr>
        <w:t>justified</w:t>
      </w:r>
      <w:r w:rsidR="008F6EE4" w:rsidRPr="00A25982">
        <w:rPr>
          <w:rFonts w:ascii="Arial" w:hAnsi="Arial" w:cs="Arial"/>
        </w:rPr>
        <w:t xml:space="preserve"> in </w:t>
      </w:r>
      <w:r w:rsidR="00246EB8" w:rsidRPr="00A25982">
        <w:rPr>
          <w:rFonts w:ascii="Arial" w:hAnsi="Arial" w:cs="Arial"/>
        </w:rPr>
        <w:t>S</w:t>
      </w:r>
      <w:r w:rsidR="008F6EE4" w:rsidRPr="00A25982">
        <w:rPr>
          <w:rFonts w:ascii="Arial" w:hAnsi="Arial" w:cs="Arial"/>
        </w:rPr>
        <w:t>ection 2.</w:t>
      </w:r>
      <w:r w:rsidRPr="00A25982">
        <w:rPr>
          <w:rFonts w:ascii="Arial" w:hAnsi="Arial" w:cs="Arial"/>
        </w:rPr>
        <w:t>3</w:t>
      </w:r>
      <w:r w:rsidR="008F6EE4" w:rsidRPr="00A25982">
        <w:rPr>
          <w:rFonts w:ascii="Arial" w:hAnsi="Arial" w:cs="Arial"/>
        </w:rPr>
        <w:t>.</w:t>
      </w:r>
    </w:p>
    <w:p w14:paraId="36C1D558" w14:textId="77777777" w:rsidR="00AE09CE" w:rsidRPr="00A25982" w:rsidRDefault="00AE09CE" w:rsidP="00A25982">
      <w:pPr>
        <w:pStyle w:val="NormalWeb"/>
        <w:spacing w:before="0" w:beforeAutospacing="0" w:after="0" w:afterAutospacing="0"/>
        <w:jc w:val="both"/>
        <w:rPr>
          <w:rFonts w:ascii="Arial" w:hAnsi="Arial" w:cs="Arial"/>
          <w:i/>
          <w:sz w:val="12"/>
          <w:szCs w:val="12"/>
        </w:rPr>
      </w:pPr>
    </w:p>
    <w:p w14:paraId="2B3A1DCE" w14:textId="5B38A852" w:rsidR="0008074B" w:rsidRPr="00A25982" w:rsidRDefault="00AE09CE" w:rsidP="00A25982">
      <w:pPr>
        <w:pStyle w:val="NormalWeb"/>
        <w:spacing w:before="0" w:beforeAutospacing="0" w:after="0" w:afterAutospacing="0"/>
        <w:jc w:val="both"/>
        <w:rPr>
          <w:rFonts w:ascii="Arial" w:hAnsi="Arial" w:cs="Arial"/>
          <w:i/>
        </w:rPr>
      </w:pPr>
      <w:r w:rsidRPr="00A25982">
        <w:rPr>
          <w:rFonts w:ascii="Arial" w:hAnsi="Arial" w:cs="Arial"/>
          <w:i/>
        </w:rPr>
        <w:t>2.1. The importance of Local Food Supply Chains</w:t>
      </w:r>
    </w:p>
    <w:p w14:paraId="162BF3AC" w14:textId="033A8DB9" w:rsidR="00AE09CE" w:rsidRPr="00A25982" w:rsidRDefault="00AE09CE" w:rsidP="00A25982">
      <w:pPr>
        <w:jc w:val="both"/>
        <w:rPr>
          <w:rFonts w:ascii="Arial" w:eastAsiaTheme="minorHAnsi" w:hAnsi="Arial" w:cs="Arial"/>
          <w:noProof/>
        </w:rPr>
      </w:pPr>
      <w:r w:rsidRPr="00A25982">
        <w:rPr>
          <w:rFonts w:ascii="Arial" w:hAnsi="Arial" w:cs="Arial"/>
        </w:rPr>
        <w:t xml:space="preserve">In recent times, we have seen increasing interest in short food supply chains and local food systems across the EU and beyond. Some of this interest comes in the light of global food security concerns, calls for enhanced traceability, increases in food poverty, and political and environmental disruptions to global supply chains (see for example Maggio </w:t>
      </w:r>
      <w:r w:rsidRPr="00A25982">
        <w:rPr>
          <w:rFonts w:ascii="Arial" w:hAnsi="Arial" w:cs="Arial"/>
          <w:i/>
        </w:rPr>
        <w:t>et al</w:t>
      </w:r>
      <w:r w:rsidRPr="00A25982">
        <w:rPr>
          <w:rFonts w:ascii="Arial" w:hAnsi="Arial" w:cs="Arial"/>
        </w:rPr>
        <w:t xml:space="preserve">. 2016). The advantages of local food systems </w:t>
      </w:r>
      <w:r w:rsidRPr="00A25982">
        <w:rPr>
          <w:rFonts w:ascii="Arial" w:hAnsi="Arial" w:cs="Arial"/>
          <w:noProof/>
        </w:rPr>
        <w:t>include:</w:t>
      </w:r>
      <w:r w:rsidRPr="00A25982">
        <w:rPr>
          <w:rFonts w:ascii="Arial" w:hAnsi="Arial" w:cs="Arial"/>
        </w:rPr>
        <w:t xml:space="preserve"> fairer prices for farmers, fresh, local and seasonal produce for consumers, a reduced environmental impact, greater traceability and benefits for the local economy as well as c</w:t>
      </w:r>
      <w:r w:rsidR="00D47D9B" w:rsidRPr="00A25982">
        <w:rPr>
          <w:rFonts w:ascii="Arial" w:hAnsi="Arial" w:cs="Arial"/>
        </w:rPr>
        <w:t>ommunity (</w:t>
      </w:r>
      <w:proofErr w:type="spellStart"/>
      <w:r w:rsidR="00D47D9B" w:rsidRPr="00A25982">
        <w:rPr>
          <w:rFonts w:ascii="Arial" w:hAnsi="Arial" w:cs="Arial"/>
        </w:rPr>
        <w:t>Augère-Granier</w:t>
      </w:r>
      <w:proofErr w:type="spellEnd"/>
      <w:r w:rsidR="00D47D9B" w:rsidRPr="00A25982">
        <w:rPr>
          <w:rFonts w:ascii="Arial" w:hAnsi="Arial" w:cs="Arial"/>
        </w:rPr>
        <w:t>, 2016;</w:t>
      </w:r>
      <w:r w:rsidRPr="00A25982">
        <w:rPr>
          <w:rFonts w:ascii="Arial" w:hAnsi="Arial" w:cs="Arial"/>
        </w:rPr>
        <w:t xml:space="preserve"> </w:t>
      </w:r>
      <w:proofErr w:type="spellStart"/>
      <w:r w:rsidRPr="00A25982">
        <w:rPr>
          <w:rFonts w:ascii="Arial" w:hAnsi="Arial" w:cs="Arial"/>
        </w:rPr>
        <w:t>Brunori</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2016). For example, local food systems create jobs in agriculture and food production, but they can also encourage tourism, bringing economic benefits to the region (</w:t>
      </w:r>
      <w:hyperlink w:anchor="_ENREF_39" w:tooltip="Oglethorpe, 2013 #399" w:history="1">
        <w:r w:rsidRPr="00A25982">
          <w:rPr>
            <w:rFonts w:ascii="Arial" w:hAnsi="Arial" w:cs="Arial"/>
            <w:noProof/>
          </w:rPr>
          <w:t>Oglethorpe &amp; Heron, 2013</w:t>
        </w:r>
      </w:hyperlink>
      <w:r w:rsidRPr="00A25982">
        <w:rPr>
          <w:rFonts w:ascii="Arial" w:hAnsi="Arial" w:cs="Arial"/>
          <w:noProof/>
        </w:rPr>
        <w:t xml:space="preserve">, Czinkota </w:t>
      </w:r>
      <w:r w:rsidRPr="00A25982">
        <w:rPr>
          <w:rFonts w:ascii="Arial" w:hAnsi="Arial" w:cs="Arial"/>
          <w:i/>
          <w:noProof/>
        </w:rPr>
        <w:t>et al.</w:t>
      </w:r>
      <w:r w:rsidRPr="00A25982">
        <w:rPr>
          <w:rFonts w:ascii="Arial" w:hAnsi="Arial" w:cs="Arial"/>
          <w:noProof/>
        </w:rPr>
        <w:t xml:space="preserve">, 2014). Indeed the current EU rural development policy 2014-2020 offers producers wishing to get involved in local food systems several incentives </w:t>
      </w:r>
      <w:r w:rsidRPr="00A25982">
        <w:rPr>
          <w:rFonts w:ascii="Arial" w:hAnsi="Arial" w:cs="Arial"/>
        </w:rPr>
        <w:t>co-financed by the European Agricultural Fund for Rural Development (</w:t>
      </w:r>
      <w:proofErr w:type="spellStart"/>
      <w:r w:rsidR="009E5037" w:rsidRPr="00A25982">
        <w:rPr>
          <w:rFonts w:ascii="Arial" w:hAnsi="Arial" w:cs="Arial"/>
        </w:rPr>
        <w:t>Augère</w:t>
      </w:r>
      <w:r w:rsidRPr="00A25982">
        <w:rPr>
          <w:rFonts w:ascii="Arial" w:hAnsi="Arial" w:cs="Arial"/>
        </w:rPr>
        <w:t>-Granier</w:t>
      </w:r>
      <w:proofErr w:type="spellEnd"/>
      <w:r w:rsidRPr="00A25982">
        <w:rPr>
          <w:rFonts w:ascii="Arial" w:hAnsi="Arial" w:cs="Arial"/>
        </w:rPr>
        <w:t>, 2016)</w:t>
      </w:r>
      <w:r w:rsidR="00F9021B" w:rsidRPr="00A25982">
        <w:rPr>
          <w:rFonts w:ascii="Arial" w:hAnsi="Arial" w:cs="Arial"/>
        </w:rPr>
        <w:t>.</w:t>
      </w:r>
    </w:p>
    <w:p w14:paraId="5538987B" w14:textId="4AA0018F" w:rsidR="00AE09CE" w:rsidRPr="00A25982" w:rsidRDefault="00AE09CE" w:rsidP="00A25982">
      <w:pPr>
        <w:ind w:firstLine="284"/>
        <w:jc w:val="both"/>
        <w:rPr>
          <w:rFonts w:ascii="Arial" w:hAnsi="Arial" w:cs="Arial"/>
        </w:rPr>
      </w:pPr>
      <w:r w:rsidRPr="00A25982">
        <w:rPr>
          <w:rFonts w:ascii="Arial" w:hAnsi="Arial" w:cs="Arial"/>
        </w:rPr>
        <w:t>Unfortunately</w:t>
      </w:r>
      <w:r w:rsidR="0023397A" w:rsidRPr="00A25982">
        <w:rPr>
          <w:rFonts w:ascii="Arial" w:hAnsi="Arial" w:cs="Arial"/>
        </w:rPr>
        <w:t>, competitive pressures on</w:t>
      </w:r>
      <w:r w:rsidRPr="00A25982">
        <w:rPr>
          <w:rFonts w:ascii="Arial" w:hAnsi="Arial" w:cs="Arial"/>
        </w:rPr>
        <w:t xml:space="preserve"> local farmers and uncertainty caused by Brexit mean the survival of local food supply chains in the UK may be under threat. Thus, building </w:t>
      </w:r>
      <w:proofErr w:type="spellStart"/>
      <w:r w:rsidRPr="00A25982">
        <w:rPr>
          <w:rFonts w:ascii="Arial" w:hAnsi="Arial" w:cs="Arial"/>
        </w:rPr>
        <w:t>SCRes</w:t>
      </w:r>
      <w:proofErr w:type="spellEnd"/>
      <w:r w:rsidRPr="00A25982">
        <w:rPr>
          <w:rFonts w:ascii="Arial" w:hAnsi="Arial" w:cs="Arial"/>
        </w:rPr>
        <w:t xml:space="preserve"> for local food systems </w:t>
      </w:r>
      <w:proofErr w:type="gramStart"/>
      <w:r w:rsidRPr="00A25982">
        <w:rPr>
          <w:rFonts w:ascii="Arial" w:hAnsi="Arial" w:cs="Arial"/>
          <w:noProof/>
        </w:rPr>
        <w:t>in particular</w:t>
      </w:r>
      <w:r w:rsidRPr="00A25982">
        <w:rPr>
          <w:rFonts w:ascii="Arial" w:hAnsi="Arial" w:cs="Arial"/>
        </w:rPr>
        <w:t xml:space="preserve"> is</w:t>
      </w:r>
      <w:proofErr w:type="gramEnd"/>
      <w:r w:rsidRPr="00A25982">
        <w:rPr>
          <w:rFonts w:ascii="Arial" w:hAnsi="Arial" w:cs="Arial"/>
        </w:rPr>
        <w:t xml:space="preserve"> increasingly both a key challenge and opportunity. Thus, there is a timely motivation to research the measures needed to sustain and strengthen local food supply </w:t>
      </w:r>
      <w:r w:rsidRPr="00A25982">
        <w:rPr>
          <w:rFonts w:ascii="Arial" w:hAnsi="Arial" w:cs="Arial"/>
        </w:rPr>
        <w:lastRenderedPageBreak/>
        <w:t xml:space="preserve">chains, thereby building </w:t>
      </w:r>
      <w:proofErr w:type="spellStart"/>
      <w:r w:rsidRPr="00A25982">
        <w:rPr>
          <w:rFonts w:ascii="Arial" w:hAnsi="Arial" w:cs="Arial"/>
        </w:rPr>
        <w:t>SCRes</w:t>
      </w:r>
      <w:proofErr w:type="spellEnd"/>
      <w:r w:rsidRPr="00A25982">
        <w:rPr>
          <w:rFonts w:ascii="Arial" w:hAnsi="Arial" w:cs="Arial"/>
        </w:rPr>
        <w:t xml:space="preserve"> in this context. The resilience of local and global food systems has received much attention in other fields (e.g. </w:t>
      </w:r>
      <w:proofErr w:type="spellStart"/>
      <w:r w:rsidRPr="00A25982">
        <w:rPr>
          <w:rFonts w:ascii="Arial" w:hAnsi="Arial" w:cs="Arial"/>
        </w:rPr>
        <w:t>Rockström</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2009; </w:t>
      </w:r>
      <w:proofErr w:type="spellStart"/>
      <w:r w:rsidRPr="00A25982">
        <w:rPr>
          <w:rFonts w:ascii="Arial" w:hAnsi="Arial" w:cs="Arial"/>
        </w:rPr>
        <w:t>Allouche</w:t>
      </w:r>
      <w:proofErr w:type="spellEnd"/>
      <w:r w:rsidRPr="00A25982">
        <w:rPr>
          <w:rFonts w:ascii="Arial" w:hAnsi="Arial" w:cs="Arial"/>
        </w:rPr>
        <w:t xml:space="preserve">, 2011; Barthel </w:t>
      </w:r>
      <w:r w:rsidRPr="00A25982">
        <w:rPr>
          <w:rFonts w:ascii="Arial" w:hAnsi="Arial" w:cs="Arial"/>
          <w:i/>
        </w:rPr>
        <w:t>et al.,</w:t>
      </w:r>
      <w:r w:rsidR="00874D11" w:rsidRPr="00A25982">
        <w:rPr>
          <w:rFonts w:ascii="Arial" w:hAnsi="Arial" w:cs="Arial"/>
        </w:rPr>
        <w:t xml:space="preserve"> 2015</w:t>
      </w:r>
      <w:r w:rsidRPr="00A25982">
        <w:rPr>
          <w:rFonts w:ascii="Arial" w:hAnsi="Arial" w:cs="Arial"/>
        </w:rPr>
        <w:t xml:space="preserve">) but only limited attention from an operations and supply chain management perspective (e.g. </w:t>
      </w:r>
      <w:proofErr w:type="spellStart"/>
      <w:r w:rsidRPr="00A25982">
        <w:rPr>
          <w:rFonts w:ascii="Arial" w:hAnsi="Arial" w:cs="Arial"/>
        </w:rPr>
        <w:t>Leat</w:t>
      </w:r>
      <w:proofErr w:type="spellEnd"/>
      <w:r w:rsidRPr="00A25982">
        <w:rPr>
          <w:rFonts w:ascii="Arial" w:hAnsi="Arial" w:cs="Arial"/>
        </w:rPr>
        <w:t xml:space="preserve"> &amp; </w:t>
      </w:r>
      <w:proofErr w:type="spellStart"/>
      <w:r w:rsidRPr="00A25982">
        <w:rPr>
          <w:rFonts w:ascii="Arial" w:hAnsi="Arial" w:cs="Arial"/>
        </w:rPr>
        <w:t>Reveredo-Giha</w:t>
      </w:r>
      <w:proofErr w:type="spellEnd"/>
      <w:r w:rsidRPr="00A25982">
        <w:rPr>
          <w:rFonts w:ascii="Arial" w:hAnsi="Arial" w:cs="Arial"/>
        </w:rPr>
        <w:t>, 2013).</w:t>
      </w:r>
    </w:p>
    <w:p w14:paraId="4497C0DC" w14:textId="77777777" w:rsidR="00AE09CE" w:rsidRPr="00A25982" w:rsidRDefault="00AE09CE" w:rsidP="00A25982">
      <w:pPr>
        <w:pStyle w:val="NormalWeb"/>
        <w:spacing w:before="0" w:beforeAutospacing="0" w:after="0" w:afterAutospacing="0"/>
        <w:jc w:val="both"/>
        <w:rPr>
          <w:rFonts w:ascii="Arial" w:hAnsi="Arial" w:cs="Arial"/>
          <w:i/>
          <w:sz w:val="12"/>
          <w:szCs w:val="12"/>
        </w:rPr>
      </w:pPr>
    </w:p>
    <w:p w14:paraId="526D5ED2" w14:textId="126F759C" w:rsidR="00EC4547" w:rsidRPr="00A25982" w:rsidRDefault="00404F27" w:rsidP="00A25982">
      <w:pPr>
        <w:pStyle w:val="NormalWeb"/>
        <w:spacing w:before="0" w:beforeAutospacing="0" w:after="0" w:afterAutospacing="0"/>
        <w:jc w:val="both"/>
        <w:rPr>
          <w:rFonts w:ascii="Arial" w:hAnsi="Arial" w:cs="Arial"/>
        </w:rPr>
      </w:pPr>
      <w:r w:rsidRPr="00A25982">
        <w:rPr>
          <w:rFonts w:ascii="Arial" w:hAnsi="Arial" w:cs="Arial"/>
          <w:i/>
        </w:rPr>
        <w:t>2.</w:t>
      </w:r>
      <w:r w:rsidR="00AE09CE" w:rsidRPr="00A25982">
        <w:rPr>
          <w:rFonts w:ascii="Arial" w:hAnsi="Arial" w:cs="Arial"/>
          <w:i/>
        </w:rPr>
        <w:t>2</w:t>
      </w:r>
      <w:r w:rsidRPr="00A25982">
        <w:rPr>
          <w:rFonts w:ascii="Arial" w:hAnsi="Arial" w:cs="Arial"/>
          <w:i/>
        </w:rPr>
        <w:t xml:space="preserve">. </w:t>
      </w:r>
      <w:r w:rsidR="00EC4547" w:rsidRPr="00A25982">
        <w:rPr>
          <w:rFonts w:ascii="Arial" w:hAnsi="Arial" w:cs="Arial"/>
          <w:i/>
        </w:rPr>
        <w:t>Supply Chain Resilience (</w:t>
      </w:r>
      <w:proofErr w:type="spellStart"/>
      <w:r w:rsidR="00EC4547" w:rsidRPr="00A25982">
        <w:rPr>
          <w:rFonts w:ascii="Arial" w:hAnsi="Arial" w:cs="Arial"/>
          <w:i/>
          <w:noProof/>
        </w:rPr>
        <w:t>SCRes</w:t>
      </w:r>
      <w:proofErr w:type="spellEnd"/>
      <w:r w:rsidR="00EC4547" w:rsidRPr="00A25982">
        <w:rPr>
          <w:rFonts w:ascii="Arial" w:hAnsi="Arial" w:cs="Arial"/>
          <w:i/>
        </w:rPr>
        <w:t>)</w:t>
      </w:r>
      <w:r w:rsidR="00157EC8" w:rsidRPr="00A25982">
        <w:rPr>
          <w:rFonts w:ascii="Arial" w:hAnsi="Arial" w:cs="Arial"/>
          <w:i/>
        </w:rPr>
        <w:t xml:space="preserve"> and Broader Resilience Theory</w:t>
      </w:r>
    </w:p>
    <w:p w14:paraId="48DB6CD0" w14:textId="471D3DEA" w:rsidR="00D10804" w:rsidRPr="00A25982" w:rsidRDefault="00D10804" w:rsidP="00A25982">
      <w:pPr>
        <w:jc w:val="both"/>
        <w:rPr>
          <w:rFonts w:ascii="Arial" w:hAnsi="Arial" w:cs="Arial"/>
        </w:rPr>
      </w:pPr>
      <w:proofErr w:type="spellStart"/>
      <w:r w:rsidRPr="00A25982">
        <w:rPr>
          <w:rFonts w:ascii="Arial" w:hAnsi="Arial" w:cs="Arial"/>
        </w:rPr>
        <w:t>SCRes</w:t>
      </w:r>
      <w:proofErr w:type="spellEnd"/>
      <w:r w:rsidRPr="00A25982">
        <w:rPr>
          <w:rFonts w:ascii="Arial" w:hAnsi="Arial" w:cs="Arial"/>
        </w:rPr>
        <w:t xml:space="preserve"> is broadly concerned with a supply chain’s readiness, effective response to, and recovery from a disruption – returning to the previous level or an even better level of performance (</w:t>
      </w:r>
      <w:proofErr w:type="spellStart"/>
      <w:r w:rsidR="000422C1" w:rsidRPr="00A25982">
        <w:rPr>
          <w:rFonts w:ascii="Arial" w:hAnsi="Arial" w:cs="Arial"/>
        </w:rPr>
        <w:t>Ponomarov</w:t>
      </w:r>
      <w:proofErr w:type="spellEnd"/>
      <w:r w:rsidR="000422C1" w:rsidRPr="00A25982">
        <w:rPr>
          <w:rFonts w:ascii="Arial" w:hAnsi="Arial" w:cs="Arial"/>
        </w:rPr>
        <w:t xml:space="preserve"> &amp; Holcomb, 2009; </w:t>
      </w:r>
      <w:proofErr w:type="spellStart"/>
      <w:r w:rsidR="000422C1" w:rsidRPr="00A25982">
        <w:rPr>
          <w:rFonts w:ascii="Arial" w:hAnsi="Arial" w:cs="Arial"/>
        </w:rPr>
        <w:t>Ponis</w:t>
      </w:r>
      <w:proofErr w:type="spellEnd"/>
      <w:r w:rsidR="000422C1" w:rsidRPr="00A25982">
        <w:rPr>
          <w:rFonts w:ascii="Arial" w:hAnsi="Arial" w:cs="Arial"/>
        </w:rPr>
        <w:t xml:space="preserve"> &amp; </w:t>
      </w:r>
      <w:proofErr w:type="spellStart"/>
      <w:r w:rsidR="000422C1" w:rsidRPr="00A25982">
        <w:rPr>
          <w:rFonts w:ascii="Arial" w:hAnsi="Arial" w:cs="Arial"/>
        </w:rPr>
        <w:t>Koronis</w:t>
      </w:r>
      <w:proofErr w:type="spellEnd"/>
      <w:r w:rsidR="000422C1" w:rsidRPr="00A25982">
        <w:rPr>
          <w:rFonts w:ascii="Arial" w:hAnsi="Arial" w:cs="Arial"/>
        </w:rPr>
        <w:t xml:space="preserve">, 2012; </w:t>
      </w:r>
      <w:r w:rsidRPr="00A25982">
        <w:rPr>
          <w:rFonts w:ascii="Arial" w:hAnsi="Arial" w:cs="Arial"/>
        </w:rPr>
        <w:t xml:space="preserve">Hohenstein </w:t>
      </w:r>
      <w:r w:rsidRPr="00A25982">
        <w:rPr>
          <w:rFonts w:ascii="Arial" w:hAnsi="Arial" w:cs="Arial"/>
          <w:i/>
        </w:rPr>
        <w:t>et al</w:t>
      </w:r>
      <w:r w:rsidRPr="00A25982">
        <w:rPr>
          <w:rFonts w:ascii="Arial" w:hAnsi="Arial" w:cs="Arial"/>
        </w:rPr>
        <w:t xml:space="preserve">., 2015; </w:t>
      </w:r>
      <w:proofErr w:type="spellStart"/>
      <w:r w:rsidRPr="00A25982">
        <w:rPr>
          <w:rFonts w:ascii="Arial" w:hAnsi="Arial" w:cs="Arial"/>
        </w:rPr>
        <w:t>Tukamuhabwa</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2015). While some of the disruptions faced by organisations and supply chains are external, others originate from within the boundaries of the supply chain. The focus of much prior work has been on high-profile external catastrophic events, </w:t>
      </w:r>
      <w:r w:rsidR="00554A95" w:rsidRPr="00A25982">
        <w:rPr>
          <w:rFonts w:ascii="Arial" w:hAnsi="Arial" w:cs="Arial"/>
        </w:rPr>
        <w:t xml:space="preserve">including devastating earthquakes, fuel crises, </w:t>
      </w:r>
      <w:r w:rsidR="00577632" w:rsidRPr="00A25982">
        <w:rPr>
          <w:rFonts w:ascii="Arial" w:hAnsi="Arial" w:cs="Arial"/>
        </w:rPr>
        <w:t xml:space="preserve">political turmoil, </w:t>
      </w:r>
      <w:r w:rsidR="00554A95" w:rsidRPr="00A25982">
        <w:rPr>
          <w:rFonts w:ascii="Arial" w:hAnsi="Arial" w:cs="Arial"/>
        </w:rPr>
        <w:t>diseases, terrorism, and hurricanes (</w:t>
      </w:r>
      <w:r w:rsidR="00936841" w:rsidRPr="00A25982">
        <w:rPr>
          <w:rFonts w:ascii="Arial" w:hAnsi="Arial" w:cs="Arial"/>
        </w:rPr>
        <w:t xml:space="preserve">e.g. </w:t>
      </w:r>
      <w:r w:rsidR="00577632" w:rsidRPr="00A25982">
        <w:rPr>
          <w:rFonts w:ascii="Arial" w:hAnsi="Arial" w:cs="Arial"/>
        </w:rPr>
        <w:t xml:space="preserve">Mandal, 2012; </w:t>
      </w:r>
      <w:r w:rsidR="00554A95" w:rsidRPr="00A25982">
        <w:rPr>
          <w:rFonts w:ascii="Arial" w:hAnsi="Arial" w:cs="Arial"/>
        </w:rPr>
        <w:t xml:space="preserve">Scholten </w:t>
      </w:r>
      <w:r w:rsidR="00554A95" w:rsidRPr="00A25982">
        <w:rPr>
          <w:rFonts w:ascii="Arial" w:hAnsi="Arial" w:cs="Arial"/>
          <w:i/>
        </w:rPr>
        <w:t>et al.,</w:t>
      </w:r>
      <w:r w:rsidR="00554A95" w:rsidRPr="00A25982">
        <w:rPr>
          <w:rFonts w:ascii="Arial" w:hAnsi="Arial" w:cs="Arial"/>
        </w:rPr>
        <w:t xml:space="preserve"> 2014). </w:t>
      </w:r>
      <w:r w:rsidR="00D14A01" w:rsidRPr="00A25982">
        <w:rPr>
          <w:rFonts w:ascii="Arial" w:hAnsi="Arial" w:cs="Arial"/>
        </w:rPr>
        <w:t xml:space="preserve">Meanwhile, other work has examined the potential threat of product counterfeiting, which may originate from within or beyond the boundaries of the genuine product’s supply chain and is likely to be a continuous threat rather than a one-off large-scale disruption (e.g. Stevenson &amp; Busby, 2015; de Lima </w:t>
      </w:r>
      <w:r w:rsidR="00D14A01" w:rsidRPr="00A25982">
        <w:rPr>
          <w:rFonts w:ascii="Arial" w:hAnsi="Arial" w:cs="Arial"/>
          <w:i/>
        </w:rPr>
        <w:t>et al.</w:t>
      </w:r>
      <w:r w:rsidR="00D14A01" w:rsidRPr="00A25982">
        <w:rPr>
          <w:rFonts w:ascii="Arial" w:hAnsi="Arial" w:cs="Arial"/>
        </w:rPr>
        <w:t xml:space="preserve">, 2018). </w:t>
      </w:r>
      <w:r w:rsidRPr="00A25982">
        <w:rPr>
          <w:rFonts w:ascii="Arial" w:hAnsi="Arial" w:cs="Arial"/>
        </w:rPr>
        <w:t xml:space="preserve">Yet, to the best of our knowledge, the literature has not considered resilience to external constitutional change, such as that currently being experienced </w:t>
      </w:r>
      <w:r w:rsidR="003C09CD" w:rsidRPr="00A25982">
        <w:rPr>
          <w:rFonts w:ascii="Arial" w:hAnsi="Arial" w:cs="Arial"/>
        </w:rPr>
        <w:t xml:space="preserve">in the UK </w:t>
      </w:r>
      <w:proofErr w:type="gramStart"/>
      <w:r w:rsidRPr="00A25982">
        <w:rPr>
          <w:rFonts w:ascii="Arial" w:hAnsi="Arial" w:cs="Arial"/>
        </w:rPr>
        <w:t>as a result of</w:t>
      </w:r>
      <w:proofErr w:type="gramEnd"/>
      <w:r w:rsidRPr="00A25982">
        <w:rPr>
          <w:rFonts w:ascii="Arial" w:hAnsi="Arial" w:cs="Arial"/>
        </w:rPr>
        <w:t xml:space="preserve"> </w:t>
      </w:r>
      <w:r w:rsidR="0005478B" w:rsidRPr="00A25982">
        <w:rPr>
          <w:rFonts w:ascii="Arial" w:hAnsi="Arial" w:cs="Arial"/>
        </w:rPr>
        <w:t>Brexit</w:t>
      </w:r>
      <w:r w:rsidRPr="00A25982">
        <w:rPr>
          <w:rFonts w:ascii="Arial" w:hAnsi="Arial" w:cs="Arial"/>
        </w:rPr>
        <w:t>.</w:t>
      </w:r>
    </w:p>
    <w:p w14:paraId="415E825F" w14:textId="37FC3071" w:rsidR="00157EC8" w:rsidRPr="00A25982" w:rsidRDefault="00157EC8" w:rsidP="00A25982">
      <w:pPr>
        <w:ind w:firstLine="284"/>
        <w:jc w:val="both"/>
        <w:rPr>
          <w:rFonts w:ascii="Arial" w:hAnsi="Arial" w:cs="Arial"/>
        </w:rPr>
      </w:pPr>
      <w:r w:rsidRPr="00A25982">
        <w:rPr>
          <w:rFonts w:ascii="Arial" w:hAnsi="Arial" w:cs="Arial"/>
        </w:rPr>
        <w:t xml:space="preserve">Definitions of </w:t>
      </w:r>
      <w:proofErr w:type="spellStart"/>
      <w:r w:rsidRPr="00A25982">
        <w:rPr>
          <w:rFonts w:ascii="Arial" w:hAnsi="Arial" w:cs="Arial"/>
        </w:rPr>
        <w:t>SCRes</w:t>
      </w:r>
      <w:proofErr w:type="spellEnd"/>
      <w:r w:rsidRPr="00A25982">
        <w:rPr>
          <w:rFonts w:ascii="Arial" w:hAnsi="Arial" w:cs="Arial"/>
        </w:rPr>
        <w:t xml:space="preserve"> by authors such as Stone &amp; </w:t>
      </w:r>
      <w:proofErr w:type="spellStart"/>
      <w:r w:rsidRPr="00A25982">
        <w:rPr>
          <w:rFonts w:ascii="Arial" w:hAnsi="Arial" w:cs="Arial"/>
        </w:rPr>
        <w:t>Rahimifard</w:t>
      </w:r>
      <w:proofErr w:type="spellEnd"/>
      <w:r w:rsidRPr="00A25982">
        <w:rPr>
          <w:rFonts w:ascii="Arial" w:hAnsi="Arial" w:cs="Arial"/>
        </w:rPr>
        <w:t xml:space="preserve"> (2018) have built on broader resilience theory that comes from a variety of disciplines. They look </w:t>
      </w:r>
      <w:proofErr w:type="gramStart"/>
      <w:r w:rsidRPr="00A25982">
        <w:rPr>
          <w:rFonts w:ascii="Arial" w:hAnsi="Arial" w:cs="Arial"/>
        </w:rPr>
        <w:t>in particular at</w:t>
      </w:r>
      <w:proofErr w:type="gramEnd"/>
      <w:r w:rsidRPr="00A25982">
        <w:rPr>
          <w:rFonts w:ascii="Arial" w:hAnsi="Arial" w:cs="Arial"/>
        </w:rPr>
        <w:t xml:space="preserve"> </w:t>
      </w:r>
      <w:r w:rsidRPr="00A25982">
        <w:rPr>
          <w:rFonts w:ascii="Arial" w:hAnsi="Arial" w:cs="Arial"/>
          <w:i/>
        </w:rPr>
        <w:t>engineering resilience</w:t>
      </w:r>
      <w:r w:rsidRPr="00A25982">
        <w:rPr>
          <w:rFonts w:ascii="Arial" w:hAnsi="Arial" w:cs="Arial"/>
        </w:rPr>
        <w:t xml:space="preserve">; </w:t>
      </w:r>
      <w:r w:rsidRPr="00A25982">
        <w:rPr>
          <w:rFonts w:ascii="Arial" w:hAnsi="Arial" w:cs="Arial"/>
          <w:i/>
          <w:noProof/>
        </w:rPr>
        <w:t>ecological resilience</w:t>
      </w:r>
      <w:r w:rsidRPr="00A25982">
        <w:rPr>
          <w:rFonts w:ascii="Arial" w:hAnsi="Arial" w:cs="Arial"/>
          <w:noProof/>
        </w:rPr>
        <w:t xml:space="preserve"> and </w:t>
      </w:r>
      <w:r w:rsidRPr="00A25982">
        <w:rPr>
          <w:rFonts w:ascii="Arial" w:hAnsi="Arial" w:cs="Arial"/>
          <w:i/>
          <w:noProof/>
        </w:rPr>
        <w:t>adaptive resilience</w:t>
      </w:r>
      <w:r w:rsidRPr="00A25982">
        <w:rPr>
          <w:rFonts w:ascii="Arial" w:hAnsi="Arial" w:cs="Arial"/>
        </w:rPr>
        <w:t>.</w:t>
      </w:r>
      <w:r w:rsidR="006F227F" w:rsidRPr="00A25982">
        <w:rPr>
          <w:rFonts w:ascii="Arial" w:hAnsi="Arial" w:cs="Arial"/>
        </w:rPr>
        <w:t xml:space="preserve"> </w:t>
      </w:r>
      <w:proofErr w:type="spellStart"/>
      <w:r w:rsidR="006F227F" w:rsidRPr="00A25982">
        <w:rPr>
          <w:rFonts w:ascii="Arial" w:hAnsi="Arial" w:cs="Arial"/>
        </w:rPr>
        <w:t>Holling</w:t>
      </w:r>
      <w:proofErr w:type="spellEnd"/>
      <w:r w:rsidR="006F227F" w:rsidRPr="00A25982">
        <w:rPr>
          <w:rFonts w:ascii="Arial" w:hAnsi="Arial" w:cs="Arial"/>
        </w:rPr>
        <w:t xml:space="preserve"> (</w:t>
      </w:r>
      <w:r w:rsidRPr="00A25982">
        <w:rPr>
          <w:rFonts w:ascii="Arial" w:hAnsi="Arial" w:cs="Arial"/>
        </w:rPr>
        <w:t>1996) define</w:t>
      </w:r>
      <w:r w:rsidR="009E5037" w:rsidRPr="00A25982">
        <w:rPr>
          <w:rFonts w:ascii="Arial" w:hAnsi="Arial" w:cs="Arial"/>
        </w:rPr>
        <w:t>d</w:t>
      </w:r>
      <w:r w:rsidRPr="00A25982">
        <w:rPr>
          <w:rFonts w:ascii="Arial" w:hAnsi="Arial" w:cs="Arial"/>
        </w:rPr>
        <w:t xml:space="preserve"> engineering resilience as the ability of a system to return to its prior state of equilibrium following a disturbance, </w:t>
      </w:r>
      <w:proofErr w:type="gramStart"/>
      <w:r w:rsidRPr="00A25982">
        <w:rPr>
          <w:rFonts w:ascii="Arial" w:hAnsi="Arial" w:cs="Arial"/>
        </w:rPr>
        <w:t>assuming that</w:t>
      </w:r>
      <w:proofErr w:type="gramEnd"/>
      <w:r w:rsidRPr="00A25982">
        <w:rPr>
          <w:rFonts w:ascii="Arial" w:hAnsi="Arial" w:cs="Arial"/>
        </w:rPr>
        <w:t xml:space="preserve"> the engineering design has predetermined an optimal state</w:t>
      </w:r>
      <w:r w:rsidR="00847446" w:rsidRPr="00A25982">
        <w:rPr>
          <w:rFonts w:ascii="Arial" w:hAnsi="Arial" w:cs="Arial"/>
        </w:rPr>
        <w:t xml:space="preserve"> to which the system should revert</w:t>
      </w:r>
      <w:r w:rsidRPr="00A25982">
        <w:rPr>
          <w:rFonts w:ascii="Arial" w:hAnsi="Arial" w:cs="Arial"/>
        </w:rPr>
        <w:t xml:space="preserve">. Definitions of ecological resilience are </w:t>
      </w:r>
      <w:proofErr w:type="gramStart"/>
      <w:r w:rsidRPr="00A25982">
        <w:rPr>
          <w:rFonts w:ascii="Arial" w:hAnsi="Arial" w:cs="Arial"/>
          <w:noProof/>
        </w:rPr>
        <w:t>similar,</w:t>
      </w:r>
      <w:r w:rsidRPr="00A25982">
        <w:rPr>
          <w:rFonts w:ascii="Arial" w:hAnsi="Arial" w:cs="Arial"/>
        </w:rPr>
        <w:t xml:space="preserve"> but</w:t>
      </w:r>
      <w:proofErr w:type="gramEnd"/>
      <w:r w:rsidRPr="00A25982">
        <w:rPr>
          <w:rFonts w:ascii="Arial" w:hAnsi="Arial" w:cs="Arial"/>
        </w:rPr>
        <w:t xml:space="preserve"> differ in assuming that there may be several alternative states of </w:t>
      </w:r>
      <w:r w:rsidRPr="00A25982">
        <w:rPr>
          <w:rFonts w:ascii="Arial" w:hAnsi="Arial" w:cs="Arial"/>
          <w:noProof/>
        </w:rPr>
        <w:t>equilibrium,</w:t>
      </w:r>
      <w:r w:rsidRPr="00A25982">
        <w:rPr>
          <w:rFonts w:ascii="Arial" w:hAnsi="Arial" w:cs="Arial"/>
        </w:rPr>
        <w:t xml:space="preserve"> and that the system may return to the original or flip to </w:t>
      </w:r>
      <w:r w:rsidRPr="00A25982">
        <w:rPr>
          <w:rFonts w:ascii="Arial" w:hAnsi="Arial" w:cs="Arial"/>
          <w:noProof/>
        </w:rPr>
        <w:t xml:space="preserve">an </w:t>
      </w:r>
      <w:r w:rsidR="00792A98" w:rsidRPr="00A25982">
        <w:rPr>
          <w:rFonts w:ascii="Arial" w:hAnsi="Arial" w:cs="Arial"/>
          <w:noProof/>
        </w:rPr>
        <w:t xml:space="preserve">acceptable </w:t>
      </w:r>
      <w:r w:rsidRPr="00A25982">
        <w:rPr>
          <w:rFonts w:ascii="Arial" w:hAnsi="Arial" w:cs="Arial"/>
          <w:noProof/>
        </w:rPr>
        <w:t xml:space="preserve">alternative </w:t>
      </w:r>
      <w:r w:rsidRPr="00A25982">
        <w:rPr>
          <w:rFonts w:ascii="Arial" w:hAnsi="Arial" w:cs="Arial"/>
        </w:rPr>
        <w:t>state (</w:t>
      </w:r>
      <w:proofErr w:type="spellStart"/>
      <w:r w:rsidRPr="00A25982">
        <w:rPr>
          <w:rFonts w:ascii="Arial" w:hAnsi="Arial" w:cs="Arial"/>
        </w:rPr>
        <w:t>Holling</w:t>
      </w:r>
      <w:proofErr w:type="spellEnd"/>
      <w:r w:rsidRPr="00A25982">
        <w:rPr>
          <w:rFonts w:ascii="Arial" w:hAnsi="Arial" w:cs="Arial"/>
        </w:rPr>
        <w:t>,</w:t>
      </w:r>
      <w:r w:rsidR="006F227F" w:rsidRPr="00A25982">
        <w:rPr>
          <w:rFonts w:ascii="Arial" w:hAnsi="Arial" w:cs="Arial"/>
        </w:rPr>
        <w:t xml:space="preserve"> 1973,</w:t>
      </w:r>
      <w:r w:rsidRPr="00A25982">
        <w:rPr>
          <w:rFonts w:ascii="Arial" w:hAnsi="Arial" w:cs="Arial"/>
        </w:rPr>
        <w:t xml:space="preserve"> </w:t>
      </w:r>
      <w:r w:rsidR="006F227F" w:rsidRPr="00A25982">
        <w:rPr>
          <w:rFonts w:ascii="Arial" w:hAnsi="Arial" w:cs="Arial"/>
        </w:rPr>
        <w:t>1</w:t>
      </w:r>
      <w:r w:rsidRPr="00A25982">
        <w:rPr>
          <w:rFonts w:ascii="Arial" w:hAnsi="Arial" w:cs="Arial"/>
        </w:rPr>
        <w:t xml:space="preserve">996). </w:t>
      </w:r>
      <w:r w:rsidR="00847446" w:rsidRPr="00A25982">
        <w:rPr>
          <w:rFonts w:ascii="Arial" w:hAnsi="Arial" w:cs="Arial"/>
        </w:rPr>
        <w:t xml:space="preserve">In contrast, the concept of adaptive resilience postulates that there cannot be a state of equilibrium in complex social-ecological systems, but that instead resilience is cyclical and cumulative developed through the ongoing learning and adaptations made in response to a series of disturbances (Gunderson &amp; </w:t>
      </w:r>
      <w:proofErr w:type="spellStart"/>
      <w:r w:rsidR="00847446" w:rsidRPr="00A25982">
        <w:rPr>
          <w:rFonts w:ascii="Arial" w:hAnsi="Arial" w:cs="Arial"/>
        </w:rPr>
        <w:t>Holling</w:t>
      </w:r>
      <w:proofErr w:type="spellEnd"/>
      <w:r w:rsidR="00847446" w:rsidRPr="00A25982">
        <w:rPr>
          <w:rFonts w:ascii="Arial" w:hAnsi="Arial" w:cs="Arial"/>
        </w:rPr>
        <w:t xml:space="preserve">, 2002; Carpenter </w:t>
      </w:r>
      <w:r w:rsidR="00847446" w:rsidRPr="00A25982">
        <w:rPr>
          <w:rFonts w:ascii="Arial" w:hAnsi="Arial" w:cs="Arial"/>
          <w:i/>
        </w:rPr>
        <w:t>et al.</w:t>
      </w:r>
      <w:r w:rsidR="00847446" w:rsidRPr="00A25982">
        <w:rPr>
          <w:rFonts w:ascii="Arial" w:hAnsi="Arial" w:cs="Arial"/>
        </w:rPr>
        <w:t xml:space="preserve">, 2005; </w:t>
      </w:r>
      <w:proofErr w:type="spellStart"/>
      <w:r w:rsidR="00847446" w:rsidRPr="00A25982">
        <w:rPr>
          <w:rFonts w:ascii="Arial" w:hAnsi="Arial" w:cs="Arial"/>
        </w:rPr>
        <w:t>Folke</w:t>
      </w:r>
      <w:proofErr w:type="spellEnd"/>
      <w:r w:rsidR="00847446" w:rsidRPr="00A25982">
        <w:rPr>
          <w:rFonts w:ascii="Arial" w:hAnsi="Arial" w:cs="Arial"/>
        </w:rPr>
        <w:t xml:space="preserve"> </w:t>
      </w:r>
      <w:r w:rsidR="00847446" w:rsidRPr="00A25982">
        <w:rPr>
          <w:rFonts w:ascii="Arial" w:hAnsi="Arial" w:cs="Arial"/>
          <w:i/>
        </w:rPr>
        <w:t>et al.</w:t>
      </w:r>
      <w:r w:rsidR="00847446" w:rsidRPr="00A25982">
        <w:rPr>
          <w:rFonts w:ascii="Arial" w:hAnsi="Arial" w:cs="Arial"/>
        </w:rPr>
        <w:t xml:space="preserve">, 2010; </w:t>
      </w:r>
      <w:proofErr w:type="spellStart"/>
      <w:r w:rsidR="00847446" w:rsidRPr="00A25982">
        <w:rPr>
          <w:rFonts w:ascii="Arial" w:hAnsi="Arial" w:cs="Arial"/>
        </w:rPr>
        <w:t>Davoudi</w:t>
      </w:r>
      <w:proofErr w:type="spellEnd"/>
      <w:r w:rsidR="00847446" w:rsidRPr="00A25982">
        <w:rPr>
          <w:rFonts w:ascii="Arial" w:hAnsi="Arial" w:cs="Arial"/>
        </w:rPr>
        <w:t>, 2012).</w:t>
      </w:r>
      <w:r w:rsidR="00E36CBF" w:rsidRPr="00A25982">
        <w:rPr>
          <w:rFonts w:ascii="Arial" w:hAnsi="Arial" w:cs="Arial"/>
        </w:rPr>
        <w:t xml:space="preserve">  </w:t>
      </w:r>
      <w:r w:rsidR="00847446" w:rsidRPr="00A25982">
        <w:rPr>
          <w:rFonts w:ascii="Arial" w:hAnsi="Arial" w:cs="Arial"/>
        </w:rPr>
        <w:t xml:space="preserve"> </w:t>
      </w:r>
      <w:r w:rsidR="00E36CBF" w:rsidRPr="00A25982">
        <w:rPr>
          <w:rFonts w:ascii="Arial" w:hAnsi="Arial" w:cs="Arial"/>
        </w:rPr>
        <w:t xml:space="preserve">Stone &amp; </w:t>
      </w:r>
      <w:proofErr w:type="spellStart"/>
      <w:r w:rsidR="00E36CBF" w:rsidRPr="00A25982">
        <w:rPr>
          <w:rFonts w:ascii="Arial" w:hAnsi="Arial" w:cs="Arial"/>
        </w:rPr>
        <w:t>Rahimifard</w:t>
      </w:r>
      <w:proofErr w:type="spellEnd"/>
      <w:r w:rsidR="00E36CBF" w:rsidRPr="00A25982">
        <w:rPr>
          <w:rFonts w:ascii="Arial" w:hAnsi="Arial" w:cs="Arial"/>
        </w:rPr>
        <w:t xml:space="preserve"> (2018) conclude with a new definition relevant to agri-food supply chains</w:t>
      </w:r>
      <w:r w:rsidR="001C700D" w:rsidRPr="00A25982">
        <w:rPr>
          <w:rFonts w:ascii="Arial" w:hAnsi="Arial" w:cs="Arial"/>
        </w:rPr>
        <w:t xml:space="preserve">. This definition is adopted here as most relevant to the local food supply chains being studied, </w:t>
      </w:r>
      <w:proofErr w:type="gramStart"/>
      <w:r w:rsidR="001C700D" w:rsidRPr="00A25982">
        <w:rPr>
          <w:rFonts w:ascii="Arial" w:hAnsi="Arial" w:cs="Arial"/>
        </w:rPr>
        <w:t>and also</w:t>
      </w:r>
      <w:proofErr w:type="gramEnd"/>
      <w:r w:rsidR="001C700D" w:rsidRPr="00A25982">
        <w:rPr>
          <w:rFonts w:ascii="Arial" w:hAnsi="Arial" w:cs="Arial"/>
        </w:rPr>
        <w:t xml:space="preserve"> being the most comprehensive and up-to-date definition currently available. It</w:t>
      </w:r>
      <w:r w:rsidR="00E36CBF" w:rsidRPr="00A25982">
        <w:rPr>
          <w:rFonts w:ascii="Arial" w:hAnsi="Arial" w:cs="Arial"/>
        </w:rPr>
        <w:t xml:space="preserve"> emphasises the need to ensure the </w:t>
      </w:r>
      <w:r w:rsidR="00E36CBF" w:rsidRPr="00A25982">
        <w:rPr>
          <w:rFonts w:ascii="Arial" w:hAnsi="Arial" w:cs="Arial"/>
          <w:noProof/>
        </w:rPr>
        <w:t>continual</w:t>
      </w:r>
      <w:r w:rsidR="00E36CBF" w:rsidRPr="00A25982">
        <w:rPr>
          <w:rFonts w:ascii="Arial" w:hAnsi="Arial" w:cs="Arial"/>
        </w:rPr>
        <w:t xml:space="preserve"> supply of food through</w:t>
      </w:r>
      <w:r w:rsidR="009E5037" w:rsidRPr="00A25982">
        <w:rPr>
          <w:rFonts w:ascii="Arial" w:hAnsi="Arial" w:cs="Arial"/>
        </w:rPr>
        <w:t>:</w:t>
      </w:r>
      <w:r w:rsidR="00E36CBF" w:rsidRPr="00A25982">
        <w:rPr>
          <w:rFonts w:ascii="Arial" w:hAnsi="Arial" w:cs="Arial"/>
        </w:rPr>
        <w:t xml:space="preserve"> (</w:t>
      </w:r>
      <w:proofErr w:type="spellStart"/>
      <w:r w:rsidR="00E36CBF" w:rsidRPr="00A25982">
        <w:rPr>
          <w:rFonts w:ascii="Arial" w:hAnsi="Arial" w:cs="Arial"/>
        </w:rPr>
        <w:t>i</w:t>
      </w:r>
      <w:proofErr w:type="spellEnd"/>
      <w:r w:rsidR="00E36CBF" w:rsidRPr="00A25982">
        <w:rPr>
          <w:rFonts w:ascii="Arial" w:hAnsi="Arial" w:cs="Arial"/>
        </w:rPr>
        <w:t xml:space="preserve">) anticipation of disruptions; and (ii) strategies to reduce their impact, </w:t>
      </w:r>
      <w:r w:rsidR="00792A98" w:rsidRPr="00A25982">
        <w:rPr>
          <w:rFonts w:ascii="Arial" w:hAnsi="Arial" w:cs="Arial"/>
          <w:noProof/>
          <w:lang w:eastAsia="zh-CN"/>
        </w:rPr>
        <w:t>facilitate</w:t>
      </w:r>
      <w:r w:rsidR="00792A98" w:rsidRPr="00A25982">
        <w:rPr>
          <w:rFonts w:ascii="Arial" w:hAnsi="Arial" w:cs="Arial"/>
          <w:noProof/>
        </w:rPr>
        <w:t xml:space="preserve"> </w:t>
      </w:r>
      <w:r w:rsidR="00E36CBF" w:rsidRPr="00A25982">
        <w:rPr>
          <w:rFonts w:ascii="Arial" w:hAnsi="Arial" w:cs="Arial"/>
          <w:noProof/>
        </w:rPr>
        <w:t>rapid</w:t>
      </w:r>
      <w:r w:rsidR="00E36CBF" w:rsidRPr="00A25982">
        <w:rPr>
          <w:rFonts w:ascii="Arial" w:hAnsi="Arial" w:cs="Arial"/>
        </w:rPr>
        <w:t xml:space="preserve"> </w:t>
      </w:r>
      <w:r w:rsidR="00E36CBF" w:rsidRPr="00A25982">
        <w:rPr>
          <w:rFonts w:ascii="Arial" w:hAnsi="Arial" w:cs="Arial"/>
          <w:noProof/>
        </w:rPr>
        <w:t>recovery,</w:t>
      </w:r>
      <w:r w:rsidR="00E36CBF" w:rsidRPr="00A25982">
        <w:rPr>
          <w:rFonts w:ascii="Arial" w:hAnsi="Arial" w:cs="Arial"/>
        </w:rPr>
        <w:t xml:space="preserve"> </w:t>
      </w:r>
      <w:r w:rsidR="001C700D" w:rsidRPr="00A25982">
        <w:rPr>
          <w:rFonts w:ascii="Arial" w:hAnsi="Arial" w:cs="Arial"/>
        </w:rPr>
        <w:t xml:space="preserve">and </w:t>
      </w:r>
      <w:r w:rsidR="00E36CBF" w:rsidRPr="00A25982">
        <w:rPr>
          <w:rFonts w:ascii="Arial" w:hAnsi="Arial" w:cs="Arial"/>
        </w:rPr>
        <w:t xml:space="preserve">enable cumulative learning post-disruption. These </w:t>
      </w:r>
      <w:r w:rsidR="001C700D" w:rsidRPr="00A25982">
        <w:rPr>
          <w:rFonts w:ascii="Arial" w:hAnsi="Arial" w:cs="Arial"/>
        </w:rPr>
        <w:t xml:space="preserve">modes of anticipation and reactive </w:t>
      </w:r>
      <w:r w:rsidR="00E36CBF" w:rsidRPr="00A25982">
        <w:rPr>
          <w:rFonts w:ascii="Arial" w:hAnsi="Arial" w:cs="Arial"/>
        </w:rPr>
        <w:t xml:space="preserve">strategies have been the focus of much prior </w:t>
      </w:r>
      <w:r w:rsidR="009E5037" w:rsidRPr="00A25982">
        <w:rPr>
          <w:rFonts w:ascii="Arial" w:hAnsi="Arial" w:cs="Arial"/>
        </w:rPr>
        <w:t xml:space="preserve">supply chain </w:t>
      </w:r>
      <w:r w:rsidR="00E36CBF" w:rsidRPr="00A25982">
        <w:rPr>
          <w:rFonts w:ascii="Arial" w:hAnsi="Arial" w:cs="Arial"/>
        </w:rPr>
        <w:t xml:space="preserve">research </w:t>
      </w:r>
      <w:r w:rsidR="001C700D" w:rsidRPr="00A25982">
        <w:rPr>
          <w:rFonts w:ascii="Arial" w:hAnsi="Arial" w:cs="Arial"/>
        </w:rPr>
        <w:t xml:space="preserve">employed to build resilience </w:t>
      </w:r>
      <w:r w:rsidR="00E36CBF" w:rsidRPr="00A25982">
        <w:rPr>
          <w:rFonts w:ascii="Arial" w:hAnsi="Arial" w:cs="Arial"/>
        </w:rPr>
        <w:t xml:space="preserve">(Ali </w:t>
      </w:r>
      <w:r w:rsidR="00E36CBF" w:rsidRPr="00A25982">
        <w:rPr>
          <w:rFonts w:ascii="Arial" w:hAnsi="Arial" w:cs="Arial"/>
          <w:i/>
        </w:rPr>
        <w:t>et al</w:t>
      </w:r>
      <w:r w:rsidR="00E36CBF" w:rsidRPr="00A25982">
        <w:rPr>
          <w:rFonts w:ascii="Arial" w:hAnsi="Arial" w:cs="Arial"/>
        </w:rPr>
        <w:t xml:space="preserve">., 2017). </w:t>
      </w:r>
      <w:r w:rsidR="00847446" w:rsidRPr="00A25982">
        <w:rPr>
          <w:rFonts w:ascii="Arial" w:hAnsi="Arial" w:cs="Arial"/>
        </w:rPr>
        <w:t xml:space="preserve">  </w:t>
      </w:r>
    </w:p>
    <w:p w14:paraId="65D76869" w14:textId="631620B2" w:rsidR="00D14A01" w:rsidRPr="00A25982" w:rsidRDefault="00D14A01" w:rsidP="00A25982">
      <w:pPr>
        <w:ind w:firstLine="284"/>
        <w:jc w:val="both"/>
        <w:rPr>
          <w:rFonts w:ascii="Arial" w:hAnsi="Arial" w:cs="Arial"/>
        </w:rPr>
      </w:pPr>
      <w:r w:rsidRPr="00A25982">
        <w:rPr>
          <w:rFonts w:ascii="Arial" w:hAnsi="Arial" w:cs="Arial"/>
        </w:rPr>
        <w:t xml:space="preserve">The list of strategies </w:t>
      </w:r>
      <w:r w:rsidR="00E36CBF" w:rsidRPr="00A25982">
        <w:rPr>
          <w:rFonts w:ascii="Arial" w:hAnsi="Arial" w:cs="Arial"/>
        </w:rPr>
        <w:t xml:space="preserve">studied in the extant literature </w:t>
      </w:r>
      <w:r w:rsidRPr="00A25982">
        <w:rPr>
          <w:rFonts w:ascii="Arial" w:hAnsi="Arial" w:cs="Arial"/>
        </w:rPr>
        <w:t xml:space="preserve">includes broad approaches such as improving flexibility, creating redundancy, improving supply chain agility, and enhancing visibility (e.g. Hohenstein </w:t>
      </w:r>
      <w:r w:rsidRPr="00A25982">
        <w:rPr>
          <w:rFonts w:ascii="Arial" w:hAnsi="Arial" w:cs="Arial"/>
          <w:i/>
        </w:rPr>
        <w:t>et al.</w:t>
      </w:r>
      <w:r w:rsidRPr="00A25982">
        <w:rPr>
          <w:rFonts w:ascii="Arial" w:hAnsi="Arial" w:cs="Arial"/>
        </w:rPr>
        <w:t xml:space="preserve">, 2015). Other, more specific practices include information sharing (Brandon-Jones </w:t>
      </w:r>
      <w:r w:rsidRPr="00A25982">
        <w:rPr>
          <w:rFonts w:ascii="Arial" w:hAnsi="Arial" w:cs="Arial"/>
          <w:i/>
        </w:rPr>
        <w:t>et al.,</w:t>
      </w:r>
      <w:r w:rsidRPr="00A25982">
        <w:rPr>
          <w:rFonts w:ascii="Arial" w:hAnsi="Arial" w:cs="Arial"/>
        </w:rPr>
        <w:t xml:space="preserve"> 2014) and reconfiguring resources (</w:t>
      </w:r>
      <w:proofErr w:type="spellStart"/>
      <w:r w:rsidRPr="00A25982">
        <w:rPr>
          <w:rFonts w:ascii="Arial" w:hAnsi="Arial" w:cs="Arial"/>
        </w:rPr>
        <w:t>Ambulkar</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2015). Meanwhile, this literature also </w:t>
      </w:r>
      <w:r w:rsidRPr="00A25982">
        <w:rPr>
          <w:rFonts w:ascii="Arial" w:hAnsi="Arial" w:cs="Arial"/>
        </w:rPr>
        <w:lastRenderedPageBreak/>
        <w:t xml:space="preserve">highlights the role of supply chain collaboration, appropriate supplier selection, and supply chain network design in developing resilience (e.g. Scholten </w:t>
      </w:r>
      <w:r w:rsidRPr="00A25982">
        <w:rPr>
          <w:rFonts w:ascii="Arial" w:hAnsi="Arial" w:cs="Arial"/>
          <w:i/>
        </w:rPr>
        <w:t>et al</w:t>
      </w:r>
      <w:r w:rsidRPr="00A25982">
        <w:rPr>
          <w:rFonts w:ascii="Arial" w:hAnsi="Arial" w:cs="Arial"/>
        </w:rPr>
        <w:t xml:space="preserve">., 2014) – all of which are arguably linked to the motivations behind local sourcing. The strategies available for building resilience have been commonly classified into proactive and reactive strategies, depending on whether they are employed to avoid or recover from a threat (e.g. Hohenstein </w:t>
      </w:r>
      <w:r w:rsidRPr="00A25982">
        <w:rPr>
          <w:rFonts w:ascii="Arial" w:hAnsi="Arial" w:cs="Arial"/>
          <w:i/>
        </w:rPr>
        <w:t>et al.</w:t>
      </w:r>
      <w:r w:rsidRPr="00A25982">
        <w:rPr>
          <w:rFonts w:ascii="Arial" w:hAnsi="Arial" w:cs="Arial"/>
        </w:rPr>
        <w:t xml:space="preserve">, 2015; </w:t>
      </w:r>
      <w:proofErr w:type="spellStart"/>
      <w:r w:rsidRPr="00A25982">
        <w:rPr>
          <w:rFonts w:ascii="Arial" w:hAnsi="Arial" w:cs="Arial"/>
        </w:rPr>
        <w:t>Dabhilkar</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2016; </w:t>
      </w:r>
      <w:proofErr w:type="spellStart"/>
      <w:r w:rsidRPr="00A25982">
        <w:rPr>
          <w:rFonts w:ascii="Arial" w:hAnsi="Arial" w:cs="Arial"/>
        </w:rPr>
        <w:t>Tukamuhabwa</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2017). For example, building security (e.g. Rice &amp; </w:t>
      </w:r>
      <w:proofErr w:type="spellStart"/>
      <w:r w:rsidRPr="00A25982">
        <w:rPr>
          <w:rFonts w:ascii="Arial" w:hAnsi="Arial" w:cs="Arial"/>
        </w:rPr>
        <w:t>Caniato</w:t>
      </w:r>
      <w:proofErr w:type="spellEnd"/>
      <w:r w:rsidRPr="00A25982">
        <w:rPr>
          <w:rFonts w:ascii="Arial" w:hAnsi="Arial" w:cs="Arial"/>
        </w:rPr>
        <w:t xml:space="preserve">, 2003), increasing visibility (e.g. Pettit </w:t>
      </w:r>
      <w:r w:rsidRPr="00A25982">
        <w:rPr>
          <w:rFonts w:ascii="Arial" w:hAnsi="Arial" w:cs="Arial"/>
          <w:i/>
        </w:rPr>
        <w:t>et al.</w:t>
      </w:r>
      <w:r w:rsidRPr="00A25982">
        <w:rPr>
          <w:rFonts w:ascii="Arial" w:hAnsi="Arial" w:cs="Arial"/>
        </w:rPr>
        <w:t xml:space="preserve">, 2010; Carvalho </w:t>
      </w:r>
      <w:r w:rsidRPr="00A25982">
        <w:rPr>
          <w:rFonts w:ascii="Arial" w:hAnsi="Arial" w:cs="Arial"/>
          <w:i/>
        </w:rPr>
        <w:t xml:space="preserve">et al., </w:t>
      </w:r>
      <w:r w:rsidRPr="00A25982">
        <w:rPr>
          <w:rFonts w:ascii="Arial" w:hAnsi="Arial" w:cs="Arial"/>
        </w:rPr>
        <w:t xml:space="preserve">2012; Boone </w:t>
      </w:r>
      <w:r w:rsidRPr="00A25982">
        <w:rPr>
          <w:rFonts w:ascii="Arial" w:hAnsi="Arial" w:cs="Arial"/>
          <w:i/>
        </w:rPr>
        <w:t>et al.</w:t>
      </w:r>
      <w:r w:rsidRPr="00A25982">
        <w:rPr>
          <w:rFonts w:ascii="Arial" w:hAnsi="Arial" w:cs="Arial"/>
        </w:rPr>
        <w:t xml:space="preserve">, 2013), and supplier development (e.g. Tang, 2006a and 2006b) can be considered proactive strategies. Meanwhile, logistics re-routing (e.g. Wang </w:t>
      </w:r>
      <w:r w:rsidRPr="00A25982">
        <w:rPr>
          <w:rFonts w:ascii="Arial" w:hAnsi="Arial" w:cs="Arial"/>
          <w:i/>
        </w:rPr>
        <w:t>et al.,</w:t>
      </w:r>
      <w:r w:rsidRPr="00A25982">
        <w:rPr>
          <w:rFonts w:ascii="Arial" w:hAnsi="Arial" w:cs="Arial"/>
        </w:rPr>
        <w:t xml:space="preserve"> 2015), flexibility (e.g. Pettit </w:t>
      </w:r>
      <w:r w:rsidRPr="00A25982">
        <w:rPr>
          <w:rFonts w:ascii="Arial" w:hAnsi="Arial" w:cs="Arial"/>
          <w:i/>
        </w:rPr>
        <w:t>et al.</w:t>
      </w:r>
      <w:r w:rsidRPr="00A25982">
        <w:rPr>
          <w:rFonts w:ascii="Arial" w:hAnsi="Arial" w:cs="Arial"/>
        </w:rPr>
        <w:t xml:space="preserve">, 2013), and redundancy (e.g. </w:t>
      </w:r>
      <w:proofErr w:type="spellStart"/>
      <w:r w:rsidRPr="00A25982">
        <w:rPr>
          <w:rFonts w:ascii="Arial" w:hAnsi="Arial" w:cs="Arial"/>
        </w:rPr>
        <w:t>Sheffi</w:t>
      </w:r>
      <w:proofErr w:type="spellEnd"/>
      <w:r w:rsidRPr="00A25982">
        <w:rPr>
          <w:rFonts w:ascii="Arial" w:hAnsi="Arial" w:cs="Arial"/>
        </w:rPr>
        <w:t xml:space="preserve"> &amp; Rice 2005) can be considered reactive strategies. A broad strategy such as collaboration (e.g. Rice &amp; </w:t>
      </w:r>
      <w:proofErr w:type="spellStart"/>
      <w:r w:rsidRPr="00A25982">
        <w:rPr>
          <w:rFonts w:ascii="Arial" w:hAnsi="Arial" w:cs="Arial"/>
        </w:rPr>
        <w:t>Caniato</w:t>
      </w:r>
      <w:proofErr w:type="spellEnd"/>
      <w:r w:rsidRPr="00A25982">
        <w:rPr>
          <w:rFonts w:ascii="Arial" w:hAnsi="Arial" w:cs="Arial"/>
        </w:rPr>
        <w:t xml:space="preserve">, 2004; </w:t>
      </w:r>
      <w:proofErr w:type="spellStart"/>
      <w:r w:rsidRPr="00A25982">
        <w:rPr>
          <w:rFonts w:ascii="Arial" w:hAnsi="Arial" w:cs="Arial"/>
        </w:rPr>
        <w:t>Jüttner</w:t>
      </w:r>
      <w:proofErr w:type="spellEnd"/>
      <w:r w:rsidRPr="00A25982">
        <w:rPr>
          <w:rFonts w:ascii="Arial" w:hAnsi="Arial" w:cs="Arial"/>
        </w:rPr>
        <w:t xml:space="preserve"> &amp; </w:t>
      </w:r>
      <w:proofErr w:type="spellStart"/>
      <w:r w:rsidRPr="00A25982">
        <w:rPr>
          <w:rFonts w:ascii="Arial" w:hAnsi="Arial" w:cs="Arial"/>
        </w:rPr>
        <w:t>Maklan</w:t>
      </w:r>
      <w:proofErr w:type="spellEnd"/>
      <w:r w:rsidRPr="00A25982">
        <w:rPr>
          <w:rFonts w:ascii="Arial" w:hAnsi="Arial" w:cs="Arial"/>
        </w:rPr>
        <w:t xml:space="preserve">, 2011; Scholten &amp; </w:t>
      </w:r>
      <w:proofErr w:type="spellStart"/>
      <w:r w:rsidRPr="00A25982">
        <w:rPr>
          <w:rFonts w:ascii="Arial" w:hAnsi="Arial" w:cs="Arial"/>
        </w:rPr>
        <w:t>Schilder</w:t>
      </w:r>
      <w:proofErr w:type="spellEnd"/>
      <w:r w:rsidRPr="00A25982">
        <w:rPr>
          <w:rFonts w:ascii="Arial" w:hAnsi="Arial" w:cs="Arial"/>
        </w:rPr>
        <w:t xml:space="preserve">, 2015) however could potentially be used proactively or reactively depending on the purpose and timing of its deployment. A third category of strategies is incorporated in the classification by </w:t>
      </w:r>
      <w:proofErr w:type="spellStart"/>
      <w:r w:rsidRPr="00A25982">
        <w:rPr>
          <w:rFonts w:ascii="Arial" w:hAnsi="Arial" w:cs="Arial"/>
        </w:rPr>
        <w:t>Hollnagel</w:t>
      </w:r>
      <w:proofErr w:type="spellEnd"/>
      <w:r w:rsidRPr="00A25982">
        <w:rPr>
          <w:rFonts w:ascii="Arial" w:hAnsi="Arial" w:cs="Arial"/>
        </w:rPr>
        <w:t xml:space="preserve"> (2011) and Ali </w:t>
      </w:r>
      <w:r w:rsidRPr="00A25982">
        <w:rPr>
          <w:rFonts w:ascii="Arial" w:hAnsi="Arial" w:cs="Arial"/>
          <w:i/>
        </w:rPr>
        <w:t>et al.</w:t>
      </w:r>
      <w:r w:rsidRPr="00A25982">
        <w:rPr>
          <w:rFonts w:ascii="Arial" w:hAnsi="Arial" w:cs="Arial"/>
        </w:rPr>
        <w:t xml:space="preserve"> (2017), i.e. concurrent strategies, which </w:t>
      </w:r>
      <w:proofErr w:type="gramStart"/>
      <w:r w:rsidRPr="00A25982">
        <w:rPr>
          <w:rFonts w:ascii="Arial" w:hAnsi="Arial" w:cs="Arial"/>
        </w:rPr>
        <w:t>are considered to be</w:t>
      </w:r>
      <w:proofErr w:type="gramEnd"/>
      <w:r w:rsidRPr="00A25982">
        <w:rPr>
          <w:rFonts w:ascii="Arial" w:hAnsi="Arial" w:cs="Arial"/>
        </w:rPr>
        <w:t xml:space="preserve"> rapid, initial responses during a disruption or in the immediate post-disruption phase somewhere between planning and recovery. Meanwhile, other authors adopt </w:t>
      </w:r>
      <w:r w:rsidRPr="00A25982">
        <w:rPr>
          <w:rFonts w:ascii="Arial" w:hAnsi="Arial" w:cs="Arial"/>
          <w:noProof/>
        </w:rPr>
        <w:t>completely</w:t>
      </w:r>
      <w:r w:rsidRPr="00A25982">
        <w:rPr>
          <w:rFonts w:ascii="Arial" w:hAnsi="Arial" w:cs="Arial"/>
        </w:rPr>
        <w:t xml:space="preserve"> different classification schemes for strategies, e.g. based on whether a strategy builds robustness or agility (Wieland &amp; </w:t>
      </w:r>
      <w:proofErr w:type="spellStart"/>
      <w:r w:rsidRPr="00A25982">
        <w:rPr>
          <w:rFonts w:ascii="Arial" w:hAnsi="Arial" w:cs="Arial"/>
        </w:rPr>
        <w:t>Wallenburg</w:t>
      </w:r>
      <w:proofErr w:type="spellEnd"/>
      <w:r w:rsidRPr="00A25982">
        <w:rPr>
          <w:rFonts w:ascii="Arial" w:hAnsi="Arial" w:cs="Arial"/>
        </w:rPr>
        <w:t xml:space="preserve">, 2013) or based on whether a strategy is adopted by a single firm or group of actors (Scholten and </w:t>
      </w:r>
      <w:proofErr w:type="spellStart"/>
      <w:r w:rsidRPr="00A25982">
        <w:rPr>
          <w:rFonts w:ascii="Arial" w:hAnsi="Arial" w:cs="Arial"/>
        </w:rPr>
        <w:t>Schilder</w:t>
      </w:r>
      <w:proofErr w:type="spellEnd"/>
      <w:r w:rsidRPr="00A25982">
        <w:rPr>
          <w:rFonts w:ascii="Arial" w:hAnsi="Arial" w:cs="Arial"/>
        </w:rPr>
        <w:t xml:space="preserve">, 2015). A more detailed discussion of the strategies firms might adopt to build resilience and how those strategies might be classified is included in </w:t>
      </w:r>
      <w:proofErr w:type="spellStart"/>
      <w:r w:rsidRPr="00A25982">
        <w:rPr>
          <w:rFonts w:ascii="Arial" w:hAnsi="Arial" w:cs="Arial"/>
        </w:rPr>
        <w:t>Tukamuhabwa</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(2015 and 2017).</w:t>
      </w:r>
    </w:p>
    <w:p w14:paraId="4BECC64B" w14:textId="5DAC475D" w:rsidR="00D10804" w:rsidRPr="00A25982" w:rsidRDefault="00D10804" w:rsidP="00A25982">
      <w:pPr>
        <w:ind w:firstLine="284"/>
        <w:jc w:val="both"/>
        <w:rPr>
          <w:rFonts w:ascii="Arial" w:hAnsi="Arial" w:cs="Arial"/>
        </w:rPr>
      </w:pPr>
      <w:r w:rsidRPr="00A25982">
        <w:rPr>
          <w:rFonts w:ascii="Arial" w:hAnsi="Arial" w:cs="Arial"/>
        </w:rPr>
        <w:t>The extant literature is currently dominated by modelling</w:t>
      </w:r>
      <w:r w:rsidR="00F71AC8" w:rsidRPr="00A25982">
        <w:rPr>
          <w:rFonts w:ascii="Arial" w:hAnsi="Arial" w:cs="Arial"/>
        </w:rPr>
        <w:t xml:space="preserve"> </w:t>
      </w:r>
      <w:r w:rsidRPr="00A25982">
        <w:rPr>
          <w:rFonts w:ascii="Arial" w:hAnsi="Arial" w:cs="Arial"/>
        </w:rPr>
        <w:t>and conceptual work</w:t>
      </w:r>
      <w:r w:rsidR="003D41B3" w:rsidRPr="00A25982">
        <w:rPr>
          <w:rFonts w:ascii="Arial" w:hAnsi="Arial" w:cs="Arial"/>
        </w:rPr>
        <w:t>,</w:t>
      </w:r>
      <w:r w:rsidRPr="00A25982">
        <w:rPr>
          <w:rFonts w:ascii="Arial" w:hAnsi="Arial" w:cs="Arial"/>
        </w:rPr>
        <w:t xml:space="preserve"> e.g. with several authors calling for more empirical studies on </w:t>
      </w:r>
      <w:proofErr w:type="spellStart"/>
      <w:r w:rsidRPr="00A25982">
        <w:rPr>
          <w:rFonts w:ascii="Arial" w:hAnsi="Arial" w:cs="Arial"/>
        </w:rPr>
        <w:t>SCRes</w:t>
      </w:r>
      <w:proofErr w:type="spellEnd"/>
      <w:r w:rsidRPr="00A25982">
        <w:rPr>
          <w:rFonts w:ascii="Arial" w:hAnsi="Arial" w:cs="Arial"/>
        </w:rPr>
        <w:t xml:space="preserve"> (e.g. </w:t>
      </w:r>
      <w:proofErr w:type="spellStart"/>
      <w:r w:rsidRPr="00A25982">
        <w:rPr>
          <w:rFonts w:ascii="Arial" w:hAnsi="Arial" w:cs="Arial"/>
        </w:rPr>
        <w:t>Ambulkar</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2015; Hohenstein </w:t>
      </w:r>
      <w:r w:rsidRPr="00A25982">
        <w:rPr>
          <w:rFonts w:ascii="Arial" w:hAnsi="Arial" w:cs="Arial"/>
          <w:i/>
        </w:rPr>
        <w:t>et al.,</w:t>
      </w:r>
      <w:r w:rsidRPr="00A25982">
        <w:rPr>
          <w:rFonts w:ascii="Arial" w:hAnsi="Arial" w:cs="Arial"/>
        </w:rPr>
        <w:t xml:space="preserve"> 2015). Meanwhile, Kim </w:t>
      </w:r>
      <w:r w:rsidRPr="00A25982">
        <w:rPr>
          <w:rFonts w:ascii="Arial" w:hAnsi="Arial" w:cs="Arial"/>
          <w:i/>
        </w:rPr>
        <w:t>et al</w:t>
      </w:r>
      <w:r w:rsidRPr="00A25982">
        <w:rPr>
          <w:rFonts w:ascii="Arial" w:hAnsi="Arial" w:cs="Arial"/>
        </w:rPr>
        <w:t>. (2015) argued that resilience should be</w:t>
      </w:r>
      <w:r w:rsidRPr="00A25982">
        <w:rPr>
          <w:rFonts w:ascii="Arial" w:hAnsi="Arial" w:cs="Arial"/>
          <w:lang w:val="en-US"/>
        </w:rPr>
        <w:t xml:space="preserve"> </w:t>
      </w:r>
      <w:r w:rsidRPr="00A25982">
        <w:rPr>
          <w:rFonts w:ascii="Arial" w:hAnsi="Arial" w:cs="Arial"/>
        </w:rPr>
        <w:t xml:space="preserve">analysed from a network perspective, with most studies on </w:t>
      </w:r>
      <w:proofErr w:type="spellStart"/>
      <w:r w:rsidRPr="00A25982">
        <w:rPr>
          <w:rFonts w:ascii="Arial" w:hAnsi="Arial" w:cs="Arial"/>
        </w:rPr>
        <w:t>SCRes</w:t>
      </w:r>
      <w:proofErr w:type="spellEnd"/>
      <w:r w:rsidRPr="00A25982">
        <w:rPr>
          <w:rFonts w:ascii="Arial" w:hAnsi="Arial" w:cs="Arial"/>
        </w:rPr>
        <w:t xml:space="preserve"> being conducted at the firm level. </w:t>
      </w:r>
      <w:r w:rsidR="000422C1" w:rsidRPr="00A25982">
        <w:rPr>
          <w:rFonts w:ascii="Arial" w:hAnsi="Arial" w:cs="Arial"/>
        </w:rPr>
        <w:t xml:space="preserve">A rare study to examine resilience across a network of interrelated firms was conducted by </w:t>
      </w:r>
      <w:proofErr w:type="spellStart"/>
      <w:r w:rsidR="000422C1" w:rsidRPr="00A25982">
        <w:rPr>
          <w:rFonts w:ascii="Arial" w:hAnsi="Arial" w:cs="Arial"/>
        </w:rPr>
        <w:t>Tukamuhabwa</w:t>
      </w:r>
      <w:proofErr w:type="spellEnd"/>
      <w:r w:rsidR="000422C1" w:rsidRPr="00A25982">
        <w:rPr>
          <w:rFonts w:ascii="Arial" w:hAnsi="Arial" w:cs="Arial"/>
        </w:rPr>
        <w:t xml:space="preserve"> </w:t>
      </w:r>
      <w:r w:rsidR="000422C1" w:rsidRPr="00A25982">
        <w:rPr>
          <w:rFonts w:ascii="Arial" w:hAnsi="Arial" w:cs="Arial"/>
          <w:i/>
        </w:rPr>
        <w:t>et al.</w:t>
      </w:r>
      <w:r w:rsidR="000422C1" w:rsidRPr="00A25982">
        <w:rPr>
          <w:rFonts w:ascii="Arial" w:hAnsi="Arial" w:cs="Arial"/>
        </w:rPr>
        <w:t xml:space="preserve"> (2017). This proved </w:t>
      </w:r>
      <w:r w:rsidR="000422C1" w:rsidRPr="00A25982">
        <w:rPr>
          <w:rFonts w:ascii="Arial" w:hAnsi="Arial" w:cs="Arial"/>
          <w:noProof/>
        </w:rPr>
        <w:t>important</w:t>
      </w:r>
      <w:r w:rsidR="000422C1" w:rsidRPr="00A25982">
        <w:rPr>
          <w:rFonts w:ascii="Arial" w:hAnsi="Arial" w:cs="Arial"/>
        </w:rPr>
        <w:t xml:space="preserve"> in highlighting the inter-relatedness of threats, strategies</w:t>
      </w:r>
      <w:r w:rsidR="009E5037" w:rsidRPr="00A25982">
        <w:rPr>
          <w:rFonts w:ascii="Arial" w:hAnsi="Arial" w:cs="Arial"/>
        </w:rPr>
        <w:t>,</w:t>
      </w:r>
      <w:r w:rsidR="000422C1" w:rsidRPr="00A25982">
        <w:rPr>
          <w:rFonts w:ascii="Arial" w:hAnsi="Arial" w:cs="Arial"/>
        </w:rPr>
        <w:t xml:space="preserve"> and their outcomes; and how threats can migrate from one </w:t>
      </w:r>
      <w:r w:rsidR="003C09CD" w:rsidRPr="00A25982">
        <w:rPr>
          <w:rFonts w:ascii="Arial" w:hAnsi="Arial" w:cs="Arial"/>
        </w:rPr>
        <w:t>actor</w:t>
      </w:r>
      <w:r w:rsidR="000422C1" w:rsidRPr="00A25982">
        <w:rPr>
          <w:rFonts w:ascii="Arial" w:hAnsi="Arial" w:cs="Arial"/>
        </w:rPr>
        <w:t xml:space="preserve"> to another across the network. </w:t>
      </w:r>
      <w:r w:rsidR="00A03B17" w:rsidRPr="00A25982">
        <w:rPr>
          <w:rFonts w:ascii="Arial" w:hAnsi="Arial" w:cs="Arial"/>
        </w:rPr>
        <w:t>Therefore</w:t>
      </w:r>
      <w:r w:rsidRPr="00A25982">
        <w:rPr>
          <w:rFonts w:ascii="Arial" w:hAnsi="Arial" w:cs="Arial"/>
        </w:rPr>
        <w:t>, not only is more empirical work required but it is</w:t>
      </w:r>
      <w:r w:rsidR="000422C1" w:rsidRPr="00A25982">
        <w:rPr>
          <w:rFonts w:ascii="Arial" w:hAnsi="Arial" w:cs="Arial"/>
        </w:rPr>
        <w:t xml:space="preserve"> argued to be </w:t>
      </w:r>
      <w:r w:rsidRPr="00A25982">
        <w:rPr>
          <w:rFonts w:ascii="Arial" w:hAnsi="Arial" w:cs="Arial"/>
          <w:noProof/>
        </w:rPr>
        <w:t>important</w:t>
      </w:r>
      <w:r w:rsidRPr="00A25982">
        <w:rPr>
          <w:rFonts w:ascii="Arial" w:hAnsi="Arial" w:cs="Arial"/>
        </w:rPr>
        <w:t xml:space="preserve"> to look </w:t>
      </w:r>
      <w:r w:rsidR="000422C1" w:rsidRPr="00A25982">
        <w:rPr>
          <w:rFonts w:ascii="Arial" w:hAnsi="Arial" w:cs="Arial"/>
        </w:rPr>
        <w:t xml:space="preserve">further </w:t>
      </w:r>
      <w:r w:rsidRPr="00A25982">
        <w:rPr>
          <w:rFonts w:ascii="Arial" w:hAnsi="Arial" w:cs="Arial"/>
        </w:rPr>
        <w:t xml:space="preserve">at resilience across </w:t>
      </w:r>
      <w:r w:rsidR="0005478B" w:rsidRPr="00A25982">
        <w:rPr>
          <w:rFonts w:ascii="Arial" w:hAnsi="Arial" w:cs="Arial"/>
        </w:rPr>
        <w:t>multiple levels of the supply chain</w:t>
      </w:r>
      <w:r w:rsidRPr="00A25982">
        <w:rPr>
          <w:rFonts w:ascii="Arial" w:hAnsi="Arial" w:cs="Arial"/>
        </w:rPr>
        <w:t xml:space="preserve">. </w:t>
      </w:r>
    </w:p>
    <w:p w14:paraId="521C7DD8" w14:textId="0E994777" w:rsidR="00144FAA" w:rsidRPr="00A25982" w:rsidRDefault="00D10804" w:rsidP="00A25982">
      <w:pPr>
        <w:ind w:firstLine="284"/>
        <w:jc w:val="both"/>
        <w:rPr>
          <w:rFonts w:ascii="Arial" w:hAnsi="Arial" w:cs="Arial"/>
        </w:rPr>
      </w:pPr>
      <w:r w:rsidRPr="00A25982">
        <w:rPr>
          <w:rFonts w:ascii="Arial" w:hAnsi="Arial" w:cs="Arial"/>
        </w:rPr>
        <w:t xml:space="preserve">Some of the few prior case study contributions have </w:t>
      </w:r>
      <w:r w:rsidR="006061E5" w:rsidRPr="00A25982">
        <w:rPr>
          <w:rFonts w:ascii="Arial" w:hAnsi="Arial" w:cs="Arial"/>
        </w:rPr>
        <w:t>focused on specific</w:t>
      </w:r>
      <w:r w:rsidRPr="00A25982">
        <w:rPr>
          <w:rFonts w:ascii="Arial" w:hAnsi="Arial" w:cs="Arial"/>
        </w:rPr>
        <w:t xml:space="preserve"> industries</w:t>
      </w:r>
      <w:r w:rsidR="006061E5" w:rsidRPr="00A25982">
        <w:rPr>
          <w:rFonts w:ascii="Arial" w:hAnsi="Arial" w:cs="Arial"/>
        </w:rPr>
        <w:t>, f</w:t>
      </w:r>
      <w:r w:rsidRPr="00A25982">
        <w:rPr>
          <w:rFonts w:ascii="Arial" w:hAnsi="Arial" w:cs="Arial"/>
        </w:rPr>
        <w:t xml:space="preserve">or </w:t>
      </w:r>
      <w:r w:rsidRPr="00A25982">
        <w:rPr>
          <w:rFonts w:ascii="Arial" w:hAnsi="Arial" w:cs="Arial"/>
          <w:noProof/>
        </w:rPr>
        <w:t>example</w:t>
      </w:r>
      <w:r w:rsidR="006061E5" w:rsidRPr="00A25982">
        <w:rPr>
          <w:rFonts w:ascii="Arial" w:hAnsi="Arial" w:cs="Arial"/>
          <w:noProof/>
        </w:rPr>
        <w:t>:</w:t>
      </w:r>
      <w:r w:rsidRPr="00A25982">
        <w:rPr>
          <w:rFonts w:ascii="Arial" w:hAnsi="Arial" w:cs="Arial"/>
        </w:rPr>
        <w:t xml:space="preserve"> Johnson </w:t>
      </w:r>
      <w:r w:rsidRPr="00A25982">
        <w:rPr>
          <w:rFonts w:ascii="Arial" w:hAnsi="Arial" w:cs="Arial"/>
          <w:i/>
        </w:rPr>
        <w:t>et al</w:t>
      </w:r>
      <w:r w:rsidRPr="00A25982">
        <w:rPr>
          <w:rFonts w:ascii="Arial" w:hAnsi="Arial" w:cs="Arial"/>
        </w:rPr>
        <w:t xml:space="preserve">. (2013) investigated social capital and </w:t>
      </w:r>
      <w:proofErr w:type="spellStart"/>
      <w:r w:rsidRPr="00A25982">
        <w:rPr>
          <w:rFonts w:ascii="Arial" w:hAnsi="Arial" w:cs="Arial"/>
        </w:rPr>
        <w:t>SCRes</w:t>
      </w:r>
      <w:proofErr w:type="spellEnd"/>
      <w:r w:rsidRPr="00A25982">
        <w:rPr>
          <w:rFonts w:ascii="Arial" w:hAnsi="Arial" w:cs="Arial"/>
        </w:rPr>
        <w:t xml:space="preserve"> in the context of a UK rail crash</w:t>
      </w:r>
      <w:r w:rsidRPr="00A25982">
        <w:rPr>
          <w:rFonts w:ascii="Arial" w:hAnsi="Arial" w:cs="Arial"/>
          <w:noProof/>
        </w:rPr>
        <w:t>; and</w:t>
      </w:r>
      <w:r w:rsidRPr="00A25982">
        <w:rPr>
          <w:rFonts w:ascii="Arial" w:hAnsi="Arial" w:cs="Arial"/>
        </w:rPr>
        <w:t xml:space="preserve"> </w:t>
      </w:r>
      <w:proofErr w:type="spellStart"/>
      <w:r w:rsidRPr="00A25982">
        <w:rPr>
          <w:rFonts w:ascii="Arial" w:hAnsi="Arial" w:cs="Arial"/>
        </w:rPr>
        <w:t>Urciuoli</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(2014) examined strategies for building the resilience of energy supply chains. There is a need to conduct further in-depth research </w:t>
      </w:r>
      <w:proofErr w:type="gramStart"/>
      <w:r w:rsidRPr="00A25982">
        <w:rPr>
          <w:rFonts w:ascii="Arial" w:hAnsi="Arial" w:cs="Arial"/>
        </w:rPr>
        <w:t>in particular industries</w:t>
      </w:r>
      <w:proofErr w:type="gramEnd"/>
      <w:r w:rsidRPr="00A25982">
        <w:rPr>
          <w:rFonts w:ascii="Arial" w:hAnsi="Arial" w:cs="Arial"/>
        </w:rPr>
        <w:t xml:space="preserve">, including the food industry, which has faced a number of disruptions in recent years (e.g. </w:t>
      </w:r>
      <w:proofErr w:type="spellStart"/>
      <w:r w:rsidRPr="00A25982">
        <w:rPr>
          <w:rFonts w:ascii="Arial" w:hAnsi="Arial" w:cs="Arial"/>
        </w:rPr>
        <w:t>Marucheck</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2011). To the best of our knowledge, the only </w:t>
      </w:r>
      <w:proofErr w:type="spellStart"/>
      <w:r w:rsidRPr="00A25982">
        <w:rPr>
          <w:rFonts w:ascii="Arial" w:hAnsi="Arial" w:cs="Arial"/>
        </w:rPr>
        <w:t>SCRes</w:t>
      </w:r>
      <w:proofErr w:type="spellEnd"/>
      <w:r w:rsidRPr="00A25982">
        <w:rPr>
          <w:rFonts w:ascii="Arial" w:hAnsi="Arial" w:cs="Arial"/>
        </w:rPr>
        <w:t xml:space="preserve"> stud</w:t>
      </w:r>
      <w:r w:rsidR="001C700D" w:rsidRPr="00A25982">
        <w:rPr>
          <w:rFonts w:ascii="Arial" w:hAnsi="Arial" w:cs="Arial"/>
        </w:rPr>
        <w:t>ies</w:t>
      </w:r>
      <w:r w:rsidRPr="00A25982">
        <w:rPr>
          <w:rFonts w:ascii="Arial" w:hAnsi="Arial" w:cs="Arial"/>
        </w:rPr>
        <w:t xml:space="preserve"> that ha</w:t>
      </w:r>
      <w:r w:rsidR="001C700D" w:rsidRPr="00A25982">
        <w:rPr>
          <w:rFonts w:ascii="Arial" w:hAnsi="Arial" w:cs="Arial"/>
        </w:rPr>
        <w:t>ve</w:t>
      </w:r>
      <w:r w:rsidRPr="00A25982">
        <w:rPr>
          <w:rFonts w:ascii="Arial" w:hAnsi="Arial" w:cs="Arial"/>
        </w:rPr>
        <w:t xml:space="preserve"> </w:t>
      </w:r>
      <w:r w:rsidR="00792A98" w:rsidRPr="00A25982">
        <w:rPr>
          <w:rFonts w:ascii="Arial" w:hAnsi="Arial" w:cs="Arial"/>
          <w:noProof/>
          <w:lang w:eastAsia="zh-CN"/>
        </w:rPr>
        <w:t xml:space="preserve">explicitly </w:t>
      </w:r>
      <w:r w:rsidRPr="00A25982">
        <w:rPr>
          <w:rFonts w:ascii="Arial" w:hAnsi="Arial" w:cs="Arial"/>
          <w:noProof/>
        </w:rPr>
        <w:t xml:space="preserve">focused </w:t>
      </w:r>
      <w:r w:rsidRPr="00A25982">
        <w:rPr>
          <w:rFonts w:ascii="Arial" w:hAnsi="Arial" w:cs="Arial"/>
        </w:rPr>
        <w:t xml:space="preserve">on </w:t>
      </w:r>
      <w:r w:rsidR="00DC5146" w:rsidRPr="00A25982">
        <w:rPr>
          <w:rFonts w:ascii="Arial" w:hAnsi="Arial" w:cs="Arial"/>
        </w:rPr>
        <w:t xml:space="preserve">issues in </w:t>
      </w:r>
      <w:r w:rsidRPr="00A25982">
        <w:rPr>
          <w:rFonts w:ascii="Arial" w:hAnsi="Arial" w:cs="Arial"/>
        </w:rPr>
        <w:t xml:space="preserve">the food industry </w:t>
      </w:r>
      <w:r w:rsidR="001C700D" w:rsidRPr="00A25982">
        <w:rPr>
          <w:rFonts w:ascii="Arial" w:hAnsi="Arial" w:cs="Arial"/>
        </w:rPr>
        <w:t>are</w:t>
      </w:r>
      <w:r w:rsidRPr="00A25982">
        <w:rPr>
          <w:rFonts w:ascii="Arial" w:hAnsi="Arial" w:cs="Arial"/>
        </w:rPr>
        <w:t xml:space="preserve"> </w:t>
      </w:r>
      <w:r w:rsidR="001C700D" w:rsidRPr="00A25982">
        <w:rPr>
          <w:rFonts w:ascii="Arial" w:hAnsi="Arial" w:cs="Arial"/>
        </w:rPr>
        <w:t xml:space="preserve">the conceptual study by Stone &amp; </w:t>
      </w:r>
      <w:proofErr w:type="spellStart"/>
      <w:r w:rsidR="001C700D" w:rsidRPr="00A25982">
        <w:rPr>
          <w:rFonts w:ascii="Arial" w:hAnsi="Arial" w:cs="Arial"/>
        </w:rPr>
        <w:t>Rahimifard</w:t>
      </w:r>
      <w:proofErr w:type="spellEnd"/>
      <w:r w:rsidR="001C700D" w:rsidRPr="00A25982">
        <w:rPr>
          <w:rFonts w:ascii="Arial" w:hAnsi="Arial" w:cs="Arial"/>
        </w:rPr>
        <w:t xml:space="preserve"> (2018), as discussed above, and </w:t>
      </w:r>
      <w:r w:rsidRPr="00A25982">
        <w:rPr>
          <w:rFonts w:ascii="Arial" w:hAnsi="Arial" w:cs="Arial"/>
        </w:rPr>
        <w:t xml:space="preserve">that by </w:t>
      </w:r>
      <w:proofErr w:type="spellStart"/>
      <w:r w:rsidRPr="00A25982">
        <w:rPr>
          <w:rFonts w:ascii="Arial" w:hAnsi="Arial" w:cs="Arial"/>
        </w:rPr>
        <w:t>Leat</w:t>
      </w:r>
      <w:proofErr w:type="spellEnd"/>
      <w:r w:rsidRPr="00A25982">
        <w:rPr>
          <w:rFonts w:ascii="Arial" w:hAnsi="Arial" w:cs="Arial"/>
        </w:rPr>
        <w:t xml:space="preserve"> &amp; </w:t>
      </w:r>
      <w:proofErr w:type="spellStart"/>
      <w:r w:rsidRPr="00A25982">
        <w:rPr>
          <w:rFonts w:ascii="Arial" w:hAnsi="Arial" w:cs="Arial"/>
        </w:rPr>
        <w:t>Revoredo-Giha</w:t>
      </w:r>
      <w:proofErr w:type="spellEnd"/>
      <w:r w:rsidRPr="00A25982">
        <w:rPr>
          <w:rFonts w:ascii="Arial" w:hAnsi="Arial" w:cs="Arial"/>
        </w:rPr>
        <w:t xml:space="preserve"> (2013). The </w:t>
      </w:r>
      <w:r w:rsidR="001C700D" w:rsidRPr="00A25982">
        <w:rPr>
          <w:rFonts w:ascii="Arial" w:hAnsi="Arial" w:cs="Arial"/>
        </w:rPr>
        <w:t xml:space="preserve">latter </w:t>
      </w:r>
      <w:r w:rsidRPr="00A25982">
        <w:rPr>
          <w:rFonts w:ascii="Arial" w:hAnsi="Arial" w:cs="Arial"/>
        </w:rPr>
        <w:t xml:space="preserve">authors presented a case study of a pork supply chain in Scotland with a </w:t>
      </w:r>
      <w:proofErr w:type="gramStart"/>
      <w:r w:rsidRPr="00A25982">
        <w:rPr>
          <w:rFonts w:ascii="Arial" w:hAnsi="Arial" w:cs="Arial"/>
        </w:rPr>
        <w:t>particular emphasis</w:t>
      </w:r>
      <w:proofErr w:type="gramEnd"/>
      <w:r w:rsidRPr="00A25982">
        <w:rPr>
          <w:rFonts w:ascii="Arial" w:hAnsi="Arial" w:cs="Arial"/>
        </w:rPr>
        <w:t xml:space="preserve"> on the role of collaboration in developing a more resilient agri-food supply system. For example, the authors highlighted the importance of horizontal collaboration between meat processors and vertical collaboration between processors and retailers for </w:t>
      </w:r>
      <w:r w:rsidRPr="00A25982">
        <w:rPr>
          <w:rFonts w:ascii="Arial" w:hAnsi="Arial" w:cs="Arial"/>
        </w:rPr>
        <w:lastRenderedPageBreak/>
        <w:t xml:space="preserve">reducing the vulnerability of the supply chain to disruption. </w:t>
      </w:r>
      <w:proofErr w:type="spellStart"/>
      <w:r w:rsidRPr="00A25982">
        <w:rPr>
          <w:rFonts w:ascii="Arial" w:hAnsi="Arial" w:cs="Arial"/>
        </w:rPr>
        <w:t>Leat</w:t>
      </w:r>
      <w:proofErr w:type="spellEnd"/>
      <w:r w:rsidRPr="00A25982">
        <w:rPr>
          <w:rFonts w:ascii="Arial" w:hAnsi="Arial" w:cs="Arial"/>
        </w:rPr>
        <w:t xml:space="preserve"> &amp; </w:t>
      </w:r>
      <w:proofErr w:type="spellStart"/>
      <w:r w:rsidRPr="00A25982">
        <w:rPr>
          <w:rFonts w:ascii="Arial" w:hAnsi="Arial" w:cs="Arial"/>
        </w:rPr>
        <w:t>Revoredo-Giha</w:t>
      </w:r>
      <w:proofErr w:type="spellEnd"/>
      <w:r w:rsidRPr="00A25982">
        <w:rPr>
          <w:rFonts w:ascii="Arial" w:hAnsi="Arial" w:cs="Arial"/>
        </w:rPr>
        <w:t xml:space="preserve"> (2013) noted that there is governmental interest in the concept of resilience in terms of how it relates to sustainable food supply chains and policies (e.g. Scottish Government, 2009, cited in </w:t>
      </w:r>
      <w:proofErr w:type="spellStart"/>
      <w:r w:rsidRPr="00A25982">
        <w:rPr>
          <w:rFonts w:ascii="Arial" w:hAnsi="Arial" w:cs="Arial"/>
        </w:rPr>
        <w:t>Leat</w:t>
      </w:r>
      <w:proofErr w:type="spellEnd"/>
      <w:r w:rsidRPr="00A25982">
        <w:rPr>
          <w:rFonts w:ascii="Arial" w:hAnsi="Arial" w:cs="Arial"/>
        </w:rPr>
        <w:t xml:space="preserve"> &amp; </w:t>
      </w:r>
      <w:proofErr w:type="spellStart"/>
      <w:r w:rsidRPr="00A25982">
        <w:rPr>
          <w:rFonts w:ascii="Arial" w:hAnsi="Arial" w:cs="Arial"/>
        </w:rPr>
        <w:t>Revoredo-Giha</w:t>
      </w:r>
      <w:proofErr w:type="spellEnd"/>
      <w:r w:rsidRPr="00A25982">
        <w:rPr>
          <w:rFonts w:ascii="Arial" w:hAnsi="Arial" w:cs="Arial"/>
        </w:rPr>
        <w:t xml:space="preserve">, 2013), but government policies and regulations on food are </w:t>
      </w:r>
      <w:r w:rsidRPr="00A25982">
        <w:rPr>
          <w:rFonts w:ascii="Arial" w:hAnsi="Arial" w:cs="Arial"/>
          <w:noProof/>
        </w:rPr>
        <w:t>quite</w:t>
      </w:r>
      <w:r w:rsidRPr="00A25982">
        <w:rPr>
          <w:rFonts w:ascii="Arial" w:hAnsi="Arial" w:cs="Arial"/>
        </w:rPr>
        <w:t xml:space="preserve"> different to the consequences of specific, one-off shifts such as Brexit.</w:t>
      </w:r>
      <w:r w:rsidR="00D14A01" w:rsidRPr="00A25982">
        <w:rPr>
          <w:rFonts w:ascii="Arial" w:hAnsi="Arial" w:cs="Arial"/>
        </w:rPr>
        <w:t xml:space="preserve"> </w:t>
      </w:r>
    </w:p>
    <w:p w14:paraId="667C2652" w14:textId="14D9C167" w:rsidR="00144FAA" w:rsidRPr="00A25982" w:rsidRDefault="00144FAA" w:rsidP="00A25982">
      <w:pPr>
        <w:ind w:firstLine="284"/>
        <w:jc w:val="both"/>
        <w:rPr>
          <w:rFonts w:ascii="Arial" w:hAnsi="Arial" w:cs="Arial"/>
        </w:rPr>
      </w:pPr>
      <w:r w:rsidRPr="00A25982">
        <w:rPr>
          <w:rFonts w:ascii="Arial" w:hAnsi="Arial" w:cs="Arial"/>
        </w:rPr>
        <w:t xml:space="preserve">Beyond the research specifically on </w:t>
      </w:r>
      <w:proofErr w:type="spellStart"/>
      <w:r w:rsidRPr="00A25982">
        <w:rPr>
          <w:rFonts w:ascii="Arial" w:hAnsi="Arial" w:cs="Arial"/>
        </w:rPr>
        <w:t>SCRes</w:t>
      </w:r>
      <w:proofErr w:type="spellEnd"/>
      <w:r w:rsidRPr="00A25982">
        <w:rPr>
          <w:rFonts w:ascii="Arial" w:hAnsi="Arial" w:cs="Arial"/>
        </w:rPr>
        <w:t xml:space="preserve">, there is a broad literature related to the topic of food and disruption. For example, in the context of supply chain uncertainty, </w:t>
      </w:r>
      <w:proofErr w:type="spellStart"/>
      <w:r w:rsidRPr="00A25982">
        <w:rPr>
          <w:rFonts w:ascii="Arial" w:hAnsi="Arial" w:cs="Arial"/>
        </w:rPr>
        <w:t>Simangunsong</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(2016) studied a network of firms in the food industry and highlighted the influence of unethical practices on uncertainty, including collusion and parallel interaction between firms at the same tier of the supply chain. This built on a large body of literature on supply chain uncertainty, as reviewed by </w:t>
      </w:r>
      <w:proofErr w:type="spellStart"/>
      <w:r w:rsidRPr="00A25982">
        <w:rPr>
          <w:rFonts w:ascii="Arial" w:hAnsi="Arial" w:cs="Arial"/>
        </w:rPr>
        <w:t>Simangunsong</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(2012), including the work of van der Vorst </w:t>
      </w:r>
      <w:r w:rsidRPr="00A25982">
        <w:rPr>
          <w:rFonts w:ascii="Arial" w:hAnsi="Arial" w:cs="Arial"/>
          <w:i/>
        </w:rPr>
        <w:t>et al</w:t>
      </w:r>
      <w:r w:rsidRPr="00A25982">
        <w:rPr>
          <w:rFonts w:ascii="Arial" w:hAnsi="Arial" w:cs="Arial"/>
        </w:rPr>
        <w:t>. (1998)</w:t>
      </w:r>
      <w:r w:rsidR="00DC5146" w:rsidRPr="00A25982">
        <w:rPr>
          <w:rFonts w:ascii="Arial" w:hAnsi="Arial" w:cs="Arial"/>
        </w:rPr>
        <w:t xml:space="preserve"> who </w:t>
      </w:r>
      <w:r w:rsidRPr="00A25982">
        <w:rPr>
          <w:rFonts w:ascii="Arial" w:hAnsi="Arial" w:cs="Arial"/>
        </w:rPr>
        <w:t>focused on managing sources of supply chain uncertainty to improve performance in food supply chains</w:t>
      </w:r>
      <w:r w:rsidR="00DC5146" w:rsidRPr="00A25982">
        <w:rPr>
          <w:rFonts w:ascii="Arial" w:hAnsi="Arial" w:cs="Arial"/>
        </w:rPr>
        <w:t xml:space="preserve">, outlining </w:t>
      </w:r>
      <w:r w:rsidRPr="00A25982">
        <w:rPr>
          <w:rFonts w:ascii="Arial" w:hAnsi="Arial" w:cs="Arial"/>
        </w:rPr>
        <w:t xml:space="preserve">improvement principles to increase service levels. Meanwhile, </w:t>
      </w:r>
      <w:proofErr w:type="spellStart"/>
      <w:r w:rsidRPr="00A25982">
        <w:rPr>
          <w:rFonts w:ascii="Arial" w:hAnsi="Arial" w:cs="Arial"/>
        </w:rPr>
        <w:t>Vlajic</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(2012) focused on the concept of robustness</w:t>
      </w:r>
      <w:r w:rsidR="00DC5146" w:rsidRPr="00A25982">
        <w:rPr>
          <w:rFonts w:ascii="Arial" w:hAnsi="Arial" w:cs="Arial"/>
        </w:rPr>
        <w:t>,</w:t>
      </w:r>
      <w:r w:rsidRPr="00A25982">
        <w:rPr>
          <w:rFonts w:ascii="Arial" w:hAnsi="Arial" w:cs="Arial"/>
        </w:rPr>
        <w:t xml:space="preserve"> proposing an integrated framework for the design of robust food supply chains, which the authors applied to a meat supply chain. </w:t>
      </w:r>
    </w:p>
    <w:p w14:paraId="2C979FEC" w14:textId="77CF824E" w:rsidR="00EC4547" w:rsidRPr="00A25982" w:rsidRDefault="00D10804" w:rsidP="00A25982">
      <w:pPr>
        <w:pStyle w:val="NormalWeb"/>
        <w:spacing w:before="0" w:beforeAutospacing="0" w:after="0" w:afterAutospacing="0"/>
        <w:ind w:firstLine="284"/>
        <w:jc w:val="both"/>
        <w:rPr>
          <w:rFonts w:ascii="Arial" w:hAnsi="Arial" w:cs="Arial"/>
        </w:rPr>
      </w:pPr>
      <w:r w:rsidRPr="00A25982">
        <w:rPr>
          <w:rFonts w:ascii="Arial" w:hAnsi="Arial" w:cs="Arial"/>
        </w:rPr>
        <w:t xml:space="preserve">From the </w:t>
      </w:r>
      <w:r w:rsidRPr="00A25982">
        <w:rPr>
          <w:rFonts w:ascii="Arial" w:hAnsi="Arial" w:cs="Arial"/>
          <w:noProof/>
        </w:rPr>
        <w:t>above</w:t>
      </w:r>
      <w:r w:rsidRPr="00A25982">
        <w:rPr>
          <w:rFonts w:ascii="Arial" w:hAnsi="Arial" w:cs="Arial"/>
        </w:rPr>
        <w:t xml:space="preserve"> it follows that the </w:t>
      </w:r>
      <w:proofErr w:type="spellStart"/>
      <w:r w:rsidRPr="00A25982">
        <w:rPr>
          <w:rFonts w:ascii="Arial" w:hAnsi="Arial" w:cs="Arial"/>
        </w:rPr>
        <w:t>SCRes</w:t>
      </w:r>
      <w:proofErr w:type="spellEnd"/>
      <w:r w:rsidRPr="00A25982">
        <w:rPr>
          <w:rFonts w:ascii="Arial" w:hAnsi="Arial" w:cs="Arial"/>
        </w:rPr>
        <w:t xml:space="preserve"> literature remains in its infancy. There is thus far only limited empirical research, with few studies looking at specific industries or multiple tiers of </w:t>
      </w:r>
      <w:r w:rsidR="00CA6846" w:rsidRPr="00A25982">
        <w:rPr>
          <w:rFonts w:ascii="Arial" w:hAnsi="Arial" w:cs="Arial"/>
        </w:rPr>
        <w:t>the</w:t>
      </w:r>
      <w:r w:rsidRPr="00A25982">
        <w:rPr>
          <w:rFonts w:ascii="Arial" w:hAnsi="Arial" w:cs="Arial"/>
        </w:rPr>
        <w:t xml:space="preserve"> supply chain. Moreover, much of the focus has been on the effects of large-scale catastrophic events such as earthquakes and terrorist attacks, with a need for further research that considers resilience to constitutional change. In addition to these gaps in the literature, there have also been calls for </w:t>
      </w:r>
      <w:r w:rsidRPr="00A25982">
        <w:rPr>
          <w:rFonts w:ascii="Arial" w:hAnsi="Arial" w:cs="Arial"/>
          <w:noProof/>
        </w:rPr>
        <w:t>greater</w:t>
      </w:r>
      <w:r w:rsidRPr="00A25982">
        <w:rPr>
          <w:rFonts w:ascii="Arial" w:hAnsi="Arial" w:cs="Arial"/>
        </w:rPr>
        <w:t xml:space="preserve"> use of theory to improve our understanding of </w:t>
      </w:r>
      <w:proofErr w:type="spellStart"/>
      <w:r w:rsidRPr="00A25982">
        <w:rPr>
          <w:rFonts w:ascii="Arial" w:hAnsi="Arial" w:cs="Arial"/>
        </w:rPr>
        <w:t>SCRes</w:t>
      </w:r>
      <w:proofErr w:type="spellEnd"/>
      <w:r w:rsidRPr="00A25982">
        <w:rPr>
          <w:rFonts w:ascii="Arial" w:hAnsi="Arial" w:cs="Arial"/>
        </w:rPr>
        <w:t xml:space="preserve"> (</w:t>
      </w:r>
      <w:proofErr w:type="spellStart"/>
      <w:r w:rsidRPr="00A25982">
        <w:rPr>
          <w:rFonts w:ascii="Arial" w:hAnsi="Arial" w:cs="Arial"/>
        </w:rPr>
        <w:t>Tukamuhabwa</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xml:space="preserve">., 2015). </w:t>
      </w:r>
      <w:r w:rsidR="00144FAA" w:rsidRPr="00A25982">
        <w:rPr>
          <w:rFonts w:ascii="Arial" w:hAnsi="Arial" w:cs="Arial"/>
          <w:lang w:val="en"/>
        </w:rPr>
        <w:t xml:space="preserve">The most </w:t>
      </w:r>
      <w:r w:rsidR="00144FAA" w:rsidRPr="00A25982">
        <w:rPr>
          <w:rFonts w:ascii="Arial" w:hAnsi="Arial" w:cs="Arial"/>
          <w:noProof/>
          <w:lang w:val="en"/>
        </w:rPr>
        <w:t>notable</w:t>
      </w:r>
      <w:r w:rsidR="00144FAA" w:rsidRPr="00A25982">
        <w:rPr>
          <w:rFonts w:ascii="Arial" w:hAnsi="Arial" w:cs="Arial"/>
          <w:lang w:val="en"/>
        </w:rPr>
        <w:t xml:space="preserve"> theory frames used to date are the </w:t>
      </w:r>
      <w:r w:rsidR="00144FAA" w:rsidRPr="00A25982">
        <w:rPr>
          <w:rFonts w:ascii="Arial" w:hAnsi="Arial" w:cs="Arial"/>
          <w:noProof/>
          <w:lang w:val="en"/>
        </w:rPr>
        <w:t>resource based</w:t>
      </w:r>
      <w:r w:rsidR="00144FAA" w:rsidRPr="00A25982">
        <w:rPr>
          <w:rFonts w:ascii="Arial" w:hAnsi="Arial" w:cs="Arial"/>
          <w:lang w:val="en"/>
        </w:rPr>
        <w:t xml:space="preserve"> view (e.g. </w:t>
      </w:r>
      <w:proofErr w:type="spellStart"/>
      <w:r w:rsidR="00144FAA" w:rsidRPr="00A25982">
        <w:rPr>
          <w:rFonts w:ascii="Arial" w:hAnsi="Arial" w:cs="Arial"/>
          <w:lang w:val="en"/>
        </w:rPr>
        <w:t>Ponomarov</w:t>
      </w:r>
      <w:proofErr w:type="spellEnd"/>
      <w:r w:rsidR="00144FAA" w:rsidRPr="00A25982">
        <w:rPr>
          <w:rFonts w:ascii="Arial" w:hAnsi="Arial" w:cs="Arial"/>
          <w:lang w:val="en"/>
        </w:rPr>
        <w:t xml:space="preserve"> &amp; Holcomb, 2009), systems theory (e.g. Blackhurst </w:t>
      </w:r>
      <w:r w:rsidR="00144FAA" w:rsidRPr="00A25982">
        <w:rPr>
          <w:rFonts w:ascii="Arial" w:hAnsi="Arial" w:cs="Arial"/>
          <w:i/>
          <w:lang w:val="en"/>
        </w:rPr>
        <w:t>et al</w:t>
      </w:r>
      <w:r w:rsidR="00144FAA" w:rsidRPr="00A25982">
        <w:rPr>
          <w:rFonts w:ascii="Arial" w:hAnsi="Arial" w:cs="Arial"/>
          <w:lang w:val="en"/>
        </w:rPr>
        <w:t xml:space="preserve">., 2011), contingency theory (e.g. Brandon-Jones </w:t>
      </w:r>
      <w:r w:rsidR="00144FAA" w:rsidRPr="00A25982">
        <w:rPr>
          <w:rFonts w:ascii="Arial" w:hAnsi="Arial" w:cs="Arial"/>
          <w:i/>
          <w:lang w:val="en"/>
        </w:rPr>
        <w:t>et al</w:t>
      </w:r>
      <w:r w:rsidR="00144FAA" w:rsidRPr="00A25982">
        <w:rPr>
          <w:rFonts w:ascii="Arial" w:hAnsi="Arial" w:cs="Arial"/>
          <w:lang w:val="en"/>
        </w:rPr>
        <w:t xml:space="preserve">., 2014), and complex adaptive systems theory (e.g. Day, 2014). </w:t>
      </w:r>
      <w:r w:rsidR="00144FAA" w:rsidRPr="00A25982">
        <w:rPr>
          <w:rFonts w:ascii="Arial" w:hAnsi="Arial" w:cs="Arial"/>
        </w:rPr>
        <w:t xml:space="preserve">The </w:t>
      </w:r>
      <w:r w:rsidR="00144FAA" w:rsidRPr="00A25982">
        <w:rPr>
          <w:rFonts w:ascii="Arial" w:hAnsi="Arial" w:cs="Arial"/>
          <w:noProof/>
        </w:rPr>
        <w:t>wider</w:t>
      </w:r>
      <w:r w:rsidR="00144FAA" w:rsidRPr="00A25982">
        <w:rPr>
          <w:rFonts w:ascii="Arial" w:hAnsi="Arial" w:cs="Arial"/>
        </w:rPr>
        <w:t xml:space="preserve"> literature, including the examples above, adds to our understanding of the challenges and disruptions faced by food supply chains and points to the potential of domestic supply chains for avoiding disruption and vulnerability. But even the </w:t>
      </w:r>
      <w:r w:rsidR="00144FAA" w:rsidRPr="00A25982">
        <w:rPr>
          <w:rFonts w:ascii="Arial" w:hAnsi="Arial" w:cs="Arial"/>
          <w:noProof/>
        </w:rPr>
        <w:t>wider</w:t>
      </w:r>
      <w:r w:rsidR="00144FAA" w:rsidRPr="00A25982">
        <w:rPr>
          <w:rFonts w:ascii="Arial" w:hAnsi="Arial" w:cs="Arial"/>
        </w:rPr>
        <w:t xml:space="preserve"> operations and supply chain management literature on food beyond </w:t>
      </w:r>
      <w:proofErr w:type="spellStart"/>
      <w:r w:rsidR="00144FAA" w:rsidRPr="00A25982">
        <w:rPr>
          <w:rFonts w:ascii="Arial" w:hAnsi="Arial" w:cs="Arial"/>
        </w:rPr>
        <w:t>SCRes</w:t>
      </w:r>
      <w:proofErr w:type="spellEnd"/>
      <w:r w:rsidR="00144FAA" w:rsidRPr="00A25982">
        <w:rPr>
          <w:rFonts w:ascii="Arial" w:hAnsi="Arial" w:cs="Arial"/>
        </w:rPr>
        <w:t xml:space="preserve"> does not generally consider the impact of constitutional change. </w:t>
      </w:r>
      <w:proofErr w:type="gramStart"/>
      <w:r w:rsidR="00CA6846" w:rsidRPr="00A25982">
        <w:rPr>
          <w:rFonts w:ascii="Arial" w:hAnsi="Arial" w:cs="Arial"/>
        </w:rPr>
        <w:t>Thus</w:t>
      </w:r>
      <w:proofErr w:type="gramEnd"/>
      <w:r w:rsidR="00CA6846" w:rsidRPr="00A25982">
        <w:rPr>
          <w:rFonts w:ascii="Arial" w:hAnsi="Arial" w:cs="Arial"/>
        </w:rPr>
        <w:t xml:space="preserve"> this paper addresses these research gaps </w:t>
      </w:r>
      <w:r w:rsidR="00E76ADC" w:rsidRPr="00A25982">
        <w:rPr>
          <w:rFonts w:ascii="Arial" w:hAnsi="Arial" w:cs="Arial"/>
        </w:rPr>
        <w:t xml:space="preserve">by undertaking explorative case study research </w:t>
      </w:r>
      <w:r w:rsidR="00CA6846" w:rsidRPr="00A25982">
        <w:rPr>
          <w:rFonts w:ascii="Arial" w:hAnsi="Arial" w:cs="Arial"/>
        </w:rPr>
        <w:t>and adopts a dynamic capabilities theoretical framework</w:t>
      </w:r>
      <w:r w:rsidR="00FF1EFB" w:rsidRPr="00A25982">
        <w:rPr>
          <w:rFonts w:ascii="Arial" w:hAnsi="Arial" w:cs="Arial"/>
        </w:rPr>
        <w:t>,</w:t>
      </w:r>
      <w:r w:rsidR="00CA6846" w:rsidRPr="00A25982">
        <w:rPr>
          <w:rFonts w:ascii="Arial" w:hAnsi="Arial" w:cs="Arial"/>
        </w:rPr>
        <w:t xml:space="preserve"> as </w:t>
      </w:r>
      <w:r w:rsidR="00F808A9" w:rsidRPr="00A25982">
        <w:rPr>
          <w:rFonts w:ascii="Arial" w:hAnsi="Arial" w:cs="Arial"/>
        </w:rPr>
        <w:t xml:space="preserve">further </w:t>
      </w:r>
      <w:r w:rsidR="00CA6846" w:rsidRPr="00A25982">
        <w:rPr>
          <w:rFonts w:ascii="Arial" w:hAnsi="Arial" w:cs="Arial"/>
        </w:rPr>
        <w:t>discussed below.</w:t>
      </w:r>
    </w:p>
    <w:p w14:paraId="4FDEF0AF" w14:textId="77777777" w:rsidR="00D10804" w:rsidRPr="00A25982" w:rsidRDefault="00D10804" w:rsidP="00A25982">
      <w:pPr>
        <w:pStyle w:val="NormalWeb"/>
        <w:spacing w:before="0" w:beforeAutospacing="0" w:after="0" w:afterAutospacing="0"/>
        <w:jc w:val="both"/>
        <w:rPr>
          <w:rFonts w:ascii="Arial" w:hAnsi="Arial" w:cs="Arial"/>
          <w:sz w:val="12"/>
          <w:szCs w:val="12"/>
        </w:rPr>
      </w:pPr>
    </w:p>
    <w:p w14:paraId="36C43C25" w14:textId="1177BC0B" w:rsidR="00AC6F9B" w:rsidRPr="00A25982" w:rsidRDefault="0023397A" w:rsidP="00A25982">
      <w:pPr>
        <w:pStyle w:val="NormalWeb"/>
        <w:numPr>
          <w:ilvl w:val="1"/>
          <w:numId w:val="35"/>
        </w:numPr>
        <w:spacing w:before="0" w:beforeAutospacing="0" w:after="0" w:afterAutospacing="0"/>
        <w:jc w:val="both"/>
        <w:rPr>
          <w:rFonts w:ascii="Arial" w:hAnsi="Arial" w:cs="Arial"/>
          <w:i/>
        </w:rPr>
      </w:pPr>
      <w:r w:rsidRPr="00A25982">
        <w:rPr>
          <w:rFonts w:ascii="Arial" w:hAnsi="Arial" w:cs="Arial"/>
          <w:i/>
        </w:rPr>
        <w:t xml:space="preserve">  </w:t>
      </w:r>
      <w:r w:rsidR="00AC6F9B" w:rsidRPr="00A25982">
        <w:rPr>
          <w:rFonts w:ascii="Arial" w:hAnsi="Arial" w:cs="Arial"/>
          <w:i/>
        </w:rPr>
        <w:t xml:space="preserve">Dynamic </w:t>
      </w:r>
      <w:r w:rsidR="00D95104" w:rsidRPr="00A25982">
        <w:rPr>
          <w:rFonts w:ascii="Arial" w:hAnsi="Arial" w:cs="Arial"/>
          <w:i/>
        </w:rPr>
        <w:t>C</w:t>
      </w:r>
      <w:r w:rsidR="00AC6F9B" w:rsidRPr="00A25982">
        <w:rPr>
          <w:rFonts w:ascii="Arial" w:hAnsi="Arial" w:cs="Arial"/>
          <w:i/>
        </w:rPr>
        <w:t>apabilities</w:t>
      </w:r>
    </w:p>
    <w:p w14:paraId="1786480A" w14:textId="77777777" w:rsidR="000C2323" w:rsidRPr="00A25982" w:rsidRDefault="00D10804" w:rsidP="00A25982">
      <w:pPr>
        <w:pStyle w:val="BodyA"/>
        <w:spacing w:after="0" w:line="240" w:lineRule="auto"/>
        <w:jc w:val="both"/>
        <w:rPr>
          <w:rFonts w:ascii="Arial" w:eastAsia="Times New Roman" w:hAnsi="Arial" w:cs="Arial"/>
          <w:color w:val="auto"/>
          <w:sz w:val="24"/>
          <w:szCs w:val="24"/>
        </w:rPr>
      </w:pPr>
      <w:r w:rsidRPr="00A25982">
        <w:rPr>
          <w:rStyle w:val="PageNumber"/>
          <w:rFonts w:ascii="Arial" w:hAnsi="Arial" w:cs="Arial"/>
          <w:color w:val="auto"/>
          <w:sz w:val="24"/>
          <w:szCs w:val="24"/>
        </w:rPr>
        <w:t xml:space="preserve">Teece </w:t>
      </w:r>
      <w:r w:rsidRPr="00A25982">
        <w:rPr>
          <w:rStyle w:val="PageNumber"/>
          <w:rFonts w:ascii="Arial" w:hAnsi="Arial" w:cs="Arial"/>
          <w:i/>
          <w:color w:val="auto"/>
          <w:sz w:val="24"/>
          <w:szCs w:val="24"/>
        </w:rPr>
        <w:t>et al</w:t>
      </w:r>
      <w:r w:rsidRPr="00A25982">
        <w:rPr>
          <w:rStyle w:val="PageNumber"/>
          <w:rFonts w:ascii="Arial" w:hAnsi="Arial" w:cs="Arial"/>
          <w:color w:val="auto"/>
          <w:sz w:val="24"/>
          <w:szCs w:val="24"/>
        </w:rPr>
        <w:t xml:space="preserve">. (1997) </w:t>
      </w:r>
      <w:r w:rsidRPr="00A25982">
        <w:rPr>
          <w:rFonts w:ascii="Arial" w:eastAsia="Times New Roman" w:hAnsi="Arial" w:cs="Arial"/>
          <w:color w:val="auto"/>
          <w:sz w:val="24"/>
          <w:szCs w:val="24"/>
        </w:rPr>
        <w:t xml:space="preserve">introduced the concept of dynamic capabilities, advocating that it is the ability of the firm to sense and adapt to changes in the external environment that will be key to sustainability and competitiveness. </w:t>
      </w:r>
      <w:proofErr w:type="gramStart"/>
      <w:r w:rsidR="00A062C9" w:rsidRPr="00A25982">
        <w:rPr>
          <w:rFonts w:ascii="Arial" w:eastAsia="Times New Roman" w:hAnsi="Arial" w:cs="Arial"/>
          <w:color w:val="auto"/>
          <w:sz w:val="24"/>
          <w:szCs w:val="24"/>
        </w:rPr>
        <w:t>Thus</w:t>
      </w:r>
      <w:proofErr w:type="gramEnd"/>
      <w:r w:rsidR="00A062C9" w:rsidRPr="00A25982">
        <w:rPr>
          <w:rFonts w:ascii="Arial" w:eastAsia="Times New Roman" w:hAnsi="Arial" w:cs="Arial"/>
          <w:color w:val="auto"/>
          <w:sz w:val="24"/>
          <w:szCs w:val="24"/>
        </w:rPr>
        <w:t xml:space="preserve"> d</w:t>
      </w:r>
      <w:r w:rsidRPr="00A25982">
        <w:rPr>
          <w:rFonts w:ascii="Arial" w:eastAsia="Times New Roman" w:hAnsi="Arial" w:cs="Arial"/>
          <w:color w:val="auto"/>
          <w:sz w:val="24"/>
          <w:szCs w:val="24"/>
        </w:rPr>
        <w:t xml:space="preserve">ynamic capabilities support </w:t>
      </w:r>
      <w:r w:rsidR="00F301DA" w:rsidRPr="00A25982">
        <w:rPr>
          <w:rFonts w:ascii="Arial" w:eastAsia="Times New Roman" w:hAnsi="Arial" w:cs="Arial"/>
          <w:color w:val="auto"/>
          <w:sz w:val="24"/>
          <w:szCs w:val="24"/>
        </w:rPr>
        <w:t xml:space="preserve">the </w:t>
      </w:r>
      <w:r w:rsidRPr="00A25982">
        <w:rPr>
          <w:rFonts w:ascii="Arial" w:eastAsia="Times New Roman" w:hAnsi="Arial" w:cs="Arial"/>
          <w:color w:val="auto"/>
          <w:sz w:val="24"/>
          <w:szCs w:val="24"/>
        </w:rPr>
        <w:t>renewal of competitive resources on a continuous basis, encouraging firms to ‘</w:t>
      </w:r>
      <w:r w:rsidRPr="00A25982">
        <w:rPr>
          <w:rFonts w:ascii="Arial" w:eastAsia="Times New Roman" w:hAnsi="Arial" w:cs="Arial"/>
          <w:i/>
          <w:color w:val="auto"/>
          <w:sz w:val="24"/>
          <w:szCs w:val="24"/>
        </w:rPr>
        <w:t xml:space="preserve">integrate, build and reconfigure internal and external competencies to address rapidly changing environments’ </w:t>
      </w:r>
      <w:r w:rsidRPr="00A25982">
        <w:rPr>
          <w:rFonts w:ascii="Arial" w:eastAsia="Times New Roman" w:hAnsi="Arial" w:cs="Arial"/>
          <w:color w:val="auto"/>
          <w:sz w:val="24"/>
          <w:szCs w:val="24"/>
        </w:rPr>
        <w:t xml:space="preserve">(Teece </w:t>
      </w:r>
      <w:r w:rsidRPr="00A25982">
        <w:rPr>
          <w:rFonts w:ascii="Arial" w:eastAsia="Times New Roman" w:hAnsi="Arial" w:cs="Arial"/>
          <w:i/>
          <w:color w:val="auto"/>
          <w:sz w:val="24"/>
          <w:szCs w:val="24"/>
        </w:rPr>
        <w:t>et al</w:t>
      </w:r>
      <w:r w:rsidR="008441BC" w:rsidRPr="00A25982">
        <w:rPr>
          <w:rFonts w:ascii="Arial" w:eastAsia="Times New Roman" w:hAnsi="Arial" w:cs="Arial"/>
          <w:i/>
          <w:color w:val="auto"/>
          <w:sz w:val="24"/>
          <w:szCs w:val="24"/>
        </w:rPr>
        <w:t>.</w:t>
      </w:r>
      <w:r w:rsidRPr="00A25982">
        <w:rPr>
          <w:rFonts w:ascii="Arial" w:eastAsia="Times New Roman" w:hAnsi="Arial" w:cs="Arial"/>
          <w:color w:val="auto"/>
          <w:sz w:val="24"/>
          <w:szCs w:val="24"/>
        </w:rPr>
        <w:t xml:space="preserve">, 1997, p516). Firms are </w:t>
      </w:r>
      <w:r w:rsidR="00AD5126" w:rsidRPr="00A25982">
        <w:rPr>
          <w:rFonts w:ascii="Arial" w:eastAsia="Times New Roman" w:hAnsi="Arial" w:cs="Arial"/>
          <w:color w:val="auto"/>
          <w:sz w:val="24"/>
          <w:szCs w:val="24"/>
        </w:rPr>
        <w:t>ther</w:t>
      </w:r>
      <w:r w:rsidR="00DB2749" w:rsidRPr="00A25982">
        <w:rPr>
          <w:rFonts w:ascii="Arial" w:eastAsia="Times New Roman" w:hAnsi="Arial" w:cs="Arial"/>
          <w:color w:val="auto"/>
          <w:sz w:val="24"/>
          <w:szCs w:val="24"/>
        </w:rPr>
        <w:t>e</w:t>
      </w:r>
      <w:r w:rsidR="00AD5126" w:rsidRPr="00A25982">
        <w:rPr>
          <w:rFonts w:ascii="Arial" w:eastAsia="Times New Roman" w:hAnsi="Arial" w:cs="Arial"/>
          <w:color w:val="auto"/>
          <w:sz w:val="24"/>
          <w:szCs w:val="24"/>
        </w:rPr>
        <w:t xml:space="preserve">by </w:t>
      </w:r>
      <w:r w:rsidRPr="00A25982">
        <w:rPr>
          <w:rFonts w:ascii="Arial" w:eastAsia="Times New Roman" w:hAnsi="Arial" w:cs="Arial"/>
          <w:color w:val="auto"/>
          <w:sz w:val="24"/>
          <w:szCs w:val="24"/>
        </w:rPr>
        <w:t>expected both to exploit existing resourc</w:t>
      </w:r>
      <w:r w:rsidR="000A608D" w:rsidRPr="00A25982">
        <w:rPr>
          <w:rFonts w:ascii="Arial" w:eastAsia="Times New Roman" w:hAnsi="Arial" w:cs="Arial"/>
          <w:color w:val="auto"/>
          <w:sz w:val="24"/>
          <w:szCs w:val="24"/>
        </w:rPr>
        <w:t xml:space="preserve">es and develop new capabilities, </w:t>
      </w:r>
      <w:proofErr w:type="gramStart"/>
      <w:r w:rsidRPr="00A25982">
        <w:rPr>
          <w:rFonts w:ascii="Arial" w:eastAsia="Times New Roman" w:hAnsi="Arial" w:cs="Arial"/>
          <w:color w:val="auto"/>
          <w:sz w:val="24"/>
          <w:szCs w:val="24"/>
        </w:rPr>
        <w:t>in an attempt to</w:t>
      </w:r>
      <w:proofErr w:type="gramEnd"/>
      <w:r w:rsidRPr="00A25982">
        <w:rPr>
          <w:rFonts w:ascii="Arial" w:eastAsia="Times New Roman" w:hAnsi="Arial" w:cs="Arial"/>
          <w:color w:val="auto"/>
          <w:sz w:val="24"/>
          <w:szCs w:val="24"/>
        </w:rPr>
        <w:t xml:space="preserve"> increase adaptability, longevity and competit</w:t>
      </w:r>
      <w:r w:rsidR="0063148D" w:rsidRPr="00A25982">
        <w:rPr>
          <w:rFonts w:ascii="Arial" w:eastAsia="Times New Roman" w:hAnsi="Arial" w:cs="Arial"/>
          <w:color w:val="auto"/>
          <w:sz w:val="24"/>
          <w:szCs w:val="24"/>
        </w:rPr>
        <w:t>iveness (Eisenhardt &amp; Martin, 2000</w:t>
      </w:r>
      <w:r w:rsidRPr="00A25982">
        <w:rPr>
          <w:rFonts w:ascii="Arial" w:eastAsia="Times New Roman" w:hAnsi="Arial" w:cs="Arial"/>
          <w:color w:val="auto"/>
          <w:sz w:val="24"/>
          <w:szCs w:val="24"/>
        </w:rPr>
        <w:t xml:space="preserve">). </w:t>
      </w:r>
    </w:p>
    <w:p w14:paraId="511A9DB5" w14:textId="1E37B7DF" w:rsidR="00D10804" w:rsidRPr="00A25982" w:rsidRDefault="000C2323" w:rsidP="00A25982">
      <w:pPr>
        <w:pStyle w:val="BodyA"/>
        <w:spacing w:after="0" w:line="240" w:lineRule="auto"/>
        <w:ind w:firstLine="284"/>
        <w:jc w:val="both"/>
        <w:rPr>
          <w:rFonts w:ascii="Arial" w:hAnsi="Arial" w:cs="Arial"/>
          <w:color w:val="auto"/>
          <w:sz w:val="24"/>
          <w:szCs w:val="24"/>
        </w:rPr>
      </w:pPr>
      <w:r w:rsidRPr="00A25982">
        <w:rPr>
          <w:rFonts w:ascii="Arial" w:eastAsia="Times New Roman" w:hAnsi="Arial" w:cs="Arial"/>
          <w:color w:val="auto"/>
          <w:sz w:val="24"/>
          <w:szCs w:val="24"/>
        </w:rPr>
        <w:t>D</w:t>
      </w:r>
      <w:r w:rsidR="00D10804" w:rsidRPr="00A25982">
        <w:rPr>
          <w:rFonts w:ascii="Arial" w:eastAsia="Times New Roman" w:hAnsi="Arial" w:cs="Arial"/>
          <w:color w:val="auto"/>
          <w:sz w:val="24"/>
          <w:szCs w:val="24"/>
        </w:rPr>
        <w:t>ynamic capabilities have been presented as competitive necessities in modern business</w:t>
      </w:r>
      <w:r w:rsidR="0063148D" w:rsidRPr="00A25982">
        <w:rPr>
          <w:rFonts w:ascii="Arial" w:eastAsia="Times New Roman" w:hAnsi="Arial" w:cs="Arial"/>
          <w:color w:val="auto"/>
          <w:sz w:val="24"/>
          <w:szCs w:val="24"/>
        </w:rPr>
        <w:t xml:space="preserve"> (</w:t>
      </w:r>
      <w:proofErr w:type="spellStart"/>
      <w:r w:rsidR="0063148D" w:rsidRPr="00A25982">
        <w:rPr>
          <w:rFonts w:ascii="Arial" w:eastAsia="Times New Roman" w:hAnsi="Arial" w:cs="Arial"/>
          <w:color w:val="auto"/>
          <w:sz w:val="24"/>
          <w:szCs w:val="24"/>
        </w:rPr>
        <w:t>Gebauer</w:t>
      </w:r>
      <w:proofErr w:type="spellEnd"/>
      <w:r w:rsidR="0063148D" w:rsidRPr="00A25982">
        <w:rPr>
          <w:rFonts w:ascii="Arial" w:eastAsia="Times New Roman" w:hAnsi="Arial" w:cs="Arial"/>
          <w:color w:val="auto"/>
          <w:sz w:val="24"/>
          <w:szCs w:val="24"/>
        </w:rPr>
        <w:t>, 2011</w:t>
      </w:r>
      <w:r w:rsidR="008035E3" w:rsidRPr="00A25982">
        <w:rPr>
          <w:rFonts w:ascii="Arial" w:eastAsia="Times New Roman" w:hAnsi="Arial" w:cs="Arial"/>
          <w:color w:val="auto"/>
          <w:sz w:val="24"/>
          <w:szCs w:val="24"/>
        </w:rPr>
        <w:t xml:space="preserve">; </w:t>
      </w:r>
      <w:proofErr w:type="spellStart"/>
      <w:r w:rsidR="008035E3" w:rsidRPr="00A25982">
        <w:rPr>
          <w:rFonts w:ascii="Arial" w:eastAsia="Times New Roman" w:hAnsi="Arial" w:cs="Arial"/>
          <w:color w:val="auto"/>
          <w:sz w:val="24"/>
          <w:szCs w:val="24"/>
        </w:rPr>
        <w:t>Rojo</w:t>
      </w:r>
      <w:proofErr w:type="spellEnd"/>
      <w:r w:rsidR="008035E3" w:rsidRPr="00A25982">
        <w:rPr>
          <w:rFonts w:ascii="Arial" w:eastAsia="Times New Roman" w:hAnsi="Arial" w:cs="Arial"/>
          <w:color w:val="auto"/>
          <w:sz w:val="24"/>
          <w:szCs w:val="24"/>
        </w:rPr>
        <w:t xml:space="preserve"> </w:t>
      </w:r>
      <w:r w:rsidR="008035E3" w:rsidRPr="00A25982">
        <w:rPr>
          <w:rFonts w:ascii="Arial" w:eastAsia="Times New Roman" w:hAnsi="Arial" w:cs="Arial"/>
          <w:i/>
          <w:color w:val="auto"/>
          <w:sz w:val="24"/>
          <w:szCs w:val="24"/>
        </w:rPr>
        <w:t>et al.,</w:t>
      </w:r>
      <w:r w:rsidR="008035E3" w:rsidRPr="00A25982">
        <w:rPr>
          <w:rFonts w:ascii="Arial" w:eastAsia="Times New Roman" w:hAnsi="Arial" w:cs="Arial"/>
          <w:color w:val="auto"/>
          <w:sz w:val="24"/>
          <w:szCs w:val="24"/>
        </w:rPr>
        <w:t xml:space="preserve"> 2018</w:t>
      </w:r>
      <w:r w:rsidR="0063148D" w:rsidRPr="00A25982">
        <w:rPr>
          <w:rFonts w:ascii="Arial" w:eastAsia="Times New Roman" w:hAnsi="Arial" w:cs="Arial"/>
          <w:color w:val="auto"/>
          <w:sz w:val="24"/>
          <w:szCs w:val="24"/>
        </w:rPr>
        <w:t>)</w:t>
      </w:r>
      <w:r w:rsidR="008035E3" w:rsidRPr="00A25982">
        <w:rPr>
          <w:rFonts w:ascii="Arial" w:eastAsia="Times New Roman" w:hAnsi="Arial" w:cs="Arial"/>
          <w:color w:val="auto"/>
          <w:sz w:val="24"/>
          <w:szCs w:val="24"/>
        </w:rPr>
        <w:t xml:space="preserve">, including during times of </w:t>
      </w:r>
      <w:r w:rsidR="008035E3" w:rsidRPr="00A25982">
        <w:rPr>
          <w:rFonts w:ascii="Arial" w:eastAsia="Times New Roman" w:hAnsi="Arial" w:cs="Arial"/>
          <w:color w:val="auto"/>
          <w:sz w:val="24"/>
          <w:szCs w:val="24"/>
        </w:rPr>
        <w:lastRenderedPageBreak/>
        <w:t>economic downturn (</w:t>
      </w:r>
      <w:proofErr w:type="spellStart"/>
      <w:r w:rsidR="008035E3" w:rsidRPr="00A25982">
        <w:rPr>
          <w:rFonts w:ascii="Arial" w:eastAsia="Times New Roman" w:hAnsi="Arial" w:cs="Arial"/>
          <w:color w:val="auto"/>
          <w:sz w:val="24"/>
          <w:szCs w:val="24"/>
        </w:rPr>
        <w:t>Ahn</w:t>
      </w:r>
      <w:proofErr w:type="spellEnd"/>
      <w:r w:rsidR="008035E3" w:rsidRPr="00A25982">
        <w:rPr>
          <w:rFonts w:ascii="Arial" w:eastAsia="Times New Roman" w:hAnsi="Arial" w:cs="Arial"/>
          <w:color w:val="auto"/>
          <w:sz w:val="24"/>
          <w:szCs w:val="24"/>
        </w:rPr>
        <w:t xml:space="preserve"> </w:t>
      </w:r>
      <w:r w:rsidR="008035E3" w:rsidRPr="00A25982">
        <w:rPr>
          <w:rFonts w:ascii="Arial" w:eastAsia="Times New Roman" w:hAnsi="Arial" w:cs="Arial"/>
          <w:i/>
          <w:color w:val="auto"/>
          <w:sz w:val="24"/>
          <w:szCs w:val="24"/>
        </w:rPr>
        <w:t>et al.</w:t>
      </w:r>
      <w:r w:rsidR="008035E3" w:rsidRPr="00A25982">
        <w:rPr>
          <w:rFonts w:ascii="Arial" w:eastAsia="Times New Roman" w:hAnsi="Arial" w:cs="Arial"/>
          <w:color w:val="auto"/>
          <w:sz w:val="24"/>
          <w:szCs w:val="24"/>
        </w:rPr>
        <w:t>, 2018)</w:t>
      </w:r>
      <w:r w:rsidR="00D10804" w:rsidRPr="00A25982">
        <w:rPr>
          <w:rFonts w:ascii="Arial" w:eastAsia="Times New Roman" w:hAnsi="Arial" w:cs="Arial"/>
          <w:color w:val="auto"/>
          <w:sz w:val="24"/>
          <w:szCs w:val="24"/>
        </w:rPr>
        <w:t>.</w:t>
      </w:r>
      <w:r w:rsidRPr="00A25982">
        <w:rPr>
          <w:rFonts w:ascii="Arial" w:eastAsia="Times New Roman" w:hAnsi="Arial" w:cs="Arial"/>
          <w:color w:val="auto"/>
          <w:sz w:val="24"/>
          <w:szCs w:val="24"/>
        </w:rPr>
        <w:t xml:space="preserve"> The concept </w:t>
      </w:r>
      <w:r w:rsidR="00D10804" w:rsidRPr="00A25982">
        <w:rPr>
          <w:rFonts w:ascii="Arial" w:hAnsi="Arial" w:cs="Arial"/>
          <w:color w:val="auto"/>
          <w:sz w:val="24"/>
          <w:szCs w:val="24"/>
        </w:rPr>
        <w:t xml:space="preserve">of dynamic </w:t>
      </w:r>
      <w:r w:rsidR="00F301DA" w:rsidRPr="00A25982">
        <w:rPr>
          <w:rFonts w:ascii="Arial" w:hAnsi="Arial" w:cs="Arial"/>
          <w:color w:val="auto"/>
          <w:sz w:val="24"/>
          <w:szCs w:val="24"/>
        </w:rPr>
        <w:t xml:space="preserve">capabilities </w:t>
      </w:r>
      <w:r w:rsidR="00D10804" w:rsidRPr="00A25982">
        <w:rPr>
          <w:rFonts w:ascii="Arial" w:hAnsi="Arial" w:cs="Arial"/>
          <w:color w:val="auto"/>
          <w:sz w:val="24"/>
          <w:szCs w:val="24"/>
        </w:rPr>
        <w:t xml:space="preserve">is </w:t>
      </w:r>
      <w:r w:rsidRPr="00A25982">
        <w:rPr>
          <w:rFonts w:ascii="Arial" w:hAnsi="Arial" w:cs="Arial"/>
          <w:color w:val="auto"/>
          <w:sz w:val="24"/>
          <w:szCs w:val="24"/>
        </w:rPr>
        <w:t xml:space="preserve">not however </w:t>
      </w:r>
      <w:r w:rsidR="00D10804" w:rsidRPr="00A25982">
        <w:rPr>
          <w:rFonts w:ascii="Arial" w:hAnsi="Arial" w:cs="Arial"/>
          <w:color w:val="auto"/>
          <w:sz w:val="24"/>
          <w:szCs w:val="24"/>
        </w:rPr>
        <w:t>without criticism. Indeed</w:t>
      </w:r>
      <w:r w:rsidRPr="00A25982">
        <w:rPr>
          <w:rFonts w:ascii="Arial" w:hAnsi="Arial" w:cs="Arial"/>
          <w:color w:val="auto"/>
          <w:sz w:val="24"/>
          <w:szCs w:val="24"/>
        </w:rPr>
        <w:t>,</w:t>
      </w:r>
      <w:r w:rsidR="00D10804" w:rsidRPr="00A25982">
        <w:rPr>
          <w:rFonts w:ascii="Arial" w:hAnsi="Arial" w:cs="Arial"/>
          <w:color w:val="auto"/>
          <w:sz w:val="24"/>
          <w:szCs w:val="24"/>
        </w:rPr>
        <w:t xml:space="preserve"> the dynamic </w:t>
      </w:r>
      <w:r w:rsidR="00997D23" w:rsidRPr="00A25982">
        <w:rPr>
          <w:rFonts w:ascii="Arial" w:hAnsi="Arial" w:cs="Arial"/>
          <w:color w:val="auto"/>
          <w:sz w:val="24"/>
          <w:szCs w:val="24"/>
        </w:rPr>
        <w:t xml:space="preserve">capabilities </w:t>
      </w:r>
      <w:r w:rsidR="00D10804" w:rsidRPr="00A25982">
        <w:rPr>
          <w:rFonts w:ascii="Arial" w:hAnsi="Arial" w:cs="Arial"/>
          <w:color w:val="auto"/>
          <w:sz w:val="24"/>
          <w:szCs w:val="24"/>
        </w:rPr>
        <w:t>literature has been described as tautological (Eisenhardt &amp; Martin, 2000) and obscure (</w:t>
      </w:r>
      <w:proofErr w:type="spellStart"/>
      <w:r w:rsidR="00D10804" w:rsidRPr="00A25982">
        <w:rPr>
          <w:rFonts w:ascii="Arial" w:hAnsi="Arial" w:cs="Arial"/>
          <w:color w:val="auto"/>
          <w:sz w:val="24"/>
          <w:szCs w:val="24"/>
        </w:rPr>
        <w:t>Gebauer</w:t>
      </w:r>
      <w:proofErr w:type="spellEnd"/>
      <w:r w:rsidR="00D10804" w:rsidRPr="00A25982">
        <w:rPr>
          <w:rFonts w:ascii="Arial" w:hAnsi="Arial" w:cs="Arial"/>
          <w:color w:val="auto"/>
          <w:sz w:val="24"/>
          <w:szCs w:val="24"/>
        </w:rPr>
        <w:t xml:space="preserve">, 2011). Teece </w:t>
      </w:r>
      <w:r w:rsidR="005C7C72" w:rsidRPr="00A25982">
        <w:rPr>
          <w:rFonts w:ascii="Arial" w:hAnsi="Arial" w:cs="Arial"/>
          <w:i/>
          <w:color w:val="auto"/>
        </w:rPr>
        <w:t>et al.</w:t>
      </w:r>
      <w:r w:rsidR="005C7C72" w:rsidRPr="00A25982">
        <w:rPr>
          <w:rFonts w:ascii="Arial" w:hAnsi="Arial" w:cs="Arial"/>
          <w:color w:val="auto"/>
          <w:sz w:val="24"/>
          <w:szCs w:val="24"/>
        </w:rPr>
        <w:t xml:space="preserve"> </w:t>
      </w:r>
      <w:r w:rsidRPr="00A25982">
        <w:rPr>
          <w:rFonts w:ascii="Arial" w:hAnsi="Arial" w:cs="Arial"/>
          <w:color w:val="auto"/>
          <w:sz w:val="24"/>
          <w:szCs w:val="24"/>
        </w:rPr>
        <w:t xml:space="preserve">(1997) </w:t>
      </w:r>
      <w:r w:rsidR="00997D23" w:rsidRPr="00A25982">
        <w:rPr>
          <w:rFonts w:ascii="Arial" w:hAnsi="Arial" w:cs="Arial"/>
          <w:color w:val="auto"/>
          <w:sz w:val="24"/>
          <w:szCs w:val="24"/>
        </w:rPr>
        <w:t xml:space="preserve">even </w:t>
      </w:r>
      <w:r w:rsidR="00D10804" w:rsidRPr="00A25982">
        <w:rPr>
          <w:rFonts w:ascii="Arial" w:hAnsi="Arial" w:cs="Arial"/>
          <w:color w:val="auto"/>
          <w:sz w:val="24"/>
          <w:szCs w:val="24"/>
        </w:rPr>
        <w:t>argue</w:t>
      </w:r>
      <w:r w:rsidRPr="00A25982">
        <w:rPr>
          <w:rFonts w:ascii="Arial" w:hAnsi="Arial" w:cs="Arial"/>
          <w:color w:val="auto"/>
          <w:sz w:val="24"/>
          <w:szCs w:val="24"/>
        </w:rPr>
        <w:t>d</w:t>
      </w:r>
      <w:r w:rsidR="00D10804" w:rsidRPr="00A25982">
        <w:rPr>
          <w:rFonts w:ascii="Arial" w:hAnsi="Arial" w:cs="Arial"/>
          <w:color w:val="auto"/>
          <w:sz w:val="24"/>
          <w:szCs w:val="24"/>
        </w:rPr>
        <w:t xml:space="preserve"> that dynamic capabilities cannot be defined or generalised as that would conflict </w:t>
      </w:r>
      <w:r w:rsidRPr="00A25982">
        <w:rPr>
          <w:rFonts w:ascii="Arial" w:hAnsi="Arial" w:cs="Arial"/>
          <w:color w:val="auto"/>
          <w:sz w:val="24"/>
          <w:szCs w:val="24"/>
        </w:rPr>
        <w:t xml:space="preserve">with </w:t>
      </w:r>
      <w:r w:rsidR="00D10804" w:rsidRPr="00A25982">
        <w:rPr>
          <w:rFonts w:ascii="Arial" w:hAnsi="Arial" w:cs="Arial"/>
          <w:color w:val="auto"/>
          <w:sz w:val="24"/>
          <w:szCs w:val="24"/>
        </w:rPr>
        <w:t>the competitive value</w:t>
      </w:r>
      <w:r w:rsidR="000E689E" w:rsidRPr="00A25982">
        <w:rPr>
          <w:rFonts w:ascii="Arial" w:hAnsi="Arial" w:cs="Arial"/>
          <w:color w:val="auto"/>
          <w:sz w:val="24"/>
          <w:szCs w:val="24"/>
        </w:rPr>
        <w:t>s</w:t>
      </w:r>
      <w:r w:rsidR="00D10804" w:rsidRPr="00A25982">
        <w:rPr>
          <w:rFonts w:ascii="Arial" w:hAnsi="Arial" w:cs="Arial"/>
          <w:color w:val="auto"/>
          <w:sz w:val="24"/>
          <w:szCs w:val="24"/>
        </w:rPr>
        <w:t xml:space="preserve"> of scarcity and inimitability upon which resource</w:t>
      </w:r>
      <w:r w:rsidRPr="00A25982">
        <w:rPr>
          <w:rFonts w:ascii="Arial" w:hAnsi="Arial" w:cs="Arial"/>
          <w:color w:val="auto"/>
          <w:sz w:val="24"/>
          <w:szCs w:val="24"/>
        </w:rPr>
        <w:t>-</w:t>
      </w:r>
      <w:r w:rsidR="00D10804" w:rsidRPr="00A25982">
        <w:rPr>
          <w:rFonts w:ascii="Arial" w:hAnsi="Arial" w:cs="Arial"/>
          <w:color w:val="auto"/>
          <w:sz w:val="24"/>
          <w:szCs w:val="24"/>
        </w:rPr>
        <w:t xml:space="preserve">based theories are reliant. </w:t>
      </w:r>
      <w:r w:rsidR="00997D23" w:rsidRPr="00A25982">
        <w:rPr>
          <w:rFonts w:ascii="Arial" w:hAnsi="Arial" w:cs="Arial"/>
          <w:color w:val="auto"/>
          <w:sz w:val="24"/>
          <w:szCs w:val="24"/>
        </w:rPr>
        <w:t xml:space="preserve">The authors </w:t>
      </w:r>
      <w:r w:rsidR="00D10804" w:rsidRPr="00A25982">
        <w:rPr>
          <w:rFonts w:ascii="Arial" w:hAnsi="Arial" w:cs="Arial"/>
          <w:color w:val="auto"/>
          <w:sz w:val="24"/>
          <w:szCs w:val="24"/>
        </w:rPr>
        <w:t>argue</w:t>
      </w:r>
      <w:r w:rsidRPr="00A25982">
        <w:rPr>
          <w:rFonts w:ascii="Arial" w:hAnsi="Arial" w:cs="Arial"/>
          <w:color w:val="auto"/>
          <w:sz w:val="24"/>
          <w:szCs w:val="24"/>
        </w:rPr>
        <w:t>d</w:t>
      </w:r>
      <w:r w:rsidR="00D10804" w:rsidRPr="00A25982">
        <w:rPr>
          <w:rFonts w:ascii="Arial" w:hAnsi="Arial" w:cs="Arial"/>
          <w:color w:val="auto"/>
          <w:sz w:val="24"/>
          <w:szCs w:val="24"/>
        </w:rPr>
        <w:t xml:space="preserve"> that dynamic capabilities are unique to every firm and may be built upon organisational culture or history (Teece</w:t>
      </w:r>
      <w:r w:rsidR="005C7C72" w:rsidRPr="00A25982">
        <w:rPr>
          <w:rFonts w:ascii="Arial" w:hAnsi="Arial" w:cs="Arial"/>
          <w:i/>
          <w:color w:val="auto"/>
        </w:rPr>
        <w:t xml:space="preserve"> et al.</w:t>
      </w:r>
      <w:r w:rsidR="00D10804" w:rsidRPr="00A25982">
        <w:rPr>
          <w:rFonts w:ascii="Arial" w:hAnsi="Arial" w:cs="Arial"/>
          <w:color w:val="auto"/>
          <w:sz w:val="24"/>
          <w:szCs w:val="24"/>
        </w:rPr>
        <w:t xml:space="preserve">, </w:t>
      </w:r>
      <w:r w:rsidR="00275423" w:rsidRPr="00A25982">
        <w:rPr>
          <w:rFonts w:ascii="Arial" w:hAnsi="Arial" w:cs="Arial"/>
          <w:color w:val="auto"/>
          <w:sz w:val="24"/>
          <w:szCs w:val="24"/>
        </w:rPr>
        <w:t>1997</w:t>
      </w:r>
      <w:r w:rsidR="00D10804" w:rsidRPr="00A25982">
        <w:rPr>
          <w:rFonts w:ascii="Arial" w:hAnsi="Arial" w:cs="Arial"/>
          <w:color w:val="auto"/>
          <w:sz w:val="24"/>
          <w:szCs w:val="24"/>
        </w:rPr>
        <w:t xml:space="preserve">). </w:t>
      </w:r>
      <w:proofErr w:type="gramStart"/>
      <w:r w:rsidR="00D10804" w:rsidRPr="00A25982">
        <w:rPr>
          <w:rFonts w:ascii="Arial" w:hAnsi="Arial" w:cs="Arial"/>
          <w:color w:val="auto"/>
          <w:sz w:val="24"/>
          <w:szCs w:val="24"/>
        </w:rPr>
        <w:t>In an attempt to</w:t>
      </w:r>
      <w:proofErr w:type="gramEnd"/>
      <w:r w:rsidR="00D10804" w:rsidRPr="00A25982">
        <w:rPr>
          <w:rFonts w:ascii="Arial" w:hAnsi="Arial" w:cs="Arial"/>
          <w:color w:val="auto"/>
          <w:sz w:val="24"/>
          <w:szCs w:val="24"/>
        </w:rPr>
        <w:t xml:space="preserve"> offer some clarity, Teece (2007) </w:t>
      </w:r>
      <w:r w:rsidRPr="00A25982">
        <w:rPr>
          <w:rFonts w:ascii="Arial" w:hAnsi="Arial" w:cs="Arial"/>
          <w:color w:val="auto"/>
          <w:sz w:val="24"/>
          <w:szCs w:val="24"/>
        </w:rPr>
        <w:t xml:space="preserve">later </w:t>
      </w:r>
      <w:r w:rsidR="00D10804" w:rsidRPr="00A25982">
        <w:rPr>
          <w:rFonts w:ascii="Arial" w:hAnsi="Arial" w:cs="Arial"/>
          <w:color w:val="auto"/>
          <w:sz w:val="24"/>
          <w:szCs w:val="24"/>
        </w:rPr>
        <w:t>produce</w:t>
      </w:r>
      <w:r w:rsidRPr="00A25982">
        <w:rPr>
          <w:rFonts w:ascii="Arial" w:hAnsi="Arial" w:cs="Arial"/>
          <w:color w:val="auto"/>
          <w:sz w:val="24"/>
          <w:szCs w:val="24"/>
        </w:rPr>
        <w:t>d</w:t>
      </w:r>
      <w:r w:rsidR="00D10804" w:rsidRPr="00A25982">
        <w:rPr>
          <w:rFonts w:ascii="Arial" w:hAnsi="Arial" w:cs="Arial"/>
          <w:color w:val="auto"/>
          <w:sz w:val="24"/>
          <w:szCs w:val="24"/>
        </w:rPr>
        <w:t xml:space="preserve"> three categories of dynamic capabilities</w:t>
      </w:r>
      <w:r w:rsidR="00997D23" w:rsidRPr="00A25982">
        <w:rPr>
          <w:rFonts w:ascii="Arial" w:hAnsi="Arial" w:cs="Arial"/>
          <w:color w:val="auto"/>
          <w:sz w:val="24"/>
          <w:szCs w:val="24"/>
        </w:rPr>
        <w:t xml:space="preserve"> – </w:t>
      </w:r>
      <w:r w:rsidR="00D10804" w:rsidRPr="00A25982">
        <w:rPr>
          <w:rFonts w:ascii="Arial" w:hAnsi="Arial" w:cs="Arial"/>
          <w:i/>
          <w:color w:val="auto"/>
          <w:sz w:val="24"/>
          <w:szCs w:val="24"/>
        </w:rPr>
        <w:t>sensing</w:t>
      </w:r>
      <w:r w:rsidR="00D10804" w:rsidRPr="00A25982">
        <w:rPr>
          <w:rFonts w:ascii="Arial" w:hAnsi="Arial" w:cs="Arial"/>
          <w:color w:val="auto"/>
          <w:sz w:val="24"/>
          <w:szCs w:val="24"/>
        </w:rPr>
        <w:t xml:space="preserve">, </w:t>
      </w:r>
      <w:r w:rsidR="00D10804" w:rsidRPr="00A25982">
        <w:rPr>
          <w:rFonts w:ascii="Arial" w:hAnsi="Arial" w:cs="Arial"/>
          <w:i/>
          <w:color w:val="auto"/>
          <w:sz w:val="24"/>
          <w:szCs w:val="24"/>
        </w:rPr>
        <w:t>seizing</w:t>
      </w:r>
      <w:r w:rsidR="00D10804" w:rsidRPr="00A25982">
        <w:rPr>
          <w:rFonts w:ascii="Arial" w:hAnsi="Arial" w:cs="Arial"/>
          <w:color w:val="auto"/>
          <w:sz w:val="24"/>
          <w:szCs w:val="24"/>
        </w:rPr>
        <w:t xml:space="preserve"> and </w:t>
      </w:r>
      <w:r w:rsidR="00D10804" w:rsidRPr="00A25982">
        <w:rPr>
          <w:rFonts w:ascii="Arial" w:hAnsi="Arial" w:cs="Arial"/>
          <w:i/>
          <w:color w:val="auto"/>
          <w:sz w:val="24"/>
          <w:szCs w:val="24"/>
        </w:rPr>
        <w:t>transforming</w:t>
      </w:r>
      <w:r w:rsidR="00997D23" w:rsidRPr="00A25982">
        <w:rPr>
          <w:rFonts w:ascii="Arial" w:hAnsi="Arial" w:cs="Arial"/>
          <w:i/>
          <w:color w:val="auto"/>
          <w:sz w:val="24"/>
          <w:szCs w:val="24"/>
        </w:rPr>
        <w:t xml:space="preserve"> </w:t>
      </w:r>
      <w:r w:rsidR="00997D23" w:rsidRPr="00A25982">
        <w:rPr>
          <w:rFonts w:ascii="Arial" w:hAnsi="Arial" w:cs="Arial"/>
          <w:color w:val="auto"/>
          <w:sz w:val="24"/>
          <w:szCs w:val="24"/>
        </w:rPr>
        <w:t>–</w:t>
      </w:r>
      <w:r w:rsidR="00997D23" w:rsidRPr="00A25982">
        <w:rPr>
          <w:rFonts w:ascii="Arial" w:hAnsi="Arial" w:cs="Arial"/>
          <w:i/>
          <w:color w:val="auto"/>
          <w:sz w:val="24"/>
          <w:szCs w:val="24"/>
        </w:rPr>
        <w:t xml:space="preserve"> </w:t>
      </w:r>
      <w:r w:rsidR="00A062C9" w:rsidRPr="00A25982">
        <w:rPr>
          <w:rFonts w:ascii="Arial" w:hAnsi="Arial" w:cs="Arial"/>
          <w:color w:val="auto"/>
          <w:sz w:val="24"/>
          <w:szCs w:val="24"/>
        </w:rPr>
        <w:t>where:</w:t>
      </w:r>
      <w:r w:rsidR="00D10804" w:rsidRPr="00A25982">
        <w:rPr>
          <w:rFonts w:ascii="Arial" w:hAnsi="Arial" w:cs="Arial"/>
          <w:color w:val="auto"/>
          <w:sz w:val="24"/>
          <w:szCs w:val="24"/>
        </w:rPr>
        <w:t xml:space="preserve"> </w:t>
      </w:r>
    </w:p>
    <w:p w14:paraId="0520F902" w14:textId="7E408B6E" w:rsidR="00D10804" w:rsidRPr="00A25982" w:rsidRDefault="00D10804" w:rsidP="00A25982">
      <w:pPr>
        <w:pStyle w:val="ListParagraph"/>
        <w:numPr>
          <w:ilvl w:val="0"/>
          <w:numId w:val="24"/>
        </w:numPr>
        <w:ind w:left="284" w:hanging="284"/>
        <w:jc w:val="both"/>
        <w:rPr>
          <w:rFonts w:ascii="Arial" w:hAnsi="Arial" w:cs="Arial"/>
          <w:lang w:eastAsia="en-GB"/>
        </w:rPr>
      </w:pPr>
      <w:r w:rsidRPr="00A25982">
        <w:rPr>
          <w:rFonts w:ascii="Arial" w:hAnsi="Arial" w:cs="Arial"/>
          <w:i/>
          <w:lang w:eastAsia="en-GB"/>
        </w:rPr>
        <w:t>Sensing</w:t>
      </w:r>
      <w:r w:rsidR="00A062C9" w:rsidRPr="00A25982">
        <w:rPr>
          <w:rFonts w:ascii="Arial" w:hAnsi="Arial" w:cs="Arial"/>
          <w:i/>
          <w:lang w:eastAsia="en-GB"/>
        </w:rPr>
        <w:t xml:space="preserve"> </w:t>
      </w:r>
      <w:r w:rsidR="00AD5126" w:rsidRPr="00A25982">
        <w:rPr>
          <w:rFonts w:ascii="Arial" w:hAnsi="Arial" w:cs="Arial"/>
          <w:lang w:eastAsia="en-GB"/>
        </w:rPr>
        <w:t>is described by</w:t>
      </w:r>
      <w:r w:rsidRPr="00A25982">
        <w:rPr>
          <w:rFonts w:ascii="Arial" w:hAnsi="Arial" w:cs="Arial"/>
          <w:lang w:eastAsia="en-GB"/>
        </w:rPr>
        <w:t xml:space="preserve"> Teece (2007, p1322) as a “</w:t>
      </w:r>
      <w:r w:rsidRPr="00A25982">
        <w:rPr>
          <w:rFonts w:ascii="Arial" w:hAnsi="Arial" w:cs="Arial"/>
          <w:i/>
          <w:lang w:eastAsia="en-GB"/>
        </w:rPr>
        <w:t>scanning, creation, lea</w:t>
      </w:r>
      <w:r w:rsidR="00AD5126" w:rsidRPr="00A25982">
        <w:rPr>
          <w:rFonts w:ascii="Arial" w:hAnsi="Arial" w:cs="Arial"/>
          <w:i/>
          <w:lang w:eastAsia="en-GB"/>
        </w:rPr>
        <w:t>rning and interpretive activity”</w:t>
      </w:r>
      <w:r w:rsidRPr="00A25982">
        <w:rPr>
          <w:rFonts w:ascii="Arial" w:hAnsi="Arial" w:cs="Arial"/>
          <w:i/>
          <w:lang w:eastAsia="en-GB"/>
        </w:rPr>
        <w:t xml:space="preserve"> </w:t>
      </w:r>
      <w:r w:rsidRPr="00A25982">
        <w:rPr>
          <w:rFonts w:ascii="Arial" w:hAnsi="Arial" w:cs="Arial"/>
          <w:lang w:eastAsia="en-GB"/>
        </w:rPr>
        <w:t>in which firms recognise opportunities</w:t>
      </w:r>
      <w:r w:rsidR="0005478B" w:rsidRPr="00A25982">
        <w:rPr>
          <w:rFonts w:ascii="Arial" w:hAnsi="Arial" w:cs="Arial"/>
          <w:lang w:eastAsia="en-GB"/>
        </w:rPr>
        <w:t xml:space="preserve"> and threats</w:t>
      </w:r>
      <w:r w:rsidR="000A608D" w:rsidRPr="00A25982">
        <w:rPr>
          <w:rFonts w:ascii="Arial" w:hAnsi="Arial" w:cs="Arial"/>
          <w:lang w:eastAsia="en-GB"/>
        </w:rPr>
        <w:t>.</w:t>
      </w:r>
      <w:r w:rsidRPr="00A25982">
        <w:rPr>
          <w:rFonts w:ascii="Arial" w:hAnsi="Arial" w:cs="Arial"/>
          <w:lang w:eastAsia="en-GB"/>
        </w:rPr>
        <w:t xml:space="preserve"> </w:t>
      </w:r>
      <w:proofErr w:type="spellStart"/>
      <w:r w:rsidRPr="00A25982">
        <w:rPr>
          <w:rFonts w:ascii="Arial" w:hAnsi="Arial" w:cs="Arial"/>
          <w:lang w:eastAsia="en-GB"/>
        </w:rPr>
        <w:t>Gebauer</w:t>
      </w:r>
      <w:proofErr w:type="spellEnd"/>
      <w:r w:rsidRPr="00A25982">
        <w:rPr>
          <w:rFonts w:ascii="Arial" w:hAnsi="Arial" w:cs="Arial"/>
          <w:lang w:eastAsia="en-GB"/>
        </w:rPr>
        <w:t xml:space="preserve"> (2011) suggest</w:t>
      </w:r>
      <w:r w:rsidR="000E689E" w:rsidRPr="00A25982">
        <w:rPr>
          <w:rFonts w:ascii="Arial" w:hAnsi="Arial" w:cs="Arial"/>
          <w:lang w:eastAsia="en-GB"/>
        </w:rPr>
        <w:t>ed</w:t>
      </w:r>
      <w:r w:rsidRPr="00A25982">
        <w:rPr>
          <w:rFonts w:ascii="Arial" w:hAnsi="Arial" w:cs="Arial"/>
          <w:lang w:eastAsia="en-GB"/>
        </w:rPr>
        <w:t xml:space="preserve"> such activities are </w:t>
      </w:r>
      <w:r w:rsidRPr="00A25982">
        <w:rPr>
          <w:rFonts w:ascii="Arial" w:hAnsi="Arial" w:cs="Arial"/>
          <w:noProof/>
          <w:lang w:eastAsia="en-GB"/>
        </w:rPr>
        <w:t>undertaken frequently</w:t>
      </w:r>
      <w:r w:rsidRPr="00A25982">
        <w:rPr>
          <w:rFonts w:ascii="Arial" w:hAnsi="Arial" w:cs="Arial"/>
          <w:lang w:eastAsia="en-GB"/>
        </w:rPr>
        <w:t xml:space="preserve"> and encourage</w:t>
      </w:r>
      <w:r w:rsidR="000E689E" w:rsidRPr="00A25982">
        <w:rPr>
          <w:rFonts w:ascii="Arial" w:hAnsi="Arial" w:cs="Arial"/>
          <w:lang w:eastAsia="en-GB"/>
        </w:rPr>
        <w:t>d</w:t>
      </w:r>
      <w:r w:rsidRPr="00A25982">
        <w:rPr>
          <w:rFonts w:ascii="Arial" w:hAnsi="Arial" w:cs="Arial"/>
          <w:lang w:eastAsia="en-GB"/>
        </w:rPr>
        <w:t xml:space="preserve"> market-searching efforts </w:t>
      </w:r>
      <w:proofErr w:type="gramStart"/>
      <w:r w:rsidRPr="00A25982">
        <w:rPr>
          <w:rFonts w:ascii="Arial" w:hAnsi="Arial" w:cs="Arial"/>
          <w:lang w:eastAsia="en-GB"/>
        </w:rPr>
        <w:t>in an attempt to</w:t>
      </w:r>
      <w:proofErr w:type="gramEnd"/>
      <w:r w:rsidRPr="00A25982">
        <w:rPr>
          <w:rFonts w:ascii="Arial" w:hAnsi="Arial" w:cs="Arial"/>
          <w:lang w:eastAsia="en-GB"/>
        </w:rPr>
        <w:t xml:space="preserve"> anticipate market developments and customer requirements. </w:t>
      </w:r>
    </w:p>
    <w:p w14:paraId="5CFD6371" w14:textId="50F07244" w:rsidR="00DB2749" w:rsidRPr="00A25982" w:rsidRDefault="00D10804" w:rsidP="00A25982">
      <w:pPr>
        <w:pStyle w:val="ListParagraph"/>
        <w:numPr>
          <w:ilvl w:val="0"/>
          <w:numId w:val="24"/>
        </w:numPr>
        <w:ind w:left="284" w:hanging="284"/>
        <w:jc w:val="both"/>
        <w:rPr>
          <w:rFonts w:ascii="Arial" w:hAnsi="Arial" w:cs="Arial"/>
          <w:lang w:eastAsia="en-GB"/>
        </w:rPr>
      </w:pPr>
      <w:r w:rsidRPr="00A25982">
        <w:rPr>
          <w:rFonts w:ascii="Arial" w:hAnsi="Arial" w:cs="Arial"/>
          <w:i/>
          <w:lang w:eastAsia="en-GB"/>
        </w:rPr>
        <w:t xml:space="preserve">Seizing </w:t>
      </w:r>
      <w:r w:rsidRPr="00A25982">
        <w:rPr>
          <w:rFonts w:ascii="Arial" w:hAnsi="Arial" w:cs="Arial"/>
          <w:lang w:eastAsia="en-GB"/>
        </w:rPr>
        <w:t xml:space="preserve">follows on from sensing and is about responding to ‘sensed’ opportunities and threats. </w:t>
      </w:r>
      <w:r w:rsidR="000E674E" w:rsidRPr="00A25982">
        <w:rPr>
          <w:rFonts w:ascii="Arial" w:hAnsi="Arial" w:cs="Arial"/>
          <w:lang w:eastAsia="en-GB"/>
        </w:rPr>
        <w:t>Barreto (2010) stresse</w:t>
      </w:r>
      <w:r w:rsidR="000E689E" w:rsidRPr="00A25982">
        <w:rPr>
          <w:rFonts w:ascii="Arial" w:hAnsi="Arial" w:cs="Arial"/>
          <w:lang w:eastAsia="en-GB"/>
        </w:rPr>
        <w:t>d</w:t>
      </w:r>
      <w:r w:rsidR="000E674E" w:rsidRPr="00A25982">
        <w:rPr>
          <w:rFonts w:ascii="Arial" w:hAnsi="Arial" w:cs="Arial"/>
          <w:lang w:eastAsia="en-GB"/>
        </w:rPr>
        <w:t xml:space="preserve"> the need to make sure that such decisions are both timely and market focused</w:t>
      </w:r>
      <w:r w:rsidR="000A608D" w:rsidRPr="00A25982">
        <w:rPr>
          <w:rFonts w:ascii="Arial" w:hAnsi="Arial" w:cs="Arial"/>
          <w:lang w:eastAsia="en-GB"/>
        </w:rPr>
        <w:t>.</w:t>
      </w:r>
      <w:r w:rsidRPr="00A25982">
        <w:rPr>
          <w:rFonts w:ascii="Arial" w:hAnsi="Arial" w:cs="Arial"/>
          <w:lang w:eastAsia="en-GB"/>
        </w:rPr>
        <w:t xml:space="preserve"> </w:t>
      </w:r>
    </w:p>
    <w:p w14:paraId="7FDCDC36" w14:textId="0A335396" w:rsidR="00D10804" w:rsidRPr="00A25982" w:rsidRDefault="00D10804" w:rsidP="00A25982">
      <w:pPr>
        <w:pStyle w:val="ListParagraph"/>
        <w:numPr>
          <w:ilvl w:val="0"/>
          <w:numId w:val="24"/>
        </w:numPr>
        <w:ind w:left="284" w:hanging="284"/>
        <w:jc w:val="both"/>
        <w:rPr>
          <w:rFonts w:ascii="Arial" w:hAnsi="Arial" w:cs="Arial"/>
          <w:lang w:eastAsia="en-GB"/>
        </w:rPr>
      </w:pPr>
      <w:r w:rsidRPr="00A25982">
        <w:rPr>
          <w:rFonts w:ascii="Arial" w:hAnsi="Arial" w:cs="Arial"/>
          <w:i/>
          <w:lang w:eastAsia="en-GB"/>
        </w:rPr>
        <w:t>Transforming</w:t>
      </w:r>
      <w:r w:rsidR="00A062C9" w:rsidRPr="00A25982">
        <w:rPr>
          <w:rFonts w:ascii="Arial" w:hAnsi="Arial" w:cs="Arial"/>
          <w:i/>
          <w:lang w:eastAsia="en-GB"/>
        </w:rPr>
        <w:t xml:space="preserve"> </w:t>
      </w:r>
      <w:r w:rsidRPr="00A25982">
        <w:rPr>
          <w:rFonts w:ascii="Arial" w:hAnsi="Arial" w:cs="Arial"/>
          <w:lang w:eastAsia="en-GB"/>
        </w:rPr>
        <w:t>involves the reconfiguration of intangible and tangible assets, often to enhance, combine</w:t>
      </w:r>
      <w:r w:rsidR="000E689E" w:rsidRPr="00A25982">
        <w:rPr>
          <w:rFonts w:ascii="Arial" w:hAnsi="Arial" w:cs="Arial"/>
          <w:lang w:eastAsia="en-GB"/>
        </w:rPr>
        <w:t>,</w:t>
      </w:r>
      <w:r w:rsidRPr="00A25982">
        <w:rPr>
          <w:rFonts w:ascii="Arial" w:hAnsi="Arial" w:cs="Arial"/>
          <w:lang w:eastAsia="en-GB"/>
        </w:rPr>
        <w:t xml:space="preserve"> or protect firm capabilities (Teece, 2007). It is here where operational efficiency is realised via routines that can adapt to changing environments on a continuous basis (</w:t>
      </w:r>
      <w:proofErr w:type="spellStart"/>
      <w:r w:rsidRPr="00A25982">
        <w:rPr>
          <w:rFonts w:ascii="Arial" w:hAnsi="Arial" w:cs="Arial"/>
          <w:lang w:eastAsia="en-GB"/>
        </w:rPr>
        <w:t>Gebauer</w:t>
      </w:r>
      <w:proofErr w:type="spellEnd"/>
      <w:r w:rsidRPr="00A25982">
        <w:rPr>
          <w:rFonts w:ascii="Arial" w:hAnsi="Arial" w:cs="Arial"/>
          <w:lang w:eastAsia="en-GB"/>
        </w:rPr>
        <w:t xml:space="preserve">, 2011). </w:t>
      </w:r>
    </w:p>
    <w:p w14:paraId="104CDED7" w14:textId="77777777" w:rsidR="002F6B56" w:rsidRPr="00A25982" w:rsidRDefault="002F6B56" w:rsidP="00A25982">
      <w:pPr>
        <w:pStyle w:val="BodyA"/>
        <w:spacing w:after="0" w:line="240" w:lineRule="auto"/>
        <w:jc w:val="both"/>
        <w:rPr>
          <w:rStyle w:val="PageNumber"/>
          <w:rFonts w:ascii="Arial" w:hAnsi="Arial" w:cs="Arial"/>
          <w:color w:val="auto"/>
          <w:sz w:val="12"/>
          <w:szCs w:val="12"/>
        </w:rPr>
      </w:pPr>
    </w:p>
    <w:p w14:paraId="56F8EE9D" w14:textId="2015B3AA" w:rsidR="00901D90" w:rsidRDefault="008441BC" w:rsidP="00A25982">
      <w:pPr>
        <w:pStyle w:val="BodyA"/>
        <w:spacing w:after="0" w:line="240" w:lineRule="auto"/>
        <w:ind w:firstLine="284"/>
        <w:jc w:val="both"/>
        <w:rPr>
          <w:rStyle w:val="PageNumber"/>
          <w:rFonts w:ascii="Arial" w:hAnsi="Arial" w:cs="Arial"/>
          <w:color w:val="auto"/>
          <w:sz w:val="24"/>
          <w:szCs w:val="24"/>
        </w:rPr>
      </w:pPr>
      <w:proofErr w:type="gramStart"/>
      <w:r w:rsidRPr="00A25982">
        <w:rPr>
          <w:rStyle w:val="PageNumber"/>
          <w:rFonts w:ascii="Arial" w:hAnsi="Arial" w:cs="Arial"/>
          <w:color w:val="auto"/>
          <w:sz w:val="24"/>
          <w:szCs w:val="24"/>
        </w:rPr>
        <w:t>Thus</w:t>
      </w:r>
      <w:proofErr w:type="gramEnd"/>
      <w:r w:rsidRPr="00A25982">
        <w:rPr>
          <w:rStyle w:val="PageNumber"/>
          <w:rFonts w:ascii="Arial" w:hAnsi="Arial" w:cs="Arial"/>
          <w:color w:val="auto"/>
          <w:sz w:val="24"/>
          <w:szCs w:val="24"/>
        </w:rPr>
        <w:t xml:space="preserve"> </w:t>
      </w:r>
      <w:r w:rsidR="00D10804" w:rsidRPr="00A25982">
        <w:rPr>
          <w:rStyle w:val="PageNumber"/>
          <w:rFonts w:ascii="Arial" w:hAnsi="Arial" w:cs="Arial"/>
          <w:color w:val="auto"/>
          <w:sz w:val="24"/>
          <w:szCs w:val="24"/>
        </w:rPr>
        <w:t>dynamic capabilities enhance evolutionary fitness by</w:t>
      </w:r>
      <w:r w:rsidR="000C2323" w:rsidRPr="00A25982">
        <w:rPr>
          <w:rStyle w:val="PageNumber"/>
          <w:rFonts w:ascii="Arial" w:hAnsi="Arial" w:cs="Arial"/>
          <w:color w:val="auto"/>
          <w:sz w:val="24"/>
          <w:szCs w:val="24"/>
        </w:rPr>
        <w:t xml:space="preserve"> </w:t>
      </w:r>
      <w:r w:rsidR="00D10804" w:rsidRPr="00A25982">
        <w:rPr>
          <w:rStyle w:val="PageNumber"/>
          <w:rFonts w:ascii="Arial" w:hAnsi="Arial" w:cs="Arial"/>
          <w:color w:val="auto"/>
          <w:sz w:val="24"/>
          <w:szCs w:val="24"/>
        </w:rPr>
        <w:t>enabling the creation, extension</w:t>
      </w:r>
      <w:r w:rsidR="000E689E" w:rsidRPr="00A25982">
        <w:rPr>
          <w:rStyle w:val="PageNumber"/>
          <w:rFonts w:ascii="Arial" w:hAnsi="Arial" w:cs="Arial"/>
          <w:color w:val="auto"/>
          <w:sz w:val="24"/>
          <w:szCs w:val="24"/>
        </w:rPr>
        <w:t>,</w:t>
      </w:r>
      <w:r w:rsidR="00D10804" w:rsidRPr="00A25982">
        <w:rPr>
          <w:rStyle w:val="PageNumber"/>
          <w:rFonts w:ascii="Arial" w:hAnsi="Arial" w:cs="Arial"/>
          <w:color w:val="auto"/>
          <w:sz w:val="24"/>
          <w:szCs w:val="24"/>
        </w:rPr>
        <w:t xml:space="preserve"> and modification of </w:t>
      </w:r>
      <w:r w:rsidR="000C2323" w:rsidRPr="00A25982">
        <w:rPr>
          <w:rStyle w:val="PageNumber"/>
          <w:rFonts w:ascii="Arial" w:hAnsi="Arial" w:cs="Arial"/>
          <w:color w:val="auto"/>
          <w:sz w:val="24"/>
          <w:szCs w:val="24"/>
        </w:rPr>
        <w:t>the</w:t>
      </w:r>
      <w:r w:rsidR="00D10804" w:rsidRPr="00A25982">
        <w:rPr>
          <w:rStyle w:val="PageNumber"/>
          <w:rFonts w:ascii="Arial" w:hAnsi="Arial" w:cs="Arial"/>
          <w:color w:val="auto"/>
          <w:sz w:val="24"/>
          <w:szCs w:val="24"/>
        </w:rPr>
        <w:t xml:space="preserve"> resource base and in turn generating long-run competitive success</w:t>
      </w:r>
      <w:r w:rsidRPr="00A25982">
        <w:rPr>
          <w:rStyle w:val="PageNumber"/>
          <w:rFonts w:ascii="Arial" w:hAnsi="Arial" w:cs="Arial"/>
          <w:color w:val="auto"/>
          <w:sz w:val="24"/>
          <w:szCs w:val="24"/>
        </w:rPr>
        <w:t xml:space="preserve"> (Teece, 2007)</w:t>
      </w:r>
      <w:r w:rsidR="00D10804" w:rsidRPr="00A25982">
        <w:rPr>
          <w:rStyle w:val="PageNumber"/>
          <w:rFonts w:ascii="Arial" w:hAnsi="Arial" w:cs="Arial"/>
          <w:color w:val="auto"/>
          <w:sz w:val="24"/>
          <w:szCs w:val="24"/>
        </w:rPr>
        <w:t>. Given that we are interested in “evolutionary fitness”</w:t>
      </w:r>
      <w:r w:rsidR="00DB2749" w:rsidRPr="00A25982">
        <w:rPr>
          <w:rStyle w:val="PageNumber"/>
          <w:rFonts w:ascii="Arial" w:hAnsi="Arial" w:cs="Arial"/>
          <w:color w:val="auto"/>
          <w:sz w:val="24"/>
          <w:szCs w:val="24"/>
        </w:rPr>
        <w:t xml:space="preserve"> </w:t>
      </w:r>
      <w:r w:rsidRPr="00A25982">
        <w:rPr>
          <w:rStyle w:val="PageNumber"/>
          <w:rFonts w:ascii="Arial" w:hAnsi="Arial" w:cs="Arial"/>
          <w:color w:val="auto"/>
          <w:sz w:val="24"/>
          <w:szCs w:val="24"/>
        </w:rPr>
        <w:t xml:space="preserve">during </w:t>
      </w:r>
      <w:r w:rsidR="000E689E" w:rsidRPr="00A25982">
        <w:rPr>
          <w:rStyle w:val="PageNumber"/>
          <w:rFonts w:ascii="Arial" w:hAnsi="Arial" w:cs="Arial"/>
          <w:color w:val="auto"/>
          <w:sz w:val="24"/>
          <w:szCs w:val="24"/>
        </w:rPr>
        <w:t xml:space="preserve">a </w:t>
      </w:r>
      <w:r w:rsidRPr="00A25982">
        <w:rPr>
          <w:rStyle w:val="PageNumber"/>
          <w:rFonts w:ascii="Arial" w:hAnsi="Arial" w:cs="Arial"/>
          <w:color w:val="auto"/>
          <w:sz w:val="24"/>
          <w:szCs w:val="24"/>
        </w:rPr>
        <w:t>period of constitutional change</w:t>
      </w:r>
      <w:r w:rsidR="00DB2749" w:rsidRPr="00A25982">
        <w:rPr>
          <w:rStyle w:val="PageNumber"/>
          <w:rFonts w:ascii="Arial" w:hAnsi="Arial" w:cs="Arial"/>
          <w:color w:val="auto"/>
          <w:sz w:val="24"/>
          <w:szCs w:val="24"/>
        </w:rPr>
        <w:t>, it is argued that</w:t>
      </w:r>
      <w:r w:rsidR="00D10804" w:rsidRPr="00A25982">
        <w:rPr>
          <w:rStyle w:val="PageNumber"/>
          <w:rFonts w:ascii="Arial" w:hAnsi="Arial" w:cs="Arial"/>
          <w:color w:val="auto"/>
          <w:sz w:val="24"/>
          <w:szCs w:val="24"/>
        </w:rPr>
        <w:t xml:space="preserve"> </w:t>
      </w:r>
      <w:r w:rsidR="00997D23" w:rsidRPr="00A25982">
        <w:rPr>
          <w:rStyle w:val="PageNumber"/>
          <w:rFonts w:ascii="Arial" w:hAnsi="Arial" w:cs="Arial"/>
          <w:color w:val="auto"/>
          <w:sz w:val="24"/>
          <w:szCs w:val="24"/>
        </w:rPr>
        <w:t xml:space="preserve">the </w:t>
      </w:r>
      <w:r w:rsidR="00D10804" w:rsidRPr="00A25982">
        <w:rPr>
          <w:rStyle w:val="PageNumber"/>
          <w:rFonts w:ascii="Arial" w:hAnsi="Arial" w:cs="Arial"/>
          <w:color w:val="auto"/>
          <w:sz w:val="24"/>
          <w:szCs w:val="24"/>
        </w:rPr>
        <w:t>dy</w:t>
      </w:r>
      <w:r w:rsidRPr="00A25982">
        <w:rPr>
          <w:rStyle w:val="PageNumber"/>
          <w:rFonts w:ascii="Arial" w:hAnsi="Arial" w:cs="Arial"/>
          <w:color w:val="auto"/>
          <w:sz w:val="24"/>
          <w:szCs w:val="24"/>
        </w:rPr>
        <w:t>namic capabilit</w:t>
      </w:r>
      <w:r w:rsidR="00997D23" w:rsidRPr="00A25982">
        <w:rPr>
          <w:rStyle w:val="PageNumber"/>
          <w:rFonts w:ascii="Arial" w:hAnsi="Arial" w:cs="Arial"/>
          <w:color w:val="auto"/>
          <w:sz w:val="24"/>
          <w:szCs w:val="24"/>
        </w:rPr>
        <w:t xml:space="preserve">ies perspective represents </w:t>
      </w:r>
      <w:r w:rsidRPr="00A25982">
        <w:rPr>
          <w:rStyle w:val="PageNumber"/>
          <w:rFonts w:ascii="Arial" w:hAnsi="Arial" w:cs="Arial"/>
          <w:color w:val="auto"/>
          <w:sz w:val="24"/>
          <w:szCs w:val="24"/>
        </w:rPr>
        <w:t>an appropriate</w:t>
      </w:r>
      <w:r w:rsidR="00D10804" w:rsidRPr="00A25982">
        <w:rPr>
          <w:rStyle w:val="PageNumber"/>
          <w:rFonts w:ascii="Arial" w:hAnsi="Arial" w:cs="Arial"/>
          <w:color w:val="auto"/>
          <w:sz w:val="24"/>
          <w:szCs w:val="24"/>
        </w:rPr>
        <w:t xml:space="preserve"> theoretical lens</w:t>
      </w:r>
      <w:r w:rsidRPr="00A25982">
        <w:rPr>
          <w:rStyle w:val="PageNumber"/>
          <w:rFonts w:ascii="Arial" w:hAnsi="Arial" w:cs="Arial"/>
          <w:color w:val="auto"/>
          <w:sz w:val="24"/>
          <w:szCs w:val="24"/>
        </w:rPr>
        <w:t xml:space="preserve">. </w:t>
      </w:r>
      <w:proofErr w:type="gramStart"/>
      <w:r w:rsidR="00833612" w:rsidRPr="00A25982">
        <w:rPr>
          <w:rStyle w:val="PageNumber"/>
          <w:rFonts w:ascii="Arial" w:hAnsi="Arial" w:cs="Arial"/>
          <w:color w:val="auto"/>
          <w:sz w:val="24"/>
          <w:szCs w:val="24"/>
        </w:rPr>
        <w:t>In particular, the</w:t>
      </w:r>
      <w:proofErr w:type="gramEnd"/>
      <w:r w:rsidR="00833612" w:rsidRPr="00A25982">
        <w:rPr>
          <w:rStyle w:val="PageNumber"/>
          <w:rFonts w:ascii="Arial" w:hAnsi="Arial" w:cs="Arial"/>
          <w:color w:val="auto"/>
          <w:sz w:val="24"/>
          <w:szCs w:val="24"/>
        </w:rPr>
        <w:t xml:space="preserve"> perspective fits well with the discussion in the broader adaptive resilience literature that argues for the need to build capabilities and capacities in order to </w:t>
      </w:r>
      <w:r w:rsidR="009B7CE3" w:rsidRPr="00A25982">
        <w:rPr>
          <w:rStyle w:val="PageNumber"/>
          <w:rFonts w:ascii="Arial" w:hAnsi="Arial" w:cs="Arial"/>
          <w:color w:val="auto"/>
          <w:sz w:val="24"/>
          <w:szCs w:val="24"/>
        </w:rPr>
        <w:t xml:space="preserve">effectively recover and learn from unexpected events (van der </w:t>
      </w:r>
      <w:proofErr w:type="spellStart"/>
      <w:r w:rsidR="009B7CE3" w:rsidRPr="00A25982">
        <w:rPr>
          <w:rStyle w:val="PageNumber"/>
          <w:rFonts w:ascii="Arial" w:hAnsi="Arial" w:cs="Arial"/>
          <w:color w:val="auto"/>
          <w:sz w:val="24"/>
          <w:szCs w:val="24"/>
        </w:rPr>
        <w:t>Vegt</w:t>
      </w:r>
      <w:proofErr w:type="spellEnd"/>
      <w:r w:rsidR="009B7CE3" w:rsidRPr="00A25982">
        <w:rPr>
          <w:rStyle w:val="PageNumber"/>
          <w:rFonts w:ascii="Arial" w:hAnsi="Arial" w:cs="Arial"/>
          <w:color w:val="auto"/>
          <w:sz w:val="24"/>
          <w:szCs w:val="24"/>
        </w:rPr>
        <w:t xml:space="preserve"> </w:t>
      </w:r>
      <w:r w:rsidR="009B7CE3" w:rsidRPr="00A25982">
        <w:rPr>
          <w:rStyle w:val="PageNumber"/>
          <w:rFonts w:ascii="Arial" w:hAnsi="Arial" w:cs="Arial"/>
          <w:i/>
          <w:color w:val="auto"/>
          <w:sz w:val="24"/>
          <w:szCs w:val="24"/>
        </w:rPr>
        <w:t>et al.</w:t>
      </w:r>
      <w:r w:rsidR="009B7CE3" w:rsidRPr="00A25982">
        <w:rPr>
          <w:rStyle w:val="PageNumber"/>
          <w:rFonts w:ascii="Arial" w:hAnsi="Arial" w:cs="Arial"/>
          <w:color w:val="auto"/>
          <w:sz w:val="24"/>
          <w:szCs w:val="24"/>
        </w:rPr>
        <w:t xml:space="preserve">, 2015). </w:t>
      </w:r>
      <w:r w:rsidR="0059044D" w:rsidRPr="00A25982">
        <w:rPr>
          <w:rStyle w:val="PageNumber"/>
          <w:rFonts w:ascii="Arial" w:hAnsi="Arial" w:cs="Arial"/>
          <w:color w:val="auto"/>
          <w:sz w:val="24"/>
          <w:szCs w:val="24"/>
        </w:rPr>
        <w:t xml:space="preserve">Further, there are similarities here with the notion of resilience being concerned with preparation for, response to, and recovery from </w:t>
      </w:r>
      <w:r w:rsidR="000E689E" w:rsidRPr="00A25982">
        <w:rPr>
          <w:rStyle w:val="PageNumber"/>
          <w:rFonts w:ascii="Arial" w:hAnsi="Arial" w:cs="Arial"/>
          <w:color w:val="auto"/>
          <w:sz w:val="24"/>
          <w:szCs w:val="24"/>
        </w:rPr>
        <w:t xml:space="preserve">a </w:t>
      </w:r>
      <w:r w:rsidR="0059044D" w:rsidRPr="00A25982">
        <w:rPr>
          <w:rStyle w:val="PageNumber"/>
          <w:rFonts w:ascii="Arial" w:hAnsi="Arial" w:cs="Arial"/>
          <w:color w:val="auto"/>
          <w:sz w:val="24"/>
          <w:szCs w:val="24"/>
        </w:rPr>
        <w:t>disruption</w:t>
      </w:r>
      <w:r w:rsidR="00952798" w:rsidRPr="00A25982">
        <w:rPr>
          <w:rStyle w:val="PageNumber"/>
          <w:rFonts w:ascii="Arial" w:hAnsi="Arial" w:cs="Arial"/>
          <w:color w:val="auto"/>
          <w:sz w:val="24"/>
          <w:szCs w:val="24"/>
        </w:rPr>
        <w:t xml:space="preserve"> (</w:t>
      </w:r>
      <w:proofErr w:type="spellStart"/>
      <w:r w:rsidR="00952798" w:rsidRPr="00A25982">
        <w:rPr>
          <w:rFonts w:ascii="Arial" w:hAnsi="Arial" w:cs="Arial"/>
          <w:color w:val="auto"/>
          <w:sz w:val="24"/>
          <w:szCs w:val="24"/>
        </w:rPr>
        <w:t>Ponomarov</w:t>
      </w:r>
      <w:proofErr w:type="spellEnd"/>
      <w:r w:rsidR="00952798" w:rsidRPr="00A25982">
        <w:rPr>
          <w:rFonts w:ascii="Arial" w:hAnsi="Arial" w:cs="Arial"/>
          <w:color w:val="auto"/>
          <w:sz w:val="24"/>
          <w:szCs w:val="24"/>
        </w:rPr>
        <w:t xml:space="preserve"> &amp; Holcomb, 2009; </w:t>
      </w:r>
      <w:proofErr w:type="spellStart"/>
      <w:r w:rsidR="00952798" w:rsidRPr="00A25982">
        <w:rPr>
          <w:rFonts w:ascii="Arial" w:hAnsi="Arial" w:cs="Arial"/>
          <w:color w:val="auto"/>
          <w:sz w:val="24"/>
          <w:szCs w:val="24"/>
        </w:rPr>
        <w:t>Ponis</w:t>
      </w:r>
      <w:proofErr w:type="spellEnd"/>
      <w:r w:rsidR="00952798" w:rsidRPr="00A25982">
        <w:rPr>
          <w:rFonts w:ascii="Arial" w:hAnsi="Arial" w:cs="Arial"/>
          <w:color w:val="auto"/>
          <w:sz w:val="24"/>
          <w:szCs w:val="24"/>
        </w:rPr>
        <w:t xml:space="preserve"> &amp; </w:t>
      </w:r>
      <w:proofErr w:type="spellStart"/>
      <w:r w:rsidR="00952798" w:rsidRPr="00A25982">
        <w:rPr>
          <w:rFonts w:ascii="Arial" w:hAnsi="Arial" w:cs="Arial"/>
          <w:color w:val="auto"/>
          <w:sz w:val="24"/>
          <w:szCs w:val="24"/>
        </w:rPr>
        <w:t>Koronis</w:t>
      </w:r>
      <w:proofErr w:type="spellEnd"/>
      <w:r w:rsidR="00952798" w:rsidRPr="00A25982">
        <w:rPr>
          <w:rFonts w:ascii="Arial" w:hAnsi="Arial" w:cs="Arial"/>
          <w:color w:val="auto"/>
          <w:sz w:val="24"/>
          <w:szCs w:val="24"/>
        </w:rPr>
        <w:t>, 2012)</w:t>
      </w:r>
      <w:r w:rsidR="0059044D" w:rsidRPr="00A25982">
        <w:rPr>
          <w:rStyle w:val="PageNumber"/>
          <w:rFonts w:ascii="Arial" w:hAnsi="Arial" w:cs="Arial"/>
          <w:color w:val="auto"/>
          <w:sz w:val="24"/>
          <w:szCs w:val="24"/>
        </w:rPr>
        <w:t>. Sensing would ideally take place in the preparation phase before a supply chain is disrupted; seizing may take place before or in response to a threat; and transforming may take place before, during or after a threat has affect</w:t>
      </w:r>
      <w:r w:rsidR="000E689E" w:rsidRPr="00A25982">
        <w:rPr>
          <w:rStyle w:val="PageNumber"/>
          <w:rFonts w:ascii="Arial" w:hAnsi="Arial" w:cs="Arial"/>
          <w:color w:val="auto"/>
          <w:sz w:val="24"/>
          <w:szCs w:val="24"/>
        </w:rPr>
        <w:t>ed</w:t>
      </w:r>
      <w:r w:rsidR="0059044D" w:rsidRPr="00A25982">
        <w:rPr>
          <w:rStyle w:val="PageNumber"/>
          <w:rFonts w:ascii="Arial" w:hAnsi="Arial" w:cs="Arial"/>
          <w:color w:val="auto"/>
          <w:sz w:val="24"/>
          <w:szCs w:val="24"/>
        </w:rPr>
        <w:t xml:space="preserve"> a supply chain, or </w:t>
      </w:r>
      <w:r w:rsidR="000E689E" w:rsidRPr="00A25982">
        <w:rPr>
          <w:rStyle w:val="PageNumber"/>
          <w:rFonts w:ascii="Arial" w:hAnsi="Arial" w:cs="Arial"/>
          <w:color w:val="auto"/>
          <w:sz w:val="24"/>
          <w:szCs w:val="24"/>
        </w:rPr>
        <w:t xml:space="preserve">a </w:t>
      </w:r>
      <w:r w:rsidR="0059044D" w:rsidRPr="00A25982">
        <w:rPr>
          <w:rStyle w:val="PageNumber"/>
          <w:rFonts w:ascii="Arial" w:hAnsi="Arial" w:cs="Arial"/>
          <w:color w:val="auto"/>
          <w:sz w:val="24"/>
          <w:szCs w:val="24"/>
        </w:rPr>
        <w:t>transform</w:t>
      </w:r>
      <w:r w:rsidR="000E689E" w:rsidRPr="00A25982">
        <w:rPr>
          <w:rStyle w:val="PageNumber"/>
          <w:rFonts w:ascii="Arial" w:hAnsi="Arial" w:cs="Arial"/>
          <w:color w:val="auto"/>
          <w:sz w:val="24"/>
          <w:szCs w:val="24"/>
        </w:rPr>
        <w:t xml:space="preserve">ation may mean a threat is avoided </w:t>
      </w:r>
      <w:r w:rsidR="0059044D" w:rsidRPr="00A25982">
        <w:rPr>
          <w:rStyle w:val="PageNumber"/>
          <w:rFonts w:ascii="Arial" w:hAnsi="Arial" w:cs="Arial"/>
          <w:color w:val="auto"/>
          <w:sz w:val="24"/>
          <w:szCs w:val="24"/>
        </w:rPr>
        <w:t xml:space="preserve">altogether. </w:t>
      </w:r>
      <w:r w:rsidR="00F71AC8" w:rsidRPr="00A25982">
        <w:rPr>
          <w:rStyle w:val="PageNumber"/>
          <w:rFonts w:ascii="Arial" w:hAnsi="Arial" w:cs="Arial"/>
          <w:color w:val="auto"/>
          <w:sz w:val="24"/>
          <w:szCs w:val="24"/>
        </w:rPr>
        <w:t xml:space="preserve">The features of the dynamic capabilities perspective and of </w:t>
      </w:r>
      <w:proofErr w:type="spellStart"/>
      <w:r w:rsidR="00F71AC8" w:rsidRPr="00A25982">
        <w:rPr>
          <w:rStyle w:val="PageNumber"/>
          <w:rFonts w:ascii="Arial" w:hAnsi="Arial" w:cs="Arial"/>
          <w:color w:val="auto"/>
          <w:sz w:val="24"/>
          <w:szCs w:val="24"/>
        </w:rPr>
        <w:t>SCRes</w:t>
      </w:r>
      <w:proofErr w:type="spellEnd"/>
      <w:r w:rsidR="00F71AC8" w:rsidRPr="00A25982">
        <w:rPr>
          <w:rStyle w:val="PageNumber"/>
          <w:rFonts w:ascii="Arial" w:hAnsi="Arial" w:cs="Arial"/>
          <w:color w:val="auto"/>
          <w:sz w:val="24"/>
          <w:szCs w:val="24"/>
        </w:rPr>
        <w:t xml:space="preserve"> are thus depicted in Figure 1</w:t>
      </w:r>
      <w:r w:rsidR="00B84758" w:rsidRPr="00A25982">
        <w:rPr>
          <w:rStyle w:val="PageNumber"/>
          <w:rFonts w:ascii="Arial" w:hAnsi="Arial" w:cs="Arial"/>
          <w:color w:val="auto"/>
          <w:sz w:val="24"/>
          <w:szCs w:val="24"/>
        </w:rPr>
        <w:t>, together constituting the initial research model for this study</w:t>
      </w:r>
      <w:r w:rsidR="00F71AC8" w:rsidRPr="00A25982">
        <w:rPr>
          <w:rStyle w:val="PageNumber"/>
          <w:rFonts w:ascii="Arial" w:hAnsi="Arial" w:cs="Arial"/>
          <w:color w:val="auto"/>
          <w:sz w:val="24"/>
          <w:szCs w:val="24"/>
        </w:rPr>
        <w:t xml:space="preserve">. </w:t>
      </w:r>
      <w:r w:rsidR="0045395C" w:rsidRPr="00A25982">
        <w:rPr>
          <w:rStyle w:val="PageNumber"/>
          <w:rFonts w:ascii="Arial" w:hAnsi="Arial" w:cs="Arial"/>
          <w:color w:val="auto"/>
          <w:sz w:val="24"/>
          <w:szCs w:val="24"/>
        </w:rPr>
        <w:t xml:space="preserve">This use of the dynamic capabilities </w:t>
      </w:r>
      <w:r w:rsidR="0045395C" w:rsidRPr="00A25982">
        <w:rPr>
          <w:rStyle w:val="PageNumber"/>
          <w:rFonts w:ascii="Arial" w:hAnsi="Arial" w:cs="Arial"/>
          <w:noProof/>
          <w:color w:val="auto"/>
          <w:sz w:val="24"/>
          <w:szCs w:val="24"/>
        </w:rPr>
        <w:t>extant</w:t>
      </w:r>
      <w:r w:rsidR="0045395C" w:rsidRPr="00A25982">
        <w:rPr>
          <w:rStyle w:val="PageNumber"/>
          <w:rFonts w:ascii="Arial" w:hAnsi="Arial" w:cs="Arial"/>
          <w:color w:val="auto"/>
          <w:sz w:val="24"/>
          <w:szCs w:val="24"/>
        </w:rPr>
        <w:t xml:space="preserve"> theory can be described as a </w:t>
      </w:r>
      <w:r w:rsidR="0045395C" w:rsidRPr="00A25982">
        <w:rPr>
          <w:rFonts w:ascii="Arial" w:hAnsi="Arial" w:cs="Arial"/>
          <w:color w:val="auto"/>
          <w:sz w:val="24"/>
          <w:szCs w:val="24"/>
        </w:rPr>
        <w:t xml:space="preserve">‘theory matching’ approach, as defined by </w:t>
      </w:r>
      <w:proofErr w:type="spellStart"/>
      <w:r w:rsidR="0045395C" w:rsidRPr="00A25982">
        <w:rPr>
          <w:rFonts w:ascii="Arial" w:hAnsi="Arial" w:cs="Arial"/>
          <w:color w:val="auto"/>
          <w:sz w:val="24"/>
          <w:szCs w:val="24"/>
        </w:rPr>
        <w:t>Zorzini</w:t>
      </w:r>
      <w:proofErr w:type="spellEnd"/>
      <w:r w:rsidR="0045395C" w:rsidRPr="00A25982">
        <w:rPr>
          <w:rFonts w:ascii="Arial" w:hAnsi="Arial" w:cs="Arial"/>
          <w:color w:val="auto"/>
          <w:sz w:val="24"/>
          <w:szCs w:val="24"/>
        </w:rPr>
        <w:t xml:space="preserve"> </w:t>
      </w:r>
      <w:r w:rsidR="0045395C" w:rsidRPr="00A25982">
        <w:rPr>
          <w:rFonts w:ascii="Arial" w:hAnsi="Arial" w:cs="Arial"/>
          <w:i/>
          <w:color w:val="auto"/>
          <w:sz w:val="24"/>
          <w:szCs w:val="24"/>
        </w:rPr>
        <w:t xml:space="preserve">et al. </w:t>
      </w:r>
      <w:r w:rsidR="0045395C" w:rsidRPr="00A25982">
        <w:rPr>
          <w:rFonts w:ascii="Arial" w:hAnsi="Arial" w:cs="Arial"/>
          <w:color w:val="auto"/>
          <w:sz w:val="24"/>
          <w:szCs w:val="24"/>
        </w:rPr>
        <w:t>(2015), and adopted by authors such as Pullman &amp; Dillard (2010).</w:t>
      </w:r>
      <w:r w:rsidR="0045395C" w:rsidRPr="00A25982">
        <w:rPr>
          <w:rFonts w:ascii="Arial" w:hAnsi="Arial" w:cs="Arial"/>
          <w:color w:val="auto"/>
        </w:rPr>
        <w:t xml:space="preserve"> </w:t>
      </w:r>
      <w:r w:rsidR="0045395C" w:rsidRPr="00A25982">
        <w:rPr>
          <w:rFonts w:ascii="Arial" w:hAnsi="Arial" w:cs="Arial"/>
          <w:color w:val="auto"/>
          <w:sz w:val="24"/>
          <w:szCs w:val="24"/>
        </w:rPr>
        <w:t xml:space="preserve">As argued by </w:t>
      </w:r>
      <w:proofErr w:type="spellStart"/>
      <w:r w:rsidR="0045395C" w:rsidRPr="00A25982">
        <w:rPr>
          <w:rFonts w:ascii="Arial" w:hAnsi="Arial" w:cs="Arial"/>
          <w:color w:val="auto"/>
          <w:sz w:val="24"/>
          <w:szCs w:val="24"/>
        </w:rPr>
        <w:t>Zorzini</w:t>
      </w:r>
      <w:proofErr w:type="spellEnd"/>
      <w:r w:rsidR="0045395C" w:rsidRPr="00A25982">
        <w:rPr>
          <w:rFonts w:ascii="Arial" w:hAnsi="Arial" w:cs="Arial"/>
          <w:color w:val="auto"/>
          <w:sz w:val="24"/>
          <w:szCs w:val="24"/>
        </w:rPr>
        <w:t xml:space="preserve"> </w:t>
      </w:r>
      <w:r w:rsidR="0045395C" w:rsidRPr="00A25982">
        <w:rPr>
          <w:rFonts w:ascii="Arial" w:hAnsi="Arial" w:cs="Arial"/>
          <w:i/>
          <w:color w:val="auto"/>
          <w:sz w:val="24"/>
          <w:szCs w:val="24"/>
        </w:rPr>
        <w:t xml:space="preserve">et al. </w:t>
      </w:r>
      <w:r w:rsidR="0045395C" w:rsidRPr="00A25982">
        <w:rPr>
          <w:rFonts w:ascii="Arial" w:hAnsi="Arial" w:cs="Arial"/>
          <w:color w:val="auto"/>
          <w:sz w:val="24"/>
          <w:szCs w:val="24"/>
        </w:rPr>
        <w:t>(2015), this approach</w:t>
      </w:r>
      <w:r w:rsidR="00DE225F" w:rsidRPr="00A25982">
        <w:rPr>
          <w:rFonts w:ascii="Arial" w:hAnsi="Arial" w:cs="Arial"/>
          <w:color w:val="auto"/>
          <w:sz w:val="24"/>
          <w:szCs w:val="24"/>
        </w:rPr>
        <w:t xml:space="preserve"> </w:t>
      </w:r>
      <w:r w:rsidR="0045395C" w:rsidRPr="00A25982">
        <w:rPr>
          <w:rFonts w:ascii="Arial" w:hAnsi="Arial" w:cs="Arial"/>
          <w:color w:val="auto"/>
          <w:sz w:val="24"/>
          <w:szCs w:val="24"/>
        </w:rPr>
        <w:t>strengthens</w:t>
      </w:r>
      <w:r w:rsidR="00DE225F" w:rsidRPr="00A25982">
        <w:rPr>
          <w:rFonts w:ascii="Arial" w:hAnsi="Arial" w:cs="Arial"/>
          <w:color w:val="auto"/>
          <w:sz w:val="24"/>
          <w:szCs w:val="24"/>
        </w:rPr>
        <w:t xml:space="preserve"> the research rigour of the study by adding external validity to the design</w:t>
      </w:r>
      <w:r w:rsidR="0045395C" w:rsidRPr="00A25982">
        <w:rPr>
          <w:rFonts w:ascii="Arial" w:hAnsi="Arial" w:cs="Arial"/>
          <w:color w:val="auto"/>
          <w:sz w:val="24"/>
          <w:szCs w:val="24"/>
        </w:rPr>
        <w:t>.</w:t>
      </w:r>
      <w:r w:rsidR="00DE225F" w:rsidRPr="00A25982">
        <w:rPr>
          <w:rFonts w:ascii="Arial" w:hAnsi="Arial" w:cs="Arial"/>
          <w:color w:val="auto"/>
        </w:rPr>
        <w:t xml:space="preserve"> </w:t>
      </w:r>
      <w:r w:rsidR="00F71AC8" w:rsidRPr="00A25982">
        <w:rPr>
          <w:rStyle w:val="PageNumber"/>
          <w:rFonts w:ascii="Arial" w:hAnsi="Arial" w:cs="Arial"/>
          <w:color w:val="auto"/>
          <w:sz w:val="24"/>
          <w:szCs w:val="24"/>
        </w:rPr>
        <w:t xml:space="preserve">Further, a </w:t>
      </w:r>
      <w:r w:rsidR="00F71AC8" w:rsidRPr="00A25982">
        <w:rPr>
          <w:rStyle w:val="PageNumber"/>
          <w:rFonts w:ascii="Arial" w:hAnsi="Arial" w:cs="Arial"/>
          <w:noProof/>
          <w:color w:val="auto"/>
          <w:sz w:val="24"/>
          <w:szCs w:val="24"/>
        </w:rPr>
        <w:t>key</w:t>
      </w:r>
      <w:r w:rsidR="00F71AC8" w:rsidRPr="00A25982">
        <w:rPr>
          <w:rStyle w:val="PageNumber"/>
          <w:rFonts w:ascii="Arial" w:hAnsi="Arial" w:cs="Arial"/>
          <w:color w:val="auto"/>
          <w:sz w:val="24"/>
          <w:szCs w:val="24"/>
        </w:rPr>
        <w:t xml:space="preserve"> feature that runs</w:t>
      </w:r>
      <w:r w:rsidR="0059044D" w:rsidRPr="00A25982">
        <w:rPr>
          <w:rStyle w:val="PageNumber"/>
          <w:rFonts w:ascii="Arial" w:hAnsi="Arial" w:cs="Arial"/>
          <w:color w:val="auto"/>
          <w:sz w:val="24"/>
          <w:szCs w:val="24"/>
        </w:rPr>
        <w:t xml:space="preserve"> throughout the three phases of the dynamic capabilities approach is an emphasis not only on threats but also on opportunities</w:t>
      </w:r>
      <w:r w:rsidR="00F71AC8" w:rsidRPr="00A25982">
        <w:rPr>
          <w:rStyle w:val="PageNumber"/>
          <w:rFonts w:ascii="Arial" w:hAnsi="Arial" w:cs="Arial"/>
          <w:color w:val="auto"/>
          <w:sz w:val="24"/>
          <w:szCs w:val="24"/>
        </w:rPr>
        <w:t xml:space="preserve">, and this supports the </w:t>
      </w:r>
      <w:r w:rsidR="00883ECB" w:rsidRPr="00A25982">
        <w:rPr>
          <w:rStyle w:val="PageNumber"/>
          <w:rFonts w:ascii="Arial" w:hAnsi="Arial" w:cs="Arial"/>
          <w:color w:val="auto"/>
          <w:sz w:val="24"/>
          <w:szCs w:val="24"/>
        </w:rPr>
        <w:t>notion of s</w:t>
      </w:r>
      <w:r w:rsidR="0059044D" w:rsidRPr="00A25982">
        <w:rPr>
          <w:rStyle w:val="PageNumber"/>
          <w:rFonts w:ascii="Arial" w:hAnsi="Arial" w:cs="Arial"/>
          <w:color w:val="auto"/>
          <w:sz w:val="24"/>
          <w:szCs w:val="24"/>
        </w:rPr>
        <w:t>upply chains</w:t>
      </w:r>
      <w:r w:rsidR="00F71AC8" w:rsidRPr="00A25982">
        <w:rPr>
          <w:rStyle w:val="PageNumber"/>
          <w:rFonts w:ascii="Arial" w:hAnsi="Arial" w:cs="Arial"/>
          <w:color w:val="auto"/>
          <w:sz w:val="24"/>
          <w:szCs w:val="24"/>
        </w:rPr>
        <w:t xml:space="preserve"> potentially</w:t>
      </w:r>
      <w:r w:rsidR="0059044D" w:rsidRPr="00A25982">
        <w:rPr>
          <w:rStyle w:val="PageNumber"/>
          <w:rFonts w:ascii="Arial" w:hAnsi="Arial" w:cs="Arial"/>
          <w:color w:val="auto"/>
          <w:sz w:val="24"/>
          <w:szCs w:val="24"/>
        </w:rPr>
        <w:t xml:space="preserve"> emerging as stronger entities. </w:t>
      </w:r>
      <w:r w:rsidR="00883ECB" w:rsidRPr="00A25982">
        <w:rPr>
          <w:rStyle w:val="PageNumber"/>
          <w:rFonts w:ascii="Arial" w:hAnsi="Arial" w:cs="Arial"/>
          <w:color w:val="auto"/>
          <w:sz w:val="24"/>
          <w:szCs w:val="24"/>
        </w:rPr>
        <w:t xml:space="preserve">This is also suitable in the context of Brexit and constitutional change in general where there is uncertainty in how the competitive landscape will be altered. Brexit </w:t>
      </w:r>
      <w:r w:rsidR="00883ECB" w:rsidRPr="00A25982">
        <w:rPr>
          <w:rStyle w:val="PageNumber"/>
          <w:rFonts w:ascii="Arial" w:hAnsi="Arial" w:cs="Arial"/>
          <w:color w:val="auto"/>
          <w:sz w:val="24"/>
          <w:szCs w:val="24"/>
        </w:rPr>
        <w:lastRenderedPageBreak/>
        <w:t xml:space="preserve">presents challenges to supply </w:t>
      </w:r>
      <w:proofErr w:type="gramStart"/>
      <w:r w:rsidR="00883ECB" w:rsidRPr="00A25982">
        <w:rPr>
          <w:rStyle w:val="PageNumber"/>
          <w:rFonts w:ascii="Arial" w:hAnsi="Arial" w:cs="Arial"/>
          <w:color w:val="auto"/>
          <w:sz w:val="24"/>
          <w:szCs w:val="24"/>
        </w:rPr>
        <w:t>chains</w:t>
      </w:r>
      <w:proofErr w:type="gramEnd"/>
      <w:r w:rsidR="00883ECB" w:rsidRPr="00A25982">
        <w:rPr>
          <w:rStyle w:val="PageNumber"/>
          <w:rFonts w:ascii="Arial" w:hAnsi="Arial" w:cs="Arial"/>
          <w:color w:val="auto"/>
          <w:sz w:val="24"/>
          <w:szCs w:val="24"/>
        </w:rPr>
        <w:t xml:space="preserve"> </w:t>
      </w:r>
      <w:r w:rsidR="00883ECB" w:rsidRPr="00A25982">
        <w:rPr>
          <w:rStyle w:val="PageNumber"/>
          <w:rFonts w:ascii="Arial" w:hAnsi="Arial" w:cs="Arial"/>
          <w:noProof/>
          <w:color w:val="auto"/>
          <w:sz w:val="24"/>
          <w:szCs w:val="24"/>
        </w:rPr>
        <w:t>but</w:t>
      </w:r>
      <w:r w:rsidR="00883ECB" w:rsidRPr="00A25982">
        <w:rPr>
          <w:rStyle w:val="PageNumber"/>
          <w:rFonts w:ascii="Arial" w:hAnsi="Arial" w:cs="Arial"/>
          <w:color w:val="auto"/>
          <w:sz w:val="24"/>
          <w:szCs w:val="24"/>
        </w:rPr>
        <w:t xml:space="preserve"> it may also present new opportunities</w:t>
      </w:r>
      <w:r w:rsidR="00F71AC8" w:rsidRPr="00A25982">
        <w:rPr>
          <w:rStyle w:val="PageNumber"/>
          <w:rFonts w:ascii="Arial" w:hAnsi="Arial" w:cs="Arial"/>
          <w:color w:val="auto"/>
          <w:sz w:val="24"/>
          <w:szCs w:val="24"/>
        </w:rPr>
        <w:t>, providing a stimulus</w:t>
      </w:r>
      <w:r w:rsidR="00883ECB" w:rsidRPr="00A25982">
        <w:rPr>
          <w:rStyle w:val="PageNumber"/>
          <w:rFonts w:ascii="Arial" w:hAnsi="Arial" w:cs="Arial"/>
          <w:color w:val="auto"/>
          <w:sz w:val="24"/>
          <w:szCs w:val="24"/>
        </w:rPr>
        <w:t xml:space="preserve"> for innovation.</w:t>
      </w:r>
      <w:r w:rsidR="0059044D" w:rsidRPr="00A25982">
        <w:rPr>
          <w:rStyle w:val="PageNumber"/>
          <w:rFonts w:ascii="Arial" w:hAnsi="Arial" w:cs="Arial"/>
          <w:color w:val="auto"/>
          <w:sz w:val="24"/>
          <w:szCs w:val="24"/>
        </w:rPr>
        <w:t xml:space="preserve"> </w:t>
      </w:r>
      <w:proofErr w:type="gramStart"/>
      <w:r w:rsidRPr="00A25982">
        <w:rPr>
          <w:rStyle w:val="PageNumber"/>
          <w:rFonts w:ascii="Arial" w:hAnsi="Arial" w:cs="Arial"/>
          <w:color w:val="auto"/>
          <w:sz w:val="24"/>
          <w:szCs w:val="24"/>
        </w:rPr>
        <w:t>Thus</w:t>
      </w:r>
      <w:proofErr w:type="gramEnd"/>
      <w:r w:rsidRPr="00A25982">
        <w:rPr>
          <w:rStyle w:val="PageNumber"/>
          <w:rFonts w:ascii="Arial" w:hAnsi="Arial" w:cs="Arial"/>
          <w:color w:val="auto"/>
          <w:sz w:val="24"/>
          <w:szCs w:val="24"/>
        </w:rPr>
        <w:t xml:space="preserve"> we adopt this perspective</w:t>
      </w:r>
      <w:r w:rsidR="00DB2749" w:rsidRPr="00A25982">
        <w:rPr>
          <w:rStyle w:val="PageNumber"/>
          <w:rFonts w:ascii="Arial" w:hAnsi="Arial" w:cs="Arial"/>
          <w:color w:val="auto"/>
          <w:sz w:val="24"/>
          <w:szCs w:val="24"/>
        </w:rPr>
        <w:t>, with the constructs of sensing, seizing</w:t>
      </w:r>
      <w:r w:rsidR="009E5037" w:rsidRPr="00A25982">
        <w:rPr>
          <w:rStyle w:val="PageNumber"/>
          <w:rFonts w:ascii="Arial" w:hAnsi="Arial" w:cs="Arial"/>
          <w:color w:val="auto"/>
          <w:sz w:val="24"/>
          <w:szCs w:val="24"/>
        </w:rPr>
        <w:t>,</w:t>
      </w:r>
      <w:r w:rsidR="00DB2749" w:rsidRPr="00A25982">
        <w:rPr>
          <w:rStyle w:val="PageNumber"/>
          <w:rFonts w:ascii="Arial" w:hAnsi="Arial" w:cs="Arial"/>
          <w:color w:val="auto"/>
          <w:sz w:val="24"/>
          <w:szCs w:val="24"/>
        </w:rPr>
        <w:t xml:space="preserve"> and transforming being used to aid in the development of the interview protocol and </w:t>
      </w:r>
      <w:r w:rsidRPr="00A25982">
        <w:rPr>
          <w:rStyle w:val="PageNumber"/>
          <w:rFonts w:ascii="Arial" w:hAnsi="Arial" w:cs="Arial"/>
          <w:color w:val="auto"/>
          <w:sz w:val="24"/>
          <w:szCs w:val="24"/>
        </w:rPr>
        <w:t xml:space="preserve">in the </w:t>
      </w:r>
      <w:r w:rsidR="000C2323" w:rsidRPr="00A25982">
        <w:rPr>
          <w:rStyle w:val="PageNumber"/>
          <w:rFonts w:ascii="Arial" w:hAnsi="Arial" w:cs="Arial"/>
          <w:color w:val="auto"/>
          <w:sz w:val="24"/>
          <w:szCs w:val="24"/>
        </w:rPr>
        <w:t xml:space="preserve">subsequent </w:t>
      </w:r>
      <w:r w:rsidRPr="00A25982">
        <w:rPr>
          <w:rStyle w:val="PageNumber"/>
          <w:rFonts w:ascii="Arial" w:hAnsi="Arial" w:cs="Arial"/>
          <w:color w:val="auto"/>
          <w:sz w:val="24"/>
          <w:szCs w:val="24"/>
        </w:rPr>
        <w:t>analysis</w:t>
      </w:r>
      <w:r w:rsidR="00883ECB" w:rsidRPr="00A25982">
        <w:rPr>
          <w:rStyle w:val="PageNumber"/>
          <w:rFonts w:ascii="Arial" w:hAnsi="Arial" w:cs="Arial"/>
          <w:color w:val="auto"/>
          <w:sz w:val="24"/>
          <w:szCs w:val="24"/>
        </w:rPr>
        <w:t xml:space="preserve"> on the resilience of </w:t>
      </w:r>
      <w:r w:rsidR="00997D23" w:rsidRPr="00A25982">
        <w:rPr>
          <w:rStyle w:val="PageNumber"/>
          <w:rFonts w:ascii="Arial" w:hAnsi="Arial" w:cs="Arial"/>
          <w:color w:val="auto"/>
          <w:sz w:val="24"/>
          <w:szCs w:val="24"/>
        </w:rPr>
        <w:t xml:space="preserve">local </w:t>
      </w:r>
      <w:r w:rsidR="00883ECB" w:rsidRPr="00A25982">
        <w:rPr>
          <w:rStyle w:val="PageNumber"/>
          <w:rFonts w:ascii="Arial" w:hAnsi="Arial" w:cs="Arial"/>
          <w:color w:val="auto"/>
          <w:sz w:val="24"/>
          <w:szCs w:val="24"/>
        </w:rPr>
        <w:t>food supply chains to constitutional change</w:t>
      </w:r>
      <w:r w:rsidR="00D10804" w:rsidRPr="00A25982">
        <w:rPr>
          <w:rStyle w:val="PageNumber"/>
          <w:rFonts w:ascii="Arial" w:hAnsi="Arial" w:cs="Arial"/>
          <w:color w:val="auto"/>
          <w:sz w:val="24"/>
          <w:szCs w:val="24"/>
        </w:rPr>
        <w:t>.</w:t>
      </w:r>
      <w:r w:rsidR="00F71AC8" w:rsidRPr="00A25982">
        <w:rPr>
          <w:rStyle w:val="PageNumber"/>
          <w:rFonts w:ascii="Arial" w:hAnsi="Arial" w:cs="Arial"/>
          <w:color w:val="auto"/>
          <w:sz w:val="24"/>
          <w:szCs w:val="24"/>
        </w:rPr>
        <w:t xml:space="preserve"> </w:t>
      </w:r>
    </w:p>
    <w:p w14:paraId="7B9A3820" w14:textId="77777777" w:rsidR="00EA393C" w:rsidRPr="00A25982" w:rsidRDefault="00EA393C" w:rsidP="00A25982">
      <w:pPr>
        <w:pStyle w:val="BodyA"/>
        <w:spacing w:after="0" w:line="240" w:lineRule="auto"/>
        <w:ind w:firstLine="284"/>
        <w:jc w:val="both"/>
        <w:rPr>
          <w:rStyle w:val="PageNumber"/>
          <w:rFonts w:ascii="Arial" w:hAnsi="Arial" w:cs="Arial"/>
          <w:color w:val="auto"/>
        </w:rPr>
      </w:pPr>
    </w:p>
    <w:p w14:paraId="26E6E590" w14:textId="77777777" w:rsidR="00D10804" w:rsidRPr="00A25982" w:rsidRDefault="00D10804" w:rsidP="00A25982">
      <w:pPr>
        <w:pStyle w:val="NormalWeb"/>
        <w:spacing w:before="0" w:beforeAutospacing="0" w:after="0" w:afterAutospacing="0"/>
        <w:jc w:val="both"/>
        <w:rPr>
          <w:rFonts w:ascii="Arial" w:hAnsi="Arial" w:cs="Arial"/>
          <w:sz w:val="12"/>
          <w:szCs w:val="12"/>
        </w:rPr>
      </w:pPr>
    </w:p>
    <w:p w14:paraId="2B9C4B03" w14:textId="69962F91" w:rsidR="00B917E6" w:rsidRDefault="00EA393C" w:rsidP="00A25982">
      <w:pPr>
        <w:pStyle w:val="NormalWeb"/>
        <w:spacing w:before="0" w:beforeAutospacing="0" w:after="0" w:afterAutospacing="0"/>
        <w:jc w:val="both"/>
        <w:rPr>
          <w:rFonts w:ascii="Arial" w:hAnsi="Arial" w:cs="Arial"/>
          <w:b/>
        </w:rPr>
      </w:pPr>
      <w:r>
        <w:rPr>
          <w:noProof/>
        </w:rPr>
        <w:drawing>
          <wp:inline distT="0" distB="0" distL="0" distR="0" wp14:anchorId="41ABB9A6" wp14:editId="76F78353">
            <wp:extent cx="5400040" cy="34423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442366"/>
                    </a:xfrm>
                    <a:prstGeom prst="rect">
                      <a:avLst/>
                    </a:prstGeom>
                    <a:noFill/>
                  </pic:spPr>
                </pic:pic>
              </a:graphicData>
            </a:graphic>
          </wp:inline>
        </w:drawing>
      </w:r>
    </w:p>
    <w:p w14:paraId="23989431" w14:textId="2F79E48F" w:rsidR="00EA393C" w:rsidRPr="00EA393C" w:rsidRDefault="00EA393C" w:rsidP="00EA393C">
      <w:pPr>
        <w:pStyle w:val="NormalWeb"/>
        <w:spacing w:before="0" w:beforeAutospacing="0" w:after="0" w:afterAutospacing="0"/>
        <w:ind w:firstLine="284"/>
        <w:jc w:val="center"/>
        <w:rPr>
          <w:rFonts w:ascii="Arial" w:hAnsi="Arial" w:cs="Arial"/>
        </w:rPr>
      </w:pPr>
    </w:p>
    <w:p w14:paraId="66682CBE" w14:textId="77777777" w:rsidR="00EA393C" w:rsidRPr="00EA393C" w:rsidRDefault="00EA393C" w:rsidP="00EA393C">
      <w:pPr>
        <w:pStyle w:val="NormalWeb"/>
        <w:spacing w:before="0" w:beforeAutospacing="0" w:after="0" w:afterAutospacing="0"/>
        <w:ind w:firstLine="284"/>
        <w:jc w:val="center"/>
        <w:rPr>
          <w:rFonts w:ascii="Arial" w:hAnsi="Arial" w:cs="Arial"/>
        </w:rPr>
      </w:pPr>
      <w:r w:rsidRPr="00EA393C">
        <w:rPr>
          <w:rFonts w:ascii="Arial" w:hAnsi="Arial" w:cs="Arial"/>
        </w:rPr>
        <w:t>Figure 1: Research Model: Linking the Supply Chain Resilience and Dynamic Capability Perspectives</w:t>
      </w:r>
    </w:p>
    <w:p w14:paraId="724203BC" w14:textId="77777777" w:rsidR="00EA393C" w:rsidRPr="00EA393C" w:rsidRDefault="00EA393C" w:rsidP="00EA393C">
      <w:pPr>
        <w:pStyle w:val="NormalWeb"/>
        <w:spacing w:before="0" w:beforeAutospacing="0" w:after="0" w:afterAutospacing="0"/>
        <w:ind w:firstLine="284"/>
        <w:jc w:val="center"/>
        <w:rPr>
          <w:rFonts w:ascii="Arial" w:hAnsi="Arial" w:cs="Arial"/>
        </w:rPr>
      </w:pPr>
    </w:p>
    <w:p w14:paraId="030187B4" w14:textId="15CEA480" w:rsidR="00901D90" w:rsidRPr="00A25982" w:rsidRDefault="00842CB3" w:rsidP="00A25982">
      <w:pPr>
        <w:pStyle w:val="NormalWeb"/>
        <w:numPr>
          <w:ilvl w:val="0"/>
          <w:numId w:val="35"/>
        </w:numPr>
        <w:spacing w:before="0" w:beforeAutospacing="0" w:after="0" w:afterAutospacing="0"/>
        <w:ind w:left="284" w:hanging="284"/>
        <w:jc w:val="both"/>
        <w:rPr>
          <w:rFonts w:ascii="Arial" w:hAnsi="Arial" w:cs="Arial"/>
          <w:b/>
        </w:rPr>
      </w:pPr>
      <w:r w:rsidRPr="00A25982">
        <w:rPr>
          <w:rFonts w:ascii="Arial" w:hAnsi="Arial" w:cs="Arial"/>
          <w:b/>
        </w:rPr>
        <w:t xml:space="preserve">Research </w:t>
      </w:r>
      <w:r w:rsidR="00901D90" w:rsidRPr="00A25982">
        <w:rPr>
          <w:rFonts w:ascii="Arial" w:hAnsi="Arial" w:cs="Arial"/>
          <w:b/>
        </w:rPr>
        <w:t>Method</w:t>
      </w:r>
    </w:p>
    <w:p w14:paraId="455F52C5" w14:textId="0EF5AAA8" w:rsidR="007C43DE" w:rsidRDefault="007C43DE" w:rsidP="00A25982">
      <w:pPr>
        <w:pStyle w:val="NormalWeb"/>
        <w:spacing w:before="0" w:beforeAutospacing="0" w:after="0" w:afterAutospacing="0"/>
        <w:jc w:val="both"/>
        <w:rPr>
          <w:rFonts w:ascii="Arial" w:hAnsi="Arial" w:cs="Arial"/>
        </w:rPr>
      </w:pPr>
      <w:r w:rsidRPr="00A25982">
        <w:rPr>
          <w:rFonts w:ascii="Arial" w:hAnsi="Arial" w:cs="Arial"/>
        </w:rPr>
        <w:t xml:space="preserve">To ensure that the research was carried out rigorously, four criteria around </w:t>
      </w:r>
      <w:r w:rsidR="003F1209" w:rsidRPr="00A25982">
        <w:rPr>
          <w:rFonts w:ascii="Arial" w:hAnsi="Arial" w:cs="Arial"/>
        </w:rPr>
        <w:t xml:space="preserve">reliability and </w:t>
      </w:r>
      <w:r w:rsidRPr="00A25982">
        <w:rPr>
          <w:rFonts w:ascii="Arial" w:hAnsi="Arial" w:cs="Arial"/>
        </w:rPr>
        <w:t>validity were applied, as summarised in Table 1. The issues raised in this table are further discussed in section</w:t>
      </w:r>
      <w:r w:rsidR="009E5037" w:rsidRPr="00A25982">
        <w:rPr>
          <w:rFonts w:ascii="Arial" w:hAnsi="Arial" w:cs="Arial"/>
        </w:rPr>
        <w:t>s</w:t>
      </w:r>
      <w:r w:rsidRPr="00A25982">
        <w:rPr>
          <w:rFonts w:ascii="Arial" w:hAnsi="Arial" w:cs="Arial"/>
        </w:rPr>
        <w:t xml:space="preserve"> 3.1 and 3.2 below, which </w:t>
      </w:r>
      <w:r w:rsidR="00872219" w:rsidRPr="00A25982">
        <w:rPr>
          <w:rFonts w:ascii="Arial" w:hAnsi="Arial" w:cs="Arial"/>
        </w:rPr>
        <w:t xml:space="preserve">respectively </w:t>
      </w:r>
      <w:r w:rsidRPr="00A25982">
        <w:rPr>
          <w:rFonts w:ascii="Arial" w:hAnsi="Arial" w:cs="Arial"/>
        </w:rPr>
        <w:t>explain</w:t>
      </w:r>
      <w:r w:rsidR="00872219" w:rsidRPr="00A25982">
        <w:rPr>
          <w:rFonts w:ascii="Arial" w:hAnsi="Arial" w:cs="Arial"/>
        </w:rPr>
        <w:t>:</w:t>
      </w:r>
      <w:r w:rsidRPr="00A25982">
        <w:rPr>
          <w:rFonts w:ascii="Arial" w:hAnsi="Arial" w:cs="Arial"/>
        </w:rPr>
        <w:t xml:space="preserve"> the multi-case study research design and case se</w:t>
      </w:r>
      <w:r w:rsidR="00872219" w:rsidRPr="00A25982">
        <w:rPr>
          <w:rFonts w:ascii="Arial" w:hAnsi="Arial" w:cs="Arial"/>
        </w:rPr>
        <w:t>lection;</w:t>
      </w:r>
      <w:r w:rsidRPr="00A25982">
        <w:rPr>
          <w:rFonts w:ascii="Arial" w:hAnsi="Arial" w:cs="Arial"/>
        </w:rPr>
        <w:t xml:space="preserve"> and the data colle</w:t>
      </w:r>
      <w:r w:rsidR="00872219" w:rsidRPr="00A25982">
        <w:rPr>
          <w:rFonts w:ascii="Arial" w:hAnsi="Arial" w:cs="Arial"/>
        </w:rPr>
        <w:t>ction and analysis</w:t>
      </w:r>
      <w:r w:rsidRPr="00A25982">
        <w:rPr>
          <w:rFonts w:ascii="Arial" w:hAnsi="Arial" w:cs="Arial"/>
        </w:rPr>
        <w:t>.  The</w:t>
      </w:r>
      <w:r w:rsidR="009E5037" w:rsidRPr="00A25982">
        <w:rPr>
          <w:rFonts w:ascii="Arial" w:hAnsi="Arial" w:cs="Arial"/>
        </w:rPr>
        <w:t>se</w:t>
      </w:r>
      <w:r w:rsidRPr="00A25982">
        <w:rPr>
          <w:rFonts w:ascii="Arial" w:hAnsi="Arial" w:cs="Arial"/>
        </w:rPr>
        <w:t xml:space="preserve"> four criteria are relevant to case study research (</w:t>
      </w:r>
      <w:proofErr w:type="spellStart"/>
      <w:r w:rsidRPr="00A25982">
        <w:rPr>
          <w:rFonts w:ascii="Arial" w:hAnsi="Arial" w:cs="Arial"/>
        </w:rPr>
        <w:t>Gibbert</w:t>
      </w:r>
      <w:proofErr w:type="spellEnd"/>
      <w:r w:rsidRPr="00A25982">
        <w:rPr>
          <w:rFonts w:ascii="Arial" w:hAnsi="Arial" w:cs="Arial"/>
        </w:rPr>
        <w:t xml:space="preserve"> </w:t>
      </w:r>
      <w:r w:rsidRPr="00A25982">
        <w:rPr>
          <w:rFonts w:ascii="Arial" w:hAnsi="Arial" w:cs="Arial"/>
          <w:i/>
        </w:rPr>
        <w:t>et al.</w:t>
      </w:r>
      <w:r w:rsidRPr="00A25982">
        <w:rPr>
          <w:rFonts w:ascii="Arial" w:hAnsi="Arial" w:cs="Arial"/>
        </w:rPr>
        <w:t>, 2008; Yin, 20</w:t>
      </w:r>
      <w:r w:rsidR="00B640C9" w:rsidRPr="00A25982">
        <w:rPr>
          <w:rFonts w:ascii="Arial" w:hAnsi="Arial" w:cs="Arial"/>
        </w:rPr>
        <w:t>18</w:t>
      </w:r>
      <w:r w:rsidRPr="00A25982">
        <w:rPr>
          <w:rFonts w:ascii="Arial" w:hAnsi="Arial" w:cs="Arial"/>
        </w:rPr>
        <w:t>) and</w:t>
      </w:r>
      <w:r w:rsidR="009E5037" w:rsidRPr="00A25982">
        <w:rPr>
          <w:rFonts w:ascii="Arial" w:hAnsi="Arial" w:cs="Arial"/>
        </w:rPr>
        <w:t xml:space="preserve"> have been</w:t>
      </w:r>
      <w:r w:rsidRPr="00A25982">
        <w:rPr>
          <w:rFonts w:ascii="Arial" w:hAnsi="Arial" w:cs="Arial"/>
        </w:rPr>
        <w:t xml:space="preserve"> adopted </w:t>
      </w:r>
      <w:r w:rsidR="009E5037" w:rsidRPr="00A25982">
        <w:rPr>
          <w:rFonts w:ascii="Arial" w:hAnsi="Arial" w:cs="Arial"/>
        </w:rPr>
        <w:t>in</w:t>
      </w:r>
      <w:r w:rsidRPr="00A25982">
        <w:rPr>
          <w:rFonts w:ascii="Arial" w:hAnsi="Arial" w:cs="Arial"/>
        </w:rPr>
        <w:t xml:space="preserve"> exemplars of the use of the case study method </w:t>
      </w:r>
      <w:r w:rsidR="0045395C" w:rsidRPr="00A25982">
        <w:rPr>
          <w:rFonts w:ascii="Arial" w:hAnsi="Arial" w:cs="Arial"/>
        </w:rPr>
        <w:t>(</w:t>
      </w:r>
      <w:r w:rsidR="009E5037" w:rsidRPr="00A25982">
        <w:rPr>
          <w:rFonts w:ascii="Arial" w:hAnsi="Arial" w:cs="Arial"/>
        </w:rPr>
        <w:t xml:space="preserve">e.g. </w:t>
      </w:r>
      <w:r w:rsidR="009C5D35" w:rsidRPr="00A25982">
        <w:rPr>
          <w:rFonts w:ascii="Arial" w:hAnsi="Arial" w:cs="Arial"/>
        </w:rPr>
        <w:t xml:space="preserve">Reuter </w:t>
      </w:r>
      <w:r w:rsidR="009C5D35" w:rsidRPr="00A25982">
        <w:rPr>
          <w:rFonts w:ascii="Arial" w:hAnsi="Arial" w:cs="Arial"/>
          <w:i/>
        </w:rPr>
        <w:t>et al.</w:t>
      </w:r>
      <w:r w:rsidR="0045395C" w:rsidRPr="00A25982">
        <w:rPr>
          <w:rFonts w:ascii="Arial" w:hAnsi="Arial" w:cs="Arial"/>
        </w:rPr>
        <w:t>, 2010;</w:t>
      </w:r>
      <w:r w:rsidR="009C5D35" w:rsidRPr="00A25982">
        <w:rPr>
          <w:rFonts w:ascii="Arial" w:hAnsi="Arial" w:cs="Arial"/>
        </w:rPr>
        <w:t xml:space="preserve"> Wilhelm </w:t>
      </w:r>
      <w:r w:rsidR="009C5D35" w:rsidRPr="00A25982">
        <w:rPr>
          <w:rFonts w:ascii="Arial" w:hAnsi="Arial" w:cs="Arial"/>
          <w:i/>
        </w:rPr>
        <w:t>et al.</w:t>
      </w:r>
      <w:r w:rsidR="0045395C" w:rsidRPr="00A25982">
        <w:rPr>
          <w:rFonts w:ascii="Arial" w:hAnsi="Arial" w:cs="Arial"/>
        </w:rPr>
        <w:t xml:space="preserve">, </w:t>
      </w:r>
      <w:r w:rsidR="009C5D35" w:rsidRPr="00A25982">
        <w:rPr>
          <w:rFonts w:ascii="Arial" w:hAnsi="Arial" w:cs="Arial"/>
        </w:rPr>
        <w:t xml:space="preserve">2016). </w:t>
      </w:r>
    </w:p>
    <w:p w14:paraId="01A09819" w14:textId="08F798E1" w:rsidR="00EA393C" w:rsidRDefault="00EA393C" w:rsidP="00A25982">
      <w:pPr>
        <w:pStyle w:val="NormalWeb"/>
        <w:spacing w:before="0" w:beforeAutospacing="0" w:after="0" w:afterAutospacing="0"/>
        <w:jc w:val="both"/>
        <w:rPr>
          <w:rFonts w:ascii="Arial" w:hAnsi="Arial" w:cs="Arial"/>
        </w:rPr>
      </w:pPr>
    </w:p>
    <w:p w14:paraId="1DB0A025" w14:textId="1BFC7775" w:rsidR="00EA393C" w:rsidRDefault="00EA393C" w:rsidP="00A25982">
      <w:pPr>
        <w:pStyle w:val="NormalWeb"/>
        <w:spacing w:before="0" w:beforeAutospacing="0" w:after="0" w:afterAutospacing="0"/>
        <w:jc w:val="both"/>
        <w:rPr>
          <w:rFonts w:ascii="Arial" w:hAnsi="Arial" w:cs="Arial"/>
        </w:rPr>
      </w:pPr>
    </w:p>
    <w:p w14:paraId="0C525AC9" w14:textId="77777777" w:rsidR="00EA393C" w:rsidRDefault="00EA393C" w:rsidP="00A25982">
      <w:pPr>
        <w:pStyle w:val="NormalWeb"/>
        <w:spacing w:before="0" w:beforeAutospacing="0" w:after="0" w:afterAutospacing="0"/>
        <w:jc w:val="both"/>
        <w:rPr>
          <w:rFonts w:ascii="Arial" w:hAnsi="Arial" w:cs="Arial"/>
        </w:rPr>
        <w:sectPr w:rsidR="00EA393C" w:rsidSect="00880198">
          <w:headerReference w:type="even" r:id="rId9"/>
          <w:headerReference w:type="default" r:id="rId10"/>
          <w:footerReference w:type="default" r:id="rId11"/>
          <w:pgSz w:w="11906" w:h="16838"/>
          <w:pgMar w:top="1701" w:right="1701" w:bottom="1134" w:left="1701" w:header="709" w:footer="709" w:gutter="0"/>
          <w:cols w:space="708"/>
          <w:docGrid w:linePitch="360"/>
        </w:sectPr>
      </w:pPr>
    </w:p>
    <w:p w14:paraId="730AE59D" w14:textId="62B44DBD" w:rsidR="00EA393C" w:rsidRPr="000D4B05" w:rsidRDefault="00EA393C" w:rsidP="00EA393C">
      <w:pPr>
        <w:pStyle w:val="NormalWeb"/>
        <w:spacing w:before="0" w:beforeAutospacing="0" w:after="0" w:afterAutospacing="0"/>
        <w:jc w:val="center"/>
        <w:rPr>
          <w:rFonts w:ascii="Arial" w:hAnsi="Arial" w:cs="Arial"/>
          <w:vertAlign w:val="superscript"/>
        </w:rPr>
      </w:pPr>
      <w:r w:rsidRPr="000D4B05">
        <w:rPr>
          <w:rFonts w:ascii="Arial" w:hAnsi="Arial" w:cs="Arial"/>
        </w:rPr>
        <w:lastRenderedPageBreak/>
        <w:t xml:space="preserve">Table 1: Validity and Reliability Issues Addressed Throughout the Course of the </w:t>
      </w:r>
      <w:proofErr w:type="spellStart"/>
      <w:r w:rsidRPr="000D4B05">
        <w:rPr>
          <w:rFonts w:ascii="Arial" w:hAnsi="Arial" w:cs="Arial"/>
        </w:rPr>
        <w:t>Research</w:t>
      </w:r>
      <w:r w:rsidRPr="000D4B05">
        <w:rPr>
          <w:rFonts w:ascii="Arial" w:hAnsi="Arial" w:cs="Arial"/>
          <w:vertAlign w:val="superscript"/>
        </w:rPr>
        <w:t>a</w:t>
      </w:r>
      <w:proofErr w:type="spellEnd"/>
    </w:p>
    <w:p w14:paraId="3A17492A" w14:textId="77777777" w:rsidR="00EA393C" w:rsidRPr="00EA393C" w:rsidRDefault="00EA393C" w:rsidP="00EA393C">
      <w:pPr>
        <w:pStyle w:val="NormalWeb"/>
        <w:spacing w:before="0" w:beforeAutospacing="0" w:after="0" w:afterAutospacing="0"/>
        <w:jc w:val="center"/>
        <w:rPr>
          <w:i/>
          <w:vertAlign w:val="superscript"/>
        </w:rPr>
      </w:pPr>
    </w:p>
    <w:tbl>
      <w:tblPr>
        <w:tblStyle w:val="TableGrid"/>
        <w:tblW w:w="14596" w:type="dxa"/>
        <w:tblLook w:val="04A0" w:firstRow="1" w:lastRow="0" w:firstColumn="1" w:lastColumn="0" w:noHBand="0" w:noVBand="1"/>
      </w:tblPr>
      <w:tblGrid>
        <w:gridCol w:w="2122"/>
        <w:gridCol w:w="3118"/>
        <w:gridCol w:w="3119"/>
        <w:gridCol w:w="3118"/>
        <w:gridCol w:w="3119"/>
      </w:tblGrid>
      <w:tr w:rsidR="00EA393C" w:rsidRPr="00EA393C" w14:paraId="07654581" w14:textId="77777777" w:rsidTr="006D4A11">
        <w:tc>
          <w:tcPr>
            <w:tcW w:w="2122" w:type="dxa"/>
            <w:vMerge w:val="restart"/>
          </w:tcPr>
          <w:p w14:paraId="052177E7" w14:textId="77777777" w:rsidR="00EA393C" w:rsidRPr="00EA393C" w:rsidRDefault="00EA393C" w:rsidP="006D4A11">
            <w:pPr>
              <w:rPr>
                <w:b/>
                <w:lang w:eastAsia="en-GB"/>
              </w:rPr>
            </w:pPr>
            <w:r w:rsidRPr="00EA393C">
              <w:rPr>
                <w:b/>
                <w:lang w:eastAsia="en-GB"/>
              </w:rPr>
              <w:t>Reliability / Validity Criterion</w:t>
            </w:r>
          </w:p>
        </w:tc>
        <w:tc>
          <w:tcPr>
            <w:tcW w:w="12474" w:type="dxa"/>
            <w:gridSpan w:val="4"/>
          </w:tcPr>
          <w:p w14:paraId="700192AF" w14:textId="77777777" w:rsidR="00EA393C" w:rsidRPr="00EA393C" w:rsidRDefault="00EA393C" w:rsidP="006D4A11">
            <w:pPr>
              <w:jc w:val="center"/>
              <w:rPr>
                <w:b/>
                <w:lang w:eastAsia="en-GB"/>
              </w:rPr>
            </w:pPr>
            <w:r w:rsidRPr="00EA393C">
              <w:rPr>
                <w:b/>
                <w:lang w:eastAsia="en-GB"/>
              </w:rPr>
              <w:t>Research Phase</w:t>
            </w:r>
          </w:p>
        </w:tc>
      </w:tr>
      <w:tr w:rsidR="00EA393C" w:rsidRPr="00EA393C" w14:paraId="15D5200C" w14:textId="77777777" w:rsidTr="006D4A11">
        <w:tc>
          <w:tcPr>
            <w:tcW w:w="2122" w:type="dxa"/>
            <w:vMerge/>
          </w:tcPr>
          <w:p w14:paraId="53281824" w14:textId="77777777" w:rsidR="00EA393C" w:rsidRPr="00EA393C" w:rsidRDefault="00EA393C" w:rsidP="006D4A11">
            <w:pPr>
              <w:rPr>
                <w:b/>
                <w:sz w:val="20"/>
                <w:szCs w:val="20"/>
                <w:lang w:eastAsia="en-GB"/>
              </w:rPr>
            </w:pPr>
          </w:p>
        </w:tc>
        <w:tc>
          <w:tcPr>
            <w:tcW w:w="3118" w:type="dxa"/>
          </w:tcPr>
          <w:p w14:paraId="4432F259" w14:textId="77777777" w:rsidR="00EA393C" w:rsidRPr="00EA393C" w:rsidRDefault="00EA393C" w:rsidP="006D4A11">
            <w:pPr>
              <w:rPr>
                <w:b/>
                <w:lang w:eastAsia="en-GB"/>
              </w:rPr>
            </w:pPr>
            <w:r w:rsidRPr="00EA393C">
              <w:rPr>
                <w:b/>
                <w:lang w:eastAsia="en-GB"/>
              </w:rPr>
              <w:t>Design</w:t>
            </w:r>
          </w:p>
        </w:tc>
        <w:tc>
          <w:tcPr>
            <w:tcW w:w="3119" w:type="dxa"/>
          </w:tcPr>
          <w:p w14:paraId="71880EEE" w14:textId="77777777" w:rsidR="00EA393C" w:rsidRPr="00EA393C" w:rsidRDefault="00EA393C" w:rsidP="006D4A11">
            <w:pPr>
              <w:rPr>
                <w:b/>
                <w:lang w:eastAsia="en-GB"/>
              </w:rPr>
            </w:pPr>
            <w:r w:rsidRPr="00EA393C">
              <w:rPr>
                <w:b/>
                <w:lang w:eastAsia="en-GB"/>
              </w:rPr>
              <w:t>Case Selection</w:t>
            </w:r>
          </w:p>
        </w:tc>
        <w:tc>
          <w:tcPr>
            <w:tcW w:w="3118" w:type="dxa"/>
          </w:tcPr>
          <w:p w14:paraId="0BB1AF0F" w14:textId="77777777" w:rsidR="00EA393C" w:rsidRPr="00EA393C" w:rsidRDefault="00EA393C" w:rsidP="006D4A11">
            <w:pPr>
              <w:rPr>
                <w:b/>
                <w:lang w:eastAsia="en-GB"/>
              </w:rPr>
            </w:pPr>
            <w:r w:rsidRPr="00EA393C">
              <w:rPr>
                <w:b/>
                <w:lang w:eastAsia="en-GB"/>
              </w:rPr>
              <w:t>Data Gathering</w:t>
            </w:r>
          </w:p>
        </w:tc>
        <w:tc>
          <w:tcPr>
            <w:tcW w:w="3119" w:type="dxa"/>
          </w:tcPr>
          <w:p w14:paraId="3A9589D2" w14:textId="77777777" w:rsidR="00EA393C" w:rsidRPr="00EA393C" w:rsidRDefault="00EA393C" w:rsidP="006D4A11">
            <w:pPr>
              <w:rPr>
                <w:b/>
                <w:lang w:eastAsia="en-GB"/>
              </w:rPr>
            </w:pPr>
            <w:r w:rsidRPr="00EA393C">
              <w:rPr>
                <w:b/>
                <w:lang w:eastAsia="en-GB"/>
              </w:rPr>
              <w:t>Data Analysis</w:t>
            </w:r>
          </w:p>
        </w:tc>
      </w:tr>
      <w:tr w:rsidR="00EA393C" w:rsidRPr="00EA393C" w14:paraId="57DAD17D" w14:textId="77777777" w:rsidTr="006D4A11">
        <w:tc>
          <w:tcPr>
            <w:tcW w:w="2122" w:type="dxa"/>
          </w:tcPr>
          <w:p w14:paraId="2C3B2F46" w14:textId="77777777" w:rsidR="00EA393C" w:rsidRPr="00EA393C" w:rsidRDefault="00EA393C" w:rsidP="006D4A11">
            <w:pPr>
              <w:rPr>
                <w:b/>
                <w:sz w:val="20"/>
                <w:szCs w:val="20"/>
                <w:lang w:eastAsia="en-GB"/>
              </w:rPr>
            </w:pPr>
            <w:r w:rsidRPr="00EA393C">
              <w:rPr>
                <w:b/>
                <w:lang w:eastAsia="en-GB"/>
              </w:rPr>
              <w:t>Reliability</w:t>
            </w:r>
            <w:r w:rsidRPr="00EA393C">
              <w:rPr>
                <w:b/>
                <w:sz w:val="20"/>
                <w:szCs w:val="20"/>
                <w:lang w:eastAsia="en-GB"/>
              </w:rPr>
              <w:t xml:space="preserve"> </w:t>
            </w:r>
            <w:r w:rsidRPr="00EA393C">
              <w:rPr>
                <w:sz w:val="20"/>
                <w:szCs w:val="20"/>
                <w:lang w:eastAsia="en-GB"/>
              </w:rPr>
              <w:t>(demonstrating that the operations can be repeated with the same results)</w:t>
            </w:r>
          </w:p>
        </w:tc>
        <w:tc>
          <w:tcPr>
            <w:tcW w:w="3118" w:type="dxa"/>
          </w:tcPr>
          <w:p w14:paraId="75914BC5"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Developed a case study protocol</w:t>
            </w:r>
          </w:p>
          <w:p w14:paraId="6214BF5F"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Development and use of case study database</w:t>
            </w:r>
          </w:p>
        </w:tc>
        <w:tc>
          <w:tcPr>
            <w:tcW w:w="3119" w:type="dxa"/>
          </w:tcPr>
          <w:p w14:paraId="50FE94A0"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Clear involvement in ‘local’ food supply chains, and all impacted by Brexit</w:t>
            </w:r>
          </w:p>
        </w:tc>
        <w:tc>
          <w:tcPr>
            <w:tcW w:w="3118" w:type="dxa"/>
          </w:tcPr>
          <w:p w14:paraId="5198944B"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Semi-structured interview guidelines reported in the interview protocol</w:t>
            </w:r>
          </w:p>
        </w:tc>
        <w:tc>
          <w:tcPr>
            <w:tcW w:w="3119" w:type="dxa"/>
          </w:tcPr>
          <w:p w14:paraId="657DD6BD"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Involvement of authors who have not been in the field gathering data</w:t>
            </w:r>
          </w:p>
          <w:p w14:paraId="27A3F42B"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Rigorous coding process</w:t>
            </w:r>
          </w:p>
        </w:tc>
      </w:tr>
      <w:tr w:rsidR="00EA393C" w:rsidRPr="00EA393C" w14:paraId="6FB5CAF0" w14:textId="77777777" w:rsidTr="006D4A11">
        <w:tc>
          <w:tcPr>
            <w:tcW w:w="2122" w:type="dxa"/>
          </w:tcPr>
          <w:p w14:paraId="00A38746" w14:textId="77777777" w:rsidR="00EA393C" w:rsidRPr="00EA393C" w:rsidRDefault="00EA393C" w:rsidP="006D4A11">
            <w:pPr>
              <w:rPr>
                <w:b/>
                <w:sz w:val="20"/>
                <w:szCs w:val="20"/>
                <w:lang w:eastAsia="en-GB"/>
              </w:rPr>
            </w:pPr>
            <w:r w:rsidRPr="00EA393C">
              <w:rPr>
                <w:b/>
                <w:lang w:eastAsia="en-GB"/>
              </w:rPr>
              <w:t>Internal Validity</w:t>
            </w:r>
            <w:r w:rsidRPr="00EA393C">
              <w:rPr>
                <w:b/>
                <w:sz w:val="20"/>
                <w:szCs w:val="20"/>
                <w:lang w:eastAsia="en-GB"/>
              </w:rPr>
              <w:t xml:space="preserve"> </w:t>
            </w:r>
            <w:r w:rsidRPr="00EA393C">
              <w:rPr>
                <w:sz w:val="20"/>
                <w:szCs w:val="20"/>
                <w:lang w:eastAsia="en-GB"/>
              </w:rPr>
              <w:t>(establishing a causal relationship whereby certain conditions are believed to lead to other conditions)</w:t>
            </w:r>
          </w:p>
        </w:tc>
        <w:tc>
          <w:tcPr>
            <w:tcW w:w="3118" w:type="dxa"/>
          </w:tcPr>
          <w:p w14:paraId="1C893A42"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 xml:space="preserve">Foundation of our research model within the established literature on </w:t>
            </w:r>
            <w:proofErr w:type="spellStart"/>
            <w:r w:rsidRPr="00EA393C">
              <w:rPr>
                <w:sz w:val="20"/>
                <w:szCs w:val="20"/>
                <w:lang w:eastAsia="en-GB"/>
              </w:rPr>
              <w:t>SCRes</w:t>
            </w:r>
            <w:proofErr w:type="spellEnd"/>
            <w:r w:rsidRPr="00EA393C">
              <w:rPr>
                <w:sz w:val="20"/>
                <w:szCs w:val="20"/>
                <w:lang w:eastAsia="en-GB"/>
              </w:rPr>
              <w:t xml:space="preserve"> and Dynamic Capabilities</w:t>
            </w:r>
          </w:p>
        </w:tc>
        <w:tc>
          <w:tcPr>
            <w:tcW w:w="3119" w:type="dxa"/>
          </w:tcPr>
          <w:p w14:paraId="578CC7CC"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n/a</w:t>
            </w:r>
          </w:p>
        </w:tc>
        <w:tc>
          <w:tcPr>
            <w:tcW w:w="3118" w:type="dxa"/>
          </w:tcPr>
          <w:p w14:paraId="4ED9CFF0"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Multiple respondents</w:t>
            </w:r>
          </w:p>
          <w:p w14:paraId="150AFEDC"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Most knowledgeable, key informants interviewed/ included in the roundtable discussions</w:t>
            </w:r>
          </w:p>
          <w:p w14:paraId="61DFFB23"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Interviews fully transcribed and sent to interviewees for checking</w:t>
            </w:r>
          </w:p>
        </w:tc>
        <w:tc>
          <w:tcPr>
            <w:tcW w:w="3119" w:type="dxa"/>
          </w:tcPr>
          <w:p w14:paraId="68B256E9"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Pattern matching between the cases</w:t>
            </w:r>
          </w:p>
          <w:p w14:paraId="1CBD29C0"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Triangulation of data</w:t>
            </w:r>
          </w:p>
          <w:p w14:paraId="1FF75CF4"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Discussion between authors to agree coding</w:t>
            </w:r>
          </w:p>
        </w:tc>
      </w:tr>
      <w:tr w:rsidR="00EA393C" w:rsidRPr="00EA393C" w14:paraId="3A445279" w14:textId="77777777" w:rsidTr="006D4A11">
        <w:tc>
          <w:tcPr>
            <w:tcW w:w="2122" w:type="dxa"/>
          </w:tcPr>
          <w:p w14:paraId="2C375246" w14:textId="77777777" w:rsidR="00EA393C" w:rsidRPr="00EA393C" w:rsidRDefault="00EA393C" w:rsidP="006D4A11">
            <w:pPr>
              <w:rPr>
                <w:b/>
                <w:sz w:val="20"/>
                <w:szCs w:val="20"/>
                <w:lang w:eastAsia="en-GB"/>
              </w:rPr>
            </w:pPr>
            <w:r w:rsidRPr="00EA393C">
              <w:rPr>
                <w:b/>
                <w:lang w:eastAsia="en-GB"/>
              </w:rPr>
              <w:t>Construct Validity</w:t>
            </w:r>
            <w:r w:rsidRPr="00EA393C">
              <w:rPr>
                <w:b/>
                <w:sz w:val="20"/>
                <w:szCs w:val="20"/>
                <w:lang w:eastAsia="en-GB"/>
              </w:rPr>
              <w:t xml:space="preserve"> </w:t>
            </w:r>
            <w:r w:rsidRPr="00EA393C">
              <w:rPr>
                <w:sz w:val="20"/>
                <w:szCs w:val="20"/>
                <w:lang w:eastAsia="en-GB"/>
              </w:rPr>
              <w:t>(establishing correct operational measures for the concepts being studied)</w:t>
            </w:r>
          </w:p>
        </w:tc>
        <w:tc>
          <w:tcPr>
            <w:tcW w:w="3118" w:type="dxa"/>
          </w:tcPr>
          <w:p w14:paraId="615C0F49"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 xml:space="preserve">Adoption of questions linked to extant </w:t>
            </w:r>
            <w:proofErr w:type="spellStart"/>
            <w:r w:rsidRPr="00EA393C">
              <w:rPr>
                <w:sz w:val="20"/>
                <w:szCs w:val="20"/>
                <w:lang w:eastAsia="en-GB"/>
              </w:rPr>
              <w:t>SCRes</w:t>
            </w:r>
            <w:proofErr w:type="spellEnd"/>
            <w:r w:rsidRPr="00EA393C">
              <w:rPr>
                <w:sz w:val="20"/>
                <w:szCs w:val="20"/>
                <w:lang w:eastAsia="en-GB"/>
              </w:rPr>
              <w:t xml:space="preserve"> and Dynamic Capabilities literature</w:t>
            </w:r>
          </w:p>
        </w:tc>
        <w:tc>
          <w:tcPr>
            <w:tcW w:w="3119" w:type="dxa"/>
          </w:tcPr>
          <w:p w14:paraId="23C344C7"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n/a</w:t>
            </w:r>
          </w:p>
        </w:tc>
        <w:tc>
          <w:tcPr>
            <w:tcW w:w="3118" w:type="dxa"/>
          </w:tcPr>
          <w:p w14:paraId="1532574B"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Multiple sources of information – interviews, roundtable discussions, observations and secondary data</w:t>
            </w:r>
          </w:p>
        </w:tc>
        <w:tc>
          <w:tcPr>
            <w:tcW w:w="3119" w:type="dxa"/>
          </w:tcPr>
          <w:p w14:paraId="474B9949"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Data triangulation between interview data and roundtable discussion data</w:t>
            </w:r>
          </w:p>
        </w:tc>
      </w:tr>
      <w:tr w:rsidR="00EA393C" w:rsidRPr="00EA393C" w14:paraId="42949D41" w14:textId="77777777" w:rsidTr="006D4A11">
        <w:tc>
          <w:tcPr>
            <w:tcW w:w="2122" w:type="dxa"/>
          </w:tcPr>
          <w:p w14:paraId="6A1CB456" w14:textId="77777777" w:rsidR="00EA393C" w:rsidRPr="00EA393C" w:rsidRDefault="00EA393C" w:rsidP="006D4A11">
            <w:pPr>
              <w:rPr>
                <w:sz w:val="20"/>
                <w:szCs w:val="20"/>
                <w:lang w:eastAsia="en-GB"/>
              </w:rPr>
            </w:pPr>
            <w:r w:rsidRPr="00EA393C">
              <w:rPr>
                <w:b/>
                <w:lang w:eastAsia="en-GB"/>
              </w:rPr>
              <w:t>External Validity</w:t>
            </w:r>
            <w:r w:rsidRPr="00EA393C">
              <w:rPr>
                <w:sz w:val="20"/>
                <w:szCs w:val="20"/>
                <w:lang w:eastAsia="en-GB"/>
              </w:rPr>
              <w:t xml:space="preserve"> (establishing whether and how a case study’s findings can be generalised)</w:t>
            </w:r>
          </w:p>
          <w:p w14:paraId="6A3F32E9" w14:textId="77777777" w:rsidR="00EA393C" w:rsidRPr="00EA393C" w:rsidRDefault="00EA393C" w:rsidP="006D4A11">
            <w:pPr>
              <w:rPr>
                <w:b/>
                <w:sz w:val="20"/>
                <w:szCs w:val="20"/>
                <w:lang w:eastAsia="en-GB"/>
              </w:rPr>
            </w:pPr>
          </w:p>
        </w:tc>
        <w:tc>
          <w:tcPr>
            <w:tcW w:w="3118" w:type="dxa"/>
          </w:tcPr>
          <w:p w14:paraId="15911586"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Adoption of Dynamic Capabilities for ‘Theory Matching’ (</w:t>
            </w:r>
            <w:proofErr w:type="spellStart"/>
            <w:r w:rsidRPr="00EA393C">
              <w:rPr>
                <w:sz w:val="20"/>
                <w:szCs w:val="20"/>
                <w:lang w:eastAsia="en-GB"/>
              </w:rPr>
              <w:t>Zorzini</w:t>
            </w:r>
            <w:proofErr w:type="spellEnd"/>
            <w:r w:rsidRPr="00EA393C">
              <w:rPr>
                <w:sz w:val="20"/>
                <w:szCs w:val="20"/>
                <w:lang w:eastAsia="en-GB"/>
              </w:rPr>
              <w:t xml:space="preserve"> </w:t>
            </w:r>
            <w:r w:rsidRPr="00EA393C">
              <w:rPr>
                <w:i/>
                <w:sz w:val="20"/>
                <w:szCs w:val="20"/>
                <w:lang w:eastAsia="en-GB"/>
              </w:rPr>
              <w:t>et al</w:t>
            </w:r>
            <w:r w:rsidRPr="00EA393C">
              <w:rPr>
                <w:sz w:val="20"/>
                <w:szCs w:val="20"/>
                <w:lang w:eastAsia="en-GB"/>
              </w:rPr>
              <w:t>., 2015)</w:t>
            </w:r>
          </w:p>
          <w:p w14:paraId="79F37956"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Comparative multiple case studies</w:t>
            </w:r>
          </w:p>
          <w:p w14:paraId="0C82D946"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Inclusion of NGOs</w:t>
            </w:r>
          </w:p>
          <w:p w14:paraId="12D5FDD1"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Roundtable discussions to validate/broaden the findings</w:t>
            </w:r>
          </w:p>
        </w:tc>
        <w:tc>
          <w:tcPr>
            <w:tcW w:w="3119" w:type="dxa"/>
          </w:tcPr>
          <w:p w14:paraId="3676F4EC"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Theoretical sampling using replication logic – both literal replication and theoretical replication.</w:t>
            </w:r>
          </w:p>
        </w:tc>
        <w:tc>
          <w:tcPr>
            <w:tcW w:w="3118" w:type="dxa"/>
          </w:tcPr>
          <w:p w14:paraId="0C9ECBD8"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Gathering data on the case contexts</w:t>
            </w:r>
          </w:p>
        </w:tc>
        <w:tc>
          <w:tcPr>
            <w:tcW w:w="3119" w:type="dxa"/>
          </w:tcPr>
          <w:p w14:paraId="42FEC33C" w14:textId="77777777" w:rsidR="00EA393C" w:rsidRPr="00EA393C" w:rsidRDefault="00EA393C" w:rsidP="00EA393C">
            <w:pPr>
              <w:pStyle w:val="ListParagraph"/>
              <w:numPr>
                <w:ilvl w:val="0"/>
                <w:numId w:val="36"/>
              </w:numPr>
              <w:ind w:left="210" w:hanging="210"/>
              <w:rPr>
                <w:sz w:val="20"/>
                <w:szCs w:val="20"/>
                <w:lang w:eastAsia="en-GB"/>
              </w:rPr>
            </w:pPr>
            <w:r w:rsidRPr="00EA393C">
              <w:rPr>
                <w:sz w:val="20"/>
                <w:szCs w:val="20"/>
                <w:lang w:eastAsia="en-GB"/>
              </w:rPr>
              <w:t>Pattern matching rather than statistical projections used</w:t>
            </w:r>
          </w:p>
        </w:tc>
      </w:tr>
    </w:tbl>
    <w:p w14:paraId="44DB821E" w14:textId="2060DFD8" w:rsidR="00EA393C" w:rsidRPr="000D4B05" w:rsidRDefault="00EA393C" w:rsidP="00EA393C">
      <w:pPr>
        <w:rPr>
          <w:rFonts w:ascii="Arial" w:eastAsia="Calibri" w:hAnsi="Arial" w:cs="Arial"/>
          <w:sz w:val="20"/>
          <w:szCs w:val="20"/>
          <w:lang w:eastAsia="en-GB"/>
        </w:rPr>
      </w:pPr>
      <w:r w:rsidRPr="000D4B05">
        <w:rPr>
          <w:rFonts w:ascii="Arial" w:eastAsia="Calibri" w:hAnsi="Arial" w:cs="Arial"/>
          <w:sz w:val="20"/>
          <w:szCs w:val="20"/>
          <w:vertAlign w:val="superscript"/>
          <w:lang w:eastAsia="en-GB"/>
        </w:rPr>
        <w:t xml:space="preserve">a </w:t>
      </w:r>
      <w:proofErr w:type="gramStart"/>
      <w:r w:rsidRPr="000D4B05">
        <w:rPr>
          <w:rFonts w:ascii="Arial" w:eastAsia="Calibri" w:hAnsi="Arial" w:cs="Arial"/>
          <w:sz w:val="20"/>
          <w:szCs w:val="20"/>
          <w:lang w:eastAsia="en-GB"/>
        </w:rPr>
        <w:t>Based on</w:t>
      </w:r>
      <w:proofErr w:type="gramEnd"/>
      <w:r w:rsidRPr="000D4B05">
        <w:rPr>
          <w:rFonts w:ascii="Arial" w:eastAsia="Calibri" w:hAnsi="Arial" w:cs="Arial"/>
          <w:sz w:val="20"/>
          <w:szCs w:val="20"/>
          <w:lang w:eastAsia="en-GB"/>
        </w:rPr>
        <w:t xml:space="preserve"> Yin (2018); </w:t>
      </w:r>
      <w:proofErr w:type="spellStart"/>
      <w:r w:rsidRPr="000D4B05">
        <w:rPr>
          <w:rFonts w:ascii="Arial" w:eastAsia="Calibri" w:hAnsi="Arial" w:cs="Arial"/>
          <w:sz w:val="20"/>
          <w:szCs w:val="20"/>
          <w:lang w:eastAsia="en-GB"/>
        </w:rPr>
        <w:t>Gibbert</w:t>
      </w:r>
      <w:proofErr w:type="spellEnd"/>
      <w:r w:rsidRPr="000D4B05">
        <w:rPr>
          <w:rFonts w:ascii="Arial" w:eastAsia="Calibri" w:hAnsi="Arial" w:cs="Arial"/>
          <w:sz w:val="20"/>
          <w:szCs w:val="20"/>
          <w:lang w:eastAsia="en-GB"/>
        </w:rPr>
        <w:t xml:space="preserve"> </w:t>
      </w:r>
      <w:r w:rsidRPr="000D4B05">
        <w:rPr>
          <w:rFonts w:ascii="Arial" w:eastAsia="Calibri" w:hAnsi="Arial" w:cs="Arial"/>
          <w:i/>
          <w:sz w:val="20"/>
          <w:szCs w:val="20"/>
          <w:lang w:eastAsia="en-GB"/>
        </w:rPr>
        <w:t>et al.</w:t>
      </w:r>
      <w:r w:rsidRPr="000D4B05">
        <w:rPr>
          <w:rFonts w:ascii="Arial" w:eastAsia="Calibri" w:hAnsi="Arial" w:cs="Arial"/>
          <w:sz w:val="20"/>
          <w:szCs w:val="20"/>
          <w:lang w:eastAsia="en-GB"/>
        </w:rPr>
        <w:t xml:space="preserve"> (20008).</w:t>
      </w:r>
    </w:p>
    <w:p w14:paraId="5E76D32C" w14:textId="77777777" w:rsidR="00EA393C" w:rsidRPr="000D4B05" w:rsidRDefault="00EA393C" w:rsidP="00A25982">
      <w:pPr>
        <w:pStyle w:val="NormalWeb"/>
        <w:spacing w:before="0" w:beforeAutospacing="0" w:after="0" w:afterAutospacing="0"/>
        <w:jc w:val="both"/>
        <w:rPr>
          <w:rFonts w:ascii="Arial" w:hAnsi="Arial" w:cs="Arial"/>
        </w:rPr>
        <w:sectPr w:rsidR="00EA393C" w:rsidRPr="000D4B05" w:rsidSect="00EA393C">
          <w:pgSz w:w="16838" w:h="11906" w:orient="landscape"/>
          <w:pgMar w:top="1701" w:right="1701" w:bottom="1701" w:left="1134" w:header="709" w:footer="709" w:gutter="0"/>
          <w:cols w:space="708"/>
          <w:docGrid w:linePitch="360"/>
        </w:sectPr>
      </w:pPr>
    </w:p>
    <w:p w14:paraId="6D9E0549" w14:textId="7A87EC96" w:rsidR="00671226" w:rsidRPr="00A25982" w:rsidRDefault="00671226" w:rsidP="00A25982">
      <w:pPr>
        <w:pStyle w:val="NormalWeb"/>
        <w:spacing w:before="0" w:beforeAutospacing="0" w:after="0" w:afterAutospacing="0"/>
        <w:jc w:val="both"/>
        <w:rPr>
          <w:rFonts w:ascii="Arial" w:hAnsi="Arial" w:cs="Arial"/>
          <w:i/>
        </w:rPr>
      </w:pPr>
      <w:r w:rsidRPr="00A25982">
        <w:rPr>
          <w:rFonts w:ascii="Arial" w:hAnsi="Arial" w:cs="Arial"/>
          <w:i/>
        </w:rPr>
        <w:lastRenderedPageBreak/>
        <w:t>3.1 Research Design and Case Selection</w:t>
      </w:r>
    </w:p>
    <w:p w14:paraId="6CBFB551" w14:textId="2D88B2B6" w:rsidR="00904927" w:rsidRDefault="008264D8" w:rsidP="00A25982">
      <w:pPr>
        <w:pStyle w:val="NormalWeb"/>
        <w:spacing w:before="0" w:beforeAutospacing="0" w:after="0" w:afterAutospacing="0"/>
        <w:jc w:val="both"/>
        <w:rPr>
          <w:rFonts w:ascii="Arial" w:hAnsi="Arial" w:cs="Arial"/>
        </w:rPr>
      </w:pPr>
      <w:r w:rsidRPr="00A25982">
        <w:rPr>
          <w:rFonts w:ascii="Arial" w:hAnsi="Arial" w:cs="Arial"/>
        </w:rPr>
        <w:t>Given the explorative nature of the research, a multi-case study approach was adopted to enable in-depth investigation of the phenomenon of interest (</w:t>
      </w:r>
      <w:r w:rsidR="003E40E7" w:rsidRPr="00A25982">
        <w:rPr>
          <w:rFonts w:ascii="Arial" w:hAnsi="Arial" w:cs="Arial"/>
        </w:rPr>
        <w:t xml:space="preserve">Voss </w:t>
      </w:r>
      <w:r w:rsidR="003E40E7" w:rsidRPr="00A25982">
        <w:rPr>
          <w:rFonts w:ascii="Arial" w:hAnsi="Arial" w:cs="Arial"/>
          <w:i/>
        </w:rPr>
        <w:t>et al.</w:t>
      </w:r>
      <w:r w:rsidR="003E40E7" w:rsidRPr="00A25982">
        <w:rPr>
          <w:rFonts w:ascii="Arial" w:hAnsi="Arial" w:cs="Arial"/>
        </w:rPr>
        <w:t>, 201</w:t>
      </w:r>
      <w:r w:rsidR="00091BA0" w:rsidRPr="00A25982">
        <w:rPr>
          <w:rFonts w:ascii="Arial" w:hAnsi="Arial" w:cs="Arial"/>
        </w:rPr>
        <w:t>6</w:t>
      </w:r>
      <w:r w:rsidRPr="00A25982">
        <w:rPr>
          <w:rFonts w:ascii="Arial" w:hAnsi="Arial" w:cs="Arial"/>
        </w:rPr>
        <w:t>).</w:t>
      </w:r>
      <w:r w:rsidR="00F71AC8" w:rsidRPr="00A25982">
        <w:rPr>
          <w:rFonts w:ascii="Arial" w:hAnsi="Arial" w:cs="Arial"/>
        </w:rPr>
        <w:t xml:space="preserve"> </w:t>
      </w:r>
      <w:r w:rsidR="0045395C" w:rsidRPr="00A25982">
        <w:rPr>
          <w:rFonts w:ascii="Arial" w:hAnsi="Arial" w:cs="Arial"/>
        </w:rPr>
        <w:t>The main aim was to develop</w:t>
      </w:r>
      <w:r w:rsidR="00584950" w:rsidRPr="00A25982">
        <w:rPr>
          <w:rFonts w:ascii="Arial" w:hAnsi="Arial" w:cs="Arial"/>
        </w:rPr>
        <w:t xml:space="preserve"> </w:t>
      </w:r>
      <w:r w:rsidR="00053A43" w:rsidRPr="00A25982">
        <w:rPr>
          <w:rFonts w:ascii="Arial" w:hAnsi="Arial" w:cs="Arial"/>
        </w:rPr>
        <w:t xml:space="preserve">theory around the concept of </w:t>
      </w:r>
      <w:proofErr w:type="spellStart"/>
      <w:r w:rsidR="00053A43" w:rsidRPr="00A25982">
        <w:rPr>
          <w:rFonts w:ascii="Arial" w:hAnsi="Arial" w:cs="Arial"/>
        </w:rPr>
        <w:t>SCRes</w:t>
      </w:r>
      <w:proofErr w:type="spellEnd"/>
      <w:r w:rsidR="00053A43" w:rsidRPr="00A25982">
        <w:rPr>
          <w:rFonts w:ascii="Arial" w:hAnsi="Arial" w:cs="Arial"/>
        </w:rPr>
        <w:t xml:space="preserve"> that would be explicitly relevant to disruption caused by constitutional change. However, given that existing literature around </w:t>
      </w:r>
      <w:proofErr w:type="spellStart"/>
      <w:r w:rsidR="00053A43" w:rsidRPr="00A25982">
        <w:rPr>
          <w:rFonts w:ascii="Arial" w:hAnsi="Arial" w:cs="Arial"/>
        </w:rPr>
        <w:t>SCRes</w:t>
      </w:r>
      <w:proofErr w:type="spellEnd"/>
      <w:r w:rsidR="00053A43" w:rsidRPr="00A25982">
        <w:rPr>
          <w:rFonts w:ascii="Arial" w:hAnsi="Arial" w:cs="Arial"/>
        </w:rPr>
        <w:t xml:space="preserve"> is growing, and a preliminary research model could be identified from that literature, then it was anticipated that the research would lead to an elaboration of the existing theory around </w:t>
      </w:r>
      <w:proofErr w:type="spellStart"/>
      <w:r w:rsidR="00053A43" w:rsidRPr="00A25982">
        <w:rPr>
          <w:rFonts w:ascii="Arial" w:hAnsi="Arial" w:cs="Arial"/>
        </w:rPr>
        <w:t>SCRes</w:t>
      </w:r>
      <w:proofErr w:type="spellEnd"/>
      <w:r w:rsidR="00053A43" w:rsidRPr="00A25982">
        <w:rPr>
          <w:rFonts w:ascii="Arial" w:hAnsi="Arial" w:cs="Arial"/>
        </w:rPr>
        <w:t xml:space="preserve"> rather than building theory from scratch. </w:t>
      </w:r>
      <w:proofErr w:type="gramStart"/>
      <w:r w:rsidR="00053A43" w:rsidRPr="00A25982">
        <w:rPr>
          <w:rFonts w:ascii="Arial" w:hAnsi="Arial" w:cs="Arial"/>
        </w:rPr>
        <w:t>Thus</w:t>
      </w:r>
      <w:proofErr w:type="gramEnd"/>
      <w:r w:rsidR="00053A43" w:rsidRPr="00A25982">
        <w:rPr>
          <w:rFonts w:ascii="Arial" w:hAnsi="Arial" w:cs="Arial"/>
        </w:rPr>
        <w:t xml:space="preserve"> the type of case study adopted can be described as ‘theory elaboration’ (</w:t>
      </w:r>
      <w:proofErr w:type="spellStart"/>
      <w:r w:rsidR="00053A43" w:rsidRPr="00A25982">
        <w:rPr>
          <w:rFonts w:ascii="Arial" w:hAnsi="Arial" w:cs="Arial"/>
        </w:rPr>
        <w:t>Ketokivi</w:t>
      </w:r>
      <w:proofErr w:type="spellEnd"/>
      <w:r w:rsidR="00053A43" w:rsidRPr="00A25982">
        <w:rPr>
          <w:rFonts w:ascii="Arial" w:hAnsi="Arial" w:cs="Arial"/>
        </w:rPr>
        <w:t xml:space="preserve"> &amp; Choi, 2014), which is also referred to as a ‘gaps and holes’ approach by Ridder (2017). </w:t>
      </w:r>
      <w:r w:rsidRPr="00A25982">
        <w:rPr>
          <w:rFonts w:ascii="Arial" w:hAnsi="Arial" w:cs="Arial"/>
        </w:rPr>
        <w:t>In total</w:t>
      </w:r>
      <w:r w:rsidR="00F301DA" w:rsidRPr="00A25982">
        <w:rPr>
          <w:rFonts w:ascii="Arial" w:hAnsi="Arial" w:cs="Arial"/>
        </w:rPr>
        <w:t>,</w:t>
      </w:r>
      <w:r w:rsidRPr="00A25982">
        <w:rPr>
          <w:rFonts w:ascii="Arial" w:hAnsi="Arial" w:cs="Arial"/>
        </w:rPr>
        <w:t xml:space="preserve"> </w:t>
      </w:r>
      <w:r w:rsidR="00212847" w:rsidRPr="00A25982">
        <w:rPr>
          <w:rFonts w:ascii="Arial" w:hAnsi="Arial" w:cs="Arial"/>
        </w:rPr>
        <w:t>1</w:t>
      </w:r>
      <w:r w:rsidR="005E16D5" w:rsidRPr="00A25982">
        <w:rPr>
          <w:rFonts w:ascii="Arial" w:hAnsi="Arial" w:cs="Arial"/>
        </w:rPr>
        <w:t>4</w:t>
      </w:r>
      <w:r w:rsidR="00212847" w:rsidRPr="00A25982">
        <w:rPr>
          <w:rFonts w:ascii="Arial" w:hAnsi="Arial" w:cs="Arial"/>
        </w:rPr>
        <w:t xml:space="preserve"> </w:t>
      </w:r>
      <w:r w:rsidR="0075526E" w:rsidRPr="00A25982">
        <w:rPr>
          <w:rFonts w:ascii="Arial" w:hAnsi="Arial" w:cs="Arial"/>
        </w:rPr>
        <w:t xml:space="preserve">case studies have been included: 3 NGOs (Non-Government Organisations); </w:t>
      </w:r>
      <w:r w:rsidR="005E16D5" w:rsidRPr="00A25982">
        <w:rPr>
          <w:rFonts w:ascii="Arial" w:hAnsi="Arial" w:cs="Arial"/>
        </w:rPr>
        <w:t>3</w:t>
      </w:r>
      <w:r w:rsidR="00212847" w:rsidRPr="00A25982">
        <w:rPr>
          <w:rFonts w:ascii="Arial" w:hAnsi="Arial" w:cs="Arial"/>
        </w:rPr>
        <w:t xml:space="preserve"> </w:t>
      </w:r>
      <w:r w:rsidR="00C474C5" w:rsidRPr="00A25982">
        <w:rPr>
          <w:rFonts w:ascii="Arial" w:hAnsi="Arial" w:cs="Arial"/>
        </w:rPr>
        <w:t>farms; 4</w:t>
      </w:r>
      <w:r w:rsidR="00106E21" w:rsidRPr="00A25982">
        <w:rPr>
          <w:rFonts w:ascii="Arial" w:hAnsi="Arial" w:cs="Arial"/>
        </w:rPr>
        <w:t xml:space="preserve"> processors</w:t>
      </w:r>
      <w:r w:rsidR="00671226" w:rsidRPr="00A25982">
        <w:rPr>
          <w:rFonts w:ascii="Arial" w:hAnsi="Arial" w:cs="Arial"/>
        </w:rPr>
        <w:t>;</w:t>
      </w:r>
      <w:r w:rsidR="00106E21" w:rsidRPr="00A25982">
        <w:rPr>
          <w:rFonts w:ascii="Arial" w:hAnsi="Arial" w:cs="Arial"/>
        </w:rPr>
        <w:t xml:space="preserve"> and </w:t>
      </w:r>
      <w:r w:rsidR="00C474C5" w:rsidRPr="00A25982">
        <w:rPr>
          <w:rFonts w:ascii="Arial" w:hAnsi="Arial" w:cs="Arial"/>
        </w:rPr>
        <w:t>4</w:t>
      </w:r>
      <w:r w:rsidR="0075526E" w:rsidRPr="00A25982">
        <w:rPr>
          <w:rFonts w:ascii="Arial" w:hAnsi="Arial" w:cs="Arial"/>
        </w:rPr>
        <w:t xml:space="preserve"> retailers</w:t>
      </w:r>
      <w:r w:rsidR="00671226" w:rsidRPr="00A25982">
        <w:rPr>
          <w:rFonts w:ascii="Arial" w:hAnsi="Arial" w:cs="Arial"/>
        </w:rPr>
        <w:t>.</w:t>
      </w:r>
      <w:r w:rsidR="007566C0" w:rsidRPr="00A25982">
        <w:rPr>
          <w:rFonts w:ascii="Arial" w:hAnsi="Arial" w:cs="Arial"/>
        </w:rPr>
        <w:t xml:space="preserve"> </w:t>
      </w:r>
      <w:r w:rsidR="00F53281" w:rsidRPr="00A25982">
        <w:rPr>
          <w:rFonts w:ascii="Arial" w:hAnsi="Arial" w:cs="Arial"/>
        </w:rPr>
        <w:t xml:space="preserve">Hence, multiple tiers of food supply chains have been incorporated. </w:t>
      </w:r>
      <w:r w:rsidR="007566C0" w:rsidRPr="00A25982">
        <w:rPr>
          <w:rFonts w:ascii="Arial" w:hAnsi="Arial" w:cs="Arial"/>
        </w:rPr>
        <w:t xml:space="preserve">Table </w:t>
      </w:r>
      <w:r w:rsidR="007C43DE" w:rsidRPr="00A25982">
        <w:rPr>
          <w:rFonts w:ascii="Arial" w:hAnsi="Arial" w:cs="Arial"/>
        </w:rPr>
        <w:t>2</w:t>
      </w:r>
      <w:r w:rsidR="007566C0" w:rsidRPr="00A25982">
        <w:rPr>
          <w:rFonts w:ascii="Arial" w:hAnsi="Arial" w:cs="Arial"/>
        </w:rPr>
        <w:t xml:space="preserve"> provides a list of these organisations and indicates </w:t>
      </w:r>
      <w:r w:rsidR="002B3A18" w:rsidRPr="00A25982">
        <w:rPr>
          <w:rFonts w:ascii="Arial" w:hAnsi="Arial" w:cs="Arial"/>
        </w:rPr>
        <w:t xml:space="preserve">the </w:t>
      </w:r>
      <w:r w:rsidR="007566C0" w:rsidRPr="00A25982">
        <w:rPr>
          <w:rFonts w:ascii="Arial" w:hAnsi="Arial" w:cs="Arial"/>
        </w:rPr>
        <w:t xml:space="preserve">mnemonics used </w:t>
      </w:r>
      <w:r w:rsidR="006D309A" w:rsidRPr="00A25982">
        <w:rPr>
          <w:rFonts w:ascii="Arial" w:hAnsi="Arial" w:cs="Arial"/>
        </w:rPr>
        <w:t xml:space="preserve">hereafter </w:t>
      </w:r>
      <w:r w:rsidR="007566C0" w:rsidRPr="00A25982">
        <w:rPr>
          <w:rFonts w:ascii="Arial" w:hAnsi="Arial" w:cs="Arial"/>
        </w:rPr>
        <w:t>to refer to the data</w:t>
      </w:r>
      <w:r w:rsidR="002B3A18" w:rsidRPr="00A25982">
        <w:rPr>
          <w:rFonts w:ascii="Arial" w:hAnsi="Arial" w:cs="Arial"/>
        </w:rPr>
        <w:t xml:space="preserve"> </w:t>
      </w:r>
      <w:r w:rsidR="006D309A" w:rsidRPr="00A25982">
        <w:rPr>
          <w:rFonts w:ascii="Arial" w:hAnsi="Arial" w:cs="Arial"/>
        </w:rPr>
        <w:t xml:space="preserve">for the 18 </w:t>
      </w:r>
      <w:r w:rsidR="00671226" w:rsidRPr="00A25982">
        <w:rPr>
          <w:rFonts w:ascii="Arial" w:hAnsi="Arial" w:cs="Arial"/>
        </w:rPr>
        <w:t xml:space="preserve">individual </w:t>
      </w:r>
      <w:r w:rsidR="006D309A" w:rsidRPr="00A25982">
        <w:rPr>
          <w:rFonts w:ascii="Arial" w:hAnsi="Arial" w:cs="Arial"/>
        </w:rPr>
        <w:t xml:space="preserve">interviewees. </w:t>
      </w:r>
      <w:r w:rsidR="00106E21" w:rsidRPr="00A25982">
        <w:rPr>
          <w:rFonts w:ascii="Arial" w:hAnsi="Arial" w:cs="Arial"/>
        </w:rPr>
        <w:t xml:space="preserve">The cases were selected </w:t>
      </w:r>
      <w:r w:rsidR="00396E00" w:rsidRPr="00A25982">
        <w:rPr>
          <w:rFonts w:ascii="Arial" w:hAnsi="Arial" w:cs="Arial"/>
        </w:rPr>
        <w:t>using</w:t>
      </w:r>
      <w:r w:rsidRPr="00A25982">
        <w:rPr>
          <w:rFonts w:ascii="Arial" w:hAnsi="Arial" w:cs="Arial"/>
        </w:rPr>
        <w:t xml:space="preserve"> </w:t>
      </w:r>
      <w:r w:rsidRPr="00A25982">
        <w:rPr>
          <w:rFonts w:ascii="Arial" w:hAnsi="Arial" w:cs="Arial"/>
          <w:noProof/>
        </w:rPr>
        <w:t>theoretical</w:t>
      </w:r>
      <w:r w:rsidRPr="00A25982">
        <w:rPr>
          <w:rFonts w:ascii="Arial" w:hAnsi="Arial" w:cs="Arial"/>
        </w:rPr>
        <w:t xml:space="preserve"> replication </w:t>
      </w:r>
      <w:r w:rsidR="0008074B" w:rsidRPr="00A25982">
        <w:rPr>
          <w:rFonts w:ascii="Arial" w:hAnsi="Arial" w:cs="Arial"/>
        </w:rPr>
        <w:t xml:space="preserve">sampling </w:t>
      </w:r>
      <w:r w:rsidRPr="00A25982">
        <w:rPr>
          <w:rFonts w:ascii="Arial" w:hAnsi="Arial" w:cs="Arial"/>
        </w:rPr>
        <w:t>logic</w:t>
      </w:r>
      <w:r w:rsidR="0083490F" w:rsidRPr="00A25982">
        <w:rPr>
          <w:rFonts w:ascii="Arial" w:hAnsi="Arial" w:cs="Arial"/>
        </w:rPr>
        <w:t xml:space="preserve"> (</w:t>
      </w:r>
      <w:r w:rsidR="00091BA0" w:rsidRPr="00A25982">
        <w:rPr>
          <w:rFonts w:ascii="Arial" w:hAnsi="Arial" w:cs="Arial"/>
        </w:rPr>
        <w:t xml:space="preserve">Voss </w:t>
      </w:r>
      <w:r w:rsidR="00091BA0" w:rsidRPr="00A25982">
        <w:rPr>
          <w:rFonts w:ascii="Arial" w:hAnsi="Arial" w:cs="Arial"/>
          <w:i/>
        </w:rPr>
        <w:t>et al.</w:t>
      </w:r>
      <w:r w:rsidR="00091BA0" w:rsidRPr="00A25982">
        <w:rPr>
          <w:rFonts w:ascii="Arial" w:hAnsi="Arial" w:cs="Arial"/>
        </w:rPr>
        <w:t>, 2016</w:t>
      </w:r>
      <w:r w:rsidR="0083490F" w:rsidRPr="00A25982">
        <w:rPr>
          <w:rFonts w:ascii="Arial" w:hAnsi="Arial" w:cs="Arial"/>
        </w:rPr>
        <w:t>)</w:t>
      </w:r>
      <w:r w:rsidRPr="00A25982">
        <w:rPr>
          <w:rFonts w:ascii="Arial" w:hAnsi="Arial" w:cs="Arial"/>
        </w:rPr>
        <w:t xml:space="preserve"> to </w:t>
      </w:r>
      <w:r w:rsidR="0008074B" w:rsidRPr="00A25982">
        <w:rPr>
          <w:rFonts w:ascii="Arial" w:hAnsi="Arial" w:cs="Arial"/>
        </w:rPr>
        <w:t xml:space="preserve">allow </w:t>
      </w:r>
      <w:r w:rsidR="0008074B" w:rsidRPr="00A25982">
        <w:rPr>
          <w:rFonts w:ascii="Arial" w:hAnsi="Arial" w:cs="Arial"/>
          <w:noProof/>
        </w:rPr>
        <w:t>contrasting</w:t>
      </w:r>
      <w:r w:rsidR="0008074B" w:rsidRPr="00A25982">
        <w:rPr>
          <w:rFonts w:ascii="Arial" w:hAnsi="Arial" w:cs="Arial"/>
        </w:rPr>
        <w:t xml:space="preserve"> results to be identified but for predictable reasons (Yin, </w:t>
      </w:r>
      <w:r w:rsidR="00B640C9" w:rsidRPr="00A25982">
        <w:rPr>
          <w:rFonts w:ascii="Arial" w:hAnsi="Arial" w:cs="Arial"/>
        </w:rPr>
        <w:t>2018</w:t>
      </w:r>
      <w:r w:rsidR="0008074B" w:rsidRPr="00A25982">
        <w:rPr>
          <w:rFonts w:ascii="Arial" w:hAnsi="Arial" w:cs="Arial"/>
        </w:rPr>
        <w:t xml:space="preserve">; Voss </w:t>
      </w:r>
      <w:r w:rsidR="0008074B" w:rsidRPr="00A25982">
        <w:rPr>
          <w:rFonts w:ascii="Arial" w:hAnsi="Arial" w:cs="Arial"/>
          <w:i/>
        </w:rPr>
        <w:t>et al.</w:t>
      </w:r>
      <w:r w:rsidR="0008074B" w:rsidRPr="00A25982">
        <w:rPr>
          <w:rFonts w:ascii="Arial" w:hAnsi="Arial" w:cs="Arial"/>
        </w:rPr>
        <w:t xml:space="preserve">, 2016). </w:t>
      </w:r>
      <w:r w:rsidRPr="00A25982">
        <w:rPr>
          <w:rFonts w:ascii="Arial" w:hAnsi="Arial" w:cs="Arial"/>
        </w:rPr>
        <w:t>Thus</w:t>
      </w:r>
      <w:r w:rsidR="00EE3CD9" w:rsidRPr="00A25982">
        <w:rPr>
          <w:rFonts w:ascii="Arial" w:hAnsi="Arial" w:cs="Arial"/>
        </w:rPr>
        <w:t>,</w:t>
      </w:r>
      <w:r w:rsidRPr="00A25982">
        <w:rPr>
          <w:rFonts w:ascii="Arial" w:hAnsi="Arial" w:cs="Arial"/>
        </w:rPr>
        <w:t xml:space="preserve"> different tiers of the supply chain are included to provide both buyer and supplier perspectives; different product gr</w:t>
      </w:r>
      <w:r w:rsidR="0031141E" w:rsidRPr="00A25982">
        <w:rPr>
          <w:rFonts w:ascii="Arial" w:hAnsi="Arial" w:cs="Arial"/>
        </w:rPr>
        <w:t>oups are included to allow for</w:t>
      </w:r>
      <w:r w:rsidRPr="00A25982">
        <w:rPr>
          <w:rFonts w:ascii="Arial" w:hAnsi="Arial" w:cs="Arial"/>
        </w:rPr>
        <w:t xml:space="preserve"> differences according to product type</w:t>
      </w:r>
      <w:r w:rsidRPr="00A25982">
        <w:rPr>
          <w:rFonts w:ascii="Arial" w:hAnsi="Arial" w:cs="Arial"/>
          <w:noProof/>
        </w:rPr>
        <w:t>; and</w:t>
      </w:r>
      <w:r w:rsidRPr="00A25982">
        <w:rPr>
          <w:rFonts w:ascii="Arial" w:hAnsi="Arial" w:cs="Arial"/>
        </w:rPr>
        <w:t xml:space="preserve"> the variety of organisation</w:t>
      </w:r>
      <w:r w:rsidR="00EE3CD9" w:rsidRPr="00A25982">
        <w:rPr>
          <w:rFonts w:ascii="Arial" w:hAnsi="Arial" w:cs="Arial"/>
        </w:rPr>
        <w:t>al sizes</w:t>
      </w:r>
      <w:r w:rsidRPr="00A25982">
        <w:rPr>
          <w:rFonts w:ascii="Arial" w:hAnsi="Arial" w:cs="Arial"/>
        </w:rPr>
        <w:t xml:space="preserve"> ranges from the famil</w:t>
      </w:r>
      <w:r w:rsidR="00396E00" w:rsidRPr="00A25982">
        <w:rPr>
          <w:rFonts w:ascii="Arial" w:hAnsi="Arial" w:cs="Arial"/>
        </w:rPr>
        <w:t>y farm/farm shop through to a</w:t>
      </w:r>
      <w:r w:rsidRPr="00A25982">
        <w:rPr>
          <w:rFonts w:ascii="Arial" w:hAnsi="Arial" w:cs="Arial"/>
        </w:rPr>
        <w:t xml:space="preserve"> national supermarket chain. In addition, the three NGOs were selected to ensure a breadth of coverage of </w:t>
      </w:r>
      <w:r w:rsidR="00212847" w:rsidRPr="00A25982">
        <w:rPr>
          <w:rFonts w:ascii="Arial" w:hAnsi="Arial" w:cs="Arial"/>
        </w:rPr>
        <w:t xml:space="preserve">consumer issues as well as </w:t>
      </w:r>
      <w:r w:rsidRPr="00A25982">
        <w:rPr>
          <w:rFonts w:ascii="Arial" w:hAnsi="Arial" w:cs="Arial"/>
        </w:rPr>
        <w:t>all farming types from horticulture</w:t>
      </w:r>
      <w:r w:rsidR="002B3A18" w:rsidRPr="00A25982">
        <w:rPr>
          <w:rFonts w:ascii="Arial" w:hAnsi="Arial" w:cs="Arial"/>
        </w:rPr>
        <w:t>/other</w:t>
      </w:r>
      <w:r w:rsidR="0031141E" w:rsidRPr="00A25982">
        <w:rPr>
          <w:rFonts w:ascii="Arial" w:hAnsi="Arial" w:cs="Arial"/>
        </w:rPr>
        <w:t xml:space="preserve"> </w:t>
      </w:r>
      <w:r w:rsidRPr="00A25982">
        <w:rPr>
          <w:rFonts w:ascii="Arial" w:hAnsi="Arial" w:cs="Arial"/>
        </w:rPr>
        <w:t>crops through to dairy/eggs and li</w:t>
      </w:r>
      <w:r w:rsidR="00506722" w:rsidRPr="00A25982">
        <w:rPr>
          <w:rFonts w:ascii="Arial" w:hAnsi="Arial" w:cs="Arial"/>
        </w:rPr>
        <w:t>ve</w:t>
      </w:r>
      <w:r w:rsidRPr="00A25982">
        <w:rPr>
          <w:rFonts w:ascii="Arial" w:hAnsi="Arial" w:cs="Arial"/>
        </w:rPr>
        <w:t xml:space="preserve">stock. </w:t>
      </w:r>
      <w:proofErr w:type="gramStart"/>
      <w:r w:rsidRPr="00A25982">
        <w:rPr>
          <w:rFonts w:ascii="Arial" w:hAnsi="Arial" w:cs="Arial"/>
        </w:rPr>
        <w:t>Thus</w:t>
      </w:r>
      <w:proofErr w:type="gramEnd"/>
      <w:r w:rsidRPr="00A25982">
        <w:rPr>
          <w:rFonts w:ascii="Arial" w:hAnsi="Arial" w:cs="Arial"/>
        </w:rPr>
        <w:t xml:space="preserve"> the research sought to ensure a breadth of understanding of </w:t>
      </w:r>
      <w:r w:rsidR="004820AC" w:rsidRPr="00A25982">
        <w:rPr>
          <w:rFonts w:ascii="Arial" w:hAnsi="Arial" w:cs="Arial"/>
        </w:rPr>
        <w:t>the effect of</w:t>
      </w:r>
      <w:r w:rsidR="0090002C" w:rsidRPr="00A25982">
        <w:rPr>
          <w:rFonts w:ascii="Arial" w:hAnsi="Arial" w:cs="Arial"/>
        </w:rPr>
        <w:t xml:space="preserve"> </w:t>
      </w:r>
      <w:r w:rsidR="0083490F" w:rsidRPr="00A25982">
        <w:rPr>
          <w:rFonts w:ascii="Arial" w:hAnsi="Arial" w:cs="Arial"/>
        </w:rPr>
        <w:t xml:space="preserve">Brexit on </w:t>
      </w:r>
      <w:r w:rsidRPr="00A25982">
        <w:rPr>
          <w:rFonts w:ascii="Arial" w:hAnsi="Arial" w:cs="Arial"/>
        </w:rPr>
        <w:t xml:space="preserve">the </w:t>
      </w:r>
      <w:r w:rsidR="0031141E" w:rsidRPr="00A25982">
        <w:rPr>
          <w:rFonts w:ascii="Arial" w:hAnsi="Arial" w:cs="Arial"/>
        </w:rPr>
        <w:t xml:space="preserve">local </w:t>
      </w:r>
      <w:r w:rsidRPr="00A25982">
        <w:rPr>
          <w:rFonts w:ascii="Arial" w:hAnsi="Arial" w:cs="Arial"/>
        </w:rPr>
        <w:t>UK food industry.</w:t>
      </w:r>
      <w:r w:rsidR="00F71AC8" w:rsidRPr="00A25982">
        <w:rPr>
          <w:rFonts w:ascii="Arial" w:hAnsi="Arial" w:cs="Arial"/>
        </w:rPr>
        <w:t xml:space="preserve"> </w:t>
      </w:r>
      <w:r w:rsidR="007566C0" w:rsidRPr="00A25982">
        <w:rPr>
          <w:rFonts w:ascii="Arial" w:hAnsi="Arial" w:cs="Arial"/>
        </w:rPr>
        <w:t xml:space="preserve">Finally, </w:t>
      </w:r>
      <w:proofErr w:type="gramStart"/>
      <w:r w:rsidR="007566C0" w:rsidRPr="00A25982">
        <w:rPr>
          <w:rFonts w:ascii="Arial" w:hAnsi="Arial" w:cs="Arial"/>
        </w:rPr>
        <w:t>all of</w:t>
      </w:r>
      <w:proofErr w:type="gramEnd"/>
      <w:r w:rsidR="007566C0" w:rsidRPr="00A25982">
        <w:rPr>
          <w:rFonts w:ascii="Arial" w:hAnsi="Arial" w:cs="Arial"/>
        </w:rPr>
        <w:t xml:space="preserve"> the organisations studied were known to have an interest in local food, albeit to varying degrees.</w:t>
      </w:r>
      <w:r w:rsidR="00F71AC8" w:rsidRPr="00A25982">
        <w:rPr>
          <w:rFonts w:ascii="Arial" w:hAnsi="Arial" w:cs="Arial"/>
        </w:rPr>
        <w:t xml:space="preserve"> </w:t>
      </w:r>
      <w:r w:rsidR="00EC7B6E" w:rsidRPr="00A25982">
        <w:rPr>
          <w:rFonts w:ascii="Arial" w:hAnsi="Arial" w:cs="Arial"/>
        </w:rPr>
        <w:t>For example, R</w:t>
      </w:r>
      <w:r w:rsidR="007566C0" w:rsidRPr="00A25982">
        <w:rPr>
          <w:rFonts w:ascii="Arial" w:hAnsi="Arial" w:cs="Arial"/>
        </w:rPr>
        <w:t xml:space="preserve">etailers 1 and 2 both focus on primarily selling food produced in their local regions; whilst </w:t>
      </w:r>
      <w:r w:rsidR="00671226" w:rsidRPr="00A25982">
        <w:rPr>
          <w:rFonts w:ascii="Arial" w:hAnsi="Arial" w:cs="Arial"/>
        </w:rPr>
        <w:t>R</w:t>
      </w:r>
      <w:r w:rsidR="007566C0" w:rsidRPr="00A25982">
        <w:rPr>
          <w:rFonts w:ascii="Arial" w:hAnsi="Arial" w:cs="Arial"/>
        </w:rPr>
        <w:t xml:space="preserve">etailer 3 has a reputation for </w:t>
      </w:r>
      <w:r w:rsidR="004820AC" w:rsidRPr="00A25982">
        <w:rPr>
          <w:rFonts w:ascii="Arial" w:hAnsi="Arial" w:cs="Arial"/>
        </w:rPr>
        <w:t>stocking an above average percentage</w:t>
      </w:r>
      <w:r w:rsidR="007566C0" w:rsidRPr="00A25982">
        <w:rPr>
          <w:rFonts w:ascii="Arial" w:hAnsi="Arial" w:cs="Arial"/>
        </w:rPr>
        <w:t xml:space="preserve"> of local, artisan produce</w:t>
      </w:r>
      <w:r w:rsidR="004820AC" w:rsidRPr="00A25982">
        <w:rPr>
          <w:rFonts w:ascii="Arial" w:hAnsi="Arial" w:cs="Arial"/>
        </w:rPr>
        <w:t xml:space="preserve"> for</w:t>
      </w:r>
      <w:r w:rsidR="00723D6A" w:rsidRPr="00A25982">
        <w:rPr>
          <w:rFonts w:ascii="Arial" w:hAnsi="Arial" w:cs="Arial"/>
        </w:rPr>
        <w:t xml:space="preserve"> the supermarket sector</w:t>
      </w:r>
      <w:r w:rsidR="004820AC" w:rsidRPr="00A25982">
        <w:rPr>
          <w:rFonts w:ascii="Arial" w:hAnsi="Arial" w:cs="Arial"/>
        </w:rPr>
        <w:t xml:space="preserve">; and </w:t>
      </w:r>
      <w:r w:rsidR="00671226" w:rsidRPr="00A25982">
        <w:rPr>
          <w:rFonts w:ascii="Arial" w:hAnsi="Arial" w:cs="Arial"/>
        </w:rPr>
        <w:t>R</w:t>
      </w:r>
      <w:r w:rsidR="004820AC" w:rsidRPr="00A25982">
        <w:rPr>
          <w:rFonts w:ascii="Arial" w:hAnsi="Arial" w:cs="Arial"/>
        </w:rPr>
        <w:t xml:space="preserve">etailer 4 stocks a wide portfolio of </w:t>
      </w:r>
      <w:r w:rsidR="00792A98" w:rsidRPr="00A25982">
        <w:rPr>
          <w:rFonts w:ascii="Arial" w:eastAsiaTheme="minorEastAsia" w:hAnsi="Arial" w:cs="Arial"/>
          <w:noProof/>
          <w:lang w:eastAsia="zh-CN"/>
        </w:rPr>
        <w:t>products</w:t>
      </w:r>
      <w:r w:rsidR="007566C0" w:rsidRPr="00A25982">
        <w:rPr>
          <w:rFonts w:ascii="Arial" w:hAnsi="Arial" w:cs="Arial"/>
        </w:rPr>
        <w:t>, but this includes the strategic purchase</w:t>
      </w:r>
      <w:r w:rsidR="00723D6A" w:rsidRPr="00A25982">
        <w:rPr>
          <w:rFonts w:ascii="Arial" w:hAnsi="Arial" w:cs="Arial"/>
        </w:rPr>
        <w:t xml:space="preserve"> and promotion</w:t>
      </w:r>
      <w:r w:rsidR="007566C0" w:rsidRPr="00A25982">
        <w:rPr>
          <w:rFonts w:ascii="Arial" w:hAnsi="Arial" w:cs="Arial"/>
        </w:rPr>
        <w:t xml:space="preserve"> of eggs from </w:t>
      </w:r>
      <w:r w:rsidR="00671226" w:rsidRPr="00A25982">
        <w:rPr>
          <w:rFonts w:ascii="Arial" w:hAnsi="Arial" w:cs="Arial"/>
        </w:rPr>
        <w:t>L</w:t>
      </w:r>
      <w:r w:rsidR="00723D6A" w:rsidRPr="00A25982">
        <w:rPr>
          <w:rFonts w:ascii="Arial" w:hAnsi="Arial" w:cs="Arial"/>
        </w:rPr>
        <w:t xml:space="preserve">ocal </w:t>
      </w:r>
      <w:r w:rsidR="00671226" w:rsidRPr="00A25982">
        <w:rPr>
          <w:rFonts w:ascii="Arial" w:hAnsi="Arial" w:cs="Arial"/>
        </w:rPr>
        <w:t>F</w:t>
      </w:r>
      <w:r w:rsidR="007566C0" w:rsidRPr="00A25982">
        <w:rPr>
          <w:rFonts w:ascii="Arial" w:hAnsi="Arial" w:cs="Arial"/>
        </w:rPr>
        <w:t xml:space="preserve">arm 3 and sausages/ burgers from </w:t>
      </w:r>
      <w:r w:rsidR="00671226" w:rsidRPr="00A25982">
        <w:rPr>
          <w:rFonts w:ascii="Arial" w:hAnsi="Arial" w:cs="Arial"/>
        </w:rPr>
        <w:t>L</w:t>
      </w:r>
      <w:r w:rsidR="00723D6A" w:rsidRPr="00A25982">
        <w:rPr>
          <w:rFonts w:ascii="Arial" w:hAnsi="Arial" w:cs="Arial"/>
        </w:rPr>
        <w:t xml:space="preserve">ocal </w:t>
      </w:r>
      <w:r w:rsidR="00671226" w:rsidRPr="00A25982">
        <w:rPr>
          <w:rFonts w:ascii="Arial" w:hAnsi="Arial" w:cs="Arial"/>
        </w:rPr>
        <w:t>P</w:t>
      </w:r>
      <w:r w:rsidR="007566C0" w:rsidRPr="00A25982">
        <w:rPr>
          <w:rFonts w:ascii="Arial" w:hAnsi="Arial" w:cs="Arial"/>
        </w:rPr>
        <w:t>rocessor 2.</w:t>
      </w:r>
      <w:r w:rsidR="00F71AC8" w:rsidRPr="00A25982">
        <w:rPr>
          <w:rFonts w:ascii="Arial" w:hAnsi="Arial" w:cs="Arial"/>
        </w:rPr>
        <w:t xml:space="preserve"> </w:t>
      </w:r>
      <w:proofErr w:type="gramStart"/>
      <w:r w:rsidR="007566C0" w:rsidRPr="00A25982">
        <w:rPr>
          <w:rFonts w:ascii="Arial" w:hAnsi="Arial" w:cs="Arial"/>
        </w:rPr>
        <w:t>Thus</w:t>
      </w:r>
      <w:proofErr w:type="gramEnd"/>
      <w:r w:rsidR="007566C0" w:rsidRPr="00A25982">
        <w:rPr>
          <w:rFonts w:ascii="Arial" w:hAnsi="Arial" w:cs="Arial"/>
        </w:rPr>
        <w:t xml:space="preserve"> there is an array of methods of operationalis</w:t>
      </w:r>
      <w:r w:rsidR="00EE3CD9" w:rsidRPr="00A25982">
        <w:rPr>
          <w:rFonts w:ascii="Arial" w:hAnsi="Arial" w:cs="Arial"/>
        </w:rPr>
        <w:t xml:space="preserve">ing </w:t>
      </w:r>
      <w:r w:rsidR="007566C0" w:rsidRPr="00A25982">
        <w:rPr>
          <w:rFonts w:ascii="Arial" w:hAnsi="Arial" w:cs="Arial"/>
        </w:rPr>
        <w:t xml:space="preserve">the term ‘local’ covered in the cases studied – including all produced and sold in the local region through to all </w:t>
      </w:r>
      <w:r w:rsidR="00506722" w:rsidRPr="00A25982">
        <w:rPr>
          <w:rFonts w:ascii="Arial" w:hAnsi="Arial" w:cs="Arial"/>
        </w:rPr>
        <w:t xml:space="preserve">produced and </w:t>
      </w:r>
      <w:r w:rsidR="007566C0" w:rsidRPr="00A25982">
        <w:rPr>
          <w:rFonts w:ascii="Arial" w:hAnsi="Arial" w:cs="Arial"/>
        </w:rPr>
        <w:t>sold within the UK.</w:t>
      </w:r>
      <w:r w:rsidR="00F71AC8" w:rsidRPr="00A25982">
        <w:rPr>
          <w:rFonts w:ascii="Arial" w:hAnsi="Arial" w:cs="Arial"/>
        </w:rPr>
        <w:t xml:space="preserve"> </w:t>
      </w:r>
    </w:p>
    <w:p w14:paraId="703CC1F0" w14:textId="77777777" w:rsidR="006D4A11" w:rsidRPr="00A25982" w:rsidRDefault="006D4A11" w:rsidP="00A25982">
      <w:pPr>
        <w:pStyle w:val="NormalWeb"/>
        <w:spacing w:before="0" w:beforeAutospacing="0" w:after="0" w:afterAutospacing="0"/>
        <w:jc w:val="both"/>
        <w:rPr>
          <w:rFonts w:ascii="Arial" w:hAnsi="Arial" w:cs="Arial"/>
        </w:rPr>
      </w:pPr>
    </w:p>
    <w:p w14:paraId="1F426558" w14:textId="1B8BAE22" w:rsidR="00194175" w:rsidRDefault="006D4A11" w:rsidP="006D4A11">
      <w:pPr>
        <w:pStyle w:val="NormalWeb"/>
        <w:pageBreakBefore/>
        <w:spacing w:before="0" w:beforeAutospacing="0" w:after="0" w:afterAutospacing="0"/>
        <w:jc w:val="center"/>
        <w:rPr>
          <w:rFonts w:ascii="Arial" w:hAnsi="Arial" w:cs="Arial"/>
        </w:rPr>
      </w:pPr>
      <w:r w:rsidRPr="006D4A11">
        <w:rPr>
          <w:rFonts w:ascii="Arial" w:hAnsi="Arial" w:cs="Arial"/>
        </w:rPr>
        <w:lastRenderedPageBreak/>
        <w:t>Table 2: Interview and Workshop Participants</w:t>
      </w:r>
    </w:p>
    <w:p w14:paraId="58A40772" w14:textId="27BE89FD" w:rsidR="006D4A11" w:rsidRDefault="006D4A11" w:rsidP="00A25982">
      <w:pPr>
        <w:pStyle w:val="NormalWeb"/>
        <w:spacing w:before="0" w:beforeAutospacing="0" w:after="0" w:afterAutospacing="0"/>
        <w:jc w:val="center"/>
        <w:rPr>
          <w:rFonts w:ascii="Arial" w:hAnsi="Arial" w:cs="Arial"/>
        </w:rPr>
      </w:pPr>
    </w:p>
    <w:tbl>
      <w:tblPr>
        <w:tblStyle w:val="TableGrid"/>
        <w:tblW w:w="0" w:type="auto"/>
        <w:jc w:val="center"/>
        <w:tblLook w:val="04A0" w:firstRow="1" w:lastRow="0" w:firstColumn="1" w:lastColumn="0" w:noHBand="0" w:noVBand="1"/>
      </w:tblPr>
      <w:tblGrid>
        <w:gridCol w:w="1768"/>
        <w:gridCol w:w="1913"/>
        <w:gridCol w:w="2410"/>
        <w:gridCol w:w="1087"/>
        <w:gridCol w:w="1412"/>
      </w:tblGrid>
      <w:tr w:rsidR="006D4A11" w14:paraId="0992C8EA" w14:textId="77777777" w:rsidTr="006D4A11">
        <w:trPr>
          <w:jc w:val="center"/>
        </w:trPr>
        <w:tc>
          <w:tcPr>
            <w:tcW w:w="8494" w:type="dxa"/>
            <w:gridSpan w:val="5"/>
            <w:vAlign w:val="center"/>
          </w:tcPr>
          <w:p w14:paraId="4C4837D5" w14:textId="33921984" w:rsidR="006D4A11" w:rsidRPr="006D4A11" w:rsidRDefault="006D4A11" w:rsidP="006D4A11">
            <w:pPr>
              <w:pStyle w:val="NormalWeb"/>
              <w:spacing w:before="120" w:beforeAutospacing="0" w:after="120" w:afterAutospacing="0"/>
              <w:jc w:val="center"/>
              <w:rPr>
                <w:b/>
                <w:i/>
              </w:rPr>
            </w:pPr>
            <w:r w:rsidRPr="00DC7495">
              <w:rPr>
                <w:b/>
                <w:i/>
              </w:rPr>
              <w:t>Case Study Company Details and Associated Interviewee Mnemonics</w:t>
            </w:r>
          </w:p>
        </w:tc>
      </w:tr>
      <w:tr w:rsidR="006D4A11" w14:paraId="605B5B38" w14:textId="77777777" w:rsidTr="006D4A11">
        <w:trPr>
          <w:jc w:val="center"/>
        </w:trPr>
        <w:tc>
          <w:tcPr>
            <w:tcW w:w="1768" w:type="dxa"/>
            <w:vAlign w:val="center"/>
          </w:tcPr>
          <w:p w14:paraId="5F326703" w14:textId="77777777" w:rsidR="006D4A11" w:rsidRPr="00B0770C" w:rsidRDefault="006D4A11" w:rsidP="006D4A11">
            <w:pPr>
              <w:pStyle w:val="NormalWeb"/>
              <w:spacing w:before="0" w:beforeAutospacing="0" w:after="0" w:afterAutospacing="0"/>
              <w:jc w:val="center"/>
              <w:rPr>
                <w:rFonts w:asciiTheme="minorHAnsi" w:hAnsiTheme="minorHAnsi" w:cstheme="minorHAnsi"/>
                <w:b/>
              </w:rPr>
            </w:pPr>
            <w:r w:rsidRPr="00B0770C">
              <w:rPr>
                <w:rFonts w:asciiTheme="minorHAnsi" w:hAnsiTheme="minorHAnsi" w:cstheme="minorHAnsi"/>
                <w:b/>
              </w:rPr>
              <w:t>Organisation</w:t>
            </w:r>
          </w:p>
        </w:tc>
        <w:tc>
          <w:tcPr>
            <w:tcW w:w="5410" w:type="dxa"/>
            <w:gridSpan w:val="3"/>
            <w:vAlign w:val="center"/>
          </w:tcPr>
          <w:p w14:paraId="2BA6CC29" w14:textId="77777777" w:rsidR="006D4A11" w:rsidRPr="00B0770C" w:rsidRDefault="006D4A11" w:rsidP="006D4A11">
            <w:pPr>
              <w:pStyle w:val="NormalWeb"/>
              <w:spacing w:before="0" w:beforeAutospacing="0" w:after="0" w:afterAutospacing="0"/>
              <w:jc w:val="center"/>
              <w:rPr>
                <w:rFonts w:asciiTheme="minorHAnsi" w:hAnsiTheme="minorHAnsi" w:cstheme="minorHAnsi"/>
                <w:b/>
              </w:rPr>
            </w:pPr>
            <w:r w:rsidRPr="00B0770C">
              <w:rPr>
                <w:rFonts w:asciiTheme="minorHAnsi" w:hAnsiTheme="minorHAnsi" w:cstheme="minorHAnsi"/>
                <w:b/>
              </w:rPr>
              <w:t>Products/ Services</w:t>
            </w:r>
          </w:p>
        </w:tc>
        <w:tc>
          <w:tcPr>
            <w:tcW w:w="1316" w:type="dxa"/>
            <w:vAlign w:val="center"/>
          </w:tcPr>
          <w:p w14:paraId="38F31437" w14:textId="77777777" w:rsidR="006D4A11" w:rsidRPr="00B0770C" w:rsidRDefault="006D4A11" w:rsidP="006D4A11">
            <w:pPr>
              <w:pStyle w:val="NormalWeb"/>
              <w:spacing w:before="0" w:beforeAutospacing="0" w:after="0" w:afterAutospacing="0"/>
              <w:jc w:val="center"/>
              <w:rPr>
                <w:rFonts w:asciiTheme="minorHAnsi" w:hAnsiTheme="minorHAnsi" w:cstheme="minorHAnsi"/>
                <w:b/>
              </w:rPr>
            </w:pPr>
            <w:r w:rsidRPr="00B0770C">
              <w:rPr>
                <w:rFonts w:asciiTheme="minorHAnsi" w:hAnsiTheme="minorHAnsi" w:cstheme="minorHAnsi"/>
                <w:b/>
              </w:rPr>
              <w:t>Interviewee Mnemonics</w:t>
            </w:r>
          </w:p>
        </w:tc>
      </w:tr>
      <w:tr w:rsidR="006D4A11" w14:paraId="6B150830" w14:textId="77777777" w:rsidTr="006D4A11">
        <w:trPr>
          <w:jc w:val="center"/>
        </w:trPr>
        <w:tc>
          <w:tcPr>
            <w:tcW w:w="1768" w:type="dxa"/>
            <w:vAlign w:val="center"/>
          </w:tcPr>
          <w:p w14:paraId="2BC759FF"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NGO 1</w:t>
            </w:r>
          </w:p>
        </w:tc>
        <w:tc>
          <w:tcPr>
            <w:tcW w:w="5410" w:type="dxa"/>
            <w:gridSpan w:val="3"/>
            <w:vAlign w:val="center"/>
          </w:tcPr>
          <w:p w14:paraId="19D45FA2"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Farming Members Association</w:t>
            </w:r>
          </w:p>
        </w:tc>
        <w:tc>
          <w:tcPr>
            <w:tcW w:w="1316" w:type="dxa"/>
            <w:vAlign w:val="center"/>
          </w:tcPr>
          <w:p w14:paraId="03659515"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NG1</w:t>
            </w:r>
          </w:p>
        </w:tc>
      </w:tr>
      <w:tr w:rsidR="006D4A11" w14:paraId="10A058E6" w14:textId="77777777" w:rsidTr="006D4A11">
        <w:trPr>
          <w:jc w:val="center"/>
        </w:trPr>
        <w:tc>
          <w:tcPr>
            <w:tcW w:w="1768" w:type="dxa"/>
            <w:vAlign w:val="center"/>
          </w:tcPr>
          <w:p w14:paraId="20E8172B"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NGO 2</w:t>
            </w:r>
          </w:p>
        </w:tc>
        <w:tc>
          <w:tcPr>
            <w:tcW w:w="5410" w:type="dxa"/>
            <w:gridSpan w:val="3"/>
            <w:vAlign w:val="center"/>
          </w:tcPr>
          <w:p w14:paraId="02CD9EAC"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 xml:space="preserve">Farming Members Association </w:t>
            </w:r>
          </w:p>
        </w:tc>
        <w:tc>
          <w:tcPr>
            <w:tcW w:w="1316" w:type="dxa"/>
            <w:vAlign w:val="center"/>
          </w:tcPr>
          <w:p w14:paraId="254CDBFE"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NG2</w:t>
            </w:r>
          </w:p>
        </w:tc>
      </w:tr>
      <w:tr w:rsidR="006D4A11" w14:paraId="009207B3" w14:textId="77777777" w:rsidTr="006D4A11">
        <w:trPr>
          <w:jc w:val="center"/>
        </w:trPr>
        <w:tc>
          <w:tcPr>
            <w:tcW w:w="1768" w:type="dxa"/>
            <w:vAlign w:val="center"/>
          </w:tcPr>
          <w:p w14:paraId="727F2DD1"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NGO 3</w:t>
            </w:r>
          </w:p>
        </w:tc>
        <w:tc>
          <w:tcPr>
            <w:tcW w:w="5410" w:type="dxa"/>
            <w:gridSpan w:val="3"/>
            <w:vAlign w:val="center"/>
          </w:tcPr>
          <w:p w14:paraId="140DA8F5"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Food Policy Think Tank</w:t>
            </w:r>
          </w:p>
        </w:tc>
        <w:tc>
          <w:tcPr>
            <w:tcW w:w="1316" w:type="dxa"/>
            <w:vAlign w:val="center"/>
          </w:tcPr>
          <w:p w14:paraId="6B17868F"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NG3</w:t>
            </w:r>
          </w:p>
        </w:tc>
      </w:tr>
      <w:tr w:rsidR="006D4A11" w14:paraId="695EB18D" w14:textId="77777777" w:rsidTr="006D4A11">
        <w:trPr>
          <w:jc w:val="center"/>
        </w:trPr>
        <w:tc>
          <w:tcPr>
            <w:tcW w:w="1768" w:type="dxa"/>
            <w:vAlign w:val="center"/>
          </w:tcPr>
          <w:p w14:paraId="7D3E194B"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Farm 1</w:t>
            </w:r>
          </w:p>
        </w:tc>
        <w:tc>
          <w:tcPr>
            <w:tcW w:w="5410" w:type="dxa"/>
            <w:gridSpan w:val="3"/>
            <w:vAlign w:val="center"/>
          </w:tcPr>
          <w:p w14:paraId="525D4616"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Dairy Farm</w:t>
            </w:r>
          </w:p>
        </w:tc>
        <w:tc>
          <w:tcPr>
            <w:tcW w:w="1316" w:type="dxa"/>
            <w:vAlign w:val="center"/>
          </w:tcPr>
          <w:p w14:paraId="5F569853"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F1-I1</w:t>
            </w:r>
          </w:p>
          <w:p w14:paraId="181E9C4B"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F1-I2</w:t>
            </w:r>
          </w:p>
        </w:tc>
      </w:tr>
      <w:tr w:rsidR="006D4A11" w14:paraId="35ED712F" w14:textId="77777777" w:rsidTr="006D4A11">
        <w:trPr>
          <w:jc w:val="center"/>
        </w:trPr>
        <w:tc>
          <w:tcPr>
            <w:tcW w:w="1768" w:type="dxa"/>
            <w:vAlign w:val="center"/>
          </w:tcPr>
          <w:p w14:paraId="70CE52EC"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Farm 2</w:t>
            </w:r>
          </w:p>
        </w:tc>
        <w:tc>
          <w:tcPr>
            <w:tcW w:w="5410" w:type="dxa"/>
            <w:gridSpan w:val="3"/>
            <w:vAlign w:val="center"/>
          </w:tcPr>
          <w:p w14:paraId="36502CBC"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Dairy and Genetics Farm</w:t>
            </w:r>
          </w:p>
        </w:tc>
        <w:tc>
          <w:tcPr>
            <w:tcW w:w="1316" w:type="dxa"/>
            <w:vAlign w:val="center"/>
          </w:tcPr>
          <w:p w14:paraId="3CD0EBA8"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F2</w:t>
            </w:r>
          </w:p>
        </w:tc>
      </w:tr>
      <w:tr w:rsidR="006D4A11" w14:paraId="31D67F54" w14:textId="77777777" w:rsidTr="006D4A11">
        <w:trPr>
          <w:jc w:val="center"/>
        </w:trPr>
        <w:tc>
          <w:tcPr>
            <w:tcW w:w="1768" w:type="dxa"/>
            <w:vAlign w:val="center"/>
          </w:tcPr>
          <w:p w14:paraId="711BFA27"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Farm 3</w:t>
            </w:r>
          </w:p>
        </w:tc>
        <w:tc>
          <w:tcPr>
            <w:tcW w:w="5410" w:type="dxa"/>
            <w:gridSpan w:val="3"/>
            <w:vAlign w:val="center"/>
          </w:tcPr>
          <w:p w14:paraId="5958A174"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Livestock farm (cattle, sheep &amp; chickens); and egg packing</w:t>
            </w:r>
          </w:p>
        </w:tc>
        <w:tc>
          <w:tcPr>
            <w:tcW w:w="1316" w:type="dxa"/>
            <w:vAlign w:val="center"/>
          </w:tcPr>
          <w:p w14:paraId="3836BF93"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F3-I1</w:t>
            </w:r>
          </w:p>
          <w:p w14:paraId="27603B7A"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F3-I2</w:t>
            </w:r>
          </w:p>
        </w:tc>
      </w:tr>
      <w:tr w:rsidR="006D4A11" w14:paraId="0D001681" w14:textId="77777777" w:rsidTr="006D4A11">
        <w:trPr>
          <w:jc w:val="center"/>
        </w:trPr>
        <w:tc>
          <w:tcPr>
            <w:tcW w:w="1768" w:type="dxa"/>
            <w:vAlign w:val="center"/>
          </w:tcPr>
          <w:p w14:paraId="0CDF8259"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Processor 1</w:t>
            </w:r>
          </w:p>
        </w:tc>
        <w:tc>
          <w:tcPr>
            <w:tcW w:w="5410" w:type="dxa"/>
            <w:gridSpan w:val="3"/>
            <w:vAlign w:val="center"/>
          </w:tcPr>
          <w:p w14:paraId="75985916"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Sandwiches, ready meals, vegetable boxes</w:t>
            </w:r>
          </w:p>
        </w:tc>
        <w:tc>
          <w:tcPr>
            <w:tcW w:w="1316" w:type="dxa"/>
            <w:vAlign w:val="center"/>
          </w:tcPr>
          <w:p w14:paraId="709E8924"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P1</w:t>
            </w:r>
          </w:p>
        </w:tc>
      </w:tr>
      <w:tr w:rsidR="006D4A11" w14:paraId="28E80245" w14:textId="77777777" w:rsidTr="006D4A11">
        <w:trPr>
          <w:jc w:val="center"/>
        </w:trPr>
        <w:tc>
          <w:tcPr>
            <w:tcW w:w="1768" w:type="dxa"/>
            <w:vAlign w:val="center"/>
          </w:tcPr>
          <w:p w14:paraId="576C000B" w14:textId="77777777" w:rsidR="006D4A11" w:rsidRPr="00B0770C" w:rsidRDefault="006D4A11" w:rsidP="006D4A11">
            <w:pPr>
              <w:rPr>
                <w:rFonts w:asciiTheme="minorHAnsi" w:hAnsiTheme="minorHAnsi" w:cstheme="minorHAnsi"/>
                <w:sz w:val="20"/>
                <w:szCs w:val="20"/>
              </w:rPr>
            </w:pPr>
            <w:r w:rsidRPr="00B0770C">
              <w:rPr>
                <w:rFonts w:asciiTheme="minorHAnsi" w:hAnsiTheme="minorHAnsi" w:cstheme="minorHAnsi"/>
                <w:sz w:val="20"/>
                <w:szCs w:val="20"/>
              </w:rPr>
              <w:t>Processor 2</w:t>
            </w:r>
          </w:p>
        </w:tc>
        <w:tc>
          <w:tcPr>
            <w:tcW w:w="5410" w:type="dxa"/>
            <w:gridSpan w:val="3"/>
            <w:vAlign w:val="center"/>
          </w:tcPr>
          <w:p w14:paraId="654A9424"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Sausage/ burger factory</w:t>
            </w:r>
          </w:p>
        </w:tc>
        <w:tc>
          <w:tcPr>
            <w:tcW w:w="1316" w:type="dxa"/>
            <w:vAlign w:val="center"/>
          </w:tcPr>
          <w:p w14:paraId="7922035D"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P2</w:t>
            </w:r>
          </w:p>
        </w:tc>
      </w:tr>
      <w:tr w:rsidR="006D4A11" w14:paraId="551CCE00" w14:textId="77777777" w:rsidTr="006D4A11">
        <w:trPr>
          <w:jc w:val="center"/>
        </w:trPr>
        <w:tc>
          <w:tcPr>
            <w:tcW w:w="1768" w:type="dxa"/>
            <w:vAlign w:val="center"/>
          </w:tcPr>
          <w:p w14:paraId="67ABD1BA" w14:textId="77777777" w:rsidR="006D4A11" w:rsidRPr="00B0770C" w:rsidRDefault="006D4A11" w:rsidP="006D4A11">
            <w:pPr>
              <w:rPr>
                <w:rFonts w:asciiTheme="minorHAnsi" w:hAnsiTheme="minorHAnsi" w:cstheme="minorHAnsi"/>
                <w:sz w:val="20"/>
                <w:szCs w:val="20"/>
              </w:rPr>
            </w:pPr>
            <w:r w:rsidRPr="00B0770C">
              <w:rPr>
                <w:rFonts w:asciiTheme="minorHAnsi" w:hAnsiTheme="minorHAnsi" w:cstheme="minorHAnsi"/>
                <w:sz w:val="20"/>
                <w:szCs w:val="20"/>
              </w:rPr>
              <w:t>Processor 3</w:t>
            </w:r>
          </w:p>
        </w:tc>
        <w:tc>
          <w:tcPr>
            <w:tcW w:w="5410" w:type="dxa"/>
            <w:gridSpan w:val="3"/>
            <w:vAlign w:val="center"/>
          </w:tcPr>
          <w:p w14:paraId="4599C368"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Bread producer</w:t>
            </w:r>
          </w:p>
        </w:tc>
        <w:tc>
          <w:tcPr>
            <w:tcW w:w="1316" w:type="dxa"/>
            <w:vAlign w:val="center"/>
          </w:tcPr>
          <w:p w14:paraId="36EA49C5"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P3</w:t>
            </w:r>
          </w:p>
        </w:tc>
      </w:tr>
      <w:tr w:rsidR="006D4A11" w14:paraId="7FF51445" w14:textId="77777777" w:rsidTr="006D4A11">
        <w:trPr>
          <w:jc w:val="center"/>
        </w:trPr>
        <w:tc>
          <w:tcPr>
            <w:tcW w:w="1768" w:type="dxa"/>
            <w:vAlign w:val="center"/>
          </w:tcPr>
          <w:p w14:paraId="4D17C21F" w14:textId="77777777" w:rsidR="006D4A11" w:rsidRPr="00B0770C" w:rsidRDefault="006D4A11" w:rsidP="006D4A11">
            <w:pPr>
              <w:rPr>
                <w:rFonts w:asciiTheme="minorHAnsi" w:hAnsiTheme="minorHAnsi" w:cstheme="minorHAnsi"/>
                <w:sz w:val="20"/>
                <w:szCs w:val="20"/>
              </w:rPr>
            </w:pPr>
            <w:r w:rsidRPr="00B0770C">
              <w:rPr>
                <w:rFonts w:asciiTheme="minorHAnsi" w:hAnsiTheme="minorHAnsi" w:cstheme="minorHAnsi"/>
                <w:sz w:val="20"/>
                <w:szCs w:val="20"/>
              </w:rPr>
              <w:t>Processor 4</w:t>
            </w:r>
          </w:p>
        </w:tc>
        <w:tc>
          <w:tcPr>
            <w:tcW w:w="5410" w:type="dxa"/>
            <w:gridSpan w:val="3"/>
            <w:vAlign w:val="center"/>
          </w:tcPr>
          <w:p w14:paraId="237EFD39"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Cake producer</w:t>
            </w:r>
          </w:p>
        </w:tc>
        <w:tc>
          <w:tcPr>
            <w:tcW w:w="1316" w:type="dxa"/>
            <w:vAlign w:val="center"/>
          </w:tcPr>
          <w:p w14:paraId="59C54501"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P4</w:t>
            </w:r>
          </w:p>
        </w:tc>
      </w:tr>
      <w:tr w:rsidR="006D4A11" w14:paraId="4FDF0E0A" w14:textId="77777777" w:rsidTr="006D4A11">
        <w:trPr>
          <w:jc w:val="center"/>
        </w:trPr>
        <w:tc>
          <w:tcPr>
            <w:tcW w:w="1768" w:type="dxa"/>
            <w:vAlign w:val="center"/>
          </w:tcPr>
          <w:p w14:paraId="7817A442"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Retailer 1</w:t>
            </w:r>
          </w:p>
        </w:tc>
        <w:tc>
          <w:tcPr>
            <w:tcW w:w="5410" w:type="dxa"/>
            <w:gridSpan w:val="3"/>
            <w:vAlign w:val="center"/>
          </w:tcPr>
          <w:p w14:paraId="3E05684B"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Farm Shop</w:t>
            </w:r>
          </w:p>
        </w:tc>
        <w:tc>
          <w:tcPr>
            <w:tcW w:w="1316" w:type="dxa"/>
            <w:vAlign w:val="center"/>
          </w:tcPr>
          <w:p w14:paraId="707EE9DF"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R1</w:t>
            </w:r>
          </w:p>
        </w:tc>
      </w:tr>
      <w:tr w:rsidR="006D4A11" w14:paraId="25B6E74F" w14:textId="77777777" w:rsidTr="006D4A11">
        <w:trPr>
          <w:jc w:val="center"/>
        </w:trPr>
        <w:tc>
          <w:tcPr>
            <w:tcW w:w="1768" w:type="dxa"/>
            <w:vAlign w:val="center"/>
          </w:tcPr>
          <w:p w14:paraId="3B2A838E"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Retailer 2</w:t>
            </w:r>
          </w:p>
        </w:tc>
        <w:tc>
          <w:tcPr>
            <w:tcW w:w="5410" w:type="dxa"/>
            <w:gridSpan w:val="3"/>
            <w:vAlign w:val="center"/>
          </w:tcPr>
          <w:p w14:paraId="6905A3F8"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Innovative food boxes</w:t>
            </w:r>
          </w:p>
        </w:tc>
        <w:tc>
          <w:tcPr>
            <w:tcW w:w="1316" w:type="dxa"/>
            <w:vAlign w:val="center"/>
          </w:tcPr>
          <w:p w14:paraId="18704294"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R2</w:t>
            </w:r>
          </w:p>
        </w:tc>
      </w:tr>
      <w:tr w:rsidR="006D4A11" w14:paraId="2AAC4AA6" w14:textId="77777777" w:rsidTr="006D4A11">
        <w:trPr>
          <w:jc w:val="center"/>
        </w:trPr>
        <w:tc>
          <w:tcPr>
            <w:tcW w:w="1768" w:type="dxa"/>
            <w:vAlign w:val="center"/>
          </w:tcPr>
          <w:p w14:paraId="74D4765F"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Retailer 3</w:t>
            </w:r>
          </w:p>
        </w:tc>
        <w:tc>
          <w:tcPr>
            <w:tcW w:w="5410" w:type="dxa"/>
            <w:gridSpan w:val="3"/>
            <w:vAlign w:val="center"/>
          </w:tcPr>
          <w:p w14:paraId="15CE0EF4"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Regional Supermarket</w:t>
            </w:r>
          </w:p>
        </w:tc>
        <w:tc>
          <w:tcPr>
            <w:tcW w:w="1316" w:type="dxa"/>
            <w:vAlign w:val="center"/>
          </w:tcPr>
          <w:p w14:paraId="1D20649C"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R3-I1</w:t>
            </w:r>
          </w:p>
          <w:p w14:paraId="7EC07076"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R3-I2</w:t>
            </w:r>
          </w:p>
          <w:p w14:paraId="37A75D1F"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R3-I3</w:t>
            </w:r>
          </w:p>
        </w:tc>
      </w:tr>
      <w:tr w:rsidR="006D4A11" w14:paraId="299A3C9F" w14:textId="77777777" w:rsidTr="006D4A11">
        <w:trPr>
          <w:jc w:val="center"/>
        </w:trPr>
        <w:tc>
          <w:tcPr>
            <w:tcW w:w="1768" w:type="dxa"/>
            <w:vAlign w:val="center"/>
          </w:tcPr>
          <w:p w14:paraId="2EB89AB9"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Retailer 4</w:t>
            </w:r>
          </w:p>
        </w:tc>
        <w:tc>
          <w:tcPr>
            <w:tcW w:w="5410" w:type="dxa"/>
            <w:gridSpan w:val="3"/>
            <w:vAlign w:val="center"/>
          </w:tcPr>
          <w:p w14:paraId="7B146B91"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National Supermarket</w:t>
            </w:r>
          </w:p>
        </w:tc>
        <w:tc>
          <w:tcPr>
            <w:tcW w:w="1316" w:type="dxa"/>
            <w:vAlign w:val="center"/>
          </w:tcPr>
          <w:p w14:paraId="596F9B00" w14:textId="77777777" w:rsidR="006D4A11" w:rsidRPr="00B0770C" w:rsidRDefault="006D4A11" w:rsidP="006D4A11">
            <w:pPr>
              <w:pStyle w:val="NormalWeb"/>
              <w:spacing w:before="0" w:beforeAutospacing="0" w:after="0" w:afterAutospacing="0"/>
              <w:rPr>
                <w:rFonts w:asciiTheme="minorHAnsi" w:hAnsiTheme="minorHAnsi" w:cstheme="minorHAnsi"/>
                <w:sz w:val="20"/>
                <w:szCs w:val="20"/>
              </w:rPr>
            </w:pPr>
            <w:r w:rsidRPr="00B0770C">
              <w:rPr>
                <w:rFonts w:asciiTheme="minorHAnsi" w:hAnsiTheme="minorHAnsi" w:cstheme="minorHAnsi"/>
                <w:sz w:val="20"/>
                <w:szCs w:val="20"/>
              </w:rPr>
              <w:t>R4</w:t>
            </w:r>
          </w:p>
        </w:tc>
      </w:tr>
      <w:tr w:rsidR="006D4A11" w14:paraId="39FFB555" w14:textId="77777777" w:rsidTr="006D4A11">
        <w:trPr>
          <w:jc w:val="center"/>
        </w:trPr>
        <w:tc>
          <w:tcPr>
            <w:tcW w:w="7178" w:type="dxa"/>
            <w:gridSpan w:val="4"/>
            <w:vAlign w:val="center"/>
          </w:tcPr>
          <w:p w14:paraId="1D146FA3" w14:textId="77777777" w:rsidR="006D4A11" w:rsidRPr="00396E00" w:rsidRDefault="006D4A11" w:rsidP="006D4A11">
            <w:pPr>
              <w:pStyle w:val="NormalWeb"/>
              <w:spacing w:before="0" w:beforeAutospacing="0" w:after="0" w:afterAutospacing="0"/>
              <w:jc w:val="right"/>
              <w:rPr>
                <w:sz w:val="22"/>
                <w:szCs w:val="22"/>
              </w:rPr>
            </w:pPr>
            <w:r w:rsidRPr="00F551CC">
              <w:rPr>
                <w:b/>
              </w:rPr>
              <w:t>Total participants</w:t>
            </w:r>
            <w:r>
              <w:rPr>
                <w:b/>
              </w:rPr>
              <w:t>:</w:t>
            </w:r>
          </w:p>
        </w:tc>
        <w:tc>
          <w:tcPr>
            <w:tcW w:w="1316" w:type="dxa"/>
            <w:vAlign w:val="center"/>
          </w:tcPr>
          <w:p w14:paraId="340B8BD2" w14:textId="77777777" w:rsidR="006D4A11" w:rsidRPr="00B0770C" w:rsidRDefault="006D4A11" w:rsidP="006D4A11">
            <w:pPr>
              <w:pStyle w:val="NormalWeb"/>
              <w:spacing w:before="0" w:beforeAutospacing="0" w:after="0" w:afterAutospacing="0"/>
              <w:rPr>
                <w:b/>
              </w:rPr>
            </w:pPr>
            <w:r w:rsidRPr="00B0770C">
              <w:rPr>
                <w:b/>
              </w:rPr>
              <w:t>18</w:t>
            </w:r>
          </w:p>
        </w:tc>
      </w:tr>
      <w:tr w:rsidR="006D4A11" w14:paraId="18DA33BF" w14:textId="77777777" w:rsidTr="006D4A11">
        <w:trPr>
          <w:jc w:val="center"/>
        </w:trPr>
        <w:tc>
          <w:tcPr>
            <w:tcW w:w="8494" w:type="dxa"/>
            <w:gridSpan w:val="5"/>
            <w:vAlign w:val="center"/>
          </w:tcPr>
          <w:p w14:paraId="7628DE04" w14:textId="4B8FC407" w:rsidR="006D4A11" w:rsidRPr="00DC7495" w:rsidRDefault="006D4A11" w:rsidP="006D4A11">
            <w:pPr>
              <w:pStyle w:val="NormalWeb"/>
              <w:spacing w:before="120" w:beforeAutospacing="0" w:after="120" w:afterAutospacing="0"/>
              <w:jc w:val="center"/>
              <w:rPr>
                <w:b/>
                <w:i/>
              </w:rPr>
            </w:pPr>
            <w:r w:rsidRPr="00DC7495">
              <w:rPr>
                <w:b/>
                <w:i/>
              </w:rPr>
              <w:t>Workshop Participants</w:t>
            </w:r>
            <w:r>
              <w:rPr>
                <w:b/>
                <w:i/>
              </w:rPr>
              <w:t xml:space="preserve"> and Associated Workshop Mnemonics</w:t>
            </w:r>
          </w:p>
        </w:tc>
      </w:tr>
      <w:tr w:rsidR="006D4A11" w14:paraId="25391B30" w14:textId="77777777" w:rsidTr="006D4A11">
        <w:trPr>
          <w:jc w:val="center"/>
        </w:trPr>
        <w:tc>
          <w:tcPr>
            <w:tcW w:w="3681" w:type="dxa"/>
            <w:gridSpan w:val="2"/>
          </w:tcPr>
          <w:p w14:paraId="05FFD645" w14:textId="77777777" w:rsidR="006D4A11" w:rsidRPr="00396E00" w:rsidRDefault="006D4A11" w:rsidP="006D4A11">
            <w:pPr>
              <w:pStyle w:val="NormalWeb"/>
              <w:spacing w:before="0" w:beforeAutospacing="0" w:after="0" w:afterAutospacing="0"/>
              <w:rPr>
                <w:sz w:val="22"/>
                <w:szCs w:val="22"/>
              </w:rPr>
            </w:pPr>
            <w:r w:rsidRPr="00F551CC">
              <w:rPr>
                <w:b/>
              </w:rPr>
              <w:t>Organisation</w:t>
            </w:r>
            <w:r>
              <w:rPr>
                <w:b/>
              </w:rPr>
              <w:t>al</w:t>
            </w:r>
            <w:r w:rsidRPr="00F551CC">
              <w:rPr>
                <w:b/>
              </w:rPr>
              <w:t xml:space="preserve"> types represented</w:t>
            </w:r>
          </w:p>
        </w:tc>
        <w:tc>
          <w:tcPr>
            <w:tcW w:w="2410" w:type="dxa"/>
          </w:tcPr>
          <w:p w14:paraId="42CBCB2A" w14:textId="77777777" w:rsidR="006D4A11" w:rsidRPr="00396E00" w:rsidRDefault="006D4A11" w:rsidP="006D4A11">
            <w:pPr>
              <w:pStyle w:val="NormalWeb"/>
              <w:spacing w:before="0" w:beforeAutospacing="0" w:after="0" w:afterAutospacing="0"/>
              <w:jc w:val="center"/>
              <w:rPr>
                <w:sz w:val="22"/>
                <w:szCs w:val="22"/>
              </w:rPr>
            </w:pPr>
            <w:r w:rsidRPr="00F551CC">
              <w:rPr>
                <w:b/>
              </w:rPr>
              <w:t>Workshop 1 (W1)</w:t>
            </w:r>
          </w:p>
        </w:tc>
        <w:tc>
          <w:tcPr>
            <w:tcW w:w="2403" w:type="dxa"/>
            <w:gridSpan w:val="2"/>
          </w:tcPr>
          <w:p w14:paraId="1F3DE9A5" w14:textId="77777777" w:rsidR="006D4A11" w:rsidRPr="00396E00" w:rsidRDefault="006D4A11" w:rsidP="006D4A11">
            <w:pPr>
              <w:pStyle w:val="NormalWeb"/>
              <w:spacing w:before="0" w:beforeAutospacing="0" w:after="0" w:afterAutospacing="0"/>
              <w:jc w:val="center"/>
              <w:rPr>
                <w:sz w:val="22"/>
                <w:szCs w:val="22"/>
              </w:rPr>
            </w:pPr>
            <w:r>
              <w:rPr>
                <w:b/>
              </w:rPr>
              <w:t>Workshop 2 (W2)</w:t>
            </w:r>
          </w:p>
        </w:tc>
      </w:tr>
      <w:tr w:rsidR="006D4A11" w14:paraId="0CB7D34E" w14:textId="77777777" w:rsidTr="006D4A11">
        <w:trPr>
          <w:jc w:val="center"/>
        </w:trPr>
        <w:tc>
          <w:tcPr>
            <w:tcW w:w="3681" w:type="dxa"/>
            <w:gridSpan w:val="2"/>
          </w:tcPr>
          <w:p w14:paraId="1AD4B56A" w14:textId="77777777" w:rsidR="006D4A11" w:rsidRPr="00DC7495" w:rsidRDefault="006D4A11" w:rsidP="006D4A11">
            <w:pPr>
              <w:pStyle w:val="NormalWeb"/>
              <w:spacing w:before="0" w:beforeAutospacing="0" w:after="0" w:afterAutospacing="0"/>
              <w:rPr>
                <w:sz w:val="20"/>
                <w:szCs w:val="20"/>
              </w:rPr>
            </w:pPr>
            <w:r w:rsidRPr="00DC7495">
              <w:rPr>
                <w:sz w:val="20"/>
                <w:szCs w:val="20"/>
              </w:rPr>
              <w:t>Farmer</w:t>
            </w:r>
          </w:p>
        </w:tc>
        <w:tc>
          <w:tcPr>
            <w:tcW w:w="2410" w:type="dxa"/>
          </w:tcPr>
          <w:p w14:paraId="6D406717"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4</w:t>
            </w:r>
          </w:p>
        </w:tc>
        <w:tc>
          <w:tcPr>
            <w:tcW w:w="2403" w:type="dxa"/>
            <w:gridSpan w:val="2"/>
          </w:tcPr>
          <w:p w14:paraId="5ABFD76A"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1</w:t>
            </w:r>
          </w:p>
        </w:tc>
      </w:tr>
      <w:tr w:rsidR="006D4A11" w14:paraId="03C29670" w14:textId="77777777" w:rsidTr="006D4A11">
        <w:trPr>
          <w:jc w:val="center"/>
        </w:trPr>
        <w:tc>
          <w:tcPr>
            <w:tcW w:w="3681" w:type="dxa"/>
            <w:gridSpan w:val="2"/>
          </w:tcPr>
          <w:p w14:paraId="033209FE" w14:textId="77777777" w:rsidR="006D4A11" w:rsidRPr="00DC7495" w:rsidRDefault="006D4A11" w:rsidP="006D4A11">
            <w:pPr>
              <w:pStyle w:val="NormalWeb"/>
              <w:spacing w:before="0" w:beforeAutospacing="0" w:after="0" w:afterAutospacing="0"/>
              <w:rPr>
                <w:sz w:val="20"/>
                <w:szCs w:val="20"/>
              </w:rPr>
            </w:pPr>
            <w:r w:rsidRPr="00DC7495">
              <w:rPr>
                <w:sz w:val="20"/>
                <w:szCs w:val="20"/>
              </w:rPr>
              <w:t>Processor</w:t>
            </w:r>
          </w:p>
        </w:tc>
        <w:tc>
          <w:tcPr>
            <w:tcW w:w="2410" w:type="dxa"/>
          </w:tcPr>
          <w:p w14:paraId="31B600A8"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1</w:t>
            </w:r>
          </w:p>
        </w:tc>
        <w:tc>
          <w:tcPr>
            <w:tcW w:w="2403" w:type="dxa"/>
            <w:gridSpan w:val="2"/>
          </w:tcPr>
          <w:p w14:paraId="2E440D65"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2</w:t>
            </w:r>
          </w:p>
        </w:tc>
      </w:tr>
      <w:tr w:rsidR="006D4A11" w14:paraId="7F971898" w14:textId="77777777" w:rsidTr="006D4A11">
        <w:trPr>
          <w:jc w:val="center"/>
        </w:trPr>
        <w:tc>
          <w:tcPr>
            <w:tcW w:w="3681" w:type="dxa"/>
            <w:gridSpan w:val="2"/>
          </w:tcPr>
          <w:p w14:paraId="5B1209BF" w14:textId="77777777" w:rsidR="006D4A11" w:rsidRPr="00DC7495" w:rsidRDefault="006D4A11" w:rsidP="006D4A11">
            <w:pPr>
              <w:pStyle w:val="NormalWeb"/>
              <w:spacing w:before="0" w:beforeAutospacing="0" w:after="0" w:afterAutospacing="0"/>
              <w:rPr>
                <w:sz w:val="20"/>
                <w:szCs w:val="20"/>
              </w:rPr>
            </w:pPr>
            <w:r w:rsidRPr="00DC7495">
              <w:rPr>
                <w:sz w:val="20"/>
                <w:szCs w:val="20"/>
              </w:rPr>
              <w:t>Retailer</w:t>
            </w:r>
          </w:p>
        </w:tc>
        <w:tc>
          <w:tcPr>
            <w:tcW w:w="2410" w:type="dxa"/>
          </w:tcPr>
          <w:p w14:paraId="5E0CD407"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2</w:t>
            </w:r>
          </w:p>
        </w:tc>
        <w:tc>
          <w:tcPr>
            <w:tcW w:w="2403" w:type="dxa"/>
            <w:gridSpan w:val="2"/>
          </w:tcPr>
          <w:p w14:paraId="2D2F031C"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2</w:t>
            </w:r>
          </w:p>
        </w:tc>
      </w:tr>
      <w:tr w:rsidR="006D4A11" w14:paraId="189F92C0" w14:textId="77777777" w:rsidTr="006D4A11">
        <w:trPr>
          <w:jc w:val="center"/>
        </w:trPr>
        <w:tc>
          <w:tcPr>
            <w:tcW w:w="3681" w:type="dxa"/>
            <w:gridSpan w:val="2"/>
          </w:tcPr>
          <w:p w14:paraId="62976DBC" w14:textId="77777777" w:rsidR="006D4A11" w:rsidRPr="00DC7495" w:rsidRDefault="006D4A11" w:rsidP="006D4A11">
            <w:pPr>
              <w:pStyle w:val="NormalWeb"/>
              <w:spacing w:before="0" w:beforeAutospacing="0" w:after="0" w:afterAutospacing="0"/>
              <w:rPr>
                <w:sz w:val="20"/>
                <w:szCs w:val="20"/>
              </w:rPr>
            </w:pPr>
            <w:r w:rsidRPr="00DC7495">
              <w:rPr>
                <w:sz w:val="20"/>
                <w:szCs w:val="20"/>
              </w:rPr>
              <w:t>NGO</w:t>
            </w:r>
          </w:p>
        </w:tc>
        <w:tc>
          <w:tcPr>
            <w:tcW w:w="2410" w:type="dxa"/>
          </w:tcPr>
          <w:p w14:paraId="6659C280"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3</w:t>
            </w:r>
          </w:p>
        </w:tc>
        <w:tc>
          <w:tcPr>
            <w:tcW w:w="2403" w:type="dxa"/>
            <w:gridSpan w:val="2"/>
          </w:tcPr>
          <w:p w14:paraId="1C879659" w14:textId="77777777" w:rsidR="006D4A11" w:rsidRPr="00DC7495" w:rsidRDefault="006D4A11" w:rsidP="006D4A11">
            <w:pPr>
              <w:pStyle w:val="NormalWeb"/>
              <w:spacing w:before="0" w:beforeAutospacing="0" w:after="0" w:afterAutospacing="0"/>
              <w:jc w:val="center"/>
              <w:rPr>
                <w:sz w:val="20"/>
                <w:szCs w:val="20"/>
              </w:rPr>
            </w:pPr>
            <w:r w:rsidRPr="00DC7495">
              <w:rPr>
                <w:sz w:val="20"/>
                <w:szCs w:val="20"/>
              </w:rPr>
              <w:t>4</w:t>
            </w:r>
          </w:p>
        </w:tc>
      </w:tr>
      <w:tr w:rsidR="006D4A11" w14:paraId="7B514B90" w14:textId="77777777" w:rsidTr="006D4A11">
        <w:trPr>
          <w:jc w:val="center"/>
        </w:trPr>
        <w:tc>
          <w:tcPr>
            <w:tcW w:w="3681" w:type="dxa"/>
            <w:gridSpan w:val="2"/>
          </w:tcPr>
          <w:p w14:paraId="3CCD8EFD" w14:textId="77777777" w:rsidR="006D4A11" w:rsidRPr="00396E00" w:rsidRDefault="006D4A11" w:rsidP="006D4A11">
            <w:pPr>
              <w:pStyle w:val="NormalWeb"/>
              <w:spacing w:before="0" w:beforeAutospacing="0" w:after="0" w:afterAutospacing="0"/>
              <w:jc w:val="right"/>
              <w:rPr>
                <w:sz w:val="22"/>
                <w:szCs w:val="22"/>
              </w:rPr>
            </w:pPr>
            <w:r w:rsidRPr="00F551CC">
              <w:rPr>
                <w:b/>
              </w:rPr>
              <w:t>Total participants</w:t>
            </w:r>
            <w:r>
              <w:rPr>
                <w:b/>
              </w:rPr>
              <w:t>:</w:t>
            </w:r>
          </w:p>
        </w:tc>
        <w:tc>
          <w:tcPr>
            <w:tcW w:w="2410" w:type="dxa"/>
          </w:tcPr>
          <w:p w14:paraId="34F36570" w14:textId="77777777" w:rsidR="006D4A11" w:rsidRPr="00B0770C" w:rsidRDefault="006D4A11" w:rsidP="006D4A11">
            <w:pPr>
              <w:pStyle w:val="NormalWeb"/>
              <w:spacing w:before="0" w:beforeAutospacing="0" w:after="0" w:afterAutospacing="0"/>
              <w:jc w:val="center"/>
              <w:rPr>
                <w:b/>
                <w:sz w:val="22"/>
                <w:szCs w:val="22"/>
              </w:rPr>
            </w:pPr>
            <w:r w:rsidRPr="00B0770C">
              <w:rPr>
                <w:b/>
              </w:rPr>
              <w:t>10</w:t>
            </w:r>
          </w:p>
        </w:tc>
        <w:tc>
          <w:tcPr>
            <w:tcW w:w="2403" w:type="dxa"/>
            <w:gridSpan w:val="2"/>
          </w:tcPr>
          <w:p w14:paraId="7887583E" w14:textId="77777777" w:rsidR="006D4A11" w:rsidRPr="00B0770C" w:rsidRDefault="006D4A11" w:rsidP="006D4A11">
            <w:pPr>
              <w:pStyle w:val="NormalWeb"/>
              <w:spacing w:before="0" w:beforeAutospacing="0" w:after="0" w:afterAutospacing="0"/>
              <w:jc w:val="center"/>
              <w:rPr>
                <w:b/>
                <w:sz w:val="22"/>
                <w:szCs w:val="22"/>
              </w:rPr>
            </w:pPr>
            <w:r w:rsidRPr="00B0770C">
              <w:rPr>
                <w:b/>
              </w:rPr>
              <w:t>9</w:t>
            </w:r>
          </w:p>
        </w:tc>
      </w:tr>
    </w:tbl>
    <w:p w14:paraId="53C08620" w14:textId="77777777" w:rsidR="006D4A11" w:rsidRPr="00A25982" w:rsidRDefault="006D4A11" w:rsidP="00A25982">
      <w:pPr>
        <w:pStyle w:val="NormalWeb"/>
        <w:spacing w:before="0" w:beforeAutospacing="0" w:after="0" w:afterAutospacing="0"/>
        <w:jc w:val="center"/>
        <w:rPr>
          <w:rFonts w:ascii="Arial" w:hAnsi="Arial" w:cs="Arial"/>
        </w:rPr>
      </w:pPr>
    </w:p>
    <w:p w14:paraId="45D58780" w14:textId="77777777" w:rsidR="00671226" w:rsidRPr="00A25982" w:rsidRDefault="00671226" w:rsidP="00A25982">
      <w:pPr>
        <w:pStyle w:val="NormalWeb"/>
        <w:spacing w:before="0" w:beforeAutospacing="0" w:after="0" w:afterAutospacing="0"/>
        <w:jc w:val="both"/>
        <w:rPr>
          <w:rFonts w:ascii="Arial" w:hAnsi="Arial" w:cs="Arial"/>
          <w:sz w:val="12"/>
          <w:szCs w:val="12"/>
        </w:rPr>
      </w:pPr>
    </w:p>
    <w:p w14:paraId="7A506FE7" w14:textId="5435DCD3" w:rsidR="00671226" w:rsidRPr="00A25982" w:rsidRDefault="00671226" w:rsidP="00A25982">
      <w:pPr>
        <w:pStyle w:val="NormalWeb"/>
        <w:spacing w:before="0" w:beforeAutospacing="0" w:after="0" w:afterAutospacing="0"/>
        <w:jc w:val="both"/>
        <w:rPr>
          <w:rFonts w:ascii="Arial" w:hAnsi="Arial" w:cs="Arial"/>
          <w:i/>
        </w:rPr>
      </w:pPr>
      <w:r w:rsidRPr="00A25982">
        <w:rPr>
          <w:rFonts w:ascii="Arial" w:hAnsi="Arial" w:cs="Arial"/>
          <w:i/>
        </w:rPr>
        <w:t>3.2 Data Collection</w:t>
      </w:r>
      <w:r w:rsidR="00960A3A" w:rsidRPr="00A25982">
        <w:rPr>
          <w:rFonts w:ascii="Arial" w:hAnsi="Arial" w:cs="Arial"/>
          <w:i/>
        </w:rPr>
        <w:t xml:space="preserve"> and Analysis</w:t>
      </w:r>
    </w:p>
    <w:p w14:paraId="1FA426AC" w14:textId="025572EB" w:rsidR="00A415DA" w:rsidRPr="00A25982" w:rsidRDefault="00AC6F9B" w:rsidP="00A25982">
      <w:pPr>
        <w:pStyle w:val="NormalWeb"/>
        <w:spacing w:before="0" w:beforeAutospacing="0" w:after="0" w:afterAutospacing="0"/>
        <w:jc w:val="both"/>
        <w:rPr>
          <w:rFonts w:ascii="Arial" w:hAnsi="Arial" w:cs="Arial"/>
        </w:rPr>
      </w:pPr>
      <w:r w:rsidRPr="00A25982">
        <w:rPr>
          <w:rFonts w:ascii="Arial" w:hAnsi="Arial" w:cs="Arial"/>
        </w:rPr>
        <w:t>D</w:t>
      </w:r>
      <w:r w:rsidR="00723D6A" w:rsidRPr="00A25982">
        <w:rPr>
          <w:rFonts w:ascii="Arial" w:hAnsi="Arial" w:cs="Arial"/>
        </w:rPr>
        <w:t xml:space="preserve">ata collection </w:t>
      </w:r>
      <w:r w:rsidR="000A0D5B" w:rsidRPr="00A25982">
        <w:rPr>
          <w:rFonts w:ascii="Arial" w:hAnsi="Arial" w:cs="Arial"/>
        </w:rPr>
        <w:t>began</w:t>
      </w:r>
      <w:r w:rsidR="00B50D16" w:rsidRPr="00A25982">
        <w:rPr>
          <w:rFonts w:ascii="Arial" w:hAnsi="Arial" w:cs="Arial"/>
        </w:rPr>
        <w:t xml:space="preserve"> after the Brexit vote in June 2016</w:t>
      </w:r>
      <w:r w:rsidR="000A0D5B" w:rsidRPr="00A25982">
        <w:rPr>
          <w:rFonts w:ascii="Arial" w:hAnsi="Arial" w:cs="Arial"/>
        </w:rPr>
        <w:t>, taking place between</w:t>
      </w:r>
      <w:r w:rsidR="00B50D16" w:rsidRPr="00A25982">
        <w:rPr>
          <w:rFonts w:ascii="Arial" w:hAnsi="Arial" w:cs="Arial"/>
        </w:rPr>
        <w:t xml:space="preserve"> </w:t>
      </w:r>
      <w:r w:rsidRPr="00A25982">
        <w:rPr>
          <w:rFonts w:ascii="Arial" w:hAnsi="Arial" w:cs="Arial"/>
        </w:rPr>
        <w:t xml:space="preserve">November 2016 and </w:t>
      </w:r>
      <w:r w:rsidR="00194175" w:rsidRPr="00A25982">
        <w:rPr>
          <w:rFonts w:ascii="Arial" w:hAnsi="Arial" w:cs="Arial"/>
        </w:rPr>
        <w:t>September</w:t>
      </w:r>
      <w:r w:rsidR="000A0D5B" w:rsidRPr="00A25982">
        <w:rPr>
          <w:rFonts w:ascii="Arial" w:hAnsi="Arial" w:cs="Arial"/>
        </w:rPr>
        <w:t xml:space="preserve"> 2017. There were two</w:t>
      </w:r>
      <w:r w:rsidR="00F020B5" w:rsidRPr="00A25982">
        <w:rPr>
          <w:rFonts w:ascii="Arial" w:hAnsi="Arial" w:cs="Arial"/>
        </w:rPr>
        <w:t xml:space="preserve"> </w:t>
      </w:r>
      <w:r w:rsidR="00212847" w:rsidRPr="00A25982">
        <w:rPr>
          <w:rFonts w:ascii="Arial" w:hAnsi="Arial" w:cs="Arial"/>
        </w:rPr>
        <w:t>stages</w:t>
      </w:r>
      <w:r w:rsidR="000A0D5B" w:rsidRPr="00A25982">
        <w:rPr>
          <w:rFonts w:ascii="Arial" w:hAnsi="Arial" w:cs="Arial"/>
        </w:rPr>
        <w:t xml:space="preserve"> of data collection</w:t>
      </w:r>
      <w:r w:rsidR="00212847" w:rsidRPr="00A25982">
        <w:rPr>
          <w:rFonts w:ascii="Arial" w:hAnsi="Arial" w:cs="Arial"/>
        </w:rPr>
        <w:t>.</w:t>
      </w:r>
      <w:r w:rsidR="00F71AC8" w:rsidRPr="00A25982">
        <w:rPr>
          <w:rFonts w:ascii="Arial" w:hAnsi="Arial" w:cs="Arial"/>
        </w:rPr>
        <w:t xml:space="preserve"> </w:t>
      </w:r>
      <w:r w:rsidR="00212847" w:rsidRPr="00A25982">
        <w:rPr>
          <w:rFonts w:ascii="Arial" w:hAnsi="Arial" w:cs="Arial"/>
        </w:rPr>
        <w:t xml:space="preserve">First, interviews with </w:t>
      </w:r>
      <w:r w:rsidR="00194175" w:rsidRPr="00A25982">
        <w:rPr>
          <w:rFonts w:ascii="Arial" w:hAnsi="Arial" w:cs="Arial"/>
        </w:rPr>
        <w:t xml:space="preserve">the </w:t>
      </w:r>
      <w:r w:rsidR="00043292" w:rsidRPr="00A25982">
        <w:rPr>
          <w:rFonts w:ascii="Arial" w:hAnsi="Arial" w:cs="Arial"/>
        </w:rPr>
        <w:t xml:space="preserve">18 </w:t>
      </w:r>
      <w:r w:rsidR="00212847" w:rsidRPr="00A25982">
        <w:rPr>
          <w:rFonts w:ascii="Arial" w:hAnsi="Arial" w:cs="Arial"/>
        </w:rPr>
        <w:t xml:space="preserve">representatives </w:t>
      </w:r>
      <w:r w:rsidR="00043292" w:rsidRPr="00A25982">
        <w:rPr>
          <w:rFonts w:ascii="Arial" w:hAnsi="Arial" w:cs="Arial"/>
        </w:rPr>
        <w:t>from</w:t>
      </w:r>
      <w:r w:rsidR="00212847" w:rsidRPr="00A25982">
        <w:rPr>
          <w:rFonts w:ascii="Arial" w:hAnsi="Arial" w:cs="Arial"/>
        </w:rPr>
        <w:t xml:space="preserve"> the </w:t>
      </w:r>
      <w:r w:rsidR="00EC7B6E" w:rsidRPr="00A25982">
        <w:rPr>
          <w:rFonts w:ascii="Arial" w:hAnsi="Arial" w:cs="Arial"/>
        </w:rPr>
        <w:t xml:space="preserve">14 cases listed in Table </w:t>
      </w:r>
      <w:r w:rsidR="00872219" w:rsidRPr="00A25982">
        <w:rPr>
          <w:rFonts w:ascii="Arial" w:hAnsi="Arial" w:cs="Arial"/>
        </w:rPr>
        <w:t>2</w:t>
      </w:r>
      <w:r w:rsidR="00212847" w:rsidRPr="00A25982">
        <w:rPr>
          <w:rFonts w:ascii="Arial" w:hAnsi="Arial" w:cs="Arial"/>
        </w:rPr>
        <w:t xml:space="preserve"> were carried out.</w:t>
      </w:r>
      <w:r w:rsidR="00F71AC8" w:rsidRPr="00A25982">
        <w:rPr>
          <w:rFonts w:ascii="Arial" w:hAnsi="Arial" w:cs="Arial"/>
        </w:rPr>
        <w:t xml:space="preserve"> </w:t>
      </w:r>
      <w:r w:rsidR="00212847" w:rsidRPr="00A25982">
        <w:rPr>
          <w:rFonts w:ascii="Arial" w:hAnsi="Arial" w:cs="Arial"/>
        </w:rPr>
        <w:t xml:space="preserve">Second, to validate and broaden the findings, all interviewees </w:t>
      </w:r>
      <w:r w:rsidR="009C0545" w:rsidRPr="00A25982">
        <w:rPr>
          <w:rFonts w:ascii="Arial" w:hAnsi="Arial" w:cs="Arial"/>
        </w:rPr>
        <w:t xml:space="preserve">(and other non-interviewees) </w:t>
      </w:r>
      <w:r w:rsidR="00212847" w:rsidRPr="00A25982">
        <w:rPr>
          <w:rFonts w:ascii="Arial" w:hAnsi="Arial" w:cs="Arial"/>
        </w:rPr>
        <w:t xml:space="preserve">were invited to </w:t>
      </w:r>
      <w:r w:rsidR="001677BC" w:rsidRPr="00A25982">
        <w:rPr>
          <w:rFonts w:ascii="Arial" w:hAnsi="Arial" w:cs="Arial"/>
        </w:rPr>
        <w:t xml:space="preserve">one of two </w:t>
      </w:r>
      <w:r w:rsidR="00212847" w:rsidRPr="00A25982">
        <w:rPr>
          <w:rFonts w:ascii="Arial" w:hAnsi="Arial" w:cs="Arial"/>
        </w:rPr>
        <w:t>roundtable discussion</w:t>
      </w:r>
      <w:r w:rsidR="001677BC" w:rsidRPr="00A25982">
        <w:rPr>
          <w:rFonts w:ascii="Arial" w:hAnsi="Arial" w:cs="Arial"/>
        </w:rPr>
        <w:t>s</w:t>
      </w:r>
      <w:r w:rsidR="00212847" w:rsidRPr="00A25982">
        <w:rPr>
          <w:rFonts w:ascii="Arial" w:hAnsi="Arial" w:cs="Arial"/>
        </w:rPr>
        <w:t>. Ten participants attended</w:t>
      </w:r>
      <w:r w:rsidR="00A415DA" w:rsidRPr="00A25982">
        <w:rPr>
          <w:rFonts w:ascii="Arial" w:hAnsi="Arial" w:cs="Arial"/>
        </w:rPr>
        <w:t xml:space="preserve"> the first </w:t>
      </w:r>
      <w:r w:rsidR="00194175" w:rsidRPr="00A25982">
        <w:rPr>
          <w:rFonts w:ascii="Arial" w:hAnsi="Arial" w:cs="Arial"/>
        </w:rPr>
        <w:t xml:space="preserve">of these </w:t>
      </w:r>
      <w:r w:rsidR="00A415DA" w:rsidRPr="00A25982">
        <w:rPr>
          <w:rFonts w:ascii="Arial" w:hAnsi="Arial" w:cs="Arial"/>
        </w:rPr>
        <w:t>workshop</w:t>
      </w:r>
      <w:r w:rsidR="00194175" w:rsidRPr="00A25982">
        <w:rPr>
          <w:rFonts w:ascii="Arial" w:hAnsi="Arial" w:cs="Arial"/>
        </w:rPr>
        <w:t>s</w:t>
      </w:r>
      <w:r w:rsidR="00212847" w:rsidRPr="00A25982">
        <w:rPr>
          <w:rFonts w:ascii="Arial" w:hAnsi="Arial" w:cs="Arial"/>
        </w:rPr>
        <w:t>, 7 of whom were interviewees.</w:t>
      </w:r>
      <w:r w:rsidR="00872219" w:rsidRPr="00A25982">
        <w:rPr>
          <w:rFonts w:ascii="Arial" w:hAnsi="Arial" w:cs="Arial"/>
        </w:rPr>
        <w:t xml:space="preserve">  As no new issues were identified, this workshop was able to validate and triangulate the original findings from the interviews.</w:t>
      </w:r>
      <w:r w:rsidR="00A415DA" w:rsidRPr="00A25982">
        <w:rPr>
          <w:rFonts w:ascii="Arial" w:hAnsi="Arial" w:cs="Arial"/>
        </w:rPr>
        <w:t xml:space="preserve"> At the second workshop, there were nine participants, none of whom had taken part in the interviews</w:t>
      </w:r>
      <w:r w:rsidR="00872219" w:rsidRPr="00A25982">
        <w:rPr>
          <w:rFonts w:ascii="Arial" w:hAnsi="Arial" w:cs="Arial"/>
        </w:rPr>
        <w:t xml:space="preserve">, and therefore this workshop sought to broaden the findings. In the </w:t>
      </w:r>
      <w:r w:rsidR="00872219" w:rsidRPr="00A25982">
        <w:rPr>
          <w:rFonts w:ascii="Arial" w:hAnsi="Arial" w:cs="Arial"/>
          <w:noProof/>
        </w:rPr>
        <w:t>event</w:t>
      </w:r>
      <w:r w:rsidR="00872219" w:rsidRPr="00A25982">
        <w:rPr>
          <w:rFonts w:ascii="Arial" w:hAnsi="Arial" w:cs="Arial"/>
        </w:rPr>
        <w:t xml:space="preserve"> no new issues were raised so again this workshop aided in the triangulation of the data leading to confidence that the research had reached data saturation</w:t>
      </w:r>
      <w:r w:rsidR="00A415DA" w:rsidRPr="00A25982">
        <w:rPr>
          <w:rFonts w:ascii="Arial" w:hAnsi="Arial" w:cs="Arial"/>
        </w:rPr>
        <w:t>.</w:t>
      </w:r>
      <w:r w:rsidR="00F71AC8" w:rsidRPr="00A25982">
        <w:rPr>
          <w:rFonts w:ascii="Arial" w:hAnsi="Arial" w:cs="Arial"/>
        </w:rPr>
        <w:t xml:space="preserve"> </w:t>
      </w:r>
      <w:r w:rsidR="00212847" w:rsidRPr="00A25982">
        <w:rPr>
          <w:rFonts w:ascii="Arial" w:hAnsi="Arial" w:cs="Arial"/>
        </w:rPr>
        <w:t xml:space="preserve">The </w:t>
      </w:r>
      <w:r w:rsidR="00194175" w:rsidRPr="00A25982">
        <w:rPr>
          <w:rFonts w:ascii="Arial" w:hAnsi="Arial" w:cs="Arial"/>
        </w:rPr>
        <w:t>organisational types represented</w:t>
      </w:r>
      <w:r w:rsidR="001677BC" w:rsidRPr="00A25982">
        <w:rPr>
          <w:rFonts w:ascii="Arial" w:hAnsi="Arial" w:cs="Arial"/>
        </w:rPr>
        <w:t xml:space="preserve"> at the two roundtable </w:t>
      </w:r>
      <w:r w:rsidR="0031141E" w:rsidRPr="00A25982">
        <w:rPr>
          <w:rFonts w:ascii="Arial" w:hAnsi="Arial" w:cs="Arial"/>
        </w:rPr>
        <w:t xml:space="preserve">discussions are </w:t>
      </w:r>
      <w:r w:rsidR="009C0545" w:rsidRPr="00A25982">
        <w:rPr>
          <w:rFonts w:ascii="Arial" w:hAnsi="Arial" w:cs="Arial"/>
        </w:rPr>
        <w:t xml:space="preserve">also </w:t>
      </w:r>
      <w:r w:rsidR="0031141E" w:rsidRPr="00A25982">
        <w:rPr>
          <w:rFonts w:ascii="Arial" w:hAnsi="Arial" w:cs="Arial"/>
        </w:rPr>
        <w:t xml:space="preserve">given in Table </w:t>
      </w:r>
      <w:r w:rsidR="00872219" w:rsidRPr="00A25982">
        <w:rPr>
          <w:rFonts w:ascii="Arial" w:hAnsi="Arial" w:cs="Arial"/>
        </w:rPr>
        <w:t>2</w:t>
      </w:r>
      <w:r w:rsidR="00A415DA" w:rsidRPr="00A25982">
        <w:rPr>
          <w:rFonts w:ascii="Arial" w:hAnsi="Arial" w:cs="Arial"/>
        </w:rPr>
        <w:t>. A</w:t>
      </w:r>
      <w:r w:rsidR="00212847" w:rsidRPr="00A25982">
        <w:rPr>
          <w:rFonts w:ascii="Arial" w:hAnsi="Arial" w:cs="Arial"/>
        </w:rPr>
        <w:t xml:space="preserve">s </w:t>
      </w:r>
      <w:r w:rsidR="0023397A" w:rsidRPr="00A25982">
        <w:rPr>
          <w:rFonts w:ascii="Arial" w:hAnsi="Arial" w:cs="Arial"/>
        </w:rPr>
        <w:t xml:space="preserve">the </w:t>
      </w:r>
      <w:r w:rsidR="00F020B5" w:rsidRPr="00A25982">
        <w:rPr>
          <w:rFonts w:ascii="Arial" w:hAnsi="Arial" w:cs="Arial"/>
        </w:rPr>
        <w:t>Chat</w:t>
      </w:r>
      <w:r w:rsidR="0023397A" w:rsidRPr="00A25982">
        <w:rPr>
          <w:rFonts w:ascii="Arial" w:hAnsi="Arial" w:cs="Arial"/>
        </w:rPr>
        <w:t>ham House rule was</w:t>
      </w:r>
      <w:r w:rsidR="00212847" w:rsidRPr="00A25982">
        <w:rPr>
          <w:rFonts w:ascii="Arial" w:hAnsi="Arial" w:cs="Arial"/>
        </w:rPr>
        <w:t xml:space="preserve"> agreed</w:t>
      </w:r>
      <w:r w:rsidR="00A415DA" w:rsidRPr="00A25982">
        <w:rPr>
          <w:rFonts w:ascii="Arial" w:hAnsi="Arial" w:cs="Arial"/>
        </w:rPr>
        <w:t xml:space="preserve">, evidence from the workshops </w:t>
      </w:r>
      <w:r w:rsidR="00194175" w:rsidRPr="00A25982">
        <w:rPr>
          <w:rFonts w:ascii="Arial" w:hAnsi="Arial" w:cs="Arial"/>
        </w:rPr>
        <w:t xml:space="preserve">is </w:t>
      </w:r>
      <w:r w:rsidR="00043292" w:rsidRPr="00A25982">
        <w:rPr>
          <w:rFonts w:ascii="Arial" w:hAnsi="Arial" w:cs="Arial"/>
        </w:rPr>
        <w:t xml:space="preserve">not attributed to individuals but </w:t>
      </w:r>
      <w:r w:rsidR="00A415DA" w:rsidRPr="00A25982">
        <w:rPr>
          <w:rFonts w:ascii="Arial" w:hAnsi="Arial" w:cs="Arial"/>
        </w:rPr>
        <w:t>is anonymously referred to by the mnemonics W1 and W2</w:t>
      </w:r>
      <w:r w:rsidR="00043292" w:rsidRPr="00A25982">
        <w:rPr>
          <w:rFonts w:ascii="Arial" w:hAnsi="Arial" w:cs="Arial"/>
        </w:rPr>
        <w:t xml:space="preserve"> for workshops 1 and 2</w:t>
      </w:r>
      <w:r w:rsidR="009C0545" w:rsidRPr="00A25982">
        <w:rPr>
          <w:rFonts w:ascii="Arial" w:hAnsi="Arial" w:cs="Arial"/>
        </w:rPr>
        <w:t>,</w:t>
      </w:r>
      <w:r w:rsidR="00043292" w:rsidRPr="00A25982">
        <w:rPr>
          <w:rFonts w:ascii="Arial" w:hAnsi="Arial" w:cs="Arial"/>
        </w:rPr>
        <w:t xml:space="preserve"> respectively</w:t>
      </w:r>
      <w:r w:rsidR="00F020B5" w:rsidRPr="00A25982">
        <w:rPr>
          <w:rFonts w:ascii="Arial" w:hAnsi="Arial" w:cs="Arial"/>
        </w:rPr>
        <w:t>.</w:t>
      </w:r>
      <w:r w:rsidR="00F71AC8" w:rsidRPr="00A25982">
        <w:rPr>
          <w:rFonts w:ascii="Arial" w:hAnsi="Arial" w:cs="Arial"/>
        </w:rPr>
        <w:t xml:space="preserve"> </w:t>
      </w:r>
    </w:p>
    <w:p w14:paraId="38FB7792" w14:textId="6AD9893E" w:rsidR="007772A6" w:rsidRPr="00A25982" w:rsidRDefault="00F020B5" w:rsidP="00A25982">
      <w:pPr>
        <w:pStyle w:val="NormalWeb"/>
        <w:spacing w:before="0" w:beforeAutospacing="0" w:after="0" w:afterAutospacing="0"/>
        <w:ind w:firstLine="284"/>
        <w:jc w:val="both"/>
        <w:rPr>
          <w:rFonts w:ascii="Arial" w:hAnsi="Arial" w:cs="Arial"/>
        </w:rPr>
      </w:pPr>
      <w:r w:rsidRPr="00A25982">
        <w:rPr>
          <w:rFonts w:ascii="Arial" w:hAnsi="Arial" w:cs="Arial"/>
        </w:rPr>
        <w:lastRenderedPageBreak/>
        <w:t xml:space="preserve">The initial interviews </w:t>
      </w:r>
      <w:r w:rsidR="00723D6A" w:rsidRPr="00A25982">
        <w:rPr>
          <w:rFonts w:ascii="Arial" w:hAnsi="Arial" w:cs="Arial"/>
        </w:rPr>
        <w:t xml:space="preserve">focused on three main categories of questions – each of which was investigated both for the individual organisation and its </w:t>
      </w:r>
      <w:r w:rsidR="00723D6A" w:rsidRPr="00A25982">
        <w:rPr>
          <w:rFonts w:ascii="Arial" w:hAnsi="Arial" w:cs="Arial"/>
          <w:noProof/>
        </w:rPr>
        <w:t>wider</w:t>
      </w:r>
      <w:r w:rsidR="00723D6A" w:rsidRPr="00A25982">
        <w:rPr>
          <w:rFonts w:ascii="Arial" w:hAnsi="Arial" w:cs="Arial"/>
        </w:rPr>
        <w:t xml:space="preserve"> supply chain.</w:t>
      </w:r>
      <w:r w:rsidR="00F71AC8" w:rsidRPr="00A25982">
        <w:rPr>
          <w:rFonts w:ascii="Arial" w:hAnsi="Arial" w:cs="Arial"/>
        </w:rPr>
        <w:t xml:space="preserve"> </w:t>
      </w:r>
      <w:r w:rsidR="00723D6A" w:rsidRPr="00A25982">
        <w:rPr>
          <w:rFonts w:ascii="Arial" w:hAnsi="Arial" w:cs="Arial"/>
        </w:rPr>
        <w:t>First, the nature of the current business model and supply chain relationships was explored.</w:t>
      </w:r>
      <w:r w:rsidR="00F71AC8" w:rsidRPr="00A25982">
        <w:rPr>
          <w:rFonts w:ascii="Arial" w:hAnsi="Arial" w:cs="Arial"/>
        </w:rPr>
        <w:t xml:space="preserve"> </w:t>
      </w:r>
      <w:r w:rsidR="00723D6A" w:rsidRPr="00A25982">
        <w:rPr>
          <w:rFonts w:ascii="Arial" w:hAnsi="Arial" w:cs="Arial"/>
        </w:rPr>
        <w:t>This data allowed</w:t>
      </w:r>
      <w:r w:rsidR="004820AC" w:rsidRPr="00A25982">
        <w:rPr>
          <w:rFonts w:ascii="Arial" w:hAnsi="Arial" w:cs="Arial"/>
        </w:rPr>
        <w:t xml:space="preserve"> </w:t>
      </w:r>
      <w:r w:rsidR="009C0545" w:rsidRPr="00A25982">
        <w:rPr>
          <w:rFonts w:ascii="Arial" w:hAnsi="Arial" w:cs="Arial"/>
        </w:rPr>
        <w:t xml:space="preserve">for </w:t>
      </w:r>
      <w:r w:rsidR="004820AC" w:rsidRPr="00A25982">
        <w:rPr>
          <w:rFonts w:ascii="Arial" w:hAnsi="Arial" w:cs="Arial"/>
        </w:rPr>
        <w:t xml:space="preserve">the analysis of the </w:t>
      </w:r>
      <w:r w:rsidR="004820AC" w:rsidRPr="00A25982">
        <w:rPr>
          <w:rFonts w:ascii="Arial" w:hAnsi="Arial" w:cs="Arial"/>
          <w:noProof/>
        </w:rPr>
        <w:t>extant</w:t>
      </w:r>
      <w:r w:rsidR="004820AC" w:rsidRPr="00A25982">
        <w:rPr>
          <w:rFonts w:ascii="Arial" w:hAnsi="Arial" w:cs="Arial"/>
        </w:rPr>
        <w:t xml:space="preserve"> </w:t>
      </w:r>
      <w:r w:rsidR="00723D6A" w:rsidRPr="00A25982">
        <w:rPr>
          <w:rFonts w:ascii="Arial" w:hAnsi="Arial" w:cs="Arial"/>
        </w:rPr>
        <w:t xml:space="preserve">vulnerabilities and strengths; </w:t>
      </w:r>
      <w:r w:rsidR="00F301DA" w:rsidRPr="00A25982">
        <w:rPr>
          <w:rFonts w:ascii="Arial" w:hAnsi="Arial" w:cs="Arial"/>
        </w:rPr>
        <w:t xml:space="preserve">enabled </w:t>
      </w:r>
      <w:r w:rsidR="007772A6" w:rsidRPr="00A25982">
        <w:rPr>
          <w:rFonts w:ascii="Arial" w:hAnsi="Arial" w:cs="Arial"/>
        </w:rPr>
        <w:t xml:space="preserve">historical analysis of </w:t>
      </w:r>
      <w:proofErr w:type="spellStart"/>
      <w:r w:rsidR="007772A6" w:rsidRPr="00A25982">
        <w:rPr>
          <w:rFonts w:ascii="Arial" w:hAnsi="Arial" w:cs="Arial"/>
        </w:rPr>
        <w:t>SCRes</w:t>
      </w:r>
      <w:proofErr w:type="spellEnd"/>
      <w:r w:rsidR="007772A6" w:rsidRPr="00A25982">
        <w:rPr>
          <w:rFonts w:ascii="Arial" w:hAnsi="Arial" w:cs="Arial"/>
        </w:rPr>
        <w:t xml:space="preserve"> </w:t>
      </w:r>
      <w:r w:rsidR="00F301DA" w:rsidRPr="00A25982">
        <w:rPr>
          <w:rFonts w:ascii="Arial" w:hAnsi="Arial" w:cs="Arial"/>
        </w:rPr>
        <w:t>(</w:t>
      </w:r>
      <w:r w:rsidR="007772A6" w:rsidRPr="00A25982">
        <w:rPr>
          <w:rFonts w:ascii="Arial" w:hAnsi="Arial" w:cs="Arial"/>
        </w:rPr>
        <w:t>as prior system shocks along with system responses were described by respondents</w:t>
      </w:r>
      <w:r w:rsidR="00F301DA" w:rsidRPr="00A25982">
        <w:rPr>
          <w:rFonts w:ascii="Arial" w:hAnsi="Arial" w:cs="Arial"/>
        </w:rPr>
        <w:t>)</w:t>
      </w:r>
      <w:r w:rsidR="007772A6" w:rsidRPr="00A25982">
        <w:rPr>
          <w:rFonts w:ascii="Arial" w:hAnsi="Arial" w:cs="Arial"/>
          <w:noProof/>
        </w:rPr>
        <w:t xml:space="preserve">; </w:t>
      </w:r>
      <w:r w:rsidR="00723D6A" w:rsidRPr="00A25982">
        <w:rPr>
          <w:rFonts w:ascii="Arial" w:hAnsi="Arial" w:cs="Arial"/>
          <w:noProof/>
        </w:rPr>
        <w:t>and</w:t>
      </w:r>
      <w:r w:rsidR="00723D6A" w:rsidRPr="00A25982">
        <w:rPr>
          <w:rFonts w:ascii="Arial" w:hAnsi="Arial" w:cs="Arial"/>
        </w:rPr>
        <w:t xml:space="preserve"> provided an understanding of the contextual advantages and disadvantages of EU membership.</w:t>
      </w:r>
      <w:r w:rsidR="00F71AC8" w:rsidRPr="00A25982">
        <w:rPr>
          <w:rFonts w:ascii="Arial" w:hAnsi="Arial" w:cs="Arial"/>
        </w:rPr>
        <w:t xml:space="preserve"> </w:t>
      </w:r>
      <w:r w:rsidR="00723D6A" w:rsidRPr="00A25982">
        <w:rPr>
          <w:rFonts w:ascii="Arial" w:hAnsi="Arial" w:cs="Arial"/>
        </w:rPr>
        <w:t xml:space="preserve">Second, the </w:t>
      </w:r>
      <w:r w:rsidR="007772A6" w:rsidRPr="00A25982">
        <w:rPr>
          <w:rFonts w:ascii="Arial" w:hAnsi="Arial" w:cs="Arial"/>
        </w:rPr>
        <w:t>processes surrounding</w:t>
      </w:r>
      <w:r w:rsidR="00723D6A" w:rsidRPr="00A25982">
        <w:rPr>
          <w:rFonts w:ascii="Arial" w:hAnsi="Arial" w:cs="Arial"/>
        </w:rPr>
        <w:t xml:space="preserve"> the </w:t>
      </w:r>
      <w:r w:rsidR="007772A6" w:rsidRPr="00A25982">
        <w:rPr>
          <w:rFonts w:ascii="Arial" w:hAnsi="Arial" w:cs="Arial"/>
        </w:rPr>
        <w:t>Brexit vote were</w:t>
      </w:r>
      <w:r w:rsidR="00723D6A" w:rsidRPr="00A25982">
        <w:rPr>
          <w:rFonts w:ascii="Arial" w:hAnsi="Arial" w:cs="Arial"/>
        </w:rPr>
        <w:t xml:space="preserve"> examined to explore </w:t>
      </w:r>
      <w:r w:rsidR="007772A6" w:rsidRPr="00A25982">
        <w:rPr>
          <w:rFonts w:ascii="Arial" w:hAnsi="Arial" w:cs="Arial"/>
        </w:rPr>
        <w:t xml:space="preserve">what information was available prior to the vote as relevant to the organisation/supply chain; and </w:t>
      </w:r>
      <w:r w:rsidR="00960A3A" w:rsidRPr="00A25982">
        <w:rPr>
          <w:rFonts w:ascii="Arial" w:hAnsi="Arial" w:cs="Arial"/>
        </w:rPr>
        <w:t xml:space="preserve">to determine </w:t>
      </w:r>
      <w:r w:rsidR="007772A6" w:rsidRPr="00A25982">
        <w:rPr>
          <w:rFonts w:ascii="Arial" w:hAnsi="Arial" w:cs="Arial"/>
        </w:rPr>
        <w:t>any immediate effects of the vote process itself or the outcome of the vote.</w:t>
      </w:r>
      <w:r w:rsidR="00F71AC8" w:rsidRPr="00A25982">
        <w:rPr>
          <w:rFonts w:ascii="Arial" w:hAnsi="Arial" w:cs="Arial"/>
        </w:rPr>
        <w:t xml:space="preserve"> </w:t>
      </w:r>
      <w:r w:rsidR="007772A6" w:rsidRPr="00A25982">
        <w:rPr>
          <w:rFonts w:ascii="Arial" w:hAnsi="Arial" w:cs="Arial"/>
        </w:rPr>
        <w:t xml:space="preserve">Third, the potential impact of Brexit, i.e. the future point in time when the UK leaves the </w:t>
      </w:r>
      <w:r w:rsidR="00F15249" w:rsidRPr="00A25982">
        <w:rPr>
          <w:rFonts w:ascii="Arial" w:hAnsi="Arial" w:cs="Arial"/>
        </w:rPr>
        <w:t>EU</w:t>
      </w:r>
      <w:r w:rsidR="007772A6" w:rsidRPr="00A25982">
        <w:rPr>
          <w:rFonts w:ascii="Arial" w:hAnsi="Arial" w:cs="Arial"/>
        </w:rPr>
        <w:t>, was discussed with each interviewee.</w:t>
      </w:r>
      <w:r w:rsidR="00F71AC8" w:rsidRPr="00A25982">
        <w:rPr>
          <w:rFonts w:ascii="Arial" w:hAnsi="Arial" w:cs="Arial"/>
        </w:rPr>
        <w:t xml:space="preserve"> </w:t>
      </w:r>
    </w:p>
    <w:p w14:paraId="50BA9869" w14:textId="12EA48E8" w:rsidR="007F1081" w:rsidRPr="00A25982" w:rsidRDefault="007772A6" w:rsidP="00A25982">
      <w:pPr>
        <w:pStyle w:val="NormalWeb"/>
        <w:spacing w:before="0" w:beforeAutospacing="0" w:after="0" w:afterAutospacing="0"/>
        <w:ind w:firstLine="284"/>
        <w:jc w:val="both"/>
        <w:rPr>
          <w:rFonts w:ascii="Arial" w:hAnsi="Arial" w:cs="Arial"/>
        </w:rPr>
      </w:pPr>
      <w:r w:rsidRPr="00A25982">
        <w:rPr>
          <w:rFonts w:ascii="Arial" w:hAnsi="Arial" w:cs="Arial"/>
        </w:rPr>
        <w:t xml:space="preserve">A case study protocol was used to ensure consistent coverage of the interview questions and </w:t>
      </w:r>
      <w:r w:rsidR="009C0545" w:rsidRPr="00A25982">
        <w:rPr>
          <w:rFonts w:ascii="Arial" w:hAnsi="Arial" w:cs="Arial"/>
        </w:rPr>
        <w:t xml:space="preserve">to ensure </w:t>
      </w:r>
      <w:r w:rsidRPr="00A25982">
        <w:rPr>
          <w:rFonts w:ascii="Arial" w:hAnsi="Arial" w:cs="Arial"/>
        </w:rPr>
        <w:t xml:space="preserve">that </w:t>
      </w:r>
      <w:r w:rsidR="002B3A18" w:rsidRPr="00A25982">
        <w:rPr>
          <w:rFonts w:ascii="Arial" w:hAnsi="Arial" w:cs="Arial"/>
        </w:rPr>
        <w:t xml:space="preserve">due attention was given to </w:t>
      </w:r>
      <w:r w:rsidR="004820AC" w:rsidRPr="00A25982">
        <w:rPr>
          <w:rFonts w:ascii="Arial" w:hAnsi="Arial" w:cs="Arial"/>
        </w:rPr>
        <w:t>research ethics procedures</w:t>
      </w:r>
      <w:r w:rsidRPr="00A25982">
        <w:rPr>
          <w:rFonts w:ascii="Arial" w:hAnsi="Arial" w:cs="Arial"/>
        </w:rPr>
        <w:t>.</w:t>
      </w:r>
      <w:r w:rsidR="00F71AC8" w:rsidRPr="00A25982">
        <w:rPr>
          <w:rFonts w:ascii="Arial" w:hAnsi="Arial" w:cs="Arial"/>
        </w:rPr>
        <w:t xml:space="preserve"> </w:t>
      </w:r>
      <w:r w:rsidR="002B3A18" w:rsidRPr="00A25982">
        <w:rPr>
          <w:rFonts w:ascii="Arial" w:hAnsi="Arial" w:cs="Arial"/>
        </w:rPr>
        <w:t>The interviews were semi-structured, allowing the interviewee to provide additional information as appropriate and</w:t>
      </w:r>
      <w:r w:rsidR="009C0545" w:rsidRPr="00A25982">
        <w:rPr>
          <w:rFonts w:ascii="Arial" w:hAnsi="Arial" w:cs="Arial"/>
        </w:rPr>
        <w:t xml:space="preserve"> to enable</w:t>
      </w:r>
      <w:r w:rsidR="002B3A18" w:rsidRPr="00A25982">
        <w:rPr>
          <w:rFonts w:ascii="Arial" w:hAnsi="Arial" w:cs="Arial"/>
        </w:rPr>
        <w:t xml:space="preserve"> freedom of expression.</w:t>
      </w:r>
      <w:r w:rsidR="00F71AC8" w:rsidRPr="00A25982">
        <w:rPr>
          <w:rFonts w:ascii="Arial" w:hAnsi="Arial" w:cs="Arial"/>
        </w:rPr>
        <w:t xml:space="preserve"> </w:t>
      </w:r>
      <w:r w:rsidR="002B3A18" w:rsidRPr="00A25982">
        <w:rPr>
          <w:rFonts w:ascii="Arial" w:hAnsi="Arial" w:cs="Arial"/>
        </w:rPr>
        <w:t xml:space="preserve">For </w:t>
      </w:r>
      <w:proofErr w:type="gramStart"/>
      <w:r w:rsidR="002B3A18" w:rsidRPr="00A25982">
        <w:rPr>
          <w:rFonts w:ascii="Arial" w:hAnsi="Arial" w:cs="Arial"/>
        </w:rPr>
        <w:t>the majority of</w:t>
      </w:r>
      <w:proofErr w:type="gramEnd"/>
      <w:r w:rsidR="002B3A18" w:rsidRPr="00A25982">
        <w:rPr>
          <w:rFonts w:ascii="Arial" w:hAnsi="Arial" w:cs="Arial"/>
        </w:rPr>
        <w:t xml:space="preserve"> the cases, data triangulation was provided either </w:t>
      </w:r>
      <w:r w:rsidR="00435D15" w:rsidRPr="00A25982">
        <w:rPr>
          <w:rFonts w:ascii="Arial" w:hAnsi="Arial" w:cs="Arial"/>
        </w:rPr>
        <w:t xml:space="preserve">by collecting data from </w:t>
      </w:r>
      <w:r w:rsidR="002B3A18" w:rsidRPr="00A25982">
        <w:rPr>
          <w:rFonts w:ascii="Arial" w:hAnsi="Arial" w:cs="Arial"/>
        </w:rPr>
        <w:t>multiple interviewees</w:t>
      </w:r>
      <w:r w:rsidR="00435D15" w:rsidRPr="00A25982">
        <w:rPr>
          <w:rFonts w:ascii="Arial" w:hAnsi="Arial" w:cs="Arial"/>
        </w:rPr>
        <w:t>, observation</w:t>
      </w:r>
      <w:r w:rsidR="003F1209" w:rsidRPr="00A25982">
        <w:rPr>
          <w:rFonts w:ascii="Arial" w:hAnsi="Arial" w:cs="Arial"/>
        </w:rPr>
        <w:t>,</w:t>
      </w:r>
      <w:r w:rsidR="002B3A18" w:rsidRPr="00A25982">
        <w:rPr>
          <w:rFonts w:ascii="Arial" w:hAnsi="Arial" w:cs="Arial"/>
        </w:rPr>
        <w:t xml:space="preserve"> or through additional documentary evidence.</w:t>
      </w:r>
      <w:r w:rsidR="00F71AC8" w:rsidRPr="00A25982">
        <w:rPr>
          <w:rFonts w:ascii="Arial" w:hAnsi="Arial" w:cs="Arial"/>
        </w:rPr>
        <w:t xml:space="preserve"> </w:t>
      </w:r>
      <w:r w:rsidR="002B3A18" w:rsidRPr="00A25982">
        <w:rPr>
          <w:rFonts w:ascii="Arial" w:hAnsi="Arial" w:cs="Arial"/>
        </w:rPr>
        <w:t>To ensure reliability</w:t>
      </w:r>
      <w:r w:rsidR="00872219" w:rsidRPr="00A25982">
        <w:rPr>
          <w:rFonts w:ascii="Arial" w:hAnsi="Arial" w:cs="Arial"/>
        </w:rPr>
        <w:t xml:space="preserve"> and internal validity</w:t>
      </w:r>
      <w:r w:rsidR="002B3A18" w:rsidRPr="00A25982">
        <w:rPr>
          <w:rFonts w:ascii="Arial" w:hAnsi="Arial" w:cs="Arial"/>
        </w:rPr>
        <w:t xml:space="preserve"> of the data, it was </w:t>
      </w:r>
      <w:r w:rsidR="00396E00" w:rsidRPr="00A25982">
        <w:rPr>
          <w:rFonts w:ascii="Arial" w:hAnsi="Arial" w:cs="Arial"/>
        </w:rPr>
        <w:t>all recorded</w:t>
      </w:r>
      <w:r w:rsidR="00872219" w:rsidRPr="00A25982">
        <w:rPr>
          <w:rFonts w:ascii="Arial" w:hAnsi="Arial" w:cs="Arial"/>
        </w:rPr>
        <w:t>,</w:t>
      </w:r>
      <w:r w:rsidR="00396E00" w:rsidRPr="00A25982">
        <w:rPr>
          <w:rFonts w:ascii="Arial" w:hAnsi="Arial" w:cs="Arial"/>
        </w:rPr>
        <w:t xml:space="preserve"> </w:t>
      </w:r>
      <w:r w:rsidR="00872219" w:rsidRPr="00A25982">
        <w:rPr>
          <w:rFonts w:ascii="Arial" w:hAnsi="Arial" w:cs="Arial"/>
        </w:rPr>
        <w:t xml:space="preserve">fully </w:t>
      </w:r>
      <w:r w:rsidR="00396E00" w:rsidRPr="00A25982">
        <w:rPr>
          <w:rFonts w:ascii="Arial" w:hAnsi="Arial" w:cs="Arial"/>
        </w:rPr>
        <w:t>transcribed</w:t>
      </w:r>
      <w:r w:rsidR="00872219" w:rsidRPr="00A25982">
        <w:rPr>
          <w:rFonts w:ascii="Arial" w:hAnsi="Arial" w:cs="Arial"/>
        </w:rPr>
        <w:t xml:space="preserve"> and sent to the interviewees for checking</w:t>
      </w:r>
      <w:r w:rsidR="00396E00" w:rsidRPr="00A25982">
        <w:rPr>
          <w:rFonts w:ascii="Arial" w:hAnsi="Arial" w:cs="Arial"/>
        </w:rPr>
        <w:t>.</w:t>
      </w:r>
      <w:r w:rsidR="00F71AC8" w:rsidRPr="00A25982">
        <w:rPr>
          <w:rFonts w:ascii="Arial" w:hAnsi="Arial" w:cs="Arial"/>
        </w:rPr>
        <w:t xml:space="preserve"> </w:t>
      </w:r>
      <w:r w:rsidR="00396E00" w:rsidRPr="00A25982">
        <w:rPr>
          <w:rFonts w:ascii="Arial" w:hAnsi="Arial" w:cs="Arial"/>
        </w:rPr>
        <w:t xml:space="preserve">Data analysis was carried out by coding the data, using both </w:t>
      </w:r>
      <w:r w:rsidR="00506722" w:rsidRPr="00A25982">
        <w:rPr>
          <w:rFonts w:ascii="Arial" w:hAnsi="Arial" w:cs="Arial"/>
        </w:rPr>
        <w:t xml:space="preserve">open coding and </w:t>
      </w:r>
      <w:r w:rsidR="00396E00" w:rsidRPr="00A25982">
        <w:rPr>
          <w:rFonts w:ascii="Arial" w:hAnsi="Arial" w:cs="Arial"/>
        </w:rPr>
        <w:t xml:space="preserve">constructs </w:t>
      </w:r>
      <w:r w:rsidR="00952798" w:rsidRPr="00A25982">
        <w:rPr>
          <w:rFonts w:ascii="Arial" w:hAnsi="Arial" w:cs="Arial"/>
        </w:rPr>
        <w:t xml:space="preserve">from </w:t>
      </w:r>
      <w:r w:rsidR="00396E00" w:rsidRPr="00A25982">
        <w:rPr>
          <w:rFonts w:ascii="Arial" w:hAnsi="Arial" w:cs="Arial"/>
        </w:rPr>
        <w:t>the dynamic capabilities literature.</w:t>
      </w:r>
      <w:r w:rsidR="002E6493" w:rsidRPr="00A25982">
        <w:rPr>
          <w:rFonts w:ascii="Arial" w:hAnsi="Arial" w:cs="Arial"/>
        </w:rPr>
        <w:t xml:space="preserve"> Findings from the case study analysis were presented at the two roundtable discussions – thus a key objective for these events was to validate and discuss the results of the study</w:t>
      </w:r>
      <w:r w:rsidR="00441648" w:rsidRPr="00A25982">
        <w:rPr>
          <w:rFonts w:ascii="Arial" w:hAnsi="Arial" w:cs="Arial"/>
        </w:rPr>
        <w:t xml:space="preserve"> thus far</w:t>
      </w:r>
      <w:r w:rsidR="002E6493" w:rsidRPr="00A25982">
        <w:rPr>
          <w:rFonts w:ascii="Arial" w:hAnsi="Arial" w:cs="Arial"/>
        </w:rPr>
        <w:t>.</w:t>
      </w:r>
      <w:r w:rsidR="006F227F" w:rsidRPr="00A25982">
        <w:rPr>
          <w:rFonts w:ascii="Arial" w:hAnsi="Arial" w:cs="Arial"/>
        </w:rPr>
        <w:t xml:space="preserve"> </w:t>
      </w:r>
      <w:r w:rsidR="007F1081" w:rsidRPr="00A25982">
        <w:rPr>
          <w:rFonts w:ascii="Arial" w:hAnsi="Arial" w:cs="Arial"/>
        </w:rPr>
        <w:t>In addition, each participant of the roundtable discussion was asked to speak for five minutes on the expected impact of Brexit on their organisation</w:t>
      </w:r>
      <w:r w:rsidR="00194175" w:rsidRPr="00A25982">
        <w:rPr>
          <w:rFonts w:ascii="Arial" w:hAnsi="Arial" w:cs="Arial"/>
        </w:rPr>
        <w:t>/ area of expertise</w:t>
      </w:r>
      <w:r w:rsidR="007F1081" w:rsidRPr="00A25982">
        <w:rPr>
          <w:rFonts w:ascii="Arial" w:hAnsi="Arial" w:cs="Arial"/>
        </w:rPr>
        <w:t>, including how they were planning to grasp opportunities</w:t>
      </w:r>
      <w:r w:rsidR="006F227F" w:rsidRPr="00A25982">
        <w:rPr>
          <w:rFonts w:ascii="Arial" w:hAnsi="Arial" w:cs="Arial"/>
        </w:rPr>
        <w:t xml:space="preserve"> as well as respond to threats.</w:t>
      </w:r>
      <w:r w:rsidR="007F1081" w:rsidRPr="00A25982">
        <w:rPr>
          <w:rFonts w:ascii="Arial" w:hAnsi="Arial" w:cs="Arial"/>
        </w:rPr>
        <w:t xml:space="preserve"> </w:t>
      </w:r>
      <w:proofErr w:type="gramStart"/>
      <w:r w:rsidR="007F1081" w:rsidRPr="00A25982">
        <w:rPr>
          <w:rFonts w:ascii="Arial" w:hAnsi="Arial" w:cs="Arial"/>
        </w:rPr>
        <w:t>Thus</w:t>
      </w:r>
      <w:proofErr w:type="gramEnd"/>
      <w:r w:rsidR="007F1081" w:rsidRPr="00A25982">
        <w:rPr>
          <w:rFonts w:ascii="Arial" w:hAnsi="Arial" w:cs="Arial"/>
        </w:rPr>
        <w:t xml:space="preserve"> the roundtable discussions also enabled the collection of additional data</w:t>
      </w:r>
      <w:r w:rsidR="00441648" w:rsidRPr="00A25982">
        <w:rPr>
          <w:rFonts w:ascii="Arial" w:hAnsi="Arial" w:cs="Arial"/>
        </w:rPr>
        <w:t xml:space="preserve"> to triangulate the findings, </w:t>
      </w:r>
      <w:r w:rsidR="003F1209" w:rsidRPr="00A25982">
        <w:rPr>
          <w:rFonts w:ascii="Arial" w:hAnsi="Arial" w:cs="Arial"/>
        </w:rPr>
        <w:t>al</w:t>
      </w:r>
      <w:r w:rsidR="00441648" w:rsidRPr="00A25982">
        <w:rPr>
          <w:rFonts w:ascii="Arial" w:hAnsi="Arial" w:cs="Arial"/>
        </w:rPr>
        <w:t>though no new issues were raised</w:t>
      </w:r>
      <w:r w:rsidR="007F1081" w:rsidRPr="00A25982">
        <w:rPr>
          <w:rFonts w:ascii="Arial" w:hAnsi="Arial" w:cs="Arial"/>
        </w:rPr>
        <w:t>.</w:t>
      </w:r>
      <w:r w:rsidR="00441648" w:rsidRPr="00A25982">
        <w:rPr>
          <w:rFonts w:ascii="Arial" w:hAnsi="Arial" w:cs="Arial"/>
        </w:rPr>
        <w:t xml:space="preserve">  Overall, we iterated between the data collection and data analysis phases of the research until there was confidence amongst the research team that sufficient data had been collected </w:t>
      </w:r>
      <w:r w:rsidR="00362580" w:rsidRPr="00A25982">
        <w:rPr>
          <w:rFonts w:ascii="Arial" w:hAnsi="Arial" w:cs="Arial"/>
        </w:rPr>
        <w:t>to answer the research question</w:t>
      </w:r>
      <w:r w:rsidR="00441648" w:rsidRPr="00A25982">
        <w:rPr>
          <w:rFonts w:ascii="Arial" w:hAnsi="Arial" w:cs="Arial"/>
        </w:rPr>
        <w:t>.</w:t>
      </w:r>
      <w:r w:rsidR="00F25260" w:rsidRPr="00A25982">
        <w:rPr>
          <w:rFonts w:ascii="Arial" w:hAnsi="Arial" w:cs="Arial"/>
        </w:rPr>
        <w:t xml:space="preserve"> </w:t>
      </w:r>
    </w:p>
    <w:p w14:paraId="4995284B" w14:textId="77777777" w:rsidR="00872219" w:rsidRPr="00A25982" w:rsidRDefault="00872219" w:rsidP="00A25982">
      <w:pPr>
        <w:pStyle w:val="NormalWeb"/>
        <w:spacing w:before="0" w:beforeAutospacing="0" w:after="0" w:afterAutospacing="0"/>
        <w:ind w:firstLine="284"/>
        <w:jc w:val="both"/>
        <w:rPr>
          <w:rFonts w:ascii="Arial" w:hAnsi="Arial" w:cs="Arial"/>
        </w:rPr>
      </w:pPr>
    </w:p>
    <w:p w14:paraId="68F38EC5" w14:textId="6D6BCCA5" w:rsidR="00901D90" w:rsidRPr="00A25982" w:rsidRDefault="00901D90" w:rsidP="00A25982">
      <w:pPr>
        <w:pStyle w:val="NormalWeb"/>
        <w:numPr>
          <w:ilvl w:val="0"/>
          <w:numId w:val="35"/>
        </w:numPr>
        <w:spacing w:before="0" w:beforeAutospacing="0" w:after="0" w:afterAutospacing="0"/>
        <w:ind w:left="284" w:hanging="284"/>
        <w:jc w:val="both"/>
        <w:rPr>
          <w:rFonts w:ascii="Arial" w:hAnsi="Arial" w:cs="Arial"/>
          <w:b/>
        </w:rPr>
      </w:pPr>
      <w:r w:rsidRPr="00A25982">
        <w:rPr>
          <w:rFonts w:ascii="Arial" w:hAnsi="Arial" w:cs="Arial"/>
          <w:b/>
        </w:rPr>
        <w:t>Findings</w:t>
      </w:r>
    </w:p>
    <w:p w14:paraId="62B91C5E" w14:textId="2059BBA0" w:rsidR="00B43B2F" w:rsidRDefault="001B0BBE" w:rsidP="00A25982">
      <w:pPr>
        <w:pStyle w:val="NormalWeb"/>
        <w:spacing w:before="0" w:beforeAutospacing="0" w:after="0" w:afterAutospacing="0"/>
        <w:jc w:val="both"/>
        <w:rPr>
          <w:rFonts w:ascii="Arial" w:hAnsi="Arial" w:cs="Arial"/>
        </w:rPr>
      </w:pPr>
      <w:r w:rsidRPr="00A25982">
        <w:rPr>
          <w:rFonts w:ascii="Arial" w:hAnsi="Arial" w:cs="Arial"/>
        </w:rPr>
        <w:t xml:space="preserve">Our findings suggest that a significant stage in building </w:t>
      </w:r>
      <w:proofErr w:type="spellStart"/>
      <w:r w:rsidRPr="00A25982">
        <w:rPr>
          <w:rFonts w:ascii="Arial" w:hAnsi="Arial" w:cs="Arial"/>
        </w:rPr>
        <w:t>SCRes</w:t>
      </w:r>
      <w:proofErr w:type="spellEnd"/>
      <w:r w:rsidRPr="00A25982">
        <w:rPr>
          <w:rFonts w:ascii="Arial" w:hAnsi="Arial" w:cs="Arial"/>
        </w:rPr>
        <w:t xml:space="preserve"> during constitutional change involves </w:t>
      </w:r>
      <w:r w:rsidRPr="00A25982">
        <w:rPr>
          <w:rFonts w:ascii="Arial" w:hAnsi="Arial" w:cs="Arial"/>
          <w:noProof/>
        </w:rPr>
        <w:t>developing a deep understanding of the potential disruption</w:t>
      </w:r>
      <w:r w:rsidRPr="00A25982">
        <w:rPr>
          <w:rFonts w:ascii="Arial" w:hAnsi="Arial" w:cs="Arial"/>
        </w:rPr>
        <w:t xml:space="preserve"> – the stage labelled </w:t>
      </w:r>
      <w:r w:rsidRPr="00A25982">
        <w:rPr>
          <w:rFonts w:ascii="Arial" w:hAnsi="Arial" w:cs="Arial"/>
          <w:i/>
        </w:rPr>
        <w:t xml:space="preserve">sensing </w:t>
      </w:r>
      <w:r w:rsidRPr="00A25982">
        <w:rPr>
          <w:rFonts w:ascii="Arial" w:hAnsi="Arial" w:cs="Arial"/>
        </w:rPr>
        <w:t>using the dynamic capabilities theoretical lens adopted in this paper.</w:t>
      </w:r>
      <w:r w:rsidR="00F71AC8" w:rsidRPr="00A25982">
        <w:rPr>
          <w:rFonts w:ascii="Arial" w:hAnsi="Arial" w:cs="Arial"/>
        </w:rPr>
        <w:t xml:space="preserve"> </w:t>
      </w:r>
      <w:proofErr w:type="gramStart"/>
      <w:r w:rsidRPr="00A25982">
        <w:rPr>
          <w:rFonts w:ascii="Arial" w:hAnsi="Arial" w:cs="Arial"/>
        </w:rPr>
        <w:t>Thus</w:t>
      </w:r>
      <w:proofErr w:type="gramEnd"/>
      <w:r w:rsidRPr="00A25982">
        <w:rPr>
          <w:rFonts w:ascii="Arial" w:hAnsi="Arial" w:cs="Arial"/>
        </w:rPr>
        <w:t xml:space="preserve"> this section commences below </w:t>
      </w:r>
      <w:r w:rsidR="00B43B2F" w:rsidRPr="00A25982">
        <w:rPr>
          <w:rFonts w:ascii="Arial" w:hAnsi="Arial" w:cs="Arial"/>
        </w:rPr>
        <w:t xml:space="preserve">with a discussion of </w:t>
      </w:r>
      <w:r w:rsidR="00292E1A" w:rsidRPr="00A25982">
        <w:rPr>
          <w:rFonts w:ascii="Arial" w:hAnsi="Arial" w:cs="Arial"/>
        </w:rPr>
        <w:t xml:space="preserve">how organisations are </w:t>
      </w:r>
      <w:r w:rsidR="00292E1A" w:rsidRPr="00A25982">
        <w:rPr>
          <w:rFonts w:ascii="Arial" w:hAnsi="Arial" w:cs="Arial"/>
          <w:i/>
        </w:rPr>
        <w:t>sensing</w:t>
      </w:r>
      <w:r w:rsidR="00292E1A" w:rsidRPr="00A25982">
        <w:rPr>
          <w:rFonts w:ascii="Arial" w:hAnsi="Arial" w:cs="Arial"/>
        </w:rPr>
        <w:t xml:space="preserve"> </w:t>
      </w:r>
      <w:r w:rsidR="00B43B2F" w:rsidRPr="00A25982">
        <w:rPr>
          <w:rFonts w:ascii="Arial" w:hAnsi="Arial" w:cs="Arial"/>
        </w:rPr>
        <w:t xml:space="preserve">the </w:t>
      </w:r>
      <w:r w:rsidR="00854115" w:rsidRPr="00A25982">
        <w:rPr>
          <w:rFonts w:ascii="Arial" w:hAnsi="Arial" w:cs="Arial"/>
        </w:rPr>
        <w:t>challenges</w:t>
      </w:r>
      <w:r w:rsidR="00E63BE0" w:rsidRPr="00A25982">
        <w:rPr>
          <w:rFonts w:ascii="Arial" w:hAnsi="Arial" w:cs="Arial"/>
        </w:rPr>
        <w:t>/threats</w:t>
      </w:r>
      <w:r w:rsidR="00854115" w:rsidRPr="00A25982">
        <w:rPr>
          <w:rFonts w:ascii="Arial" w:hAnsi="Arial" w:cs="Arial"/>
        </w:rPr>
        <w:t xml:space="preserve"> and opportunities</w:t>
      </w:r>
      <w:r w:rsidR="00B43B2F" w:rsidRPr="00A25982">
        <w:rPr>
          <w:rFonts w:ascii="Arial" w:hAnsi="Arial" w:cs="Arial"/>
        </w:rPr>
        <w:t xml:space="preserve"> </w:t>
      </w:r>
      <w:r w:rsidR="00177694" w:rsidRPr="00A25982">
        <w:rPr>
          <w:rFonts w:ascii="Arial" w:hAnsi="Arial" w:cs="Arial"/>
        </w:rPr>
        <w:t>surrounding Brexit</w:t>
      </w:r>
      <w:r w:rsidR="00893B76" w:rsidRPr="00A25982">
        <w:rPr>
          <w:rFonts w:ascii="Arial" w:hAnsi="Arial" w:cs="Arial"/>
        </w:rPr>
        <w:t xml:space="preserve"> in sections 4.1 and 4.2</w:t>
      </w:r>
      <w:r w:rsidR="00824209" w:rsidRPr="00A25982">
        <w:rPr>
          <w:rFonts w:ascii="Arial" w:hAnsi="Arial" w:cs="Arial"/>
        </w:rPr>
        <w:t>,</w:t>
      </w:r>
      <w:r w:rsidR="00893B76" w:rsidRPr="00A25982">
        <w:rPr>
          <w:rFonts w:ascii="Arial" w:hAnsi="Arial" w:cs="Arial"/>
        </w:rPr>
        <w:t xml:space="preserve"> respectively</w:t>
      </w:r>
      <w:r w:rsidRPr="00A25982">
        <w:rPr>
          <w:rFonts w:ascii="Arial" w:hAnsi="Arial" w:cs="Arial"/>
        </w:rPr>
        <w:t>.</w:t>
      </w:r>
      <w:r w:rsidR="00F71AC8" w:rsidRPr="00A25982">
        <w:rPr>
          <w:rFonts w:ascii="Arial" w:hAnsi="Arial" w:cs="Arial"/>
        </w:rPr>
        <w:t xml:space="preserve"> </w:t>
      </w:r>
      <w:r w:rsidRPr="00A25982">
        <w:rPr>
          <w:rFonts w:ascii="Arial" w:hAnsi="Arial" w:cs="Arial"/>
        </w:rPr>
        <w:t>This is</w:t>
      </w:r>
      <w:r w:rsidR="000A608D" w:rsidRPr="00A25982">
        <w:rPr>
          <w:rFonts w:ascii="Arial" w:hAnsi="Arial" w:cs="Arial"/>
        </w:rPr>
        <w:t xml:space="preserve"> </w:t>
      </w:r>
      <w:r w:rsidR="00893B76" w:rsidRPr="00A25982">
        <w:rPr>
          <w:rFonts w:ascii="Arial" w:hAnsi="Arial" w:cs="Arial"/>
        </w:rPr>
        <w:t xml:space="preserve">followed by a description of how some of the organisations studied </w:t>
      </w:r>
      <w:r w:rsidR="000A608D" w:rsidRPr="00A25982">
        <w:rPr>
          <w:rFonts w:ascii="Arial" w:hAnsi="Arial" w:cs="Arial"/>
        </w:rPr>
        <w:t>are ‘</w:t>
      </w:r>
      <w:r w:rsidR="000A608D" w:rsidRPr="00A25982">
        <w:rPr>
          <w:rFonts w:ascii="Arial" w:hAnsi="Arial" w:cs="Arial"/>
          <w:i/>
        </w:rPr>
        <w:t>seizing</w:t>
      </w:r>
      <w:r w:rsidR="000A608D" w:rsidRPr="00A25982">
        <w:rPr>
          <w:rFonts w:ascii="Arial" w:hAnsi="Arial" w:cs="Arial"/>
        </w:rPr>
        <w:t xml:space="preserve">’ opportunities </w:t>
      </w:r>
      <w:r w:rsidR="00893B76" w:rsidRPr="00A25982">
        <w:rPr>
          <w:rFonts w:ascii="Arial" w:hAnsi="Arial" w:cs="Arial"/>
        </w:rPr>
        <w:t xml:space="preserve">and </w:t>
      </w:r>
      <w:r w:rsidR="00506722" w:rsidRPr="00A25982">
        <w:rPr>
          <w:rFonts w:ascii="Arial" w:hAnsi="Arial" w:cs="Arial"/>
        </w:rPr>
        <w:t xml:space="preserve">beginning the process of </w:t>
      </w:r>
      <w:r w:rsidR="000A608D" w:rsidRPr="00A25982">
        <w:rPr>
          <w:rFonts w:ascii="Arial" w:hAnsi="Arial" w:cs="Arial"/>
        </w:rPr>
        <w:t>‘</w:t>
      </w:r>
      <w:r w:rsidR="000A608D" w:rsidRPr="00A25982">
        <w:rPr>
          <w:rFonts w:ascii="Arial" w:hAnsi="Arial" w:cs="Arial"/>
          <w:i/>
        </w:rPr>
        <w:t>transforming</w:t>
      </w:r>
      <w:r w:rsidR="000A608D" w:rsidRPr="00A25982">
        <w:rPr>
          <w:rFonts w:ascii="Arial" w:hAnsi="Arial" w:cs="Arial"/>
        </w:rPr>
        <w:t>’</w:t>
      </w:r>
      <w:r w:rsidRPr="00A25982">
        <w:rPr>
          <w:rFonts w:ascii="Arial" w:hAnsi="Arial" w:cs="Arial"/>
        </w:rPr>
        <w:t xml:space="preserve"> in </w:t>
      </w:r>
      <w:r w:rsidR="00DC438A" w:rsidRPr="00A25982">
        <w:rPr>
          <w:rFonts w:ascii="Arial" w:hAnsi="Arial" w:cs="Arial"/>
        </w:rPr>
        <w:t>Se</w:t>
      </w:r>
      <w:r w:rsidRPr="00A25982">
        <w:rPr>
          <w:rFonts w:ascii="Arial" w:hAnsi="Arial" w:cs="Arial"/>
        </w:rPr>
        <w:t>ction 4.3</w:t>
      </w:r>
      <w:r w:rsidR="00B43B2F" w:rsidRPr="00A25982">
        <w:rPr>
          <w:rFonts w:ascii="Arial" w:hAnsi="Arial" w:cs="Arial"/>
        </w:rPr>
        <w:t>.</w:t>
      </w:r>
      <w:r w:rsidR="00F71AC8" w:rsidRPr="00A25982">
        <w:rPr>
          <w:rFonts w:ascii="Arial" w:hAnsi="Arial" w:cs="Arial"/>
        </w:rPr>
        <w:t xml:space="preserve"> </w:t>
      </w:r>
      <w:r w:rsidRPr="00A25982">
        <w:rPr>
          <w:rFonts w:ascii="Arial" w:hAnsi="Arial" w:cs="Arial"/>
        </w:rPr>
        <w:t>All three stages together are</w:t>
      </w:r>
      <w:r w:rsidR="00824209" w:rsidRPr="00A25982">
        <w:rPr>
          <w:rFonts w:ascii="Arial" w:hAnsi="Arial" w:cs="Arial"/>
        </w:rPr>
        <w:t xml:space="preserve"> argued to be</w:t>
      </w:r>
      <w:r w:rsidRPr="00A25982">
        <w:rPr>
          <w:rFonts w:ascii="Arial" w:hAnsi="Arial" w:cs="Arial"/>
        </w:rPr>
        <w:t xml:space="preserve"> </w:t>
      </w:r>
      <w:r w:rsidRPr="00A25982">
        <w:rPr>
          <w:rFonts w:ascii="Arial" w:hAnsi="Arial" w:cs="Arial"/>
          <w:noProof/>
        </w:rPr>
        <w:t>important</w:t>
      </w:r>
      <w:r w:rsidRPr="00A25982">
        <w:rPr>
          <w:rFonts w:ascii="Arial" w:hAnsi="Arial" w:cs="Arial"/>
        </w:rPr>
        <w:t xml:space="preserve"> parts of the process of building </w:t>
      </w:r>
      <w:proofErr w:type="spellStart"/>
      <w:r w:rsidRPr="00A25982">
        <w:rPr>
          <w:rFonts w:ascii="Arial" w:hAnsi="Arial" w:cs="Arial"/>
        </w:rPr>
        <w:t>SCRes</w:t>
      </w:r>
      <w:proofErr w:type="spellEnd"/>
      <w:r w:rsidRPr="00A25982">
        <w:rPr>
          <w:rFonts w:ascii="Arial" w:hAnsi="Arial" w:cs="Arial"/>
        </w:rPr>
        <w:t>.</w:t>
      </w:r>
      <w:r w:rsidR="00893B76" w:rsidRPr="00A25982">
        <w:rPr>
          <w:rFonts w:ascii="Arial" w:hAnsi="Arial" w:cs="Arial"/>
        </w:rPr>
        <w:t xml:space="preserve">  </w:t>
      </w:r>
      <w:r w:rsidR="00824209" w:rsidRPr="00A25982">
        <w:rPr>
          <w:rFonts w:ascii="Arial" w:hAnsi="Arial" w:cs="Arial"/>
        </w:rPr>
        <w:t>Yet</w:t>
      </w:r>
      <w:r w:rsidR="00893B76" w:rsidRPr="00A25982">
        <w:rPr>
          <w:rFonts w:ascii="Arial" w:hAnsi="Arial" w:cs="Arial"/>
        </w:rPr>
        <w:t xml:space="preserve"> some firms have claimed to be reliant on extant </w:t>
      </w:r>
      <w:proofErr w:type="spellStart"/>
      <w:r w:rsidR="00893B76" w:rsidRPr="00A25982">
        <w:rPr>
          <w:rFonts w:ascii="Arial" w:hAnsi="Arial" w:cs="Arial"/>
        </w:rPr>
        <w:t>SCRes</w:t>
      </w:r>
      <w:proofErr w:type="spellEnd"/>
      <w:r w:rsidR="00893B76" w:rsidRPr="00A25982">
        <w:rPr>
          <w:rFonts w:ascii="Arial" w:hAnsi="Arial" w:cs="Arial"/>
        </w:rPr>
        <w:t>, rather than needing to seize opportunities or transform their bus</w:t>
      </w:r>
      <w:r w:rsidR="006F227F" w:rsidRPr="00A25982">
        <w:rPr>
          <w:rFonts w:ascii="Arial" w:hAnsi="Arial" w:cs="Arial"/>
        </w:rPr>
        <w:t xml:space="preserve">inesses </w:t>
      </w:r>
      <w:proofErr w:type="gramStart"/>
      <w:r w:rsidR="006F227F" w:rsidRPr="00A25982">
        <w:rPr>
          <w:rFonts w:ascii="Arial" w:hAnsi="Arial" w:cs="Arial"/>
        </w:rPr>
        <w:t>at this point in time</w:t>
      </w:r>
      <w:proofErr w:type="gramEnd"/>
      <w:r w:rsidR="006F227F" w:rsidRPr="00A25982">
        <w:rPr>
          <w:rFonts w:ascii="Arial" w:hAnsi="Arial" w:cs="Arial"/>
        </w:rPr>
        <w:t xml:space="preserve">. </w:t>
      </w:r>
      <w:r w:rsidR="00893B76" w:rsidRPr="00A25982">
        <w:rPr>
          <w:rFonts w:ascii="Arial" w:hAnsi="Arial" w:cs="Arial"/>
        </w:rPr>
        <w:t xml:space="preserve">Table </w:t>
      </w:r>
      <w:r w:rsidR="00963AA7" w:rsidRPr="00A25982">
        <w:rPr>
          <w:rFonts w:ascii="Arial" w:hAnsi="Arial" w:cs="Arial"/>
        </w:rPr>
        <w:t xml:space="preserve">3 </w:t>
      </w:r>
      <w:r w:rsidR="00893B76" w:rsidRPr="00A25982">
        <w:rPr>
          <w:rFonts w:ascii="Arial" w:hAnsi="Arial" w:cs="Arial"/>
        </w:rPr>
        <w:t xml:space="preserve">summarises </w:t>
      </w:r>
      <w:r w:rsidR="00893B76" w:rsidRPr="00A25982">
        <w:rPr>
          <w:rFonts w:ascii="Arial" w:hAnsi="Arial" w:cs="Arial"/>
          <w:noProof/>
        </w:rPr>
        <w:t>key</w:t>
      </w:r>
      <w:r w:rsidR="00893B76" w:rsidRPr="00A25982">
        <w:rPr>
          <w:rFonts w:ascii="Arial" w:hAnsi="Arial" w:cs="Arial"/>
        </w:rPr>
        <w:t xml:space="preserve"> constructs from the empirical evidence on which the discussion in the three subsections below is built.</w:t>
      </w:r>
    </w:p>
    <w:p w14:paraId="2D7FA91D" w14:textId="012E2193" w:rsidR="006D4A11" w:rsidRDefault="006D4A11" w:rsidP="00A25982">
      <w:pPr>
        <w:pStyle w:val="NormalWeb"/>
        <w:spacing w:before="0" w:beforeAutospacing="0" w:after="0" w:afterAutospacing="0"/>
        <w:jc w:val="both"/>
        <w:rPr>
          <w:rFonts w:ascii="Arial" w:hAnsi="Arial" w:cs="Arial"/>
        </w:rPr>
      </w:pPr>
    </w:p>
    <w:p w14:paraId="18A27F23" w14:textId="77777777" w:rsidR="006D4A11" w:rsidRDefault="006D4A11" w:rsidP="00A25982">
      <w:pPr>
        <w:pStyle w:val="NormalWeb"/>
        <w:spacing w:before="0" w:beforeAutospacing="0" w:after="0" w:afterAutospacing="0"/>
        <w:jc w:val="both"/>
        <w:rPr>
          <w:rFonts w:ascii="Arial" w:hAnsi="Arial" w:cs="Arial"/>
        </w:rPr>
        <w:sectPr w:rsidR="006D4A11" w:rsidSect="00880198">
          <w:pgSz w:w="11906" w:h="16838"/>
          <w:pgMar w:top="1701" w:right="1701" w:bottom="1134" w:left="1701" w:header="709" w:footer="709" w:gutter="0"/>
          <w:cols w:space="708"/>
          <w:docGrid w:linePitch="360"/>
        </w:sectPr>
      </w:pPr>
    </w:p>
    <w:p w14:paraId="57D1E8C1" w14:textId="77777777" w:rsidR="006D4A11" w:rsidRPr="008C302D" w:rsidRDefault="006D4A11" w:rsidP="006D4A11">
      <w:pPr>
        <w:pStyle w:val="NormalWeb"/>
        <w:spacing w:before="0" w:beforeAutospacing="0" w:after="0" w:afterAutospacing="0"/>
        <w:jc w:val="center"/>
        <w:rPr>
          <w:rFonts w:ascii="Arial" w:hAnsi="Arial" w:cs="Arial"/>
        </w:rPr>
      </w:pPr>
      <w:r w:rsidRPr="008C302D">
        <w:rPr>
          <w:rFonts w:ascii="Arial" w:hAnsi="Arial" w:cs="Arial"/>
        </w:rPr>
        <w:lastRenderedPageBreak/>
        <w:t>Table 3: Summary of Key Empirical Evidence</w:t>
      </w:r>
    </w:p>
    <w:p w14:paraId="2ADB2688" w14:textId="77777777" w:rsidR="006D4A11" w:rsidRPr="0003666A" w:rsidRDefault="006D4A11" w:rsidP="006D4A11">
      <w:pPr>
        <w:ind w:left="284" w:hanging="284"/>
        <w:jc w:val="both"/>
        <w:rPr>
          <w:sz w:val="16"/>
          <w:szCs w:val="16"/>
        </w:rPr>
      </w:pPr>
    </w:p>
    <w:tbl>
      <w:tblPr>
        <w:tblStyle w:val="TableGrid"/>
        <w:tblW w:w="14742" w:type="dxa"/>
        <w:tblInd w:w="-5" w:type="dxa"/>
        <w:tblLayout w:type="fixed"/>
        <w:tblLook w:val="04A0" w:firstRow="1" w:lastRow="0" w:firstColumn="1" w:lastColumn="0" w:noHBand="0" w:noVBand="1"/>
      </w:tblPr>
      <w:tblGrid>
        <w:gridCol w:w="2127"/>
        <w:gridCol w:w="11056"/>
        <w:gridCol w:w="1559"/>
      </w:tblGrid>
      <w:tr w:rsidR="006D4A11" w14:paraId="565BCFEE" w14:textId="77777777" w:rsidTr="006D4A11">
        <w:tc>
          <w:tcPr>
            <w:tcW w:w="14742" w:type="dxa"/>
            <w:gridSpan w:val="3"/>
          </w:tcPr>
          <w:p w14:paraId="3461F0E5" w14:textId="77777777" w:rsidR="006D4A11" w:rsidRDefault="006D4A11" w:rsidP="006D4A11">
            <w:pPr>
              <w:pStyle w:val="NormalWeb"/>
              <w:spacing w:before="0" w:beforeAutospacing="0" w:after="0" w:afterAutospacing="0"/>
              <w:jc w:val="center"/>
              <w:rPr>
                <w:i/>
              </w:rPr>
            </w:pPr>
          </w:p>
          <w:p w14:paraId="2C635197" w14:textId="77777777" w:rsidR="006D4A11" w:rsidRPr="0002456E" w:rsidRDefault="006D4A11" w:rsidP="006D4A11">
            <w:pPr>
              <w:pStyle w:val="NormalWeb"/>
              <w:numPr>
                <w:ilvl w:val="0"/>
                <w:numId w:val="37"/>
              </w:numPr>
              <w:spacing w:before="0" w:beforeAutospacing="0" w:after="0" w:afterAutospacing="0"/>
              <w:jc w:val="center"/>
              <w:rPr>
                <w:b/>
                <w:i/>
              </w:rPr>
            </w:pPr>
            <w:r w:rsidRPr="0002456E">
              <w:rPr>
                <w:b/>
                <w:i/>
              </w:rPr>
              <w:t>Evidence of Threats/ Challenges Surrounding Brexit</w:t>
            </w:r>
          </w:p>
          <w:p w14:paraId="793DE3DF" w14:textId="77777777" w:rsidR="006D4A11" w:rsidRDefault="006D4A11" w:rsidP="006D4A11">
            <w:pPr>
              <w:jc w:val="both"/>
              <w:rPr>
                <w:b/>
                <w:sz w:val="20"/>
                <w:szCs w:val="20"/>
              </w:rPr>
            </w:pPr>
          </w:p>
        </w:tc>
      </w:tr>
      <w:tr w:rsidR="006D4A11" w14:paraId="55BB28C4" w14:textId="77777777" w:rsidTr="006D4A11">
        <w:tc>
          <w:tcPr>
            <w:tcW w:w="2127" w:type="dxa"/>
          </w:tcPr>
          <w:p w14:paraId="1B44C949" w14:textId="77777777" w:rsidR="006D4A11" w:rsidRPr="00DE6E80" w:rsidRDefault="006D4A11" w:rsidP="006D4A11">
            <w:pPr>
              <w:jc w:val="both"/>
              <w:rPr>
                <w:b/>
                <w:sz w:val="20"/>
                <w:szCs w:val="20"/>
              </w:rPr>
            </w:pPr>
            <w:r w:rsidRPr="00DE6E80">
              <w:rPr>
                <w:b/>
                <w:sz w:val="20"/>
                <w:szCs w:val="20"/>
              </w:rPr>
              <w:t>Threat/ Challenge</w:t>
            </w:r>
          </w:p>
        </w:tc>
        <w:tc>
          <w:tcPr>
            <w:tcW w:w="11056" w:type="dxa"/>
          </w:tcPr>
          <w:p w14:paraId="38EAB79B" w14:textId="77777777" w:rsidR="006D4A11" w:rsidRPr="00DE6E80" w:rsidRDefault="006D4A11" w:rsidP="006D4A11">
            <w:pPr>
              <w:jc w:val="both"/>
              <w:rPr>
                <w:b/>
                <w:sz w:val="20"/>
                <w:szCs w:val="20"/>
              </w:rPr>
            </w:pPr>
            <w:r w:rsidRPr="00DE6E80">
              <w:rPr>
                <w:b/>
                <w:sz w:val="20"/>
                <w:szCs w:val="20"/>
              </w:rPr>
              <w:t>Sample Quote</w:t>
            </w:r>
            <w:r>
              <w:rPr>
                <w:b/>
                <w:sz w:val="20"/>
                <w:szCs w:val="20"/>
              </w:rPr>
              <w:t>s from the Evidence</w:t>
            </w:r>
          </w:p>
        </w:tc>
        <w:tc>
          <w:tcPr>
            <w:tcW w:w="1559" w:type="dxa"/>
          </w:tcPr>
          <w:p w14:paraId="1F929718" w14:textId="77777777" w:rsidR="006D4A11" w:rsidRPr="00DE6E80" w:rsidRDefault="006D4A11" w:rsidP="006D4A11">
            <w:pPr>
              <w:jc w:val="both"/>
              <w:rPr>
                <w:b/>
                <w:sz w:val="20"/>
                <w:szCs w:val="20"/>
              </w:rPr>
            </w:pPr>
            <w:r>
              <w:rPr>
                <w:b/>
                <w:sz w:val="20"/>
                <w:szCs w:val="20"/>
              </w:rPr>
              <w:t>Sources</w:t>
            </w:r>
          </w:p>
        </w:tc>
      </w:tr>
      <w:tr w:rsidR="006D4A11" w:rsidRPr="00D36C8E" w14:paraId="68A03F5F" w14:textId="77777777" w:rsidTr="006D4A11">
        <w:tc>
          <w:tcPr>
            <w:tcW w:w="2127" w:type="dxa"/>
          </w:tcPr>
          <w:p w14:paraId="0817D820" w14:textId="77777777" w:rsidR="006D4A11" w:rsidRPr="0045182A" w:rsidRDefault="006D4A11" w:rsidP="006D4A11">
            <w:pPr>
              <w:rPr>
                <w:sz w:val="20"/>
                <w:szCs w:val="20"/>
              </w:rPr>
            </w:pPr>
            <w:r w:rsidRPr="00123695">
              <w:rPr>
                <w:b/>
                <w:sz w:val="20"/>
                <w:szCs w:val="20"/>
              </w:rPr>
              <w:t>Worse replacement of the CAP (Common Agricultural Policy)</w:t>
            </w:r>
            <w:r w:rsidRPr="0045182A">
              <w:rPr>
                <w:sz w:val="20"/>
                <w:szCs w:val="20"/>
              </w:rPr>
              <w:t xml:space="preserve"> </w:t>
            </w:r>
            <w:r>
              <w:rPr>
                <w:sz w:val="20"/>
                <w:szCs w:val="20"/>
              </w:rPr>
              <w:t>e.g. in terms of regulation and farm subsidy</w:t>
            </w:r>
          </w:p>
        </w:tc>
        <w:tc>
          <w:tcPr>
            <w:tcW w:w="11056" w:type="dxa"/>
            <w:vAlign w:val="bottom"/>
          </w:tcPr>
          <w:p w14:paraId="15CAECD7" w14:textId="77777777" w:rsidR="006D4A11" w:rsidRDefault="006D4A11" w:rsidP="006D4A11">
            <w:pPr>
              <w:rPr>
                <w:i/>
                <w:sz w:val="20"/>
                <w:szCs w:val="20"/>
              </w:rPr>
            </w:pPr>
            <w:r w:rsidRPr="0045182A">
              <w:rPr>
                <w:i/>
                <w:sz w:val="20"/>
                <w:szCs w:val="20"/>
              </w:rPr>
              <w:t>“Then in terms of the subsidy, the likelihood is that in the next 2 to 3 years it’ll dwindle or even disappear" F2</w:t>
            </w:r>
          </w:p>
          <w:p w14:paraId="24ECA3D6" w14:textId="77777777" w:rsidR="006D4A11" w:rsidRDefault="006D4A11" w:rsidP="006D4A11">
            <w:pPr>
              <w:rPr>
                <w:i/>
                <w:sz w:val="20"/>
                <w:szCs w:val="20"/>
              </w:rPr>
            </w:pPr>
            <w:r>
              <w:rPr>
                <w:i/>
                <w:sz w:val="20"/>
                <w:szCs w:val="20"/>
              </w:rPr>
              <w:t>“…</w:t>
            </w:r>
            <w:r w:rsidRPr="008C4FB7">
              <w:rPr>
                <w:i/>
                <w:sz w:val="20"/>
                <w:szCs w:val="20"/>
              </w:rPr>
              <w:t>a lot of the regulations for food safety and quality could be compromised if it means that the UK doesn’t create its own standards that are in line currently with Europe. "</w:t>
            </w:r>
            <w:r>
              <w:rPr>
                <w:i/>
                <w:sz w:val="20"/>
                <w:szCs w:val="20"/>
              </w:rPr>
              <w:t xml:space="preserve"> R3-I2</w:t>
            </w:r>
          </w:p>
          <w:p w14:paraId="25561745" w14:textId="77777777" w:rsidR="006D4A11" w:rsidRDefault="006D4A11" w:rsidP="006D4A11">
            <w:pPr>
              <w:rPr>
                <w:sz w:val="20"/>
                <w:szCs w:val="20"/>
              </w:rPr>
            </w:pPr>
            <w:r w:rsidRPr="008C4FB7">
              <w:rPr>
                <w:i/>
                <w:sz w:val="20"/>
                <w:szCs w:val="20"/>
              </w:rPr>
              <w:t xml:space="preserve">"we do need to head off a danger, which is that we go and ditch some of our environmental credentials under the pressure to go and do deals and get trade going and all the rest of it. </w:t>
            </w:r>
            <w:proofErr w:type="gramStart"/>
            <w:r w:rsidRPr="008C4FB7">
              <w:rPr>
                <w:i/>
                <w:sz w:val="20"/>
                <w:szCs w:val="20"/>
              </w:rPr>
              <w:t>So</w:t>
            </w:r>
            <w:proofErr w:type="gramEnd"/>
            <w:r w:rsidRPr="008C4FB7">
              <w:rPr>
                <w:i/>
                <w:sz w:val="20"/>
                <w:szCs w:val="20"/>
              </w:rPr>
              <w:t xml:space="preserve"> we need to head that off. "</w:t>
            </w:r>
            <w:r>
              <w:rPr>
                <w:i/>
                <w:sz w:val="20"/>
                <w:szCs w:val="20"/>
              </w:rPr>
              <w:t>W1</w:t>
            </w:r>
          </w:p>
        </w:tc>
        <w:tc>
          <w:tcPr>
            <w:tcW w:w="1559" w:type="dxa"/>
          </w:tcPr>
          <w:p w14:paraId="72C77354" w14:textId="77777777" w:rsidR="006D4A11" w:rsidRPr="004F2C8A" w:rsidRDefault="006D4A11" w:rsidP="006D4A11">
            <w:pPr>
              <w:rPr>
                <w:sz w:val="20"/>
                <w:szCs w:val="20"/>
                <w:lang w:val="it-IT"/>
              </w:rPr>
            </w:pPr>
            <w:r w:rsidRPr="004F2C8A">
              <w:rPr>
                <w:sz w:val="20"/>
                <w:szCs w:val="20"/>
                <w:lang w:val="it-IT"/>
              </w:rPr>
              <w:t>F1-I1, F1-I2, F2, P1, P2-I1, R3-I1, R3-I2, R4, NGO1, NGO2, NGO3, W1</w:t>
            </w:r>
          </w:p>
        </w:tc>
      </w:tr>
      <w:tr w:rsidR="006D4A11" w:rsidRPr="00D36C8E" w14:paraId="6D328DD9" w14:textId="77777777" w:rsidTr="006D4A11">
        <w:tc>
          <w:tcPr>
            <w:tcW w:w="2127" w:type="dxa"/>
          </w:tcPr>
          <w:p w14:paraId="66AC020A" w14:textId="77777777" w:rsidR="006D4A11" w:rsidRPr="0045182A" w:rsidRDefault="006D4A11" w:rsidP="006D4A11">
            <w:pPr>
              <w:rPr>
                <w:sz w:val="20"/>
                <w:szCs w:val="20"/>
              </w:rPr>
            </w:pPr>
            <w:r w:rsidRPr="000A2043">
              <w:rPr>
                <w:b/>
                <w:sz w:val="20"/>
                <w:szCs w:val="20"/>
              </w:rPr>
              <w:t>Uncertainty</w:t>
            </w:r>
            <w:r w:rsidRPr="0045182A">
              <w:rPr>
                <w:sz w:val="20"/>
                <w:szCs w:val="20"/>
              </w:rPr>
              <w:t xml:space="preserve"> leading, for example, to a lack of investment confidence</w:t>
            </w:r>
          </w:p>
        </w:tc>
        <w:tc>
          <w:tcPr>
            <w:tcW w:w="11056" w:type="dxa"/>
          </w:tcPr>
          <w:p w14:paraId="6FD7345D" w14:textId="77777777" w:rsidR="006D4A11" w:rsidRDefault="006D4A11" w:rsidP="006D4A11">
            <w:pPr>
              <w:jc w:val="both"/>
              <w:rPr>
                <w:i/>
                <w:sz w:val="20"/>
                <w:szCs w:val="20"/>
              </w:rPr>
            </w:pPr>
            <w:r w:rsidRPr="00652400">
              <w:rPr>
                <w:i/>
                <w:sz w:val="20"/>
                <w:szCs w:val="20"/>
              </w:rPr>
              <w:t xml:space="preserve">“I think that the uncertainty and lack of decision-making would be right at the top for me. It’s the unknown, there is no will to reinvest … we could be 2 to 3 years away from any real decision-making, you know anything to hang your hat on.  </w:t>
            </w:r>
            <w:proofErr w:type="gramStart"/>
            <w:r w:rsidRPr="00652400">
              <w:rPr>
                <w:i/>
                <w:sz w:val="20"/>
                <w:szCs w:val="20"/>
              </w:rPr>
              <w:t>So</w:t>
            </w:r>
            <w:proofErr w:type="gramEnd"/>
            <w:r w:rsidRPr="00652400">
              <w:rPr>
                <w:i/>
                <w:sz w:val="20"/>
                <w:szCs w:val="20"/>
              </w:rPr>
              <w:t xml:space="preserve"> for me the instability and the uncertainty is top of the list for me.” F2</w:t>
            </w:r>
          </w:p>
          <w:p w14:paraId="2E00C1DB" w14:textId="77777777" w:rsidR="006D4A11" w:rsidRPr="00652400" w:rsidRDefault="006D4A11" w:rsidP="006D4A11">
            <w:pPr>
              <w:jc w:val="both"/>
              <w:rPr>
                <w:i/>
                <w:sz w:val="20"/>
                <w:szCs w:val="20"/>
              </w:rPr>
            </w:pPr>
            <w:r w:rsidRPr="00652400">
              <w:rPr>
                <w:i/>
                <w:sz w:val="20"/>
                <w:szCs w:val="20"/>
              </w:rPr>
              <w:t>"The majority of horticultural businesses I’m speaking to are in a bit of a wait and see at this moment in time</w:t>
            </w:r>
            <w:r>
              <w:rPr>
                <w:i/>
                <w:sz w:val="20"/>
                <w:szCs w:val="20"/>
              </w:rPr>
              <w:t xml:space="preserve"> …</w:t>
            </w:r>
            <w:r w:rsidRPr="00652400">
              <w:rPr>
                <w:i/>
                <w:sz w:val="20"/>
                <w:szCs w:val="20"/>
              </w:rPr>
              <w:t xml:space="preserve"> they are thinking, ‘If it’s going to cost me £200,000 to put this machine in, it’s going to replace 20 workers, let’s just wait and see before making that investment as well.’"</w:t>
            </w:r>
            <w:r>
              <w:rPr>
                <w:i/>
                <w:sz w:val="20"/>
                <w:szCs w:val="20"/>
              </w:rPr>
              <w:t xml:space="preserve"> W2</w:t>
            </w:r>
          </w:p>
        </w:tc>
        <w:tc>
          <w:tcPr>
            <w:tcW w:w="1559" w:type="dxa"/>
          </w:tcPr>
          <w:p w14:paraId="6E19C1F4" w14:textId="77777777" w:rsidR="006D4A11" w:rsidRPr="004F2C8A" w:rsidRDefault="006D4A11" w:rsidP="006D4A11">
            <w:pPr>
              <w:rPr>
                <w:sz w:val="20"/>
                <w:szCs w:val="20"/>
                <w:lang w:val="it-IT"/>
              </w:rPr>
            </w:pPr>
            <w:r w:rsidRPr="004F2C8A">
              <w:rPr>
                <w:sz w:val="20"/>
                <w:szCs w:val="20"/>
                <w:lang w:val="it-IT"/>
              </w:rPr>
              <w:t xml:space="preserve">F1-I1, F2, P1, P2-I1, R2, R4, NGO1, NGO2, NGO3, W1, W2 </w:t>
            </w:r>
          </w:p>
        </w:tc>
      </w:tr>
      <w:tr w:rsidR="006D4A11" w:rsidRPr="00D36C8E" w14:paraId="71A55385" w14:textId="77777777" w:rsidTr="006D4A11">
        <w:tc>
          <w:tcPr>
            <w:tcW w:w="2127" w:type="dxa"/>
          </w:tcPr>
          <w:p w14:paraId="4778A05D" w14:textId="77777777" w:rsidR="006D4A11" w:rsidRPr="000A2043" w:rsidRDefault="006D4A11" w:rsidP="006D4A11">
            <w:pPr>
              <w:rPr>
                <w:b/>
                <w:sz w:val="20"/>
                <w:szCs w:val="20"/>
              </w:rPr>
            </w:pPr>
            <w:r w:rsidRPr="000A2043">
              <w:rPr>
                <w:b/>
                <w:sz w:val="20"/>
                <w:szCs w:val="20"/>
              </w:rPr>
              <w:t>Poorer international trade agreements</w:t>
            </w:r>
          </w:p>
        </w:tc>
        <w:tc>
          <w:tcPr>
            <w:tcW w:w="11056" w:type="dxa"/>
          </w:tcPr>
          <w:p w14:paraId="79ACE43A" w14:textId="77777777" w:rsidR="006D4A11" w:rsidRPr="006C5B9C" w:rsidRDefault="006D4A11" w:rsidP="006D4A11">
            <w:pPr>
              <w:jc w:val="both"/>
              <w:rPr>
                <w:i/>
                <w:sz w:val="20"/>
                <w:szCs w:val="20"/>
              </w:rPr>
            </w:pPr>
            <w:r w:rsidRPr="006C5B9C">
              <w:rPr>
                <w:i/>
                <w:sz w:val="20"/>
                <w:szCs w:val="20"/>
              </w:rPr>
              <w:t xml:space="preserve"> “It will depend on what happens when our government goes to the EU on mass for trade deals, they may say that actually they want to retain this part of our industry, and we’re not going to put any tariffs on, but farming may be the industry that gets sacrificed, the sacrificial lamb.  It depends what they are going to negotiate on … I think farming will be net losers”.</w:t>
            </w:r>
            <w:r>
              <w:rPr>
                <w:i/>
                <w:sz w:val="20"/>
                <w:szCs w:val="20"/>
              </w:rPr>
              <w:t xml:space="preserve"> F2</w:t>
            </w:r>
          </w:p>
        </w:tc>
        <w:tc>
          <w:tcPr>
            <w:tcW w:w="1559" w:type="dxa"/>
          </w:tcPr>
          <w:p w14:paraId="78BC7A1B" w14:textId="77777777" w:rsidR="006D4A11" w:rsidRPr="004F2C8A" w:rsidRDefault="006D4A11" w:rsidP="006D4A11">
            <w:pPr>
              <w:rPr>
                <w:sz w:val="20"/>
                <w:szCs w:val="20"/>
                <w:lang w:val="it-IT"/>
              </w:rPr>
            </w:pPr>
            <w:r w:rsidRPr="004F2C8A">
              <w:rPr>
                <w:sz w:val="20"/>
                <w:szCs w:val="20"/>
                <w:lang w:val="it-IT"/>
              </w:rPr>
              <w:t>F1-I1, F2, P1, P2-I1, R3-I2, R3-I3, R4, NGO1, NGO2, W1</w:t>
            </w:r>
          </w:p>
        </w:tc>
      </w:tr>
      <w:tr w:rsidR="006D4A11" w:rsidRPr="00D36C8E" w14:paraId="0DCF2C59" w14:textId="77777777" w:rsidTr="006D4A11">
        <w:tc>
          <w:tcPr>
            <w:tcW w:w="2127" w:type="dxa"/>
          </w:tcPr>
          <w:p w14:paraId="6E81FCF1" w14:textId="77777777" w:rsidR="006D4A11" w:rsidRPr="000A2043" w:rsidRDefault="006D4A11" w:rsidP="006D4A11">
            <w:pPr>
              <w:rPr>
                <w:sz w:val="20"/>
                <w:szCs w:val="20"/>
              </w:rPr>
            </w:pPr>
            <w:r w:rsidRPr="000A2043">
              <w:rPr>
                <w:b/>
                <w:sz w:val="20"/>
                <w:szCs w:val="20"/>
              </w:rPr>
              <w:t>Labour shortages</w:t>
            </w:r>
            <w:r>
              <w:rPr>
                <w:sz w:val="20"/>
                <w:szCs w:val="20"/>
              </w:rPr>
              <w:t xml:space="preserve">, especially in horticulture and the </w:t>
            </w:r>
            <w:proofErr w:type="spellStart"/>
            <w:r>
              <w:rPr>
                <w:sz w:val="20"/>
                <w:szCs w:val="20"/>
              </w:rPr>
              <w:t>abbattoirs</w:t>
            </w:r>
            <w:proofErr w:type="spellEnd"/>
            <w:r>
              <w:rPr>
                <w:b/>
                <w:sz w:val="20"/>
                <w:szCs w:val="20"/>
              </w:rPr>
              <w:t xml:space="preserve"> </w:t>
            </w:r>
          </w:p>
        </w:tc>
        <w:tc>
          <w:tcPr>
            <w:tcW w:w="11056" w:type="dxa"/>
          </w:tcPr>
          <w:p w14:paraId="0BD18B7C" w14:textId="77777777" w:rsidR="006D4A11" w:rsidRDefault="006D4A11" w:rsidP="006D4A11">
            <w:pPr>
              <w:jc w:val="both"/>
              <w:rPr>
                <w:i/>
                <w:sz w:val="20"/>
                <w:szCs w:val="20"/>
              </w:rPr>
            </w:pPr>
            <w:r w:rsidRPr="00850DD6">
              <w:rPr>
                <w:i/>
                <w:sz w:val="20"/>
                <w:szCs w:val="20"/>
              </w:rPr>
              <w:t>"One of the biggest concerns after the vote was staff …Initially the Polish lads, there was a great deal of concern." P</w:t>
            </w:r>
            <w:r>
              <w:rPr>
                <w:i/>
                <w:sz w:val="20"/>
                <w:szCs w:val="20"/>
              </w:rPr>
              <w:t>4</w:t>
            </w:r>
          </w:p>
          <w:p w14:paraId="00E0D71D" w14:textId="77777777" w:rsidR="006D4A11" w:rsidRPr="00850DD6" w:rsidRDefault="006D4A11" w:rsidP="006D4A11">
            <w:pPr>
              <w:jc w:val="both"/>
              <w:rPr>
                <w:i/>
                <w:sz w:val="20"/>
                <w:szCs w:val="20"/>
              </w:rPr>
            </w:pPr>
            <w:r w:rsidRPr="00850DD6">
              <w:rPr>
                <w:i/>
                <w:sz w:val="20"/>
                <w:szCs w:val="20"/>
              </w:rPr>
              <w:t xml:space="preserve">"The two </w:t>
            </w:r>
            <w:r>
              <w:rPr>
                <w:sz w:val="20"/>
                <w:szCs w:val="20"/>
              </w:rPr>
              <w:t>[European]</w:t>
            </w:r>
            <w:r w:rsidRPr="00850DD6">
              <w:rPr>
                <w:i/>
                <w:sz w:val="20"/>
                <w:szCs w:val="20"/>
              </w:rPr>
              <w:t xml:space="preserve"> lads, one lad on the van is a fully qualified paramedic and the other lad has just finished a full career in the army, a paramedic, battlefield medic. Just amazingly talented individuals, </w:t>
            </w:r>
            <w:r>
              <w:rPr>
                <w:i/>
                <w:sz w:val="20"/>
                <w:szCs w:val="20"/>
              </w:rPr>
              <w:t>amazing intelligent individuals …</w:t>
            </w:r>
            <w:r w:rsidRPr="00850DD6">
              <w:rPr>
                <w:i/>
                <w:sz w:val="20"/>
                <w:szCs w:val="20"/>
              </w:rPr>
              <w:t xml:space="preserve"> They bring that into whatever job they’re </w:t>
            </w:r>
            <w:proofErr w:type="gramStart"/>
            <w:r w:rsidRPr="00850DD6">
              <w:rPr>
                <w:i/>
                <w:sz w:val="20"/>
                <w:szCs w:val="20"/>
              </w:rPr>
              <w:t>doing</w:t>
            </w:r>
            <w:proofErr w:type="gramEnd"/>
            <w:r w:rsidRPr="00850DD6">
              <w:rPr>
                <w:i/>
                <w:sz w:val="20"/>
                <w:szCs w:val="20"/>
              </w:rPr>
              <w:t xml:space="preserve"> and they do that job really, really well. That is going to be such an enormous loss if that’s taken away from us. Enormous loss. I think it’s greatly undervalued."</w:t>
            </w:r>
            <w:r>
              <w:rPr>
                <w:i/>
                <w:sz w:val="20"/>
                <w:szCs w:val="20"/>
              </w:rPr>
              <w:t xml:space="preserve"> P3</w:t>
            </w:r>
          </w:p>
        </w:tc>
        <w:tc>
          <w:tcPr>
            <w:tcW w:w="1559" w:type="dxa"/>
          </w:tcPr>
          <w:p w14:paraId="4CA91674" w14:textId="77777777" w:rsidR="006D4A11" w:rsidRPr="004F2C8A" w:rsidRDefault="006D4A11" w:rsidP="006D4A11">
            <w:pPr>
              <w:rPr>
                <w:sz w:val="20"/>
                <w:szCs w:val="20"/>
                <w:lang w:val="it-IT"/>
              </w:rPr>
            </w:pPr>
            <w:r w:rsidRPr="004F2C8A">
              <w:rPr>
                <w:sz w:val="20"/>
                <w:szCs w:val="20"/>
                <w:lang w:val="it-IT"/>
              </w:rPr>
              <w:t>F1-I2, F3-I1, P3, P4, R1, R2, R3-I2, NGO1, NGO2, NGO3, W1</w:t>
            </w:r>
          </w:p>
        </w:tc>
      </w:tr>
      <w:tr w:rsidR="006D4A11" w14:paraId="75D2FCBA" w14:textId="77777777" w:rsidTr="006D4A11">
        <w:tc>
          <w:tcPr>
            <w:tcW w:w="2127" w:type="dxa"/>
          </w:tcPr>
          <w:p w14:paraId="5FE506DB" w14:textId="77777777" w:rsidR="006D4A11" w:rsidRPr="00197A19" w:rsidRDefault="006D4A11" w:rsidP="006D4A11">
            <w:pPr>
              <w:rPr>
                <w:sz w:val="20"/>
                <w:szCs w:val="20"/>
              </w:rPr>
            </w:pPr>
            <w:r w:rsidRPr="00BD4524">
              <w:rPr>
                <w:b/>
                <w:sz w:val="20"/>
                <w:szCs w:val="20"/>
              </w:rPr>
              <w:t>Food price inflation</w:t>
            </w:r>
            <w:r>
              <w:rPr>
                <w:sz w:val="20"/>
                <w:szCs w:val="20"/>
              </w:rPr>
              <w:t>, e.g. due to higher labour costs or lower farm subsidy</w:t>
            </w:r>
          </w:p>
        </w:tc>
        <w:tc>
          <w:tcPr>
            <w:tcW w:w="11056" w:type="dxa"/>
          </w:tcPr>
          <w:p w14:paraId="7044E60F" w14:textId="77777777" w:rsidR="006D4A11" w:rsidRDefault="006D4A11" w:rsidP="006D4A11">
            <w:pPr>
              <w:jc w:val="both"/>
              <w:rPr>
                <w:i/>
                <w:sz w:val="20"/>
                <w:szCs w:val="20"/>
              </w:rPr>
            </w:pPr>
            <w:r w:rsidRPr="00FA13B9">
              <w:rPr>
                <w:i/>
                <w:sz w:val="20"/>
                <w:szCs w:val="20"/>
              </w:rPr>
              <w:t>"If the food industry in the UK fell on its face, which it would if it didn’t have that access to that labour or non-EU labour, that would lead to obviously con</w:t>
            </w:r>
            <w:r>
              <w:rPr>
                <w:i/>
                <w:sz w:val="20"/>
                <w:szCs w:val="20"/>
              </w:rPr>
              <w:t>siderable food price inflation.</w:t>
            </w:r>
            <w:r w:rsidRPr="00FA13B9">
              <w:rPr>
                <w:i/>
                <w:sz w:val="20"/>
                <w:szCs w:val="20"/>
              </w:rPr>
              <w:t>" W1</w:t>
            </w:r>
          </w:p>
          <w:p w14:paraId="1E3AB9DF" w14:textId="77777777" w:rsidR="006D4A11" w:rsidRPr="00FA13B9" w:rsidRDefault="006D4A11" w:rsidP="006D4A11">
            <w:pPr>
              <w:jc w:val="both"/>
              <w:rPr>
                <w:i/>
                <w:sz w:val="20"/>
                <w:szCs w:val="20"/>
              </w:rPr>
            </w:pPr>
            <w:r w:rsidRPr="00A75DF1">
              <w:rPr>
                <w:i/>
                <w:sz w:val="20"/>
                <w:szCs w:val="20"/>
              </w:rPr>
              <w:t xml:space="preserve">"If one third, that’s the number touted about, one third of farm income is from EU subsidies then in essence farm prices should be 50% higher if we are paying the true price and that would be reflected ultimately through price at the tills ... </w:t>
            </w:r>
            <w:proofErr w:type="gramStart"/>
            <w:r>
              <w:rPr>
                <w:i/>
                <w:sz w:val="20"/>
                <w:szCs w:val="20"/>
              </w:rPr>
              <w:t>“ P</w:t>
            </w:r>
            <w:proofErr w:type="gramEnd"/>
            <w:r>
              <w:rPr>
                <w:i/>
                <w:sz w:val="20"/>
                <w:szCs w:val="20"/>
              </w:rPr>
              <w:t>1</w:t>
            </w:r>
          </w:p>
        </w:tc>
        <w:tc>
          <w:tcPr>
            <w:tcW w:w="1559" w:type="dxa"/>
          </w:tcPr>
          <w:p w14:paraId="4DF9738E" w14:textId="77777777" w:rsidR="006D4A11" w:rsidRPr="00197A19" w:rsidRDefault="006D4A11" w:rsidP="006D4A11">
            <w:pPr>
              <w:rPr>
                <w:sz w:val="20"/>
                <w:szCs w:val="20"/>
              </w:rPr>
            </w:pPr>
            <w:r>
              <w:rPr>
                <w:sz w:val="20"/>
                <w:szCs w:val="20"/>
              </w:rPr>
              <w:t>F1-I1, F2, P1, P2-I1, P3, P4, R3-I2, W1, W2</w:t>
            </w:r>
          </w:p>
        </w:tc>
      </w:tr>
      <w:tr w:rsidR="006D4A11" w14:paraId="22F051C4" w14:textId="77777777" w:rsidTr="006D4A11">
        <w:tc>
          <w:tcPr>
            <w:tcW w:w="2127" w:type="dxa"/>
          </w:tcPr>
          <w:p w14:paraId="3A366C39" w14:textId="77777777" w:rsidR="006D4A11" w:rsidRPr="00197A19" w:rsidRDefault="006D4A11" w:rsidP="006D4A11">
            <w:pPr>
              <w:rPr>
                <w:sz w:val="20"/>
                <w:szCs w:val="20"/>
              </w:rPr>
            </w:pPr>
            <w:r w:rsidRPr="00197A19">
              <w:rPr>
                <w:b/>
                <w:sz w:val="20"/>
                <w:szCs w:val="20"/>
              </w:rPr>
              <w:t>Fewer family farms</w:t>
            </w:r>
            <w:r>
              <w:rPr>
                <w:sz w:val="20"/>
                <w:szCs w:val="20"/>
              </w:rPr>
              <w:t>, due to efficiency drives</w:t>
            </w:r>
          </w:p>
        </w:tc>
        <w:tc>
          <w:tcPr>
            <w:tcW w:w="11056" w:type="dxa"/>
          </w:tcPr>
          <w:p w14:paraId="54E29BE6" w14:textId="77777777" w:rsidR="006D4A11" w:rsidRDefault="006D4A11" w:rsidP="006D4A11">
            <w:pPr>
              <w:jc w:val="both"/>
              <w:rPr>
                <w:i/>
                <w:sz w:val="20"/>
                <w:szCs w:val="20"/>
              </w:rPr>
            </w:pPr>
            <w:r>
              <w:rPr>
                <w:i/>
                <w:sz w:val="20"/>
                <w:szCs w:val="20"/>
              </w:rPr>
              <w:t xml:space="preserve"> </w:t>
            </w:r>
            <w:proofErr w:type="gramStart"/>
            <w:r>
              <w:rPr>
                <w:i/>
                <w:sz w:val="20"/>
                <w:szCs w:val="20"/>
              </w:rPr>
              <w:t>“ …</w:t>
            </w:r>
            <w:proofErr w:type="gramEnd"/>
            <w:r w:rsidRPr="00531553">
              <w:rPr>
                <w:i/>
                <w:sz w:val="20"/>
                <w:szCs w:val="20"/>
              </w:rPr>
              <w:t xml:space="preserve">there is the trend towards </w:t>
            </w:r>
            <w:r>
              <w:rPr>
                <w:i/>
                <w:sz w:val="20"/>
                <w:szCs w:val="20"/>
              </w:rPr>
              <w:t>…</w:t>
            </w:r>
            <w:r w:rsidRPr="00531553">
              <w:rPr>
                <w:i/>
                <w:sz w:val="20"/>
                <w:szCs w:val="20"/>
              </w:rPr>
              <w:t xml:space="preserve"> only big businesses currently surviving the kind of environment. So, you get a sen</w:t>
            </w:r>
            <w:r>
              <w:rPr>
                <w:i/>
                <w:sz w:val="20"/>
                <w:szCs w:val="20"/>
              </w:rPr>
              <w:t>se that …</w:t>
            </w:r>
            <w:r w:rsidRPr="00531553">
              <w:rPr>
                <w:i/>
                <w:sz w:val="20"/>
                <w:szCs w:val="20"/>
              </w:rPr>
              <w:t xml:space="preserve"> there will be a continual consolidation and possibly an acceleration because of the uncertainty and bureaucratic barriers to trade with Europe outside of the EU."</w:t>
            </w:r>
            <w:r>
              <w:rPr>
                <w:i/>
                <w:sz w:val="20"/>
                <w:szCs w:val="20"/>
              </w:rPr>
              <w:t xml:space="preserve"> NGO3</w:t>
            </w:r>
          </w:p>
          <w:p w14:paraId="1483B48D" w14:textId="77777777" w:rsidR="006D4A11" w:rsidRPr="00293093" w:rsidRDefault="006D4A11" w:rsidP="006D4A11">
            <w:pPr>
              <w:jc w:val="both"/>
              <w:rPr>
                <w:i/>
                <w:sz w:val="20"/>
                <w:szCs w:val="20"/>
              </w:rPr>
            </w:pPr>
            <w:r w:rsidRPr="00531553">
              <w:rPr>
                <w:i/>
                <w:sz w:val="20"/>
                <w:szCs w:val="20"/>
              </w:rPr>
              <w:t xml:space="preserve">"it’s all very well for the government to sit there and say, ‘Okay, we don’t need to protect the family farm,’ but unless they manage </w:t>
            </w:r>
            <w:r w:rsidRPr="00531553">
              <w:rPr>
                <w:i/>
                <w:sz w:val="20"/>
                <w:szCs w:val="20"/>
              </w:rPr>
              <w:lastRenderedPageBreak/>
              <w:t xml:space="preserve">that as an extremely gradual process you’ll have a lot </w:t>
            </w:r>
            <w:r>
              <w:rPr>
                <w:i/>
                <w:sz w:val="20"/>
                <w:szCs w:val="20"/>
              </w:rPr>
              <w:t>of social crisis in rural areas …</w:t>
            </w:r>
            <w:r w:rsidRPr="00531553">
              <w:rPr>
                <w:i/>
                <w:sz w:val="20"/>
                <w:szCs w:val="20"/>
              </w:rPr>
              <w:t xml:space="preserve"> "</w:t>
            </w:r>
            <w:r>
              <w:rPr>
                <w:i/>
                <w:sz w:val="20"/>
                <w:szCs w:val="20"/>
              </w:rPr>
              <w:t xml:space="preserve"> W2</w:t>
            </w:r>
          </w:p>
        </w:tc>
        <w:tc>
          <w:tcPr>
            <w:tcW w:w="1559" w:type="dxa"/>
          </w:tcPr>
          <w:p w14:paraId="1BB25194" w14:textId="77777777" w:rsidR="006D4A11" w:rsidRPr="00197A19" w:rsidRDefault="006D4A11" w:rsidP="006D4A11">
            <w:pPr>
              <w:rPr>
                <w:sz w:val="20"/>
                <w:szCs w:val="20"/>
              </w:rPr>
            </w:pPr>
            <w:r>
              <w:rPr>
                <w:sz w:val="20"/>
                <w:szCs w:val="20"/>
              </w:rPr>
              <w:lastRenderedPageBreak/>
              <w:t>F1-I2, F2, NGO3, W2</w:t>
            </w:r>
          </w:p>
        </w:tc>
      </w:tr>
      <w:tr w:rsidR="006D4A11" w14:paraId="66343501" w14:textId="77777777" w:rsidTr="006D4A11">
        <w:tc>
          <w:tcPr>
            <w:tcW w:w="2127" w:type="dxa"/>
          </w:tcPr>
          <w:p w14:paraId="787D8C1D" w14:textId="77777777" w:rsidR="006D4A11" w:rsidRPr="00197A19" w:rsidRDefault="006D4A11" w:rsidP="006D4A11">
            <w:pPr>
              <w:rPr>
                <w:b/>
                <w:sz w:val="20"/>
                <w:szCs w:val="20"/>
              </w:rPr>
            </w:pPr>
            <w:r w:rsidRPr="00197A19">
              <w:rPr>
                <w:b/>
                <w:sz w:val="20"/>
                <w:szCs w:val="20"/>
              </w:rPr>
              <w:t>Lack of voice for the farming community</w:t>
            </w:r>
          </w:p>
        </w:tc>
        <w:tc>
          <w:tcPr>
            <w:tcW w:w="11056" w:type="dxa"/>
          </w:tcPr>
          <w:p w14:paraId="0375326B" w14:textId="77777777" w:rsidR="006D4A11" w:rsidRDefault="006D4A11" w:rsidP="006D4A11">
            <w:pPr>
              <w:jc w:val="both"/>
              <w:rPr>
                <w:i/>
                <w:sz w:val="20"/>
                <w:szCs w:val="20"/>
              </w:rPr>
            </w:pPr>
            <w:r w:rsidRPr="00C92B64">
              <w:rPr>
                <w:i/>
                <w:sz w:val="20"/>
                <w:szCs w:val="20"/>
              </w:rPr>
              <w:t>"There is very few of us that actually get this money [CAP] and we can’t pull that many votes".</w:t>
            </w:r>
            <w:r>
              <w:rPr>
                <w:i/>
                <w:sz w:val="20"/>
                <w:szCs w:val="20"/>
              </w:rPr>
              <w:t xml:space="preserve"> F1-I2</w:t>
            </w:r>
          </w:p>
          <w:p w14:paraId="421BEC57" w14:textId="77777777" w:rsidR="006D4A11" w:rsidRPr="00C92B64" w:rsidRDefault="006D4A11" w:rsidP="006D4A11">
            <w:pPr>
              <w:jc w:val="both"/>
              <w:rPr>
                <w:i/>
                <w:sz w:val="20"/>
                <w:szCs w:val="20"/>
              </w:rPr>
            </w:pPr>
            <w:r>
              <w:rPr>
                <w:i/>
                <w:sz w:val="20"/>
                <w:szCs w:val="20"/>
              </w:rPr>
              <w:t xml:space="preserve"> “The government </w:t>
            </w:r>
            <w:r w:rsidRPr="00C92B64">
              <w:rPr>
                <w:i/>
                <w:sz w:val="20"/>
                <w:szCs w:val="20"/>
              </w:rPr>
              <w:t xml:space="preserve">are not going to be sitting around the table talking to groups of farmers for any length of time.  They’re going to be talking to the likes of Waitrose, the head of Aldi and Sainsbury’s and so on, to ask what </w:t>
            </w:r>
            <w:proofErr w:type="gramStart"/>
            <w:r w:rsidRPr="00C92B64">
              <w:rPr>
                <w:i/>
                <w:sz w:val="20"/>
                <w:szCs w:val="20"/>
              </w:rPr>
              <w:t>do we need</w:t>
            </w:r>
            <w:proofErr w:type="gramEnd"/>
            <w:r w:rsidRPr="00C92B64">
              <w:rPr>
                <w:i/>
                <w:sz w:val="20"/>
                <w:szCs w:val="20"/>
              </w:rPr>
              <w:t xml:space="preserve"> to do to make sure that your shelves are full. They will want to keep a lid on food price inflation, end of story”.</w:t>
            </w:r>
            <w:r>
              <w:rPr>
                <w:i/>
                <w:sz w:val="20"/>
                <w:szCs w:val="20"/>
              </w:rPr>
              <w:t xml:space="preserve"> F2</w:t>
            </w:r>
          </w:p>
        </w:tc>
        <w:tc>
          <w:tcPr>
            <w:tcW w:w="1559" w:type="dxa"/>
          </w:tcPr>
          <w:p w14:paraId="4446ABA8" w14:textId="77777777" w:rsidR="006D4A11" w:rsidRPr="0003666A" w:rsidRDefault="006D4A11" w:rsidP="006D4A11">
            <w:pPr>
              <w:rPr>
                <w:sz w:val="20"/>
                <w:szCs w:val="20"/>
              </w:rPr>
            </w:pPr>
            <w:r>
              <w:rPr>
                <w:sz w:val="20"/>
                <w:szCs w:val="20"/>
              </w:rPr>
              <w:t>F1-I1, F1-I2, F2, NGO3</w:t>
            </w:r>
          </w:p>
        </w:tc>
      </w:tr>
      <w:tr w:rsidR="006D4A11" w14:paraId="32FBFD72" w14:textId="77777777" w:rsidTr="006D4A11">
        <w:tc>
          <w:tcPr>
            <w:tcW w:w="2127" w:type="dxa"/>
          </w:tcPr>
          <w:p w14:paraId="7BE2538E" w14:textId="77777777" w:rsidR="006D4A11" w:rsidRPr="0003666A" w:rsidRDefault="006D4A11" w:rsidP="006D4A11">
            <w:pPr>
              <w:pStyle w:val="NormalWeb"/>
              <w:spacing w:before="0" w:beforeAutospacing="0" w:after="0" w:afterAutospacing="0"/>
              <w:rPr>
                <w:sz w:val="20"/>
                <w:szCs w:val="20"/>
              </w:rPr>
            </w:pPr>
            <w:r w:rsidRPr="0003666A">
              <w:rPr>
                <w:b/>
                <w:sz w:val="20"/>
                <w:szCs w:val="20"/>
              </w:rPr>
              <w:t>Currency effects</w:t>
            </w:r>
            <w:r>
              <w:rPr>
                <w:sz w:val="20"/>
                <w:szCs w:val="20"/>
              </w:rPr>
              <w:t>, leading to more expensive imports</w:t>
            </w:r>
          </w:p>
        </w:tc>
        <w:tc>
          <w:tcPr>
            <w:tcW w:w="11056" w:type="dxa"/>
          </w:tcPr>
          <w:p w14:paraId="34AC79E1" w14:textId="77777777" w:rsidR="006D4A11" w:rsidRDefault="006D4A11" w:rsidP="006D4A11">
            <w:pPr>
              <w:jc w:val="both"/>
              <w:rPr>
                <w:i/>
                <w:sz w:val="20"/>
                <w:szCs w:val="20"/>
              </w:rPr>
            </w:pPr>
            <w:r w:rsidRPr="00B74B2B">
              <w:rPr>
                <w:i/>
                <w:sz w:val="20"/>
                <w:szCs w:val="20"/>
              </w:rPr>
              <w:t xml:space="preserve">“I think the weakening of our currency that we have seen since Brexit will have a benefit to our businesses in the short </w:t>
            </w:r>
            <w:proofErr w:type="gramStart"/>
            <w:r w:rsidRPr="00B74B2B">
              <w:rPr>
                <w:i/>
                <w:sz w:val="20"/>
                <w:szCs w:val="20"/>
              </w:rPr>
              <w:t>term</w:t>
            </w:r>
            <w:proofErr w:type="gramEnd"/>
            <w:r w:rsidRPr="00B74B2B">
              <w:rPr>
                <w:i/>
                <w:sz w:val="20"/>
                <w:szCs w:val="20"/>
              </w:rPr>
              <w:t xml:space="preserve"> but I think the consequences of that in the medium and long term could be very challenging” F1-I2</w:t>
            </w:r>
          </w:p>
          <w:p w14:paraId="57CC79FD" w14:textId="77777777" w:rsidR="006D4A11" w:rsidRPr="00B74B2B" w:rsidRDefault="006D4A11" w:rsidP="006D4A11">
            <w:pPr>
              <w:jc w:val="both"/>
              <w:rPr>
                <w:i/>
                <w:sz w:val="20"/>
                <w:szCs w:val="20"/>
              </w:rPr>
            </w:pPr>
            <w:r w:rsidRPr="00B74B2B">
              <w:rPr>
                <w:i/>
                <w:sz w:val="20"/>
                <w:szCs w:val="20"/>
              </w:rPr>
              <w:t xml:space="preserve">"Exchange rates, for instance. If anybody here ever buys oven chips... anybody? No, we’re all far too middle-class to buy oven chips. Okay, one or two, thank you. You cannot find an own-label oven chip in the UK that’s not made in Belgium. So your oven chips, which are about the lowest common denominator you can find in terms of food value are... </w:t>
            </w:r>
            <w:r>
              <w:rPr>
                <w:sz w:val="20"/>
                <w:szCs w:val="20"/>
              </w:rPr>
              <w:t xml:space="preserve">[more </w:t>
            </w:r>
            <w:proofErr w:type="gramStart"/>
            <w:r>
              <w:rPr>
                <w:sz w:val="20"/>
                <w:szCs w:val="20"/>
              </w:rPr>
              <w:t>expensive]…</w:t>
            </w:r>
            <w:proofErr w:type="gramEnd"/>
            <w:r>
              <w:rPr>
                <w:sz w:val="20"/>
                <w:szCs w:val="20"/>
              </w:rPr>
              <w:t xml:space="preserve"> </w:t>
            </w:r>
            <w:r w:rsidRPr="00B74B2B">
              <w:rPr>
                <w:i/>
                <w:sz w:val="20"/>
                <w:szCs w:val="20"/>
              </w:rPr>
              <w:t xml:space="preserve">The reason the chips are manufactured in Belgium is not because we prefer Belgian potatoes to British potatoes, it’s because there’s been massive capital investment in very efficiently converting potatoes into chips. ... Once you’ve got the money in the system, it’s </w:t>
            </w:r>
            <w:proofErr w:type="gramStart"/>
            <w:r w:rsidRPr="00B74B2B">
              <w:rPr>
                <w:i/>
                <w:sz w:val="20"/>
                <w:szCs w:val="20"/>
              </w:rPr>
              <w:t>really hard</w:t>
            </w:r>
            <w:proofErr w:type="gramEnd"/>
            <w:r w:rsidRPr="00B74B2B">
              <w:rPr>
                <w:i/>
                <w:sz w:val="20"/>
                <w:szCs w:val="20"/>
              </w:rPr>
              <w:t xml:space="preserve"> to change course, and there are relatively high barriers to entry... </w:t>
            </w:r>
            <w:proofErr w:type="gramStart"/>
            <w:r w:rsidRPr="00B74B2B">
              <w:rPr>
                <w:i/>
                <w:sz w:val="20"/>
                <w:szCs w:val="20"/>
              </w:rPr>
              <w:t>So</w:t>
            </w:r>
            <w:proofErr w:type="gramEnd"/>
            <w:r w:rsidRPr="00B74B2B">
              <w:rPr>
                <w:i/>
                <w:sz w:val="20"/>
                <w:szCs w:val="20"/>
              </w:rPr>
              <w:t xml:space="preserve"> there’s a currency challenge."</w:t>
            </w:r>
            <w:r>
              <w:rPr>
                <w:i/>
                <w:sz w:val="20"/>
                <w:szCs w:val="20"/>
              </w:rPr>
              <w:t xml:space="preserve"> W1</w:t>
            </w:r>
          </w:p>
        </w:tc>
        <w:tc>
          <w:tcPr>
            <w:tcW w:w="1559" w:type="dxa"/>
          </w:tcPr>
          <w:p w14:paraId="5A70C32A" w14:textId="77777777" w:rsidR="006D4A11" w:rsidRPr="0003666A" w:rsidRDefault="006D4A11" w:rsidP="006D4A11">
            <w:pPr>
              <w:rPr>
                <w:sz w:val="20"/>
                <w:szCs w:val="20"/>
              </w:rPr>
            </w:pPr>
            <w:r>
              <w:rPr>
                <w:sz w:val="20"/>
                <w:szCs w:val="20"/>
              </w:rPr>
              <w:t>F1-I2, P4, NGO2, W1</w:t>
            </w:r>
          </w:p>
        </w:tc>
      </w:tr>
      <w:tr w:rsidR="006D4A11" w14:paraId="016A52C1" w14:textId="77777777" w:rsidTr="006D4A11">
        <w:tc>
          <w:tcPr>
            <w:tcW w:w="14742" w:type="dxa"/>
            <w:gridSpan w:val="3"/>
          </w:tcPr>
          <w:p w14:paraId="0836DA6E" w14:textId="77777777" w:rsidR="006D4A11" w:rsidRDefault="006D4A11" w:rsidP="006D4A11">
            <w:pPr>
              <w:rPr>
                <w:b/>
                <w:sz w:val="20"/>
                <w:szCs w:val="20"/>
              </w:rPr>
            </w:pPr>
          </w:p>
          <w:p w14:paraId="3B666389" w14:textId="77777777" w:rsidR="006D4A11" w:rsidRPr="0085006B" w:rsidRDefault="006D4A11" w:rsidP="006D4A11">
            <w:pPr>
              <w:pStyle w:val="ListParagraph"/>
              <w:numPr>
                <w:ilvl w:val="0"/>
                <w:numId w:val="37"/>
              </w:numPr>
              <w:jc w:val="center"/>
              <w:rPr>
                <w:b/>
                <w:i/>
              </w:rPr>
            </w:pPr>
            <w:r w:rsidRPr="0085006B">
              <w:rPr>
                <w:b/>
                <w:i/>
              </w:rPr>
              <w:t>Evidence of Opportunities Surrounding Brexit</w:t>
            </w:r>
          </w:p>
          <w:p w14:paraId="620553BD" w14:textId="77777777" w:rsidR="006D4A11" w:rsidRPr="00752B9E" w:rsidRDefault="006D4A11" w:rsidP="006D4A11">
            <w:pPr>
              <w:rPr>
                <w:b/>
                <w:sz w:val="20"/>
                <w:szCs w:val="20"/>
              </w:rPr>
            </w:pPr>
          </w:p>
        </w:tc>
      </w:tr>
      <w:tr w:rsidR="006D4A11" w14:paraId="7F2A5CCB" w14:textId="77777777" w:rsidTr="006D4A11">
        <w:tc>
          <w:tcPr>
            <w:tcW w:w="2127" w:type="dxa"/>
          </w:tcPr>
          <w:p w14:paraId="66F56877" w14:textId="77777777" w:rsidR="006D4A11" w:rsidRPr="0003666A" w:rsidRDefault="006D4A11" w:rsidP="006D4A11">
            <w:pPr>
              <w:pStyle w:val="NormalWeb"/>
              <w:spacing w:before="0" w:beforeAutospacing="0" w:after="0" w:afterAutospacing="0"/>
              <w:rPr>
                <w:b/>
                <w:sz w:val="20"/>
                <w:szCs w:val="20"/>
              </w:rPr>
            </w:pPr>
            <w:r w:rsidRPr="009F41FC">
              <w:rPr>
                <w:b/>
                <w:sz w:val="20"/>
                <w:szCs w:val="20"/>
              </w:rPr>
              <w:t>Opportunity</w:t>
            </w:r>
          </w:p>
        </w:tc>
        <w:tc>
          <w:tcPr>
            <w:tcW w:w="11056" w:type="dxa"/>
          </w:tcPr>
          <w:p w14:paraId="6FB57977" w14:textId="77777777" w:rsidR="006D4A11" w:rsidRPr="00B74B2B" w:rsidRDefault="006D4A11" w:rsidP="006D4A11">
            <w:pPr>
              <w:jc w:val="both"/>
              <w:rPr>
                <w:i/>
                <w:sz w:val="20"/>
                <w:szCs w:val="20"/>
              </w:rPr>
            </w:pPr>
            <w:r w:rsidRPr="009F41FC">
              <w:rPr>
                <w:b/>
                <w:sz w:val="20"/>
                <w:szCs w:val="20"/>
              </w:rPr>
              <w:t xml:space="preserve">Sample </w:t>
            </w:r>
            <w:r>
              <w:rPr>
                <w:b/>
                <w:sz w:val="20"/>
                <w:szCs w:val="20"/>
              </w:rPr>
              <w:t xml:space="preserve">Quotes from the </w:t>
            </w:r>
            <w:r w:rsidRPr="009F41FC">
              <w:rPr>
                <w:b/>
                <w:sz w:val="20"/>
                <w:szCs w:val="20"/>
              </w:rPr>
              <w:t>Evidence</w:t>
            </w:r>
          </w:p>
        </w:tc>
        <w:tc>
          <w:tcPr>
            <w:tcW w:w="1559" w:type="dxa"/>
          </w:tcPr>
          <w:p w14:paraId="2001C68A" w14:textId="77777777" w:rsidR="006D4A11" w:rsidRDefault="006D4A11" w:rsidP="006D4A11">
            <w:pPr>
              <w:rPr>
                <w:sz w:val="20"/>
                <w:szCs w:val="20"/>
              </w:rPr>
            </w:pPr>
            <w:r w:rsidRPr="00752B9E">
              <w:rPr>
                <w:b/>
                <w:sz w:val="20"/>
                <w:szCs w:val="20"/>
              </w:rPr>
              <w:t>Source</w:t>
            </w:r>
            <w:r>
              <w:rPr>
                <w:b/>
                <w:sz w:val="20"/>
                <w:szCs w:val="20"/>
              </w:rPr>
              <w:t>s</w:t>
            </w:r>
          </w:p>
        </w:tc>
      </w:tr>
      <w:tr w:rsidR="006D4A11" w:rsidRPr="00D36C8E" w14:paraId="2EECD85E" w14:textId="77777777" w:rsidTr="006D4A11">
        <w:tc>
          <w:tcPr>
            <w:tcW w:w="2127" w:type="dxa"/>
          </w:tcPr>
          <w:p w14:paraId="1736CE96" w14:textId="77777777" w:rsidR="006D4A11" w:rsidRPr="0003666A" w:rsidRDefault="006D4A11" w:rsidP="006D4A11">
            <w:pPr>
              <w:pStyle w:val="NormalWeb"/>
              <w:spacing w:before="0" w:beforeAutospacing="0" w:after="0" w:afterAutospacing="0"/>
              <w:rPr>
                <w:b/>
                <w:sz w:val="20"/>
                <w:szCs w:val="20"/>
              </w:rPr>
            </w:pPr>
            <w:r w:rsidRPr="00752B9E">
              <w:rPr>
                <w:b/>
                <w:sz w:val="20"/>
                <w:szCs w:val="20"/>
              </w:rPr>
              <w:t>A new competitive landscape that potentially favours local food</w:t>
            </w:r>
          </w:p>
        </w:tc>
        <w:tc>
          <w:tcPr>
            <w:tcW w:w="11056" w:type="dxa"/>
          </w:tcPr>
          <w:p w14:paraId="2CA00744" w14:textId="77777777" w:rsidR="006D4A11" w:rsidRPr="009F41FC" w:rsidRDefault="006D4A11" w:rsidP="006D4A11">
            <w:pPr>
              <w:jc w:val="both"/>
              <w:rPr>
                <w:i/>
                <w:sz w:val="20"/>
                <w:szCs w:val="20"/>
              </w:rPr>
            </w:pPr>
            <w:r w:rsidRPr="009F41FC">
              <w:rPr>
                <w:i/>
                <w:sz w:val="20"/>
                <w:szCs w:val="20"/>
              </w:rPr>
              <w:t>“In terms of the food from abroad that we compete with, it will become more expensive to the consumer so that gives us more opportunity however our input will be on the same scale more expensive…” F1-I2</w:t>
            </w:r>
          </w:p>
          <w:p w14:paraId="12438D14" w14:textId="77777777" w:rsidR="006D4A11" w:rsidRPr="00B74B2B" w:rsidRDefault="006D4A11" w:rsidP="006D4A11">
            <w:pPr>
              <w:jc w:val="both"/>
              <w:rPr>
                <w:i/>
                <w:sz w:val="20"/>
                <w:szCs w:val="20"/>
              </w:rPr>
            </w:pPr>
            <w:r w:rsidRPr="009F41FC">
              <w:rPr>
                <w:i/>
                <w:sz w:val="20"/>
                <w:szCs w:val="20"/>
              </w:rPr>
              <w:t>"I think we’ll be okay because I think we’re a British company an</w:t>
            </w:r>
            <w:r>
              <w:rPr>
                <w:i/>
                <w:sz w:val="20"/>
                <w:szCs w:val="20"/>
              </w:rPr>
              <w:t xml:space="preserve">d we’re really based on localism. </w:t>
            </w:r>
            <w:r w:rsidRPr="00120EC2">
              <w:rPr>
                <w:i/>
                <w:sz w:val="20"/>
                <w:szCs w:val="20"/>
              </w:rPr>
              <w:t xml:space="preserve">Yes, I think for anybody with a more European supply chain I think it will be </w:t>
            </w:r>
            <w:proofErr w:type="gramStart"/>
            <w:r w:rsidRPr="00120EC2">
              <w:rPr>
                <w:i/>
                <w:sz w:val="20"/>
                <w:szCs w:val="20"/>
              </w:rPr>
              <w:t>really difficult</w:t>
            </w:r>
            <w:proofErr w:type="gramEnd"/>
            <w:r w:rsidRPr="00120EC2">
              <w:rPr>
                <w:i/>
                <w:sz w:val="20"/>
                <w:szCs w:val="20"/>
              </w:rPr>
              <w:t>, I really do.</w:t>
            </w:r>
            <w:r>
              <w:rPr>
                <w:i/>
                <w:sz w:val="20"/>
                <w:szCs w:val="20"/>
              </w:rPr>
              <w:t>” P2-I1</w:t>
            </w:r>
          </w:p>
        </w:tc>
        <w:tc>
          <w:tcPr>
            <w:tcW w:w="1559" w:type="dxa"/>
          </w:tcPr>
          <w:p w14:paraId="4487F5C8" w14:textId="77777777" w:rsidR="006D4A11" w:rsidRPr="004F2C8A" w:rsidRDefault="006D4A11" w:rsidP="006D4A11">
            <w:pPr>
              <w:rPr>
                <w:sz w:val="20"/>
                <w:szCs w:val="20"/>
                <w:lang w:val="it-IT"/>
              </w:rPr>
            </w:pPr>
            <w:r w:rsidRPr="004F2C8A">
              <w:rPr>
                <w:sz w:val="20"/>
                <w:szCs w:val="20"/>
                <w:lang w:val="it-IT"/>
              </w:rPr>
              <w:t>F1-I2, P2-I1, P2-I2, P4, R2, R3-I1, R3-I2, R3-I3, R4 NGO1, NGO2, NGO3, W1</w:t>
            </w:r>
          </w:p>
        </w:tc>
      </w:tr>
      <w:tr w:rsidR="006D4A11" w:rsidRPr="00D36C8E" w14:paraId="1B360280" w14:textId="77777777" w:rsidTr="006D4A11">
        <w:tc>
          <w:tcPr>
            <w:tcW w:w="2127" w:type="dxa"/>
          </w:tcPr>
          <w:p w14:paraId="4F355867" w14:textId="77777777" w:rsidR="006D4A11" w:rsidRPr="0003666A" w:rsidRDefault="006D4A11" w:rsidP="006D4A11">
            <w:pPr>
              <w:pStyle w:val="NormalWeb"/>
              <w:spacing w:before="0" w:beforeAutospacing="0" w:after="0" w:afterAutospacing="0"/>
              <w:rPr>
                <w:b/>
                <w:sz w:val="20"/>
                <w:szCs w:val="20"/>
              </w:rPr>
            </w:pPr>
            <w:r w:rsidRPr="00752B9E">
              <w:rPr>
                <w:b/>
                <w:sz w:val="20"/>
                <w:szCs w:val="20"/>
              </w:rPr>
              <w:t>Better CAP replacement</w:t>
            </w:r>
            <w:r>
              <w:rPr>
                <w:sz w:val="20"/>
                <w:szCs w:val="20"/>
              </w:rPr>
              <w:t xml:space="preserve"> e.g. with more effective subsidies.</w:t>
            </w:r>
          </w:p>
        </w:tc>
        <w:tc>
          <w:tcPr>
            <w:tcW w:w="11056" w:type="dxa"/>
          </w:tcPr>
          <w:p w14:paraId="4C8D417B" w14:textId="77777777" w:rsidR="006D4A11" w:rsidRDefault="006D4A11" w:rsidP="006D4A11">
            <w:pPr>
              <w:jc w:val="both"/>
              <w:rPr>
                <w:i/>
                <w:sz w:val="20"/>
                <w:szCs w:val="20"/>
              </w:rPr>
            </w:pPr>
            <w:r w:rsidRPr="00140FBF">
              <w:rPr>
                <w:i/>
                <w:sz w:val="20"/>
                <w:szCs w:val="20"/>
              </w:rPr>
              <w:t>"</w:t>
            </w:r>
            <w:proofErr w:type="gramStart"/>
            <w:r w:rsidRPr="00140FBF">
              <w:rPr>
                <w:i/>
                <w:sz w:val="20"/>
                <w:szCs w:val="20"/>
              </w:rPr>
              <w:t>So</w:t>
            </w:r>
            <w:proofErr w:type="gramEnd"/>
            <w:r w:rsidRPr="00140FBF">
              <w:rPr>
                <w:i/>
                <w:sz w:val="20"/>
                <w:szCs w:val="20"/>
              </w:rPr>
              <w:t xml:space="preserve"> it might be that a funding scheme going forward is where a farmer’s decided to look at his costs and go somewhere where he’s helping himself with cost efficiency, that triggers funding for that farm. </w:t>
            </w:r>
            <w:r>
              <w:rPr>
                <w:i/>
                <w:sz w:val="20"/>
                <w:szCs w:val="20"/>
              </w:rPr>
              <w:t xml:space="preserve"> … </w:t>
            </w:r>
            <w:r w:rsidRPr="00140FBF">
              <w:rPr>
                <w:i/>
                <w:sz w:val="20"/>
                <w:szCs w:val="20"/>
              </w:rPr>
              <w:t>it’s the better farmers that need to be rewarded so it pushes the other ones to get better and make a bette</w:t>
            </w:r>
            <w:r>
              <w:rPr>
                <w:i/>
                <w:sz w:val="20"/>
                <w:szCs w:val="20"/>
              </w:rPr>
              <w:t>r job of what they’re doing …</w:t>
            </w:r>
            <w:r w:rsidRPr="00140FBF">
              <w:rPr>
                <w:i/>
                <w:sz w:val="20"/>
                <w:szCs w:val="20"/>
              </w:rPr>
              <w:t>"</w:t>
            </w:r>
            <w:r>
              <w:rPr>
                <w:i/>
                <w:sz w:val="20"/>
                <w:szCs w:val="20"/>
              </w:rPr>
              <w:t xml:space="preserve"> F3-I1</w:t>
            </w:r>
          </w:p>
          <w:p w14:paraId="6215F242" w14:textId="77777777" w:rsidR="006D4A11" w:rsidRPr="00B74B2B" w:rsidRDefault="006D4A11" w:rsidP="006D4A11">
            <w:pPr>
              <w:jc w:val="both"/>
              <w:rPr>
                <w:i/>
                <w:sz w:val="20"/>
                <w:szCs w:val="20"/>
              </w:rPr>
            </w:pPr>
            <w:r w:rsidRPr="00533A3D">
              <w:rPr>
                <w:i/>
                <w:sz w:val="20"/>
                <w:szCs w:val="20"/>
              </w:rPr>
              <w:t xml:space="preserve">"one thing that governments will look at, which is important as well, is the tourism and tourism and agriculture. </w:t>
            </w:r>
            <w:proofErr w:type="gramStart"/>
            <w:r w:rsidRPr="00533A3D">
              <w:rPr>
                <w:i/>
                <w:sz w:val="20"/>
                <w:szCs w:val="20"/>
              </w:rPr>
              <w:t>So</w:t>
            </w:r>
            <w:proofErr w:type="gramEnd"/>
            <w:r w:rsidRPr="00533A3D">
              <w:rPr>
                <w:i/>
                <w:sz w:val="20"/>
                <w:szCs w:val="20"/>
              </w:rPr>
              <w:t xml:space="preserve"> if those farmers are getting a bigger-</w:t>
            </w:r>
            <w:proofErr w:type="spellStart"/>
            <w:r w:rsidRPr="00533A3D">
              <w:rPr>
                <w:i/>
                <w:sz w:val="20"/>
                <w:szCs w:val="20"/>
              </w:rPr>
              <w:t>ish</w:t>
            </w:r>
            <w:proofErr w:type="spellEnd"/>
            <w:r w:rsidRPr="00533A3D">
              <w:rPr>
                <w:i/>
                <w:sz w:val="20"/>
                <w:szCs w:val="20"/>
              </w:rPr>
              <w:t xml:space="preserve"> payment linked to looking after that environment in a way that is encouraging for the tourism, that’s all very, very important, because tourists are eating food there and all the rest of it. </w:t>
            </w:r>
            <w:proofErr w:type="gramStart"/>
            <w:r w:rsidRPr="00533A3D">
              <w:rPr>
                <w:i/>
                <w:sz w:val="20"/>
                <w:szCs w:val="20"/>
              </w:rPr>
              <w:t>So</w:t>
            </w:r>
            <w:proofErr w:type="gramEnd"/>
            <w:r w:rsidRPr="00533A3D">
              <w:rPr>
                <w:i/>
                <w:sz w:val="20"/>
                <w:szCs w:val="20"/>
              </w:rPr>
              <w:t xml:space="preserve"> it’s about balance."</w:t>
            </w:r>
            <w:r>
              <w:rPr>
                <w:i/>
                <w:sz w:val="20"/>
                <w:szCs w:val="20"/>
              </w:rPr>
              <w:t xml:space="preserve"> F3-I1</w:t>
            </w:r>
          </w:p>
        </w:tc>
        <w:tc>
          <w:tcPr>
            <w:tcW w:w="1559" w:type="dxa"/>
          </w:tcPr>
          <w:p w14:paraId="7EFBC15D" w14:textId="77777777" w:rsidR="006D4A11" w:rsidRPr="004F2C8A" w:rsidRDefault="006D4A11" w:rsidP="006D4A11">
            <w:pPr>
              <w:rPr>
                <w:sz w:val="20"/>
                <w:szCs w:val="20"/>
                <w:lang w:val="it-IT"/>
              </w:rPr>
            </w:pPr>
            <w:r w:rsidRPr="004F2C8A">
              <w:rPr>
                <w:sz w:val="20"/>
                <w:szCs w:val="20"/>
                <w:lang w:val="it-IT"/>
              </w:rPr>
              <w:t>F2, F3-I1, F3-I2, P1, R3-I1, NGO1, NGO2, NGO3, W1, W2</w:t>
            </w:r>
          </w:p>
        </w:tc>
      </w:tr>
      <w:tr w:rsidR="006D4A11" w:rsidRPr="00D36C8E" w14:paraId="430C7FFE" w14:textId="77777777" w:rsidTr="006D4A11">
        <w:tc>
          <w:tcPr>
            <w:tcW w:w="2127" w:type="dxa"/>
          </w:tcPr>
          <w:p w14:paraId="020AA9C4" w14:textId="77777777" w:rsidR="006D4A11" w:rsidRPr="0003666A" w:rsidRDefault="006D4A11" w:rsidP="006D4A11">
            <w:pPr>
              <w:pStyle w:val="NormalWeb"/>
              <w:spacing w:before="0" w:beforeAutospacing="0" w:after="0" w:afterAutospacing="0"/>
              <w:rPr>
                <w:b/>
                <w:sz w:val="20"/>
                <w:szCs w:val="20"/>
              </w:rPr>
            </w:pPr>
            <w:r w:rsidRPr="00752B9E">
              <w:rPr>
                <w:b/>
                <w:sz w:val="20"/>
                <w:szCs w:val="20"/>
              </w:rPr>
              <w:t>More effective supply chain business models</w:t>
            </w:r>
          </w:p>
        </w:tc>
        <w:tc>
          <w:tcPr>
            <w:tcW w:w="11056" w:type="dxa"/>
          </w:tcPr>
          <w:p w14:paraId="6E1F7FB2" w14:textId="77777777" w:rsidR="006D4A11" w:rsidRDefault="006D4A11" w:rsidP="006D4A11">
            <w:pPr>
              <w:jc w:val="both"/>
              <w:rPr>
                <w:i/>
                <w:sz w:val="20"/>
                <w:szCs w:val="20"/>
              </w:rPr>
            </w:pPr>
            <w:r w:rsidRPr="00F33A3F">
              <w:rPr>
                <w:i/>
                <w:sz w:val="20"/>
                <w:szCs w:val="20"/>
              </w:rPr>
              <w:t xml:space="preserve">"There are plenty of farms that could adjust their lambing times, or those sheep that are seasonal </w:t>
            </w:r>
            <w:proofErr w:type="spellStart"/>
            <w:r w:rsidRPr="00F33A3F">
              <w:rPr>
                <w:i/>
                <w:sz w:val="20"/>
                <w:szCs w:val="20"/>
              </w:rPr>
              <w:t>lambers</w:t>
            </w:r>
            <w:proofErr w:type="spellEnd"/>
            <w:r w:rsidRPr="00F33A3F">
              <w:rPr>
                <w:i/>
                <w:sz w:val="20"/>
                <w:szCs w:val="20"/>
              </w:rPr>
              <w:t xml:space="preserve"> or performers, I guess, you could extend it. You could extend the season, there’s no doubt about that, but you could also make more of older-season lamb and that’s something that I think we’ve really failed in. "</w:t>
            </w:r>
            <w:r>
              <w:rPr>
                <w:i/>
                <w:sz w:val="20"/>
                <w:szCs w:val="20"/>
              </w:rPr>
              <w:t xml:space="preserve"> NGO2</w:t>
            </w:r>
          </w:p>
          <w:p w14:paraId="4972B20C" w14:textId="77777777" w:rsidR="006D4A11" w:rsidRPr="00B74B2B" w:rsidRDefault="006D4A11" w:rsidP="006D4A11">
            <w:pPr>
              <w:jc w:val="both"/>
              <w:rPr>
                <w:i/>
                <w:sz w:val="20"/>
                <w:szCs w:val="20"/>
              </w:rPr>
            </w:pPr>
            <w:r>
              <w:rPr>
                <w:i/>
                <w:sz w:val="20"/>
                <w:szCs w:val="20"/>
              </w:rPr>
              <w:t>“</w:t>
            </w:r>
            <w:r w:rsidRPr="00F33A3F">
              <w:rPr>
                <w:i/>
                <w:sz w:val="20"/>
                <w:szCs w:val="20"/>
              </w:rPr>
              <w:t>we’re not a charity, but it is making us think differently about where we can offer support versus where we do also need to make money, and I think the landscape has changed. I mean, I’ve seen what’s happened in the last five months have a dramatic impact on certain relationships that we’ve got in the business and we are having to think differently about the way we work with suppliers."</w:t>
            </w:r>
            <w:r>
              <w:rPr>
                <w:i/>
                <w:sz w:val="20"/>
                <w:szCs w:val="20"/>
              </w:rPr>
              <w:t xml:space="preserve"> R3-</w:t>
            </w:r>
            <w:r>
              <w:rPr>
                <w:i/>
                <w:sz w:val="20"/>
                <w:szCs w:val="20"/>
              </w:rPr>
              <w:lastRenderedPageBreak/>
              <w:t>I2</w:t>
            </w:r>
          </w:p>
        </w:tc>
        <w:tc>
          <w:tcPr>
            <w:tcW w:w="1559" w:type="dxa"/>
          </w:tcPr>
          <w:p w14:paraId="502553CB" w14:textId="77777777" w:rsidR="006D4A11" w:rsidRPr="004F2C8A" w:rsidRDefault="006D4A11" w:rsidP="006D4A11">
            <w:pPr>
              <w:rPr>
                <w:sz w:val="20"/>
                <w:szCs w:val="20"/>
                <w:lang w:val="it-IT"/>
              </w:rPr>
            </w:pPr>
            <w:r w:rsidRPr="004F2C8A">
              <w:rPr>
                <w:sz w:val="20"/>
                <w:szCs w:val="20"/>
                <w:lang w:val="it-IT"/>
              </w:rPr>
              <w:lastRenderedPageBreak/>
              <w:t>F1-I2, F2, F3-I1, R3-I2, NGO1, NGO2</w:t>
            </w:r>
          </w:p>
        </w:tc>
      </w:tr>
      <w:tr w:rsidR="006D4A11" w:rsidRPr="00D36C8E" w14:paraId="330454A4" w14:textId="77777777" w:rsidTr="006D4A11">
        <w:tc>
          <w:tcPr>
            <w:tcW w:w="2127" w:type="dxa"/>
          </w:tcPr>
          <w:p w14:paraId="519706AB" w14:textId="77777777" w:rsidR="006D4A11" w:rsidRPr="0003666A" w:rsidRDefault="006D4A11" w:rsidP="006D4A11">
            <w:pPr>
              <w:pStyle w:val="NormalWeb"/>
              <w:spacing w:before="0" w:beforeAutospacing="0" w:after="0" w:afterAutospacing="0"/>
              <w:rPr>
                <w:b/>
                <w:sz w:val="20"/>
                <w:szCs w:val="20"/>
              </w:rPr>
            </w:pPr>
            <w:r w:rsidRPr="00752B9E">
              <w:rPr>
                <w:b/>
                <w:sz w:val="20"/>
                <w:szCs w:val="20"/>
              </w:rPr>
              <w:t>Increased export opportunities</w:t>
            </w:r>
          </w:p>
        </w:tc>
        <w:tc>
          <w:tcPr>
            <w:tcW w:w="11056" w:type="dxa"/>
          </w:tcPr>
          <w:p w14:paraId="29E7AE55" w14:textId="77777777" w:rsidR="006D4A11" w:rsidRDefault="006D4A11" w:rsidP="006D4A11">
            <w:pPr>
              <w:jc w:val="both"/>
              <w:rPr>
                <w:i/>
                <w:sz w:val="20"/>
                <w:szCs w:val="20"/>
              </w:rPr>
            </w:pPr>
            <w:r>
              <w:rPr>
                <w:i/>
                <w:sz w:val="20"/>
                <w:szCs w:val="20"/>
              </w:rPr>
              <w:t>“</w:t>
            </w:r>
            <w:r w:rsidRPr="008419D3">
              <w:rPr>
                <w:i/>
                <w:sz w:val="20"/>
                <w:szCs w:val="20"/>
              </w:rPr>
              <w:t>What might happen is we look to a degree of internationalisation (and I’m not going to define how that might appear) but we might look to a degree of internationalisation that we haven’t done historically</w:t>
            </w:r>
            <w:r>
              <w:rPr>
                <w:i/>
                <w:sz w:val="20"/>
                <w:szCs w:val="20"/>
              </w:rPr>
              <w:t xml:space="preserve"> …” P1</w:t>
            </w:r>
          </w:p>
          <w:p w14:paraId="3817AF0C" w14:textId="77777777" w:rsidR="006D4A11" w:rsidRPr="00B74B2B" w:rsidRDefault="006D4A11" w:rsidP="006D4A11">
            <w:pPr>
              <w:jc w:val="both"/>
              <w:rPr>
                <w:i/>
                <w:sz w:val="20"/>
                <w:szCs w:val="20"/>
              </w:rPr>
            </w:pPr>
            <w:r>
              <w:rPr>
                <w:i/>
                <w:sz w:val="20"/>
                <w:szCs w:val="20"/>
              </w:rPr>
              <w:t>"X</w:t>
            </w:r>
            <w:r w:rsidRPr="008419D3">
              <w:rPr>
                <w:i/>
                <w:sz w:val="20"/>
                <w:szCs w:val="20"/>
              </w:rPr>
              <w:t xml:space="preserve"> mentioned </w:t>
            </w:r>
            <w:r>
              <w:rPr>
                <w:i/>
                <w:sz w:val="20"/>
                <w:szCs w:val="20"/>
              </w:rPr>
              <w:t xml:space="preserve">the </w:t>
            </w:r>
            <w:r w:rsidRPr="008419D3">
              <w:rPr>
                <w:i/>
                <w:sz w:val="20"/>
                <w:szCs w:val="20"/>
              </w:rPr>
              <w:t>halal market. There are about 12 million Muslims in France and Germany and that is a massive export market for us. That market will not go away after Brexit, it will be there. The question is at what cost will we access the market? "</w:t>
            </w:r>
            <w:r>
              <w:rPr>
                <w:i/>
                <w:sz w:val="20"/>
                <w:szCs w:val="20"/>
              </w:rPr>
              <w:t xml:space="preserve"> W1</w:t>
            </w:r>
          </w:p>
        </w:tc>
        <w:tc>
          <w:tcPr>
            <w:tcW w:w="1559" w:type="dxa"/>
          </w:tcPr>
          <w:p w14:paraId="7FA333BA" w14:textId="77777777" w:rsidR="006D4A11" w:rsidRPr="004F2C8A" w:rsidRDefault="006D4A11" w:rsidP="006D4A11">
            <w:pPr>
              <w:rPr>
                <w:sz w:val="20"/>
                <w:szCs w:val="20"/>
                <w:lang w:val="it-IT"/>
              </w:rPr>
            </w:pPr>
            <w:r w:rsidRPr="004F2C8A">
              <w:rPr>
                <w:sz w:val="20"/>
                <w:szCs w:val="20"/>
                <w:lang w:val="it-IT"/>
              </w:rPr>
              <w:t>F1-I2, P1, P2-I2, R2, R3-I2, NGO1, NGO3, W1</w:t>
            </w:r>
          </w:p>
        </w:tc>
      </w:tr>
      <w:tr w:rsidR="006D4A11" w:rsidRPr="00D36C8E" w14:paraId="0A74FA32" w14:textId="77777777" w:rsidTr="006D4A11">
        <w:tc>
          <w:tcPr>
            <w:tcW w:w="2127" w:type="dxa"/>
          </w:tcPr>
          <w:p w14:paraId="482FEAF9" w14:textId="77777777" w:rsidR="006D4A11" w:rsidRPr="0003666A" w:rsidRDefault="006D4A11" w:rsidP="006D4A11">
            <w:pPr>
              <w:pStyle w:val="NormalWeb"/>
              <w:spacing w:before="0" w:beforeAutospacing="0" w:after="0" w:afterAutospacing="0"/>
              <w:rPr>
                <w:b/>
                <w:sz w:val="20"/>
                <w:szCs w:val="20"/>
              </w:rPr>
            </w:pPr>
            <w:r w:rsidRPr="00752B9E">
              <w:rPr>
                <w:b/>
                <w:sz w:val="20"/>
                <w:szCs w:val="20"/>
              </w:rPr>
              <w:t>Improved international trade agreements</w:t>
            </w:r>
          </w:p>
        </w:tc>
        <w:tc>
          <w:tcPr>
            <w:tcW w:w="11056" w:type="dxa"/>
          </w:tcPr>
          <w:p w14:paraId="715632AA" w14:textId="77777777" w:rsidR="006D4A11" w:rsidRDefault="006D4A11" w:rsidP="006D4A11">
            <w:pPr>
              <w:jc w:val="both"/>
              <w:rPr>
                <w:i/>
                <w:sz w:val="20"/>
                <w:szCs w:val="20"/>
              </w:rPr>
            </w:pPr>
            <w:r w:rsidRPr="00F946EA">
              <w:rPr>
                <w:i/>
                <w:sz w:val="20"/>
                <w:szCs w:val="20"/>
              </w:rPr>
              <w:t xml:space="preserve">"I think even if we built our domestic market up here in the UK, there are still a lot of products within our sheep that we don’t consume here, and yet they do in other populations across the world. The more we get eaten, the less we </w:t>
            </w:r>
            <w:proofErr w:type="gramStart"/>
            <w:r w:rsidRPr="00F946EA">
              <w:rPr>
                <w:i/>
                <w:sz w:val="20"/>
                <w:szCs w:val="20"/>
              </w:rPr>
              <w:t>have to</w:t>
            </w:r>
            <w:proofErr w:type="gramEnd"/>
            <w:r w:rsidRPr="00F946EA">
              <w:rPr>
                <w:i/>
                <w:sz w:val="20"/>
                <w:szCs w:val="20"/>
              </w:rPr>
              <w:t xml:space="preserve"> pay to get disposed, so the more we can sell. </w:t>
            </w:r>
            <w:proofErr w:type="gramStart"/>
            <w:r w:rsidRPr="00F946EA">
              <w:rPr>
                <w:i/>
                <w:sz w:val="20"/>
                <w:szCs w:val="20"/>
              </w:rPr>
              <w:t>So</w:t>
            </w:r>
            <w:proofErr w:type="gramEnd"/>
            <w:r w:rsidRPr="00F946EA">
              <w:rPr>
                <w:i/>
                <w:sz w:val="20"/>
                <w:szCs w:val="20"/>
              </w:rPr>
              <w:t xml:space="preserve"> the opening up of the Chinese market to sell the fifth quarter-type products, bits and pieces that we wouldn’t dream of eating here."</w:t>
            </w:r>
            <w:r>
              <w:rPr>
                <w:i/>
                <w:sz w:val="20"/>
                <w:szCs w:val="20"/>
              </w:rPr>
              <w:t xml:space="preserve"> NGO2</w:t>
            </w:r>
          </w:p>
          <w:p w14:paraId="12E2864B" w14:textId="77777777" w:rsidR="006D4A11" w:rsidRPr="00B74B2B" w:rsidRDefault="006D4A11" w:rsidP="006D4A11">
            <w:pPr>
              <w:jc w:val="both"/>
              <w:rPr>
                <w:i/>
                <w:sz w:val="20"/>
                <w:szCs w:val="20"/>
              </w:rPr>
            </w:pPr>
            <w:r>
              <w:rPr>
                <w:i/>
                <w:sz w:val="20"/>
                <w:szCs w:val="20"/>
              </w:rPr>
              <w:t>"</w:t>
            </w:r>
            <w:r>
              <w:rPr>
                <w:sz w:val="20"/>
                <w:szCs w:val="20"/>
              </w:rPr>
              <w:t>[politicians have]</w:t>
            </w:r>
            <w:r w:rsidRPr="00F946EA">
              <w:rPr>
                <w:i/>
                <w:sz w:val="20"/>
                <w:szCs w:val="20"/>
              </w:rPr>
              <w:t xml:space="preserve"> been talking about food becoming cheaper post-Brexit. That </w:t>
            </w:r>
            <w:proofErr w:type="gramStart"/>
            <w:r w:rsidRPr="00F946EA">
              <w:rPr>
                <w:i/>
                <w:sz w:val="20"/>
                <w:szCs w:val="20"/>
              </w:rPr>
              <w:t>was something that was</w:t>
            </w:r>
            <w:proofErr w:type="gramEnd"/>
            <w:r w:rsidRPr="00F946EA">
              <w:rPr>
                <w:i/>
                <w:sz w:val="20"/>
                <w:szCs w:val="20"/>
              </w:rPr>
              <w:t xml:space="preserve"> spoken about by the Brexit campaign. Largely that argument hinges on trade, doing free trade deals with non-EU countries such as, let’s say India, let’s say New Zealand, let’s say Argentina. "</w:t>
            </w:r>
            <w:r>
              <w:rPr>
                <w:i/>
                <w:sz w:val="20"/>
                <w:szCs w:val="20"/>
              </w:rPr>
              <w:t xml:space="preserve"> W1</w:t>
            </w:r>
          </w:p>
        </w:tc>
        <w:tc>
          <w:tcPr>
            <w:tcW w:w="1559" w:type="dxa"/>
          </w:tcPr>
          <w:p w14:paraId="17469954" w14:textId="77777777" w:rsidR="006D4A11" w:rsidRPr="004F2C8A" w:rsidRDefault="006D4A11" w:rsidP="006D4A11">
            <w:pPr>
              <w:rPr>
                <w:sz w:val="20"/>
                <w:szCs w:val="20"/>
                <w:lang w:val="it-IT"/>
              </w:rPr>
            </w:pPr>
            <w:r w:rsidRPr="004F2C8A">
              <w:rPr>
                <w:sz w:val="20"/>
                <w:szCs w:val="20"/>
                <w:lang w:val="it-IT"/>
              </w:rPr>
              <w:t>P2-I1, NGO1, NGO2, NGO3, W1</w:t>
            </w:r>
          </w:p>
        </w:tc>
      </w:tr>
      <w:tr w:rsidR="006D4A11" w14:paraId="4447F103" w14:textId="77777777" w:rsidTr="006D4A11">
        <w:tc>
          <w:tcPr>
            <w:tcW w:w="14742" w:type="dxa"/>
            <w:gridSpan w:val="3"/>
          </w:tcPr>
          <w:p w14:paraId="44AEF900" w14:textId="77777777" w:rsidR="006D4A11" w:rsidRPr="004F2C8A" w:rsidRDefault="006D4A11" w:rsidP="006D4A11">
            <w:pPr>
              <w:rPr>
                <w:b/>
                <w:sz w:val="20"/>
                <w:szCs w:val="20"/>
                <w:lang w:val="it-IT"/>
              </w:rPr>
            </w:pPr>
          </w:p>
          <w:p w14:paraId="07934E9E" w14:textId="77777777" w:rsidR="006D4A11" w:rsidRPr="0085006B" w:rsidRDefault="006D4A11" w:rsidP="006D4A11">
            <w:pPr>
              <w:pStyle w:val="ListParagraph"/>
              <w:numPr>
                <w:ilvl w:val="0"/>
                <w:numId w:val="37"/>
              </w:numPr>
              <w:jc w:val="center"/>
              <w:rPr>
                <w:b/>
                <w:i/>
              </w:rPr>
            </w:pPr>
            <w:r w:rsidRPr="0085006B">
              <w:rPr>
                <w:b/>
                <w:i/>
              </w:rPr>
              <w:t>Evidence of Extant Resilience Attributes</w:t>
            </w:r>
          </w:p>
          <w:p w14:paraId="393BC02B" w14:textId="77777777" w:rsidR="006D4A11" w:rsidRPr="006219DF" w:rsidRDefault="006D4A11" w:rsidP="006D4A11">
            <w:pPr>
              <w:rPr>
                <w:b/>
                <w:sz w:val="20"/>
                <w:szCs w:val="20"/>
              </w:rPr>
            </w:pPr>
          </w:p>
        </w:tc>
      </w:tr>
      <w:tr w:rsidR="006D4A11" w14:paraId="71B92ADA" w14:textId="77777777" w:rsidTr="006D4A11">
        <w:tc>
          <w:tcPr>
            <w:tcW w:w="2127" w:type="dxa"/>
          </w:tcPr>
          <w:p w14:paraId="16F5CD32" w14:textId="77777777" w:rsidR="006D4A11" w:rsidRPr="0003666A" w:rsidRDefault="006D4A11" w:rsidP="006D4A11">
            <w:pPr>
              <w:pStyle w:val="NormalWeb"/>
              <w:spacing w:before="0" w:beforeAutospacing="0" w:after="0" w:afterAutospacing="0"/>
              <w:rPr>
                <w:b/>
                <w:sz w:val="20"/>
                <w:szCs w:val="20"/>
              </w:rPr>
            </w:pPr>
            <w:r w:rsidRPr="006219DF">
              <w:rPr>
                <w:b/>
                <w:sz w:val="20"/>
                <w:szCs w:val="20"/>
              </w:rPr>
              <w:t>Resilience Attribute</w:t>
            </w:r>
          </w:p>
        </w:tc>
        <w:tc>
          <w:tcPr>
            <w:tcW w:w="11056" w:type="dxa"/>
          </w:tcPr>
          <w:p w14:paraId="6ECDA71E" w14:textId="77777777" w:rsidR="006D4A11" w:rsidRPr="00B74B2B" w:rsidRDefault="006D4A11" w:rsidP="006D4A11">
            <w:pPr>
              <w:jc w:val="both"/>
              <w:rPr>
                <w:i/>
                <w:sz w:val="20"/>
                <w:szCs w:val="20"/>
              </w:rPr>
            </w:pPr>
            <w:r>
              <w:rPr>
                <w:b/>
                <w:sz w:val="20"/>
                <w:szCs w:val="20"/>
              </w:rPr>
              <w:t>Sample Q</w:t>
            </w:r>
            <w:r w:rsidRPr="006219DF">
              <w:rPr>
                <w:b/>
                <w:sz w:val="20"/>
                <w:szCs w:val="20"/>
              </w:rPr>
              <w:t>uote</w:t>
            </w:r>
            <w:r>
              <w:rPr>
                <w:b/>
                <w:sz w:val="20"/>
                <w:szCs w:val="20"/>
              </w:rPr>
              <w:t>s from the Evidence</w:t>
            </w:r>
          </w:p>
        </w:tc>
        <w:tc>
          <w:tcPr>
            <w:tcW w:w="1559" w:type="dxa"/>
          </w:tcPr>
          <w:p w14:paraId="62910D54" w14:textId="77777777" w:rsidR="006D4A11" w:rsidRDefault="006D4A11" w:rsidP="006D4A11">
            <w:pPr>
              <w:rPr>
                <w:sz w:val="20"/>
                <w:szCs w:val="20"/>
              </w:rPr>
            </w:pPr>
            <w:r w:rsidRPr="006219DF">
              <w:rPr>
                <w:b/>
                <w:sz w:val="20"/>
                <w:szCs w:val="20"/>
              </w:rPr>
              <w:t>Sources</w:t>
            </w:r>
          </w:p>
        </w:tc>
      </w:tr>
      <w:tr w:rsidR="006D4A11" w:rsidRPr="00D36C8E" w14:paraId="0595ECCA" w14:textId="77777777" w:rsidTr="006D4A11">
        <w:tc>
          <w:tcPr>
            <w:tcW w:w="2127" w:type="dxa"/>
          </w:tcPr>
          <w:p w14:paraId="67ADD724" w14:textId="77777777" w:rsidR="006D4A11" w:rsidRPr="0003666A" w:rsidRDefault="006D4A11" w:rsidP="006D4A11">
            <w:pPr>
              <w:pStyle w:val="NormalWeb"/>
              <w:spacing w:before="0" w:beforeAutospacing="0" w:after="0" w:afterAutospacing="0"/>
              <w:rPr>
                <w:b/>
                <w:sz w:val="20"/>
                <w:szCs w:val="20"/>
              </w:rPr>
            </w:pPr>
            <w:r w:rsidRPr="00562129">
              <w:rPr>
                <w:b/>
                <w:sz w:val="20"/>
                <w:szCs w:val="20"/>
              </w:rPr>
              <w:t>Assets</w:t>
            </w:r>
            <w:r>
              <w:rPr>
                <w:sz w:val="20"/>
                <w:szCs w:val="20"/>
              </w:rPr>
              <w:t xml:space="preserve"> e.g. land, buildings, production capacity etc</w:t>
            </w:r>
          </w:p>
        </w:tc>
        <w:tc>
          <w:tcPr>
            <w:tcW w:w="11056" w:type="dxa"/>
          </w:tcPr>
          <w:p w14:paraId="13237A4A" w14:textId="77777777" w:rsidR="006D4A11" w:rsidRDefault="006D4A11" w:rsidP="006D4A11">
            <w:pPr>
              <w:pStyle w:val="NormalWeb"/>
              <w:spacing w:before="0" w:beforeAutospacing="0" w:after="0" w:afterAutospacing="0"/>
              <w:rPr>
                <w:i/>
                <w:sz w:val="20"/>
                <w:szCs w:val="20"/>
              </w:rPr>
            </w:pPr>
            <w:r w:rsidRPr="00BB1C84">
              <w:rPr>
                <w:i/>
                <w:sz w:val="20"/>
                <w:szCs w:val="20"/>
              </w:rPr>
              <w:t>"And land values have traditionally always been resilient in my career but, like I said earlier, that doesn’t mean to say they always will be. … That could affect the value of our assets." F1-I2</w:t>
            </w:r>
          </w:p>
          <w:p w14:paraId="5317262C" w14:textId="77777777" w:rsidR="006D4A11" w:rsidRPr="00B74B2B" w:rsidRDefault="006D4A11" w:rsidP="006D4A11">
            <w:pPr>
              <w:jc w:val="both"/>
              <w:rPr>
                <w:i/>
                <w:sz w:val="20"/>
                <w:szCs w:val="20"/>
              </w:rPr>
            </w:pPr>
            <w:r w:rsidRPr="00EF3656">
              <w:rPr>
                <w:i/>
                <w:sz w:val="20"/>
                <w:szCs w:val="20"/>
              </w:rPr>
              <w:t>"There’s no shortage of people that have invested off the farms too, so they’ve bought properties and they’ve become landlords, they’re letting residential properties. You see that in clusters. I’m not sure whether you’d see it here, but certainly Aberystwyth you see it a lot. It’s a university town and a lot of the farmers have bought up houses in Aberystwyth and let them to students. "</w:t>
            </w:r>
            <w:r>
              <w:rPr>
                <w:i/>
                <w:sz w:val="20"/>
                <w:szCs w:val="20"/>
              </w:rPr>
              <w:t xml:space="preserve"> NGO2</w:t>
            </w:r>
          </w:p>
        </w:tc>
        <w:tc>
          <w:tcPr>
            <w:tcW w:w="1559" w:type="dxa"/>
          </w:tcPr>
          <w:p w14:paraId="3A205627" w14:textId="77777777" w:rsidR="006D4A11" w:rsidRPr="004F2C8A" w:rsidRDefault="006D4A11" w:rsidP="006D4A11">
            <w:pPr>
              <w:rPr>
                <w:sz w:val="20"/>
                <w:szCs w:val="20"/>
                <w:lang w:val="it-IT"/>
              </w:rPr>
            </w:pPr>
            <w:r w:rsidRPr="004F2C8A">
              <w:rPr>
                <w:sz w:val="20"/>
                <w:szCs w:val="20"/>
                <w:lang w:val="it-IT"/>
              </w:rPr>
              <w:t>F1-I2, F3- I1, P2-I1, P3, P4, NGO2</w:t>
            </w:r>
          </w:p>
        </w:tc>
      </w:tr>
      <w:tr w:rsidR="006D4A11" w14:paraId="1F9B7045" w14:textId="77777777" w:rsidTr="006D4A11">
        <w:tc>
          <w:tcPr>
            <w:tcW w:w="2127" w:type="dxa"/>
          </w:tcPr>
          <w:p w14:paraId="63A9B3F5" w14:textId="77777777" w:rsidR="006D4A11" w:rsidRPr="0003666A" w:rsidRDefault="006D4A11" w:rsidP="006D4A11">
            <w:pPr>
              <w:pStyle w:val="NormalWeb"/>
              <w:spacing w:before="0" w:beforeAutospacing="0" w:after="0" w:afterAutospacing="0"/>
              <w:rPr>
                <w:b/>
                <w:sz w:val="20"/>
                <w:szCs w:val="20"/>
              </w:rPr>
            </w:pPr>
            <w:r w:rsidRPr="00562129">
              <w:rPr>
                <w:b/>
                <w:sz w:val="20"/>
                <w:szCs w:val="20"/>
              </w:rPr>
              <w:t>Government support</w:t>
            </w:r>
            <w:r>
              <w:rPr>
                <w:sz w:val="20"/>
                <w:szCs w:val="20"/>
              </w:rPr>
              <w:t xml:space="preserve"> </w:t>
            </w:r>
            <w:proofErr w:type="spellStart"/>
            <w:r>
              <w:rPr>
                <w:sz w:val="20"/>
                <w:szCs w:val="20"/>
              </w:rPr>
              <w:t>e.g.for</w:t>
            </w:r>
            <w:proofErr w:type="spellEnd"/>
            <w:r>
              <w:rPr>
                <w:sz w:val="20"/>
                <w:szCs w:val="20"/>
              </w:rPr>
              <w:t xml:space="preserve"> farming, due to food security needs, environmental stewardship needs and links to tourism.</w:t>
            </w:r>
          </w:p>
        </w:tc>
        <w:tc>
          <w:tcPr>
            <w:tcW w:w="11056" w:type="dxa"/>
          </w:tcPr>
          <w:p w14:paraId="0069AF26" w14:textId="77777777" w:rsidR="006D4A11" w:rsidRDefault="006D4A11" w:rsidP="006D4A11">
            <w:pPr>
              <w:pStyle w:val="NormalWeb"/>
              <w:spacing w:before="0" w:beforeAutospacing="0" w:after="0" w:afterAutospacing="0"/>
              <w:rPr>
                <w:i/>
                <w:sz w:val="20"/>
                <w:szCs w:val="20"/>
              </w:rPr>
            </w:pPr>
            <w:r w:rsidRPr="00EF3656">
              <w:rPr>
                <w:i/>
                <w:sz w:val="20"/>
                <w:szCs w:val="20"/>
              </w:rPr>
              <w:t>"I think in the future the sort of things that we probably get paid for cannot be classed as subsidy, we’ll be paid for providing a service, environmental announcements or public good, etc., "</w:t>
            </w:r>
            <w:r>
              <w:rPr>
                <w:i/>
                <w:sz w:val="20"/>
                <w:szCs w:val="20"/>
              </w:rPr>
              <w:t xml:space="preserve"> W1</w:t>
            </w:r>
          </w:p>
          <w:p w14:paraId="717102EB" w14:textId="77777777" w:rsidR="006D4A11" w:rsidRPr="00B74B2B" w:rsidRDefault="006D4A11" w:rsidP="006D4A11">
            <w:pPr>
              <w:jc w:val="both"/>
              <w:rPr>
                <w:i/>
                <w:sz w:val="20"/>
                <w:szCs w:val="20"/>
              </w:rPr>
            </w:pPr>
            <w:r>
              <w:rPr>
                <w:i/>
                <w:sz w:val="20"/>
                <w:szCs w:val="20"/>
              </w:rPr>
              <w:t>“</w:t>
            </w:r>
            <w:r w:rsidRPr="0015766A">
              <w:rPr>
                <w:i/>
                <w:sz w:val="20"/>
                <w:szCs w:val="20"/>
              </w:rPr>
              <w:t>you get the sense that there could be opportunity for the whole agricultural sector and horticultural sector for – … – discussions around national resilience and national food security and protecting UK industry, etc., etc."</w:t>
            </w:r>
            <w:r>
              <w:rPr>
                <w:i/>
                <w:sz w:val="20"/>
                <w:szCs w:val="20"/>
              </w:rPr>
              <w:t xml:space="preserve"> NGO3</w:t>
            </w:r>
          </w:p>
        </w:tc>
        <w:tc>
          <w:tcPr>
            <w:tcW w:w="1559" w:type="dxa"/>
          </w:tcPr>
          <w:p w14:paraId="1789E178" w14:textId="77777777" w:rsidR="006D4A11" w:rsidRDefault="006D4A11" w:rsidP="006D4A11">
            <w:pPr>
              <w:rPr>
                <w:sz w:val="20"/>
                <w:szCs w:val="20"/>
              </w:rPr>
            </w:pPr>
            <w:r>
              <w:rPr>
                <w:sz w:val="20"/>
                <w:szCs w:val="20"/>
              </w:rPr>
              <w:t>F3-I1, F3-I2, NGO3, W1</w:t>
            </w:r>
          </w:p>
        </w:tc>
      </w:tr>
      <w:tr w:rsidR="006D4A11" w:rsidRPr="00D36C8E" w14:paraId="2036E7EE" w14:textId="77777777" w:rsidTr="006D4A11">
        <w:tc>
          <w:tcPr>
            <w:tcW w:w="2127" w:type="dxa"/>
          </w:tcPr>
          <w:p w14:paraId="292EB8F8" w14:textId="77777777" w:rsidR="006D4A11" w:rsidRPr="0003666A" w:rsidRDefault="006D4A11" w:rsidP="006D4A11">
            <w:pPr>
              <w:pStyle w:val="NormalWeb"/>
              <w:spacing w:before="0" w:beforeAutospacing="0" w:after="0" w:afterAutospacing="0"/>
              <w:rPr>
                <w:b/>
                <w:sz w:val="20"/>
                <w:szCs w:val="20"/>
              </w:rPr>
            </w:pPr>
            <w:r w:rsidRPr="00562129">
              <w:rPr>
                <w:b/>
                <w:sz w:val="20"/>
                <w:szCs w:val="20"/>
              </w:rPr>
              <w:t>Entrepreneurial spirit</w:t>
            </w:r>
            <w:r>
              <w:rPr>
                <w:sz w:val="20"/>
                <w:szCs w:val="20"/>
              </w:rPr>
              <w:t xml:space="preserve"> e.g. to develop new suppliers with ‘quirky’ products</w:t>
            </w:r>
          </w:p>
        </w:tc>
        <w:tc>
          <w:tcPr>
            <w:tcW w:w="11056" w:type="dxa"/>
          </w:tcPr>
          <w:p w14:paraId="007ADAE3" w14:textId="77777777" w:rsidR="006D4A11" w:rsidRDefault="006D4A11" w:rsidP="006D4A11">
            <w:pPr>
              <w:pStyle w:val="NormalWeb"/>
              <w:spacing w:before="0" w:beforeAutospacing="0" w:after="0" w:afterAutospacing="0"/>
              <w:rPr>
                <w:i/>
                <w:sz w:val="20"/>
                <w:szCs w:val="20"/>
              </w:rPr>
            </w:pPr>
            <w:r w:rsidRPr="0015766A">
              <w:rPr>
                <w:i/>
                <w:sz w:val="20"/>
                <w:szCs w:val="20"/>
              </w:rPr>
              <w:t>"</w:t>
            </w:r>
            <w:r>
              <w:rPr>
                <w:sz w:val="20"/>
                <w:szCs w:val="20"/>
              </w:rPr>
              <w:t>[R3]</w:t>
            </w:r>
            <w:r w:rsidRPr="0015766A">
              <w:rPr>
                <w:i/>
                <w:sz w:val="20"/>
                <w:szCs w:val="20"/>
              </w:rPr>
              <w:t xml:space="preserve"> hosts quarterly what’s called a Meet the Buyer day and the purpose of that is to allow suppliers who have sub</w:t>
            </w:r>
            <w:r>
              <w:rPr>
                <w:i/>
                <w:sz w:val="20"/>
                <w:szCs w:val="20"/>
              </w:rPr>
              <w:t>mitted ideas in through a</w:t>
            </w:r>
            <w:proofErr w:type="gramStart"/>
            <w:r>
              <w:rPr>
                <w:i/>
                <w:sz w:val="20"/>
                <w:szCs w:val="20"/>
              </w:rPr>
              <w:t xml:space="preserve"> ..</w:t>
            </w:r>
            <w:proofErr w:type="gramEnd"/>
            <w:r w:rsidRPr="0015766A">
              <w:rPr>
                <w:i/>
                <w:sz w:val="20"/>
                <w:szCs w:val="20"/>
              </w:rPr>
              <w:t xml:space="preserve"> Meet </w:t>
            </w:r>
            <w:proofErr w:type="gramStart"/>
            <w:r w:rsidRPr="0015766A">
              <w:rPr>
                <w:i/>
                <w:sz w:val="20"/>
                <w:szCs w:val="20"/>
              </w:rPr>
              <w:t>The</w:t>
            </w:r>
            <w:proofErr w:type="gramEnd"/>
            <w:r w:rsidRPr="0015766A">
              <w:rPr>
                <w:i/>
                <w:sz w:val="20"/>
                <w:szCs w:val="20"/>
              </w:rPr>
              <w:t xml:space="preserve"> Buyer website portal, things that they believe we could do so much better than anybody else, and the kind of quirky ideas that some of them have got we’ll truly value. Those that are successful, we invite the buyers in to meet the buyer and showcase their product, so it’s a really interesting day because we’ll see certain things that we’ve never seen on the market before</w:t>
            </w:r>
            <w:r>
              <w:rPr>
                <w:i/>
                <w:sz w:val="20"/>
                <w:szCs w:val="20"/>
              </w:rPr>
              <w:t>” R3-I2</w:t>
            </w:r>
          </w:p>
          <w:p w14:paraId="042BF350" w14:textId="77777777" w:rsidR="006D4A11" w:rsidRPr="00B74B2B" w:rsidRDefault="006D4A11" w:rsidP="006D4A11">
            <w:pPr>
              <w:jc w:val="both"/>
              <w:rPr>
                <w:i/>
                <w:sz w:val="20"/>
                <w:szCs w:val="20"/>
              </w:rPr>
            </w:pPr>
            <w:r w:rsidRPr="0015766A">
              <w:rPr>
                <w:i/>
                <w:sz w:val="20"/>
                <w:szCs w:val="20"/>
              </w:rPr>
              <w:t>"Not only have we been first to market, we’ve also been almost like a test bed or a launch pad for companies that have subsequently grown to be suppliers to the whole of the UK</w:t>
            </w:r>
            <w:r>
              <w:rPr>
                <w:i/>
                <w:sz w:val="20"/>
                <w:szCs w:val="20"/>
              </w:rPr>
              <w:t>” R3-I3</w:t>
            </w:r>
          </w:p>
        </w:tc>
        <w:tc>
          <w:tcPr>
            <w:tcW w:w="1559" w:type="dxa"/>
          </w:tcPr>
          <w:p w14:paraId="2521E40F" w14:textId="77777777" w:rsidR="006D4A11" w:rsidRPr="004F2C8A" w:rsidRDefault="006D4A11" w:rsidP="006D4A11">
            <w:pPr>
              <w:rPr>
                <w:sz w:val="20"/>
                <w:szCs w:val="20"/>
                <w:lang w:val="it-IT"/>
              </w:rPr>
            </w:pPr>
            <w:r w:rsidRPr="004F2C8A">
              <w:rPr>
                <w:sz w:val="20"/>
                <w:szCs w:val="20"/>
                <w:lang w:val="it-IT"/>
              </w:rPr>
              <w:t>F1-I1, F1-I2, F2, F3-I1, R1, R3-I1, R3-I2, R3-I3, W1</w:t>
            </w:r>
          </w:p>
        </w:tc>
      </w:tr>
      <w:tr w:rsidR="006D4A11" w:rsidRPr="00D36C8E" w14:paraId="3192F316" w14:textId="77777777" w:rsidTr="006D4A11">
        <w:tc>
          <w:tcPr>
            <w:tcW w:w="2127" w:type="dxa"/>
          </w:tcPr>
          <w:p w14:paraId="756C4CCB" w14:textId="77777777" w:rsidR="006D4A11" w:rsidRPr="0003666A" w:rsidRDefault="006D4A11" w:rsidP="006D4A11">
            <w:pPr>
              <w:pStyle w:val="NormalWeb"/>
              <w:spacing w:before="0" w:beforeAutospacing="0" w:after="0" w:afterAutospacing="0"/>
              <w:rPr>
                <w:b/>
                <w:sz w:val="20"/>
                <w:szCs w:val="20"/>
              </w:rPr>
            </w:pPr>
            <w:r w:rsidRPr="00562129">
              <w:rPr>
                <w:b/>
                <w:sz w:val="20"/>
                <w:szCs w:val="20"/>
              </w:rPr>
              <w:lastRenderedPageBreak/>
              <w:t>Risk assessment and risk taking</w:t>
            </w:r>
            <w:r>
              <w:rPr>
                <w:sz w:val="20"/>
                <w:szCs w:val="20"/>
              </w:rPr>
              <w:t xml:space="preserve"> e.g. when entering new markets or assessing the potential impact of Brexit </w:t>
            </w:r>
          </w:p>
        </w:tc>
        <w:tc>
          <w:tcPr>
            <w:tcW w:w="11056" w:type="dxa"/>
          </w:tcPr>
          <w:p w14:paraId="56CAFA33" w14:textId="77777777" w:rsidR="006D4A11" w:rsidRDefault="006D4A11" w:rsidP="006D4A11">
            <w:pPr>
              <w:pStyle w:val="NormalWeb"/>
              <w:spacing w:before="0" w:beforeAutospacing="0" w:after="0" w:afterAutospacing="0"/>
              <w:rPr>
                <w:i/>
                <w:sz w:val="20"/>
                <w:szCs w:val="20"/>
              </w:rPr>
            </w:pPr>
            <w:r>
              <w:rPr>
                <w:i/>
                <w:sz w:val="20"/>
                <w:szCs w:val="20"/>
              </w:rPr>
              <w:t xml:space="preserve">"now </w:t>
            </w:r>
            <w:r>
              <w:rPr>
                <w:sz w:val="20"/>
                <w:szCs w:val="20"/>
              </w:rPr>
              <w:t>[F1’s]</w:t>
            </w:r>
            <w:r w:rsidRPr="0029404E">
              <w:rPr>
                <w:i/>
                <w:sz w:val="20"/>
                <w:szCs w:val="20"/>
              </w:rPr>
              <w:t xml:space="preserve"> challenge, and this is what will make or break him in terms of the beginning of his career, is to now turn </w:t>
            </w:r>
            <w:proofErr w:type="gramStart"/>
            <w:r w:rsidRPr="0029404E">
              <w:rPr>
                <w:i/>
                <w:sz w:val="20"/>
                <w:szCs w:val="20"/>
              </w:rPr>
              <w:t>round</w:t>
            </w:r>
            <w:proofErr w:type="gramEnd"/>
            <w:r w:rsidRPr="0029404E">
              <w:rPr>
                <w:i/>
                <w:sz w:val="20"/>
                <w:szCs w:val="20"/>
              </w:rPr>
              <w:t xml:space="preserve"> what happened in the last month and make a new market on the back of that, where we spread our risk across a number of different people. And I’ll be fascinated to see how that goes."</w:t>
            </w:r>
            <w:r>
              <w:rPr>
                <w:i/>
                <w:sz w:val="20"/>
                <w:szCs w:val="20"/>
              </w:rPr>
              <w:t xml:space="preserve"> F1-I2</w:t>
            </w:r>
          </w:p>
          <w:p w14:paraId="43ED4EB8" w14:textId="77777777" w:rsidR="006D4A11" w:rsidRPr="00B74B2B" w:rsidRDefault="006D4A11" w:rsidP="006D4A11">
            <w:pPr>
              <w:jc w:val="both"/>
              <w:rPr>
                <w:i/>
                <w:sz w:val="20"/>
                <w:szCs w:val="20"/>
              </w:rPr>
            </w:pPr>
            <w:r w:rsidRPr="0029404E">
              <w:rPr>
                <w:i/>
                <w:sz w:val="20"/>
                <w:szCs w:val="20"/>
              </w:rPr>
              <w:t>"It’s</w:t>
            </w:r>
            <w:r>
              <w:rPr>
                <w:i/>
                <w:sz w:val="20"/>
                <w:szCs w:val="20"/>
              </w:rPr>
              <w:t xml:space="preserve"> </w:t>
            </w:r>
            <w:r>
              <w:rPr>
                <w:sz w:val="20"/>
                <w:szCs w:val="20"/>
              </w:rPr>
              <w:t>[Brexit is]</w:t>
            </w:r>
            <w:r w:rsidRPr="0029404E">
              <w:rPr>
                <w:i/>
                <w:sz w:val="20"/>
                <w:szCs w:val="20"/>
              </w:rPr>
              <w:t xml:space="preserve"> a watching brief and it’s taking advice from people who are better placed than us. </w:t>
            </w:r>
            <w:proofErr w:type="gramStart"/>
            <w:r w:rsidRPr="0029404E">
              <w:rPr>
                <w:i/>
                <w:sz w:val="20"/>
                <w:szCs w:val="20"/>
              </w:rPr>
              <w:t>So</w:t>
            </w:r>
            <w:proofErr w:type="gramEnd"/>
            <w:r w:rsidRPr="0029404E">
              <w:rPr>
                <w:i/>
                <w:sz w:val="20"/>
                <w:szCs w:val="20"/>
              </w:rPr>
              <w:t xml:space="preserve"> it’s people within the financial community, banking, professional services organisations. It will be interesting to see, we have a global professional services company doing some work for us looking at risk. "</w:t>
            </w:r>
            <w:r>
              <w:rPr>
                <w:i/>
                <w:sz w:val="20"/>
                <w:szCs w:val="20"/>
              </w:rPr>
              <w:t xml:space="preserve"> P1</w:t>
            </w:r>
          </w:p>
        </w:tc>
        <w:tc>
          <w:tcPr>
            <w:tcW w:w="1559" w:type="dxa"/>
          </w:tcPr>
          <w:p w14:paraId="01F1BAAB" w14:textId="77777777" w:rsidR="006D4A11" w:rsidRPr="004F2C8A" w:rsidRDefault="006D4A11" w:rsidP="006D4A11">
            <w:pPr>
              <w:rPr>
                <w:sz w:val="20"/>
                <w:szCs w:val="20"/>
                <w:lang w:val="it-IT"/>
              </w:rPr>
            </w:pPr>
            <w:r w:rsidRPr="004F2C8A">
              <w:rPr>
                <w:sz w:val="20"/>
                <w:szCs w:val="20"/>
                <w:lang w:val="it-IT"/>
              </w:rPr>
              <w:t xml:space="preserve">F1-I2, F3-I2, P1, P3, R1, R4, </w:t>
            </w:r>
            <w:r>
              <w:rPr>
                <w:sz w:val="20"/>
                <w:szCs w:val="20"/>
                <w:lang w:val="it-IT"/>
              </w:rPr>
              <w:t xml:space="preserve"> NGO2</w:t>
            </w:r>
          </w:p>
        </w:tc>
      </w:tr>
      <w:tr w:rsidR="006D4A11" w14:paraId="0FAE2659" w14:textId="77777777" w:rsidTr="006D4A11">
        <w:tc>
          <w:tcPr>
            <w:tcW w:w="2127" w:type="dxa"/>
          </w:tcPr>
          <w:p w14:paraId="6D8458FA" w14:textId="77777777" w:rsidR="006D4A11" w:rsidRPr="0003666A" w:rsidRDefault="006D4A11" w:rsidP="006D4A11">
            <w:pPr>
              <w:pStyle w:val="NormalWeb"/>
              <w:spacing w:before="0" w:beforeAutospacing="0" w:after="0" w:afterAutospacing="0"/>
              <w:rPr>
                <w:b/>
                <w:sz w:val="20"/>
                <w:szCs w:val="20"/>
              </w:rPr>
            </w:pPr>
            <w:r w:rsidRPr="00562129">
              <w:rPr>
                <w:b/>
                <w:sz w:val="20"/>
                <w:szCs w:val="20"/>
              </w:rPr>
              <w:t>Supply chain relationships</w:t>
            </w:r>
            <w:r>
              <w:rPr>
                <w:sz w:val="20"/>
                <w:szCs w:val="20"/>
              </w:rPr>
              <w:t xml:space="preserve"> e.g. to communicate effectively to consumers and to ensure appropriate pricing for milk and lamb</w:t>
            </w:r>
          </w:p>
        </w:tc>
        <w:tc>
          <w:tcPr>
            <w:tcW w:w="11056" w:type="dxa"/>
          </w:tcPr>
          <w:p w14:paraId="09565254" w14:textId="77777777" w:rsidR="006D4A11" w:rsidRDefault="006D4A11" w:rsidP="006D4A11">
            <w:pPr>
              <w:pStyle w:val="NormalWeb"/>
              <w:spacing w:before="0" w:beforeAutospacing="0" w:after="0" w:afterAutospacing="0"/>
              <w:rPr>
                <w:i/>
                <w:sz w:val="20"/>
                <w:szCs w:val="20"/>
              </w:rPr>
            </w:pPr>
            <w:r w:rsidRPr="00562129">
              <w:rPr>
                <w:i/>
                <w:sz w:val="20"/>
                <w:szCs w:val="20"/>
              </w:rPr>
              <w:t>"I think one of the pleasurable things about our business is relaying that to our customers and being able to say “look our prices are like this because this is what we do. This is where our ingredients come from, and this is what we do, this is how we handle it and it is different”. It is a pleasure relaying that and telling the story. It helps businesses like ours survive really."</w:t>
            </w:r>
            <w:r>
              <w:rPr>
                <w:i/>
                <w:sz w:val="20"/>
                <w:szCs w:val="20"/>
              </w:rPr>
              <w:t xml:space="preserve"> P4</w:t>
            </w:r>
          </w:p>
          <w:p w14:paraId="4FA11C62" w14:textId="77777777" w:rsidR="006D4A11" w:rsidRPr="00B74B2B" w:rsidRDefault="006D4A11" w:rsidP="006D4A11">
            <w:pPr>
              <w:jc w:val="both"/>
              <w:rPr>
                <w:i/>
                <w:sz w:val="20"/>
                <w:szCs w:val="20"/>
              </w:rPr>
            </w:pPr>
            <w:r w:rsidRPr="00562129">
              <w:rPr>
                <w:i/>
                <w:sz w:val="20"/>
                <w:szCs w:val="20"/>
              </w:rPr>
              <w:t>"Very much what we try and do is deal directly with first-tier suppliers. Our objective is always to cut out the middleman because of the size of our business and go straight to source. We feel that it’s more transparent, we feel that it’s about maintaining the relationship with the first tier, so that we can work in partnership with them</w:t>
            </w:r>
            <w:r>
              <w:rPr>
                <w:i/>
                <w:sz w:val="20"/>
                <w:szCs w:val="20"/>
              </w:rPr>
              <w:t xml:space="preserve"> … </w:t>
            </w:r>
            <w:r w:rsidRPr="00C87317">
              <w:rPr>
                <w:i/>
                <w:sz w:val="20"/>
                <w:szCs w:val="20"/>
              </w:rPr>
              <w:t>we very much try and work with local suppliers where there’s a win-win solution for both."</w:t>
            </w:r>
            <w:r>
              <w:rPr>
                <w:i/>
                <w:sz w:val="20"/>
                <w:szCs w:val="20"/>
              </w:rPr>
              <w:t>” R3-I2</w:t>
            </w:r>
          </w:p>
        </w:tc>
        <w:tc>
          <w:tcPr>
            <w:tcW w:w="1559" w:type="dxa"/>
          </w:tcPr>
          <w:p w14:paraId="72CABA75" w14:textId="77777777" w:rsidR="006D4A11" w:rsidRPr="004F2C8A" w:rsidRDefault="006D4A11" w:rsidP="006D4A11">
            <w:pPr>
              <w:pStyle w:val="NormalWeb"/>
              <w:spacing w:before="0" w:beforeAutospacing="0" w:after="0" w:afterAutospacing="0"/>
              <w:rPr>
                <w:sz w:val="20"/>
                <w:szCs w:val="20"/>
                <w:lang w:val="it-IT"/>
              </w:rPr>
            </w:pPr>
            <w:r w:rsidRPr="004F2C8A">
              <w:rPr>
                <w:sz w:val="20"/>
                <w:szCs w:val="20"/>
                <w:lang w:val="it-IT"/>
              </w:rPr>
              <w:t>F1-I1, F2, P1, P2-I1, P4, R3-I1, R3-I2, R3-I3, R4, NGO1, NGO2, NGO3,</w:t>
            </w:r>
          </w:p>
          <w:p w14:paraId="6660190E" w14:textId="77777777" w:rsidR="006D4A11" w:rsidRDefault="006D4A11" w:rsidP="006D4A11">
            <w:pPr>
              <w:rPr>
                <w:sz w:val="20"/>
                <w:szCs w:val="20"/>
              </w:rPr>
            </w:pPr>
            <w:r>
              <w:rPr>
                <w:sz w:val="20"/>
                <w:szCs w:val="20"/>
              </w:rPr>
              <w:t>W1</w:t>
            </w:r>
          </w:p>
        </w:tc>
      </w:tr>
      <w:tr w:rsidR="006D4A11" w:rsidRPr="00D36C8E" w14:paraId="3C4B9F85" w14:textId="77777777" w:rsidTr="006D4A11">
        <w:tc>
          <w:tcPr>
            <w:tcW w:w="2127" w:type="dxa"/>
          </w:tcPr>
          <w:p w14:paraId="2701EC44" w14:textId="77777777" w:rsidR="006D4A11" w:rsidRPr="0003666A" w:rsidRDefault="006D4A11" w:rsidP="006D4A11">
            <w:pPr>
              <w:pStyle w:val="NormalWeb"/>
              <w:spacing w:before="0" w:beforeAutospacing="0" w:after="0" w:afterAutospacing="0"/>
              <w:rPr>
                <w:b/>
                <w:sz w:val="20"/>
                <w:szCs w:val="20"/>
              </w:rPr>
            </w:pPr>
            <w:r w:rsidRPr="00562129">
              <w:rPr>
                <w:b/>
                <w:sz w:val="20"/>
                <w:szCs w:val="20"/>
              </w:rPr>
              <w:t>Diversification</w:t>
            </w:r>
            <w:r>
              <w:rPr>
                <w:b/>
                <w:sz w:val="20"/>
                <w:szCs w:val="20"/>
              </w:rPr>
              <w:t xml:space="preserve"> </w:t>
            </w:r>
            <w:r>
              <w:rPr>
                <w:sz w:val="20"/>
                <w:szCs w:val="20"/>
              </w:rPr>
              <w:t>e.g. into other businesses, additional supply chain tiers, or new crops following market demand</w:t>
            </w:r>
          </w:p>
        </w:tc>
        <w:tc>
          <w:tcPr>
            <w:tcW w:w="11056" w:type="dxa"/>
          </w:tcPr>
          <w:p w14:paraId="0FD1AE92" w14:textId="77777777" w:rsidR="006D4A11" w:rsidRDefault="006D4A11" w:rsidP="006D4A11">
            <w:pPr>
              <w:pStyle w:val="NormalWeb"/>
              <w:spacing w:before="0" w:beforeAutospacing="0" w:after="0" w:afterAutospacing="0"/>
              <w:rPr>
                <w:i/>
                <w:sz w:val="20"/>
                <w:szCs w:val="20"/>
              </w:rPr>
            </w:pPr>
            <w:r w:rsidRPr="00770E11">
              <w:rPr>
                <w:i/>
                <w:sz w:val="20"/>
                <w:szCs w:val="20"/>
              </w:rPr>
              <w:t xml:space="preserve">"the development of </w:t>
            </w:r>
            <w:r>
              <w:rPr>
                <w:sz w:val="20"/>
                <w:szCs w:val="20"/>
              </w:rPr>
              <w:t xml:space="preserve">[the farm shop and factory unit </w:t>
            </w:r>
            <w:proofErr w:type="gramStart"/>
            <w:r>
              <w:rPr>
                <w:sz w:val="20"/>
                <w:szCs w:val="20"/>
              </w:rPr>
              <w:t>complex]</w:t>
            </w:r>
            <w:r w:rsidRPr="00770E11">
              <w:rPr>
                <w:i/>
                <w:sz w:val="20"/>
                <w:szCs w:val="20"/>
              </w:rPr>
              <w:t>…</w:t>
            </w:r>
            <w:proofErr w:type="gramEnd"/>
            <w:r w:rsidRPr="00770E11">
              <w:rPr>
                <w:i/>
                <w:sz w:val="20"/>
                <w:szCs w:val="20"/>
              </w:rPr>
              <w:t xml:space="preserve"> got me out of the farmyard with another project of diversification to take the business forward"</w:t>
            </w:r>
            <w:r>
              <w:rPr>
                <w:i/>
                <w:sz w:val="20"/>
                <w:szCs w:val="20"/>
              </w:rPr>
              <w:t xml:space="preserve"> F3-I1</w:t>
            </w:r>
          </w:p>
          <w:p w14:paraId="7A22BD8D" w14:textId="77777777" w:rsidR="006D4A11" w:rsidRDefault="006D4A11" w:rsidP="006D4A11">
            <w:pPr>
              <w:pStyle w:val="NormalWeb"/>
              <w:spacing w:before="0" w:beforeAutospacing="0" w:after="0" w:afterAutospacing="0"/>
              <w:rPr>
                <w:i/>
                <w:sz w:val="20"/>
                <w:szCs w:val="20"/>
              </w:rPr>
            </w:pPr>
            <w:r w:rsidRPr="000C3D9D">
              <w:rPr>
                <w:i/>
                <w:sz w:val="20"/>
                <w:szCs w:val="20"/>
              </w:rPr>
              <w:t xml:space="preserve">"We have a big range of Jewish foods in the counter, because the population in the </w:t>
            </w:r>
            <w:r>
              <w:rPr>
                <w:i/>
                <w:sz w:val="20"/>
                <w:szCs w:val="20"/>
              </w:rPr>
              <w:t>…</w:t>
            </w:r>
            <w:r w:rsidRPr="000C3D9D">
              <w:rPr>
                <w:i/>
                <w:sz w:val="20"/>
                <w:szCs w:val="20"/>
              </w:rPr>
              <w:t xml:space="preserve"> area does have more Jewish customers. We’ve not done that before in other regions, but where there’s a dense population of certain cultural or religious values, then we will</w:t>
            </w:r>
            <w:r>
              <w:rPr>
                <w:i/>
                <w:sz w:val="20"/>
                <w:szCs w:val="20"/>
              </w:rPr>
              <w:t xml:space="preserve"> put more products of that type” R3-I2</w:t>
            </w:r>
          </w:p>
          <w:p w14:paraId="21CEB200" w14:textId="77777777" w:rsidR="006D4A11" w:rsidRDefault="006D4A11" w:rsidP="006D4A11">
            <w:pPr>
              <w:pStyle w:val="NormalWeb"/>
              <w:spacing w:before="0" w:beforeAutospacing="0" w:after="0" w:afterAutospacing="0"/>
              <w:rPr>
                <w:i/>
                <w:sz w:val="20"/>
                <w:szCs w:val="20"/>
              </w:rPr>
            </w:pPr>
            <w:r w:rsidRPr="00195883">
              <w:rPr>
                <w:i/>
                <w:sz w:val="20"/>
                <w:szCs w:val="20"/>
              </w:rPr>
              <w:t xml:space="preserve">"So, we had </w:t>
            </w:r>
            <w:proofErr w:type="spellStart"/>
            <w:r w:rsidRPr="00195883">
              <w:rPr>
                <w:i/>
                <w:sz w:val="20"/>
                <w:szCs w:val="20"/>
              </w:rPr>
              <w:t>Charollais</w:t>
            </w:r>
            <w:proofErr w:type="spellEnd"/>
            <w:r w:rsidRPr="00195883">
              <w:rPr>
                <w:i/>
                <w:sz w:val="20"/>
                <w:szCs w:val="20"/>
              </w:rPr>
              <w:t xml:space="preserve"> sheep and Charolais cattle. Those breeds were imported from Europe because of the desire at that time for lean meat. Everybody was talking about lean diets, less fat and that"</w:t>
            </w:r>
            <w:r>
              <w:rPr>
                <w:i/>
                <w:sz w:val="20"/>
                <w:szCs w:val="20"/>
              </w:rPr>
              <w:t xml:space="preserve"> F3-I1</w:t>
            </w:r>
          </w:p>
          <w:p w14:paraId="118F7382" w14:textId="77777777" w:rsidR="006D4A11" w:rsidRPr="00B74B2B" w:rsidRDefault="006D4A11" w:rsidP="006D4A11">
            <w:pPr>
              <w:jc w:val="both"/>
              <w:rPr>
                <w:i/>
                <w:sz w:val="20"/>
                <w:szCs w:val="20"/>
              </w:rPr>
            </w:pPr>
            <w:r>
              <w:rPr>
                <w:i/>
                <w:sz w:val="20"/>
                <w:szCs w:val="20"/>
              </w:rPr>
              <w:t>“</w:t>
            </w:r>
            <w:r w:rsidRPr="00770E11">
              <w:rPr>
                <w:i/>
                <w:sz w:val="20"/>
                <w:szCs w:val="20"/>
              </w:rPr>
              <w:t xml:space="preserve">I think arable will survive because equally if you’ve got arable land it will lend itself to other sorts of </w:t>
            </w:r>
            <w:proofErr w:type="gramStart"/>
            <w:r w:rsidRPr="00770E11">
              <w:rPr>
                <w:i/>
                <w:sz w:val="20"/>
                <w:szCs w:val="20"/>
              </w:rPr>
              <w:t>things</w:t>
            </w:r>
            <w:proofErr w:type="gramEnd"/>
            <w:r w:rsidRPr="00770E11">
              <w:rPr>
                <w:i/>
                <w:sz w:val="20"/>
                <w:szCs w:val="20"/>
              </w:rPr>
              <w:t xml:space="preserve"> so you could do other sorts of things potentially, grow other crops you know just for the market. "</w:t>
            </w:r>
            <w:r>
              <w:rPr>
                <w:i/>
                <w:sz w:val="20"/>
                <w:szCs w:val="20"/>
              </w:rPr>
              <w:t xml:space="preserve"> NGO1</w:t>
            </w:r>
          </w:p>
        </w:tc>
        <w:tc>
          <w:tcPr>
            <w:tcW w:w="1559" w:type="dxa"/>
          </w:tcPr>
          <w:p w14:paraId="474EFCF8" w14:textId="77777777" w:rsidR="006D4A11" w:rsidRPr="004F2C8A" w:rsidRDefault="006D4A11" w:rsidP="006D4A11">
            <w:pPr>
              <w:rPr>
                <w:sz w:val="20"/>
                <w:szCs w:val="20"/>
                <w:lang w:val="it-IT"/>
              </w:rPr>
            </w:pPr>
            <w:r w:rsidRPr="004F2C8A">
              <w:rPr>
                <w:sz w:val="20"/>
                <w:szCs w:val="20"/>
                <w:lang w:val="it-IT"/>
              </w:rPr>
              <w:t>F1-I1, F2, F3-I1, P2-I1, R3-I2, R1, R3-I3, NGO1, NGO2, NGO3, W1,W2</w:t>
            </w:r>
          </w:p>
        </w:tc>
      </w:tr>
    </w:tbl>
    <w:p w14:paraId="7FD7A241" w14:textId="281D9640" w:rsidR="006D4A11" w:rsidRDefault="006D4A11" w:rsidP="00A25982">
      <w:pPr>
        <w:pStyle w:val="NormalWeb"/>
        <w:spacing w:before="0" w:beforeAutospacing="0" w:after="0" w:afterAutospacing="0"/>
        <w:jc w:val="both"/>
        <w:rPr>
          <w:rFonts w:ascii="Arial" w:hAnsi="Arial" w:cs="Arial"/>
        </w:rPr>
      </w:pPr>
    </w:p>
    <w:p w14:paraId="49078510" w14:textId="70FE926E" w:rsidR="006D4A11" w:rsidRDefault="006D4A11" w:rsidP="00A25982">
      <w:pPr>
        <w:pStyle w:val="NormalWeb"/>
        <w:spacing w:before="0" w:beforeAutospacing="0" w:after="0" w:afterAutospacing="0"/>
        <w:jc w:val="both"/>
        <w:rPr>
          <w:rFonts w:ascii="Arial" w:hAnsi="Arial" w:cs="Arial"/>
        </w:rPr>
        <w:sectPr w:rsidR="006D4A11" w:rsidSect="006D4A11">
          <w:pgSz w:w="16838" w:h="11906" w:orient="landscape"/>
          <w:pgMar w:top="1701" w:right="1701" w:bottom="1701" w:left="1134" w:header="709" w:footer="709" w:gutter="0"/>
          <w:cols w:space="708"/>
          <w:docGrid w:linePitch="360"/>
        </w:sectPr>
      </w:pPr>
    </w:p>
    <w:p w14:paraId="72822533" w14:textId="698B445B" w:rsidR="00B43B2F" w:rsidRPr="00A25982" w:rsidRDefault="00404F27" w:rsidP="00A25982">
      <w:pPr>
        <w:pStyle w:val="NormalWeb"/>
        <w:spacing w:before="0" w:beforeAutospacing="0" w:after="0" w:afterAutospacing="0"/>
        <w:jc w:val="both"/>
        <w:rPr>
          <w:rFonts w:ascii="Arial" w:hAnsi="Arial" w:cs="Arial"/>
          <w:i/>
        </w:rPr>
      </w:pPr>
      <w:r w:rsidRPr="00A25982">
        <w:rPr>
          <w:rFonts w:ascii="Arial" w:hAnsi="Arial" w:cs="Arial"/>
          <w:i/>
        </w:rPr>
        <w:lastRenderedPageBreak/>
        <w:t xml:space="preserve">4.1. </w:t>
      </w:r>
      <w:r w:rsidR="00292E1A" w:rsidRPr="00A25982">
        <w:rPr>
          <w:rFonts w:ascii="Arial" w:hAnsi="Arial" w:cs="Arial"/>
          <w:i/>
        </w:rPr>
        <w:t xml:space="preserve">Sensing </w:t>
      </w:r>
      <w:r w:rsidR="00DC438A" w:rsidRPr="00A25982">
        <w:rPr>
          <w:rFonts w:ascii="Arial" w:hAnsi="Arial" w:cs="Arial"/>
          <w:i/>
        </w:rPr>
        <w:t>C</w:t>
      </w:r>
      <w:r w:rsidR="00B43B2F" w:rsidRPr="00A25982">
        <w:rPr>
          <w:rFonts w:ascii="Arial" w:hAnsi="Arial" w:cs="Arial"/>
          <w:i/>
        </w:rPr>
        <w:t xml:space="preserve">hallenges and </w:t>
      </w:r>
      <w:r w:rsidR="00DC438A" w:rsidRPr="00A25982">
        <w:rPr>
          <w:rFonts w:ascii="Arial" w:hAnsi="Arial" w:cs="Arial"/>
          <w:i/>
        </w:rPr>
        <w:t>T</w:t>
      </w:r>
      <w:r w:rsidR="00854115" w:rsidRPr="00A25982">
        <w:rPr>
          <w:rFonts w:ascii="Arial" w:hAnsi="Arial" w:cs="Arial"/>
          <w:i/>
        </w:rPr>
        <w:t>hreats</w:t>
      </w:r>
      <w:r w:rsidR="00B43B2F" w:rsidRPr="00A25982">
        <w:rPr>
          <w:rFonts w:ascii="Arial" w:hAnsi="Arial" w:cs="Arial"/>
          <w:i/>
        </w:rPr>
        <w:t xml:space="preserve"> </w:t>
      </w:r>
      <w:r w:rsidR="00DC438A" w:rsidRPr="00A25982">
        <w:rPr>
          <w:rFonts w:ascii="Arial" w:hAnsi="Arial" w:cs="Arial"/>
          <w:i/>
        </w:rPr>
        <w:t>S</w:t>
      </w:r>
      <w:r w:rsidR="00D62412" w:rsidRPr="00A25982">
        <w:rPr>
          <w:rFonts w:ascii="Arial" w:hAnsi="Arial" w:cs="Arial"/>
          <w:i/>
        </w:rPr>
        <w:t>urrounding Brexit</w:t>
      </w:r>
    </w:p>
    <w:p w14:paraId="05DA1AAE" w14:textId="330A63DB" w:rsidR="0064178A" w:rsidRPr="00A25982" w:rsidRDefault="0064178A" w:rsidP="00A25982">
      <w:pPr>
        <w:pStyle w:val="NormalWeb"/>
        <w:spacing w:before="0" w:beforeAutospacing="0" w:after="0" w:afterAutospacing="0"/>
        <w:jc w:val="both"/>
        <w:rPr>
          <w:rFonts w:ascii="Arial" w:hAnsi="Arial" w:cs="Arial"/>
        </w:rPr>
      </w:pPr>
      <w:r w:rsidRPr="00A25982">
        <w:rPr>
          <w:rFonts w:ascii="Arial" w:hAnsi="Arial" w:cs="Arial"/>
        </w:rPr>
        <w:t xml:space="preserve">The main challenges/threats identified </w:t>
      </w:r>
      <w:r w:rsidR="00DC182A" w:rsidRPr="00A25982">
        <w:rPr>
          <w:rFonts w:ascii="Arial" w:hAnsi="Arial" w:cs="Arial"/>
        </w:rPr>
        <w:t xml:space="preserve">from the cases </w:t>
      </w:r>
      <w:r w:rsidRPr="00A25982">
        <w:rPr>
          <w:rFonts w:ascii="Arial" w:hAnsi="Arial" w:cs="Arial"/>
        </w:rPr>
        <w:t>can b</w:t>
      </w:r>
      <w:r w:rsidR="00B45F3F" w:rsidRPr="00A25982">
        <w:rPr>
          <w:rFonts w:ascii="Arial" w:hAnsi="Arial" w:cs="Arial"/>
        </w:rPr>
        <w:t>e summarised as follows</w:t>
      </w:r>
      <w:r w:rsidRPr="00A25982">
        <w:rPr>
          <w:rFonts w:ascii="Arial" w:hAnsi="Arial" w:cs="Arial"/>
        </w:rPr>
        <w:t>:</w:t>
      </w:r>
    </w:p>
    <w:p w14:paraId="1B3E3026" w14:textId="77777777" w:rsidR="0064178A" w:rsidRPr="00A25982" w:rsidRDefault="00331DBB"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A (w</w:t>
      </w:r>
      <w:r w:rsidR="0064178A" w:rsidRPr="00A25982">
        <w:rPr>
          <w:rFonts w:ascii="Arial" w:hAnsi="Arial" w:cs="Arial"/>
        </w:rPr>
        <w:t>orse</w:t>
      </w:r>
      <w:r w:rsidRPr="00A25982">
        <w:rPr>
          <w:rFonts w:ascii="Arial" w:hAnsi="Arial" w:cs="Arial"/>
        </w:rPr>
        <w:t>)</w:t>
      </w:r>
      <w:r w:rsidR="0064178A" w:rsidRPr="00A25982">
        <w:rPr>
          <w:rFonts w:ascii="Arial" w:hAnsi="Arial" w:cs="Arial"/>
        </w:rPr>
        <w:t xml:space="preserve"> replacement of the CAP (Common Agricultural Policy) and the associated subsidies for farmers;</w:t>
      </w:r>
    </w:p>
    <w:p w14:paraId="3BC9D85A" w14:textId="6AD96714" w:rsidR="0064178A" w:rsidRPr="00A25982" w:rsidRDefault="0064178A"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noProof/>
        </w:rPr>
        <w:t>Uncertainty leading</w:t>
      </w:r>
      <w:r w:rsidR="00331DBB" w:rsidRPr="00A25982">
        <w:rPr>
          <w:rFonts w:ascii="Arial" w:hAnsi="Arial" w:cs="Arial"/>
          <w:noProof/>
        </w:rPr>
        <w:t>,</w:t>
      </w:r>
      <w:r w:rsidRPr="00A25982">
        <w:rPr>
          <w:rFonts w:ascii="Arial" w:hAnsi="Arial" w:cs="Arial"/>
          <w:noProof/>
        </w:rPr>
        <w:t xml:space="preserve"> for example</w:t>
      </w:r>
      <w:r w:rsidR="00331DBB" w:rsidRPr="00A25982">
        <w:rPr>
          <w:rFonts w:ascii="Arial" w:hAnsi="Arial" w:cs="Arial"/>
          <w:noProof/>
        </w:rPr>
        <w:t>,</w:t>
      </w:r>
      <w:r w:rsidRPr="00A25982">
        <w:rPr>
          <w:rFonts w:ascii="Arial" w:hAnsi="Arial" w:cs="Arial"/>
          <w:noProof/>
        </w:rPr>
        <w:t xml:space="preserve"> to</w:t>
      </w:r>
      <w:r w:rsidR="00DC182A" w:rsidRPr="00A25982">
        <w:rPr>
          <w:rFonts w:ascii="Arial" w:hAnsi="Arial" w:cs="Arial"/>
          <w:noProof/>
        </w:rPr>
        <w:t xml:space="preserve"> a</w:t>
      </w:r>
      <w:r w:rsidRPr="00A25982">
        <w:rPr>
          <w:rFonts w:ascii="Arial" w:hAnsi="Arial" w:cs="Arial"/>
          <w:noProof/>
        </w:rPr>
        <w:t xml:space="preserve"> lack of investment confidence</w:t>
      </w:r>
      <w:r w:rsidRPr="00A25982">
        <w:rPr>
          <w:rFonts w:ascii="Arial" w:hAnsi="Arial" w:cs="Arial"/>
        </w:rPr>
        <w:t>;</w:t>
      </w:r>
    </w:p>
    <w:p w14:paraId="497DD787" w14:textId="77777777" w:rsidR="0064178A" w:rsidRPr="00A25982" w:rsidRDefault="0064178A"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Poorer international trade agreements;</w:t>
      </w:r>
    </w:p>
    <w:p w14:paraId="7BC21FEB" w14:textId="77777777" w:rsidR="0064178A" w:rsidRPr="00A25982" w:rsidRDefault="0064178A"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Labour shortages;</w:t>
      </w:r>
    </w:p>
    <w:p w14:paraId="614F7E51" w14:textId="77777777" w:rsidR="0064178A" w:rsidRPr="00A25982" w:rsidRDefault="0064178A"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Food price inflation;</w:t>
      </w:r>
    </w:p>
    <w:p w14:paraId="41ADE4AF" w14:textId="77777777" w:rsidR="0064178A" w:rsidRPr="00A25982" w:rsidRDefault="0064178A"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Fewer family farms;</w:t>
      </w:r>
    </w:p>
    <w:p w14:paraId="472ADFB2" w14:textId="00978EBF" w:rsidR="0064178A" w:rsidRPr="00A25982" w:rsidRDefault="00671379"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 xml:space="preserve">A lack </w:t>
      </w:r>
      <w:r w:rsidR="0064178A" w:rsidRPr="00A25982">
        <w:rPr>
          <w:rFonts w:ascii="Arial" w:hAnsi="Arial" w:cs="Arial"/>
        </w:rPr>
        <w:t>of voice for the farming community;</w:t>
      </w:r>
    </w:p>
    <w:p w14:paraId="52D48C80" w14:textId="77777777" w:rsidR="0064178A" w:rsidRPr="00A25982" w:rsidRDefault="0064178A" w:rsidP="00A25982">
      <w:pPr>
        <w:pStyle w:val="NormalWeb"/>
        <w:numPr>
          <w:ilvl w:val="0"/>
          <w:numId w:val="30"/>
        </w:numPr>
        <w:spacing w:before="0" w:beforeAutospacing="0" w:after="0" w:afterAutospacing="0"/>
        <w:ind w:left="426" w:hanging="426"/>
        <w:jc w:val="both"/>
        <w:rPr>
          <w:rFonts w:ascii="Arial" w:hAnsi="Arial" w:cs="Arial"/>
        </w:rPr>
      </w:pPr>
      <w:r w:rsidRPr="00A25982">
        <w:rPr>
          <w:rFonts w:ascii="Arial" w:hAnsi="Arial" w:cs="Arial"/>
        </w:rPr>
        <w:t>Currency effects.</w:t>
      </w:r>
    </w:p>
    <w:p w14:paraId="49BA5564" w14:textId="77777777" w:rsidR="00842CB3" w:rsidRPr="00A25982" w:rsidRDefault="00842CB3" w:rsidP="00A25982">
      <w:pPr>
        <w:pStyle w:val="NormalWeb"/>
        <w:spacing w:before="0" w:beforeAutospacing="0" w:after="0" w:afterAutospacing="0"/>
        <w:jc w:val="both"/>
        <w:rPr>
          <w:rFonts w:ascii="Arial" w:hAnsi="Arial" w:cs="Arial"/>
          <w:sz w:val="12"/>
          <w:szCs w:val="12"/>
        </w:rPr>
      </w:pPr>
    </w:p>
    <w:p w14:paraId="3F1EE65D" w14:textId="5078FCCC" w:rsidR="00766D36" w:rsidRPr="00A25982" w:rsidRDefault="00D20A97" w:rsidP="00A25982">
      <w:pPr>
        <w:pStyle w:val="NormalWeb"/>
        <w:spacing w:before="0" w:beforeAutospacing="0" w:after="0" w:afterAutospacing="0"/>
        <w:ind w:firstLine="284"/>
        <w:jc w:val="both"/>
        <w:rPr>
          <w:rFonts w:ascii="Arial" w:hAnsi="Arial" w:cs="Arial"/>
        </w:rPr>
      </w:pPr>
      <w:r w:rsidRPr="00A25982">
        <w:rPr>
          <w:rFonts w:ascii="Arial" w:hAnsi="Arial" w:cs="Arial"/>
        </w:rPr>
        <w:t xml:space="preserve">The evidence </w:t>
      </w:r>
      <w:r w:rsidR="001B0BBE" w:rsidRPr="00A25982">
        <w:rPr>
          <w:rFonts w:ascii="Arial" w:hAnsi="Arial" w:cs="Arial"/>
        </w:rPr>
        <w:t xml:space="preserve">for each of these </w:t>
      </w:r>
      <w:r w:rsidRPr="00A25982">
        <w:rPr>
          <w:rFonts w:ascii="Arial" w:hAnsi="Arial" w:cs="Arial"/>
        </w:rPr>
        <w:t>challenges/threats is summarised</w:t>
      </w:r>
      <w:r w:rsidR="001B0BBE" w:rsidRPr="00A25982">
        <w:rPr>
          <w:rFonts w:ascii="Arial" w:hAnsi="Arial" w:cs="Arial"/>
        </w:rPr>
        <w:t xml:space="preserve"> in </w:t>
      </w:r>
      <w:r w:rsidR="00893B76" w:rsidRPr="00A25982">
        <w:rPr>
          <w:rFonts w:ascii="Arial" w:hAnsi="Arial" w:cs="Arial"/>
        </w:rPr>
        <w:t xml:space="preserve">part (a) of </w:t>
      </w:r>
      <w:r w:rsidR="001B0BBE" w:rsidRPr="00A25982">
        <w:rPr>
          <w:rFonts w:ascii="Arial" w:hAnsi="Arial" w:cs="Arial"/>
        </w:rPr>
        <w:t xml:space="preserve">Table </w:t>
      </w:r>
      <w:r w:rsidR="00963AA7" w:rsidRPr="00A25982">
        <w:rPr>
          <w:rFonts w:ascii="Arial" w:hAnsi="Arial" w:cs="Arial"/>
        </w:rPr>
        <w:t>3</w:t>
      </w:r>
      <w:r w:rsidR="001B0BBE" w:rsidRPr="00A25982">
        <w:rPr>
          <w:rFonts w:ascii="Arial" w:hAnsi="Arial" w:cs="Arial"/>
        </w:rPr>
        <w:t>.</w:t>
      </w:r>
      <w:r w:rsidR="00F71AC8" w:rsidRPr="00A25982">
        <w:rPr>
          <w:rFonts w:ascii="Arial" w:hAnsi="Arial" w:cs="Arial"/>
        </w:rPr>
        <w:t xml:space="preserve"> </w:t>
      </w:r>
      <w:r w:rsidR="00D81E26" w:rsidRPr="00A25982">
        <w:rPr>
          <w:rFonts w:ascii="Arial" w:hAnsi="Arial" w:cs="Arial"/>
        </w:rPr>
        <w:t>A</w:t>
      </w:r>
      <w:r w:rsidR="00766D36" w:rsidRPr="00A25982">
        <w:rPr>
          <w:rFonts w:ascii="Arial" w:hAnsi="Arial" w:cs="Arial"/>
        </w:rPr>
        <w:t xml:space="preserve">s discussed below, these factors all have the potential </w:t>
      </w:r>
      <w:r w:rsidR="00AC7ADD" w:rsidRPr="00A25982">
        <w:rPr>
          <w:rFonts w:ascii="Arial" w:hAnsi="Arial" w:cs="Arial"/>
        </w:rPr>
        <w:t xml:space="preserve">to </w:t>
      </w:r>
      <w:r w:rsidR="00671379" w:rsidRPr="00A25982">
        <w:rPr>
          <w:rFonts w:ascii="Arial" w:hAnsi="Arial" w:cs="Arial"/>
        </w:rPr>
        <w:t xml:space="preserve">have </w:t>
      </w:r>
      <w:r w:rsidR="00AC7ADD" w:rsidRPr="00A25982">
        <w:rPr>
          <w:rFonts w:ascii="Arial" w:hAnsi="Arial" w:cs="Arial"/>
        </w:rPr>
        <w:t xml:space="preserve">a significant impact </w:t>
      </w:r>
      <w:r w:rsidR="00AC7ADD" w:rsidRPr="00A25982">
        <w:rPr>
          <w:rFonts w:ascii="Arial" w:hAnsi="Arial" w:cs="Arial"/>
          <w:noProof/>
        </w:rPr>
        <w:t>on</w:t>
      </w:r>
      <w:r w:rsidR="00946246" w:rsidRPr="00A25982">
        <w:rPr>
          <w:rFonts w:ascii="Arial" w:hAnsi="Arial" w:cs="Arial"/>
          <w:noProof/>
        </w:rPr>
        <w:t>:</w:t>
      </w:r>
      <w:r w:rsidR="00946246" w:rsidRPr="00A25982">
        <w:rPr>
          <w:rFonts w:ascii="Arial" w:hAnsi="Arial" w:cs="Arial"/>
        </w:rPr>
        <w:t xml:space="preserve"> supply chain prices;</w:t>
      </w:r>
      <w:r w:rsidR="00766D36" w:rsidRPr="00A25982">
        <w:rPr>
          <w:rFonts w:ascii="Arial" w:hAnsi="Arial" w:cs="Arial"/>
        </w:rPr>
        <w:t xml:space="preserve"> </w:t>
      </w:r>
      <w:r w:rsidR="00946246" w:rsidRPr="00A25982">
        <w:rPr>
          <w:rFonts w:ascii="Arial" w:hAnsi="Arial" w:cs="Arial"/>
        </w:rPr>
        <w:t>supply chain social and environmental sustainability;</w:t>
      </w:r>
      <w:r w:rsidR="00766D36" w:rsidRPr="00A25982">
        <w:rPr>
          <w:rFonts w:ascii="Arial" w:hAnsi="Arial" w:cs="Arial"/>
        </w:rPr>
        <w:t xml:space="preserve"> and </w:t>
      </w:r>
      <w:proofErr w:type="gramStart"/>
      <w:r w:rsidR="00766D36" w:rsidRPr="00A25982">
        <w:rPr>
          <w:rFonts w:ascii="Arial" w:hAnsi="Arial" w:cs="Arial"/>
        </w:rPr>
        <w:t>therefore</w:t>
      </w:r>
      <w:proofErr w:type="gramEnd"/>
      <w:r w:rsidR="00766D36" w:rsidRPr="00A25982">
        <w:rPr>
          <w:rFonts w:ascii="Arial" w:hAnsi="Arial" w:cs="Arial"/>
        </w:rPr>
        <w:t xml:space="preserve"> on local food supply</w:t>
      </w:r>
      <w:r w:rsidR="00AC7ADD" w:rsidRPr="00A25982">
        <w:rPr>
          <w:rFonts w:ascii="Arial" w:hAnsi="Arial" w:cs="Arial"/>
        </w:rPr>
        <w:t xml:space="preserve"> and its </w:t>
      </w:r>
      <w:r w:rsidR="00517CC2" w:rsidRPr="00A25982">
        <w:rPr>
          <w:rFonts w:ascii="Arial" w:hAnsi="Arial" w:cs="Arial"/>
        </w:rPr>
        <w:t>resilience</w:t>
      </w:r>
      <w:r w:rsidR="00766D36" w:rsidRPr="00A25982">
        <w:rPr>
          <w:rFonts w:ascii="Arial" w:hAnsi="Arial" w:cs="Arial"/>
        </w:rPr>
        <w:t>.</w:t>
      </w:r>
      <w:r w:rsidR="00F71AC8" w:rsidRPr="00A25982">
        <w:rPr>
          <w:rFonts w:ascii="Arial" w:hAnsi="Arial" w:cs="Arial"/>
        </w:rPr>
        <w:t xml:space="preserve"> </w:t>
      </w:r>
    </w:p>
    <w:p w14:paraId="1F784BCA" w14:textId="21F3A304" w:rsidR="00766D36" w:rsidRPr="00A25982" w:rsidRDefault="00766D36" w:rsidP="00A25982">
      <w:pPr>
        <w:pStyle w:val="NormalWeb"/>
        <w:spacing w:before="0" w:beforeAutospacing="0" w:after="0" w:afterAutospacing="0"/>
        <w:ind w:firstLine="284"/>
        <w:jc w:val="both"/>
        <w:rPr>
          <w:rFonts w:ascii="Arial" w:hAnsi="Arial" w:cs="Arial"/>
        </w:rPr>
      </w:pPr>
      <w:r w:rsidRPr="00A25982">
        <w:rPr>
          <w:rFonts w:ascii="Arial" w:hAnsi="Arial" w:cs="Arial"/>
        </w:rPr>
        <w:t xml:space="preserve">In terms of the potential impact on supply chain prices, this may be </w:t>
      </w:r>
      <w:r w:rsidR="00946246" w:rsidRPr="00A25982">
        <w:rPr>
          <w:rFonts w:ascii="Arial" w:hAnsi="Arial" w:cs="Arial"/>
        </w:rPr>
        <w:t>affec</w:t>
      </w:r>
      <w:r w:rsidRPr="00A25982">
        <w:rPr>
          <w:rFonts w:ascii="Arial" w:hAnsi="Arial" w:cs="Arial"/>
        </w:rPr>
        <w:t>ted by a lower level of CAP subsidy given that effectively this subsidy reduces the price of food at the point of purchase by the consumer.</w:t>
      </w:r>
      <w:r w:rsidR="00672F84" w:rsidRPr="00A25982">
        <w:rPr>
          <w:rFonts w:ascii="Arial" w:hAnsi="Arial" w:cs="Arial"/>
        </w:rPr>
        <w:t xml:space="preserve"> As stated by interviewee F1-I1, “</w:t>
      </w:r>
      <w:r w:rsidR="00672F84" w:rsidRPr="00A25982">
        <w:rPr>
          <w:rFonts w:ascii="Arial" w:hAnsi="Arial" w:cs="Arial"/>
          <w:i/>
        </w:rPr>
        <w:t xml:space="preserve">you would </w:t>
      </w:r>
      <w:r w:rsidR="00672F84" w:rsidRPr="00A25982">
        <w:rPr>
          <w:rFonts w:ascii="Arial" w:hAnsi="Arial" w:cs="Arial"/>
          <w:i/>
          <w:noProof/>
        </w:rPr>
        <w:t>think generally</w:t>
      </w:r>
      <w:r w:rsidR="00672F84" w:rsidRPr="00A25982">
        <w:rPr>
          <w:rFonts w:ascii="Arial" w:hAnsi="Arial" w:cs="Arial"/>
          <w:i/>
        </w:rPr>
        <w:t xml:space="preserve"> that they </w:t>
      </w:r>
      <w:r w:rsidR="00517CC2" w:rsidRPr="00A25982">
        <w:rPr>
          <w:rFonts w:ascii="Arial" w:hAnsi="Arial" w:cs="Arial"/>
        </w:rPr>
        <w:t xml:space="preserve">[the subsidies] </w:t>
      </w:r>
      <w:r w:rsidR="00672F84" w:rsidRPr="00A25982">
        <w:rPr>
          <w:rFonts w:ascii="Arial" w:hAnsi="Arial" w:cs="Arial"/>
          <w:i/>
        </w:rPr>
        <w:t>find their way to the consumer</w:t>
      </w:r>
      <w:r w:rsidR="00517CC2" w:rsidRPr="00A25982">
        <w:rPr>
          <w:rFonts w:ascii="Arial" w:hAnsi="Arial" w:cs="Arial"/>
          <w:i/>
        </w:rPr>
        <w:t>’</w:t>
      </w:r>
      <w:r w:rsidR="00672F84" w:rsidRPr="00A25982">
        <w:rPr>
          <w:rFonts w:ascii="Arial" w:hAnsi="Arial" w:cs="Arial"/>
          <w:i/>
        </w:rPr>
        <w:t xml:space="preserve">s pocket … It affects the price of the food that the processor </w:t>
      </w:r>
      <w:proofErr w:type="gramStart"/>
      <w:r w:rsidR="00672F84" w:rsidRPr="00A25982">
        <w:rPr>
          <w:rFonts w:ascii="Arial" w:hAnsi="Arial" w:cs="Arial"/>
          <w:i/>
        </w:rPr>
        <w:t>pays</w:t>
      </w:r>
      <w:proofErr w:type="gramEnd"/>
      <w:r w:rsidR="00672F84" w:rsidRPr="00A25982">
        <w:rPr>
          <w:rFonts w:ascii="Arial" w:hAnsi="Arial" w:cs="Arial"/>
          <w:i/>
        </w:rPr>
        <w:t xml:space="preserve"> </w:t>
      </w:r>
      <w:r w:rsidR="00672F84" w:rsidRPr="00A25982">
        <w:rPr>
          <w:rFonts w:ascii="Arial" w:hAnsi="Arial" w:cs="Arial"/>
          <w:i/>
          <w:noProof/>
        </w:rPr>
        <w:t>and</w:t>
      </w:r>
      <w:r w:rsidR="00672F84" w:rsidRPr="00A25982">
        <w:rPr>
          <w:rFonts w:ascii="Arial" w:hAnsi="Arial" w:cs="Arial"/>
          <w:i/>
        </w:rPr>
        <w:t xml:space="preserve"> the retailer pays and ultimately it is knocked off the end price of the food </w:t>
      </w:r>
      <w:r w:rsidR="00672F84" w:rsidRPr="00A25982">
        <w:rPr>
          <w:rFonts w:ascii="Arial" w:hAnsi="Arial" w:cs="Arial"/>
          <w:i/>
          <w:noProof/>
        </w:rPr>
        <w:t>…</w:t>
      </w:r>
      <w:r w:rsidR="00672F84" w:rsidRPr="00A25982">
        <w:rPr>
          <w:rFonts w:ascii="Arial" w:hAnsi="Arial" w:cs="Arial"/>
          <w:i/>
        </w:rPr>
        <w:t xml:space="preserve"> the consumer product.</w:t>
      </w:r>
      <w:r w:rsidR="00F71AC8" w:rsidRPr="00A25982">
        <w:rPr>
          <w:rFonts w:ascii="Arial" w:hAnsi="Arial" w:cs="Arial"/>
          <w:i/>
        </w:rPr>
        <w:t xml:space="preserve"> </w:t>
      </w:r>
      <w:r w:rsidR="00672F84" w:rsidRPr="00A25982">
        <w:rPr>
          <w:rFonts w:ascii="Arial" w:hAnsi="Arial" w:cs="Arial"/>
          <w:i/>
        </w:rPr>
        <w:t xml:space="preserve">I think that’s what the government has to think about rather than whether a specific farmer … is </w:t>
      </w:r>
      <w:proofErr w:type="spellStart"/>
      <w:r w:rsidR="00672F84" w:rsidRPr="00A25982">
        <w:rPr>
          <w:rFonts w:ascii="Arial" w:hAnsi="Arial" w:cs="Arial"/>
          <w:i/>
        </w:rPr>
        <w:t>gonna</w:t>
      </w:r>
      <w:proofErr w:type="spellEnd"/>
      <w:r w:rsidR="00672F84" w:rsidRPr="00A25982">
        <w:rPr>
          <w:rFonts w:ascii="Arial" w:hAnsi="Arial" w:cs="Arial"/>
          <w:i/>
        </w:rPr>
        <w:t xml:space="preserve"> get that x amount of cash in his pocket, it’s the overall price of food.</w:t>
      </w:r>
      <w:r w:rsidR="00672F84" w:rsidRPr="00A25982">
        <w:rPr>
          <w:rFonts w:ascii="Arial" w:hAnsi="Arial" w:cs="Arial"/>
        </w:rPr>
        <w:t>”</w:t>
      </w:r>
      <w:r w:rsidR="00F71AC8" w:rsidRPr="00A25982">
        <w:rPr>
          <w:rFonts w:ascii="Arial" w:hAnsi="Arial" w:cs="Arial"/>
        </w:rPr>
        <w:t xml:space="preserve"> </w:t>
      </w:r>
      <w:r w:rsidR="00672F84" w:rsidRPr="00A25982">
        <w:rPr>
          <w:rFonts w:ascii="Arial" w:hAnsi="Arial" w:cs="Arial"/>
          <w:noProof/>
        </w:rPr>
        <w:t>Thus</w:t>
      </w:r>
      <w:r w:rsidR="00403CA7" w:rsidRPr="00A25982">
        <w:rPr>
          <w:rFonts w:ascii="Arial" w:hAnsi="Arial" w:cs="Arial"/>
          <w:noProof/>
        </w:rPr>
        <w:t>,</w:t>
      </w:r>
      <w:r w:rsidR="00672F84" w:rsidRPr="00A25982">
        <w:rPr>
          <w:rFonts w:ascii="Arial" w:hAnsi="Arial" w:cs="Arial"/>
          <w:noProof/>
        </w:rPr>
        <w:t xml:space="preserve"> if subsidies are lower, it follows that the price of food may increase if </w:t>
      </w:r>
      <w:r w:rsidR="00792A98" w:rsidRPr="00A25982">
        <w:rPr>
          <w:rFonts w:ascii="Arial" w:eastAsiaTheme="minorEastAsia" w:hAnsi="Arial" w:cs="Arial"/>
          <w:noProof/>
          <w:lang w:eastAsia="zh-CN"/>
        </w:rPr>
        <w:t xml:space="preserve">the </w:t>
      </w:r>
      <w:r w:rsidR="00672F84" w:rsidRPr="00A25982">
        <w:rPr>
          <w:rFonts w:ascii="Arial" w:hAnsi="Arial" w:cs="Arial"/>
          <w:noProof/>
        </w:rPr>
        <w:t>affected local farms continue to supply that food.</w:t>
      </w:r>
      <w:r w:rsidR="00F71AC8" w:rsidRPr="00A25982">
        <w:rPr>
          <w:rFonts w:ascii="Arial" w:hAnsi="Arial" w:cs="Arial"/>
        </w:rPr>
        <w:t xml:space="preserve"> </w:t>
      </w:r>
      <w:r w:rsidR="00672F84" w:rsidRPr="00A25982">
        <w:rPr>
          <w:rFonts w:ascii="Arial" w:hAnsi="Arial" w:cs="Arial"/>
        </w:rPr>
        <w:t>This effect will vary according to farming sector, as argued by NGO1: "</w:t>
      </w:r>
      <w:r w:rsidR="00672F84" w:rsidRPr="00A25982">
        <w:rPr>
          <w:rFonts w:ascii="Arial" w:hAnsi="Arial" w:cs="Arial"/>
          <w:i/>
        </w:rPr>
        <w:t>The sector that’s most exposed is the livestock sector. That’s the one that’s always received the highest level of subsidy. If you take the subsidy out of those systems</w:t>
      </w:r>
      <w:r w:rsidR="00403CA7" w:rsidRPr="00A25982">
        <w:rPr>
          <w:rFonts w:ascii="Arial" w:hAnsi="Arial" w:cs="Arial"/>
          <w:i/>
        </w:rPr>
        <w:t>,</w:t>
      </w:r>
      <w:r w:rsidR="00672F84" w:rsidRPr="00A25982">
        <w:rPr>
          <w:rFonts w:ascii="Arial" w:hAnsi="Arial" w:cs="Arial"/>
          <w:i/>
        </w:rPr>
        <w:t xml:space="preserve"> virtually none of them return any sort of profit. And the secto</w:t>
      </w:r>
      <w:r w:rsidR="00506722" w:rsidRPr="00A25982">
        <w:rPr>
          <w:rFonts w:ascii="Arial" w:hAnsi="Arial" w:cs="Arial"/>
          <w:i/>
        </w:rPr>
        <w:t>r that is massively dependant</w:t>
      </w:r>
      <w:r w:rsidR="00672F84" w:rsidRPr="00A25982">
        <w:rPr>
          <w:rFonts w:ascii="Arial" w:hAnsi="Arial" w:cs="Arial"/>
          <w:i/>
        </w:rPr>
        <w:t xml:space="preserve"> is the upland livestock sector. If you look at their figures in terms of income</w:t>
      </w:r>
      <w:r w:rsidR="00403CA7" w:rsidRPr="00A25982">
        <w:rPr>
          <w:rFonts w:ascii="Arial" w:hAnsi="Arial" w:cs="Arial"/>
          <w:i/>
        </w:rPr>
        <w:t>,</w:t>
      </w:r>
      <w:r w:rsidR="00672F84" w:rsidRPr="00A25982">
        <w:rPr>
          <w:rFonts w:ascii="Arial" w:hAnsi="Arial" w:cs="Arial"/>
          <w:i/>
        </w:rPr>
        <w:t xml:space="preserve"> in some circumstances it may be </w:t>
      </w:r>
      <w:r w:rsidR="00517CC2" w:rsidRPr="00A25982">
        <w:rPr>
          <w:rFonts w:ascii="Arial" w:hAnsi="Arial" w:cs="Arial"/>
          <w:i/>
        </w:rPr>
        <w:t xml:space="preserve">that </w:t>
      </w:r>
      <w:r w:rsidR="00672F84" w:rsidRPr="00A25982">
        <w:rPr>
          <w:rFonts w:ascii="Arial" w:hAnsi="Arial" w:cs="Arial"/>
          <w:i/>
        </w:rPr>
        <w:t xml:space="preserve">50-60% of their income is derived from subsidy, particularly if you’ve got a big fell farm with an environmental scheme, and a big basic payment scheme; so, the one sector that is probably most at risk in terms of Brexit </w:t>
      </w:r>
      <w:r w:rsidR="00517CC2" w:rsidRPr="00A25982">
        <w:rPr>
          <w:rFonts w:ascii="Arial" w:hAnsi="Arial" w:cs="Arial"/>
        </w:rPr>
        <w:t>[</w:t>
      </w:r>
      <w:r w:rsidR="00946246" w:rsidRPr="00A25982">
        <w:rPr>
          <w:rFonts w:ascii="Arial" w:hAnsi="Arial" w:cs="Arial"/>
          <w:i/>
        </w:rPr>
        <w:t>…</w:t>
      </w:r>
      <w:r w:rsidR="00517CC2" w:rsidRPr="00A25982">
        <w:rPr>
          <w:rFonts w:ascii="Arial" w:hAnsi="Arial" w:cs="Arial"/>
        </w:rPr>
        <w:t>]</w:t>
      </w:r>
      <w:r w:rsidR="00672F84" w:rsidRPr="00A25982">
        <w:rPr>
          <w:rFonts w:ascii="Arial" w:hAnsi="Arial" w:cs="Arial"/>
          <w:i/>
        </w:rPr>
        <w:t xml:space="preserve"> in terms of change of support is probably the upland sheep sector."</w:t>
      </w:r>
      <w:r w:rsidR="00F71AC8" w:rsidRPr="00A25982">
        <w:rPr>
          <w:rFonts w:ascii="Arial" w:hAnsi="Arial" w:cs="Arial"/>
        </w:rPr>
        <w:t xml:space="preserve"> </w:t>
      </w:r>
      <w:r w:rsidR="00946246" w:rsidRPr="00A25982">
        <w:rPr>
          <w:rFonts w:ascii="Arial" w:hAnsi="Arial" w:cs="Arial"/>
        </w:rPr>
        <w:t xml:space="preserve">Opinions varied in </w:t>
      </w:r>
      <w:r w:rsidR="00E63BE0" w:rsidRPr="00A25982">
        <w:rPr>
          <w:rFonts w:ascii="Arial" w:hAnsi="Arial" w:cs="Arial"/>
        </w:rPr>
        <w:t>terms of the</w:t>
      </w:r>
      <w:r w:rsidR="00946246" w:rsidRPr="00A25982">
        <w:rPr>
          <w:rFonts w:ascii="Arial" w:hAnsi="Arial" w:cs="Arial"/>
        </w:rPr>
        <w:t xml:space="preserve"> risks of subsidies being changed with NGO2 recognising </w:t>
      </w:r>
      <w:r w:rsidR="00E63BE0" w:rsidRPr="00A25982">
        <w:rPr>
          <w:rFonts w:ascii="Arial" w:hAnsi="Arial" w:cs="Arial"/>
        </w:rPr>
        <w:t>competing demands on government budgets</w:t>
      </w:r>
      <w:r w:rsidR="00946246" w:rsidRPr="00A25982">
        <w:rPr>
          <w:rFonts w:ascii="Arial" w:hAnsi="Arial" w:cs="Arial"/>
        </w:rPr>
        <w:t>: “</w:t>
      </w:r>
      <w:r w:rsidR="00946246" w:rsidRPr="00A25982">
        <w:rPr>
          <w:rFonts w:ascii="Arial" w:hAnsi="Arial" w:cs="Arial"/>
          <w:i/>
        </w:rPr>
        <w:t xml:space="preserve">it’s going to be a big battle, holding onto that budget for agricultural and rural development, I’ve got no doubt about that. I do think a lot of things that are coming out of the National Health Service </w:t>
      </w:r>
      <w:r w:rsidR="00517CC2" w:rsidRPr="00A25982">
        <w:rPr>
          <w:rFonts w:ascii="Arial" w:hAnsi="Arial" w:cs="Arial"/>
        </w:rPr>
        <w:t xml:space="preserve">[NHS] </w:t>
      </w:r>
      <w:r w:rsidR="00946246" w:rsidRPr="00A25982">
        <w:rPr>
          <w:rFonts w:ascii="Arial" w:hAnsi="Arial" w:cs="Arial"/>
          <w:i/>
        </w:rPr>
        <w:t xml:space="preserve">at the moment are preparing the ground, additional money needed in the NHS..."; </w:t>
      </w:r>
      <w:r w:rsidR="00946246" w:rsidRPr="00A25982">
        <w:rPr>
          <w:rFonts w:ascii="Arial" w:hAnsi="Arial" w:cs="Arial"/>
        </w:rPr>
        <w:t>whilst NGO3 stated:</w:t>
      </w:r>
      <w:r w:rsidR="00946246" w:rsidRPr="00A25982">
        <w:rPr>
          <w:rFonts w:ascii="Arial" w:hAnsi="Arial" w:cs="Arial"/>
          <w:i/>
        </w:rPr>
        <w:t xml:space="preserve"> "you get a sense there will be some kind of subsidies involved in a post-Brexit food farming strategy … you kind of get a sense that it will probably be close to status quo; so an emphasis on direct subsidies based on land area, so the effective under-subsidisation of horticulture which uses less land </w:t>
      </w:r>
      <w:r w:rsidR="00946246" w:rsidRPr="00A25982">
        <w:rPr>
          <w:rFonts w:ascii="Arial" w:hAnsi="Arial" w:cs="Arial"/>
          <w:i/>
          <w:noProof/>
        </w:rPr>
        <w:t>…</w:t>
      </w:r>
      <w:r w:rsidR="00946246" w:rsidRPr="00A25982">
        <w:rPr>
          <w:rFonts w:ascii="Arial" w:hAnsi="Arial" w:cs="Arial"/>
          <w:i/>
        </w:rPr>
        <w:t xml:space="preserve"> So, you get a sense that probably in terms of support, etc., it’s probably business as usual."</w:t>
      </w:r>
      <w:r w:rsidR="00F71AC8" w:rsidRPr="00A25982">
        <w:rPr>
          <w:rFonts w:ascii="Arial" w:hAnsi="Arial" w:cs="Arial"/>
        </w:rPr>
        <w:t xml:space="preserve"> </w:t>
      </w:r>
      <w:r w:rsidR="00946246" w:rsidRPr="00A25982">
        <w:rPr>
          <w:rFonts w:ascii="Arial" w:hAnsi="Arial" w:cs="Arial"/>
        </w:rPr>
        <w:t xml:space="preserve">Thus, whilst there was not a consensus on the likely levels of future support post Brexit, it is </w:t>
      </w:r>
      <w:r w:rsidR="00946246" w:rsidRPr="00A25982">
        <w:rPr>
          <w:rFonts w:ascii="Arial" w:hAnsi="Arial" w:cs="Arial"/>
          <w:noProof/>
        </w:rPr>
        <w:t>important</w:t>
      </w:r>
      <w:r w:rsidR="00946246" w:rsidRPr="00A25982">
        <w:rPr>
          <w:rFonts w:ascii="Arial" w:hAnsi="Arial" w:cs="Arial"/>
        </w:rPr>
        <w:t xml:space="preserve"> to </w:t>
      </w:r>
      <w:r w:rsidR="00A01D55" w:rsidRPr="00A25982">
        <w:rPr>
          <w:rFonts w:ascii="Arial" w:hAnsi="Arial" w:cs="Arial"/>
        </w:rPr>
        <w:t>understand</w:t>
      </w:r>
      <w:r w:rsidR="00946246" w:rsidRPr="00A25982">
        <w:rPr>
          <w:rFonts w:ascii="Arial" w:hAnsi="Arial" w:cs="Arial"/>
        </w:rPr>
        <w:t xml:space="preserve"> the potential impact o</w:t>
      </w:r>
      <w:r w:rsidR="00A01D55" w:rsidRPr="00A25982">
        <w:rPr>
          <w:rFonts w:ascii="Arial" w:hAnsi="Arial" w:cs="Arial"/>
        </w:rPr>
        <w:t>f</w:t>
      </w:r>
      <w:r w:rsidR="00946246" w:rsidRPr="00A25982">
        <w:rPr>
          <w:rFonts w:ascii="Arial" w:hAnsi="Arial" w:cs="Arial"/>
        </w:rPr>
        <w:t xml:space="preserve"> </w:t>
      </w:r>
      <w:r w:rsidR="00A01D55" w:rsidRPr="00A25982">
        <w:rPr>
          <w:rFonts w:ascii="Arial" w:hAnsi="Arial" w:cs="Arial"/>
        </w:rPr>
        <w:lastRenderedPageBreak/>
        <w:t xml:space="preserve">changes on </w:t>
      </w:r>
      <w:r w:rsidR="00946246" w:rsidRPr="00A25982">
        <w:rPr>
          <w:rFonts w:ascii="Arial" w:hAnsi="Arial" w:cs="Arial"/>
        </w:rPr>
        <w:t>future food prices.</w:t>
      </w:r>
      <w:r w:rsidR="00E63BE0" w:rsidRPr="00A25982">
        <w:rPr>
          <w:rFonts w:ascii="Arial" w:hAnsi="Arial" w:cs="Arial"/>
        </w:rPr>
        <w:t xml:space="preserve"> In addition, supply chai</w:t>
      </w:r>
      <w:r w:rsidR="00506722" w:rsidRPr="00A25982">
        <w:rPr>
          <w:rFonts w:ascii="Arial" w:hAnsi="Arial" w:cs="Arial"/>
        </w:rPr>
        <w:t xml:space="preserve">n prices have already risen </w:t>
      </w:r>
      <w:r w:rsidR="00E63BE0" w:rsidRPr="00A25982">
        <w:rPr>
          <w:rFonts w:ascii="Arial" w:hAnsi="Arial" w:cs="Arial"/>
        </w:rPr>
        <w:t xml:space="preserve">due to currency effects that have made the price of imported food more expensive, and there is </w:t>
      </w:r>
      <w:r w:rsidR="00506722" w:rsidRPr="00A25982">
        <w:rPr>
          <w:rFonts w:ascii="Arial" w:hAnsi="Arial" w:cs="Arial"/>
        </w:rPr>
        <w:t>ongoing</w:t>
      </w:r>
      <w:r w:rsidR="00E63BE0" w:rsidRPr="00A25982">
        <w:rPr>
          <w:rFonts w:ascii="Arial" w:hAnsi="Arial" w:cs="Arial"/>
        </w:rPr>
        <w:t xml:space="preserve"> uncertainty regarding the future effect of the Brexit decision on exchange rates.</w:t>
      </w:r>
    </w:p>
    <w:p w14:paraId="65003B3A" w14:textId="3F117769" w:rsidR="008C33FC" w:rsidRPr="00A25982" w:rsidRDefault="00136117" w:rsidP="00A25982">
      <w:pPr>
        <w:pStyle w:val="NormalWeb"/>
        <w:spacing w:before="0" w:beforeAutospacing="0" w:after="0" w:afterAutospacing="0"/>
        <w:ind w:firstLine="284"/>
        <w:jc w:val="both"/>
        <w:rPr>
          <w:rFonts w:ascii="Arial" w:hAnsi="Arial" w:cs="Arial"/>
        </w:rPr>
      </w:pPr>
      <w:r w:rsidRPr="00A25982">
        <w:rPr>
          <w:rFonts w:ascii="Arial" w:hAnsi="Arial" w:cs="Arial"/>
        </w:rPr>
        <w:t>If food price</w:t>
      </w:r>
      <w:r w:rsidR="00506722" w:rsidRPr="00A25982">
        <w:rPr>
          <w:rFonts w:ascii="Arial" w:hAnsi="Arial" w:cs="Arial"/>
        </w:rPr>
        <w:t xml:space="preserve"> inflation does occur, then</w:t>
      </w:r>
      <w:r w:rsidRPr="00A25982">
        <w:rPr>
          <w:rFonts w:ascii="Arial" w:hAnsi="Arial" w:cs="Arial"/>
        </w:rPr>
        <w:t xml:space="preserve"> the market may respond in </w:t>
      </w:r>
      <w:proofErr w:type="gramStart"/>
      <w:r w:rsidRPr="00A25982">
        <w:rPr>
          <w:rFonts w:ascii="Arial" w:hAnsi="Arial" w:cs="Arial"/>
        </w:rPr>
        <w:t>a number of</w:t>
      </w:r>
      <w:proofErr w:type="gramEnd"/>
      <w:r w:rsidRPr="00A25982">
        <w:rPr>
          <w:rFonts w:ascii="Arial" w:hAnsi="Arial" w:cs="Arial"/>
        </w:rPr>
        <w:t xml:space="preserve"> ways </w:t>
      </w:r>
      <w:r w:rsidRPr="00A25982">
        <w:rPr>
          <w:rFonts w:ascii="Arial" w:hAnsi="Arial" w:cs="Arial"/>
          <w:noProof/>
        </w:rPr>
        <w:t>and</w:t>
      </w:r>
      <w:r w:rsidRPr="00A25982">
        <w:rPr>
          <w:rFonts w:ascii="Arial" w:hAnsi="Arial" w:cs="Arial"/>
        </w:rPr>
        <w:t xml:space="preserve"> the interviewees expressed concern about the detrimental effect of some of these potential responses</w:t>
      </w:r>
      <w:r w:rsidR="00854115" w:rsidRPr="00A25982">
        <w:rPr>
          <w:rFonts w:ascii="Arial" w:hAnsi="Arial" w:cs="Arial"/>
        </w:rPr>
        <w:t xml:space="preserve"> on social and/or environmental sustainability in the supply chain.</w:t>
      </w:r>
      <w:r w:rsidR="00F71AC8" w:rsidRPr="00A25982">
        <w:rPr>
          <w:rFonts w:ascii="Arial" w:hAnsi="Arial" w:cs="Arial"/>
        </w:rPr>
        <w:t xml:space="preserve"> </w:t>
      </w:r>
      <w:proofErr w:type="gramStart"/>
      <w:r w:rsidR="00854115" w:rsidRPr="00A25982">
        <w:rPr>
          <w:rFonts w:ascii="Arial" w:hAnsi="Arial" w:cs="Arial"/>
        </w:rPr>
        <w:t xml:space="preserve">In particular, </w:t>
      </w:r>
      <w:r w:rsidR="00A01D55" w:rsidRPr="00A25982">
        <w:rPr>
          <w:rFonts w:ascii="Arial" w:hAnsi="Arial" w:cs="Arial"/>
        </w:rPr>
        <w:t>several</w:t>
      </w:r>
      <w:proofErr w:type="gramEnd"/>
      <w:r w:rsidR="00A01D55" w:rsidRPr="00A25982">
        <w:rPr>
          <w:rFonts w:ascii="Arial" w:hAnsi="Arial" w:cs="Arial"/>
        </w:rPr>
        <w:t xml:space="preserve"> interviewees stressed that attempts to reduce food prices </w:t>
      </w:r>
      <w:r w:rsidR="00506722" w:rsidRPr="00A25982">
        <w:rPr>
          <w:rFonts w:ascii="Arial" w:hAnsi="Arial" w:cs="Arial"/>
        </w:rPr>
        <w:t xml:space="preserve">through greater farm efficiency </w:t>
      </w:r>
      <w:r w:rsidR="00A01D55" w:rsidRPr="00A25982">
        <w:rPr>
          <w:rFonts w:ascii="Arial" w:hAnsi="Arial" w:cs="Arial"/>
        </w:rPr>
        <w:t xml:space="preserve">have </w:t>
      </w:r>
      <w:r w:rsidR="00854115" w:rsidRPr="00A25982">
        <w:rPr>
          <w:rFonts w:ascii="Arial" w:hAnsi="Arial" w:cs="Arial"/>
        </w:rPr>
        <w:t>the potential to reduce the number of smaller family</w:t>
      </w:r>
      <w:r w:rsidR="00663EEE" w:rsidRPr="00A25982">
        <w:rPr>
          <w:rFonts w:ascii="Arial" w:hAnsi="Arial" w:cs="Arial"/>
        </w:rPr>
        <w:t>-</w:t>
      </w:r>
      <w:r w:rsidR="00854115" w:rsidRPr="00A25982">
        <w:rPr>
          <w:rFonts w:ascii="Arial" w:hAnsi="Arial" w:cs="Arial"/>
        </w:rPr>
        <w:t>run farms</w:t>
      </w:r>
      <w:r w:rsidR="00517CC2" w:rsidRPr="00A25982">
        <w:rPr>
          <w:rFonts w:ascii="Arial" w:hAnsi="Arial" w:cs="Arial"/>
        </w:rPr>
        <w:t>,</w:t>
      </w:r>
      <w:r w:rsidR="00854115" w:rsidRPr="00A25982">
        <w:rPr>
          <w:rFonts w:ascii="Arial" w:hAnsi="Arial" w:cs="Arial"/>
        </w:rPr>
        <w:t xml:space="preserve"> which are at the </w:t>
      </w:r>
      <w:r w:rsidR="00A01D55" w:rsidRPr="00A25982">
        <w:rPr>
          <w:rFonts w:ascii="Arial" w:hAnsi="Arial" w:cs="Arial"/>
        </w:rPr>
        <w:t>heart of many rural communities</w:t>
      </w:r>
      <w:r w:rsidR="00854115" w:rsidRPr="00A25982">
        <w:rPr>
          <w:rFonts w:ascii="Arial" w:hAnsi="Arial" w:cs="Arial"/>
        </w:rPr>
        <w:t>. For example</w:t>
      </w:r>
      <w:r w:rsidR="00750BBB" w:rsidRPr="00A25982">
        <w:rPr>
          <w:rFonts w:ascii="Arial" w:hAnsi="Arial" w:cs="Arial"/>
        </w:rPr>
        <w:t>,</w:t>
      </w:r>
      <w:r w:rsidR="00A01D55" w:rsidRPr="00A25982">
        <w:rPr>
          <w:rFonts w:ascii="Arial" w:hAnsi="Arial" w:cs="Arial"/>
        </w:rPr>
        <w:t xml:space="preserve"> F2 stated</w:t>
      </w:r>
      <w:r w:rsidR="00854115" w:rsidRPr="00A25982">
        <w:rPr>
          <w:rFonts w:ascii="Arial" w:hAnsi="Arial" w:cs="Arial"/>
        </w:rPr>
        <w:t xml:space="preserve">: </w:t>
      </w:r>
      <w:r w:rsidR="00A01D55" w:rsidRPr="00A25982">
        <w:rPr>
          <w:rFonts w:ascii="Arial" w:hAnsi="Arial" w:cs="Arial"/>
        </w:rPr>
        <w:t>“</w:t>
      </w:r>
      <w:r w:rsidR="00A01D55" w:rsidRPr="00A25982">
        <w:rPr>
          <w:rFonts w:ascii="Arial" w:hAnsi="Arial" w:cs="Arial"/>
          <w:i/>
        </w:rPr>
        <w:t xml:space="preserve">… there is the danger around Brexit combined with the financial crisis, with global </w:t>
      </w:r>
      <w:r w:rsidR="00A01D55" w:rsidRPr="00A25982">
        <w:rPr>
          <w:rFonts w:ascii="Arial" w:hAnsi="Arial" w:cs="Arial"/>
          <w:i/>
          <w:noProof/>
        </w:rPr>
        <w:t>over</w:t>
      </w:r>
      <w:r w:rsidR="00517CC2" w:rsidRPr="00A25982">
        <w:rPr>
          <w:rFonts w:ascii="Arial" w:hAnsi="Arial" w:cs="Arial"/>
          <w:i/>
          <w:noProof/>
        </w:rPr>
        <w:t xml:space="preserve"> </w:t>
      </w:r>
      <w:r w:rsidR="00A01D55" w:rsidRPr="00A25982">
        <w:rPr>
          <w:rFonts w:ascii="Arial" w:hAnsi="Arial" w:cs="Arial"/>
          <w:i/>
          <w:noProof/>
        </w:rPr>
        <w:t>supply</w:t>
      </w:r>
      <w:r w:rsidR="00A01D55" w:rsidRPr="00A25982">
        <w:rPr>
          <w:rFonts w:ascii="Arial" w:hAnsi="Arial" w:cs="Arial"/>
          <w:i/>
        </w:rPr>
        <w:t xml:space="preserve">, I think there is a perfect storm right now. There is a global will to keep food prices </w:t>
      </w:r>
      <w:proofErr w:type="gramStart"/>
      <w:r w:rsidR="00A01D55" w:rsidRPr="00A25982">
        <w:rPr>
          <w:rFonts w:ascii="Arial" w:hAnsi="Arial" w:cs="Arial"/>
          <w:i/>
        </w:rPr>
        <w:t>really low</w:t>
      </w:r>
      <w:proofErr w:type="gramEnd"/>
      <w:r w:rsidR="00A01D55" w:rsidRPr="00A25982">
        <w:rPr>
          <w:rFonts w:ascii="Arial" w:hAnsi="Arial" w:cs="Arial"/>
          <w:i/>
        </w:rPr>
        <w:t xml:space="preserve"> </w:t>
      </w:r>
      <w:r w:rsidR="00A01D55" w:rsidRPr="00A25982">
        <w:rPr>
          <w:rFonts w:ascii="Arial" w:hAnsi="Arial" w:cs="Arial"/>
          <w:i/>
          <w:noProof/>
        </w:rPr>
        <w:t>…</w:t>
      </w:r>
      <w:r w:rsidR="00F71AC8" w:rsidRPr="00A25982">
        <w:rPr>
          <w:rFonts w:ascii="Arial" w:hAnsi="Arial" w:cs="Arial"/>
          <w:i/>
        </w:rPr>
        <w:t xml:space="preserve"> </w:t>
      </w:r>
      <w:r w:rsidR="00A01D55" w:rsidRPr="00A25982">
        <w:rPr>
          <w:rFonts w:ascii="Arial" w:hAnsi="Arial" w:cs="Arial"/>
          <w:i/>
        </w:rPr>
        <w:t xml:space="preserve">The combined effect of the two things is the reason that many dairy farmers are likely to be unable to survive over the next two to three years </w:t>
      </w:r>
      <w:r w:rsidR="00A01D55" w:rsidRPr="00A25982">
        <w:rPr>
          <w:rFonts w:ascii="Arial" w:hAnsi="Arial" w:cs="Arial"/>
          <w:i/>
          <w:noProof/>
        </w:rPr>
        <w:t>…</w:t>
      </w:r>
      <w:r w:rsidR="00A01D55" w:rsidRPr="00A25982">
        <w:rPr>
          <w:rFonts w:ascii="Arial" w:hAnsi="Arial" w:cs="Arial"/>
          <w:i/>
        </w:rPr>
        <w:t xml:space="preserve"> 3% of the dairy farms in the USA produce 50% of the milk, and that model is coming here … There will be more commercially run farms, and less of the family units.</w:t>
      </w:r>
      <w:r w:rsidR="00F71AC8" w:rsidRPr="00A25982">
        <w:rPr>
          <w:rFonts w:ascii="Arial" w:hAnsi="Arial" w:cs="Arial"/>
          <w:i/>
        </w:rPr>
        <w:t xml:space="preserve"> </w:t>
      </w:r>
      <w:r w:rsidR="00A01D55" w:rsidRPr="00A25982">
        <w:rPr>
          <w:rFonts w:ascii="Arial" w:hAnsi="Arial" w:cs="Arial"/>
          <w:i/>
        </w:rPr>
        <w:t>This will affect all sectors of farming”</w:t>
      </w:r>
      <w:r w:rsidRPr="00A25982">
        <w:rPr>
          <w:rFonts w:ascii="Arial" w:hAnsi="Arial" w:cs="Arial"/>
          <w:i/>
        </w:rPr>
        <w:t>.</w:t>
      </w:r>
      <w:r w:rsidR="00F71AC8" w:rsidRPr="00A25982">
        <w:rPr>
          <w:rFonts w:ascii="Arial" w:hAnsi="Arial" w:cs="Arial"/>
        </w:rPr>
        <w:t xml:space="preserve"> </w:t>
      </w:r>
      <w:r w:rsidRPr="00A25982">
        <w:rPr>
          <w:rFonts w:ascii="Arial" w:hAnsi="Arial" w:cs="Arial"/>
        </w:rPr>
        <w:t>The threat was argued to be significant by F1-I1, F2 and NGO3, given a perceived lack of voice for the farming community compared with other sectors.</w:t>
      </w:r>
      <w:r w:rsidR="00BC5297" w:rsidRPr="00A25982">
        <w:rPr>
          <w:rFonts w:ascii="Arial" w:hAnsi="Arial" w:cs="Arial"/>
        </w:rPr>
        <w:t xml:space="preserve"> Alternatively, more f</w:t>
      </w:r>
      <w:r w:rsidR="007476A3" w:rsidRPr="00A25982">
        <w:rPr>
          <w:rFonts w:ascii="Arial" w:hAnsi="Arial" w:cs="Arial"/>
        </w:rPr>
        <w:t xml:space="preserve">ood could be imported, which may be </w:t>
      </w:r>
      <w:r w:rsidR="00BC5297" w:rsidRPr="00A25982">
        <w:rPr>
          <w:rFonts w:ascii="Arial" w:hAnsi="Arial" w:cs="Arial"/>
        </w:rPr>
        <w:t xml:space="preserve">cheaper </w:t>
      </w:r>
      <w:r w:rsidRPr="00A25982">
        <w:rPr>
          <w:rFonts w:ascii="Arial" w:hAnsi="Arial" w:cs="Arial"/>
        </w:rPr>
        <w:t xml:space="preserve">(irrespective of fluctuating exchange rates) </w:t>
      </w:r>
      <w:r w:rsidR="007476A3" w:rsidRPr="00A25982">
        <w:rPr>
          <w:rFonts w:ascii="Arial" w:hAnsi="Arial" w:cs="Arial"/>
        </w:rPr>
        <w:t>due</w:t>
      </w:r>
      <w:r w:rsidR="00BC5297" w:rsidRPr="00A25982">
        <w:rPr>
          <w:rFonts w:ascii="Arial" w:hAnsi="Arial" w:cs="Arial"/>
        </w:rPr>
        <w:t xml:space="preserve"> to lower standards of environmental and/ or social sustainability. As stated by R3-I2: “</w:t>
      </w:r>
      <w:r w:rsidR="00BC5297" w:rsidRPr="00A25982">
        <w:rPr>
          <w:rFonts w:ascii="Arial" w:hAnsi="Arial" w:cs="Arial"/>
          <w:i/>
        </w:rPr>
        <w:t xml:space="preserve">the effect of coming out of Europe </w:t>
      </w:r>
      <w:r w:rsidR="00BC5297" w:rsidRPr="00A25982">
        <w:rPr>
          <w:rFonts w:ascii="Arial" w:hAnsi="Arial" w:cs="Arial"/>
        </w:rPr>
        <w:t>[could be]</w:t>
      </w:r>
      <w:r w:rsidR="00BC5297" w:rsidRPr="00A25982">
        <w:rPr>
          <w:rFonts w:ascii="Arial" w:hAnsi="Arial" w:cs="Arial"/>
          <w:i/>
        </w:rPr>
        <w:t xml:space="preserve"> </w:t>
      </w:r>
      <w:proofErr w:type="gramStart"/>
      <w:r w:rsidR="00BC5297" w:rsidRPr="00A25982">
        <w:rPr>
          <w:rFonts w:ascii="Arial" w:hAnsi="Arial" w:cs="Arial"/>
          <w:i/>
        </w:rPr>
        <w:t>opening up</w:t>
      </w:r>
      <w:proofErr w:type="gramEnd"/>
      <w:r w:rsidR="00BC5297" w:rsidRPr="00A25982">
        <w:rPr>
          <w:rFonts w:ascii="Arial" w:hAnsi="Arial" w:cs="Arial"/>
          <w:i/>
        </w:rPr>
        <w:t xml:space="preserve"> international trade where certain goods may become cheaper, but a lot of the regulations for food safety and quality could be compromised if it means that the UK doesn’t create its own standards that are in line currently with Europe</w:t>
      </w:r>
      <w:r w:rsidR="00BC5297" w:rsidRPr="00A25982">
        <w:rPr>
          <w:rFonts w:ascii="Arial" w:hAnsi="Arial" w:cs="Arial"/>
        </w:rPr>
        <w:t xml:space="preserve">”. </w:t>
      </w:r>
      <w:r w:rsidR="00854115" w:rsidRPr="00A25982">
        <w:rPr>
          <w:rFonts w:ascii="Arial" w:hAnsi="Arial" w:cs="Arial"/>
        </w:rPr>
        <w:t xml:space="preserve">This </w:t>
      </w:r>
      <w:r w:rsidR="00BC5297" w:rsidRPr="00A25982">
        <w:rPr>
          <w:rFonts w:ascii="Arial" w:hAnsi="Arial" w:cs="Arial"/>
        </w:rPr>
        <w:t xml:space="preserve">could </w:t>
      </w:r>
      <w:r w:rsidR="00854115" w:rsidRPr="00A25982">
        <w:rPr>
          <w:rFonts w:ascii="Arial" w:hAnsi="Arial" w:cs="Arial"/>
        </w:rPr>
        <w:t>then threate</w:t>
      </w:r>
      <w:r w:rsidRPr="00A25982">
        <w:rPr>
          <w:rFonts w:ascii="Arial" w:hAnsi="Arial" w:cs="Arial"/>
        </w:rPr>
        <w:t>n</w:t>
      </w:r>
      <w:r w:rsidR="00854115" w:rsidRPr="00A25982">
        <w:rPr>
          <w:rFonts w:ascii="Arial" w:hAnsi="Arial" w:cs="Arial"/>
        </w:rPr>
        <w:t xml:space="preserve"> the overall supply o</w:t>
      </w:r>
      <w:r w:rsidRPr="00A25982">
        <w:rPr>
          <w:rFonts w:ascii="Arial" w:hAnsi="Arial" w:cs="Arial"/>
        </w:rPr>
        <w:t>f food to the UK if it becomes more</w:t>
      </w:r>
      <w:r w:rsidR="00854115" w:rsidRPr="00A25982">
        <w:rPr>
          <w:rFonts w:ascii="Arial" w:hAnsi="Arial" w:cs="Arial"/>
        </w:rPr>
        <w:t xml:space="preserve"> dependent on global supply chains and their vulnerability to transportation risks/ natural disasters.</w:t>
      </w:r>
      <w:r w:rsidR="00F71AC8" w:rsidRPr="00A25982">
        <w:rPr>
          <w:rFonts w:ascii="Arial" w:hAnsi="Arial" w:cs="Arial"/>
        </w:rPr>
        <w:t xml:space="preserve"> </w:t>
      </w:r>
    </w:p>
    <w:p w14:paraId="54ED1EC6" w14:textId="087D68D7" w:rsidR="0064178A" w:rsidRPr="00A25982" w:rsidRDefault="008C33FC" w:rsidP="00A25982">
      <w:pPr>
        <w:pStyle w:val="NormalWeb"/>
        <w:spacing w:before="0" w:beforeAutospacing="0" w:after="0" w:afterAutospacing="0"/>
        <w:ind w:firstLine="284"/>
        <w:jc w:val="both"/>
        <w:rPr>
          <w:rFonts w:ascii="Arial" w:hAnsi="Arial" w:cs="Arial"/>
        </w:rPr>
      </w:pPr>
      <w:proofErr w:type="spellStart"/>
      <w:r w:rsidRPr="00A25982">
        <w:rPr>
          <w:rFonts w:ascii="Arial" w:hAnsi="Arial" w:cs="Arial"/>
        </w:rPr>
        <w:t>SCRes</w:t>
      </w:r>
      <w:proofErr w:type="spellEnd"/>
      <w:r w:rsidRPr="00A25982">
        <w:rPr>
          <w:rFonts w:ascii="Arial" w:hAnsi="Arial" w:cs="Arial"/>
        </w:rPr>
        <w:t xml:space="preserve"> will also be impacted by the availability of European migrant work</w:t>
      </w:r>
      <w:r w:rsidR="007476A3" w:rsidRPr="00A25982">
        <w:rPr>
          <w:rFonts w:ascii="Arial" w:hAnsi="Arial" w:cs="Arial"/>
        </w:rPr>
        <w:t>ers</w:t>
      </w:r>
      <w:r w:rsidR="00750BBB" w:rsidRPr="00A25982">
        <w:rPr>
          <w:rFonts w:ascii="Arial" w:hAnsi="Arial" w:cs="Arial"/>
        </w:rPr>
        <w:t>,</w:t>
      </w:r>
      <w:r w:rsidR="007476A3" w:rsidRPr="00A25982">
        <w:rPr>
          <w:rFonts w:ascii="Arial" w:hAnsi="Arial" w:cs="Arial"/>
        </w:rPr>
        <w:t xml:space="preserve"> which was argued to be</w:t>
      </w:r>
      <w:r w:rsidRPr="00A25982">
        <w:rPr>
          <w:rFonts w:ascii="Arial" w:hAnsi="Arial" w:cs="Arial"/>
        </w:rPr>
        <w:t xml:space="preserve"> particularly </w:t>
      </w:r>
      <w:r w:rsidRPr="00A25982">
        <w:rPr>
          <w:rFonts w:ascii="Arial" w:hAnsi="Arial" w:cs="Arial"/>
          <w:noProof/>
        </w:rPr>
        <w:t>important</w:t>
      </w:r>
      <w:r w:rsidRPr="00A25982">
        <w:rPr>
          <w:rFonts w:ascii="Arial" w:hAnsi="Arial" w:cs="Arial"/>
        </w:rPr>
        <w:t xml:space="preserve"> </w:t>
      </w:r>
      <w:r w:rsidRPr="00A25982">
        <w:rPr>
          <w:rFonts w:ascii="Arial" w:hAnsi="Arial" w:cs="Arial"/>
          <w:noProof/>
        </w:rPr>
        <w:t>to</w:t>
      </w:r>
      <w:r w:rsidR="007476A3" w:rsidRPr="00A25982">
        <w:rPr>
          <w:rFonts w:ascii="Arial" w:hAnsi="Arial" w:cs="Arial"/>
          <w:noProof/>
        </w:rPr>
        <w:t>:</w:t>
      </w:r>
      <w:r w:rsidRPr="00A25982">
        <w:rPr>
          <w:rFonts w:ascii="Arial" w:hAnsi="Arial" w:cs="Arial"/>
        </w:rPr>
        <w:t xml:space="preserve"> the horticultural sector</w:t>
      </w:r>
      <w:r w:rsidR="007476A3" w:rsidRPr="00A25982">
        <w:rPr>
          <w:rFonts w:ascii="Arial" w:hAnsi="Arial" w:cs="Arial"/>
        </w:rPr>
        <w:t xml:space="preserve"> (</w:t>
      </w:r>
      <w:r w:rsidRPr="00A25982">
        <w:rPr>
          <w:rFonts w:ascii="Arial" w:hAnsi="Arial" w:cs="Arial"/>
        </w:rPr>
        <w:t>NGO3</w:t>
      </w:r>
      <w:r w:rsidR="007476A3" w:rsidRPr="00A25982">
        <w:rPr>
          <w:rFonts w:ascii="Arial" w:hAnsi="Arial" w:cs="Arial"/>
        </w:rPr>
        <w:t>);</w:t>
      </w:r>
      <w:r w:rsidRPr="00A25982">
        <w:rPr>
          <w:rFonts w:ascii="Arial" w:hAnsi="Arial" w:cs="Arial"/>
        </w:rPr>
        <w:t xml:space="preserve"> to the processing tier of the</w:t>
      </w:r>
      <w:r w:rsidR="007476A3" w:rsidRPr="00A25982">
        <w:rPr>
          <w:rFonts w:ascii="Arial" w:hAnsi="Arial" w:cs="Arial"/>
        </w:rPr>
        <w:t xml:space="preserve"> supply chain,</w:t>
      </w:r>
      <w:r w:rsidR="006B6D99" w:rsidRPr="00A25982">
        <w:rPr>
          <w:rFonts w:ascii="Arial" w:hAnsi="Arial" w:cs="Arial"/>
        </w:rPr>
        <w:t xml:space="preserve"> </w:t>
      </w:r>
      <w:r w:rsidR="007476A3" w:rsidRPr="00A25982">
        <w:rPr>
          <w:rFonts w:ascii="Arial" w:hAnsi="Arial" w:cs="Arial"/>
        </w:rPr>
        <w:t>such as</w:t>
      </w:r>
      <w:r w:rsidR="006B6D99" w:rsidRPr="00A25982">
        <w:rPr>
          <w:rFonts w:ascii="Arial" w:hAnsi="Arial" w:cs="Arial"/>
        </w:rPr>
        <w:t xml:space="preserve"> large ab</w:t>
      </w:r>
      <w:r w:rsidRPr="00A25982">
        <w:rPr>
          <w:rFonts w:ascii="Arial" w:hAnsi="Arial" w:cs="Arial"/>
        </w:rPr>
        <w:t>at</w:t>
      </w:r>
      <w:r w:rsidR="006B6D99" w:rsidRPr="00A25982">
        <w:rPr>
          <w:rFonts w:ascii="Arial" w:hAnsi="Arial" w:cs="Arial"/>
        </w:rPr>
        <w:t>t</w:t>
      </w:r>
      <w:r w:rsidRPr="00A25982">
        <w:rPr>
          <w:rFonts w:ascii="Arial" w:hAnsi="Arial" w:cs="Arial"/>
        </w:rPr>
        <w:t xml:space="preserve">oirs </w:t>
      </w:r>
      <w:r w:rsidR="007476A3" w:rsidRPr="00A25982">
        <w:rPr>
          <w:rFonts w:ascii="Arial" w:hAnsi="Arial" w:cs="Arial"/>
        </w:rPr>
        <w:t>(</w:t>
      </w:r>
      <w:r w:rsidRPr="00A25982">
        <w:rPr>
          <w:rFonts w:ascii="Arial" w:hAnsi="Arial" w:cs="Arial"/>
        </w:rPr>
        <w:t>NGO2</w:t>
      </w:r>
      <w:r w:rsidR="007476A3" w:rsidRPr="00A25982">
        <w:rPr>
          <w:rFonts w:ascii="Arial" w:hAnsi="Arial" w:cs="Arial"/>
        </w:rPr>
        <w:t>);</w:t>
      </w:r>
      <w:r w:rsidRPr="00A25982">
        <w:rPr>
          <w:rFonts w:ascii="Arial" w:hAnsi="Arial" w:cs="Arial"/>
        </w:rPr>
        <w:t xml:space="preserve"> </w:t>
      </w:r>
      <w:r w:rsidR="007476A3" w:rsidRPr="00A25982">
        <w:rPr>
          <w:rFonts w:ascii="Arial" w:hAnsi="Arial" w:cs="Arial"/>
        </w:rPr>
        <w:t>and</w:t>
      </w:r>
      <w:r w:rsidRPr="00A25982">
        <w:rPr>
          <w:rFonts w:ascii="Arial" w:hAnsi="Arial" w:cs="Arial"/>
        </w:rPr>
        <w:t xml:space="preserve"> </w:t>
      </w:r>
      <w:proofErr w:type="gramStart"/>
      <w:r w:rsidRPr="00A25982">
        <w:rPr>
          <w:rFonts w:ascii="Arial" w:hAnsi="Arial" w:cs="Arial"/>
        </w:rPr>
        <w:t>also</w:t>
      </w:r>
      <w:proofErr w:type="gramEnd"/>
      <w:r w:rsidRPr="00A25982">
        <w:rPr>
          <w:rFonts w:ascii="Arial" w:hAnsi="Arial" w:cs="Arial"/>
        </w:rPr>
        <w:t xml:space="preserve"> to P</w:t>
      </w:r>
      <w:r w:rsidR="007476A3" w:rsidRPr="00A25982">
        <w:rPr>
          <w:rFonts w:ascii="Arial" w:hAnsi="Arial" w:cs="Arial"/>
        </w:rPr>
        <w:t xml:space="preserve">rocessor </w:t>
      </w:r>
      <w:r w:rsidRPr="00A25982">
        <w:rPr>
          <w:rFonts w:ascii="Arial" w:hAnsi="Arial" w:cs="Arial"/>
        </w:rPr>
        <w:t xml:space="preserve">3, which is a small artisan baker. </w:t>
      </w:r>
      <w:r w:rsidR="00357519" w:rsidRPr="00A25982">
        <w:rPr>
          <w:rFonts w:ascii="Arial" w:hAnsi="Arial" w:cs="Arial"/>
        </w:rPr>
        <w:t>Moreover</w:t>
      </w:r>
      <w:r w:rsidRPr="00A25982">
        <w:rPr>
          <w:rFonts w:ascii="Arial" w:hAnsi="Arial" w:cs="Arial"/>
        </w:rPr>
        <w:t xml:space="preserve">, many of the farming sectors rely on </w:t>
      </w:r>
      <w:r w:rsidR="00A03B17" w:rsidRPr="00A25982">
        <w:rPr>
          <w:rFonts w:ascii="Arial" w:hAnsi="Arial" w:cs="Arial"/>
        </w:rPr>
        <w:t xml:space="preserve">international trade agreements both within the EU and further </w:t>
      </w:r>
      <w:r w:rsidR="00B4203E" w:rsidRPr="00A25982">
        <w:rPr>
          <w:rFonts w:ascii="Arial" w:hAnsi="Arial" w:cs="Arial"/>
        </w:rPr>
        <w:t>afield</w:t>
      </w:r>
      <w:r w:rsidR="002819F9" w:rsidRPr="00A25982">
        <w:rPr>
          <w:rFonts w:ascii="Arial" w:hAnsi="Arial" w:cs="Arial"/>
        </w:rPr>
        <w:t xml:space="preserve"> for their export markets</w:t>
      </w:r>
      <w:r w:rsidR="00A03B17" w:rsidRPr="00A25982">
        <w:rPr>
          <w:rFonts w:ascii="Arial" w:hAnsi="Arial" w:cs="Arial"/>
        </w:rPr>
        <w:t>,</w:t>
      </w:r>
      <w:r w:rsidRPr="00A25982">
        <w:rPr>
          <w:rFonts w:ascii="Arial" w:hAnsi="Arial" w:cs="Arial"/>
        </w:rPr>
        <w:t xml:space="preserve"> </w:t>
      </w:r>
      <w:r w:rsidR="002819F9" w:rsidRPr="00A25982">
        <w:rPr>
          <w:rFonts w:ascii="Arial" w:hAnsi="Arial" w:cs="Arial"/>
        </w:rPr>
        <w:t>thereby</w:t>
      </w:r>
      <w:r w:rsidRPr="00A25982">
        <w:rPr>
          <w:rFonts w:ascii="Arial" w:hAnsi="Arial" w:cs="Arial"/>
        </w:rPr>
        <w:t xml:space="preserve"> supplement</w:t>
      </w:r>
      <w:r w:rsidR="002819F9" w:rsidRPr="00A25982">
        <w:rPr>
          <w:rFonts w:ascii="Arial" w:hAnsi="Arial" w:cs="Arial"/>
        </w:rPr>
        <w:t>ing</w:t>
      </w:r>
      <w:r w:rsidRPr="00A25982">
        <w:rPr>
          <w:rFonts w:ascii="Arial" w:hAnsi="Arial" w:cs="Arial"/>
        </w:rPr>
        <w:t xml:space="preserve"> the income achievable in the UK</w:t>
      </w:r>
      <w:r w:rsidR="00A03B17" w:rsidRPr="00A25982">
        <w:rPr>
          <w:rFonts w:ascii="Arial" w:hAnsi="Arial" w:cs="Arial"/>
        </w:rPr>
        <w:t>.</w:t>
      </w:r>
      <w:r w:rsidR="00F71AC8" w:rsidRPr="00A25982">
        <w:rPr>
          <w:rFonts w:ascii="Arial" w:hAnsi="Arial" w:cs="Arial"/>
        </w:rPr>
        <w:t xml:space="preserve"> </w:t>
      </w:r>
      <w:proofErr w:type="gramStart"/>
      <w:r w:rsidRPr="00A25982">
        <w:rPr>
          <w:rFonts w:ascii="Arial" w:hAnsi="Arial" w:cs="Arial"/>
        </w:rPr>
        <w:t>Thus</w:t>
      </w:r>
      <w:proofErr w:type="gramEnd"/>
      <w:r w:rsidRPr="00A25982">
        <w:rPr>
          <w:rFonts w:ascii="Arial" w:hAnsi="Arial" w:cs="Arial"/>
        </w:rPr>
        <w:t xml:space="preserve"> the threat of </w:t>
      </w:r>
      <w:r w:rsidRPr="00A25982">
        <w:rPr>
          <w:rFonts w:ascii="Arial" w:hAnsi="Arial" w:cs="Arial"/>
          <w:noProof/>
        </w:rPr>
        <w:t>poorer</w:t>
      </w:r>
      <w:r w:rsidRPr="00A25982">
        <w:rPr>
          <w:rFonts w:ascii="Arial" w:hAnsi="Arial" w:cs="Arial"/>
        </w:rPr>
        <w:t xml:space="preserve"> trade agreements is also likely to impact the viability of UK farming. As stated by</w:t>
      </w:r>
      <w:r w:rsidR="00A01D55" w:rsidRPr="00A25982">
        <w:rPr>
          <w:rFonts w:ascii="Arial" w:hAnsi="Arial" w:cs="Arial"/>
        </w:rPr>
        <w:t xml:space="preserve"> NGO1</w:t>
      </w:r>
      <w:r w:rsidR="00517CC2" w:rsidRPr="00A25982">
        <w:rPr>
          <w:rFonts w:ascii="Arial" w:hAnsi="Arial" w:cs="Arial"/>
        </w:rPr>
        <w:t>:</w:t>
      </w:r>
      <w:r w:rsidR="00A01D55" w:rsidRPr="00A25982">
        <w:rPr>
          <w:rFonts w:ascii="Arial" w:hAnsi="Arial" w:cs="Arial"/>
        </w:rPr>
        <w:t xml:space="preserve"> “</w:t>
      </w:r>
      <w:r w:rsidR="00A01D55" w:rsidRPr="00A25982">
        <w:rPr>
          <w:rFonts w:ascii="Arial" w:hAnsi="Arial" w:cs="Arial"/>
          <w:i/>
        </w:rPr>
        <w:t>So, if we did have a situation like the Doomsday scenario, which is no market access to Europe plus no support, I think you would see an absolute devastation</w:t>
      </w:r>
      <w:r w:rsidR="000C10FA" w:rsidRPr="00A25982">
        <w:rPr>
          <w:rFonts w:ascii="Arial" w:hAnsi="Arial" w:cs="Arial"/>
          <w:i/>
        </w:rPr>
        <w:t>”</w:t>
      </w:r>
      <w:r w:rsidR="00A01D55" w:rsidRPr="00A25982">
        <w:rPr>
          <w:rFonts w:ascii="Arial" w:hAnsi="Arial" w:cs="Arial"/>
          <w:i/>
        </w:rPr>
        <w:t>.</w:t>
      </w:r>
      <w:r w:rsidR="00F71AC8" w:rsidRPr="00A25982">
        <w:rPr>
          <w:rFonts w:ascii="Arial" w:hAnsi="Arial" w:cs="Arial"/>
        </w:rPr>
        <w:t xml:space="preserve"> </w:t>
      </w:r>
      <w:proofErr w:type="gramStart"/>
      <w:r w:rsidR="000C10FA" w:rsidRPr="00A25982">
        <w:rPr>
          <w:rFonts w:ascii="Arial" w:hAnsi="Arial" w:cs="Arial"/>
        </w:rPr>
        <w:t>Thus</w:t>
      </w:r>
      <w:proofErr w:type="gramEnd"/>
      <w:r w:rsidR="000C10FA" w:rsidRPr="00A25982">
        <w:rPr>
          <w:rFonts w:ascii="Arial" w:hAnsi="Arial" w:cs="Arial"/>
        </w:rPr>
        <w:t xml:space="preserve"> many of the interviewees were keen to stress the perceived threats and challenges surrounding Brexit.</w:t>
      </w:r>
      <w:r w:rsidR="00F71AC8" w:rsidRPr="00A25982">
        <w:rPr>
          <w:rFonts w:ascii="Arial" w:hAnsi="Arial" w:cs="Arial"/>
        </w:rPr>
        <w:t xml:space="preserve"> </w:t>
      </w:r>
      <w:r w:rsidR="000C10FA" w:rsidRPr="00A25982">
        <w:rPr>
          <w:rFonts w:ascii="Arial" w:hAnsi="Arial" w:cs="Arial"/>
        </w:rPr>
        <w:t xml:space="preserve">However, there were also </w:t>
      </w:r>
      <w:proofErr w:type="gramStart"/>
      <w:r w:rsidR="000C10FA" w:rsidRPr="00A25982">
        <w:rPr>
          <w:rFonts w:ascii="Arial" w:hAnsi="Arial" w:cs="Arial"/>
        </w:rPr>
        <w:t>a number of</w:t>
      </w:r>
      <w:proofErr w:type="gramEnd"/>
      <w:r w:rsidR="000C10FA" w:rsidRPr="00A25982">
        <w:rPr>
          <w:rFonts w:ascii="Arial" w:hAnsi="Arial" w:cs="Arial"/>
        </w:rPr>
        <w:t xml:space="preserve"> opportunities</w:t>
      </w:r>
      <w:r w:rsidR="00750BBB" w:rsidRPr="00A25982">
        <w:rPr>
          <w:rFonts w:ascii="Arial" w:hAnsi="Arial" w:cs="Arial"/>
        </w:rPr>
        <w:t xml:space="preserve"> created by Brexit that were</w:t>
      </w:r>
      <w:r w:rsidR="000C10FA" w:rsidRPr="00A25982">
        <w:rPr>
          <w:rFonts w:ascii="Arial" w:hAnsi="Arial" w:cs="Arial"/>
        </w:rPr>
        <w:t xml:space="preserve"> identified</w:t>
      </w:r>
      <w:r w:rsidR="00750BBB" w:rsidRPr="00A25982">
        <w:rPr>
          <w:rFonts w:ascii="Arial" w:hAnsi="Arial" w:cs="Arial"/>
        </w:rPr>
        <w:t>,</w:t>
      </w:r>
      <w:r w:rsidR="000C10FA" w:rsidRPr="00A25982">
        <w:rPr>
          <w:rFonts w:ascii="Arial" w:hAnsi="Arial" w:cs="Arial"/>
        </w:rPr>
        <w:t xml:space="preserve"> as discussed below.</w:t>
      </w:r>
      <w:r w:rsidR="00F71AC8" w:rsidRPr="00A25982">
        <w:rPr>
          <w:rFonts w:ascii="Arial" w:hAnsi="Arial" w:cs="Arial"/>
        </w:rPr>
        <w:t xml:space="preserve"> </w:t>
      </w:r>
    </w:p>
    <w:p w14:paraId="27C271B1" w14:textId="77777777" w:rsidR="0064178A" w:rsidRPr="00A25982" w:rsidRDefault="0064178A" w:rsidP="00A25982">
      <w:pPr>
        <w:pStyle w:val="NormalWeb"/>
        <w:spacing w:before="0" w:beforeAutospacing="0" w:after="0" w:afterAutospacing="0"/>
        <w:jc w:val="both"/>
        <w:rPr>
          <w:rFonts w:ascii="Arial" w:hAnsi="Arial" w:cs="Arial"/>
          <w:sz w:val="12"/>
          <w:szCs w:val="12"/>
        </w:rPr>
      </w:pPr>
    </w:p>
    <w:p w14:paraId="69904C05" w14:textId="29B1C882" w:rsidR="00854115" w:rsidRPr="00A25982" w:rsidRDefault="007F6150" w:rsidP="00A25982">
      <w:pPr>
        <w:pStyle w:val="NormalWeb"/>
        <w:spacing w:before="0" w:beforeAutospacing="0" w:after="0" w:afterAutospacing="0"/>
        <w:jc w:val="both"/>
        <w:rPr>
          <w:rFonts w:ascii="Arial" w:hAnsi="Arial" w:cs="Arial"/>
          <w:i/>
        </w:rPr>
      </w:pPr>
      <w:r w:rsidRPr="00A25982">
        <w:rPr>
          <w:rFonts w:ascii="Arial" w:hAnsi="Arial" w:cs="Arial"/>
          <w:i/>
        </w:rPr>
        <w:t xml:space="preserve">4.2. </w:t>
      </w:r>
      <w:r w:rsidR="00292E1A" w:rsidRPr="00A25982">
        <w:rPr>
          <w:rFonts w:ascii="Arial" w:hAnsi="Arial" w:cs="Arial"/>
          <w:i/>
        </w:rPr>
        <w:t xml:space="preserve">Sensing </w:t>
      </w:r>
      <w:r w:rsidR="00842CB3" w:rsidRPr="00A25982">
        <w:rPr>
          <w:rFonts w:ascii="Arial" w:hAnsi="Arial" w:cs="Arial"/>
          <w:i/>
        </w:rPr>
        <w:t>O</w:t>
      </w:r>
      <w:r w:rsidR="00854115" w:rsidRPr="00A25982">
        <w:rPr>
          <w:rFonts w:ascii="Arial" w:hAnsi="Arial" w:cs="Arial"/>
          <w:i/>
        </w:rPr>
        <w:t xml:space="preserve">pportunities </w:t>
      </w:r>
      <w:r w:rsidR="00842CB3" w:rsidRPr="00A25982">
        <w:rPr>
          <w:rFonts w:ascii="Arial" w:hAnsi="Arial" w:cs="Arial"/>
          <w:i/>
        </w:rPr>
        <w:t>S</w:t>
      </w:r>
      <w:r w:rsidR="00853DCF" w:rsidRPr="00A25982">
        <w:rPr>
          <w:rFonts w:ascii="Arial" w:hAnsi="Arial" w:cs="Arial"/>
          <w:i/>
        </w:rPr>
        <w:t>urrounding</w:t>
      </w:r>
      <w:r w:rsidR="00854115" w:rsidRPr="00A25982">
        <w:rPr>
          <w:rFonts w:ascii="Arial" w:hAnsi="Arial" w:cs="Arial"/>
          <w:i/>
        </w:rPr>
        <w:t xml:space="preserve"> Brexit</w:t>
      </w:r>
    </w:p>
    <w:p w14:paraId="5FC148E9" w14:textId="77777777" w:rsidR="0064178A" w:rsidRPr="00A25982" w:rsidRDefault="000B5F5E" w:rsidP="00A25982">
      <w:pPr>
        <w:pStyle w:val="NormalWeb"/>
        <w:spacing w:before="0" w:beforeAutospacing="0" w:after="0" w:afterAutospacing="0"/>
        <w:jc w:val="both"/>
        <w:rPr>
          <w:rFonts w:ascii="Arial" w:hAnsi="Arial" w:cs="Arial"/>
        </w:rPr>
      </w:pPr>
      <w:r w:rsidRPr="00A25982">
        <w:rPr>
          <w:rFonts w:ascii="Arial" w:hAnsi="Arial" w:cs="Arial"/>
        </w:rPr>
        <w:t>The opportunities identified by the interviewees can be categorised as follows:</w:t>
      </w:r>
    </w:p>
    <w:p w14:paraId="1516FE78" w14:textId="17E86859" w:rsidR="000B5F5E" w:rsidRPr="00A25982" w:rsidRDefault="00750BBB" w:rsidP="00A25982">
      <w:pPr>
        <w:pStyle w:val="NormalWeb"/>
        <w:numPr>
          <w:ilvl w:val="0"/>
          <w:numId w:val="29"/>
        </w:numPr>
        <w:spacing w:before="0" w:beforeAutospacing="0" w:after="0" w:afterAutospacing="0"/>
        <w:ind w:left="426" w:hanging="426"/>
        <w:jc w:val="both"/>
        <w:rPr>
          <w:rFonts w:ascii="Arial" w:hAnsi="Arial" w:cs="Arial"/>
        </w:rPr>
      </w:pPr>
      <w:r w:rsidRPr="00A25982">
        <w:rPr>
          <w:rFonts w:ascii="Arial" w:hAnsi="Arial" w:cs="Arial"/>
          <w:noProof/>
        </w:rPr>
        <w:t xml:space="preserve">A new competitive landscape that </w:t>
      </w:r>
      <w:r w:rsidR="00B8038E" w:rsidRPr="00A25982">
        <w:rPr>
          <w:rFonts w:ascii="Arial" w:hAnsi="Arial" w:cs="Arial"/>
          <w:noProof/>
        </w:rPr>
        <w:t xml:space="preserve">potentially </w:t>
      </w:r>
      <w:r w:rsidRPr="00A25982">
        <w:rPr>
          <w:rFonts w:ascii="Arial" w:hAnsi="Arial" w:cs="Arial"/>
          <w:noProof/>
        </w:rPr>
        <w:t>f</w:t>
      </w:r>
      <w:r w:rsidR="000B5F5E" w:rsidRPr="00A25982">
        <w:rPr>
          <w:rFonts w:ascii="Arial" w:hAnsi="Arial" w:cs="Arial"/>
          <w:noProof/>
        </w:rPr>
        <w:t>avours local food</w:t>
      </w:r>
      <w:r w:rsidR="000B5F5E" w:rsidRPr="00A25982">
        <w:rPr>
          <w:rFonts w:ascii="Arial" w:hAnsi="Arial" w:cs="Arial"/>
        </w:rPr>
        <w:t>;</w:t>
      </w:r>
    </w:p>
    <w:p w14:paraId="2E2D03AF" w14:textId="77777777" w:rsidR="000B5F5E" w:rsidRPr="00A25982" w:rsidRDefault="000B5F5E" w:rsidP="00A25982">
      <w:pPr>
        <w:pStyle w:val="NormalWeb"/>
        <w:numPr>
          <w:ilvl w:val="0"/>
          <w:numId w:val="29"/>
        </w:numPr>
        <w:spacing w:before="0" w:beforeAutospacing="0" w:after="0" w:afterAutospacing="0"/>
        <w:ind w:left="426" w:hanging="426"/>
        <w:jc w:val="both"/>
        <w:rPr>
          <w:rFonts w:ascii="Arial" w:hAnsi="Arial" w:cs="Arial"/>
        </w:rPr>
      </w:pPr>
      <w:r w:rsidRPr="00A25982">
        <w:rPr>
          <w:rFonts w:ascii="Arial" w:hAnsi="Arial" w:cs="Arial"/>
        </w:rPr>
        <w:t>Better CAP replacement with more effective subsidies;</w:t>
      </w:r>
    </w:p>
    <w:p w14:paraId="0FF30BFF" w14:textId="77777777" w:rsidR="000B5F5E" w:rsidRPr="00A25982" w:rsidRDefault="000B5F5E" w:rsidP="00A25982">
      <w:pPr>
        <w:pStyle w:val="NormalWeb"/>
        <w:numPr>
          <w:ilvl w:val="0"/>
          <w:numId w:val="29"/>
        </w:numPr>
        <w:spacing w:before="0" w:beforeAutospacing="0" w:after="0" w:afterAutospacing="0"/>
        <w:ind w:left="426" w:hanging="426"/>
        <w:jc w:val="both"/>
        <w:rPr>
          <w:rFonts w:ascii="Arial" w:hAnsi="Arial" w:cs="Arial"/>
        </w:rPr>
      </w:pPr>
      <w:r w:rsidRPr="00A25982">
        <w:rPr>
          <w:rFonts w:ascii="Arial" w:hAnsi="Arial" w:cs="Arial"/>
        </w:rPr>
        <w:t>More effective supply chain business models;</w:t>
      </w:r>
    </w:p>
    <w:p w14:paraId="7A1FEAAF" w14:textId="77777777" w:rsidR="000B5F5E" w:rsidRPr="00A25982" w:rsidRDefault="000B5F5E" w:rsidP="00A25982">
      <w:pPr>
        <w:pStyle w:val="NormalWeb"/>
        <w:numPr>
          <w:ilvl w:val="0"/>
          <w:numId w:val="29"/>
        </w:numPr>
        <w:spacing w:before="0" w:beforeAutospacing="0" w:after="0" w:afterAutospacing="0"/>
        <w:ind w:left="426" w:hanging="426"/>
        <w:jc w:val="both"/>
        <w:rPr>
          <w:rFonts w:ascii="Arial" w:hAnsi="Arial" w:cs="Arial"/>
        </w:rPr>
      </w:pPr>
      <w:r w:rsidRPr="00A25982">
        <w:rPr>
          <w:rFonts w:ascii="Arial" w:hAnsi="Arial" w:cs="Arial"/>
        </w:rPr>
        <w:t>Increased export opportunities;</w:t>
      </w:r>
    </w:p>
    <w:p w14:paraId="357B2C7E" w14:textId="77777777" w:rsidR="000B5F5E" w:rsidRPr="00A25982" w:rsidRDefault="000B5F5E" w:rsidP="00A25982">
      <w:pPr>
        <w:pStyle w:val="NormalWeb"/>
        <w:numPr>
          <w:ilvl w:val="0"/>
          <w:numId w:val="29"/>
        </w:numPr>
        <w:spacing w:before="0" w:beforeAutospacing="0" w:after="0" w:afterAutospacing="0"/>
        <w:ind w:left="426" w:hanging="426"/>
        <w:jc w:val="both"/>
        <w:rPr>
          <w:rFonts w:ascii="Arial" w:hAnsi="Arial" w:cs="Arial"/>
        </w:rPr>
      </w:pPr>
      <w:r w:rsidRPr="00A25982">
        <w:rPr>
          <w:rFonts w:ascii="Arial" w:hAnsi="Arial" w:cs="Arial"/>
        </w:rPr>
        <w:t>Improved international trade agreements.</w:t>
      </w:r>
    </w:p>
    <w:p w14:paraId="0C6AB1A0" w14:textId="77777777" w:rsidR="00842CB3" w:rsidRPr="00A25982" w:rsidRDefault="00842CB3" w:rsidP="00A25982">
      <w:pPr>
        <w:pStyle w:val="NormalWeb"/>
        <w:spacing w:before="0" w:beforeAutospacing="0" w:after="0" w:afterAutospacing="0"/>
        <w:jc w:val="both"/>
        <w:rPr>
          <w:rFonts w:ascii="Arial" w:hAnsi="Arial" w:cs="Arial"/>
          <w:sz w:val="12"/>
          <w:szCs w:val="12"/>
        </w:rPr>
      </w:pPr>
    </w:p>
    <w:p w14:paraId="7EB7BC78" w14:textId="229D70C4" w:rsidR="00A415DA" w:rsidRPr="00A25982" w:rsidRDefault="00D20A97" w:rsidP="00A25982">
      <w:pPr>
        <w:pStyle w:val="NormalWeb"/>
        <w:spacing w:before="0" w:beforeAutospacing="0" w:after="0" w:afterAutospacing="0"/>
        <w:ind w:firstLine="284"/>
        <w:jc w:val="both"/>
        <w:rPr>
          <w:rFonts w:ascii="Arial" w:hAnsi="Arial" w:cs="Arial"/>
        </w:rPr>
      </w:pPr>
      <w:r w:rsidRPr="00A25982">
        <w:rPr>
          <w:rFonts w:ascii="Arial" w:hAnsi="Arial" w:cs="Arial"/>
        </w:rPr>
        <w:lastRenderedPageBreak/>
        <w:t>The evidence</w:t>
      </w:r>
      <w:r w:rsidR="001B0BBE" w:rsidRPr="00A25982">
        <w:rPr>
          <w:rFonts w:ascii="Arial" w:hAnsi="Arial" w:cs="Arial"/>
        </w:rPr>
        <w:t xml:space="preserve"> for</w:t>
      </w:r>
      <w:r w:rsidRPr="00A25982">
        <w:rPr>
          <w:rFonts w:ascii="Arial" w:hAnsi="Arial" w:cs="Arial"/>
        </w:rPr>
        <w:t xml:space="preserve"> each of these opportunities is</w:t>
      </w:r>
      <w:r w:rsidR="001B0BBE" w:rsidRPr="00A25982">
        <w:rPr>
          <w:rFonts w:ascii="Arial" w:hAnsi="Arial" w:cs="Arial"/>
        </w:rPr>
        <w:t xml:space="preserve"> presented in </w:t>
      </w:r>
      <w:r w:rsidR="00893B76" w:rsidRPr="00A25982">
        <w:rPr>
          <w:rFonts w:ascii="Arial" w:hAnsi="Arial" w:cs="Arial"/>
        </w:rPr>
        <w:t xml:space="preserve">part (b) of </w:t>
      </w:r>
      <w:r w:rsidR="001B0BBE" w:rsidRPr="00A25982">
        <w:rPr>
          <w:rFonts w:ascii="Arial" w:hAnsi="Arial" w:cs="Arial"/>
        </w:rPr>
        <w:t xml:space="preserve">Table </w:t>
      </w:r>
      <w:r w:rsidR="00963AA7" w:rsidRPr="00A25982">
        <w:rPr>
          <w:rFonts w:ascii="Arial" w:hAnsi="Arial" w:cs="Arial"/>
        </w:rPr>
        <w:t>3</w:t>
      </w:r>
      <w:r w:rsidR="001B0BBE" w:rsidRPr="00A25982">
        <w:rPr>
          <w:rFonts w:ascii="Arial" w:hAnsi="Arial" w:cs="Arial"/>
        </w:rPr>
        <w:t>.</w:t>
      </w:r>
      <w:r w:rsidR="00F71AC8" w:rsidRPr="00A25982">
        <w:rPr>
          <w:rFonts w:ascii="Arial" w:hAnsi="Arial" w:cs="Arial"/>
        </w:rPr>
        <w:t xml:space="preserve"> </w:t>
      </w:r>
      <w:r w:rsidR="008B10E6" w:rsidRPr="00A25982">
        <w:rPr>
          <w:rFonts w:ascii="Arial" w:hAnsi="Arial" w:cs="Arial"/>
        </w:rPr>
        <w:t xml:space="preserve">Opportunity #2 and #5 </w:t>
      </w:r>
      <w:r w:rsidR="000B5F5E" w:rsidRPr="00A25982">
        <w:rPr>
          <w:rFonts w:ascii="Arial" w:hAnsi="Arial" w:cs="Arial"/>
        </w:rPr>
        <w:t xml:space="preserve">are the opposite of </w:t>
      </w:r>
      <w:r w:rsidR="006B6D99" w:rsidRPr="00A25982">
        <w:rPr>
          <w:rFonts w:ascii="Arial" w:hAnsi="Arial" w:cs="Arial"/>
        </w:rPr>
        <w:t xml:space="preserve">two of the </w:t>
      </w:r>
      <w:r w:rsidR="000B5F5E" w:rsidRPr="00A25982">
        <w:rPr>
          <w:rFonts w:ascii="Arial" w:hAnsi="Arial" w:cs="Arial"/>
        </w:rPr>
        <w:t>perceived threats and challenges</w:t>
      </w:r>
      <w:r w:rsidR="00663EEE" w:rsidRPr="00A25982">
        <w:rPr>
          <w:rFonts w:ascii="Arial" w:hAnsi="Arial" w:cs="Arial"/>
        </w:rPr>
        <w:t xml:space="preserve"> from part (a) of Table </w:t>
      </w:r>
      <w:r w:rsidR="00963AA7" w:rsidRPr="00A25982">
        <w:rPr>
          <w:rFonts w:ascii="Arial" w:hAnsi="Arial" w:cs="Arial"/>
        </w:rPr>
        <w:t xml:space="preserve">3 </w:t>
      </w:r>
      <w:r w:rsidR="008B10E6" w:rsidRPr="00A25982">
        <w:rPr>
          <w:rFonts w:ascii="Arial" w:hAnsi="Arial" w:cs="Arial"/>
        </w:rPr>
        <w:t>(Challenge #1 and #3)</w:t>
      </w:r>
      <w:r w:rsidR="000B5F5E" w:rsidRPr="00A25982">
        <w:rPr>
          <w:rFonts w:ascii="Arial" w:hAnsi="Arial" w:cs="Arial"/>
        </w:rPr>
        <w:t>, highlighting the sense of uncertainty surrounding the</w:t>
      </w:r>
      <w:r w:rsidR="006B6D99" w:rsidRPr="00A25982">
        <w:rPr>
          <w:rFonts w:ascii="Arial" w:hAnsi="Arial" w:cs="Arial"/>
        </w:rPr>
        <w:t xml:space="preserve"> current constitutional context, and recognising the opportunity for organisations to lobby </w:t>
      </w:r>
      <w:r w:rsidR="00750BBB" w:rsidRPr="00A25982">
        <w:rPr>
          <w:rFonts w:ascii="Arial" w:hAnsi="Arial" w:cs="Arial"/>
        </w:rPr>
        <w:t xml:space="preserve">the </w:t>
      </w:r>
      <w:r w:rsidR="006B6D99" w:rsidRPr="00A25982">
        <w:rPr>
          <w:rFonts w:ascii="Arial" w:hAnsi="Arial" w:cs="Arial"/>
        </w:rPr>
        <w:t>government for positive changes.</w:t>
      </w:r>
      <w:r w:rsidR="00F71AC8" w:rsidRPr="00A25982">
        <w:rPr>
          <w:rFonts w:ascii="Arial" w:hAnsi="Arial" w:cs="Arial"/>
        </w:rPr>
        <w:t xml:space="preserve"> </w:t>
      </w:r>
      <w:r w:rsidR="007476A3" w:rsidRPr="00A25982">
        <w:rPr>
          <w:rFonts w:ascii="Arial" w:hAnsi="Arial" w:cs="Arial"/>
        </w:rPr>
        <w:t>However, there are also</w:t>
      </w:r>
      <w:r w:rsidR="006B6D99" w:rsidRPr="00A25982">
        <w:rPr>
          <w:rFonts w:ascii="Arial" w:hAnsi="Arial" w:cs="Arial"/>
        </w:rPr>
        <w:t xml:space="preserve"> opportunities that are within the control of the supply chain organisations</w:t>
      </w:r>
      <w:r w:rsidR="007476A3" w:rsidRPr="00A25982">
        <w:rPr>
          <w:rFonts w:ascii="Arial" w:hAnsi="Arial" w:cs="Arial"/>
        </w:rPr>
        <w:t>, as discussed below</w:t>
      </w:r>
      <w:r w:rsidR="006B6D99" w:rsidRPr="00A25982">
        <w:rPr>
          <w:rFonts w:ascii="Arial" w:hAnsi="Arial" w:cs="Arial"/>
        </w:rPr>
        <w:t>.</w:t>
      </w:r>
    </w:p>
    <w:p w14:paraId="6B17E54B" w14:textId="30976B46" w:rsidR="000B5F5E" w:rsidRPr="00A25982" w:rsidRDefault="006B6D99" w:rsidP="00A25982">
      <w:pPr>
        <w:pStyle w:val="NormalWeb"/>
        <w:spacing w:before="0" w:beforeAutospacing="0" w:after="0" w:afterAutospacing="0"/>
        <w:ind w:firstLine="284"/>
        <w:jc w:val="both"/>
        <w:rPr>
          <w:rFonts w:ascii="Arial" w:hAnsi="Arial" w:cs="Arial"/>
        </w:rPr>
      </w:pPr>
      <w:r w:rsidRPr="00A25982">
        <w:rPr>
          <w:rFonts w:ascii="Arial" w:hAnsi="Arial" w:cs="Arial"/>
        </w:rPr>
        <w:t>The first such opportunity is to increase sales if the new constitutional context favours lo</w:t>
      </w:r>
      <w:r w:rsidR="00741D56" w:rsidRPr="00A25982">
        <w:rPr>
          <w:rFonts w:ascii="Arial" w:hAnsi="Arial" w:cs="Arial"/>
        </w:rPr>
        <w:t>cal food.</w:t>
      </w:r>
      <w:r w:rsidR="00F71AC8" w:rsidRPr="00A25982">
        <w:rPr>
          <w:rFonts w:ascii="Arial" w:hAnsi="Arial" w:cs="Arial"/>
        </w:rPr>
        <w:t xml:space="preserve"> </w:t>
      </w:r>
      <w:r w:rsidR="00741D56" w:rsidRPr="00A25982">
        <w:rPr>
          <w:rFonts w:ascii="Arial" w:hAnsi="Arial" w:cs="Arial"/>
        </w:rPr>
        <w:t xml:space="preserve">This could be due </w:t>
      </w:r>
      <w:r w:rsidR="0042556D" w:rsidRPr="00A25982">
        <w:rPr>
          <w:rFonts w:ascii="Arial" w:hAnsi="Arial" w:cs="Arial"/>
        </w:rPr>
        <w:t xml:space="preserve">to </w:t>
      </w:r>
      <w:r w:rsidR="00741D56" w:rsidRPr="00A25982">
        <w:rPr>
          <w:rFonts w:ascii="Arial" w:hAnsi="Arial" w:cs="Arial"/>
        </w:rPr>
        <w:t xml:space="preserve">a </w:t>
      </w:r>
      <w:r w:rsidR="00741D56" w:rsidRPr="00A25982">
        <w:rPr>
          <w:rFonts w:ascii="Arial" w:hAnsi="Arial" w:cs="Arial"/>
          <w:i/>
        </w:rPr>
        <w:t xml:space="preserve">"kind of insular turn in the country” </w:t>
      </w:r>
      <w:r w:rsidR="00741D56" w:rsidRPr="00A25982">
        <w:rPr>
          <w:rFonts w:ascii="Arial" w:hAnsi="Arial" w:cs="Arial"/>
        </w:rPr>
        <w:t>(NGO3), leading to greater customer demand for local food, as argued by P2-I1: “[national supermarket chain X]</w:t>
      </w:r>
      <w:r w:rsidR="00741D56" w:rsidRPr="00A25982">
        <w:rPr>
          <w:rFonts w:ascii="Arial" w:hAnsi="Arial" w:cs="Arial"/>
          <w:i/>
        </w:rPr>
        <w:t xml:space="preserve"> … they’re really trying to push local sourcing now </w:t>
      </w:r>
      <w:r w:rsidR="00741D56" w:rsidRPr="00A25982">
        <w:rPr>
          <w:rFonts w:ascii="Arial" w:hAnsi="Arial" w:cs="Arial"/>
          <w:i/>
          <w:noProof/>
        </w:rPr>
        <w:t>...</w:t>
      </w:r>
      <w:r w:rsidR="00741D56" w:rsidRPr="00A25982">
        <w:rPr>
          <w:rFonts w:ascii="Arial" w:hAnsi="Arial" w:cs="Arial"/>
          <w:i/>
        </w:rPr>
        <w:t xml:space="preserve"> I do think that probably will protect us from Brexit turbulence</w:t>
      </w:r>
      <w:proofErr w:type="gramStart"/>
      <w:r w:rsidR="00741D56" w:rsidRPr="00A25982">
        <w:rPr>
          <w:rFonts w:ascii="Arial" w:hAnsi="Arial" w:cs="Arial"/>
        </w:rPr>
        <w:t>”, and</w:t>
      </w:r>
      <w:proofErr w:type="gramEnd"/>
      <w:r w:rsidR="00741D56" w:rsidRPr="00A25982">
        <w:rPr>
          <w:rFonts w:ascii="Arial" w:hAnsi="Arial" w:cs="Arial"/>
        </w:rPr>
        <w:t xml:space="preserve"> corroborated by a </w:t>
      </w:r>
      <w:r w:rsidR="00615929" w:rsidRPr="00A25982">
        <w:rPr>
          <w:rFonts w:ascii="Arial" w:hAnsi="Arial" w:cs="Arial"/>
        </w:rPr>
        <w:t>report</w:t>
      </w:r>
      <w:r w:rsidR="00741D56" w:rsidRPr="00A25982">
        <w:rPr>
          <w:rFonts w:ascii="Arial" w:hAnsi="Arial" w:cs="Arial"/>
        </w:rPr>
        <w:t xml:space="preserve"> recently published by </w:t>
      </w:r>
      <w:r w:rsidR="003F1209" w:rsidRPr="00A25982">
        <w:rPr>
          <w:rFonts w:ascii="Arial" w:hAnsi="Arial" w:cs="Arial"/>
        </w:rPr>
        <w:t xml:space="preserve">the supermarket chain </w:t>
      </w:r>
      <w:r w:rsidR="00741D56" w:rsidRPr="00A25982">
        <w:rPr>
          <w:rFonts w:ascii="Arial" w:hAnsi="Arial" w:cs="Arial"/>
        </w:rPr>
        <w:t>Morrison</w:t>
      </w:r>
      <w:r w:rsidR="000D4FC5" w:rsidRPr="00A25982">
        <w:rPr>
          <w:rFonts w:ascii="Arial" w:hAnsi="Arial" w:cs="Arial"/>
        </w:rPr>
        <w:t>’</w:t>
      </w:r>
      <w:r w:rsidR="00741D56" w:rsidRPr="00A25982">
        <w:rPr>
          <w:rFonts w:ascii="Arial" w:hAnsi="Arial" w:cs="Arial"/>
        </w:rPr>
        <w:t>s outlining a policy to buy more local produce</w:t>
      </w:r>
      <w:r w:rsidR="00615929" w:rsidRPr="00A25982">
        <w:rPr>
          <w:rFonts w:ascii="Arial" w:hAnsi="Arial" w:cs="Arial"/>
        </w:rPr>
        <w:t xml:space="preserve"> (see Benton </w:t>
      </w:r>
      <w:r w:rsidR="00615929" w:rsidRPr="00A25982">
        <w:rPr>
          <w:rFonts w:ascii="Arial" w:hAnsi="Arial" w:cs="Arial"/>
          <w:i/>
        </w:rPr>
        <w:t>et al.</w:t>
      </w:r>
      <w:r w:rsidR="00615929" w:rsidRPr="00A25982">
        <w:rPr>
          <w:rFonts w:ascii="Arial" w:hAnsi="Arial" w:cs="Arial"/>
        </w:rPr>
        <w:t>, 2017)</w:t>
      </w:r>
      <w:r w:rsidR="00741D56" w:rsidRPr="00A25982">
        <w:rPr>
          <w:rFonts w:ascii="Arial" w:hAnsi="Arial" w:cs="Arial"/>
        </w:rPr>
        <w:t>.</w:t>
      </w:r>
      <w:r w:rsidR="00F71AC8" w:rsidRPr="00A25982">
        <w:rPr>
          <w:rFonts w:ascii="Arial" w:hAnsi="Arial" w:cs="Arial"/>
        </w:rPr>
        <w:t xml:space="preserve"> </w:t>
      </w:r>
      <w:r w:rsidR="00741D56" w:rsidRPr="00A25982">
        <w:rPr>
          <w:rFonts w:ascii="Arial" w:hAnsi="Arial" w:cs="Arial"/>
        </w:rPr>
        <w:t xml:space="preserve">Thus, as further argued by NGO3: </w:t>
      </w:r>
      <w:r w:rsidR="00741D56" w:rsidRPr="00A25982">
        <w:rPr>
          <w:rFonts w:ascii="Arial" w:hAnsi="Arial" w:cs="Arial"/>
          <w:i/>
        </w:rPr>
        <w:t>"you get the sense that there could be opportunity for the whole agricultural sector and horticultural sector for … discussions around national resilience and national food security and protecting UK industry</w:t>
      </w:r>
      <w:r w:rsidR="00741D56" w:rsidRPr="00A25982">
        <w:rPr>
          <w:rFonts w:ascii="Arial" w:hAnsi="Arial" w:cs="Arial"/>
        </w:rPr>
        <w:t>”.</w:t>
      </w:r>
      <w:r w:rsidR="00F71AC8" w:rsidRPr="00A25982">
        <w:rPr>
          <w:rFonts w:ascii="Arial" w:hAnsi="Arial" w:cs="Arial"/>
        </w:rPr>
        <w:t xml:space="preserve"> </w:t>
      </w:r>
      <w:r w:rsidR="00741D56" w:rsidRPr="00A25982">
        <w:rPr>
          <w:rFonts w:ascii="Arial" w:hAnsi="Arial" w:cs="Arial"/>
        </w:rPr>
        <w:t>A second reason for this potential increase in local food demand is related to the costs of imported goods</w:t>
      </w:r>
      <w:r w:rsidR="00B8038E" w:rsidRPr="00A25982">
        <w:rPr>
          <w:rFonts w:ascii="Arial" w:hAnsi="Arial" w:cs="Arial"/>
        </w:rPr>
        <w:t>,</w:t>
      </w:r>
      <w:r w:rsidR="00741D56" w:rsidRPr="00A25982">
        <w:rPr>
          <w:rFonts w:ascii="Arial" w:hAnsi="Arial" w:cs="Arial"/>
        </w:rPr>
        <w:t xml:space="preserve"> as argued by R3-I3: </w:t>
      </w:r>
      <w:r w:rsidR="003D05BA" w:rsidRPr="00A25982">
        <w:rPr>
          <w:rFonts w:ascii="Arial" w:hAnsi="Arial" w:cs="Arial"/>
        </w:rPr>
        <w:t>“</w:t>
      </w:r>
      <w:r w:rsidR="00741D56" w:rsidRPr="00A25982">
        <w:rPr>
          <w:rFonts w:ascii="Arial" w:hAnsi="Arial" w:cs="Arial"/>
          <w:i/>
        </w:rPr>
        <w:t xml:space="preserve">There’s a possibility that increasing costs of imported goods will drive sourcing to UK-produced </w:t>
      </w:r>
      <w:r w:rsidR="00967AEE" w:rsidRPr="00A25982">
        <w:rPr>
          <w:rFonts w:ascii="Arial" w:hAnsi="Arial" w:cs="Arial"/>
        </w:rPr>
        <w:t xml:space="preserve">[goods] </w:t>
      </w:r>
      <w:r w:rsidR="00741D56" w:rsidRPr="00A25982">
        <w:rPr>
          <w:rFonts w:ascii="Arial" w:hAnsi="Arial" w:cs="Arial"/>
          <w:i/>
        </w:rPr>
        <w:t>a bit more</w:t>
      </w:r>
      <w:r w:rsidR="003D05BA" w:rsidRPr="00A25982">
        <w:rPr>
          <w:rFonts w:ascii="Arial" w:hAnsi="Arial" w:cs="Arial"/>
        </w:rPr>
        <w:t>.”</w:t>
      </w:r>
      <w:r w:rsidR="00F71AC8" w:rsidRPr="00A25982">
        <w:rPr>
          <w:rFonts w:ascii="Arial" w:hAnsi="Arial" w:cs="Arial"/>
        </w:rPr>
        <w:t xml:space="preserve"> </w:t>
      </w:r>
      <w:r w:rsidR="003D05BA" w:rsidRPr="00A25982">
        <w:rPr>
          <w:rFonts w:ascii="Arial" w:hAnsi="Arial" w:cs="Arial"/>
        </w:rPr>
        <w:t xml:space="preserve">However, the same interviewee also stated that: </w:t>
      </w:r>
      <w:r w:rsidR="003D05BA" w:rsidRPr="00A25982">
        <w:rPr>
          <w:rFonts w:ascii="Arial" w:hAnsi="Arial" w:cs="Arial"/>
          <w:i/>
        </w:rPr>
        <w:t xml:space="preserve">"We’re almost at the limits now </w:t>
      </w:r>
      <w:r w:rsidR="003D05BA" w:rsidRPr="00A25982">
        <w:rPr>
          <w:rFonts w:ascii="Arial" w:hAnsi="Arial" w:cs="Arial"/>
        </w:rPr>
        <w:t>[on local sourcing]</w:t>
      </w:r>
      <w:r w:rsidR="003D05BA" w:rsidRPr="00A25982">
        <w:rPr>
          <w:rFonts w:ascii="Arial" w:hAnsi="Arial" w:cs="Arial"/>
          <w:i/>
        </w:rPr>
        <w:t xml:space="preserve"> in my personal opinion because our sourcing policy, whether it’s been written down or not written down, is that we’ll try our best to source locally</w:t>
      </w:r>
      <w:r w:rsidR="00967AEE" w:rsidRPr="00A25982">
        <w:rPr>
          <w:rFonts w:ascii="Arial" w:hAnsi="Arial" w:cs="Arial"/>
          <w:i/>
        </w:rPr>
        <w:t>;</w:t>
      </w:r>
      <w:r w:rsidR="003D05BA" w:rsidRPr="00A25982">
        <w:rPr>
          <w:rFonts w:ascii="Arial" w:hAnsi="Arial" w:cs="Arial"/>
          <w:i/>
        </w:rPr>
        <w:t xml:space="preserve"> but if it’s uncompetitive and the quality isn’t there, or the safety isn’t there, we’re not going to source it."</w:t>
      </w:r>
      <w:r w:rsidR="00F71AC8" w:rsidRPr="00A25982">
        <w:rPr>
          <w:rFonts w:ascii="Arial" w:hAnsi="Arial" w:cs="Arial"/>
        </w:rPr>
        <w:t xml:space="preserve"> </w:t>
      </w:r>
      <w:r w:rsidR="003D05BA" w:rsidRPr="00A25982">
        <w:rPr>
          <w:rFonts w:ascii="Arial" w:hAnsi="Arial" w:cs="Arial"/>
        </w:rPr>
        <w:t xml:space="preserve">Therefore, whilst this opportunity may be available for increasing the production of local food, this may be constrained by the capabilities of local producers. </w:t>
      </w:r>
      <w:proofErr w:type="gramStart"/>
      <w:r w:rsidR="003D05BA" w:rsidRPr="00A25982">
        <w:rPr>
          <w:rFonts w:ascii="Arial" w:hAnsi="Arial" w:cs="Arial"/>
        </w:rPr>
        <w:t>Thus</w:t>
      </w:r>
      <w:proofErr w:type="gramEnd"/>
      <w:r w:rsidR="003D05BA" w:rsidRPr="00A25982">
        <w:rPr>
          <w:rFonts w:ascii="Arial" w:hAnsi="Arial" w:cs="Arial"/>
        </w:rPr>
        <w:t xml:space="preserve"> this first opportunity is also linked to the opportunity to improve business models, as the two </w:t>
      </w:r>
      <w:r w:rsidR="00642EF7" w:rsidRPr="00A25982">
        <w:rPr>
          <w:rFonts w:ascii="Arial" w:hAnsi="Arial" w:cs="Arial"/>
        </w:rPr>
        <w:t>aspect</w:t>
      </w:r>
      <w:r w:rsidR="003D05BA" w:rsidRPr="00A25982">
        <w:rPr>
          <w:rFonts w:ascii="Arial" w:hAnsi="Arial" w:cs="Arial"/>
        </w:rPr>
        <w:t>s may need to go hand</w:t>
      </w:r>
      <w:r w:rsidR="003F1209" w:rsidRPr="00A25982">
        <w:rPr>
          <w:rFonts w:ascii="Arial" w:hAnsi="Arial" w:cs="Arial"/>
        </w:rPr>
        <w:t>-</w:t>
      </w:r>
      <w:r w:rsidR="003D05BA" w:rsidRPr="00A25982">
        <w:rPr>
          <w:rFonts w:ascii="Arial" w:hAnsi="Arial" w:cs="Arial"/>
        </w:rPr>
        <w:t>in</w:t>
      </w:r>
      <w:r w:rsidR="003F1209" w:rsidRPr="00A25982">
        <w:rPr>
          <w:rFonts w:ascii="Arial" w:hAnsi="Arial" w:cs="Arial"/>
        </w:rPr>
        <w:t>-</w:t>
      </w:r>
      <w:r w:rsidR="003D05BA" w:rsidRPr="00A25982">
        <w:rPr>
          <w:rFonts w:ascii="Arial" w:hAnsi="Arial" w:cs="Arial"/>
        </w:rPr>
        <w:t>hand if Brexit</w:t>
      </w:r>
      <w:r w:rsidR="00B8038E" w:rsidRPr="00A25982">
        <w:rPr>
          <w:rFonts w:ascii="Arial" w:hAnsi="Arial" w:cs="Arial"/>
        </w:rPr>
        <w:t>-</w:t>
      </w:r>
      <w:r w:rsidR="003D05BA" w:rsidRPr="00A25982">
        <w:rPr>
          <w:rFonts w:ascii="Arial" w:hAnsi="Arial" w:cs="Arial"/>
        </w:rPr>
        <w:t>related opportunities are to be realised.</w:t>
      </w:r>
    </w:p>
    <w:p w14:paraId="0EC45F04" w14:textId="0498EA1F" w:rsidR="000B5F5E" w:rsidRPr="00A25982" w:rsidRDefault="003D05BA" w:rsidP="00A25982">
      <w:pPr>
        <w:pStyle w:val="NormalWeb"/>
        <w:spacing w:before="0" w:beforeAutospacing="0" w:after="0" w:afterAutospacing="0"/>
        <w:ind w:firstLine="284"/>
        <w:jc w:val="both"/>
        <w:rPr>
          <w:rFonts w:ascii="Arial" w:hAnsi="Arial" w:cs="Arial"/>
        </w:rPr>
      </w:pPr>
      <w:r w:rsidRPr="00A25982">
        <w:rPr>
          <w:rFonts w:ascii="Arial" w:hAnsi="Arial" w:cs="Arial"/>
        </w:rPr>
        <w:t xml:space="preserve">In terms of opportunities for improved business models, these were primarily targeted at the farming sector, with a </w:t>
      </w:r>
      <w:proofErr w:type="gramStart"/>
      <w:r w:rsidRPr="00A25982">
        <w:rPr>
          <w:rFonts w:ascii="Arial" w:hAnsi="Arial" w:cs="Arial"/>
        </w:rPr>
        <w:t>particular emphasis</w:t>
      </w:r>
      <w:proofErr w:type="gramEnd"/>
      <w:r w:rsidRPr="00A25982">
        <w:rPr>
          <w:rFonts w:ascii="Arial" w:hAnsi="Arial" w:cs="Arial"/>
        </w:rPr>
        <w:t xml:space="preserve"> on the need for better volatility management and to ensure profitable farming that is either less reliant on government subsidy or incentiv</w:t>
      </w:r>
      <w:r w:rsidR="007476A3" w:rsidRPr="00A25982">
        <w:rPr>
          <w:rFonts w:ascii="Arial" w:hAnsi="Arial" w:cs="Arial"/>
        </w:rPr>
        <w:t>ised by a better replacement of</w:t>
      </w:r>
      <w:r w:rsidRPr="00A25982">
        <w:rPr>
          <w:rFonts w:ascii="Arial" w:hAnsi="Arial" w:cs="Arial"/>
        </w:rPr>
        <w:t xml:space="preserve"> the CAP subsidy. As stated by </w:t>
      </w:r>
      <w:r w:rsidR="00012260" w:rsidRPr="00A25982">
        <w:rPr>
          <w:rFonts w:ascii="Arial" w:hAnsi="Arial" w:cs="Arial"/>
        </w:rPr>
        <w:t xml:space="preserve">F3-I1: </w:t>
      </w:r>
      <w:r w:rsidR="00012260" w:rsidRPr="00A25982">
        <w:rPr>
          <w:rFonts w:ascii="Arial" w:hAnsi="Arial" w:cs="Arial"/>
          <w:i/>
        </w:rPr>
        <w:t>"So it might be that a funding scheme going forward is where a farmer</w:t>
      </w:r>
      <w:r w:rsidR="00663EEE" w:rsidRPr="00A25982">
        <w:rPr>
          <w:rFonts w:ascii="Arial" w:hAnsi="Arial" w:cs="Arial"/>
          <w:i/>
        </w:rPr>
        <w:t xml:space="preserve"> ha</w:t>
      </w:r>
      <w:r w:rsidR="00012260" w:rsidRPr="00A25982">
        <w:rPr>
          <w:rFonts w:ascii="Arial" w:hAnsi="Arial" w:cs="Arial"/>
          <w:i/>
        </w:rPr>
        <w:t xml:space="preserve">s decided to look at his costs and go somewhere where he’s helping himself with cost efficiency, that </w:t>
      </w:r>
      <w:r w:rsidR="000E674E" w:rsidRPr="00A25982">
        <w:rPr>
          <w:rFonts w:ascii="Arial" w:hAnsi="Arial" w:cs="Arial"/>
          <w:i/>
        </w:rPr>
        <w:t>triggers funding for that farm.</w:t>
      </w:r>
      <w:r w:rsidR="00012260" w:rsidRPr="00A25982">
        <w:rPr>
          <w:rFonts w:ascii="Arial" w:hAnsi="Arial" w:cs="Arial"/>
          <w:i/>
        </w:rPr>
        <w:t>"</w:t>
      </w:r>
      <w:r w:rsidR="00F71AC8" w:rsidRPr="00A25982">
        <w:rPr>
          <w:rFonts w:ascii="Arial" w:hAnsi="Arial" w:cs="Arial"/>
          <w:i/>
        </w:rPr>
        <w:t xml:space="preserve"> </w:t>
      </w:r>
      <w:r w:rsidR="00012260" w:rsidRPr="00A25982">
        <w:rPr>
          <w:rFonts w:ascii="Arial" w:hAnsi="Arial" w:cs="Arial"/>
        </w:rPr>
        <w:t xml:space="preserve">Better volatility management is needed given that prices can rise and fall on the commodity markets, as argued by NGO1: </w:t>
      </w:r>
      <w:r w:rsidR="000E674E" w:rsidRPr="00A25982">
        <w:rPr>
          <w:rFonts w:ascii="Arial" w:hAnsi="Arial" w:cs="Arial"/>
        </w:rPr>
        <w:t>“</w:t>
      </w:r>
      <w:r w:rsidR="00012260" w:rsidRPr="00A25982">
        <w:rPr>
          <w:rFonts w:ascii="Arial" w:hAnsi="Arial" w:cs="Arial"/>
          <w:i/>
        </w:rPr>
        <w:t xml:space="preserve">So what you need to be is as efficient as you possibly can and understand that the price isn’t only going to go up. They </w:t>
      </w:r>
      <w:r w:rsidR="00642EF7" w:rsidRPr="00A25982">
        <w:rPr>
          <w:rFonts w:ascii="Arial" w:hAnsi="Arial" w:cs="Arial"/>
        </w:rPr>
        <w:t xml:space="preserve">[prices] </w:t>
      </w:r>
      <w:r w:rsidR="00012260" w:rsidRPr="00A25982">
        <w:rPr>
          <w:rFonts w:ascii="Arial" w:hAnsi="Arial" w:cs="Arial"/>
          <w:i/>
        </w:rPr>
        <w:t>are going to come down as well</w:t>
      </w:r>
      <w:r w:rsidR="000E674E" w:rsidRPr="00A25982">
        <w:rPr>
          <w:rFonts w:ascii="Arial" w:hAnsi="Arial" w:cs="Arial"/>
          <w:i/>
        </w:rPr>
        <w:t xml:space="preserve"> …</w:t>
      </w:r>
      <w:r w:rsidR="00012260" w:rsidRPr="00A25982">
        <w:rPr>
          <w:rFonts w:ascii="Arial" w:hAnsi="Arial" w:cs="Arial"/>
          <w:i/>
        </w:rPr>
        <w:t xml:space="preserve"> what you need to do in that sort of scenario is get the </w:t>
      </w:r>
      <w:r w:rsidR="00642EF7" w:rsidRPr="00A25982">
        <w:rPr>
          <w:rFonts w:ascii="Arial" w:hAnsi="Arial" w:cs="Arial"/>
          <w:i/>
        </w:rPr>
        <w:t>cost</w:t>
      </w:r>
      <w:r w:rsidR="00012260" w:rsidRPr="00A25982">
        <w:rPr>
          <w:rFonts w:ascii="Arial" w:hAnsi="Arial" w:cs="Arial"/>
          <w:i/>
        </w:rPr>
        <w:t xml:space="preserve"> of production down as low as you possibly can. </w:t>
      </w:r>
      <w:r w:rsidR="000E674E" w:rsidRPr="00A25982">
        <w:rPr>
          <w:rFonts w:ascii="Arial" w:hAnsi="Arial" w:cs="Arial"/>
          <w:i/>
          <w:noProof/>
        </w:rPr>
        <w:t>…</w:t>
      </w:r>
      <w:r w:rsidR="000E674E" w:rsidRPr="00A25982">
        <w:rPr>
          <w:rFonts w:ascii="Arial" w:hAnsi="Arial" w:cs="Arial"/>
          <w:i/>
        </w:rPr>
        <w:t xml:space="preserve"> </w:t>
      </w:r>
      <w:r w:rsidR="00012260" w:rsidRPr="00A25982">
        <w:rPr>
          <w:rFonts w:ascii="Arial" w:hAnsi="Arial" w:cs="Arial"/>
          <w:i/>
          <w:noProof/>
        </w:rPr>
        <w:t xml:space="preserve">When the price goes up to </w:t>
      </w:r>
      <w:r w:rsidR="000E674E" w:rsidRPr="00A25982">
        <w:rPr>
          <w:rFonts w:ascii="Arial" w:hAnsi="Arial" w:cs="Arial"/>
          <w:i/>
          <w:noProof/>
        </w:rPr>
        <w:t>…</w:t>
      </w:r>
      <w:r w:rsidR="00012260" w:rsidRPr="00A25982">
        <w:rPr>
          <w:rFonts w:ascii="Arial" w:hAnsi="Arial" w:cs="Arial"/>
          <w:i/>
        </w:rPr>
        <w:t xml:space="preserve"> don’t go and buy three new tractors. </w:t>
      </w:r>
      <w:r w:rsidR="000E674E" w:rsidRPr="00A25982">
        <w:rPr>
          <w:rFonts w:ascii="Arial" w:hAnsi="Arial" w:cs="Arial"/>
          <w:i/>
          <w:noProof/>
        </w:rPr>
        <w:t>…</w:t>
      </w:r>
      <w:r w:rsidR="00012260" w:rsidRPr="00A25982">
        <w:rPr>
          <w:rFonts w:ascii="Arial" w:hAnsi="Arial" w:cs="Arial"/>
          <w:i/>
        </w:rPr>
        <w:t xml:space="preserve"> Use that money to see you through the low</w:t>
      </w:r>
      <w:r w:rsidR="000E674E" w:rsidRPr="00A25982">
        <w:rPr>
          <w:rFonts w:ascii="Arial" w:hAnsi="Arial" w:cs="Arial"/>
          <w:i/>
        </w:rPr>
        <w:t>.</w:t>
      </w:r>
      <w:r w:rsidR="00F71AC8" w:rsidRPr="00A25982">
        <w:rPr>
          <w:rFonts w:ascii="Arial" w:hAnsi="Arial" w:cs="Arial"/>
          <w:i/>
        </w:rPr>
        <w:t xml:space="preserve"> </w:t>
      </w:r>
      <w:proofErr w:type="gramStart"/>
      <w:r w:rsidR="000E674E" w:rsidRPr="00A25982">
        <w:rPr>
          <w:rFonts w:ascii="Arial" w:hAnsi="Arial" w:cs="Arial"/>
          <w:i/>
        </w:rPr>
        <w:t>S</w:t>
      </w:r>
      <w:r w:rsidR="00012260" w:rsidRPr="00A25982">
        <w:rPr>
          <w:rFonts w:ascii="Arial" w:hAnsi="Arial" w:cs="Arial"/>
          <w:i/>
        </w:rPr>
        <w:t>o</w:t>
      </w:r>
      <w:proofErr w:type="gramEnd"/>
      <w:r w:rsidR="00012260" w:rsidRPr="00A25982">
        <w:rPr>
          <w:rFonts w:ascii="Arial" w:hAnsi="Arial" w:cs="Arial"/>
          <w:i/>
        </w:rPr>
        <w:t xml:space="preserve"> it really depends I would have said on where individual businesses are in terms of knowing the cost of production, understanding the market they are </w:t>
      </w:r>
      <w:r w:rsidR="000E674E" w:rsidRPr="00A25982">
        <w:rPr>
          <w:rFonts w:ascii="Arial" w:hAnsi="Arial" w:cs="Arial"/>
          <w:i/>
        </w:rPr>
        <w:t xml:space="preserve">in, </w:t>
      </w:r>
      <w:r w:rsidR="00012260" w:rsidRPr="00A25982">
        <w:rPr>
          <w:rFonts w:ascii="Arial" w:hAnsi="Arial" w:cs="Arial"/>
          <w:i/>
        </w:rPr>
        <w:t>as to how likely they are to survive when CAP changes</w:t>
      </w:r>
      <w:r w:rsidR="000E674E" w:rsidRPr="00A25982">
        <w:rPr>
          <w:rFonts w:ascii="Arial" w:hAnsi="Arial" w:cs="Arial"/>
          <w:i/>
        </w:rPr>
        <w:t>”</w:t>
      </w:r>
      <w:r w:rsidR="00012260" w:rsidRPr="00A25982">
        <w:rPr>
          <w:rFonts w:ascii="Arial" w:hAnsi="Arial" w:cs="Arial"/>
          <w:i/>
        </w:rPr>
        <w:t xml:space="preserve">. </w:t>
      </w:r>
      <w:r w:rsidR="00292E1A" w:rsidRPr="00A25982">
        <w:rPr>
          <w:rFonts w:ascii="Arial" w:hAnsi="Arial" w:cs="Arial"/>
        </w:rPr>
        <w:t xml:space="preserve">It can </w:t>
      </w:r>
      <w:r w:rsidR="00292E1A" w:rsidRPr="00A25982">
        <w:rPr>
          <w:rFonts w:ascii="Arial" w:hAnsi="Arial" w:cs="Arial"/>
          <w:noProof/>
        </w:rPr>
        <w:t>therefore</w:t>
      </w:r>
      <w:r w:rsidR="00292E1A" w:rsidRPr="00A25982">
        <w:rPr>
          <w:rFonts w:ascii="Arial" w:hAnsi="Arial" w:cs="Arial"/>
        </w:rPr>
        <w:t xml:space="preserve"> be concluded that organisations are sensing both opportunities and threats </w:t>
      </w:r>
      <w:r w:rsidR="00E63986" w:rsidRPr="00A25982">
        <w:rPr>
          <w:rFonts w:ascii="Arial" w:hAnsi="Arial" w:cs="Arial"/>
        </w:rPr>
        <w:t>su</w:t>
      </w:r>
      <w:r w:rsidR="00926F6E" w:rsidRPr="00A25982">
        <w:rPr>
          <w:rFonts w:ascii="Arial" w:hAnsi="Arial" w:cs="Arial"/>
        </w:rPr>
        <w:t>rrounding Brexit</w:t>
      </w:r>
      <w:r w:rsidR="00CE2C14" w:rsidRPr="00A25982">
        <w:rPr>
          <w:rFonts w:ascii="Arial" w:hAnsi="Arial" w:cs="Arial"/>
        </w:rPr>
        <w:t>.</w:t>
      </w:r>
    </w:p>
    <w:p w14:paraId="1E7DDE2B" w14:textId="77777777" w:rsidR="00CE2C14" w:rsidRPr="00A25982" w:rsidRDefault="00CE2C14" w:rsidP="00A25982">
      <w:pPr>
        <w:pStyle w:val="NormalWeb"/>
        <w:spacing w:before="0" w:beforeAutospacing="0" w:after="0" w:afterAutospacing="0"/>
        <w:ind w:firstLine="284"/>
        <w:jc w:val="both"/>
        <w:rPr>
          <w:rFonts w:ascii="Arial" w:hAnsi="Arial" w:cs="Arial"/>
          <w:sz w:val="12"/>
          <w:szCs w:val="12"/>
        </w:rPr>
      </w:pPr>
    </w:p>
    <w:p w14:paraId="5DC0D68F" w14:textId="1BE7745B" w:rsidR="00CE2C14" w:rsidRPr="00A25982" w:rsidRDefault="007F6150" w:rsidP="008C302D">
      <w:pPr>
        <w:pStyle w:val="NormalWeb"/>
        <w:keepNext/>
        <w:spacing w:before="0" w:beforeAutospacing="0" w:after="0" w:afterAutospacing="0"/>
        <w:jc w:val="both"/>
        <w:rPr>
          <w:rFonts w:ascii="Arial" w:hAnsi="Arial" w:cs="Arial"/>
          <w:i/>
        </w:rPr>
      </w:pPr>
      <w:r w:rsidRPr="00A25982">
        <w:rPr>
          <w:rFonts w:ascii="Arial" w:hAnsi="Arial" w:cs="Arial"/>
          <w:i/>
        </w:rPr>
        <w:lastRenderedPageBreak/>
        <w:t xml:space="preserve">4.3. </w:t>
      </w:r>
      <w:r w:rsidR="004159EC" w:rsidRPr="00A25982">
        <w:rPr>
          <w:rFonts w:ascii="Arial" w:hAnsi="Arial" w:cs="Arial"/>
          <w:i/>
        </w:rPr>
        <w:t xml:space="preserve">Seizing </w:t>
      </w:r>
      <w:r w:rsidR="00842CB3" w:rsidRPr="00A25982">
        <w:rPr>
          <w:rFonts w:ascii="Arial" w:hAnsi="Arial" w:cs="Arial"/>
          <w:i/>
        </w:rPr>
        <w:t>O</w:t>
      </w:r>
      <w:r w:rsidR="004159EC" w:rsidRPr="00A25982">
        <w:rPr>
          <w:rFonts w:ascii="Arial" w:hAnsi="Arial" w:cs="Arial"/>
          <w:i/>
        </w:rPr>
        <w:t>pportunities</w:t>
      </w:r>
      <w:r w:rsidR="00853DCF" w:rsidRPr="00A25982">
        <w:rPr>
          <w:rFonts w:ascii="Arial" w:hAnsi="Arial" w:cs="Arial"/>
          <w:i/>
        </w:rPr>
        <w:t xml:space="preserve"> and </w:t>
      </w:r>
      <w:r w:rsidR="00842CB3" w:rsidRPr="00A25982">
        <w:rPr>
          <w:rFonts w:ascii="Arial" w:hAnsi="Arial" w:cs="Arial"/>
          <w:i/>
        </w:rPr>
        <w:t>B</w:t>
      </w:r>
      <w:r w:rsidR="00853DCF" w:rsidRPr="00A25982">
        <w:rPr>
          <w:rFonts w:ascii="Arial" w:hAnsi="Arial" w:cs="Arial"/>
          <w:i/>
        </w:rPr>
        <w:t xml:space="preserve">eginning to </w:t>
      </w:r>
      <w:r w:rsidR="00842CB3" w:rsidRPr="00A25982">
        <w:rPr>
          <w:rFonts w:ascii="Arial" w:hAnsi="Arial" w:cs="Arial"/>
          <w:i/>
        </w:rPr>
        <w:t>T</w:t>
      </w:r>
      <w:r w:rsidR="00853DCF" w:rsidRPr="00A25982">
        <w:rPr>
          <w:rFonts w:ascii="Arial" w:hAnsi="Arial" w:cs="Arial"/>
          <w:i/>
        </w:rPr>
        <w:t>ransform</w:t>
      </w:r>
    </w:p>
    <w:p w14:paraId="49F41BF7" w14:textId="13445F38" w:rsidR="00926F6E" w:rsidRPr="00A25982" w:rsidRDefault="00853DCF" w:rsidP="00A25982">
      <w:pPr>
        <w:pStyle w:val="NormalWeb"/>
        <w:spacing w:before="0" w:beforeAutospacing="0" w:after="0" w:afterAutospacing="0"/>
        <w:jc w:val="both"/>
        <w:rPr>
          <w:rFonts w:ascii="Arial" w:hAnsi="Arial" w:cs="Arial"/>
        </w:rPr>
      </w:pPr>
      <w:r w:rsidRPr="00A25982">
        <w:rPr>
          <w:rFonts w:ascii="Arial" w:hAnsi="Arial" w:cs="Arial"/>
        </w:rPr>
        <w:t>Having ‘</w:t>
      </w:r>
      <w:r w:rsidRPr="00A25982">
        <w:rPr>
          <w:rFonts w:ascii="Arial" w:hAnsi="Arial" w:cs="Arial"/>
          <w:i/>
        </w:rPr>
        <w:t>sensed</w:t>
      </w:r>
      <w:r w:rsidRPr="00A25982">
        <w:rPr>
          <w:rFonts w:ascii="Arial" w:hAnsi="Arial" w:cs="Arial"/>
        </w:rPr>
        <w:t xml:space="preserve">’ the threats and </w:t>
      </w:r>
      <w:r w:rsidR="00926F6E" w:rsidRPr="00A25982">
        <w:rPr>
          <w:rFonts w:ascii="Arial" w:hAnsi="Arial" w:cs="Arial"/>
        </w:rPr>
        <w:t>opportunities surrounding Brexit,</w:t>
      </w:r>
      <w:r w:rsidR="00D62412" w:rsidRPr="00A25982">
        <w:rPr>
          <w:rFonts w:ascii="Arial" w:hAnsi="Arial" w:cs="Arial"/>
        </w:rPr>
        <w:t xml:space="preserve"> the findings </w:t>
      </w:r>
      <w:r w:rsidR="00926F6E" w:rsidRPr="00A25982">
        <w:rPr>
          <w:rFonts w:ascii="Arial" w:hAnsi="Arial" w:cs="Arial"/>
        </w:rPr>
        <w:t xml:space="preserve">also </w:t>
      </w:r>
      <w:r w:rsidR="00D62412" w:rsidRPr="00A25982">
        <w:rPr>
          <w:rFonts w:ascii="Arial" w:hAnsi="Arial" w:cs="Arial"/>
        </w:rPr>
        <w:t>suggest that</w:t>
      </w:r>
      <w:r w:rsidR="00AC0A07" w:rsidRPr="00A25982">
        <w:rPr>
          <w:rFonts w:ascii="Arial" w:hAnsi="Arial" w:cs="Arial"/>
        </w:rPr>
        <w:t>,</w:t>
      </w:r>
      <w:r w:rsidR="00D62412" w:rsidRPr="00A25982">
        <w:rPr>
          <w:rFonts w:ascii="Arial" w:hAnsi="Arial" w:cs="Arial"/>
        </w:rPr>
        <w:t xml:space="preserve"> at the farming tier</w:t>
      </w:r>
      <w:r w:rsidR="00AC0A07" w:rsidRPr="00A25982">
        <w:rPr>
          <w:rFonts w:ascii="Arial" w:hAnsi="Arial" w:cs="Arial"/>
        </w:rPr>
        <w:t>,</w:t>
      </w:r>
      <w:r w:rsidR="00D62412" w:rsidRPr="00A25982">
        <w:rPr>
          <w:rFonts w:ascii="Arial" w:hAnsi="Arial" w:cs="Arial"/>
        </w:rPr>
        <w:t xml:space="preserve"> organisations are </w:t>
      </w:r>
      <w:r w:rsidR="005C7FA3" w:rsidRPr="00A25982">
        <w:rPr>
          <w:rFonts w:ascii="Arial" w:hAnsi="Arial" w:cs="Arial"/>
        </w:rPr>
        <w:t xml:space="preserve">beginning to </w:t>
      </w:r>
      <w:r w:rsidR="00D62412" w:rsidRPr="00A25982">
        <w:rPr>
          <w:rFonts w:ascii="Arial" w:hAnsi="Arial" w:cs="Arial"/>
        </w:rPr>
        <w:t>‘</w:t>
      </w:r>
      <w:r w:rsidR="005C7FA3" w:rsidRPr="00A25982">
        <w:rPr>
          <w:rFonts w:ascii="Arial" w:hAnsi="Arial" w:cs="Arial"/>
          <w:i/>
        </w:rPr>
        <w:t>seize</w:t>
      </w:r>
      <w:r w:rsidR="00D62412" w:rsidRPr="00A25982">
        <w:rPr>
          <w:rFonts w:ascii="Arial" w:hAnsi="Arial" w:cs="Arial"/>
        </w:rPr>
        <w:t xml:space="preserve">’ opportunities to strengthen their businesses; and </w:t>
      </w:r>
      <w:r w:rsidR="00AC0A07" w:rsidRPr="00A25982">
        <w:rPr>
          <w:rFonts w:ascii="Arial" w:hAnsi="Arial" w:cs="Arial"/>
        </w:rPr>
        <w:t xml:space="preserve">are </w:t>
      </w:r>
      <w:r w:rsidR="00D62412" w:rsidRPr="00A25982">
        <w:rPr>
          <w:rFonts w:ascii="Arial" w:hAnsi="Arial" w:cs="Arial"/>
        </w:rPr>
        <w:t>‘</w:t>
      </w:r>
      <w:r w:rsidR="00926F6E" w:rsidRPr="00A25982">
        <w:rPr>
          <w:rFonts w:ascii="Arial" w:hAnsi="Arial" w:cs="Arial"/>
          <w:i/>
        </w:rPr>
        <w:t>transforming</w:t>
      </w:r>
      <w:r w:rsidR="00D62412" w:rsidRPr="00A25982">
        <w:rPr>
          <w:rFonts w:ascii="Arial" w:hAnsi="Arial" w:cs="Arial"/>
          <w:i/>
        </w:rPr>
        <w:t>’</w:t>
      </w:r>
      <w:r w:rsidR="00D62412" w:rsidRPr="00A25982">
        <w:rPr>
          <w:rFonts w:ascii="Arial" w:hAnsi="Arial" w:cs="Arial"/>
        </w:rPr>
        <w:t xml:space="preserve"> accordingly.</w:t>
      </w:r>
      <w:r w:rsidR="00F71AC8" w:rsidRPr="00A25982">
        <w:rPr>
          <w:rFonts w:ascii="Arial" w:hAnsi="Arial" w:cs="Arial"/>
        </w:rPr>
        <w:t xml:space="preserve"> </w:t>
      </w:r>
      <w:r w:rsidR="00D62412" w:rsidRPr="00A25982">
        <w:rPr>
          <w:rFonts w:ascii="Arial" w:hAnsi="Arial" w:cs="Arial"/>
        </w:rPr>
        <w:t xml:space="preserve">For example, </w:t>
      </w:r>
      <w:r w:rsidR="00926F6E" w:rsidRPr="00A25982">
        <w:rPr>
          <w:rFonts w:ascii="Arial" w:hAnsi="Arial" w:cs="Arial"/>
        </w:rPr>
        <w:t>Farm 1</w:t>
      </w:r>
      <w:r w:rsidR="0042556D" w:rsidRPr="00A25982">
        <w:rPr>
          <w:rFonts w:ascii="Arial" w:hAnsi="Arial" w:cs="Arial"/>
        </w:rPr>
        <w:t>,</w:t>
      </w:r>
      <w:r w:rsidR="00D62412" w:rsidRPr="00A25982">
        <w:rPr>
          <w:rFonts w:ascii="Arial" w:hAnsi="Arial" w:cs="Arial"/>
        </w:rPr>
        <w:t xml:space="preserve"> wh</w:t>
      </w:r>
      <w:r w:rsidR="0042556D" w:rsidRPr="00A25982">
        <w:rPr>
          <w:rFonts w:ascii="Arial" w:hAnsi="Arial" w:cs="Arial"/>
        </w:rPr>
        <w:t>ich</w:t>
      </w:r>
      <w:r w:rsidR="00D62412" w:rsidRPr="00A25982">
        <w:rPr>
          <w:rFonts w:ascii="Arial" w:hAnsi="Arial" w:cs="Arial"/>
        </w:rPr>
        <w:t xml:space="preserve"> had previously supplied milk to the local liquid milk market </w:t>
      </w:r>
      <w:r w:rsidR="00AC0A07" w:rsidRPr="00A25982">
        <w:rPr>
          <w:rFonts w:ascii="Arial" w:hAnsi="Arial" w:cs="Arial"/>
        </w:rPr>
        <w:t>only</w:t>
      </w:r>
      <w:r w:rsidR="00D62412" w:rsidRPr="00A25982">
        <w:rPr>
          <w:rFonts w:ascii="Arial" w:hAnsi="Arial" w:cs="Arial"/>
        </w:rPr>
        <w:t xml:space="preserve"> is currently exploring opportunities to sell to the more profitable London coffee milk market</w:t>
      </w:r>
      <w:r w:rsidR="005C7FA3" w:rsidRPr="00A25982">
        <w:rPr>
          <w:rFonts w:ascii="Arial" w:hAnsi="Arial" w:cs="Arial"/>
        </w:rPr>
        <w:t xml:space="preserve">, seeking several customers </w:t>
      </w:r>
      <w:proofErr w:type="gramStart"/>
      <w:r w:rsidR="005C7FA3" w:rsidRPr="00A25982">
        <w:rPr>
          <w:rFonts w:ascii="Arial" w:hAnsi="Arial" w:cs="Arial"/>
        </w:rPr>
        <w:t>so as to</w:t>
      </w:r>
      <w:proofErr w:type="gramEnd"/>
      <w:r w:rsidR="005C7FA3" w:rsidRPr="00A25982">
        <w:rPr>
          <w:rFonts w:ascii="Arial" w:hAnsi="Arial" w:cs="Arial"/>
        </w:rPr>
        <w:t xml:space="preserve"> spread the risk</w:t>
      </w:r>
      <w:r w:rsidR="007476A3" w:rsidRPr="00A25982">
        <w:rPr>
          <w:rFonts w:ascii="Arial" w:hAnsi="Arial" w:cs="Arial"/>
        </w:rPr>
        <w:t>.</w:t>
      </w:r>
      <w:r w:rsidR="00F71AC8" w:rsidRPr="00A25982">
        <w:rPr>
          <w:rFonts w:ascii="Arial" w:hAnsi="Arial" w:cs="Arial"/>
        </w:rPr>
        <w:t xml:space="preserve"> </w:t>
      </w:r>
      <w:proofErr w:type="gramStart"/>
      <w:r w:rsidR="007476A3" w:rsidRPr="00A25982">
        <w:rPr>
          <w:rFonts w:ascii="Arial" w:hAnsi="Arial" w:cs="Arial"/>
        </w:rPr>
        <w:t>T</w:t>
      </w:r>
      <w:r w:rsidR="005C7FA3" w:rsidRPr="00A25982">
        <w:rPr>
          <w:rFonts w:ascii="Arial" w:hAnsi="Arial" w:cs="Arial"/>
        </w:rPr>
        <w:t>hus</w:t>
      </w:r>
      <w:proofErr w:type="gramEnd"/>
      <w:r w:rsidR="005C7FA3" w:rsidRPr="00A25982">
        <w:rPr>
          <w:rFonts w:ascii="Arial" w:hAnsi="Arial" w:cs="Arial"/>
        </w:rPr>
        <w:t xml:space="preserve"> their aim to:</w:t>
      </w:r>
      <w:r w:rsidR="00F71AC8" w:rsidRPr="00A25982">
        <w:rPr>
          <w:rFonts w:ascii="Arial" w:hAnsi="Arial" w:cs="Arial"/>
        </w:rPr>
        <w:t xml:space="preserve"> </w:t>
      </w:r>
      <w:r w:rsidR="005C7FA3" w:rsidRPr="00A25982">
        <w:rPr>
          <w:rFonts w:ascii="Arial" w:hAnsi="Arial" w:cs="Arial"/>
        </w:rPr>
        <w:t>“</w:t>
      </w:r>
      <w:r w:rsidR="005C7FA3" w:rsidRPr="00A25982">
        <w:rPr>
          <w:rFonts w:ascii="Arial" w:hAnsi="Arial" w:cs="Arial"/>
          <w:i/>
        </w:rPr>
        <w:t xml:space="preserve">make a new market … </w:t>
      </w:r>
      <w:r w:rsidR="005C7FA3" w:rsidRPr="00A25982">
        <w:rPr>
          <w:rFonts w:ascii="Arial" w:hAnsi="Arial" w:cs="Arial"/>
          <w:i/>
          <w:noProof/>
        </w:rPr>
        <w:t>where we spread our risk across a number of different people</w:t>
      </w:r>
      <w:r w:rsidR="00642EF7" w:rsidRPr="00A25982">
        <w:rPr>
          <w:rFonts w:ascii="Arial" w:hAnsi="Arial" w:cs="Arial"/>
          <w:i/>
          <w:noProof/>
        </w:rPr>
        <w:t xml:space="preserve"> </w:t>
      </w:r>
      <w:r w:rsidR="00642EF7" w:rsidRPr="00A25982">
        <w:rPr>
          <w:rFonts w:ascii="Arial" w:hAnsi="Arial" w:cs="Arial"/>
          <w:noProof/>
        </w:rPr>
        <w:t>[customers or markets]</w:t>
      </w:r>
      <w:r w:rsidR="005C7FA3" w:rsidRPr="00A25982">
        <w:rPr>
          <w:rFonts w:ascii="Arial" w:hAnsi="Arial" w:cs="Arial"/>
          <w:noProof/>
        </w:rPr>
        <w:t>”</w:t>
      </w:r>
      <w:r w:rsidR="007476A3" w:rsidRPr="00A25982">
        <w:rPr>
          <w:rFonts w:ascii="Arial" w:hAnsi="Arial" w:cs="Arial"/>
          <w:noProof/>
        </w:rPr>
        <w:t xml:space="preserve"> (F1-I2)</w:t>
      </w:r>
      <w:r w:rsidR="00D62412" w:rsidRPr="00A25982">
        <w:rPr>
          <w:rFonts w:ascii="Arial" w:hAnsi="Arial" w:cs="Arial"/>
          <w:noProof/>
        </w:rPr>
        <w:t>.</w:t>
      </w:r>
      <w:r w:rsidR="00F71AC8" w:rsidRPr="00A25982">
        <w:rPr>
          <w:rFonts w:ascii="Arial" w:hAnsi="Arial" w:cs="Arial"/>
        </w:rPr>
        <w:t xml:space="preserve"> </w:t>
      </w:r>
      <w:r w:rsidR="005C7FA3" w:rsidRPr="00A25982">
        <w:rPr>
          <w:rFonts w:ascii="Arial" w:hAnsi="Arial" w:cs="Arial"/>
        </w:rPr>
        <w:t>Others have</w:t>
      </w:r>
      <w:r w:rsidR="00B30989" w:rsidRPr="00A25982">
        <w:rPr>
          <w:rFonts w:ascii="Arial" w:hAnsi="Arial" w:cs="Arial"/>
        </w:rPr>
        <w:t xml:space="preserve"> already become more resilient through</w:t>
      </w:r>
      <w:r w:rsidR="005C7FA3" w:rsidRPr="00A25982">
        <w:rPr>
          <w:rFonts w:ascii="Arial" w:hAnsi="Arial" w:cs="Arial"/>
        </w:rPr>
        <w:t xml:space="preserve"> responding to prior shocks</w:t>
      </w:r>
      <w:r w:rsidR="00642EF7" w:rsidRPr="00A25982">
        <w:rPr>
          <w:rFonts w:ascii="Arial" w:hAnsi="Arial" w:cs="Arial"/>
        </w:rPr>
        <w:t xml:space="preserve"> felt in the farming sector (e.g. foot and mouth disease, salmonella scandals, etc.)</w:t>
      </w:r>
      <w:r w:rsidR="005C7FA3" w:rsidRPr="00A25982">
        <w:rPr>
          <w:rFonts w:ascii="Arial" w:hAnsi="Arial" w:cs="Arial"/>
        </w:rPr>
        <w:t xml:space="preserve">, and have thus diversified to become less reliant on the CAP subsidy. For example, Farm 3 changed the breeds of livestock kept </w:t>
      </w:r>
      <w:proofErr w:type="gramStart"/>
      <w:r w:rsidR="005C7FA3" w:rsidRPr="00A25982">
        <w:rPr>
          <w:rFonts w:ascii="Arial" w:hAnsi="Arial" w:cs="Arial"/>
        </w:rPr>
        <w:t>to produce</w:t>
      </w:r>
      <w:proofErr w:type="gramEnd"/>
      <w:r w:rsidR="005C7FA3" w:rsidRPr="00A25982">
        <w:rPr>
          <w:rFonts w:ascii="Arial" w:hAnsi="Arial" w:cs="Arial"/>
        </w:rPr>
        <w:t xml:space="preserve"> more lean cuts and expanded into the egg packing business as the demand for </w:t>
      </w:r>
      <w:r w:rsidR="005C7FA3" w:rsidRPr="00A25982">
        <w:rPr>
          <w:rFonts w:ascii="Arial" w:hAnsi="Arial" w:cs="Arial"/>
          <w:noProof/>
        </w:rPr>
        <w:t>f</w:t>
      </w:r>
      <w:r w:rsidR="000A608D" w:rsidRPr="00A25982">
        <w:rPr>
          <w:rFonts w:ascii="Arial" w:hAnsi="Arial" w:cs="Arial"/>
          <w:noProof/>
        </w:rPr>
        <w:t>ree range</w:t>
      </w:r>
      <w:r w:rsidR="000A608D" w:rsidRPr="00A25982">
        <w:rPr>
          <w:rFonts w:ascii="Arial" w:hAnsi="Arial" w:cs="Arial"/>
        </w:rPr>
        <w:t xml:space="preserve"> eggs grew.</w:t>
      </w:r>
      <w:r w:rsidR="005C7FA3" w:rsidRPr="00A25982">
        <w:rPr>
          <w:rFonts w:ascii="Arial" w:hAnsi="Arial" w:cs="Arial"/>
        </w:rPr>
        <w:t xml:space="preserve"> Thus, they have made previous timely </w:t>
      </w:r>
      <w:r w:rsidR="005C7FA3" w:rsidRPr="00A25982">
        <w:rPr>
          <w:rFonts w:ascii="Arial" w:hAnsi="Arial" w:cs="Arial"/>
          <w:noProof/>
        </w:rPr>
        <w:t>and</w:t>
      </w:r>
      <w:r w:rsidR="005C7FA3" w:rsidRPr="00A25982">
        <w:rPr>
          <w:rFonts w:ascii="Arial" w:hAnsi="Arial" w:cs="Arial"/>
        </w:rPr>
        <w:t xml:space="preserve"> market focused transformations. Nonetheless, this organisation is far from complacent and is one of the most proactive in aiming to influence future agricultural policy.</w:t>
      </w:r>
      <w:r w:rsidR="000A608D" w:rsidRPr="00A25982">
        <w:rPr>
          <w:rFonts w:ascii="Arial" w:hAnsi="Arial" w:cs="Arial"/>
        </w:rPr>
        <w:t xml:space="preserve"> Thus, in this case, they are ‘</w:t>
      </w:r>
      <w:r w:rsidR="000A608D" w:rsidRPr="00A25982">
        <w:rPr>
          <w:rFonts w:ascii="Arial" w:hAnsi="Arial" w:cs="Arial"/>
          <w:i/>
        </w:rPr>
        <w:t>seizing</w:t>
      </w:r>
      <w:r w:rsidR="000A608D" w:rsidRPr="00A25982">
        <w:rPr>
          <w:rFonts w:ascii="Arial" w:hAnsi="Arial" w:cs="Arial"/>
        </w:rPr>
        <w:t>’ the opportunity to influence government rather than to transform their business</w:t>
      </w:r>
      <w:r w:rsidR="0042556D" w:rsidRPr="00A25982">
        <w:rPr>
          <w:rFonts w:ascii="Arial" w:hAnsi="Arial" w:cs="Arial"/>
        </w:rPr>
        <w:t>,</w:t>
      </w:r>
      <w:r w:rsidR="000A608D" w:rsidRPr="00A25982">
        <w:rPr>
          <w:rFonts w:ascii="Arial" w:hAnsi="Arial" w:cs="Arial"/>
        </w:rPr>
        <w:t xml:space="preserve"> and this may be an equally important dynamic ca</w:t>
      </w:r>
      <w:r w:rsidR="007476A3" w:rsidRPr="00A25982">
        <w:rPr>
          <w:rFonts w:ascii="Arial" w:hAnsi="Arial" w:cs="Arial"/>
        </w:rPr>
        <w:t>pability in the Brexit context.</w:t>
      </w:r>
    </w:p>
    <w:p w14:paraId="34E1C1C6" w14:textId="0CFBE35A" w:rsidR="000B5F5E" w:rsidRPr="00A25982" w:rsidRDefault="005C7FA3" w:rsidP="00A25982">
      <w:pPr>
        <w:pStyle w:val="NormalWeb"/>
        <w:spacing w:before="0" w:beforeAutospacing="0" w:after="0" w:afterAutospacing="0"/>
        <w:ind w:firstLine="284"/>
        <w:jc w:val="both"/>
        <w:rPr>
          <w:rFonts w:ascii="Arial" w:hAnsi="Arial" w:cs="Arial"/>
        </w:rPr>
      </w:pPr>
      <w:r w:rsidRPr="00A25982">
        <w:rPr>
          <w:rFonts w:ascii="Arial" w:hAnsi="Arial" w:cs="Arial"/>
        </w:rPr>
        <w:t>In contrast, a</w:t>
      </w:r>
      <w:r w:rsidR="00D62412" w:rsidRPr="00A25982">
        <w:rPr>
          <w:rFonts w:ascii="Arial" w:hAnsi="Arial" w:cs="Arial"/>
        </w:rPr>
        <w:t>t the processor</w:t>
      </w:r>
      <w:r w:rsidR="00663EEE" w:rsidRPr="00A25982">
        <w:rPr>
          <w:rFonts w:ascii="Arial" w:hAnsi="Arial" w:cs="Arial"/>
        </w:rPr>
        <w:t xml:space="preserve"> and </w:t>
      </w:r>
      <w:r w:rsidR="00D62412" w:rsidRPr="00A25982">
        <w:rPr>
          <w:rFonts w:ascii="Arial" w:hAnsi="Arial" w:cs="Arial"/>
        </w:rPr>
        <w:t xml:space="preserve">retailer tiers, the interviewees commonly expressed a ‘watching brief’ attitude, and thus </w:t>
      </w:r>
      <w:r w:rsidR="00663EEE" w:rsidRPr="00A25982">
        <w:rPr>
          <w:rFonts w:ascii="Arial" w:hAnsi="Arial" w:cs="Arial"/>
        </w:rPr>
        <w:t xml:space="preserve">these </w:t>
      </w:r>
      <w:r w:rsidR="00D62412" w:rsidRPr="00A25982">
        <w:rPr>
          <w:rFonts w:ascii="Arial" w:hAnsi="Arial" w:cs="Arial"/>
        </w:rPr>
        <w:t>tier</w:t>
      </w:r>
      <w:r w:rsidR="00663EEE" w:rsidRPr="00A25982">
        <w:rPr>
          <w:rFonts w:ascii="Arial" w:hAnsi="Arial" w:cs="Arial"/>
        </w:rPr>
        <w:t>s</w:t>
      </w:r>
      <w:r w:rsidR="00D62412" w:rsidRPr="00A25982">
        <w:rPr>
          <w:rFonts w:ascii="Arial" w:hAnsi="Arial" w:cs="Arial"/>
        </w:rPr>
        <w:t xml:space="preserve"> can </w:t>
      </w:r>
      <w:proofErr w:type="gramStart"/>
      <w:r w:rsidR="00D62412" w:rsidRPr="00A25982">
        <w:rPr>
          <w:rFonts w:ascii="Arial" w:hAnsi="Arial" w:cs="Arial"/>
        </w:rPr>
        <w:t>be described as being</w:t>
      </w:r>
      <w:proofErr w:type="gramEnd"/>
      <w:r w:rsidR="00D62412" w:rsidRPr="00A25982">
        <w:rPr>
          <w:rFonts w:ascii="Arial" w:hAnsi="Arial" w:cs="Arial"/>
        </w:rPr>
        <w:t xml:space="preserve"> in the early stages of ‘</w:t>
      </w:r>
      <w:r w:rsidR="00D62412" w:rsidRPr="00A25982">
        <w:rPr>
          <w:rFonts w:ascii="Arial" w:hAnsi="Arial" w:cs="Arial"/>
          <w:i/>
        </w:rPr>
        <w:t>sensing</w:t>
      </w:r>
      <w:r w:rsidR="00D62412" w:rsidRPr="00A25982">
        <w:rPr>
          <w:rFonts w:ascii="Arial" w:hAnsi="Arial" w:cs="Arial"/>
        </w:rPr>
        <w:t xml:space="preserve">’ </w:t>
      </w:r>
      <w:r w:rsidR="00642EF7" w:rsidRPr="00A25982">
        <w:rPr>
          <w:rFonts w:ascii="Arial" w:hAnsi="Arial" w:cs="Arial"/>
        </w:rPr>
        <w:t>(rather than ‘</w:t>
      </w:r>
      <w:r w:rsidR="00642EF7" w:rsidRPr="00A25982">
        <w:rPr>
          <w:rFonts w:ascii="Arial" w:hAnsi="Arial" w:cs="Arial"/>
          <w:i/>
        </w:rPr>
        <w:t>seizing</w:t>
      </w:r>
      <w:r w:rsidR="00642EF7" w:rsidRPr="00A25982">
        <w:rPr>
          <w:rFonts w:ascii="Arial" w:hAnsi="Arial" w:cs="Arial"/>
        </w:rPr>
        <w:t xml:space="preserve">’) </w:t>
      </w:r>
      <w:r w:rsidR="00D62412" w:rsidRPr="00A25982">
        <w:rPr>
          <w:rFonts w:ascii="Arial" w:hAnsi="Arial" w:cs="Arial"/>
        </w:rPr>
        <w:t>the impact of this constitutional change.</w:t>
      </w:r>
      <w:r w:rsidR="00F71AC8" w:rsidRPr="00A25982">
        <w:rPr>
          <w:rFonts w:ascii="Arial" w:hAnsi="Arial" w:cs="Arial"/>
        </w:rPr>
        <w:t xml:space="preserve"> </w:t>
      </w:r>
      <w:r w:rsidRPr="00A25982">
        <w:rPr>
          <w:rFonts w:ascii="Arial" w:hAnsi="Arial" w:cs="Arial"/>
        </w:rPr>
        <w:t>For example, R4 stated: “</w:t>
      </w:r>
      <w:r w:rsidRPr="00A25982">
        <w:rPr>
          <w:rFonts w:ascii="Arial" w:hAnsi="Arial" w:cs="Arial"/>
          <w:i/>
        </w:rPr>
        <w:t xml:space="preserve">Part of the challenge is these types of conversations are </w:t>
      </w:r>
      <w:r w:rsidR="00663EEE" w:rsidRPr="00A25982">
        <w:rPr>
          <w:rFonts w:ascii="Arial" w:hAnsi="Arial" w:cs="Arial"/>
          <w:i/>
        </w:rPr>
        <w:t xml:space="preserve">you’re </w:t>
      </w:r>
      <w:r w:rsidRPr="00A25982">
        <w:rPr>
          <w:rFonts w:ascii="Arial" w:hAnsi="Arial" w:cs="Arial"/>
          <w:i/>
        </w:rPr>
        <w:t>talking three</w:t>
      </w:r>
      <w:r w:rsidR="007A10BC" w:rsidRPr="00A25982">
        <w:rPr>
          <w:rFonts w:ascii="Arial" w:hAnsi="Arial" w:cs="Arial"/>
          <w:i/>
        </w:rPr>
        <w:t xml:space="preserve"> to </w:t>
      </w:r>
      <w:r w:rsidRPr="00A25982">
        <w:rPr>
          <w:rFonts w:ascii="Arial" w:hAnsi="Arial" w:cs="Arial"/>
          <w:i/>
        </w:rPr>
        <w:t>five years hence. Retail thinks six months hence tops</w:t>
      </w:r>
      <w:r w:rsidR="007A10BC" w:rsidRPr="00A25982">
        <w:rPr>
          <w:rFonts w:ascii="Arial" w:hAnsi="Arial" w:cs="Arial"/>
          <w:i/>
        </w:rPr>
        <w:t xml:space="preserve"> </w:t>
      </w:r>
      <w:r w:rsidR="007A10BC" w:rsidRPr="00A25982">
        <w:rPr>
          <w:rFonts w:ascii="Arial" w:hAnsi="Arial" w:cs="Arial"/>
        </w:rPr>
        <w:t>[at most]</w:t>
      </w:r>
      <w:r w:rsidRPr="00A25982">
        <w:rPr>
          <w:rFonts w:ascii="Arial" w:hAnsi="Arial" w:cs="Arial"/>
          <w:i/>
        </w:rPr>
        <w:t xml:space="preserve">. There’s a real disconnect in the timescales. What keeps me in a job is trying to work our way through them </w:t>
      </w:r>
      <w:r w:rsidRPr="00A25982">
        <w:rPr>
          <w:rFonts w:ascii="Arial" w:hAnsi="Arial" w:cs="Arial"/>
          <w:i/>
          <w:noProof/>
        </w:rPr>
        <w:t>but</w:t>
      </w:r>
      <w:r w:rsidRPr="00A25982">
        <w:rPr>
          <w:rFonts w:ascii="Arial" w:hAnsi="Arial" w:cs="Arial"/>
          <w:i/>
        </w:rPr>
        <w:t xml:space="preserve"> it’s a bit Darwinian. It’s nothing to do with size and strength</w:t>
      </w:r>
      <w:r w:rsidR="007A10BC" w:rsidRPr="00A25982">
        <w:rPr>
          <w:rFonts w:ascii="Arial" w:hAnsi="Arial" w:cs="Arial"/>
          <w:i/>
          <w:noProof/>
        </w:rPr>
        <w:t>,</w:t>
      </w:r>
      <w:r w:rsidRPr="00A25982">
        <w:rPr>
          <w:rFonts w:ascii="Arial" w:hAnsi="Arial" w:cs="Arial"/>
          <w:i/>
          <w:noProof/>
        </w:rPr>
        <w:t xml:space="preserve"> it’s</w:t>
      </w:r>
      <w:r w:rsidRPr="00A25982">
        <w:rPr>
          <w:rFonts w:ascii="Arial" w:hAnsi="Arial" w:cs="Arial"/>
          <w:i/>
        </w:rPr>
        <w:t xml:space="preserve"> just how quickly we can adapt</w:t>
      </w:r>
      <w:r w:rsidRPr="00A25982">
        <w:rPr>
          <w:rFonts w:ascii="Arial" w:hAnsi="Arial" w:cs="Arial"/>
        </w:rPr>
        <w:t>”.</w:t>
      </w:r>
      <w:r w:rsidR="00F71AC8" w:rsidRPr="00A25982">
        <w:rPr>
          <w:rFonts w:ascii="Arial" w:hAnsi="Arial" w:cs="Arial"/>
        </w:rPr>
        <w:t xml:space="preserve"> </w:t>
      </w:r>
      <w:r w:rsidRPr="00A25982">
        <w:rPr>
          <w:rFonts w:ascii="Arial" w:hAnsi="Arial" w:cs="Arial"/>
        </w:rPr>
        <w:t xml:space="preserve">Thus, concern at this tier is lower </w:t>
      </w:r>
      <w:proofErr w:type="gramStart"/>
      <w:r w:rsidRPr="00A25982">
        <w:rPr>
          <w:rFonts w:ascii="Arial" w:hAnsi="Arial" w:cs="Arial"/>
        </w:rPr>
        <w:t>on the basis of</w:t>
      </w:r>
      <w:proofErr w:type="gramEnd"/>
      <w:r w:rsidRPr="00A25982">
        <w:rPr>
          <w:rFonts w:ascii="Arial" w:hAnsi="Arial" w:cs="Arial"/>
        </w:rPr>
        <w:t xml:space="preserve"> confidence that they will be able to continue to source food and can adapt quickly to new suppliers as required, even if those suppliers are not local to the UK.</w:t>
      </w:r>
      <w:r w:rsidR="00F71AC8" w:rsidRPr="00A25982">
        <w:rPr>
          <w:rFonts w:ascii="Arial" w:hAnsi="Arial" w:cs="Arial"/>
        </w:rPr>
        <w:t xml:space="preserve"> </w:t>
      </w:r>
      <w:proofErr w:type="gramStart"/>
      <w:r w:rsidR="00AF28DB" w:rsidRPr="00A25982">
        <w:rPr>
          <w:rFonts w:ascii="Arial" w:hAnsi="Arial" w:cs="Arial"/>
        </w:rPr>
        <w:t>Thus</w:t>
      </w:r>
      <w:proofErr w:type="gramEnd"/>
      <w:r w:rsidR="00AF28DB" w:rsidRPr="00A25982">
        <w:rPr>
          <w:rFonts w:ascii="Arial" w:hAnsi="Arial" w:cs="Arial"/>
        </w:rPr>
        <w:t xml:space="preserve"> these tiers claim to be reliant on extant </w:t>
      </w:r>
      <w:proofErr w:type="spellStart"/>
      <w:r w:rsidR="00AF28DB" w:rsidRPr="00A25982">
        <w:rPr>
          <w:rFonts w:ascii="Arial" w:hAnsi="Arial" w:cs="Arial"/>
        </w:rPr>
        <w:t>SCRes</w:t>
      </w:r>
      <w:proofErr w:type="spellEnd"/>
      <w:r w:rsidR="00893B76" w:rsidRPr="00A25982">
        <w:rPr>
          <w:rFonts w:ascii="Arial" w:hAnsi="Arial" w:cs="Arial"/>
        </w:rPr>
        <w:t xml:space="preserve">, as summarised in part (c) of Table </w:t>
      </w:r>
      <w:r w:rsidR="00963AA7" w:rsidRPr="00A25982">
        <w:rPr>
          <w:rFonts w:ascii="Arial" w:hAnsi="Arial" w:cs="Arial"/>
        </w:rPr>
        <w:t>3</w:t>
      </w:r>
      <w:r w:rsidR="00AF28DB" w:rsidRPr="00A25982">
        <w:rPr>
          <w:rFonts w:ascii="Arial" w:hAnsi="Arial" w:cs="Arial"/>
        </w:rPr>
        <w:t>.</w:t>
      </w:r>
    </w:p>
    <w:p w14:paraId="3FC496FA" w14:textId="46B4C874" w:rsidR="001B0BBE" w:rsidRPr="00A25982" w:rsidRDefault="001B0BBE" w:rsidP="00A25982">
      <w:pPr>
        <w:pStyle w:val="NormalWeb"/>
        <w:spacing w:before="0" w:beforeAutospacing="0" w:after="0" w:afterAutospacing="0"/>
        <w:jc w:val="both"/>
        <w:rPr>
          <w:rFonts w:ascii="Arial" w:hAnsi="Arial" w:cs="Arial"/>
        </w:rPr>
      </w:pPr>
    </w:p>
    <w:p w14:paraId="671A53D5" w14:textId="5DE0CDD8" w:rsidR="00D95104" w:rsidRPr="00A25982" w:rsidRDefault="007F6150" w:rsidP="00A25982">
      <w:pPr>
        <w:pStyle w:val="NormalWeb"/>
        <w:spacing w:before="0" w:beforeAutospacing="0" w:after="0" w:afterAutospacing="0"/>
        <w:jc w:val="both"/>
        <w:rPr>
          <w:rFonts w:ascii="Arial" w:hAnsi="Arial" w:cs="Arial"/>
          <w:b/>
        </w:rPr>
      </w:pPr>
      <w:r w:rsidRPr="00A25982">
        <w:rPr>
          <w:rFonts w:ascii="Arial" w:hAnsi="Arial" w:cs="Arial"/>
          <w:b/>
        </w:rPr>
        <w:t xml:space="preserve">5. Discussion: </w:t>
      </w:r>
      <w:r w:rsidR="00D95104" w:rsidRPr="00A25982">
        <w:rPr>
          <w:rFonts w:ascii="Arial" w:hAnsi="Arial" w:cs="Arial"/>
          <w:b/>
        </w:rPr>
        <w:t xml:space="preserve">Building </w:t>
      </w:r>
      <w:proofErr w:type="spellStart"/>
      <w:r w:rsidR="00D95104" w:rsidRPr="00A25982">
        <w:rPr>
          <w:rFonts w:ascii="Arial" w:hAnsi="Arial" w:cs="Arial"/>
          <w:b/>
        </w:rPr>
        <w:t>SCRes</w:t>
      </w:r>
      <w:proofErr w:type="spellEnd"/>
      <w:r w:rsidR="00D95104" w:rsidRPr="00A25982">
        <w:rPr>
          <w:rFonts w:ascii="Arial" w:hAnsi="Arial" w:cs="Arial"/>
          <w:b/>
        </w:rPr>
        <w:t xml:space="preserve"> </w:t>
      </w:r>
      <w:r w:rsidR="00842CB3" w:rsidRPr="00A25982">
        <w:rPr>
          <w:rFonts w:ascii="Arial" w:hAnsi="Arial" w:cs="Arial"/>
          <w:b/>
        </w:rPr>
        <w:t>d</w:t>
      </w:r>
      <w:r w:rsidR="00D95104" w:rsidRPr="00A25982">
        <w:rPr>
          <w:rFonts w:ascii="Arial" w:hAnsi="Arial" w:cs="Arial"/>
          <w:b/>
        </w:rPr>
        <w:t xml:space="preserve">uring </w:t>
      </w:r>
      <w:r w:rsidR="00842CB3" w:rsidRPr="00A25982">
        <w:rPr>
          <w:rFonts w:ascii="Arial" w:hAnsi="Arial" w:cs="Arial"/>
          <w:b/>
        </w:rPr>
        <w:t>a P</w:t>
      </w:r>
      <w:r w:rsidR="00D95104" w:rsidRPr="00A25982">
        <w:rPr>
          <w:rFonts w:ascii="Arial" w:hAnsi="Arial" w:cs="Arial"/>
          <w:b/>
        </w:rPr>
        <w:t xml:space="preserve">eriod of </w:t>
      </w:r>
      <w:r w:rsidR="00842CB3" w:rsidRPr="00A25982">
        <w:rPr>
          <w:rFonts w:ascii="Arial" w:hAnsi="Arial" w:cs="Arial"/>
          <w:b/>
        </w:rPr>
        <w:t>C</w:t>
      </w:r>
      <w:r w:rsidR="00D95104" w:rsidRPr="00A25982">
        <w:rPr>
          <w:rFonts w:ascii="Arial" w:hAnsi="Arial" w:cs="Arial"/>
          <w:b/>
        </w:rPr>
        <w:t xml:space="preserve">onstitutional </w:t>
      </w:r>
      <w:r w:rsidR="00842CB3" w:rsidRPr="00A25982">
        <w:rPr>
          <w:rFonts w:ascii="Arial" w:hAnsi="Arial" w:cs="Arial"/>
          <w:b/>
        </w:rPr>
        <w:t>C</w:t>
      </w:r>
      <w:r w:rsidR="00D95104" w:rsidRPr="00A25982">
        <w:rPr>
          <w:rFonts w:ascii="Arial" w:hAnsi="Arial" w:cs="Arial"/>
          <w:b/>
        </w:rPr>
        <w:t>hange</w:t>
      </w:r>
    </w:p>
    <w:p w14:paraId="5E840BB4" w14:textId="3AD806A6" w:rsidR="0067629D" w:rsidRPr="00A25982" w:rsidRDefault="00F60D40" w:rsidP="00A25982">
      <w:pPr>
        <w:jc w:val="both"/>
        <w:rPr>
          <w:rFonts w:ascii="Arial" w:hAnsi="Arial" w:cs="Arial"/>
        </w:rPr>
      </w:pPr>
      <w:r w:rsidRPr="00A25982">
        <w:rPr>
          <w:rFonts w:ascii="Arial" w:hAnsi="Arial" w:cs="Arial"/>
        </w:rPr>
        <w:t xml:space="preserve">The findings </w:t>
      </w:r>
      <w:r w:rsidR="00AC7759" w:rsidRPr="00A25982">
        <w:rPr>
          <w:rFonts w:ascii="Arial" w:hAnsi="Arial" w:cs="Arial"/>
        </w:rPr>
        <w:t xml:space="preserve">of this study </w:t>
      </w:r>
      <w:r w:rsidR="0067629D" w:rsidRPr="00A25982">
        <w:rPr>
          <w:rFonts w:ascii="Arial" w:hAnsi="Arial" w:cs="Arial"/>
        </w:rPr>
        <w:t>lead to three contributions to the literature by:</w:t>
      </w:r>
    </w:p>
    <w:p w14:paraId="1959FB9A" w14:textId="4BC0F028" w:rsidR="0067629D" w:rsidRPr="00A25982" w:rsidRDefault="0067629D" w:rsidP="00A25982">
      <w:pPr>
        <w:pStyle w:val="ListParagraph"/>
        <w:numPr>
          <w:ilvl w:val="0"/>
          <w:numId w:val="33"/>
        </w:numPr>
        <w:ind w:left="426" w:hanging="426"/>
        <w:jc w:val="both"/>
        <w:rPr>
          <w:rFonts w:ascii="Arial" w:hAnsi="Arial" w:cs="Arial"/>
        </w:rPr>
      </w:pPr>
      <w:r w:rsidRPr="00A25982">
        <w:rPr>
          <w:rFonts w:ascii="Arial" w:hAnsi="Arial" w:cs="Arial"/>
        </w:rPr>
        <w:t>Providing em</w:t>
      </w:r>
      <w:r w:rsidR="00150341" w:rsidRPr="00A25982">
        <w:rPr>
          <w:rFonts w:ascii="Arial" w:hAnsi="Arial" w:cs="Arial"/>
        </w:rPr>
        <w:t>pirical evidence of the importance of</w:t>
      </w:r>
      <w:r w:rsidRPr="00A25982">
        <w:rPr>
          <w:rFonts w:ascii="Arial" w:hAnsi="Arial" w:cs="Arial"/>
        </w:rPr>
        <w:t xml:space="preserve"> proactive strate</w:t>
      </w:r>
      <w:r w:rsidR="00150341" w:rsidRPr="00A25982">
        <w:rPr>
          <w:rFonts w:ascii="Arial" w:hAnsi="Arial" w:cs="Arial"/>
        </w:rPr>
        <w:t xml:space="preserve">gies to build </w:t>
      </w:r>
      <w:proofErr w:type="spellStart"/>
      <w:r w:rsidR="00150341" w:rsidRPr="00A25982">
        <w:rPr>
          <w:rFonts w:ascii="Arial" w:hAnsi="Arial" w:cs="Arial"/>
        </w:rPr>
        <w:t>SCRes</w:t>
      </w:r>
      <w:proofErr w:type="spellEnd"/>
      <w:r w:rsidR="00150341" w:rsidRPr="00A25982">
        <w:rPr>
          <w:rFonts w:ascii="Arial" w:hAnsi="Arial" w:cs="Arial"/>
        </w:rPr>
        <w:t xml:space="preserve"> during periods</w:t>
      </w:r>
      <w:r w:rsidRPr="00A25982">
        <w:rPr>
          <w:rFonts w:ascii="Arial" w:hAnsi="Arial" w:cs="Arial"/>
        </w:rPr>
        <w:t xml:space="preserve"> of constitutional change;</w:t>
      </w:r>
    </w:p>
    <w:p w14:paraId="7691C42A" w14:textId="2CF7C5E6" w:rsidR="0067629D" w:rsidRPr="00A25982" w:rsidRDefault="0067629D" w:rsidP="00A25982">
      <w:pPr>
        <w:pStyle w:val="ListParagraph"/>
        <w:numPr>
          <w:ilvl w:val="0"/>
          <w:numId w:val="33"/>
        </w:numPr>
        <w:ind w:left="426" w:hanging="426"/>
        <w:jc w:val="both"/>
        <w:rPr>
          <w:rFonts w:ascii="Arial" w:hAnsi="Arial" w:cs="Arial"/>
        </w:rPr>
      </w:pPr>
      <w:r w:rsidRPr="00A25982">
        <w:rPr>
          <w:rFonts w:ascii="Arial" w:hAnsi="Arial" w:cs="Arial"/>
        </w:rPr>
        <w:t xml:space="preserve">Providing empirical evidence of the need for firms to </w:t>
      </w:r>
      <w:r w:rsidR="00624E79" w:rsidRPr="00A25982">
        <w:rPr>
          <w:rFonts w:ascii="Arial" w:hAnsi="Arial" w:cs="Arial"/>
        </w:rPr>
        <w:t>anticipate</w:t>
      </w:r>
      <w:r w:rsidR="006B0ADC" w:rsidRPr="00A25982">
        <w:rPr>
          <w:rFonts w:ascii="Arial" w:hAnsi="Arial" w:cs="Arial"/>
        </w:rPr>
        <w:t xml:space="preserve"> the likely impact</w:t>
      </w:r>
      <w:r w:rsidRPr="00A25982">
        <w:rPr>
          <w:rFonts w:ascii="Arial" w:hAnsi="Arial" w:cs="Arial"/>
        </w:rPr>
        <w:t xml:space="preserve"> of constitutional change</w:t>
      </w:r>
      <w:r w:rsidR="00624E79" w:rsidRPr="00A25982">
        <w:rPr>
          <w:rFonts w:ascii="Arial" w:hAnsi="Arial" w:cs="Arial"/>
        </w:rPr>
        <w:t xml:space="preserve"> – leading to innovation at the individual firm level,</w:t>
      </w:r>
      <w:r w:rsidRPr="00A25982">
        <w:rPr>
          <w:rFonts w:ascii="Arial" w:hAnsi="Arial" w:cs="Arial"/>
        </w:rPr>
        <w:t xml:space="preserve"> whilst the supply chain </w:t>
      </w:r>
      <w:proofErr w:type="gramStart"/>
      <w:r w:rsidRPr="00A25982">
        <w:rPr>
          <w:rFonts w:ascii="Arial" w:hAnsi="Arial" w:cs="Arial"/>
        </w:rPr>
        <w:t>as a whole adapts</w:t>
      </w:r>
      <w:proofErr w:type="gramEnd"/>
      <w:r w:rsidRPr="00A25982">
        <w:rPr>
          <w:rFonts w:ascii="Arial" w:hAnsi="Arial" w:cs="Arial"/>
        </w:rPr>
        <w:t xml:space="preserve"> to more sustainable pricing strategies;</w:t>
      </w:r>
    </w:p>
    <w:p w14:paraId="59023229" w14:textId="2B923216" w:rsidR="0067629D" w:rsidRPr="00A25982" w:rsidRDefault="0067629D" w:rsidP="00A25982">
      <w:pPr>
        <w:pStyle w:val="ListParagraph"/>
        <w:numPr>
          <w:ilvl w:val="0"/>
          <w:numId w:val="33"/>
        </w:numPr>
        <w:ind w:left="426" w:hanging="426"/>
        <w:jc w:val="both"/>
        <w:rPr>
          <w:rFonts w:ascii="Arial" w:hAnsi="Arial" w:cs="Arial"/>
        </w:rPr>
      </w:pPr>
      <w:r w:rsidRPr="00A25982">
        <w:rPr>
          <w:rFonts w:ascii="Arial" w:hAnsi="Arial" w:cs="Arial"/>
        </w:rPr>
        <w:t xml:space="preserve">Describing the characteristics of a disruption caused by constitutional change and how this type of disruption affects the dynamic capabilities needed to build </w:t>
      </w:r>
      <w:proofErr w:type="spellStart"/>
      <w:r w:rsidRPr="00A25982">
        <w:rPr>
          <w:rFonts w:ascii="Arial" w:hAnsi="Arial" w:cs="Arial"/>
        </w:rPr>
        <w:t>SCRes</w:t>
      </w:r>
      <w:proofErr w:type="spellEnd"/>
      <w:r w:rsidRPr="00A25982">
        <w:rPr>
          <w:rFonts w:ascii="Arial" w:hAnsi="Arial" w:cs="Arial"/>
        </w:rPr>
        <w:t>.</w:t>
      </w:r>
    </w:p>
    <w:p w14:paraId="22984C16" w14:textId="303BBCC0" w:rsidR="0067629D" w:rsidRPr="00A25982" w:rsidRDefault="006B0ADC" w:rsidP="00A25982">
      <w:pPr>
        <w:jc w:val="both"/>
        <w:rPr>
          <w:rFonts w:ascii="Arial" w:hAnsi="Arial" w:cs="Arial"/>
        </w:rPr>
      </w:pPr>
      <w:r w:rsidRPr="00A25982">
        <w:rPr>
          <w:rFonts w:ascii="Arial" w:hAnsi="Arial" w:cs="Arial"/>
        </w:rPr>
        <w:t xml:space="preserve">Each of these contributions is discussed in turn below, leading to a proposition that adds to the </w:t>
      </w:r>
      <w:r w:rsidRPr="00A25982">
        <w:rPr>
          <w:rFonts w:ascii="Arial" w:hAnsi="Arial" w:cs="Arial"/>
          <w:noProof/>
        </w:rPr>
        <w:t>extant</w:t>
      </w:r>
      <w:r w:rsidRPr="00A25982">
        <w:rPr>
          <w:rFonts w:ascii="Arial" w:hAnsi="Arial" w:cs="Arial"/>
        </w:rPr>
        <w:t xml:space="preserve"> theory on </w:t>
      </w:r>
      <w:proofErr w:type="spellStart"/>
      <w:r w:rsidRPr="00A25982">
        <w:rPr>
          <w:rFonts w:ascii="Arial" w:hAnsi="Arial" w:cs="Arial"/>
        </w:rPr>
        <w:t>SCRes</w:t>
      </w:r>
      <w:proofErr w:type="spellEnd"/>
      <w:r w:rsidRPr="00A25982">
        <w:rPr>
          <w:rFonts w:ascii="Arial" w:hAnsi="Arial" w:cs="Arial"/>
        </w:rPr>
        <w:t>. Overall, it is argued that</w:t>
      </w:r>
      <w:r w:rsidR="00624E79" w:rsidRPr="00A25982">
        <w:rPr>
          <w:rFonts w:ascii="Arial" w:hAnsi="Arial" w:cs="Arial"/>
        </w:rPr>
        <w:t xml:space="preserve"> </w:t>
      </w:r>
      <w:r w:rsidRPr="00A25982">
        <w:rPr>
          <w:rFonts w:ascii="Arial" w:hAnsi="Arial" w:cs="Arial"/>
        </w:rPr>
        <w:t>dynamic capabilit</w:t>
      </w:r>
      <w:r w:rsidR="00624E79" w:rsidRPr="00A25982">
        <w:rPr>
          <w:rFonts w:ascii="Arial" w:hAnsi="Arial" w:cs="Arial"/>
        </w:rPr>
        <w:t>ies play an important role in influencing</w:t>
      </w:r>
      <w:r w:rsidRPr="00A25982">
        <w:rPr>
          <w:rFonts w:ascii="Arial" w:hAnsi="Arial" w:cs="Arial"/>
        </w:rPr>
        <w:t xml:space="preserve"> chang</w:t>
      </w:r>
      <w:r w:rsidR="00624E79" w:rsidRPr="00A25982">
        <w:rPr>
          <w:rFonts w:ascii="Arial" w:hAnsi="Arial" w:cs="Arial"/>
        </w:rPr>
        <w:t>e in government policy and/or</w:t>
      </w:r>
      <w:r w:rsidRPr="00A25982">
        <w:rPr>
          <w:rFonts w:ascii="Arial" w:hAnsi="Arial" w:cs="Arial"/>
        </w:rPr>
        <w:t xml:space="preserve"> transform</w:t>
      </w:r>
      <w:r w:rsidR="00624E79" w:rsidRPr="00A25982">
        <w:rPr>
          <w:rFonts w:ascii="Arial" w:hAnsi="Arial" w:cs="Arial"/>
        </w:rPr>
        <w:t>ing</w:t>
      </w:r>
      <w:r w:rsidRPr="00A25982">
        <w:rPr>
          <w:rFonts w:ascii="Arial" w:hAnsi="Arial" w:cs="Arial"/>
        </w:rPr>
        <w:t xml:space="preserve"> businesses within the supply chain</w:t>
      </w:r>
      <w:r w:rsidR="00624E79" w:rsidRPr="00A25982">
        <w:rPr>
          <w:rFonts w:ascii="Arial" w:hAnsi="Arial" w:cs="Arial"/>
        </w:rPr>
        <w:t>,</w:t>
      </w:r>
      <w:r w:rsidRPr="00A25982">
        <w:rPr>
          <w:rFonts w:ascii="Arial" w:hAnsi="Arial" w:cs="Arial"/>
        </w:rPr>
        <w:t xml:space="preserve"> along with their supply chain relationships</w:t>
      </w:r>
      <w:r w:rsidR="00624E79" w:rsidRPr="00A25982">
        <w:rPr>
          <w:rFonts w:ascii="Arial" w:hAnsi="Arial" w:cs="Arial"/>
        </w:rPr>
        <w:t>,</w:t>
      </w:r>
      <w:r w:rsidRPr="00A25982">
        <w:rPr>
          <w:rFonts w:ascii="Arial" w:hAnsi="Arial" w:cs="Arial"/>
        </w:rPr>
        <w:t xml:space="preserve"> </w:t>
      </w:r>
      <w:proofErr w:type="gramStart"/>
      <w:r w:rsidRPr="00A25982">
        <w:rPr>
          <w:rFonts w:ascii="Arial" w:hAnsi="Arial" w:cs="Arial"/>
        </w:rPr>
        <w:t>in order to</w:t>
      </w:r>
      <w:proofErr w:type="gramEnd"/>
      <w:r w:rsidRPr="00A25982">
        <w:rPr>
          <w:rFonts w:ascii="Arial" w:hAnsi="Arial" w:cs="Arial"/>
        </w:rPr>
        <w:t xml:space="preserve"> build </w:t>
      </w:r>
      <w:proofErr w:type="spellStart"/>
      <w:r w:rsidRPr="00A25982">
        <w:rPr>
          <w:rFonts w:ascii="Arial" w:hAnsi="Arial" w:cs="Arial"/>
        </w:rPr>
        <w:t>SCRes</w:t>
      </w:r>
      <w:proofErr w:type="spellEnd"/>
      <w:r w:rsidRPr="00A25982">
        <w:rPr>
          <w:rFonts w:ascii="Arial" w:hAnsi="Arial" w:cs="Arial"/>
        </w:rPr>
        <w:t xml:space="preserve">, as depicted in Figure 2. </w:t>
      </w:r>
    </w:p>
    <w:p w14:paraId="5F9E5907" w14:textId="77777777" w:rsidR="009E270B" w:rsidRPr="00A25982" w:rsidRDefault="009E270B" w:rsidP="00A25982">
      <w:pPr>
        <w:jc w:val="both"/>
        <w:rPr>
          <w:rFonts w:ascii="Arial" w:hAnsi="Arial" w:cs="Arial"/>
          <w:sz w:val="12"/>
          <w:szCs w:val="12"/>
        </w:rPr>
      </w:pPr>
    </w:p>
    <w:p w14:paraId="0A76E477" w14:textId="77777777" w:rsidR="000D4B05" w:rsidRPr="000D4B05" w:rsidRDefault="000D4B05" w:rsidP="000D4B05">
      <w:pPr>
        <w:jc w:val="center"/>
        <w:rPr>
          <w:rFonts w:ascii="Arial" w:hAnsi="Arial" w:cs="Arial"/>
        </w:rPr>
      </w:pPr>
      <w:r w:rsidRPr="000D4B05">
        <w:rPr>
          <w:rFonts w:ascii="Arial" w:hAnsi="Arial" w:cs="Arial"/>
        </w:rPr>
        <w:lastRenderedPageBreak/>
        <w:t>Figure 2: Building Resilience to Constitutional Change</w:t>
      </w:r>
    </w:p>
    <w:p w14:paraId="0E276E78" w14:textId="77777777" w:rsidR="000D4B05" w:rsidRDefault="000D4B05" w:rsidP="000D4B05">
      <w:pPr>
        <w:jc w:val="both"/>
      </w:pPr>
    </w:p>
    <w:p w14:paraId="19C59EC7" w14:textId="77777777" w:rsidR="000D4B05" w:rsidRDefault="000D4B05" w:rsidP="000D4B05">
      <w:pPr>
        <w:jc w:val="both"/>
        <w:rPr>
          <w:rFonts w:eastAsia="Calibri"/>
          <w:lang w:eastAsia="en-GB"/>
        </w:rPr>
      </w:pPr>
      <w:r>
        <w:rPr>
          <w:rFonts w:eastAsia="Calibri"/>
          <w:noProof/>
          <w:lang w:eastAsia="en-GB"/>
        </w:rPr>
        <w:drawing>
          <wp:inline distT="0" distB="0" distL="0" distR="0" wp14:anchorId="4D690013" wp14:editId="5034B331">
            <wp:extent cx="5702680" cy="397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1953" cy="3971419"/>
                    </a:xfrm>
                    <a:prstGeom prst="rect">
                      <a:avLst/>
                    </a:prstGeom>
                    <a:noFill/>
                  </pic:spPr>
                </pic:pic>
              </a:graphicData>
            </a:graphic>
          </wp:inline>
        </w:drawing>
      </w:r>
    </w:p>
    <w:p w14:paraId="6526444D" w14:textId="77777777" w:rsidR="009E270B" w:rsidRPr="00A25982" w:rsidRDefault="009E270B" w:rsidP="00A25982">
      <w:pPr>
        <w:jc w:val="center"/>
        <w:rPr>
          <w:rFonts w:ascii="Arial" w:hAnsi="Arial" w:cs="Arial"/>
          <w:sz w:val="12"/>
          <w:szCs w:val="12"/>
        </w:rPr>
      </w:pPr>
    </w:p>
    <w:p w14:paraId="1D6042EF" w14:textId="025D22B5" w:rsidR="005D0E2A" w:rsidRPr="00A25982" w:rsidRDefault="00F60D40" w:rsidP="00A25982">
      <w:pPr>
        <w:ind w:firstLine="284"/>
        <w:jc w:val="both"/>
        <w:rPr>
          <w:rFonts w:ascii="Arial" w:hAnsi="Arial" w:cs="Arial"/>
        </w:rPr>
      </w:pPr>
      <w:r w:rsidRPr="00A25982">
        <w:rPr>
          <w:rFonts w:ascii="Arial" w:hAnsi="Arial" w:cs="Arial"/>
        </w:rPr>
        <w:t xml:space="preserve">First, </w:t>
      </w:r>
      <w:r w:rsidR="0067629D" w:rsidRPr="00A25982">
        <w:rPr>
          <w:rFonts w:ascii="Arial" w:hAnsi="Arial" w:cs="Arial"/>
        </w:rPr>
        <w:t>the</w:t>
      </w:r>
      <w:r w:rsidR="00150341" w:rsidRPr="00A25982">
        <w:rPr>
          <w:rFonts w:ascii="Arial" w:hAnsi="Arial" w:cs="Arial"/>
        </w:rPr>
        <w:t xml:space="preserve"> findings</w:t>
      </w:r>
      <w:r w:rsidR="0067629D" w:rsidRPr="00A25982">
        <w:rPr>
          <w:rFonts w:ascii="Arial" w:hAnsi="Arial" w:cs="Arial"/>
        </w:rPr>
        <w:t xml:space="preserve"> suggest that </w:t>
      </w:r>
      <w:r w:rsidR="00150341" w:rsidRPr="00A25982">
        <w:rPr>
          <w:rFonts w:ascii="Arial" w:hAnsi="Arial" w:cs="Arial"/>
        </w:rPr>
        <w:t>an e</w:t>
      </w:r>
      <w:r w:rsidR="0073072B" w:rsidRPr="00A25982">
        <w:rPr>
          <w:rFonts w:ascii="Arial" w:hAnsi="Arial" w:cs="Arial"/>
        </w:rPr>
        <w:t>ffective proactive strategy i</w:t>
      </w:r>
      <w:r w:rsidR="00150341" w:rsidRPr="00A25982">
        <w:rPr>
          <w:rFonts w:ascii="Arial" w:hAnsi="Arial" w:cs="Arial"/>
        </w:rPr>
        <w:t>s to</w:t>
      </w:r>
      <w:r w:rsidRPr="00A25982">
        <w:rPr>
          <w:rFonts w:ascii="Arial" w:hAnsi="Arial" w:cs="Arial"/>
        </w:rPr>
        <w:t xml:space="preserve"> </w:t>
      </w:r>
      <w:r w:rsidR="00743124" w:rsidRPr="00A25982">
        <w:rPr>
          <w:rFonts w:ascii="Arial" w:hAnsi="Arial" w:cs="Arial"/>
        </w:rPr>
        <w:t xml:space="preserve">collaborate both horizontally and vertically to </w:t>
      </w:r>
      <w:r w:rsidRPr="00A25982">
        <w:rPr>
          <w:rFonts w:ascii="Arial" w:hAnsi="Arial" w:cs="Arial"/>
        </w:rPr>
        <w:t xml:space="preserve">become involved in influencing the future shape of the constitution, which </w:t>
      </w:r>
      <w:r w:rsidR="00150341" w:rsidRPr="00A25982">
        <w:rPr>
          <w:rFonts w:ascii="Arial" w:hAnsi="Arial" w:cs="Arial"/>
        </w:rPr>
        <w:t xml:space="preserve">in this study </w:t>
      </w:r>
      <w:r w:rsidRPr="00A25982">
        <w:rPr>
          <w:rFonts w:ascii="Arial" w:hAnsi="Arial" w:cs="Arial"/>
        </w:rPr>
        <w:t>includes: the replacement for the CAP subsidy</w:t>
      </w:r>
      <w:r w:rsidR="0001469A" w:rsidRPr="00A25982">
        <w:rPr>
          <w:rFonts w:ascii="Arial" w:hAnsi="Arial" w:cs="Arial"/>
        </w:rPr>
        <w:t xml:space="preserve"> to support economic, environmental</w:t>
      </w:r>
      <w:r w:rsidR="003F1209" w:rsidRPr="00A25982">
        <w:rPr>
          <w:rFonts w:ascii="Arial" w:hAnsi="Arial" w:cs="Arial"/>
        </w:rPr>
        <w:t>,</w:t>
      </w:r>
      <w:r w:rsidR="0001469A" w:rsidRPr="00A25982">
        <w:rPr>
          <w:rFonts w:ascii="Arial" w:hAnsi="Arial" w:cs="Arial"/>
        </w:rPr>
        <w:t xml:space="preserve"> and social sustainability</w:t>
      </w:r>
      <w:r w:rsidRPr="00A25982">
        <w:rPr>
          <w:rFonts w:ascii="Arial" w:hAnsi="Arial" w:cs="Arial"/>
        </w:rPr>
        <w:t xml:space="preserve">; international trade agreements that will impact access to export markets; and regulations to enable migrant workers to continue to be employed in </w:t>
      </w:r>
      <w:r w:rsidRPr="00A25982">
        <w:rPr>
          <w:rFonts w:ascii="Arial" w:hAnsi="Arial" w:cs="Arial"/>
          <w:noProof/>
        </w:rPr>
        <w:t>key</w:t>
      </w:r>
      <w:r w:rsidRPr="00A25982">
        <w:rPr>
          <w:rFonts w:ascii="Arial" w:hAnsi="Arial" w:cs="Arial"/>
        </w:rPr>
        <w:t xml:space="preserve"> sectors such as </w:t>
      </w:r>
      <w:r w:rsidR="00235872" w:rsidRPr="00A25982">
        <w:rPr>
          <w:rFonts w:ascii="Arial" w:hAnsi="Arial" w:cs="Arial"/>
        </w:rPr>
        <w:t xml:space="preserve">horticulture </w:t>
      </w:r>
      <w:r w:rsidRPr="00A25982">
        <w:rPr>
          <w:rFonts w:ascii="Arial" w:hAnsi="Arial" w:cs="Arial"/>
        </w:rPr>
        <w:t>and abattoirs.</w:t>
      </w:r>
      <w:r w:rsidR="006B0ADC" w:rsidRPr="00A25982">
        <w:rPr>
          <w:rFonts w:ascii="Arial" w:hAnsi="Arial" w:cs="Arial"/>
        </w:rPr>
        <w:t xml:space="preserve"> </w:t>
      </w:r>
      <w:proofErr w:type="gramStart"/>
      <w:r w:rsidR="006B0ADC" w:rsidRPr="00A25982">
        <w:rPr>
          <w:rFonts w:ascii="Arial" w:hAnsi="Arial" w:cs="Arial"/>
        </w:rPr>
        <w:t>In order to</w:t>
      </w:r>
      <w:proofErr w:type="gramEnd"/>
      <w:r w:rsidR="006B0ADC" w:rsidRPr="00A25982">
        <w:rPr>
          <w:rFonts w:ascii="Arial" w:hAnsi="Arial" w:cs="Arial"/>
        </w:rPr>
        <w:t xml:space="preserve"> do </w:t>
      </w:r>
      <w:r w:rsidR="0073072B" w:rsidRPr="00A25982">
        <w:rPr>
          <w:rFonts w:ascii="Arial" w:hAnsi="Arial" w:cs="Arial"/>
        </w:rPr>
        <w:t>this, organisations</w:t>
      </w:r>
      <w:r w:rsidR="006B0ADC" w:rsidRPr="00A25982">
        <w:rPr>
          <w:rFonts w:ascii="Arial" w:hAnsi="Arial" w:cs="Arial"/>
        </w:rPr>
        <w:t xml:space="preserve"> first need to work together to understand the likely impact</w:t>
      </w:r>
      <w:r w:rsidR="0073072B" w:rsidRPr="00A25982">
        <w:rPr>
          <w:rFonts w:ascii="Arial" w:hAnsi="Arial" w:cs="Arial"/>
        </w:rPr>
        <w:t xml:space="preserve"> of the constitutional change at the supply chain level</w:t>
      </w:r>
      <w:r w:rsidR="006B0ADC" w:rsidRPr="00A25982">
        <w:rPr>
          <w:rFonts w:ascii="Arial" w:hAnsi="Arial" w:cs="Arial"/>
        </w:rPr>
        <w:t xml:space="preserve">, thereby enabling the development of </w:t>
      </w:r>
      <w:r w:rsidR="0073072B" w:rsidRPr="00A25982">
        <w:rPr>
          <w:rFonts w:ascii="Arial" w:hAnsi="Arial" w:cs="Arial"/>
        </w:rPr>
        <w:t>manifestos relevant to whole supply chains</w:t>
      </w:r>
      <w:r w:rsidR="006B0ADC" w:rsidRPr="00A25982">
        <w:rPr>
          <w:rFonts w:ascii="Arial" w:hAnsi="Arial" w:cs="Arial"/>
        </w:rPr>
        <w:t xml:space="preserve">. </w:t>
      </w:r>
      <w:r w:rsidRPr="00A25982">
        <w:rPr>
          <w:rFonts w:ascii="Arial" w:hAnsi="Arial" w:cs="Arial"/>
        </w:rPr>
        <w:t xml:space="preserve"> To the best of our knowledge, th</w:t>
      </w:r>
      <w:r w:rsidR="009E1320" w:rsidRPr="00A25982">
        <w:rPr>
          <w:rFonts w:ascii="Arial" w:hAnsi="Arial" w:cs="Arial"/>
        </w:rPr>
        <w:t xml:space="preserve">e dynamic capabilities </w:t>
      </w:r>
      <w:r w:rsidRPr="00A25982">
        <w:rPr>
          <w:rFonts w:ascii="Arial" w:hAnsi="Arial" w:cs="Arial"/>
        </w:rPr>
        <w:t xml:space="preserve">literature </w:t>
      </w:r>
      <w:r w:rsidR="009E1320" w:rsidRPr="00A25982">
        <w:rPr>
          <w:rFonts w:ascii="Arial" w:hAnsi="Arial" w:cs="Arial"/>
        </w:rPr>
        <w:t>(e.g. Teece</w:t>
      </w:r>
      <w:r w:rsidR="009E1320" w:rsidRPr="00A25982">
        <w:rPr>
          <w:rFonts w:ascii="Arial" w:hAnsi="Arial" w:cs="Arial"/>
          <w:i/>
        </w:rPr>
        <w:t xml:space="preserve"> et al.</w:t>
      </w:r>
      <w:r w:rsidR="009E1320" w:rsidRPr="00A25982">
        <w:rPr>
          <w:rFonts w:ascii="Arial" w:hAnsi="Arial" w:cs="Arial"/>
        </w:rPr>
        <w:t xml:space="preserve">, 1997; Eisenhardt &amp; Martin, 2000; Teece, 2007) </w:t>
      </w:r>
      <w:r w:rsidRPr="00A25982">
        <w:rPr>
          <w:rFonts w:ascii="Arial" w:hAnsi="Arial" w:cs="Arial"/>
        </w:rPr>
        <w:t xml:space="preserve">has not previously emphasised the importance of actors </w:t>
      </w:r>
      <w:r w:rsidR="009E1320" w:rsidRPr="00A25982">
        <w:rPr>
          <w:rFonts w:ascii="Arial" w:hAnsi="Arial" w:cs="Arial"/>
        </w:rPr>
        <w:t xml:space="preserve">at the same tier of the supply chain </w:t>
      </w:r>
      <w:r w:rsidRPr="00A25982">
        <w:rPr>
          <w:rFonts w:ascii="Arial" w:hAnsi="Arial" w:cs="Arial"/>
        </w:rPr>
        <w:t>working together to sense and adapt to changes in the external environment. Th</w:t>
      </w:r>
      <w:r w:rsidR="009E1320" w:rsidRPr="00A25982">
        <w:rPr>
          <w:rFonts w:ascii="Arial" w:hAnsi="Arial" w:cs="Arial"/>
        </w:rPr>
        <w:t xml:space="preserve">is approach is partly explained by the </w:t>
      </w:r>
      <w:r w:rsidRPr="00A25982">
        <w:rPr>
          <w:rFonts w:ascii="Arial" w:hAnsi="Arial" w:cs="Arial"/>
        </w:rPr>
        <w:t>uncertainty surrounding Brexit</w:t>
      </w:r>
      <w:r w:rsidR="009E1320" w:rsidRPr="00A25982">
        <w:rPr>
          <w:rFonts w:ascii="Arial" w:hAnsi="Arial" w:cs="Arial"/>
        </w:rPr>
        <w:t xml:space="preserve"> and has been facilitated by access to networks, NGOs and trade unions</w:t>
      </w:r>
      <w:r w:rsidRPr="00A25982">
        <w:rPr>
          <w:rFonts w:ascii="Arial" w:hAnsi="Arial" w:cs="Arial"/>
        </w:rPr>
        <w:t xml:space="preserve">. By coming together, </w:t>
      </w:r>
      <w:r w:rsidR="009E1320" w:rsidRPr="00A25982">
        <w:rPr>
          <w:rFonts w:ascii="Arial" w:hAnsi="Arial" w:cs="Arial"/>
        </w:rPr>
        <w:t xml:space="preserve">firms </w:t>
      </w:r>
      <w:r w:rsidRPr="00A25982">
        <w:rPr>
          <w:rFonts w:ascii="Arial" w:hAnsi="Arial" w:cs="Arial"/>
        </w:rPr>
        <w:t xml:space="preserve">are sharing information and </w:t>
      </w:r>
      <w:r w:rsidR="009E1320" w:rsidRPr="00A25982">
        <w:rPr>
          <w:rFonts w:ascii="Arial" w:hAnsi="Arial" w:cs="Arial"/>
        </w:rPr>
        <w:t xml:space="preserve">farmers </w:t>
      </w:r>
      <w:proofErr w:type="gramStart"/>
      <w:r w:rsidR="009E1320" w:rsidRPr="00A25982">
        <w:rPr>
          <w:rFonts w:ascii="Arial" w:hAnsi="Arial" w:cs="Arial"/>
          <w:noProof/>
        </w:rPr>
        <w:t>in particular</w:t>
      </w:r>
      <w:r w:rsidR="009E1320" w:rsidRPr="00A25982">
        <w:rPr>
          <w:rFonts w:ascii="Arial" w:hAnsi="Arial" w:cs="Arial"/>
        </w:rPr>
        <w:t xml:space="preserve"> </w:t>
      </w:r>
      <w:r w:rsidRPr="00A25982">
        <w:rPr>
          <w:rFonts w:ascii="Arial" w:hAnsi="Arial" w:cs="Arial"/>
        </w:rPr>
        <w:t>can</w:t>
      </w:r>
      <w:proofErr w:type="gramEnd"/>
      <w:r w:rsidRPr="00A25982">
        <w:rPr>
          <w:rFonts w:ascii="Arial" w:hAnsi="Arial" w:cs="Arial"/>
        </w:rPr>
        <w:t xml:space="preserve"> have a louder voice</w:t>
      </w:r>
      <w:r w:rsidR="009E1320" w:rsidRPr="00A25982">
        <w:rPr>
          <w:rFonts w:ascii="Arial" w:hAnsi="Arial" w:cs="Arial"/>
        </w:rPr>
        <w:t xml:space="preserve"> collectively</w:t>
      </w:r>
      <w:r w:rsidRPr="00A25982">
        <w:rPr>
          <w:rFonts w:ascii="Arial" w:hAnsi="Arial" w:cs="Arial"/>
        </w:rPr>
        <w:t xml:space="preserve"> in terms of communicating their concerns to government. </w:t>
      </w:r>
      <w:r w:rsidR="00150341" w:rsidRPr="00A25982">
        <w:rPr>
          <w:rFonts w:ascii="Arial" w:hAnsi="Arial" w:cs="Arial"/>
        </w:rPr>
        <w:t>These findings build</w:t>
      </w:r>
      <w:r w:rsidR="005D0E2A" w:rsidRPr="00A25982">
        <w:rPr>
          <w:rFonts w:ascii="Arial" w:hAnsi="Arial" w:cs="Arial"/>
        </w:rPr>
        <w:t xml:space="preserve"> on prior resilience theory that postulates the need to accurately anticipate disruptions (</w:t>
      </w:r>
      <w:r w:rsidR="00F72870" w:rsidRPr="00A25982">
        <w:rPr>
          <w:rFonts w:ascii="Arial" w:hAnsi="Arial" w:cs="Arial"/>
        </w:rPr>
        <w:t xml:space="preserve">e.g. </w:t>
      </w:r>
      <w:r w:rsidR="00A31FA7" w:rsidRPr="00A25982">
        <w:rPr>
          <w:rFonts w:ascii="Arial" w:hAnsi="Arial" w:cs="Arial"/>
        </w:rPr>
        <w:t xml:space="preserve">Stone &amp; </w:t>
      </w:r>
      <w:proofErr w:type="spellStart"/>
      <w:r w:rsidR="00A31FA7" w:rsidRPr="00A25982">
        <w:rPr>
          <w:rFonts w:ascii="Arial" w:hAnsi="Arial" w:cs="Arial"/>
        </w:rPr>
        <w:t>Rahimifard</w:t>
      </w:r>
      <w:proofErr w:type="spellEnd"/>
      <w:r w:rsidR="00A31FA7" w:rsidRPr="00A25982">
        <w:rPr>
          <w:rFonts w:ascii="Arial" w:hAnsi="Arial" w:cs="Arial"/>
        </w:rPr>
        <w:t>, 2018</w:t>
      </w:r>
      <w:r w:rsidR="005D0E2A" w:rsidRPr="00A25982">
        <w:rPr>
          <w:rFonts w:ascii="Arial" w:hAnsi="Arial" w:cs="Arial"/>
        </w:rPr>
        <w:t xml:space="preserve">) and to set up proactive strategies as a means of building resilience (e.g. </w:t>
      </w:r>
      <w:proofErr w:type="spellStart"/>
      <w:r w:rsidR="005D0E2A" w:rsidRPr="00A25982">
        <w:rPr>
          <w:rFonts w:ascii="Arial" w:hAnsi="Arial" w:cs="Arial"/>
        </w:rPr>
        <w:t>Tukamuhabwa</w:t>
      </w:r>
      <w:proofErr w:type="spellEnd"/>
      <w:r w:rsidR="005D0E2A" w:rsidRPr="00A25982">
        <w:rPr>
          <w:rFonts w:ascii="Arial" w:hAnsi="Arial" w:cs="Arial"/>
        </w:rPr>
        <w:t xml:space="preserve"> </w:t>
      </w:r>
      <w:r w:rsidR="005D0E2A" w:rsidRPr="00A25982">
        <w:rPr>
          <w:rFonts w:ascii="Arial" w:hAnsi="Arial" w:cs="Arial"/>
          <w:i/>
        </w:rPr>
        <w:t>et al.</w:t>
      </w:r>
      <w:r w:rsidR="005D0E2A" w:rsidRPr="00A25982">
        <w:rPr>
          <w:rFonts w:ascii="Arial" w:hAnsi="Arial" w:cs="Arial"/>
        </w:rPr>
        <w:t xml:space="preserve">, 2017). </w:t>
      </w:r>
      <w:proofErr w:type="gramStart"/>
      <w:r w:rsidR="005D0E2A" w:rsidRPr="00A25982">
        <w:rPr>
          <w:rFonts w:ascii="Arial" w:hAnsi="Arial" w:cs="Arial"/>
        </w:rPr>
        <w:t>Thus</w:t>
      </w:r>
      <w:proofErr w:type="gramEnd"/>
      <w:r w:rsidR="005D0E2A" w:rsidRPr="00A25982">
        <w:rPr>
          <w:rFonts w:ascii="Arial" w:hAnsi="Arial" w:cs="Arial"/>
        </w:rPr>
        <w:t xml:space="preserve"> the first proposition resulting from this study is:</w:t>
      </w:r>
    </w:p>
    <w:p w14:paraId="6DC6F72E" w14:textId="77777777" w:rsidR="00A31FA7" w:rsidRPr="00A25982" w:rsidRDefault="00A31FA7" w:rsidP="00A25982">
      <w:pPr>
        <w:ind w:left="284"/>
        <w:jc w:val="both"/>
        <w:rPr>
          <w:rFonts w:ascii="Arial" w:hAnsi="Arial" w:cs="Arial"/>
          <w:i/>
          <w:sz w:val="12"/>
          <w:szCs w:val="12"/>
        </w:rPr>
      </w:pPr>
    </w:p>
    <w:p w14:paraId="1B8E0ED7" w14:textId="69FEEE83" w:rsidR="005D0E2A" w:rsidRPr="00A25982" w:rsidRDefault="005D0E2A" w:rsidP="00A25982">
      <w:pPr>
        <w:ind w:left="284"/>
        <w:jc w:val="both"/>
        <w:rPr>
          <w:rFonts w:ascii="Arial" w:hAnsi="Arial" w:cs="Arial"/>
          <w:i/>
        </w:rPr>
      </w:pPr>
      <w:r w:rsidRPr="00A25982">
        <w:rPr>
          <w:rFonts w:ascii="Arial" w:hAnsi="Arial" w:cs="Arial"/>
          <w:i/>
        </w:rPr>
        <w:lastRenderedPageBreak/>
        <w:t>Proposition 1:</w:t>
      </w:r>
      <w:r w:rsidRPr="00A25982">
        <w:rPr>
          <w:rFonts w:ascii="Arial" w:hAnsi="Arial" w:cs="Arial"/>
        </w:rPr>
        <w:t xml:space="preserve"> </w:t>
      </w:r>
      <w:r w:rsidR="003F1209" w:rsidRPr="00A25982">
        <w:rPr>
          <w:rFonts w:ascii="Arial" w:hAnsi="Arial" w:cs="Arial"/>
          <w:i/>
        </w:rPr>
        <w:t xml:space="preserve">Horizontal and vertical collaboration between supply chain actors are </w:t>
      </w:r>
      <w:r w:rsidR="003F1209" w:rsidRPr="00A25982">
        <w:rPr>
          <w:rFonts w:ascii="Arial" w:hAnsi="Arial" w:cs="Arial"/>
          <w:i/>
          <w:noProof/>
        </w:rPr>
        <w:t>important</w:t>
      </w:r>
      <w:r w:rsidR="003F1209" w:rsidRPr="00A25982">
        <w:rPr>
          <w:rFonts w:ascii="Arial" w:hAnsi="Arial" w:cs="Arial"/>
          <w:i/>
        </w:rPr>
        <w:t xml:space="preserve"> p</w:t>
      </w:r>
      <w:r w:rsidRPr="00A25982">
        <w:rPr>
          <w:rFonts w:ascii="Arial" w:hAnsi="Arial" w:cs="Arial"/>
          <w:i/>
        </w:rPr>
        <w:t xml:space="preserve">roactive strategies </w:t>
      </w:r>
      <w:r w:rsidR="003F1209" w:rsidRPr="00A25982">
        <w:rPr>
          <w:rFonts w:ascii="Arial" w:hAnsi="Arial" w:cs="Arial"/>
          <w:i/>
        </w:rPr>
        <w:t>for building</w:t>
      </w:r>
      <w:r w:rsidRPr="00A25982">
        <w:rPr>
          <w:rFonts w:ascii="Arial" w:hAnsi="Arial" w:cs="Arial"/>
          <w:i/>
        </w:rPr>
        <w:t xml:space="preserve"> resilience during periods of constitutional change </w:t>
      </w:r>
      <w:proofErr w:type="gramStart"/>
      <w:r w:rsidR="003F1209" w:rsidRPr="00A25982">
        <w:rPr>
          <w:rFonts w:ascii="Arial" w:hAnsi="Arial" w:cs="Arial"/>
          <w:i/>
        </w:rPr>
        <w:t>in order to</w:t>
      </w:r>
      <w:proofErr w:type="gramEnd"/>
      <w:r w:rsidRPr="00A25982">
        <w:rPr>
          <w:rFonts w:ascii="Arial" w:hAnsi="Arial" w:cs="Arial"/>
          <w:i/>
        </w:rPr>
        <w:t>:</w:t>
      </w:r>
    </w:p>
    <w:p w14:paraId="3E261F68" w14:textId="7387901E" w:rsidR="005D0E2A" w:rsidRPr="00A25982" w:rsidRDefault="00C93438" w:rsidP="00A25982">
      <w:pPr>
        <w:pStyle w:val="ListParagraph"/>
        <w:numPr>
          <w:ilvl w:val="0"/>
          <w:numId w:val="32"/>
        </w:numPr>
        <w:jc w:val="both"/>
        <w:rPr>
          <w:rFonts w:ascii="Arial" w:hAnsi="Arial" w:cs="Arial"/>
          <w:sz w:val="12"/>
          <w:szCs w:val="12"/>
        </w:rPr>
      </w:pPr>
      <w:r w:rsidRPr="00A25982">
        <w:rPr>
          <w:rFonts w:ascii="Arial" w:hAnsi="Arial" w:cs="Arial"/>
          <w:i/>
          <w:noProof/>
        </w:rPr>
        <w:t>s</w:t>
      </w:r>
      <w:r w:rsidR="005D0E2A" w:rsidRPr="00A25982">
        <w:rPr>
          <w:rFonts w:ascii="Arial" w:hAnsi="Arial" w:cs="Arial"/>
          <w:i/>
          <w:noProof/>
        </w:rPr>
        <w:t>ense</w:t>
      </w:r>
      <w:r w:rsidR="005D0E2A" w:rsidRPr="00A25982">
        <w:rPr>
          <w:rFonts w:ascii="Arial" w:hAnsi="Arial" w:cs="Arial"/>
          <w:i/>
        </w:rPr>
        <w:t xml:space="preserve"> the effect of potential changes to the constitution</w:t>
      </w:r>
      <w:r w:rsidR="00F72870" w:rsidRPr="00A25982">
        <w:rPr>
          <w:rFonts w:ascii="Arial" w:hAnsi="Arial" w:cs="Arial"/>
          <w:i/>
        </w:rPr>
        <w:t xml:space="preserve"> </w:t>
      </w:r>
      <w:r w:rsidR="003F1209" w:rsidRPr="00A25982">
        <w:rPr>
          <w:rFonts w:ascii="Arial" w:hAnsi="Arial" w:cs="Arial"/>
          <w:i/>
        </w:rPr>
        <w:t>and</w:t>
      </w:r>
      <w:r w:rsidR="00F72870" w:rsidRPr="00A25982">
        <w:rPr>
          <w:rFonts w:ascii="Arial" w:hAnsi="Arial" w:cs="Arial"/>
          <w:i/>
        </w:rPr>
        <w:t xml:space="preserve"> accurately anticipate </w:t>
      </w:r>
      <w:r w:rsidR="0073072B" w:rsidRPr="00A25982">
        <w:rPr>
          <w:rFonts w:ascii="Arial" w:hAnsi="Arial" w:cs="Arial"/>
          <w:i/>
        </w:rPr>
        <w:t xml:space="preserve">the potential impact of </w:t>
      </w:r>
      <w:r w:rsidR="00F72870" w:rsidRPr="00A25982">
        <w:rPr>
          <w:rFonts w:ascii="Arial" w:hAnsi="Arial" w:cs="Arial"/>
          <w:i/>
        </w:rPr>
        <w:t>disruptions</w:t>
      </w:r>
      <w:r w:rsidR="0001469A" w:rsidRPr="00A25982">
        <w:rPr>
          <w:rFonts w:ascii="Arial" w:hAnsi="Arial" w:cs="Arial"/>
          <w:i/>
        </w:rPr>
        <w:t xml:space="preserve"> in terms of economic, environmental</w:t>
      </w:r>
      <w:r w:rsidR="003F1209" w:rsidRPr="00A25982">
        <w:rPr>
          <w:rFonts w:ascii="Arial" w:hAnsi="Arial" w:cs="Arial"/>
          <w:i/>
        </w:rPr>
        <w:t>,</w:t>
      </w:r>
      <w:r w:rsidR="0001469A" w:rsidRPr="00A25982">
        <w:rPr>
          <w:rFonts w:ascii="Arial" w:hAnsi="Arial" w:cs="Arial"/>
          <w:i/>
        </w:rPr>
        <w:t xml:space="preserve"> and social sustainability</w:t>
      </w:r>
      <w:r w:rsidR="005D0E2A" w:rsidRPr="00A25982">
        <w:rPr>
          <w:rFonts w:ascii="Arial" w:hAnsi="Arial" w:cs="Arial"/>
          <w:i/>
        </w:rPr>
        <w:t xml:space="preserve">; and </w:t>
      </w:r>
    </w:p>
    <w:p w14:paraId="0FDA536C" w14:textId="11FFE6A6" w:rsidR="005D0E2A" w:rsidRPr="00A25982" w:rsidRDefault="00C93438" w:rsidP="00A25982">
      <w:pPr>
        <w:pStyle w:val="ListParagraph"/>
        <w:numPr>
          <w:ilvl w:val="0"/>
          <w:numId w:val="32"/>
        </w:numPr>
        <w:jc w:val="both"/>
        <w:rPr>
          <w:rFonts w:ascii="Arial" w:hAnsi="Arial" w:cs="Arial"/>
          <w:sz w:val="12"/>
          <w:szCs w:val="12"/>
        </w:rPr>
      </w:pPr>
      <w:r w:rsidRPr="00A25982">
        <w:rPr>
          <w:rFonts w:ascii="Arial" w:hAnsi="Arial" w:cs="Arial"/>
          <w:i/>
        </w:rPr>
        <w:t>s</w:t>
      </w:r>
      <w:r w:rsidR="005D0E2A" w:rsidRPr="00A25982">
        <w:rPr>
          <w:rFonts w:ascii="Arial" w:hAnsi="Arial" w:cs="Arial"/>
          <w:i/>
        </w:rPr>
        <w:t xml:space="preserve">eize the opportunity </w:t>
      </w:r>
      <w:r w:rsidR="005D0E2A" w:rsidRPr="00A25982">
        <w:rPr>
          <w:rFonts w:ascii="Arial" w:hAnsi="Arial" w:cs="Arial"/>
          <w:i/>
          <w:noProof/>
        </w:rPr>
        <w:t>to effectively</w:t>
      </w:r>
      <w:r w:rsidR="0073072B" w:rsidRPr="00A25982">
        <w:rPr>
          <w:rFonts w:ascii="Arial" w:hAnsi="Arial" w:cs="Arial"/>
          <w:i/>
          <w:noProof/>
        </w:rPr>
        <w:t xml:space="preserve"> </w:t>
      </w:r>
      <w:r w:rsidR="005D0E2A" w:rsidRPr="00A25982">
        <w:rPr>
          <w:rFonts w:ascii="Arial" w:hAnsi="Arial" w:cs="Arial"/>
          <w:i/>
          <w:noProof/>
        </w:rPr>
        <w:t xml:space="preserve">lobby government </w:t>
      </w:r>
      <w:r w:rsidR="003F1209" w:rsidRPr="00A25982">
        <w:rPr>
          <w:rFonts w:ascii="Arial" w:hAnsi="Arial" w:cs="Arial"/>
          <w:i/>
          <w:noProof/>
        </w:rPr>
        <w:t>and</w:t>
      </w:r>
      <w:r w:rsidR="005D0E2A" w:rsidRPr="00A25982">
        <w:rPr>
          <w:rFonts w:ascii="Arial" w:hAnsi="Arial" w:cs="Arial"/>
          <w:i/>
          <w:noProof/>
        </w:rPr>
        <w:t xml:space="preserve"> influence the constitution</w:t>
      </w:r>
      <w:r w:rsidR="003F1209" w:rsidRPr="00A25982">
        <w:rPr>
          <w:rFonts w:ascii="Arial" w:hAnsi="Arial" w:cs="Arial"/>
          <w:i/>
          <w:noProof/>
        </w:rPr>
        <w:t>al change</w:t>
      </w:r>
      <w:r w:rsidR="005D0E2A" w:rsidRPr="00A25982">
        <w:rPr>
          <w:rFonts w:ascii="Arial" w:hAnsi="Arial" w:cs="Arial"/>
          <w:i/>
        </w:rPr>
        <w:t>.</w:t>
      </w:r>
    </w:p>
    <w:p w14:paraId="5074EF48" w14:textId="77777777" w:rsidR="00A31FA7" w:rsidRPr="00A25982" w:rsidRDefault="00A31FA7" w:rsidP="00A25982">
      <w:pPr>
        <w:pStyle w:val="NormalWeb"/>
        <w:spacing w:before="0" w:beforeAutospacing="0" w:after="0" w:afterAutospacing="0"/>
        <w:ind w:firstLine="284"/>
        <w:jc w:val="both"/>
        <w:rPr>
          <w:rFonts w:ascii="Arial" w:hAnsi="Arial" w:cs="Arial"/>
          <w:sz w:val="12"/>
          <w:szCs w:val="12"/>
        </w:rPr>
      </w:pPr>
    </w:p>
    <w:p w14:paraId="19C05E85" w14:textId="639C6005" w:rsidR="009B5D1A" w:rsidRPr="00A25982" w:rsidRDefault="006B0ADC" w:rsidP="00A25982">
      <w:pPr>
        <w:pStyle w:val="NormalWeb"/>
        <w:spacing w:before="0" w:beforeAutospacing="0" w:after="0" w:afterAutospacing="0"/>
        <w:ind w:firstLine="284"/>
        <w:jc w:val="both"/>
        <w:rPr>
          <w:rFonts w:ascii="Arial" w:hAnsi="Arial" w:cs="Arial"/>
        </w:rPr>
      </w:pPr>
      <w:r w:rsidRPr="00A25982">
        <w:rPr>
          <w:rFonts w:ascii="Arial" w:hAnsi="Arial" w:cs="Arial"/>
        </w:rPr>
        <w:t>Second,</w:t>
      </w:r>
      <w:r w:rsidR="00877BD3" w:rsidRPr="00A25982">
        <w:rPr>
          <w:rFonts w:ascii="Arial" w:hAnsi="Arial" w:cs="Arial"/>
        </w:rPr>
        <w:t xml:space="preserve"> the findings provide empirical evidence of both </w:t>
      </w:r>
      <w:r w:rsidRPr="00A25982">
        <w:rPr>
          <w:rFonts w:ascii="Arial" w:hAnsi="Arial" w:cs="Arial"/>
        </w:rPr>
        <w:t xml:space="preserve">individual organisations </w:t>
      </w:r>
      <w:r w:rsidR="00877BD3" w:rsidRPr="00A25982">
        <w:rPr>
          <w:rFonts w:ascii="Arial" w:hAnsi="Arial" w:cs="Arial"/>
        </w:rPr>
        <w:t xml:space="preserve">and supply chains </w:t>
      </w:r>
      <w:r w:rsidRPr="00A25982">
        <w:rPr>
          <w:rFonts w:ascii="Arial" w:hAnsi="Arial" w:cs="Arial"/>
        </w:rPr>
        <w:t>seiz</w:t>
      </w:r>
      <w:r w:rsidR="00877BD3" w:rsidRPr="00A25982">
        <w:rPr>
          <w:rFonts w:ascii="Arial" w:hAnsi="Arial" w:cs="Arial"/>
        </w:rPr>
        <w:t>ing</w:t>
      </w:r>
      <w:r w:rsidRPr="00A25982">
        <w:rPr>
          <w:rFonts w:ascii="Arial" w:hAnsi="Arial" w:cs="Arial"/>
        </w:rPr>
        <w:t xml:space="preserve"> opportunities to reconfigure </w:t>
      </w:r>
      <w:r w:rsidR="00877BD3" w:rsidRPr="00A25982">
        <w:rPr>
          <w:rFonts w:ascii="Arial" w:hAnsi="Arial" w:cs="Arial"/>
        </w:rPr>
        <w:t>their operations</w:t>
      </w:r>
      <w:r w:rsidRPr="00A25982">
        <w:rPr>
          <w:rFonts w:ascii="Arial" w:hAnsi="Arial" w:cs="Arial"/>
        </w:rPr>
        <w:t xml:space="preserve"> so that they become less reliant on government subsidy, thereby strengthening their position in the local food supply chain. </w:t>
      </w:r>
      <w:r w:rsidR="00877BD3" w:rsidRPr="00A25982">
        <w:rPr>
          <w:rFonts w:ascii="Arial" w:hAnsi="Arial" w:cs="Arial"/>
        </w:rPr>
        <w:t>This can</w:t>
      </w:r>
      <w:r w:rsidR="0001469A" w:rsidRPr="00A25982">
        <w:rPr>
          <w:rFonts w:ascii="Arial" w:hAnsi="Arial" w:cs="Arial"/>
        </w:rPr>
        <w:t>,</w:t>
      </w:r>
      <w:r w:rsidR="00877BD3" w:rsidRPr="00A25982">
        <w:rPr>
          <w:rFonts w:ascii="Arial" w:hAnsi="Arial" w:cs="Arial"/>
        </w:rPr>
        <w:t xml:space="preserve"> for example</w:t>
      </w:r>
      <w:r w:rsidR="0001469A" w:rsidRPr="00A25982">
        <w:rPr>
          <w:rFonts w:ascii="Arial" w:hAnsi="Arial" w:cs="Arial"/>
        </w:rPr>
        <w:t>,</w:t>
      </w:r>
      <w:r w:rsidR="00877BD3" w:rsidRPr="00A25982">
        <w:rPr>
          <w:rFonts w:ascii="Arial" w:hAnsi="Arial" w:cs="Arial"/>
        </w:rPr>
        <w:t xml:space="preserve"> </w:t>
      </w:r>
      <w:r w:rsidR="00A31FA7" w:rsidRPr="00A25982">
        <w:rPr>
          <w:rFonts w:ascii="Arial" w:hAnsi="Arial" w:cs="Arial"/>
        </w:rPr>
        <w:t xml:space="preserve">involve farmers </w:t>
      </w:r>
      <w:r w:rsidR="0001469A" w:rsidRPr="00A25982">
        <w:rPr>
          <w:rFonts w:ascii="Arial" w:hAnsi="Arial" w:cs="Arial"/>
        </w:rPr>
        <w:t xml:space="preserve">innovating their businesses by </w:t>
      </w:r>
      <w:r w:rsidR="00A31FA7" w:rsidRPr="00A25982">
        <w:rPr>
          <w:rFonts w:ascii="Arial" w:hAnsi="Arial" w:cs="Arial"/>
        </w:rPr>
        <w:t xml:space="preserve">diversifying their income streams or it can </w:t>
      </w:r>
      <w:r w:rsidR="00877BD3" w:rsidRPr="00A25982">
        <w:rPr>
          <w:rFonts w:ascii="Arial" w:hAnsi="Arial" w:cs="Arial"/>
        </w:rPr>
        <w:t>involve</w:t>
      </w:r>
      <w:r w:rsidRPr="00A25982">
        <w:rPr>
          <w:rFonts w:ascii="Arial" w:hAnsi="Arial" w:cs="Arial"/>
        </w:rPr>
        <w:t xml:space="preserve"> </w:t>
      </w:r>
      <w:r w:rsidR="00A31FA7" w:rsidRPr="00A25982">
        <w:rPr>
          <w:rFonts w:ascii="Arial" w:hAnsi="Arial" w:cs="Arial"/>
        </w:rPr>
        <w:t xml:space="preserve">whole </w:t>
      </w:r>
      <w:r w:rsidRPr="00A25982">
        <w:rPr>
          <w:rFonts w:ascii="Arial" w:hAnsi="Arial" w:cs="Arial"/>
        </w:rPr>
        <w:t>supply chains rethink</w:t>
      </w:r>
      <w:r w:rsidR="00877BD3" w:rsidRPr="00A25982">
        <w:rPr>
          <w:rFonts w:ascii="Arial" w:hAnsi="Arial" w:cs="Arial"/>
        </w:rPr>
        <w:t>ing</w:t>
      </w:r>
      <w:r w:rsidRPr="00A25982">
        <w:rPr>
          <w:rFonts w:ascii="Arial" w:hAnsi="Arial" w:cs="Arial"/>
        </w:rPr>
        <w:t xml:space="preserve"> pricing strategies to ensure that all parties are operating in a profitable and sustainable manner</w:t>
      </w:r>
      <w:r w:rsidR="00A31FA7" w:rsidRPr="00A25982">
        <w:rPr>
          <w:rFonts w:ascii="Arial" w:hAnsi="Arial" w:cs="Arial"/>
        </w:rPr>
        <w:t xml:space="preserve">. In both cases, whether the change is at the firm level, or the supply chain level, there will be a need for the likely impact of the disruption to be accurately anticipated.  This further expands on the discussion of Stone &amp; </w:t>
      </w:r>
      <w:proofErr w:type="spellStart"/>
      <w:r w:rsidR="00A31FA7" w:rsidRPr="00A25982">
        <w:rPr>
          <w:rFonts w:ascii="Arial" w:hAnsi="Arial" w:cs="Arial"/>
        </w:rPr>
        <w:t>Rahimifard</w:t>
      </w:r>
      <w:proofErr w:type="spellEnd"/>
      <w:r w:rsidR="00A31FA7" w:rsidRPr="00A25982">
        <w:rPr>
          <w:rFonts w:ascii="Arial" w:hAnsi="Arial" w:cs="Arial"/>
        </w:rPr>
        <w:t xml:space="preserve"> (2018), who describe</w:t>
      </w:r>
      <w:r w:rsidR="003F1209" w:rsidRPr="00A25982">
        <w:rPr>
          <w:rFonts w:ascii="Arial" w:hAnsi="Arial" w:cs="Arial"/>
        </w:rPr>
        <w:t>d</w:t>
      </w:r>
      <w:r w:rsidR="00A31FA7" w:rsidRPr="00A25982">
        <w:rPr>
          <w:rFonts w:ascii="Arial" w:hAnsi="Arial" w:cs="Arial"/>
        </w:rPr>
        <w:t xml:space="preserve"> the need to accurately anticipate the disruption itself – in the case of constitutional change, the disruption is </w:t>
      </w:r>
      <w:r w:rsidR="002E4FF7" w:rsidRPr="00A25982">
        <w:rPr>
          <w:rFonts w:ascii="Arial" w:eastAsiaTheme="minorEastAsia" w:hAnsi="Arial" w:cs="Arial"/>
          <w:noProof/>
          <w:lang w:eastAsia="zh-CN"/>
        </w:rPr>
        <w:t>inevi</w:t>
      </w:r>
      <w:r w:rsidR="0014737E" w:rsidRPr="00A25982">
        <w:rPr>
          <w:rFonts w:ascii="Arial" w:eastAsiaTheme="minorEastAsia" w:hAnsi="Arial" w:cs="Arial"/>
          <w:noProof/>
          <w:lang w:eastAsia="zh-CN"/>
        </w:rPr>
        <w:t>t</w:t>
      </w:r>
      <w:r w:rsidR="002E4FF7" w:rsidRPr="00A25982">
        <w:rPr>
          <w:rFonts w:ascii="Arial" w:eastAsiaTheme="minorEastAsia" w:hAnsi="Arial" w:cs="Arial"/>
          <w:noProof/>
          <w:lang w:eastAsia="zh-CN"/>
        </w:rPr>
        <w:t>able</w:t>
      </w:r>
      <w:r w:rsidR="00A31FA7" w:rsidRPr="00A25982">
        <w:rPr>
          <w:rFonts w:ascii="Arial" w:hAnsi="Arial" w:cs="Arial"/>
        </w:rPr>
        <w:t xml:space="preserve">, but it is the impact of the disruption that needs to be accurately anticipated so that appropriate strategies for innovation can be adopted. </w:t>
      </w:r>
      <w:r w:rsidR="00F72870" w:rsidRPr="00A25982">
        <w:rPr>
          <w:rFonts w:ascii="Arial" w:hAnsi="Arial" w:cs="Arial"/>
        </w:rPr>
        <w:t>This leads to a second proposition</w:t>
      </w:r>
      <w:r w:rsidR="00A31FA7" w:rsidRPr="00A25982">
        <w:rPr>
          <w:rFonts w:ascii="Arial" w:hAnsi="Arial" w:cs="Arial"/>
        </w:rPr>
        <w:t>, which is divided into two parts</w:t>
      </w:r>
      <w:r w:rsidR="00F72870" w:rsidRPr="00A25982">
        <w:rPr>
          <w:rFonts w:ascii="Arial" w:hAnsi="Arial" w:cs="Arial"/>
        </w:rPr>
        <w:t>:</w:t>
      </w:r>
    </w:p>
    <w:p w14:paraId="62AF8049" w14:textId="77777777" w:rsidR="00A31FA7" w:rsidRPr="00A25982" w:rsidRDefault="00A31FA7" w:rsidP="00A25982">
      <w:pPr>
        <w:pStyle w:val="NormalWeb"/>
        <w:spacing w:before="0" w:beforeAutospacing="0" w:after="0" w:afterAutospacing="0"/>
        <w:ind w:firstLine="284"/>
        <w:jc w:val="both"/>
        <w:rPr>
          <w:rFonts w:ascii="Arial" w:hAnsi="Arial" w:cs="Arial"/>
          <w:sz w:val="12"/>
          <w:szCs w:val="12"/>
        </w:rPr>
      </w:pPr>
    </w:p>
    <w:p w14:paraId="011B4DB3" w14:textId="3EF28858" w:rsidR="003C1C88" w:rsidRDefault="00F72870" w:rsidP="00A25982">
      <w:pPr>
        <w:pStyle w:val="NormalWeb"/>
        <w:spacing w:before="0" w:beforeAutospacing="0" w:after="0" w:afterAutospacing="0"/>
        <w:ind w:left="284"/>
        <w:jc w:val="both"/>
        <w:rPr>
          <w:rFonts w:ascii="Arial" w:hAnsi="Arial" w:cs="Arial"/>
          <w:i/>
        </w:rPr>
      </w:pPr>
      <w:r w:rsidRPr="00A25982">
        <w:rPr>
          <w:rFonts w:ascii="Arial" w:hAnsi="Arial" w:cs="Arial"/>
          <w:i/>
        </w:rPr>
        <w:t>Proposition 2</w:t>
      </w:r>
      <w:r w:rsidR="003C1C88" w:rsidRPr="00A25982">
        <w:rPr>
          <w:rFonts w:ascii="Arial" w:hAnsi="Arial" w:cs="Arial"/>
          <w:i/>
        </w:rPr>
        <w:t>a</w:t>
      </w:r>
      <w:r w:rsidRPr="00A25982">
        <w:rPr>
          <w:rFonts w:ascii="Arial" w:hAnsi="Arial" w:cs="Arial"/>
          <w:i/>
        </w:rPr>
        <w:t>: Firms with dynamic capabilities to innovate</w:t>
      </w:r>
      <w:r w:rsidR="00216D60" w:rsidRPr="00A25982">
        <w:rPr>
          <w:rFonts w:ascii="Arial" w:hAnsi="Arial" w:cs="Arial"/>
          <w:i/>
        </w:rPr>
        <w:t xml:space="preserve"> in anticipation of the likely impacts of constitutional change</w:t>
      </w:r>
      <w:r w:rsidR="00C93438" w:rsidRPr="00A25982">
        <w:rPr>
          <w:rFonts w:ascii="Arial" w:hAnsi="Arial" w:cs="Arial"/>
          <w:i/>
        </w:rPr>
        <w:t xml:space="preserve"> will be</w:t>
      </w:r>
      <w:r w:rsidR="00216D60" w:rsidRPr="00A25982">
        <w:rPr>
          <w:rFonts w:ascii="Arial" w:hAnsi="Arial" w:cs="Arial"/>
          <w:i/>
        </w:rPr>
        <w:t xml:space="preserve"> </w:t>
      </w:r>
      <w:r w:rsidRPr="00A25982">
        <w:rPr>
          <w:rFonts w:ascii="Arial" w:hAnsi="Arial" w:cs="Arial"/>
          <w:i/>
        </w:rPr>
        <w:t xml:space="preserve">able to </w:t>
      </w:r>
      <w:r w:rsidR="003C1C88" w:rsidRPr="00A25982">
        <w:rPr>
          <w:rFonts w:ascii="Arial" w:hAnsi="Arial" w:cs="Arial"/>
          <w:i/>
        </w:rPr>
        <w:t xml:space="preserve">build resilience to </w:t>
      </w:r>
      <w:r w:rsidRPr="00A25982">
        <w:rPr>
          <w:rFonts w:ascii="Arial" w:hAnsi="Arial" w:cs="Arial"/>
          <w:i/>
        </w:rPr>
        <w:t>enhance their competitive position</w:t>
      </w:r>
      <w:r w:rsidR="00C93438" w:rsidRPr="00A25982">
        <w:rPr>
          <w:rFonts w:ascii="Arial" w:hAnsi="Arial" w:cs="Arial"/>
          <w:i/>
        </w:rPr>
        <w:t xml:space="preserve"> despite the inherent uncertainty associated with this type of disruption</w:t>
      </w:r>
      <w:r w:rsidRPr="00A25982">
        <w:rPr>
          <w:rFonts w:ascii="Arial" w:hAnsi="Arial" w:cs="Arial"/>
          <w:i/>
        </w:rPr>
        <w:t>.</w:t>
      </w:r>
    </w:p>
    <w:p w14:paraId="79655DB9" w14:textId="77777777" w:rsidR="000D4B05" w:rsidRPr="00A25982" w:rsidRDefault="000D4B05" w:rsidP="00A25982">
      <w:pPr>
        <w:pStyle w:val="NormalWeb"/>
        <w:spacing w:before="0" w:beforeAutospacing="0" w:after="0" w:afterAutospacing="0"/>
        <w:ind w:left="284"/>
        <w:jc w:val="both"/>
        <w:rPr>
          <w:rFonts w:ascii="Arial" w:hAnsi="Arial" w:cs="Arial"/>
          <w:i/>
        </w:rPr>
      </w:pPr>
    </w:p>
    <w:p w14:paraId="4A039EDC" w14:textId="57DE43F5" w:rsidR="00F72870" w:rsidRPr="00A25982" w:rsidRDefault="003C1C88" w:rsidP="00A25982">
      <w:pPr>
        <w:pStyle w:val="NormalWeb"/>
        <w:spacing w:before="0" w:beforeAutospacing="0" w:after="0" w:afterAutospacing="0"/>
        <w:ind w:left="284"/>
        <w:jc w:val="both"/>
        <w:rPr>
          <w:rFonts w:ascii="Arial" w:hAnsi="Arial" w:cs="Arial"/>
          <w:i/>
        </w:rPr>
      </w:pPr>
      <w:r w:rsidRPr="00A25982">
        <w:rPr>
          <w:rFonts w:ascii="Arial" w:hAnsi="Arial" w:cs="Arial"/>
          <w:i/>
        </w:rPr>
        <w:t>Proposition 2b: Supply chains with dynamic capabilities to adapt</w:t>
      </w:r>
      <w:r w:rsidR="00877BD3" w:rsidRPr="00A25982">
        <w:rPr>
          <w:rFonts w:ascii="Arial" w:hAnsi="Arial" w:cs="Arial"/>
          <w:i/>
        </w:rPr>
        <w:t xml:space="preserve"> to more</w:t>
      </w:r>
      <w:r w:rsidRPr="00A25982">
        <w:rPr>
          <w:rFonts w:ascii="Arial" w:hAnsi="Arial" w:cs="Arial"/>
          <w:i/>
        </w:rPr>
        <w:t xml:space="preserve"> sustainable pricing strategies in anticipation of the likely impacts of consti</w:t>
      </w:r>
      <w:r w:rsidR="0067629D" w:rsidRPr="00A25982">
        <w:rPr>
          <w:rFonts w:ascii="Arial" w:hAnsi="Arial" w:cs="Arial"/>
          <w:i/>
        </w:rPr>
        <w:t xml:space="preserve">tutional change will be able to build </w:t>
      </w:r>
      <w:proofErr w:type="spellStart"/>
      <w:r w:rsidR="0067629D" w:rsidRPr="00A25982">
        <w:rPr>
          <w:rFonts w:ascii="Arial" w:hAnsi="Arial" w:cs="Arial"/>
          <w:i/>
        </w:rPr>
        <w:t>SCRes</w:t>
      </w:r>
      <w:proofErr w:type="spellEnd"/>
      <w:r w:rsidR="0067629D" w:rsidRPr="00A25982">
        <w:rPr>
          <w:rFonts w:ascii="Arial" w:hAnsi="Arial" w:cs="Arial"/>
          <w:i/>
        </w:rPr>
        <w:t xml:space="preserve"> to enhance their competitive position despite the inherent uncertainty associated with this type of disruption</w:t>
      </w:r>
      <w:r w:rsidR="00877BD3" w:rsidRPr="00A25982">
        <w:rPr>
          <w:rFonts w:ascii="Arial" w:hAnsi="Arial" w:cs="Arial"/>
          <w:i/>
        </w:rPr>
        <w:t>.</w:t>
      </w:r>
      <w:r w:rsidR="00F72870" w:rsidRPr="00A25982">
        <w:rPr>
          <w:rFonts w:ascii="Arial" w:hAnsi="Arial" w:cs="Arial"/>
          <w:i/>
        </w:rPr>
        <w:t xml:space="preserve"> </w:t>
      </w:r>
    </w:p>
    <w:p w14:paraId="743A870A" w14:textId="77777777" w:rsidR="00A31FA7" w:rsidRPr="00A25982" w:rsidRDefault="00A31FA7" w:rsidP="00A25982">
      <w:pPr>
        <w:pStyle w:val="NormalWeb"/>
        <w:spacing w:before="0" w:beforeAutospacing="0" w:after="0" w:afterAutospacing="0"/>
        <w:ind w:firstLine="284"/>
        <w:jc w:val="both"/>
        <w:rPr>
          <w:rFonts w:ascii="Arial" w:hAnsi="Arial" w:cs="Arial"/>
          <w:sz w:val="12"/>
          <w:szCs w:val="12"/>
        </w:rPr>
      </w:pPr>
    </w:p>
    <w:p w14:paraId="630D9311" w14:textId="7D6DB92D" w:rsidR="009B5D1A" w:rsidRPr="00A25982" w:rsidRDefault="00A31FA7" w:rsidP="00A25982">
      <w:pPr>
        <w:pStyle w:val="NormalWeb"/>
        <w:spacing w:before="0" w:beforeAutospacing="0" w:after="0" w:afterAutospacing="0"/>
        <w:ind w:firstLine="284"/>
        <w:jc w:val="both"/>
        <w:rPr>
          <w:rFonts w:ascii="Arial" w:hAnsi="Arial" w:cs="Arial"/>
        </w:rPr>
      </w:pPr>
      <w:r w:rsidRPr="00A25982">
        <w:rPr>
          <w:rFonts w:ascii="Arial" w:hAnsi="Arial" w:cs="Arial"/>
        </w:rPr>
        <w:t xml:space="preserve">Third, </w:t>
      </w:r>
      <w:r w:rsidR="000F406B" w:rsidRPr="00A25982">
        <w:rPr>
          <w:rFonts w:ascii="Arial" w:hAnsi="Arial" w:cs="Arial"/>
        </w:rPr>
        <w:t>as the resilience of supply chains to constitutional change is studied here for the first time</w:t>
      </w:r>
      <w:r w:rsidR="00DF4EBE" w:rsidRPr="00A25982">
        <w:rPr>
          <w:rFonts w:ascii="Arial" w:hAnsi="Arial" w:cs="Arial"/>
        </w:rPr>
        <w:t xml:space="preserve">, </w:t>
      </w:r>
      <w:r w:rsidR="000F406B" w:rsidRPr="00A25982">
        <w:rPr>
          <w:rFonts w:ascii="Arial" w:hAnsi="Arial" w:cs="Arial"/>
        </w:rPr>
        <w:t xml:space="preserve">it has become apparent that there are </w:t>
      </w:r>
      <w:r w:rsidR="000F406B" w:rsidRPr="00A25982">
        <w:rPr>
          <w:rFonts w:ascii="Arial" w:hAnsi="Arial" w:cs="Arial"/>
          <w:noProof/>
        </w:rPr>
        <w:t>clear</w:t>
      </w:r>
      <w:r w:rsidR="000F406B" w:rsidRPr="00A25982">
        <w:rPr>
          <w:rFonts w:ascii="Arial" w:hAnsi="Arial" w:cs="Arial"/>
        </w:rPr>
        <w:t xml:space="preserve"> differences in the characteristics of constitutional change when compared to other threats and disruptions to supply chains</w:t>
      </w:r>
      <w:r w:rsidR="003F1209" w:rsidRPr="00A25982">
        <w:rPr>
          <w:rFonts w:ascii="Arial" w:hAnsi="Arial" w:cs="Arial"/>
        </w:rPr>
        <w:t>,</w:t>
      </w:r>
      <w:r w:rsidR="000F406B" w:rsidRPr="00A25982">
        <w:rPr>
          <w:rFonts w:ascii="Arial" w:hAnsi="Arial" w:cs="Arial"/>
        </w:rPr>
        <w:t xml:space="preserve"> including devastating earthquakes, fuel crises, political turmoil, diseases, terrorism, and hurricanes (</w:t>
      </w:r>
      <w:r w:rsidR="002A1AB4" w:rsidRPr="00A25982">
        <w:rPr>
          <w:rFonts w:ascii="Arial" w:hAnsi="Arial" w:cs="Arial"/>
        </w:rPr>
        <w:t>e.g.</w:t>
      </w:r>
      <w:r w:rsidR="000F406B" w:rsidRPr="00A25982">
        <w:rPr>
          <w:rFonts w:ascii="Arial" w:hAnsi="Arial" w:cs="Arial"/>
        </w:rPr>
        <w:t xml:space="preserve"> Mandal, 2012; Scholten </w:t>
      </w:r>
      <w:r w:rsidR="000F406B" w:rsidRPr="00A25982">
        <w:rPr>
          <w:rFonts w:ascii="Arial" w:hAnsi="Arial" w:cs="Arial"/>
          <w:i/>
        </w:rPr>
        <w:t>et al.,</w:t>
      </w:r>
      <w:r w:rsidR="000F406B" w:rsidRPr="00A25982">
        <w:rPr>
          <w:rFonts w:ascii="Arial" w:hAnsi="Arial" w:cs="Arial"/>
        </w:rPr>
        <w:t xml:space="preserve"> 2014). Firms might prepare for a disruption caused by a tsunami or terrorist attack by having clear plans and procedures in place to mitigate the </w:t>
      </w:r>
      <w:r w:rsidR="000F406B" w:rsidRPr="00A25982">
        <w:rPr>
          <w:rFonts w:ascii="Arial" w:hAnsi="Arial" w:cs="Arial"/>
          <w:noProof/>
        </w:rPr>
        <w:t>consequences;</w:t>
      </w:r>
      <w:r w:rsidR="000F406B" w:rsidRPr="00A25982">
        <w:rPr>
          <w:rFonts w:ascii="Arial" w:hAnsi="Arial" w:cs="Arial"/>
        </w:rPr>
        <w:t xml:space="preserve"> but such a disruption is likely to happen at short or no notice, or it might not occur at all. Similarly, a firm may plan for a </w:t>
      </w:r>
      <w:proofErr w:type="gramStart"/>
      <w:r w:rsidR="000F406B" w:rsidRPr="00A25982">
        <w:rPr>
          <w:rFonts w:ascii="Arial" w:hAnsi="Arial" w:cs="Arial"/>
        </w:rPr>
        <w:t>small scale</w:t>
      </w:r>
      <w:proofErr w:type="gramEnd"/>
      <w:r w:rsidR="000F406B" w:rsidRPr="00A25982">
        <w:rPr>
          <w:rFonts w:ascii="Arial" w:hAnsi="Arial" w:cs="Arial"/>
        </w:rPr>
        <w:t xml:space="preserve"> supply disruption, as featured in </w:t>
      </w:r>
      <w:proofErr w:type="spellStart"/>
      <w:r w:rsidR="000F406B" w:rsidRPr="00A25982">
        <w:rPr>
          <w:rFonts w:ascii="Arial" w:hAnsi="Arial" w:cs="Arial"/>
        </w:rPr>
        <w:t>Tukamuhabwa</w:t>
      </w:r>
      <w:proofErr w:type="spellEnd"/>
      <w:r w:rsidR="000F406B" w:rsidRPr="00A25982">
        <w:rPr>
          <w:rFonts w:ascii="Arial" w:hAnsi="Arial" w:cs="Arial"/>
        </w:rPr>
        <w:t xml:space="preserve"> </w:t>
      </w:r>
      <w:r w:rsidR="000F406B" w:rsidRPr="00A25982">
        <w:rPr>
          <w:rFonts w:ascii="Arial" w:hAnsi="Arial" w:cs="Arial"/>
          <w:i/>
        </w:rPr>
        <w:t xml:space="preserve">et al. </w:t>
      </w:r>
      <w:r w:rsidR="000F406B" w:rsidRPr="00A25982">
        <w:rPr>
          <w:rFonts w:ascii="Arial" w:hAnsi="Arial" w:cs="Arial"/>
        </w:rPr>
        <w:t xml:space="preserve">(2017), such as a late or cancelled delivery through redundancy and flexibility, including by holding small buffer stocks or having multiple or alternative sources of supply. But constitutional change is different in that firms (at the farming tier of the food supply chain at least) began planning two years ahead of the disruption, which </w:t>
      </w:r>
      <w:r w:rsidR="00DF4EBE" w:rsidRPr="00A25982">
        <w:rPr>
          <w:rFonts w:ascii="Arial" w:hAnsi="Arial" w:cs="Arial"/>
        </w:rPr>
        <w:t>gives</w:t>
      </w:r>
      <w:r w:rsidR="000F406B" w:rsidRPr="00A25982">
        <w:rPr>
          <w:rFonts w:ascii="Arial" w:hAnsi="Arial" w:cs="Arial"/>
        </w:rPr>
        <w:t xml:space="preserve"> them time to anticipate and change their practices. </w:t>
      </w:r>
      <w:r w:rsidR="00325729" w:rsidRPr="00A25982">
        <w:rPr>
          <w:rFonts w:ascii="Arial" w:hAnsi="Arial" w:cs="Arial"/>
        </w:rPr>
        <w:t xml:space="preserve">The process of </w:t>
      </w:r>
      <w:r w:rsidR="00325729" w:rsidRPr="00A25982">
        <w:rPr>
          <w:rFonts w:ascii="Arial" w:hAnsi="Arial" w:cs="Arial"/>
        </w:rPr>
        <w:lastRenderedPageBreak/>
        <w:t>b</w:t>
      </w:r>
      <w:r w:rsidR="00F60D40" w:rsidRPr="00A25982">
        <w:rPr>
          <w:rFonts w:ascii="Arial" w:hAnsi="Arial" w:cs="Arial"/>
        </w:rPr>
        <w:t xml:space="preserve">uilding resilience to constitutional change is therefore </w:t>
      </w:r>
      <w:r w:rsidR="00325729" w:rsidRPr="00A25982">
        <w:rPr>
          <w:rFonts w:ascii="Arial" w:hAnsi="Arial" w:cs="Arial"/>
        </w:rPr>
        <w:t xml:space="preserve">somewhat </w:t>
      </w:r>
      <w:r w:rsidR="00F60D40" w:rsidRPr="00A25982">
        <w:rPr>
          <w:rFonts w:ascii="Arial" w:hAnsi="Arial" w:cs="Arial"/>
        </w:rPr>
        <w:t xml:space="preserve">different to building resilience to other threats. In particular, there is a </w:t>
      </w:r>
      <w:proofErr w:type="gramStart"/>
      <w:r w:rsidR="00F60D40" w:rsidRPr="00A25982">
        <w:rPr>
          <w:rFonts w:ascii="Arial" w:hAnsi="Arial" w:cs="Arial"/>
        </w:rPr>
        <w:t>long time</w:t>
      </w:r>
      <w:proofErr w:type="gramEnd"/>
      <w:r w:rsidR="00F60D40" w:rsidRPr="00A25982">
        <w:rPr>
          <w:rFonts w:ascii="Arial" w:hAnsi="Arial" w:cs="Arial"/>
        </w:rPr>
        <w:t xml:space="preserve"> horizon involved in the disruption; there is a high certainty of disruption; the event is known and deliberate, although not purposefully intended to cause disruption; and all firms in the </w:t>
      </w:r>
      <w:r w:rsidR="00F60D40" w:rsidRPr="00A25982">
        <w:rPr>
          <w:rFonts w:ascii="Arial" w:hAnsi="Arial" w:cs="Arial"/>
          <w:noProof/>
        </w:rPr>
        <w:t>broad</w:t>
      </w:r>
      <w:r w:rsidR="00F60D40" w:rsidRPr="00A25982">
        <w:rPr>
          <w:rFonts w:ascii="Arial" w:hAnsi="Arial" w:cs="Arial"/>
        </w:rPr>
        <w:t xml:space="preserve"> environment are affected by the disruption. Brexit</w:t>
      </w:r>
      <w:r w:rsidR="00325729" w:rsidRPr="00A25982">
        <w:rPr>
          <w:rFonts w:ascii="Arial" w:hAnsi="Arial" w:cs="Arial"/>
        </w:rPr>
        <w:t>, for example,</w:t>
      </w:r>
      <w:r w:rsidR="00F60D40" w:rsidRPr="00A25982">
        <w:rPr>
          <w:rFonts w:ascii="Arial" w:hAnsi="Arial" w:cs="Arial"/>
        </w:rPr>
        <w:t xml:space="preserve"> is not a low probability, high impact event that occurs at short notice. There has been a </w:t>
      </w:r>
      <w:r w:rsidR="002E4FF7" w:rsidRPr="00A25982">
        <w:rPr>
          <w:rFonts w:ascii="Arial" w:eastAsiaTheme="minorEastAsia" w:hAnsi="Arial" w:cs="Arial"/>
          <w:noProof/>
          <w:lang w:eastAsia="zh-CN"/>
        </w:rPr>
        <w:t>massive</w:t>
      </w:r>
      <w:r w:rsidR="002E4FF7" w:rsidRPr="00A25982">
        <w:rPr>
          <w:rFonts w:ascii="Arial" w:hAnsi="Arial" w:cs="Arial"/>
        </w:rPr>
        <w:t xml:space="preserve"> </w:t>
      </w:r>
      <w:r w:rsidR="00F60D40" w:rsidRPr="00A25982">
        <w:rPr>
          <w:rFonts w:ascii="Arial" w:hAnsi="Arial" w:cs="Arial"/>
        </w:rPr>
        <w:t>build-up to the UK’s exit from the EU, which puts greater emphasis on the role of preparing for the disruption</w:t>
      </w:r>
      <w:r w:rsidR="00726502" w:rsidRPr="00A25982">
        <w:rPr>
          <w:rFonts w:ascii="Arial" w:hAnsi="Arial" w:cs="Arial"/>
        </w:rPr>
        <w:t>.</w:t>
      </w:r>
      <w:r w:rsidR="00F60D40" w:rsidRPr="00A25982">
        <w:rPr>
          <w:rFonts w:ascii="Arial" w:hAnsi="Arial" w:cs="Arial"/>
        </w:rPr>
        <w:t xml:space="preserve"> Hence, the role of sensing threats and opportunities is significant. </w:t>
      </w:r>
      <w:r w:rsidR="009669A5" w:rsidRPr="00A25982">
        <w:rPr>
          <w:rFonts w:ascii="Arial" w:hAnsi="Arial" w:cs="Arial"/>
        </w:rPr>
        <w:t>This leads to Proposition 3:</w:t>
      </w:r>
    </w:p>
    <w:p w14:paraId="2997A646" w14:textId="77777777" w:rsidR="00624E79" w:rsidRPr="00A25982" w:rsidRDefault="00624E79" w:rsidP="00A25982">
      <w:pPr>
        <w:pStyle w:val="NormalWeb"/>
        <w:spacing w:before="0" w:beforeAutospacing="0" w:after="0" w:afterAutospacing="0"/>
        <w:ind w:left="284"/>
        <w:jc w:val="both"/>
        <w:rPr>
          <w:rFonts w:ascii="Arial" w:hAnsi="Arial" w:cs="Arial"/>
          <w:i/>
          <w:sz w:val="12"/>
          <w:szCs w:val="12"/>
        </w:rPr>
      </w:pPr>
    </w:p>
    <w:p w14:paraId="635C76A3" w14:textId="580E7C63" w:rsidR="009669A5" w:rsidRPr="00A25982" w:rsidRDefault="009669A5" w:rsidP="00A25982">
      <w:pPr>
        <w:pStyle w:val="NormalWeb"/>
        <w:spacing w:before="0" w:beforeAutospacing="0" w:after="0" w:afterAutospacing="0"/>
        <w:ind w:left="284"/>
        <w:jc w:val="both"/>
        <w:rPr>
          <w:rFonts w:ascii="Arial" w:hAnsi="Arial" w:cs="Arial"/>
          <w:i/>
        </w:rPr>
      </w:pPr>
      <w:r w:rsidRPr="00A25982">
        <w:rPr>
          <w:rFonts w:ascii="Arial" w:hAnsi="Arial" w:cs="Arial"/>
          <w:i/>
        </w:rPr>
        <w:t xml:space="preserve">Proposition 3: Disruptions caused by constitutional change are characterised </w:t>
      </w:r>
      <w:r w:rsidRPr="00A25982">
        <w:rPr>
          <w:rFonts w:ascii="Arial" w:hAnsi="Arial" w:cs="Arial"/>
          <w:i/>
          <w:noProof/>
        </w:rPr>
        <w:t>by:</w:t>
      </w:r>
      <w:r w:rsidRPr="00A25982">
        <w:rPr>
          <w:rFonts w:ascii="Arial" w:hAnsi="Arial" w:cs="Arial"/>
          <w:i/>
        </w:rPr>
        <w:t xml:space="preserve"> long time horizons before the disruption; high certainty of the disruption; and their </w:t>
      </w:r>
      <w:r w:rsidR="003F1209" w:rsidRPr="00A25982">
        <w:rPr>
          <w:rFonts w:ascii="Arial" w:hAnsi="Arial" w:cs="Arial"/>
          <w:i/>
        </w:rPr>
        <w:t xml:space="preserve">widespread </w:t>
      </w:r>
      <w:r w:rsidRPr="00A25982">
        <w:rPr>
          <w:rFonts w:ascii="Arial" w:hAnsi="Arial" w:cs="Arial"/>
          <w:i/>
        </w:rPr>
        <w:t xml:space="preserve">effect. This puts greater emphasis on the ‘sensing’ stage of dynamic capabilities than is </w:t>
      </w:r>
      <w:r w:rsidR="003F1209" w:rsidRPr="00A25982">
        <w:rPr>
          <w:rFonts w:ascii="Arial" w:hAnsi="Arial" w:cs="Arial"/>
          <w:i/>
        </w:rPr>
        <w:t xml:space="preserve">typical </w:t>
      </w:r>
      <w:r w:rsidRPr="00A25982">
        <w:rPr>
          <w:rFonts w:ascii="Arial" w:hAnsi="Arial" w:cs="Arial"/>
          <w:i/>
        </w:rPr>
        <w:t>for other forms of supply chain disruption, and on the development of proactive st</w:t>
      </w:r>
      <w:r w:rsidR="00877BD3" w:rsidRPr="00A25982">
        <w:rPr>
          <w:rFonts w:ascii="Arial" w:hAnsi="Arial" w:cs="Arial"/>
          <w:i/>
        </w:rPr>
        <w:t xml:space="preserve">rategies for building </w:t>
      </w:r>
      <w:proofErr w:type="spellStart"/>
      <w:r w:rsidR="00877BD3" w:rsidRPr="00A25982">
        <w:rPr>
          <w:rFonts w:ascii="Arial" w:hAnsi="Arial" w:cs="Arial"/>
          <w:i/>
        </w:rPr>
        <w:t>SCRes</w:t>
      </w:r>
      <w:proofErr w:type="spellEnd"/>
      <w:r w:rsidRPr="00A25982">
        <w:rPr>
          <w:rFonts w:ascii="Arial" w:hAnsi="Arial" w:cs="Arial"/>
          <w:i/>
        </w:rPr>
        <w:t xml:space="preserve"> </w:t>
      </w:r>
      <w:r w:rsidR="003F1209" w:rsidRPr="00A25982">
        <w:rPr>
          <w:rFonts w:ascii="Arial" w:hAnsi="Arial" w:cs="Arial"/>
          <w:i/>
        </w:rPr>
        <w:t xml:space="preserve">in </w:t>
      </w:r>
      <w:r w:rsidRPr="00A25982">
        <w:rPr>
          <w:rFonts w:ascii="Arial" w:hAnsi="Arial" w:cs="Arial"/>
          <w:i/>
        </w:rPr>
        <w:t xml:space="preserve">the </w:t>
      </w:r>
      <w:r w:rsidRPr="00A25982">
        <w:rPr>
          <w:rFonts w:ascii="Arial" w:hAnsi="Arial" w:cs="Arial"/>
          <w:i/>
          <w:noProof/>
        </w:rPr>
        <w:t>run up</w:t>
      </w:r>
      <w:r w:rsidRPr="00A25982">
        <w:rPr>
          <w:rFonts w:ascii="Arial" w:hAnsi="Arial" w:cs="Arial"/>
          <w:i/>
        </w:rPr>
        <w:t xml:space="preserve"> to constitutional change. </w:t>
      </w:r>
    </w:p>
    <w:p w14:paraId="66592E9D" w14:textId="77777777" w:rsidR="00150341" w:rsidRPr="00A25982" w:rsidRDefault="00150341" w:rsidP="00A25982">
      <w:pPr>
        <w:pStyle w:val="NormalWeb"/>
        <w:spacing w:before="0" w:beforeAutospacing="0" w:after="0" w:afterAutospacing="0"/>
        <w:jc w:val="both"/>
        <w:rPr>
          <w:rFonts w:ascii="Arial" w:hAnsi="Arial" w:cs="Arial"/>
        </w:rPr>
      </w:pPr>
    </w:p>
    <w:p w14:paraId="424BDFA1" w14:textId="14F0097F" w:rsidR="00404F27" w:rsidRPr="00A25982" w:rsidRDefault="00404F27" w:rsidP="00A25982">
      <w:pPr>
        <w:pStyle w:val="NormalWeb"/>
        <w:spacing w:before="0" w:beforeAutospacing="0" w:after="0" w:afterAutospacing="0"/>
        <w:ind w:left="284" w:hanging="284"/>
        <w:jc w:val="both"/>
        <w:rPr>
          <w:rFonts w:ascii="Arial" w:hAnsi="Arial" w:cs="Arial"/>
          <w:b/>
        </w:rPr>
      </w:pPr>
      <w:r w:rsidRPr="00A25982">
        <w:rPr>
          <w:rFonts w:ascii="Arial" w:hAnsi="Arial" w:cs="Arial"/>
          <w:b/>
        </w:rPr>
        <w:t>6. Conclusions</w:t>
      </w:r>
      <w:r w:rsidR="00F71AC8" w:rsidRPr="00A25982">
        <w:rPr>
          <w:rFonts w:ascii="Arial" w:hAnsi="Arial" w:cs="Arial"/>
          <w:b/>
        </w:rPr>
        <w:t xml:space="preserve"> </w:t>
      </w:r>
    </w:p>
    <w:p w14:paraId="3EE31C0A" w14:textId="4A38AE17" w:rsidR="00311550" w:rsidRPr="00A25982" w:rsidRDefault="00325729" w:rsidP="00A25982">
      <w:pPr>
        <w:jc w:val="both"/>
        <w:rPr>
          <w:rFonts w:ascii="Arial" w:hAnsi="Arial" w:cs="Arial"/>
        </w:rPr>
      </w:pPr>
      <w:r w:rsidRPr="00A25982">
        <w:rPr>
          <w:rFonts w:ascii="Arial" w:hAnsi="Arial" w:cs="Arial"/>
        </w:rPr>
        <w:t>This paper has investigated the resilience of supply chains to constitutional change</w:t>
      </w:r>
      <w:r w:rsidR="00311550" w:rsidRPr="00A25982">
        <w:rPr>
          <w:rFonts w:ascii="Arial" w:hAnsi="Arial" w:cs="Arial"/>
        </w:rPr>
        <w:t xml:space="preserve"> by examining the </w:t>
      </w:r>
      <w:r w:rsidRPr="00A25982">
        <w:rPr>
          <w:rFonts w:ascii="Arial" w:hAnsi="Arial" w:cs="Arial"/>
        </w:rPr>
        <w:t xml:space="preserve">impact of Brexit on local food supply chains in the UK. </w:t>
      </w:r>
      <w:r w:rsidR="00311550" w:rsidRPr="00A25982">
        <w:rPr>
          <w:rFonts w:ascii="Arial" w:hAnsi="Arial" w:cs="Arial"/>
        </w:rPr>
        <w:t>Further, t</w:t>
      </w:r>
      <w:r w:rsidRPr="00A25982">
        <w:rPr>
          <w:rFonts w:ascii="Arial" w:hAnsi="Arial" w:cs="Arial"/>
        </w:rPr>
        <w:t xml:space="preserve">he dynamic capabilities theoretical lens </w:t>
      </w:r>
      <w:r w:rsidR="00311550" w:rsidRPr="00A25982">
        <w:rPr>
          <w:rFonts w:ascii="Arial" w:hAnsi="Arial" w:cs="Arial"/>
        </w:rPr>
        <w:t xml:space="preserve">has been used to understand how resilience can be built by sensing and seizing opportunities and </w:t>
      </w:r>
      <w:r w:rsidR="00311550" w:rsidRPr="00A25982">
        <w:rPr>
          <w:rFonts w:ascii="Arial" w:hAnsi="Arial" w:cs="Arial"/>
          <w:noProof/>
        </w:rPr>
        <w:t>threats,</w:t>
      </w:r>
      <w:r w:rsidR="00311550" w:rsidRPr="00A25982">
        <w:rPr>
          <w:rFonts w:ascii="Arial" w:hAnsi="Arial" w:cs="Arial"/>
        </w:rPr>
        <w:t xml:space="preserve"> and transforming or reconfiguring business models, operations, and supply chains. The paper provides a contribution to the literature on supply chain resilience by providing the first empirical study of how firms are building resilience to constitutional change; by providing a rare study of resilience across multiple supply chain tiers; and by outlining how the characteristics of the threat posed by constitutional change differ from the characteristics of other threats more typically studied in the literature.</w:t>
      </w:r>
      <w:r w:rsidR="009B5D1A" w:rsidRPr="00A25982">
        <w:rPr>
          <w:rFonts w:ascii="Arial" w:hAnsi="Arial" w:cs="Arial"/>
        </w:rPr>
        <w:t xml:space="preserve"> </w:t>
      </w:r>
      <w:r w:rsidR="009B5D1A" w:rsidRPr="00A25982">
        <w:rPr>
          <w:rFonts w:ascii="Arial" w:hAnsi="Arial" w:cs="Arial"/>
          <w:noProof/>
        </w:rPr>
        <w:t>Clearly</w:t>
      </w:r>
      <w:r w:rsidR="009B5D1A" w:rsidRPr="00A25982">
        <w:rPr>
          <w:rFonts w:ascii="Arial" w:hAnsi="Arial" w:cs="Arial"/>
        </w:rPr>
        <w:t xml:space="preserve"> the threat to supply chains presented by constitutional change such as that brought about by Brexit is different in its characteristics to the threat of natural disasters, financial crises, etc. and has thus been worthy of </w:t>
      </w:r>
      <w:proofErr w:type="gramStart"/>
      <w:r w:rsidR="009B5D1A" w:rsidRPr="00A25982">
        <w:rPr>
          <w:rFonts w:ascii="Arial" w:hAnsi="Arial" w:cs="Arial"/>
        </w:rPr>
        <w:t>study in its own right</w:t>
      </w:r>
      <w:proofErr w:type="gramEnd"/>
      <w:r w:rsidR="009B5D1A" w:rsidRPr="00A25982">
        <w:rPr>
          <w:rFonts w:ascii="Arial" w:hAnsi="Arial" w:cs="Arial"/>
        </w:rPr>
        <w:t xml:space="preserve">. </w:t>
      </w:r>
      <w:r w:rsidR="009D3528" w:rsidRPr="00A25982">
        <w:rPr>
          <w:rFonts w:ascii="Arial" w:hAnsi="Arial" w:cs="Arial"/>
        </w:rPr>
        <w:t>Moreover</w:t>
      </w:r>
      <w:r w:rsidR="003F1209" w:rsidRPr="00A25982">
        <w:rPr>
          <w:rFonts w:ascii="Arial" w:hAnsi="Arial" w:cs="Arial"/>
        </w:rPr>
        <w:t>,</w:t>
      </w:r>
      <w:r w:rsidR="009D3528" w:rsidRPr="00A25982">
        <w:rPr>
          <w:rFonts w:ascii="Arial" w:hAnsi="Arial" w:cs="Arial"/>
        </w:rPr>
        <w:t xml:space="preserve"> this paper highlights the importance of the </w:t>
      </w:r>
      <w:r w:rsidR="003F1209" w:rsidRPr="00A25982">
        <w:rPr>
          <w:rFonts w:ascii="Arial" w:hAnsi="Arial" w:cs="Arial"/>
        </w:rPr>
        <w:t>o</w:t>
      </w:r>
      <w:r w:rsidR="009D3528" w:rsidRPr="00A25982">
        <w:rPr>
          <w:rFonts w:ascii="Arial" w:hAnsi="Arial" w:cs="Arial"/>
        </w:rPr>
        <w:t>perations/</w:t>
      </w:r>
      <w:r w:rsidR="003F1209" w:rsidRPr="00A25982">
        <w:rPr>
          <w:rFonts w:ascii="Arial" w:hAnsi="Arial" w:cs="Arial"/>
        </w:rPr>
        <w:t>s</w:t>
      </w:r>
      <w:r w:rsidR="009D3528" w:rsidRPr="00A25982">
        <w:rPr>
          <w:rFonts w:ascii="Arial" w:hAnsi="Arial" w:cs="Arial"/>
        </w:rPr>
        <w:t xml:space="preserve">upply </w:t>
      </w:r>
      <w:r w:rsidR="003F1209" w:rsidRPr="00A25982">
        <w:rPr>
          <w:rFonts w:ascii="Arial" w:hAnsi="Arial" w:cs="Arial"/>
        </w:rPr>
        <w:t>c</w:t>
      </w:r>
      <w:r w:rsidR="009D3528" w:rsidRPr="00A25982">
        <w:rPr>
          <w:rFonts w:ascii="Arial" w:hAnsi="Arial" w:cs="Arial"/>
        </w:rPr>
        <w:t>hain fields engaging with policy/ constitutional change and demonstrates the role these fields can play in responding appropriately. Finally</w:t>
      </w:r>
      <w:r w:rsidR="00311550" w:rsidRPr="00A25982">
        <w:rPr>
          <w:rFonts w:ascii="Arial" w:hAnsi="Arial" w:cs="Arial"/>
        </w:rPr>
        <w:t>, the paper contributes to the literature on dynamic capabilities by highl</w:t>
      </w:r>
      <w:r w:rsidR="00D9534C" w:rsidRPr="00A25982">
        <w:rPr>
          <w:rFonts w:ascii="Arial" w:hAnsi="Arial" w:cs="Arial"/>
        </w:rPr>
        <w:t>ighting the role of horizontal and vertical</w:t>
      </w:r>
      <w:r w:rsidR="00311550" w:rsidRPr="00A25982">
        <w:rPr>
          <w:rFonts w:ascii="Arial" w:hAnsi="Arial" w:cs="Arial"/>
        </w:rPr>
        <w:t xml:space="preserve"> collaboration between supply chain actors in the sensing, seizing, and transforming process.</w:t>
      </w:r>
      <w:r w:rsidR="009D3528" w:rsidRPr="00A25982">
        <w:rPr>
          <w:rFonts w:ascii="Arial" w:hAnsi="Arial" w:cs="Arial"/>
        </w:rPr>
        <w:t xml:space="preserve"> </w:t>
      </w:r>
    </w:p>
    <w:p w14:paraId="09BC7F63" w14:textId="77777777" w:rsidR="00961435" w:rsidRPr="00A25982" w:rsidRDefault="00961435" w:rsidP="00A25982">
      <w:pPr>
        <w:pStyle w:val="NormalWeb"/>
        <w:spacing w:before="0" w:beforeAutospacing="0" w:after="0" w:afterAutospacing="0"/>
        <w:ind w:left="284" w:hanging="284"/>
        <w:jc w:val="both"/>
        <w:rPr>
          <w:rFonts w:ascii="Arial" w:hAnsi="Arial" w:cs="Arial"/>
          <w:b/>
          <w:sz w:val="12"/>
          <w:szCs w:val="12"/>
        </w:rPr>
      </w:pPr>
    </w:p>
    <w:p w14:paraId="30245842" w14:textId="1B4A584D" w:rsidR="00D95104" w:rsidRPr="00A25982" w:rsidRDefault="00404F27" w:rsidP="00A25982">
      <w:pPr>
        <w:pStyle w:val="NormalWeb"/>
        <w:spacing w:before="0" w:beforeAutospacing="0" w:after="0" w:afterAutospacing="0"/>
        <w:jc w:val="both"/>
        <w:rPr>
          <w:rFonts w:ascii="Arial" w:hAnsi="Arial" w:cs="Arial"/>
        </w:rPr>
      </w:pPr>
      <w:r w:rsidRPr="00A25982">
        <w:rPr>
          <w:rFonts w:ascii="Arial" w:hAnsi="Arial" w:cs="Arial"/>
          <w:i/>
        </w:rPr>
        <w:t>6.1.</w:t>
      </w:r>
      <w:r w:rsidRPr="00A25982">
        <w:rPr>
          <w:rFonts w:ascii="Arial" w:hAnsi="Arial" w:cs="Arial"/>
        </w:rPr>
        <w:t xml:space="preserve"> </w:t>
      </w:r>
      <w:r w:rsidRPr="00A25982">
        <w:rPr>
          <w:rFonts w:ascii="Arial" w:hAnsi="Arial" w:cs="Arial"/>
          <w:i/>
        </w:rPr>
        <w:t xml:space="preserve">Managerial and Policy </w:t>
      </w:r>
      <w:r w:rsidR="00E459F5" w:rsidRPr="00A25982">
        <w:rPr>
          <w:rFonts w:ascii="Arial" w:hAnsi="Arial" w:cs="Arial"/>
          <w:i/>
        </w:rPr>
        <w:t>I</w:t>
      </w:r>
      <w:r w:rsidR="00E436C9" w:rsidRPr="00A25982">
        <w:rPr>
          <w:rFonts w:ascii="Arial" w:hAnsi="Arial" w:cs="Arial"/>
          <w:i/>
        </w:rPr>
        <w:t xml:space="preserve">mplications </w:t>
      </w:r>
    </w:p>
    <w:p w14:paraId="5A9BFD20" w14:textId="0661EE39" w:rsidR="00A63D89" w:rsidRPr="00A25982" w:rsidRDefault="00A63D89" w:rsidP="00A25982">
      <w:pPr>
        <w:jc w:val="both"/>
        <w:rPr>
          <w:rFonts w:ascii="Arial" w:hAnsi="Arial" w:cs="Arial"/>
        </w:rPr>
      </w:pPr>
      <w:r w:rsidRPr="00A25982">
        <w:rPr>
          <w:rFonts w:ascii="Arial" w:hAnsi="Arial" w:cs="Arial"/>
        </w:rPr>
        <w:t xml:space="preserve">This research has implications for managers who need to develop their dynamic capabilities </w:t>
      </w:r>
      <w:proofErr w:type="gramStart"/>
      <w:r w:rsidRPr="00A25982">
        <w:rPr>
          <w:rFonts w:ascii="Arial" w:hAnsi="Arial" w:cs="Arial"/>
        </w:rPr>
        <w:t>in order to</w:t>
      </w:r>
      <w:proofErr w:type="gramEnd"/>
      <w:r w:rsidRPr="00A25982">
        <w:rPr>
          <w:rFonts w:ascii="Arial" w:hAnsi="Arial" w:cs="Arial"/>
        </w:rPr>
        <w:t xml:space="preserve"> build </w:t>
      </w:r>
      <w:proofErr w:type="spellStart"/>
      <w:r w:rsidRPr="00A25982">
        <w:rPr>
          <w:rFonts w:ascii="Arial" w:hAnsi="Arial" w:cs="Arial"/>
        </w:rPr>
        <w:t>SCRes</w:t>
      </w:r>
      <w:proofErr w:type="spellEnd"/>
      <w:r w:rsidRPr="00A25982">
        <w:rPr>
          <w:rFonts w:ascii="Arial" w:hAnsi="Arial" w:cs="Arial"/>
        </w:rPr>
        <w:t xml:space="preserve">, as discussed above. </w:t>
      </w:r>
      <w:r w:rsidR="00A61311" w:rsidRPr="00A25982">
        <w:rPr>
          <w:rFonts w:ascii="Arial" w:hAnsi="Arial" w:cs="Arial"/>
        </w:rPr>
        <w:t>For example, practitioners across the supply chain need to work together to influence the future shape of the constitution; and they need to take ownership of their own operations and reconfigure them where necessary to become more resilient to the threat posed by Brexit, such as by reducing their reliance on EU funding streams and trade. The study</w:t>
      </w:r>
      <w:r w:rsidRPr="00A25982">
        <w:rPr>
          <w:rFonts w:ascii="Arial" w:hAnsi="Arial" w:cs="Arial"/>
        </w:rPr>
        <w:t xml:space="preserve"> also has implications for agricultural policy. </w:t>
      </w:r>
      <w:proofErr w:type="gramStart"/>
      <w:r w:rsidRPr="00A25982">
        <w:rPr>
          <w:rFonts w:ascii="Arial" w:hAnsi="Arial" w:cs="Arial"/>
        </w:rPr>
        <w:t>In particular, the</w:t>
      </w:r>
      <w:proofErr w:type="gramEnd"/>
      <w:r w:rsidRPr="00A25982">
        <w:rPr>
          <w:rFonts w:ascii="Arial" w:hAnsi="Arial" w:cs="Arial"/>
        </w:rPr>
        <w:t xml:space="preserve"> findings suggest that there are significant risks associated with reducing the CAP subsidy as this is likely to lead to higher prices at the point of food consumption for the consumer, thereby extenuating food poverty problems and/or mak</w:t>
      </w:r>
      <w:r w:rsidR="00926F6E" w:rsidRPr="00A25982">
        <w:rPr>
          <w:rFonts w:ascii="Arial" w:hAnsi="Arial" w:cs="Arial"/>
        </w:rPr>
        <w:t>ing</w:t>
      </w:r>
      <w:r w:rsidRPr="00A25982">
        <w:rPr>
          <w:rFonts w:ascii="Arial" w:hAnsi="Arial" w:cs="Arial"/>
        </w:rPr>
        <w:t xml:space="preserve"> UK food production less competitive</w:t>
      </w:r>
      <w:r w:rsidR="00D44B17" w:rsidRPr="00A25982">
        <w:rPr>
          <w:rFonts w:ascii="Arial" w:hAnsi="Arial" w:cs="Arial"/>
        </w:rPr>
        <w:t xml:space="preserve">, which threatens </w:t>
      </w:r>
      <w:r w:rsidRPr="00A25982">
        <w:rPr>
          <w:rFonts w:ascii="Arial" w:hAnsi="Arial" w:cs="Arial"/>
        </w:rPr>
        <w:t xml:space="preserve">the </w:t>
      </w:r>
      <w:r w:rsidRPr="00A25982">
        <w:rPr>
          <w:rFonts w:ascii="Arial" w:hAnsi="Arial" w:cs="Arial"/>
        </w:rPr>
        <w:lastRenderedPageBreak/>
        <w:t>economic sustainability of the sector</w:t>
      </w:r>
      <w:r w:rsidR="00AF28DB" w:rsidRPr="00A25982">
        <w:rPr>
          <w:rFonts w:ascii="Arial" w:hAnsi="Arial" w:cs="Arial"/>
        </w:rPr>
        <w:t xml:space="preserve"> as well as food safety standards</w:t>
      </w:r>
      <w:r w:rsidRPr="00A25982">
        <w:rPr>
          <w:rFonts w:ascii="Arial" w:hAnsi="Arial" w:cs="Arial"/>
        </w:rPr>
        <w:t>.</w:t>
      </w:r>
      <w:r w:rsidR="00F71AC8" w:rsidRPr="00A25982">
        <w:rPr>
          <w:rFonts w:ascii="Arial" w:hAnsi="Arial" w:cs="Arial"/>
        </w:rPr>
        <w:t xml:space="preserve"> </w:t>
      </w:r>
      <w:r w:rsidRPr="00A25982">
        <w:rPr>
          <w:rFonts w:ascii="Arial" w:hAnsi="Arial" w:cs="Arial"/>
        </w:rPr>
        <w:t xml:space="preserve">Thus there is </w:t>
      </w:r>
      <w:r w:rsidR="00926F6E" w:rsidRPr="00A25982">
        <w:rPr>
          <w:rFonts w:ascii="Arial" w:hAnsi="Arial" w:cs="Arial"/>
        </w:rPr>
        <w:t xml:space="preserve">a </w:t>
      </w:r>
      <w:r w:rsidRPr="00A25982">
        <w:rPr>
          <w:rFonts w:ascii="Arial" w:hAnsi="Arial" w:cs="Arial"/>
        </w:rPr>
        <w:t xml:space="preserve">need for more research to consider the precise form that the replacement for CAP should take, but it is </w:t>
      </w:r>
      <w:r w:rsidRPr="00A25982">
        <w:rPr>
          <w:rFonts w:ascii="Arial" w:hAnsi="Arial" w:cs="Arial"/>
          <w:noProof/>
        </w:rPr>
        <w:t>important</w:t>
      </w:r>
      <w:r w:rsidRPr="00A25982">
        <w:rPr>
          <w:rFonts w:ascii="Arial" w:hAnsi="Arial" w:cs="Arial"/>
        </w:rPr>
        <w:t xml:space="preserve"> that it</w:t>
      </w:r>
      <w:r w:rsidR="00D278D3" w:rsidRPr="00A25982">
        <w:rPr>
          <w:rFonts w:ascii="Arial" w:hAnsi="Arial" w:cs="Arial"/>
        </w:rPr>
        <w:t>: (</w:t>
      </w:r>
      <w:proofErr w:type="spellStart"/>
      <w:r w:rsidR="00D278D3" w:rsidRPr="00A25982">
        <w:rPr>
          <w:rFonts w:ascii="Arial" w:hAnsi="Arial" w:cs="Arial"/>
        </w:rPr>
        <w:t>i</w:t>
      </w:r>
      <w:proofErr w:type="spellEnd"/>
      <w:r w:rsidR="00D278D3" w:rsidRPr="00A25982">
        <w:rPr>
          <w:rFonts w:ascii="Arial" w:hAnsi="Arial" w:cs="Arial"/>
        </w:rPr>
        <w:t>) i</w:t>
      </w:r>
      <w:r w:rsidRPr="00A25982">
        <w:rPr>
          <w:rFonts w:ascii="Arial" w:hAnsi="Arial" w:cs="Arial"/>
        </w:rPr>
        <w:t>ncentivises good practice</w:t>
      </w:r>
      <w:r w:rsidR="00D44B17" w:rsidRPr="00A25982">
        <w:rPr>
          <w:rFonts w:ascii="Arial" w:hAnsi="Arial" w:cs="Arial"/>
        </w:rPr>
        <w:t xml:space="preserve"> and operational excellence</w:t>
      </w:r>
      <w:r w:rsidRPr="00A25982">
        <w:rPr>
          <w:rFonts w:ascii="Arial" w:hAnsi="Arial" w:cs="Arial"/>
        </w:rPr>
        <w:t xml:space="preserve"> (e.g. in animal welfare</w:t>
      </w:r>
      <w:r w:rsidR="00A23256" w:rsidRPr="00A25982">
        <w:rPr>
          <w:rFonts w:ascii="Arial" w:hAnsi="Arial" w:cs="Arial"/>
        </w:rPr>
        <w:t xml:space="preserve"> and </w:t>
      </w:r>
      <w:r w:rsidRPr="00A25982">
        <w:rPr>
          <w:rFonts w:ascii="Arial" w:hAnsi="Arial" w:cs="Arial"/>
        </w:rPr>
        <w:t>environmental practices);</w:t>
      </w:r>
      <w:r w:rsidR="00D278D3" w:rsidRPr="00A25982">
        <w:rPr>
          <w:rFonts w:ascii="Arial" w:hAnsi="Arial" w:cs="Arial"/>
        </w:rPr>
        <w:t xml:space="preserve"> (ii) i</w:t>
      </w:r>
      <w:r w:rsidRPr="00A25982">
        <w:rPr>
          <w:rFonts w:ascii="Arial" w:hAnsi="Arial" w:cs="Arial"/>
        </w:rPr>
        <w:t xml:space="preserve">ncentivises </w:t>
      </w:r>
      <w:r w:rsidR="00A61311" w:rsidRPr="00A25982">
        <w:rPr>
          <w:rFonts w:ascii="Arial" w:hAnsi="Arial" w:cs="Arial"/>
        </w:rPr>
        <w:t>effective and sustainable</w:t>
      </w:r>
      <w:r w:rsidRPr="00A25982">
        <w:rPr>
          <w:rFonts w:ascii="Arial" w:hAnsi="Arial" w:cs="Arial"/>
        </w:rPr>
        <w:t xml:space="preserve"> use of </w:t>
      </w:r>
      <w:r w:rsidR="00D44B17" w:rsidRPr="00A25982">
        <w:rPr>
          <w:rFonts w:ascii="Arial" w:hAnsi="Arial" w:cs="Arial"/>
        </w:rPr>
        <w:t xml:space="preserve">resources (e.g. </w:t>
      </w:r>
      <w:r w:rsidRPr="00A25982">
        <w:rPr>
          <w:rFonts w:ascii="Arial" w:hAnsi="Arial" w:cs="Arial"/>
        </w:rPr>
        <w:t>the countryside</w:t>
      </w:r>
      <w:r w:rsidR="00D44B17" w:rsidRPr="00A25982">
        <w:rPr>
          <w:rFonts w:ascii="Arial" w:hAnsi="Arial" w:cs="Arial"/>
        </w:rPr>
        <w:t xml:space="preserve">, </w:t>
      </w:r>
      <w:r w:rsidRPr="00A25982">
        <w:rPr>
          <w:rFonts w:ascii="Arial" w:hAnsi="Arial" w:cs="Arial"/>
        </w:rPr>
        <w:t xml:space="preserve">given links to </w:t>
      </w:r>
      <w:r w:rsidR="00926F6E" w:rsidRPr="00A25982">
        <w:rPr>
          <w:rFonts w:ascii="Arial" w:hAnsi="Arial" w:cs="Arial"/>
        </w:rPr>
        <w:t xml:space="preserve">the </w:t>
      </w:r>
      <w:r w:rsidRPr="00A25982">
        <w:rPr>
          <w:rFonts w:ascii="Arial" w:hAnsi="Arial" w:cs="Arial"/>
        </w:rPr>
        <w:t>tourism industry);</w:t>
      </w:r>
      <w:r w:rsidR="00D278D3" w:rsidRPr="00A25982">
        <w:rPr>
          <w:rFonts w:ascii="Arial" w:hAnsi="Arial" w:cs="Arial"/>
        </w:rPr>
        <w:t xml:space="preserve"> (iii) d</w:t>
      </w:r>
      <w:r w:rsidR="00AF28DB" w:rsidRPr="00A25982">
        <w:rPr>
          <w:rFonts w:ascii="Arial" w:hAnsi="Arial" w:cs="Arial"/>
        </w:rPr>
        <w:t>iscourages over-supply</w:t>
      </w:r>
      <w:r w:rsidR="00A61311" w:rsidRPr="00A25982">
        <w:rPr>
          <w:rFonts w:ascii="Arial" w:hAnsi="Arial" w:cs="Arial"/>
        </w:rPr>
        <w:t xml:space="preserve"> and waste</w:t>
      </w:r>
      <w:r w:rsidR="00AF28DB" w:rsidRPr="00A25982">
        <w:rPr>
          <w:rFonts w:ascii="Arial" w:hAnsi="Arial" w:cs="Arial"/>
        </w:rPr>
        <w:t>; and</w:t>
      </w:r>
      <w:r w:rsidR="00D278D3" w:rsidRPr="00A25982">
        <w:rPr>
          <w:rFonts w:ascii="Arial" w:hAnsi="Arial" w:cs="Arial"/>
        </w:rPr>
        <w:t xml:space="preserve"> (iv) s</w:t>
      </w:r>
      <w:r w:rsidRPr="00A25982">
        <w:rPr>
          <w:rFonts w:ascii="Arial" w:hAnsi="Arial" w:cs="Arial"/>
        </w:rPr>
        <w:t>upports rural communities to be business focused (for social sustainability).</w:t>
      </w:r>
    </w:p>
    <w:p w14:paraId="1D3F8157" w14:textId="7F151ACB" w:rsidR="00A415DA" w:rsidRPr="00A25982" w:rsidRDefault="00A415DA" w:rsidP="00A25982">
      <w:pPr>
        <w:rPr>
          <w:rFonts w:ascii="Arial" w:eastAsia="Calibri" w:hAnsi="Arial" w:cs="Arial"/>
          <w:i/>
          <w:sz w:val="12"/>
          <w:szCs w:val="12"/>
          <w:lang w:eastAsia="en-GB"/>
        </w:rPr>
      </w:pPr>
    </w:p>
    <w:p w14:paraId="4CB23CC4" w14:textId="08541893" w:rsidR="00404F27" w:rsidRPr="00A25982" w:rsidRDefault="00404F27" w:rsidP="00A25982">
      <w:pPr>
        <w:pStyle w:val="NormalWeb"/>
        <w:spacing w:before="0" w:beforeAutospacing="0" w:after="0" w:afterAutospacing="0"/>
        <w:jc w:val="both"/>
        <w:rPr>
          <w:rFonts w:ascii="Arial" w:hAnsi="Arial" w:cs="Arial"/>
          <w:i/>
        </w:rPr>
      </w:pPr>
      <w:r w:rsidRPr="00A25982">
        <w:rPr>
          <w:rFonts w:ascii="Arial" w:hAnsi="Arial" w:cs="Arial"/>
          <w:i/>
        </w:rPr>
        <w:t>6.2. Limitations and Future Research</w:t>
      </w:r>
    </w:p>
    <w:p w14:paraId="23924A3C" w14:textId="453A0AFA" w:rsidR="002C53B2" w:rsidRPr="00A25982" w:rsidRDefault="002C53B2" w:rsidP="00A25982">
      <w:pPr>
        <w:jc w:val="both"/>
        <w:rPr>
          <w:rFonts w:ascii="Arial" w:hAnsi="Arial" w:cs="Arial"/>
        </w:rPr>
      </w:pPr>
      <w:r w:rsidRPr="00A25982">
        <w:rPr>
          <w:rFonts w:ascii="Arial" w:hAnsi="Arial" w:cs="Arial"/>
        </w:rPr>
        <w:t xml:space="preserve">This study has focused on the build-up to Brexit. It could </w:t>
      </w:r>
      <w:r w:rsidRPr="00A25982">
        <w:rPr>
          <w:rFonts w:ascii="Arial" w:hAnsi="Arial" w:cs="Arial"/>
          <w:noProof/>
        </w:rPr>
        <w:t>therefore</w:t>
      </w:r>
      <w:r w:rsidRPr="00A25982">
        <w:rPr>
          <w:rFonts w:ascii="Arial" w:hAnsi="Arial" w:cs="Arial"/>
        </w:rPr>
        <w:t xml:space="preserve"> be interesting to conduct a further study after Brexit or to extend this research into a longitudinal multi-disciplinary study as the process of constitutional change unfolds. This would enable firms to reflect on events, threats, opportunities and their impact. It could also put greater emphasis on the seizing and transforming stages of the dynamic capabilities perspective and on the response and recovery stages of building resilience. Firms in the EU will also be affected by Brexit as it will impact the EU </w:t>
      </w:r>
      <w:proofErr w:type="gramStart"/>
      <w:r w:rsidRPr="00A25982">
        <w:rPr>
          <w:rFonts w:ascii="Arial" w:hAnsi="Arial" w:cs="Arial"/>
        </w:rPr>
        <w:t>as a whole and</w:t>
      </w:r>
      <w:proofErr w:type="gramEnd"/>
      <w:r w:rsidRPr="00A25982">
        <w:rPr>
          <w:rFonts w:ascii="Arial" w:hAnsi="Arial" w:cs="Arial"/>
        </w:rPr>
        <w:t xml:space="preserve"> the trade relations between the UK and the EU </w:t>
      </w:r>
      <w:r w:rsidR="00A23256" w:rsidRPr="00A25982">
        <w:rPr>
          <w:rFonts w:ascii="Arial" w:hAnsi="Arial" w:cs="Arial"/>
        </w:rPr>
        <w:t xml:space="preserve">as well as between </w:t>
      </w:r>
      <w:r w:rsidRPr="00A25982">
        <w:rPr>
          <w:rFonts w:ascii="Arial" w:hAnsi="Arial" w:cs="Arial"/>
        </w:rPr>
        <w:t xml:space="preserve">individual firms in the UK and EU. It could therefore also be valuable to look at how </w:t>
      </w:r>
      <w:r w:rsidR="002819F9" w:rsidRPr="00A25982">
        <w:rPr>
          <w:rFonts w:ascii="Arial" w:hAnsi="Arial" w:cs="Arial"/>
        </w:rPr>
        <w:t>actors</w:t>
      </w:r>
      <w:r w:rsidRPr="00A25982">
        <w:rPr>
          <w:rFonts w:ascii="Arial" w:hAnsi="Arial" w:cs="Arial"/>
        </w:rPr>
        <w:t xml:space="preserve"> </w:t>
      </w:r>
      <w:r w:rsidR="002819F9" w:rsidRPr="00A25982">
        <w:rPr>
          <w:rFonts w:ascii="Arial" w:hAnsi="Arial" w:cs="Arial"/>
        </w:rPr>
        <w:t xml:space="preserve">in mainland Europe that are </w:t>
      </w:r>
      <w:r w:rsidRPr="00A25982">
        <w:rPr>
          <w:rFonts w:ascii="Arial" w:hAnsi="Arial" w:cs="Arial"/>
        </w:rPr>
        <w:t>remaining in the EU are also preparing for and responding to Brexit.</w:t>
      </w:r>
    </w:p>
    <w:p w14:paraId="08A51453" w14:textId="77777777" w:rsidR="00961435" w:rsidRPr="00A25982" w:rsidRDefault="00961435" w:rsidP="00A25982">
      <w:pPr>
        <w:rPr>
          <w:rFonts w:ascii="Arial" w:hAnsi="Arial" w:cs="Arial"/>
          <w:b/>
          <w:bCs/>
          <w:lang w:val="en-IE"/>
        </w:rPr>
      </w:pPr>
    </w:p>
    <w:p w14:paraId="42463CBD" w14:textId="58F9F7D2" w:rsidR="00E47C8A" w:rsidRPr="00A25982" w:rsidRDefault="00E47C8A" w:rsidP="00A25982">
      <w:pPr>
        <w:rPr>
          <w:rFonts w:ascii="Arial" w:hAnsi="Arial" w:cs="Arial"/>
          <w:b/>
          <w:bCs/>
          <w:lang w:val="en-IE"/>
        </w:rPr>
      </w:pPr>
      <w:r w:rsidRPr="00A25982">
        <w:rPr>
          <w:rFonts w:ascii="Arial" w:hAnsi="Arial" w:cs="Arial"/>
          <w:b/>
          <w:bCs/>
          <w:lang w:val="en-IE"/>
        </w:rPr>
        <w:t>References</w:t>
      </w:r>
    </w:p>
    <w:p w14:paraId="16D0F920" w14:textId="03D0F60C" w:rsidR="00F318A7" w:rsidRPr="00A25982" w:rsidRDefault="00F318A7" w:rsidP="00A25982">
      <w:pPr>
        <w:ind w:left="284" w:hanging="284"/>
        <w:jc w:val="both"/>
        <w:rPr>
          <w:rFonts w:ascii="Arial" w:eastAsia="Times New Roman" w:hAnsi="Arial" w:cs="Arial"/>
          <w:sz w:val="22"/>
          <w:szCs w:val="22"/>
          <w:shd w:val="clear" w:color="auto" w:fill="FFFFFF"/>
        </w:rPr>
      </w:pPr>
      <w:r w:rsidRPr="00A25982">
        <w:rPr>
          <w:rFonts w:ascii="Arial" w:eastAsia="Times New Roman" w:hAnsi="Arial" w:cs="Arial"/>
          <w:sz w:val="22"/>
          <w:szCs w:val="22"/>
          <w:shd w:val="clear" w:color="auto" w:fill="FFFFFF"/>
        </w:rPr>
        <w:t xml:space="preserve"> </w:t>
      </w:r>
      <w:proofErr w:type="spellStart"/>
      <w:r w:rsidRPr="00A25982">
        <w:rPr>
          <w:rFonts w:ascii="Arial" w:eastAsia="Times New Roman" w:hAnsi="Arial" w:cs="Arial"/>
          <w:sz w:val="22"/>
          <w:szCs w:val="22"/>
          <w:shd w:val="clear" w:color="auto" w:fill="FFFFFF"/>
        </w:rPr>
        <w:t>Ahn</w:t>
      </w:r>
      <w:proofErr w:type="spellEnd"/>
      <w:r w:rsidRPr="00A25982">
        <w:rPr>
          <w:rFonts w:ascii="Arial" w:eastAsia="Times New Roman" w:hAnsi="Arial" w:cs="Arial"/>
          <w:sz w:val="22"/>
          <w:szCs w:val="22"/>
          <w:shd w:val="clear" w:color="auto" w:fill="FFFFFF"/>
        </w:rPr>
        <w:t xml:space="preserve"> </w:t>
      </w:r>
      <w:proofErr w:type="spellStart"/>
      <w:r w:rsidRPr="00A25982">
        <w:rPr>
          <w:rFonts w:ascii="Arial" w:eastAsia="Times New Roman" w:hAnsi="Arial" w:cs="Arial"/>
          <w:sz w:val="22"/>
          <w:szCs w:val="22"/>
          <w:shd w:val="clear" w:color="auto" w:fill="FFFFFF"/>
        </w:rPr>
        <w:t>J.M</w:t>
      </w:r>
      <w:proofErr w:type="spellEnd"/>
      <w:r w:rsidRPr="00A25982">
        <w:rPr>
          <w:rFonts w:ascii="Arial" w:eastAsia="Times New Roman" w:hAnsi="Arial" w:cs="Arial"/>
          <w:sz w:val="22"/>
          <w:szCs w:val="22"/>
          <w:shd w:val="clear" w:color="auto" w:fill="FFFFFF"/>
        </w:rPr>
        <w:t xml:space="preserve">., </w:t>
      </w:r>
      <w:proofErr w:type="spellStart"/>
      <w:r w:rsidRPr="00A25982">
        <w:rPr>
          <w:rFonts w:ascii="Arial" w:eastAsia="Times New Roman" w:hAnsi="Arial" w:cs="Arial"/>
          <w:sz w:val="22"/>
          <w:szCs w:val="22"/>
          <w:shd w:val="clear" w:color="auto" w:fill="FFFFFF"/>
        </w:rPr>
        <w:t>Mortara</w:t>
      </w:r>
      <w:proofErr w:type="spellEnd"/>
      <w:r w:rsidRPr="00A25982">
        <w:rPr>
          <w:rFonts w:ascii="Arial" w:eastAsia="Times New Roman" w:hAnsi="Arial" w:cs="Arial"/>
          <w:sz w:val="22"/>
          <w:szCs w:val="22"/>
          <w:shd w:val="clear" w:color="auto" w:fill="FFFFFF"/>
        </w:rPr>
        <w:t xml:space="preserve"> L., &amp; </w:t>
      </w:r>
      <w:proofErr w:type="spellStart"/>
      <w:r w:rsidRPr="00A25982">
        <w:rPr>
          <w:rFonts w:ascii="Arial" w:eastAsia="Times New Roman" w:hAnsi="Arial" w:cs="Arial"/>
          <w:sz w:val="22"/>
          <w:szCs w:val="22"/>
          <w:shd w:val="clear" w:color="auto" w:fill="FFFFFF"/>
        </w:rPr>
        <w:t>Minshall</w:t>
      </w:r>
      <w:proofErr w:type="spellEnd"/>
      <w:r w:rsidRPr="00A25982">
        <w:rPr>
          <w:rFonts w:ascii="Arial" w:eastAsia="Times New Roman" w:hAnsi="Arial" w:cs="Arial"/>
          <w:sz w:val="22"/>
          <w:szCs w:val="22"/>
          <w:shd w:val="clear" w:color="auto" w:fill="FFFFFF"/>
        </w:rPr>
        <w:t xml:space="preserve"> T. (2018), Dynamic capabilities and economic crises: has openness enhanced a firm's performance in an economic downturn? </w:t>
      </w:r>
      <w:r w:rsidRPr="00A25982">
        <w:rPr>
          <w:rFonts w:ascii="Arial" w:eastAsia="Times New Roman" w:hAnsi="Arial" w:cs="Arial"/>
          <w:i/>
          <w:iCs/>
          <w:sz w:val="22"/>
          <w:szCs w:val="22"/>
          <w:bdr w:val="none" w:sz="0" w:space="0" w:color="auto" w:frame="1"/>
        </w:rPr>
        <w:t>Industrial and Corporate Change</w:t>
      </w:r>
      <w:r w:rsidRPr="00A25982">
        <w:rPr>
          <w:rFonts w:ascii="Arial" w:eastAsia="Times New Roman" w:hAnsi="Arial" w:cs="Arial"/>
          <w:sz w:val="22"/>
          <w:szCs w:val="22"/>
          <w:shd w:val="clear" w:color="auto" w:fill="FFFFFF"/>
        </w:rPr>
        <w:t>, 27(1), 49–63.</w:t>
      </w:r>
    </w:p>
    <w:p w14:paraId="69F1F991" w14:textId="77777777" w:rsidR="00F318A7" w:rsidRPr="00A25982" w:rsidRDefault="00F318A7" w:rsidP="00A25982">
      <w:pPr>
        <w:ind w:left="284" w:hanging="284"/>
        <w:jc w:val="both"/>
        <w:rPr>
          <w:rFonts w:ascii="Arial" w:hAnsi="Arial" w:cs="Arial"/>
          <w:sz w:val="22"/>
          <w:szCs w:val="22"/>
          <w:lang w:eastAsia="en-GB"/>
        </w:rPr>
      </w:pPr>
      <w:r w:rsidRPr="00A25982">
        <w:rPr>
          <w:rFonts w:ascii="Arial" w:hAnsi="Arial" w:cs="Arial"/>
          <w:sz w:val="22"/>
          <w:szCs w:val="22"/>
          <w:lang w:val="it-IT" w:eastAsia="en-GB"/>
        </w:rPr>
        <w:t xml:space="preserve">Ali, A., Mahfouz, A., &amp; Arisha, A., (2017). </w:t>
      </w:r>
      <w:r w:rsidRPr="00A25982">
        <w:rPr>
          <w:rFonts w:ascii="Arial" w:hAnsi="Arial" w:cs="Arial"/>
          <w:sz w:val="22"/>
          <w:szCs w:val="22"/>
          <w:lang w:eastAsia="en-GB"/>
        </w:rPr>
        <w:t xml:space="preserve">Analysing supply chain resilience: Integrating the constructs in a concept mapping framework via a systematic literature review. </w:t>
      </w:r>
      <w:r w:rsidRPr="00A25982">
        <w:rPr>
          <w:rFonts w:ascii="Arial" w:hAnsi="Arial" w:cs="Arial"/>
          <w:i/>
          <w:iCs/>
          <w:sz w:val="22"/>
          <w:szCs w:val="22"/>
          <w:lang w:eastAsia="en-GB"/>
        </w:rPr>
        <w:t>Supply Chain Management: An International Journal</w:t>
      </w:r>
      <w:r w:rsidRPr="00A25982">
        <w:rPr>
          <w:rFonts w:ascii="Arial" w:hAnsi="Arial" w:cs="Arial"/>
          <w:iCs/>
          <w:sz w:val="22"/>
          <w:szCs w:val="22"/>
          <w:lang w:eastAsia="en-GB"/>
        </w:rPr>
        <w:t>,</w:t>
      </w:r>
      <w:r w:rsidRPr="00A25982">
        <w:rPr>
          <w:rFonts w:ascii="Arial" w:hAnsi="Arial" w:cs="Arial"/>
          <w:sz w:val="22"/>
          <w:szCs w:val="22"/>
          <w:lang w:eastAsia="en-GB"/>
        </w:rPr>
        <w:t xml:space="preserve"> </w:t>
      </w:r>
      <w:r w:rsidRPr="00A25982">
        <w:rPr>
          <w:rFonts w:ascii="Arial" w:hAnsi="Arial" w:cs="Arial"/>
          <w:iCs/>
          <w:sz w:val="22"/>
          <w:szCs w:val="22"/>
          <w:lang w:eastAsia="en-GB"/>
        </w:rPr>
        <w:t>22</w:t>
      </w:r>
      <w:r w:rsidRPr="00A25982">
        <w:rPr>
          <w:rFonts w:ascii="Arial" w:hAnsi="Arial" w:cs="Arial"/>
          <w:sz w:val="22"/>
          <w:szCs w:val="22"/>
          <w:lang w:eastAsia="en-GB"/>
        </w:rPr>
        <w:t>(1), 16-39.</w:t>
      </w:r>
    </w:p>
    <w:p w14:paraId="030031AE"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Allouche</w:t>
      </w:r>
      <w:proofErr w:type="spellEnd"/>
      <w:r w:rsidRPr="00A25982">
        <w:rPr>
          <w:rFonts w:ascii="Arial" w:hAnsi="Arial" w:cs="Arial"/>
          <w:sz w:val="22"/>
          <w:szCs w:val="22"/>
        </w:rPr>
        <w:t xml:space="preserve">, J. (2011). The sustainability and resilience of global water and food systems: Political analysis of the interplay between security, resource scarcity, political systems and global trade. </w:t>
      </w:r>
      <w:r w:rsidRPr="00A25982">
        <w:rPr>
          <w:rFonts w:ascii="Arial" w:hAnsi="Arial" w:cs="Arial"/>
          <w:i/>
          <w:iCs/>
          <w:sz w:val="22"/>
          <w:szCs w:val="22"/>
        </w:rPr>
        <w:t>Food Policy</w:t>
      </w:r>
      <w:r w:rsidRPr="00A25982">
        <w:rPr>
          <w:rFonts w:ascii="Arial" w:hAnsi="Arial" w:cs="Arial"/>
          <w:sz w:val="22"/>
          <w:szCs w:val="22"/>
        </w:rPr>
        <w:t xml:space="preserve">, </w:t>
      </w:r>
      <w:r w:rsidRPr="00A25982">
        <w:rPr>
          <w:rFonts w:ascii="Arial" w:hAnsi="Arial" w:cs="Arial"/>
          <w:iCs/>
          <w:sz w:val="22"/>
          <w:szCs w:val="22"/>
        </w:rPr>
        <w:t>36</w:t>
      </w:r>
      <w:r w:rsidRPr="00A25982">
        <w:rPr>
          <w:rFonts w:ascii="Arial" w:hAnsi="Arial" w:cs="Arial"/>
          <w:sz w:val="22"/>
          <w:szCs w:val="22"/>
        </w:rPr>
        <w:t>, S3-S8.</w:t>
      </w:r>
    </w:p>
    <w:p w14:paraId="397E994F"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Ambulkar</w:t>
      </w:r>
      <w:proofErr w:type="spellEnd"/>
      <w:r w:rsidRPr="00A25982">
        <w:rPr>
          <w:rFonts w:ascii="Arial" w:hAnsi="Arial" w:cs="Arial"/>
          <w:sz w:val="22"/>
          <w:szCs w:val="22"/>
        </w:rPr>
        <w:t xml:space="preserve">, S., Blackhurst, J., &amp; </w:t>
      </w:r>
      <w:proofErr w:type="spellStart"/>
      <w:r w:rsidRPr="00A25982">
        <w:rPr>
          <w:rFonts w:ascii="Arial" w:hAnsi="Arial" w:cs="Arial"/>
          <w:sz w:val="22"/>
          <w:szCs w:val="22"/>
        </w:rPr>
        <w:t>Grawe</w:t>
      </w:r>
      <w:proofErr w:type="spellEnd"/>
      <w:r w:rsidRPr="00A25982">
        <w:rPr>
          <w:rFonts w:ascii="Arial" w:hAnsi="Arial" w:cs="Arial"/>
          <w:sz w:val="22"/>
          <w:szCs w:val="22"/>
        </w:rPr>
        <w:t xml:space="preserve">, S., (2015). Firm's resilience to supply chain disruptions: Scale development and empirical examination. </w:t>
      </w:r>
      <w:r w:rsidRPr="00A25982">
        <w:rPr>
          <w:rFonts w:ascii="Arial" w:hAnsi="Arial" w:cs="Arial"/>
          <w:i/>
          <w:sz w:val="22"/>
          <w:szCs w:val="22"/>
        </w:rPr>
        <w:t>Journal of Operations Management,</w:t>
      </w:r>
      <w:r w:rsidRPr="00A25982">
        <w:rPr>
          <w:rFonts w:ascii="Arial" w:hAnsi="Arial" w:cs="Arial"/>
          <w:sz w:val="22"/>
          <w:szCs w:val="22"/>
        </w:rPr>
        <w:t xml:space="preserve"> 33-34, 111-122.</w:t>
      </w:r>
    </w:p>
    <w:p w14:paraId="48CC2EE9" w14:textId="77777777" w:rsidR="00F318A7" w:rsidRPr="00A25982" w:rsidRDefault="00F318A7" w:rsidP="00A25982">
      <w:pPr>
        <w:pStyle w:val="NormalWeb"/>
        <w:spacing w:before="0" w:beforeAutospacing="0" w:after="0" w:afterAutospacing="0"/>
        <w:ind w:left="284" w:hanging="284"/>
        <w:jc w:val="both"/>
        <w:rPr>
          <w:rFonts w:ascii="Arial" w:hAnsi="Arial" w:cs="Arial"/>
          <w:sz w:val="22"/>
          <w:szCs w:val="22"/>
        </w:rPr>
      </w:pPr>
      <w:proofErr w:type="spellStart"/>
      <w:r w:rsidRPr="00A25982">
        <w:rPr>
          <w:rFonts w:ascii="Arial" w:hAnsi="Arial" w:cs="Arial"/>
          <w:sz w:val="22"/>
          <w:szCs w:val="22"/>
        </w:rPr>
        <w:t>Augère-Granier</w:t>
      </w:r>
      <w:proofErr w:type="spellEnd"/>
      <w:r w:rsidRPr="00A25982">
        <w:rPr>
          <w:rFonts w:ascii="Arial" w:hAnsi="Arial" w:cs="Arial"/>
          <w:sz w:val="22"/>
          <w:szCs w:val="22"/>
        </w:rPr>
        <w:t xml:space="preserve">, M-L., (2016). Short food supply chains and local food systems in the EU, </w:t>
      </w:r>
      <w:r w:rsidRPr="00A25982">
        <w:rPr>
          <w:rFonts w:ascii="Arial" w:hAnsi="Arial" w:cs="Arial"/>
          <w:i/>
          <w:sz w:val="22"/>
          <w:szCs w:val="22"/>
        </w:rPr>
        <w:t>Briefing paper for European Parliamentary Research Service,</w:t>
      </w:r>
      <w:r w:rsidRPr="00A25982">
        <w:rPr>
          <w:rFonts w:ascii="Arial" w:hAnsi="Arial" w:cs="Arial"/>
          <w:sz w:val="22"/>
          <w:szCs w:val="22"/>
        </w:rPr>
        <w:t xml:space="preserve"> Sept 2016.</w:t>
      </w:r>
    </w:p>
    <w:p w14:paraId="5C308EDD"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lang w:val="de-DE"/>
        </w:rPr>
        <w:t xml:space="preserve">Barthel, S., Parker, J., &amp; Ernstson, H. (2015). </w:t>
      </w:r>
      <w:r w:rsidRPr="00A25982">
        <w:rPr>
          <w:rFonts w:ascii="Arial" w:hAnsi="Arial" w:cs="Arial"/>
          <w:sz w:val="22"/>
          <w:szCs w:val="22"/>
        </w:rPr>
        <w:t xml:space="preserve">Food and green space in cities: A resilience lens on gardens and urban environmental movements. </w:t>
      </w:r>
      <w:r w:rsidRPr="00A25982">
        <w:rPr>
          <w:rFonts w:ascii="Arial" w:hAnsi="Arial" w:cs="Arial"/>
          <w:i/>
          <w:iCs/>
          <w:sz w:val="22"/>
          <w:szCs w:val="22"/>
        </w:rPr>
        <w:t>Urban studies</w:t>
      </w:r>
      <w:r w:rsidRPr="00A25982">
        <w:rPr>
          <w:rFonts w:ascii="Arial" w:hAnsi="Arial" w:cs="Arial"/>
          <w:sz w:val="22"/>
          <w:szCs w:val="22"/>
        </w:rPr>
        <w:t xml:space="preserve">, </w:t>
      </w:r>
      <w:r w:rsidRPr="00A25982">
        <w:rPr>
          <w:rFonts w:ascii="Arial" w:hAnsi="Arial" w:cs="Arial"/>
          <w:iCs/>
          <w:sz w:val="22"/>
          <w:szCs w:val="22"/>
        </w:rPr>
        <w:t>52</w:t>
      </w:r>
      <w:r w:rsidRPr="00A25982">
        <w:rPr>
          <w:rFonts w:ascii="Arial" w:hAnsi="Arial" w:cs="Arial"/>
          <w:sz w:val="22"/>
          <w:szCs w:val="22"/>
        </w:rPr>
        <w:t>(7), 1321-1338.</w:t>
      </w:r>
    </w:p>
    <w:p w14:paraId="4DE5958B"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Barreto, I. (2010). Dynamic Capabilities: A review of past research and an agenda for the future. </w:t>
      </w:r>
      <w:r w:rsidRPr="00A25982">
        <w:rPr>
          <w:rFonts w:ascii="Arial" w:hAnsi="Arial" w:cs="Arial"/>
          <w:i/>
          <w:sz w:val="22"/>
          <w:szCs w:val="22"/>
        </w:rPr>
        <w:t xml:space="preserve">Journal of Management, </w:t>
      </w:r>
      <w:r w:rsidRPr="00A25982">
        <w:rPr>
          <w:rFonts w:ascii="Arial" w:hAnsi="Arial" w:cs="Arial"/>
          <w:sz w:val="22"/>
          <w:szCs w:val="22"/>
        </w:rPr>
        <w:t>36(1), 256-280.</w:t>
      </w:r>
    </w:p>
    <w:p w14:paraId="7BA6C67E" w14:textId="0E3AE0DB"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Benton, T., Crawford J., Doherty, B., </w:t>
      </w:r>
      <w:proofErr w:type="spellStart"/>
      <w:r w:rsidRPr="00A25982">
        <w:rPr>
          <w:rFonts w:ascii="Arial" w:hAnsi="Arial" w:cs="Arial"/>
          <w:sz w:val="22"/>
          <w:szCs w:val="22"/>
        </w:rPr>
        <w:t>Fastoso</w:t>
      </w:r>
      <w:proofErr w:type="spellEnd"/>
      <w:r w:rsidRPr="00A25982">
        <w:rPr>
          <w:rFonts w:ascii="Arial" w:hAnsi="Arial" w:cs="Arial"/>
          <w:sz w:val="22"/>
          <w:szCs w:val="22"/>
        </w:rPr>
        <w:t xml:space="preserve">, F., Gonzalez Jimenez, H., Ingram, J., Lang, T., Smith, P. &amp; Tiffin, R. (2017). British food: What role should UK producers have in feeding the UK? </w:t>
      </w:r>
      <w:r w:rsidRPr="000D4B05">
        <w:rPr>
          <w:rFonts w:ascii="Arial" w:hAnsi="Arial" w:cs="Arial"/>
          <w:sz w:val="22"/>
          <w:szCs w:val="22"/>
        </w:rPr>
        <w:t>http://www.morrisons-corporate.com/Global/local-foodmakers/BritishFood ReportFeb2017.pdf</w:t>
      </w:r>
    </w:p>
    <w:p w14:paraId="4819B72D"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Blackhurst, J., Dunn, S., &amp; </w:t>
      </w:r>
      <w:proofErr w:type="spellStart"/>
      <w:r w:rsidRPr="00A25982">
        <w:rPr>
          <w:rFonts w:ascii="Arial" w:hAnsi="Arial" w:cs="Arial"/>
          <w:sz w:val="22"/>
          <w:szCs w:val="22"/>
        </w:rPr>
        <w:t>Craighead</w:t>
      </w:r>
      <w:proofErr w:type="spellEnd"/>
      <w:r w:rsidRPr="00A25982">
        <w:rPr>
          <w:rFonts w:ascii="Arial" w:hAnsi="Arial" w:cs="Arial"/>
          <w:sz w:val="22"/>
          <w:szCs w:val="22"/>
        </w:rPr>
        <w:t xml:space="preserve">, W., (2011). An empirically derived framework of global supply resiliency. </w:t>
      </w:r>
      <w:r w:rsidRPr="00A25982">
        <w:rPr>
          <w:rFonts w:ascii="Arial" w:hAnsi="Arial" w:cs="Arial"/>
          <w:i/>
          <w:sz w:val="22"/>
          <w:szCs w:val="22"/>
        </w:rPr>
        <w:t>Journal of Business Logistics,</w:t>
      </w:r>
      <w:r w:rsidRPr="00A25982">
        <w:rPr>
          <w:rFonts w:ascii="Arial" w:hAnsi="Arial" w:cs="Arial"/>
          <w:sz w:val="22"/>
          <w:szCs w:val="22"/>
        </w:rPr>
        <w:t xml:space="preserve"> 32(4), 374–391.</w:t>
      </w:r>
    </w:p>
    <w:p w14:paraId="1D95064D"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Boone, C., </w:t>
      </w:r>
      <w:proofErr w:type="spellStart"/>
      <w:r w:rsidRPr="00A25982">
        <w:rPr>
          <w:rFonts w:ascii="Arial" w:hAnsi="Arial" w:cs="Arial"/>
          <w:sz w:val="22"/>
          <w:szCs w:val="22"/>
        </w:rPr>
        <w:t>Craighead</w:t>
      </w:r>
      <w:proofErr w:type="spellEnd"/>
      <w:r w:rsidRPr="00A25982">
        <w:rPr>
          <w:rFonts w:ascii="Arial" w:hAnsi="Arial" w:cs="Arial"/>
          <w:sz w:val="22"/>
          <w:szCs w:val="22"/>
        </w:rPr>
        <w:t xml:space="preserve">, C., Hanna, B., &amp; Nair, A. (2013). Implementation of a System Approach for Enhanced Supply Chain Continuity and Resiliency: A Longitudinal Study. </w:t>
      </w:r>
      <w:r w:rsidRPr="00A25982">
        <w:rPr>
          <w:rFonts w:ascii="Arial" w:hAnsi="Arial" w:cs="Arial"/>
          <w:i/>
          <w:sz w:val="22"/>
          <w:szCs w:val="22"/>
        </w:rPr>
        <w:t>Journal of Business Logistics,</w:t>
      </w:r>
      <w:r w:rsidRPr="00A25982">
        <w:rPr>
          <w:rFonts w:ascii="Arial" w:hAnsi="Arial" w:cs="Arial"/>
          <w:sz w:val="22"/>
          <w:szCs w:val="22"/>
        </w:rPr>
        <w:t xml:space="preserve"> 34(3), 222–235.</w:t>
      </w:r>
    </w:p>
    <w:p w14:paraId="791F805A"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lastRenderedPageBreak/>
        <w:t xml:space="preserve">Brandon-Jones, E., Squire, B., Autry, C., &amp; Petersen, K., (2014). A contingent Resource-Based perspective of supply chain resilience and robustness. </w:t>
      </w:r>
      <w:r w:rsidRPr="00A25982">
        <w:rPr>
          <w:rFonts w:ascii="Arial" w:hAnsi="Arial" w:cs="Arial"/>
          <w:i/>
          <w:sz w:val="22"/>
          <w:szCs w:val="22"/>
        </w:rPr>
        <w:t>Journal of Supply Chain Management,</w:t>
      </w:r>
      <w:r w:rsidRPr="00A25982">
        <w:rPr>
          <w:rFonts w:ascii="Arial" w:hAnsi="Arial" w:cs="Arial"/>
          <w:sz w:val="22"/>
          <w:szCs w:val="22"/>
        </w:rPr>
        <w:t xml:space="preserve"> 50(3), 55-73.</w:t>
      </w:r>
    </w:p>
    <w:p w14:paraId="488BE85E" w14:textId="77777777" w:rsidR="00F318A7" w:rsidRPr="00A25982" w:rsidRDefault="00F318A7" w:rsidP="00A25982">
      <w:pPr>
        <w:ind w:left="284" w:hanging="284"/>
        <w:jc w:val="both"/>
        <w:rPr>
          <w:rFonts w:ascii="Arial" w:hAnsi="Arial" w:cs="Arial"/>
          <w:bCs/>
          <w:spacing w:val="3"/>
          <w:sz w:val="22"/>
          <w:szCs w:val="22"/>
        </w:rPr>
      </w:pPr>
      <w:proofErr w:type="spellStart"/>
      <w:r w:rsidRPr="00A25982">
        <w:rPr>
          <w:rFonts w:ascii="Arial" w:hAnsi="Arial" w:cs="Arial"/>
          <w:bCs/>
          <w:spacing w:val="3"/>
          <w:sz w:val="22"/>
          <w:szCs w:val="22"/>
        </w:rPr>
        <w:t>Brunori</w:t>
      </w:r>
      <w:proofErr w:type="spellEnd"/>
      <w:r w:rsidRPr="00A25982">
        <w:rPr>
          <w:rFonts w:ascii="Arial" w:hAnsi="Arial" w:cs="Arial"/>
          <w:bCs/>
          <w:spacing w:val="3"/>
          <w:sz w:val="22"/>
          <w:szCs w:val="22"/>
        </w:rPr>
        <w:t xml:space="preserve">, G. &amp; Galli, F. (2016). Sustainability of Local and Global Food Chains: Introduction to the Special Issue, </w:t>
      </w:r>
      <w:r w:rsidRPr="00A25982">
        <w:rPr>
          <w:rFonts w:ascii="Arial" w:hAnsi="Arial" w:cs="Arial"/>
          <w:i/>
          <w:iCs/>
          <w:spacing w:val="3"/>
          <w:sz w:val="22"/>
          <w:szCs w:val="22"/>
        </w:rPr>
        <w:t>Sustainability</w:t>
      </w:r>
      <w:r w:rsidRPr="00A25982">
        <w:rPr>
          <w:rFonts w:ascii="Arial" w:hAnsi="Arial" w:cs="Arial"/>
          <w:spacing w:val="3"/>
          <w:sz w:val="22"/>
          <w:szCs w:val="22"/>
        </w:rPr>
        <w:t>, </w:t>
      </w:r>
      <w:r w:rsidRPr="00A25982">
        <w:rPr>
          <w:rFonts w:ascii="Arial" w:hAnsi="Arial" w:cs="Arial"/>
          <w:iCs/>
          <w:spacing w:val="3"/>
          <w:sz w:val="22"/>
          <w:szCs w:val="22"/>
        </w:rPr>
        <w:t>8</w:t>
      </w:r>
      <w:r w:rsidRPr="00A25982">
        <w:rPr>
          <w:rFonts w:ascii="Arial" w:hAnsi="Arial" w:cs="Arial"/>
          <w:spacing w:val="3"/>
          <w:sz w:val="22"/>
          <w:szCs w:val="22"/>
        </w:rPr>
        <w:t>(8), 1-7.</w:t>
      </w:r>
    </w:p>
    <w:p w14:paraId="3A5E38BD" w14:textId="77777777" w:rsidR="00F318A7" w:rsidRPr="00A25982" w:rsidRDefault="00F318A7" w:rsidP="00A25982">
      <w:pPr>
        <w:ind w:left="284" w:hanging="284"/>
        <w:jc w:val="both"/>
        <w:rPr>
          <w:rFonts w:ascii="Arial" w:hAnsi="Arial" w:cs="Arial"/>
          <w:sz w:val="22"/>
          <w:szCs w:val="22"/>
        </w:rPr>
      </w:pPr>
      <w:r w:rsidRPr="00A25982">
        <w:rPr>
          <w:rStyle w:val="hlfld-contribauthor"/>
          <w:rFonts w:ascii="Arial" w:hAnsi="Arial" w:cs="Arial"/>
          <w:sz w:val="22"/>
          <w:szCs w:val="22"/>
        </w:rPr>
        <w:t>Carpenter,</w:t>
      </w:r>
      <w:r w:rsidRPr="00A25982">
        <w:rPr>
          <w:rStyle w:val="apple-converted-space"/>
          <w:rFonts w:ascii="Arial" w:hAnsi="Arial" w:cs="Arial"/>
          <w:sz w:val="22"/>
          <w:szCs w:val="22"/>
        </w:rPr>
        <w:t> </w:t>
      </w:r>
      <w:r w:rsidRPr="00A25982">
        <w:rPr>
          <w:rStyle w:val="nlmgiven-names"/>
          <w:rFonts w:ascii="Arial" w:hAnsi="Arial" w:cs="Arial"/>
          <w:sz w:val="22"/>
          <w:szCs w:val="22"/>
        </w:rPr>
        <w:t>S.R.</w:t>
      </w:r>
      <w:r w:rsidRPr="00A25982">
        <w:rPr>
          <w:rFonts w:ascii="Arial" w:hAnsi="Arial" w:cs="Arial"/>
          <w:sz w:val="22"/>
          <w:szCs w:val="22"/>
        </w:rPr>
        <w:t>,</w:t>
      </w:r>
      <w:r w:rsidRPr="00A25982">
        <w:rPr>
          <w:rStyle w:val="apple-converted-space"/>
          <w:rFonts w:ascii="Arial" w:hAnsi="Arial" w:cs="Arial"/>
          <w:sz w:val="22"/>
          <w:szCs w:val="22"/>
        </w:rPr>
        <w:t> </w:t>
      </w:r>
      <w:r w:rsidRPr="00A25982">
        <w:rPr>
          <w:rStyle w:val="hlfld-contribauthor"/>
          <w:rFonts w:ascii="Arial" w:hAnsi="Arial" w:cs="Arial"/>
          <w:sz w:val="22"/>
          <w:szCs w:val="22"/>
        </w:rPr>
        <w:t>Westley,</w:t>
      </w:r>
      <w:r w:rsidRPr="00A25982">
        <w:rPr>
          <w:rStyle w:val="apple-converted-space"/>
          <w:rFonts w:ascii="Arial" w:hAnsi="Arial" w:cs="Arial"/>
          <w:sz w:val="22"/>
          <w:szCs w:val="22"/>
        </w:rPr>
        <w:t> </w:t>
      </w:r>
      <w:r w:rsidRPr="00A25982">
        <w:rPr>
          <w:rStyle w:val="nlmgiven-names"/>
          <w:rFonts w:ascii="Arial" w:hAnsi="Arial" w:cs="Arial"/>
          <w:sz w:val="22"/>
          <w:szCs w:val="22"/>
        </w:rPr>
        <w:t>F.</w:t>
      </w:r>
      <w:r w:rsidRPr="00A25982">
        <w:rPr>
          <w:rStyle w:val="apple-converted-space"/>
          <w:rFonts w:ascii="Arial" w:hAnsi="Arial" w:cs="Arial"/>
          <w:sz w:val="22"/>
          <w:szCs w:val="22"/>
        </w:rPr>
        <w:t> </w:t>
      </w:r>
      <w:r w:rsidRPr="00A25982">
        <w:rPr>
          <w:rFonts w:ascii="Arial" w:hAnsi="Arial" w:cs="Arial"/>
          <w:sz w:val="22"/>
          <w:szCs w:val="22"/>
        </w:rPr>
        <w:t>&amp;</w:t>
      </w:r>
      <w:r w:rsidRPr="00A25982">
        <w:rPr>
          <w:rStyle w:val="apple-converted-space"/>
          <w:rFonts w:ascii="Arial" w:hAnsi="Arial" w:cs="Arial"/>
          <w:sz w:val="22"/>
          <w:szCs w:val="22"/>
        </w:rPr>
        <w:t> </w:t>
      </w:r>
      <w:r w:rsidRPr="00A25982">
        <w:rPr>
          <w:rStyle w:val="hlfld-contribauthor"/>
          <w:rFonts w:ascii="Arial" w:hAnsi="Arial" w:cs="Arial"/>
          <w:sz w:val="22"/>
          <w:szCs w:val="22"/>
        </w:rPr>
        <w:t>Turner,</w:t>
      </w:r>
      <w:r w:rsidRPr="00A25982">
        <w:rPr>
          <w:rStyle w:val="apple-converted-space"/>
          <w:rFonts w:ascii="Arial" w:hAnsi="Arial" w:cs="Arial"/>
          <w:sz w:val="22"/>
          <w:szCs w:val="22"/>
        </w:rPr>
        <w:t> </w:t>
      </w:r>
      <w:r w:rsidRPr="00A25982">
        <w:rPr>
          <w:rStyle w:val="nlmgiven-names"/>
          <w:rFonts w:ascii="Arial" w:hAnsi="Arial" w:cs="Arial"/>
          <w:sz w:val="22"/>
          <w:szCs w:val="22"/>
        </w:rPr>
        <w:t>G.</w:t>
      </w:r>
      <w:r w:rsidRPr="00A25982">
        <w:rPr>
          <w:rStyle w:val="apple-converted-space"/>
          <w:rFonts w:ascii="Arial" w:hAnsi="Arial" w:cs="Arial"/>
          <w:sz w:val="22"/>
          <w:szCs w:val="22"/>
        </w:rPr>
        <w:t> (</w:t>
      </w:r>
      <w:r w:rsidRPr="00A25982">
        <w:rPr>
          <w:rStyle w:val="nlmyear"/>
          <w:rFonts w:ascii="Arial" w:hAnsi="Arial" w:cs="Arial"/>
          <w:sz w:val="22"/>
          <w:szCs w:val="22"/>
        </w:rPr>
        <w:t>2005)</w:t>
      </w:r>
      <w:r w:rsidRPr="00A25982">
        <w:rPr>
          <w:rFonts w:ascii="Arial" w:hAnsi="Arial" w:cs="Arial"/>
          <w:sz w:val="22"/>
          <w:szCs w:val="22"/>
        </w:rPr>
        <w:t>.</w:t>
      </w:r>
      <w:r w:rsidRPr="00A25982">
        <w:rPr>
          <w:rStyle w:val="apple-converted-space"/>
          <w:rFonts w:ascii="Arial" w:hAnsi="Arial" w:cs="Arial"/>
          <w:sz w:val="22"/>
          <w:szCs w:val="22"/>
        </w:rPr>
        <w:t> </w:t>
      </w:r>
      <w:r w:rsidRPr="00A25982">
        <w:rPr>
          <w:rStyle w:val="nlmarticle-title"/>
          <w:rFonts w:ascii="Arial" w:hAnsi="Arial" w:cs="Arial"/>
          <w:sz w:val="22"/>
          <w:szCs w:val="22"/>
        </w:rPr>
        <w:t>Surrogates for resilience of social–ecological systems</w:t>
      </w:r>
      <w:r w:rsidRPr="00A25982">
        <w:rPr>
          <w:rFonts w:ascii="Arial" w:hAnsi="Arial" w:cs="Arial"/>
          <w:sz w:val="22"/>
          <w:szCs w:val="22"/>
        </w:rPr>
        <w:t>.</w:t>
      </w:r>
      <w:r w:rsidRPr="00A25982">
        <w:rPr>
          <w:rStyle w:val="apple-converted-space"/>
          <w:rFonts w:ascii="Arial" w:hAnsi="Arial" w:cs="Arial"/>
          <w:sz w:val="22"/>
          <w:szCs w:val="22"/>
        </w:rPr>
        <w:t> </w:t>
      </w:r>
      <w:r w:rsidRPr="00A25982">
        <w:rPr>
          <w:rFonts w:ascii="Arial" w:hAnsi="Arial" w:cs="Arial"/>
          <w:i/>
          <w:iCs/>
          <w:sz w:val="22"/>
          <w:szCs w:val="22"/>
        </w:rPr>
        <w:t>Ecosystems</w:t>
      </w:r>
      <w:r w:rsidRPr="00A25982">
        <w:rPr>
          <w:rFonts w:ascii="Arial" w:hAnsi="Arial" w:cs="Arial"/>
          <w:sz w:val="22"/>
          <w:szCs w:val="22"/>
        </w:rPr>
        <w:t>, 8(8),</w:t>
      </w:r>
      <w:r w:rsidRPr="00A25982">
        <w:rPr>
          <w:rStyle w:val="apple-converted-space"/>
          <w:rFonts w:ascii="Arial" w:hAnsi="Arial" w:cs="Arial"/>
          <w:sz w:val="22"/>
          <w:szCs w:val="22"/>
        </w:rPr>
        <w:t> </w:t>
      </w:r>
      <w:r w:rsidRPr="00A25982">
        <w:rPr>
          <w:rStyle w:val="nlmfpage"/>
          <w:rFonts w:ascii="Arial" w:hAnsi="Arial" w:cs="Arial"/>
          <w:sz w:val="22"/>
          <w:szCs w:val="22"/>
        </w:rPr>
        <w:t>941</w:t>
      </w:r>
      <w:r w:rsidRPr="00A25982">
        <w:rPr>
          <w:rFonts w:ascii="Arial" w:hAnsi="Arial" w:cs="Arial"/>
          <w:sz w:val="22"/>
          <w:szCs w:val="22"/>
        </w:rPr>
        <w:t>–</w:t>
      </w:r>
      <w:r w:rsidRPr="00A25982">
        <w:rPr>
          <w:rStyle w:val="nlmlpage"/>
          <w:rFonts w:ascii="Arial" w:hAnsi="Arial" w:cs="Arial"/>
          <w:sz w:val="22"/>
          <w:szCs w:val="22"/>
        </w:rPr>
        <w:t>944.</w:t>
      </w:r>
    </w:p>
    <w:p w14:paraId="4BB3754A"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Carvalho, H., </w:t>
      </w:r>
      <w:proofErr w:type="spellStart"/>
      <w:r w:rsidRPr="00A25982">
        <w:rPr>
          <w:rFonts w:ascii="Arial" w:hAnsi="Arial" w:cs="Arial"/>
          <w:sz w:val="22"/>
          <w:szCs w:val="22"/>
        </w:rPr>
        <w:t>Maleki</w:t>
      </w:r>
      <w:proofErr w:type="spellEnd"/>
      <w:r w:rsidRPr="00A25982">
        <w:rPr>
          <w:rFonts w:ascii="Arial" w:hAnsi="Arial" w:cs="Arial"/>
          <w:sz w:val="22"/>
          <w:szCs w:val="22"/>
        </w:rPr>
        <w:t xml:space="preserve">, M., &amp; Cruz-Machado, V. (2012). The links between supply chain disturbances and resilience strategies. </w:t>
      </w:r>
      <w:r w:rsidRPr="00A25982">
        <w:rPr>
          <w:rFonts w:ascii="Arial" w:hAnsi="Arial" w:cs="Arial"/>
          <w:i/>
          <w:sz w:val="22"/>
          <w:szCs w:val="22"/>
        </w:rPr>
        <w:t>International Journal of Agile Systems and Management,</w:t>
      </w:r>
      <w:r w:rsidRPr="00A25982">
        <w:rPr>
          <w:rFonts w:ascii="Arial" w:hAnsi="Arial" w:cs="Arial"/>
          <w:sz w:val="22"/>
          <w:szCs w:val="22"/>
        </w:rPr>
        <w:t xml:space="preserve"> 5(3), 203-234.</w:t>
      </w:r>
    </w:p>
    <w:p w14:paraId="3EA76E6D" w14:textId="77777777" w:rsidR="00F318A7" w:rsidRPr="00A25982" w:rsidRDefault="00F318A7" w:rsidP="00A25982">
      <w:pPr>
        <w:ind w:left="284" w:hanging="284"/>
        <w:jc w:val="both"/>
        <w:rPr>
          <w:rFonts w:ascii="Arial" w:hAnsi="Arial" w:cs="Arial"/>
          <w:noProof/>
          <w:sz w:val="22"/>
          <w:szCs w:val="22"/>
        </w:rPr>
      </w:pPr>
      <w:r w:rsidRPr="00A25982">
        <w:rPr>
          <w:rFonts w:ascii="Arial" w:hAnsi="Arial" w:cs="Arial"/>
          <w:noProof/>
          <w:sz w:val="22"/>
          <w:szCs w:val="22"/>
        </w:rPr>
        <w:t xml:space="preserve">Czinkota, M., Kaufmann, H.R. &amp; Basile, G., (2014). The relationship between legitimacy, reputation, sustainability and branding for companies and their supply chains. </w:t>
      </w:r>
      <w:r w:rsidRPr="00A25982">
        <w:rPr>
          <w:rFonts w:ascii="Arial" w:hAnsi="Arial" w:cs="Arial"/>
          <w:i/>
          <w:noProof/>
          <w:sz w:val="22"/>
          <w:szCs w:val="22"/>
        </w:rPr>
        <w:t>Industrial Marketing Management,</w:t>
      </w:r>
      <w:r w:rsidRPr="00A25982">
        <w:rPr>
          <w:rFonts w:ascii="Arial" w:hAnsi="Arial" w:cs="Arial"/>
          <w:noProof/>
          <w:sz w:val="22"/>
          <w:szCs w:val="22"/>
        </w:rPr>
        <w:t xml:space="preserve"> 43, 91-101.</w:t>
      </w:r>
    </w:p>
    <w:p w14:paraId="38441D92" w14:textId="77777777" w:rsidR="00F318A7" w:rsidRPr="00A25982" w:rsidRDefault="00F318A7" w:rsidP="00A25982">
      <w:pPr>
        <w:ind w:left="284" w:hanging="284"/>
        <w:jc w:val="both"/>
        <w:rPr>
          <w:rFonts w:ascii="Arial" w:hAnsi="Arial" w:cs="Arial"/>
          <w:sz w:val="22"/>
          <w:szCs w:val="22"/>
          <w:lang w:eastAsia="en-GB"/>
        </w:rPr>
      </w:pPr>
      <w:proofErr w:type="spellStart"/>
      <w:r w:rsidRPr="00A25982">
        <w:rPr>
          <w:rFonts w:ascii="Arial" w:hAnsi="Arial" w:cs="Arial"/>
          <w:sz w:val="22"/>
          <w:szCs w:val="22"/>
          <w:lang w:eastAsia="en-GB"/>
        </w:rPr>
        <w:t>Dabhilkar</w:t>
      </w:r>
      <w:proofErr w:type="spellEnd"/>
      <w:r w:rsidRPr="00A25982">
        <w:rPr>
          <w:rFonts w:ascii="Arial" w:hAnsi="Arial" w:cs="Arial"/>
          <w:sz w:val="22"/>
          <w:szCs w:val="22"/>
          <w:lang w:eastAsia="en-GB"/>
        </w:rPr>
        <w:t xml:space="preserve">, M., </w:t>
      </w:r>
      <w:proofErr w:type="spellStart"/>
      <w:r w:rsidRPr="00A25982">
        <w:rPr>
          <w:rFonts w:ascii="Arial" w:hAnsi="Arial" w:cs="Arial"/>
          <w:sz w:val="22"/>
          <w:szCs w:val="22"/>
          <w:lang w:eastAsia="en-GB"/>
        </w:rPr>
        <w:t>Birkie</w:t>
      </w:r>
      <w:proofErr w:type="spellEnd"/>
      <w:r w:rsidRPr="00A25982">
        <w:rPr>
          <w:rFonts w:ascii="Arial" w:hAnsi="Arial" w:cs="Arial"/>
          <w:sz w:val="22"/>
          <w:szCs w:val="22"/>
          <w:lang w:eastAsia="en-GB"/>
        </w:rPr>
        <w:t xml:space="preserve">, S.E., &amp; </w:t>
      </w:r>
      <w:proofErr w:type="spellStart"/>
      <w:r w:rsidRPr="00A25982">
        <w:rPr>
          <w:rFonts w:ascii="Arial" w:hAnsi="Arial" w:cs="Arial"/>
          <w:sz w:val="22"/>
          <w:szCs w:val="22"/>
          <w:lang w:eastAsia="en-GB"/>
        </w:rPr>
        <w:t>Kaulio</w:t>
      </w:r>
      <w:proofErr w:type="spellEnd"/>
      <w:r w:rsidRPr="00A25982">
        <w:rPr>
          <w:rFonts w:ascii="Arial" w:hAnsi="Arial" w:cs="Arial"/>
          <w:sz w:val="22"/>
          <w:szCs w:val="22"/>
          <w:lang w:eastAsia="en-GB"/>
        </w:rPr>
        <w:t xml:space="preserve">, M., (2016). Supply-side resilience as practice bundles: A critical incident study. </w:t>
      </w:r>
      <w:r w:rsidRPr="00A25982">
        <w:rPr>
          <w:rFonts w:ascii="Arial" w:hAnsi="Arial" w:cs="Arial"/>
          <w:i/>
          <w:iCs/>
          <w:sz w:val="22"/>
          <w:szCs w:val="22"/>
          <w:lang w:eastAsia="en-GB"/>
        </w:rPr>
        <w:t>International Journal of Operations &amp; Production Management</w:t>
      </w:r>
      <w:r w:rsidRPr="00A25982">
        <w:rPr>
          <w:rFonts w:ascii="Arial" w:hAnsi="Arial" w:cs="Arial"/>
          <w:iCs/>
          <w:sz w:val="22"/>
          <w:szCs w:val="22"/>
          <w:lang w:eastAsia="en-GB"/>
        </w:rPr>
        <w:t>, 36</w:t>
      </w:r>
      <w:r w:rsidRPr="00A25982">
        <w:rPr>
          <w:rFonts w:ascii="Arial" w:hAnsi="Arial" w:cs="Arial"/>
          <w:sz w:val="22"/>
          <w:szCs w:val="22"/>
          <w:lang w:eastAsia="en-GB"/>
        </w:rPr>
        <w:t>(8), 948-970.</w:t>
      </w:r>
    </w:p>
    <w:p w14:paraId="282F38F1"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Day, M., (2014). Fostering emergent resilience: the complex adaptive supply network of disaster relief. </w:t>
      </w:r>
      <w:r w:rsidRPr="00A25982">
        <w:rPr>
          <w:rFonts w:ascii="Arial" w:hAnsi="Arial" w:cs="Arial"/>
          <w:i/>
          <w:sz w:val="22"/>
          <w:szCs w:val="22"/>
        </w:rPr>
        <w:t>International Journal of Production Research,</w:t>
      </w:r>
      <w:r w:rsidRPr="00A25982">
        <w:rPr>
          <w:rFonts w:ascii="Arial" w:hAnsi="Arial" w:cs="Arial"/>
          <w:sz w:val="22"/>
          <w:szCs w:val="22"/>
        </w:rPr>
        <w:t xml:space="preserve"> 52(7), 1970-1988.</w:t>
      </w:r>
    </w:p>
    <w:p w14:paraId="36A8334B" w14:textId="027BDE9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Davoudi</w:t>
      </w:r>
      <w:proofErr w:type="spellEnd"/>
      <w:r w:rsidRPr="00A25982">
        <w:rPr>
          <w:rFonts w:ascii="Arial" w:hAnsi="Arial" w:cs="Arial"/>
          <w:sz w:val="22"/>
          <w:szCs w:val="22"/>
        </w:rPr>
        <w:t xml:space="preserve">, S. (2012). Resilience: A bridging concept or a dead end? </w:t>
      </w:r>
      <w:r w:rsidRPr="00A25982">
        <w:rPr>
          <w:rFonts w:ascii="Arial" w:hAnsi="Arial" w:cs="Arial"/>
          <w:i/>
          <w:sz w:val="22"/>
          <w:szCs w:val="22"/>
        </w:rPr>
        <w:t>Planning Theory &amp; Practice</w:t>
      </w:r>
      <w:r w:rsidRPr="00A25982">
        <w:rPr>
          <w:rFonts w:ascii="Arial" w:hAnsi="Arial" w:cs="Arial"/>
          <w:sz w:val="22"/>
          <w:szCs w:val="22"/>
        </w:rPr>
        <w:t>, 13(2), 299-333.</w:t>
      </w:r>
    </w:p>
    <w:p w14:paraId="6DC4917F"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lang w:val="es-ES"/>
        </w:rPr>
        <w:t xml:space="preserve">de Lima, </w:t>
      </w:r>
      <w:proofErr w:type="spellStart"/>
      <w:r w:rsidRPr="00A25982">
        <w:rPr>
          <w:rFonts w:ascii="Arial" w:hAnsi="Arial" w:cs="Arial"/>
          <w:sz w:val="22"/>
          <w:szCs w:val="22"/>
          <w:lang w:val="es-ES"/>
        </w:rPr>
        <w:t>F.R.P</w:t>
      </w:r>
      <w:proofErr w:type="spellEnd"/>
      <w:r w:rsidRPr="00A25982">
        <w:rPr>
          <w:rFonts w:ascii="Arial" w:hAnsi="Arial" w:cs="Arial"/>
          <w:sz w:val="22"/>
          <w:szCs w:val="22"/>
          <w:lang w:val="es-ES"/>
        </w:rPr>
        <w:t xml:space="preserve">., Da Silva, </w:t>
      </w:r>
      <w:proofErr w:type="spellStart"/>
      <w:r w:rsidRPr="00A25982">
        <w:rPr>
          <w:rFonts w:ascii="Arial" w:hAnsi="Arial" w:cs="Arial"/>
          <w:sz w:val="22"/>
          <w:szCs w:val="22"/>
          <w:lang w:val="es-ES"/>
        </w:rPr>
        <w:t>A.L</w:t>
      </w:r>
      <w:proofErr w:type="spellEnd"/>
      <w:r w:rsidRPr="00A25982">
        <w:rPr>
          <w:rFonts w:ascii="Arial" w:hAnsi="Arial" w:cs="Arial"/>
          <w:sz w:val="22"/>
          <w:szCs w:val="22"/>
          <w:lang w:val="es-ES"/>
        </w:rPr>
        <w:t xml:space="preserve">., </w:t>
      </w:r>
      <w:proofErr w:type="spellStart"/>
      <w:r w:rsidRPr="00A25982">
        <w:rPr>
          <w:rFonts w:ascii="Arial" w:hAnsi="Arial" w:cs="Arial"/>
          <w:sz w:val="22"/>
          <w:szCs w:val="22"/>
          <w:lang w:val="es-ES"/>
        </w:rPr>
        <w:t>Filho</w:t>
      </w:r>
      <w:proofErr w:type="spellEnd"/>
      <w:r w:rsidRPr="00A25982">
        <w:rPr>
          <w:rFonts w:ascii="Arial" w:hAnsi="Arial" w:cs="Arial"/>
          <w:sz w:val="22"/>
          <w:szCs w:val="22"/>
          <w:lang w:val="es-ES"/>
        </w:rPr>
        <w:t xml:space="preserve">, </w:t>
      </w:r>
      <w:proofErr w:type="spellStart"/>
      <w:r w:rsidRPr="00A25982">
        <w:rPr>
          <w:rFonts w:ascii="Arial" w:hAnsi="Arial" w:cs="Arial"/>
          <w:sz w:val="22"/>
          <w:szCs w:val="22"/>
          <w:lang w:val="es-ES"/>
        </w:rPr>
        <w:t>M.G</w:t>
      </w:r>
      <w:proofErr w:type="spellEnd"/>
      <w:r w:rsidRPr="00A25982">
        <w:rPr>
          <w:rFonts w:ascii="Arial" w:hAnsi="Arial" w:cs="Arial"/>
          <w:sz w:val="22"/>
          <w:szCs w:val="22"/>
          <w:lang w:val="es-ES"/>
        </w:rPr>
        <w:t xml:space="preserve">., &amp; </w:t>
      </w:r>
      <w:proofErr w:type="spellStart"/>
      <w:r w:rsidRPr="00A25982">
        <w:rPr>
          <w:rFonts w:ascii="Arial" w:hAnsi="Arial" w:cs="Arial"/>
          <w:sz w:val="22"/>
          <w:szCs w:val="22"/>
          <w:lang w:val="es-ES"/>
        </w:rPr>
        <w:t>Dias</w:t>
      </w:r>
      <w:proofErr w:type="spellEnd"/>
      <w:r w:rsidRPr="00A25982">
        <w:rPr>
          <w:rFonts w:ascii="Arial" w:hAnsi="Arial" w:cs="Arial"/>
          <w:sz w:val="22"/>
          <w:szCs w:val="22"/>
          <w:lang w:val="es-ES"/>
        </w:rPr>
        <w:t xml:space="preserve">, </w:t>
      </w:r>
      <w:proofErr w:type="spellStart"/>
      <w:r w:rsidRPr="00A25982">
        <w:rPr>
          <w:rFonts w:ascii="Arial" w:hAnsi="Arial" w:cs="Arial"/>
          <w:sz w:val="22"/>
          <w:szCs w:val="22"/>
          <w:lang w:val="es-ES"/>
        </w:rPr>
        <w:t>E.M</w:t>
      </w:r>
      <w:proofErr w:type="spellEnd"/>
      <w:r w:rsidRPr="00A25982">
        <w:rPr>
          <w:rFonts w:ascii="Arial" w:hAnsi="Arial" w:cs="Arial"/>
          <w:sz w:val="22"/>
          <w:szCs w:val="22"/>
          <w:lang w:val="es-ES"/>
        </w:rPr>
        <w:t xml:space="preserve">. (2018). </w:t>
      </w:r>
      <w:r w:rsidRPr="00A25982">
        <w:rPr>
          <w:rFonts w:ascii="Arial" w:hAnsi="Arial" w:cs="Arial"/>
          <w:sz w:val="22"/>
          <w:szCs w:val="22"/>
        </w:rPr>
        <w:t xml:space="preserve">Systematic review: resilience enablers to combat counterfeit medicines. </w:t>
      </w:r>
      <w:r w:rsidRPr="00A25982">
        <w:rPr>
          <w:rFonts w:ascii="Arial" w:hAnsi="Arial" w:cs="Arial"/>
          <w:i/>
          <w:iCs/>
          <w:sz w:val="22"/>
          <w:szCs w:val="22"/>
        </w:rPr>
        <w:t>Supply Chain Management: An International Journal</w:t>
      </w:r>
      <w:r w:rsidRPr="00A25982">
        <w:rPr>
          <w:rFonts w:ascii="Arial" w:hAnsi="Arial" w:cs="Arial"/>
          <w:sz w:val="22"/>
          <w:szCs w:val="22"/>
        </w:rPr>
        <w:t>.</w:t>
      </w:r>
    </w:p>
    <w:p w14:paraId="290E9964" w14:textId="77777777" w:rsidR="00F318A7" w:rsidRPr="00A25982" w:rsidRDefault="00F318A7" w:rsidP="00A25982">
      <w:pPr>
        <w:pStyle w:val="BodyA"/>
        <w:spacing w:after="0" w:line="240" w:lineRule="auto"/>
        <w:ind w:left="284" w:hanging="284"/>
        <w:jc w:val="both"/>
        <w:rPr>
          <w:rStyle w:val="PageNumber"/>
          <w:rFonts w:ascii="Arial" w:hAnsi="Arial" w:cs="Arial"/>
          <w:color w:val="auto"/>
        </w:rPr>
      </w:pPr>
      <w:r w:rsidRPr="00A25982">
        <w:rPr>
          <w:rStyle w:val="PageNumber"/>
          <w:rFonts w:ascii="Arial" w:hAnsi="Arial" w:cs="Arial"/>
          <w:color w:val="auto"/>
          <w:lang w:val="de-DE"/>
        </w:rPr>
        <w:t xml:space="preserve">Eisenhardt, K.M. &amp; Martin, J.A., (2000). </w:t>
      </w:r>
      <w:r w:rsidRPr="00A25982">
        <w:rPr>
          <w:rStyle w:val="PageNumber"/>
          <w:rFonts w:ascii="Arial" w:hAnsi="Arial" w:cs="Arial"/>
          <w:color w:val="auto"/>
        </w:rPr>
        <w:t xml:space="preserve">Dynamic capabilities: What are they? </w:t>
      </w:r>
      <w:r w:rsidRPr="00A25982">
        <w:rPr>
          <w:rStyle w:val="PageNumber"/>
          <w:rFonts w:ascii="Arial" w:hAnsi="Arial" w:cs="Arial"/>
          <w:i/>
          <w:color w:val="auto"/>
        </w:rPr>
        <w:t>Strategic Management Journal</w:t>
      </w:r>
      <w:r w:rsidRPr="00A25982">
        <w:rPr>
          <w:rStyle w:val="PageNumber"/>
          <w:rFonts w:ascii="Arial" w:hAnsi="Arial" w:cs="Arial"/>
          <w:color w:val="auto"/>
        </w:rPr>
        <w:t>, 21(10/11), 1105–1122.</w:t>
      </w:r>
    </w:p>
    <w:p w14:paraId="301F6CAB"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Folke</w:t>
      </w:r>
      <w:proofErr w:type="spellEnd"/>
      <w:r w:rsidRPr="00A25982">
        <w:rPr>
          <w:rFonts w:ascii="Arial" w:hAnsi="Arial" w:cs="Arial"/>
          <w:sz w:val="22"/>
          <w:szCs w:val="22"/>
        </w:rPr>
        <w:t xml:space="preserve">, C., Carpenter S., Walker, B., </w:t>
      </w:r>
      <w:proofErr w:type="spellStart"/>
      <w:r w:rsidRPr="00A25982">
        <w:rPr>
          <w:rFonts w:ascii="Arial" w:hAnsi="Arial" w:cs="Arial"/>
          <w:sz w:val="22"/>
          <w:szCs w:val="22"/>
          <w:lang w:val="en"/>
        </w:rPr>
        <w:t>Scheffer</w:t>
      </w:r>
      <w:proofErr w:type="spellEnd"/>
      <w:r w:rsidRPr="00A25982">
        <w:rPr>
          <w:rFonts w:ascii="Arial" w:hAnsi="Arial" w:cs="Arial"/>
          <w:sz w:val="22"/>
          <w:szCs w:val="22"/>
          <w:lang w:val="en"/>
        </w:rPr>
        <w:t xml:space="preserve">, M., Chapin, T. &amp; </w:t>
      </w:r>
      <w:proofErr w:type="spellStart"/>
      <w:r w:rsidRPr="00A25982">
        <w:rPr>
          <w:rFonts w:ascii="Arial" w:hAnsi="Arial" w:cs="Arial"/>
          <w:sz w:val="22"/>
          <w:szCs w:val="22"/>
          <w:lang w:val="en"/>
        </w:rPr>
        <w:t>Rockström</w:t>
      </w:r>
      <w:proofErr w:type="spellEnd"/>
      <w:r w:rsidRPr="00A25982">
        <w:rPr>
          <w:rFonts w:ascii="Arial" w:hAnsi="Arial" w:cs="Arial"/>
          <w:sz w:val="22"/>
          <w:szCs w:val="22"/>
        </w:rPr>
        <w:t>, J. (2010). Resilience Thinking: Integrating Resilience, Adaptability and Transformability. Ecology and Society, 15(4), 20-28.</w:t>
      </w:r>
    </w:p>
    <w:p w14:paraId="40989FB5" w14:textId="77777777" w:rsidR="00F318A7" w:rsidRPr="00A25982" w:rsidRDefault="00F318A7" w:rsidP="00A25982">
      <w:pPr>
        <w:pStyle w:val="BodyA"/>
        <w:spacing w:after="0" w:line="240" w:lineRule="auto"/>
        <w:ind w:left="284" w:hanging="284"/>
        <w:jc w:val="both"/>
        <w:rPr>
          <w:rStyle w:val="PageNumber"/>
          <w:rFonts w:ascii="Arial" w:hAnsi="Arial" w:cs="Arial"/>
          <w:color w:val="auto"/>
        </w:rPr>
      </w:pPr>
      <w:proofErr w:type="spellStart"/>
      <w:r w:rsidRPr="00A25982">
        <w:rPr>
          <w:rStyle w:val="PageNumber"/>
          <w:rFonts w:ascii="Arial" w:hAnsi="Arial" w:cs="Arial"/>
          <w:color w:val="auto"/>
        </w:rPr>
        <w:t>Gebauer</w:t>
      </w:r>
      <w:proofErr w:type="spellEnd"/>
      <w:r w:rsidRPr="00A25982">
        <w:rPr>
          <w:rStyle w:val="PageNumber"/>
          <w:rFonts w:ascii="Arial" w:hAnsi="Arial" w:cs="Arial"/>
          <w:color w:val="auto"/>
        </w:rPr>
        <w:t xml:space="preserve">, H., (2011). Exploring the contribution of management innovation to the evolution of dynamic capabilities. </w:t>
      </w:r>
      <w:r w:rsidRPr="00A25982">
        <w:rPr>
          <w:rStyle w:val="PageNumber"/>
          <w:rFonts w:ascii="Arial" w:hAnsi="Arial" w:cs="Arial"/>
          <w:i/>
          <w:color w:val="auto"/>
        </w:rPr>
        <w:t>Industrial Marketing Management</w:t>
      </w:r>
      <w:r w:rsidRPr="00A25982">
        <w:rPr>
          <w:rStyle w:val="PageNumber"/>
          <w:rFonts w:ascii="Arial" w:hAnsi="Arial" w:cs="Arial"/>
          <w:color w:val="auto"/>
        </w:rPr>
        <w:t>, 40(8), 1238-1250.</w:t>
      </w:r>
    </w:p>
    <w:p w14:paraId="3A33B673"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Gibbert</w:t>
      </w:r>
      <w:proofErr w:type="spellEnd"/>
      <w:r w:rsidRPr="00A25982">
        <w:rPr>
          <w:rFonts w:ascii="Arial" w:hAnsi="Arial" w:cs="Arial"/>
          <w:sz w:val="22"/>
          <w:szCs w:val="22"/>
        </w:rPr>
        <w:t xml:space="preserve">, M., </w:t>
      </w:r>
      <w:proofErr w:type="spellStart"/>
      <w:r w:rsidRPr="00A25982">
        <w:rPr>
          <w:rFonts w:ascii="Arial" w:hAnsi="Arial" w:cs="Arial"/>
          <w:sz w:val="22"/>
          <w:szCs w:val="22"/>
        </w:rPr>
        <w:t>Ruigrok</w:t>
      </w:r>
      <w:proofErr w:type="spellEnd"/>
      <w:r w:rsidRPr="00A25982">
        <w:rPr>
          <w:rFonts w:ascii="Arial" w:hAnsi="Arial" w:cs="Arial"/>
          <w:sz w:val="22"/>
          <w:szCs w:val="22"/>
        </w:rPr>
        <w:t xml:space="preserve">, W. &amp; </w:t>
      </w:r>
      <w:proofErr w:type="spellStart"/>
      <w:r w:rsidRPr="00A25982">
        <w:rPr>
          <w:rFonts w:ascii="Arial" w:hAnsi="Arial" w:cs="Arial"/>
          <w:sz w:val="22"/>
          <w:szCs w:val="22"/>
        </w:rPr>
        <w:t>Wicki</w:t>
      </w:r>
      <w:proofErr w:type="spellEnd"/>
      <w:r w:rsidRPr="00A25982">
        <w:rPr>
          <w:rFonts w:ascii="Arial" w:hAnsi="Arial" w:cs="Arial"/>
          <w:sz w:val="22"/>
          <w:szCs w:val="22"/>
        </w:rPr>
        <w:t xml:space="preserve">, B., (2008). What passes as a rigorous case study? </w:t>
      </w:r>
      <w:r w:rsidRPr="00A25982">
        <w:rPr>
          <w:rFonts w:ascii="Arial" w:hAnsi="Arial" w:cs="Arial"/>
          <w:i/>
          <w:sz w:val="22"/>
          <w:szCs w:val="22"/>
        </w:rPr>
        <w:t>Strategic Management Journal,</w:t>
      </w:r>
      <w:r w:rsidRPr="00A25982">
        <w:rPr>
          <w:rFonts w:ascii="Arial" w:hAnsi="Arial" w:cs="Arial"/>
          <w:sz w:val="22"/>
          <w:szCs w:val="22"/>
        </w:rPr>
        <w:t xml:space="preserve"> 29(13), 1465-1474.</w:t>
      </w:r>
    </w:p>
    <w:p w14:paraId="6CEB2F7E" w14:textId="77777777" w:rsidR="00F318A7" w:rsidRPr="00A25982" w:rsidRDefault="00F318A7" w:rsidP="00A25982">
      <w:pPr>
        <w:ind w:left="284" w:hanging="284"/>
        <w:jc w:val="both"/>
        <w:rPr>
          <w:rFonts w:ascii="Arial" w:hAnsi="Arial" w:cs="Arial"/>
          <w:sz w:val="22"/>
          <w:szCs w:val="22"/>
          <w:lang w:val="de-DE"/>
        </w:rPr>
      </w:pPr>
      <w:r w:rsidRPr="00A25982">
        <w:rPr>
          <w:rFonts w:ascii="Arial" w:hAnsi="Arial" w:cs="Arial"/>
          <w:bCs/>
          <w:sz w:val="22"/>
          <w:szCs w:val="22"/>
        </w:rPr>
        <w:t xml:space="preserve">Gunderson, </w:t>
      </w:r>
      <w:proofErr w:type="spellStart"/>
      <w:r w:rsidRPr="00A25982">
        <w:rPr>
          <w:rFonts w:ascii="Arial" w:hAnsi="Arial" w:cs="Arial"/>
          <w:bCs/>
          <w:sz w:val="22"/>
          <w:szCs w:val="22"/>
        </w:rPr>
        <w:t>L.H</w:t>
      </w:r>
      <w:proofErr w:type="spellEnd"/>
      <w:r w:rsidRPr="00A25982">
        <w:rPr>
          <w:rFonts w:ascii="Arial" w:hAnsi="Arial" w:cs="Arial"/>
          <w:bCs/>
          <w:sz w:val="22"/>
          <w:szCs w:val="22"/>
        </w:rPr>
        <w:t xml:space="preserve">. &amp; </w:t>
      </w:r>
      <w:proofErr w:type="spellStart"/>
      <w:r w:rsidRPr="00A25982">
        <w:rPr>
          <w:rFonts w:ascii="Arial" w:hAnsi="Arial" w:cs="Arial"/>
          <w:bCs/>
          <w:sz w:val="22"/>
          <w:szCs w:val="22"/>
        </w:rPr>
        <w:t>Holling</w:t>
      </w:r>
      <w:proofErr w:type="spellEnd"/>
      <w:r w:rsidRPr="00A25982">
        <w:rPr>
          <w:rFonts w:ascii="Arial" w:hAnsi="Arial" w:cs="Arial"/>
          <w:bCs/>
          <w:sz w:val="22"/>
          <w:szCs w:val="22"/>
        </w:rPr>
        <w:t xml:space="preserve">, </w:t>
      </w:r>
      <w:proofErr w:type="spellStart"/>
      <w:r w:rsidRPr="00A25982">
        <w:rPr>
          <w:rFonts w:ascii="Arial" w:hAnsi="Arial" w:cs="Arial"/>
          <w:bCs/>
          <w:sz w:val="22"/>
          <w:szCs w:val="22"/>
        </w:rPr>
        <w:t>C.S</w:t>
      </w:r>
      <w:proofErr w:type="spellEnd"/>
      <w:r w:rsidRPr="00A25982">
        <w:rPr>
          <w:rFonts w:ascii="Arial" w:hAnsi="Arial" w:cs="Arial"/>
          <w:bCs/>
          <w:sz w:val="22"/>
          <w:szCs w:val="22"/>
        </w:rPr>
        <w:t>. (editors)</w:t>
      </w:r>
      <w:r w:rsidRPr="00A25982">
        <w:rPr>
          <w:rFonts w:ascii="Arial" w:hAnsi="Arial" w:cs="Arial"/>
          <w:b/>
          <w:bCs/>
          <w:sz w:val="22"/>
          <w:szCs w:val="22"/>
        </w:rPr>
        <w:t>,</w:t>
      </w:r>
      <w:r w:rsidRPr="00A25982">
        <w:rPr>
          <w:rFonts w:ascii="Arial" w:hAnsi="Arial" w:cs="Arial"/>
          <w:sz w:val="22"/>
          <w:szCs w:val="22"/>
          <w:shd w:val="clear" w:color="auto" w:fill="FFFFFF"/>
        </w:rPr>
        <w:t> (2002). </w:t>
      </w:r>
      <w:proofErr w:type="spellStart"/>
      <w:r w:rsidRPr="00A25982">
        <w:rPr>
          <w:rFonts w:ascii="Arial" w:hAnsi="Arial" w:cs="Arial"/>
          <w:i/>
          <w:iCs/>
          <w:sz w:val="22"/>
          <w:szCs w:val="22"/>
        </w:rPr>
        <w:t>Panarchy</w:t>
      </w:r>
      <w:proofErr w:type="spellEnd"/>
      <w:r w:rsidRPr="00A25982">
        <w:rPr>
          <w:rFonts w:ascii="Arial" w:hAnsi="Arial" w:cs="Arial"/>
          <w:i/>
          <w:iCs/>
          <w:sz w:val="22"/>
          <w:szCs w:val="22"/>
        </w:rPr>
        <w:t>: Understanding Transformations in Human and Natural Systems. </w:t>
      </w:r>
      <w:r w:rsidRPr="00A25982">
        <w:rPr>
          <w:rFonts w:ascii="Arial" w:hAnsi="Arial" w:cs="Arial"/>
          <w:sz w:val="22"/>
          <w:szCs w:val="22"/>
          <w:shd w:val="clear" w:color="auto" w:fill="FFFFFF"/>
          <w:lang w:val="de-DE"/>
        </w:rPr>
        <w:t>Island Press, Washington, D.C., USA.</w:t>
      </w:r>
    </w:p>
    <w:p w14:paraId="1589ED30"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lang w:val="de-DE"/>
        </w:rPr>
        <w:t xml:space="preserve">Hohenstein, N., Feisel, E., Hartmann, E., &amp; Giunipero, L., (2015). </w:t>
      </w:r>
      <w:r w:rsidRPr="00A25982">
        <w:rPr>
          <w:rFonts w:ascii="Arial" w:hAnsi="Arial" w:cs="Arial"/>
          <w:sz w:val="22"/>
          <w:szCs w:val="22"/>
        </w:rPr>
        <w:t>Research on the phenomenon of supply chain resilience</w:t>
      </w:r>
      <w:r w:rsidRPr="00A25982">
        <w:rPr>
          <w:rFonts w:ascii="Arial" w:hAnsi="Arial" w:cs="Arial"/>
          <w:i/>
          <w:sz w:val="22"/>
          <w:szCs w:val="22"/>
        </w:rPr>
        <w:t>. International Journal of Physical Distribution &amp; Logistics Management</w:t>
      </w:r>
      <w:r w:rsidRPr="00A25982">
        <w:rPr>
          <w:rFonts w:ascii="Arial" w:hAnsi="Arial" w:cs="Arial"/>
          <w:sz w:val="22"/>
          <w:szCs w:val="22"/>
        </w:rPr>
        <w:t>, 45(1-2), 90 – 117.</w:t>
      </w:r>
    </w:p>
    <w:p w14:paraId="675CFA04"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Holling</w:t>
      </w:r>
      <w:proofErr w:type="spellEnd"/>
      <w:r w:rsidRPr="00A25982">
        <w:rPr>
          <w:rFonts w:ascii="Arial" w:hAnsi="Arial" w:cs="Arial"/>
          <w:sz w:val="22"/>
          <w:szCs w:val="22"/>
        </w:rPr>
        <w:t xml:space="preserve">, </w:t>
      </w:r>
      <w:proofErr w:type="spellStart"/>
      <w:r w:rsidRPr="00A25982">
        <w:rPr>
          <w:rFonts w:ascii="Arial" w:hAnsi="Arial" w:cs="Arial"/>
          <w:sz w:val="22"/>
          <w:szCs w:val="22"/>
        </w:rPr>
        <w:t>C.S</w:t>
      </w:r>
      <w:proofErr w:type="spellEnd"/>
      <w:r w:rsidRPr="00A25982">
        <w:rPr>
          <w:rFonts w:ascii="Arial" w:hAnsi="Arial" w:cs="Arial"/>
          <w:sz w:val="22"/>
          <w:szCs w:val="22"/>
        </w:rPr>
        <w:t xml:space="preserve">., (1973). Resilience and stability of ecological systems. </w:t>
      </w:r>
      <w:r w:rsidRPr="00A25982">
        <w:rPr>
          <w:rFonts w:ascii="Arial" w:hAnsi="Arial" w:cs="Arial"/>
          <w:i/>
          <w:iCs/>
          <w:sz w:val="22"/>
          <w:szCs w:val="22"/>
        </w:rPr>
        <w:t>Annual Review of Ecology and Systematics</w:t>
      </w:r>
      <w:r w:rsidRPr="00A25982">
        <w:rPr>
          <w:rFonts w:ascii="Arial" w:hAnsi="Arial" w:cs="Arial"/>
          <w:sz w:val="22"/>
          <w:szCs w:val="22"/>
        </w:rPr>
        <w:t>, 4, 1-23.</w:t>
      </w:r>
    </w:p>
    <w:p w14:paraId="74F05267" w14:textId="77777777" w:rsidR="00F318A7" w:rsidRPr="00A25982" w:rsidRDefault="00F318A7" w:rsidP="00A25982">
      <w:pPr>
        <w:pStyle w:val="NormalWeb"/>
        <w:spacing w:before="0" w:beforeAutospacing="0" w:after="0" w:afterAutospacing="0"/>
        <w:ind w:left="284" w:hanging="284"/>
        <w:jc w:val="both"/>
        <w:rPr>
          <w:rFonts w:ascii="Arial" w:hAnsi="Arial" w:cs="Arial"/>
          <w:sz w:val="22"/>
          <w:szCs w:val="22"/>
        </w:rPr>
      </w:pPr>
      <w:proofErr w:type="spellStart"/>
      <w:r w:rsidRPr="00A25982">
        <w:rPr>
          <w:rFonts w:ascii="Arial" w:hAnsi="Arial" w:cs="Arial"/>
          <w:sz w:val="22"/>
          <w:szCs w:val="22"/>
        </w:rPr>
        <w:t>Holling</w:t>
      </w:r>
      <w:proofErr w:type="spellEnd"/>
      <w:r w:rsidRPr="00A25982">
        <w:rPr>
          <w:rFonts w:ascii="Arial" w:hAnsi="Arial" w:cs="Arial"/>
          <w:sz w:val="22"/>
          <w:szCs w:val="22"/>
        </w:rPr>
        <w:t xml:space="preserve">, </w:t>
      </w:r>
      <w:proofErr w:type="spellStart"/>
      <w:r w:rsidRPr="00A25982">
        <w:rPr>
          <w:rFonts w:ascii="Arial" w:hAnsi="Arial" w:cs="Arial"/>
          <w:sz w:val="22"/>
          <w:szCs w:val="22"/>
        </w:rPr>
        <w:t>C.S</w:t>
      </w:r>
      <w:proofErr w:type="spellEnd"/>
      <w:r w:rsidRPr="00A25982">
        <w:rPr>
          <w:rFonts w:ascii="Arial" w:hAnsi="Arial" w:cs="Arial"/>
          <w:sz w:val="22"/>
          <w:szCs w:val="22"/>
        </w:rPr>
        <w:t>., (1996). Engineering resilience versus ecological resilience. In: Schulze, P.C. (editor):</w:t>
      </w:r>
      <w:r w:rsidRPr="00A25982">
        <w:rPr>
          <w:rFonts w:ascii="Arial" w:hAnsi="Arial" w:cs="Arial"/>
          <w:i/>
          <w:sz w:val="22"/>
          <w:szCs w:val="22"/>
        </w:rPr>
        <w:t xml:space="preserve"> Engineering Within Ecological Constraints, </w:t>
      </w:r>
      <w:r w:rsidRPr="00A25982">
        <w:rPr>
          <w:rFonts w:ascii="Arial" w:hAnsi="Arial" w:cs="Arial"/>
          <w:sz w:val="22"/>
          <w:szCs w:val="22"/>
        </w:rPr>
        <w:t>31-45. National Academy Press.</w:t>
      </w:r>
    </w:p>
    <w:p w14:paraId="42962949"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Hollnagel</w:t>
      </w:r>
      <w:proofErr w:type="spellEnd"/>
      <w:r w:rsidRPr="00A25982">
        <w:rPr>
          <w:rFonts w:ascii="Arial" w:hAnsi="Arial" w:cs="Arial"/>
          <w:sz w:val="22"/>
          <w:szCs w:val="22"/>
        </w:rPr>
        <w:t xml:space="preserve">, E. (2011), Epilogue: RAG: the resilience analysis grid, in </w:t>
      </w:r>
      <w:proofErr w:type="spellStart"/>
      <w:r w:rsidRPr="00A25982">
        <w:rPr>
          <w:rFonts w:ascii="Arial" w:hAnsi="Arial" w:cs="Arial"/>
          <w:sz w:val="22"/>
          <w:szCs w:val="22"/>
        </w:rPr>
        <w:t>Hollnagel</w:t>
      </w:r>
      <w:proofErr w:type="spellEnd"/>
      <w:r w:rsidRPr="00A25982">
        <w:rPr>
          <w:rFonts w:ascii="Arial" w:hAnsi="Arial" w:cs="Arial"/>
          <w:sz w:val="22"/>
          <w:szCs w:val="22"/>
        </w:rPr>
        <w:t xml:space="preserve">, E., </w:t>
      </w:r>
      <w:proofErr w:type="spellStart"/>
      <w:r w:rsidRPr="00A25982">
        <w:rPr>
          <w:rFonts w:ascii="Arial" w:hAnsi="Arial" w:cs="Arial"/>
          <w:sz w:val="22"/>
          <w:szCs w:val="22"/>
        </w:rPr>
        <w:t>Paries</w:t>
      </w:r>
      <w:proofErr w:type="spellEnd"/>
      <w:r w:rsidRPr="00A25982">
        <w:rPr>
          <w:rFonts w:ascii="Arial" w:hAnsi="Arial" w:cs="Arial"/>
          <w:sz w:val="22"/>
          <w:szCs w:val="22"/>
        </w:rPr>
        <w:t xml:space="preserve">, J., Woods, D. and </w:t>
      </w:r>
      <w:proofErr w:type="spellStart"/>
      <w:r w:rsidRPr="00A25982">
        <w:rPr>
          <w:rFonts w:ascii="Arial" w:hAnsi="Arial" w:cs="Arial"/>
          <w:sz w:val="22"/>
          <w:szCs w:val="22"/>
        </w:rPr>
        <w:t>Wreathall</w:t>
      </w:r>
      <w:proofErr w:type="spellEnd"/>
      <w:r w:rsidRPr="00A25982">
        <w:rPr>
          <w:rFonts w:ascii="Arial" w:hAnsi="Arial" w:cs="Arial"/>
          <w:sz w:val="22"/>
          <w:szCs w:val="22"/>
        </w:rPr>
        <w:t>, J. (</w:t>
      </w:r>
      <w:proofErr w:type="spellStart"/>
      <w:r w:rsidRPr="00A25982">
        <w:rPr>
          <w:rFonts w:ascii="Arial" w:hAnsi="Arial" w:cs="Arial"/>
          <w:sz w:val="22"/>
          <w:szCs w:val="22"/>
        </w:rPr>
        <w:t>Eds</w:t>
      </w:r>
      <w:proofErr w:type="spellEnd"/>
      <w:r w:rsidRPr="00A25982">
        <w:rPr>
          <w:rFonts w:ascii="Arial" w:hAnsi="Arial" w:cs="Arial"/>
          <w:sz w:val="22"/>
          <w:szCs w:val="22"/>
        </w:rPr>
        <w:t xml:space="preserve">), </w:t>
      </w:r>
      <w:r w:rsidRPr="00A25982">
        <w:rPr>
          <w:rFonts w:ascii="Arial" w:hAnsi="Arial" w:cs="Arial"/>
          <w:i/>
          <w:iCs/>
          <w:sz w:val="22"/>
          <w:szCs w:val="22"/>
        </w:rPr>
        <w:t>Resilience Engineering in Practice: A Guidebook</w:t>
      </w:r>
      <w:r w:rsidRPr="00A25982">
        <w:rPr>
          <w:rFonts w:ascii="Arial" w:hAnsi="Arial" w:cs="Arial"/>
          <w:sz w:val="22"/>
          <w:szCs w:val="22"/>
        </w:rPr>
        <w:t xml:space="preserve">, Ashgate Press, Surrey, 275-296. </w:t>
      </w:r>
    </w:p>
    <w:p w14:paraId="15BAB6B4"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Johnson, N., Elliott, D., &amp; Drake, P., (2013). Exploring the role of social capital in facilitating supply chain resilience. </w:t>
      </w:r>
      <w:r w:rsidRPr="00A25982">
        <w:rPr>
          <w:rFonts w:ascii="Arial" w:hAnsi="Arial" w:cs="Arial"/>
          <w:i/>
          <w:sz w:val="22"/>
          <w:szCs w:val="22"/>
        </w:rPr>
        <w:t>Supply Chain Management: An International Journal</w:t>
      </w:r>
      <w:r w:rsidRPr="00A25982">
        <w:rPr>
          <w:rFonts w:ascii="Arial" w:hAnsi="Arial" w:cs="Arial"/>
          <w:sz w:val="22"/>
          <w:szCs w:val="22"/>
        </w:rPr>
        <w:t>, 18(3), 324-336.</w:t>
      </w:r>
    </w:p>
    <w:p w14:paraId="36FFE16C" w14:textId="5A105158"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Jüttner</w:t>
      </w:r>
      <w:proofErr w:type="spellEnd"/>
      <w:r w:rsidRPr="00A25982">
        <w:rPr>
          <w:rFonts w:ascii="Arial" w:hAnsi="Arial" w:cs="Arial"/>
          <w:sz w:val="22"/>
          <w:szCs w:val="22"/>
        </w:rPr>
        <w:t xml:space="preserve">, U. &amp; </w:t>
      </w:r>
      <w:proofErr w:type="spellStart"/>
      <w:r w:rsidRPr="00A25982">
        <w:rPr>
          <w:rFonts w:ascii="Arial" w:hAnsi="Arial" w:cs="Arial"/>
          <w:sz w:val="22"/>
          <w:szCs w:val="22"/>
        </w:rPr>
        <w:t>Maklan</w:t>
      </w:r>
      <w:proofErr w:type="spellEnd"/>
      <w:r w:rsidRPr="00A25982">
        <w:rPr>
          <w:rFonts w:ascii="Arial" w:hAnsi="Arial" w:cs="Arial"/>
          <w:sz w:val="22"/>
          <w:szCs w:val="22"/>
        </w:rPr>
        <w:t xml:space="preserve">, S. (2011). Supply chain resilience in the global financial crisis: an empirical study. </w:t>
      </w:r>
      <w:r w:rsidRPr="00A25982">
        <w:rPr>
          <w:rFonts w:ascii="Arial" w:hAnsi="Arial" w:cs="Arial"/>
          <w:i/>
          <w:sz w:val="22"/>
          <w:szCs w:val="22"/>
        </w:rPr>
        <w:t>Supply Chain Management: An International Journal, 16</w:t>
      </w:r>
      <w:r w:rsidRPr="00A25982">
        <w:rPr>
          <w:rFonts w:ascii="Arial" w:hAnsi="Arial" w:cs="Arial"/>
          <w:sz w:val="22"/>
          <w:szCs w:val="22"/>
        </w:rPr>
        <w:t>(4), 246</w:t>
      </w:r>
      <w:r w:rsidR="000D4B05">
        <w:rPr>
          <w:rFonts w:ascii="Arial" w:hAnsi="Arial" w:cs="Arial"/>
          <w:sz w:val="22"/>
          <w:szCs w:val="22"/>
        </w:rPr>
        <w:t>-</w:t>
      </w:r>
      <w:r w:rsidRPr="00A25982">
        <w:rPr>
          <w:rFonts w:ascii="Arial" w:hAnsi="Arial" w:cs="Arial"/>
          <w:sz w:val="22"/>
          <w:szCs w:val="22"/>
        </w:rPr>
        <w:t>259.</w:t>
      </w:r>
    </w:p>
    <w:p w14:paraId="1177B165" w14:textId="77777777" w:rsidR="00F318A7" w:rsidRPr="00A25982" w:rsidRDefault="00F318A7" w:rsidP="00A25982">
      <w:pPr>
        <w:pStyle w:val="PlainText"/>
        <w:ind w:left="284" w:hanging="284"/>
        <w:rPr>
          <w:rFonts w:ascii="Arial" w:hAnsi="Arial" w:cs="Arial"/>
        </w:rPr>
      </w:pPr>
      <w:proofErr w:type="spellStart"/>
      <w:r w:rsidRPr="00A25982">
        <w:rPr>
          <w:rFonts w:ascii="Arial" w:hAnsi="Arial" w:cs="Arial"/>
        </w:rPr>
        <w:lastRenderedPageBreak/>
        <w:t>Ketokivi</w:t>
      </w:r>
      <w:proofErr w:type="spellEnd"/>
      <w:r w:rsidRPr="00A25982">
        <w:rPr>
          <w:rFonts w:ascii="Arial" w:hAnsi="Arial" w:cs="Arial"/>
        </w:rPr>
        <w:t xml:space="preserve">, M. &amp; Choi, T., (2014). Renaissance of case research as a scientific method. </w:t>
      </w:r>
      <w:r w:rsidRPr="00A25982">
        <w:rPr>
          <w:rFonts w:ascii="Arial" w:hAnsi="Arial" w:cs="Arial"/>
          <w:i/>
        </w:rPr>
        <w:t xml:space="preserve">Journal of Operations Management, </w:t>
      </w:r>
      <w:r w:rsidRPr="00A25982">
        <w:rPr>
          <w:rFonts w:ascii="Arial" w:hAnsi="Arial" w:cs="Arial"/>
        </w:rPr>
        <w:t>32, 232-240.</w:t>
      </w:r>
    </w:p>
    <w:p w14:paraId="37DD3C45"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Kim, Y., Chen, Y., &amp; Linderman, K., (2015). Supply network disruption and resilience: A network structural perspective. </w:t>
      </w:r>
      <w:r w:rsidRPr="00A25982">
        <w:rPr>
          <w:rFonts w:ascii="Arial" w:hAnsi="Arial" w:cs="Arial"/>
          <w:i/>
          <w:sz w:val="22"/>
          <w:szCs w:val="22"/>
        </w:rPr>
        <w:t>Journal of Operations Management</w:t>
      </w:r>
      <w:r w:rsidRPr="00A25982">
        <w:rPr>
          <w:rFonts w:ascii="Arial" w:hAnsi="Arial" w:cs="Arial"/>
          <w:sz w:val="22"/>
          <w:szCs w:val="22"/>
        </w:rPr>
        <w:t>, 33-34, 43-59.</w:t>
      </w:r>
    </w:p>
    <w:p w14:paraId="3D5DEEF8"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Leat</w:t>
      </w:r>
      <w:proofErr w:type="spellEnd"/>
      <w:r w:rsidRPr="00A25982">
        <w:rPr>
          <w:rFonts w:ascii="Arial" w:hAnsi="Arial" w:cs="Arial"/>
          <w:sz w:val="22"/>
          <w:szCs w:val="22"/>
        </w:rPr>
        <w:t xml:space="preserve">, P., &amp; </w:t>
      </w:r>
      <w:proofErr w:type="spellStart"/>
      <w:r w:rsidRPr="00A25982">
        <w:rPr>
          <w:rFonts w:ascii="Arial" w:hAnsi="Arial" w:cs="Arial"/>
          <w:sz w:val="22"/>
          <w:szCs w:val="22"/>
        </w:rPr>
        <w:t>Revoredo-Giha</w:t>
      </w:r>
      <w:proofErr w:type="spellEnd"/>
      <w:r w:rsidRPr="00A25982">
        <w:rPr>
          <w:rFonts w:ascii="Arial" w:hAnsi="Arial" w:cs="Arial"/>
          <w:sz w:val="22"/>
          <w:szCs w:val="22"/>
        </w:rPr>
        <w:t xml:space="preserve">, C., (2013). Risk and resilience in agri-food supply chains: The case of the ASDA pork link supply chain in Scotland. </w:t>
      </w:r>
      <w:r w:rsidRPr="00A25982">
        <w:rPr>
          <w:rFonts w:ascii="Arial" w:hAnsi="Arial" w:cs="Arial"/>
          <w:i/>
          <w:sz w:val="22"/>
          <w:szCs w:val="22"/>
        </w:rPr>
        <w:t>Supply Chain Management: An International Journal</w:t>
      </w:r>
      <w:r w:rsidRPr="00A25982">
        <w:rPr>
          <w:rFonts w:ascii="Arial" w:hAnsi="Arial" w:cs="Arial"/>
          <w:sz w:val="22"/>
          <w:szCs w:val="22"/>
        </w:rPr>
        <w:t>, 18(2), 219 – 231.</w:t>
      </w:r>
    </w:p>
    <w:p w14:paraId="57A57A02" w14:textId="77777777" w:rsidR="00F318A7" w:rsidRPr="00A25982" w:rsidRDefault="00F318A7" w:rsidP="00A25982">
      <w:pPr>
        <w:pStyle w:val="NormalWeb"/>
        <w:spacing w:before="0" w:beforeAutospacing="0" w:after="0" w:afterAutospacing="0"/>
        <w:ind w:left="284" w:hanging="284"/>
        <w:jc w:val="both"/>
        <w:rPr>
          <w:rFonts w:ascii="Arial" w:hAnsi="Arial" w:cs="Arial"/>
          <w:sz w:val="22"/>
          <w:szCs w:val="22"/>
        </w:rPr>
      </w:pPr>
      <w:r w:rsidRPr="00A25982">
        <w:rPr>
          <w:rFonts w:ascii="Arial" w:hAnsi="Arial" w:cs="Arial"/>
          <w:sz w:val="22"/>
          <w:szCs w:val="22"/>
        </w:rPr>
        <w:t xml:space="preserve">Maggio A., Van </w:t>
      </w:r>
      <w:proofErr w:type="spellStart"/>
      <w:r w:rsidRPr="00A25982">
        <w:rPr>
          <w:rFonts w:ascii="Arial" w:hAnsi="Arial" w:cs="Arial"/>
          <w:sz w:val="22"/>
          <w:szCs w:val="22"/>
        </w:rPr>
        <w:t>Criekinge</w:t>
      </w:r>
      <w:proofErr w:type="spellEnd"/>
      <w:r w:rsidRPr="00A25982">
        <w:rPr>
          <w:rFonts w:ascii="Arial" w:hAnsi="Arial" w:cs="Arial"/>
          <w:sz w:val="22"/>
          <w:szCs w:val="22"/>
        </w:rPr>
        <w:t xml:space="preserve">, T., </w:t>
      </w:r>
      <w:proofErr w:type="spellStart"/>
      <w:r w:rsidRPr="00A25982">
        <w:rPr>
          <w:rFonts w:ascii="Arial" w:hAnsi="Arial" w:cs="Arial"/>
          <w:sz w:val="22"/>
          <w:szCs w:val="22"/>
        </w:rPr>
        <w:t>Malingreau</w:t>
      </w:r>
      <w:proofErr w:type="spellEnd"/>
      <w:r w:rsidRPr="00A25982">
        <w:rPr>
          <w:rFonts w:ascii="Arial" w:hAnsi="Arial" w:cs="Arial"/>
          <w:sz w:val="22"/>
          <w:szCs w:val="22"/>
        </w:rPr>
        <w:t xml:space="preserve">, J.-P., (2016).  Global food security: assessing trends in view of guiding future EU policies, </w:t>
      </w:r>
      <w:r w:rsidRPr="00A25982">
        <w:rPr>
          <w:rFonts w:ascii="Arial" w:hAnsi="Arial" w:cs="Arial"/>
          <w:i/>
          <w:sz w:val="22"/>
          <w:szCs w:val="22"/>
        </w:rPr>
        <w:t>Foresight</w:t>
      </w:r>
      <w:r w:rsidRPr="00A25982">
        <w:rPr>
          <w:rFonts w:ascii="Arial" w:hAnsi="Arial" w:cs="Arial"/>
          <w:sz w:val="22"/>
          <w:szCs w:val="22"/>
        </w:rPr>
        <w:t>, 18(5), 551-560.</w:t>
      </w:r>
    </w:p>
    <w:p w14:paraId="0246775F"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Mandal, S., (2012). An empirical investigation into supply chain resilience. </w:t>
      </w:r>
      <w:r w:rsidRPr="00A25982">
        <w:rPr>
          <w:rFonts w:ascii="Arial" w:hAnsi="Arial" w:cs="Arial"/>
          <w:i/>
          <w:sz w:val="22"/>
          <w:szCs w:val="22"/>
        </w:rPr>
        <w:t xml:space="preserve">The </w:t>
      </w:r>
      <w:proofErr w:type="spellStart"/>
      <w:r w:rsidRPr="00A25982">
        <w:rPr>
          <w:rFonts w:ascii="Arial" w:hAnsi="Arial" w:cs="Arial"/>
          <w:i/>
          <w:sz w:val="22"/>
          <w:szCs w:val="22"/>
        </w:rPr>
        <w:t>IUP</w:t>
      </w:r>
      <w:proofErr w:type="spellEnd"/>
      <w:r w:rsidRPr="00A25982">
        <w:rPr>
          <w:rFonts w:ascii="Arial" w:hAnsi="Arial" w:cs="Arial"/>
          <w:i/>
          <w:sz w:val="22"/>
          <w:szCs w:val="22"/>
        </w:rPr>
        <w:t xml:space="preserve"> Journal of Supply Chain Management</w:t>
      </w:r>
      <w:r w:rsidRPr="00A25982">
        <w:rPr>
          <w:rFonts w:ascii="Arial" w:hAnsi="Arial" w:cs="Arial"/>
          <w:sz w:val="22"/>
          <w:szCs w:val="22"/>
        </w:rPr>
        <w:t>, 9(4), 46-61.</w:t>
      </w:r>
    </w:p>
    <w:p w14:paraId="645E266A"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Marucheck</w:t>
      </w:r>
      <w:proofErr w:type="spellEnd"/>
      <w:r w:rsidRPr="00A25982">
        <w:rPr>
          <w:rFonts w:ascii="Arial" w:hAnsi="Arial" w:cs="Arial"/>
          <w:sz w:val="22"/>
          <w:szCs w:val="22"/>
        </w:rPr>
        <w:t xml:space="preserve">, A., Greis, N., Mena, C., &amp; Cai, L., (2011). Product safety and security in the global supply chain: Issues, challenges and research opportunities. </w:t>
      </w:r>
      <w:r w:rsidRPr="00A25982">
        <w:rPr>
          <w:rFonts w:ascii="Arial" w:hAnsi="Arial" w:cs="Arial"/>
          <w:i/>
          <w:iCs/>
          <w:sz w:val="22"/>
          <w:szCs w:val="22"/>
        </w:rPr>
        <w:t>Journal of Operations Management</w:t>
      </w:r>
      <w:r w:rsidRPr="00A25982">
        <w:rPr>
          <w:rFonts w:ascii="Arial" w:hAnsi="Arial" w:cs="Arial"/>
          <w:sz w:val="22"/>
          <w:szCs w:val="22"/>
        </w:rPr>
        <w:t xml:space="preserve">, </w:t>
      </w:r>
      <w:r w:rsidRPr="00A25982">
        <w:rPr>
          <w:rFonts w:ascii="Arial" w:hAnsi="Arial" w:cs="Arial"/>
          <w:iCs/>
          <w:sz w:val="22"/>
          <w:szCs w:val="22"/>
        </w:rPr>
        <w:t>29</w:t>
      </w:r>
      <w:r w:rsidRPr="00A25982">
        <w:rPr>
          <w:rFonts w:ascii="Arial" w:hAnsi="Arial" w:cs="Arial"/>
          <w:sz w:val="22"/>
          <w:szCs w:val="22"/>
        </w:rPr>
        <w:t>(7), 707-720.</w:t>
      </w:r>
    </w:p>
    <w:p w14:paraId="0AF4A57A" w14:textId="77777777" w:rsidR="00F318A7" w:rsidRPr="00A25982" w:rsidRDefault="00F318A7" w:rsidP="00A25982">
      <w:pPr>
        <w:ind w:left="284" w:hanging="284"/>
        <w:jc w:val="both"/>
        <w:rPr>
          <w:rFonts w:ascii="Arial" w:hAnsi="Arial" w:cs="Arial"/>
          <w:noProof/>
          <w:sz w:val="22"/>
          <w:szCs w:val="22"/>
        </w:rPr>
      </w:pPr>
      <w:r w:rsidRPr="00A25982">
        <w:rPr>
          <w:rFonts w:ascii="Arial" w:hAnsi="Arial" w:cs="Arial"/>
          <w:noProof/>
          <w:sz w:val="22"/>
          <w:szCs w:val="22"/>
        </w:rPr>
        <w:t xml:space="preserve">Oglethorpe, D. &amp; Heron, G., (2013). Testing the theory of constraints in UK local food supply chains. </w:t>
      </w:r>
      <w:r w:rsidRPr="00A25982">
        <w:rPr>
          <w:rFonts w:ascii="Arial" w:hAnsi="Arial" w:cs="Arial"/>
          <w:i/>
          <w:noProof/>
          <w:sz w:val="22"/>
          <w:szCs w:val="22"/>
        </w:rPr>
        <w:t>International Journal of Operations &amp; Production Management,</w:t>
      </w:r>
      <w:r w:rsidRPr="00A25982">
        <w:rPr>
          <w:rFonts w:ascii="Arial" w:hAnsi="Arial" w:cs="Arial"/>
          <w:noProof/>
          <w:sz w:val="22"/>
          <w:szCs w:val="22"/>
        </w:rPr>
        <w:t xml:space="preserve"> 33, 1346-1367.</w:t>
      </w:r>
    </w:p>
    <w:p w14:paraId="667CF230"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Pettit, J., </w:t>
      </w:r>
      <w:proofErr w:type="spellStart"/>
      <w:r w:rsidRPr="00A25982">
        <w:rPr>
          <w:rFonts w:ascii="Arial" w:hAnsi="Arial" w:cs="Arial"/>
          <w:sz w:val="22"/>
          <w:szCs w:val="22"/>
        </w:rPr>
        <w:t>Fiksel</w:t>
      </w:r>
      <w:proofErr w:type="spellEnd"/>
      <w:r w:rsidRPr="00A25982">
        <w:rPr>
          <w:rFonts w:ascii="Arial" w:hAnsi="Arial" w:cs="Arial"/>
          <w:sz w:val="22"/>
          <w:szCs w:val="22"/>
        </w:rPr>
        <w:t xml:space="preserve">. J., &amp; Croxton, K., (2010). Ensuring supply chain resilience: Development of a conceptual frame work. </w:t>
      </w:r>
      <w:r w:rsidRPr="00A25982">
        <w:rPr>
          <w:rFonts w:ascii="Arial" w:hAnsi="Arial" w:cs="Arial"/>
          <w:i/>
          <w:sz w:val="22"/>
          <w:szCs w:val="22"/>
        </w:rPr>
        <w:t>Journal of Business Logistics,</w:t>
      </w:r>
      <w:r w:rsidRPr="00A25982">
        <w:rPr>
          <w:rFonts w:ascii="Arial" w:hAnsi="Arial" w:cs="Arial"/>
          <w:sz w:val="22"/>
          <w:szCs w:val="22"/>
        </w:rPr>
        <w:t xml:space="preserve"> </w:t>
      </w:r>
      <w:r w:rsidRPr="00A25982">
        <w:rPr>
          <w:rFonts w:ascii="Arial" w:hAnsi="Arial" w:cs="Arial"/>
          <w:i/>
          <w:sz w:val="22"/>
          <w:szCs w:val="22"/>
        </w:rPr>
        <w:t>31</w:t>
      </w:r>
      <w:r w:rsidRPr="00A25982">
        <w:rPr>
          <w:rFonts w:ascii="Arial" w:hAnsi="Arial" w:cs="Arial"/>
          <w:sz w:val="22"/>
          <w:szCs w:val="22"/>
        </w:rPr>
        <w:t>(1), 1-21.</w:t>
      </w:r>
    </w:p>
    <w:p w14:paraId="62641678"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Pettit, J., Croxton, K., &amp; </w:t>
      </w:r>
      <w:proofErr w:type="spellStart"/>
      <w:r w:rsidRPr="00A25982">
        <w:rPr>
          <w:rFonts w:ascii="Arial" w:hAnsi="Arial" w:cs="Arial"/>
          <w:sz w:val="22"/>
          <w:szCs w:val="22"/>
        </w:rPr>
        <w:t>Fiksel</w:t>
      </w:r>
      <w:proofErr w:type="spellEnd"/>
      <w:r w:rsidRPr="00A25982">
        <w:rPr>
          <w:rFonts w:ascii="Arial" w:hAnsi="Arial" w:cs="Arial"/>
          <w:sz w:val="22"/>
          <w:szCs w:val="22"/>
        </w:rPr>
        <w:t xml:space="preserve">, J., (2013). Ensuring Supply Chain Resilience: Development and Implementation of an Assessment Tool. </w:t>
      </w:r>
      <w:r w:rsidRPr="00A25982">
        <w:rPr>
          <w:rFonts w:ascii="Arial" w:hAnsi="Arial" w:cs="Arial"/>
          <w:i/>
          <w:sz w:val="22"/>
          <w:szCs w:val="22"/>
        </w:rPr>
        <w:t>Journal of Business Logistics</w:t>
      </w:r>
      <w:r w:rsidRPr="00A25982">
        <w:rPr>
          <w:rFonts w:ascii="Arial" w:hAnsi="Arial" w:cs="Arial"/>
          <w:sz w:val="22"/>
          <w:szCs w:val="22"/>
        </w:rPr>
        <w:t xml:space="preserve"> 34(1), 46–76.</w:t>
      </w:r>
    </w:p>
    <w:p w14:paraId="34BEDD2D"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Ponis</w:t>
      </w:r>
      <w:proofErr w:type="spellEnd"/>
      <w:r w:rsidRPr="00A25982">
        <w:rPr>
          <w:rFonts w:ascii="Arial" w:hAnsi="Arial" w:cs="Arial"/>
          <w:sz w:val="22"/>
          <w:szCs w:val="22"/>
        </w:rPr>
        <w:t xml:space="preserve">, S., &amp; </w:t>
      </w:r>
      <w:proofErr w:type="spellStart"/>
      <w:r w:rsidRPr="00A25982">
        <w:rPr>
          <w:rFonts w:ascii="Arial" w:hAnsi="Arial" w:cs="Arial"/>
          <w:sz w:val="22"/>
          <w:szCs w:val="22"/>
        </w:rPr>
        <w:t>Koronis</w:t>
      </w:r>
      <w:proofErr w:type="spellEnd"/>
      <w:r w:rsidRPr="00A25982">
        <w:rPr>
          <w:rFonts w:ascii="Arial" w:hAnsi="Arial" w:cs="Arial"/>
          <w:sz w:val="22"/>
          <w:szCs w:val="22"/>
        </w:rPr>
        <w:t xml:space="preserve">, E., (2012). Supply chain resilience: definition of concept and its formative elements. </w:t>
      </w:r>
      <w:r w:rsidRPr="00A25982">
        <w:rPr>
          <w:rFonts w:ascii="Arial" w:hAnsi="Arial" w:cs="Arial"/>
          <w:i/>
          <w:sz w:val="22"/>
          <w:szCs w:val="22"/>
        </w:rPr>
        <w:t>Journal of Applied Business Research,</w:t>
      </w:r>
      <w:r w:rsidRPr="00A25982">
        <w:rPr>
          <w:rFonts w:ascii="Arial" w:hAnsi="Arial" w:cs="Arial"/>
          <w:sz w:val="22"/>
          <w:szCs w:val="22"/>
        </w:rPr>
        <w:t xml:space="preserve"> 28(5), 921-930.</w:t>
      </w:r>
    </w:p>
    <w:p w14:paraId="1937CA30"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Ponomarov</w:t>
      </w:r>
      <w:proofErr w:type="spellEnd"/>
      <w:r w:rsidRPr="00A25982">
        <w:rPr>
          <w:rFonts w:ascii="Arial" w:hAnsi="Arial" w:cs="Arial"/>
          <w:sz w:val="22"/>
          <w:szCs w:val="22"/>
        </w:rPr>
        <w:t xml:space="preserve">, S., &amp; Holcomb, C., (2009). Understanding the concept of supply chain resilience. </w:t>
      </w:r>
      <w:r w:rsidRPr="00A25982">
        <w:rPr>
          <w:rFonts w:ascii="Arial" w:hAnsi="Arial" w:cs="Arial"/>
          <w:i/>
          <w:sz w:val="22"/>
          <w:szCs w:val="22"/>
        </w:rPr>
        <w:t>International Journal of Logistics Management,</w:t>
      </w:r>
      <w:r w:rsidRPr="00A25982">
        <w:rPr>
          <w:rFonts w:ascii="Arial" w:hAnsi="Arial" w:cs="Arial"/>
          <w:sz w:val="22"/>
          <w:szCs w:val="22"/>
        </w:rPr>
        <w:t xml:space="preserve"> 20(1), 124 – 143.</w:t>
      </w:r>
    </w:p>
    <w:p w14:paraId="0C5447D1" w14:textId="79306664" w:rsidR="00F318A7" w:rsidRPr="00A25982" w:rsidRDefault="00F318A7" w:rsidP="00A25982">
      <w:pPr>
        <w:autoSpaceDE w:val="0"/>
        <w:autoSpaceDN w:val="0"/>
        <w:adjustRightInd w:val="0"/>
        <w:ind w:left="284" w:hanging="284"/>
        <w:rPr>
          <w:rFonts w:ascii="Arial" w:hAnsi="Arial" w:cs="Arial"/>
          <w:sz w:val="22"/>
          <w:szCs w:val="22"/>
        </w:rPr>
      </w:pPr>
      <w:r w:rsidRPr="00A25982">
        <w:rPr>
          <w:rFonts w:ascii="Arial" w:hAnsi="Arial" w:cs="Arial"/>
          <w:sz w:val="22"/>
          <w:szCs w:val="22"/>
        </w:rPr>
        <w:t>Pullman, M.E. &amp; Dillard, J. (2010). Values based supply chain management and emergent</w:t>
      </w:r>
      <w:r w:rsidRPr="00A25982">
        <w:rPr>
          <w:rFonts w:ascii="Arial" w:hAnsi="Arial" w:cs="Arial"/>
        </w:rPr>
        <w:t xml:space="preserve"> </w:t>
      </w:r>
      <w:r w:rsidRPr="00A25982">
        <w:rPr>
          <w:rFonts w:ascii="Arial" w:hAnsi="Arial" w:cs="Arial"/>
          <w:sz w:val="22"/>
          <w:szCs w:val="22"/>
        </w:rPr>
        <w:t>organizational structures</w:t>
      </w:r>
      <w:r w:rsidRPr="00A25982">
        <w:rPr>
          <w:rFonts w:ascii="Arial" w:eastAsia="AdvOT8cb2ddbd+20" w:hAnsi="Arial" w:cs="Arial"/>
          <w:sz w:val="22"/>
          <w:szCs w:val="22"/>
        </w:rPr>
        <w:t>.</w:t>
      </w:r>
      <w:r w:rsidRPr="00A25982">
        <w:rPr>
          <w:rFonts w:ascii="Arial" w:hAnsi="Arial" w:cs="Arial"/>
          <w:sz w:val="22"/>
          <w:szCs w:val="22"/>
        </w:rPr>
        <w:t xml:space="preserve"> </w:t>
      </w:r>
      <w:r w:rsidRPr="00A25982">
        <w:rPr>
          <w:rFonts w:ascii="Arial" w:hAnsi="Arial" w:cs="Arial"/>
          <w:i/>
          <w:sz w:val="22"/>
          <w:szCs w:val="22"/>
        </w:rPr>
        <w:t>International Journal of Operations &amp; Production Management</w:t>
      </w:r>
      <w:r w:rsidRPr="00A25982">
        <w:rPr>
          <w:rFonts w:ascii="Arial" w:hAnsi="Arial" w:cs="Arial"/>
          <w:sz w:val="22"/>
          <w:szCs w:val="22"/>
        </w:rPr>
        <w:t>,</w:t>
      </w:r>
      <w:r w:rsidRPr="00A25982">
        <w:rPr>
          <w:rFonts w:ascii="Arial" w:hAnsi="Arial" w:cs="Arial"/>
        </w:rPr>
        <w:t xml:space="preserve"> </w:t>
      </w:r>
      <w:r w:rsidRPr="00A25982">
        <w:rPr>
          <w:rFonts w:ascii="Arial" w:hAnsi="Arial" w:cs="Arial"/>
          <w:sz w:val="22"/>
          <w:szCs w:val="22"/>
        </w:rPr>
        <w:t>30(7), 744-771.</w:t>
      </w:r>
    </w:p>
    <w:p w14:paraId="1853CF21"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Reuter, C., </w:t>
      </w:r>
      <w:proofErr w:type="spellStart"/>
      <w:r w:rsidRPr="00A25982">
        <w:rPr>
          <w:rFonts w:ascii="Arial" w:hAnsi="Arial" w:cs="Arial"/>
          <w:sz w:val="22"/>
          <w:szCs w:val="22"/>
        </w:rPr>
        <w:t>Foerstl</w:t>
      </w:r>
      <w:proofErr w:type="spellEnd"/>
      <w:r w:rsidRPr="00A25982">
        <w:rPr>
          <w:rFonts w:ascii="Arial" w:hAnsi="Arial" w:cs="Arial"/>
          <w:sz w:val="22"/>
          <w:szCs w:val="22"/>
        </w:rPr>
        <w:t xml:space="preserve">, K., Hartmann, E. &amp; </w:t>
      </w:r>
      <w:proofErr w:type="spellStart"/>
      <w:r w:rsidRPr="00A25982">
        <w:rPr>
          <w:rFonts w:ascii="Arial" w:hAnsi="Arial" w:cs="Arial"/>
          <w:sz w:val="22"/>
          <w:szCs w:val="22"/>
        </w:rPr>
        <w:t>Blome</w:t>
      </w:r>
      <w:proofErr w:type="spellEnd"/>
      <w:r w:rsidRPr="00A25982">
        <w:rPr>
          <w:rFonts w:ascii="Arial" w:hAnsi="Arial" w:cs="Arial"/>
          <w:sz w:val="22"/>
          <w:szCs w:val="22"/>
        </w:rPr>
        <w:t xml:space="preserve">, C., (2010). Sustainable global supplier management: the role of dynamic capabilities in achieving competitive advantage. </w:t>
      </w:r>
      <w:r w:rsidRPr="00A25982">
        <w:rPr>
          <w:rFonts w:ascii="Arial" w:hAnsi="Arial" w:cs="Arial"/>
          <w:i/>
          <w:sz w:val="22"/>
          <w:szCs w:val="22"/>
        </w:rPr>
        <w:t>Journal of Supply Chain Management</w:t>
      </w:r>
      <w:r w:rsidRPr="00A25982">
        <w:rPr>
          <w:rFonts w:ascii="Arial" w:hAnsi="Arial" w:cs="Arial"/>
          <w:sz w:val="22"/>
          <w:szCs w:val="22"/>
        </w:rPr>
        <w:t>, 46(2), 45-63.</w:t>
      </w:r>
    </w:p>
    <w:p w14:paraId="623DF349"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Rice, J. &amp; </w:t>
      </w:r>
      <w:proofErr w:type="spellStart"/>
      <w:r w:rsidRPr="00A25982">
        <w:rPr>
          <w:rFonts w:ascii="Arial" w:hAnsi="Arial" w:cs="Arial"/>
          <w:sz w:val="22"/>
          <w:szCs w:val="22"/>
        </w:rPr>
        <w:t>Caniato</w:t>
      </w:r>
      <w:proofErr w:type="spellEnd"/>
      <w:r w:rsidRPr="00A25982">
        <w:rPr>
          <w:rFonts w:ascii="Arial" w:hAnsi="Arial" w:cs="Arial"/>
          <w:sz w:val="22"/>
          <w:szCs w:val="22"/>
        </w:rPr>
        <w:t xml:space="preserve">, F. (2003). Building a secure and resilient supply network. </w:t>
      </w:r>
      <w:r w:rsidRPr="00A25982">
        <w:rPr>
          <w:rFonts w:ascii="Arial" w:hAnsi="Arial" w:cs="Arial"/>
          <w:i/>
          <w:sz w:val="22"/>
          <w:szCs w:val="22"/>
        </w:rPr>
        <w:t>Supply Chain Management Review,</w:t>
      </w:r>
      <w:r w:rsidRPr="00A25982">
        <w:rPr>
          <w:rFonts w:ascii="Arial" w:hAnsi="Arial" w:cs="Arial"/>
          <w:sz w:val="22"/>
          <w:szCs w:val="22"/>
        </w:rPr>
        <w:t xml:space="preserve"> 7(5), 22-30.</w:t>
      </w:r>
    </w:p>
    <w:p w14:paraId="7DAB309A"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Rockström</w:t>
      </w:r>
      <w:proofErr w:type="spellEnd"/>
      <w:r w:rsidRPr="00A25982">
        <w:rPr>
          <w:rFonts w:ascii="Arial" w:hAnsi="Arial" w:cs="Arial"/>
          <w:sz w:val="22"/>
          <w:szCs w:val="22"/>
        </w:rPr>
        <w:t xml:space="preserve">, J., </w:t>
      </w:r>
      <w:proofErr w:type="spellStart"/>
      <w:r w:rsidRPr="00A25982">
        <w:rPr>
          <w:rFonts w:ascii="Arial" w:hAnsi="Arial" w:cs="Arial"/>
          <w:sz w:val="22"/>
          <w:szCs w:val="22"/>
        </w:rPr>
        <w:t>Falkenmark</w:t>
      </w:r>
      <w:proofErr w:type="spellEnd"/>
      <w:r w:rsidRPr="00A25982">
        <w:rPr>
          <w:rFonts w:ascii="Arial" w:hAnsi="Arial" w:cs="Arial"/>
          <w:sz w:val="22"/>
          <w:szCs w:val="22"/>
        </w:rPr>
        <w:t xml:space="preserve">, M., Karlberg, L., Hoff, H., </w:t>
      </w:r>
      <w:proofErr w:type="spellStart"/>
      <w:r w:rsidRPr="00A25982">
        <w:rPr>
          <w:rFonts w:ascii="Arial" w:hAnsi="Arial" w:cs="Arial"/>
          <w:sz w:val="22"/>
          <w:szCs w:val="22"/>
        </w:rPr>
        <w:t>Rost</w:t>
      </w:r>
      <w:proofErr w:type="spellEnd"/>
      <w:r w:rsidRPr="00A25982">
        <w:rPr>
          <w:rFonts w:ascii="Arial" w:hAnsi="Arial" w:cs="Arial"/>
          <w:sz w:val="22"/>
          <w:szCs w:val="22"/>
        </w:rPr>
        <w:t xml:space="preserve">, S., &amp; </w:t>
      </w:r>
      <w:proofErr w:type="spellStart"/>
      <w:r w:rsidRPr="00A25982">
        <w:rPr>
          <w:rFonts w:ascii="Arial" w:hAnsi="Arial" w:cs="Arial"/>
          <w:sz w:val="22"/>
          <w:szCs w:val="22"/>
        </w:rPr>
        <w:t>Gerten</w:t>
      </w:r>
      <w:proofErr w:type="spellEnd"/>
      <w:r w:rsidRPr="00A25982">
        <w:rPr>
          <w:rFonts w:ascii="Arial" w:hAnsi="Arial" w:cs="Arial"/>
          <w:sz w:val="22"/>
          <w:szCs w:val="22"/>
        </w:rPr>
        <w:t xml:space="preserve">, D. (2009). Future water availability for global food production: the potential of green water for increasing resilience to global change. </w:t>
      </w:r>
      <w:r w:rsidRPr="00A25982">
        <w:rPr>
          <w:rFonts w:ascii="Arial" w:hAnsi="Arial" w:cs="Arial"/>
          <w:i/>
          <w:iCs/>
          <w:sz w:val="22"/>
          <w:szCs w:val="22"/>
        </w:rPr>
        <w:t>Water Resources Research</w:t>
      </w:r>
      <w:r w:rsidRPr="00A25982">
        <w:rPr>
          <w:rFonts w:ascii="Arial" w:hAnsi="Arial" w:cs="Arial"/>
          <w:sz w:val="22"/>
          <w:szCs w:val="22"/>
        </w:rPr>
        <w:t xml:space="preserve">, </w:t>
      </w:r>
      <w:r w:rsidRPr="00A25982">
        <w:rPr>
          <w:rFonts w:ascii="Arial" w:hAnsi="Arial" w:cs="Arial"/>
          <w:iCs/>
          <w:sz w:val="22"/>
          <w:szCs w:val="22"/>
        </w:rPr>
        <w:t>45</w:t>
      </w:r>
      <w:r w:rsidRPr="00A25982">
        <w:rPr>
          <w:rFonts w:ascii="Arial" w:hAnsi="Arial" w:cs="Arial"/>
          <w:sz w:val="22"/>
          <w:szCs w:val="22"/>
        </w:rPr>
        <w:t>(7), 1-16.</w:t>
      </w:r>
    </w:p>
    <w:p w14:paraId="2B74722B"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Rojo</w:t>
      </w:r>
      <w:proofErr w:type="spellEnd"/>
      <w:r w:rsidRPr="00A25982">
        <w:rPr>
          <w:rFonts w:ascii="Arial" w:hAnsi="Arial" w:cs="Arial"/>
          <w:sz w:val="22"/>
          <w:szCs w:val="22"/>
        </w:rPr>
        <w:t xml:space="preserve">, A., Stevenson, M., </w:t>
      </w:r>
      <w:proofErr w:type="spellStart"/>
      <w:r w:rsidRPr="00A25982">
        <w:rPr>
          <w:rFonts w:ascii="Arial" w:hAnsi="Arial" w:cs="Arial"/>
          <w:sz w:val="22"/>
          <w:szCs w:val="22"/>
        </w:rPr>
        <w:t>Lloréns</w:t>
      </w:r>
      <w:proofErr w:type="spellEnd"/>
      <w:r w:rsidRPr="00A25982">
        <w:rPr>
          <w:rFonts w:ascii="Arial" w:hAnsi="Arial" w:cs="Arial"/>
          <w:sz w:val="22"/>
          <w:szCs w:val="22"/>
        </w:rPr>
        <w:t xml:space="preserve"> Montes, </w:t>
      </w:r>
      <w:proofErr w:type="spellStart"/>
      <w:r w:rsidRPr="00A25982">
        <w:rPr>
          <w:rFonts w:ascii="Arial" w:hAnsi="Arial" w:cs="Arial"/>
          <w:sz w:val="22"/>
          <w:szCs w:val="22"/>
        </w:rPr>
        <w:t>F.J</w:t>
      </w:r>
      <w:proofErr w:type="spellEnd"/>
      <w:r w:rsidRPr="00A25982">
        <w:rPr>
          <w:rFonts w:ascii="Arial" w:hAnsi="Arial" w:cs="Arial"/>
          <w:sz w:val="22"/>
          <w:szCs w:val="22"/>
        </w:rPr>
        <w:t>., &amp; Perez-</w:t>
      </w:r>
      <w:proofErr w:type="spellStart"/>
      <w:r w:rsidRPr="00A25982">
        <w:rPr>
          <w:rFonts w:ascii="Arial" w:hAnsi="Arial" w:cs="Arial"/>
          <w:sz w:val="22"/>
          <w:szCs w:val="22"/>
        </w:rPr>
        <w:t>Arostegui</w:t>
      </w:r>
      <w:proofErr w:type="spellEnd"/>
      <w:r w:rsidRPr="00A25982">
        <w:rPr>
          <w:rFonts w:ascii="Arial" w:hAnsi="Arial" w:cs="Arial"/>
          <w:sz w:val="22"/>
          <w:szCs w:val="22"/>
        </w:rPr>
        <w:t xml:space="preserve">, </w:t>
      </w:r>
      <w:proofErr w:type="spellStart"/>
      <w:r w:rsidRPr="00A25982">
        <w:rPr>
          <w:rFonts w:ascii="Arial" w:hAnsi="Arial" w:cs="Arial"/>
          <w:sz w:val="22"/>
          <w:szCs w:val="22"/>
        </w:rPr>
        <w:t>M.N</w:t>
      </w:r>
      <w:proofErr w:type="spellEnd"/>
      <w:r w:rsidRPr="00A25982">
        <w:rPr>
          <w:rFonts w:ascii="Arial" w:hAnsi="Arial" w:cs="Arial"/>
          <w:sz w:val="22"/>
          <w:szCs w:val="22"/>
        </w:rPr>
        <w:t xml:space="preserve">. (2018). Supply chain flexibility in dynamic environments: The enabling role of operational absorptive capacity and organisational learning. </w:t>
      </w:r>
      <w:r w:rsidRPr="00A25982">
        <w:rPr>
          <w:rFonts w:ascii="Arial" w:hAnsi="Arial" w:cs="Arial"/>
          <w:i/>
          <w:iCs/>
          <w:sz w:val="22"/>
          <w:szCs w:val="22"/>
        </w:rPr>
        <w:t>International Journal of Operations &amp; Production Management</w:t>
      </w:r>
      <w:r w:rsidRPr="00A25982">
        <w:rPr>
          <w:rFonts w:ascii="Arial" w:hAnsi="Arial" w:cs="Arial"/>
          <w:sz w:val="22"/>
          <w:szCs w:val="22"/>
        </w:rPr>
        <w:t>, 38(3), 636-666.</w:t>
      </w:r>
    </w:p>
    <w:p w14:paraId="2D4C9697"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Ridder, H-G, (2017). The theory contribution of case study research designs. </w:t>
      </w:r>
      <w:r w:rsidRPr="00A25982">
        <w:rPr>
          <w:rFonts w:ascii="Arial" w:hAnsi="Arial" w:cs="Arial"/>
          <w:i/>
          <w:sz w:val="22"/>
          <w:szCs w:val="22"/>
        </w:rPr>
        <w:t>Business Research</w:t>
      </w:r>
      <w:r w:rsidRPr="00A25982">
        <w:rPr>
          <w:rFonts w:ascii="Arial" w:hAnsi="Arial" w:cs="Arial"/>
          <w:sz w:val="22"/>
          <w:szCs w:val="22"/>
        </w:rPr>
        <w:t>, 10, 281-305</w:t>
      </w:r>
    </w:p>
    <w:p w14:paraId="6E39F6D2"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Scholten, K., &amp; </w:t>
      </w:r>
      <w:proofErr w:type="spellStart"/>
      <w:r w:rsidRPr="00A25982">
        <w:rPr>
          <w:rFonts w:ascii="Arial" w:hAnsi="Arial" w:cs="Arial"/>
          <w:sz w:val="22"/>
          <w:szCs w:val="22"/>
        </w:rPr>
        <w:t>Schilder</w:t>
      </w:r>
      <w:proofErr w:type="spellEnd"/>
      <w:r w:rsidRPr="00A25982">
        <w:rPr>
          <w:rFonts w:ascii="Arial" w:hAnsi="Arial" w:cs="Arial"/>
          <w:sz w:val="22"/>
          <w:szCs w:val="22"/>
        </w:rPr>
        <w:t xml:space="preserve">, S., (2015). The role of collaboration in supply chain resilience. </w:t>
      </w:r>
      <w:r w:rsidRPr="00A25982">
        <w:rPr>
          <w:rFonts w:ascii="Arial" w:hAnsi="Arial" w:cs="Arial"/>
          <w:i/>
          <w:iCs/>
          <w:sz w:val="22"/>
          <w:szCs w:val="22"/>
        </w:rPr>
        <w:t>Supply Chain Management: An International Journal</w:t>
      </w:r>
      <w:r w:rsidRPr="00A25982">
        <w:rPr>
          <w:rFonts w:ascii="Arial" w:hAnsi="Arial" w:cs="Arial"/>
          <w:sz w:val="22"/>
          <w:szCs w:val="22"/>
        </w:rPr>
        <w:t xml:space="preserve">, </w:t>
      </w:r>
      <w:r w:rsidRPr="00A25982">
        <w:rPr>
          <w:rFonts w:ascii="Arial" w:hAnsi="Arial" w:cs="Arial"/>
          <w:iCs/>
          <w:sz w:val="22"/>
          <w:szCs w:val="22"/>
        </w:rPr>
        <w:t>20</w:t>
      </w:r>
      <w:r w:rsidRPr="00A25982">
        <w:rPr>
          <w:rFonts w:ascii="Arial" w:hAnsi="Arial" w:cs="Arial"/>
          <w:sz w:val="22"/>
          <w:szCs w:val="22"/>
        </w:rPr>
        <w:t>(4), 471-484.</w:t>
      </w:r>
    </w:p>
    <w:p w14:paraId="40BEB992"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Scholten, K., Scott, P., &amp; </w:t>
      </w:r>
      <w:proofErr w:type="spellStart"/>
      <w:r w:rsidRPr="00A25982">
        <w:rPr>
          <w:rFonts w:ascii="Arial" w:hAnsi="Arial" w:cs="Arial"/>
          <w:sz w:val="22"/>
          <w:szCs w:val="22"/>
        </w:rPr>
        <w:t>Fynes</w:t>
      </w:r>
      <w:proofErr w:type="spellEnd"/>
      <w:r w:rsidRPr="00A25982">
        <w:rPr>
          <w:rFonts w:ascii="Arial" w:hAnsi="Arial" w:cs="Arial"/>
          <w:sz w:val="22"/>
          <w:szCs w:val="22"/>
        </w:rPr>
        <w:t xml:space="preserve">, B., (2014). Mitigation processes – antecedents for building supply chain resilience. </w:t>
      </w:r>
      <w:r w:rsidRPr="00A25982">
        <w:rPr>
          <w:rFonts w:ascii="Arial" w:hAnsi="Arial" w:cs="Arial"/>
          <w:i/>
          <w:sz w:val="22"/>
          <w:szCs w:val="22"/>
        </w:rPr>
        <w:t>Supply Chain Management: An International Journal,</w:t>
      </w:r>
      <w:r w:rsidRPr="00A25982">
        <w:rPr>
          <w:rFonts w:ascii="Arial" w:hAnsi="Arial" w:cs="Arial"/>
          <w:sz w:val="22"/>
          <w:szCs w:val="22"/>
        </w:rPr>
        <w:t xml:space="preserve"> 19(2), 211–228.</w:t>
      </w:r>
    </w:p>
    <w:p w14:paraId="6FE1E370" w14:textId="3F0D7828"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Sheffi</w:t>
      </w:r>
      <w:proofErr w:type="spellEnd"/>
      <w:r w:rsidRPr="00A25982">
        <w:rPr>
          <w:rFonts w:ascii="Arial" w:hAnsi="Arial" w:cs="Arial"/>
          <w:sz w:val="22"/>
          <w:szCs w:val="22"/>
        </w:rPr>
        <w:t xml:space="preserve">, Y. (2005). Building a resilient supply chain. </w:t>
      </w:r>
      <w:r w:rsidRPr="00A25982">
        <w:rPr>
          <w:rFonts w:ascii="Arial" w:hAnsi="Arial" w:cs="Arial"/>
          <w:i/>
          <w:sz w:val="22"/>
          <w:szCs w:val="22"/>
        </w:rPr>
        <w:t>Harvard Business Review,</w:t>
      </w:r>
      <w:r w:rsidRPr="00A25982">
        <w:rPr>
          <w:rFonts w:ascii="Arial" w:hAnsi="Arial" w:cs="Arial"/>
          <w:sz w:val="22"/>
          <w:szCs w:val="22"/>
        </w:rPr>
        <w:t xml:space="preserve"> 1(8),1-11.</w:t>
      </w:r>
    </w:p>
    <w:p w14:paraId="47DF31E1"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Sheffi</w:t>
      </w:r>
      <w:proofErr w:type="spellEnd"/>
      <w:r w:rsidRPr="00A25982">
        <w:rPr>
          <w:rFonts w:ascii="Arial" w:hAnsi="Arial" w:cs="Arial"/>
          <w:sz w:val="22"/>
          <w:szCs w:val="22"/>
        </w:rPr>
        <w:t xml:space="preserve">, Y. &amp; Rice, J. (2005). A supply chain view of the resilient enterprise. </w:t>
      </w:r>
      <w:r w:rsidRPr="00A25982">
        <w:rPr>
          <w:rFonts w:ascii="Arial" w:hAnsi="Arial" w:cs="Arial"/>
          <w:i/>
          <w:sz w:val="22"/>
          <w:szCs w:val="22"/>
        </w:rPr>
        <w:t>MIT Sloan management review,</w:t>
      </w:r>
      <w:r w:rsidRPr="00A25982">
        <w:rPr>
          <w:rFonts w:ascii="Arial" w:hAnsi="Arial" w:cs="Arial"/>
          <w:sz w:val="22"/>
          <w:szCs w:val="22"/>
        </w:rPr>
        <w:t xml:space="preserve"> 47(1), 41-48.</w:t>
      </w:r>
    </w:p>
    <w:p w14:paraId="588957AF" w14:textId="77777777" w:rsidR="00F318A7" w:rsidRPr="00A25982" w:rsidRDefault="00F318A7" w:rsidP="00A25982">
      <w:pPr>
        <w:ind w:left="284" w:hanging="284"/>
        <w:jc w:val="both"/>
        <w:rPr>
          <w:rFonts w:ascii="Arial" w:hAnsi="Arial" w:cs="Arial"/>
          <w:sz w:val="22"/>
          <w:szCs w:val="22"/>
          <w:lang w:eastAsia="en-GB"/>
        </w:rPr>
      </w:pPr>
      <w:proofErr w:type="spellStart"/>
      <w:r w:rsidRPr="00A25982">
        <w:rPr>
          <w:rFonts w:ascii="Arial" w:hAnsi="Arial" w:cs="Arial"/>
          <w:sz w:val="22"/>
          <w:szCs w:val="22"/>
          <w:lang w:eastAsia="en-GB"/>
        </w:rPr>
        <w:t>Simangunsong</w:t>
      </w:r>
      <w:proofErr w:type="spellEnd"/>
      <w:r w:rsidRPr="00A25982">
        <w:rPr>
          <w:rFonts w:ascii="Arial" w:hAnsi="Arial" w:cs="Arial"/>
          <w:sz w:val="22"/>
          <w:szCs w:val="22"/>
          <w:lang w:eastAsia="en-GB"/>
        </w:rPr>
        <w:t xml:space="preserve">, E., Hendry, L.C., &amp; Stevenson, M. (2012). Supply-chain uncertainty: a review and theoretical foundation for future research. </w:t>
      </w:r>
      <w:r w:rsidRPr="00A25982">
        <w:rPr>
          <w:rFonts w:ascii="Arial" w:hAnsi="Arial" w:cs="Arial"/>
          <w:i/>
          <w:iCs/>
          <w:sz w:val="22"/>
          <w:szCs w:val="22"/>
          <w:lang w:eastAsia="en-GB"/>
        </w:rPr>
        <w:t>International Journal of Production Research</w:t>
      </w:r>
      <w:r w:rsidRPr="00A25982">
        <w:rPr>
          <w:rFonts w:ascii="Arial" w:hAnsi="Arial" w:cs="Arial"/>
          <w:sz w:val="22"/>
          <w:szCs w:val="22"/>
          <w:lang w:eastAsia="en-GB"/>
        </w:rPr>
        <w:t xml:space="preserve">, </w:t>
      </w:r>
      <w:r w:rsidRPr="00A25982">
        <w:rPr>
          <w:rFonts w:ascii="Arial" w:hAnsi="Arial" w:cs="Arial"/>
          <w:iCs/>
          <w:sz w:val="22"/>
          <w:szCs w:val="22"/>
          <w:lang w:eastAsia="en-GB"/>
        </w:rPr>
        <w:t>50</w:t>
      </w:r>
      <w:r w:rsidRPr="00A25982">
        <w:rPr>
          <w:rFonts w:ascii="Arial" w:hAnsi="Arial" w:cs="Arial"/>
          <w:sz w:val="22"/>
          <w:szCs w:val="22"/>
          <w:lang w:eastAsia="en-GB"/>
        </w:rPr>
        <w:t>(16), 4493-4523.</w:t>
      </w:r>
    </w:p>
    <w:p w14:paraId="27F5B156" w14:textId="77777777" w:rsidR="00F318A7" w:rsidRPr="00A25982" w:rsidRDefault="00F318A7" w:rsidP="00A25982">
      <w:pPr>
        <w:ind w:left="284" w:hanging="284"/>
        <w:jc w:val="both"/>
        <w:rPr>
          <w:rFonts w:ascii="Arial" w:hAnsi="Arial" w:cs="Arial"/>
          <w:sz w:val="22"/>
          <w:szCs w:val="22"/>
          <w:lang w:eastAsia="en-GB"/>
        </w:rPr>
      </w:pPr>
      <w:proofErr w:type="spellStart"/>
      <w:r w:rsidRPr="00A25982">
        <w:rPr>
          <w:rFonts w:ascii="Arial" w:hAnsi="Arial" w:cs="Arial"/>
          <w:sz w:val="22"/>
          <w:szCs w:val="22"/>
          <w:lang w:eastAsia="en-GB"/>
        </w:rPr>
        <w:lastRenderedPageBreak/>
        <w:t>Simangunsong</w:t>
      </w:r>
      <w:proofErr w:type="spellEnd"/>
      <w:r w:rsidRPr="00A25982">
        <w:rPr>
          <w:rFonts w:ascii="Arial" w:hAnsi="Arial" w:cs="Arial"/>
          <w:sz w:val="22"/>
          <w:szCs w:val="22"/>
          <w:lang w:eastAsia="en-GB"/>
        </w:rPr>
        <w:t xml:space="preserve">, E., Hendry, L.C., &amp; Stevenson, M. (2016). Managing supply chain uncertainty with emerging ethical issues. </w:t>
      </w:r>
      <w:r w:rsidRPr="00A25982">
        <w:rPr>
          <w:rFonts w:ascii="Arial" w:hAnsi="Arial" w:cs="Arial"/>
          <w:i/>
          <w:iCs/>
          <w:sz w:val="22"/>
          <w:szCs w:val="22"/>
          <w:lang w:eastAsia="en-GB"/>
        </w:rPr>
        <w:t>International Journal of Operations &amp; Production Management</w:t>
      </w:r>
      <w:r w:rsidRPr="00A25982">
        <w:rPr>
          <w:rFonts w:ascii="Arial" w:hAnsi="Arial" w:cs="Arial"/>
          <w:sz w:val="22"/>
          <w:szCs w:val="22"/>
          <w:lang w:eastAsia="en-GB"/>
        </w:rPr>
        <w:t xml:space="preserve">, </w:t>
      </w:r>
      <w:r w:rsidRPr="00A25982">
        <w:rPr>
          <w:rFonts w:ascii="Arial" w:hAnsi="Arial" w:cs="Arial"/>
          <w:iCs/>
          <w:sz w:val="22"/>
          <w:szCs w:val="22"/>
          <w:lang w:eastAsia="en-GB"/>
        </w:rPr>
        <w:t>36</w:t>
      </w:r>
      <w:r w:rsidRPr="00A25982">
        <w:rPr>
          <w:rFonts w:ascii="Arial" w:hAnsi="Arial" w:cs="Arial"/>
          <w:sz w:val="22"/>
          <w:szCs w:val="22"/>
          <w:lang w:eastAsia="en-GB"/>
        </w:rPr>
        <w:t>(10), 1272-1307.</w:t>
      </w:r>
    </w:p>
    <w:p w14:paraId="17A10524"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Stevenson, M., &amp; Busby, J. (2015). An exploratory analysis of counterfeiting strategies: Towards counterfeit-resilient supply chains. </w:t>
      </w:r>
      <w:r w:rsidRPr="00A25982">
        <w:rPr>
          <w:rFonts w:ascii="Arial" w:hAnsi="Arial" w:cs="Arial"/>
          <w:i/>
          <w:iCs/>
          <w:sz w:val="22"/>
          <w:szCs w:val="22"/>
        </w:rPr>
        <w:t>International Journal of Operations &amp; Production Management</w:t>
      </w:r>
      <w:r w:rsidRPr="00A25982">
        <w:rPr>
          <w:rFonts w:ascii="Arial" w:hAnsi="Arial" w:cs="Arial"/>
          <w:sz w:val="22"/>
          <w:szCs w:val="22"/>
        </w:rPr>
        <w:t xml:space="preserve">, </w:t>
      </w:r>
      <w:r w:rsidRPr="00A25982">
        <w:rPr>
          <w:rFonts w:ascii="Arial" w:hAnsi="Arial" w:cs="Arial"/>
          <w:iCs/>
          <w:sz w:val="22"/>
          <w:szCs w:val="22"/>
        </w:rPr>
        <w:t>35</w:t>
      </w:r>
      <w:r w:rsidRPr="00A25982">
        <w:rPr>
          <w:rFonts w:ascii="Arial" w:hAnsi="Arial" w:cs="Arial"/>
          <w:sz w:val="22"/>
          <w:szCs w:val="22"/>
        </w:rPr>
        <w:t>(1), 110-144.</w:t>
      </w:r>
    </w:p>
    <w:p w14:paraId="174EE1D7"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Stone, J., &amp; </w:t>
      </w:r>
      <w:proofErr w:type="spellStart"/>
      <w:r w:rsidRPr="00A25982">
        <w:rPr>
          <w:rFonts w:ascii="Arial" w:hAnsi="Arial" w:cs="Arial"/>
          <w:sz w:val="22"/>
          <w:szCs w:val="22"/>
        </w:rPr>
        <w:t>Rahimifard</w:t>
      </w:r>
      <w:proofErr w:type="spellEnd"/>
      <w:r w:rsidRPr="00A25982">
        <w:rPr>
          <w:rFonts w:ascii="Arial" w:hAnsi="Arial" w:cs="Arial"/>
          <w:sz w:val="22"/>
          <w:szCs w:val="22"/>
        </w:rPr>
        <w:t xml:space="preserve">, S. (2018). Resilience in agri-food supply chains: a critical analysis of the literature and synthesis of a novel framework. </w:t>
      </w:r>
      <w:r w:rsidRPr="00A25982">
        <w:rPr>
          <w:rFonts w:ascii="Arial" w:hAnsi="Arial" w:cs="Arial"/>
          <w:i/>
          <w:iCs/>
          <w:sz w:val="22"/>
          <w:szCs w:val="22"/>
        </w:rPr>
        <w:t>Supply Chain Management: An International Journal</w:t>
      </w:r>
      <w:r w:rsidRPr="00A25982">
        <w:rPr>
          <w:rFonts w:ascii="Arial" w:hAnsi="Arial" w:cs="Arial"/>
          <w:sz w:val="22"/>
          <w:szCs w:val="22"/>
        </w:rPr>
        <w:t>, https://doi.org/10.1108/SCM-06-2017-0201.</w:t>
      </w:r>
    </w:p>
    <w:p w14:paraId="483AAB94"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Tang, C. (2006a). Perspectives in supply chain risk management. </w:t>
      </w:r>
      <w:r w:rsidRPr="00A25982">
        <w:rPr>
          <w:rFonts w:ascii="Arial" w:hAnsi="Arial" w:cs="Arial"/>
          <w:i/>
          <w:sz w:val="22"/>
          <w:szCs w:val="22"/>
        </w:rPr>
        <w:t xml:space="preserve">International Journal of Production Economics, </w:t>
      </w:r>
      <w:r w:rsidRPr="00A25982">
        <w:rPr>
          <w:rFonts w:ascii="Arial" w:hAnsi="Arial" w:cs="Arial"/>
          <w:sz w:val="22"/>
          <w:szCs w:val="22"/>
        </w:rPr>
        <w:t>103(2), 451–488.</w:t>
      </w:r>
    </w:p>
    <w:p w14:paraId="0DD528A2"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Tang, C. (2006b). Robust strategies for mitigating supply chain disruptions. </w:t>
      </w:r>
      <w:r w:rsidRPr="00A25982">
        <w:rPr>
          <w:rFonts w:ascii="Arial" w:hAnsi="Arial" w:cs="Arial"/>
          <w:i/>
          <w:sz w:val="22"/>
          <w:szCs w:val="22"/>
        </w:rPr>
        <w:t>International Journal of Logistics: Research and Applications,</w:t>
      </w:r>
      <w:r w:rsidRPr="00A25982">
        <w:rPr>
          <w:rFonts w:ascii="Arial" w:hAnsi="Arial" w:cs="Arial"/>
          <w:sz w:val="22"/>
          <w:szCs w:val="22"/>
        </w:rPr>
        <w:t xml:space="preserve"> 9(1), 33–45.</w:t>
      </w:r>
    </w:p>
    <w:p w14:paraId="4584767D"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Teece, </w:t>
      </w:r>
      <w:proofErr w:type="spellStart"/>
      <w:r w:rsidRPr="00A25982">
        <w:rPr>
          <w:rFonts w:ascii="Arial" w:hAnsi="Arial" w:cs="Arial"/>
          <w:sz w:val="22"/>
          <w:szCs w:val="22"/>
        </w:rPr>
        <w:t>D.J</w:t>
      </w:r>
      <w:proofErr w:type="spellEnd"/>
      <w:r w:rsidRPr="00A25982">
        <w:rPr>
          <w:rFonts w:ascii="Arial" w:hAnsi="Arial" w:cs="Arial"/>
          <w:sz w:val="22"/>
          <w:szCs w:val="22"/>
        </w:rPr>
        <w:t xml:space="preserve">., (2007). Explicating dynamic capabilities: The nature and micro foundations of (sustainable) enterprise performance. </w:t>
      </w:r>
      <w:r w:rsidRPr="00A25982">
        <w:rPr>
          <w:rFonts w:ascii="Arial" w:hAnsi="Arial" w:cs="Arial"/>
          <w:i/>
          <w:sz w:val="22"/>
          <w:szCs w:val="22"/>
        </w:rPr>
        <w:t xml:space="preserve">Strategic Management Journal, </w:t>
      </w:r>
      <w:r w:rsidRPr="00A25982">
        <w:rPr>
          <w:rFonts w:ascii="Arial" w:hAnsi="Arial" w:cs="Arial"/>
          <w:sz w:val="22"/>
          <w:szCs w:val="22"/>
        </w:rPr>
        <w:t>28, 1319-1350.</w:t>
      </w:r>
    </w:p>
    <w:p w14:paraId="05C276A0" w14:textId="77777777" w:rsidR="00F318A7" w:rsidRPr="00A25982" w:rsidRDefault="00F318A7" w:rsidP="00A25982">
      <w:pPr>
        <w:pStyle w:val="BodyA"/>
        <w:spacing w:after="0" w:line="240" w:lineRule="auto"/>
        <w:ind w:left="284" w:hanging="284"/>
        <w:jc w:val="both"/>
        <w:rPr>
          <w:rStyle w:val="PageNumber"/>
          <w:rFonts w:ascii="Arial" w:hAnsi="Arial" w:cs="Arial"/>
          <w:color w:val="auto"/>
        </w:rPr>
      </w:pPr>
      <w:r w:rsidRPr="00A25982">
        <w:rPr>
          <w:rStyle w:val="PageNumber"/>
          <w:rFonts w:ascii="Arial" w:hAnsi="Arial" w:cs="Arial"/>
          <w:color w:val="auto"/>
        </w:rPr>
        <w:t xml:space="preserve">Teece, </w:t>
      </w:r>
      <w:proofErr w:type="spellStart"/>
      <w:r w:rsidRPr="00A25982">
        <w:rPr>
          <w:rStyle w:val="PageNumber"/>
          <w:rFonts w:ascii="Arial" w:hAnsi="Arial" w:cs="Arial"/>
          <w:color w:val="auto"/>
        </w:rPr>
        <w:t>D.J</w:t>
      </w:r>
      <w:proofErr w:type="spellEnd"/>
      <w:r w:rsidRPr="00A25982">
        <w:rPr>
          <w:rStyle w:val="PageNumber"/>
          <w:rFonts w:ascii="Arial" w:hAnsi="Arial" w:cs="Arial"/>
          <w:color w:val="auto"/>
        </w:rPr>
        <w:t xml:space="preserve">., Pisano, G. &amp; </w:t>
      </w:r>
      <w:proofErr w:type="spellStart"/>
      <w:r w:rsidRPr="00A25982">
        <w:rPr>
          <w:rStyle w:val="PageNumber"/>
          <w:rFonts w:ascii="Arial" w:hAnsi="Arial" w:cs="Arial"/>
          <w:color w:val="auto"/>
        </w:rPr>
        <w:t>Shuen</w:t>
      </w:r>
      <w:proofErr w:type="spellEnd"/>
      <w:r w:rsidRPr="00A25982">
        <w:rPr>
          <w:rStyle w:val="PageNumber"/>
          <w:rFonts w:ascii="Arial" w:hAnsi="Arial" w:cs="Arial"/>
          <w:color w:val="auto"/>
        </w:rPr>
        <w:t xml:space="preserve">, A., (1997). Dynamic capabilities and strategic management. </w:t>
      </w:r>
      <w:r w:rsidRPr="00A25982">
        <w:rPr>
          <w:rStyle w:val="PageNumber"/>
          <w:rFonts w:ascii="Arial" w:hAnsi="Arial" w:cs="Arial"/>
          <w:i/>
          <w:color w:val="auto"/>
        </w:rPr>
        <w:t>Strategic Management Journal</w:t>
      </w:r>
      <w:r w:rsidRPr="00A25982">
        <w:rPr>
          <w:rStyle w:val="PageNumber"/>
          <w:rFonts w:ascii="Arial" w:hAnsi="Arial" w:cs="Arial"/>
          <w:color w:val="auto"/>
        </w:rPr>
        <w:t>, 18(7), 509–533.</w:t>
      </w:r>
    </w:p>
    <w:p w14:paraId="104D8A1B"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Tukamuhabwa</w:t>
      </w:r>
      <w:proofErr w:type="spellEnd"/>
      <w:r w:rsidRPr="00A25982">
        <w:rPr>
          <w:rFonts w:ascii="Arial" w:hAnsi="Arial" w:cs="Arial"/>
          <w:sz w:val="22"/>
          <w:szCs w:val="22"/>
        </w:rPr>
        <w:t xml:space="preserve"> </w:t>
      </w:r>
      <w:proofErr w:type="spellStart"/>
      <w:r w:rsidRPr="00A25982">
        <w:rPr>
          <w:rFonts w:ascii="Arial" w:hAnsi="Arial" w:cs="Arial"/>
          <w:sz w:val="22"/>
          <w:szCs w:val="22"/>
        </w:rPr>
        <w:t>B.R</w:t>
      </w:r>
      <w:proofErr w:type="spellEnd"/>
      <w:r w:rsidRPr="00A25982">
        <w:rPr>
          <w:rFonts w:ascii="Arial" w:hAnsi="Arial" w:cs="Arial"/>
          <w:sz w:val="22"/>
          <w:szCs w:val="22"/>
        </w:rPr>
        <w:t xml:space="preserve">, Stevenson M., Busby J. &amp; </w:t>
      </w:r>
      <w:proofErr w:type="spellStart"/>
      <w:r w:rsidRPr="00A25982">
        <w:rPr>
          <w:rFonts w:ascii="Arial" w:hAnsi="Arial" w:cs="Arial"/>
          <w:sz w:val="22"/>
          <w:szCs w:val="22"/>
        </w:rPr>
        <w:t>Zorzini</w:t>
      </w:r>
      <w:proofErr w:type="spellEnd"/>
      <w:r w:rsidRPr="00A25982">
        <w:rPr>
          <w:rFonts w:ascii="Arial" w:hAnsi="Arial" w:cs="Arial"/>
          <w:sz w:val="22"/>
          <w:szCs w:val="22"/>
        </w:rPr>
        <w:t xml:space="preserve"> M., (2015). Supply chain resilience: definition, review and theoretical foundations for future studies. </w:t>
      </w:r>
      <w:r w:rsidRPr="00A25982">
        <w:rPr>
          <w:rFonts w:ascii="Arial" w:hAnsi="Arial" w:cs="Arial"/>
          <w:i/>
          <w:sz w:val="22"/>
          <w:szCs w:val="22"/>
        </w:rPr>
        <w:t>International Journal of Production Research,</w:t>
      </w:r>
      <w:r w:rsidRPr="00A25982">
        <w:rPr>
          <w:rFonts w:ascii="Arial" w:hAnsi="Arial" w:cs="Arial"/>
          <w:sz w:val="22"/>
          <w:szCs w:val="22"/>
        </w:rPr>
        <w:t xml:space="preserve"> 53(18), 5592-5623.</w:t>
      </w:r>
    </w:p>
    <w:p w14:paraId="09B7E735" w14:textId="77777777" w:rsidR="00F318A7" w:rsidRPr="00A25982" w:rsidRDefault="00F318A7" w:rsidP="00A25982">
      <w:pPr>
        <w:ind w:left="284" w:hanging="284"/>
        <w:jc w:val="both"/>
        <w:rPr>
          <w:rFonts w:ascii="Arial" w:hAnsi="Arial" w:cs="Arial"/>
          <w:sz w:val="22"/>
          <w:szCs w:val="22"/>
        </w:rPr>
      </w:pPr>
      <w:proofErr w:type="spellStart"/>
      <w:r w:rsidRPr="00A25982">
        <w:rPr>
          <w:rFonts w:ascii="Arial" w:hAnsi="Arial" w:cs="Arial"/>
          <w:sz w:val="22"/>
          <w:szCs w:val="22"/>
        </w:rPr>
        <w:t>Tukamuhabwa</w:t>
      </w:r>
      <w:proofErr w:type="spellEnd"/>
      <w:r w:rsidRPr="00A25982">
        <w:rPr>
          <w:rFonts w:ascii="Arial" w:hAnsi="Arial" w:cs="Arial"/>
          <w:sz w:val="22"/>
          <w:szCs w:val="22"/>
        </w:rPr>
        <w:t xml:space="preserve">, B., Stevenson, M., &amp; Busby, J. (2017). Supply chain resilience in a developing country context: a case study on the interconnectedness of threats, strategies and outcomes. </w:t>
      </w:r>
      <w:r w:rsidRPr="00A25982">
        <w:rPr>
          <w:rFonts w:ascii="Arial" w:hAnsi="Arial" w:cs="Arial"/>
          <w:i/>
          <w:iCs/>
          <w:sz w:val="22"/>
          <w:szCs w:val="22"/>
        </w:rPr>
        <w:t>Supply Chain Management: An International Journal</w:t>
      </w:r>
      <w:r w:rsidRPr="00A25982">
        <w:rPr>
          <w:rFonts w:ascii="Arial" w:hAnsi="Arial" w:cs="Arial"/>
          <w:sz w:val="22"/>
          <w:szCs w:val="22"/>
        </w:rPr>
        <w:t xml:space="preserve">, </w:t>
      </w:r>
      <w:r w:rsidRPr="00A25982">
        <w:rPr>
          <w:rFonts w:ascii="Arial" w:hAnsi="Arial" w:cs="Arial"/>
          <w:iCs/>
          <w:sz w:val="22"/>
          <w:szCs w:val="22"/>
        </w:rPr>
        <w:t>22</w:t>
      </w:r>
      <w:r w:rsidRPr="00A25982">
        <w:rPr>
          <w:rFonts w:ascii="Arial" w:hAnsi="Arial" w:cs="Arial"/>
          <w:sz w:val="22"/>
          <w:szCs w:val="22"/>
        </w:rPr>
        <w:t>(6), 486-505.</w:t>
      </w:r>
    </w:p>
    <w:p w14:paraId="6F2D94F9" w14:textId="77777777" w:rsidR="00F318A7" w:rsidRPr="00A25982" w:rsidRDefault="00F318A7" w:rsidP="00A25982">
      <w:pPr>
        <w:ind w:left="284" w:hanging="284"/>
        <w:jc w:val="both"/>
        <w:rPr>
          <w:rFonts w:ascii="Arial" w:hAnsi="Arial" w:cs="Arial"/>
          <w:sz w:val="22"/>
          <w:szCs w:val="22"/>
          <w:lang w:val="de-DE"/>
        </w:rPr>
      </w:pPr>
      <w:proofErr w:type="spellStart"/>
      <w:r w:rsidRPr="00A25982">
        <w:rPr>
          <w:rFonts w:ascii="Arial" w:hAnsi="Arial" w:cs="Arial"/>
          <w:sz w:val="22"/>
          <w:szCs w:val="22"/>
        </w:rPr>
        <w:t>Urciuoli</w:t>
      </w:r>
      <w:proofErr w:type="spellEnd"/>
      <w:r w:rsidRPr="00A25982">
        <w:rPr>
          <w:rFonts w:ascii="Arial" w:hAnsi="Arial" w:cs="Arial"/>
          <w:sz w:val="22"/>
          <w:szCs w:val="22"/>
        </w:rPr>
        <w:t xml:space="preserve">, L., Mohanty, S., </w:t>
      </w:r>
      <w:proofErr w:type="spellStart"/>
      <w:r w:rsidRPr="00A25982">
        <w:rPr>
          <w:rFonts w:ascii="Arial" w:hAnsi="Arial" w:cs="Arial"/>
          <w:sz w:val="22"/>
          <w:szCs w:val="22"/>
        </w:rPr>
        <w:t>Hintsa</w:t>
      </w:r>
      <w:proofErr w:type="spellEnd"/>
      <w:r w:rsidRPr="00A25982">
        <w:rPr>
          <w:rFonts w:ascii="Arial" w:hAnsi="Arial" w:cs="Arial"/>
          <w:sz w:val="22"/>
          <w:szCs w:val="22"/>
        </w:rPr>
        <w:t xml:space="preserve">, J., &amp; </w:t>
      </w:r>
      <w:proofErr w:type="spellStart"/>
      <w:r w:rsidRPr="00A25982">
        <w:rPr>
          <w:rFonts w:ascii="Arial" w:hAnsi="Arial" w:cs="Arial"/>
          <w:sz w:val="22"/>
          <w:szCs w:val="22"/>
        </w:rPr>
        <w:t>Boekesteijn</w:t>
      </w:r>
      <w:proofErr w:type="spellEnd"/>
      <w:r w:rsidRPr="00A25982">
        <w:rPr>
          <w:rFonts w:ascii="Arial" w:hAnsi="Arial" w:cs="Arial"/>
          <w:sz w:val="22"/>
          <w:szCs w:val="22"/>
        </w:rPr>
        <w:t xml:space="preserve">, E., (2014). The resilience of energy supply chains: A multiple case study approach on oil and gas supply chains to Europe. </w:t>
      </w:r>
      <w:r w:rsidRPr="00A25982">
        <w:rPr>
          <w:rFonts w:ascii="Arial" w:hAnsi="Arial" w:cs="Arial"/>
          <w:i/>
          <w:sz w:val="22"/>
          <w:szCs w:val="22"/>
          <w:lang w:val="de-DE"/>
        </w:rPr>
        <w:t>Supply Chain Management: An International Journal</w:t>
      </w:r>
      <w:r w:rsidRPr="00A25982">
        <w:rPr>
          <w:rFonts w:ascii="Arial" w:hAnsi="Arial" w:cs="Arial"/>
          <w:sz w:val="22"/>
          <w:szCs w:val="22"/>
          <w:lang w:val="de-DE"/>
        </w:rPr>
        <w:t>, 19(1), 46–63.</w:t>
      </w:r>
    </w:p>
    <w:p w14:paraId="42B9018E" w14:textId="7F2121A7" w:rsidR="00F318A7" w:rsidRPr="00A25982" w:rsidRDefault="00F318A7" w:rsidP="00A25982">
      <w:pPr>
        <w:ind w:left="284" w:hanging="284"/>
        <w:jc w:val="both"/>
        <w:rPr>
          <w:rFonts w:ascii="Arial" w:hAnsi="Arial" w:cs="Arial"/>
          <w:vanish/>
          <w:sz w:val="22"/>
          <w:szCs w:val="22"/>
          <w:lang w:val="de-DE"/>
        </w:rPr>
      </w:pPr>
      <w:r w:rsidRPr="00A25982">
        <w:rPr>
          <w:rFonts w:ascii="Arial" w:hAnsi="Arial" w:cs="Arial"/>
          <w:sz w:val="22"/>
          <w:szCs w:val="22"/>
          <w:lang w:val="de-DE"/>
        </w:rPr>
        <w:t xml:space="preserve">Van der Vegt G.S., </w:t>
      </w:r>
      <w:r w:rsidRPr="00A25982">
        <w:rPr>
          <w:rFonts w:ascii="Arial" w:hAnsi="Arial" w:cs="Arial"/>
          <w:lang w:val="de-DE"/>
        </w:rPr>
        <w:t>Essens</w:t>
      </w:r>
      <w:r w:rsidRPr="00A25982">
        <w:rPr>
          <w:rFonts w:ascii="Arial" w:hAnsi="Arial" w:cs="Arial"/>
          <w:sz w:val="22"/>
          <w:szCs w:val="22"/>
          <w:lang w:val="de-DE"/>
        </w:rPr>
        <w:t>, P.,</w:t>
      </w:r>
      <w:r w:rsidRPr="00A25982">
        <w:rPr>
          <w:rFonts w:ascii="Arial" w:hAnsi="Arial" w:cs="Arial"/>
          <w:lang w:val="de-DE"/>
        </w:rPr>
        <w:t xml:space="preserve"> Wahlström</w:t>
      </w:r>
      <w:r w:rsidRPr="00A25982">
        <w:rPr>
          <w:rFonts w:ascii="Arial" w:hAnsi="Arial" w:cs="Arial"/>
          <w:sz w:val="22"/>
          <w:szCs w:val="22"/>
          <w:lang w:val="de-DE"/>
        </w:rPr>
        <w:t xml:space="preserve">, M., &amp; </w:t>
      </w:r>
    </w:p>
    <w:p w14:paraId="4E7D6A0B" w14:textId="425ED6FC"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lang w:val="en"/>
        </w:rPr>
        <w:t>George, G.</w:t>
      </w:r>
      <w:r w:rsidRPr="00A25982">
        <w:rPr>
          <w:rFonts w:ascii="Arial" w:hAnsi="Arial" w:cs="Arial"/>
          <w:sz w:val="22"/>
          <w:szCs w:val="22"/>
        </w:rPr>
        <w:t xml:space="preserve">, (2015), Managing Risk and Resilience. </w:t>
      </w:r>
      <w:r w:rsidRPr="00A25982">
        <w:rPr>
          <w:rFonts w:ascii="Arial" w:hAnsi="Arial" w:cs="Arial"/>
          <w:i/>
          <w:sz w:val="22"/>
          <w:szCs w:val="22"/>
        </w:rPr>
        <w:t>Academy of Management Journal,</w:t>
      </w:r>
      <w:r w:rsidRPr="00A25982">
        <w:rPr>
          <w:rFonts w:ascii="Arial" w:hAnsi="Arial" w:cs="Arial"/>
          <w:sz w:val="22"/>
          <w:szCs w:val="22"/>
        </w:rPr>
        <w:t xml:space="preserve"> 58(4), 971–980. </w:t>
      </w:r>
    </w:p>
    <w:p w14:paraId="3C5A1072" w14:textId="77777777" w:rsidR="00F318A7" w:rsidRPr="00A25982" w:rsidRDefault="00F318A7" w:rsidP="00A25982">
      <w:pPr>
        <w:ind w:left="284" w:hanging="284"/>
        <w:jc w:val="both"/>
        <w:rPr>
          <w:rFonts w:ascii="Arial" w:hAnsi="Arial" w:cs="Arial"/>
          <w:sz w:val="22"/>
          <w:szCs w:val="22"/>
          <w:lang w:eastAsia="en-GB"/>
        </w:rPr>
      </w:pPr>
      <w:r w:rsidRPr="00A25982">
        <w:rPr>
          <w:rFonts w:ascii="Arial" w:hAnsi="Arial" w:cs="Arial"/>
          <w:sz w:val="22"/>
          <w:szCs w:val="22"/>
          <w:lang w:eastAsia="en-GB"/>
        </w:rPr>
        <w:t xml:space="preserve">Van der Vorst, </w:t>
      </w:r>
      <w:proofErr w:type="spellStart"/>
      <w:r w:rsidRPr="00A25982">
        <w:rPr>
          <w:rFonts w:ascii="Arial" w:hAnsi="Arial" w:cs="Arial"/>
          <w:sz w:val="22"/>
          <w:szCs w:val="22"/>
          <w:lang w:eastAsia="en-GB"/>
        </w:rPr>
        <w:t>J.G.A.J</w:t>
      </w:r>
      <w:proofErr w:type="spellEnd"/>
      <w:r w:rsidRPr="00A25982">
        <w:rPr>
          <w:rFonts w:ascii="Arial" w:hAnsi="Arial" w:cs="Arial"/>
          <w:sz w:val="22"/>
          <w:szCs w:val="22"/>
          <w:lang w:eastAsia="en-GB"/>
        </w:rPr>
        <w:t xml:space="preserve">., </w:t>
      </w:r>
      <w:proofErr w:type="spellStart"/>
      <w:r w:rsidRPr="00A25982">
        <w:rPr>
          <w:rFonts w:ascii="Arial" w:hAnsi="Arial" w:cs="Arial"/>
          <w:sz w:val="22"/>
          <w:szCs w:val="22"/>
          <w:lang w:eastAsia="en-GB"/>
        </w:rPr>
        <w:t>Beulens</w:t>
      </w:r>
      <w:proofErr w:type="spellEnd"/>
      <w:r w:rsidRPr="00A25982">
        <w:rPr>
          <w:rFonts w:ascii="Arial" w:hAnsi="Arial" w:cs="Arial"/>
          <w:sz w:val="22"/>
          <w:szCs w:val="22"/>
          <w:lang w:eastAsia="en-GB"/>
        </w:rPr>
        <w:t xml:space="preserve">, </w:t>
      </w:r>
      <w:proofErr w:type="spellStart"/>
      <w:r w:rsidRPr="00A25982">
        <w:rPr>
          <w:rFonts w:ascii="Arial" w:hAnsi="Arial" w:cs="Arial"/>
          <w:sz w:val="22"/>
          <w:szCs w:val="22"/>
          <w:lang w:eastAsia="en-GB"/>
        </w:rPr>
        <w:t>A.J</w:t>
      </w:r>
      <w:proofErr w:type="spellEnd"/>
      <w:r w:rsidRPr="00A25982">
        <w:rPr>
          <w:rFonts w:ascii="Arial" w:hAnsi="Arial" w:cs="Arial"/>
          <w:sz w:val="22"/>
          <w:szCs w:val="22"/>
          <w:lang w:eastAsia="en-GB"/>
        </w:rPr>
        <w:t xml:space="preserve">., Wit, </w:t>
      </w:r>
      <w:proofErr w:type="spellStart"/>
      <w:r w:rsidRPr="00A25982">
        <w:rPr>
          <w:rFonts w:ascii="Arial" w:hAnsi="Arial" w:cs="Arial"/>
          <w:sz w:val="22"/>
          <w:szCs w:val="22"/>
          <w:lang w:eastAsia="en-GB"/>
        </w:rPr>
        <w:t>W.D</w:t>
      </w:r>
      <w:proofErr w:type="spellEnd"/>
      <w:r w:rsidRPr="00A25982">
        <w:rPr>
          <w:rFonts w:ascii="Arial" w:hAnsi="Arial" w:cs="Arial"/>
          <w:sz w:val="22"/>
          <w:szCs w:val="22"/>
          <w:lang w:eastAsia="en-GB"/>
        </w:rPr>
        <w:t xml:space="preserve">., &amp; </w:t>
      </w:r>
      <w:proofErr w:type="spellStart"/>
      <w:r w:rsidRPr="00A25982">
        <w:rPr>
          <w:rFonts w:ascii="Arial" w:hAnsi="Arial" w:cs="Arial"/>
          <w:sz w:val="22"/>
          <w:szCs w:val="22"/>
          <w:lang w:eastAsia="en-GB"/>
        </w:rPr>
        <w:t>Beek</w:t>
      </w:r>
      <w:proofErr w:type="spellEnd"/>
      <w:r w:rsidRPr="00A25982">
        <w:rPr>
          <w:rFonts w:ascii="Arial" w:hAnsi="Arial" w:cs="Arial"/>
          <w:sz w:val="22"/>
          <w:szCs w:val="22"/>
          <w:lang w:eastAsia="en-GB"/>
        </w:rPr>
        <w:t xml:space="preserve">, </w:t>
      </w:r>
      <w:proofErr w:type="spellStart"/>
      <w:r w:rsidRPr="00A25982">
        <w:rPr>
          <w:rFonts w:ascii="Arial" w:hAnsi="Arial" w:cs="Arial"/>
          <w:sz w:val="22"/>
          <w:szCs w:val="22"/>
          <w:lang w:eastAsia="en-GB"/>
        </w:rPr>
        <w:t>P.V</w:t>
      </w:r>
      <w:proofErr w:type="spellEnd"/>
      <w:r w:rsidRPr="00A25982">
        <w:rPr>
          <w:rFonts w:ascii="Arial" w:hAnsi="Arial" w:cs="Arial"/>
          <w:sz w:val="22"/>
          <w:szCs w:val="22"/>
          <w:lang w:eastAsia="en-GB"/>
        </w:rPr>
        <w:t xml:space="preserve">. (1998). Supply chain management in food chains: Improving performance by reducing uncertainty. </w:t>
      </w:r>
      <w:r w:rsidRPr="00A25982">
        <w:rPr>
          <w:rFonts w:ascii="Arial" w:hAnsi="Arial" w:cs="Arial"/>
          <w:i/>
          <w:iCs/>
          <w:sz w:val="22"/>
          <w:szCs w:val="22"/>
          <w:lang w:eastAsia="en-GB"/>
        </w:rPr>
        <w:t>International Transactions in Operational Research</w:t>
      </w:r>
      <w:r w:rsidRPr="00A25982">
        <w:rPr>
          <w:rFonts w:ascii="Arial" w:hAnsi="Arial" w:cs="Arial"/>
          <w:sz w:val="22"/>
          <w:szCs w:val="22"/>
          <w:lang w:eastAsia="en-GB"/>
        </w:rPr>
        <w:t xml:space="preserve">, </w:t>
      </w:r>
      <w:r w:rsidRPr="00A25982">
        <w:rPr>
          <w:rFonts w:ascii="Arial" w:hAnsi="Arial" w:cs="Arial"/>
          <w:iCs/>
          <w:sz w:val="22"/>
          <w:szCs w:val="22"/>
          <w:lang w:eastAsia="en-GB"/>
        </w:rPr>
        <w:t>5</w:t>
      </w:r>
      <w:r w:rsidRPr="00A25982">
        <w:rPr>
          <w:rFonts w:ascii="Arial" w:hAnsi="Arial" w:cs="Arial"/>
          <w:sz w:val="22"/>
          <w:szCs w:val="22"/>
          <w:lang w:eastAsia="en-GB"/>
        </w:rPr>
        <w:t>(6), 487-499.</w:t>
      </w:r>
    </w:p>
    <w:p w14:paraId="6635C732"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Voss, C., Johnson, M. &amp; Godsell, J., (2016). Case Research. In: Karlsson, C. (Ed), </w:t>
      </w:r>
      <w:r w:rsidRPr="00A25982">
        <w:rPr>
          <w:rFonts w:ascii="Arial" w:hAnsi="Arial" w:cs="Arial"/>
          <w:i/>
          <w:sz w:val="22"/>
          <w:szCs w:val="22"/>
        </w:rPr>
        <w:t>Research Methods for Operations Management,</w:t>
      </w:r>
      <w:r w:rsidRPr="00A25982">
        <w:rPr>
          <w:rFonts w:ascii="Arial" w:hAnsi="Arial" w:cs="Arial"/>
          <w:sz w:val="22"/>
          <w:szCs w:val="22"/>
        </w:rPr>
        <w:t xml:space="preserve"> 2</w:t>
      </w:r>
      <w:r w:rsidRPr="00A25982">
        <w:rPr>
          <w:rFonts w:ascii="Arial" w:hAnsi="Arial" w:cs="Arial"/>
          <w:sz w:val="22"/>
          <w:szCs w:val="22"/>
          <w:vertAlign w:val="superscript"/>
        </w:rPr>
        <w:t>nd</w:t>
      </w:r>
      <w:r w:rsidRPr="00A25982">
        <w:rPr>
          <w:rFonts w:ascii="Arial" w:hAnsi="Arial" w:cs="Arial"/>
          <w:sz w:val="22"/>
          <w:szCs w:val="22"/>
        </w:rPr>
        <w:t xml:space="preserve"> Edition, Routledge, New York, 165-197.</w:t>
      </w:r>
    </w:p>
    <w:p w14:paraId="3827A494" w14:textId="77777777" w:rsidR="00F318A7" w:rsidRPr="00A25982" w:rsidRDefault="00F318A7" w:rsidP="00A25982">
      <w:pPr>
        <w:ind w:left="284" w:hanging="284"/>
        <w:jc w:val="both"/>
        <w:rPr>
          <w:rFonts w:ascii="Arial" w:hAnsi="Arial" w:cs="Arial"/>
          <w:sz w:val="22"/>
          <w:szCs w:val="22"/>
          <w:lang w:eastAsia="en-GB"/>
        </w:rPr>
      </w:pPr>
      <w:r w:rsidRPr="00A25982">
        <w:rPr>
          <w:rFonts w:ascii="Arial" w:hAnsi="Arial" w:cs="Arial"/>
          <w:sz w:val="22"/>
          <w:szCs w:val="22"/>
          <w:lang w:val="de-DE" w:eastAsia="en-GB"/>
        </w:rPr>
        <w:t xml:space="preserve">Vlajic, J.V., Van der Vorst, J.G., &amp; Haijema, R. (2012). </w:t>
      </w:r>
      <w:r w:rsidRPr="00A25982">
        <w:rPr>
          <w:rFonts w:ascii="Arial" w:hAnsi="Arial" w:cs="Arial"/>
          <w:sz w:val="22"/>
          <w:szCs w:val="22"/>
          <w:lang w:eastAsia="en-GB"/>
        </w:rPr>
        <w:t xml:space="preserve">A framework for designing robust food supply chains. </w:t>
      </w:r>
      <w:r w:rsidRPr="00A25982">
        <w:rPr>
          <w:rFonts w:ascii="Arial" w:hAnsi="Arial" w:cs="Arial"/>
          <w:i/>
          <w:iCs/>
          <w:sz w:val="22"/>
          <w:szCs w:val="22"/>
          <w:lang w:eastAsia="en-GB"/>
        </w:rPr>
        <w:t>International Journal of Production Economics</w:t>
      </w:r>
      <w:r w:rsidRPr="00A25982">
        <w:rPr>
          <w:rFonts w:ascii="Arial" w:hAnsi="Arial" w:cs="Arial"/>
          <w:sz w:val="22"/>
          <w:szCs w:val="22"/>
          <w:lang w:eastAsia="en-GB"/>
        </w:rPr>
        <w:t xml:space="preserve">, </w:t>
      </w:r>
      <w:r w:rsidRPr="00A25982">
        <w:rPr>
          <w:rFonts w:ascii="Arial" w:hAnsi="Arial" w:cs="Arial"/>
          <w:iCs/>
          <w:sz w:val="22"/>
          <w:szCs w:val="22"/>
          <w:lang w:eastAsia="en-GB"/>
        </w:rPr>
        <w:t>137</w:t>
      </w:r>
      <w:r w:rsidRPr="00A25982">
        <w:rPr>
          <w:rFonts w:ascii="Arial" w:hAnsi="Arial" w:cs="Arial"/>
          <w:sz w:val="22"/>
          <w:szCs w:val="22"/>
          <w:lang w:eastAsia="en-GB"/>
        </w:rPr>
        <w:t>(1), 176-189.</w:t>
      </w:r>
    </w:p>
    <w:p w14:paraId="63E18C51"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Wang, X., </w:t>
      </w:r>
      <w:proofErr w:type="spellStart"/>
      <w:r w:rsidRPr="00A25982">
        <w:rPr>
          <w:rFonts w:ascii="Arial" w:hAnsi="Arial" w:cs="Arial"/>
          <w:sz w:val="22"/>
          <w:szCs w:val="22"/>
        </w:rPr>
        <w:t>Herty</w:t>
      </w:r>
      <w:proofErr w:type="spellEnd"/>
      <w:r w:rsidRPr="00A25982">
        <w:rPr>
          <w:rFonts w:ascii="Arial" w:hAnsi="Arial" w:cs="Arial"/>
          <w:sz w:val="22"/>
          <w:szCs w:val="22"/>
        </w:rPr>
        <w:t xml:space="preserve">, M., &amp; Zhao, L. (2016). Contingent rerouting for enhancing supply chain resilience from supplier </w:t>
      </w:r>
      <w:proofErr w:type="spellStart"/>
      <w:r w:rsidRPr="00A25982">
        <w:rPr>
          <w:rFonts w:ascii="Arial" w:hAnsi="Arial" w:cs="Arial"/>
          <w:sz w:val="22"/>
          <w:szCs w:val="22"/>
        </w:rPr>
        <w:t>behavior</w:t>
      </w:r>
      <w:proofErr w:type="spellEnd"/>
      <w:r w:rsidRPr="00A25982">
        <w:rPr>
          <w:rFonts w:ascii="Arial" w:hAnsi="Arial" w:cs="Arial"/>
          <w:sz w:val="22"/>
          <w:szCs w:val="22"/>
        </w:rPr>
        <w:t xml:space="preserve"> perspective. </w:t>
      </w:r>
      <w:r w:rsidRPr="00A25982">
        <w:rPr>
          <w:rFonts w:ascii="Arial" w:hAnsi="Arial" w:cs="Arial"/>
          <w:i/>
          <w:iCs/>
          <w:sz w:val="22"/>
          <w:szCs w:val="22"/>
        </w:rPr>
        <w:t>International Transactions in Operational Research</w:t>
      </w:r>
      <w:r w:rsidRPr="00A25982">
        <w:rPr>
          <w:rFonts w:ascii="Arial" w:hAnsi="Arial" w:cs="Arial"/>
          <w:sz w:val="22"/>
          <w:szCs w:val="22"/>
        </w:rPr>
        <w:t xml:space="preserve">, </w:t>
      </w:r>
      <w:r w:rsidRPr="00A25982">
        <w:rPr>
          <w:rFonts w:ascii="Arial" w:hAnsi="Arial" w:cs="Arial"/>
          <w:iCs/>
          <w:sz w:val="22"/>
          <w:szCs w:val="22"/>
        </w:rPr>
        <w:t>23</w:t>
      </w:r>
      <w:r w:rsidRPr="00A25982">
        <w:rPr>
          <w:rFonts w:ascii="Arial" w:hAnsi="Arial" w:cs="Arial"/>
          <w:sz w:val="22"/>
          <w:szCs w:val="22"/>
        </w:rPr>
        <w:t>(4), 775-796.</w:t>
      </w:r>
    </w:p>
    <w:p w14:paraId="5ED0F55D" w14:textId="77777777" w:rsidR="00F318A7" w:rsidRPr="00A25982" w:rsidRDefault="00F318A7" w:rsidP="00A25982">
      <w:pPr>
        <w:ind w:left="284" w:hanging="284"/>
        <w:jc w:val="both"/>
        <w:rPr>
          <w:rFonts w:ascii="Arial" w:hAnsi="Arial" w:cs="Arial"/>
          <w:sz w:val="22"/>
          <w:szCs w:val="22"/>
        </w:rPr>
      </w:pPr>
      <w:r w:rsidRPr="00A25982">
        <w:rPr>
          <w:rFonts w:ascii="Arial" w:hAnsi="Arial" w:cs="Arial"/>
          <w:sz w:val="22"/>
          <w:szCs w:val="22"/>
        </w:rPr>
        <w:t xml:space="preserve">Wieland, A. &amp; </w:t>
      </w:r>
      <w:proofErr w:type="spellStart"/>
      <w:r w:rsidRPr="00A25982">
        <w:rPr>
          <w:rFonts w:ascii="Arial" w:hAnsi="Arial" w:cs="Arial"/>
          <w:sz w:val="22"/>
          <w:szCs w:val="22"/>
        </w:rPr>
        <w:t>Wallenburg</w:t>
      </w:r>
      <w:proofErr w:type="spellEnd"/>
      <w:r w:rsidRPr="00A25982">
        <w:rPr>
          <w:rFonts w:ascii="Arial" w:hAnsi="Arial" w:cs="Arial"/>
          <w:sz w:val="22"/>
          <w:szCs w:val="22"/>
        </w:rPr>
        <w:t xml:space="preserve">, C. (2013). The influence of relational competencies on supply chain resilience: A relational view. </w:t>
      </w:r>
      <w:r w:rsidRPr="00A25982">
        <w:rPr>
          <w:rFonts w:ascii="Arial" w:hAnsi="Arial" w:cs="Arial"/>
          <w:i/>
          <w:sz w:val="22"/>
          <w:szCs w:val="22"/>
        </w:rPr>
        <w:t>International Journal of Physical Distribution &amp; Logistics Management,</w:t>
      </w:r>
      <w:r w:rsidRPr="00A25982">
        <w:rPr>
          <w:rFonts w:ascii="Arial" w:hAnsi="Arial" w:cs="Arial"/>
          <w:sz w:val="22"/>
          <w:szCs w:val="22"/>
        </w:rPr>
        <w:t xml:space="preserve"> 43(4), 300 – 320.</w:t>
      </w:r>
    </w:p>
    <w:p w14:paraId="1161C6E2" w14:textId="77777777" w:rsidR="00F318A7" w:rsidRPr="00A25982" w:rsidRDefault="00F318A7" w:rsidP="00A25982">
      <w:pPr>
        <w:ind w:left="284" w:hanging="284"/>
        <w:jc w:val="both"/>
        <w:rPr>
          <w:rFonts w:ascii="Arial" w:hAnsi="Arial" w:cs="Arial"/>
          <w:i/>
          <w:sz w:val="22"/>
          <w:szCs w:val="22"/>
        </w:rPr>
      </w:pPr>
      <w:r w:rsidRPr="00A25982">
        <w:rPr>
          <w:rFonts w:ascii="Arial" w:hAnsi="Arial" w:cs="Arial"/>
          <w:sz w:val="22"/>
          <w:szCs w:val="22"/>
        </w:rPr>
        <w:t xml:space="preserve">Wilhelm, M., </w:t>
      </w:r>
      <w:proofErr w:type="spellStart"/>
      <w:r w:rsidRPr="00A25982">
        <w:rPr>
          <w:rFonts w:ascii="Arial" w:hAnsi="Arial" w:cs="Arial"/>
          <w:sz w:val="22"/>
          <w:szCs w:val="22"/>
        </w:rPr>
        <w:t>Blome</w:t>
      </w:r>
      <w:proofErr w:type="spellEnd"/>
      <w:r w:rsidRPr="00A25982">
        <w:rPr>
          <w:rFonts w:ascii="Arial" w:hAnsi="Arial" w:cs="Arial"/>
          <w:sz w:val="22"/>
          <w:szCs w:val="22"/>
        </w:rPr>
        <w:t xml:space="preserve">, C., Weick, E. &amp; Xiao, </w:t>
      </w:r>
      <w:proofErr w:type="spellStart"/>
      <w:r w:rsidRPr="00A25982">
        <w:rPr>
          <w:rFonts w:ascii="Arial" w:hAnsi="Arial" w:cs="Arial"/>
          <w:sz w:val="22"/>
          <w:szCs w:val="22"/>
        </w:rPr>
        <w:t>C.Y</w:t>
      </w:r>
      <w:proofErr w:type="spellEnd"/>
      <w:r w:rsidRPr="00A25982">
        <w:rPr>
          <w:rFonts w:ascii="Arial" w:hAnsi="Arial" w:cs="Arial"/>
          <w:sz w:val="22"/>
          <w:szCs w:val="22"/>
        </w:rPr>
        <w:t xml:space="preserve">. (2016). Implementing sustainability in multi-tier supply chains: Strategies and contingencies in managing sub-suppliers.  </w:t>
      </w:r>
      <w:r w:rsidRPr="00A25982">
        <w:rPr>
          <w:rFonts w:ascii="Arial" w:hAnsi="Arial" w:cs="Arial"/>
          <w:i/>
          <w:sz w:val="22"/>
          <w:szCs w:val="22"/>
        </w:rPr>
        <w:t>International Journal of Production Economics</w:t>
      </w:r>
      <w:r w:rsidRPr="00A25982">
        <w:rPr>
          <w:rFonts w:ascii="Arial" w:hAnsi="Arial" w:cs="Arial"/>
          <w:sz w:val="22"/>
          <w:szCs w:val="22"/>
        </w:rPr>
        <w:t>, 182, 196-212.</w:t>
      </w:r>
    </w:p>
    <w:p w14:paraId="6F177443" w14:textId="758544DE" w:rsidR="00F318A7" w:rsidRPr="00A25982" w:rsidRDefault="00F318A7" w:rsidP="00A25982">
      <w:pPr>
        <w:autoSpaceDE w:val="0"/>
        <w:autoSpaceDN w:val="0"/>
        <w:adjustRightInd w:val="0"/>
        <w:ind w:left="284" w:hanging="284"/>
        <w:jc w:val="both"/>
        <w:rPr>
          <w:rFonts w:ascii="Arial" w:hAnsi="Arial" w:cs="Arial"/>
          <w:sz w:val="22"/>
          <w:szCs w:val="22"/>
        </w:rPr>
      </w:pPr>
      <w:r w:rsidRPr="00A25982">
        <w:rPr>
          <w:rFonts w:ascii="Arial" w:hAnsi="Arial" w:cs="Arial"/>
          <w:sz w:val="22"/>
          <w:szCs w:val="22"/>
        </w:rPr>
        <w:t xml:space="preserve">Yin, </w:t>
      </w:r>
      <w:proofErr w:type="spellStart"/>
      <w:r w:rsidRPr="00A25982">
        <w:rPr>
          <w:rFonts w:ascii="Arial" w:hAnsi="Arial" w:cs="Arial"/>
          <w:sz w:val="22"/>
          <w:szCs w:val="22"/>
        </w:rPr>
        <w:t>R.K</w:t>
      </w:r>
      <w:proofErr w:type="spellEnd"/>
      <w:r w:rsidRPr="00A25982">
        <w:rPr>
          <w:rFonts w:ascii="Arial" w:hAnsi="Arial" w:cs="Arial"/>
          <w:sz w:val="22"/>
          <w:szCs w:val="22"/>
        </w:rPr>
        <w:t xml:space="preserve">. (2018). </w:t>
      </w:r>
      <w:r w:rsidRPr="00A25982">
        <w:rPr>
          <w:rFonts w:ascii="Arial" w:hAnsi="Arial" w:cs="Arial"/>
          <w:i/>
          <w:iCs/>
          <w:sz w:val="22"/>
          <w:szCs w:val="22"/>
        </w:rPr>
        <w:t xml:space="preserve">Case study research and applications: Design and methods, </w:t>
      </w:r>
      <w:r w:rsidRPr="00A25982">
        <w:rPr>
          <w:rFonts w:ascii="Arial" w:hAnsi="Arial" w:cs="Arial"/>
          <w:iCs/>
          <w:sz w:val="22"/>
          <w:szCs w:val="22"/>
        </w:rPr>
        <w:t>6</w:t>
      </w:r>
      <w:r w:rsidRPr="00A25982">
        <w:rPr>
          <w:rFonts w:ascii="Arial" w:hAnsi="Arial" w:cs="Arial"/>
          <w:iCs/>
          <w:sz w:val="22"/>
          <w:szCs w:val="22"/>
          <w:vertAlign w:val="superscript"/>
        </w:rPr>
        <w:t>th</w:t>
      </w:r>
      <w:r w:rsidRPr="00A25982">
        <w:rPr>
          <w:rFonts w:ascii="Arial" w:hAnsi="Arial" w:cs="Arial"/>
          <w:iCs/>
          <w:sz w:val="22"/>
          <w:szCs w:val="22"/>
        </w:rPr>
        <w:t xml:space="preserve"> edition,</w:t>
      </w:r>
      <w:r w:rsidRPr="00A25982">
        <w:rPr>
          <w:rFonts w:ascii="Arial" w:hAnsi="Arial" w:cs="Arial"/>
          <w:sz w:val="22"/>
          <w:szCs w:val="22"/>
        </w:rPr>
        <w:t xml:space="preserve"> California, Sage Publications.</w:t>
      </w:r>
    </w:p>
    <w:p w14:paraId="3A93E58F" w14:textId="77777777" w:rsidR="00F318A7" w:rsidRPr="00A25982" w:rsidRDefault="00F318A7" w:rsidP="00A25982">
      <w:pPr>
        <w:autoSpaceDE w:val="0"/>
        <w:autoSpaceDN w:val="0"/>
        <w:adjustRightInd w:val="0"/>
        <w:ind w:left="284" w:hanging="284"/>
        <w:jc w:val="both"/>
        <w:rPr>
          <w:rFonts w:ascii="Arial" w:hAnsi="Arial" w:cs="Arial"/>
          <w:sz w:val="22"/>
          <w:szCs w:val="22"/>
        </w:rPr>
      </w:pPr>
      <w:proofErr w:type="spellStart"/>
      <w:r w:rsidRPr="00A25982">
        <w:rPr>
          <w:rFonts w:ascii="Arial" w:hAnsi="Arial" w:cs="Arial"/>
          <w:sz w:val="22"/>
          <w:szCs w:val="22"/>
        </w:rPr>
        <w:t>Zorzini</w:t>
      </w:r>
      <w:proofErr w:type="spellEnd"/>
      <w:r w:rsidRPr="00A25982">
        <w:rPr>
          <w:rFonts w:ascii="Arial" w:hAnsi="Arial" w:cs="Arial"/>
          <w:sz w:val="22"/>
          <w:szCs w:val="22"/>
        </w:rPr>
        <w:t xml:space="preserve">, M., Hendry, L.C., Huq, </w:t>
      </w:r>
      <w:proofErr w:type="spellStart"/>
      <w:r w:rsidRPr="00A25982">
        <w:rPr>
          <w:rFonts w:ascii="Arial" w:hAnsi="Arial" w:cs="Arial"/>
          <w:sz w:val="22"/>
          <w:szCs w:val="22"/>
        </w:rPr>
        <w:t>F.A</w:t>
      </w:r>
      <w:proofErr w:type="spellEnd"/>
      <w:r w:rsidRPr="00A25982">
        <w:rPr>
          <w:rFonts w:ascii="Arial" w:hAnsi="Arial" w:cs="Arial"/>
          <w:sz w:val="22"/>
          <w:szCs w:val="22"/>
        </w:rPr>
        <w:t>. &amp; Stevenson, M., (2015). Socially responsible sourcing: reviewing the literature and its use of theory.</w:t>
      </w:r>
      <w:r w:rsidRPr="00A25982">
        <w:rPr>
          <w:rFonts w:ascii="Arial" w:hAnsi="Arial" w:cs="Arial"/>
          <w:i/>
          <w:sz w:val="22"/>
          <w:szCs w:val="22"/>
        </w:rPr>
        <w:t xml:space="preserve"> International Journal of Operations &amp; Production Management</w:t>
      </w:r>
      <w:r w:rsidRPr="00A25982">
        <w:rPr>
          <w:rFonts w:ascii="Arial" w:hAnsi="Arial" w:cs="Arial"/>
          <w:sz w:val="22"/>
          <w:szCs w:val="22"/>
        </w:rPr>
        <w:t>, 35(1), 60–109.</w:t>
      </w:r>
    </w:p>
    <w:p w14:paraId="14AFF170" w14:textId="77777777" w:rsidR="00F318A7" w:rsidRPr="00A25982" w:rsidRDefault="00F318A7" w:rsidP="00F318A7">
      <w:pPr>
        <w:autoSpaceDE w:val="0"/>
        <w:autoSpaceDN w:val="0"/>
        <w:adjustRightInd w:val="0"/>
        <w:spacing w:line="360" w:lineRule="auto"/>
        <w:ind w:left="284" w:hanging="284"/>
        <w:jc w:val="both"/>
        <w:rPr>
          <w:rFonts w:ascii="Arial" w:hAnsi="Arial" w:cs="Arial"/>
          <w:sz w:val="22"/>
          <w:szCs w:val="22"/>
        </w:rPr>
      </w:pPr>
    </w:p>
    <w:p w14:paraId="5E4FCFC7" w14:textId="77777777" w:rsidR="00A5564D" w:rsidRPr="00A25982" w:rsidRDefault="00A5564D" w:rsidP="00A5564D">
      <w:pPr>
        <w:pageBreakBefore/>
        <w:rPr>
          <w:rFonts w:ascii="Arial" w:hAnsi="Arial" w:cs="Arial"/>
          <w:b/>
          <w:sz w:val="18"/>
          <w:szCs w:val="18"/>
        </w:rPr>
      </w:pPr>
      <w:r w:rsidRPr="00A25982">
        <w:rPr>
          <w:rFonts w:ascii="Arial" w:hAnsi="Arial" w:cs="Arial"/>
          <w:b/>
          <w:sz w:val="18"/>
          <w:szCs w:val="18"/>
        </w:rPr>
        <w:lastRenderedPageBreak/>
        <w:t xml:space="preserve">Biographical Details: </w:t>
      </w:r>
    </w:p>
    <w:p w14:paraId="36E2F11E" w14:textId="77777777" w:rsidR="00A5564D" w:rsidRPr="00A25982" w:rsidRDefault="00A5564D" w:rsidP="00A5564D">
      <w:pPr>
        <w:rPr>
          <w:rFonts w:ascii="Arial" w:hAnsi="Arial" w:cs="Arial"/>
          <w:sz w:val="18"/>
          <w:szCs w:val="18"/>
        </w:rPr>
      </w:pPr>
    </w:p>
    <w:p w14:paraId="3B48CDFC" w14:textId="77777777" w:rsidR="00A5564D" w:rsidRPr="00A25982" w:rsidRDefault="00A5564D" w:rsidP="00A5564D">
      <w:pPr>
        <w:jc w:val="both"/>
        <w:rPr>
          <w:rFonts w:ascii="Arial" w:hAnsi="Arial" w:cs="Arial"/>
          <w:sz w:val="18"/>
          <w:szCs w:val="18"/>
        </w:rPr>
      </w:pPr>
      <w:r w:rsidRPr="00A25982">
        <w:rPr>
          <w:rFonts w:ascii="Arial" w:hAnsi="Arial" w:cs="Arial"/>
          <w:b/>
          <w:sz w:val="18"/>
          <w:szCs w:val="18"/>
        </w:rPr>
        <w:t>Professor Linda Hendry</w:t>
      </w:r>
      <w:r w:rsidRPr="00A25982">
        <w:rPr>
          <w:rFonts w:ascii="Arial" w:hAnsi="Arial" w:cs="Arial"/>
          <w:sz w:val="18"/>
          <w:szCs w:val="18"/>
        </w:rPr>
        <w:t>: Linda Hendry is a Professor of Operations Management at Lancaster University Management School, UK. Her research interests include: global supply chain management, including sustainable sourcing and supply chain responses to modern slavery legislation; manufacturing strategy, planning &amp; control for product customisation contexts; and process improvement approaches, such as Six Sigma.  Linda is a member of the European Operations Management Association (and was formerly on the Board as a member of the Finance Team). She has published extensively in a wide variety of journals, including those that focus on Supply Chain Management, Operations Management, Production and Operational Research.</w:t>
      </w:r>
    </w:p>
    <w:p w14:paraId="73131E53" w14:textId="77777777" w:rsidR="00A5564D" w:rsidRPr="00A25982" w:rsidRDefault="00A5564D" w:rsidP="00A5564D">
      <w:pPr>
        <w:jc w:val="both"/>
        <w:rPr>
          <w:rFonts w:ascii="Arial" w:hAnsi="Arial" w:cs="Arial"/>
          <w:b/>
          <w:sz w:val="18"/>
          <w:szCs w:val="18"/>
        </w:rPr>
      </w:pPr>
    </w:p>
    <w:p w14:paraId="3F7F57EE" w14:textId="77777777" w:rsidR="00A5564D" w:rsidRPr="00A25982" w:rsidRDefault="00A5564D" w:rsidP="00A5564D">
      <w:pPr>
        <w:jc w:val="both"/>
        <w:rPr>
          <w:rFonts w:ascii="Arial" w:hAnsi="Arial" w:cs="Arial"/>
          <w:sz w:val="18"/>
          <w:szCs w:val="18"/>
        </w:rPr>
      </w:pPr>
      <w:r w:rsidRPr="00A25982">
        <w:rPr>
          <w:rFonts w:ascii="Arial" w:hAnsi="Arial" w:cs="Arial"/>
          <w:b/>
          <w:sz w:val="18"/>
          <w:szCs w:val="18"/>
        </w:rPr>
        <w:t xml:space="preserve">Professor Mark Stevenson: </w:t>
      </w:r>
      <w:r w:rsidRPr="00A25982">
        <w:rPr>
          <w:rFonts w:ascii="Arial" w:hAnsi="Arial" w:cs="Arial"/>
          <w:bCs/>
          <w:sz w:val="18"/>
          <w:szCs w:val="18"/>
        </w:rPr>
        <w:t xml:space="preserve">Mark Stevenson is </w:t>
      </w:r>
      <w:r w:rsidRPr="00A25982">
        <w:rPr>
          <w:rFonts w:ascii="Arial" w:hAnsi="Arial" w:cs="Arial"/>
          <w:sz w:val="18"/>
          <w:szCs w:val="18"/>
        </w:rPr>
        <w:t>a Professor of Operations Management at Lancaster University in the UK. His research interests currently include sustainable supply chain management, supply chain risk and resilience, supply chain flexibility and uncertainty, production planning &amp; control in high-variety manufacturing companies, and reshoring &amp; the manufacturing location decision. His work has appeared in several operations and supply chain journals, including the International Journal of Operations &amp; Production Management (</w:t>
      </w:r>
      <w:proofErr w:type="spellStart"/>
      <w:r w:rsidRPr="00A25982">
        <w:rPr>
          <w:rFonts w:ascii="Arial" w:hAnsi="Arial" w:cs="Arial"/>
          <w:sz w:val="18"/>
          <w:szCs w:val="18"/>
        </w:rPr>
        <w:t>IJOPM</w:t>
      </w:r>
      <w:proofErr w:type="spellEnd"/>
      <w:r w:rsidRPr="00A25982">
        <w:rPr>
          <w:rFonts w:ascii="Arial" w:hAnsi="Arial" w:cs="Arial"/>
          <w:sz w:val="18"/>
          <w:szCs w:val="18"/>
        </w:rPr>
        <w:t>), Production &amp; Operations Management (</w:t>
      </w:r>
      <w:proofErr w:type="spellStart"/>
      <w:r w:rsidRPr="00A25982">
        <w:rPr>
          <w:rFonts w:ascii="Arial" w:hAnsi="Arial" w:cs="Arial"/>
          <w:sz w:val="18"/>
          <w:szCs w:val="18"/>
        </w:rPr>
        <w:t>POM</w:t>
      </w:r>
      <w:proofErr w:type="spellEnd"/>
      <w:r w:rsidRPr="00A25982">
        <w:rPr>
          <w:rFonts w:ascii="Arial" w:hAnsi="Arial" w:cs="Arial"/>
          <w:sz w:val="18"/>
          <w:szCs w:val="18"/>
        </w:rPr>
        <w:t>), the International Journal of Production Economics (</w:t>
      </w:r>
      <w:proofErr w:type="spellStart"/>
      <w:r w:rsidRPr="00A25982">
        <w:rPr>
          <w:rFonts w:ascii="Arial" w:hAnsi="Arial" w:cs="Arial"/>
          <w:sz w:val="18"/>
          <w:szCs w:val="18"/>
        </w:rPr>
        <w:t>IJPE</w:t>
      </w:r>
      <w:proofErr w:type="spellEnd"/>
      <w:r w:rsidRPr="00A25982">
        <w:rPr>
          <w:rFonts w:ascii="Arial" w:hAnsi="Arial" w:cs="Arial"/>
          <w:sz w:val="18"/>
          <w:szCs w:val="18"/>
        </w:rPr>
        <w:t>), the International Journal of Production Research (</w:t>
      </w:r>
      <w:proofErr w:type="spellStart"/>
      <w:r w:rsidRPr="00A25982">
        <w:rPr>
          <w:rFonts w:ascii="Arial" w:hAnsi="Arial" w:cs="Arial"/>
          <w:sz w:val="18"/>
          <w:szCs w:val="18"/>
        </w:rPr>
        <w:t>IJPR</w:t>
      </w:r>
      <w:proofErr w:type="spellEnd"/>
      <w:r w:rsidRPr="00A25982">
        <w:rPr>
          <w:rFonts w:ascii="Arial" w:hAnsi="Arial" w:cs="Arial"/>
          <w:sz w:val="18"/>
          <w:szCs w:val="18"/>
        </w:rPr>
        <w:t>), and Supply Chain Management: An International Journal (</w:t>
      </w:r>
      <w:proofErr w:type="spellStart"/>
      <w:r w:rsidRPr="00A25982">
        <w:rPr>
          <w:rFonts w:ascii="Arial" w:hAnsi="Arial" w:cs="Arial"/>
          <w:sz w:val="18"/>
          <w:szCs w:val="18"/>
        </w:rPr>
        <w:t>SCMIJ</w:t>
      </w:r>
      <w:proofErr w:type="spellEnd"/>
      <w:r w:rsidRPr="00A25982">
        <w:rPr>
          <w:rFonts w:ascii="Arial" w:hAnsi="Arial" w:cs="Arial"/>
          <w:sz w:val="18"/>
          <w:szCs w:val="18"/>
        </w:rPr>
        <w:t>). He regularly attends and presents his work at international conferences, including the European Operations Management Association (</w:t>
      </w:r>
      <w:proofErr w:type="spellStart"/>
      <w:r w:rsidRPr="00A25982">
        <w:rPr>
          <w:rFonts w:ascii="Arial" w:hAnsi="Arial" w:cs="Arial"/>
          <w:sz w:val="18"/>
          <w:szCs w:val="18"/>
        </w:rPr>
        <w:t>EurOMA</w:t>
      </w:r>
      <w:proofErr w:type="spellEnd"/>
      <w:r w:rsidRPr="00A25982">
        <w:rPr>
          <w:rFonts w:ascii="Arial" w:hAnsi="Arial" w:cs="Arial"/>
          <w:sz w:val="18"/>
          <w:szCs w:val="18"/>
        </w:rPr>
        <w:t>) conference.</w:t>
      </w:r>
    </w:p>
    <w:p w14:paraId="135D1005" w14:textId="77777777" w:rsidR="00A5564D" w:rsidRPr="00A25982" w:rsidRDefault="00A5564D" w:rsidP="00A5564D">
      <w:pPr>
        <w:jc w:val="both"/>
        <w:rPr>
          <w:rFonts w:ascii="Arial" w:hAnsi="Arial" w:cs="Arial"/>
          <w:b/>
          <w:sz w:val="18"/>
          <w:szCs w:val="18"/>
        </w:rPr>
      </w:pPr>
    </w:p>
    <w:p w14:paraId="743C3906" w14:textId="77777777" w:rsidR="00A5564D" w:rsidRPr="00A25982" w:rsidRDefault="00A5564D" w:rsidP="00A5564D">
      <w:pPr>
        <w:rPr>
          <w:rFonts w:ascii="Arial" w:hAnsi="Arial" w:cs="Arial"/>
          <w:b/>
          <w:sz w:val="18"/>
          <w:szCs w:val="18"/>
        </w:rPr>
      </w:pPr>
      <w:r w:rsidRPr="00A25982">
        <w:rPr>
          <w:rFonts w:ascii="Arial" w:hAnsi="Arial" w:cs="Arial"/>
          <w:b/>
          <w:sz w:val="18"/>
          <w:szCs w:val="18"/>
        </w:rPr>
        <w:t xml:space="preserve">Professor Jill </w:t>
      </w:r>
      <w:proofErr w:type="spellStart"/>
      <w:r w:rsidRPr="00A25982">
        <w:rPr>
          <w:rFonts w:ascii="Arial" w:hAnsi="Arial" w:cs="Arial"/>
          <w:b/>
          <w:sz w:val="18"/>
          <w:szCs w:val="18"/>
        </w:rPr>
        <w:t>MacBryde</w:t>
      </w:r>
      <w:proofErr w:type="spellEnd"/>
      <w:r w:rsidRPr="00A25982">
        <w:rPr>
          <w:rFonts w:ascii="Arial" w:hAnsi="Arial" w:cs="Arial"/>
          <w:b/>
          <w:sz w:val="18"/>
          <w:szCs w:val="18"/>
        </w:rPr>
        <w:t>:</w:t>
      </w:r>
      <w:r w:rsidRPr="00A25982">
        <w:rPr>
          <w:rFonts w:ascii="Arial" w:hAnsi="Arial" w:cs="Arial"/>
          <w:sz w:val="18"/>
          <w:szCs w:val="18"/>
        </w:rPr>
        <w:t xml:space="preserve"> Jill </w:t>
      </w:r>
      <w:proofErr w:type="spellStart"/>
      <w:r w:rsidRPr="00A25982">
        <w:rPr>
          <w:rFonts w:ascii="Arial" w:hAnsi="Arial" w:cs="Arial"/>
          <w:sz w:val="18"/>
          <w:szCs w:val="18"/>
        </w:rPr>
        <w:t>MacBryde</w:t>
      </w:r>
      <w:proofErr w:type="spellEnd"/>
      <w:r w:rsidRPr="00A25982">
        <w:rPr>
          <w:rFonts w:ascii="Arial" w:hAnsi="Arial" w:cs="Arial"/>
          <w:sz w:val="18"/>
          <w:szCs w:val="18"/>
        </w:rPr>
        <w:t xml:space="preserve"> is Deputy Dean and Head of the Operations Management Group at The York Management School. The theme throughout Jill's work is operations management in changing environments. Jill engages in collaborative research, often reaching across disciplinary boundaries.  Jill’s “laboratory” is industry and she engages in useful research whilst at the same time helping to bring about significant improvements in business performance. Jill strives to ensure that her academic research, teaching and knowledge exchange activities feed off each other. Prior to moving to York Jill was Vice-Dean for Knowledge Exchange at Strathclyde Business School.</w:t>
      </w:r>
    </w:p>
    <w:p w14:paraId="456497A3" w14:textId="77777777" w:rsidR="00A5564D" w:rsidRPr="00A25982" w:rsidRDefault="00A5564D" w:rsidP="00A5564D">
      <w:pPr>
        <w:jc w:val="both"/>
        <w:rPr>
          <w:rFonts w:ascii="Arial" w:hAnsi="Arial" w:cs="Arial"/>
          <w:b/>
          <w:sz w:val="18"/>
          <w:szCs w:val="18"/>
        </w:rPr>
      </w:pPr>
    </w:p>
    <w:p w14:paraId="3F1A16D1" w14:textId="77777777" w:rsidR="00A5564D" w:rsidRPr="00A25982" w:rsidRDefault="00A5564D" w:rsidP="00A5564D">
      <w:pPr>
        <w:jc w:val="both"/>
        <w:rPr>
          <w:rFonts w:ascii="Arial" w:hAnsi="Arial" w:cs="Arial"/>
          <w:b/>
          <w:sz w:val="18"/>
          <w:szCs w:val="18"/>
        </w:rPr>
      </w:pPr>
      <w:r w:rsidRPr="00A25982">
        <w:rPr>
          <w:rFonts w:ascii="Arial" w:hAnsi="Arial" w:cs="Arial"/>
          <w:b/>
          <w:sz w:val="18"/>
          <w:szCs w:val="18"/>
        </w:rPr>
        <w:t xml:space="preserve">Professor Peter Ball: </w:t>
      </w:r>
      <w:r w:rsidRPr="00A25982">
        <w:rPr>
          <w:rFonts w:ascii="Arial" w:hAnsi="Arial" w:cs="Arial"/>
          <w:sz w:val="18"/>
          <w:szCs w:val="18"/>
        </w:rPr>
        <w:t>Peter Ball belongs to the Operations Management Group at The York School of Management. His research focuses on how manufacturing operations can be designed and improved. Application areas span manufacturing, supply chain and service. His research takes a ‘hard’ view of processes by developing and applying modelling and simulation techniques to understand performance as well as a ‘soft’ view of processes by creating and capturing methods and practices that underpin performance. Environmental sustainability and resource efficiency feature strongly. Prior to moving to York, Peter was Director of Education for his school in Cranfield University.</w:t>
      </w:r>
    </w:p>
    <w:p w14:paraId="66EA1828" w14:textId="77777777" w:rsidR="00A5564D" w:rsidRPr="00A25982" w:rsidRDefault="00A5564D" w:rsidP="00A5564D">
      <w:pPr>
        <w:jc w:val="both"/>
        <w:rPr>
          <w:rFonts w:ascii="Arial" w:hAnsi="Arial" w:cs="Arial"/>
          <w:b/>
          <w:sz w:val="18"/>
          <w:szCs w:val="18"/>
        </w:rPr>
      </w:pPr>
    </w:p>
    <w:p w14:paraId="3DAD9444" w14:textId="77777777" w:rsidR="00A5564D" w:rsidRPr="00A25982" w:rsidRDefault="00A5564D" w:rsidP="00A5564D">
      <w:pPr>
        <w:jc w:val="both"/>
        <w:rPr>
          <w:rFonts w:ascii="Arial" w:hAnsi="Arial" w:cs="Arial"/>
          <w:sz w:val="18"/>
          <w:szCs w:val="18"/>
        </w:rPr>
      </w:pPr>
      <w:r w:rsidRPr="00A25982">
        <w:rPr>
          <w:rFonts w:ascii="Arial" w:hAnsi="Arial" w:cs="Arial"/>
          <w:b/>
          <w:sz w:val="18"/>
          <w:szCs w:val="18"/>
        </w:rPr>
        <w:t xml:space="preserve">Dr </w:t>
      </w:r>
      <w:proofErr w:type="spellStart"/>
      <w:r w:rsidRPr="00A25982">
        <w:rPr>
          <w:rFonts w:ascii="Arial" w:hAnsi="Arial" w:cs="Arial"/>
          <w:b/>
          <w:sz w:val="18"/>
          <w:szCs w:val="18"/>
        </w:rPr>
        <w:t>Maysara</w:t>
      </w:r>
      <w:proofErr w:type="spellEnd"/>
      <w:r w:rsidRPr="00A25982">
        <w:rPr>
          <w:rFonts w:ascii="Arial" w:hAnsi="Arial" w:cs="Arial"/>
          <w:b/>
          <w:sz w:val="18"/>
          <w:szCs w:val="18"/>
        </w:rPr>
        <w:t xml:space="preserve"> Sayed: </w:t>
      </w:r>
      <w:proofErr w:type="spellStart"/>
      <w:r w:rsidRPr="00A25982">
        <w:rPr>
          <w:rFonts w:ascii="Arial" w:hAnsi="Arial" w:cs="Arial"/>
          <w:sz w:val="18"/>
          <w:szCs w:val="18"/>
        </w:rPr>
        <w:t>Maysara</w:t>
      </w:r>
      <w:proofErr w:type="spellEnd"/>
      <w:r w:rsidRPr="00A25982">
        <w:rPr>
          <w:rFonts w:ascii="Arial" w:hAnsi="Arial" w:cs="Arial"/>
          <w:sz w:val="18"/>
          <w:szCs w:val="18"/>
        </w:rPr>
        <w:t xml:space="preserve"> Sayed is a Research Fellow at Edinburgh University, having completed his doctoral studies in the Management Science Department at Lancaster University Management School, UK. His research interests include: sustainability in supply chain management, manufacturing and service operations – particularly including the public sector, procurement management, logistics management and the use of data science in supply chain management. </w:t>
      </w:r>
      <w:proofErr w:type="spellStart"/>
      <w:r w:rsidRPr="00A25982">
        <w:rPr>
          <w:rFonts w:ascii="Arial" w:hAnsi="Arial" w:cs="Arial"/>
          <w:sz w:val="18"/>
          <w:szCs w:val="18"/>
        </w:rPr>
        <w:t>Maysara</w:t>
      </w:r>
      <w:proofErr w:type="spellEnd"/>
      <w:r w:rsidRPr="00A25982">
        <w:rPr>
          <w:rFonts w:ascii="Arial" w:hAnsi="Arial" w:cs="Arial"/>
          <w:sz w:val="18"/>
          <w:szCs w:val="18"/>
        </w:rPr>
        <w:t xml:space="preserve"> is a member of the European Operations Management Association (</w:t>
      </w:r>
      <w:proofErr w:type="spellStart"/>
      <w:r w:rsidRPr="00A25982">
        <w:rPr>
          <w:rFonts w:ascii="Arial" w:hAnsi="Arial" w:cs="Arial"/>
          <w:sz w:val="18"/>
          <w:szCs w:val="18"/>
        </w:rPr>
        <w:t>EurOMA</w:t>
      </w:r>
      <w:proofErr w:type="spellEnd"/>
      <w:r w:rsidRPr="00A25982">
        <w:rPr>
          <w:rFonts w:ascii="Arial" w:hAnsi="Arial" w:cs="Arial"/>
          <w:sz w:val="18"/>
          <w:szCs w:val="18"/>
        </w:rPr>
        <w:t>) and his research has appeared in operations and supply chain journals such as Supply Chain Management: An International Journal (</w:t>
      </w:r>
      <w:proofErr w:type="spellStart"/>
      <w:r w:rsidRPr="00A25982">
        <w:rPr>
          <w:rFonts w:ascii="Arial" w:hAnsi="Arial" w:cs="Arial"/>
          <w:sz w:val="18"/>
          <w:szCs w:val="18"/>
        </w:rPr>
        <w:t>SCMIJ</w:t>
      </w:r>
      <w:proofErr w:type="spellEnd"/>
      <w:r w:rsidRPr="00A25982">
        <w:rPr>
          <w:rFonts w:ascii="Arial" w:hAnsi="Arial" w:cs="Arial"/>
          <w:sz w:val="18"/>
          <w:szCs w:val="18"/>
        </w:rPr>
        <w:t xml:space="preserve">) as well as presented at several </w:t>
      </w:r>
      <w:proofErr w:type="spellStart"/>
      <w:r w:rsidRPr="00A25982">
        <w:rPr>
          <w:rFonts w:ascii="Arial" w:hAnsi="Arial" w:cs="Arial"/>
          <w:sz w:val="18"/>
          <w:szCs w:val="18"/>
        </w:rPr>
        <w:t>EurOMA</w:t>
      </w:r>
      <w:proofErr w:type="spellEnd"/>
      <w:r w:rsidRPr="00A25982">
        <w:rPr>
          <w:rFonts w:ascii="Arial" w:hAnsi="Arial" w:cs="Arial"/>
          <w:sz w:val="18"/>
          <w:szCs w:val="18"/>
        </w:rPr>
        <w:t xml:space="preserve"> conferences, including the main annual conference and the International </w:t>
      </w:r>
      <w:proofErr w:type="spellStart"/>
      <w:r w:rsidRPr="00A25982">
        <w:rPr>
          <w:rFonts w:ascii="Arial" w:hAnsi="Arial" w:cs="Arial"/>
          <w:sz w:val="18"/>
          <w:szCs w:val="18"/>
        </w:rPr>
        <w:t>EurOMA</w:t>
      </w:r>
      <w:proofErr w:type="spellEnd"/>
      <w:r w:rsidRPr="00A25982">
        <w:rPr>
          <w:rFonts w:ascii="Arial" w:hAnsi="Arial" w:cs="Arial"/>
          <w:sz w:val="18"/>
          <w:szCs w:val="18"/>
        </w:rPr>
        <w:t xml:space="preserve"> Sustainable Operations and Supply Chain Forum.</w:t>
      </w:r>
    </w:p>
    <w:p w14:paraId="471DD775" w14:textId="77777777" w:rsidR="00A5564D" w:rsidRPr="00A25982" w:rsidRDefault="00A5564D" w:rsidP="00A5564D">
      <w:pPr>
        <w:jc w:val="both"/>
        <w:rPr>
          <w:rFonts w:ascii="Arial" w:hAnsi="Arial" w:cs="Arial"/>
          <w:sz w:val="18"/>
          <w:szCs w:val="18"/>
        </w:rPr>
      </w:pPr>
    </w:p>
    <w:p w14:paraId="5EDF8CC7" w14:textId="77777777" w:rsidR="00A5564D" w:rsidRPr="00A25982" w:rsidRDefault="00A5564D" w:rsidP="00A5564D">
      <w:pPr>
        <w:jc w:val="both"/>
        <w:rPr>
          <w:rFonts w:ascii="Arial" w:hAnsi="Arial" w:cs="Arial"/>
          <w:sz w:val="18"/>
          <w:szCs w:val="18"/>
          <w:lang w:eastAsia="zh-CN"/>
        </w:rPr>
      </w:pPr>
      <w:r w:rsidRPr="00A25982">
        <w:rPr>
          <w:rFonts w:ascii="Arial" w:hAnsi="Arial" w:cs="Arial"/>
          <w:b/>
          <w:sz w:val="18"/>
          <w:szCs w:val="18"/>
        </w:rPr>
        <w:t xml:space="preserve">Dr </w:t>
      </w:r>
      <w:proofErr w:type="spellStart"/>
      <w:r w:rsidRPr="00A25982">
        <w:rPr>
          <w:rFonts w:ascii="Arial" w:hAnsi="Arial" w:cs="Arial"/>
          <w:b/>
          <w:sz w:val="18"/>
          <w:szCs w:val="18"/>
        </w:rPr>
        <w:t>Lingxuan</w:t>
      </w:r>
      <w:proofErr w:type="spellEnd"/>
      <w:r w:rsidRPr="00A25982">
        <w:rPr>
          <w:rFonts w:ascii="Arial" w:hAnsi="Arial" w:cs="Arial"/>
          <w:b/>
          <w:sz w:val="18"/>
          <w:szCs w:val="18"/>
        </w:rPr>
        <w:t xml:space="preserve"> Liu:</w:t>
      </w:r>
      <w:r w:rsidRPr="00A25982">
        <w:rPr>
          <w:rFonts w:ascii="Arial" w:hAnsi="Arial" w:cs="Arial"/>
          <w:b/>
          <w:sz w:val="18"/>
          <w:szCs w:val="18"/>
          <w:lang w:eastAsia="zh-CN"/>
        </w:rPr>
        <w:t xml:space="preserve"> </w:t>
      </w:r>
      <w:proofErr w:type="spellStart"/>
      <w:r w:rsidRPr="00A25982">
        <w:rPr>
          <w:rFonts w:ascii="Arial" w:hAnsi="Arial" w:cs="Arial"/>
          <w:sz w:val="18"/>
          <w:szCs w:val="18"/>
          <w:lang w:eastAsia="zh-CN"/>
        </w:rPr>
        <w:t>Lingxuan</w:t>
      </w:r>
      <w:proofErr w:type="spellEnd"/>
      <w:r w:rsidRPr="00A25982">
        <w:rPr>
          <w:rFonts w:ascii="Arial" w:hAnsi="Arial" w:cs="Arial"/>
          <w:sz w:val="18"/>
          <w:szCs w:val="18"/>
          <w:lang w:eastAsia="zh-CN"/>
        </w:rPr>
        <w:t xml:space="preserve"> Liu is a Lecturer of Sustainability at Lancaster University Management School. His research interests include sustainable supply chains, corporate sustainability strategies, environmental information disclosure &amp; reporting, environmental policy and climate policy. Prior to Lancaster, he was the Lead Researcher, Greater China of The Sustainability Consortium, which is a leading global non-profit organization that works on supply chain sustainability reporting of consumer products in all major sectors. He completed PhD study in Nanjing University of China on environmental management and policy, during which he managed several research programs about eco-industrial parks and regional environmental policies. He also spent two years in University of California, Santa Barbara for an exchange program on environmental governance.</w:t>
      </w:r>
    </w:p>
    <w:p w14:paraId="07E4E17C" w14:textId="0366AA58" w:rsidR="004A67E8" w:rsidRPr="00A25982" w:rsidRDefault="004A67E8" w:rsidP="00751A39">
      <w:pPr>
        <w:pStyle w:val="PlainText"/>
        <w:spacing w:line="360" w:lineRule="auto"/>
        <w:ind w:left="284" w:hanging="284"/>
        <w:jc w:val="both"/>
        <w:rPr>
          <w:rFonts w:ascii="Arial" w:hAnsi="Arial" w:cs="Arial"/>
          <w:szCs w:val="22"/>
        </w:rPr>
      </w:pPr>
    </w:p>
    <w:sectPr w:rsidR="004A67E8" w:rsidRPr="00A25982" w:rsidSect="00880198">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99C0" w14:textId="77777777" w:rsidR="00AE23DF" w:rsidRDefault="00AE23DF">
      <w:r>
        <w:separator/>
      </w:r>
    </w:p>
  </w:endnote>
  <w:endnote w:type="continuationSeparator" w:id="0">
    <w:p w14:paraId="189CF74A"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dvOT8cb2ddbd+20">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6C6C" w14:textId="3F6B7E70" w:rsidR="006D4A11" w:rsidRPr="000D4B05" w:rsidRDefault="006D4A11" w:rsidP="001B20DC">
    <w:pPr>
      <w:pStyle w:val="Footer"/>
      <w:jc w:val="center"/>
      <w:rPr>
        <w:rFonts w:ascii="Arial" w:hAnsi="Arial" w:cs="Arial"/>
        <w:sz w:val="22"/>
      </w:rPr>
    </w:pPr>
    <w:r w:rsidRPr="000D4B05">
      <w:rPr>
        <w:rFonts w:ascii="Arial" w:hAnsi="Arial" w:cs="Arial"/>
        <w:sz w:val="22"/>
      </w:rPr>
      <w:fldChar w:fldCharType="begin"/>
    </w:r>
    <w:r w:rsidRPr="000D4B05">
      <w:rPr>
        <w:rFonts w:ascii="Arial" w:hAnsi="Arial" w:cs="Arial"/>
        <w:sz w:val="22"/>
      </w:rPr>
      <w:instrText xml:space="preserve"> PAGE   \* MERGEFORMAT </w:instrText>
    </w:r>
    <w:r w:rsidRPr="000D4B05">
      <w:rPr>
        <w:rFonts w:ascii="Arial" w:hAnsi="Arial" w:cs="Arial"/>
        <w:sz w:val="22"/>
      </w:rPr>
      <w:fldChar w:fldCharType="separate"/>
    </w:r>
    <w:r w:rsidRPr="000D4B05">
      <w:rPr>
        <w:rFonts w:ascii="Arial" w:hAnsi="Arial" w:cs="Arial"/>
        <w:noProof/>
        <w:sz w:val="22"/>
      </w:rPr>
      <w:t>1</w:t>
    </w:r>
    <w:r w:rsidRPr="000D4B05">
      <w:rPr>
        <w:rFonts w:ascii="Arial" w:hAnsi="Arial" w:cs="Arial"/>
        <w:noProof/>
        <w:sz w:val="22"/>
      </w:rPr>
      <w:fldChar w:fldCharType="end"/>
    </w:r>
  </w:p>
  <w:p w14:paraId="094165D2" w14:textId="77777777" w:rsidR="006D4A11" w:rsidRDefault="006D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BD85E" w14:textId="77777777" w:rsidR="00AE23DF" w:rsidRDefault="00AE23DF">
      <w:r>
        <w:separator/>
      </w:r>
    </w:p>
  </w:footnote>
  <w:footnote w:type="continuationSeparator" w:id="0">
    <w:p w14:paraId="15D67351" w14:textId="77777777" w:rsidR="00AE23DF" w:rsidRDefault="00AE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4327" w14:textId="77777777" w:rsidR="006D4A11" w:rsidRDefault="006D4A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A202A" w14:textId="77777777" w:rsidR="006D4A11" w:rsidRDefault="006D4A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E9A8" w14:textId="77777777" w:rsidR="006D4A11" w:rsidRDefault="006D4A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EC7"/>
    <w:multiLevelType w:val="hybridMultilevel"/>
    <w:tmpl w:val="E69A22FC"/>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53137"/>
    <w:multiLevelType w:val="hybridMultilevel"/>
    <w:tmpl w:val="8DAA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8E0"/>
    <w:multiLevelType w:val="hybridMultilevel"/>
    <w:tmpl w:val="A7B8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443AD"/>
    <w:multiLevelType w:val="multilevel"/>
    <w:tmpl w:val="1106923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DDA1ECF"/>
    <w:multiLevelType w:val="hybridMultilevel"/>
    <w:tmpl w:val="4142D3B4"/>
    <w:lvl w:ilvl="0" w:tplc="CB46BE0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15F63"/>
    <w:multiLevelType w:val="multilevel"/>
    <w:tmpl w:val="292496E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8D904FC"/>
    <w:multiLevelType w:val="multilevel"/>
    <w:tmpl w:val="B464F7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243755"/>
    <w:multiLevelType w:val="hybridMultilevel"/>
    <w:tmpl w:val="086C5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B72BA"/>
    <w:multiLevelType w:val="hybridMultilevel"/>
    <w:tmpl w:val="4DB465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D63C0"/>
    <w:multiLevelType w:val="multilevel"/>
    <w:tmpl w:val="616E30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970884"/>
    <w:multiLevelType w:val="hybridMultilevel"/>
    <w:tmpl w:val="B276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91C0C"/>
    <w:multiLevelType w:val="hybridMultilevel"/>
    <w:tmpl w:val="83A6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13659"/>
    <w:multiLevelType w:val="multilevel"/>
    <w:tmpl w:val="664E4B5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5C2E5A"/>
    <w:multiLevelType w:val="hybridMultilevel"/>
    <w:tmpl w:val="E1CA8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4080D"/>
    <w:multiLevelType w:val="multilevel"/>
    <w:tmpl w:val="197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45624"/>
    <w:multiLevelType w:val="hybridMultilevel"/>
    <w:tmpl w:val="C0FE46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CDD3813"/>
    <w:multiLevelType w:val="multilevel"/>
    <w:tmpl w:val="BA469CB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E1A1CCD"/>
    <w:multiLevelType w:val="hybridMultilevel"/>
    <w:tmpl w:val="78C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DF5B0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461E2A6E"/>
    <w:multiLevelType w:val="hybridMultilevel"/>
    <w:tmpl w:val="E390A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576DCF"/>
    <w:multiLevelType w:val="multilevel"/>
    <w:tmpl w:val="C2B08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774E9"/>
    <w:multiLevelType w:val="multilevel"/>
    <w:tmpl w:val="DF7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84D8A"/>
    <w:multiLevelType w:val="hybridMultilevel"/>
    <w:tmpl w:val="1C764E6C"/>
    <w:lvl w:ilvl="0" w:tplc="7452EB64">
      <w:start w:val="1"/>
      <w:numFmt w:val="lowerRoman"/>
      <w:lvlText w:val="(%1)"/>
      <w:lvlJc w:val="left"/>
      <w:pPr>
        <w:ind w:left="1004" w:hanging="720"/>
      </w:pPr>
      <w:rPr>
        <w:rFonts w:hint="default"/>
        <w:i/>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3216DB7"/>
    <w:multiLevelType w:val="hybridMultilevel"/>
    <w:tmpl w:val="0A802D08"/>
    <w:lvl w:ilvl="0" w:tplc="B150E39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4" w15:restartNumberingAfterBreak="0">
    <w:nsid w:val="593A482A"/>
    <w:multiLevelType w:val="hybridMultilevel"/>
    <w:tmpl w:val="7F72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30C49"/>
    <w:multiLevelType w:val="hybridMultilevel"/>
    <w:tmpl w:val="1D2A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95124"/>
    <w:multiLevelType w:val="hybridMultilevel"/>
    <w:tmpl w:val="2F228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D3016D"/>
    <w:multiLevelType w:val="hybridMultilevel"/>
    <w:tmpl w:val="A5424DE8"/>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4A6BAE"/>
    <w:multiLevelType w:val="multilevel"/>
    <w:tmpl w:val="9FE8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82459"/>
    <w:multiLevelType w:val="multilevel"/>
    <w:tmpl w:val="1106923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9E67C98"/>
    <w:multiLevelType w:val="hybridMultilevel"/>
    <w:tmpl w:val="32BE257C"/>
    <w:lvl w:ilvl="0" w:tplc="18090001">
      <w:start w:val="1"/>
      <w:numFmt w:val="bullet"/>
      <w:lvlText w:val=""/>
      <w:lvlJc w:val="left"/>
      <w:pPr>
        <w:ind w:left="1436" w:hanging="360"/>
      </w:pPr>
      <w:rPr>
        <w:rFonts w:ascii="Symbol" w:hAnsi="Symbol" w:hint="default"/>
      </w:rPr>
    </w:lvl>
    <w:lvl w:ilvl="1" w:tplc="18090003" w:tentative="1">
      <w:start w:val="1"/>
      <w:numFmt w:val="bullet"/>
      <w:lvlText w:val="o"/>
      <w:lvlJc w:val="left"/>
      <w:pPr>
        <w:ind w:left="2156" w:hanging="360"/>
      </w:pPr>
      <w:rPr>
        <w:rFonts w:ascii="Courier New" w:hAnsi="Courier New" w:cs="Courier New" w:hint="default"/>
      </w:rPr>
    </w:lvl>
    <w:lvl w:ilvl="2" w:tplc="18090005" w:tentative="1">
      <w:start w:val="1"/>
      <w:numFmt w:val="bullet"/>
      <w:lvlText w:val=""/>
      <w:lvlJc w:val="left"/>
      <w:pPr>
        <w:ind w:left="2876" w:hanging="360"/>
      </w:pPr>
      <w:rPr>
        <w:rFonts w:ascii="Wingdings" w:hAnsi="Wingdings" w:hint="default"/>
      </w:rPr>
    </w:lvl>
    <w:lvl w:ilvl="3" w:tplc="18090001" w:tentative="1">
      <w:start w:val="1"/>
      <w:numFmt w:val="bullet"/>
      <w:lvlText w:val=""/>
      <w:lvlJc w:val="left"/>
      <w:pPr>
        <w:ind w:left="3596" w:hanging="360"/>
      </w:pPr>
      <w:rPr>
        <w:rFonts w:ascii="Symbol" w:hAnsi="Symbol" w:hint="default"/>
      </w:rPr>
    </w:lvl>
    <w:lvl w:ilvl="4" w:tplc="18090003" w:tentative="1">
      <w:start w:val="1"/>
      <w:numFmt w:val="bullet"/>
      <w:lvlText w:val="o"/>
      <w:lvlJc w:val="left"/>
      <w:pPr>
        <w:ind w:left="4316" w:hanging="360"/>
      </w:pPr>
      <w:rPr>
        <w:rFonts w:ascii="Courier New" w:hAnsi="Courier New" w:cs="Courier New" w:hint="default"/>
      </w:rPr>
    </w:lvl>
    <w:lvl w:ilvl="5" w:tplc="18090005" w:tentative="1">
      <w:start w:val="1"/>
      <w:numFmt w:val="bullet"/>
      <w:lvlText w:val=""/>
      <w:lvlJc w:val="left"/>
      <w:pPr>
        <w:ind w:left="5036" w:hanging="360"/>
      </w:pPr>
      <w:rPr>
        <w:rFonts w:ascii="Wingdings" w:hAnsi="Wingdings" w:hint="default"/>
      </w:rPr>
    </w:lvl>
    <w:lvl w:ilvl="6" w:tplc="18090001" w:tentative="1">
      <w:start w:val="1"/>
      <w:numFmt w:val="bullet"/>
      <w:lvlText w:val=""/>
      <w:lvlJc w:val="left"/>
      <w:pPr>
        <w:ind w:left="5756" w:hanging="360"/>
      </w:pPr>
      <w:rPr>
        <w:rFonts w:ascii="Symbol" w:hAnsi="Symbol" w:hint="default"/>
      </w:rPr>
    </w:lvl>
    <w:lvl w:ilvl="7" w:tplc="18090003" w:tentative="1">
      <w:start w:val="1"/>
      <w:numFmt w:val="bullet"/>
      <w:lvlText w:val="o"/>
      <w:lvlJc w:val="left"/>
      <w:pPr>
        <w:ind w:left="6476" w:hanging="360"/>
      </w:pPr>
      <w:rPr>
        <w:rFonts w:ascii="Courier New" w:hAnsi="Courier New" w:cs="Courier New" w:hint="default"/>
      </w:rPr>
    </w:lvl>
    <w:lvl w:ilvl="8" w:tplc="18090005" w:tentative="1">
      <w:start w:val="1"/>
      <w:numFmt w:val="bullet"/>
      <w:lvlText w:val=""/>
      <w:lvlJc w:val="left"/>
      <w:pPr>
        <w:ind w:left="7196" w:hanging="360"/>
      </w:pPr>
      <w:rPr>
        <w:rFonts w:ascii="Wingdings" w:hAnsi="Wingdings" w:hint="default"/>
      </w:rPr>
    </w:lvl>
  </w:abstractNum>
  <w:abstractNum w:abstractNumId="31" w15:restartNumberingAfterBreak="0">
    <w:nsid w:val="69F933EC"/>
    <w:multiLevelType w:val="hybridMultilevel"/>
    <w:tmpl w:val="0DB2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575E7"/>
    <w:multiLevelType w:val="multilevel"/>
    <w:tmpl w:val="B464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6BA2"/>
    <w:multiLevelType w:val="multilevel"/>
    <w:tmpl w:val="D1009D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C24882"/>
    <w:multiLevelType w:val="hybridMultilevel"/>
    <w:tmpl w:val="AB9043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B914576"/>
    <w:multiLevelType w:val="hybridMultilevel"/>
    <w:tmpl w:val="FAC2A9E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9"/>
  </w:num>
  <w:num w:numId="3">
    <w:abstractNumId w:val="7"/>
  </w:num>
  <w:num w:numId="4">
    <w:abstractNumId w:val="10"/>
  </w:num>
  <w:num w:numId="5">
    <w:abstractNumId w:val="28"/>
  </w:num>
  <w:num w:numId="6">
    <w:abstractNumId w:val="20"/>
  </w:num>
  <w:num w:numId="7">
    <w:abstractNumId w:val="14"/>
  </w:num>
  <w:num w:numId="8">
    <w:abstractNumId w:val="21"/>
  </w:num>
  <w:num w:numId="9">
    <w:abstractNumId w:val="3"/>
  </w:num>
  <w:num w:numId="10">
    <w:abstractNumId w:val="29"/>
  </w:num>
  <w:num w:numId="11">
    <w:abstractNumId w:val="6"/>
  </w:num>
  <w:num w:numId="12">
    <w:abstractNumId w:val="32"/>
  </w:num>
  <w:num w:numId="13">
    <w:abstractNumId w:val="5"/>
  </w:num>
  <w:num w:numId="14">
    <w:abstractNumId w:val="16"/>
  </w:num>
  <w:num w:numId="15">
    <w:abstractNumId w:val="18"/>
  </w:num>
  <w:num w:numId="16">
    <w:abstractNumId w:val="26"/>
  </w:num>
  <w:num w:numId="17">
    <w:abstractNumId w:val="30"/>
  </w:num>
  <w:num w:numId="18">
    <w:abstractNumId w:val="34"/>
  </w:num>
  <w:num w:numId="19">
    <w:abstractNumId w:val="13"/>
  </w:num>
  <w:num w:numId="20">
    <w:abstractNumId w:val="17"/>
  </w:num>
  <w:num w:numId="21">
    <w:abstractNumId w:val="17"/>
  </w:num>
  <w:num w:numId="22">
    <w:abstractNumId w:val="1"/>
  </w:num>
  <w:num w:numId="23">
    <w:abstractNumId w:val="25"/>
  </w:num>
  <w:num w:numId="24">
    <w:abstractNumId w:val="31"/>
  </w:num>
  <w:num w:numId="25">
    <w:abstractNumId w:val="15"/>
  </w:num>
  <w:num w:numId="26">
    <w:abstractNumId w:val="24"/>
  </w:num>
  <w:num w:numId="27">
    <w:abstractNumId w:val="35"/>
  </w:num>
  <w:num w:numId="28">
    <w:abstractNumId w:val="9"/>
  </w:num>
  <w:num w:numId="29">
    <w:abstractNumId w:val="8"/>
  </w:num>
  <w:num w:numId="30">
    <w:abstractNumId w:val="27"/>
  </w:num>
  <w:num w:numId="31">
    <w:abstractNumId w:val="4"/>
  </w:num>
  <w:num w:numId="32">
    <w:abstractNumId w:val="22"/>
  </w:num>
  <w:num w:numId="33">
    <w:abstractNumId w:val="2"/>
  </w:num>
  <w:num w:numId="34">
    <w:abstractNumId w:val="12"/>
  </w:num>
  <w:num w:numId="35">
    <w:abstractNumId w:val="33"/>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it-IT" w:vendorID="64" w:dllVersion="6" w:nlCheck="1" w:checkStyle="0"/>
  <w:activeWritingStyle w:appName="MSWord" w:lang="en-IE" w:vendorID="64" w:dllVersion="6" w:nlCheck="1" w:checkStyle="1"/>
  <w:activeWritingStyle w:appName="MSWord" w:lang="en-US" w:vendorID="64" w:dllVersion="6" w:nlCheck="1" w:checkStyle="1"/>
  <w:activeWritingStyle w:appName="MSWord" w:lang="es-ES"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MDawNDSyNLIwMDRV0lEKTi0uzszPAykwqgUAy0qDDywAAAA="/>
  </w:docVars>
  <w:rsids>
    <w:rsidRoot w:val="00833BA4"/>
    <w:rsid w:val="0000138D"/>
    <w:rsid w:val="0000357A"/>
    <w:rsid w:val="000064ED"/>
    <w:rsid w:val="00007A34"/>
    <w:rsid w:val="000100F1"/>
    <w:rsid w:val="00012260"/>
    <w:rsid w:val="000127D4"/>
    <w:rsid w:val="0001469A"/>
    <w:rsid w:val="00015E79"/>
    <w:rsid w:val="000228B7"/>
    <w:rsid w:val="00025514"/>
    <w:rsid w:val="0003294B"/>
    <w:rsid w:val="00037CD6"/>
    <w:rsid w:val="000422C1"/>
    <w:rsid w:val="00043292"/>
    <w:rsid w:val="00053A43"/>
    <w:rsid w:val="0005478B"/>
    <w:rsid w:val="00057A69"/>
    <w:rsid w:val="00064FF0"/>
    <w:rsid w:val="0007578A"/>
    <w:rsid w:val="0008074B"/>
    <w:rsid w:val="00081CA5"/>
    <w:rsid w:val="000821A3"/>
    <w:rsid w:val="000840BE"/>
    <w:rsid w:val="00086FE5"/>
    <w:rsid w:val="00091968"/>
    <w:rsid w:val="00091BA0"/>
    <w:rsid w:val="00091EFD"/>
    <w:rsid w:val="00093A86"/>
    <w:rsid w:val="00093FAE"/>
    <w:rsid w:val="00094901"/>
    <w:rsid w:val="0009573C"/>
    <w:rsid w:val="000A0D5B"/>
    <w:rsid w:val="000A608D"/>
    <w:rsid w:val="000B4ABC"/>
    <w:rsid w:val="000B5F5E"/>
    <w:rsid w:val="000B676B"/>
    <w:rsid w:val="000C10FA"/>
    <w:rsid w:val="000C2323"/>
    <w:rsid w:val="000C24E6"/>
    <w:rsid w:val="000C55E7"/>
    <w:rsid w:val="000C5A60"/>
    <w:rsid w:val="000C72B7"/>
    <w:rsid w:val="000D4B05"/>
    <w:rsid w:val="000D4E44"/>
    <w:rsid w:val="000D4FC5"/>
    <w:rsid w:val="000E1DD4"/>
    <w:rsid w:val="000E674E"/>
    <w:rsid w:val="000E689E"/>
    <w:rsid w:val="000E7700"/>
    <w:rsid w:val="000F406B"/>
    <w:rsid w:val="000F5CBD"/>
    <w:rsid w:val="00101F80"/>
    <w:rsid w:val="00106E21"/>
    <w:rsid w:val="0011174E"/>
    <w:rsid w:val="00111D1A"/>
    <w:rsid w:val="0011493C"/>
    <w:rsid w:val="00117F2C"/>
    <w:rsid w:val="001202BA"/>
    <w:rsid w:val="0012394B"/>
    <w:rsid w:val="001352DC"/>
    <w:rsid w:val="00136117"/>
    <w:rsid w:val="001404D3"/>
    <w:rsid w:val="00142B12"/>
    <w:rsid w:val="00144FAA"/>
    <w:rsid w:val="001461F9"/>
    <w:rsid w:val="0014737E"/>
    <w:rsid w:val="00150341"/>
    <w:rsid w:val="00151E9F"/>
    <w:rsid w:val="00157EC8"/>
    <w:rsid w:val="001677BC"/>
    <w:rsid w:val="00177694"/>
    <w:rsid w:val="00177B3A"/>
    <w:rsid w:val="001816F6"/>
    <w:rsid w:val="00193A53"/>
    <w:rsid w:val="00194175"/>
    <w:rsid w:val="00194B76"/>
    <w:rsid w:val="001A7875"/>
    <w:rsid w:val="001B07CC"/>
    <w:rsid w:val="001B0BBE"/>
    <w:rsid w:val="001B20DC"/>
    <w:rsid w:val="001B2A0A"/>
    <w:rsid w:val="001B62CE"/>
    <w:rsid w:val="001C700D"/>
    <w:rsid w:val="001D4B26"/>
    <w:rsid w:val="001E17AE"/>
    <w:rsid w:val="001E18DC"/>
    <w:rsid w:val="001E366A"/>
    <w:rsid w:val="001E6BA4"/>
    <w:rsid w:val="001E768D"/>
    <w:rsid w:val="001E7FA2"/>
    <w:rsid w:val="001F3D7F"/>
    <w:rsid w:val="001F3FDB"/>
    <w:rsid w:val="002027D8"/>
    <w:rsid w:val="00212847"/>
    <w:rsid w:val="00216D60"/>
    <w:rsid w:val="002176AF"/>
    <w:rsid w:val="00221F66"/>
    <w:rsid w:val="00233846"/>
    <w:rsid w:val="0023397A"/>
    <w:rsid w:val="00235872"/>
    <w:rsid w:val="00237E8A"/>
    <w:rsid w:val="0024315A"/>
    <w:rsid w:val="00246EB8"/>
    <w:rsid w:val="00275423"/>
    <w:rsid w:val="00275B7A"/>
    <w:rsid w:val="00276439"/>
    <w:rsid w:val="002819F9"/>
    <w:rsid w:val="00292E1A"/>
    <w:rsid w:val="002A1AB4"/>
    <w:rsid w:val="002A33B0"/>
    <w:rsid w:val="002A40C8"/>
    <w:rsid w:val="002A50B0"/>
    <w:rsid w:val="002B3514"/>
    <w:rsid w:val="002B3A18"/>
    <w:rsid w:val="002C53B2"/>
    <w:rsid w:val="002C58ED"/>
    <w:rsid w:val="002C7597"/>
    <w:rsid w:val="002D21B7"/>
    <w:rsid w:val="002D4DD8"/>
    <w:rsid w:val="002E0DE3"/>
    <w:rsid w:val="002E4FF7"/>
    <w:rsid w:val="002E6493"/>
    <w:rsid w:val="002F088C"/>
    <w:rsid w:val="002F533C"/>
    <w:rsid w:val="002F6B56"/>
    <w:rsid w:val="003110AF"/>
    <w:rsid w:val="0031141E"/>
    <w:rsid w:val="00311550"/>
    <w:rsid w:val="003146C1"/>
    <w:rsid w:val="0031539E"/>
    <w:rsid w:val="003161A9"/>
    <w:rsid w:val="0032087E"/>
    <w:rsid w:val="00325729"/>
    <w:rsid w:val="00331DBB"/>
    <w:rsid w:val="0033286F"/>
    <w:rsid w:val="00332A14"/>
    <w:rsid w:val="00332DA8"/>
    <w:rsid w:val="0034582E"/>
    <w:rsid w:val="00355F1A"/>
    <w:rsid w:val="00357519"/>
    <w:rsid w:val="0035776B"/>
    <w:rsid w:val="00362580"/>
    <w:rsid w:val="00366D3D"/>
    <w:rsid w:val="0037456F"/>
    <w:rsid w:val="0039009D"/>
    <w:rsid w:val="00394121"/>
    <w:rsid w:val="00396E00"/>
    <w:rsid w:val="003A3C06"/>
    <w:rsid w:val="003B139A"/>
    <w:rsid w:val="003C09CD"/>
    <w:rsid w:val="003C130C"/>
    <w:rsid w:val="003C1C88"/>
    <w:rsid w:val="003C340A"/>
    <w:rsid w:val="003C5A01"/>
    <w:rsid w:val="003D05BA"/>
    <w:rsid w:val="003D0696"/>
    <w:rsid w:val="003D14DC"/>
    <w:rsid w:val="003D39DD"/>
    <w:rsid w:val="003D41B3"/>
    <w:rsid w:val="003E16D7"/>
    <w:rsid w:val="003E1D74"/>
    <w:rsid w:val="003E40E7"/>
    <w:rsid w:val="003E7BC7"/>
    <w:rsid w:val="003F1209"/>
    <w:rsid w:val="003F560D"/>
    <w:rsid w:val="00402391"/>
    <w:rsid w:val="00403CA7"/>
    <w:rsid w:val="00404E51"/>
    <w:rsid w:val="00404F27"/>
    <w:rsid w:val="004119D3"/>
    <w:rsid w:val="004159EC"/>
    <w:rsid w:val="00416544"/>
    <w:rsid w:val="004179C7"/>
    <w:rsid w:val="00420413"/>
    <w:rsid w:val="00422520"/>
    <w:rsid w:val="0042556D"/>
    <w:rsid w:val="00432242"/>
    <w:rsid w:val="00434C36"/>
    <w:rsid w:val="00435527"/>
    <w:rsid w:val="00435D15"/>
    <w:rsid w:val="00441648"/>
    <w:rsid w:val="00443431"/>
    <w:rsid w:val="0045100D"/>
    <w:rsid w:val="00452581"/>
    <w:rsid w:val="0045395C"/>
    <w:rsid w:val="00453C20"/>
    <w:rsid w:val="0046007E"/>
    <w:rsid w:val="00462E38"/>
    <w:rsid w:val="0046439C"/>
    <w:rsid w:val="004738A6"/>
    <w:rsid w:val="00477D4C"/>
    <w:rsid w:val="00480C2E"/>
    <w:rsid w:val="004820AC"/>
    <w:rsid w:val="00482E15"/>
    <w:rsid w:val="0049755C"/>
    <w:rsid w:val="004A04B0"/>
    <w:rsid w:val="004A67E8"/>
    <w:rsid w:val="004B108B"/>
    <w:rsid w:val="004B2090"/>
    <w:rsid w:val="004B26D1"/>
    <w:rsid w:val="004B2786"/>
    <w:rsid w:val="004C0F2D"/>
    <w:rsid w:val="004C421F"/>
    <w:rsid w:val="004D06DB"/>
    <w:rsid w:val="004D51D6"/>
    <w:rsid w:val="004D595F"/>
    <w:rsid w:val="004E311C"/>
    <w:rsid w:val="004E4244"/>
    <w:rsid w:val="004F1918"/>
    <w:rsid w:val="004F67DA"/>
    <w:rsid w:val="00506722"/>
    <w:rsid w:val="00513D12"/>
    <w:rsid w:val="00517CC2"/>
    <w:rsid w:val="00526257"/>
    <w:rsid w:val="00526FF2"/>
    <w:rsid w:val="00531685"/>
    <w:rsid w:val="00532FF9"/>
    <w:rsid w:val="00535E71"/>
    <w:rsid w:val="00535F6D"/>
    <w:rsid w:val="00537C39"/>
    <w:rsid w:val="00542A33"/>
    <w:rsid w:val="00542D9A"/>
    <w:rsid w:val="0054419F"/>
    <w:rsid w:val="005509AB"/>
    <w:rsid w:val="0055132D"/>
    <w:rsid w:val="00554A95"/>
    <w:rsid w:val="00571F1C"/>
    <w:rsid w:val="005751DF"/>
    <w:rsid w:val="00577632"/>
    <w:rsid w:val="0058260C"/>
    <w:rsid w:val="00584950"/>
    <w:rsid w:val="005862E8"/>
    <w:rsid w:val="0058789D"/>
    <w:rsid w:val="0059044D"/>
    <w:rsid w:val="00590F18"/>
    <w:rsid w:val="00594B8D"/>
    <w:rsid w:val="005A1763"/>
    <w:rsid w:val="005A5418"/>
    <w:rsid w:val="005A79BE"/>
    <w:rsid w:val="005B2577"/>
    <w:rsid w:val="005B4885"/>
    <w:rsid w:val="005C7C72"/>
    <w:rsid w:val="005C7FA3"/>
    <w:rsid w:val="005D0E2A"/>
    <w:rsid w:val="005D26D4"/>
    <w:rsid w:val="005E16D5"/>
    <w:rsid w:val="005E5F96"/>
    <w:rsid w:val="005F16A7"/>
    <w:rsid w:val="00601EAB"/>
    <w:rsid w:val="0060306B"/>
    <w:rsid w:val="006061E5"/>
    <w:rsid w:val="00611B67"/>
    <w:rsid w:val="00615929"/>
    <w:rsid w:val="00624E79"/>
    <w:rsid w:val="00625D02"/>
    <w:rsid w:val="0063148D"/>
    <w:rsid w:val="00631FBD"/>
    <w:rsid w:val="0064178A"/>
    <w:rsid w:val="00641A52"/>
    <w:rsid w:val="00641E4E"/>
    <w:rsid w:val="00642EF7"/>
    <w:rsid w:val="00644ED7"/>
    <w:rsid w:val="00646F83"/>
    <w:rsid w:val="006575B9"/>
    <w:rsid w:val="0065775B"/>
    <w:rsid w:val="00657D54"/>
    <w:rsid w:val="00663EEE"/>
    <w:rsid w:val="00670127"/>
    <w:rsid w:val="00671226"/>
    <w:rsid w:val="00671379"/>
    <w:rsid w:val="00672F84"/>
    <w:rsid w:val="0067629D"/>
    <w:rsid w:val="00682D83"/>
    <w:rsid w:val="006A1697"/>
    <w:rsid w:val="006B0ADC"/>
    <w:rsid w:val="006B4700"/>
    <w:rsid w:val="006B5B38"/>
    <w:rsid w:val="006B5DE3"/>
    <w:rsid w:val="006B6D99"/>
    <w:rsid w:val="006D26E7"/>
    <w:rsid w:val="006D309A"/>
    <w:rsid w:val="006D4A11"/>
    <w:rsid w:val="006D5D5A"/>
    <w:rsid w:val="006E2657"/>
    <w:rsid w:val="006E3E14"/>
    <w:rsid w:val="006F227F"/>
    <w:rsid w:val="006F7098"/>
    <w:rsid w:val="0070175C"/>
    <w:rsid w:val="007221EE"/>
    <w:rsid w:val="00723D6A"/>
    <w:rsid w:val="00724836"/>
    <w:rsid w:val="0072582E"/>
    <w:rsid w:val="00726502"/>
    <w:rsid w:val="00726870"/>
    <w:rsid w:val="0073072B"/>
    <w:rsid w:val="00731F23"/>
    <w:rsid w:val="00732C08"/>
    <w:rsid w:val="00741D56"/>
    <w:rsid w:val="00743124"/>
    <w:rsid w:val="007476A3"/>
    <w:rsid w:val="00750BBB"/>
    <w:rsid w:val="00751A39"/>
    <w:rsid w:val="0075456F"/>
    <w:rsid w:val="0075526E"/>
    <w:rsid w:val="007566C0"/>
    <w:rsid w:val="00766D36"/>
    <w:rsid w:val="00770008"/>
    <w:rsid w:val="007772A6"/>
    <w:rsid w:val="00792A98"/>
    <w:rsid w:val="007A01FF"/>
    <w:rsid w:val="007A10BC"/>
    <w:rsid w:val="007A5618"/>
    <w:rsid w:val="007B1E13"/>
    <w:rsid w:val="007B49CB"/>
    <w:rsid w:val="007B5004"/>
    <w:rsid w:val="007C3D65"/>
    <w:rsid w:val="007C43DE"/>
    <w:rsid w:val="007D19EE"/>
    <w:rsid w:val="007D1C55"/>
    <w:rsid w:val="007D77EB"/>
    <w:rsid w:val="007E2F7D"/>
    <w:rsid w:val="007F0C10"/>
    <w:rsid w:val="007F1081"/>
    <w:rsid w:val="007F439F"/>
    <w:rsid w:val="007F5248"/>
    <w:rsid w:val="007F6150"/>
    <w:rsid w:val="007F7B48"/>
    <w:rsid w:val="00802AC1"/>
    <w:rsid w:val="008035E3"/>
    <w:rsid w:val="00804423"/>
    <w:rsid w:val="00820649"/>
    <w:rsid w:val="00824209"/>
    <w:rsid w:val="008261CC"/>
    <w:rsid w:val="008264D8"/>
    <w:rsid w:val="00826E8D"/>
    <w:rsid w:val="008301FB"/>
    <w:rsid w:val="00833612"/>
    <w:rsid w:val="00833BA4"/>
    <w:rsid w:val="0083490F"/>
    <w:rsid w:val="00835C79"/>
    <w:rsid w:val="0084273B"/>
    <w:rsid w:val="00842CB3"/>
    <w:rsid w:val="008441BC"/>
    <w:rsid w:val="00845900"/>
    <w:rsid w:val="00847446"/>
    <w:rsid w:val="0085284C"/>
    <w:rsid w:val="00852FEE"/>
    <w:rsid w:val="00853DCF"/>
    <w:rsid w:val="00854115"/>
    <w:rsid w:val="008641A8"/>
    <w:rsid w:val="00866111"/>
    <w:rsid w:val="00870EA1"/>
    <w:rsid w:val="00871740"/>
    <w:rsid w:val="00872219"/>
    <w:rsid w:val="00874D11"/>
    <w:rsid w:val="00877BD3"/>
    <w:rsid w:val="00880198"/>
    <w:rsid w:val="00880329"/>
    <w:rsid w:val="00883ECB"/>
    <w:rsid w:val="00883FDA"/>
    <w:rsid w:val="00890D6F"/>
    <w:rsid w:val="00891AB1"/>
    <w:rsid w:val="00893B76"/>
    <w:rsid w:val="008961C3"/>
    <w:rsid w:val="008A4F5A"/>
    <w:rsid w:val="008A5C8F"/>
    <w:rsid w:val="008B061F"/>
    <w:rsid w:val="008B10E6"/>
    <w:rsid w:val="008B6262"/>
    <w:rsid w:val="008B7057"/>
    <w:rsid w:val="008C302D"/>
    <w:rsid w:val="008C33FC"/>
    <w:rsid w:val="008C3B95"/>
    <w:rsid w:val="008E1169"/>
    <w:rsid w:val="008F5F4C"/>
    <w:rsid w:val="008F6EE4"/>
    <w:rsid w:val="0090002C"/>
    <w:rsid w:val="00901D90"/>
    <w:rsid w:val="00904927"/>
    <w:rsid w:val="00904D89"/>
    <w:rsid w:val="00904ECF"/>
    <w:rsid w:val="009104DF"/>
    <w:rsid w:val="0092507D"/>
    <w:rsid w:val="00926F6E"/>
    <w:rsid w:val="00932A48"/>
    <w:rsid w:val="00936841"/>
    <w:rsid w:val="0094262A"/>
    <w:rsid w:val="009454DA"/>
    <w:rsid w:val="00946246"/>
    <w:rsid w:val="00952110"/>
    <w:rsid w:val="00952798"/>
    <w:rsid w:val="00955CD5"/>
    <w:rsid w:val="00956D4A"/>
    <w:rsid w:val="00960A3A"/>
    <w:rsid w:val="00960F41"/>
    <w:rsid w:val="00961435"/>
    <w:rsid w:val="00963AA7"/>
    <w:rsid w:val="00964BC3"/>
    <w:rsid w:val="009669A5"/>
    <w:rsid w:val="00967AEE"/>
    <w:rsid w:val="0097403C"/>
    <w:rsid w:val="009840B2"/>
    <w:rsid w:val="00986D0D"/>
    <w:rsid w:val="009903E0"/>
    <w:rsid w:val="009908D7"/>
    <w:rsid w:val="00995A72"/>
    <w:rsid w:val="00997D23"/>
    <w:rsid w:val="009A4C98"/>
    <w:rsid w:val="009A70CD"/>
    <w:rsid w:val="009B087E"/>
    <w:rsid w:val="009B5D1A"/>
    <w:rsid w:val="009B7CE3"/>
    <w:rsid w:val="009C0545"/>
    <w:rsid w:val="009C3F6C"/>
    <w:rsid w:val="009C5D35"/>
    <w:rsid w:val="009D0508"/>
    <w:rsid w:val="009D1661"/>
    <w:rsid w:val="009D32EC"/>
    <w:rsid w:val="009D3528"/>
    <w:rsid w:val="009E1320"/>
    <w:rsid w:val="009E270B"/>
    <w:rsid w:val="009E5037"/>
    <w:rsid w:val="009E5114"/>
    <w:rsid w:val="009E73D9"/>
    <w:rsid w:val="009F7675"/>
    <w:rsid w:val="00A01D55"/>
    <w:rsid w:val="00A03B17"/>
    <w:rsid w:val="00A047DF"/>
    <w:rsid w:val="00A062C9"/>
    <w:rsid w:val="00A105CF"/>
    <w:rsid w:val="00A12D21"/>
    <w:rsid w:val="00A143A3"/>
    <w:rsid w:val="00A21519"/>
    <w:rsid w:val="00A23256"/>
    <w:rsid w:val="00A25982"/>
    <w:rsid w:val="00A30D02"/>
    <w:rsid w:val="00A31FA7"/>
    <w:rsid w:val="00A367C6"/>
    <w:rsid w:val="00A415DA"/>
    <w:rsid w:val="00A456B8"/>
    <w:rsid w:val="00A477EC"/>
    <w:rsid w:val="00A5308D"/>
    <w:rsid w:val="00A5564D"/>
    <w:rsid w:val="00A61311"/>
    <w:rsid w:val="00A63D89"/>
    <w:rsid w:val="00A67BDD"/>
    <w:rsid w:val="00A76397"/>
    <w:rsid w:val="00A845B5"/>
    <w:rsid w:val="00A95490"/>
    <w:rsid w:val="00AA1E68"/>
    <w:rsid w:val="00AA2DCF"/>
    <w:rsid w:val="00AB2425"/>
    <w:rsid w:val="00AB2EBF"/>
    <w:rsid w:val="00AC0A07"/>
    <w:rsid w:val="00AC1F97"/>
    <w:rsid w:val="00AC6F9B"/>
    <w:rsid w:val="00AC72EE"/>
    <w:rsid w:val="00AC7759"/>
    <w:rsid w:val="00AC7ADD"/>
    <w:rsid w:val="00AD1E51"/>
    <w:rsid w:val="00AD26DF"/>
    <w:rsid w:val="00AD2FF6"/>
    <w:rsid w:val="00AD5126"/>
    <w:rsid w:val="00AD6A5C"/>
    <w:rsid w:val="00AE09CE"/>
    <w:rsid w:val="00AE23DF"/>
    <w:rsid w:val="00AE7AB5"/>
    <w:rsid w:val="00AF28DB"/>
    <w:rsid w:val="00B16C32"/>
    <w:rsid w:val="00B17309"/>
    <w:rsid w:val="00B25897"/>
    <w:rsid w:val="00B26D90"/>
    <w:rsid w:val="00B273B8"/>
    <w:rsid w:val="00B30989"/>
    <w:rsid w:val="00B32BE3"/>
    <w:rsid w:val="00B359F0"/>
    <w:rsid w:val="00B37BF0"/>
    <w:rsid w:val="00B40536"/>
    <w:rsid w:val="00B412D3"/>
    <w:rsid w:val="00B4203E"/>
    <w:rsid w:val="00B43B2F"/>
    <w:rsid w:val="00B44512"/>
    <w:rsid w:val="00B45F3F"/>
    <w:rsid w:val="00B475A8"/>
    <w:rsid w:val="00B50D16"/>
    <w:rsid w:val="00B51D36"/>
    <w:rsid w:val="00B52364"/>
    <w:rsid w:val="00B609F0"/>
    <w:rsid w:val="00B61F78"/>
    <w:rsid w:val="00B640C9"/>
    <w:rsid w:val="00B64D82"/>
    <w:rsid w:val="00B766A1"/>
    <w:rsid w:val="00B772DB"/>
    <w:rsid w:val="00B773F5"/>
    <w:rsid w:val="00B77799"/>
    <w:rsid w:val="00B8038E"/>
    <w:rsid w:val="00B84758"/>
    <w:rsid w:val="00B917E6"/>
    <w:rsid w:val="00B94157"/>
    <w:rsid w:val="00B94B50"/>
    <w:rsid w:val="00B95DF7"/>
    <w:rsid w:val="00BA6DB5"/>
    <w:rsid w:val="00BB0074"/>
    <w:rsid w:val="00BB27E0"/>
    <w:rsid w:val="00BC2C93"/>
    <w:rsid w:val="00BC5297"/>
    <w:rsid w:val="00BD1AC0"/>
    <w:rsid w:val="00BE1406"/>
    <w:rsid w:val="00BE4AF6"/>
    <w:rsid w:val="00BE6BEC"/>
    <w:rsid w:val="00BE77E4"/>
    <w:rsid w:val="00BF33C5"/>
    <w:rsid w:val="00C14BE2"/>
    <w:rsid w:val="00C20824"/>
    <w:rsid w:val="00C2694B"/>
    <w:rsid w:val="00C34606"/>
    <w:rsid w:val="00C368C5"/>
    <w:rsid w:val="00C40F99"/>
    <w:rsid w:val="00C46D8E"/>
    <w:rsid w:val="00C474C5"/>
    <w:rsid w:val="00C5381F"/>
    <w:rsid w:val="00C54506"/>
    <w:rsid w:val="00C55266"/>
    <w:rsid w:val="00C60BC0"/>
    <w:rsid w:val="00C748A7"/>
    <w:rsid w:val="00C753B3"/>
    <w:rsid w:val="00C814EF"/>
    <w:rsid w:val="00C817DB"/>
    <w:rsid w:val="00C82268"/>
    <w:rsid w:val="00C87168"/>
    <w:rsid w:val="00C93438"/>
    <w:rsid w:val="00C95351"/>
    <w:rsid w:val="00CA6846"/>
    <w:rsid w:val="00CB472F"/>
    <w:rsid w:val="00CC18C1"/>
    <w:rsid w:val="00CC4C8B"/>
    <w:rsid w:val="00CD42E7"/>
    <w:rsid w:val="00CE2C14"/>
    <w:rsid w:val="00CE3C8C"/>
    <w:rsid w:val="00CF590B"/>
    <w:rsid w:val="00CF6E6B"/>
    <w:rsid w:val="00CF76B1"/>
    <w:rsid w:val="00D01698"/>
    <w:rsid w:val="00D03A51"/>
    <w:rsid w:val="00D10804"/>
    <w:rsid w:val="00D12EB2"/>
    <w:rsid w:val="00D13A1D"/>
    <w:rsid w:val="00D14A01"/>
    <w:rsid w:val="00D20A97"/>
    <w:rsid w:val="00D20DC4"/>
    <w:rsid w:val="00D215EB"/>
    <w:rsid w:val="00D268D7"/>
    <w:rsid w:val="00D278D3"/>
    <w:rsid w:val="00D33BDA"/>
    <w:rsid w:val="00D379FB"/>
    <w:rsid w:val="00D44B17"/>
    <w:rsid w:val="00D44CCB"/>
    <w:rsid w:val="00D452B8"/>
    <w:rsid w:val="00D47D9B"/>
    <w:rsid w:val="00D576E8"/>
    <w:rsid w:val="00D62412"/>
    <w:rsid w:val="00D647B3"/>
    <w:rsid w:val="00D71359"/>
    <w:rsid w:val="00D75BE4"/>
    <w:rsid w:val="00D81E26"/>
    <w:rsid w:val="00D90D71"/>
    <w:rsid w:val="00D94A2F"/>
    <w:rsid w:val="00D95104"/>
    <w:rsid w:val="00D9534C"/>
    <w:rsid w:val="00D97D41"/>
    <w:rsid w:val="00DA0CFD"/>
    <w:rsid w:val="00DA4880"/>
    <w:rsid w:val="00DB2749"/>
    <w:rsid w:val="00DC0DA3"/>
    <w:rsid w:val="00DC142B"/>
    <w:rsid w:val="00DC182A"/>
    <w:rsid w:val="00DC438A"/>
    <w:rsid w:val="00DC5058"/>
    <w:rsid w:val="00DC5146"/>
    <w:rsid w:val="00DC6FAB"/>
    <w:rsid w:val="00DD394D"/>
    <w:rsid w:val="00DE225F"/>
    <w:rsid w:val="00DE7BAE"/>
    <w:rsid w:val="00DF1319"/>
    <w:rsid w:val="00DF345C"/>
    <w:rsid w:val="00DF4EBE"/>
    <w:rsid w:val="00DF7FC8"/>
    <w:rsid w:val="00E02A10"/>
    <w:rsid w:val="00E12635"/>
    <w:rsid w:val="00E1569E"/>
    <w:rsid w:val="00E22164"/>
    <w:rsid w:val="00E22ECD"/>
    <w:rsid w:val="00E23AA5"/>
    <w:rsid w:val="00E36A50"/>
    <w:rsid w:val="00E36CBF"/>
    <w:rsid w:val="00E409C4"/>
    <w:rsid w:val="00E426AE"/>
    <w:rsid w:val="00E436C9"/>
    <w:rsid w:val="00E43BC3"/>
    <w:rsid w:val="00E459F5"/>
    <w:rsid w:val="00E47C8A"/>
    <w:rsid w:val="00E47F95"/>
    <w:rsid w:val="00E56572"/>
    <w:rsid w:val="00E60A9C"/>
    <w:rsid w:val="00E63986"/>
    <w:rsid w:val="00E63BE0"/>
    <w:rsid w:val="00E65426"/>
    <w:rsid w:val="00E76ADC"/>
    <w:rsid w:val="00E854B5"/>
    <w:rsid w:val="00E92560"/>
    <w:rsid w:val="00EA393C"/>
    <w:rsid w:val="00EA427C"/>
    <w:rsid w:val="00EA5547"/>
    <w:rsid w:val="00EA777B"/>
    <w:rsid w:val="00EB0E3A"/>
    <w:rsid w:val="00EB3249"/>
    <w:rsid w:val="00EB6E47"/>
    <w:rsid w:val="00EC010C"/>
    <w:rsid w:val="00EC4547"/>
    <w:rsid w:val="00EC4E1A"/>
    <w:rsid w:val="00EC7B6E"/>
    <w:rsid w:val="00ED3F64"/>
    <w:rsid w:val="00ED75C4"/>
    <w:rsid w:val="00EE3CD9"/>
    <w:rsid w:val="00EF150B"/>
    <w:rsid w:val="00EF16CF"/>
    <w:rsid w:val="00EF1CAB"/>
    <w:rsid w:val="00F020B5"/>
    <w:rsid w:val="00F05029"/>
    <w:rsid w:val="00F076E4"/>
    <w:rsid w:val="00F1072F"/>
    <w:rsid w:val="00F1076D"/>
    <w:rsid w:val="00F15249"/>
    <w:rsid w:val="00F25260"/>
    <w:rsid w:val="00F27F62"/>
    <w:rsid w:val="00F301DA"/>
    <w:rsid w:val="00F318A7"/>
    <w:rsid w:val="00F36DD2"/>
    <w:rsid w:val="00F42B07"/>
    <w:rsid w:val="00F53281"/>
    <w:rsid w:val="00F60D40"/>
    <w:rsid w:val="00F6257B"/>
    <w:rsid w:val="00F627B9"/>
    <w:rsid w:val="00F632E6"/>
    <w:rsid w:val="00F63839"/>
    <w:rsid w:val="00F71AC8"/>
    <w:rsid w:val="00F72870"/>
    <w:rsid w:val="00F741BE"/>
    <w:rsid w:val="00F7792E"/>
    <w:rsid w:val="00F808A9"/>
    <w:rsid w:val="00F812FC"/>
    <w:rsid w:val="00F82982"/>
    <w:rsid w:val="00F87402"/>
    <w:rsid w:val="00F9012F"/>
    <w:rsid w:val="00F9021B"/>
    <w:rsid w:val="00F90642"/>
    <w:rsid w:val="00F934E8"/>
    <w:rsid w:val="00F96B66"/>
    <w:rsid w:val="00F97AFB"/>
    <w:rsid w:val="00F97BC8"/>
    <w:rsid w:val="00FA3DAF"/>
    <w:rsid w:val="00FA4072"/>
    <w:rsid w:val="00FA7D88"/>
    <w:rsid w:val="00FB5E5C"/>
    <w:rsid w:val="00FC6D85"/>
    <w:rsid w:val="00FD1B54"/>
    <w:rsid w:val="00FE0C0C"/>
    <w:rsid w:val="00FE44CE"/>
    <w:rsid w:val="00FF1EF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09E74"/>
  <w15:docId w15:val="{78BC0808-2F8F-4110-B3C1-F4189B32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5B"/>
    <w:rPr>
      <w:sz w:val="24"/>
      <w:szCs w:val="24"/>
      <w:lang w:val="en-GB" w:eastAsia="en-US"/>
    </w:rPr>
  </w:style>
  <w:style w:type="paragraph" w:styleId="Heading1">
    <w:name w:val="heading 1"/>
    <w:basedOn w:val="Normal"/>
    <w:next w:val="Normal"/>
    <w:qFormat/>
    <w:rsid w:val="0065775B"/>
    <w:pPr>
      <w:keepNext/>
      <w:spacing w:before="120"/>
      <w:jc w:val="both"/>
      <w:outlineLvl w:val="0"/>
    </w:pPr>
    <w:rPr>
      <w:i/>
      <w:iCs/>
    </w:rPr>
  </w:style>
  <w:style w:type="paragraph" w:styleId="Heading2">
    <w:name w:val="heading 2"/>
    <w:basedOn w:val="Normal"/>
    <w:next w:val="Normal"/>
    <w:qFormat/>
    <w:rsid w:val="0065775B"/>
    <w:pPr>
      <w:keepNext/>
      <w:outlineLvl w:val="1"/>
    </w:pPr>
    <w:rPr>
      <w:b/>
      <w:bCs/>
      <w:i/>
      <w:iCs/>
      <w:u w:val="single"/>
    </w:rPr>
  </w:style>
  <w:style w:type="paragraph" w:styleId="Heading3">
    <w:name w:val="heading 3"/>
    <w:basedOn w:val="Normal"/>
    <w:next w:val="Normal"/>
    <w:qFormat/>
    <w:rsid w:val="0065775B"/>
    <w:pPr>
      <w:keepNext/>
      <w:spacing w:before="240" w:after="60"/>
      <w:outlineLvl w:val="2"/>
    </w:pPr>
    <w:rPr>
      <w:rFonts w:ascii="Arial" w:hAnsi="Arial" w:cs="Arial"/>
      <w:b/>
      <w:bCs/>
      <w:sz w:val="26"/>
      <w:szCs w:val="26"/>
    </w:rPr>
  </w:style>
  <w:style w:type="paragraph" w:styleId="Heading4">
    <w:name w:val="heading 4"/>
    <w:basedOn w:val="Normal"/>
    <w:next w:val="Normal"/>
    <w:qFormat/>
    <w:rsid w:val="0065775B"/>
    <w:pPr>
      <w:keepNext/>
      <w:spacing w:before="120"/>
      <w:jc w:val="both"/>
      <w:outlineLvl w:val="3"/>
    </w:pPr>
    <w:rPr>
      <w:b/>
      <w:bCs/>
    </w:rPr>
  </w:style>
  <w:style w:type="paragraph" w:styleId="Heading6">
    <w:name w:val="heading 6"/>
    <w:basedOn w:val="Normal"/>
    <w:next w:val="Normal"/>
    <w:link w:val="Heading6Char"/>
    <w:uiPriority w:val="9"/>
    <w:semiHidden/>
    <w:unhideWhenUsed/>
    <w:qFormat/>
    <w:rsid w:val="00542D9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5775B"/>
    <w:pPr>
      <w:tabs>
        <w:tab w:val="center" w:pos="4153"/>
        <w:tab w:val="right" w:pos="8306"/>
      </w:tabs>
    </w:pPr>
  </w:style>
  <w:style w:type="character" w:styleId="PageNumber">
    <w:name w:val="page number"/>
    <w:basedOn w:val="DefaultParagraphFont"/>
    <w:rsid w:val="0065775B"/>
  </w:style>
  <w:style w:type="paragraph" w:styleId="BodyText">
    <w:name w:val="Body Text"/>
    <w:basedOn w:val="Normal"/>
    <w:semiHidden/>
    <w:rsid w:val="0065775B"/>
    <w:pPr>
      <w:spacing w:before="120"/>
      <w:jc w:val="both"/>
    </w:pPr>
  </w:style>
  <w:style w:type="paragraph" w:styleId="BodyText2">
    <w:name w:val="Body Text 2"/>
    <w:basedOn w:val="Normal"/>
    <w:semiHidden/>
    <w:rsid w:val="0065775B"/>
    <w:pPr>
      <w:spacing w:before="120"/>
      <w:jc w:val="both"/>
    </w:pPr>
    <w:rPr>
      <w:i/>
      <w:iCs/>
    </w:rPr>
  </w:style>
  <w:style w:type="paragraph" w:customStyle="1" w:styleId="NameofAuthors">
    <w:name w:val="Name of Authors"/>
    <w:basedOn w:val="Normal"/>
    <w:uiPriority w:val="99"/>
    <w:rsid w:val="009D1661"/>
    <w:pPr>
      <w:spacing w:after="240" w:line="280" w:lineRule="exact"/>
      <w:jc w:val="center"/>
    </w:pPr>
    <w:rPr>
      <w:i/>
      <w:iCs/>
      <w:lang w:val="en-US"/>
    </w:rPr>
  </w:style>
  <w:style w:type="paragraph" w:customStyle="1" w:styleId="Affiliation">
    <w:name w:val="Affiliation"/>
    <w:basedOn w:val="NameofAuthors"/>
    <w:uiPriority w:val="99"/>
    <w:rsid w:val="009D1661"/>
    <w:rPr>
      <w:i w:val="0"/>
      <w:iCs w:val="0"/>
      <w:sz w:val="20"/>
      <w:szCs w:val="20"/>
      <w:lang w:val="en-IE"/>
    </w:rPr>
  </w:style>
  <w:style w:type="character" w:customStyle="1" w:styleId="Heading6Char">
    <w:name w:val="Heading 6 Char"/>
    <w:basedOn w:val="DefaultParagraphFont"/>
    <w:link w:val="Heading6"/>
    <w:uiPriority w:val="9"/>
    <w:semiHidden/>
    <w:rsid w:val="00542D9A"/>
    <w:rPr>
      <w:rFonts w:ascii="Calibri" w:eastAsia="Times New Roman" w:hAnsi="Calibri" w:cs="Times New Roman"/>
      <w:b/>
      <w:bCs/>
      <w:sz w:val="22"/>
      <w:szCs w:val="22"/>
      <w:lang w:val="en-GB" w:eastAsia="en-US"/>
    </w:rPr>
  </w:style>
  <w:style w:type="paragraph" w:customStyle="1" w:styleId="TitlePaper">
    <w:name w:val="Title Paper"/>
    <w:basedOn w:val="Heading1"/>
    <w:uiPriority w:val="99"/>
    <w:rsid w:val="00542D9A"/>
    <w:pPr>
      <w:spacing w:before="0"/>
      <w:jc w:val="center"/>
    </w:pPr>
    <w:rPr>
      <w:b/>
      <w:bCs/>
      <w:i w:val="0"/>
      <w:iCs w:val="0"/>
      <w:caps/>
      <w:kern w:val="32"/>
      <w:sz w:val="28"/>
      <w:szCs w:val="28"/>
      <w:lang w:eastAsia="it-IT"/>
    </w:rPr>
  </w:style>
  <w:style w:type="paragraph" w:styleId="Footer">
    <w:name w:val="footer"/>
    <w:basedOn w:val="Normal"/>
    <w:link w:val="FooterChar"/>
    <w:uiPriority w:val="99"/>
    <w:unhideWhenUsed/>
    <w:rsid w:val="001461F9"/>
    <w:pPr>
      <w:tabs>
        <w:tab w:val="center" w:pos="4513"/>
        <w:tab w:val="right" w:pos="9026"/>
      </w:tabs>
    </w:pPr>
  </w:style>
  <w:style w:type="character" w:customStyle="1" w:styleId="FooterChar">
    <w:name w:val="Footer Char"/>
    <w:basedOn w:val="DefaultParagraphFont"/>
    <w:link w:val="Footer"/>
    <w:uiPriority w:val="99"/>
    <w:rsid w:val="001461F9"/>
    <w:rPr>
      <w:sz w:val="24"/>
      <w:szCs w:val="24"/>
      <w:lang w:val="en-GB" w:eastAsia="en-US"/>
    </w:rPr>
  </w:style>
  <w:style w:type="table" w:styleId="TableGrid">
    <w:name w:val="Table Grid"/>
    <w:basedOn w:val="TableNormal"/>
    <w:uiPriority w:val="59"/>
    <w:rsid w:val="00E925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D1A"/>
    <w:rPr>
      <w:color w:val="0000FF"/>
      <w:u w:val="single"/>
    </w:rPr>
  </w:style>
  <w:style w:type="character" w:styleId="CommentReference">
    <w:name w:val="annotation reference"/>
    <w:basedOn w:val="DefaultParagraphFont"/>
    <w:uiPriority w:val="99"/>
    <w:semiHidden/>
    <w:unhideWhenUsed/>
    <w:rsid w:val="00B95DF7"/>
    <w:rPr>
      <w:sz w:val="16"/>
      <w:szCs w:val="16"/>
    </w:rPr>
  </w:style>
  <w:style w:type="paragraph" w:styleId="CommentText">
    <w:name w:val="annotation text"/>
    <w:basedOn w:val="Normal"/>
    <w:link w:val="CommentTextChar"/>
    <w:uiPriority w:val="99"/>
    <w:semiHidden/>
    <w:unhideWhenUsed/>
    <w:rsid w:val="00B95DF7"/>
    <w:rPr>
      <w:sz w:val="20"/>
      <w:szCs w:val="20"/>
    </w:rPr>
  </w:style>
  <w:style w:type="character" w:customStyle="1" w:styleId="CommentTextChar">
    <w:name w:val="Comment Text Char"/>
    <w:basedOn w:val="DefaultParagraphFont"/>
    <w:link w:val="CommentText"/>
    <w:uiPriority w:val="99"/>
    <w:semiHidden/>
    <w:rsid w:val="00B95DF7"/>
    <w:rPr>
      <w:lang w:val="en-GB" w:eastAsia="en-US"/>
    </w:rPr>
  </w:style>
  <w:style w:type="paragraph" w:styleId="CommentSubject">
    <w:name w:val="annotation subject"/>
    <w:basedOn w:val="CommentText"/>
    <w:next w:val="CommentText"/>
    <w:link w:val="CommentSubjectChar"/>
    <w:uiPriority w:val="99"/>
    <w:semiHidden/>
    <w:unhideWhenUsed/>
    <w:rsid w:val="00B95DF7"/>
    <w:rPr>
      <w:b/>
      <w:bCs/>
    </w:rPr>
  </w:style>
  <w:style w:type="character" w:customStyle="1" w:styleId="CommentSubjectChar">
    <w:name w:val="Comment Subject Char"/>
    <w:basedOn w:val="CommentTextChar"/>
    <w:link w:val="CommentSubject"/>
    <w:uiPriority w:val="99"/>
    <w:semiHidden/>
    <w:rsid w:val="00B95DF7"/>
    <w:rPr>
      <w:b/>
      <w:bCs/>
      <w:lang w:val="en-GB" w:eastAsia="en-US"/>
    </w:rPr>
  </w:style>
  <w:style w:type="paragraph" w:styleId="BalloonText">
    <w:name w:val="Balloon Text"/>
    <w:basedOn w:val="Normal"/>
    <w:link w:val="BalloonTextChar"/>
    <w:uiPriority w:val="99"/>
    <w:semiHidden/>
    <w:unhideWhenUsed/>
    <w:rsid w:val="00B95DF7"/>
    <w:rPr>
      <w:rFonts w:ascii="Tahoma" w:hAnsi="Tahoma" w:cs="Tahoma"/>
      <w:sz w:val="16"/>
      <w:szCs w:val="16"/>
    </w:rPr>
  </w:style>
  <w:style w:type="character" w:customStyle="1" w:styleId="BalloonTextChar">
    <w:name w:val="Balloon Text Char"/>
    <w:basedOn w:val="DefaultParagraphFont"/>
    <w:link w:val="BalloonText"/>
    <w:uiPriority w:val="99"/>
    <w:semiHidden/>
    <w:rsid w:val="00B95DF7"/>
    <w:rPr>
      <w:rFonts w:ascii="Tahoma" w:hAnsi="Tahoma" w:cs="Tahoma"/>
      <w:sz w:val="16"/>
      <w:szCs w:val="16"/>
      <w:lang w:val="en-GB" w:eastAsia="en-US"/>
    </w:rPr>
  </w:style>
  <w:style w:type="paragraph" w:styleId="NormalWeb">
    <w:name w:val="Normal (Web)"/>
    <w:basedOn w:val="Normal"/>
    <w:uiPriority w:val="99"/>
    <w:unhideWhenUsed/>
    <w:rsid w:val="002F533C"/>
    <w:pPr>
      <w:spacing w:before="100" w:beforeAutospacing="1" w:after="100" w:afterAutospacing="1"/>
    </w:pPr>
    <w:rPr>
      <w:rFonts w:eastAsia="Calibri"/>
      <w:lang w:eastAsia="en-GB"/>
    </w:rPr>
  </w:style>
  <w:style w:type="paragraph" w:styleId="ListParagraph">
    <w:name w:val="List Paragraph"/>
    <w:basedOn w:val="Normal"/>
    <w:uiPriority w:val="34"/>
    <w:qFormat/>
    <w:rsid w:val="008E1169"/>
    <w:pPr>
      <w:ind w:left="720"/>
      <w:contextualSpacing/>
    </w:pPr>
  </w:style>
  <w:style w:type="paragraph" w:customStyle="1" w:styleId="BodyA">
    <w:name w:val="Body A"/>
    <w:rsid w:val="00D10804"/>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GB" w:eastAsia="en-GB"/>
    </w:rPr>
  </w:style>
  <w:style w:type="character" w:styleId="FollowedHyperlink">
    <w:name w:val="FollowedHyperlink"/>
    <w:basedOn w:val="DefaultParagraphFont"/>
    <w:uiPriority w:val="99"/>
    <w:semiHidden/>
    <w:unhideWhenUsed/>
    <w:rsid w:val="00615929"/>
    <w:rPr>
      <w:color w:val="800080" w:themeColor="followedHyperlink"/>
      <w:u w:val="single"/>
    </w:rPr>
  </w:style>
  <w:style w:type="character" w:customStyle="1" w:styleId="apple-converted-space">
    <w:name w:val="apple-converted-space"/>
    <w:basedOn w:val="DefaultParagraphFont"/>
    <w:rsid w:val="00394121"/>
  </w:style>
  <w:style w:type="paragraph" w:styleId="PlainText">
    <w:name w:val="Plain Text"/>
    <w:basedOn w:val="Normal"/>
    <w:link w:val="PlainTextChar"/>
    <w:uiPriority w:val="99"/>
    <w:unhideWhenUsed/>
    <w:rsid w:val="001E768D"/>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E768D"/>
    <w:rPr>
      <w:rFonts w:ascii="Calibri" w:eastAsiaTheme="minorHAnsi" w:hAnsi="Calibri" w:cs="Consolas"/>
      <w:sz w:val="22"/>
      <w:szCs w:val="21"/>
      <w:lang w:val="en-GB" w:eastAsia="en-US"/>
    </w:rPr>
  </w:style>
  <w:style w:type="character" w:customStyle="1" w:styleId="hlfld-contribauthor">
    <w:name w:val="hlfld-contribauthor"/>
    <w:basedOn w:val="DefaultParagraphFont"/>
    <w:rsid w:val="00C40F99"/>
  </w:style>
  <w:style w:type="character" w:customStyle="1" w:styleId="nlmgiven-names">
    <w:name w:val="nlm_given-names"/>
    <w:basedOn w:val="DefaultParagraphFont"/>
    <w:rsid w:val="00C40F99"/>
  </w:style>
  <w:style w:type="character" w:customStyle="1" w:styleId="nlmyear">
    <w:name w:val="nlm_year"/>
    <w:basedOn w:val="DefaultParagraphFont"/>
    <w:rsid w:val="00C40F99"/>
  </w:style>
  <w:style w:type="character" w:customStyle="1" w:styleId="nlmarticle-title">
    <w:name w:val="nlm_article-title"/>
    <w:basedOn w:val="DefaultParagraphFont"/>
    <w:rsid w:val="00C40F99"/>
  </w:style>
  <w:style w:type="character" w:customStyle="1" w:styleId="nlmfpage">
    <w:name w:val="nlm_fpage"/>
    <w:basedOn w:val="DefaultParagraphFont"/>
    <w:rsid w:val="00C40F99"/>
  </w:style>
  <w:style w:type="character" w:customStyle="1" w:styleId="nlmlpage">
    <w:name w:val="nlm_lpage"/>
    <w:basedOn w:val="DefaultParagraphFont"/>
    <w:rsid w:val="00C40F99"/>
  </w:style>
  <w:style w:type="paragraph" w:styleId="Revision">
    <w:name w:val="Revision"/>
    <w:hidden/>
    <w:uiPriority w:val="99"/>
    <w:semiHidden/>
    <w:rsid w:val="00441648"/>
    <w:rPr>
      <w:sz w:val="24"/>
      <w:szCs w:val="24"/>
      <w:lang w:val="en-GB" w:eastAsia="en-US"/>
    </w:rPr>
  </w:style>
  <w:style w:type="character" w:customStyle="1" w:styleId="gd">
    <w:name w:val="gd"/>
    <w:basedOn w:val="DefaultParagraphFont"/>
    <w:rsid w:val="00A2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5016">
      <w:bodyDiv w:val="1"/>
      <w:marLeft w:val="0"/>
      <w:marRight w:val="0"/>
      <w:marTop w:val="0"/>
      <w:marBottom w:val="0"/>
      <w:divBdr>
        <w:top w:val="none" w:sz="0" w:space="0" w:color="auto"/>
        <w:left w:val="none" w:sz="0" w:space="0" w:color="auto"/>
        <w:bottom w:val="none" w:sz="0" w:space="0" w:color="auto"/>
        <w:right w:val="none" w:sz="0" w:space="0" w:color="auto"/>
      </w:divBdr>
      <w:divsChild>
        <w:div w:id="1827084116">
          <w:marLeft w:val="0"/>
          <w:marRight w:val="0"/>
          <w:marTop w:val="0"/>
          <w:marBottom w:val="0"/>
          <w:divBdr>
            <w:top w:val="none" w:sz="0" w:space="0" w:color="auto"/>
            <w:left w:val="none" w:sz="0" w:space="0" w:color="auto"/>
            <w:bottom w:val="none" w:sz="0" w:space="0" w:color="auto"/>
            <w:right w:val="none" w:sz="0" w:space="0" w:color="auto"/>
          </w:divBdr>
          <w:divsChild>
            <w:div w:id="813333882">
              <w:marLeft w:val="0"/>
              <w:marRight w:val="0"/>
              <w:marTop w:val="0"/>
              <w:marBottom w:val="0"/>
              <w:divBdr>
                <w:top w:val="none" w:sz="0" w:space="0" w:color="auto"/>
                <w:left w:val="none" w:sz="0" w:space="0" w:color="auto"/>
                <w:bottom w:val="none" w:sz="0" w:space="0" w:color="auto"/>
                <w:right w:val="none" w:sz="0" w:space="0" w:color="auto"/>
              </w:divBdr>
              <w:divsChild>
                <w:div w:id="138575168">
                  <w:marLeft w:val="0"/>
                  <w:marRight w:val="0"/>
                  <w:marTop w:val="0"/>
                  <w:marBottom w:val="0"/>
                  <w:divBdr>
                    <w:top w:val="single" w:sz="6" w:space="0" w:color="CCCCCC"/>
                    <w:left w:val="single" w:sz="6" w:space="0" w:color="CCCCCC"/>
                    <w:bottom w:val="single" w:sz="6" w:space="0" w:color="CCCCCC"/>
                    <w:right w:val="single" w:sz="6" w:space="0" w:color="CCCCCC"/>
                  </w:divBdr>
                  <w:divsChild>
                    <w:div w:id="471867891">
                      <w:marLeft w:val="0"/>
                      <w:marRight w:val="0"/>
                      <w:marTop w:val="0"/>
                      <w:marBottom w:val="0"/>
                      <w:divBdr>
                        <w:top w:val="none" w:sz="0" w:space="0" w:color="auto"/>
                        <w:left w:val="none" w:sz="0" w:space="0" w:color="auto"/>
                        <w:bottom w:val="none" w:sz="0" w:space="0" w:color="auto"/>
                        <w:right w:val="none" w:sz="0" w:space="0" w:color="auto"/>
                      </w:divBdr>
                      <w:divsChild>
                        <w:div w:id="1684624060">
                          <w:marLeft w:val="0"/>
                          <w:marRight w:val="0"/>
                          <w:marTop w:val="0"/>
                          <w:marBottom w:val="0"/>
                          <w:divBdr>
                            <w:top w:val="none" w:sz="0" w:space="0" w:color="auto"/>
                            <w:left w:val="none" w:sz="0" w:space="0" w:color="auto"/>
                            <w:bottom w:val="none" w:sz="0" w:space="0" w:color="auto"/>
                            <w:right w:val="none" w:sz="0" w:space="0" w:color="auto"/>
                          </w:divBdr>
                          <w:divsChild>
                            <w:div w:id="1539899805">
                              <w:marLeft w:val="0"/>
                              <w:marRight w:val="0"/>
                              <w:marTop w:val="0"/>
                              <w:marBottom w:val="0"/>
                              <w:divBdr>
                                <w:top w:val="none" w:sz="0" w:space="0" w:color="auto"/>
                                <w:left w:val="none" w:sz="0" w:space="0" w:color="auto"/>
                                <w:bottom w:val="none" w:sz="0" w:space="0" w:color="auto"/>
                                <w:right w:val="none" w:sz="0" w:space="0" w:color="auto"/>
                              </w:divBdr>
                              <w:divsChild>
                                <w:div w:id="928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215138">
      <w:bodyDiv w:val="1"/>
      <w:marLeft w:val="0"/>
      <w:marRight w:val="0"/>
      <w:marTop w:val="0"/>
      <w:marBottom w:val="0"/>
      <w:divBdr>
        <w:top w:val="none" w:sz="0" w:space="0" w:color="auto"/>
        <w:left w:val="none" w:sz="0" w:space="0" w:color="auto"/>
        <w:bottom w:val="none" w:sz="0" w:space="0" w:color="auto"/>
        <w:right w:val="none" w:sz="0" w:space="0" w:color="auto"/>
      </w:divBdr>
    </w:div>
    <w:div w:id="292712139">
      <w:bodyDiv w:val="1"/>
      <w:marLeft w:val="0"/>
      <w:marRight w:val="0"/>
      <w:marTop w:val="0"/>
      <w:marBottom w:val="0"/>
      <w:divBdr>
        <w:top w:val="none" w:sz="0" w:space="0" w:color="auto"/>
        <w:left w:val="none" w:sz="0" w:space="0" w:color="auto"/>
        <w:bottom w:val="none" w:sz="0" w:space="0" w:color="auto"/>
        <w:right w:val="none" w:sz="0" w:space="0" w:color="auto"/>
      </w:divBdr>
      <w:divsChild>
        <w:div w:id="438720465">
          <w:marLeft w:val="0"/>
          <w:marRight w:val="0"/>
          <w:marTop w:val="0"/>
          <w:marBottom w:val="0"/>
          <w:divBdr>
            <w:top w:val="none" w:sz="0" w:space="0" w:color="auto"/>
            <w:left w:val="none" w:sz="0" w:space="0" w:color="auto"/>
            <w:bottom w:val="none" w:sz="0" w:space="0" w:color="auto"/>
            <w:right w:val="none" w:sz="0" w:space="0" w:color="auto"/>
          </w:divBdr>
        </w:div>
      </w:divsChild>
    </w:div>
    <w:div w:id="330960328">
      <w:bodyDiv w:val="1"/>
      <w:marLeft w:val="0"/>
      <w:marRight w:val="0"/>
      <w:marTop w:val="0"/>
      <w:marBottom w:val="0"/>
      <w:divBdr>
        <w:top w:val="none" w:sz="0" w:space="0" w:color="auto"/>
        <w:left w:val="none" w:sz="0" w:space="0" w:color="auto"/>
        <w:bottom w:val="none" w:sz="0" w:space="0" w:color="auto"/>
        <w:right w:val="none" w:sz="0" w:space="0" w:color="auto"/>
      </w:divBdr>
      <w:divsChild>
        <w:div w:id="938561876">
          <w:marLeft w:val="0"/>
          <w:marRight w:val="0"/>
          <w:marTop w:val="0"/>
          <w:marBottom w:val="0"/>
          <w:divBdr>
            <w:top w:val="none" w:sz="0" w:space="0" w:color="auto"/>
            <w:left w:val="none" w:sz="0" w:space="0" w:color="auto"/>
            <w:bottom w:val="none" w:sz="0" w:space="0" w:color="auto"/>
            <w:right w:val="none" w:sz="0" w:space="0" w:color="auto"/>
          </w:divBdr>
          <w:divsChild>
            <w:div w:id="791361298">
              <w:marLeft w:val="0"/>
              <w:marRight w:val="0"/>
              <w:marTop w:val="0"/>
              <w:marBottom w:val="0"/>
              <w:divBdr>
                <w:top w:val="none" w:sz="0" w:space="0" w:color="auto"/>
                <w:left w:val="none" w:sz="0" w:space="0" w:color="auto"/>
                <w:bottom w:val="none" w:sz="0" w:space="0" w:color="auto"/>
                <w:right w:val="none" w:sz="0" w:space="0" w:color="auto"/>
              </w:divBdr>
              <w:divsChild>
                <w:div w:id="1046220018">
                  <w:marLeft w:val="0"/>
                  <w:marRight w:val="0"/>
                  <w:marTop w:val="0"/>
                  <w:marBottom w:val="0"/>
                  <w:divBdr>
                    <w:top w:val="single" w:sz="6" w:space="0" w:color="CCCCCC"/>
                    <w:left w:val="single" w:sz="6" w:space="0" w:color="CCCCCC"/>
                    <w:bottom w:val="single" w:sz="6" w:space="0" w:color="CCCCCC"/>
                    <w:right w:val="single" w:sz="6" w:space="0" w:color="CCCCCC"/>
                  </w:divBdr>
                  <w:divsChild>
                    <w:div w:id="839274847">
                      <w:marLeft w:val="0"/>
                      <w:marRight w:val="0"/>
                      <w:marTop w:val="0"/>
                      <w:marBottom w:val="0"/>
                      <w:divBdr>
                        <w:top w:val="none" w:sz="0" w:space="0" w:color="auto"/>
                        <w:left w:val="none" w:sz="0" w:space="0" w:color="auto"/>
                        <w:bottom w:val="none" w:sz="0" w:space="0" w:color="auto"/>
                        <w:right w:val="none" w:sz="0" w:space="0" w:color="auto"/>
                      </w:divBdr>
                      <w:divsChild>
                        <w:div w:id="1800488562">
                          <w:marLeft w:val="0"/>
                          <w:marRight w:val="0"/>
                          <w:marTop w:val="0"/>
                          <w:marBottom w:val="0"/>
                          <w:divBdr>
                            <w:top w:val="none" w:sz="0" w:space="0" w:color="auto"/>
                            <w:left w:val="none" w:sz="0" w:space="0" w:color="auto"/>
                            <w:bottom w:val="none" w:sz="0" w:space="0" w:color="auto"/>
                            <w:right w:val="none" w:sz="0" w:space="0" w:color="auto"/>
                          </w:divBdr>
                          <w:divsChild>
                            <w:div w:id="692263040">
                              <w:marLeft w:val="0"/>
                              <w:marRight w:val="0"/>
                              <w:marTop w:val="0"/>
                              <w:marBottom w:val="0"/>
                              <w:divBdr>
                                <w:top w:val="none" w:sz="0" w:space="0" w:color="auto"/>
                                <w:left w:val="none" w:sz="0" w:space="0" w:color="auto"/>
                                <w:bottom w:val="none" w:sz="0" w:space="0" w:color="auto"/>
                                <w:right w:val="none" w:sz="0" w:space="0" w:color="auto"/>
                              </w:divBdr>
                              <w:divsChild>
                                <w:div w:id="416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5870">
      <w:bodyDiv w:val="1"/>
      <w:marLeft w:val="0"/>
      <w:marRight w:val="0"/>
      <w:marTop w:val="0"/>
      <w:marBottom w:val="0"/>
      <w:divBdr>
        <w:top w:val="none" w:sz="0" w:space="0" w:color="auto"/>
        <w:left w:val="none" w:sz="0" w:space="0" w:color="auto"/>
        <w:bottom w:val="none" w:sz="0" w:space="0" w:color="auto"/>
        <w:right w:val="none" w:sz="0" w:space="0" w:color="auto"/>
      </w:divBdr>
      <w:divsChild>
        <w:div w:id="1347634138">
          <w:marLeft w:val="0"/>
          <w:marRight w:val="0"/>
          <w:marTop w:val="0"/>
          <w:marBottom w:val="0"/>
          <w:divBdr>
            <w:top w:val="none" w:sz="0" w:space="0" w:color="auto"/>
            <w:left w:val="none" w:sz="0" w:space="0" w:color="auto"/>
            <w:bottom w:val="none" w:sz="0" w:space="0" w:color="auto"/>
            <w:right w:val="none" w:sz="0" w:space="0" w:color="auto"/>
          </w:divBdr>
          <w:divsChild>
            <w:div w:id="1173109629">
              <w:marLeft w:val="0"/>
              <w:marRight w:val="0"/>
              <w:marTop w:val="0"/>
              <w:marBottom w:val="0"/>
              <w:divBdr>
                <w:top w:val="none" w:sz="0" w:space="0" w:color="auto"/>
                <w:left w:val="none" w:sz="0" w:space="0" w:color="auto"/>
                <w:bottom w:val="none" w:sz="0" w:space="0" w:color="auto"/>
                <w:right w:val="none" w:sz="0" w:space="0" w:color="auto"/>
              </w:divBdr>
              <w:divsChild>
                <w:div w:id="1183856936">
                  <w:marLeft w:val="0"/>
                  <w:marRight w:val="0"/>
                  <w:marTop w:val="0"/>
                  <w:marBottom w:val="0"/>
                  <w:divBdr>
                    <w:top w:val="single" w:sz="6" w:space="0" w:color="CCCCCC"/>
                    <w:left w:val="single" w:sz="6" w:space="0" w:color="CCCCCC"/>
                    <w:bottom w:val="single" w:sz="6" w:space="0" w:color="CCCCCC"/>
                    <w:right w:val="single" w:sz="6" w:space="0" w:color="CCCCCC"/>
                  </w:divBdr>
                  <w:divsChild>
                    <w:div w:id="65156745">
                      <w:marLeft w:val="0"/>
                      <w:marRight w:val="0"/>
                      <w:marTop w:val="0"/>
                      <w:marBottom w:val="0"/>
                      <w:divBdr>
                        <w:top w:val="none" w:sz="0" w:space="0" w:color="auto"/>
                        <w:left w:val="none" w:sz="0" w:space="0" w:color="auto"/>
                        <w:bottom w:val="none" w:sz="0" w:space="0" w:color="auto"/>
                        <w:right w:val="none" w:sz="0" w:space="0" w:color="auto"/>
                      </w:divBdr>
                      <w:divsChild>
                        <w:div w:id="750272463">
                          <w:marLeft w:val="0"/>
                          <w:marRight w:val="0"/>
                          <w:marTop w:val="0"/>
                          <w:marBottom w:val="0"/>
                          <w:divBdr>
                            <w:top w:val="none" w:sz="0" w:space="0" w:color="auto"/>
                            <w:left w:val="none" w:sz="0" w:space="0" w:color="auto"/>
                            <w:bottom w:val="none" w:sz="0" w:space="0" w:color="auto"/>
                            <w:right w:val="none" w:sz="0" w:space="0" w:color="auto"/>
                          </w:divBdr>
                          <w:divsChild>
                            <w:div w:id="503277016">
                              <w:marLeft w:val="0"/>
                              <w:marRight w:val="0"/>
                              <w:marTop w:val="0"/>
                              <w:marBottom w:val="0"/>
                              <w:divBdr>
                                <w:top w:val="none" w:sz="0" w:space="0" w:color="auto"/>
                                <w:left w:val="none" w:sz="0" w:space="0" w:color="auto"/>
                                <w:bottom w:val="none" w:sz="0" w:space="0" w:color="auto"/>
                                <w:right w:val="none" w:sz="0" w:space="0" w:color="auto"/>
                              </w:divBdr>
                              <w:divsChild>
                                <w:div w:id="3531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346716">
      <w:bodyDiv w:val="1"/>
      <w:marLeft w:val="0"/>
      <w:marRight w:val="0"/>
      <w:marTop w:val="0"/>
      <w:marBottom w:val="0"/>
      <w:divBdr>
        <w:top w:val="none" w:sz="0" w:space="0" w:color="auto"/>
        <w:left w:val="none" w:sz="0" w:space="0" w:color="auto"/>
        <w:bottom w:val="none" w:sz="0" w:space="0" w:color="auto"/>
        <w:right w:val="none" w:sz="0" w:space="0" w:color="auto"/>
      </w:divBdr>
    </w:div>
    <w:div w:id="935020892">
      <w:bodyDiv w:val="1"/>
      <w:marLeft w:val="0"/>
      <w:marRight w:val="0"/>
      <w:marTop w:val="0"/>
      <w:marBottom w:val="0"/>
      <w:divBdr>
        <w:top w:val="none" w:sz="0" w:space="0" w:color="auto"/>
        <w:left w:val="none" w:sz="0" w:space="0" w:color="auto"/>
        <w:bottom w:val="none" w:sz="0" w:space="0" w:color="auto"/>
        <w:right w:val="none" w:sz="0" w:space="0" w:color="auto"/>
      </w:divBdr>
      <w:divsChild>
        <w:div w:id="535048884">
          <w:marLeft w:val="0"/>
          <w:marRight w:val="0"/>
          <w:marTop w:val="0"/>
          <w:marBottom w:val="0"/>
          <w:divBdr>
            <w:top w:val="none" w:sz="0" w:space="0" w:color="auto"/>
            <w:left w:val="none" w:sz="0" w:space="0" w:color="auto"/>
            <w:bottom w:val="none" w:sz="0" w:space="0" w:color="auto"/>
            <w:right w:val="none" w:sz="0" w:space="0" w:color="auto"/>
          </w:divBdr>
          <w:divsChild>
            <w:div w:id="1012760345">
              <w:marLeft w:val="0"/>
              <w:marRight w:val="0"/>
              <w:marTop w:val="0"/>
              <w:marBottom w:val="0"/>
              <w:divBdr>
                <w:top w:val="none" w:sz="0" w:space="0" w:color="auto"/>
                <w:left w:val="none" w:sz="0" w:space="0" w:color="auto"/>
                <w:bottom w:val="none" w:sz="0" w:space="0" w:color="auto"/>
                <w:right w:val="none" w:sz="0" w:space="0" w:color="auto"/>
              </w:divBdr>
              <w:divsChild>
                <w:div w:id="718286569">
                  <w:marLeft w:val="0"/>
                  <w:marRight w:val="0"/>
                  <w:marTop w:val="0"/>
                  <w:marBottom w:val="0"/>
                  <w:divBdr>
                    <w:top w:val="none" w:sz="0" w:space="0" w:color="auto"/>
                    <w:left w:val="none" w:sz="0" w:space="0" w:color="auto"/>
                    <w:bottom w:val="none" w:sz="0" w:space="0" w:color="auto"/>
                    <w:right w:val="none" w:sz="0" w:space="0" w:color="auto"/>
                  </w:divBdr>
                  <w:divsChild>
                    <w:div w:id="91901965">
                      <w:marLeft w:val="-225"/>
                      <w:marRight w:val="-225"/>
                      <w:marTop w:val="0"/>
                      <w:marBottom w:val="0"/>
                      <w:divBdr>
                        <w:top w:val="none" w:sz="0" w:space="0" w:color="auto"/>
                        <w:left w:val="none" w:sz="0" w:space="0" w:color="auto"/>
                        <w:bottom w:val="none" w:sz="0" w:space="0" w:color="auto"/>
                        <w:right w:val="none" w:sz="0" w:space="0" w:color="auto"/>
                      </w:divBdr>
                      <w:divsChild>
                        <w:div w:id="762456911">
                          <w:marLeft w:val="0"/>
                          <w:marRight w:val="0"/>
                          <w:marTop w:val="0"/>
                          <w:marBottom w:val="0"/>
                          <w:divBdr>
                            <w:top w:val="none" w:sz="0" w:space="0" w:color="auto"/>
                            <w:left w:val="none" w:sz="0" w:space="0" w:color="auto"/>
                            <w:bottom w:val="none" w:sz="0" w:space="0" w:color="auto"/>
                            <w:right w:val="none" w:sz="0" w:space="0" w:color="auto"/>
                          </w:divBdr>
                          <w:divsChild>
                            <w:div w:id="114180412">
                              <w:marLeft w:val="0"/>
                              <w:marRight w:val="0"/>
                              <w:marTop w:val="0"/>
                              <w:marBottom w:val="0"/>
                              <w:divBdr>
                                <w:top w:val="none" w:sz="0" w:space="0" w:color="auto"/>
                                <w:left w:val="none" w:sz="0" w:space="0" w:color="auto"/>
                                <w:bottom w:val="none" w:sz="0" w:space="0" w:color="auto"/>
                                <w:right w:val="none" w:sz="0" w:space="0" w:color="auto"/>
                              </w:divBdr>
                              <w:divsChild>
                                <w:div w:id="176235719">
                                  <w:marLeft w:val="0"/>
                                  <w:marRight w:val="0"/>
                                  <w:marTop w:val="0"/>
                                  <w:marBottom w:val="0"/>
                                  <w:divBdr>
                                    <w:top w:val="none" w:sz="0" w:space="0" w:color="auto"/>
                                    <w:left w:val="none" w:sz="0" w:space="0" w:color="auto"/>
                                    <w:bottom w:val="none" w:sz="0" w:space="0" w:color="auto"/>
                                    <w:right w:val="none" w:sz="0" w:space="0" w:color="auto"/>
                                  </w:divBdr>
                                  <w:divsChild>
                                    <w:div w:id="2005010553">
                                      <w:marLeft w:val="0"/>
                                      <w:marRight w:val="0"/>
                                      <w:marTop w:val="0"/>
                                      <w:marBottom w:val="0"/>
                                      <w:divBdr>
                                        <w:top w:val="none" w:sz="0" w:space="0" w:color="auto"/>
                                        <w:left w:val="none" w:sz="0" w:space="0" w:color="auto"/>
                                        <w:bottom w:val="none" w:sz="0" w:space="0" w:color="auto"/>
                                        <w:right w:val="none" w:sz="0" w:space="0" w:color="auto"/>
                                      </w:divBdr>
                                      <w:divsChild>
                                        <w:div w:id="423918730">
                                          <w:marLeft w:val="0"/>
                                          <w:marRight w:val="0"/>
                                          <w:marTop w:val="0"/>
                                          <w:marBottom w:val="0"/>
                                          <w:divBdr>
                                            <w:top w:val="none" w:sz="0" w:space="0" w:color="auto"/>
                                            <w:left w:val="none" w:sz="0" w:space="0" w:color="auto"/>
                                            <w:bottom w:val="none" w:sz="0" w:space="0" w:color="auto"/>
                                            <w:right w:val="none" w:sz="0" w:space="0" w:color="auto"/>
                                          </w:divBdr>
                                          <w:divsChild>
                                            <w:div w:id="349139215">
                                              <w:marLeft w:val="0"/>
                                              <w:marRight w:val="0"/>
                                              <w:marTop w:val="0"/>
                                              <w:marBottom w:val="0"/>
                                              <w:divBdr>
                                                <w:top w:val="none" w:sz="0" w:space="0" w:color="auto"/>
                                                <w:left w:val="none" w:sz="0" w:space="0" w:color="auto"/>
                                                <w:bottom w:val="none" w:sz="0" w:space="0" w:color="auto"/>
                                                <w:right w:val="none" w:sz="0" w:space="0" w:color="auto"/>
                                              </w:divBdr>
                                              <w:divsChild>
                                                <w:div w:id="1241912155">
                                                  <w:marLeft w:val="0"/>
                                                  <w:marRight w:val="0"/>
                                                  <w:marTop w:val="0"/>
                                                  <w:marBottom w:val="0"/>
                                                  <w:divBdr>
                                                    <w:top w:val="none" w:sz="0" w:space="0" w:color="auto"/>
                                                    <w:left w:val="none" w:sz="0" w:space="0" w:color="auto"/>
                                                    <w:bottom w:val="none" w:sz="0" w:space="0" w:color="auto"/>
                                                    <w:right w:val="none" w:sz="0" w:space="0" w:color="auto"/>
                                                  </w:divBdr>
                                                  <w:divsChild>
                                                    <w:div w:id="8072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1263">
                                              <w:marLeft w:val="0"/>
                                              <w:marRight w:val="0"/>
                                              <w:marTop w:val="0"/>
                                              <w:marBottom w:val="0"/>
                                              <w:divBdr>
                                                <w:top w:val="none" w:sz="0" w:space="0" w:color="auto"/>
                                                <w:left w:val="none" w:sz="0" w:space="0" w:color="auto"/>
                                                <w:bottom w:val="none" w:sz="0" w:space="0" w:color="auto"/>
                                                <w:right w:val="none" w:sz="0" w:space="0" w:color="auto"/>
                                              </w:divBdr>
                                              <w:divsChild>
                                                <w:div w:id="1396664168">
                                                  <w:marLeft w:val="0"/>
                                                  <w:marRight w:val="0"/>
                                                  <w:marTop w:val="0"/>
                                                  <w:marBottom w:val="0"/>
                                                  <w:divBdr>
                                                    <w:top w:val="none" w:sz="0" w:space="0" w:color="auto"/>
                                                    <w:left w:val="none" w:sz="0" w:space="0" w:color="auto"/>
                                                    <w:bottom w:val="none" w:sz="0" w:space="0" w:color="auto"/>
                                                    <w:right w:val="none" w:sz="0" w:space="0" w:color="auto"/>
                                                  </w:divBdr>
                                                  <w:divsChild>
                                                    <w:div w:id="20517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894978">
      <w:bodyDiv w:val="1"/>
      <w:marLeft w:val="0"/>
      <w:marRight w:val="0"/>
      <w:marTop w:val="0"/>
      <w:marBottom w:val="0"/>
      <w:divBdr>
        <w:top w:val="none" w:sz="0" w:space="0" w:color="auto"/>
        <w:left w:val="none" w:sz="0" w:space="0" w:color="auto"/>
        <w:bottom w:val="none" w:sz="0" w:space="0" w:color="auto"/>
        <w:right w:val="none" w:sz="0" w:space="0" w:color="auto"/>
      </w:divBdr>
      <w:divsChild>
        <w:div w:id="477848037">
          <w:marLeft w:val="0"/>
          <w:marRight w:val="0"/>
          <w:marTop w:val="0"/>
          <w:marBottom w:val="0"/>
          <w:divBdr>
            <w:top w:val="none" w:sz="0" w:space="0" w:color="auto"/>
            <w:left w:val="none" w:sz="0" w:space="0" w:color="auto"/>
            <w:bottom w:val="none" w:sz="0" w:space="0" w:color="auto"/>
            <w:right w:val="none" w:sz="0" w:space="0" w:color="auto"/>
          </w:divBdr>
          <w:divsChild>
            <w:div w:id="2132478353">
              <w:marLeft w:val="0"/>
              <w:marRight w:val="0"/>
              <w:marTop w:val="0"/>
              <w:marBottom w:val="0"/>
              <w:divBdr>
                <w:top w:val="none" w:sz="0" w:space="0" w:color="auto"/>
                <w:left w:val="none" w:sz="0" w:space="0" w:color="auto"/>
                <w:bottom w:val="none" w:sz="0" w:space="0" w:color="auto"/>
                <w:right w:val="none" w:sz="0" w:space="0" w:color="auto"/>
              </w:divBdr>
              <w:divsChild>
                <w:div w:id="2122453473">
                  <w:marLeft w:val="0"/>
                  <w:marRight w:val="0"/>
                  <w:marTop w:val="0"/>
                  <w:marBottom w:val="0"/>
                  <w:divBdr>
                    <w:top w:val="single" w:sz="6" w:space="0" w:color="CCCCCC"/>
                    <w:left w:val="single" w:sz="6" w:space="0" w:color="CCCCCC"/>
                    <w:bottom w:val="single" w:sz="6" w:space="0" w:color="CCCCCC"/>
                    <w:right w:val="single" w:sz="6" w:space="0" w:color="CCCCCC"/>
                  </w:divBdr>
                  <w:divsChild>
                    <w:div w:id="2138596939">
                      <w:marLeft w:val="0"/>
                      <w:marRight w:val="0"/>
                      <w:marTop w:val="0"/>
                      <w:marBottom w:val="0"/>
                      <w:divBdr>
                        <w:top w:val="none" w:sz="0" w:space="0" w:color="auto"/>
                        <w:left w:val="none" w:sz="0" w:space="0" w:color="auto"/>
                        <w:bottom w:val="none" w:sz="0" w:space="0" w:color="auto"/>
                        <w:right w:val="none" w:sz="0" w:space="0" w:color="auto"/>
                      </w:divBdr>
                      <w:divsChild>
                        <w:div w:id="505442745">
                          <w:marLeft w:val="0"/>
                          <w:marRight w:val="0"/>
                          <w:marTop w:val="0"/>
                          <w:marBottom w:val="0"/>
                          <w:divBdr>
                            <w:top w:val="none" w:sz="0" w:space="0" w:color="auto"/>
                            <w:left w:val="none" w:sz="0" w:space="0" w:color="auto"/>
                            <w:bottom w:val="none" w:sz="0" w:space="0" w:color="auto"/>
                            <w:right w:val="none" w:sz="0" w:space="0" w:color="auto"/>
                          </w:divBdr>
                          <w:divsChild>
                            <w:div w:id="557395842">
                              <w:marLeft w:val="0"/>
                              <w:marRight w:val="0"/>
                              <w:marTop w:val="0"/>
                              <w:marBottom w:val="0"/>
                              <w:divBdr>
                                <w:top w:val="none" w:sz="0" w:space="0" w:color="auto"/>
                                <w:left w:val="none" w:sz="0" w:space="0" w:color="auto"/>
                                <w:bottom w:val="none" w:sz="0" w:space="0" w:color="auto"/>
                                <w:right w:val="none" w:sz="0" w:space="0" w:color="auto"/>
                              </w:divBdr>
                              <w:divsChild>
                                <w:div w:id="6258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231896">
      <w:bodyDiv w:val="1"/>
      <w:marLeft w:val="0"/>
      <w:marRight w:val="0"/>
      <w:marTop w:val="0"/>
      <w:marBottom w:val="0"/>
      <w:divBdr>
        <w:top w:val="none" w:sz="0" w:space="0" w:color="auto"/>
        <w:left w:val="none" w:sz="0" w:space="0" w:color="auto"/>
        <w:bottom w:val="none" w:sz="0" w:space="0" w:color="auto"/>
        <w:right w:val="none" w:sz="0" w:space="0" w:color="auto"/>
      </w:divBdr>
      <w:divsChild>
        <w:div w:id="537206604">
          <w:marLeft w:val="0"/>
          <w:marRight w:val="0"/>
          <w:marTop w:val="0"/>
          <w:marBottom w:val="0"/>
          <w:divBdr>
            <w:top w:val="none" w:sz="0" w:space="0" w:color="auto"/>
            <w:left w:val="none" w:sz="0" w:space="0" w:color="auto"/>
            <w:bottom w:val="none" w:sz="0" w:space="0" w:color="auto"/>
            <w:right w:val="none" w:sz="0" w:space="0" w:color="auto"/>
          </w:divBdr>
          <w:divsChild>
            <w:div w:id="594174220">
              <w:marLeft w:val="0"/>
              <w:marRight w:val="0"/>
              <w:marTop w:val="0"/>
              <w:marBottom w:val="0"/>
              <w:divBdr>
                <w:top w:val="none" w:sz="0" w:space="0" w:color="auto"/>
                <w:left w:val="none" w:sz="0" w:space="0" w:color="auto"/>
                <w:bottom w:val="none" w:sz="0" w:space="0" w:color="auto"/>
                <w:right w:val="none" w:sz="0" w:space="0" w:color="auto"/>
              </w:divBdr>
              <w:divsChild>
                <w:div w:id="716705590">
                  <w:marLeft w:val="0"/>
                  <w:marRight w:val="0"/>
                  <w:marTop w:val="0"/>
                  <w:marBottom w:val="0"/>
                  <w:divBdr>
                    <w:top w:val="single" w:sz="6" w:space="0" w:color="CCCCCC"/>
                    <w:left w:val="single" w:sz="6" w:space="0" w:color="CCCCCC"/>
                    <w:bottom w:val="single" w:sz="6" w:space="0" w:color="CCCCCC"/>
                    <w:right w:val="single" w:sz="6" w:space="0" w:color="CCCCCC"/>
                  </w:divBdr>
                  <w:divsChild>
                    <w:div w:id="945581378">
                      <w:marLeft w:val="0"/>
                      <w:marRight w:val="0"/>
                      <w:marTop w:val="0"/>
                      <w:marBottom w:val="0"/>
                      <w:divBdr>
                        <w:top w:val="none" w:sz="0" w:space="0" w:color="auto"/>
                        <w:left w:val="none" w:sz="0" w:space="0" w:color="auto"/>
                        <w:bottom w:val="none" w:sz="0" w:space="0" w:color="auto"/>
                        <w:right w:val="none" w:sz="0" w:space="0" w:color="auto"/>
                      </w:divBdr>
                      <w:divsChild>
                        <w:div w:id="1721055020">
                          <w:marLeft w:val="0"/>
                          <w:marRight w:val="0"/>
                          <w:marTop w:val="0"/>
                          <w:marBottom w:val="0"/>
                          <w:divBdr>
                            <w:top w:val="none" w:sz="0" w:space="0" w:color="auto"/>
                            <w:left w:val="none" w:sz="0" w:space="0" w:color="auto"/>
                            <w:bottom w:val="none" w:sz="0" w:space="0" w:color="auto"/>
                            <w:right w:val="none" w:sz="0" w:space="0" w:color="auto"/>
                          </w:divBdr>
                          <w:divsChild>
                            <w:div w:id="171381931">
                              <w:marLeft w:val="0"/>
                              <w:marRight w:val="0"/>
                              <w:marTop w:val="0"/>
                              <w:marBottom w:val="0"/>
                              <w:divBdr>
                                <w:top w:val="none" w:sz="0" w:space="0" w:color="auto"/>
                                <w:left w:val="none" w:sz="0" w:space="0" w:color="auto"/>
                                <w:bottom w:val="none" w:sz="0" w:space="0" w:color="auto"/>
                                <w:right w:val="none" w:sz="0" w:space="0" w:color="auto"/>
                              </w:divBdr>
                              <w:divsChild>
                                <w:div w:id="604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382541">
      <w:bodyDiv w:val="1"/>
      <w:marLeft w:val="0"/>
      <w:marRight w:val="0"/>
      <w:marTop w:val="0"/>
      <w:marBottom w:val="0"/>
      <w:divBdr>
        <w:top w:val="none" w:sz="0" w:space="0" w:color="auto"/>
        <w:left w:val="none" w:sz="0" w:space="0" w:color="auto"/>
        <w:bottom w:val="none" w:sz="0" w:space="0" w:color="auto"/>
        <w:right w:val="none" w:sz="0" w:space="0" w:color="auto"/>
      </w:divBdr>
      <w:divsChild>
        <w:div w:id="1003507282">
          <w:marLeft w:val="0"/>
          <w:marRight w:val="0"/>
          <w:marTop w:val="0"/>
          <w:marBottom w:val="0"/>
          <w:divBdr>
            <w:top w:val="none" w:sz="0" w:space="0" w:color="auto"/>
            <w:left w:val="none" w:sz="0" w:space="0" w:color="auto"/>
            <w:bottom w:val="none" w:sz="0" w:space="0" w:color="auto"/>
            <w:right w:val="none" w:sz="0" w:space="0" w:color="auto"/>
          </w:divBdr>
          <w:divsChild>
            <w:div w:id="671568149">
              <w:marLeft w:val="0"/>
              <w:marRight w:val="0"/>
              <w:marTop w:val="0"/>
              <w:marBottom w:val="0"/>
              <w:divBdr>
                <w:top w:val="none" w:sz="0" w:space="0" w:color="auto"/>
                <w:left w:val="none" w:sz="0" w:space="0" w:color="auto"/>
                <w:bottom w:val="none" w:sz="0" w:space="0" w:color="auto"/>
                <w:right w:val="none" w:sz="0" w:space="0" w:color="auto"/>
              </w:divBdr>
              <w:divsChild>
                <w:div w:id="956838970">
                  <w:marLeft w:val="0"/>
                  <w:marRight w:val="0"/>
                  <w:marTop w:val="0"/>
                  <w:marBottom w:val="0"/>
                  <w:divBdr>
                    <w:top w:val="single" w:sz="6" w:space="0" w:color="CCCCCC"/>
                    <w:left w:val="single" w:sz="6" w:space="0" w:color="CCCCCC"/>
                    <w:bottom w:val="single" w:sz="6" w:space="0" w:color="CCCCCC"/>
                    <w:right w:val="single" w:sz="6" w:space="0" w:color="CCCCCC"/>
                  </w:divBdr>
                  <w:divsChild>
                    <w:div w:id="1815633161">
                      <w:marLeft w:val="0"/>
                      <w:marRight w:val="0"/>
                      <w:marTop w:val="0"/>
                      <w:marBottom w:val="0"/>
                      <w:divBdr>
                        <w:top w:val="none" w:sz="0" w:space="0" w:color="auto"/>
                        <w:left w:val="none" w:sz="0" w:space="0" w:color="auto"/>
                        <w:bottom w:val="none" w:sz="0" w:space="0" w:color="auto"/>
                        <w:right w:val="none" w:sz="0" w:space="0" w:color="auto"/>
                      </w:divBdr>
                      <w:divsChild>
                        <w:div w:id="858399395">
                          <w:marLeft w:val="0"/>
                          <w:marRight w:val="0"/>
                          <w:marTop w:val="0"/>
                          <w:marBottom w:val="0"/>
                          <w:divBdr>
                            <w:top w:val="none" w:sz="0" w:space="0" w:color="auto"/>
                            <w:left w:val="none" w:sz="0" w:space="0" w:color="auto"/>
                            <w:bottom w:val="none" w:sz="0" w:space="0" w:color="auto"/>
                            <w:right w:val="none" w:sz="0" w:space="0" w:color="auto"/>
                          </w:divBdr>
                          <w:divsChild>
                            <w:div w:id="1638099633">
                              <w:marLeft w:val="0"/>
                              <w:marRight w:val="0"/>
                              <w:marTop w:val="0"/>
                              <w:marBottom w:val="0"/>
                              <w:divBdr>
                                <w:top w:val="none" w:sz="0" w:space="0" w:color="auto"/>
                                <w:left w:val="none" w:sz="0" w:space="0" w:color="auto"/>
                                <w:bottom w:val="none" w:sz="0" w:space="0" w:color="auto"/>
                                <w:right w:val="none" w:sz="0" w:space="0" w:color="auto"/>
                              </w:divBdr>
                              <w:divsChild>
                                <w:div w:id="1460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283195">
      <w:bodyDiv w:val="1"/>
      <w:marLeft w:val="0"/>
      <w:marRight w:val="0"/>
      <w:marTop w:val="0"/>
      <w:marBottom w:val="0"/>
      <w:divBdr>
        <w:top w:val="none" w:sz="0" w:space="0" w:color="auto"/>
        <w:left w:val="none" w:sz="0" w:space="0" w:color="auto"/>
        <w:bottom w:val="none" w:sz="0" w:space="0" w:color="auto"/>
        <w:right w:val="none" w:sz="0" w:space="0" w:color="auto"/>
      </w:divBdr>
      <w:divsChild>
        <w:div w:id="721248425">
          <w:marLeft w:val="0"/>
          <w:marRight w:val="0"/>
          <w:marTop w:val="0"/>
          <w:marBottom w:val="0"/>
          <w:divBdr>
            <w:top w:val="none" w:sz="0" w:space="0" w:color="auto"/>
            <w:left w:val="none" w:sz="0" w:space="0" w:color="auto"/>
            <w:bottom w:val="none" w:sz="0" w:space="0" w:color="auto"/>
            <w:right w:val="none" w:sz="0" w:space="0" w:color="auto"/>
          </w:divBdr>
          <w:divsChild>
            <w:div w:id="1471822560">
              <w:marLeft w:val="0"/>
              <w:marRight w:val="0"/>
              <w:marTop w:val="0"/>
              <w:marBottom w:val="0"/>
              <w:divBdr>
                <w:top w:val="none" w:sz="0" w:space="0" w:color="auto"/>
                <w:left w:val="none" w:sz="0" w:space="0" w:color="auto"/>
                <w:bottom w:val="none" w:sz="0" w:space="0" w:color="auto"/>
                <w:right w:val="none" w:sz="0" w:space="0" w:color="auto"/>
              </w:divBdr>
              <w:divsChild>
                <w:div w:id="1565214267">
                  <w:marLeft w:val="0"/>
                  <w:marRight w:val="0"/>
                  <w:marTop w:val="0"/>
                  <w:marBottom w:val="0"/>
                  <w:divBdr>
                    <w:top w:val="single" w:sz="6" w:space="0" w:color="CCCCCC"/>
                    <w:left w:val="single" w:sz="6" w:space="0" w:color="CCCCCC"/>
                    <w:bottom w:val="single" w:sz="6" w:space="0" w:color="CCCCCC"/>
                    <w:right w:val="single" w:sz="6" w:space="0" w:color="CCCCCC"/>
                  </w:divBdr>
                  <w:divsChild>
                    <w:div w:id="409426252">
                      <w:marLeft w:val="0"/>
                      <w:marRight w:val="0"/>
                      <w:marTop w:val="0"/>
                      <w:marBottom w:val="0"/>
                      <w:divBdr>
                        <w:top w:val="none" w:sz="0" w:space="0" w:color="auto"/>
                        <w:left w:val="none" w:sz="0" w:space="0" w:color="auto"/>
                        <w:bottom w:val="none" w:sz="0" w:space="0" w:color="auto"/>
                        <w:right w:val="none" w:sz="0" w:space="0" w:color="auto"/>
                      </w:divBdr>
                      <w:divsChild>
                        <w:div w:id="1421953603">
                          <w:marLeft w:val="0"/>
                          <w:marRight w:val="0"/>
                          <w:marTop w:val="0"/>
                          <w:marBottom w:val="0"/>
                          <w:divBdr>
                            <w:top w:val="none" w:sz="0" w:space="0" w:color="auto"/>
                            <w:left w:val="none" w:sz="0" w:space="0" w:color="auto"/>
                            <w:bottom w:val="none" w:sz="0" w:space="0" w:color="auto"/>
                            <w:right w:val="none" w:sz="0" w:space="0" w:color="auto"/>
                          </w:divBdr>
                          <w:divsChild>
                            <w:div w:id="113258561">
                              <w:marLeft w:val="0"/>
                              <w:marRight w:val="0"/>
                              <w:marTop w:val="0"/>
                              <w:marBottom w:val="0"/>
                              <w:divBdr>
                                <w:top w:val="none" w:sz="0" w:space="0" w:color="auto"/>
                                <w:left w:val="none" w:sz="0" w:space="0" w:color="auto"/>
                                <w:bottom w:val="none" w:sz="0" w:space="0" w:color="auto"/>
                                <w:right w:val="none" w:sz="0" w:space="0" w:color="auto"/>
                              </w:divBdr>
                              <w:divsChild>
                                <w:div w:id="18872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09824">
      <w:bodyDiv w:val="1"/>
      <w:marLeft w:val="0"/>
      <w:marRight w:val="0"/>
      <w:marTop w:val="0"/>
      <w:marBottom w:val="0"/>
      <w:divBdr>
        <w:top w:val="none" w:sz="0" w:space="0" w:color="auto"/>
        <w:left w:val="none" w:sz="0" w:space="0" w:color="auto"/>
        <w:bottom w:val="none" w:sz="0" w:space="0" w:color="auto"/>
        <w:right w:val="none" w:sz="0" w:space="0" w:color="auto"/>
      </w:divBdr>
    </w:div>
    <w:div w:id="2031374183">
      <w:bodyDiv w:val="1"/>
      <w:marLeft w:val="0"/>
      <w:marRight w:val="0"/>
      <w:marTop w:val="0"/>
      <w:marBottom w:val="0"/>
      <w:divBdr>
        <w:top w:val="none" w:sz="0" w:space="0" w:color="auto"/>
        <w:left w:val="none" w:sz="0" w:space="0" w:color="auto"/>
        <w:bottom w:val="none" w:sz="0" w:space="0" w:color="auto"/>
        <w:right w:val="none" w:sz="0" w:space="0" w:color="auto"/>
      </w:divBdr>
      <w:divsChild>
        <w:div w:id="513035903">
          <w:marLeft w:val="0"/>
          <w:marRight w:val="0"/>
          <w:marTop w:val="0"/>
          <w:marBottom w:val="0"/>
          <w:divBdr>
            <w:top w:val="none" w:sz="0" w:space="0" w:color="auto"/>
            <w:left w:val="none" w:sz="0" w:space="0" w:color="auto"/>
            <w:bottom w:val="none" w:sz="0" w:space="0" w:color="auto"/>
            <w:right w:val="none" w:sz="0" w:space="0" w:color="auto"/>
          </w:divBdr>
          <w:divsChild>
            <w:div w:id="688676845">
              <w:marLeft w:val="0"/>
              <w:marRight w:val="0"/>
              <w:marTop w:val="0"/>
              <w:marBottom w:val="0"/>
              <w:divBdr>
                <w:top w:val="none" w:sz="0" w:space="0" w:color="auto"/>
                <w:left w:val="none" w:sz="0" w:space="0" w:color="auto"/>
                <w:bottom w:val="none" w:sz="0" w:space="0" w:color="auto"/>
                <w:right w:val="none" w:sz="0" w:space="0" w:color="auto"/>
              </w:divBdr>
              <w:divsChild>
                <w:div w:id="1882479890">
                  <w:marLeft w:val="0"/>
                  <w:marRight w:val="0"/>
                  <w:marTop w:val="0"/>
                  <w:marBottom w:val="0"/>
                  <w:divBdr>
                    <w:top w:val="single" w:sz="6" w:space="0" w:color="CCCCCC"/>
                    <w:left w:val="single" w:sz="6" w:space="0" w:color="CCCCCC"/>
                    <w:bottom w:val="single" w:sz="6" w:space="0" w:color="CCCCCC"/>
                    <w:right w:val="single" w:sz="6" w:space="0" w:color="CCCCCC"/>
                  </w:divBdr>
                  <w:divsChild>
                    <w:div w:id="2068146556">
                      <w:marLeft w:val="0"/>
                      <w:marRight w:val="0"/>
                      <w:marTop w:val="0"/>
                      <w:marBottom w:val="0"/>
                      <w:divBdr>
                        <w:top w:val="none" w:sz="0" w:space="0" w:color="auto"/>
                        <w:left w:val="none" w:sz="0" w:space="0" w:color="auto"/>
                        <w:bottom w:val="none" w:sz="0" w:space="0" w:color="auto"/>
                        <w:right w:val="none" w:sz="0" w:space="0" w:color="auto"/>
                      </w:divBdr>
                      <w:divsChild>
                        <w:div w:id="723481798">
                          <w:marLeft w:val="0"/>
                          <w:marRight w:val="0"/>
                          <w:marTop w:val="0"/>
                          <w:marBottom w:val="0"/>
                          <w:divBdr>
                            <w:top w:val="none" w:sz="0" w:space="0" w:color="auto"/>
                            <w:left w:val="none" w:sz="0" w:space="0" w:color="auto"/>
                            <w:bottom w:val="none" w:sz="0" w:space="0" w:color="auto"/>
                            <w:right w:val="none" w:sz="0" w:space="0" w:color="auto"/>
                          </w:divBdr>
                          <w:divsChild>
                            <w:div w:id="486216152">
                              <w:marLeft w:val="0"/>
                              <w:marRight w:val="0"/>
                              <w:marTop w:val="0"/>
                              <w:marBottom w:val="0"/>
                              <w:divBdr>
                                <w:top w:val="none" w:sz="0" w:space="0" w:color="auto"/>
                                <w:left w:val="none" w:sz="0" w:space="0" w:color="auto"/>
                                <w:bottom w:val="none" w:sz="0" w:space="0" w:color="auto"/>
                                <w:right w:val="none" w:sz="0" w:space="0" w:color="auto"/>
                              </w:divBdr>
                              <w:divsChild>
                                <w:div w:id="534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104398">
      <w:bodyDiv w:val="1"/>
      <w:marLeft w:val="0"/>
      <w:marRight w:val="0"/>
      <w:marTop w:val="0"/>
      <w:marBottom w:val="0"/>
      <w:divBdr>
        <w:top w:val="none" w:sz="0" w:space="0" w:color="auto"/>
        <w:left w:val="none" w:sz="0" w:space="0" w:color="auto"/>
        <w:bottom w:val="none" w:sz="0" w:space="0" w:color="auto"/>
        <w:right w:val="none" w:sz="0" w:space="0" w:color="auto"/>
      </w:divBdr>
      <w:divsChild>
        <w:div w:id="106312274">
          <w:marLeft w:val="0"/>
          <w:marRight w:val="0"/>
          <w:marTop w:val="0"/>
          <w:marBottom w:val="0"/>
          <w:divBdr>
            <w:top w:val="none" w:sz="0" w:space="0" w:color="auto"/>
            <w:left w:val="none" w:sz="0" w:space="0" w:color="auto"/>
            <w:bottom w:val="none" w:sz="0" w:space="0" w:color="auto"/>
            <w:right w:val="none" w:sz="0" w:space="0" w:color="auto"/>
          </w:divBdr>
          <w:divsChild>
            <w:div w:id="667756687">
              <w:marLeft w:val="0"/>
              <w:marRight w:val="0"/>
              <w:marTop w:val="0"/>
              <w:marBottom w:val="0"/>
              <w:divBdr>
                <w:top w:val="none" w:sz="0" w:space="0" w:color="auto"/>
                <w:left w:val="none" w:sz="0" w:space="0" w:color="auto"/>
                <w:bottom w:val="none" w:sz="0" w:space="0" w:color="auto"/>
                <w:right w:val="none" w:sz="0" w:space="0" w:color="auto"/>
              </w:divBdr>
              <w:divsChild>
                <w:div w:id="390930956">
                  <w:marLeft w:val="0"/>
                  <w:marRight w:val="0"/>
                  <w:marTop w:val="0"/>
                  <w:marBottom w:val="0"/>
                  <w:divBdr>
                    <w:top w:val="single" w:sz="6" w:space="0" w:color="CCCCCC"/>
                    <w:left w:val="single" w:sz="6" w:space="0" w:color="CCCCCC"/>
                    <w:bottom w:val="single" w:sz="6" w:space="0" w:color="CCCCCC"/>
                    <w:right w:val="single" w:sz="6" w:space="0" w:color="CCCCCC"/>
                  </w:divBdr>
                  <w:divsChild>
                    <w:div w:id="265776136">
                      <w:marLeft w:val="0"/>
                      <w:marRight w:val="0"/>
                      <w:marTop w:val="0"/>
                      <w:marBottom w:val="0"/>
                      <w:divBdr>
                        <w:top w:val="none" w:sz="0" w:space="0" w:color="auto"/>
                        <w:left w:val="none" w:sz="0" w:space="0" w:color="auto"/>
                        <w:bottom w:val="none" w:sz="0" w:space="0" w:color="auto"/>
                        <w:right w:val="none" w:sz="0" w:space="0" w:color="auto"/>
                      </w:divBdr>
                      <w:divsChild>
                        <w:div w:id="735393442">
                          <w:marLeft w:val="0"/>
                          <w:marRight w:val="0"/>
                          <w:marTop w:val="0"/>
                          <w:marBottom w:val="0"/>
                          <w:divBdr>
                            <w:top w:val="none" w:sz="0" w:space="0" w:color="auto"/>
                            <w:left w:val="none" w:sz="0" w:space="0" w:color="auto"/>
                            <w:bottom w:val="none" w:sz="0" w:space="0" w:color="auto"/>
                            <w:right w:val="none" w:sz="0" w:space="0" w:color="auto"/>
                          </w:divBdr>
                          <w:divsChild>
                            <w:div w:id="1191063236">
                              <w:marLeft w:val="0"/>
                              <w:marRight w:val="0"/>
                              <w:marTop w:val="0"/>
                              <w:marBottom w:val="0"/>
                              <w:divBdr>
                                <w:top w:val="none" w:sz="0" w:space="0" w:color="auto"/>
                                <w:left w:val="none" w:sz="0" w:space="0" w:color="auto"/>
                                <w:bottom w:val="none" w:sz="0" w:space="0" w:color="auto"/>
                                <w:right w:val="none" w:sz="0" w:space="0" w:color="auto"/>
                              </w:divBdr>
                              <w:divsChild>
                                <w:div w:id="20461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45062">
      <w:bodyDiv w:val="1"/>
      <w:marLeft w:val="0"/>
      <w:marRight w:val="0"/>
      <w:marTop w:val="0"/>
      <w:marBottom w:val="0"/>
      <w:divBdr>
        <w:top w:val="none" w:sz="0" w:space="0" w:color="auto"/>
        <w:left w:val="none" w:sz="0" w:space="0" w:color="auto"/>
        <w:bottom w:val="none" w:sz="0" w:space="0" w:color="auto"/>
        <w:right w:val="none" w:sz="0" w:space="0" w:color="auto"/>
      </w:divBdr>
      <w:divsChild>
        <w:div w:id="1373532998">
          <w:marLeft w:val="0"/>
          <w:marRight w:val="0"/>
          <w:marTop w:val="0"/>
          <w:marBottom w:val="0"/>
          <w:divBdr>
            <w:top w:val="none" w:sz="0" w:space="0" w:color="auto"/>
            <w:left w:val="none" w:sz="0" w:space="0" w:color="auto"/>
            <w:bottom w:val="none" w:sz="0" w:space="0" w:color="auto"/>
            <w:right w:val="none" w:sz="0" w:space="0" w:color="auto"/>
          </w:divBdr>
          <w:divsChild>
            <w:div w:id="1103111843">
              <w:marLeft w:val="0"/>
              <w:marRight w:val="0"/>
              <w:marTop w:val="0"/>
              <w:marBottom w:val="0"/>
              <w:divBdr>
                <w:top w:val="none" w:sz="0" w:space="0" w:color="auto"/>
                <w:left w:val="none" w:sz="0" w:space="0" w:color="auto"/>
                <w:bottom w:val="none" w:sz="0" w:space="0" w:color="auto"/>
                <w:right w:val="none" w:sz="0" w:space="0" w:color="auto"/>
              </w:divBdr>
              <w:divsChild>
                <w:div w:id="877813928">
                  <w:marLeft w:val="0"/>
                  <w:marRight w:val="0"/>
                  <w:marTop w:val="0"/>
                  <w:marBottom w:val="0"/>
                  <w:divBdr>
                    <w:top w:val="single" w:sz="6" w:space="0" w:color="CCCCCC"/>
                    <w:left w:val="single" w:sz="6" w:space="0" w:color="CCCCCC"/>
                    <w:bottom w:val="single" w:sz="6" w:space="0" w:color="CCCCCC"/>
                    <w:right w:val="single" w:sz="6" w:space="0" w:color="CCCCCC"/>
                  </w:divBdr>
                  <w:divsChild>
                    <w:div w:id="1202481157">
                      <w:marLeft w:val="0"/>
                      <w:marRight w:val="0"/>
                      <w:marTop w:val="0"/>
                      <w:marBottom w:val="0"/>
                      <w:divBdr>
                        <w:top w:val="none" w:sz="0" w:space="0" w:color="auto"/>
                        <w:left w:val="none" w:sz="0" w:space="0" w:color="auto"/>
                        <w:bottom w:val="none" w:sz="0" w:space="0" w:color="auto"/>
                        <w:right w:val="none" w:sz="0" w:space="0" w:color="auto"/>
                      </w:divBdr>
                      <w:divsChild>
                        <w:div w:id="341012530">
                          <w:marLeft w:val="0"/>
                          <w:marRight w:val="0"/>
                          <w:marTop w:val="0"/>
                          <w:marBottom w:val="0"/>
                          <w:divBdr>
                            <w:top w:val="none" w:sz="0" w:space="0" w:color="auto"/>
                            <w:left w:val="none" w:sz="0" w:space="0" w:color="auto"/>
                            <w:bottom w:val="none" w:sz="0" w:space="0" w:color="auto"/>
                            <w:right w:val="none" w:sz="0" w:space="0" w:color="auto"/>
                          </w:divBdr>
                          <w:divsChild>
                            <w:div w:id="2031953913">
                              <w:marLeft w:val="0"/>
                              <w:marRight w:val="0"/>
                              <w:marTop w:val="0"/>
                              <w:marBottom w:val="0"/>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9354-FDDE-400B-8446-3EB3B45F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13796</Words>
  <Characters>78643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TCD &amp; UCD</vt:lpstr>
    </vt:vector>
  </TitlesOfParts>
  <Company>SChool of Business Studies, TCD</Company>
  <LinksUpToDate>false</LinksUpToDate>
  <CharactersWithSpaces>92255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 &amp; UCD</dc:title>
  <dc:creator>Paul Coughlan &amp; Brian Fynes</dc:creator>
  <cp:lastModifiedBy>Peter Ball</cp:lastModifiedBy>
  <cp:revision>5</cp:revision>
  <cp:lastPrinted>2017-01-19T09:06:00Z</cp:lastPrinted>
  <dcterms:created xsi:type="dcterms:W3CDTF">2018-08-22T09:02:00Z</dcterms:created>
  <dcterms:modified xsi:type="dcterms:W3CDTF">2018-08-22T09:30:00Z</dcterms:modified>
</cp:coreProperties>
</file>