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305CA" w14:textId="153785F5" w:rsidR="00886864" w:rsidRPr="003A714C" w:rsidRDefault="00F96BFF" w:rsidP="009E7E81">
      <w:pPr>
        <w:spacing w:after="240" w:line="360" w:lineRule="auto"/>
        <w:jc w:val="both"/>
        <w:rPr>
          <w:rFonts w:cs="Times New Roman"/>
          <w:u w:val="single"/>
          <w:lang w:val="en-US"/>
        </w:rPr>
      </w:pPr>
      <w:r w:rsidRPr="009E7E81">
        <w:rPr>
          <w:rFonts w:cs="Times New Roman"/>
          <w:u w:val="single"/>
          <w:lang w:val="en-US"/>
        </w:rPr>
        <w:t xml:space="preserve">“Hand-to-mouth” citizenship: </w:t>
      </w:r>
      <w:r w:rsidR="003A714C">
        <w:rPr>
          <w:rFonts w:cs="Times New Roman"/>
          <w:u w:val="single"/>
          <w:lang w:val="en-US"/>
        </w:rPr>
        <w:t>decision time for</w:t>
      </w:r>
      <w:r w:rsidRPr="009E7E81">
        <w:rPr>
          <w:rFonts w:cs="Times New Roman"/>
          <w:u w:val="single"/>
          <w:lang w:val="en-US"/>
        </w:rPr>
        <w:t xml:space="preserve"> the UK Supreme Court</w:t>
      </w:r>
      <w:r w:rsidR="003A714C">
        <w:rPr>
          <w:rFonts w:cs="Times New Roman"/>
          <w:u w:val="single"/>
          <w:lang w:val="en-US"/>
        </w:rPr>
        <w:t xml:space="preserve"> on the substance of </w:t>
      </w:r>
      <w:r w:rsidR="003A714C">
        <w:rPr>
          <w:rFonts w:cs="Times New Roman"/>
          <w:i/>
          <w:u w:val="single"/>
          <w:lang w:val="en-US"/>
        </w:rPr>
        <w:t>Zambrano</w:t>
      </w:r>
      <w:r w:rsidR="003A714C">
        <w:rPr>
          <w:rFonts w:cs="Times New Roman"/>
          <w:u w:val="single"/>
          <w:lang w:val="en-US"/>
        </w:rPr>
        <w:t xml:space="preserve"> rights, EU citizenship and equal treatment</w:t>
      </w:r>
      <w:bookmarkStart w:id="0" w:name="_GoBack"/>
      <w:bookmarkEnd w:id="0"/>
    </w:p>
    <w:p w14:paraId="66076449" w14:textId="13A1480D" w:rsidR="00E83EB8" w:rsidRPr="009E7E81" w:rsidRDefault="000F22C8" w:rsidP="009E7E81">
      <w:pPr>
        <w:spacing w:after="240" w:line="360" w:lineRule="auto"/>
        <w:jc w:val="both"/>
        <w:rPr>
          <w:rFonts w:cs="Times New Roman"/>
          <w:u w:val="single"/>
          <w:lang w:val="en-US"/>
        </w:rPr>
      </w:pPr>
      <w:r w:rsidRPr="009E7E81">
        <w:rPr>
          <w:rFonts w:cs="Times New Roman"/>
          <w:u w:val="single"/>
          <w:lang w:val="en-US"/>
        </w:rPr>
        <w:t>Introduction</w:t>
      </w:r>
    </w:p>
    <w:p w14:paraId="2A28964D" w14:textId="2B2B2DB9" w:rsidR="00505226" w:rsidRPr="009E7E81" w:rsidRDefault="002750A5" w:rsidP="009E7E81">
      <w:pPr>
        <w:spacing w:after="240" w:line="360" w:lineRule="auto"/>
        <w:jc w:val="both"/>
        <w:rPr>
          <w:rFonts w:eastAsia="Times New Roman" w:cs="Times New Roman"/>
        </w:rPr>
      </w:pPr>
      <w:r w:rsidRPr="009E7E81">
        <w:rPr>
          <w:rFonts w:cs="Times New Roman"/>
          <w:lang w:val="en-US"/>
        </w:rPr>
        <w:t>W</w:t>
      </w:r>
      <w:r w:rsidR="003104C3" w:rsidRPr="009E7E81">
        <w:rPr>
          <w:rFonts w:cs="Times New Roman"/>
          <w:lang w:val="en-US"/>
        </w:rPr>
        <w:t xml:space="preserve">e are on the brink of </w:t>
      </w:r>
      <w:r w:rsidR="008271F5" w:rsidRPr="009E7E81">
        <w:rPr>
          <w:rFonts w:cs="Times New Roman"/>
          <w:lang w:val="en-US"/>
        </w:rPr>
        <w:t>tapp</w:t>
      </w:r>
      <w:r w:rsidR="003104C3" w:rsidRPr="009E7E81">
        <w:rPr>
          <w:rFonts w:cs="Times New Roman"/>
          <w:lang w:val="en-US"/>
        </w:rPr>
        <w:t>ing</w:t>
      </w:r>
      <w:r w:rsidR="005D68F6" w:rsidRPr="009E7E81">
        <w:rPr>
          <w:rFonts w:cs="Times New Roman"/>
          <w:lang w:val="en-US"/>
        </w:rPr>
        <w:t xml:space="preserve"> </w:t>
      </w:r>
      <w:r w:rsidR="008271F5" w:rsidRPr="009E7E81">
        <w:rPr>
          <w:rFonts w:cs="Times New Roman"/>
          <w:lang w:val="en-US"/>
        </w:rPr>
        <w:t xml:space="preserve">into </w:t>
      </w:r>
      <w:r w:rsidR="005D68F6" w:rsidRPr="009E7E81">
        <w:rPr>
          <w:rFonts w:cs="Times New Roman"/>
          <w:lang w:val="en-US"/>
        </w:rPr>
        <w:t xml:space="preserve">the </w:t>
      </w:r>
      <w:r w:rsidR="008E6D21" w:rsidRPr="009E7E81">
        <w:rPr>
          <w:rFonts w:cs="Times New Roman"/>
          <w:lang w:val="en-US"/>
        </w:rPr>
        <w:t xml:space="preserve">core of EU citizenship. </w:t>
      </w:r>
      <w:r w:rsidR="008F293B" w:rsidRPr="009E7E81">
        <w:rPr>
          <w:rFonts w:cs="Times New Roman"/>
          <w:lang w:val="en-US"/>
        </w:rPr>
        <w:t xml:space="preserve">Case C-34/09 </w:t>
      </w:r>
      <w:r w:rsidR="008F293B" w:rsidRPr="009E7E81">
        <w:rPr>
          <w:rFonts w:cs="Times New Roman"/>
          <w:i/>
          <w:lang w:val="en-US"/>
        </w:rPr>
        <w:t>Ruiz Zambrano</w:t>
      </w:r>
      <w:r w:rsidR="008F293B" w:rsidRPr="009E7E81">
        <w:rPr>
          <w:rFonts w:cs="Times New Roman"/>
          <w:lang w:val="en-US"/>
        </w:rPr>
        <w:t xml:space="preserve"> [2011] ECR I-01177 </w:t>
      </w:r>
      <w:r w:rsidR="00420A58" w:rsidRPr="009E7E81">
        <w:rPr>
          <w:rFonts w:cs="Times New Roman"/>
          <w:lang w:val="en-US"/>
        </w:rPr>
        <w:t>established an enigmatic formula</w:t>
      </w:r>
      <w:r w:rsidR="008271F5" w:rsidRPr="009E7E81">
        <w:rPr>
          <w:rFonts w:cs="Times New Roman"/>
          <w:lang w:val="en-US"/>
        </w:rPr>
        <w:t>,</w:t>
      </w:r>
      <w:r w:rsidR="00DB545A" w:rsidRPr="009E7E81">
        <w:rPr>
          <w:rFonts w:cs="Times New Roman"/>
          <w:lang w:val="en-US"/>
        </w:rPr>
        <w:t xml:space="preserve"> (or an ‘ambiguous’ one – Lansbergen &amp; Miller, 2011) </w:t>
      </w:r>
      <w:r w:rsidR="008271F5" w:rsidRPr="009E7E81">
        <w:rPr>
          <w:rFonts w:cs="Times New Roman"/>
          <w:lang w:val="en-US"/>
        </w:rPr>
        <w:t>creating a right</w:t>
      </w:r>
      <w:r w:rsidR="00D811B7" w:rsidRPr="009E7E81">
        <w:rPr>
          <w:rFonts w:cs="Times New Roman"/>
          <w:lang w:val="en-US"/>
        </w:rPr>
        <w:t xml:space="preserve"> for EU national children </w:t>
      </w:r>
      <w:r w:rsidR="00660F80" w:rsidRPr="009E7E81">
        <w:rPr>
          <w:rFonts w:cs="Times New Roman"/>
          <w:lang w:val="en-US"/>
        </w:rPr>
        <w:t xml:space="preserve">to reside </w:t>
      </w:r>
      <w:r w:rsidR="00D811B7" w:rsidRPr="009E7E81">
        <w:rPr>
          <w:rFonts w:cs="Times New Roman"/>
          <w:lang w:val="en-US"/>
        </w:rPr>
        <w:t xml:space="preserve">in their own </w:t>
      </w:r>
      <w:r w:rsidR="00D811B7" w:rsidRPr="009E7E81">
        <w:rPr>
          <w:rFonts w:cs="Times New Roman"/>
          <w:i/>
          <w:lang w:val="en-US"/>
        </w:rPr>
        <w:t>home</w:t>
      </w:r>
      <w:r w:rsidR="00D811B7" w:rsidRPr="009E7E81">
        <w:rPr>
          <w:rFonts w:cs="Times New Roman"/>
          <w:lang w:val="en-US"/>
        </w:rPr>
        <w:t xml:space="preserve"> state </w:t>
      </w:r>
      <w:r w:rsidR="00660F80" w:rsidRPr="009E7E81">
        <w:rPr>
          <w:rFonts w:cs="Times New Roman"/>
          <w:lang w:val="en-US"/>
        </w:rPr>
        <w:t>extending to</w:t>
      </w:r>
      <w:r w:rsidR="00D811B7" w:rsidRPr="009E7E81">
        <w:rPr>
          <w:rFonts w:cs="Times New Roman"/>
          <w:lang w:val="en-US"/>
        </w:rPr>
        <w:t xml:space="preserve"> third country national </w:t>
      </w:r>
      <w:r w:rsidR="00660F80" w:rsidRPr="009E7E81">
        <w:rPr>
          <w:rFonts w:cs="Times New Roman"/>
          <w:lang w:val="en-US"/>
        </w:rPr>
        <w:t>primary carer,</w:t>
      </w:r>
      <w:r w:rsidR="00420A58" w:rsidRPr="009E7E81">
        <w:rPr>
          <w:rFonts w:cs="Times New Roman"/>
          <w:lang w:val="en-US"/>
        </w:rPr>
        <w:t xml:space="preserve"> to ensure </w:t>
      </w:r>
      <w:r w:rsidR="00786ECA" w:rsidRPr="009E7E81">
        <w:rPr>
          <w:rFonts w:cs="Times New Roman"/>
          <w:lang w:val="en-US"/>
        </w:rPr>
        <w:t xml:space="preserve">‘the genuine enjoyment of the substance’ of EU citizenship rights. </w:t>
      </w:r>
      <w:r w:rsidR="00420A58" w:rsidRPr="009E7E81">
        <w:rPr>
          <w:rFonts w:cs="Times New Roman"/>
          <w:lang w:val="en-US"/>
        </w:rPr>
        <w:t>But is it enough to have</w:t>
      </w:r>
      <w:r w:rsidR="00324563">
        <w:rPr>
          <w:rFonts w:cs="Times New Roman"/>
          <w:lang w:val="en-US"/>
        </w:rPr>
        <w:t xml:space="preserve"> a</w:t>
      </w:r>
      <w:r w:rsidR="003F1222">
        <w:rPr>
          <w:rFonts w:cs="Times New Roman"/>
          <w:lang w:val="en-US"/>
        </w:rPr>
        <w:t xml:space="preserve"> stripped down right to simply </w:t>
      </w:r>
      <w:r w:rsidR="00420A58" w:rsidRPr="009E7E81">
        <w:rPr>
          <w:rFonts w:cs="Times New Roman"/>
          <w:lang w:val="en-US"/>
        </w:rPr>
        <w:t xml:space="preserve">be </w:t>
      </w:r>
      <w:r w:rsidR="003F1222">
        <w:rPr>
          <w:rFonts w:cs="Times New Roman"/>
          <w:lang w:val="en-US"/>
        </w:rPr>
        <w:t>present and work</w:t>
      </w:r>
      <w:r w:rsidR="00420A58" w:rsidRPr="009E7E81">
        <w:rPr>
          <w:rFonts w:cs="Times New Roman"/>
          <w:lang w:val="en-US"/>
        </w:rPr>
        <w:t xml:space="preserve">, with no guarantee as to standard of living and no entitlement to equal treatment? </w:t>
      </w:r>
      <w:r w:rsidR="00D811B7" w:rsidRPr="009E7E81">
        <w:rPr>
          <w:rFonts w:cs="Times New Roman"/>
          <w:lang w:val="en-US"/>
        </w:rPr>
        <w:t xml:space="preserve">In particular, we have to ask whether </w:t>
      </w:r>
      <w:r w:rsidR="00324563">
        <w:rPr>
          <w:rFonts w:cs="Times New Roman"/>
          <w:lang w:val="en-US"/>
        </w:rPr>
        <w:t xml:space="preserve">there is any right to access </w:t>
      </w:r>
      <w:r w:rsidR="00D811B7" w:rsidRPr="009E7E81">
        <w:rPr>
          <w:rFonts w:cs="Times New Roman"/>
          <w:lang w:val="en-US"/>
        </w:rPr>
        <w:t>welf</w:t>
      </w:r>
      <w:r w:rsidR="003E747A">
        <w:rPr>
          <w:rFonts w:cs="Times New Roman"/>
          <w:lang w:val="en-US"/>
        </w:rPr>
        <w:t>are benefits. Until now, an EU citizenship-</w:t>
      </w:r>
      <w:r w:rsidR="00D811B7" w:rsidRPr="009E7E81">
        <w:rPr>
          <w:rFonts w:cs="Times New Roman"/>
          <w:lang w:val="en-US"/>
        </w:rPr>
        <w:t xml:space="preserve">based right to reside has necessarily entailed a right to equal treatment, subject to limitations and conditions (e.g. a requirement of economic activity). The UK position however, is that the </w:t>
      </w:r>
      <w:r w:rsidR="00D811B7" w:rsidRPr="009E7E81">
        <w:rPr>
          <w:rFonts w:cs="Times New Roman"/>
          <w:i/>
          <w:lang w:val="en-US"/>
        </w:rPr>
        <w:t>Zambrano</w:t>
      </w:r>
      <w:r w:rsidR="00D811B7" w:rsidRPr="009E7E81">
        <w:rPr>
          <w:rFonts w:cs="Times New Roman"/>
          <w:lang w:val="en-US"/>
        </w:rPr>
        <w:t xml:space="preserve"> right is a completely different right to reside, not entailing any entitlement to equal treatment in the first place. </w:t>
      </w:r>
      <w:r w:rsidR="00660F80" w:rsidRPr="009E7E81">
        <w:rPr>
          <w:rFonts w:cs="Times New Roman"/>
          <w:lang w:val="en-US"/>
        </w:rPr>
        <w:t xml:space="preserve">The Court of Appeal </w:t>
      </w:r>
      <w:r w:rsidR="00F96BFF" w:rsidRPr="009E7E81">
        <w:rPr>
          <w:rFonts w:cs="Times New Roman"/>
          <w:lang w:val="en-US"/>
        </w:rPr>
        <w:t xml:space="preserve">in </w:t>
      </w:r>
      <w:r w:rsidR="00F96BFF" w:rsidRPr="009E7E81">
        <w:rPr>
          <w:rFonts w:eastAsia="Times New Roman" w:cs="Times New Roman"/>
          <w:i/>
        </w:rPr>
        <w:t>Sanneh &amp; Ors v Secretary of State for Work and Pensions</w:t>
      </w:r>
      <w:r w:rsidR="00F96BFF" w:rsidRPr="009E7E81">
        <w:rPr>
          <w:rFonts w:eastAsia="Times New Roman" w:cs="Times New Roman"/>
        </w:rPr>
        <w:t xml:space="preserve"> [2015] EWCA Civ 49 </w:t>
      </w:r>
      <w:r w:rsidR="00660F80" w:rsidRPr="009E7E81">
        <w:rPr>
          <w:rFonts w:cs="Times New Roman"/>
          <w:lang w:val="en-US"/>
        </w:rPr>
        <w:t xml:space="preserve">found that entitlement to ‘last resort’ protection provided </w:t>
      </w:r>
      <w:r w:rsidR="00505226" w:rsidRPr="009E7E81">
        <w:rPr>
          <w:rFonts w:cs="Times New Roman"/>
          <w:lang w:val="en-US"/>
        </w:rPr>
        <w:t xml:space="preserve">(at least in theory) </w:t>
      </w:r>
      <w:r w:rsidR="00660F80" w:rsidRPr="009E7E81">
        <w:rPr>
          <w:rFonts w:cs="Times New Roman"/>
          <w:lang w:val="en-US"/>
        </w:rPr>
        <w:t>by section 17 of the Children Act discharged any duty to not effectively force the family out of the country; the</w:t>
      </w:r>
      <w:r w:rsidR="00505226" w:rsidRPr="009E7E81">
        <w:rPr>
          <w:rFonts w:cs="Times New Roman"/>
          <w:lang w:val="en-US"/>
        </w:rPr>
        <w:t xml:space="preserve"> court noted claims that </w:t>
      </w:r>
      <w:r w:rsidR="00660F80" w:rsidRPr="009E7E81">
        <w:rPr>
          <w:rFonts w:cs="Times New Roman"/>
          <w:lang w:val="en-US"/>
        </w:rPr>
        <w:t>section 17 support</w:t>
      </w:r>
      <w:r w:rsidR="00505226" w:rsidRPr="009E7E81">
        <w:rPr>
          <w:rFonts w:cs="Times New Roman"/>
          <w:lang w:val="en-US"/>
        </w:rPr>
        <w:t xml:space="preserve"> was inadequate in practice</w:t>
      </w:r>
      <w:r w:rsidR="00660F80" w:rsidRPr="009E7E81">
        <w:rPr>
          <w:rFonts w:cs="Times New Roman"/>
          <w:lang w:val="en-US"/>
        </w:rPr>
        <w:t xml:space="preserve">, but </w:t>
      </w:r>
      <w:r w:rsidR="00505226" w:rsidRPr="009E7E81">
        <w:rPr>
          <w:rFonts w:cs="Times New Roman"/>
          <w:lang w:val="en-US"/>
        </w:rPr>
        <w:t>added that it was not open to the court to determine how well the provision operated on the ground</w:t>
      </w:r>
      <w:r w:rsidR="00BB2651">
        <w:rPr>
          <w:rFonts w:cs="Times New Roman"/>
          <w:lang w:val="en-US"/>
        </w:rPr>
        <w:t xml:space="preserve"> (94)</w:t>
      </w:r>
      <w:r w:rsidR="00505226" w:rsidRPr="009E7E81">
        <w:rPr>
          <w:rFonts w:cs="Times New Roman"/>
          <w:lang w:val="en-US"/>
        </w:rPr>
        <w:t xml:space="preserve">. </w:t>
      </w:r>
    </w:p>
    <w:p w14:paraId="1C7B8874" w14:textId="6390799C" w:rsidR="00E90972" w:rsidRPr="009E7E81" w:rsidRDefault="00F96BFF" w:rsidP="009E7E81">
      <w:pPr>
        <w:spacing w:after="240" w:line="360" w:lineRule="auto"/>
        <w:jc w:val="both"/>
        <w:rPr>
          <w:rFonts w:cs="Times New Roman"/>
          <w:lang w:val="en-US"/>
        </w:rPr>
      </w:pPr>
      <w:r w:rsidRPr="009E7E81">
        <w:rPr>
          <w:rFonts w:cs="Times New Roman"/>
          <w:i/>
          <w:lang w:val="en-US"/>
        </w:rPr>
        <w:t xml:space="preserve">Sanneh </w:t>
      </w:r>
      <w:r w:rsidRPr="009E7E81">
        <w:rPr>
          <w:rFonts w:cs="Times New Roman"/>
          <w:lang w:val="en-US"/>
        </w:rPr>
        <w:t xml:space="preserve">(now renamed </w:t>
      </w:r>
      <w:r w:rsidRPr="009E7E81">
        <w:rPr>
          <w:rFonts w:cs="Times New Roman"/>
          <w:i/>
          <w:lang w:val="en-US"/>
        </w:rPr>
        <w:t>HC</w:t>
      </w:r>
      <w:r w:rsidR="00305E92" w:rsidRPr="009E7E81">
        <w:rPr>
          <w:rFonts w:cs="Times New Roman"/>
          <w:i/>
          <w:lang w:val="en-US"/>
        </w:rPr>
        <w:t xml:space="preserve"> </w:t>
      </w:r>
      <w:r w:rsidR="00305E92" w:rsidRPr="009E7E81">
        <w:rPr>
          <w:rFonts w:cs="Times New Roman"/>
          <w:lang w:val="en-US"/>
        </w:rPr>
        <w:t xml:space="preserve">– </w:t>
      </w:r>
      <w:r w:rsidR="00305E92" w:rsidRPr="009E7E81">
        <w:rPr>
          <w:rFonts w:cs="Times New Roman"/>
          <w:i/>
          <w:lang w:val="en-US"/>
        </w:rPr>
        <w:t>R (on the application of HC) v Secretary of State for Work and Pensions and others</w:t>
      </w:r>
      <w:r w:rsidR="00305E92" w:rsidRPr="009E7E81">
        <w:rPr>
          <w:rFonts w:cs="Times New Roman"/>
          <w:lang w:val="en-US"/>
        </w:rPr>
        <w:t xml:space="preserve"> </w:t>
      </w:r>
      <w:r w:rsidR="00305E92" w:rsidRPr="009E7E81">
        <w:rPr>
          <w:rFonts w:eastAsia="Times New Roman" w:cs="Arial"/>
          <w:bCs/>
        </w:rPr>
        <w:t>UKSC 2015/0215</w:t>
      </w:r>
      <w:r w:rsidRPr="009E7E81">
        <w:rPr>
          <w:rFonts w:cs="Times New Roman"/>
          <w:lang w:val="en-US"/>
        </w:rPr>
        <w:t xml:space="preserve">) </w:t>
      </w:r>
      <w:r w:rsidR="003A714C">
        <w:rPr>
          <w:rFonts w:cs="Times New Roman"/>
          <w:lang w:val="en-US"/>
        </w:rPr>
        <w:t>had a preliminary hearing before the Supreme Court (on 7 March 2016) and permission to appeal was granted. T</w:t>
      </w:r>
      <w:r w:rsidRPr="009E7E81">
        <w:rPr>
          <w:rFonts w:cs="Times New Roman"/>
          <w:lang w:val="en-US"/>
        </w:rPr>
        <w:t xml:space="preserve">he Supreme Court, </w:t>
      </w:r>
      <w:r w:rsidR="003A6DBE" w:rsidRPr="009E7E81">
        <w:rPr>
          <w:rFonts w:cs="Times New Roman"/>
          <w:lang w:val="en-US"/>
        </w:rPr>
        <w:t xml:space="preserve">most likely with the help of a preliminary reference to the CJEU, will </w:t>
      </w:r>
      <w:r w:rsidR="003A714C">
        <w:rPr>
          <w:rFonts w:cs="Times New Roman"/>
          <w:lang w:val="en-US"/>
        </w:rPr>
        <w:t xml:space="preserve">now </w:t>
      </w:r>
      <w:r w:rsidR="003A6DBE" w:rsidRPr="009E7E81">
        <w:rPr>
          <w:rFonts w:cs="Times New Roman"/>
          <w:lang w:val="en-US"/>
        </w:rPr>
        <w:t xml:space="preserve">have to </w:t>
      </w:r>
      <w:r w:rsidRPr="009E7E81">
        <w:rPr>
          <w:rFonts w:cs="Times New Roman"/>
          <w:lang w:val="en-US"/>
        </w:rPr>
        <w:t>discern</w:t>
      </w:r>
      <w:r w:rsidR="003A6DBE" w:rsidRPr="009E7E81">
        <w:rPr>
          <w:rFonts w:cs="Times New Roman"/>
          <w:lang w:val="en-US"/>
        </w:rPr>
        <w:t xml:space="preserve"> the essential substance of citizenship rights, and</w:t>
      </w:r>
      <w:r w:rsidR="00786ECA" w:rsidRPr="009E7E81">
        <w:rPr>
          <w:rFonts w:cs="Times New Roman"/>
          <w:lang w:val="en-US"/>
        </w:rPr>
        <w:t xml:space="preserve"> </w:t>
      </w:r>
      <w:r w:rsidRPr="009E7E81">
        <w:rPr>
          <w:rFonts w:cs="Times New Roman"/>
          <w:lang w:val="en-US"/>
        </w:rPr>
        <w:t xml:space="preserve">identify </w:t>
      </w:r>
      <w:r w:rsidR="003A6DBE" w:rsidRPr="009E7E81">
        <w:rPr>
          <w:rFonts w:cs="Times New Roman"/>
          <w:lang w:val="en-US"/>
        </w:rPr>
        <w:t xml:space="preserve">what is necessary for such </w:t>
      </w:r>
      <w:r w:rsidR="00786ECA" w:rsidRPr="009E7E81">
        <w:rPr>
          <w:rFonts w:cs="Times New Roman"/>
          <w:lang w:val="en-US"/>
        </w:rPr>
        <w:t>right</w:t>
      </w:r>
      <w:r w:rsidR="003A6DBE" w:rsidRPr="009E7E81">
        <w:rPr>
          <w:rFonts w:cs="Times New Roman"/>
          <w:lang w:val="en-US"/>
        </w:rPr>
        <w:t>s</w:t>
      </w:r>
      <w:r w:rsidR="00786ECA" w:rsidRPr="009E7E81">
        <w:rPr>
          <w:rFonts w:cs="Times New Roman"/>
          <w:lang w:val="en-US"/>
        </w:rPr>
        <w:t xml:space="preserve"> to be ‘genuinely enjoyed’</w:t>
      </w:r>
      <w:r w:rsidR="003A6DBE" w:rsidRPr="009E7E81">
        <w:rPr>
          <w:rFonts w:cs="Times New Roman"/>
          <w:lang w:val="en-US"/>
        </w:rPr>
        <w:t>.</w:t>
      </w:r>
      <w:r w:rsidR="005D68F6" w:rsidRPr="009E7E81">
        <w:rPr>
          <w:rFonts w:cs="Times New Roman"/>
          <w:lang w:val="en-US"/>
        </w:rPr>
        <w:t xml:space="preserve"> </w:t>
      </w:r>
      <w:r w:rsidR="003A6DBE" w:rsidRPr="009E7E81">
        <w:rPr>
          <w:rFonts w:cs="Times New Roman"/>
          <w:lang w:val="en-US"/>
        </w:rPr>
        <w:t>This article begins</w:t>
      </w:r>
      <w:r w:rsidR="00625D94" w:rsidRPr="009E7E81">
        <w:rPr>
          <w:rFonts w:cs="Times New Roman"/>
          <w:lang w:val="en-US"/>
        </w:rPr>
        <w:t xml:space="preserve"> </w:t>
      </w:r>
      <w:r w:rsidR="000F22C8" w:rsidRPr="009E7E81">
        <w:rPr>
          <w:rFonts w:cs="Times New Roman"/>
          <w:lang w:val="en-US"/>
        </w:rPr>
        <w:t>b</w:t>
      </w:r>
      <w:r w:rsidR="00262A27">
        <w:rPr>
          <w:rFonts w:cs="Times New Roman"/>
          <w:lang w:val="en-US"/>
        </w:rPr>
        <w:t xml:space="preserve">y summarizing the key issue in </w:t>
      </w:r>
      <w:r w:rsidR="00501EDB" w:rsidRPr="009E7E81">
        <w:rPr>
          <w:rFonts w:cs="Times New Roman"/>
          <w:i/>
          <w:lang w:val="en-US"/>
        </w:rPr>
        <w:t>Sanneh/HC</w:t>
      </w:r>
      <w:r w:rsidR="00501EDB" w:rsidRPr="009E7E81">
        <w:rPr>
          <w:rFonts w:cs="Times New Roman"/>
          <w:lang w:val="en-US"/>
        </w:rPr>
        <w:t xml:space="preserve">. It then analyses </w:t>
      </w:r>
      <w:r w:rsidR="003A6DBE" w:rsidRPr="009E7E81">
        <w:rPr>
          <w:rFonts w:cs="Times New Roman"/>
          <w:lang w:val="en-US"/>
        </w:rPr>
        <w:t xml:space="preserve">the </w:t>
      </w:r>
      <w:r w:rsidR="003A6DBE" w:rsidRPr="009E7E81">
        <w:rPr>
          <w:rFonts w:cs="Times New Roman"/>
          <w:i/>
          <w:lang w:val="en-US"/>
        </w:rPr>
        <w:t xml:space="preserve">Zambrano </w:t>
      </w:r>
      <w:r w:rsidR="003A6DBE" w:rsidRPr="009E7E81">
        <w:rPr>
          <w:rFonts w:cs="Times New Roman"/>
          <w:lang w:val="en-US"/>
        </w:rPr>
        <w:t>right and related EU case law to argue that the Court has</w:t>
      </w:r>
      <w:r w:rsidR="00625D94" w:rsidRPr="009E7E81">
        <w:rPr>
          <w:rFonts w:cs="Times New Roman"/>
          <w:lang w:val="en-US"/>
        </w:rPr>
        <w:t xml:space="preserve"> not created a unique, rights-free right to reside in which the family are not entitled to any </w:t>
      </w:r>
      <w:r w:rsidR="00625D94" w:rsidRPr="009E7E81">
        <w:rPr>
          <w:rFonts w:cs="Times New Roman"/>
          <w:lang w:val="en-US"/>
        </w:rPr>
        <w:lastRenderedPageBreak/>
        <w:t>equal treatment, no matter how much they work, but has instead</w:t>
      </w:r>
      <w:r w:rsidR="003A6DBE" w:rsidRPr="009E7E81">
        <w:rPr>
          <w:rFonts w:cs="Times New Roman"/>
          <w:lang w:val="en-US"/>
        </w:rPr>
        <w:t xml:space="preserve"> created </w:t>
      </w:r>
      <w:r w:rsidR="00625D94" w:rsidRPr="009E7E81">
        <w:rPr>
          <w:rFonts w:cs="Times New Roman"/>
          <w:lang w:val="en-US"/>
        </w:rPr>
        <w:t xml:space="preserve">another </w:t>
      </w:r>
      <w:r w:rsidR="003A6DBE" w:rsidRPr="009E7E81">
        <w:rPr>
          <w:rFonts w:cs="Times New Roman"/>
          <w:lang w:val="en-US"/>
        </w:rPr>
        <w:t xml:space="preserve">right to reside of a kind with any other EU </w:t>
      </w:r>
      <w:r w:rsidR="00E90972" w:rsidRPr="009E7E81">
        <w:rPr>
          <w:rFonts w:cs="Times New Roman"/>
          <w:lang w:val="en-US"/>
        </w:rPr>
        <w:t>citizenship-</w:t>
      </w:r>
      <w:r w:rsidR="003A6DBE" w:rsidRPr="009E7E81">
        <w:rPr>
          <w:rFonts w:cs="Times New Roman"/>
          <w:lang w:val="en-US"/>
        </w:rPr>
        <w:t>based right to reside</w:t>
      </w:r>
      <w:r w:rsidR="00625D94" w:rsidRPr="009E7E81">
        <w:rPr>
          <w:rFonts w:cs="Times New Roman"/>
          <w:lang w:val="en-US"/>
        </w:rPr>
        <w:t xml:space="preserve">, that entails some degree of a right to equal treatment. </w:t>
      </w:r>
      <w:r w:rsidR="00E90972" w:rsidRPr="009E7E81">
        <w:rPr>
          <w:rFonts w:cs="Times New Roman"/>
          <w:lang w:val="en-US"/>
        </w:rPr>
        <w:t xml:space="preserve">Equal treatment </w:t>
      </w:r>
      <w:r w:rsidR="009F3C02" w:rsidRPr="009E7E81">
        <w:rPr>
          <w:rFonts w:cs="Times New Roman"/>
          <w:lang w:val="en-US"/>
        </w:rPr>
        <w:t xml:space="preserve">has been a right attaching to – even interlocking with - </w:t>
      </w:r>
      <w:r w:rsidR="00E90972" w:rsidRPr="009E7E81">
        <w:rPr>
          <w:rFonts w:cs="Times New Roman"/>
          <w:lang w:val="en-US"/>
        </w:rPr>
        <w:t>Union citizenship</w:t>
      </w:r>
      <w:r w:rsidR="009F3C02" w:rsidRPr="009E7E81">
        <w:rPr>
          <w:rFonts w:cs="Times New Roman"/>
          <w:lang w:val="en-US"/>
        </w:rPr>
        <w:t>,</w:t>
      </w:r>
      <w:r w:rsidR="00E90972" w:rsidRPr="009E7E81">
        <w:rPr>
          <w:rFonts w:cs="Times New Roman"/>
          <w:lang w:val="en-US"/>
        </w:rPr>
        <w:t xml:space="preserve"> </w:t>
      </w:r>
      <w:r w:rsidR="009F3C02" w:rsidRPr="009E7E81">
        <w:rPr>
          <w:rFonts w:cs="Times New Roman"/>
          <w:lang w:val="en-US"/>
        </w:rPr>
        <w:t xml:space="preserve">since its inception. The state of nationality is the state with which one has the strongest claim to public resources, and the only state in which there is a legitimate expectation of being treated like a national. </w:t>
      </w:r>
    </w:p>
    <w:p w14:paraId="7885991C" w14:textId="2CBDDCC2" w:rsidR="00505798" w:rsidRPr="009E7E81" w:rsidRDefault="00976000" w:rsidP="009E7E81">
      <w:pPr>
        <w:spacing w:after="240" w:line="360" w:lineRule="auto"/>
        <w:jc w:val="both"/>
        <w:rPr>
          <w:rFonts w:cs="Times New Roman"/>
          <w:lang w:val="en-US"/>
        </w:rPr>
      </w:pPr>
      <w:r w:rsidRPr="009E7E81">
        <w:rPr>
          <w:rFonts w:cs="Times New Roman"/>
          <w:lang w:val="en-US"/>
        </w:rPr>
        <w:t xml:space="preserve">If anything, this piece argues, </w:t>
      </w:r>
      <w:r w:rsidR="009F3C02" w:rsidRPr="009E7E81">
        <w:rPr>
          <w:rFonts w:cs="Times New Roman"/>
          <w:lang w:val="en-US"/>
        </w:rPr>
        <w:t xml:space="preserve">a </w:t>
      </w:r>
      <w:r w:rsidR="009F3C02" w:rsidRPr="009E7E81">
        <w:rPr>
          <w:rFonts w:cs="Times New Roman"/>
          <w:i/>
          <w:lang w:val="en-US"/>
        </w:rPr>
        <w:t>Zambrano</w:t>
      </w:r>
      <w:r w:rsidR="009F3C02" w:rsidRPr="009E7E81">
        <w:rPr>
          <w:rFonts w:cs="Times New Roman"/>
          <w:lang w:val="en-US"/>
        </w:rPr>
        <w:t xml:space="preserve"> right to reside</w:t>
      </w:r>
      <w:r w:rsidRPr="009E7E81">
        <w:rPr>
          <w:rFonts w:cs="Times New Roman"/>
          <w:lang w:val="en-US"/>
        </w:rPr>
        <w:t xml:space="preserve"> is </w:t>
      </w:r>
      <w:r w:rsidRPr="009E7E81">
        <w:rPr>
          <w:rFonts w:cs="Times New Roman"/>
          <w:i/>
          <w:lang w:val="en-US"/>
        </w:rPr>
        <w:t>more</w:t>
      </w:r>
      <w:r w:rsidRPr="009E7E81">
        <w:rPr>
          <w:rFonts w:cs="Times New Roman"/>
          <w:lang w:val="en-US"/>
        </w:rPr>
        <w:t xml:space="preserve"> fundamental than the right to reside in any </w:t>
      </w:r>
      <w:r w:rsidRPr="009E7E81">
        <w:rPr>
          <w:rFonts w:cs="Times New Roman"/>
          <w:i/>
          <w:lang w:val="en-US"/>
        </w:rPr>
        <w:t xml:space="preserve">other </w:t>
      </w:r>
      <w:r w:rsidR="00BB2651">
        <w:rPr>
          <w:rFonts w:cs="Times New Roman"/>
          <w:lang w:val="en-US"/>
        </w:rPr>
        <w:t>Member State. I</w:t>
      </w:r>
      <w:r w:rsidRPr="009E7E81">
        <w:rPr>
          <w:rFonts w:cs="Times New Roman"/>
          <w:lang w:val="en-US"/>
        </w:rPr>
        <w:t xml:space="preserve">t is the right to reside in the State of nationality – a foundation stone in the edifice of international law and human rights – and </w:t>
      </w:r>
      <w:r w:rsidR="009F3C02" w:rsidRPr="009E7E81">
        <w:rPr>
          <w:rFonts w:cs="Times New Roman"/>
          <w:lang w:val="en-US"/>
        </w:rPr>
        <w:t xml:space="preserve">is a right to reside </w:t>
      </w:r>
      <w:r w:rsidRPr="009E7E81">
        <w:rPr>
          <w:rFonts w:cs="Times New Roman"/>
          <w:lang w:val="en-US"/>
        </w:rPr>
        <w:t xml:space="preserve">in the Union, since </w:t>
      </w:r>
      <w:r w:rsidR="003F1222">
        <w:rPr>
          <w:rFonts w:cs="Times New Roman"/>
          <w:lang w:val="en-US"/>
        </w:rPr>
        <w:t>being removed</w:t>
      </w:r>
      <w:r w:rsidRPr="009E7E81">
        <w:rPr>
          <w:rFonts w:cs="Times New Roman"/>
          <w:lang w:val="en-US"/>
        </w:rPr>
        <w:t xml:space="preserve"> means </w:t>
      </w:r>
      <w:r w:rsidR="003F1222">
        <w:rPr>
          <w:rFonts w:cs="Times New Roman"/>
          <w:lang w:val="en-US"/>
        </w:rPr>
        <w:t>exclusion</w:t>
      </w:r>
      <w:r w:rsidRPr="009E7E81">
        <w:rPr>
          <w:rFonts w:cs="Times New Roman"/>
          <w:lang w:val="en-US"/>
        </w:rPr>
        <w:t xml:space="preserve"> from the Union. There is </w:t>
      </w:r>
      <w:r w:rsidR="009F3C02" w:rsidRPr="009E7E81">
        <w:rPr>
          <w:rFonts w:cs="Times New Roman"/>
          <w:lang w:val="en-US"/>
        </w:rPr>
        <w:t xml:space="preserve">therefore </w:t>
      </w:r>
      <w:r w:rsidRPr="009E7E81">
        <w:rPr>
          <w:rFonts w:cs="Times New Roman"/>
          <w:lang w:val="en-US"/>
        </w:rPr>
        <w:t xml:space="preserve">nothing weak, or derivative, about the </w:t>
      </w:r>
      <w:r w:rsidRPr="009E7E81">
        <w:rPr>
          <w:rFonts w:cs="Times New Roman"/>
          <w:i/>
          <w:lang w:val="en-US"/>
        </w:rPr>
        <w:t>child’s</w:t>
      </w:r>
      <w:r w:rsidRPr="009E7E81">
        <w:rPr>
          <w:rFonts w:cs="Times New Roman"/>
          <w:lang w:val="en-US"/>
        </w:rPr>
        <w:t xml:space="preserve"> right, and so the right that child can confer on a primary carer should be no weaker than that derived from non-national children in </w:t>
      </w:r>
      <w:r w:rsidR="008F293B" w:rsidRPr="009E7E81">
        <w:rPr>
          <w:rFonts w:cs="Times New Roman"/>
          <w:lang w:val="en-US"/>
        </w:rPr>
        <w:t xml:space="preserve">Case C-310/08 </w:t>
      </w:r>
      <w:r w:rsidR="008F293B" w:rsidRPr="009E7E81">
        <w:rPr>
          <w:rFonts w:cs="Times New Roman"/>
          <w:i/>
          <w:lang w:val="en-US"/>
        </w:rPr>
        <w:t>Ibrahim</w:t>
      </w:r>
      <w:r w:rsidR="008F293B" w:rsidRPr="009E7E81">
        <w:rPr>
          <w:rFonts w:cs="Times New Roman"/>
          <w:lang w:val="en-US"/>
        </w:rPr>
        <w:t xml:space="preserve">  [2010] ECR I-01065</w:t>
      </w:r>
      <w:r w:rsidRPr="009E7E81">
        <w:rPr>
          <w:rFonts w:cs="Times New Roman"/>
          <w:lang w:val="en-US"/>
        </w:rPr>
        <w:t xml:space="preserve"> or </w:t>
      </w:r>
      <w:r w:rsidR="008F293B" w:rsidRPr="009E7E81">
        <w:rPr>
          <w:rFonts w:cs="Times New Roman"/>
          <w:lang w:val="en-US"/>
        </w:rPr>
        <w:t xml:space="preserve">Case C-480/08 </w:t>
      </w:r>
      <w:r w:rsidR="008F293B" w:rsidRPr="009E7E81">
        <w:rPr>
          <w:rFonts w:cs="Times New Roman"/>
          <w:i/>
          <w:lang w:val="en-US"/>
        </w:rPr>
        <w:t>Teixeira</w:t>
      </w:r>
      <w:r w:rsidR="008F293B" w:rsidRPr="009E7E81">
        <w:rPr>
          <w:rFonts w:cs="Times New Roman"/>
          <w:lang w:val="en-US"/>
        </w:rPr>
        <w:t xml:space="preserve"> [2010] ECR I-1107.</w:t>
      </w:r>
      <w:r w:rsidR="009F3C02" w:rsidRPr="009E7E81">
        <w:rPr>
          <w:rFonts w:cs="Times New Roman"/>
          <w:lang w:val="en-US"/>
        </w:rPr>
        <w:t xml:space="preserve"> </w:t>
      </w:r>
      <w:r w:rsidRPr="009E7E81">
        <w:rPr>
          <w:rFonts w:cs="Times New Roman"/>
          <w:lang w:val="en-US"/>
        </w:rPr>
        <w:t xml:space="preserve">The failure to acknowledge that children, and children’s rights, are at the heart of the case, </w:t>
      </w:r>
      <w:r w:rsidR="00C720A2" w:rsidRPr="009E7E81">
        <w:rPr>
          <w:rFonts w:cs="Times New Roman"/>
          <w:lang w:val="en-US"/>
        </w:rPr>
        <w:t xml:space="preserve">(Stalford &amp; O’Brien </w:t>
      </w:r>
      <w:r w:rsidR="00C720A2" w:rsidRPr="009E7E81">
        <w:rPr>
          <w:rFonts w:cs="Times New Roman"/>
          <w:i/>
          <w:lang w:val="en-US"/>
        </w:rPr>
        <w:t>forthcoming</w:t>
      </w:r>
      <w:r w:rsidR="00C720A2" w:rsidRPr="009E7E81">
        <w:rPr>
          <w:rFonts w:cs="Times New Roman"/>
          <w:lang w:val="en-US"/>
        </w:rPr>
        <w:t xml:space="preserve">) </w:t>
      </w:r>
      <w:r w:rsidRPr="009E7E81">
        <w:rPr>
          <w:rFonts w:cs="Times New Roman"/>
          <w:lang w:val="en-US"/>
        </w:rPr>
        <w:t xml:space="preserve">is </w:t>
      </w:r>
      <w:r w:rsidR="00F96BFF" w:rsidRPr="009E7E81">
        <w:rPr>
          <w:rFonts w:cs="Times New Roman"/>
          <w:lang w:val="en-US"/>
        </w:rPr>
        <w:t>explored next</w:t>
      </w:r>
      <w:r w:rsidRPr="009E7E81">
        <w:rPr>
          <w:rFonts w:cs="Times New Roman"/>
          <w:lang w:val="en-US"/>
        </w:rPr>
        <w:t xml:space="preserve">, </w:t>
      </w:r>
      <w:r w:rsidR="00F96BFF" w:rsidRPr="009E7E81">
        <w:rPr>
          <w:rFonts w:cs="Times New Roman"/>
          <w:lang w:val="en-US"/>
        </w:rPr>
        <w:t xml:space="preserve">in particular focusing on the discriminatory treatment of </w:t>
      </w:r>
      <w:r w:rsidR="00F96BFF" w:rsidRPr="009E7E81">
        <w:rPr>
          <w:rFonts w:cs="Times New Roman"/>
          <w:i/>
          <w:lang w:val="en-US"/>
        </w:rPr>
        <w:t>Zambrano</w:t>
      </w:r>
      <w:r w:rsidR="00E90972" w:rsidRPr="009E7E81">
        <w:rPr>
          <w:rFonts w:cs="Times New Roman"/>
          <w:lang w:val="en-US"/>
        </w:rPr>
        <w:t xml:space="preserve"> children as compared to other UK national children, and as compared to other children relying on an EU citizenship-based right to reside.</w:t>
      </w:r>
      <w:r w:rsidR="00D27F6A" w:rsidRPr="009E7E81">
        <w:rPr>
          <w:rFonts w:cs="Times New Roman"/>
          <w:lang w:val="en-US"/>
        </w:rPr>
        <w:t xml:space="preserve"> </w:t>
      </w:r>
      <w:r w:rsidR="00505798" w:rsidRPr="009E7E81">
        <w:rPr>
          <w:rFonts w:cs="Times New Roman"/>
          <w:lang w:val="en-US"/>
        </w:rPr>
        <w:t xml:space="preserve">The suggestion </w:t>
      </w:r>
      <w:r w:rsidR="000C6841">
        <w:rPr>
          <w:rFonts w:cs="Times New Roman"/>
          <w:lang w:val="en-US"/>
        </w:rPr>
        <w:t>endorsed by the Court of Appeal</w:t>
      </w:r>
      <w:r w:rsidR="00505798" w:rsidRPr="009E7E81">
        <w:rPr>
          <w:rFonts w:cs="Times New Roman"/>
          <w:lang w:val="en-US"/>
        </w:rPr>
        <w:t xml:space="preserve"> that the children cannot be said to the subject of discrimination because it is their carers who claim benefits </w:t>
      </w:r>
      <w:r w:rsidR="00C720A2" w:rsidRPr="009E7E81">
        <w:rPr>
          <w:rFonts w:cs="Times New Roman"/>
          <w:lang w:val="en-US"/>
        </w:rPr>
        <w:t>(</w:t>
      </w:r>
      <w:r w:rsidR="00C720A2" w:rsidRPr="009E7E81">
        <w:rPr>
          <w:rFonts w:cs="Times New Roman"/>
          <w:i/>
          <w:lang w:val="en-US"/>
        </w:rPr>
        <w:t>Sanneh</w:t>
      </w:r>
      <w:r w:rsidR="00C720A2" w:rsidRPr="009E7E81">
        <w:rPr>
          <w:rFonts w:cs="Times New Roman"/>
          <w:lang w:val="en-US"/>
        </w:rPr>
        <w:t xml:space="preserve">, 113) </w:t>
      </w:r>
      <w:r w:rsidR="00505798" w:rsidRPr="009E7E81">
        <w:rPr>
          <w:rFonts w:cs="Times New Roman"/>
          <w:lang w:val="en-US"/>
        </w:rPr>
        <w:t xml:space="preserve">is misleading. Children are rarely </w:t>
      </w:r>
      <w:r w:rsidR="00DB545A" w:rsidRPr="009E7E81">
        <w:rPr>
          <w:rFonts w:cs="Times New Roman"/>
          <w:lang w:val="en-US"/>
        </w:rPr>
        <w:t xml:space="preserve">(if ever) </w:t>
      </w:r>
      <w:r w:rsidR="00505798" w:rsidRPr="009E7E81">
        <w:rPr>
          <w:rFonts w:cs="Times New Roman"/>
          <w:lang w:val="en-US"/>
        </w:rPr>
        <w:t xml:space="preserve">themselves the direct receivers of welfare benefits, but are intended recipients, and </w:t>
      </w:r>
      <w:r w:rsidR="00505798" w:rsidRPr="009E7E81">
        <w:rPr>
          <w:rFonts w:cs="Times New Roman"/>
          <w:i/>
          <w:lang w:val="en-US"/>
        </w:rPr>
        <w:t xml:space="preserve">Teixeira </w:t>
      </w:r>
      <w:r w:rsidR="00505798" w:rsidRPr="009E7E81">
        <w:rPr>
          <w:rFonts w:cs="Times New Roman"/>
          <w:lang w:val="en-US"/>
        </w:rPr>
        <w:t xml:space="preserve">and </w:t>
      </w:r>
      <w:r w:rsidR="00505798" w:rsidRPr="009E7E81">
        <w:rPr>
          <w:rFonts w:cs="Times New Roman"/>
          <w:i/>
          <w:lang w:val="en-US"/>
        </w:rPr>
        <w:t xml:space="preserve">Ibrahim </w:t>
      </w:r>
      <w:r w:rsidR="00505798" w:rsidRPr="009E7E81">
        <w:rPr>
          <w:rFonts w:cs="Times New Roman"/>
          <w:lang w:val="en-US"/>
        </w:rPr>
        <w:t xml:space="preserve">show that the benefits received by the family, are viewed as supporting a child’s right to reside, and the child’s right to equal treatment, and the conditions in which the right to reside is exercised. </w:t>
      </w:r>
    </w:p>
    <w:p w14:paraId="213D9921" w14:textId="220A7669" w:rsidR="00E90972" w:rsidRPr="009E7E81" w:rsidRDefault="00E90972" w:rsidP="009E7E81">
      <w:pPr>
        <w:spacing w:after="240" w:line="360" w:lineRule="auto"/>
        <w:jc w:val="both"/>
        <w:rPr>
          <w:rFonts w:cs="Times New Roman"/>
          <w:lang w:val="en-US"/>
        </w:rPr>
      </w:pPr>
      <w:r w:rsidRPr="009E7E81">
        <w:rPr>
          <w:rFonts w:cs="Times New Roman"/>
          <w:lang w:val="en-US"/>
        </w:rPr>
        <w:t xml:space="preserve">An equal treatment </w:t>
      </w:r>
      <w:r w:rsidR="00976000" w:rsidRPr="009E7E81">
        <w:rPr>
          <w:rFonts w:cs="Times New Roman"/>
          <w:lang w:val="en-US"/>
        </w:rPr>
        <w:t xml:space="preserve">line of argument triggers the reverse discrimination question – should </w:t>
      </w:r>
      <w:r w:rsidRPr="009E7E81">
        <w:rPr>
          <w:rFonts w:cs="Times New Roman"/>
          <w:lang w:val="en-US"/>
        </w:rPr>
        <w:t>allegations of discrimination</w:t>
      </w:r>
      <w:r w:rsidR="00976000" w:rsidRPr="009E7E81">
        <w:rPr>
          <w:rFonts w:cs="Times New Roman"/>
          <w:lang w:val="en-US"/>
        </w:rPr>
        <w:t xml:space="preserve"> be dismissed because Member States retain the right to treat their own nationals detrimentally compared to other EU nationals? </w:t>
      </w:r>
      <w:r w:rsidRPr="009E7E81">
        <w:rPr>
          <w:rFonts w:cs="Times New Roman"/>
          <w:lang w:val="en-US"/>
        </w:rPr>
        <w:t xml:space="preserve">I suggest that </w:t>
      </w:r>
      <w:r w:rsidR="00976000" w:rsidRPr="009E7E81">
        <w:rPr>
          <w:rFonts w:cs="Times New Roman"/>
          <w:lang w:val="en-US"/>
        </w:rPr>
        <w:t xml:space="preserve">reverse discrimination is a red herring. </w:t>
      </w:r>
      <w:r w:rsidRPr="009E7E81">
        <w:rPr>
          <w:rFonts w:cs="Times New Roman"/>
          <w:lang w:val="en-US"/>
        </w:rPr>
        <w:t xml:space="preserve">Member States are entitled to treat own nationals </w:t>
      </w:r>
      <w:r w:rsidRPr="009E7E81">
        <w:rPr>
          <w:rFonts w:cs="Times New Roman"/>
          <w:i/>
          <w:lang w:val="en-US"/>
        </w:rPr>
        <w:t>not subject to EU law</w:t>
      </w:r>
      <w:r w:rsidRPr="009E7E81">
        <w:rPr>
          <w:rFonts w:cs="Times New Roman"/>
          <w:lang w:val="en-US"/>
        </w:rPr>
        <w:t xml:space="preserve"> less well than it treats EU nationals</w:t>
      </w:r>
      <w:r w:rsidR="0099451A" w:rsidRPr="009E7E81">
        <w:rPr>
          <w:rFonts w:cs="Times New Roman"/>
          <w:lang w:val="en-US"/>
        </w:rPr>
        <w:t xml:space="preserve"> (O’Leary, 2012; Tryfonidou, 2009)</w:t>
      </w:r>
      <w:r w:rsidRPr="009E7E81">
        <w:rPr>
          <w:rFonts w:cs="Times New Roman"/>
          <w:lang w:val="en-US"/>
        </w:rPr>
        <w:t xml:space="preserve">. However, </w:t>
      </w:r>
      <w:r w:rsidRPr="009E7E81">
        <w:rPr>
          <w:rFonts w:cs="Times New Roman"/>
          <w:i/>
          <w:lang w:val="en-US"/>
        </w:rPr>
        <w:t>Zambrano</w:t>
      </w:r>
      <w:r w:rsidRPr="009E7E81">
        <w:rPr>
          <w:rFonts w:cs="Times New Roman"/>
          <w:lang w:val="en-US"/>
        </w:rPr>
        <w:t xml:space="preserve"> children are </w:t>
      </w:r>
      <w:r w:rsidRPr="009E7E81">
        <w:rPr>
          <w:rFonts w:cs="Times New Roman"/>
          <w:lang w:val="en-US"/>
        </w:rPr>
        <w:lastRenderedPageBreak/>
        <w:t>within the scope of EU law. They are therefore covered by the general principles of EU law including the general principle of equal treatment</w:t>
      </w:r>
      <w:r w:rsidR="009F3C02" w:rsidRPr="009E7E81">
        <w:rPr>
          <w:rFonts w:cs="Times New Roman"/>
          <w:lang w:val="en-US"/>
        </w:rPr>
        <w:t>. They have a</w:t>
      </w:r>
      <w:r w:rsidRPr="009E7E81">
        <w:rPr>
          <w:rFonts w:cs="Times New Roman"/>
          <w:lang w:val="en-US"/>
        </w:rPr>
        <w:t xml:space="preserve"> right to be treated the same as other UK nationals in a comparable situation. This right is especially pronounced in the context of </w:t>
      </w:r>
      <w:r w:rsidR="00097462" w:rsidRPr="009E7E81">
        <w:rPr>
          <w:rFonts w:cs="Times New Roman"/>
          <w:lang w:val="en-US"/>
        </w:rPr>
        <w:t>the genuine enjoyment of rights attaching to Union citizenship (</w:t>
      </w:r>
      <w:r w:rsidR="00097462" w:rsidRPr="009E7E81">
        <w:rPr>
          <w:rFonts w:cs="Times New Roman"/>
          <w:i/>
          <w:lang w:val="en-US"/>
        </w:rPr>
        <w:t>Eman &amp; Sevinger</w:t>
      </w:r>
      <w:r w:rsidR="00097462" w:rsidRPr="009E7E81">
        <w:rPr>
          <w:rFonts w:cs="Times New Roman"/>
          <w:lang w:val="en-US"/>
        </w:rPr>
        <w:t>)</w:t>
      </w:r>
      <w:r w:rsidRPr="009E7E81">
        <w:rPr>
          <w:rFonts w:cs="Times New Roman"/>
          <w:lang w:val="en-US"/>
        </w:rPr>
        <w:t xml:space="preserve">.  They are also in a comparable situation to </w:t>
      </w:r>
      <w:r w:rsidRPr="009E7E81">
        <w:rPr>
          <w:rFonts w:cs="Times New Roman"/>
          <w:i/>
          <w:lang w:val="en-US"/>
        </w:rPr>
        <w:t>Teixeira</w:t>
      </w:r>
      <w:r w:rsidR="0077787E">
        <w:rPr>
          <w:rFonts w:cs="Times New Roman"/>
          <w:i/>
          <w:lang w:val="en-US"/>
        </w:rPr>
        <w:t>/Ibrahim</w:t>
      </w:r>
      <w:r w:rsidRPr="009E7E81">
        <w:rPr>
          <w:rFonts w:cs="Times New Roman"/>
          <w:i/>
          <w:lang w:val="en-US"/>
        </w:rPr>
        <w:t xml:space="preserve"> </w:t>
      </w:r>
      <w:r w:rsidRPr="009E7E81">
        <w:rPr>
          <w:rFonts w:cs="Times New Roman"/>
          <w:lang w:val="en-US"/>
        </w:rPr>
        <w:t>children, since they a</w:t>
      </w:r>
      <w:r w:rsidR="00097462" w:rsidRPr="009E7E81">
        <w:rPr>
          <w:rFonts w:cs="Times New Roman"/>
          <w:lang w:val="en-US"/>
        </w:rPr>
        <w:t>re exercising an EU citizenship-</w:t>
      </w:r>
      <w:r w:rsidRPr="009E7E81">
        <w:rPr>
          <w:rFonts w:cs="Times New Roman"/>
          <w:lang w:val="en-US"/>
        </w:rPr>
        <w:t xml:space="preserve">based right to reside, and so have </w:t>
      </w:r>
      <w:r w:rsidR="009F3C02" w:rsidRPr="009E7E81">
        <w:rPr>
          <w:rFonts w:cs="Times New Roman"/>
          <w:lang w:val="en-US"/>
        </w:rPr>
        <w:t>a claim to full equal treatment. At</w:t>
      </w:r>
      <w:r w:rsidRPr="009E7E81">
        <w:rPr>
          <w:rFonts w:cs="Times New Roman"/>
          <w:lang w:val="en-US"/>
        </w:rPr>
        <w:t xml:space="preserve"> the least, they </w:t>
      </w:r>
      <w:r w:rsidR="009F3C02" w:rsidRPr="009E7E81">
        <w:rPr>
          <w:rFonts w:cs="Times New Roman"/>
          <w:lang w:val="en-US"/>
        </w:rPr>
        <w:t xml:space="preserve">could be said to be </w:t>
      </w:r>
      <w:r w:rsidRPr="009E7E81">
        <w:rPr>
          <w:rFonts w:cs="Times New Roman"/>
          <w:lang w:val="en-US"/>
        </w:rPr>
        <w:t>in a comparable situation to other EU nationals exe</w:t>
      </w:r>
      <w:r w:rsidR="009F3C02" w:rsidRPr="009E7E81">
        <w:rPr>
          <w:rFonts w:cs="Times New Roman"/>
          <w:lang w:val="en-US"/>
        </w:rPr>
        <w:t>rcising an EU citizenship-</w:t>
      </w:r>
      <w:r w:rsidRPr="009E7E81">
        <w:rPr>
          <w:rFonts w:cs="Times New Roman"/>
          <w:lang w:val="en-US"/>
        </w:rPr>
        <w:t xml:space="preserve">based right to reside, and so </w:t>
      </w:r>
      <w:r w:rsidR="009F3C02" w:rsidRPr="009E7E81">
        <w:rPr>
          <w:rFonts w:cs="Times New Roman"/>
          <w:lang w:val="en-US"/>
        </w:rPr>
        <w:t>be entitled to</w:t>
      </w:r>
      <w:r w:rsidRPr="009E7E81">
        <w:rPr>
          <w:rFonts w:cs="Times New Roman"/>
          <w:lang w:val="en-US"/>
        </w:rPr>
        <w:t xml:space="preserve"> equal treatment</w:t>
      </w:r>
      <w:r w:rsidR="009F3C02" w:rsidRPr="009E7E81">
        <w:rPr>
          <w:rFonts w:cs="Times New Roman"/>
          <w:lang w:val="en-US"/>
        </w:rPr>
        <w:t xml:space="preserve"> that was conditional on meeting the requirements analogous to those in Articles 7 or 16 of Directive 2004/38</w:t>
      </w:r>
      <w:r w:rsidRPr="009E7E81">
        <w:rPr>
          <w:rFonts w:cs="Times New Roman"/>
          <w:lang w:val="en-US"/>
        </w:rPr>
        <w:t xml:space="preserve">. </w:t>
      </w:r>
    </w:p>
    <w:p w14:paraId="0055AD5C" w14:textId="2E6F2E96" w:rsidR="00874CDE" w:rsidRPr="009E7E81" w:rsidRDefault="007B7A94" w:rsidP="009E7E81">
      <w:pPr>
        <w:spacing w:after="240" w:line="360" w:lineRule="auto"/>
        <w:jc w:val="both"/>
        <w:rPr>
          <w:rFonts w:cs="Times New Roman"/>
          <w:lang w:val="en-US"/>
        </w:rPr>
      </w:pPr>
      <w:r w:rsidRPr="009E7E81">
        <w:rPr>
          <w:rFonts w:cs="Times New Roman"/>
          <w:lang w:val="en-US"/>
        </w:rPr>
        <w:t>Infringements of the general principle of equal treatment must be objectively justified</w:t>
      </w:r>
      <w:r w:rsidR="00097462" w:rsidRPr="009E7E81">
        <w:rPr>
          <w:rFonts w:cs="Times New Roman"/>
          <w:lang w:val="en-US"/>
        </w:rPr>
        <w:t xml:space="preserve"> (</w:t>
      </w:r>
      <w:r w:rsidR="00874CDE" w:rsidRPr="009E7E81">
        <w:rPr>
          <w:rFonts w:cs="Times New Roman"/>
          <w:lang w:val="en-US"/>
        </w:rPr>
        <w:t xml:space="preserve">Case C-579/13 </w:t>
      </w:r>
      <w:r w:rsidR="00097462" w:rsidRPr="009E7E81">
        <w:rPr>
          <w:rFonts w:cs="Times New Roman"/>
          <w:i/>
          <w:lang w:val="en-US"/>
        </w:rPr>
        <w:t>P&amp;S</w:t>
      </w:r>
      <w:r w:rsidR="00874CDE" w:rsidRPr="009E7E81">
        <w:rPr>
          <w:rFonts w:cs="Times New Roman"/>
          <w:lang w:val="en-US"/>
        </w:rPr>
        <w:t xml:space="preserve">  4 June 2015, </w:t>
      </w:r>
      <w:r w:rsidR="00097462" w:rsidRPr="009E7E81">
        <w:rPr>
          <w:rFonts w:cs="Times New Roman"/>
          <w:lang w:val="en-US"/>
        </w:rPr>
        <w:t xml:space="preserve">41; </w:t>
      </w:r>
      <w:r w:rsidR="00874CDE" w:rsidRPr="009E7E81">
        <w:rPr>
          <w:rFonts w:cs="Times New Roman"/>
          <w:lang w:val="en-US"/>
        </w:rPr>
        <w:t xml:space="preserve">Case T-190/12 </w:t>
      </w:r>
      <w:r w:rsidR="00097462" w:rsidRPr="009E7E81">
        <w:rPr>
          <w:rFonts w:cs="Times New Roman"/>
          <w:i/>
          <w:lang w:val="en-US"/>
        </w:rPr>
        <w:t>Tomana,</w:t>
      </w:r>
      <w:r w:rsidR="00874CDE" w:rsidRPr="009E7E81">
        <w:rPr>
          <w:rFonts w:cs="Times New Roman"/>
          <w:lang w:val="en-US"/>
        </w:rPr>
        <w:t xml:space="preserve"> 22 April 2015,</w:t>
      </w:r>
      <w:r w:rsidR="00097462" w:rsidRPr="009E7E81">
        <w:rPr>
          <w:rFonts w:cs="Times New Roman"/>
          <w:lang w:val="en-US"/>
        </w:rPr>
        <w:t xml:space="preserve"> 247; </w:t>
      </w:r>
      <w:r w:rsidR="00874CDE" w:rsidRPr="009E7E81">
        <w:rPr>
          <w:rFonts w:cs="Times New Roman"/>
          <w:lang w:val="en-US"/>
        </w:rPr>
        <w:t xml:space="preserve">Case C-356/12 </w:t>
      </w:r>
      <w:r w:rsidR="00097462" w:rsidRPr="009E7E81">
        <w:rPr>
          <w:rFonts w:cs="Times New Roman"/>
          <w:i/>
          <w:lang w:val="en-US"/>
        </w:rPr>
        <w:t>Glatzel</w:t>
      </w:r>
      <w:r w:rsidR="00097462" w:rsidRPr="009E7E81">
        <w:rPr>
          <w:rFonts w:cs="Times New Roman"/>
          <w:lang w:val="en-US"/>
        </w:rPr>
        <w:t xml:space="preserve">, </w:t>
      </w:r>
      <w:r w:rsidR="00874CDE" w:rsidRPr="009E7E81">
        <w:rPr>
          <w:rFonts w:cs="Times New Roman"/>
          <w:lang w:val="en-US"/>
        </w:rPr>
        <w:t xml:space="preserve">22 May 2014, </w:t>
      </w:r>
      <w:r w:rsidR="00097462" w:rsidRPr="009E7E81">
        <w:rPr>
          <w:rFonts w:cs="Times New Roman"/>
          <w:lang w:val="en-US"/>
        </w:rPr>
        <w:t>43)</w:t>
      </w:r>
      <w:r w:rsidRPr="009E7E81">
        <w:rPr>
          <w:rFonts w:cs="Times New Roman"/>
          <w:lang w:val="en-US"/>
        </w:rPr>
        <w:t>. This piece examines the arguments put before the Court of Appeal</w:t>
      </w:r>
      <w:r w:rsidR="00874CDE" w:rsidRPr="009E7E81">
        <w:rPr>
          <w:rFonts w:cs="Times New Roman"/>
          <w:lang w:val="en-US"/>
        </w:rPr>
        <w:t xml:space="preserve"> of England and Wales</w:t>
      </w:r>
      <w:r w:rsidRPr="009E7E81">
        <w:rPr>
          <w:rFonts w:cs="Times New Roman"/>
          <w:lang w:val="en-US"/>
        </w:rPr>
        <w:t xml:space="preserve">, and that court’s reasoning, to identify the claimed ‘legitimate aims’ of excluding </w:t>
      </w:r>
      <w:r w:rsidRPr="009E7E81">
        <w:rPr>
          <w:rFonts w:cs="Times New Roman"/>
          <w:i/>
          <w:lang w:val="en-US"/>
        </w:rPr>
        <w:t>Zambrano</w:t>
      </w:r>
      <w:r w:rsidRPr="009E7E81">
        <w:rPr>
          <w:rFonts w:cs="Times New Roman"/>
          <w:lang w:val="en-US"/>
        </w:rPr>
        <w:t xml:space="preserve"> children from equal treatment – </w:t>
      </w:r>
      <w:r w:rsidR="00874CDE" w:rsidRPr="009E7E81">
        <w:rPr>
          <w:rFonts w:cs="Times New Roman"/>
          <w:lang w:val="en-US"/>
        </w:rPr>
        <w:t>primarily</w:t>
      </w:r>
      <w:r w:rsidRPr="009E7E81">
        <w:rPr>
          <w:rFonts w:cs="Times New Roman"/>
          <w:lang w:val="en-US"/>
        </w:rPr>
        <w:t xml:space="preserve"> restricting benefits to those with the greatest connection with the UK. It argues that the exclusion is neither a logical nor proportionate means to the posited objectives,</w:t>
      </w:r>
      <w:r w:rsidR="00E90972" w:rsidRPr="009E7E81">
        <w:rPr>
          <w:rFonts w:cs="Times New Roman"/>
          <w:lang w:val="en-US"/>
        </w:rPr>
        <w:t xml:space="preserve"> in particular highlighting that it excludes tax-pay</w:t>
      </w:r>
      <w:r w:rsidRPr="009E7E81">
        <w:rPr>
          <w:rFonts w:cs="Times New Roman"/>
          <w:lang w:val="en-US"/>
        </w:rPr>
        <w:t>ers</w:t>
      </w:r>
      <w:r w:rsidR="00E90972" w:rsidRPr="009E7E81">
        <w:rPr>
          <w:rFonts w:cs="Times New Roman"/>
          <w:lang w:val="en-US"/>
        </w:rPr>
        <w:t xml:space="preserve">. </w:t>
      </w:r>
      <w:r w:rsidR="00605C5E" w:rsidRPr="009E7E81">
        <w:rPr>
          <w:rFonts w:cs="Times New Roman"/>
          <w:lang w:val="en-US"/>
        </w:rPr>
        <w:t>The</w:t>
      </w:r>
      <w:r w:rsidR="000C6841">
        <w:rPr>
          <w:rFonts w:cs="Times New Roman"/>
          <w:lang w:val="en-US"/>
        </w:rPr>
        <w:t xml:space="preserve"> last of DWP’s submissions is </w:t>
      </w:r>
      <w:r w:rsidR="00E90972" w:rsidRPr="009E7E81">
        <w:rPr>
          <w:rFonts w:cs="Times New Roman"/>
          <w:lang w:val="en-US"/>
        </w:rPr>
        <w:t>that third country nationals should be encouraged to assess their resources before having children. This Malthusian</w:t>
      </w:r>
      <w:r w:rsidR="00605C5E" w:rsidRPr="009E7E81">
        <w:rPr>
          <w:rFonts w:cs="Times New Roman"/>
          <w:lang w:val="en-US"/>
        </w:rPr>
        <w:t xml:space="preserve"> </w:t>
      </w:r>
      <w:r w:rsidR="00FB4678" w:rsidRPr="009E7E81">
        <w:rPr>
          <w:rFonts w:cs="Times New Roman"/>
          <w:lang w:val="en-US"/>
        </w:rPr>
        <w:t xml:space="preserve">(Malthus, 2008) </w:t>
      </w:r>
      <w:r w:rsidR="00605C5E" w:rsidRPr="009E7E81">
        <w:rPr>
          <w:rFonts w:cs="Times New Roman"/>
          <w:lang w:val="en-US"/>
        </w:rPr>
        <w:t>argument is logically, practically, ethically and legally flawed</w:t>
      </w:r>
      <w:r w:rsidR="00E90972" w:rsidRPr="009E7E81">
        <w:rPr>
          <w:rFonts w:cs="Times New Roman"/>
          <w:lang w:val="en-US"/>
        </w:rPr>
        <w:t>.</w:t>
      </w:r>
    </w:p>
    <w:p w14:paraId="6E5D9BEA" w14:textId="792737C4" w:rsidR="006506E4" w:rsidRPr="009E7E81" w:rsidRDefault="00874CDE" w:rsidP="009E7E81">
      <w:pPr>
        <w:spacing w:after="240" w:line="360" w:lineRule="auto"/>
        <w:jc w:val="both"/>
        <w:rPr>
          <w:rFonts w:cs="Times New Roman"/>
          <w:lang w:val="en-US"/>
        </w:rPr>
      </w:pPr>
      <w:r w:rsidRPr="009E7E81">
        <w:rPr>
          <w:rFonts w:cs="Times New Roman"/>
          <w:lang w:val="en-US"/>
        </w:rPr>
        <w:t xml:space="preserve">If </w:t>
      </w:r>
      <w:r w:rsidR="00D27F6A" w:rsidRPr="009E7E81">
        <w:rPr>
          <w:rFonts w:cs="Times New Roman"/>
          <w:lang w:val="en-US"/>
        </w:rPr>
        <w:t xml:space="preserve">there is </w:t>
      </w:r>
      <w:r w:rsidR="00D27F6A" w:rsidRPr="009E7E81">
        <w:rPr>
          <w:rFonts w:cs="Times New Roman"/>
          <w:i/>
          <w:lang w:val="en-US"/>
        </w:rPr>
        <w:t>any</w:t>
      </w:r>
      <w:r w:rsidR="00D27F6A" w:rsidRPr="009E7E81">
        <w:rPr>
          <w:rFonts w:cs="Times New Roman"/>
          <w:lang w:val="en-US"/>
        </w:rPr>
        <w:t xml:space="preserve"> substance to the rights attaching to Union citizenship, those rights must include equal treatment</w:t>
      </w:r>
      <w:r w:rsidR="00505798" w:rsidRPr="009E7E81">
        <w:rPr>
          <w:rFonts w:cs="Times New Roman"/>
          <w:lang w:val="en-US"/>
        </w:rPr>
        <w:t xml:space="preserve">, </w:t>
      </w:r>
      <w:r w:rsidR="00CB2A2B" w:rsidRPr="009E7E81">
        <w:rPr>
          <w:rFonts w:cs="Times New Roman"/>
          <w:lang w:val="en-US"/>
        </w:rPr>
        <w:t xml:space="preserve">and the UK should not be allowed to unilaterally modify an EU citizenship-based right to reside </w:t>
      </w:r>
      <w:r w:rsidR="00FB4678" w:rsidRPr="009E7E81">
        <w:rPr>
          <w:rFonts w:cs="Times New Roman"/>
          <w:lang w:val="en-US"/>
        </w:rPr>
        <w:t xml:space="preserve">(see the Opinion of AG Szpunar in Case C-165/14 </w:t>
      </w:r>
      <w:r w:rsidR="00FB4678" w:rsidRPr="009E7E81">
        <w:rPr>
          <w:rFonts w:cs="Times New Roman"/>
          <w:i/>
          <w:lang w:val="en-US"/>
        </w:rPr>
        <w:t>Marin</w:t>
      </w:r>
      <w:r w:rsidR="00FB4678" w:rsidRPr="009E7E81">
        <w:rPr>
          <w:rFonts w:cs="Times New Roman"/>
          <w:lang w:val="en-US"/>
        </w:rPr>
        <w:t xml:space="preserve"> 4 February 2016, 95</w:t>
      </w:r>
      <w:r w:rsidR="00874D0E">
        <w:rPr>
          <w:rFonts w:cs="Times New Roman"/>
          <w:lang w:val="en-US"/>
        </w:rPr>
        <w:t>, and Kochenov (2013) 504</w:t>
      </w:r>
      <w:r w:rsidR="00FB4678" w:rsidRPr="009E7E81">
        <w:rPr>
          <w:rFonts w:cs="Times New Roman"/>
          <w:lang w:val="en-US"/>
        </w:rPr>
        <w:t>)</w:t>
      </w:r>
      <w:r w:rsidR="00FB4678" w:rsidRPr="009E7E81">
        <w:rPr>
          <w:rFonts w:cs="Times New Roman"/>
          <w:i/>
          <w:lang w:val="en-US"/>
        </w:rPr>
        <w:t xml:space="preserve"> </w:t>
      </w:r>
      <w:r w:rsidR="00CB2A2B" w:rsidRPr="009E7E81">
        <w:rPr>
          <w:rFonts w:cs="Times New Roman"/>
          <w:lang w:val="en-US"/>
        </w:rPr>
        <w:t xml:space="preserve">by embroidering into it an unprecedented mandatory inequality. </w:t>
      </w:r>
      <w:r w:rsidR="006506E4" w:rsidRPr="009E7E81">
        <w:rPr>
          <w:rFonts w:cs="Times New Roman"/>
          <w:lang w:val="en-US"/>
        </w:rPr>
        <w:t xml:space="preserve">If </w:t>
      </w:r>
      <w:r w:rsidR="006506E4" w:rsidRPr="009E7E81">
        <w:rPr>
          <w:rFonts w:cs="Times New Roman"/>
          <w:i/>
          <w:lang w:val="en-US"/>
        </w:rPr>
        <w:t>Zambrano</w:t>
      </w:r>
      <w:r w:rsidR="006506E4" w:rsidRPr="009E7E81">
        <w:rPr>
          <w:rFonts w:cs="Times New Roman"/>
          <w:lang w:val="en-US"/>
        </w:rPr>
        <w:t xml:space="preserve"> is not an obsolete, empty right, inferior to other possible, statuses pre-existing in national immigration law, it cannot be a license to discriminate against own nationals because they a</w:t>
      </w:r>
      <w:r w:rsidR="003E747A">
        <w:rPr>
          <w:rFonts w:cs="Times New Roman"/>
          <w:lang w:val="en-US"/>
        </w:rPr>
        <w:t>re exercising an EU citizenship-</w:t>
      </w:r>
      <w:r w:rsidR="006506E4" w:rsidRPr="009E7E81">
        <w:rPr>
          <w:rFonts w:cs="Times New Roman"/>
          <w:lang w:val="en-US"/>
        </w:rPr>
        <w:t>based right to reside. And i</w:t>
      </w:r>
      <w:r w:rsidR="00D27F6A" w:rsidRPr="009E7E81">
        <w:rPr>
          <w:rFonts w:cs="Times New Roman"/>
          <w:lang w:val="en-US"/>
        </w:rPr>
        <w:t xml:space="preserve">f </w:t>
      </w:r>
      <w:r w:rsidR="00605C5E" w:rsidRPr="009E7E81">
        <w:rPr>
          <w:rFonts w:cs="Times New Roman"/>
          <w:lang w:val="en-US"/>
        </w:rPr>
        <w:t xml:space="preserve">Union citizenship </w:t>
      </w:r>
      <w:r w:rsidR="00D27F6A" w:rsidRPr="009E7E81">
        <w:rPr>
          <w:rFonts w:cs="Times New Roman"/>
          <w:lang w:val="en-US"/>
        </w:rPr>
        <w:t xml:space="preserve">carries any meaning </w:t>
      </w:r>
      <w:r w:rsidR="00605C5E" w:rsidRPr="009E7E81">
        <w:rPr>
          <w:rFonts w:cs="Times New Roman"/>
          <w:lang w:val="en-US"/>
        </w:rPr>
        <w:t xml:space="preserve">for children (who cannot easily </w:t>
      </w:r>
      <w:r w:rsidR="00605C5E" w:rsidRPr="009E7E81">
        <w:rPr>
          <w:rFonts w:cs="Times New Roman"/>
          <w:lang w:val="en-US"/>
        </w:rPr>
        <w:lastRenderedPageBreak/>
        <w:t>become mobile EU nationals</w:t>
      </w:r>
      <w:r w:rsidR="004B3014" w:rsidRPr="009E7E81">
        <w:rPr>
          <w:rFonts w:cs="Times New Roman"/>
          <w:lang w:val="en-US"/>
        </w:rPr>
        <w:t>)</w:t>
      </w:r>
      <w:r w:rsidR="006506E4" w:rsidRPr="009E7E81">
        <w:rPr>
          <w:rFonts w:cs="Times New Roman"/>
          <w:lang w:val="en-US"/>
        </w:rPr>
        <w:t>,</w:t>
      </w:r>
      <w:r w:rsidR="004B3014" w:rsidRPr="009E7E81">
        <w:rPr>
          <w:rFonts w:cs="Times New Roman"/>
          <w:lang w:val="en-US"/>
        </w:rPr>
        <w:t xml:space="preserve"> then ‘genuine enjoyment’ of an</w:t>
      </w:r>
      <w:r w:rsidR="00D27F6A" w:rsidRPr="009E7E81">
        <w:rPr>
          <w:rFonts w:cs="Times New Roman"/>
          <w:lang w:val="en-US"/>
        </w:rPr>
        <w:t xml:space="preserve"> EU citizenship-based right to reside must </w:t>
      </w:r>
      <w:r w:rsidR="004B3014" w:rsidRPr="009E7E81">
        <w:rPr>
          <w:rFonts w:cs="Times New Roman"/>
          <w:lang w:val="en-US"/>
        </w:rPr>
        <w:t>mean</w:t>
      </w:r>
      <w:r w:rsidR="00D27F6A" w:rsidRPr="009E7E81">
        <w:rPr>
          <w:rFonts w:cs="Times New Roman"/>
          <w:lang w:val="en-US"/>
        </w:rPr>
        <w:t xml:space="preserve"> more than</w:t>
      </w:r>
      <w:r w:rsidR="00605C5E" w:rsidRPr="009E7E81">
        <w:rPr>
          <w:rFonts w:cs="Times New Roman"/>
          <w:lang w:val="en-US"/>
        </w:rPr>
        <w:t xml:space="preserve"> a right to </w:t>
      </w:r>
      <w:r w:rsidR="00D27F6A" w:rsidRPr="009E7E81">
        <w:rPr>
          <w:rFonts w:cs="Times New Roman"/>
          <w:lang w:val="en-US"/>
        </w:rPr>
        <w:t xml:space="preserve">a ‘hand-to-mouth’ existence, </w:t>
      </w:r>
      <w:r w:rsidR="00FB4678" w:rsidRPr="009E7E81">
        <w:rPr>
          <w:rFonts w:cs="Times New Roman"/>
          <w:lang w:val="en-US"/>
        </w:rPr>
        <w:t xml:space="preserve">(term used by counsel for the claimant in </w:t>
      </w:r>
      <w:r w:rsidR="00FB4678" w:rsidRPr="009E7E81">
        <w:rPr>
          <w:rFonts w:cs="Times New Roman"/>
          <w:i/>
          <w:lang w:val="en-US"/>
        </w:rPr>
        <w:t>Sanneh</w:t>
      </w:r>
      <w:r w:rsidR="00FB4678" w:rsidRPr="009E7E81">
        <w:rPr>
          <w:rFonts w:cs="Times New Roman"/>
          <w:lang w:val="en-US"/>
        </w:rPr>
        <w:t xml:space="preserve">, 121) </w:t>
      </w:r>
      <w:r w:rsidR="00D27F6A" w:rsidRPr="009E7E81">
        <w:rPr>
          <w:rFonts w:cs="Times New Roman"/>
          <w:lang w:val="en-US"/>
        </w:rPr>
        <w:t>or ‘minimal and back-stop’ support</w:t>
      </w:r>
      <w:r w:rsidR="006506E4" w:rsidRPr="009E7E81">
        <w:rPr>
          <w:rFonts w:cs="Times New Roman"/>
          <w:lang w:val="en-US"/>
        </w:rPr>
        <w:t xml:space="preserve"> </w:t>
      </w:r>
      <w:r w:rsidR="00FB4678" w:rsidRPr="009E7E81">
        <w:rPr>
          <w:rFonts w:cs="Times New Roman"/>
          <w:lang w:val="en-US"/>
        </w:rPr>
        <w:t xml:space="preserve">(phrase used by Elias LJ in </w:t>
      </w:r>
      <w:r w:rsidR="00FB4678" w:rsidRPr="009E7E81">
        <w:rPr>
          <w:rFonts w:cs="Times New Roman"/>
          <w:i/>
          <w:lang w:val="en-US"/>
        </w:rPr>
        <w:t>Sanneh</w:t>
      </w:r>
      <w:r w:rsidR="00FB4678" w:rsidRPr="009E7E81">
        <w:rPr>
          <w:rFonts w:cs="Times New Roman"/>
          <w:lang w:val="en-US"/>
        </w:rPr>
        <w:t xml:space="preserve">, 171) </w:t>
      </w:r>
      <w:r w:rsidR="006506E4" w:rsidRPr="009E7E81">
        <w:rPr>
          <w:rFonts w:cs="Times New Roman"/>
          <w:lang w:val="en-US"/>
        </w:rPr>
        <w:t>in your home state, and it must mean more than a one-sided right</w:t>
      </w:r>
      <w:r w:rsidR="00FB4678" w:rsidRPr="009E7E81">
        <w:rPr>
          <w:rFonts w:cs="Times New Roman"/>
          <w:lang w:val="en-US"/>
        </w:rPr>
        <w:t xml:space="preserve"> to be treated as a tolerated alien by your </w:t>
      </w:r>
      <w:r w:rsidR="006506E4" w:rsidRPr="009E7E81">
        <w:rPr>
          <w:rFonts w:cs="Times New Roman"/>
          <w:lang w:val="en-US"/>
        </w:rPr>
        <w:t>state of nationality.</w:t>
      </w:r>
    </w:p>
    <w:p w14:paraId="54BFC830" w14:textId="0688CC8F" w:rsidR="00E05C53" w:rsidRPr="009E7E81" w:rsidRDefault="00E05C53" w:rsidP="009E7E81">
      <w:pPr>
        <w:widowControl w:val="0"/>
        <w:autoSpaceDE w:val="0"/>
        <w:autoSpaceDN w:val="0"/>
        <w:adjustRightInd w:val="0"/>
        <w:spacing w:after="240" w:line="360" w:lineRule="auto"/>
        <w:jc w:val="both"/>
        <w:rPr>
          <w:rFonts w:cs="Times New Roman"/>
          <w:u w:val="single"/>
          <w:lang w:val="en-US"/>
        </w:rPr>
      </w:pPr>
      <w:r w:rsidRPr="009E7E81">
        <w:rPr>
          <w:rFonts w:cs="Times New Roman"/>
          <w:u w:val="single"/>
          <w:lang w:val="en-US"/>
        </w:rPr>
        <w:t xml:space="preserve">The </w:t>
      </w:r>
      <w:r w:rsidR="005A4055" w:rsidRPr="009E7E81">
        <w:rPr>
          <w:rFonts w:cs="Times New Roman"/>
          <w:i/>
          <w:u w:val="single"/>
          <w:lang w:val="en-US"/>
        </w:rPr>
        <w:t>Sanneh</w:t>
      </w:r>
      <w:r w:rsidR="005A4055" w:rsidRPr="009E7E81">
        <w:rPr>
          <w:rFonts w:cs="Times New Roman"/>
          <w:u w:val="single"/>
          <w:lang w:val="en-US"/>
        </w:rPr>
        <w:t>/</w:t>
      </w:r>
      <w:r w:rsidRPr="009E7E81">
        <w:rPr>
          <w:rFonts w:cs="Times New Roman"/>
          <w:i/>
          <w:u w:val="single"/>
          <w:lang w:val="en-US"/>
        </w:rPr>
        <w:t xml:space="preserve">HC </w:t>
      </w:r>
      <w:r w:rsidRPr="009E7E81">
        <w:rPr>
          <w:rFonts w:cs="Times New Roman"/>
          <w:u w:val="single"/>
          <w:lang w:val="en-US"/>
        </w:rPr>
        <w:t>case</w:t>
      </w:r>
    </w:p>
    <w:p w14:paraId="646F046D" w14:textId="6DC76ED6" w:rsidR="00FB4678" w:rsidRPr="009E7E81" w:rsidRDefault="006C1EC0" w:rsidP="009E7E81">
      <w:pPr>
        <w:pStyle w:val="FootnoteText"/>
        <w:spacing w:after="240" w:line="360" w:lineRule="auto"/>
        <w:jc w:val="both"/>
        <w:rPr>
          <w:rFonts w:eastAsia="Times New Roman" w:cs="Arial"/>
          <w:shd w:val="clear" w:color="auto" w:fill="FFFFFF"/>
        </w:rPr>
      </w:pPr>
      <w:r w:rsidRPr="009E7E81">
        <w:rPr>
          <w:rFonts w:eastAsia="Times New Roman" w:cs="Arial"/>
          <w:i/>
          <w:shd w:val="clear" w:color="auto" w:fill="FFFFFF"/>
        </w:rPr>
        <w:t xml:space="preserve">Sanneh and others </w:t>
      </w:r>
      <w:r w:rsidRPr="009E7E81">
        <w:rPr>
          <w:rFonts w:cs="Times New Roman"/>
          <w:lang w:val="en-US"/>
        </w:rPr>
        <w:t>is a group of cases in which third country nationals</w:t>
      </w:r>
      <w:r w:rsidR="00324563">
        <w:rPr>
          <w:rFonts w:cs="Times New Roman"/>
          <w:lang w:val="en-US"/>
        </w:rPr>
        <w:t>,</w:t>
      </w:r>
      <w:r w:rsidRPr="009E7E81">
        <w:rPr>
          <w:rFonts w:cs="Times New Roman"/>
          <w:lang w:val="en-US"/>
        </w:rPr>
        <w:t xml:space="preserve"> who are the primary carers of British citizens (who are also EU nationals), seek access to social assistance. </w:t>
      </w:r>
      <w:r w:rsidRPr="009E7E81">
        <w:rPr>
          <w:rFonts w:eastAsia="Times New Roman" w:cs="Arial"/>
          <w:shd w:val="clear" w:color="auto" w:fill="FFFFFF"/>
        </w:rPr>
        <w:t xml:space="preserve">Claimants have argued that access to welfare benefits is necessary for </w:t>
      </w:r>
      <w:r w:rsidR="00B5659B">
        <w:rPr>
          <w:rFonts w:eastAsia="Times New Roman" w:cs="Arial"/>
          <w:shd w:val="clear" w:color="auto" w:fill="FFFFFF"/>
        </w:rPr>
        <w:t>the</w:t>
      </w:r>
      <w:r w:rsidRPr="009E7E81">
        <w:rPr>
          <w:rFonts w:eastAsia="Times New Roman" w:cs="Arial"/>
          <w:shd w:val="clear" w:color="auto" w:fill="FFFFFF"/>
        </w:rPr>
        <w:t xml:space="preserve"> ‘genuine enjoyment’ of </w:t>
      </w:r>
      <w:r w:rsidR="003E747A">
        <w:rPr>
          <w:rFonts w:eastAsia="Times New Roman" w:cs="Arial"/>
          <w:shd w:val="clear" w:color="auto" w:fill="FFFFFF"/>
        </w:rPr>
        <w:t>the substance of</w:t>
      </w:r>
      <w:r w:rsidR="00324563">
        <w:rPr>
          <w:rFonts w:eastAsia="Times New Roman" w:cs="Arial"/>
          <w:shd w:val="clear" w:color="auto" w:fill="FFFFFF"/>
        </w:rPr>
        <w:t xml:space="preserve"> an</w:t>
      </w:r>
      <w:r w:rsidR="003E747A">
        <w:rPr>
          <w:rFonts w:eastAsia="Times New Roman" w:cs="Arial"/>
          <w:shd w:val="clear" w:color="auto" w:fill="FFFFFF"/>
        </w:rPr>
        <w:t xml:space="preserve"> EU citizenship-</w:t>
      </w:r>
      <w:r w:rsidRPr="009E7E81">
        <w:rPr>
          <w:rFonts w:eastAsia="Times New Roman" w:cs="Arial"/>
          <w:shd w:val="clear" w:color="auto" w:fill="FFFFFF"/>
        </w:rPr>
        <w:t>based right to reside in the EU, since if driven into destitution, claimants may effectively be forced from the territory back to the third country in question. This has been partly accepted by the Court of Appeal, finding that</w:t>
      </w:r>
      <w:r w:rsidR="00FB4678" w:rsidRPr="009E7E81">
        <w:rPr>
          <w:rFonts w:eastAsia="Times New Roman" w:cs="Arial"/>
          <w:shd w:val="clear" w:color="auto" w:fill="FFFFFF"/>
        </w:rPr>
        <w:t>:</w:t>
      </w:r>
    </w:p>
    <w:p w14:paraId="42D7C793" w14:textId="77777777" w:rsidR="00FB4678" w:rsidRPr="009E7E81" w:rsidRDefault="006C1EC0" w:rsidP="009E7E81">
      <w:pPr>
        <w:pStyle w:val="FootnoteText"/>
        <w:spacing w:after="240" w:line="360" w:lineRule="auto"/>
        <w:ind w:left="720"/>
        <w:jc w:val="both"/>
        <w:rPr>
          <w:rFonts w:eastAsia="Times New Roman" w:cs="Times New Roman"/>
        </w:rPr>
      </w:pPr>
      <w:r w:rsidRPr="009E7E81">
        <w:rPr>
          <w:rFonts w:eastAsia="Times New Roman" w:cs="Arial"/>
          <w:shd w:val="clear" w:color="auto" w:fill="FFFFFF"/>
        </w:rPr>
        <w:t>‘</w:t>
      </w:r>
      <w:r w:rsidRPr="009E7E81">
        <w:rPr>
          <w:rFonts w:eastAsia="Times New Roman" w:cs="Times New Roman"/>
          <w:i/>
        </w:rPr>
        <w:t>where the carer does not have the resources to remain in the country and so will in practice, absent State support, be compelled to leave with the child for economic reasons, there will be an obligation on the State to take steps to ensure that they are able to remain. EU law focuses on the substance of the right and not merely the form and will require the State to take steps to ensure that the essence of the right is respected</w:t>
      </w:r>
      <w:r w:rsidRPr="009E7E81">
        <w:rPr>
          <w:rFonts w:eastAsia="Times New Roman" w:cs="Times New Roman"/>
        </w:rPr>
        <w:t xml:space="preserve">’. </w:t>
      </w:r>
    </w:p>
    <w:p w14:paraId="139BA157" w14:textId="1DEE32A3" w:rsidR="006C1EC0" w:rsidRPr="009E7E81" w:rsidRDefault="006C1EC0" w:rsidP="009E7E81">
      <w:pPr>
        <w:pStyle w:val="FootnoteText"/>
        <w:spacing w:after="240" w:line="360" w:lineRule="auto"/>
        <w:jc w:val="both"/>
        <w:rPr>
          <w:rFonts w:eastAsia="Times New Roman" w:cs="Times New Roman"/>
        </w:rPr>
      </w:pPr>
      <w:r w:rsidRPr="009E7E81">
        <w:rPr>
          <w:rFonts w:eastAsia="Times New Roman" w:cs="Times New Roman"/>
        </w:rPr>
        <w:t xml:space="preserve">However, such economic protection is minimal and last-resort; </w:t>
      </w:r>
      <w:r w:rsidR="005E5208" w:rsidRPr="009E7E81">
        <w:rPr>
          <w:rFonts w:eastAsia="Times New Roman" w:cs="Times New Roman"/>
        </w:rPr>
        <w:t xml:space="preserve">counsel for the claimants submitted that section 17 support </w:t>
      </w:r>
      <w:r w:rsidR="00067038" w:rsidRPr="009E7E81">
        <w:rPr>
          <w:rFonts w:eastAsia="Times New Roman" w:cs="Times New Roman"/>
        </w:rPr>
        <w:t>provided for</w:t>
      </w:r>
      <w:r w:rsidR="005E5208" w:rsidRPr="009E7E81">
        <w:rPr>
          <w:rFonts w:eastAsia="Times New Roman" w:cs="Times New Roman"/>
        </w:rPr>
        <w:t xml:space="preserve"> a ‘hand to mouth existence’</w:t>
      </w:r>
      <w:r w:rsidR="00067038" w:rsidRPr="009E7E81">
        <w:rPr>
          <w:rFonts w:eastAsia="Times New Roman" w:cs="Times New Roman"/>
        </w:rPr>
        <w:t xml:space="preserve"> at best</w:t>
      </w:r>
      <w:r w:rsidR="005E5208" w:rsidRPr="009E7E81">
        <w:rPr>
          <w:rFonts w:eastAsia="Times New Roman" w:cs="Times New Roman"/>
        </w:rPr>
        <w:t xml:space="preserve">, (para 121) and Elias LJ confirmed that </w:t>
      </w:r>
      <w:r w:rsidRPr="009E7E81">
        <w:rPr>
          <w:rFonts w:eastAsia="Times New Roman" w:cs="Times New Roman"/>
        </w:rPr>
        <w:t>‘section 17 of the Children Act provides a back-stop provision which is designed to save the carer and child from homelessness and destitution’</w:t>
      </w:r>
      <w:r w:rsidR="005E5208" w:rsidRPr="009E7E81">
        <w:rPr>
          <w:rFonts w:eastAsia="Times New Roman" w:cs="Times New Roman"/>
        </w:rPr>
        <w:t xml:space="preserve"> (171)</w:t>
      </w:r>
      <w:r w:rsidRPr="009E7E81">
        <w:rPr>
          <w:rFonts w:eastAsia="Times New Roman" w:cs="Times New Roman"/>
        </w:rPr>
        <w:t xml:space="preserve">. </w:t>
      </w:r>
      <w:r w:rsidR="00067038" w:rsidRPr="009E7E81">
        <w:rPr>
          <w:rFonts w:eastAsia="Times New Roman" w:cs="Times New Roman"/>
        </w:rPr>
        <w:t xml:space="preserve">If there </w:t>
      </w:r>
      <w:r w:rsidRPr="009E7E81">
        <w:rPr>
          <w:rFonts w:eastAsia="Times New Roman" w:cs="Times New Roman"/>
        </w:rPr>
        <w:t>is no equal entitlement to normal welfare benefits, or any guarantee of a</w:t>
      </w:r>
      <w:r w:rsidR="008F293B" w:rsidRPr="009E7E81">
        <w:rPr>
          <w:rFonts w:eastAsia="Times New Roman" w:cs="Times New Roman"/>
        </w:rPr>
        <w:t>ny ‘particular quality of life’ (</w:t>
      </w:r>
      <w:r w:rsidR="008F293B" w:rsidRPr="009E7E81">
        <w:rPr>
          <w:lang w:val="en-US"/>
        </w:rPr>
        <w:t xml:space="preserve">see also </w:t>
      </w:r>
      <w:r w:rsidR="008F293B" w:rsidRPr="009E7E81">
        <w:rPr>
          <w:rFonts w:eastAsia="Times New Roman" w:cs="Times New Roman"/>
          <w:i/>
          <w:iCs/>
        </w:rPr>
        <w:t xml:space="preserve">Harrison </w:t>
      </w:r>
      <w:r w:rsidR="00BA1B9D" w:rsidRPr="009E7E81">
        <w:rPr>
          <w:rFonts w:eastAsia="Times New Roman" w:cs="Times New Roman"/>
          <w:iCs/>
        </w:rPr>
        <w:t xml:space="preserve">and </w:t>
      </w:r>
      <w:r w:rsidR="00BA1B9D" w:rsidRPr="009E7E81">
        <w:rPr>
          <w:rFonts w:eastAsia="Times New Roman" w:cs="Times New Roman"/>
          <w:i/>
          <w:iCs/>
        </w:rPr>
        <w:t xml:space="preserve">AB </w:t>
      </w:r>
      <w:r w:rsidR="008F293B" w:rsidRPr="009E7E81">
        <w:rPr>
          <w:rFonts w:eastAsia="Times New Roman" w:cs="Times New Roman"/>
          <w:i/>
          <w:iCs/>
        </w:rPr>
        <w:t>v Secretary of State for the Home Department </w:t>
      </w:r>
      <w:r w:rsidR="008F293B" w:rsidRPr="009E7E81">
        <w:rPr>
          <w:rFonts w:eastAsia="Times New Roman" w:cs="Times New Roman"/>
        </w:rPr>
        <w:t xml:space="preserve">[2013] CMLR 580), </w:t>
      </w:r>
      <w:r w:rsidR="00067038" w:rsidRPr="009E7E81">
        <w:rPr>
          <w:rFonts w:eastAsia="Times New Roman" w:cs="Times New Roman"/>
        </w:rPr>
        <w:t>this</w:t>
      </w:r>
      <w:r w:rsidRPr="009E7E81">
        <w:rPr>
          <w:rFonts w:eastAsia="Times New Roman" w:cs="Times New Roman"/>
        </w:rPr>
        <w:t xml:space="preserve"> seems a rather narrow view of ‘genuinely enjoying’ one’s EU</w:t>
      </w:r>
      <w:r w:rsidR="003E747A">
        <w:rPr>
          <w:rFonts w:eastAsia="Times New Roman" w:cs="Times New Roman"/>
        </w:rPr>
        <w:t xml:space="preserve"> citizenship-</w:t>
      </w:r>
      <w:r w:rsidRPr="009E7E81">
        <w:rPr>
          <w:rFonts w:eastAsia="Times New Roman" w:cs="Times New Roman"/>
        </w:rPr>
        <w:t>based right to reside</w:t>
      </w:r>
      <w:r w:rsidR="00067038" w:rsidRPr="009E7E81">
        <w:rPr>
          <w:rFonts w:eastAsia="Times New Roman" w:cs="Times New Roman"/>
        </w:rPr>
        <w:t xml:space="preserve"> in one’s state of nationality</w:t>
      </w:r>
      <w:r w:rsidRPr="009E7E81">
        <w:rPr>
          <w:rFonts w:eastAsia="Times New Roman" w:cs="Times New Roman"/>
        </w:rPr>
        <w:t>.</w:t>
      </w:r>
    </w:p>
    <w:p w14:paraId="66CE222E" w14:textId="23281BEA" w:rsidR="00E05C53" w:rsidRPr="009E7E81" w:rsidRDefault="00E05C53" w:rsidP="009E7E81">
      <w:pPr>
        <w:spacing w:after="240" w:line="360" w:lineRule="auto"/>
        <w:jc w:val="both"/>
        <w:rPr>
          <w:rFonts w:eastAsia="Times New Roman" w:cs="Times New Roman"/>
        </w:rPr>
      </w:pPr>
      <w:r w:rsidRPr="009E7E81">
        <w:rPr>
          <w:rFonts w:cs="Times New Roman"/>
          <w:lang w:val="en-US"/>
        </w:rPr>
        <w:lastRenderedPageBreak/>
        <w:t>In order to claim the benefits in question, it is necessary to be ‘habitually resident’. Legislative instruments</w:t>
      </w:r>
      <w:r w:rsidR="00067038" w:rsidRPr="009E7E81">
        <w:rPr>
          <w:rStyle w:val="EndnoteReference"/>
          <w:rFonts w:cs="Times New Roman"/>
          <w:lang w:val="en-US"/>
        </w:rPr>
        <w:endnoteReference w:id="1"/>
      </w:r>
      <w:r w:rsidRPr="009E7E81">
        <w:rPr>
          <w:rFonts w:cs="Times New Roman"/>
          <w:lang w:val="en-US"/>
        </w:rPr>
        <w:t xml:space="preserve"> make clear that those reliant upon </w:t>
      </w:r>
      <w:bookmarkStart w:id="1" w:name="para10"/>
      <w:r w:rsidRPr="009E7E81">
        <w:rPr>
          <w:rFonts w:cs="Times New Roman"/>
          <w:lang w:val="en-US"/>
        </w:rPr>
        <w:t xml:space="preserve">regulation </w:t>
      </w:r>
      <w:r w:rsidRPr="009E7E81">
        <w:rPr>
          <w:rFonts w:eastAsia="Times New Roman" w:cs="Times New Roman"/>
        </w:rPr>
        <w:t>15A of the Immigration (European Economic Area) Regulations 2006,</w:t>
      </w:r>
      <w:bookmarkEnd w:id="1"/>
      <w:r w:rsidRPr="009E7E81">
        <w:rPr>
          <w:rFonts w:eastAsia="Times New Roman" w:cs="Times New Roman"/>
        </w:rPr>
        <w:t xml:space="preserve"> i.e. </w:t>
      </w:r>
      <w:r w:rsidRPr="009E7E81">
        <w:rPr>
          <w:rFonts w:cs="Times New Roman"/>
          <w:lang w:val="en-US"/>
        </w:rPr>
        <w:t xml:space="preserve">reliant upon a </w:t>
      </w:r>
      <w:r w:rsidRPr="009E7E81">
        <w:rPr>
          <w:rFonts w:cs="Times New Roman"/>
          <w:i/>
          <w:lang w:val="en-US"/>
        </w:rPr>
        <w:t>Zambrano</w:t>
      </w:r>
      <w:r w:rsidRPr="009E7E81">
        <w:rPr>
          <w:rFonts w:cs="Times New Roman"/>
          <w:lang w:val="en-US"/>
        </w:rPr>
        <w:t xml:space="preserve"> based right to reside, are to be treated as not habitually resident and so excluded from the relevant benefits. The Court of Appeal was asked to decide when </w:t>
      </w:r>
      <w:r w:rsidRPr="009E7E81">
        <w:rPr>
          <w:rFonts w:cs="Times New Roman"/>
          <w:i/>
          <w:lang w:val="en-US"/>
        </w:rPr>
        <w:t>Zambrano</w:t>
      </w:r>
      <w:r w:rsidRPr="009E7E81">
        <w:rPr>
          <w:rFonts w:cs="Times New Roman"/>
          <w:lang w:val="en-US"/>
        </w:rPr>
        <w:t xml:space="preserve"> status arose – whether it was at the point of becoming the primary carer of a British child, or whether it was not until the carer was about to be removed. It was then asked whether the status could confer any entitlement to social assistance benefits. The date issue was important, because the claimants suggested that if the status arose at the point of becoming a primary carer, then they had an EU law based right to reside and equivalent entitlements to equal treatment as EU nationals. The Court of Appeal agreed that the conferring of the status happens on the ‘First D</w:t>
      </w:r>
      <w:r w:rsidR="00067038" w:rsidRPr="009E7E81">
        <w:rPr>
          <w:rFonts w:cs="Times New Roman"/>
          <w:lang w:val="en-US"/>
        </w:rPr>
        <w:t>ate’,</w:t>
      </w:r>
      <w:r w:rsidRPr="009E7E81">
        <w:rPr>
          <w:rFonts w:cs="Times New Roman"/>
          <w:lang w:val="en-US"/>
        </w:rPr>
        <w:t xml:space="preserve"> since to find otherwise would suggest that they were, until subject to removal measures, residing unlawfully, </w:t>
      </w:r>
      <w:r w:rsidR="00B5659B">
        <w:rPr>
          <w:rFonts w:cs="Times New Roman"/>
          <w:lang w:val="en-US"/>
        </w:rPr>
        <w:t xml:space="preserve">whereas </w:t>
      </w:r>
      <w:r w:rsidRPr="009E7E81">
        <w:rPr>
          <w:rFonts w:cs="Times New Roman"/>
          <w:lang w:val="en-US"/>
        </w:rPr>
        <w:t>their right to reside arises to support the British child</w:t>
      </w:r>
      <w:r w:rsidR="00067038" w:rsidRPr="009E7E81">
        <w:rPr>
          <w:rFonts w:cs="Times New Roman"/>
          <w:lang w:val="en-US"/>
        </w:rPr>
        <w:t xml:space="preserve"> (</w:t>
      </w:r>
      <w:r w:rsidR="00067038" w:rsidRPr="009E7E81">
        <w:rPr>
          <w:rFonts w:cs="Times New Roman"/>
          <w:i/>
          <w:lang w:val="en-US"/>
        </w:rPr>
        <w:t xml:space="preserve">Sanneh, </w:t>
      </w:r>
      <w:r w:rsidR="00067038" w:rsidRPr="009E7E81">
        <w:rPr>
          <w:rFonts w:cs="Times New Roman"/>
          <w:lang w:val="en-US"/>
        </w:rPr>
        <w:t xml:space="preserve">para </w:t>
      </w:r>
      <w:r w:rsidR="004B552C" w:rsidRPr="009E7E81">
        <w:rPr>
          <w:rFonts w:cs="Times New Roman"/>
          <w:lang w:val="en-US"/>
        </w:rPr>
        <w:t>74)</w:t>
      </w:r>
      <w:r w:rsidRPr="009E7E81">
        <w:rPr>
          <w:rFonts w:cs="Times New Roman"/>
          <w:lang w:val="en-US"/>
        </w:rPr>
        <w:t>. The court further agreed that the right to reside could be unacceptably hollowed out were the claimants to be reduced to destitution; ‘</w:t>
      </w:r>
      <w:bookmarkStart w:id="2" w:name="para90"/>
      <w:r w:rsidR="004B552C" w:rsidRPr="009E7E81">
        <w:rPr>
          <w:rFonts w:eastAsia="Times New Roman" w:cs="Times New Roman"/>
        </w:rPr>
        <w:t>[d]</w:t>
      </w:r>
      <w:r w:rsidRPr="009E7E81">
        <w:rPr>
          <w:rFonts w:eastAsia="Times New Roman" w:cs="Times New Roman"/>
        </w:rPr>
        <w:t>estitution can be as undermining of the benefits of EU citizenship as being forced out of the EU’</w:t>
      </w:r>
      <w:r w:rsidR="004B552C" w:rsidRPr="009E7E81">
        <w:rPr>
          <w:rFonts w:eastAsia="Times New Roman" w:cs="Times New Roman"/>
        </w:rPr>
        <w:t xml:space="preserve">. </w:t>
      </w:r>
      <w:bookmarkEnd w:id="2"/>
      <w:r w:rsidRPr="009E7E81">
        <w:rPr>
          <w:rFonts w:eastAsia="Times New Roman" w:cs="Times New Roman"/>
        </w:rPr>
        <w:t>The child and carer ‘must not be left without the resources which are essential for th</w:t>
      </w:r>
      <w:r w:rsidR="004B552C" w:rsidRPr="009E7E81">
        <w:rPr>
          <w:rFonts w:eastAsia="Times New Roman" w:cs="Times New Roman"/>
        </w:rPr>
        <w:t>em to live in this jurisdiction</w:t>
      </w:r>
      <w:r w:rsidRPr="009E7E81">
        <w:rPr>
          <w:rFonts w:eastAsia="Times New Roman" w:cs="Times New Roman"/>
        </w:rPr>
        <w:t>’</w:t>
      </w:r>
      <w:r w:rsidR="004B552C" w:rsidRPr="009E7E81">
        <w:rPr>
          <w:rFonts w:eastAsia="Times New Roman" w:cs="Times New Roman"/>
        </w:rPr>
        <w:t xml:space="preserve"> (90). </w:t>
      </w:r>
      <w:r w:rsidRPr="009E7E81">
        <w:rPr>
          <w:rFonts w:eastAsia="Times New Roman" w:cs="Times New Roman"/>
        </w:rPr>
        <w:t xml:space="preserve"> </w:t>
      </w:r>
    </w:p>
    <w:p w14:paraId="4506B369" w14:textId="290A35DF" w:rsidR="00E05C53" w:rsidRPr="009E7E81" w:rsidRDefault="00E05C53" w:rsidP="009E7E81">
      <w:pPr>
        <w:spacing w:after="240" w:line="360" w:lineRule="auto"/>
        <w:jc w:val="both"/>
        <w:rPr>
          <w:rFonts w:eastAsia="Times New Roman" w:cs="Times New Roman"/>
        </w:rPr>
      </w:pPr>
      <w:r w:rsidRPr="009E7E81">
        <w:rPr>
          <w:rFonts w:eastAsia="Times New Roman" w:cs="Times New Roman"/>
        </w:rPr>
        <w:t xml:space="preserve">It was found however, that this did not entail a right to equal treatment with other British nationals, or EU migrants, but a right to the ‘back-stop provision designed to save the carer and child from homelessness and destitution’ </w:t>
      </w:r>
      <w:r w:rsidR="004B552C" w:rsidRPr="009E7E81">
        <w:rPr>
          <w:rFonts w:eastAsia="Times New Roman" w:cs="Times New Roman"/>
        </w:rPr>
        <w:t>(</w:t>
      </w:r>
      <w:r w:rsidR="00324563">
        <w:rPr>
          <w:rFonts w:eastAsia="Times New Roman" w:cs="Times New Roman"/>
        </w:rPr>
        <w:t>E</w:t>
      </w:r>
      <w:r w:rsidR="004B552C" w:rsidRPr="009E7E81">
        <w:rPr>
          <w:rFonts w:eastAsia="Times New Roman" w:cs="Times New Roman"/>
        </w:rPr>
        <w:t xml:space="preserve">lias LJ, 171) </w:t>
      </w:r>
      <w:r w:rsidRPr="009E7E81">
        <w:rPr>
          <w:rFonts w:eastAsia="Times New Roman" w:cs="Times New Roman"/>
        </w:rPr>
        <w:t>provided for by section 17 of the Children Act. The practical reality of section 17 support is rather in contention – and Arden LJ noted that ‘</w:t>
      </w:r>
      <w:bookmarkStart w:id="3" w:name="para94"/>
      <w:r w:rsidRPr="009E7E81">
        <w:rPr>
          <w:rFonts w:eastAsia="Times New Roman" w:cs="Times New Roman"/>
        </w:rPr>
        <w:t>there have been substantial cuts in public funding… [and] there have been a number of first instance decisions on the operation of section 17 in practice</w:t>
      </w:r>
      <w:bookmarkEnd w:id="3"/>
      <w:r w:rsidRPr="009E7E81">
        <w:rPr>
          <w:rFonts w:eastAsia="Times New Roman" w:cs="Times New Roman"/>
        </w:rPr>
        <w:t>’</w:t>
      </w:r>
      <w:r w:rsidR="004B552C" w:rsidRPr="009E7E81">
        <w:rPr>
          <w:rFonts w:eastAsia="Times New Roman" w:cs="Times New Roman"/>
        </w:rPr>
        <w:t xml:space="preserve"> (94).</w:t>
      </w:r>
      <w:r w:rsidRPr="009E7E81">
        <w:rPr>
          <w:rFonts w:eastAsia="Times New Roman" w:cs="Times New Roman"/>
        </w:rPr>
        <w:t xml:space="preserve"> But </w:t>
      </w:r>
      <w:r w:rsidR="004B552C" w:rsidRPr="009E7E81">
        <w:rPr>
          <w:rFonts w:eastAsia="Times New Roman" w:cs="Times New Roman"/>
        </w:rPr>
        <w:t xml:space="preserve">the court was </w:t>
      </w:r>
      <w:r w:rsidRPr="009E7E81">
        <w:rPr>
          <w:rFonts w:eastAsia="Times New Roman" w:cs="Times New Roman"/>
        </w:rPr>
        <w:t xml:space="preserve">unable to enter into that question, </w:t>
      </w:r>
      <w:r w:rsidR="004B552C" w:rsidRPr="009E7E81">
        <w:rPr>
          <w:rFonts w:eastAsia="Times New Roman" w:cs="Times New Roman"/>
        </w:rPr>
        <w:t xml:space="preserve">and </w:t>
      </w:r>
      <w:r w:rsidRPr="009E7E81">
        <w:rPr>
          <w:rFonts w:eastAsia="Times New Roman" w:cs="Times New Roman"/>
        </w:rPr>
        <w:t>found that ‘if section 17 assistance is available, it would… [ensure] that the basic needs of the child and the </w:t>
      </w:r>
      <w:r w:rsidRPr="009E7E81">
        <w:rPr>
          <w:rFonts w:eastAsia="Times New Roman" w:cs="Times New Roman"/>
          <w:i/>
          <w:iCs/>
        </w:rPr>
        <w:t>Zambrano</w:t>
      </w:r>
      <w:r w:rsidRPr="009E7E81">
        <w:rPr>
          <w:rFonts w:eastAsia="Times New Roman" w:cs="Times New Roman"/>
        </w:rPr>
        <w:t xml:space="preserve"> carer are </w:t>
      </w:r>
      <w:r w:rsidR="004B552C" w:rsidRPr="009E7E81">
        <w:rPr>
          <w:rFonts w:eastAsia="Times New Roman" w:cs="Times New Roman"/>
        </w:rPr>
        <w:t>both properly looked after</w:t>
      </w:r>
      <w:r w:rsidRPr="009E7E81">
        <w:rPr>
          <w:rFonts w:eastAsia="Times New Roman" w:cs="Times New Roman"/>
        </w:rPr>
        <w:t>’</w:t>
      </w:r>
      <w:r w:rsidR="004B552C" w:rsidRPr="009E7E81">
        <w:rPr>
          <w:rFonts w:eastAsia="Times New Roman" w:cs="Times New Roman"/>
        </w:rPr>
        <w:t xml:space="preserve"> (94). </w:t>
      </w:r>
      <w:r w:rsidRPr="009E7E81">
        <w:rPr>
          <w:rFonts w:eastAsia="Times New Roman" w:cs="Times New Roman"/>
        </w:rPr>
        <w:t xml:space="preserve">Leaving aside the problem of finding that </w:t>
      </w:r>
      <w:r w:rsidRPr="009E7E81">
        <w:rPr>
          <w:rFonts w:eastAsia="Times New Roman" w:cs="Times New Roman"/>
          <w:i/>
        </w:rPr>
        <w:t>real</w:t>
      </w:r>
      <w:r w:rsidRPr="009E7E81">
        <w:rPr>
          <w:rFonts w:eastAsia="Times New Roman" w:cs="Times New Roman"/>
        </w:rPr>
        <w:t xml:space="preserve"> issues of poverty can be discharged through </w:t>
      </w:r>
      <w:r w:rsidRPr="009E7E81">
        <w:rPr>
          <w:rFonts w:eastAsia="Times New Roman" w:cs="Times New Roman"/>
          <w:i/>
        </w:rPr>
        <w:t>theoretical</w:t>
      </w:r>
      <w:r w:rsidRPr="009E7E81">
        <w:rPr>
          <w:rFonts w:eastAsia="Times New Roman" w:cs="Times New Roman"/>
        </w:rPr>
        <w:t xml:space="preserve"> support,</w:t>
      </w:r>
      <w:r w:rsidR="00AB6214" w:rsidRPr="009E7E81">
        <w:rPr>
          <w:rFonts w:eastAsia="Times New Roman" w:cs="Times New Roman"/>
        </w:rPr>
        <w:t xml:space="preserve"> (see </w:t>
      </w:r>
      <w:r w:rsidR="00B5659B">
        <w:rPr>
          <w:rFonts w:eastAsia="Times New Roman" w:cs="Times New Roman"/>
        </w:rPr>
        <w:t>the</w:t>
      </w:r>
      <w:r w:rsidR="00AB6214" w:rsidRPr="009E7E81">
        <w:rPr>
          <w:rFonts w:eastAsia="Times New Roman" w:cs="Times New Roman"/>
        </w:rPr>
        <w:t xml:space="preserve"> local authority decisions</w:t>
      </w:r>
      <w:r w:rsidR="00B5659B">
        <w:rPr>
          <w:rFonts w:eastAsia="Times New Roman" w:cs="Times New Roman"/>
        </w:rPr>
        <w:t xml:space="preserve"> originally made in </w:t>
      </w:r>
      <w:r w:rsidR="00AB6214" w:rsidRPr="009E7E81">
        <w:rPr>
          <w:rFonts w:eastAsia="Times New Roman" w:cs="Times New Roman"/>
        </w:rPr>
        <w:t xml:space="preserve"> </w:t>
      </w:r>
      <w:r w:rsidR="00AB6214" w:rsidRPr="009E7E81">
        <w:rPr>
          <w:rFonts w:eastAsia="Times New Roman" w:cs="Times New Roman"/>
          <w:i/>
        </w:rPr>
        <w:lastRenderedPageBreak/>
        <w:t>Birmingham City Council v Clue</w:t>
      </w:r>
      <w:r w:rsidR="00AB6214" w:rsidRPr="009E7E81">
        <w:rPr>
          <w:rFonts w:eastAsia="Times New Roman" w:cs="Times New Roman"/>
        </w:rPr>
        <w:t xml:space="preserve"> [2010] EWCA Civ 460, and </w:t>
      </w:r>
      <w:r w:rsidR="00AB6214" w:rsidRPr="009E7E81">
        <w:rPr>
          <w:rFonts w:eastAsia="Times New Roman" w:cs="Times New Roman"/>
          <w:i/>
        </w:rPr>
        <w:t>R (VC) v Newcastle City Council</w:t>
      </w:r>
      <w:r w:rsidR="00AB6214" w:rsidRPr="009E7E81">
        <w:rPr>
          <w:rFonts w:eastAsia="Times New Roman" w:cs="Times New Roman"/>
        </w:rPr>
        <w:t xml:space="preserve"> [2011] EWHC 2673), </w:t>
      </w:r>
      <w:r w:rsidRPr="009E7E81">
        <w:rPr>
          <w:rFonts w:eastAsia="Times New Roman" w:cs="Times New Roman"/>
        </w:rPr>
        <w:t>and accepting the premise, we are still faced with the question of unequal treatment. Even if section 17 support avoid</w:t>
      </w:r>
      <w:r w:rsidR="0066161E" w:rsidRPr="009E7E81">
        <w:rPr>
          <w:rFonts w:eastAsia="Times New Roman" w:cs="Times New Roman"/>
        </w:rPr>
        <w:t>s</w:t>
      </w:r>
      <w:r w:rsidRPr="009E7E81">
        <w:rPr>
          <w:rFonts w:eastAsia="Times New Roman" w:cs="Times New Roman"/>
        </w:rPr>
        <w:t xml:space="preserve"> homelessness and destitution, an EU citizenship</w:t>
      </w:r>
      <w:r w:rsidR="0066161E" w:rsidRPr="009E7E81">
        <w:rPr>
          <w:rFonts w:eastAsia="Times New Roman" w:cs="Times New Roman"/>
        </w:rPr>
        <w:t>-</w:t>
      </w:r>
      <w:r w:rsidRPr="009E7E81">
        <w:rPr>
          <w:rFonts w:eastAsia="Times New Roman" w:cs="Times New Roman"/>
        </w:rPr>
        <w:t>based right to reside should surely mean more than that. We are still talking about acute poverty, and in particular acute child poverty. And more particularly still, acute poverty of British children, who</w:t>
      </w:r>
      <w:r w:rsidR="0066161E" w:rsidRPr="009E7E81">
        <w:rPr>
          <w:rFonts w:eastAsia="Times New Roman" w:cs="Times New Roman"/>
        </w:rPr>
        <w:t xml:space="preserve"> may</w:t>
      </w:r>
      <w:r w:rsidRPr="009E7E81">
        <w:rPr>
          <w:rFonts w:eastAsia="Times New Roman" w:cs="Times New Roman"/>
        </w:rPr>
        <w:t xml:space="preserve"> have no other state in which to claim equal treatment as compared to other children. And it is the right not to be disowned by their state of nationality which arguably makes the </w:t>
      </w:r>
      <w:r w:rsidRPr="009E7E81">
        <w:rPr>
          <w:rFonts w:eastAsia="Times New Roman" w:cs="Times New Roman"/>
          <w:i/>
        </w:rPr>
        <w:t>Zambrano</w:t>
      </w:r>
      <w:r w:rsidRPr="009E7E81">
        <w:rPr>
          <w:rFonts w:eastAsia="Times New Roman" w:cs="Times New Roman"/>
        </w:rPr>
        <w:t xml:space="preserve"> right stronger than </w:t>
      </w:r>
      <w:r w:rsidR="0066161E" w:rsidRPr="009E7E81">
        <w:rPr>
          <w:rFonts w:eastAsia="Times New Roman" w:cs="Times New Roman"/>
        </w:rPr>
        <w:t xml:space="preserve">appears from the </w:t>
      </w:r>
      <w:r w:rsidR="0066161E" w:rsidRPr="009E7E81">
        <w:rPr>
          <w:rFonts w:eastAsia="Times New Roman" w:cs="Times New Roman"/>
          <w:i/>
        </w:rPr>
        <w:t>Sanneh</w:t>
      </w:r>
      <w:r w:rsidR="0066161E" w:rsidRPr="009E7E81">
        <w:rPr>
          <w:rFonts w:eastAsia="Times New Roman" w:cs="Times New Roman"/>
        </w:rPr>
        <w:t xml:space="preserve"> judgment</w:t>
      </w:r>
      <w:r w:rsidRPr="009E7E81">
        <w:rPr>
          <w:rFonts w:eastAsia="Times New Roman" w:cs="Times New Roman"/>
        </w:rPr>
        <w:t xml:space="preserve">.    </w:t>
      </w:r>
    </w:p>
    <w:p w14:paraId="6742F511" w14:textId="43C5D718" w:rsidR="008D3C8C" w:rsidRPr="009E7E81" w:rsidRDefault="00E6576B" w:rsidP="009E7E81">
      <w:pPr>
        <w:spacing w:after="240" w:line="360" w:lineRule="auto"/>
        <w:jc w:val="both"/>
        <w:rPr>
          <w:rFonts w:cs="Times New Roman"/>
          <w:u w:val="single"/>
          <w:lang w:val="en-US"/>
        </w:rPr>
      </w:pPr>
      <w:r w:rsidRPr="009E7E81">
        <w:rPr>
          <w:rFonts w:cs="Times New Roman"/>
          <w:u w:val="single"/>
          <w:lang w:val="en-US"/>
        </w:rPr>
        <w:t xml:space="preserve">What is a </w:t>
      </w:r>
      <w:r w:rsidRPr="009E7E81">
        <w:rPr>
          <w:rFonts w:cs="Times New Roman"/>
          <w:i/>
          <w:u w:val="single"/>
          <w:lang w:val="en-US"/>
        </w:rPr>
        <w:t>Zambrano</w:t>
      </w:r>
      <w:r w:rsidRPr="009E7E81">
        <w:rPr>
          <w:rFonts w:cs="Times New Roman"/>
          <w:u w:val="single"/>
          <w:lang w:val="en-US"/>
        </w:rPr>
        <w:t xml:space="preserve"> right?</w:t>
      </w:r>
    </w:p>
    <w:p w14:paraId="518CDB01" w14:textId="27E433C7" w:rsidR="007376BB" w:rsidRPr="009E7E81" w:rsidRDefault="007376BB" w:rsidP="009E7E81">
      <w:pPr>
        <w:spacing w:after="240" w:line="360" w:lineRule="auto"/>
        <w:jc w:val="both"/>
        <w:rPr>
          <w:rFonts w:cs="Times New Roman"/>
          <w:lang w:val="en-US"/>
        </w:rPr>
      </w:pPr>
      <w:r w:rsidRPr="009E7E81">
        <w:rPr>
          <w:rFonts w:cs="Times New Roman"/>
          <w:lang w:val="en-US"/>
        </w:rPr>
        <w:t xml:space="preserve">The famously laconic </w:t>
      </w:r>
      <w:r w:rsidRPr="009E7E81">
        <w:rPr>
          <w:rFonts w:cs="Times New Roman"/>
          <w:i/>
          <w:lang w:val="en-US"/>
        </w:rPr>
        <w:t>Zambrano</w:t>
      </w:r>
      <w:r w:rsidRPr="009E7E81">
        <w:rPr>
          <w:rFonts w:cs="Times New Roman"/>
          <w:lang w:val="en-US"/>
        </w:rPr>
        <w:t xml:space="preserve"> judgment </w:t>
      </w:r>
      <w:r w:rsidR="00AB6214" w:rsidRPr="009E7E81">
        <w:rPr>
          <w:rFonts w:cs="Times New Roman"/>
          <w:lang w:val="en-US"/>
        </w:rPr>
        <w:t xml:space="preserve">(Nic Shuibhne, 2011) </w:t>
      </w:r>
      <w:r w:rsidRPr="009E7E81">
        <w:rPr>
          <w:rFonts w:cs="Times New Roman"/>
          <w:lang w:val="en-US"/>
        </w:rPr>
        <w:t>was not overly embroidered with detail on the constitutional shift pushed through. The two decisive sentences are:</w:t>
      </w:r>
    </w:p>
    <w:p w14:paraId="02E1FD9A" w14:textId="0A2B139E" w:rsidR="007376BB" w:rsidRPr="009E7E81" w:rsidRDefault="007376BB" w:rsidP="009E7E81">
      <w:pPr>
        <w:spacing w:after="240" w:line="360" w:lineRule="auto"/>
        <w:ind w:left="720"/>
        <w:jc w:val="both"/>
        <w:rPr>
          <w:rFonts w:eastAsia="Times New Roman" w:cs="Times New Roman"/>
          <w:i/>
        </w:rPr>
      </w:pPr>
      <w:r w:rsidRPr="009E7E81">
        <w:rPr>
          <w:rFonts w:eastAsia="Times New Roman" w:cs="Times New Roman"/>
          <w:i/>
        </w:rPr>
        <w:t>‘Article 20 TFEU precludes national measures which have the effect of depriving citizens of the Union of the genuine enjoyment of the substance of the rights conferred by virtue of their status as citizens of the Union</w:t>
      </w:r>
    </w:p>
    <w:p w14:paraId="2848CBAA" w14:textId="66173EB2" w:rsidR="007376BB" w:rsidRPr="009E7E81" w:rsidRDefault="007376BB" w:rsidP="009E7E81">
      <w:pPr>
        <w:spacing w:after="240" w:line="360" w:lineRule="auto"/>
        <w:ind w:left="720"/>
        <w:jc w:val="both"/>
        <w:rPr>
          <w:rFonts w:eastAsia="Times New Roman" w:cs="Times New Roman"/>
        </w:rPr>
      </w:pPr>
      <w:r w:rsidRPr="009E7E81">
        <w:rPr>
          <w:rFonts w:eastAsia="Times New Roman" w:cs="Times New Roman"/>
          <w:i/>
        </w:rPr>
        <w:t>A refusal to grant a right of residence to a third country national with dependent minor children in the Member State where those children are nationals and reside, and also a refusal to grant such a person a work permit, has such an effect.’</w:t>
      </w:r>
    </w:p>
    <w:p w14:paraId="332A8B71" w14:textId="07C17DB0" w:rsidR="00F03376" w:rsidRPr="009E7E81" w:rsidRDefault="0075322C" w:rsidP="009E7E81">
      <w:pPr>
        <w:spacing w:after="240" w:line="360" w:lineRule="auto"/>
        <w:jc w:val="both"/>
        <w:rPr>
          <w:rFonts w:cs="Times New Roman"/>
          <w:lang w:val="en-US"/>
        </w:rPr>
      </w:pPr>
      <w:r w:rsidRPr="009E7E81">
        <w:rPr>
          <w:rFonts w:cs="Times New Roman"/>
          <w:lang w:val="en-US"/>
        </w:rPr>
        <w:t>With these statements, the Court established that EU citizenship is not parasitic upon exercising free movement between Member States, but has some autonomous content – bestowing upon EU national children, who have never travelled between Member States</w:t>
      </w:r>
      <w:r w:rsidR="00B875B6" w:rsidRPr="009E7E81">
        <w:rPr>
          <w:rFonts w:cs="Times New Roman"/>
          <w:lang w:val="en-US"/>
        </w:rPr>
        <w:t>,</w:t>
      </w:r>
      <w:r w:rsidRPr="009E7E81">
        <w:rPr>
          <w:rFonts w:cs="Times New Roman"/>
          <w:lang w:val="en-US"/>
        </w:rPr>
        <w:t xml:space="preserve"> a right to reside in their own home state</w:t>
      </w:r>
      <w:r w:rsidR="00B875B6" w:rsidRPr="009E7E81">
        <w:rPr>
          <w:rFonts w:cs="Times New Roman"/>
          <w:lang w:val="en-US"/>
        </w:rPr>
        <w:t xml:space="preserve">, which extends to their third country national primary carer. Otherwise, the carer would be subject to national immigration laws, and at risk of </w:t>
      </w:r>
      <w:r w:rsidR="003F1222">
        <w:rPr>
          <w:rFonts w:cs="Times New Roman"/>
          <w:lang w:val="en-US"/>
        </w:rPr>
        <w:t>removal</w:t>
      </w:r>
      <w:r w:rsidR="00B875B6" w:rsidRPr="009E7E81">
        <w:rPr>
          <w:rFonts w:cs="Times New Roman"/>
          <w:lang w:val="en-US"/>
        </w:rPr>
        <w:t xml:space="preserve">, which would </w:t>
      </w:r>
      <w:r w:rsidR="00B875B6" w:rsidRPr="00B5659B">
        <w:rPr>
          <w:rFonts w:cs="Times New Roman"/>
          <w:i/>
          <w:lang w:val="en-US"/>
        </w:rPr>
        <w:t>de facto</w:t>
      </w:r>
      <w:r w:rsidR="00B875B6" w:rsidRPr="009E7E81">
        <w:rPr>
          <w:rFonts w:cs="Times New Roman"/>
          <w:lang w:val="en-US"/>
        </w:rPr>
        <w:t xml:space="preserve"> </w:t>
      </w:r>
      <w:r w:rsidR="005A67CB" w:rsidRPr="009E7E81">
        <w:rPr>
          <w:rFonts w:cs="Times New Roman"/>
          <w:lang w:val="en-US"/>
        </w:rPr>
        <w:t>lead to the child having to leave the country – and the Union. Up until this point, Union citizenship required free movement to be exercised in order to be triggered, and had been critiqued as a status for mobile citizens</w:t>
      </w:r>
      <w:r w:rsidR="00671D4F" w:rsidRPr="009E7E81">
        <w:rPr>
          <w:rFonts w:cs="Times New Roman"/>
          <w:lang w:val="en-US"/>
        </w:rPr>
        <w:t xml:space="preserve"> </w:t>
      </w:r>
      <w:r w:rsidR="00671D4F" w:rsidRPr="009E7E81">
        <w:rPr>
          <w:rFonts w:cs="Times New Roman"/>
          <w:lang w:val="en-US"/>
        </w:rPr>
        <w:lastRenderedPageBreak/>
        <w:t>(Currie, 2009)</w:t>
      </w:r>
      <w:r w:rsidR="001623A5" w:rsidRPr="009E7E81">
        <w:rPr>
          <w:rFonts w:cs="Times New Roman"/>
          <w:lang w:val="en-US"/>
        </w:rPr>
        <w:t>.</w:t>
      </w:r>
      <w:r w:rsidR="00F03376" w:rsidRPr="009E7E81">
        <w:rPr>
          <w:rFonts w:cs="Times New Roman"/>
          <w:lang w:val="en-US"/>
        </w:rPr>
        <w:t xml:space="preserve"> This development was rightly recognized as a dramatic one, though early academic expectations were deflated with subsequent CJEU case </w:t>
      </w:r>
      <w:r w:rsidR="00B5659B">
        <w:rPr>
          <w:rFonts w:cs="Times New Roman"/>
          <w:lang w:val="en-US"/>
        </w:rPr>
        <w:t>law.</w:t>
      </w:r>
      <w:r w:rsidR="00F03376" w:rsidRPr="009E7E81">
        <w:rPr>
          <w:rFonts w:cs="Times New Roman"/>
          <w:lang w:val="en-US"/>
        </w:rPr>
        <w:t xml:space="preserve"> </w:t>
      </w:r>
      <w:r w:rsidR="00AB6214" w:rsidRPr="009E7E81">
        <w:rPr>
          <w:rFonts w:cs="Times New Roman"/>
          <w:lang w:val="en-US"/>
        </w:rPr>
        <w:t xml:space="preserve">Case C-434/09 </w:t>
      </w:r>
      <w:r w:rsidR="00AB6214" w:rsidRPr="009E7E81">
        <w:rPr>
          <w:rFonts w:cs="Times New Roman"/>
          <w:i/>
          <w:lang w:val="en-US"/>
        </w:rPr>
        <w:t>McCarthy</w:t>
      </w:r>
      <w:r w:rsidR="00AB6214" w:rsidRPr="009E7E81">
        <w:rPr>
          <w:rFonts w:cs="Times New Roman"/>
          <w:lang w:val="en-US"/>
        </w:rPr>
        <w:t xml:space="preserve"> [2011] ECR I-3375</w:t>
      </w:r>
      <w:r w:rsidR="00B5659B">
        <w:rPr>
          <w:rFonts w:cs="Times New Roman"/>
          <w:lang w:val="en-US"/>
        </w:rPr>
        <w:t xml:space="preserve"> curbed</w:t>
      </w:r>
      <w:r w:rsidR="00F03376" w:rsidRPr="009E7E81">
        <w:rPr>
          <w:rFonts w:cs="Times New Roman"/>
          <w:lang w:val="en-US"/>
        </w:rPr>
        <w:t xml:space="preserve"> the </w:t>
      </w:r>
      <w:r w:rsidR="00F03376" w:rsidRPr="009E7E81">
        <w:rPr>
          <w:rFonts w:cs="Times New Roman"/>
          <w:i/>
          <w:lang w:val="en-US"/>
        </w:rPr>
        <w:t>Zambrano</w:t>
      </w:r>
      <w:r w:rsidR="00F03376" w:rsidRPr="009E7E81">
        <w:rPr>
          <w:rFonts w:cs="Times New Roman"/>
          <w:lang w:val="en-US"/>
        </w:rPr>
        <w:t xml:space="preserve"> right to find that it did not extend to third country national family members of adult Union citizens who had not exercised free movement – even where they had dual nationality,</w:t>
      </w:r>
      <w:r w:rsidR="00671D4F" w:rsidRPr="009E7E81">
        <w:rPr>
          <w:rFonts w:cs="Times New Roman"/>
          <w:lang w:val="en-US"/>
        </w:rPr>
        <w:t xml:space="preserve"> (Reynolds, 2013)</w:t>
      </w:r>
      <w:r w:rsidR="00B5659B">
        <w:rPr>
          <w:rFonts w:cs="Times New Roman"/>
          <w:lang w:val="en-US"/>
        </w:rPr>
        <w:t>.</w:t>
      </w:r>
      <w:r w:rsidR="00F03376" w:rsidRPr="009E7E81">
        <w:rPr>
          <w:rFonts w:cs="Times New Roman"/>
          <w:lang w:val="en-US"/>
        </w:rPr>
        <w:t xml:space="preserve"> </w:t>
      </w:r>
      <w:r w:rsidR="00671D4F" w:rsidRPr="009E7E81">
        <w:rPr>
          <w:rFonts w:cs="Times New Roman"/>
          <w:lang w:val="en-US"/>
        </w:rPr>
        <w:t xml:space="preserve">Case C-256/11 </w:t>
      </w:r>
      <w:r w:rsidR="00671D4F" w:rsidRPr="009E7E81">
        <w:rPr>
          <w:rFonts w:cs="Times New Roman"/>
          <w:i/>
          <w:lang w:val="en-US"/>
        </w:rPr>
        <w:t>Dereci</w:t>
      </w:r>
      <w:r w:rsidR="00671D4F" w:rsidRPr="009E7E81">
        <w:rPr>
          <w:rFonts w:cs="Times New Roman"/>
          <w:lang w:val="en-US"/>
        </w:rPr>
        <w:t xml:space="preserve"> judgment of 15 Nov. 2011</w:t>
      </w:r>
      <w:r w:rsidR="00F03376" w:rsidRPr="009E7E81">
        <w:rPr>
          <w:rFonts w:cs="Times New Roman"/>
          <w:i/>
          <w:lang w:val="en-US"/>
        </w:rPr>
        <w:t xml:space="preserve"> </w:t>
      </w:r>
      <w:r w:rsidR="00B5659B">
        <w:rPr>
          <w:rFonts w:cs="Times New Roman"/>
          <w:lang w:val="en-US"/>
        </w:rPr>
        <w:t>emphasized</w:t>
      </w:r>
      <w:r w:rsidR="00671D4F" w:rsidRPr="009E7E81">
        <w:rPr>
          <w:rFonts w:cs="Times New Roman"/>
          <w:lang w:val="en-US"/>
        </w:rPr>
        <w:t xml:space="preserve"> that ‘</w:t>
      </w:r>
      <w:r w:rsidR="00F03376" w:rsidRPr="009E7E81">
        <w:rPr>
          <w:rFonts w:cs="Times New Roman"/>
          <w:lang w:val="en-US"/>
        </w:rPr>
        <w:t>the mere fact that it might appear desirable to a national of a Member State</w:t>
      </w:r>
      <w:r w:rsidR="00671D4F" w:rsidRPr="009E7E81">
        <w:rPr>
          <w:rFonts w:cs="Times New Roman"/>
          <w:lang w:val="en-US"/>
        </w:rPr>
        <w:t>’</w:t>
      </w:r>
      <w:r w:rsidR="00F03376" w:rsidRPr="009E7E81">
        <w:rPr>
          <w:rFonts w:cs="Times New Roman"/>
          <w:lang w:val="en-US"/>
        </w:rPr>
        <w:t xml:space="preserve"> for their third country national family mem</w:t>
      </w:r>
      <w:r w:rsidR="00671D4F" w:rsidRPr="009E7E81">
        <w:rPr>
          <w:rFonts w:cs="Times New Roman"/>
          <w:lang w:val="en-US"/>
        </w:rPr>
        <w:t>ber to reside in the territory ‘</w:t>
      </w:r>
      <w:r w:rsidR="00F03376" w:rsidRPr="009E7E81">
        <w:rPr>
          <w:rFonts w:cs="Times New Roman"/>
          <w:lang w:val="en-US"/>
        </w:rPr>
        <w:t>for economic reasons or in order to keep his family together in the territory of the Union… is not sufficient in itself to support the view that the Union citizen will be forced to leave Union territory</w:t>
      </w:r>
      <w:r w:rsidR="00671D4F" w:rsidRPr="009E7E81">
        <w:rPr>
          <w:rFonts w:cs="Times New Roman"/>
          <w:lang w:val="en-US"/>
        </w:rPr>
        <w:t xml:space="preserve"> if such a right is not granted’ (68)</w:t>
      </w:r>
      <w:r w:rsidR="00F03376" w:rsidRPr="009E7E81">
        <w:rPr>
          <w:rFonts w:cs="Times New Roman"/>
          <w:lang w:val="en-US"/>
        </w:rPr>
        <w:t xml:space="preserve">. </w:t>
      </w:r>
      <w:r w:rsidR="00F03376" w:rsidRPr="009E7E81">
        <w:rPr>
          <w:rFonts w:cs="Times New Roman"/>
          <w:i/>
          <w:lang w:val="en-US"/>
        </w:rPr>
        <w:t>Zambrano</w:t>
      </w:r>
      <w:r w:rsidR="00F03376" w:rsidRPr="009E7E81">
        <w:rPr>
          <w:rFonts w:cs="Times New Roman"/>
          <w:lang w:val="en-US"/>
        </w:rPr>
        <w:t xml:space="preserve"> has been found to not help a third country national parent seeking to reside in</w:t>
      </w:r>
      <w:r w:rsidR="00324563">
        <w:rPr>
          <w:rFonts w:cs="Times New Roman"/>
          <w:lang w:val="en-US"/>
        </w:rPr>
        <w:t xml:space="preserve"> a</w:t>
      </w:r>
      <w:r w:rsidR="00F03376" w:rsidRPr="009E7E81">
        <w:rPr>
          <w:rFonts w:cs="Times New Roman"/>
          <w:lang w:val="en-US"/>
        </w:rPr>
        <w:t xml:space="preserve"> State different to that of the child’s residence, albeit within the Union, </w:t>
      </w:r>
      <w:r w:rsidR="00671D4F" w:rsidRPr="009E7E81">
        <w:rPr>
          <w:rFonts w:cs="Times New Roman"/>
          <w:lang w:val="en-US"/>
        </w:rPr>
        <w:t xml:space="preserve">(Case C-40/11 </w:t>
      </w:r>
      <w:r w:rsidR="00671D4F" w:rsidRPr="009E7E81">
        <w:rPr>
          <w:rFonts w:cs="Times New Roman"/>
          <w:i/>
          <w:lang w:val="en-US"/>
        </w:rPr>
        <w:t>Iida</w:t>
      </w:r>
      <w:r w:rsidR="00671D4F" w:rsidRPr="009E7E81">
        <w:rPr>
          <w:rFonts w:cs="Times New Roman"/>
          <w:lang w:val="en-US"/>
        </w:rPr>
        <w:t xml:space="preserve"> judgment 8 Nov. 2012) </w:t>
      </w:r>
      <w:r w:rsidR="00F03376" w:rsidRPr="009E7E81">
        <w:rPr>
          <w:rFonts w:cs="Times New Roman"/>
          <w:lang w:val="en-US"/>
        </w:rPr>
        <w:t>nor to help step fathers of EU citizen children without legal, financial or emotional dependence having been established</w:t>
      </w:r>
      <w:r w:rsidR="00BA1B9D" w:rsidRPr="009E7E81">
        <w:rPr>
          <w:rFonts w:cs="Times New Roman"/>
          <w:lang w:val="en-US"/>
        </w:rPr>
        <w:t xml:space="preserve"> (Joined Cases C-356 &amp; 357/11 </w:t>
      </w:r>
      <w:r w:rsidR="00BA1B9D" w:rsidRPr="009E7E81">
        <w:rPr>
          <w:rFonts w:cs="Times New Roman"/>
          <w:i/>
          <w:lang w:val="en-US"/>
        </w:rPr>
        <w:t>O&amp;S and L</w:t>
      </w:r>
      <w:r w:rsidR="00BA1B9D" w:rsidRPr="009E7E81">
        <w:rPr>
          <w:rFonts w:cs="Times New Roman"/>
          <w:lang w:val="en-US"/>
        </w:rPr>
        <w:t xml:space="preserve"> judgment of 6 Dec. 2012)</w:t>
      </w:r>
      <w:r w:rsidR="00F03376" w:rsidRPr="009E7E81">
        <w:rPr>
          <w:rFonts w:cs="Times New Roman"/>
          <w:lang w:val="en-US"/>
        </w:rPr>
        <w:t xml:space="preserve">. It all comes back to assumptions about whether the child would otherwise be forced to leave the EU. The UK courts have adopted restrictive interpretations of this. In </w:t>
      </w:r>
      <w:r w:rsidR="00F03376" w:rsidRPr="009E7E81">
        <w:rPr>
          <w:rFonts w:cs="Times New Roman"/>
          <w:i/>
          <w:lang w:val="en-US"/>
        </w:rPr>
        <w:t>Harrison &amp; AB</w:t>
      </w:r>
      <w:r w:rsidR="00F03376" w:rsidRPr="009E7E81">
        <w:rPr>
          <w:rFonts w:cs="Times New Roman"/>
          <w:lang w:val="en-US"/>
        </w:rPr>
        <w:t xml:space="preserve">, joined cases dealing with recommendations for deportation following criminal convictions, the Court of Appeal found that </w:t>
      </w:r>
      <w:r w:rsidR="00F03376" w:rsidRPr="009E7E81">
        <w:rPr>
          <w:rFonts w:cs="Times New Roman"/>
          <w:i/>
          <w:lang w:val="en-US"/>
        </w:rPr>
        <w:t xml:space="preserve">Zambrano </w:t>
      </w:r>
      <w:r w:rsidR="00F03376" w:rsidRPr="009E7E81">
        <w:rPr>
          <w:rFonts w:cs="Times New Roman"/>
          <w:lang w:val="en-US"/>
        </w:rPr>
        <w:t xml:space="preserve">did not bite where another parent was lawfully present. The child would be able to stay, even if that meant the break up of the family unit – but such break up would not engage EU law. In </w:t>
      </w:r>
      <w:r w:rsidR="00F03376" w:rsidRPr="009E7E81">
        <w:rPr>
          <w:rFonts w:cs="Times New Roman"/>
          <w:i/>
          <w:lang w:val="en-US"/>
        </w:rPr>
        <w:t>AB</w:t>
      </w:r>
      <w:r w:rsidR="00F03376" w:rsidRPr="009E7E81">
        <w:rPr>
          <w:rFonts w:cs="Times New Roman"/>
          <w:lang w:val="en-US"/>
        </w:rPr>
        <w:t>, Elias LJ noted that if the family wished to stay together, they could all move to Morocco, which would be ‘hard’ but there were ‘no insurmount</w:t>
      </w:r>
      <w:r w:rsidR="00BA1B9D" w:rsidRPr="009E7E81">
        <w:rPr>
          <w:rFonts w:cs="Times New Roman"/>
          <w:lang w:val="en-US"/>
        </w:rPr>
        <w:t>able obstacles to them doing so</w:t>
      </w:r>
      <w:r w:rsidR="00F03376" w:rsidRPr="009E7E81">
        <w:rPr>
          <w:rFonts w:cs="Times New Roman"/>
          <w:lang w:val="en-US"/>
        </w:rPr>
        <w:t>’</w:t>
      </w:r>
      <w:r w:rsidR="00BA1B9D" w:rsidRPr="009E7E81">
        <w:rPr>
          <w:rFonts w:cs="Times New Roman"/>
          <w:lang w:val="en-US"/>
        </w:rPr>
        <w:t xml:space="preserve"> (36).</w:t>
      </w:r>
    </w:p>
    <w:p w14:paraId="737B214B" w14:textId="28DEF47C" w:rsidR="00DA6BF5" w:rsidRPr="009E7E81" w:rsidRDefault="00F03376" w:rsidP="009E7E81">
      <w:pPr>
        <w:widowControl w:val="0"/>
        <w:autoSpaceDE w:val="0"/>
        <w:autoSpaceDN w:val="0"/>
        <w:adjustRightInd w:val="0"/>
        <w:spacing w:after="240" w:line="360" w:lineRule="auto"/>
        <w:jc w:val="both"/>
        <w:rPr>
          <w:rFonts w:cs="Times New Roman"/>
          <w:lang w:val="en-US"/>
        </w:rPr>
      </w:pPr>
      <w:r w:rsidRPr="009E7E81">
        <w:rPr>
          <w:rFonts w:cs="Times New Roman"/>
          <w:lang w:val="en-US"/>
        </w:rPr>
        <w:t xml:space="preserve">It is not just the courts in the UK that have so restricted the right; the Home Office guidance is explicit that a </w:t>
      </w:r>
      <w:r w:rsidRPr="009E7E81">
        <w:rPr>
          <w:rFonts w:cs="Times New Roman"/>
          <w:i/>
          <w:lang w:val="en-US"/>
        </w:rPr>
        <w:t>Zambrano</w:t>
      </w:r>
      <w:r w:rsidRPr="009E7E81">
        <w:rPr>
          <w:rFonts w:cs="Times New Roman"/>
          <w:lang w:val="en-US"/>
        </w:rPr>
        <w:t xml:space="preserve"> right cannot be granted where there is another person lawfully resident in the UK who cares for the child.</w:t>
      </w:r>
      <w:r w:rsidR="00B96B1D" w:rsidRPr="009E7E81">
        <w:rPr>
          <w:rFonts w:cs="Times New Roman"/>
          <w:lang w:val="en-US"/>
        </w:rPr>
        <w:t xml:space="preserve"> In spite of changes to the Immigration Rules (</w:t>
      </w:r>
      <w:r w:rsidR="00B96B1D" w:rsidRPr="009E7E81">
        <w:rPr>
          <w:rFonts w:cs="Courier New"/>
        </w:rPr>
        <w:t>28.07.2014 HC 532)</w:t>
      </w:r>
      <w:r w:rsidR="00964BEA">
        <w:rPr>
          <w:rFonts w:cs="Courier New"/>
        </w:rPr>
        <w:t xml:space="preserve"> </w:t>
      </w:r>
      <w:r w:rsidR="00B96B1D" w:rsidRPr="009E7E81">
        <w:rPr>
          <w:rFonts w:cs="Times New Roman"/>
          <w:lang w:val="en-US"/>
        </w:rPr>
        <w:t>removing the requirement that there be no other available carer, the guidance still</w:t>
      </w:r>
      <w:r w:rsidRPr="009E7E81">
        <w:rPr>
          <w:rFonts w:cs="Times New Roman"/>
          <w:lang w:val="en-US"/>
        </w:rPr>
        <w:t xml:space="preserve"> precludes a </w:t>
      </w:r>
      <w:r w:rsidRPr="009E7E81">
        <w:rPr>
          <w:rFonts w:cs="Times New Roman"/>
          <w:i/>
          <w:lang w:val="en-US"/>
        </w:rPr>
        <w:t>Zambrano</w:t>
      </w:r>
      <w:r w:rsidRPr="009E7E81">
        <w:rPr>
          <w:rFonts w:cs="Times New Roman"/>
          <w:lang w:val="en-US"/>
        </w:rPr>
        <w:t xml:space="preserve"> right where there is someone lawfully resident who </w:t>
      </w:r>
      <w:r w:rsidRPr="009E7E81">
        <w:rPr>
          <w:rFonts w:cs="Times New Roman"/>
          <w:i/>
          <w:lang w:val="en-US"/>
        </w:rPr>
        <w:t>could</w:t>
      </w:r>
      <w:r w:rsidRPr="009E7E81">
        <w:rPr>
          <w:rFonts w:cs="Times New Roman"/>
          <w:lang w:val="en-US"/>
        </w:rPr>
        <w:t xml:space="preserve"> care for the child</w:t>
      </w:r>
      <w:r w:rsidR="00B96B1D" w:rsidRPr="009E7E81">
        <w:rPr>
          <w:rFonts w:cs="Times New Roman"/>
          <w:lang w:val="en-US"/>
        </w:rPr>
        <w:t>: ‘</w:t>
      </w:r>
      <w:r w:rsidR="00B96B1D" w:rsidRPr="009E7E81">
        <w:rPr>
          <w:rFonts w:eastAsia="Times New Roman" w:cs="Times New Roman"/>
        </w:rPr>
        <w:t xml:space="preserve">‘You must refuse an application for a derivative residence card if there is </w:t>
      </w:r>
      <w:r w:rsidR="00B96B1D" w:rsidRPr="009E7E81">
        <w:rPr>
          <w:rFonts w:eastAsia="Times New Roman" w:cs="Times New Roman"/>
        </w:rPr>
        <w:lastRenderedPageBreak/>
        <w:t>another person in the UK who can care for the relevant person’ (Home Office, 2015)</w:t>
      </w:r>
      <w:r w:rsidRPr="009E7E81">
        <w:rPr>
          <w:rFonts w:cs="Times New Roman"/>
          <w:lang w:val="en-US"/>
        </w:rPr>
        <w:t>. This creates significant problems – and suggests the State is too ready to transfer primary carer-ship, without regard to t</w:t>
      </w:r>
      <w:r w:rsidR="00B5659B">
        <w:rPr>
          <w:rFonts w:cs="Times New Roman"/>
          <w:lang w:val="en-US"/>
        </w:rPr>
        <w:t>he factual caring relationship. T</w:t>
      </w:r>
      <w:r w:rsidR="00B96B1D" w:rsidRPr="009E7E81">
        <w:rPr>
          <w:rFonts w:cs="Times New Roman"/>
          <w:lang w:val="en-US"/>
        </w:rPr>
        <w:t>o be deemed a suitable carer, the other parent must merely have had some contact in the last 12 months, and demonstrated some (undefined) financial commitment to them at some point. There is scant regard for child welfare; the guidance acknowledges that it would be unsuitable to place the child with someone on the sex offender’s register</w:t>
      </w:r>
      <w:r w:rsidR="00DA6BF5" w:rsidRPr="009E7E81">
        <w:rPr>
          <w:rFonts w:cs="Times New Roman"/>
          <w:lang w:val="en-US"/>
        </w:rPr>
        <w:t>, but offers little beyond that</w:t>
      </w:r>
      <w:r w:rsidR="00B96B1D" w:rsidRPr="009E7E81">
        <w:rPr>
          <w:rFonts w:cs="Times New Roman"/>
          <w:lang w:val="en-US"/>
        </w:rPr>
        <w:t>. It suggest</w:t>
      </w:r>
      <w:r w:rsidR="00DA6BF5" w:rsidRPr="009E7E81">
        <w:rPr>
          <w:rFonts w:cs="Times New Roman"/>
          <w:lang w:val="en-US"/>
        </w:rPr>
        <w:t>s</w:t>
      </w:r>
      <w:r w:rsidR="00B96B1D" w:rsidRPr="009E7E81">
        <w:rPr>
          <w:rFonts w:cs="Times New Roman"/>
          <w:lang w:val="en-US"/>
        </w:rPr>
        <w:t xml:space="preserve"> that a parent who simply does not want to look after the child, or cannot afford to do so will not for tho</w:t>
      </w:r>
      <w:r w:rsidR="00DA6BF5" w:rsidRPr="009E7E81">
        <w:rPr>
          <w:rFonts w:cs="Times New Roman"/>
          <w:lang w:val="en-US"/>
        </w:rPr>
        <w:t>se reasons be deemed unsuitable. And there is no regard at all paid t</w:t>
      </w:r>
      <w:r w:rsidRPr="009E7E81">
        <w:rPr>
          <w:rFonts w:cs="Times New Roman"/>
          <w:lang w:val="en-US"/>
        </w:rPr>
        <w:t>o the child’s wishes</w:t>
      </w:r>
      <w:r w:rsidR="00DA6BF5" w:rsidRPr="009E7E81">
        <w:rPr>
          <w:rFonts w:cs="Times New Roman"/>
          <w:lang w:val="en-US"/>
        </w:rPr>
        <w:t xml:space="preserve"> (Home Office, 2015, 71)</w:t>
      </w:r>
      <w:r w:rsidRPr="009E7E81">
        <w:rPr>
          <w:rFonts w:cs="Times New Roman"/>
          <w:lang w:val="en-US"/>
        </w:rPr>
        <w:t xml:space="preserve">. </w:t>
      </w:r>
    </w:p>
    <w:p w14:paraId="3F4BA8DD" w14:textId="784380F4" w:rsidR="00F03376" w:rsidRPr="009E7E81" w:rsidRDefault="00F03376" w:rsidP="009E7E81">
      <w:pPr>
        <w:widowControl w:val="0"/>
        <w:autoSpaceDE w:val="0"/>
        <w:autoSpaceDN w:val="0"/>
        <w:adjustRightInd w:val="0"/>
        <w:spacing w:after="240" w:line="360" w:lineRule="auto"/>
        <w:jc w:val="both"/>
        <w:rPr>
          <w:rFonts w:cs="Times New Roman"/>
          <w:lang w:val="en-US"/>
        </w:rPr>
      </w:pPr>
      <w:r w:rsidRPr="009E7E81">
        <w:rPr>
          <w:rFonts w:cs="Times New Roman"/>
          <w:lang w:val="en-US"/>
        </w:rPr>
        <w:t xml:space="preserve">So </w:t>
      </w:r>
      <w:r w:rsidR="00DA6BF5" w:rsidRPr="009E7E81">
        <w:rPr>
          <w:rFonts w:cs="Times New Roman"/>
          <w:lang w:val="en-US"/>
        </w:rPr>
        <w:t xml:space="preserve">with primary carer-ship being readily transferred to deny a </w:t>
      </w:r>
      <w:r w:rsidR="00DA6BF5" w:rsidRPr="009E7E81">
        <w:rPr>
          <w:rFonts w:cs="Times New Roman"/>
          <w:i/>
          <w:lang w:val="en-US"/>
        </w:rPr>
        <w:t>Zambrano</w:t>
      </w:r>
      <w:r w:rsidR="00DA6BF5" w:rsidRPr="009E7E81">
        <w:rPr>
          <w:rFonts w:cs="Times New Roman"/>
          <w:lang w:val="en-US"/>
        </w:rPr>
        <w:t xml:space="preserve"> right, </w:t>
      </w:r>
      <w:r w:rsidRPr="009E7E81">
        <w:rPr>
          <w:rFonts w:cs="Times New Roman"/>
          <w:lang w:val="en-US"/>
        </w:rPr>
        <w:t xml:space="preserve">it is something of a feat triggering a </w:t>
      </w:r>
      <w:r w:rsidRPr="009E7E81">
        <w:rPr>
          <w:rFonts w:cs="Times New Roman"/>
          <w:i/>
          <w:lang w:val="en-US"/>
        </w:rPr>
        <w:t xml:space="preserve">Zambrano </w:t>
      </w:r>
      <w:r w:rsidR="00DA6BF5" w:rsidRPr="009E7E81">
        <w:rPr>
          <w:rFonts w:cs="Times New Roman"/>
          <w:lang w:val="en-US"/>
        </w:rPr>
        <w:t xml:space="preserve">right to reside </w:t>
      </w:r>
      <w:r w:rsidRPr="009E7E81">
        <w:rPr>
          <w:rFonts w:cs="Times New Roman"/>
          <w:lang w:val="en-US"/>
        </w:rPr>
        <w:t xml:space="preserve">in the first place. But once it is triggered, the question remains open as to what </w:t>
      </w:r>
      <w:r w:rsidR="00B5659B">
        <w:rPr>
          <w:rFonts w:cs="Times New Roman"/>
          <w:lang w:val="en-US"/>
        </w:rPr>
        <w:t>rights attach to that status.</w:t>
      </w:r>
      <w:r w:rsidRPr="009E7E81">
        <w:rPr>
          <w:rFonts w:cs="Times New Roman"/>
          <w:lang w:val="en-US"/>
        </w:rPr>
        <w:t xml:space="preserve"> The position in UK law, and in </w:t>
      </w:r>
      <w:r w:rsidR="00DA6BF5" w:rsidRPr="009E7E81">
        <w:rPr>
          <w:rFonts w:cs="Times New Roman"/>
          <w:i/>
          <w:lang w:val="en-US"/>
        </w:rPr>
        <w:t>Sanneh</w:t>
      </w:r>
      <w:r w:rsidRPr="009E7E81">
        <w:rPr>
          <w:rFonts w:cs="Times New Roman"/>
          <w:lang w:val="en-US"/>
        </w:rPr>
        <w:t xml:space="preserve">, is that it creates a completely new kind of residence right. Hence UK legislation that was enacted to recognize a </w:t>
      </w:r>
      <w:r w:rsidRPr="009E7E81">
        <w:rPr>
          <w:rFonts w:cs="Times New Roman"/>
          <w:i/>
          <w:lang w:val="en-US"/>
        </w:rPr>
        <w:t>Zambrano</w:t>
      </w:r>
      <w:r w:rsidRPr="009E7E81">
        <w:rPr>
          <w:rFonts w:cs="Times New Roman"/>
          <w:lang w:val="en-US"/>
        </w:rPr>
        <w:t xml:space="preserve"> right</w:t>
      </w:r>
      <w:r w:rsidR="00DA6BF5" w:rsidRPr="009E7E81">
        <w:rPr>
          <w:rStyle w:val="EndnoteReference"/>
          <w:rFonts w:cs="Times New Roman"/>
          <w:lang w:val="en-US"/>
        </w:rPr>
        <w:endnoteReference w:id="2"/>
      </w:r>
      <w:r w:rsidRPr="009E7E81">
        <w:rPr>
          <w:rFonts w:cs="Times New Roman"/>
          <w:lang w:val="en-US"/>
        </w:rPr>
        <w:t xml:space="preserve"> was immediately accompanied with legislation then excluding that right from any welfare entitlements</w:t>
      </w:r>
      <w:r w:rsidR="00DA6BF5" w:rsidRPr="009E7E81">
        <w:rPr>
          <w:rStyle w:val="EndnoteReference"/>
          <w:rFonts w:cs="Times New Roman"/>
          <w:lang w:val="en-US"/>
        </w:rPr>
        <w:endnoteReference w:id="3"/>
      </w:r>
      <w:r w:rsidRPr="009E7E81">
        <w:rPr>
          <w:rFonts w:cs="Times New Roman"/>
          <w:lang w:val="en-US"/>
        </w:rPr>
        <w:t xml:space="preserve"> (other than contributory benefits) that are awarded</w:t>
      </w:r>
      <w:r w:rsidR="00DA6BF5" w:rsidRPr="009E7E81">
        <w:rPr>
          <w:rFonts w:cs="Times New Roman"/>
          <w:lang w:val="en-US"/>
        </w:rPr>
        <w:t xml:space="preserve"> as a result of having an EU citizenship-</w:t>
      </w:r>
      <w:r w:rsidRPr="009E7E81">
        <w:rPr>
          <w:rFonts w:cs="Times New Roman"/>
          <w:lang w:val="en-US"/>
        </w:rPr>
        <w:t>based ‘ri</w:t>
      </w:r>
      <w:r w:rsidR="00324563">
        <w:rPr>
          <w:rFonts w:cs="Times New Roman"/>
          <w:lang w:val="en-US"/>
        </w:rPr>
        <w:t>ght to reside’. The government</w:t>
      </w:r>
      <w:r w:rsidRPr="009E7E81">
        <w:rPr>
          <w:rFonts w:cs="Times New Roman"/>
          <w:lang w:val="en-US"/>
        </w:rPr>
        <w:t xml:space="preserve"> </w:t>
      </w:r>
      <w:r w:rsidR="00122849" w:rsidRPr="009E7E81">
        <w:rPr>
          <w:rFonts w:cs="Times New Roman"/>
          <w:lang w:val="en-US"/>
        </w:rPr>
        <w:t>refers</w:t>
      </w:r>
      <w:r w:rsidRPr="009E7E81">
        <w:rPr>
          <w:rFonts w:cs="Times New Roman"/>
          <w:lang w:val="en-US"/>
        </w:rPr>
        <w:t xml:space="preserve"> to a composite ‘right to reside and work’,</w:t>
      </w:r>
      <w:r w:rsidR="00122849" w:rsidRPr="009E7E81">
        <w:rPr>
          <w:rFonts w:cs="Times New Roman"/>
          <w:lang w:val="en-US"/>
        </w:rPr>
        <w:t xml:space="preserve"> (DWP, 2012)</w:t>
      </w:r>
      <w:r w:rsidRPr="009E7E81">
        <w:rPr>
          <w:rFonts w:cs="Times New Roman"/>
          <w:lang w:val="en-US"/>
        </w:rPr>
        <w:t xml:space="preserve"> possibly by way of attempting to distinguish it from a ‘right to reside,’ the stepping</w:t>
      </w:r>
      <w:r w:rsidR="006A5DCA">
        <w:rPr>
          <w:rFonts w:cs="Times New Roman"/>
          <w:lang w:val="en-US"/>
        </w:rPr>
        <w:t>-</w:t>
      </w:r>
      <w:r w:rsidRPr="009E7E81">
        <w:rPr>
          <w:rFonts w:cs="Times New Roman"/>
          <w:lang w:val="en-US"/>
        </w:rPr>
        <w:t xml:space="preserve">stone to benefit entitlement. But the phrase ‘right to reside and work’ is not used in </w:t>
      </w:r>
      <w:r w:rsidRPr="009E7E81">
        <w:rPr>
          <w:rFonts w:cs="Times New Roman"/>
          <w:i/>
          <w:lang w:val="en-US"/>
        </w:rPr>
        <w:t>Zambrano</w:t>
      </w:r>
      <w:r w:rsidRPr="009E7E81">
        <w:rPr>
          <w:rFonts w:cs="Times New Roman"/>
          <w:lang w:val="en-US"/>
        </w:rPr>
        <w:t>. No phrase is used suggesting that the right of residence created is different, and carries different consequences to, the EU citizenship-based concept of a ‘right of residence’.</w:t>
      </w:r>
      <w:r w:rsidR="006A5DCA">
        <w:rPr>
          <w:rFonts w:cs="Times New Roman"/>
          <w:lang w:val="en-US"/>
        </w:rPr>
        <w:t xml:space="preserve"> Here, it is worth noting that the Court of Appeal </w:t>
      </w:r>
      <w:r w:rsidRPr="009E7E81">
        <w:rPr>
          <w:rFonts w:cs="Times New Roman"/>
          <w:lang w:val="en-US"/>
        </w:rPr>
        <w:t xml:space="preserve">found that </w:t>
      </w:r>
      <w:r w:rsidRPr="009E7E81">
        <w:rPr>
          <w:rFonts w:cs="Times New Roman"/>
          <w:i/>
          <w:lang w:val="en-US"/>
        </w:rPr>
        <w:t>Zambrano</w:t>
      </w:r>
      <w:r w:rsidRPr="009E7E81">
        <w:rPr>
          <w:rFonts w:cs="Times New Roman"/>
          <w:lang w:val="en-US"/>
        </w:rPr>
        <w:t xml:space="preserve"> carers should be equated with third country nationals </w:t>
      </w:r>
      <w:r w:rsidR="00122849" w:rsidRPr="009E7E81">
        <w:rPr>
          <w:rFonts w:cs="Times New Roman"/>
          <w:lang w:val="en-US"/>
        </w:rPr>
        <w:t>without an EU</w:t>
      </w:r>
      <w:r w:rsidR="003E747A">
        <w:rPr>
          <w:rFonts w:cs="Times New Roman"/>
          <w:lang w:val="en-US"/>
        </w:rPr>
        <w:t xml:space="preserve"> citizenship-</w:t>
      </w:r>
      <w:r w:rsidR="00122849" w:rsidRPr="009E7E81">
        <w:rPr>
          <w:rFonts w:cs="Times New Roman"/>
          <w:lang w:val="en-US"/>
        </w:rPr>
        <w:t>based right to reside</w:t>
      </w:r>
      <w:r w:rsidR="006A5DCA">
        <w:rPr>
          <w:rFonts w:cs="Times New Roman"/>
          <w:lang w:val="en-US"/>
        </w:rPr>
        <w:t xml:space="preserve"> </w:t>
      </w:r>
      <w:r w:rsidR="00122849" w:rsidRPr="009E7E81">
        <w:rPr>
          <w:rFonts w:cs="Times New Roman"/>
          <w:lang w:val="en-US"/>
        </w:rPr>
        <w:t>(</w:t>
      </w:r>
      <w:r w:rsidR="00122849" w:rsidRPr="009E7E81">
        <w:rPr>
          <w:rFonts w:cs="Times New Roman"/>
          <w:i/>
          <w:lang w:val="en-US"/>
        </w:rPr>
        <w:t>Sanneh</w:t>
      </w:r>
      <w:r w:rsidR="006A5DCA">
        <w:rPr>
          <w:rFonts w:cs="Times New Roman"/>
          <w:lang w:val="en-US"/>
        </w:rPr>
        <w:t>, 98</w:t>
      </w:r>
      <w:r w:rsidR="00122849" w:rsidRPr="009E7E81">
        <w:rPr>
          <w:rFonts w:eastAsia="Times New Roman" w:cs="Times New Roman"/>
        </w:rPr>
        <w:t>)</w:t>
      </w:r>
      <w:r w:rsidR="006A5DCA">
        <w:rPr>
          <w:rFonts w:eastAsia="Times New Roman" w:cs="Times New Roman"/>
        </w:rPr>
        <w:t>, and pointed out that t</w:t>
      </w:r>
      <w:r w:rsidR="00122849" w:rsidRPr="009E7E81">
        <w:rPr>
          <w:rFonts w:eastAsia="Times New Roman" w:cs="Times New Roman"/>
        </w:rPr>
        <w:t>he Long-Term Residence</w:t>
      </w:r>
      <w:r w:rsidRPr="009E7E81">
        <w:rPr>
          <w:rFonts w:cs="Times New Roman"/>
          <w:lang w:val="en-US"/>
        </w:rPr>
        <w:t xml:space="preserve"> directive</w:t>
      </w:r>
      <w:r w:rsidR="00964BEA">
        <w:rPr>
          <w:rFonts w:cs="Times New Roman"/>
          <w:lang w:val="en-US"/>
        </w:rPr>
        <w:t xml:space="preserve"> (2003/109)</w:t>
      </w:r>
      <w:r w:rsidRPr="009E7E81">
        <w:rPr>
          <w:rFonts w:cs="Times New Roman"/>
          <w:lang w:val="en-US"/>
        </w:rPr>
        <w:t xml:space="preserve"> permits limiting </w:t>
      </w:r>
      <w:r w:rsidR="00122849" w:rsidRPr="009E7E81">
        <w:rPr>
          <w:rFonts w:cs="Times New Roman"/>
          <w:lang w:val="en-US"/>
        </w:rPr>
        <w:t xml:space="preserve">TCN </w:t>
      </w:r>
      <w:r w:rsidRPr="009E7E81">
        <w:rPr>
          <w:rFonts w:cs="Times New Roman"/>
          <w:lang w:val="en-US"/>
        </w:rPr>
        <w:t xml:space="preserve">access to social assistance to core benefits. But this sidesteps the key point – that the </w:t>
      </w:r>
      <w:r w:rsidRPr="009E7E81">
        <w:rPr>
          <w:rFonts w:cs="Times New Roman"/>
          <w:i/>
          <w:lang w:val="en-US"/>
        </w:rPr>
        <w:t>Zambrano</w:t>
      </w:r>
      <w:r w:rsidRPr="009E7E81">
        <w:rPr>
          <w:rFonts w:cs="Times New Roman"/>
          <w:lang w:val="en-US"/>
        </w:rPr>
        <w:t xml:space="preserve"> right is an EU citizenship-based right, and so they, and their EU national children, are more appropriately dealt with by reference to the citizenship residence directive – 2004/38.</w:t>
      </w:r>
    </w:p>
    <w:p w14:paraId="42995C37" w14:textId="61BA961B" w:rsidR="00F03376" w:rsidRPr="009E7E81" w:rsidRDefault="006A5DCA" w:rsidP="009E7E81">
      <w:pPr>
        <w:widowControl w:val="0"/>
        <w:autoSpaceDE w:val="0"/>
        <w:autoSpaceDN w:val="0"/>
        <w:adjustRightInd w:val="0"/>
        <w:spacing w:after="240" w:line="360" w:lineRule="auto"/>
        <w:jc w:val="both"/>
        <w:rPr>
          <w:rFonts w:cs="Times New Roman"/>
          <w:lang w:val="en-US"/>
        </w:rPr>
      </w:pPr>
      <w:r>
        <w:rPr>
          <w:rFonts w:cs="Times New Roman"/>
          <w:lang w:val="en-US"/>
        </w:rPr>
        <w:lastRenderedPageBreak/>
        <w:t xml:space="preserve">And once a </w:t>
      </w:r>
      <w:r w:rsidR="00F03376" w:rsidRPr="009E7E81">
        <w:rPr>
          <w:rFonts w:cs="Times New Roman"/>
          <w:lang w:val="en-US"/>
        </w:rPr>
        <w:t>right of residence is recognized</w:t>
      </w:r>
      <w:r>
        <w:rPr>
          <w:rFonts w:cs="Times New Roman"/>
          <w:lang w:val="en-US"/>
        </w:rPr>
        <w:t xml:space="preserve"> for an EU citizen</w:t>
      </w:r>
      <w:r w:rsidR="00F03376" w:rsidRPr="009E7E81">
        <w:rPr>
          <w:rFonts w:cs="Times New Roman"/>
          <w:lang w:val="en-US"/>
        </w:rPr>
        <w:t xml:space="preserve">, it is well-established case law – thanks to </w:t>
      </w:r>
      <w:r w:rsidR="00122849" w:rsidRPr="009E7E81">
        <w:rPr>
          <w:rFonts w:cs="Times New Roman"/>
          <w:lang w:val="en-US"/>
        </w:rPr>
        <w:t xml:space="preserve">Case C-85/96 </w:t>
      </w:r>
      <w:r w:rsidR="00F03376" w:rsidRPr="009E7E81">
        <w:rPr>
          <w:rFonts w:cs="Times New Roman"/>
          <w:i/>
          <w:lang w:val="en-US"/>
        </w:rPr>
        <w:t>Martinez Sala</w:t>
      </w:r>
      <w:r w:rsidR="00122849" w:rsidRPr="009E7E81">
        <w:rPr>
          <w:rFonts w:cs="Times New Roman"/>
          <w:i/>
          <w:lang w:val="en-US"/>
        </w:rPr>
        <w:t xml:space="preserve"> </w:t>
      </w:r>
      <w:r w:rsidR="00122849" w:rsidRPr="009E7E81">
        <w:rPr>
          <w:rFonts w:cs="Times New Roman"/>
          <w:lang w:val="en-US"/>
        </w:rPr>
        <w:t>[1998] ECR I-02691</w:t>
      </w:r>
      <w:r w:rsidR="00122849" w:rsidRPr="009E7E81">
        <w:rPr>
          <w:rFonts w:cs="Times New Roman"/>
          <w:i/>
          <w:lang w:val="en-US"/>
        </w:rPr>
        <w:t xml:space="preserve"> </w:t>
      </w:r>
      <w:r w:rsidR="00122849" w:rsidRPr="009E7E81">
        <w:rPr>
          <w:rFonts w:cs="Times New Roman"/>
          <w:lang w:val="en-US"/>
        </w:rPr>
        <w:t>(4),</w:t>
      </w:r>
      <w:r w:rsidR="00F03376" w:rsidRPr="009E7E81">
        <w:rPr>
          <w:rFonts w:cs="Times New Roman"/>
          <w:lang w:val="en-US"/>
        </w:rPr>
        <w:t xml:space="preserve"> </w:t>
      </w:r>
      <w:r w:rsidR="00122849" w:rsidRPr="009E7E81">
        <w:rPr>
          <w:rFonts w:cs="Times New Roman"/>
          <w:lang w:val="en-US"/>
        </w:rPr>
        <w:t xml:space="preserve">Case C-456/02 </w:t>
      </w:r>
      <w:r w:rsidR="00122849" w:rsidRPr="009E7E81">
        <w:rPr>
          <w:rFonts w:cs="Times New Roman"/>
          <w:i/>
          <w:lang w:val="en-US"/>
        </w:rPr>
        <w:t>Trojani</w:t>
      </w:r>
      <w:r w:rsidR="00122849" w:rsidRPr="009E7E81">
        <w:rPr>
          <w:rFonts w:cs="Times New Roman"/>
          <w:lang w:val="en-US"/>
        </w:rPr>
        <w:t xml:space="preserve"> [2004] ECR I-7573 (40, 44)</w:t>
      </w:r>
      <w:r w:rsidR="00F03376" w:rsidRPr="009E7E81">
        <w:rPr>
          <w:rFonts w:cs="Times New Roman"/>
          <w:lang w:val="en-US"/>
        </w:rPr>
        <w:t xml:space="preserve"> and </w:t>
      </w:r>
      <w:r w:rsidR="00122849" w:rsidRPr="009E7E81">
        <w:rPr>
          <w:rFonts w:cs="Times New Roman"/>
          <w:lang w:val="en-US"/>
        </w:rPr>
        <w:t xml:space="preserve">Case C-184/99 </w:t>
      </w:r>
      <w:r w:rsidR="00122849" w:rsidRPr="009E7E81">
        <w:rPr>
          <w:rFonts w:cs="Times New Roman"/>
          <w:i/>
          <w:lang w:val="en-US"/>
        </w:rPr>
        <w:t>Grzelczyk</w:t>
      </w:r>
      <w:r w:rsidR="00122849" w:rsidRPr="009E7E81">
        <w:rPr>
          <w:rFonts w:cs="Times New Roman"/>
          <w:lang w:val="en-US"/>
        </w:rPr>
        <w:t xml:space="preserve"> [2001] ECR I-6193</w:t>
      </w:r>
      <w:r w:rsidR="00F03376" w:rsidRPr="009E7E81">
        <w:rPr>
          <w:rFonts w:cs="Times New Roman"/>
          <w:lang w:val="en-US"/>
        </w:rPr>
        <w:t xml:space="preserve"> </w:t>
      </w:r>
      <w:r w:rsidR="00122849" w:rsidRPr="009E7E81">
        <w:rPr>
          <w:rFonts w:cs="Times New Roman"/>
          <w:lang w:val="en-US"/>
        </w:rPr>
        <w:t xml:space="preserve">(30) </w:t>
      </w:r>
      <w:r w:rsidR="00F03376" w:rsidRPr="009E7E81">
        <w:rPr>
          <w:rFonts w:cs="Times New Roman"/>
          <w:lang w:val="en-US"/>
        </w:rPr>
        <w:t>- that an equal trea</w:t>
      </w:r>
      <w:r>
        <w:rPr>
          <w:rFonts w:cs="Times New Roman"/>
          <w:lang w:val="en-US"/>
        </w:rPr>
        <w:t>tment obligation is engaged. Usually a</w:t>
      </w:r>
      <w:r w:rsidR="00F03376" w:rsidRPr="009E7E81">
        <w:rPr>
          <w:rFonts w:cs="Times New Roman"/>
          <w:lang w:val="en-US"/>
        </w:rPr>
        <w:t xml:space="preserve"> benefit claimant’s reli</w:t>
      </w:r>
      <w:r>
        <w:rPr>
          <w:rFonts w:cs="Times New Roman"/>
          <w:lang w:val="en-US"/>
        </w:rPr>
        <w:t xml:space="preserve">ance upon equal treatment will </w:t>
      </w:r>
      <w:r w:rsidR="00F03376" w:rsidRPr="009E7E81">
        <w:rPr>
          <w:rFonts w:cs="Times New Roman"/>
          <w:lang w:val="en-US"/>
        </w:rPr>
        <w:t xml:space="preserve">be subject to limitations and conditions – see </w:t>
      </w:r>
      <w:r w:rsidR="00122849" w:rsidRPr="009E7E81">
        <w:rPr>
          <w:rFonts w:cs="Times New Roman"/>
          <w:lang w:val="en-US"/>
        </w:rPr>
        <w:t xml:space="preserve">Case C-140/12 </w:t>
      </w:r>
      <w:r w:rsidR="00122849" w:rsidRPr="009E7E81">
        <w:rPr>
          <w:rFonts w:cs="Times New Roman"/>
          <w:i/>
          <w:lang w:val="en-US"/>
        </w:rPr>
        <w:t xml:space="preserve">Brey </w:t>
      </w:r>
      <w:r w:rsidR="00122849" w:rsidRPr="009E7E81">
        <w:rPr>
          <w:rFonts w:cs="Times New Roman"/>
          <w:lang w:val="en-US"/>
        </w:rPr>
        <w:t>judgment 19 September 2013 (46); Case C-333/13</w:t>
      </w:r>
      <w:r w:rsidR="00F03376" w:rsidRPr="009E7E81">
        <w:rPr>
          <w:rFonts w:cs="Times New Roman"/>
          <w:i/>
          <w:lang w:val="en-US"/>
        </w:rPr>
        <w:t xml:space="preserve"> Dano</w:t>
      </w:r>
      <w:r w:rsidR="00122849" w:rsidRPr="009E7E81">
        <w:rPr>
          <w:rFonts w:cs="Times New Roman"/>
          <w:lang w:val="en-US"/>
        </w:rPr>
        <w:t xml:space="preserve"> judgment 11 November 2014 (60)</w:t>
      </w:r>
      <w:r w:rsidR="00F03376" w:rsidRPr="009E7E81">
        <w:rPr>
          <w:rFonts w:cs="Times New Roman"/>
          <w:i/>
          <w:lang w:val="en-US"/>
        </w:rPr>
        <w:t>,</w:t>
      </w:r>
      <w:r w:rsidR="00122849" w:rsidRPr="009E7E81">
        <w:rPr>
          <w:rFonts w:cs="Times New Roman"/>
          <w:lang w:val="en-US"/>
        </w:rPr>
        <w:t xml:space="preserve"> Case C-67/14</w:t>
      </w:r>
      <w:r w:rsidR="00F03376" w:rsidRPr="009E7E81">
        <w:rPr>
          <w:rFonts w:cs="Times New Roman"/>
          <w:i/>
          <w:lang w:val="en-US"/>
        </w:rPr>
        <w:t xml:space="preserve"> Alimanovic</w:t>
      </w:r>
      <w:r w:rsidR="00F03376" w:rsidRPr="009E7E81">
        <w:rPr>
          <w:rFonts w:cs="Times New Roman"/>
          <w:lang w:val="en-US"/>
        </w:rPr>
        <w:t xml:space="preserve"> </w:t>
      </w:r>
      <w:r w:rsidR="00122849" w:rsidRPr="009E7E81">
        <w:rPr>
          <w:rFonts w:cs="Times New Roman"/>
          <w:lang w:val="en-US"/>
        </w:rPr>
        <w:t xml:space="preserve">judgment 15 September 2015 </w:t>
      </w:r>
      <w:r w:rsidR="001C7033" w:rsidRPr="009E7E81">
        <w:rPr>
          <w:rFonts w:cs="Times New Roman"/>
          <w:lang w:val="en-US"/>
        </w:rPr>
        <w:t xml:space="preserve">(57) </w:t>
      </w:r>
      <w:r w:rsidR="00F03376" w:rsidRPr="009E7E81">
        <w:rPr>
          <w:rFonts w:cs="Times New Roman"/>
          <w:lang w:val="en-US"/>
        </w:rPr>
        <w:t xml:space="preserve">and </w:t>
      </w:r>
      <w:r w:rsidR="001C7033" w:rsidRPr="009E7E81">
        <w:rPr>
          <w:rFonts w:cs="Times New Roman"/>
          <w:lang w:val="en-US"/>
        </w:rPr>
        <w:t xml:space="preserve">Case C-299/14 </w:t>
      </w:r>
      <w:r w:rsidR="00F03376" w:rsidRPr="009E7E81">
        <w:rPr>
          <w:rFonts w:cs="Times New Roman"/>
          <w:i/>
          <w:lang w:val="en-US"/>
        </w:rPr>
        <w:t>Garcia Nieto</w:t>
      </w:r>
      <w:r w:rsidR="001C7033" w:rsidRPr="009E7E81">
        <w:rPr>
          <w:rFonts w:cs="Times New Roman"/>
          <w:lang w:val="en-US"/>
        </w:rPr>
        <w:t xml:space="preserve"> judgment 25 February 2016 (38)</w:t>
      </w:r>
      <w:r w:rsidR="00F03376" w:rsidRPr="009E7E81">
        <w:rPr>
          <w:rFonts w:cs="Times New Roman"/>
          <w:i/>
          <w:lang w:val="en-US"/>
        </w:rPr>
        <w:t xml:space="preserve">. </w:t>
      </w:r>
      <w:r w:rsidR="00F03376" w:rsidRPr="009E7E81">
        <w:rPr>
          <w:rFonts w:cs="Times New Roman"/>
          <w:lang w:val="en-US"/>
        </w:rPr>
        <w:t xml:space="preserve">At which point it might be considered justified to restrict benefits to those who are, or have been economically active, for instance. But the approach taken to </w:t>
      </w:r>
      <w:r w:rsidR="00F03376" w:rsidRPr="009E7E81">
        <w:rPr>
          <w:rFonts w:cs="Times New Roman"/>
          <w:i/>
          <w:lang w:val="en-US"/>
        </w:rPr>
        <w:t>Zambrano</w:t>
      </w:r>
      <w:r w:rsidR="00F03376" w:rsidRPr="009E7E81">
        <w:rPr>
          <w:rFonts w:cs="Times New Roman"/>
          <w:lang w:val="en-US"/>
        </w:rPr>
        <w:t xml:space="preserve"> allows for no such assessment, and no equal treatment under any circumstances, no matter how much work a person has done and is doing. This departs significantly from any established CJE</w:t>
      </w:r>
      <w:r w:rsidR="003E747A">
        <w:rPr>
          <w:rFonts w:cs="Times New Roman"/>
          <w:lang w:val="en-US"/>
        </w:rPr>
        <w:t xml:space="preserve">U treatment of those with an EU </w:t>
      </w:r>
      <w:r w:rsidR="00F03376" w:rsidRPr="009E7E81">
        <w:rPr>
          <w:rFonts w:cs="Times New Roman"/>
          <w:lang w:val="en-US"/>
        </w:rPr>
        <w:t xml:space="preserve">law based residence right.  </w:t>
      </w:r>
    </w:p>
    <w:p w14:paraId="6773D9C4" w14:textId="37BCE593" w:rsidR="00F03376" w:rsidRPr="009E7E81" w:rsidRDefault="00F03376" w:rsidP="009E7E81">
      <w:pPr>
        <w:spacing w:after="240" w:line="360" w:lineRule="auto"/>
        <w:jc w:val="both"/>
        <w:rPr>
          <w:rFonts w:cs="Times New Roman"/>
          <w:lang w:val="en-US"/>
        </w:rPr>
      </w:pPr>
      <w:r w:rsidRPr="009E7E81">
        <w:rPr>
          <w:rFonts w:cs="Times New Roman"/>
          <w:lang w:val="en-US"/>
        </w:rPr>
        <w:t xml:space="preserve">Much has been made in </w:t>
      </w:r>
      <w:r w:rsidRPr="009E7E81">
        <w:rPr>
          <w:rFonts w:cs="Times New Roman"/>
          <w:i/>
          <w:lang w:val="en-US"/>
        </w:rPr>
        <w:t xml:space="preserve">Sanneh/HC </w:t>
      </w:r>
      <w:r w:rsidRPr="009E7E81">
        <w:rPr>
          <w:rFonts w:cs="Times New Roman"/>
          <w:lang w:val="en-US"/>
        </w:rPr>
        <w:t>of the ‘derivative’ nature of the right serving to single it out and strip it of equal treatment entitlements</w:t>
      </w:r>
      <w:r w:rsidR="001C7033" w:rsidRPr="009E7E81">
        <w:rPr>
          <w:rFonts w:cs="Times New Roman"/>
          <w:lang w:val="en-US"/>
        </w:rPr>
        <w:t xml:space="preserve"> (26, 95)</w:t>
      </w:r>
      <w:r w:rsidRPr="009E7E81">
        <w:rPr>
          <w:rFonts w:cs="Times New Roman"/>
          <w:lang w:val="en-US"/>
        </w:rPr>
        <w:t xml:space="preserve">. The phrase used by the CJEU is ‘derived right of residence’. This alone is not sufficient explanation. The </w:t>
      </w:r>
      <w:r w:rsidRPr="009E7E81">
        <w:rPr>
          <w:rFonts w:cs="Times New Roman"/>
          <w:i/>
          <w:lang w:val="en-US"/>
        </w:rPr>
        <w:t>Teixeira/Ibrahim</w:t>
      </w:r>
      <w:r w:rsidRPr="009E7E81">
        <w:rPr>
          <w:rFonts w:cs="Times New Roman"/>
          <w:lang w:val="en-US"/>
        </w:rPr>
        <w:t xml:space="preserve"> right to reside for a primary carer is doubly derivative – the right to reside for the child of a former migrant worker is itself a derivative right, derived from the former right of the former migrant worker; the primary carer’s right is then derived from the child’s derivative right. The </w:t>
      </w:r>
      <w:r w:rsidRPr="009E7E81">
        <w:rPr>
          <w:rFonts w:cs="Times New Roman"/>
          <w:i/>
          <w:lang w:val="en-US"/>
        </w:rPr>
        <w:t>Teixeira/Ibrahim</w:t>
      </w:r>
      <w:r w:rsidRPr="009E7E81">
        <w:rPr>
          <w:rFonts w:cs="Times New Roman"/>
          <w:lang w:val="en-US"/>
        </w:rPr>
        <w:t xml:space="preserve"> right is specifically and repeatedly (seven times) referred to as a ‘derived right of residence’ in </w:t>
      </w:r>
      <w:r w:rsidR="001C7033" w:rsidRPr="009E7E81">
        <w:rPr>
          <w:rFonts w:cs="Times New Roman"/>
          <w:lang w:val="en-US"/>
        </w:rPr>
        <w:t xml:space="preserve">Case C-529/11 </w:t>
      </w:r>
      <w:r w:rsidRPr="009E7E81">
        <w:rPr>
          <w:rFonts w:cs="Times New Roman"/>
          <w:i/>
          <w:lang w:val="en-US"/>
        </w:rPr>
        <w:t>Alarape &amp; Tijani</w:t>
      </w:r>
      <w:r w:rsidR="001C7033" w:rsidRPr="009E7E81">
        <w:rPr>
          <w:rFonts w:cs="Times New Roman"/>
          <w:i/>
          <w:lang w:val="en-US"/>
        </w:rPr>
        <w:t xml:space="preserve"> </w:t>
      </w:r>
      <w:r w:rsidR="001C7033" w:rsidRPr="009E7E81">
        <w:rPr>
          <w:rFonts w:cs="Times New Roman"/>
          <w:lang w:val="en-US"/>
        </w:rPr>
        <w:t>judgment 8 May 2013 (22, 23, 26, 28, 29, 31, 49)</w:t>
      </w:r>
      <w:r w:rsidRPr="009E7E81">
        <w:rPr>
          <w:rFonts w:cs="Times New Roman"/>
          <w:lang w:val="en-US"/>
        </w:rPr>
        <w:t>. And yet it entails rather more favourable entitlement to equal treatment with home state nationals than does a standard EU right to reside, since it is not conditional upon current economic activity or sufficient resources. Moreover, the Court has used the term ‘derived right of residence’ when referring to the rights of fami</w:t>
      </w:r>
      <w:r w:rsidR="00904A6E" w:rsidRPr="009E7E81">
        <w:rPr>
          <w:rFonts w:cs="Times New Roman"/>
          <w:lang w:val="en-US"/>
        </w:rPr>
        <w:t xml:space="preserve">ly members of migrant workers: </w:t>
      </w:r>
      <w:r w:rsidR="001C7033" w:rsidRPr="009E7E81">
        <w:rPr>
          <w:rFonts w:cs="Times New Roman"/>
          <w:lang w:val="en-US"/>
        </w:rPr>
        <w:t xml:space="preserve">Case C-244/13 </w:t>
      </w:r>
      <w:r w:rsidRPr="009E7E81">
        <w:rPr>
          <w:rFonts w:cs="Times New Roman"/>
          <w:i/>
          <w:lang w:val="en-US"/>
        </w:rPr>
        <w:t>Ogieriakhi</w:t>
      </w:r>
      <w:r w:rsidR="001C7033" w:rsidRPr="009E7E81">
        <w:rPr>
          <w:rFonts w:cs="Times New Roman"/>
          <w:i/>
          <w:lang w:val="en-US"/>
        </w:rPr>
        <w:t xml:space="preserve"> </w:t>
      </w:r>
      <w:r w:rsidR="001C7033" w:rsidRPr="009E7E81">
        <w:rPr>
          <w:rFonts w:cs="Times New Roman"/>
          <w:lang w:val="en-US"/>
        </w:rPr>
        <w:t>judgment 10 July 2014</w:t>
      </w:r>
      <w:r w:rsidRPr="009E7E81">
        <w:rPr>
          <w:rFonts w:cs="Times New Roman"/>
          <w:lang w:val="en-US"/>
        </w:rPr>
        <w:t xml:space="preserve"> </w:t>
      </w:r>
      <w:r w:rsidR="001C7033" w:rsidRPr="009E7E81">
        <w:rPr>
          <w:rFonts w:cs="Times New Roman"/>
          <w:lang w:val="en-US"/>
        </w:rPr>
        <w:t>(</w:t>
      </w:r>
      <w:r w:rsidRPr="009E7E81">
        <w:rPr>
          <w:rFonts w:cs="Times New Roman"/>
          <w:lang w:val="en-US"/>
        </w:rPr>
        <w:t>37</w:t>
      </w:r>
      <w:r w:rsidR="001C7033" w:rsidRPr="009E7E81">
        <w:rPr>
          <w:rFonts w:cs="Times New Roman"/>
          <w:lang w:val="en-US"/>
        </w:rPr>
        <w:t>)</w:t>
      </w:r>
      <w:r w:rsidRPr="009E7E81">
        <w:rPr>
          <w:rFonts w:cs="Times New Roman"/>
          <w:lang w:val="en-US"/>
        </w:rPr>
        <w:t xml:space="preserve">; </w:t>
      </w:r>
      <w:r w:rsidR="001C7033" w:rsidRPr="009E7E81">
        <w:rPr>
          <w:rFonts w:cs="Times New Roman"/>
          <w:lang w:val="en-US"/>
        </w:rPr>
        <w:t>Case C-457</w:t>
      </w:r>
      <w:r w:rsidRPr="009E7E81">
        <w:rPr>
          <w:rFonts w:eastAsia="Times New Roman" w:cs="Lucida Grande"/>
          <w:bCs/>
          <w:bdr w:val="none" w:sz="0" w:space="0" w:color="auto" w:frame="1"/>
          <w:shd w:val="clear" w:color="auto" w:fill="FFFFFF"/>
        </w:rPr>
        <w:t>/12</w:t>
      </w:r>
      <w:r w:rsidR="001C7033" w:rsidRPr="009E7E81">
        <w:rPr>
          <w:rFonts w:eastAsia="Times New Roman" w:cs="Lucida Grande"/>
          <w:bCs/>
          <w:bdr w:val="none" w:sz="0" w:space="0" w:color="auto" w:frame="1"/>
          <w:shd w:val="clear" w:color="auto" w:fill="FFFFFF"/>
        </w:rPr>
        <w:t xml:space="preserve"> </w:t>
      </w:r>
      <w:r w:rsidR="001C7033" w:rsidRPr="009E7E81">
        <w:rPr>
          <w:rFonts w:eastAsia="Times New Roman" w:cs="Lucida Grande"/>
          <w:bCs/>
          <w:i/>
          <w:bdr w:val="none" w:sz="0" w:space="0" w:color="auto" w:frame="1"/>
          <w:shd w:val="clear" w:color="auto" w:fill="FFFFFF"/>
        </w:rPr>
        <w:t xml:space="preserve">S </w:t>
      </w:r>
      <w:r w:rsidR="001C7033" w:rsidRPr="009E7E81">
        <w:rPr>
          <w:rFonts w:eastAsia="Times New Roman" w:cs="Lucida Grande"/>
          <w:bCs/>
          <w:bdr w:val="none" w:sz="0" w:space="0" w:color="auto" w:frame="1"/>
          <w:shd w:val="clear" w:color="auto" w:fill="FFFFFF"/>
        </w:rPr>
        <w:t>judgment 12 March 2014 (33)</w:t>
      </w:r>
      <w:r w:rsidRPr="009E7E81">
        <w:rPr>
          <w:rFonts w:eastAsia="Times New Roman" w:cs="Lucida Grande"/>
          <w:bCs/>
          <w:bdr w:val="none" w:sz="0" w:space="0" w:color="auto" w:frame="1"/>
          <w:shd w:val="clear" w:color="auto" w:fill="FFFFFF"/>
        </w:rPr>
        <w:t xml:space="preserve">; </w:t>
      </w:r>
      <w:r w:rsidR="001C7033" w:rsidRPr="009E7E81">
        <w:rPr>
          <w:rFonts w:eastAsia="Times New Roman" w:cs="Lucida Grande"/>
          <w:bCs/>
          <w:bdr w:val="none" w:sz="0" w:space="0" w:color="auto" w:frame="1"/>
          <w:shd w:val="clear" w:color="auto" w:fill="FFFFFF"/>
        </w:rPr>
        <w:t xml:space="preserve">Case C-456/12 </w:t>
      </w:r>
      <w:r w:rsidRPr="009E7E81">
        <w:rPr>
          <w:rFonts w:eastAsia="Times New Roman" w:cs="Lucida Grande"/>
          <w:bCs/>
          <w:i/>
          <w:bdr w:val="none" w:sz="0" w:space="0" w:color="auto" w:frame="1"/>
          <w:shd w:val="clear" w:color="auto" w:fill="FFFFFF"/>
        </w:rPr>
        <w:t>O</w:t>
      </w:r>
      <w:r w:rsidRPr="009E7E81">
        <w:rPr>
          <w:rFonts w:eastAsia="Times New Roman" w:cs="Lucida Grande"/>
          <w:bCs/>
          <w:bdr w:val="none" w:sz="0" w:space="0" w:color="auto" w:frame="1"/>
          <w:shd w:val="clear" w:color="auto" w:fill="FFFFFF"/>
        </w:rPr>
        <w:t xml:space="preserve"> </w:t>
      </w:r>
      <w:r w:rsidR="001C7033" w:rsidRPr="009E7E81">
        <w:rPr>
          <w:rFonts w:eastAsia="Times New Roman" w:cs="Lucida Grande"/>
          <w:bCs/>
          <w:bdr w:val="none" w:sz="0" w:space="0" w:color="auto" w:frame="1"/>
          <w:shd w:val="clear" w:color="auto" w:fill="FFFFFF"/>
        </w:rPr>
        <w:t xml:space="preserve">judgment 12 March 2014 (36); </w:t>
      </w:r>
      <w:r w:rsidRPr="009E7E81">
        <w:rPr>
          <w:rFonts w:eastAsia="Times New Roman" w:cs="Lucida Grande"/>
          <w:bCs/>
          <w:bdr w:val="none" w:sz="0" w:space="0" w:color="auto" w:frame="1"/>
          <w:shd w:val="clear" w:color="auto" w:fill="FFFFFF"/>
        </w:rPr>
        <w:t xml:space="preserve">Case C-456/12; </w:t>
      </w:r>
      <w:r w:rsidR="00904A6E" w:rsidRPr="009E7E81">
        <w:rPr>
          <w:rFonts w:eastAsia="Times New Roman" w:cs="Lucida Grande"/>
          <w:bCs/>
          <w:bdr w:val="none" w:sz="0" w:space="0" w:color="auto" w:frame="1"/>
          <w:shd w:val="clear" w:color="auto" w:fill="FFFFFF"/>
        </w:rPr>
        <w:t xml:space="preserve">and Case C-286/03 </w:t>
      </w:r>
      <w:r w:rsidRPr="009E7E81">
        <w:rPr>
          <w:rFonts w:eastAsia="Times New Roman" w:cs="Lucida Grande"/>
          <w:bCs/>
          <w:i/>
          <w:bdr w:val="none" w:sz="0" w:space="0" w:color="auto" w:frame="1"/>
          <w:shd w:val="clear" w:color="auto" w:fill="FFFFFF"/>
        </w:rPr>
        <w:t>Silvia Hosse</w:t>
      </w:r>
      <w:r w:rsidR="00904A6E" w:rsidRPr="009E7E81">
        <w:rPr>
          <w:rFonts w:eastAsia="Times New Roman" w:cs="Lucida Grande"/>
          <w:bCs/>
          <w:bdr w:val="none" w:sz="0" w:space="0" w:color="auto" w:frame="1"/>
          <w:shd w:val="clear" w:color="auto" w:fill="FFFFFF"/>
        </w:rPr>
        <w:t xml:space="preserve"> [2006] ECR I-01771</w:t>
      </w:r>
      <w:r w:rsidRPr="009E7E81">
        <w:rPr>
          <w:rFonts w:eastAsia="Times New Roman" w:cs="Lucida Grande"/>
          <w:bCs/>
          <w:bdr w:val="none" w:sz="0" w:space="0" w:color="auto" w:frame="1"/>
          <w:shd w:val="clear" w:color="auto" w:fill="FFFFFF"/>
        </w:rPr>
        <w:t xml:space="preserve">, </w:t>
      </w:r>
      <w:r w:rsidR="00904A6E" w:rsidRPr="009E7E81">
        <w:rPr>
          <w:rFonts w:eastAsia="Times New Roman" w:cs="Lucida Grande"/>
          <w:bCs/>
          <w:bdr w:val="none" w:sz="0" w:space="0" w:color="auto" w:frame="1"/>
          <w:shd w:val="clear" w:color="auto" w:fill="FFFFFF"/>
        </w:rPr>
        <w:t>(</w:t>
      </w:r>
      <w:r w:rsidRPr="009E7E81">
        <w:rPr>
          <w:rFonts w:eastAsia="Times New Roman" w:cs="Lucida Grande"/>
          <w:bCs/>
          <w:bdr w:val="none" w:sz="0" w:space="0" w:color="auto" w:frame="1"/>
          <w:shd w:val="clear" w:color="auto" w:fill="FFFFFF"/>
        </w:rPr>
        <w:t>52)</w:t>
      </w:r>
      <w:r w:rsidRPr="009E7E81">
        <w:rPr>
          <w:rFonts w:cs="Times New Roman"/>
          <w:lang w:val="en-US"/>
        </w:rPr>
        <w:t xml:space="preserve">. Such a </w:t>
      </w:r>
      <w:r w:rsidRPr="009E7E81">
        <w:rPr>
          <w:rFonts w:cs="Times New Roman"/>
          <w:lang w:val="en-US"/>
        </w:rPr>
        <w:lastRenderedPageBreak/>
        <w:t xml:space="preserve">derived right still entails entitlement to equal treatment with limitations and conditions. </w:t>
      </w:r>
    </w:p>
    <w:p w14:paraId="2D07CF17" w14:textId="5CA95941" w:rsidR="00262A27" w:rsidRDefault="00F03376" w:rsidP="009E7E81">
      <w:pPr>
        <w:spacing w:after="240" w:line="360" w:lineRule="auto"/>
        <w:jc w:val="both"/>
        <w:rPr>
          <w:rFonts w:eastAsia="Times New Roman" w:cs="Times New Roman"/>
        </w:rPr>
      </w:pPr>
      <w:r w:rsidRPr="009E7E81">
        <w:rPr>
          <w:rFonts w:cs="Times New Roman"/>
          <w:lang w:val="en-US"/>
        </w:rPr>
        <w:t xml:space="preserve">In short, there is no indication given by the Court in </w:t>
      </w:r>
      <w:r w:rsidRPr="009E7E81">
        <w:rPr>
          <w:rFonts w:cs="Times New Roman"/>
          <w:i/>
          <w:lang w:val="en-US"/>
        </w:rPr>
        <w:t>Zambrano</w:t>
      </w:r>
      <w:r w:rsidRPr="009E7E81">
        <w:rPr>
          <w:rFonts w:cs="Times New Roman"/>
          <w:lang w:val="en-US"/>
        </w:rPr>
        <w:t>, or in any of its case law, that what is being created is a skeletal right to be present and to work</w:t>
      </w:r>
      <w:r w:rsidR="00904A6E" w:rsidRPr="009E7E81">
        <w:rPr>
          <w:rFonts w:cs="Times New Roman"/>
          <w:lang w:val="en-US"/>
        </w:rPr>
        <w:t xml:space="preserve"> and for the own state national child and his/her carer to be treated as tolerated aliens</w:t>
      </w:r>
      <w:r w:rsidRPr="009E7E81">
        <w:rPr>
          <w:rFonts w:cs="Times New Roman"/>
          <w:lang w:val="en-US"/>
        </w:rPr>
        <w:t xml:space="preserve">. In </w:t>
      </w:r>
      <w:r w:rsidRPr="009E7E81">
        <w:rPr>
          <w:rFonts w:cs="Times New Roman"/>
          <w:i/>
          <w:lang w:val="en-US"/>
        </w:rPr>
        <w:t>Sanneh</w:t>
      </w:r>
      <w:r w:rsidRPr="009E7E81">
        <w:rPr>
          <w:rFonts w:cs="Times New Roman"/>
          <w:lang w:val="en-US"/>
        </w:rPr>
        <w:t xml:space="preserve">, Arden LJ characterized the rules excluding </w:t>
      </w:r>
      <w:r w:rsidRPr="009E7E81">
        <w:rPr>
          <w:rFonts w:cs="Times New Roman"/>
          <w:i/>
          <w:lang w:val="en-US"/>
        </w:rPr>
        <w:t>Zambrano</w:t>
      </w:r>
      <w:r w:rsidRPr="009E7E81">
        <w:rPr>
          <w:rFonts w:cs="Times New Roman"/>
          <w:lang w:val="en-US"/>
        </w:rPr>
        <w:t xml:space="preserve"> families from equal treatment as ‘dealing with a situation of </w:t>
      </w:r>
      <w:r w:rsidRPr="009E7E81">
        <w:rPr>
          <w:rFonts w:cs="Times New Roman"/>
          <w:i/>
          <w:lang w:val="en-US"/>
        </w:rPr>
        <w:t>no change</w:t>
      </w:r>
      <w:r w:rsidRPr="009E7E81">
        <w:rPr>
          <w:rFonts w:cs="Times New Roman"/>
          <w:lang w:val="en-US"/>
        </w:rPr>
        <w:t xml:space="preserve"> in legislative policy’ (</w:t>
      </w:r>
      <w:r w:rsidR="00904A6E" w:rsidRPr="009E7E81">
        <w:rPr>
          <w:rFonts w:cs="Times New Roman"/>
          <w:lang w:val="en-US"/>
        </w:rPr>
        <w:t xml:space="preserve">122, </w:t>
      </w:r>
      <w:r w:rsidRPr="009E7E81">
        <w:rPr>
          <w:rFonts w:cs="Times New Roman"/>
          <w:lang w:val="en-US"/>
        </w:rPr>
        <w:t xml:space="preserve">emphasis added). In other words, the detriment should not be exaggerated, and the </w:t>
      </w:r>
      <w:r w:rsidR="00904A6E" w:rsidRPr="009E7E81">
        <w:rPr>
          <w:rFonts w:cs="Times New Roman"/>
          <w:lang w:val="en-US"/>
        </w:rPr>
        <w:t>e</w:t>
      </w:r>
      <w:r w:rsidRPr="009E7E81">
        <w:rPr>
          <w:rFonts w:cs="Times New Roman"/>
          <w:lang w:val="en-US"/>
        </w:rPr>
        <w:t>ffect of the public sector equality duty</w:t>
      </w:r>
      <w:r w:rsidR="00904A6E" w:rsidRPr="009E7E81">
        <w:rPr>
          <w:rFonts w:cs="Times New Roman"/>
          <w:lang w:val="en-US"/>
        </w:rPr>
        <w:t xml:space="preserve"> should be</w:t>
      </w:r>
      <w:r w:rsidRPr="009E7E81">
        <w:rPr>
          <w:rFonts w:cs="Times New Roman"/>
          <w:lang w:val="en-US"/>
        </w:rPr>
        <w:t xml:space="preserve"> limited, because they had not had a right to equal treatment before. But this reasoning does not escape the conclusion that </w:t>
      </w:r>
      <w:r w:rsidRPr="009E7E81">
        <w:rPr>
          <w:rFonts w:cs="Times New Roman"/>
          <w:i/>
          <w:lang w:val="en-US"/>
        </w:rPr>
        <w:t>Zambrano</w:t>
      </w:r>
      <w:r w:rsidRPr="009E7E81">
        <w:rPr>
          <w:rFonts w:cs="Times New Roman"/>
          <w:lang w:val="en-US"/>
        </w:rPr>
        <w:t xml:space="preserve"> does represent a change in EU legal policy, and Member States are bound to respect that. Arden LJ instead finds that the UK is only bound to respect the finding</w:t>
      </w:r>
      <w:r w:rsidR="00904A6E" w:rsidRPr="009E7E81">
        <w:rPr>
          <w:rFonts w:cs="Times New Roman"/>
          <w:lang w:val="en-US"/>
        </w:rPr>
        <w:t>s</w:t>
      </w:r>
      <w:r w:rsidRPr="009E7E81">
        <w:rPr>
          <w:rFonts w:cs="Times New Roman"/>
          <w:lang w:val="en-US"/>
        </w:rPr>
        <w:t xml:space="preserve"> that it wishes the CJEU had made: ‘</w:t>
      </w:r>
      <w:bookmarkStart w:id="4" w:name="para122"/>
      <w:r w:rsidRPr="009E7E81">
        <w:rPr>
          <w:rFonts w:eastAsia="Times New Roman" w:cs="Times New Roman"/>
        </w:rPr>
        <w:t>the decision of the CJEU in </w:t>
      </w:r>
      <w:r w:rsidRPr="009E7E81">
        <w:rPr>
          <w:rFonts w:eastAsia="Times New Roman" w:cs="Times New Roman"/>
          <w:i/>
          <w:iCs/>
        </w:rPr>
        <w:t>Zambrano</w:t>
      </w:r>
      <w:r w:rsidRPr="009E7E81">
        <w:rPr>
          <w:rFonts w:eastAsia="Times New Roman" w:cs="Times New Roman"/>
        </w:rPr>
        <w:t> had given these TCNs a right to reside under EU law which co-incidentally triggered a right to claim benefits under domestic law which they were never intended to have.</w:t>
      </w:r>
      <w:bookmarkEnd w:id="4"/>
      <w:r w:rsidRPr="009E7E81">
        <w:rPr>
          <w:rFonts w:eastAsia="Times New Roman" w:cs="Times New Roman"/>
        </w:rPr>
        <w:t xml:space="preserve">’ But </w:t>
      </w:r>
      <w:r w:rsidR="00262A27">
        <w:rPr>
          <w:rFonts w:eastAsia="Times New Roman" w:cs="Times New Roman"/>
        </w:rPr>
        <w:t>this is quite an audacious</w:t>
      </w:r>
      <w:r w:rsidR="006A5DCA">
        <w:rPr>
          <w:rFonts w:eastAsia="Times New Roman" w:cs="Times New Roman"/>
        </w:rPr>
        <w:t xml:space="preserve"> act of mind-</w:t>
      </w:r>
      <w:r w:rsidR="00262A27">
        <w:rPr>
          <w:rFonts w:eastAsia="Times New Roman" w:cs="Times New Roman"/>
        </w:rPr>
        <w:t>reading that goes against the evidence and the case law. T</w:t>
      </w:r>
      <w:r w:rsidRPr="009E7E81">
        <w:rPr>
          <w:rFonts w:eastAsia="Times New Roman" w:cs="Times New Roman"/>
        </w:rPr>
        <w:t xml:space="preserve">he CJEU created an EU citizenship-based right to reside, which necessarily triggers a right to equal treatment </w:t>
      </w:r>
      <w:r w:rsidRPr="009E7E81">
        <w:rPr>
          <w:rFonts w:eastAsia="Times New Roman" w:cs="Times New Roman"/>
          <w:i/>
        </w:rPr>
        <w:t>under EU law</w:t>
      </w:r>
      <w:r w:rsidR="00904A6E" w:rsidRPr="009E7E81">
        <w:rPr>
          <w:rFonts w:eastAsia="Times New Roman" w:cs="Times New Roman"/>
        </w:rPr>
        <w:t>. Nowhere did the CJEU suggest</w:t>
      </w:r>
      <w:r w:rsidRPr="009E7E81">
        <w:rPr>
          <w:rFonts w:eastAsia="Times New Roman" w:cs="Times New Roman"/>
        </w:rPr>
        <w:t xml:space="preserve"> that those exercising that right were not intended to really have that kind of right. Given that the </w:t>
      </w:r>
      <w:r w:rsidRPr="009E7E81">
        <w:rPr>
          <w:rFonts w:eastAsia="Times New Roman" w:cs="Times New Roman"/>
          <w:i/>
        </w:rPr>
        <w:t>Zambrano</w:t>
      </w:r>
      <w:r w:rsidRPr="009E7E81">
        <w:rPr>
          <w:rFonts w:eastAsia="Times New Roman" w:cs="Times New Roman"/>
        </w:rPr>
        <w:t xml:space="preserve"> case was a benefits case, it seems only fair to suppose that had the CJEU wished to invent a new, equal tre</w:t>
      </w:r>
      <w:r w:rsidR="00904A6E" w:rsidRPr="009E7E81">
        <w:rPr>
          <w:rFonts w:eastAsia="Times New Roman" w:cs="Times New Roman"/>
        </w:rPr>
        <w:t>atment-free right to reside, that is something they might have mentioned.</w:t>
      </w:r>
      <w:r w:rsidR="00AA2F77">
        <w:rPr>
          <w:rFonts w:eastAsia="Times New Roman" w:cs="Times New Roman"/>
        </w:rPr>
        <w:t xml:space="preserve"> </w:t>
      </w:r>
    </w:p>
    <w:p w14:paraId="7428EBF4" w14:textId="6EB1D4CC" w:rsidR="00F03376" w:rsidRPr="00882AB8" w:rsidRDefault="00AA2F77" w:rsidP="009E7E81">
      <w:pPr>
        <w:spacing w:after="240" w:line="360" w:lineRule="auto"/>
        <w:jc w:val="both"/>
        <w:rPr>
          <w:rFonts w:eastAsia="Times New Roman" w:cs="Times New Roman"/>
        </w:rPr>
      </w:pPr>
      <w:r>
        <w:rPr>
          <w:rFonts w:eastAsia="Times New Roman" w:cs="Times New Roman"/>
        </w:rPr>
        <w:t>We have been here before</w:t>
      </w:r>
      <w:r w:rsidR="00262A27">
        <w:rPr>
          <w:rFonts w:eastAsia="Times New Roman" w:cs="Times New Roman"/>
        </w:rPr>
        <w:t>, and should learn from past experience.</w:t>
      </w:r>
      <w:r>
        <w:rPr>
          <w:rFonts w:eastAsia="Times New Roman" w:cs="Times New Roman"/>
        </w:rPr>
        <w:t xml:space="preserve"> Following </w:t>
      </w:r>
      <w:r>
        <w:rPr>
          <w:rFonts w:eastAsia="Times New Roman" w:cs="Times New Roman"/>
          <w:i/>
        </w:rPr>
        <w:t>Baumbast</w:t>
      </w:r>
      <w:r>
        <w:rPr>
          <w:rFonts w:eastAsia="Times New Roman" w:cs="Times New Roman"/>
        </w:rPr>
        <w:t xml:space="preserve">, UK authorities were adamant that </w:t>
      </w:r>
      <w:r>
        <w:rPr>
          <w:rFonts w:eastAsia="Times New Roman" w:cs="Times New Roman"/>
          <w:i/>
        </w:rPr>
        <w:t>Baumbast</w:t>
      </w:r>
      <w:r>
        <w:rPr>
          <w:rFonts w:eastAsia="Times New Roman" w:cs="Times New Roman"/>
        </w:rPr>
        <w:t xml:space="preserve"> only applied</w:t>
      </w:r>
      <w:r w:rsidR="00262A27">
        <w:rPr>
          <w:rFonts w:eastAsia="Times New Roman" w:cs="Times New Roman"/>
        </w:rPr>
        <w:t xml:space="preserve"> to</w:t>
      </w:r>
      <w:r>
        <w:rPr>
          <w:rFonts w:eastAsia="Times New Roman" w:cs="Times New Roman"/>
        </w:rPr>
        <w:t xml:space="preserve"> </w:t>
      </w:r>
      <w:r w:rsidR="00262A27">
        <w:rPr>
          <w:rFonts w:eastAsia="Times New Roman" w:cs="Times New Roman"/>
        </w:rPr>
        <w:t xml:space="preserve">the self sufficient (ie the well-off), </w:t>
      </w:r>
      <w:r w:rsidR="006A5DCA">
        <w:rPr>
          <w:rFonts w:eastAsia="Times New Roman" w:cs="Times New Roman"/>
        </w:rPr>
        <w:t>even though the CJEU had not said so</w:t>
      </w:r>
      <w:r w:rsidR="00262A27">
        <w:rPr>
          <w:rFonts w:eastAsia="Times New Roman" w:cs="Times New Roman"/>
        </w:rPr>
        <w:t>, and in spite of the incongruity with the case law.</w:t>
      </w:r>
      <w:r>
        <w:rPr>
          <w:rFonts w:eastAsia="Times New Roman" w:cs="Times New Roman"/>
        </w:rPr>
        <w:t xml:space="preserve"> </w:t>
      </w:r>
      <w:r w:rsidR="00262A27">
        <w:rPr>
          <w:rFonts w:eastAsia="Times New Roman" w:cs="Times New Roman"/>
        </w:rPr>
        <w:t>According to the UK</w:t>
      </w:r>
      <w:r>
        <w:rPr>
          <w:rFonts w:eastAsia="Times New Roman" w:cs="Times New Roman"/>
        </w:rPr>
        <w:t xml:space="preserve">, </w:t>
      </w:r>
      <w:r w:rsidR="00262A27">
        <w:rPr>
          <w:rFonts w:eastAsia="Times New Roman" w:cs="Times New Roman"/>
        </w:rPr>
        <w:t xml:space="preserve">the right to reside did not </w:t>
      </w:r>
      <w:r>
        <w:rPr>
          <w:rFonts w:eastAsia="Times New Roman" w:cs="Times New Roman"/>
        </w:rPr>
        <w:t xml:space="preserve">entail equal </w:t>
      </w:r>
      <w:r w:rsidRPr="006F5ECD">
        <w:rPr>
          <w:rFonts w:eastAsia="Times New Roman" w:cs="Times New Roman"/>
        </w:rPr>
        <w:t xml:space="preserve">treatment. The Court of Appeal, while making the reference in </w:t>
      </w:r>
      <w:r w:rsidRPr="006F5ECD">
        <w:rPr>
          <w:rFonts w:eastAsia="Times New Roman" w:cs="Times New Roman"/>
          <w:i/>
        </w:rPr>
        <w:t>Ibrahim</w:t>
      </w:r>
      <w:r w:rsidRPr="006F5ECD">
        <w:rPr>
          <w:rFonts w:eastAsia="Times New Roman" w:cs="Times New Roman"/>
        </w:rPr>
        <w:t xml:space="preserve">, </w:t>
      </w:r>
      <w:r w:rsidRPr="006F5ECD">
        <w:rPr>
          <w:rFonts w:eastAsia="Times New Roman" w:cs="Times New Roman"/>
          <w:i/>
        </w:rPr>
        <w:t>London Borough of Harrow v Ibrahim &amp; Anor</w:t>
      </w:r>
      <w:r w:rsidRPr="006F5ECD">
        <w:rPr>
          <w:rFonts w:eastAsia="Times New Roman" w:cs="Times New Roman"/>
        </w:rPr>
        <w:t xml:space="preserve"> [2008] EWCA Civ 386, </w:t>
      </w:r>
      <w:r>
        <w:rPr>
          <w:rFonts w:eastAsia="Times New Roman" w:cs="Times New Roman"/>
        </w:rPr>
        <w:t>w</w:t>
      </w:r>
      <w:r w:rsidR="006F5ECD">
        <w:rPr>
          <w:rFonts w:eastAsia="Times New Roman" w:cs="Times New Roman"/>
        </w:rPr>
        <w:t>as</w:t>
      </w:r>
      <w:r>
        <w:rPr>
          <w:rFonts w:eastAsia="Times New Roman" w:cs="Times New Roman"/>
        </w:rPr>
        <w:t xml:space="preserve"> inclined to agree</w:t>
      </w:r>
      <w:r w:rsidR="006F5ECD">
        <w:rPr>
          <w:rFonts w:eastAsia="Times New Roman" w:cs="Times New Roman"/>
        </w:rPr>
        <w:t>, expressing</w:t>
      </w:r>
      <w:r w:rsidR="00262A27">
        <w:rPr>
          <w:rFonts w:eastAsia="Times New Roman" w:cs="Times New Roman"/>
        </w:rPr>
        <w:t xml:space="preserve"> scepticism about the idea that they shouldn’t</w:t>
      </w:r>
      <w:r w:rsidR="006F5ECD">
        <w:rPr>
          <w:rFonts w:eastAsia="Times New Roman" w:cs="Times New Roman"/>
        </w:rPr>
        <w:t xml:space="preserve"> read </w:t>
      </w:r>
      <w:r w:rsidR="00262A27">
        <w:rPr>
          <w:rFonts w:eastAsia="Times New Roman" w:cs="Times New Roman"/>
        </w:rPr>
        <w:t xml:space="preserve">a self-sufficiency condition </w:t>
      </w:r>
      <w:r w:rsidR="006F5ECD">
        <w:rPr>
          <w:rFonts w:eastAsia="Times New Roman" w:cs="Times New Roman"/>
        </w:rPr>
        <w:t xml:space="preserve">into </w:t>
      </w:r>
      <w:r w:rsidR="006F5ECD">
        <w:rPr>
          <w:rFonts w:eastAsia="Times New Roman" w:cs="Times New Roman"/>
          <w:i/>
        </w:rPr>
        <w:t>Baumbast</w:t>
      </w:r>
      <w:r w:rsidR="006F5ECD">
        <w:rPr>
          <w:rFonts w:eastAsia="Times New Roman" w:cs="Times New Roman"/>
        </w:rPr>
        <w:t xml:space="preserve"> (55). However, t</w:t>
      </w:r>
      <w:r>
        <w:rPr>
          <w:rFonts w:eastAsia="Times New Roman" w:cs="Times New Roman"/>
        </w:rPr>
        <w:t xml:space="preserve">he CJEU </w:t>
      </w:r>
      <w:r w:rsidR="006F5ECD">
        <w:rPr>
          <w:rFonts w:eastAsia="Times New Roman" w:cs="Times New Roman"/>
        </w:rPr>
        <w:t xml:space="preserve">in </w:t>
      </w:r>
      <w:r w:rsidR="006F5ECD">
        <w:rPr>
          <w:rFonts w:eastAsia="Times New Roman" w:cs="Times New Roman"/>
          <w:i/>
        </w:rPr>
        <w:t xml:space="preserve">Ibrahim </w:t>
      </w:r>
      <w:r w:rsidR="0077787E">
        <w:rPr>
          <w:rFonts w:eastAsia="Times New Roman" w:cs="Times New Roman"/>
        </w:rPr>
        <w:t xml:space="preserve">(and in </w:t>
      </w:r>
      <w:r w:rsidR="0077787E" w:rsidRPr="00882AB8">
        <w:rPr>
          <w:rFonts w:eastAsia="Times New Roman" w:cs="Times New Roman"/>
          <w:i/>
        </w:rPr>
        <w:t>Teixeira</w:t>
      </w:r>
      <w:r w:rsidR="0077787E" w:rsidRPr="00882AB8">
        <w:rPr>
          <w:rFonts w:eastAsia="Times New Roman" w:cs="Times New Roman"/>
        </w:rPr>
        <w:t xml:space="preserve">) </w:t>
      </w:r>
      <w:r w:rsidR="006F5ECD" w:rsidRPr="00882AB8">
        <w:rPr>
          <w:rFonts w:eastAsia="Times New Roman" w:cs="Times New Roman"/>
        </w:rPr>
        <w:t>made clear that</w:t>
      </w:r>
      <w:r w:rsidR="006F5ECD" w:rsidRPr="00882AB8">
        <w:rPr>
          <w:rFonts w:eastAsia="Times New Roman" w:cs="Times New Roman"/>
          <w:i/>
        </w:rPr>
        <w:t xml:space="preserve"> </w:t>
      </w:r>
      <w:r w:rsidR="006F5ECD" w:rsidRPr="00882AB8">
        <w:rPr>
          <w:rFonts w:eastAsia="Times New Roman" w:cs="Times New Roman"/>
        </w:rPr>
        <w:t xml:space="preserve">there was no basis for a condition of self-sufficiency </w:t>
      </w:r>
      <w:r w:rsidR="006F5ECD" w:rsidRPr="00882AB8">
        <w:rPr>
          <w:rFonts w:eastAsia="Times New Roman" w:cs="Times New Roman"/>
        </w:rPr>
        <w:lastRenderedPageBreak/>
        <w:t>in the legislation in question</w:t>
      </w:r>
      <w:r w:rsidR="00E52A4D">
        <w:rPr>
          <w:rFonts w:eastAsia="Times New Roman" w:cs="Times New Roman"/>
        </w:rPr>
        <w:t xml:space="preserve"> (52)</w:t>
      </w:r>
      <w:r w:rsidR="006F5ECD" w:rsidRPr="00882AB8">
        <w:rPr>
          <w:rFonts w:eastAsia="Times New Roman" w:cs="Times New Roman"/>
        </w:rPr>
        <w:t>, or in the case law</w:t>
      </w:r>
      <w:r w:rsidR="00E52A4D">
        <w:rPr>
          <w:rFonts w:eastAsia="Times New Roman" w:cs="Times New Roman"/>
        </w:rPr>
        <w:t xml:space="preserve"> (53)</w:t>
      </w:r>
      <w:r w:rsidR="006F5ECD" w:rsidRPr="00882AB8">
        <w:rPr>
          <w:rFonts w:eastAsia="Times New Roman" w:cs="Times New Roman"/>
        </w:rPr>
        <w:t xml:space="preserve">, and specifically, pointed out that the ruling in </w:t>
      </w:r>
      <w:r w:rsidR="006F5ECD" w:rsidRPr="00882AB8">
        <w:rPr>
          <w:rFonts w:eastAsia="Times New Roman" w:cs="Times New Roman"/>
          <w:i/>
        </w:rPr>
        <w:t>Baumbast</w:t>
      </w:r>
      <w:r w:rsidR="006F5ECD" w:rsidRPr="00882AB8">
        <w:rPr>
          <w:rFonts w:eastAsia="Times New Roman" w:cs="Times New Roman"/>
        </w:rPr>
        <w:t xml:space="preserve"> had not been based on a finding of self-sufficiency</w:t>
      </w:r>
      <w:r w:rsidR="00E52A4D">
        <w:rPr>
          <w:rFonts w:eastAsia="Times New Roman" w:cs="Times New Roman"/>
        </w:rPr>
        <w:t xml:space="preserve"> (55)</w:t>
      </w:r>
      <w:r w:rsidR="006F5ECD" w:rsidRPr="00882AB8">
        <w:rPr>
          <w:rFonts w:eastAsia="Times New Roman" w:cs="Times New Roman"/>
        </w:rPr>
        <w:t xml:space="preserve">. </w:t>
      </w:r>
      <w:r w:rsidR="00882AB8">
        <w:rPr>
          <w:rFonts w:eastAsia="Times New Roman" w:cs="Times New Roman"/>
        </w:rPr>
        <w:t>In</w:t>
      </w:r>
      <w:r w:rsidR="00882AB8" w:rsidRPr="00882AB8">
        <w:rPr>
          <w:rFonts w:eastAsia="Times New Roman" w:cs="Times New Roman"/>
          <w:i/>
        </w:rPr>
        <w:t xml:space="preserve"> Teixeira</w:t>
      </w:r>
      <w:r w:rsidR="00882AB8" w:rsidRPr="00882AB8">
        <w:rPr>
          <w:rFonts w:eastAsia="Times New Roman" w:cs="Times New Roman"/>
        </w:rPr>
        <w:t xml:space="preserve">, the CJEU stated that Member States could not interpret the relevant provisions restrictively (as </w:t>
      </w:r>
      <w:r w:rsidR="00E52A4D">
        <w:rPr>
          <w:rFonts w:eastAsia="Times New Roman" w:cs="Times New Roman"/>
        </w:rPr>
        <w:t xml:space="preserve">had </w:t>
      </w:r>
      <w:r w:rsidR="00882AB8" w:rsidRPr="00882AB8">
        <w:rPr>
          <w:rFonts w:eastAsia="Times New Roman" w:cs="Times New Roman"/>
        </w:rPr>
        <w:t>the UK authorities</w:t>
      </w:r>
      <w:r w:rsidR="00E52A4D">
        <w:rPr>
          <w:rFonts w:eastAsia="Times New Roman" w:cs="Times New Roman"/>
        </w:rPr>
        <w:t>,</w:t>
      </w:r>
      <w:r w:rsidR="00882AB8" w:rsidRPr="00882AB8">
        <w:rPr>
          <w:rFonts w:eastAsia="Times New Roman" w:cs="Times New Roman"/>
        </w:rPr>
        <w:t xml:space="preserve"> importing their own conditions), adding pointedly that ‘</w:t>
      </w:r>
      <w:r w:rsidR="00882AB8" w:rsidRPr="00882AB8">
        <w:rPr>
          <w:rFonts w:eastAsia="Times New Roman" w:cs="Arial"/>
          <w:shd w:val="clear" w:color="auto" w:fill="FFFFFF"/>
        </w:rPr>
        <w:t xml:space="preserve">the Court did not base its reasoning even implicitly on such a condition’ (67). </w:t>
      </w:r>
      <w:r w:rsidR="0077787E" w:rsidRPr="00882AB8">
        <w:rPr>
          <w:rFonts w:eastAsia="Times New Roman" w:cs="Times New Roman"/>
          <w:i/>
        </w:rPr>
        <w:t xml:space="preserve">Teixeira </w:t>
      </w:r>
      <w:r w:rsidR="0077787E" w:rsidRPr="00882AB8">
        <w:rPr>
          <w:rFonts w:eastAsia="Times New Roman" w:cs="Times New Roman"/>
        </w:rPr>
        <w:t xml:space="preserve">and </w:t>
      </w:r>
      <w:r w:rsidRPr="00882AB8">
        <w:rPr>
          <w:rFonts w:eastAsia="Times New Roman" w:cs="Times New Roman"/>
          <w:i/>
        </w:rPr>
        <w:t xml:space="preserve">Ibrahim </w:t>
      </w:r>
      <w:r w:rsidR="0077787E" w:rsidRPr="00882AB8">
        <w:rPr>
          <w:rFonts w:eastAsia="Times New Roman" w:cs="Times New Roman"/>
        </w:rPr>
        <w:t>are</w:t>
      </w:r>
      <w:r w:rsidRPr="00882AB8">
        <w:rPr>
          <w:rFonts w:eastAsia="Times New Roman" w:cs="Times New Roman"/>
        </w:rPr>
        <w:t xml:space="preserve"> to </w:t>
      </w:r>
      <w:r w:rsidRPr="00882AB8">
        <w:rPr>
          <w:rFonts w:eastAsia="Times New Roman" w:cs="Times New Roman"/>
          <w:i/>
        </w:rPr>
        <w:t>Baumbast</w:t>
      </w:r>
      <w:r w:rsidRPr="00882AB8">
        <w:rPr>
          <w:rFonts w:eastAsia="Times New Roman" w:cs="Times New Roman"/>
        </w:rPr>
        <w:t xml:space="preserve"> as </w:t>
      </w:r>
      <w:r w:rsidRPr="00882AB8">
        <w:rPr>
          <w:rFonts w:eastAsia="Times New Roman" w:cs="Times New Roman"/>
          <w:i/>
        </w:rPr>
        <w:t>Sanneh</w:t>
      </w:r>
      <w:r w:rsidRPr="00882AB8">
        <w:rPr>
          <w:rFonts w:eastAsia="Times New Roman" w:cs="Times New Roman"/>
        </w:rPr>
        <w:t xml:space="preserve"> is to </w:t>
      </w:r>
      <w:r w:rsidRPr="00882AB8">
        <w:rPr>
          <w:rFonts w:eastAsia="Times New Roman" w:cs="Times New Roman"/>
          <w:i/>
        </w:rPr>
        <w:t xml:space="preserve">Zambrano. </w:t>
      </w:r>
    </w:p>
    <w:p w14:paraId="31E5108B" w14:textId="0FD3BE4C" w:rsidR="00926172" w:rsidRDefault="00926172" w:rsidP="009E7E81">
      <w:pPr>
        <w:spacing w:after="240" w:line="360" w:lineRule="auto"/>
        <w:jc w:val="both"/>
        <w:rPr>
          <w:rFonts w:cs="Times New Roman"/>
          <w:lang w:val="en-US"/>
        </w:rPr>
      </w:pPr>
      <w:r>
        <w:rPr>
          <w:rFonts w:cs="Times New Roman"/>
          <w:lang w:val="en-US"/>
        </w:rPr>
        <w:t>A cit</w:t>
      </w:r>
      <w:r w:rsidR="00974717">
        <w:rPr>
          <w:rFonts w:cs="Times New Roman"/>
          <w:lang w:val="en-US"/>
        </w:rPr>
        <w:t>izenship-based right to reside</w:t>
      </w:r>
      <w:r>
        <w:rPr>
          <w:rFonts w:cs="Times New Roman"/>
          <w:lang w:val="en-US"/>
        </w:rPr>
        <w:t xml:space="preserve"> triggers protection from the Charter of Fundamental Rights, a point accepted in </w:t>
      </w:r>
      <w:r>
        <w:rPr>
          <w:rFonts w:cs="Times New Roman"/>
          <w:i/>
          <w:lang w:val="en-US"/>
        </w:rPr>
        <w:t>Sanneh</w:t>
      </w:r>
      <w:r>
        <w:rPr>
          <w:rFonts w:cs="Times New Roman"/>
          <w:lang w:val="en-US"/>
        </w:rPr>
        <w:t xml:space="preserve"> (59; 117); it is reasonable to suppose that such fundamental rights are included in the substance of rights </w:t>
      </w:r>
      <w:r w:rsidRPr="00926172">
        <w:rPr>
          <w:rFonts w:cs="Times New Roman"/>
          <w:lang w:val="en-US"/>
        </w:rPr>
        <w:t xml:space="preserve">attached to EU citizenship, since citizenship ‘triggers the protection afforded by the fundamental rights not the other way round’, according to Advocate General Wathelet in Case C-115/15 </w:t>
      </w:r>
      <w:r w:rsidRPr="00926172">
        <w:rPr>
          <w:rFonts w:cs="Times New Roman"/>
          <w:i/>
          <w:lang w:val="en-US"/>
        </w:rPr>
        <w:t xml:space="preserve">Secretary of State for the Home Department v NA </w:t>
      </w:r>
      <w:r w:rsidRPr="00926172">
        <w:rPr>
          <w:rFonts w:cs="Times New Roman"/>
          <w:lang w:val="en-US"/>
        </w:rPr>
        <w:t xml:space="preserve">14 April 2016 (see also Kochenov, 2013). Fundamental rights at issue are not only protection of family life (Article 7), but also the right to social security and social assistance under Article 34(2): </w:t>
      </w:r>
      <w:r w:rsidRPr="00926172">
        <w:rPr>
          <w:rFonts w:eastAsia="Times New Roman" w:cs="Times New Roman"/>
        </w:rPr>
        <w:t>‘Everyone residing and moving legally within the European Union is entitled to social security benefits and social advantages in accordance with Community law and national laws and practices.’</w:t>
      </w:r>
      <w:r>
        <w:rPr>
          <w:rFonts w:eastAsia="Times New Roman" w:cs="Times New Roman"/>
        </w:rPr>
        <w:t xml:space="preserve"> Non-discrimination under Article 21(1) is potentially at issue as well, since UK nationals with a third country national primary carer may well be a member of a ‘national minority’</w:t>
      </w:r>
      <w:r w:rsidR="00974717">
        <w:rPr>
          <w:rFonts w:eastAsia="Times New Roman" w:cs="Times New Roman"/>
        </w:rPr>
        <w:t xml:space="preserve">. </w:t>
      </w:r>
    </w:p>
    <w:p w14:paraId="33D65E4F" w14:textId="39E254E3" w:rsidR="00F03376" w:rsidRPr="00926172" w:rsidRDefault="00974717" w:rsidP="009E7E81">
      <w:pPr>
        <w:spacing w:after="240" w:line="360" w:lineRule="auto"/>
        <w:jc w:val="both"/>
        <w:rPr>
          <w:rFonts w:cs="Times New Roman"/>
          <w:lang w:val="en-US"/>
        </w:rPr>
      </w:pPr>
      <w:r>
        <w:rPr>
          <w:rFonts w:cs="Times New Roman"/>
          <w:lang w:val="en-US"/>
        </w:rPr>
        <w:t xml:space="preserve">But it is not just the Charter that confers fundamental rights protection. </w:t>
      </w:r>
      <w:r w:rsidR="00F03376" w:rsidRPr="009E7E81">
        <w:rPr>
          <w:rFonts w:cs="Times New Roman"/>
          <w:lang w:val="en-US"/>
        </w:rPr>
        <w:t xml:space="preserve">If anything, there are strong grounds for supposing that the </w:t>
      </w:r>
      <w:r w:rsidR="00F03376" w:rsidRPr="009E7E81">
        <w:rPr>
          <w:rFonts w:cs="Times New Roman"/>
          <w:i/>
          <w:lang w:val="en-US"/>
        </w:rPr>
        <w:t>Zambrano</w:t>
      </w:r>
      <w:r w:rsidR="00F03376" w:rsidRPr="009E7E81">
        <w:rPr>
          <w:rFonts w:cs="Times New Roman"/>
          <w:lang w:val="en-US"/>
        </w:rPr>
        <w:t xml:space="preserve"> right is vested in more compelling international principles and human rights law than many other EU citizenship-based rights to reside. For the child it is the right to reside in the state of nationality. This is, put simply, the same thing as a right to a nationality – the right to live in your home state being ‘the essence of nationality’ (Kesby, </w:t>
      </w:r>
      <w:r w:rsidR="00904A6E" w:rsidRPr="009E7E81">
        <w:rPr>
          <w:rFonts w:cs="Times New Roman"/>
          <w:lang w:val="en-US"/>
        </w:rPr>
        <w:t xml:space="preserve">2012, </w:t>
      </w:r>
      <w:r w:rsidR="00F03376" w:rsidRPr="009E7E81">
        <w:rPr>
          <w:rFonts w:cs="Times New Roman"/>
          <w:lang w:val="en-US"/>
        </w:rPr>
        <w:t xml:space="preserve">16), for what use is a nationality if one is effectively disowned by the nation? Even more extremely, if the child in question has no other nationality, the </w:t>
      </w:r>
      <w:r w:rsidR="00F03376" w:rsidRPr="009E7E81">
        <w:rPr>
          <w:rFonts w:cs="Times New Roman"/>
          <w:i/>
          <w:lang w:val="en-US"/>
        </w:rPr>
        <w:t>Zambrano</w:t>
      </w:r>
      <w:r w:rsidR="00F03376" w:rsidRPr="009E7E81">
        <w:rPr>
          <w:rFonts w:cs="Times New Roman"/>
          <w:lang w:val="en-US"/>
        </w:rPr>
        <w:t xml:space="preserve"> right is a right protecting against practical statelessness. The right to a nationality is, as Arendt famously argued, the right to have rights (</w:t>
      </w:r>
      <w:r w:rsidR="00F03376" w:rsidRPr="009E7E81">
        <w:rPr>
          <w:rFonts w:eastAsia="Times New Roman" w:cs="Times New Roman"/>
        </w:rPr>
        <w:t xml:space="preserve">Arendt, </w:t>
      </w:r>
      <w:r w:rsidR="00904A6E" w:rsidRPr="009E7E81">
        <w:rPr>
          <w:rFonts w:eastAsia="Times New Roman" w:cs="Times New Roman"/>
        </w:rPr>
        <w:t>1973</w:t>
      </w:r>
      <w:r w:rsidR="00F03376" w:rsidRPr="009E7E81">
        <w:rPr>
          <w:rFonts w:eastAsia="Times New Roman" w:cs="Times New Roman"/>
        </w:rPr>
        <w:t>)</w:t>
      </w:r>
      <w:r w:rsidR="00F03376" w:rsidRPr="009E7E81">
        <w:rPr>
          <w:rFonts w:cs="Times New Roman"/>
          <w:lang w:val="en-US"/>
        </w:rPr>
        <w:t xml:space="preserve">.  The International Covenant on Civil and Political </w:t>
      </w:r>
      <w:r w:rsidR="00F03376" w:rsidRPr="009E7E81">
        <w:rPr>
          <w:rFonts w:cs="Times New Roman"/>
          <w:lang w:val="en-US"/>
        </w:rPr>
        <w:lastRenderedPageBreak/>
        <w:t>Rights, Article 12(4) states ‘</w:t>
      </w:r>
      <w:r w:rsidR="00F03376" w:rsidRPr="009E7E81">
        <w:rPr>
          <w:rFonts w:eastAsia="Times New Roman" w:cs="Times New Roman"/>
          <w:shd w:val="clear" w:color="auto" w:fill="FFFFFF"/>
        </w:rPr>
        <w:t>No one shall be arbitrarily deprived of the right to enter his own country.’ The duty of states to admit own nationals, and permit their residence on the territory is well recognised in international law</w:t>
      </w:r>
      <w:r w:rsidR="00904A6E" w:rsidRPr="009E7E81">
        <w:rPr>
          <w:rFonts w:eastAsia="Times New Roman" w:cs="Times New Roman"/>
          <w:shd w:val="clear" w:color="auto" w:fill="FFFFFF"/>
        </w:rPr>
        <w:t xml:space="preserve"> </w:t>
      </w:r>
      <w:r w:rsidR="00904A6E" w:rsidRPr="009E7E81">
        <w:rPr>
          <w:rFonts w:cs="Times New Roman"/>
          <w:lang w:val="en-US"/>
        </w:rPr>
        <w:t>(Boll, 2007, 123)</w:t>
      </w:r>
      <w:r w:rsidR="00F03376" w:rsidRPr="009E7E81">
        <w:rPr>
          <w:rFonts w:eastAsia="Times New Roman" w:cs="Times New Roman"/>
          <w:shd w:val="clear" w:color="auto" w:fill="FFFFFF"/>
        </w:rPr>
        <w:t xml:space="preserve">. Thus the </w:t>
      </w:r>
      <w:r w:rsidR="00F03376" w:rsidRPr="009E7E81">
        <w:rPr>
          <w:rFonts w:eastAsia="Times New Roman" w:cs="Times New Roman"/>
          <w:i/>
          <w:shd w:val="clear" w:color="auto" w:fill="FFFFFF"/>
        </w:rPr>
        <w:t>Zambrano</w:t>
      </w:r>
      <w:r w:rsidR="00F03376" w:rsidRPr="009E7E81">
        <w:rPr>
          <w:rFonts w:eastAsia="Times New Roman" w:cs="Times New Roman"/>
          <w:shd w:val="clear" w:color="auto" w:fill="FFFFFF"/>
        </w:rPr>
        <w:t xml:space="preserve"> right is founded on something elemental in international human rights law. And given that it is framed around the right not to be </w:t>
      </w:r>
      <w:r w:rsidR="003F1222">
        <w:rPr>
          <w:rFonts w:eastAsia="Times New Roman" w:cs="Times New Roman"/>
          <w:shd w:val="clear" w:color="auto" w:fill="FFFFFF"/>
        </w:rPr>
        <w:t>remov</w:t>
      </w:r>
      <w:r w:rsidR="00F03376" w:rsidRPr="009E7E81">
        <w:rPr>
          <w:rFonts w:eastAsia="Times New Roman" w:cs="Times New Roman"/>
          <w:shd w:val="clear" w:color="auto" w:fill="FFFFFF"/>
        </w:rPr>
        <w:t xml:space="preserve">ed from the territory of </w:t>
      </w:r>
      <w:r w:rsidR="00F03376" w:rsidRPr="009E7E81">
        <w:rPr>
          <w:rFonts w:eastAsia="Times New Roman" w:cs="Times New Roman"/>
          <w:i/>
          <w:shd w:val="clear" w:color="auto" w:fill="FFFFFF"/>
        </w:rPr>
        <w:t>the Union</w:t>
      </w:r>
      <w:r w:rsidR="00F03376" w:rsidRPr="009E7E81">
        <w:rPr>
          <w:rFonts w:eastAsia="Times New Roman" w:cs="Times New Roman"/>
          <w:shd w:val="clear" w:color="auto" w:fill="FFFFFF"/>
        </w:rPr>
        <w:t xml:space="preserve">, it is submitted that just as the right of abode is the essence of nationality, so the right to reside in the Union is the nucleus of Union citizenship. As such, the child’s claim is not weak or derivative. It is the right to have EU rights.  </w:t>
      </w:r>
    </w:p>
    <w:p w14:paraId="21381424" w14:textId="23F22652" w:rsidR="00F03376" w:rsidRPr="009E7E81" w:rsidRDefault="00F03376" w:rsidP="009E7E81">
      <w:pPr>
        <w:spacing w:before="100" w:beforeAutospacing="1" w:after="240" w:line="360" w:lineRule="auto"/>
        <w:jc w:val="both"/>
        <w:rPr>
          <w:rFonts w:eastAsia="Times New Roman" w:cs="Times New Roman"/>
          <w:u w:val="single"/>
        </w:rPr>
      </w:pPr>
      <w:r w:rsidRPr="009E7E81">
        <w:rPr>
          <w:rFonts w:eastAsia="Times New Roman" w:cs="Times New Roman"/>
          <w:u w:val="single"/>
        </w:rPr>
        <w:t>Treating some UK children (a lot) worse than others</w:t>
      </w:r>
    </w:p>
    <w:p w14:paraId="4BC3DCED" w14:textId="7D3A4E25" w:rsidR="00F03376" w:rsidRPr="009E7E81" w:rsidRDefault="00F03376" w:rsidP="00AC6B14">
      <w:pPr>
        <w:spacing w:before="100" w:beforeAutospacing="1" w:after="240" w:line="360" w:lineRule="auto"/>
        <w:jc w:val="both"/>
        <w:rPr>
          <w:rFonts w:eastAsia="Times New Roman" w:cs="Times New Roman"/>
        </w:rPr>
      </w:pPr>
      <w:r w:rsidRPr="009E7E81">
        <w:rPr>
          <w:rFonts w:eastAsia="Times New Roman" w:cs="Times New Roman"/>
        </w:rPr>
        <w:t xml:space="preserve">The heart of a </w:t>
      </w:r>
      <w:r w:rsidRPr="009E7E81">
        <w:rPr>
          <w:rFonts w:eastAsia="Times New Roman" w:cs="Times New Roman"/>
          <w:i/>
        </w:rPr>
        <w:t>Zambrano</w:t>
      </w:r>
      <w:r w:rsidRPr="009E7E81">
        <w:rPr>
          <w:rFonts w:eastAsia="Times New Roman" w:cs="Times New Roman"/>
        </w:rPr>
        <w:t xml:space="preserve"> claim is a UK national child. Supperstone</w:t>
      </w:r>
      <w:r w:rsidR="00AC6B14">
        <w:rPr>
          <w:rFonts w:eastAsia="Times New Roman" w:cs="Times New Roman"/>
        </w:rPr>
        <w:t xml:space="preserve"> J</w:t>
      </w:r>
      <w:r w:rsidRPr="009E7E81">
        <w:rPr>
          <w:rFonts w:eastAsia="Times New Roman" w:cs="Times New Roman"/>
        </w:rPr>
        <w:t xml:space="preserve"> in the High Court rejected arguments made about the effects on, or interests of, the children because there were no guarantees as to benefits received by </w:t>
      </w:r>
      <w:r w:rsidR="005E42FC">
        <w:rPr>
          <w:rFonts w:eastAsia="Times New Roman" w:cs="Times New Roman"/>
        </w:rPr>
        <w:t xml:space="preserve">their </w:t>
      </w:r>
      <w:r w:rsidRPr="009E7E81">
        <w:rPr>
          <w:rFonts w:eastAsia="Times New Roman" w:cs="Times New Roman"/>
          <w:i/>
        </w:rPr>
        <w:t>parents</w:t>
      </w:r>
      <w:r w:rsidRPr="009E7E81">
        <w:rPr>
          <w:rFonts w:eastAsia="Times New Roman" w:cs="Times New Roman"/>
        </w:rPr>
        <w:t>.</w:t>
      </w:r>
      <w:r w:rsidRPr="009E7E81">
        <w:rPr>
          <w:rFonts w:eastAsia="Times New Roman" w:cs="Times New Roman"/>
          <w:i/>
        </w:rPr>
        <w:t xml:space="preserve"> </w:t>
      </w:r>
      <w:r w:rsidRPr="009E7E81">
        <w:rPr>
          <w:rFonts w:eastAsia="Times New Roman" w:cs="Times New Roman"/>
        </w:rPr>
        <w:t xml:space="preserve"> As Arden LJ summarised ‘it is the carers, not the children who are entitled to benefits’. </w:t>
      </w:r>
      <w:r w:rsidR="001D3557" w:rsidRPr="009E7E81">
        <w:rPr>
          <w:rFonts w:eastAsia="Times New Roman" w:cs="Times New Roman"/>
        </w:rPr>
        <w:t>Arden LJ</w:t>
      </w:r>
      <w:r w:rsidR="00904A6E" w:rsidRPr="009E7E81">
        <w:rPr>
          <w:rFonts w:eastAsia="Times New Roman" w:cs="Times New Roman"/>
        </w:rPr>
        <w:t xml:space="preserve"> focused the discussion on EU rights to social assistance upon the </w:t>
      </w:r>
      <w:r w:rsidR="00904A6E" w:rsidRPr="009E7E81">
        <w:rPr>
          <w:rFonts w:eastAsia="Times New Roman" w:cs="Times New Roman"/>
          <w:i/>
        </w:rPr>
        <w:t>carers</w:t>
      </w:r>
      <w:r w:rsidR="00904A6E" w:rsidRPr="009E7E81">
        <w:rPr>
          <w:rFonts w:eastAsia="Times New Roman" w:cs="Times New Roman"/>
        </w:rPr>
        <w:t xml:space="preserve">, </w:t>
      </w:r>
      <w:r w:rsidR="001D3557" w:rsidRPr="009E7E81">
        <w:rPr>
          <w:rFonts w:eastAsia="Times New Roman" w:cs="Times New Roman"/>
        </w:rPr>
        <w:t>equating them with third country n</w:t>
      </w:r>
      <w:r w:rsidR="006F63F7">
        <w:rPr>
          <w:rFonts w:eastAsia="Times New Roman" w:cs="Times New Roman"/>
        </w:rPr>
        <w:t>ationals with no EU citizenship-</w:t>
      </w:r>
      <w:r w:rsidR="001D3557" w:rsidRPr="009E7E81">
        <w:rPr>
          <w:rFonts w:eastAsia="Times New Roman" w:cs="Times New Roman"/>
        </w:rPr>
        <w:t xml:space="preserve">based right to reside, and </w:t>
      </w:r>
      <w:r w:rsidR="00904A6E" w:rsidRPr="009E7E81">
        <w:rPr>
          <w:rFonts w:eastAsia="Times New Roman" w:cs="Times New Roman"/>
        </w:rPr>
        <w:t>arguing ‘t</w:t>
      </w:r>
      <w:bookmarkStart w:id="5" w:name="para26"/>
      <w:r w:rsidR="00904A6E" w:rsidRPr="009E7E81">
        <w:rPr>
          <w:rFonts w:eastAsia="Times New Roman" w:cs="Times New Roman"/>
        </w:rPr>
        <w:t>heir status is not founded on any personal right of residence, or right to be paid social assistanc</w:t>
      </w:r>
      <w:bookmarkEnd w:id="5"/>
      <w:r w:rsidR="00904A6E" w:rsidRPr="009E7E81">
        <w:rPr>
          <w:rFonts w:eastAsia="Times New Roman" w:cs="Times New Roman"/>
        </w:rPr>
        <w:t>e’</w:t>
      </w:r>
      <w:r w:rsidR="001D3557" w:rsidRPr="009E7E81">
        <w:rPr>
          <w:rFonts w:eastAsia="Times New Roman" w:cs="Times New Roman"/>
        </w:rPr>
        <w:t xml:space="preserve"> (26)</w:t>
      </w:r>
      <w:r w:rsidR="00904A6E" w:rsidRPr="009E7E81">
        <w:rPr>
          <w:rFonts w:eastAsia="Times New Roman" w:cs="Times New Roman"/>
        </w:rPr>
        <w:t xml:space="preserve"> </w:t>
      </w:r>
      <w:r w:rsidR="001D3557" w:rsidRPr="009E7E81">
        <w:rPr>
          <w:rFonts w:eastAsia="Times New Roman" w:cs="Times New Roman"/>
        </w:rPr>
        <w:t>and ‘</w:t>
      </w:r>
      <w:bookmarkStart w:id="6" w:name="para27"/>
      <w:r w:rsidR="001D3557" w:rsidRPr="009E7E81">
        <w:rPr>
          <w:rFonts w:eastAsia="Times New Roman" w:cs="Times New Roman"/>
        </w:rPr>
        <w:t>EU law has no competence in the level of social assistance to be paid to the </w:t>
      </w:r>
      <w:r w:rsidR="001D3557" w:rsidRPr="009E7E81">
        <w:rPr>
          <w:rFonts w:eastAsia="Times New Roman" w:cs="Times New Roman"/>
          <w:i/>
          <w:iCs/>
        </w:rPr>
        <w:t xml:space="preserve">Zambrano </w:t>
      </w:r>
      <w:r w:rsidR="001D3557" w:rsidRPr="009E7E81">
        <w:rPr>
          <w:rFonts w:eastAsia="Times New Roman" w:cs="Times New Roman"/>
        </w:rPr>
        <w:t>carer</w:t>
      </w:r>
      <w:bookmarkEnd w:id="6"/>
      <w:r w:rsidR="001D3557" w:rsidRPr="009E7E81">
        <w:rPr>
          <w:rFonts w:eastAsia="Times New Roman" w:cs="Times New Roman"/>
        </w:rPr>
        <w:t>’ (27).</w:t>
      </w:r>
      <w:r w:rsidR="00904A6E" w:rsidRPr="009E7E81">
        <w:rPr>
          <w:rFonts w:eastAsia="Times New Roman" w:cs="Times New Roman"/>
        </w:rPr>
        <w:t xml:space="preserve"> </w:t>
      </w:r>
    </w:p>
    <w:p w14:paraId="4902971D" w14:textId="4D95936F" w:rsidR="00F03376" w:rsidRPr="009E7E81" w:rsidRDefault="00F03376" w:rsidP="009E7E81">
      <w:pPr>
        <w:spacing w:before="100" w:beforeAutospacing="1" w:after="240" w:line="360" w:lineRule="auto"/>
        <w:jc w:val="both"/>
        <w:rPr>
          <w:rFonts w:eastAsia="Times New Roman" w:cs="Times New Roman"/>
        </w:rPr>
      </w:pPr>
      <w:r w:rsidRPr="009E7E81">
        <w:rPr>
          <w:rFonts w:eastAsia="Times New Roman" w:cs="Times New Roman"/>
        </w:rPr>
        <w:t xml:space="preserve">But it is the </w:t>
      </w:r>
      <w:r w:rsidRPr="005E42FC">
        <w:rPr>
          <w:rFonts w:eastAsia="Times New Roman" w:cs="Times New Roman"/>
          <w:i/>
        </w:rPr>
        <w:t>child’s</w:t>
      </w:r>
      <w:r w:rsidRPr="009E7E81">
        <w:rPr>
          <w:rFonts w:eastAsia="Times New Roman" w:cs="Times New Roman"/>
        </w:rPr>
        <w:t xml:space="preserve"> right to reside that is at issue, and the primary carer right exists to support that right. The cognate scenario is the </w:t>
      </w:r>
      <w:r w:rsidRPr="009E7E81">
        <w:rPr>
          <w:rFonts w:eastAsia="Times New Roman" w:cs="Times New Roman"/>
          <w:i/>
        </w:rPr>
        <w:t xml:space="preserve">Teixeira/Ibrahim </w:t>
      </w:r>
      <w:r w:rsidRPr="009E7E81">
        <w:rPr>
          <w:rFonts w:eastAsia="Times New Roman" w:cs="Times New Roman"/>
        </w:rPr>
        <w:t xml:space="preserve">one; there, primary carers (including third country national primary carers) were found to have a right to reside in the usual, full meaning, bestowing full equal treatment entitlement for the duration of the </w:t>
      </w:r>
      <w:r w:rsidR="0077787E">
        <w:rPr>
          <w:rFonts w:eastAsia="Times New Roman" w:cs="Times New Roman"/>
          <w:i/>
        </w:rPr>
        <w:t xml:space="preserve">Ibrahim </w:t>
      </w:r>
      <w:r w:rsidRPr="009E7E81">
        <w:rPr>
          <w:rFonts w:eastAsia="Times New Roman" w:cs="Times New Roman"/>
        </w:rPr>
        <w:t>status, in order to support the right to reside of the child. The carer’s right was explicitly</w:t>
      </w:r>
      <w:r w:rsidR="006A5DCA">
        <w:rPr>
          <w:rFonts w:eastAsia="Times New Roman" w:cs="Times New Roman"/>
        </w:rPr>
        <w:t xml:space="preserve"> (even doubly)</w:t>
      </w:r>
      <w:r w:rsidRPr="009E7E81">
        <w:rPr>
          <w:rFonts w:eastAsia="Times New Roman" w:cs="Times New Roman"/>
        </w:rPr>
        <w:t xml:space="preserve"> derivative. The child’s right to reside was determinative, as was the child’s right to equal treatment: Article 10 of Regulation 1612/68 (now replaced by Article 10 of Regulation 492/2001) required that the </w:t>
      </w:r>
      <w:r w:rsidRPr="009E7E81">
        <w:rPr>
          <w:rFonts w:eastAsia="Times New Roman" w:cs="Times New Roman"/>
          <w:i/>
        </w:rPr>
        <w:t>children</w:t>
      </w:r>
      <w:r w:rsidRPr="009E7E81">
        <w:rPr>
          <w:rFonts w:eastAsia="Times New Roman" w:cs="Times New Roman"/>
        </w:rPr>
        <w:t xml:space="preserve"> of a migrant worker or former migrant worker be admitted to educational courses ‘under the </w:t>
      </w:r>
      <w:r w:rsidRPr="009E7E81">
        <w:rPr>
          <w:rFonts w:eastAsia="Times New Roman" w:cs="Times New Roman"/>
          <w:i/>
        </w:rPr>
        <w:t>same conditions</w:t>
      </w:r>
      <w:r w:rsidRPr="009E7E81">
        <w:rPr>
          <w:rFonts w:eastAsia="Times New Roman" w:cs="Times New Roman"/>
        </w:rPr>
        <w:t xml:space="preserve"> as the nationals of that State’, and States should enable ‘</w:t>
      </w:r>
      <w:r w:rsidRPr="009E7E81">
        <w:rPr>
          <w:rFonts w:eastAsia="Times New Roman" w:cs="Times New Roman"/>
          <w:i/>
        </w:rPr>
        <w:t>such children</w:t>
      </w:r>
      <w:r w:rsidRPr="009E7E81">
        <w:rPr>
          <w:rFonts w:eastAsia="Times New Roman" w:cs="Times New Roman"/>
        </w:rPr>
        <w:t xml:space="preserve"> </w:t>
      </w:r>
      <w:r w:rsidRPr="009E7E81">
        <w:rPr>
          <w:rFonts w:eastAsia="Times New Roman" w:cs="Times New Roman"/>
        </w:rPr>
        <w:lastRenderedPageBreak/>
        <w:t xml:space="preserve">to attend these courses under the </w:t>
      </w:r>
      <w:r w:rsidRPr="009E7E81">
        <w:rPr>
          <w:rFonts w:eastAsia="Times New Roman" w:cs="Times New Roman"/>
          <w:i/>
        </w:rPr>
        <w:t>best possible conditions</w:t>
      </w:r>
      <w:r w:rsidR="005E42FC">
        <w:rPr>
          <w:rFonts w:eastAsia="Times New Roman" w:cs="Times New Roman"/>
        </w:rPr>
        <w:t>’ (emphases added)</w:t>
      </w:r>
      <w:r w:rsidRPr="009E7E81">
        <w:rPr>
          <w:rFonts w:eastAsia="Times New Roman" w:cs="Times New Roman"/>
        </w:rPr>
        <w:t xml:space="preserve">. </w:t>
      </w:r>
      <w:r w:rsidR="006A5DCA">
        <w:rPr>
          <w:rFonts w:eastAsia="Times New Roman" w:cs="Times New Roman"/>
          <w:i/>
        </w:rPr>
        <w:t xml:space="preserve">Teixeira </w:t>
      </w:r>
      <w:r w:rsidR="006A5DCA">
        <w:rPr>
          <w:rFonts w:eastAsia="Times New Roman" w:cs="Times New Roman"/>
        </w:rPr>
        <w:t xml:space="preserve"> and </w:t>
      </w:r>
      <w:r w:rsidR="006A5DCA" w:rsidRPr="006A5DCA">
        <w:rPr>
          <w:rFonts w:eastAsia="Times New Roman" w:cs="Times New Roman"/>
        </w:rPr>
        <w:t>Ibrahim</w:t>
      </w:r>
      <w:r w:rsidR="006A5DCA">
        <w:rPr>
          <w:rFonts w:eastAsia="Times New Roman" w:cs="Times New Roman"/>
        </w:rPr>
        <w:t xml:space="preserve"> make clear that </w:t>
      </w:r>
      <w:r w:rsidRPr="006A5DCA">
        <w:rPr>
          <w:rFonts w:eastAsia="Times New Roman" w:cs="Times New Roman"/>
        </w:rPr>
        <w:t>family</w:t>
      </w:r>
      <w:r w:rsidRPr="009E7E81">
        <w:rPr>
          <w:rFonts w:eastAsia="Times New Roman" w:cs="Times New Roman"/>
        </w:rPr>
        <w:t xml:space="preserve"> access to benefits </w:t>
      </w:r>
      <w:r w:rsidR="006A5DCA">
        <w:rPr>
          <w:rFonts w:eastAsia="Times New Roman" w:cs="Times New Roman"/>
        </w:rPr>
        <w:t>(</w:t>
      </w:r>
      <w:r w:rsidRPr="009E7E81">
        <w:rPr>
          <w:rFonts w:eastAsia="Times New Roman" w:cs="Times New Roman"/>
        </w:rPr>
        <w:t>whoever is the technical recipient of a benefit</w:t>
      </w:r>
      <w:r w:rsidR="006A5DCA">
        <w:rPr>
          <w:rFonts w:eastAsia="Times New Roman" w:cs="Times New Roman"/>
        </w:rPr>
        <w:t>)</w:t>
      </w:r>
      <w:r w:rsidRPr="009E7E81">
        <w:rPr>
          <w:rFonts w:eastAsia="Times New Roman" w:cs="Times New Roman"/>
        </w:rPr>
        <w:t xml:space="preserve">, </w:t>
      </w:r>
      <w:r w:rsidR="006A5DCA">
        <w:rPr>
          <w:rFonts w:eastAsia="Times New Roman" w:cs="Times New Roman"/>
        </w:rPr>
        <w:t>supports</w:t>
      </w:r>
      <w:r w:rsidRPr="009E7E81">
        <w:rPr>
          <w:rFonts w:eastAsia="Times New Roman" w:cs="Times New Roman"/>
        </w:rPr>
        <w:t xml:space="preserve"> the </w:t>
      </w:r>
      <w:r w:rsidRPr="009E7E81">
        <w:rPr>
          <w:rFonts w:eastAsia="Times New Roman" w:cs="Times New Roman"/>
          <w:i/>
        </w:rPr>
        <w:t>child’s</w:t>
      </w:r>
      <w:r w:rsidRPr="009E7E81">
        <w:rPr>
          <w:rFonts w:eastAsia="Times New Roman" w:cs="Times New Roman"/>
        </w:rPr>
        <w:t xml:space="preserve"> right to reside and the child’s right t</w:t>
      </w:r>
      <w:r w:rsidR="005E42FC">
        <w:rPr>
          <w:rFonts w:eastAsia="Times New Roman" w:cs="Times New Roman"/>
        </w:rPr>
        <w:t>o equal treatment. This is self-</w:t>
      </w:r>
      <w:r w:rsidRPr="009E7E81">
        <w:rPr>
          <w:rFonts w:eastAsia="Times New Roman" w:cs="Times New Roman"/>
        </w:rPr>
        <w:t>explanatory when dealing with family benefits such as child benefit and child tax credit, but holds good for other benefits such as Housing Benefit which can make the difference between the family maintaining their home or not. The minimal backstop provision under section 17 of the Children Act may well not involve maintaining their home, may require relocation, may involve temporary accommodation for significant periods of time, and could involve substantial disruption to education</w:t>
      </w:r>
      <w:r w:rsidR="00E23B1F" w:rsidRPr="009E7E81">
        <w:rPr>
          <w:rFonts w:eastAsia="Times New Roman" w:cs="Times New Roman"/>
        </w:rPr>
        <w:t xml:space="preserve"> (Shelter, 2015)</w:t>
      </w:r>
      <w:r w:rsidRPr="009E7E81">
        <w:rPr>
          <w:rFonts w:eastAsia="Times New Roman" w:cs="Times New Roman"/>
        </w:rPr>
        <w:t xml:space="preserve">. </w:t>
      </w:r>
    </w:p>
    <w:p w14:paraId="1E972DAA" w14:textId="2D8E9BAC" w:rsidR="00F03376" w:rsidRPr="009E7E81" w:rsidRDefault="00F03376" w:rsidP="009E7E81">
      <w:pPr>
        <w:spacing w:before="100" w:beforeAutospacing="1" w:after="240" w:line="360" w:lineRule="auto"/>
        <w:jc w:val="both"/>
        <w:rPr>
          <w:rFonts w:eastAsia="Times New Roman" w:cs="Times New Roman"/>
        </w:rPr>
      </w:pPr>
      <w:r w:rsidRPr="009E7E81">
        <w:rPr>
          <w:rFonts w:eastAsia="Times New Roman" w:cs="Times New Roman"/>
        </w:rPr>
        <w:t xml:space="preserve">Whether or not the carers are the recipients of the benefits in question is irrelevant; what matters is the effects of benefit exclusion upon the children, and the unequal treatment they suffer as a consequence – that is why the derivative right to reside in </w:t>
      </w:r>
      <w:r w:rsidR="0077787E">
        <w:rPr>
          <w:rFonts w:eastAsia="Times New Roman" w:cs="Times New Roman"/>
          <w:i/>
        </w:rPr>
        <w:t>Ibrahim</w:t>
      </w:r>
      <w:r w:rsidRPr="009E7E81">
        <w:rPr>
          <w:rFonts w:eastAsia="Times New Roman" w:cs="Times New Roman"/>
        </w:rPr>
        <w:t xml:space="preserve"> not only provides for equal treatment with other EU nationals, but is a right to reside in itself that commands equal treatment with own state nationals, not conditional upon current work or sufficient resources. It should not therefore be material that benefits are paid to a </w:t>
      </w:r>
      <w:r w:rsidRPr="009E7E81">
        <w:rPr>
          <w:rFonts w:eastAsia="Times New Roman" w:cs="Times New Roman"/>
          <w:i/>
        </w:rPr>
        <w:t>Zambrano</w:t>
      </w:r>
      <w:r w:rsidRPr="009E7E81">
        <w:rPr>
          <w:rFonts w:eastAsia="Times New Roman" w:cs="Times New Roman"/>
        </w:rPr>
        <w:t xml:space="preserve"> carer rather than directly to the child – indeed, to find otherwise would eviscerate any child’s entitlement to equal treatment, since we might be hard pressed to find systems that disburse monies intended to support the cost of raising a child directly to the children themselves. </w:t>
      </w:r>
      <w:r w:rsidR="005E42FC">
        <w:rPr>
          <w:rFonts w:eastAsia="Times New Roman" w:cs="Times New Roman"/>
        </w:rPr>
        <w:t>W</w:t>
      </w:r>
      <w:r w:rsidR="00E23B1F" w:rsidRPr="009E7E81">
        <w:rPr>
          <w:rFonts w:eastAsia="Times New Roman" w:cs="Times New Roman"/>
        </w:rPr>
        <w:t xml:space="preserve">e would effectively be saying that children can never be entitled to equal treatment. </w:t>
      </w:r>
      <w:r w:rsidRPr="009E7E81">
        <w:rPr>
          <w:rFonts w:eastAsia="Times New Roman" w:cs="Times New Roman"/>
        </w:rPr>
        <w:t xml:space="preserve">What is crucial is supporting the child’s </w:t>
      </w:r>
      <w:r w:rsidR="00E23B1F" w:rsidRPr="009E7E81">
        <w:rPr>
          <w:rFonts w:eastAsia="Times New Roman" w:cs="Times New Roman"/>
        </w:rPr>
        <w:t xml:space="preserve">unequivocal </w:t>
      </w:r>
      <w:r w:rsidRPr="009E7E81">
        <w:rPr>
          <w:rFonts w:eastAsia="Times New Roman" w:cs="Times New Roman"/>
        </w:rPr>
        <w:t>right to reside – which is the right not merely to reside in the UK, but the right to stay in the Union at all. And the state has an obligation to ensure the ‘genuine enjoyment’ of that right, and the rights attached to citizenship, which include equal treatment (</w:t>
      </w:r>
      <w:r w:rsidR="00E23B1F" w:rsidRPr="009E7E81">
        <w:rPr>
          <w:rFonts w:eastAsia="Times New Roman" w:cs="Times New Roman"/>
        </w:rPr>
        <w:t>‘</w:t>
      </w:r>
      <w:r w:rsidRPr="009E7E81">
        <w:rPr>
          <w:rFonts w:eastAsia="Times New Roman" w:cs="Times New Roman"/>
        </w:rPr>
        <w:t>Non discrimination and citizenship of the Union</w:t>
      </w:r>
      <w:r w:rsidR="00E23B1F" w:rsidRPr="009E7E81">
        <w:rPr>
          <w:rFonts w:eastAsia="Times New Roman" w:cs="Times New Roman"/>
        </w:rPr>
        <w:t>’</w:t>
      </w:r>
      <w:r w:rsidRPr="009E7E81">
        <w:rPr>
          <w:rFonts w:eastAsia="Times New Roman" w:cs="Times New Roman"/>
        </w:rPr>
        <w:t xml:space="preserve"> are bound together in the title of ‘Part Two’ of the Treaty on the Functioning of the European Union). ‘Genuine enjoyment’ of equal treatment rights may well be akin to, or even demand, access to education ‘under the best possible conditions’, conferring a </w:t>
      </w:r>
      <w:r w:rsidR="0077787E">
        <w:rPr>
          <w:rFonts w:eastAsia="Times New Roman" w:cs="Times New Roman"/>
          <w:i/>
        </w:rPr>
        <w:t>Ibrahim</w:t>
      </w:r>
      <w:r w:rsidRPr="009E7E81">
        <w:rPr>
          <w:rFonts w:eastAsia="Times New Roman" w:cs="Times New Roman"/>
        </w:rPr>
        <w:t xml:space="preserve"> style right. Or it may mean a conditional entitlement to equal treatment, suggesting that the right to reside need be supplemented by the </w:t>
      </w:r>
      <w:r w:rsidRPr="009E7E81">
        <w:rPr>
          <w:rFonts w:eastAsia="Times New Roman" w:cs="Times New Roman"/>
        </w:rPr>
        <w:lastRenderedPageBreak/>
        <w:t xml:space="preserve">activities provided in Article 7 of Directive 2004/38. But the child is the centre of the claim; it is the child’s citizenship rights and equal treatment rights at issue, and which are infringed by </w:t>
      </w:r>
      <w:r w:rsidR="00E23B1F" w:rsidRPr="009E7E81">
        <w:rPr>
          <w:rFonts w:eastAsia="Times New Roman" w:cs="Times New Roman"/>
        </w:rPr>
        <w:t xml:space="preserve">rules which impose </w:t>
      </w:r>
      <w:r w:rsidR="00DD7DC7" w:rsidRPr="009E7E81">
        <w:rPr>
          <w:rFonts w:eastAsia="Times New Roman" w:cs="Times New Roman"/>
        </w:rPr>
        <w:t>automatic</w:t>
      </w:r>
      <w:r w:rsidRPr="009E7E81">
        <w:rPr>
          <w:rFonts w:eastAsia="Times New Roman" w:cs="Times New Roman"/>
        </w:rPr>
        <w:t>, and u</w:t>
      </w:r>
      <w:r w:rsidR="00DD7DC7" w:rsidRPr="009E7E81">
        <w:rPr>
          <w:rFonts w:eastAsia="Times New Roman" w:cs="Times New Roman"/>
        </w:rPr>
        <w:t>nconditional</w:t>
      </w:r>
      <w:r w:rsidRPr="009E7E81">
        <w:rPr>
          <w:rFonts w:eastAsia="Times New Roman" w:cs="Times New Roman"/>
        </w:rPr>
        <w:t xml:space="preserve">, unequal treatment. </w:t>
      </w:r>
    </w:p>
    <w:p w14:paraId="1DBBCA59" w14:textId="4FEDA235" w:rsidR="00F03376" w:rsidRPr="009E7E81" w:rsidRDefault="00F03376" w:rsidP="009E7E81">
      <w:pPr>
        <w:spacing w:after="240" w:line="360" w:lineRule="auto"/>
        <w:jc w:val="both"/>
        <w:rPr>
          <w:rFonts w:eastAsia="Times New Roman" w:cs="Times New Roman"/>
        </w:rPr>
      </w:pPr>
      <w:r w:rsidRPr="009E7E81">
        <w:rPr>
          <w:rFonts w:eastAsia="Times New Roman" w:cs="Times New Roman"/>
        </w:rPr>
        <w:t xml:space="preserve">In </w:t>
      </w:r>
      <w:r w:rsidRPr="009E7E81">
        <w:rPr>
          <w:rFonts w:eastAsia="Times New Roman" w:cs="Times New Roman"/>
          <w:i/>
        </w:rPr>
        <w:t>Sanneh</w:t>
      </w:r>
      <w:r w:rsidRPr="009E7E81">
        <w:rPr>
          <w:rFonts w:eastAsia="Times New Roman" w:cs="Times New Roman"/>
        </w:rPr>
        <w:t xml:space="preserve">, the Court of Appeal found rather swiftly that an argument about the equal treatment rights of the children did not avail the claimants, because what was contended was different treatment to EU national children, and that therefore this was reverse discrimination, which was not prohibited under EU law. </w:t>
      </w:r>
      <w:r w:rsidR="00D72E6E" w:rsidRPr="009E7E81">
        <w:rPr>
          <w:rFonts w:eastAsia="Times New Roman" w:cs="Times New Roman"/>
        </w:rPr>
        <w:t xml:space="preserve">The only other potential source of equal treatment, reasoned Arden LJ, was therefore the European Convention of Human Rights, for which any different treatment had to be shown to be ‘manifestly without foundation’. </w:t>
      </w:r>
      <w:r w:rsidR="00D72E6E">
        <w:rPr>
          <w:rFonts w:eastAsia="Times New Roman" w:cs="Times New Roman"/>
        </w:rPr>
        <w:t>But this</w:t>
      </w:r>
      <w:r w:rsidR="00DD7DC7" w:rsidRPr="009E7E81">
        <w:rPr>
          <w:rFonts w:eastAsia="Times New Roman" w:cs="Times New Roman"/>
        </w:rPr>
        <w:t xml:space="preserve"> </w:t>
      </w:r>
      <w:r w:rsidRPr="009E7E81">
        <w:rPr>
          <w:rFonts w:eastAsia="Times New Roman" w:cs="Times New Roman"/>
        </w:rPr>
        <w:t>dis</w:t>
      </w:r>
      <w:r w:rsidR="003E747A">
        <w:rPr>
          <w:rFonts w:eastAsia="Times New Roman" w:cs="Times New Roman"/>
        </w:rPr>
        <w:t xml:space="preserve">missal of the possibility of EU </w:t>
      </w:r>
      <w:r w:rsidRPr="009E7E81">
        <w:rPr>
          <w:rFonts w:eastAsia="Times New Roman" w:cs="Times New Roman"/>
        </w:rPr>
        <w:t xml:space="preserve">based protection from discrimination, and recourse to the ECHR was too hasty. The key feature here is not reverse discrimination, which is discrimination against own nationals </w:t>
      </w:r>
      <w:r w:rsidRPr="009E7E81">
        <w:rPr>
          <w:rFonts w:eastAsia="Times New Roman" w:cs="Times New Roman"/>
          <w:i/>
        </w:rPr>
        <w:t>whose situation does not fall within EU law</w:t>
      </w:r>
      <w:r w:rsidRPr="009E7E81">
        <w:rPr>
          <w:rFonts w:eastAsia="Times New Roman" w:cs="Times New Roman"/>
        </w:rPr>
        <w:t xml:space="preserve">. The key feature is a two-pronged infringement of the general principle of equal treatment. </w:t>
      </w:r>
      <w:r w:rsidRPr="009E7E81">
        <w:rPr>
          <w:rFonts w:eastAsia="Times New Roman" w:cs="Times New Roman"/>
          <w:i/>
        </w:rPr>
        <w:t xml:space="preserve">Zambrano </w:t>
      </w:r>
      <w:r w:rsidRPr="009E7E81">
        <w:rPr>
          <w:rFonts w:eastAsia="Times New Roman" w:cs="Times New Roman"/>
        </w:rPr>
        <w:t>children are firstly discriminated against when compared to other UK national children. Secondly, unlike many other UK national children, they are not in a wholly internal situati</w:t>
      </w:r>
      <w:r w:rsidR="006F63F7">
        <w:rPr>
          <w:rFonts w:eastAsia="Times New Roman" w:cs="Times New Roman"/>
        </w:rPr>
        <w:t>on; they have an EU citizenship-</w:t>
      </w:r>
      <w:r w:rsidRPr="009E7E81">
        <w:rPr>
          <w:rFonts w:eastAsia="Times New Roman" w:cs="Times New Roman"/>
        </w:rPr>
        <w:t>based right to reside, and as such are discriminated against when compar</w:t>
      </w:r>
      <w:r w:rsidR="006F63F7">
        <w:rPr>
          <w:rFonts w:eastAsia="Times New Roman" w:cs="Times New Roman"/>
        </w:rPr>
        <w:t>ed to other children with an EU citizenship-</w:t>
      </w:r>
      <w:r w:rsidRPr="009E7E81">
        <w:rPr>
          <w:rFonts w:eastAsia="Times New Roman" w:cs="Times New Roman"/>
        </w:rPr>
        <w:t xml:space="preserve">based right to reside.   </w:t>
      </w:r>
    </w:p>
    <w:p w14:paraId="64A18F79" w14:textId="7B52538B" w:rsidR="00DD7DC7" w:rsidRPr="009E7E81" w:rsidRDefault="00F03376" w:rsidP="009E7E81">
      <w:pPr>
        <w:spacing w:after="240" w:line="360" w:lineRule="auto"/>
        <w:jc w:val="both"/>
        <w:rPr>
          <w:rFonts w:eastAsia="Times New Roman" w:cs="Arial"/>
          <w:shd w:val="clear" w:color="auto" w:fill="FFFFFF"/>
        </w:rPr>
      </w:pPr>
      <w:r w:rsidRPr="009E7E81">
        <w:rPr>
          <w:rFonts w:eastAsia="Times New Roman" w:cs="Times New Roman"/>
        </w:rPr>
        <w:t>Falling within the scope of EU law, they are entitled to be covered by the general principles of EU law, including equal treatment - the principle that ‘</w:t>
      </w:r>
      <w:r w:rsidRPr="009E7E81">
        <w:rPr>
          <w:rFonts w:eastAsia="Times New Roman" w:cs="Arial"/>
          <w:shd w:val="clear" w:color="auto" w:fill="FFFFFF"/>
        </w:rPr>
        <w:t xml:space="preserve">comparable situations must not be treated differently and that different situations must not be treated in the same way unless such treatment is objectively justified’. The CJEU found in </w:t>
      </w:r>
      <w:r w:rsidR="00DD7DC7" w:rsidRPr="009E7E81">
        <w:rPr>
          <w:rFonts w:eastAsia="Times New Roman" w:cs="Arial"/>
          <w:shd w:val="clear" w:color="auto" w:fill="FFFFFF"/>
        </w:rPr>
        <w:t xml:space="preserve">Case C-300/04 </w:t>
      </w:r>
      <w:r w:rsidRPr="009E7E81">
        <w:rPr>
          <w:rFonts w:eastAsia="Times New Roman" w:cs="Arial"/>
          <w:i/>
          <w:shd w:val="clear" w:color="auto" w:fill="FFFFFF"/>
        </w:rPr>
        <w:t>Eman and Sevinger</w:t>
      </w:r>
      <w:r w:rsidR="00DD7DC7" w:rsidRPr="009E7E81">
        <w:rPr>
          <w:rFonts w:eastAsia="Times New Roman" w:cs="Arial"/>
          <w:i/>
          <w:shd w:val="clear" w:color="auto" w:fill="FFFFFF"/>
        </w:rPr>
        <w:t xml:space="preserve"> </w:t>
      </w:r>
      <w:r w:rsidR="00DD7DC7" w:rsidRPr="009E7E81">
        <w:rPr>
          <w:rFonts w:eastAsia="Times New Roman" w:cs="Arial"/>
          <w:shd w:val="clear" w:color="auto" w:fill="FFFFFF"/>
        </w:rPr>
        <w:t>[200] ECR I-08055</w:t>
      </w:r>
      <w:r w:rsidRPr="009E7E81">
        <w:rPr>
          <w:rFonts w:eastAsia="Times New Roman" w:cs="Arial"/>
          <w:i/>
          <w:shd w:val="clear" w:color="auto" w:fill="FFFFFF"/>
        </w:rPr>
        <w:t xml:space="preserve">, </w:t>
      </w:r>
      <w:r w:rsidRPr="009E7E81">
        <w:rPr>
          <w:rFonts w:eastAsia="Times New Roman" w:cs="Arial"/>
          <w:shd w:val="clear" w:color="auto" w:fill="FFFFFF"/>
        </w:rPr>
        <w:t xml:space="preserve">a case in which the Netherlands withheld European Parliament voting rights from its own nationals who were in its overseas territories, that a Member State must not differentiate between its own citizens, especially with in the context of the exercise of rights attached to Union citizenship. This includes areas which otherwise fall under the discretion of the legislature; in </w:t>
      </w:r>
      <w:r w:rsidRPr="009E7E81">
        <w:rPr>
          <w:rFonts w:eastAsia="Times New Roman" w:cs="Arial"/>
          <w:i/>
          <w:shd w:val="clear" w:color="auto" w:fill="FFFFFF"/>
        </w:rPr>
        <w:t>Eman and Sevinger</w:t>
      </w:r>
      <w:r w:rsidRPr="009E7E81">
        <w:rPr>
          <w:rFonts w:eastAsia="Times New Roman" w:cs="Arial"/>
          <w:shd w:val="clear" w:color="auto" w:fill="FFFFFF"/>
        </w:rPr>
        <w:t xml:space="preserve">, the Court acknowledged that reserving the vote for those maintaining links with the Netherlands was a potentially legitimate aim, and a residence criterion a </w:t>
      </w:r>
      <w:r w:rsidRPr="009E7E81">
        <w:rPr>
          <w:rFonts w:eastAsia="Times New Roman" w:cs="Arial"/>
          <w:shd w:val="clear" w:color="auto" w:fill="FFFFFF"/>
        </w:rPr>
        <w:lastRenderedPageBreak/>
        <w:t>potentially appropriate means</w:t>
      </w:r>
      <w:r w:rsidR="00DD7DC7" w:rsidRPr="009E7E81">
        <w:rPr>
          <w:rFonts w:eastAsia="Times New Roman" w:cs="Arial"/>
          <w:shd w:val="clear" w:color="auto" w:fill="FFFFFF"/>
        </w:rPr>
        <w:t xml:space="preserve"> (55)</w:t>
      </w:r>
      <w:r w:rsidRPr="009E7E81">
        <w:rPr>
          <w:rFonts w:eastAsia="Times New Roman" w:cs="Arial"/>
          <w:shd w:val="clear" w:color="auto" w:fill="FFFFFF"/>
        </w:rPr>
        <w:t>. Moreover, deciding how to confer the right to vote and the holding of elections fell with the legislature’s discretion</w:t>
      </w:r>
      <w:r w:rsidR="00DD7DC7" w:rsidRPr="009E7E81">
        <w:rPr>
          <w:rFonts w:eastAsia="Times New Roman" w:cs="Arial"/>
          <w:shd w:val="clear" w:color="auto" w:fill="FFFFFF"/>
        </w:rPr>
        <w:t xml:space="preserve"> (60)</w:t>
      </w:r>
      <w:r w:rsidRPr="009E7E81">
        <w:rPr>
          <w:rFonts w:eastAsia="Times New Roman" w:cs="Arial"/>
          <w:shd w:val="clear" w:color="auto" w:fill="FFFFFF"/>
        </w:rPr>
        <w:t>. However, the argument was shown to lack logic, since Aruba residents who moved to a non-member State would acquire the vote, but could not acquire it while resident in Aruba. The rules did not bear out the aims, and did not prioritise those with the greatest links to the Netherlands, so the Court found that the Netherlands government had ‘not sufficiently demonstrated’ that the difference in treatment between its own nationals was objectively justified</w:t>
      </w:r>
      <w:r w:rsidR="00DD7DC7" w:rsidRPr="009E7E81">
        <w:rPr>
          <w:rFonts w:eastAsia="Times New Roman" w:cs="Arial"/>
          <w:shd w:val="clear" w:color="auto" w:fill="FFFFFF"/>
        </w:rPr>
        <w:t xml:space="preserve"> (60)</w:t>
      </w:r>
      <w:r w:rsidRPr="009E7E81">
        <w:rPr>
          <w:rFonts w:eastAsia="Times New Roman" w:cs="Arial"/>
          <w:shd w:val="clear" w:color="auto" w:fill="FFFFFF"/>
        </w:rPr>
        <w:t>. In the same v</w:t>
      </w:r>
      <w:r w:rsidR="00DD7DC7" w:rsidRPr="009E7E81">
        <w:rPr>
          <w:rFonts w:eastAsia="Times New Roman" w:cs="Arial"/>
          <w:shd w:val="clear" w:color="auto" w:fill="FFFFFF"/>
        </w:rPr>
        <w:t>e</w:t>
      </w:r>
      <w:r w:rsidRPr="009E7E81">
        <w:rPr>
          <w:rFonts w:eastAsia="Times New Roman" w:cs="Arial"/>
          <w:shd w:val="clear" w:color="auto" w:fill="FFFFFF"/>
        </w:rPr>
        <w:t>in, it might be shown that the UK’s determination of its welfare system falls within its margin of discretion, though we must remember that th</w:t>
      </w:r>
      <w:r w:rsidR="006F63F7">
        <w:rPr>
          <w:rFonts w:eastAsia="Times New Roman" w:cs="Arial"/>
          <w:shd w:val="clear" w:color="auto" w:fill="FFFFFF"/>
        </w:rPr>
        <w:t>e children are exercising an EU citizenship-</w:t>
      </w:r>
      <w:r w:rsidRPr="009E7E81">
        <w:rPr>
          <w:rFonts w:eastAsia="Times New Roman" w:cs="Arial"/>
          <w:shd w:val="clear" w:color="auto" w:fill="FFFFFF"/>
        </w:rPr>
        <w:t xml:space="preserve">based right to reside, and so their rights are a matter of EU law. </w:t>
      </w:r>
      <w:r w:rsidR="00DD7DC7" w:rsidRPr="009E7E81">
        <w:rPr>
          <w:rFonts w:eastAsia="Times New Roman" w:cs="Arial"/>
          <w:shd w:val="clear" w:color="auto" w:fill="FFFFFF"/>
        </w:rPr>
        <w:t>The exclusion applies to UK nationals resident in the UK, whose family may also have significant economic connections with the UK, and treats them unfavourably compared to UK national children in a comparable situation – i.e. UK national children, likely born in the UK, and resident in the UK. They may indeed have been resident longer than other UK national children, they may have more family connections, they may be more socially integrated and have attended school, and their parent(s) may have clocked up more contributions. The one thing that makes them different is that they are entitled to the EU protections afforded to safeguard their Union citizenship as well.</w:t>
      </w:r>
    </w:p>
    <w:p w14:paraId="3EBA130E" w14:textId="6B8361BF" w:rsidR="00F03376" w:rsidRPr="009E7E81" w:rsidRDefault="00F03376" w:rsidP="009E7E81">
      <w:pPr>
        <w:spacing w:after="240" w:line="360" w:lineRule="auto"/>
        <w:jc w:val="both"/>
        <w:rPr>
          <w:rFonts w:eastAsia="Times New Roman" w:cs="Times New Roman"/>
        </w:rPr>
      </w:pPr>
      <w:r w:rsidRPr="009E7E81">
        <w:rPr>
          <w:rFonts w:eastAsia="Times New Roman" w:cs="Arial"/>
          <w:shd w:val="clear" w:color="auto" w:fill="FFFFFF"/>
        </w:rPr>
        <w:t xml:space="preserve">In </w:t>
      </w:r>
      <w:r w:rsidR="00DD7DC7" w:rsidRPr="009E7E81">
        <w:rPr>
          <w:rFonts w:eastAsia="Times New Roman" w:cs="Arial"/>
          <w:shd w:val="clear" w:color="auto" w:fill="FFFFFF"/>
        </w:rPr>
        <w:t xml:space="preserve">Case C-135/08 </w:t>
      </w:r>
      <w:r w:rsidRPr="009E7E81">
        <w:rPr>
          <w:rFonts w:eastAsia="Times New Roman" w:cs="Arial"/>
          <w:i/>
          <w:shd w:val="clear" w:color="auto" w:fill="FFFFFF"/>
        </w:rPr>
        <w:t>Rottman</w:t>
      </w:r>
      <w:r w:rsidR="00DD7DC7" w:rsidRPr="009E7E81">
        <w:rPr>
          <w:rFonts w:eastAsia="Times New Roman" w:cs="Arial"/>
          <w:shd w:val="clear" w:color="auto" w:fill="FFFFFF"/>
        </w:rPr>
        <w:t xml:space="preserve"> [2010] ECR I-01449</w:t>
      </w:r>
      <w:r w:rsidRPr="009E7E81">
        <w:rPr>
          <w:rFonts w:eastAsia="Times New Roman" w:cs="Arial"/>
          <w:shd w:val="clear" w:color="auto" w:fill="FFFFFF"/>
        </w:rPr>
        <w:t xml:space="preserve">, the CJEU stated that ‘it is legitimate for a Member State to wish to protect the special relationship of solidarity and good faith between it and its nationals and also the reciprocity of rights and duties, which form the </w:t>
      </w:r>
      <w:r w:rsidR="000716AF" w:rsidRPr="009E7E81">
        <w:rPr>
          <w:rFonts w:eastAsia="Times New Roman" w:cs="Arial"/>
          <w:shd w:val="clear" w:color="auto" w:fill="FFFFFF"/>
        </w:rPr>
        <w:t xml:space="preserve">which form the bedrock </w:t>
      </w:r>
      <w:r w:rsidRPr="009E7E81">
        <w:rPr>
          <w:rFonts w:eastAsia="Times New Roman" w:cs="Arial"/>
          <w:shd w:val="clear" w:color="auto" w:fill="FFFFFF"/>
        </w:rPr>
        <w:t>of the bond of nationality’</w:t>
      </w:r>
      <w:r w:rsidR="00DD7DC7" w:rsidRPr="009E7E81">
        <w:rPr>
          <w:rFonts w:eastAsia="Times New Roman" w:cs="Arial"/>
          <w:shd w:val="clear" w:color="auto" w:fill="FFFFFF"/>
        </w:rPr>
        <w:t xml:space="preserve"> (51)</w:t>
      </w:r>
      <w:r w:rsidRPr="009E7E81">
        <w:rPr>
          <w:rFonts w:eastAsia="Times New Roman" w:cs="Arial"/>
          <w:shd w:val="clear" w:color="auto" w:fill="FFFFFF"/>
        </w:rPr>
        <w:t xml:space="preserve">. </w:t>
      </w:r>
      <w:r w:rsidRPr="009E7E81">
        <w:rPr>
          <w:rFonts w:eastAsia="Times New Roman" w:cs="Arial"/>
          <w:i/>
          <w:shd w:val="clear" w:color="auto" w:fill="FFFFFF"/>
        </w:rPr>
        <w:t>Zambrano</w:t>
      </w:r>
      <w:r w:rsidRPr="009E7E81">
        <w:rPr>
          <w:rFonts w:eastAsia="Times New Roman" w:cs="Arial"/>
          <w:shd w:val="clear" w:color="auto" w:fill="FFFFFF"/>
        </w:rPr>
        <w:t xml:space="preserve"> children share that bedrock of nationality. They are in a comparable situation with other UK nationals because they are entitled to benefit from that ‘special relationship of solidarity and good faith’, and to ‘reciprocal rights and duties’, and may not be entitled to benefit from that special relationship anywhere else. </w:t>
      </w:r>
    </w:p>
    <w:p w14:paraId="5BEFFE3D" w14:textId="63BE720D" w:rsidR="00F03376" w:rsidRDefault="00F03376" w:rsidP="009E7E81">
      <w:pPr>
        <w:spacing w:after="240" w:line="360" w:lineRule="auto"/>
        <w:jc w:val="both"/>
        <w:rPr>
          <w:rFonts w:eastAsia="Times New Roman" w:cs="Arial"/>
          <w:shd w:val="clear" w:color="auto" w:fill="FFFFFF"/>
        </w:rPr>
      </w:pPr>
      <w:r w:rsidRPr="009E7E81">
        <w:rPr>
          <w:rFonts w:eastAsia="Times New Roman" w:cs="Arial"/>
          <w:shd w:val="clear" w:color="auto" w:fill="FFFFFF"/>
        </w:rPr>
        <w:t xml:space="preserve">They are also in a comparable situation to EU national children with </w:t>
      </w:r>
      <w:r w:rsidRPr="009E7E81">
        <w:rPr>
          <w:rFonts w:eastAsia="Times New Roman" w:cs="Arial"/>
          <w:i/>
          <w:shd w:val="clear" w:color="auto" w:fill="FFFFFF"/>
        </w:rPr>
        <w:t xml:space="preserve">Teixeira </w:t>
      </w:r>
      <w:r w:rsidRPr="009E7E81">
        <w:rPr>
          <w:rFonts w:eastAsia="Times New Roman" w:cs="Arial"/>
          <w:shd w:val="clear" w:color="auto" w:fill="FFFFFF"/>
        </w:rPr>
        <w:t xml:space="preserve"> and </w:t>
      </w:r>
      <w:r w:rsidRPr="009E7E81">
        <w:rPr>
          <w:rFonts w:eastAsia="Times New Roman" w:cs="Arial"/>
          <w:i/>
          <w:shd w:val="clear" w:color="auto" w:fill="FFFFFF"/>
        </w:rPr>
        <w:t xml:space="preserve">Ibrahim </w:t>
      </w:r>
      <w:r w:rsidRPr="009E7E81">
        <w:rPr>
          <w:rFonts w:eastAsia="Times New Roman" w:cs="Arial"/>
          <w:shd w:val="clear" w:color="auto" w:fill="FFFFFF"/>
        </w:rPr>
        <w:t>c</w:t>
      </w:r>
      <w:r w:rsidR="006F63F7">
        <w:rPr>
          <w:rFonts w:eastAsia="Times New Roman" w:cs="Arial"/>
          <w:shd w:val="clear" w:color="auto" w:fill="FFFFFF"/>
        </w:rPr>
        <w:t>arers, having an EU citizenship-</w:t>
      </w:r>
      <w:r w:rsidRPr="009E7E81">
        <w:rPr>
          <w:rFonts w:eastAsia="Times New Roman" w:cs="Arial"/>
          <w:shd w:val="clear" w:color="auto" w:fill="FFFFFF"/>
        </w:rPr>
        <w:t xml:space="preserve">based right to reside – though of </w:t>
      </w:r>
      <w:r w:rsidRPr="009E7E81">
        <w:rPr>
          <w:rFonts w:eastAsia="Times New Roman" w:cs="Arial"/>
          <w:shd w:val="clear" w:color="auto" w:fill="FFFFFF"/>
        </w:rPr>
        <w:lastRenderedPageBreak/>
        <w:t xml:space="preserve">course </w:t>
      </w:r>
      <w:r w:rsidRPr="009E7E81">
        <w:rPr>
          <w:rFonts w:eastAsia="Times New Roman" w:cs="Arial"/>
          <w:i/>
          <w:shd w:val="clear" w:color="auto" w:fill="FFFFFF"/>
        </w:rPr>
        <w:t>Zambrano</w:t>
      </w:r>
      <w:r w:rsidRPr="009E7E81">
        <w:rPr>
          <w:rFonts w:eastAsia="Times New Roman" w:cs="Arial"/>
          <w:shd w:val="clear" w:color="auto" w:fill="FFFFFF"/>
        </w:rPr>
        <w:t xml:space="preserve"> children have </w:t>
      </w:r>
      <w:r w:rsidR="006F63F7">
        <w:rPr>
          <w:rFonts w:eastAsia="Times New Roman" w:cs="Arial"/>
          <w:shd w:val="clear" w:color="auto" w:fill="FFFFFF"/>
        </w:rPr>
        <w:t>their own direct EU citizenship-</w:t>
      </w:r>
      <w:r w:rsidRPr="009E7E81">
        <w:rPr>
          <w:rFonts w:eastAsia="Times New Roman" w:cs="Arial"/>
          <w:shd w:val="clear" w:color="auto" w:fill="FFFFFF"/>
        </w:rPr>
        <w:t xml:space="preserve">based right to reside, whereas </w:t>
      </w:r>
      <w:r w:rsidR="0077787E">
        <w:rPr>
          <w:rFonts w:eastAsia="Times New Roman" w:cs="Arial"/>
          <w:i/>
          <w:shd w:val="clear" w:color="auto" w:fill="FFFFFF"/>
        </w:rPr>
        <w:t>Teixeira/Ibrahim</w:t>
      </w:r>
      <w:r w:rsidRPr="009E7E81">
        <w:rPr>
          <w:rFonts w:eastAsia="Times New Roman" w:cs="Arial"/>
          <w:i/>
          <w:shd w:val="clear" w:color="auto" w:fill="FFFFFF"/>
        </w:rPr>
        <w:t xml:space="preserve"> </w:t>
      </w:r>
      <w:r w:rsidRPr="009E7E81">
        <w:rPr>
          <w:rFonts w:eastAsia="Times New Roman" w:cs="Arial"/>
          <w:shd w:val="clear" w:color="auto" w:fill="FFFFFF"/>
        </w:rPr>
        <w:t xml:space="preserve"> children have a right that derives from another EU citizen’s right to reside (and themselves may be third country nationals). If anything, </w:t>
      </w:r>
      <w:r w:rsidRPr="009E7E81">
        <w:rPr>
          <w:rFonts w:eastAsia="Times New Roman" w:cs="Arial"/>
          <w:i/>
          <w:shd w:val="clear" w:color="auto" w:fill="FFFFFF"/>
        </w:rPr>
        <w:t xml:space="preserve">Zambrano </w:t>
      </w:r>
      <w:r w:rsidRPr="009E7E81">
        <w:rPr>
          <w:rFonts w:eastAsia="Times New Roman" w:cs="Arial"/>
          <w:shd w:val="clear" w:color="auto" w:fill="FFFFFF"/>
        </w:rPr>
        <w:t>children</w:t>
      </w:r>
      <w:r w:rsidR="00F14B76">
        <w:rPr>
          <w:rFonts w:eastAsia="Times New Roman" w:cs="Arial"/>
          <w:shd w:val="clear" w:color="auto" w:fill="FFFFFF"/>
        </w:rPr>
        <w:t>’s</w:t>
      </w:r>
      <w:r w:rsidRPr="009E7E81">
        <w:rPr>
          <w:rFonts w:eastAsia="Times New Roman" w:cs="Arial"/>
          <w:shd w:val="clear" w:color="auto" w:fill="FFFFFF"/>
        </w:rPr>
        <w:t xml:space="preserve"> </w:t>
      </w:r>
      <w:r w:rsidR="005E42FC">
        <w:rPr>
          <w:rFonts w:eastAsia="Times New Roman" w:cs="Arial"/>
          <w:shd w:val="clear" w:color="auto" w:fill="FFFFFF"/>
        </w:rPr>
        <w:t>connections to the UK – and</w:t>
      </w:r>
      <w:r w:rsidRPr="009E7E81">
        <w:rPr>
          <w:rFonts w:eastAsia="Times New Roman" w:cs="Arial"/>
          <w:shd w:val="clear" w:color="auto" w:fill="FFFFFF"/>
        </w:rPr>
        <w:t xml:space="preserve"> the Union - may be stronger than those of </w:t>
      </w:r>
      <w:r w:rsidR="0077787E" w:rsidRPr="0077787E">
        <w:rPr>
          <w:rFonts w:eastAsia="Times New Roman" w:cs="Arial"/>
          <w:i/>
          <w:shd w:val="clear" w:color="auto" w:fill="FFFFFF"/>
        </w:rPr>
        <w:t>Teixeira</w:t>
      </w:r>
      <w:r w:rsidR="0077787E">
        <w:rPr>
          <w:rFonts w:eastAsia="Times New Roman" w:cs="Arial"/>
          <w:shd w:val="clear" w:color="auto" w:fill="FFFFFF"/>
        </w:rPr>
        <w:t>/</w:t>
      </w:r>
      <w:r w:rsidR="0077787E">
        <w:rPr>
          <w:rFonts w:eastAsia="Times New Roman" w:cs="Arial"/>
          <w:i/>
          <w:shd w:val="clear" w:color="auto" w:fill="FFFFFF"/>
        </w:rPr>
        <w:t>Ibrahim</w:t>
      </w:r>
      <w:r w:rsidRPr="009E7E81">
        <w:rPr>
          <w:rFonts w:eastAsia="Times New Roman" w:cs="Arial"/>
          <w:shd w:val="clear" w:color="auto" w:fill="FFFFFF"/>
        </w:rPr>
        <w:t xml:space="preserve"> children, not only due to nationality, but other circumstances – age, duration of residence, integration, language, absence of links with another state, economic activity of parents etc</w:t>
      </w:r>
      <w:r w:rsidR="00231D7C" w:rsidRPr="009E7E81">
        <w:rPr>
          <w:rFonts w:eastAsia="Times New Roman" w:cs="Arial"/>
          <w:shd w:val="clear" w:color="auto" w:fill="FFFFFF"/>
        </w:rPr>
        <w:t xml:space="preserve"> (see Starup and Elsmore, 2010)</w:t>
      </w:r>
      <w:r w:rsidRPr="009E7E81">
        <w:rPr>
          <w:rFonts w:eastAsia="Times New Roman" w:cs="Arial"/>
          <w:shd w:val="clear" w:color="auto" w:fill="FFFFFF"/>
        </w:rPr>
        <w:t xml:space="preserve">. The UK must show that treating this group of </w:t>
      </w:r>
      <w:r w:rsidR="00F14B76">
        <w:rPr>
          <w:rFonts w:eastAsia="Times New Roman" w:cs="Arial"/>
          <w:shd w:val="clear" w:color="auto" w:fill="FFFFFF"/>
        </w:rPr>
        <w:t>children with an EU citizenship-</w:t>
      </w:r>
      <w:r w:rsidRPr="009E7E81">
        <w:rPr>
          <w:rFonts w:eastAsia="Times New Roman" w:cs="Arial"/>
          <w:shd w:val="clear" w:color="auto" w:fill="FFFFFF"/>
        </w:rPr>
        <w:t xml:space="preserve">based right to reside differently from other </w:t>
      </w:r>
      <w:r w:rsidR="00F14B76">
        <w:rPr>
          <w:rFonts w:eastAsia="Times New Roman" w:cs="Arial"/>
          <w:shd w:val="clear" w:color="auto" w:fill="FFFFFF"/>
        </w:rPr>
        <w:t>children with an EU citizenship-</w:t>
      </w:r>
      <w:r w:rsidRPr="009E7E81">
        <w:rPr>
          <w:rFonts w:eastAsia="Times New Roman" w:cs="Arial"/>
          <w:shd w:val="clear" w:color="auto" w:fill="FFFFFF"/>
        </w:rPr>
        <w:t xml:space="preserve">based right to reside is justified, demonstrating that the aim is legitimate, but also that the means are appropriate and proportionate. This has not yet been shown. </w:t>
      </w:r>
    </w:p>
    <w:p w14:paraId="6C77BC3A" w14:textId="1C0AA97E" w:rsidR="00D72E6E" w:rsidRDefault="00D72E6E" w:rsidP="009E7E81">
      <w:pPr>
        <w:spacing w:after="240" w:line="360" w:lineRule="auto"/>
        <w:jc w:val="both"/>
        <w:rPr>
          <w:rFonts w:eastAsia="Times New Roman" w:cs="Times New Roman"/>
        </w:rPr>
      </w:pPr>
      <w:r>
        <w:rPr>
          <w:rFonts w:eastAsia="Times New Roman" w:cs="Arial"/>
          <w:shd w:val="clear" w:color="auto" w:fill="FFFFFF"/>
        </w:rPr>
        <w:t>The</w:t>
      </w:r>
      <w:r w:rsidR="00F0525E">
        <w:rPr>
          <w:rFonts w:eastAsia="Times New Roman" w:cs="Arial"/>
          <w:shd w:val="clear" w:color="auto" w:fill="FFFFFF"/>
        </w:rPr>
        <w:t xml:space="preserve"> mismatch between the aims and means is also pertinent to possible discrimination under</w:t>
      </w:r>
      <w:r w:rsidR="005E42FC">
        <w:rPr>
          <w:rFonts w:eastAsia="Times New Roman" w:cs="Arial"/>
          <w:shd w:val="clear" w:color="auto" w:fill="FFFFFF"/>
        </w:rPr>
        <w:t xml:space="preserve"> the ECHR. This avenue was </w:t>
      </w:r>
      <w:r w:rsidR="00F0525E">
        <w:rPr>
          <w:rFonts w:eastAsia="Times New Roman" w:cs="Arial"/>
          <w:shd w:val="clear" w:color="auto" w:fill="FFFFFF"/>
        </w:rPr>
        <w:t xml:space="preserve">closed off by the Court of Appeal, which found the rules not to be manifestly without reasonable foundation, because </w:t>
      </w:r>
      <w:r w:rsidRPr="009E7E81">
        <w:rPr>
          <w:rFonts w:eastAsia="Times New Roman" w:cs="Times New Roman"/>
        </w:rPr>
        <w:t xml:space="preserve">of </w:t>
      </w:r>
      <w:r w:rsidR="00F0525E">
        <w:rPr>
          <w:rFonts w:eastAsia="Times New Roman" w:cs="Times New Roman"/>
        </w:rPr>
        <w:t xml:space="preserve">(i) </w:t>
      </w:r>
      <w:r w:rsidRPr="009E7E81">
        <w:rPr>
          <w:rFonts w:eastAsia="Times New Roman" w:cs="Times New Roman"/>
        </w:rPr>
        <w:t xml:space="preserve">the existence of s 17 support under the Children Act, </w:t>
      </w:r>
      <w:r w:rsidR="00410F94">
        <w:rPr>
          <w:rFonts w:eastAsia="Times New Roman" w:cs="Times New Roman"/>
        </w:rPr>
        <w:t xml:space="preserve">(ii) </w:t>
      </w:r>
      <w:r w:rsidRPr="009E7E81">
        <w:rPr>
          <w:rFonts w:eastAsia="Times New Roman" w:cs="Times New Roman"/>
        </w:rPr>
        <w:t xml:space="preserve">the possibility of relying on national immigration law to gain another status, and </w:t>
      </w:r>
      <w:r w:rsidR="00410F94">
        <w:rPr>
          <w:rFonts w:eastAsia="Times New Roman" w:cs="Times New Roman"/>
        </w:rPr>
        <w:t xml:space="preserve">(iii) </w:t>
      </w:r>
      <w:r w:rsidRPr="009E7E81">
        <w:rPr>
          <w:rFonts w:eastAsia="Times New Roman" w:cs="Times New Roman"/>
        </w:rPr>
        <w:t xml:space="preserve">the government’s policy reasons for restricting benefits. While ‘manifestly without reasonable foundation’ is </w:t>
      </w:r>
      <w:r w:rsidR="00F0525E">
        <w:rPr>
          <w:rFonts w:eastAsia="Times New Roman" w:cs="Times New Roman"/>
        </w:rPr>
        <w:t xml:space="preserve">a </w:t>
      </w:r>
      <w:r w:rsidRPr="009E7E81">
        <w:rPr>
          <w:rFonts w:eastAsia="Times New Roman" w:cs="Times New Roman"/>
        </w:rPr>
        <w:t xml:space="preserve">high hurdle, these particular foundations lack reason. The possibility of other, minimal, back-stop support </w:t>
      </w:r>
      <w:r w:rsidRPr="009E7E81">
        <w:rPr>
          <w:rFonts w:eastAsia="Times New Roman" w:cs="Times New Roman"/>
          <w:i/>
        </w:rPr>
        <w:t xml:space="preserve">is </w:t>
      </w:r>
      <w:r w:rsidRPr="009E7E81">
        <w:rPr>
          <w:rFonts w:eastAsia="Times New Roman" w:cs="Times New Roman"/>
        </w:rPr>
        <w:t>the differential treatment in question, it is not the justification for it. The option of claiming ‘</w:t>
      </w:r>
      <w:bookmarkStart w:id="7" w:name="para115"/>
      <w:r w:rsidRPr="009E7E81">
        <w:rPr>
          <w:rFonts w:eastAsia="Times New Roman" w:cs="Times New Roman"/>
        </w:rPr>
        <w:t>long-term leave to remain under Appendix FM to the Immigration Rules</w:t>
      </w:r>
      <w:bookmarkEnd w:id="7"/>
      <w:r w:rsidRPr="009E7E81">
        <w:rPr>
          <w:rFonts w:eastAsia="Times New Roman" w:cs="Times New Roman"/>
        </w:rPr>
        <w:t xml:space="preserve">’ does not really address the claim in question – since it involves a substantial period in which the carer would still have no recourse to public funds. This is tantamount to saying there is not a problem because they have another avenue through which </w:t>
      </w:r>
      <w:r w:rsidRPr="009E7E81">
        <w:rPr>
          <w:rFonts w:eastAsia="Times New Roman" w:cs="Times New Roman"/>
          <w:i/>
        </w:rPr>
        <w:t>not</w:t>
      </w:r>
      <w:r w:rsidRPr="009E7E81">
        <w:rPr>
          <w:rFonts w:eastAsia="Times New Roman" w:cs="Times New Roman"/>
        </w:rPr>
        <w:t xml:space="preserve"> to receive support. So we are left with the government’s ‘deliberat</w:t>
      </w:r>
      <w:r w:rsidR="005E42FC">
        <w:rPr>
          <w:rFonts w:eastAsia="Times New Roman" w:cs="Times New Roman"/>
        </w:rPr>
        <w:t>e policy reasons’, analysed next,</w:t>
      </w:r>
      <w:r w:rsidRPr="009E7E81">
        <w:rPr>
          <w:rFonts w:eastAsia="Times New Roman" w:cs="Times New Roman"/>
        </w:rPr>
        <w:t xml:space="preserve"> which were apparently accepted without question by the court. This </w:t>
      </w:r>
      <w:r w:rsidR="00410F94">
        <w:rPr>
          <w:rFonts w:eastAsia="Times New Roman" w:cs="Times New Roman"/>
        </w:rPr>
        <w:t xml:space="preserve">approach </w:t>
      </w:r>
      <w:r w:rsidRPr="009E7E81">
        <w:rPr>
          <w:rFonts w:eastAsia="Times New Roman" w:cs="Times New Roman"/>
        </w:rPr>
        <w:t xml:space="preserve">is not supported by the ECtHR’s jurisprudence; in the cited case on the ‘manifestly without reaonsable foundation’ yardstick, </w:t>
      </w:r>
      <w:r w:rsidRPr="009E7E81">
        <w:rPr>
          <w:rFonts w:eastAsia="Times New Roman" w:cs="Times New Roman"/>
          <w:i/>
        </w:rPr>
        <w:t xml:space="preserve">Bah v UK </w:t>
      </w:r>
      <w:r w:rsidRPr="009E7E81">
        <w:rPr>
          <w:rFonts w:eastAsia="Times New Roman" w:cs="Times New Roman"/>
        </w:rPr>
        <w:t>(2012) 54 EHRR 21,</w:t>
      </w:r>
      <w:r w:rsidRPr="009E7E81">
        <w:rPr>
          <w:rFonts w:eastAsia="Times New Roman" w:cs="Times New Roman"/>
          <w:i/>
        </w:rPr>
        <w:t xml:space="preserve"> </w:t>
      </w:r>
      <w:r w:rsidRPr="009E7E81">
        <w:rPr>
          <w:rFonts w:eastAsia="Times New Roman" w:cs="Times New Roman"/>
        </w:rPr>
        <w:t xml:space="preserve">the ECtHR also states </w:t>
      </w:r>
      <w:bookmarkStart w:id="8" w:name="para36"/>
      <w:r w:rsidRPr="009E7E81">
        <w:rPr>
          <w:rFonts w:eastAsia="Times New Roman" w:cs="Times New Roman"/>
        </w:rPr>
        <w:t xml:space="preserve">that in discrimination cases, there must not only be a legitimate aim, but also a ‘reasonable relationship of proportionality between the means employed and the </w:t>
      </w:r>
      <w:r w:rsidRPr="009E7E81">
        <w:rPr>
          <w:rFonts w:eastAsia="Times New Roman" w:cs="Times New Roman"/>
        </w:rPr>
        <w:lastRenderedPageBreak/>
        <w:t>aim sought to be realised</w:t>
      </w:r>
      <w:bookmarkEnd w:id="8"/>
      <w:r w:rsidRPr="009E7E81">
        <w:rPr>
          <w:rFonts w:eastAsia="Times New Roman" w:cs="Times New Roman"/>
        </w:rPr>
        <w:t xml:space="preserve">’ (36). So a good deal more evidence on the effect of the </w:t>
      </w:r>
      <w:r w:rsidRPr="009E7E81">
        <w:rPr>
          <w:rFonts w:eastAsia="Times New Roman" w:cs="Times New Roman"/>
          <w:i/>
        </w:rPr>
        <w:t>Zambrano</w:t>
      </w:r>
      <w:r w:rsidR="005E42FC">
        <w:rPr>
          <w:rFonts w:eastAsia="Times New Roman" w:cs="Times New Roman"/>
        </w:rPr>
        <w:t xml:space="preserve"> exclusion</w:t>
      </w:r>
      <w:r w:rsidRPr="009E7E81">
        <w:rPr>
          <w:rFonts w:eastAsia="Times New Roman" w:cs="Times New Roman"/>
        </w:rPr>
        <w:t xml:space="preserve">, linking the benefit ban to restricting public finances to those with ‘connections’ with the UK would be required, and a proportionality assessment to ascertain whether the aim could be achieved through a less dramatic, and less discriminatory, means. </w:t>
      </w:r>
    </w:p>
    <w:p w14:paraId="13D7B93E" w14:textId="2485A4BC" w:rsidR="002B7BF0" w:rsidRPr="00410F94" w:rsidRDefault="002B7BF0" w:rsidP="009E7E81">
      <w:pPr>
        <w:spacing w:after="240" w:line="360" w:lineRule="auto"/>
        <w:jc w:val="both"/>
        <w:rPr>
          <w:rFonts w:eastAsia="Times New Roman" w:cs="Times New Roman"/>
        </w:rPr>
      </w:pPr>
      <w:r w:rsidRPr="009E7E81">
        <w:rPr>
          <w:rFonts w:eastAsia="Times New Roman" w:cs="Arial"/>
          <w:shd w:val="clear" w:color="auto" w:fill="FFFFFF"/>
        </w:rPr>
        <w:t xml:space="preserve">A high evidential burden should </w:t>
      </w:r>
      <w:r>
        <w:rPr>
          <w:rFonts w:eastAsia="Times New Roman" w:cs="Arial"/>
          <w:shd w:val="clear" w:color="auto" w:fill="FFFFFF"/>
        </w:rPr>
        <w:t xml:space="preserve">be </w:t>
      </w:r>
      <w:r w:rsidRPr="009E7E81">
        <w:rPr>
          <w:rFonts w:eastAsia="Times New Roman" w:cs="Arial"/>
          <w:shd w:val="clear" w:color="auto" w:fill="FFFFFF"/>
        </w:rPr>
        <w:t xml:space="preserve">expected where a Member State wishes to unilaterally carve up and hollow out the </w:t>
      </w:r>
      <w:r>
        <w:rPr>
          <w:rFonts w:eastAsia="Times New Roman" w:cs="Arial"/>
          <w:shd w:val="clear" w:color="auto" w:fill="FFFFFF"/>
        </w:rPr>
        <w:t xml:space="preserve">rights attaching to EU citizenship, as well as </w:t>
      </w:r>
      <w:r w:rsidR="007407E5">
        <w:rPr>
          <w:rFonts w:eastAsia="Times New Roman" w:cs="Arial"/>
          <w:shd w:val="clear" w:color="auto" w:fill="FFFFFF"/>
        </w:rPr>
        <w:t xml:space="preserve">limiting </w:t>
      </w:r>
      <w:r>
        <w:rPr>
          <w:rFonts w:eastAsia="Times New Roman" w:cs="Arial"/>
          <w:shd w:val="clear" w:color="auto" w:fill="FFFFFF"/>
        </w:rPr>
        <w:t>ECHR rights</w:t>
      </w:r>
      <w:r w:rsidRPr="009E7E81">
        <w:rPr>
          <w:rFonts w:eastAsia="Times New Roman" w:cs="Arial"/>
          <w:shd w:val="clear" w:color="auto" w:fill="FFFFFF"/>
        </w:rPr>
        <w:t>.</w:t>
      </w:r>
      <w:r>
        <w:rPr>
          <w:rFonts w:eastAsia="Times New Roman" w:cs="Arial"/>
          <w:shd w:val="clear" w:color="auto" w:fill="FFFFFF"/>
        </w:rPr>
        <w:t xml:space="preserve"> </w:t>
      </w:r>
      <w:r w:rsidR="004944E4">
        <w:rPr>
          <w:rFonts w:eastAsia="Times New Roman" w:cs="Arial"/>
          <w:shd w:val="clear" w:color="auto" w:fill="FFFFFF"/>
        </w:rPr>
        <w:t>The</w:t>
      </w:r>
      <w:r w:rsidR="00C40E5B">
        <w:rPr>
          <w:rFonts w:eastAsia="Times New Roman" w:cs="Arial"/>
          <w:shd w:val="clear" w:color="auto" w:fill="FFFFFF"/>
        </w:rPr>
        <w:t xml:space="preserve"> judgment summarises </w:t>
      </w:r>
      <w:r>
        <w:rPr>
          <w:rFonts w:eastAsia="Times New Roman" w:cs="Arial"/>
          <w:shd w:val="clear" w:color="auto" w:fill="FFFFFF"/>
        </w:rPr>
        <w:t>the government’s policy aims</w:t>
      </w:r>
      <w:r w:rsidR="007407E5">
        <w:rPr>
          <w:rFonts w:eastAsia="Times New Roman" w:cs="Arial"/>
          <w:shd w:val="clear" w:color="auto" w:fill="FFFFFF"/>
        </w:rPr>
        <w:t>,</w:t>
      </w:r>
      <w:r w:rsidR="004944E4">
        <w:rPr>
          <w:rFonts w:eastAsia="Times New Roman" w:cs="Arial"/>
          <w:shd w:val="clear" w:color="auto" w:fill="FFFFFF"/>
        </w:rPr>
        <w:t xml:space="preserve"> </w:t>
      </w:r>
      <w:r w:rsidR="002D25BE">
        <w:rPr>
          <w:rFonts w:eastAsia="Times New Roman" w:cs="Arial"/>
          <w:shd w:val="clear" w:color="auto" w:fill="FFFFFF"/>
        </w:rPr>
        <w:t>on which the whole issue of justification</w:t>
      </w:r>
      <w:r w:rsidR="007407E5">
        <w:rPr>
          <w:rFonts w:eastAsia="Times New Roman" w:cs="Arial"/>
          <w:shd w:val="clear" w:color="auto" w:fill="FFFFFF"/>
        </w:rPr>
        <w:t xml:space="preserve"> pivots, </w:t>
      </w:r>
      <w:r w:rsidR="004944E4">
        <w:rPr>
          <w:rFonts w:eastAsia="Times New Roman" w:cs="Arial"/>
          <w:shd w:val="clear" w:color="auto" w:fill="FFFFFF"/>
        </w:rPr>
        <w:t>in one paragraph</w:t>
      </w:r>
      <w:r w:rsidR="007407E5">
        <w:rPr>
          <w:rFonts w:eastAsia="Times New Roman" w:cs="Arial"/>
          <w:shd w:val="clear" w:color="auto" w:fill="FFFFFF"/>
        </w:rPr>
        <w:t xml:space="preserve"> (96)</w:t>
      </w:r>
      <w:r w:rsidR="004944E4">
        <w:rPr>
          <w:rFonts w:eastAsia="Times New Roman" w:cs="Arial"/>
          <w:shd w:val="clear" w:color="auto" w:fill="FFFFFF"/>
        </w:rPr>
        <w:t xml:space="preserve">, before accepting them. </w:t>
      </w:r>
      <w:r w:rsidR="00684CE6">
        <w:rPr>
          <w:rFonts w:eastAsia="Times New Roman" w:cs="Arial"/>
          <w:shd w:val="clear" w:color="auto" w:fill="FFFFFF"/>
        </w:rPr>
        <w:t xml:space="preserve">The </w:t>
      </w:r>
      <w:r w:rsidR="007407E5">
        <w:rPr>
          <w:rFonts w:eastAsia="Times New Roman" w:cs="Arial"/>
          <w:shd w:val="clear" w:color="auto" w:fill="FFFFFF"/>
        </w:rPr>
        <w:t>next section question</w:t>
      </w:r>
      <w:r w:rsidR="005E42FC">
        <w:rPr>
          <w:rFonts w:eastAsia="Times New Roman" w:cs="Arial"/>
          <w:shd w:val="clear" w:color="auto" w:fill="FFFFFF"/>
        </w:rPr>
        <w:t>s</w:t>
      </w:r>
      <w:r w:rsidR="007407E5">
        <w:rPr>
          <w:rFonts w:eastAsia="Times New Roman" w:cs="Arial"/>
          <w:shd w:val="clear" w:color="auto" w:fill="FFFFFF"/>
        </w:rPr>
        <w:t xml:space="preserve"> the legitimacy, logic</w:t>
      </w:r>
      <w:r w:rsidR="00684CE6">
        <w:rPr>
          <w:rFonts w:eastAsia="Times New Roman" w:cs="Arial"/>
          <w:shd w:val="clear" w:color="auto" w:fill="FFFFFF"/>
        </w:rPr>
        <w:t xml:space="preserve"> and proportionality of these objectives</w:t>
      </w:r>
      <w:r w:rsidR="007407E5">
        <w:rPr>
          <w:rFonts w:eastAsia="Times New Roman" w:cs="Arial"/>
          <w:shd w:val="clear" w:color="auto" w:fill="FFFFFF"/>
        </w:rPr>
        <w:t xml:space="preserve">. </w:t>
      </w:r>
    </w:p>
    <w:p w14:paraId="5969997B" w14:textId="0600AF3F" w:rsidR="00F03376" w:rsidRPr="009E7E81" w:rsidRDefault="00F03376" w:rsidP="009E7E81">
      <w:pPr>
        <w:widowControl w:val="0"/>
        <w:autoSpaceDE w:val="0"/>
        <w:autoSpaceDN w:val="0"/>
        <w:adjustRightInd w:val="0"/>
        <w:spacing w:after="240" w:line="360" w:lineRule="auto"/>
        <w:jc w:val="both"/>
        <w:rPr>
          <w:rFonts w:cs="Times New Roman"/>
          <w:u w:val="single"/>
          <w:lang w:val="en-US"/>
        </w:rPr>
      </w:pPr>
      <w:r w:rsidRPr="009E7E81">
        <w:rPr>
          <w:rFonts w:cs="Times New Roman"/>
          <w:u w:val="single"/>
          <w:lang w:val="en-US"/>
        </w:rPr>
        <w:t xml:space="preserve">Legitimate </w:t>
      </w:r>
      <w:r w:rsidR="00410F94">
        <w:rPr>
          <w:rFonts w:cs="Times New Roman"/>
          <w:u w:val="single"/>
          <w:lang w:val="en-US"/>
        </w:rPr>
        <w:t>objectives</w:t>
      </w:r>
      <w:r w:rsidRPr="009E7E81">
        <w:rPr>
          <w:rFonts w:cs="Times New Roman"/>
          <w:u w:val="single"/>
          <w:lang w:val="en-US"/>
        </w:rPr>
        <w:t xml:space="preserve">? The lack of logic and absence of proportionality in </w:t>
      </w:r>
      <w:r w:rsidRPr="009E7E81">
        <w:rPr>
          <w:rFonts w:cs="Times New Roman"/>
          <w:i/>
          <w:u w:val="single"/>
          <w:lang w:val="en-US"/>
        </w:rPr>
        <w:t>Sanneh</w:t>
      </w:r>
    </w:p>
    <w:p w14:paraId="53CE2E34" w14:textId="2EAE43F7" w:rsidR="00231D7C" w:rsidRPr="009E7E81" w:rsidRDefault="00F03376" w:rsidP="009E7E81">
      <w:pPr>
        <w:spacing w:after="240" w:line="360" w:lineRule="auto"/>
        <w:jc w:val="both"/>
        <w:rPr>
          <w:rFonts w:eastAsia="Times New Roman" w:cs="Times New Roman"/>
        </w:rPr>
      </w:pPr>
      <w:r w:rsidRPr="009E7E81">
        <w:rPr>
          <w:rFonts w:eastAsia="Times New Roman" w:cs="Times New Roman"/>
        </w:rPr>
        <w:t xml:space="preserve">The DWP argued that depriving </w:t>
      </w:r>
      <w:r w:rsidRPr="009E7E81">
        <w:rPr>
          <w:rFonts w:eastAsia="Times New Roman" w:cs="Times New Roman"/>
          <w:i/>
        </w:rPr>
        <w:t>Zambrano</w:t>
      </w:r>
      <w:r w:rsidRPr="009E7E81">
        <w:rPr>
          <w:rFonts w:eastAsia="Times New Roman" w:cs="Times New Roman"/>
        </w:rPr>
        <w:t xml:space="preserve"> families of access to benefits, regardless of how much they have worked or are working, serves economic and political ends. In particular ‘denying access to income-related benefits by those who are subject to immigration control reduces the incentive for people to come to the UK to claim benefits and encourages immigrants here unlawfully to regularise their stay’. Th</w:t>
      </w:r>
      <w:r w:rsidR="005E42FC">
        <w:rPr>
          <w:rFonts w:eastAsia="Times New Roman" w:cs="Times New Roman"/>
        </w:rPr>
        <w:t xml:space="preserve">is point </w:t>
      </w:r>
      <w:r w:rsidRPr="009E7E81">
        <w:rPr>
          <w:rFonts w:eastAsia="Times New Roman" w:cs="Times New Roman"/>
        </w:rPr>
        <w:t xml:space="preserve">is both unsubstantiated, and irrelevant. There is no evidence that third country nationals are coming to the UK specifically to become </w:t>
      </w:r>
      <w:r w:rsidRPr="009E7E81">
        <w:rPr>
          <w:rFonts w:eastAsia="Times New Roman" w:cs="Times New Roman"/>
          <w:i/>
        </w:rPr>
        <w:t>Zambrano</w:t>
      </w:r>
      <w:r w:rsidRPr="009E7E81">
        <w:rPr>
          <w:rFonts w:eastAsia="Times New Roman" w:cs="Times New Roman"/>
        </w:rPr>
        <w:t xml:space="preserve"> carers. And </w:t>
      </w:r>
      <w:r w:rsidRPr="009E7E81">
        <w:rPr>
          <w:rFonts w:eastAsia="Times New Roman" w:cs="Times New Roman"/>
          <w:i/>
        </w:rPr>
        <w:t>Zambrano</w:t>
      </w:r>
      <w:r w:rsidRPr="009E7E81">
        <w:rPr>
          <w:rFonts w:eastAsia="Times New Roman" w:cs="Times New Roman"/>
        </w:rPr>
        <w:t xml:space="preserve"> carers are not subject to immigration control.</w:t>
      </w:r>
      <w:r w:rsidRPr="009E7E81">
        <w:rPr>
          <w:rStyle w:val="EndnoteReference"/>
          <w:rFonts w:eastAsia="Times New Roman" w:cs="Times New Roman"/>
        </w:rPr>
        <w:endnoteReference w:id="4"/>
      </w:r>
      <w:r w:rsidRPr="009E7E81">
        <w:rPr>
          <w:rFonts w:eastAsia="Times New Roman" w:cs="Times New Roman"/>
        </w:rPr>
        <w:t xml:space="preserve"> </w:t>
      </w:r>
      <w:r w:rsidR="00C93A42" w:rsidRPr="009E7E81">
        <w:rPr>
          <w:rFonts w:eastAsia="Times New Roman" w:cs="Times New Roman"/>
        </w:rPr>
        <w:t xml:space="preserve">Nor are they ‘unlawfully here’ or in need of regularising their stay. And there is no basis in EU law for finding that a group with a right to reside can be arbitrarily excluded from any equal treatment in order to meet economic or political objectives. </w:t>
      </w:r>
      <w:r w:rsidR="00231D7C" w:rsidRPr="009E7E81">
        <w:rPr>
          <w:rFonts w:eastAsia="Times New Roman" w:cs="Times New Roman"/>
        </w:rPr>
        <w:t>However, the Court of Appeal accepted without comment the ‘legitimate aim’ to ‘safeguard public finances by strengthening immigration control and putting </w:t>
      </w:r>
      <w:r w:rsidR="00231D7C" w:rsidRPr="009E7E81">
        <w:rPr>
          <w:rFonts w:eastAsia="Times New Roman" w:cs="Times New Roman"/>
          <w:i/>
          <w:iCs/>
        </w:rPr>
        <w:t>Zambrano </w:t>
      </w:r>
      <w:r w:rsidR="00231D7C" w:rsidRPr="009E7E81">
        <w:rPr>
          <w:rFonts w:eastAsia="Times New Roman" w:cs="Times New Roman"/>
        </w:rPr>
        <w:t>carers on a par with other TCNs seeking social assistance’</w:t>
      </w:r>
      <w:r w:rsidR="007407E5">
        <w:rPr>
          <w:rFonts w:eastAsia="Times New Roman" w:cs="Times New Roman"/>
        </w:rPr>
        <w:t xml:space="preserve"> (98)</w:t>
      </w:r>
      <w:r w:rsidR="00231D7C" w:rsidRPr="009E7E81">
        <w:rPr>
          <w:rFonts w:eastAsia="Times New Roman" w:cs="Times New Roman"/>
        </w:rPr>
        <w:t xml:space="preserve">. </w:t>
      </w:r>
    </w:p>
    <w:p w14:paraId="5A2EFCE5" w14:textId="52B84945" w:rsidR="00C93A42" w:rsidRPr="009E7E81" w:rsidRDefault="00C93A42" w:rsidP="009E7E81">
      <w:pPr>
        <w:widowControl w:val="0"/>
        <w:autoSpaceDE w:val="0"/>
        <w:autoSpaceDN w:val="0"/>
        <w:adjustRightInd w:val="0"/>
        <w:spacing w:after="240" w:line="360" w:lineRule="auto"/>
        <w:jc w:val="both"/>
        <w:rPr>
          <w:rFonts w:eastAsia="Times New Roman" w:cs="Times New Roman"/>
        </w:rPr>
      </w:pPr>
      <w:r w:rsidRPr="009E7E81">
        <w:rPr>
          <w:rFonts w:eastAsia="Times New Roman" w:cs="Times New Roman"/>
        </w:rPr>
        <w:t xml:space="preserve">The DWP estimated the costs of providing income-related benefits to </w:t>
      </w:r>
      <w:r w:rsidRPr="009E7E81">
        <w:rPr>
          <w:rFonts w:eastAsia="Times New Roman" w:cs="Times New Roman"/>
          <w:i/>
        </w:rPr>
        <w:t>Zambrano</w:t>
      </w:r>
      <w:r w:rsidRPr="009E7E81">
        <w:rPr>
          <w:rFonts w:eastAsia="Times New Roman" w:cs="Times New Roman"/>
        </w:rPr>
        <w:t xml:space="preserve"> carers; the court referred to the headline estimate of somewhere between £3.8m and £9.4m each year, and added that the ‘UK government considered that, with the limits on public spending, public funds should be allocated to those with the </w:t>
      </w:r>
      <w:r w:rsidRPr="009E7E81">
        <w:rPr>
          <w:rFonts w:eastAsia="Times New Roman" w:cs="Times New Roman"/>
        </w:rPr>
        <w:lastRenderedPageBreak/>
        <w:t xml:space="preserve">greatest connection with the UK’. The judgment does not give any more detail on the basis of, or persuasiveness of these figures. It should however be noted that the government’s </w:t>
      </w:r>
      <w:r w:rsidR="00231D7C" w:rsidRPr="009E7E81">
        <w:rPr>
          <w:rFonts w:eastAsia="Times New Roman" w:cs="Times New Roman"/>
        </w:rPr>
        <w:t>equality</w:t>
      </w:r>
      <w:r w:rsidRPr="009E7E81">
        <w:rPr>
          <w:rFonts w:eastAsia="Times New Roman" w:cs="Times New Roman"/>
        </w:rPr>
        <w:t xml:space="preserve"> assessment stated that 619 families had applied for a </w:t>
      </w:r>
      <w:r w:rsidRPr="009E7E81">
        <w:rPr>
          <w:rFonts w:eastAsia="Times New Roman" w:cs="Times New Roman"/>
          <w:i/>
        </w:rPr>
        <w:t>Zambrano</w:t>
      </w:r>
      <w:r w:rsidRPr="009E7E81">
        <w:rPr>
          <w:rFonts w:eastAsia="Times New Roman" w:cs="Times New Roman"/>
        </w:rPr>
        <w:t xml:space="preserve"> based right to reside between March 2011 (when the judgment was released) and October 2012 – a period of one and a half years</w:t>
      </w:r>
      <w:r w:rsidR="00231D7C" w:rsidRPr="009E7E81">
        <w:rPr>
          <w:rFonts w:eastAsia="Times New Roman" w:cs="Times New Roman"/>
        </w:rPr>
        <w:t xml:space="preserve"> (DWP, 2012, 2)</w:t>
      </w:r>
      <w:r w:rsidRPr="009E7E81">
        <w:rPr>
          <w:rFonts w:eastAsia="Times New Roman" w:cs="Times New Roman"/>
        </w:rPr>
        <w:t xml:space="preserve">. Without knowing more about the demographics of these families – or indeed what proportion of applications resulted in rights of residence – it is difficult to guess much about their benefit eligibility. The </w:t>
      </w:r>
      <w:r w:rsidR="00231D7C" w:rsidRPr="009E7E81">
        <w:rPr>
          <w:rFonts w:eastAsia="Times New Roman" w:cs="Times New Roman"/>
        </w:rPr>
        <w:t xml:space="preserve">equality </w:t>
      </w:r>
      <w:r w:rsidRPr="009E7E81">
        <w:rPr>
          <w:rFonts w:eastAsia="Times New Roman" w:cs="Times New Roman"/>
        </w:rPr>
        <w:t xml:space="preserve">assessment was quick to imply that most </w:t>
      </w:r>
      <w:r w:rsidRPr="009E7E81">
        <w:rPr>
          <w:rFonts w:eastAsia="Times New Roman" w:cs="Times New Roman"/>
          <w:i/>
        </w:rPr>
        <w:t xml:space="preserve">Zambrano </w:t>
      </w:r>
      <w:r w:rsidRPr="009E7E81">
        <w:rPr>
          <w:rFonts w:eastAsia="Times New Roman" w:cs="Times New Roman"/>
        </w:rPr>
        <w:t xml:space="preserve">carers would be workers - pointing out that the ‘the majority of non-EU nationals in the UK are employed’ </w:t>
      </w:r>
      <w:r w:rsidR="00231D7C" w:rsidRPr="009E7E81">
        <w:rPr>
          <w:rFonts w:eastAsia="Times New Roman" w:cs="Times New Roman"/>
        </w:rPr>
        <w:t xml:space="preserve">(DWP, 2012, 5) </w:t>
      </w:r>
      <w:r w:rsidRPr="009E7E81">
        <w:rPr>
          <w:rFonts w:eastAsia="Times New Roman" w:cs="Times New Roman"/>
        </w:rPr>
        <w:t>and ‘non EU nationals are only slightly less likely to be in work than the UK population as a whole’</w:t>
      </w:r>
      <w:r w:rsidR="00433E2E" w:rsidRPr="009E7E81">
        <w:rPr>
          <w:rFonts w:eastAsia="Times New Roman" w:cs="Times New Roman"/>
        </w:rPr>
        <w:t xml:space="preserve"> (ibid)</w:t>
      </w:r>
      <w:r w:rsidRPr="009E7E81">
        <w:rPr>
          <w:rFonts w:eastAsia="Times New Roman" w:cs="Times New Roman"/>
        </w:rPr>
        <w:t xml:space="preserve">. But this was in the context of arguing that they would not be significantly disadvantaged by exclusion from social assistance benefits, due to accessing wages and, where relevant, contributory benefits. </w:t>
      </w:r>
      <w:r w:rsidR="00D31B65" w:rsidRPr="009E7E81">
        <w:rPr>
          <w:rFonts w:eastAsia="Times New Roman" w:cs="Times New Roman"/>
        </w:rPr>
        <w:t>It is not obvious if and how this reconciles with the economic argument in favour of withholding benefits. Thanks</w:t>
      </w:r>
      <w:r w:rsidRPr="009E7E81">
        <w:rPr>
          <w:rFonts w:eastAsia="Times New Roman" w:cs="Times New Roman"/>
        </w:rPr>
        <w:t xml:space="preserve"> to the UK’s narrow interpretation of </w:t>
      </w:r>
      <w:r w:rsidRPr="009E7E81">
        <w:rPr>
          <w:rFonts w:eastAsia="Times New Roman" w:cs="Times New Roman"/>
          <w:i/>
        </w:rPr>
        <w:t>Zambrano</w:t>
      </w:r>
      <w:r w:rsidRPr="009E7E81">
        <w:rPr>
          <w:rFonts w:eastAsia="Times New Roman" w:cs="Times New Roman"/>
        </w:rPr>
        <w:t xml:space="preserve">, it is only single parent families who will acquire a </w:t>
      </w:r>
      <w:r w:rsidRPr="009E7E81">
        <w:rPr>
          <w:rFonts w:eastAsia="Times New Roman" w:cs="Times New Roman"/>
          <w:i/>
        </w:rPr>
        <w:t>Zambrano</w:t>
      </w:r>
      <w:r w:rsidRPr="009E7E81">
        <w:rPr>
          <w:rFonts w:eastAsia="Times New Roman" w:cs="Times New Roman"/>
        </w:rPr>
        <w:t xml:space="preserve"> right, and they may well face more difficulties working t</w:t>
      </w:r>
      <w:r w:rsidR="007407E5">
        <w:rPr>
          <w:rFonts w:eastAsia="Times New Roman" w:cs="Times New Roman"/>
        </w:rPr>
        <w:t>han the average non-EU national</w:t>
      </w:r>
      <w:r w:rsidR="00433E2E" w:rsidRPr="009E7E81">
        <w:rPr>
          <w:rFonts w:eastAsia="Times New Roman" w:cs="Times New Roman"/>
        </w:rPr>
        <w:t xml:space="preserve"> (Citizens Advice, 2008)</w:t>
      </w:r>
      <w:r w:rsidRPr="009E7E81">
        <w:rPr>
          <w:rFonts w:eastAsia="Times New Roman" w:cs="Times New Roman"/>
        </w:rPr>
        <w:t xml:space="preserve"> and as single parents</w:t>
      </w:r>
      <w:r w:rsidR="007407E5">
        <w:rPr>
          <w:rFonts w:eastAsia="Times New Roman" w:cs="Times New Roman"/>
        </w:rPr>
        <w:t>,</w:t>
      </w:r>
      <w:r w:rsidRPr="009E7E81">
        <w:rPr>
          <w:rFonts w:eastAsia="Times New Roman" w:cs="Times New Roman"/>
        </w:rPr>
        <w:t xml:space="preserve"> are more likely to be concentrated in low paid work</w:t>
      </w:r>
      <w:r w:rsidR="00433E2E" w:rsidRPr="009E7E81">
        <w:rPr>
          <w:rFonts w:eastAsia="Times New Roman" w:cs="Times New Roman"/>
        </w:rPr>
        <w:t xml:space="preserve"> (Maplethorpe et al, 2010)</w:t>
      </w:r>
      <w:r w:rsidRPr="009E7E81">
        <w:rPr>
          <w:rFonts w:eastAsia="Times New Roman" w:cs="Times New Roman"/>
        </w:rPr>
        <w:t xml:space="preserve">. What we can say is we would be wholly mistaken to assume that </w:t>
      </w:r>
      <w:r w:rsidRPr="009E7E81">
        <w:rPr>
          <w:rFonts w:eastAsia="Times New Roman" w:cs="Times New Roman"/>
          <w:i/>
        </w:rPr>
        <w:t>Zambrano</w:t>
      </w:r>
      <w:r w:rsidRPr="009E7E81">
        <w:rPr>
          <w:rFonts w:eastAsia="Times New Roman" w:cs="Times New Roman"/>
        </w:rPr>
        <w:t xml:space="preserve"> carers</w:t>
      </w:r>
      <w:r w:rsidR="007407E5">
        <w:rPr>
          <w:rFonts w:eastAsia="Times New Roman" w:cs="Times New Roman"/>
        </w:rPr>
        <w:t xml:space="preserve"> do no</w:t>
      </w:r>
      <w:r w:rsidR="00C47831" w:rsidRPr="009E7E81">
        <w:rPr>
          <w:rFonts w:eastAsia="Times New Roman" w:cs="Times New Roman"/>
        </w:rPr>
        <w:t xml:space="preserve">t work, and that is </w:t>
      </w:r>
      <w:r w:rsidR="00C75FF7">
        <w:rPr>
          <w:rFonts w:eastAsia="Times New Roman" w:cs="Times New Roman"/>
        </w:rPr>
        <w:t>why they wish to</w:t>
      </w:r>
      <w:r w:rsidR="00C47831" w:rsidRPr="009E7E81">
        <w:rPr>
          <w:rFonts w:eastAsia="Times New Roman" w:cs="Times New Roman"/>
        </w:rPr>
        <w:t xml:space="preserve"> apply for benefits.</w:t>
      </w:r>
      <w:r w:rsidRPr="009E7E81">
        <w:rPr>
          <w:rFonts w:eastAsia="Times New Roman" w:cs="Times New Roman"/>
        </w:rPr>
        <w:t xml:space="preserve"> </w:t>
      </w:r>
      <w:r w:rsidR="00C47831" w:rsidRPr="009E7E81">
        <w:rPr>
          <w:rFonts w:eastAsia="Times New Roman" w:cs="Times New Roman"/>
        </w:rPr>
        <w:t>In-</w:t>
      </w:r>
      <w:r w:rsidRPr="009E7E81">
        <w:rPr>
          <w:rFonts w:eastAsia="Times New Roman" w:cs="Times New Roman"/>
        </w:rPr>
        <w:t>work poverty is on the rise</w:t>
      </w:r>
      <w:r w:rsidR="00433E2E" w:rsidRPr="009E7E81">
        <w:rPr>
          <w:rFonts w:eastAsia="Times New Roman" w:cs="Times New Roman"/>
        </w:rPr>
        <w:t xml:space="preserve"> (Belfield et al, 2015)</w:t>
      </w:r>
      <w:r w:rsidRPr="009E7E81">
        <w:rPr>
          <w:rFonts w:eastAsia="Times New Roman" w:cs="Times New Roman"/>
        </w:rPr>
        <w:t>, especially for lone parents, and it is low</w:t>
      </w:r>
      <w:r w:rsidR="00712DD8">
        <w:rPr>
          <w:rFonts w:eastAsia="Times New Roman" w:cs="Times New Roman"/>
        </w:rPr>
        <w:t>-</w:t>
      </w:r>
      <w:r w:rsidRPr="009E7E81">
        <w:rPr>
          <w:rFonts w:eastAsia="Times New Roman" w:cs="Times New Roman"/>
        </w:rPr>
        <w:t xml:space="preserve">income </w:t>
      </w:r>
      <w:r w:rsidRPr="00C75FF7">
        <w:rPr>
          <w:rFonts w:eastAsia="Times New Roman" w:cs="Times New Roman"/>
          <w:i/>
        </w:rPr>
        <w:t>workers</w:t>
      </w:r>
      <w:r w:rsidRPr="009E7E81">
        <w:rPr>
          <w:rFonts w:eastAsia="Times New Roman" w:cs="Times New Roman"/>
        </w:rPr>
        <w:t xml:space="preserve"> who were the subject of Birmingham Law Centre’s complaint that tenancies were out of reach for </w:t>
      </w:r>
      <w:r w:rsidRPr="009E7E81">
        <w:rPr>
          <w:rFonts w:eastAsia="Times New Roman" w:cs="Times New Roman"/>
          <w:i/>
        </w:rPr>
        <w:t>Zambrano</w:t>
      </w:r>
      <w:r w:rsidRPr="009E7E81">
        <w:rPr>
          <w:rFonts w:eastAsia="Times New Roman" w:cs="Times New Roman"/>
        </w:rPr>
        <w:t xml:space="preserve"> clients. Such families were </w:t>
      </w:r>
      <w:r w:rsidRPr="009E7E81">
        <w:rPr>
          <w:rFonts w:cs="Times New Roman"/>
          <w:lang w:val="en-US"/>
        </w:rPr>
        <w:t>‘hamstrung by the prospect of not</w:t>
      </w:r>
      <w:r w:rsidRPr="009E7E81">
        <w:rPr>
          <w:rFonts w:eastAsia="Times New Roman" w:cs="Times New Roman"/>
        </w:rPr>
        <w:t xml:space="preserve"> </w:t>
      </w:r>
      <w:r w:rsidRPr="009E7E81">
        <w:rPr>
          <w:rFonts w:cs="Times New Roman"/>
          <w:lang w:val="en-US"/>
        </w:rPr>
        <w:t>being able to earn the kind of salary that will cover… rent and living expenses [without]…</w:t>
      </w:r>
      <w:r w:rsidRPr="009E7E81">
        <w:rPr>
          <w:rFonts w:eastAsia="Times New Roman" w:cs="Times New Roman"/>
        </w:rPr>
        <w:t xml:space="preserve"> </w:t>
      </w:r>
      <w:r w:rsidRPr="009E7E81">
        <w:rPr>
          <w:rFonts w:cs="Times New Roman"/>
          <w:lang w:val="en-US"/>
        </w:rPr>
        <w:t>the kind of support available to other low income families’</w:t>
      </w:r>
      <w:r w:rsidR="00433E2E" w:rsidRPr="009E7E81">
        <w:rPr>
          <w:rFonts w:cs="Times New Roman"/>
          <w:lang w:val="en-US"/>
        </w:rPr>
        <w:t xml:space="preserve"> (Birmingham Law Centre, 2013)</w:t>
      </w:r>
      <w:r w:rsidRPr="009E7E81">
        <w:rPr>
          <w:rFonts w:cs="Times New Roman"/>
          <w:lang w:val="en-US"/>
        </w:rPr>
        <w:t>.</w:t>
      </w:r>
    </w:p>
    <w:p w14:paraId="00E1044B" w14:textId="02DFC798" w:rsidR="00C93A42" w:rsidRPr="009E7E81" w:rsidRDefault="00C93A42" w:rsidP="009E7E81">
      <w:pPr>
        <w:spacing w:after="240" w:line="360" w:lineRule="auto"/>
        <w:jc w:val="both"/>
        <w:rPr>
          <w:rFonts w:eastAsia="Times New Roman" w:cs="Times New Roman"/>
        </w:rPr>
      </w:pPr>
      <w:r w:rsidRPr="009E7E81">
        <w:rPr>
          <w:rFonts w:eastAsia="Times New Roman" w:cs="Times New Roman"/>
        </w:rPr>
        <w:t>We do not know what assumptions (about working hours, pay, numbers and ages of children, etc) were made when the figures were presented. Nor do we know whether they assume complete ‘equal’ entitlement to benefits, putting the Br</w:t>
      </w:r>
      <w:r w:rsidR="00C47831" w:rsidRPr="009E7E81">
        <w:rPr>
          <w:rFonts w:eastAsia="Times New Roman" w:cs="Times New Roman"/>
        </w:rPr>
        <w:t>itish national children on an e</w:t>
      </w:r>
      <w:r w:rsidRPr="009E7E81">
        <w:rPr>
          <w:rFonts w:eastAsia="Times New Roman" w:cs="Times New Roman"/>
        </w:rPr>
        <w:t xml:space="preserve">qual footing with other British children (and echoing the </w:t>
      </w:r>
      <w:r w:rsidRPr="009E7E81">
        <w:rPr>
          <w:rFonts w:eastAsia="Times New Roman" w:cs="Times New Roman"/>
          <w:i/>
        </w:rPr>
        <w:t xml:space="preserve">Teixeira </w:t>
      </w:r>
      <w:r w:rsidRPr="009E7E81">
        <w:rPr>
          <w:rFonts w:eastAsia="Times New Roman" w:cs="Times New Roman"/>
        </w:rPr>
        <w:t xml:space="preserve">right) or conditional entitlement similar to that experienced </w:t>
      </w:r>
      <w:r w:rsidRPr="009E7E81">
        <w:rPr>
          <w:rFonts w:eastAsia="Times New Roman" w:cs="Times New Roman"/>
        </w:rPr>
        <w:lastRenderedPageBreak/>
        <w:t xml:space="preserve">by other EU nationals. Any projection should also take into account reducing benefit reliance, and increased net contributions as children age, both when they enter school, and when they no longer require childcare at either end of the day. </w:t>
      </w:r>
    </w:p>
    <w:p w14:paraId="4EF5298A" w14:textId="64347DDB" w:rsidR="00C93A42" w:rsidRPr="009E7E81" w:rsidRDefault="00712DD8" w:rsidP="009E7E81">
      <w:pPr>
        <w:spacing w:after="240" w:line="360" w:lineRule="auto"/>
        <w:jc w:val="both"/>
        <w:rPr>
          <w:rFonts w:eastAsia="Times New Roman" w:cs="Times New Roman"/>
        </w:rPr>
      </w:pPr>
      <w:r>
        <w:rPr>
          <w:rFonts w:eastAsia="Times New Roman" w:cs="Times New Roman"/>
        </w:rPr>
        <w:t>Regardless of the calculations, i</w:t>
      </w:r>
      <w:r w:rsidR="00C93A42" w:rsidRPr="009E7E81">
        <w:rPr>
          <w:rFonts w:eastAsia="Times New Roman" w:cs="Times New Roman"/>
        </w:rPr>
        <w:t xml:space="preserve">t is not clear from the court’s summary whether </w:t>
      </w:r>
      <w:r w:rsidR="00C93A42" w:rsidRPr="009E7E81">
        <w:rPr>
          <w:rFonts w:eastAsia="Times New Roman" w:cs="Times New Roman"/>
          <w:i/>
        </w:rPr>
        <w:t>any</w:t>
      </w:r>
      <w:r w:rsidR="00C93A42" w:rsidRPr="009E7E81">
        <w:rPr>
          <w:rFonts w:eastAsia="Times New Roman" w:cs="Times New Roman"/>
        </w:rPr>
        <w:t xml:space="preserve"> figure would be considered acceptable. </w:t>
      </w:r>
      <w:r w:rsidR="00C47831" w:rsidRPr="009E7E81">
        <w:rPr>
          <w:rFonts w:eastAsia="Times New Roman" w:cs="Times New Roman"/>
        </w:rPr>
        <w:t>And the</w:t>
      </w:r>
      <w:r w:rsidR="00C93A42" w:rsidRPr="009E7E81">
        <w:rPr>
          <w:rFonts w:eastAsia="Times New Roman" w:cs="Times New Roman"/>
        </w:rPr>
        <w:t xml:space="preserve"> question of relevance again rears its head. If the CJEU has determined that a</w:t>
      </w:r>
      <w:r w:rsidR="006F63F7">
        <w:rPr>
          <w:rFonts w:eastAsia="Times New Roman" w:cs="Times New Roman"/>
        </w:rPr>
        <w:t xml:space="preserve"> group of people have an EU citizenship-</w:t>
      </w:r>
      <w:r w:rsidR="00C93A42" w:rsidRPr="009E7E81">
        <w:rPr>
          <w:rFonts w:eastAsia="Times New Roman" w:cs="Times New Roman"/>
        </w:rPr>
        <w:t>based right to reside, it is generally not open to Member States to unilaterally modify what such a right of residence means, just because they would rather not pay bene</w:t>
      </w:r>
      <w:r w:rsidR="00C75FF7">
        <w:rPr>
          <w:rFonts w:eastAsia="Times New Roman" w:cs="Times New Roman"/>
        </w:rPr>
        <w:t>fits to that category of people</w:t>
      </w:r>
      <w:r w:rsidR="00C93A42" w:rsidRPr="009E7E81">
        <w:rPr>
          <w:rFonts w:eastAsia="Times New Roman" w:cs="Times New Roman"/>
        </w:rPr>
        <w:t>. As A</w:t>
      </w:r>
      <w:r w:rsidR="008F293B" w:rsidRPr="009E7E81">
        <w:rPr>
          <w:rFonts w:eastAsia="Times New Roman" w:cs="Times New Roman"/>
        </w:rPr>
        <w:t xml:space="preserve">dvocate </w:t>
      </w:r>
      <w:r w:rsidR="00C93A42" w:rsidRPr="009E7E81">
        <w:rPr>
          <w:rFonts w:eastAsia="Times New Roman" w:cs="Times New Roman"/>
        </w:rPr>
        <w:t>G</w:t>
      </w:r>
      <w:r w:rsidR="008F293B" w:rsidRPr="009E7E81">
        <w:rPr>
          <w:rFonts w:eastAsia="Times New Roman" w:cs="Times New Roman"/>
        </w:rPr>
        <w:t>eneral</w:t>
      </w:r>
      <w:r w:rsidR="00C93A42" w:rsidRPr="009E7E81">
        <w:rPr>
          <w:rFonts w:eastAsia="Times New Roman" w:cs="Times New Roman"/>
        </w:rPr>
        <w:t xml:space="preserve"> Szpunar said in </w:t>
      </w:r>
      <w:r w:rsidR="00C93A42" w:rsidRPr="009E7E81">
        <w:rPr>
          <w:rFonts w:eastAsia="Times New Roman" w:cs="Times New Roman"/>
          <w:i/>
        </w:rPr>
        <w:t>Marin</w:t>
      </w:r>
      <w:r w:rsidR="00C93A42" w:rsidRPr="009E7E81">
        <w:rPr>
          <w:rFonts w:eastAsia="Times New Roman" w:cs="Times New Roman"/>
        </w:rPr>
        <w:t>, ‘</w:t>
      </w:r>
      <w:r w:rsidR="00C93A42" w:rsidRPr="009E7E81">
        <w:rPr>
          <w:rFonts w:eastAsia="Times New Roman" w:cs="Arial"/>
          <w:shd w:val="clear" w:color="auto" w:fill="FFFFFF"/>
        </w:rPr>
        <w:t>it is settled case-law that</w:t>
      </w:r>
      <w:r w:rsidR="00C93A42" w:rsidRPr="009E7E81">
        <w:rPr>
          <w:rFonts w:eastAsia="Times New Roman" w:cs="Times New Roman"/>
        </w:rPr>
        <w:t xml:space="preserve"> </w:t>
      </w:r>
      <w:r w:rsidR="00C93A42" w:rsidRPr="009E7E81">
        <w:rPr>
          <w:rFonts w:eastAsia="Times New Roman" w:cs="Arial"/>
          <w:shd w:val="clear" w:color="auto" w:fill="FFFFFF"/>
        </w:rPr>
        <w:t xml:space="preserve">any limitation of the right of free movement </w:t>
      </w:r>
      <w:r w:rsidR="00C93A42" w:rsidRPr="009E7E81">
        <w:rPr>
          <w:rFonts w:eastAsia="Times New Roman" w:cs="Arial"/>
          <w:i/>
          <w:shd w:val="clear" w:color="auto" w:fill="FFFFFF"/>
        </w:rPr>
        <w:t>and residence</w:t>
      </w:r>
      <w:r w:rsidR="00C93A42" w:rsidRPr="009E7E81">
        <w:rPr>
          <w:rFonts w:eastAsia="Times New Roman" w:cs="Arial"/>
          <w:shd w:val="clear" w:color="auto" w:fill="FFFFFF"/>
        </w:rPr>
        <w:t xml:space="preserve"> constitutes a derogation from the fundamental principle of freedom of movement for persons, </w:t>
      </w:r>
      <w:r w:rsidR="00C93A42" w:rsidRPr="009E7E81">
        <w:rPr>
          <w:rFonts w:eastAsia="Times New Roman" w:cs="Arial"/>
          <w:i/>
          <w:shd w:val="clear" w:color="auto" w:fill="FFFFFF"/>
        </w:rPr>
        <w:t>which must be interpreted strictly</w:t>
      </w:r>
      <w:r w:rsidR="00C93A42" w:rsidRPr="009E7E81">
        <w:rPr>
          <w:rFonts w:eastAsia="Times New Roman" w:cs="Arial"/>
          <w:shd w:val="clear" w:color="auto" w:fill="FFFFFF"/>
        </w:rPr>
        <w:t xml:space="preserve"> and the scope of which </w:t>
      </w:r>
      <w:r w:rsidR="00C93A42" w:rsidRPr="009E7E81">
        <w:rPr>
          <w:rFonts w:eastAsia="Times New Roman" w:cs="Arial"/>
          <w:i/>
          <w:shd w:val="clear" w:color="auto" w:fill="FFFFFF"/>
        </w:rPr>
        <w:t>may not be determined unilaterally by the Member States</w:t>
      </w:r>
      <w:r w:rsidR="00C93A42" w:rsidRPr="009E7E81">
        <w:rPr>
          <w:rFonts w:eastAsia="Times New Roman" w:cs="Arial"/>
          <w:shd w:val="clear" w:color="auto" w:fill="FFFFFF"/>
        </w:rPr>
        <w:t>’</w:t>
      </w:r>
      <w:r w:rsidR="00433E2E" w:rsidRPr="009E7E81">
        <w:rPr>
          <w:rFonts w:eastAsia="Times New Roman" w:cs="Arial"/>
          <w:shd w:val="clear" w:color="auto" w:fill="FFFFFF"/>
        </w:rPr>
        <w:t xml:space="preserve"> (95). </w:t>
      </w:r>
      <w:r w:rsidR="00C93A42" w:rsidRPr="009E7E81">
        <w:rPr>
          <w:rFonts w:eastAsia="Times New Roman" w:cs="Arial"/>
          <w:shd w:val="clear" w:color="auto" w:fill="FFFFFF"/>
        </w:rPr>
        <w:t>Economic arguments have been us</w:t>
      </w:r>
      <w:r w:rsidR="00C75FF7">
        <w:rPr>
          <w:rFonts w:eastAsia="Times New Roman" w:cs="Arial"/>
          <w:shd w:val="clear" w:color="auto" w:fill="FFFFFF"/>
        </w:rPr>
        <w:t>ed when invoking a derogation; s</w:t>
      </w:r>
      <w:r w:rsidR="00C93A42" w:rsidRPr="009E7E81">
        <w:rPr>
          <w:rFonts w:eastAsia="Times New Roman" w:cs="Arial"/>
          <w:shd w:val="clear" w:color="auto" w:fill="FFFFFF"/>
        </w:rPr>
        <w:t>tates have attempted to limit equal t</w:t>
      </w:r>
      <w:r w:rsidR="00C75FF7">
        <w:rPr>
          <w:rFonts w:eastAsia="Times New Roman" w:cs="Arial"/>
          <w:shd w:val="clear" w:color="auto" w:fill="FFFFFF"/>
        </w:rPr>
        <w:t>reatment by imposing conditions</w:t>
      </w:r>
      <w:r w:rsidR="00C93A42" w:rsidRPr="009E7E81">
        <w:rPr>
          <w:rFonts w:eastAsia="Times New Roman" w:cs="Arial"/>
          <w:shd w:val="clear" w:color="auto" w:fill="FFFFFF"/>
        </w:rPr>
        <w:t xml:space="preserve"> that make benefit eligibility proportionate in light of, e.g. pressures on the public purse</w:t>
      </w:r>
      <w:r w:rsidR="00433E2E" w:rsidRPr="009E7E81">
        <w:rPr>
          <w:rFonts w:eastAsia="Times New Roman" w:cs="Arial"/>
          <w:shd w:val="clear" w:color="auto" w:fill="FFFFFF"/>
        </w:rPr>
        <w:t xml:space="preserve"> (e.g. </w:t>
      </w:r>
      <w:r w:rsidR="00D53B22" w:rsidRPr="009E7E81">
        <w:rPr>
          <w:rFonts w:eastAsia="Times New Roman" w:cs="Arial"/>
          <w:shd w:val="clear" w:color="auto" w:fill="FFFFFF"/>
        </w:rPr>
        <w:t xml:space="preserve">Case C-158/07 </w:t>
      </w:r>
      <w:r w:rsidR="00433E2E" w:rsidRPr="009E7E81">
        <w:rPr>
          <w:rFonts w:eastAsia="Times New Roman" w:cs="Arial"/>
          <w:i/>
          <w:shd w:val="clear" w:color="auto" w:fill="FFFFFF"/>
        </w:rPr>
        <w:t>F</w:t>
      </w:r>
      <w:r w:rsidR="00D53B22" w:rsidRPr="009E7E81">
        <w:rPr>
          <w:rFonts w:eastAsia="Times New Roman" w:cs="Arial"/>
          <w:i/>
          <w:shd w:val="clear" w:color="auto" w:fill="FFFFFF"/>
        </w:rPr>
        <w:t>ö</w:t>
      </w:r>
      <w:r w:rsidR="00433E2E" w:rsidRPr="009E7E81">
        <w:rPr>
          <w:rFonts w:eastAsia="Times New Roman" w:cs="Arial"/>
          <w:i/>
          <w:shd w:val="clear" w:color="auto" w:fill="FFFFFF"/>
        </w:rPr>
        <w:t>rster</w:t>
      </w:r>
      <w:r w:rsidR="00D53B22" w:rsidRPr="009E7E81">
        <w:rPr>
          <w:rFonts w:eastAsia="Times New Roman" w:cs="Arial"/>
          <w:shd w:val="clear" w:color="auto" w:fill="FFFFFF"/>
        </w:rPr>
        <w:t xml:space="preserve"> [2008] ECR I-08507</w:t>
      </w:r>
      <w:r w:rsidR="00433E2E" w:rsidRPr="009E7E81">
        <w:rPr>
          <w:rFonts w:eastAsia="Times New Roman" w:cs="Arial"/>
          <w:i/>
          <w:shd w:val="clear" w:color="auto" w:fill="FFFFFF"/>
        </w:rPr>
        <w:t>; Brey</w:t>
      </w:r>
      <w:r w:rsidR="00D53B22" w:rsidRPr="009E7E81">
        <w:rPr>
          <w:rFonts w:eastAsia="Times New Roman" w:cs="Arial"/>
          <w:i/>
          <w:shd w:val="clear" w:color="auto" w:fill="FFFFFF"/>
        </w:rPr>
        <w:t>; Ibrahim</w:t>
      </w:r>
      <w:r w:rsidR="00D53B22" w:rsidRPr="009E7E81">
        <w:rPr>
          <w:rFonts w:eastAsia="Times New Roman" w:cs="Arial"/>
          <w:shd w:val="clear" w:color="auto" w:fill="FFFFFF"/>
        </w:rPr>
        <w:t>)</w:t>
      </w:r>
      <w:r w:rsidR="00C93A42" w:rsidRPr="009E7E81">
        <w:rPr>
          <w:rFonts w:eastAsia="Times New Roman" w:cs="Arial"/>
          <w:shd w:val="clear" w:color="auto" w:fill="FFFFFF"/>
        </w:rPr>
        <w:t xml:space="preserve">. The outcomes of these cases often hinges upon the perceived proportionality of the measure. But this case does not deal with a </w:t>
      </w:r>
      <w:r w:rsidR="00C93A42" w:rsidRPr="009E7E81">
        <w:rPr>
          <w:rFonts w:eastAsia="Times New Roman" w:cs="Arial"/>
          <w:i/>
          <w:shd w:val="clear" w:color="auto" w:fill="FFFFFF"/>
        </w:rPr>
        <w:t xml:space="preserve">limitation </w:t>
      </w:r>
      <w:r>
        <w:rPr>
          <w:rFonts w:eastAsia="Times New Roman" w:cs="Arial"/>
          <w:shd w:val="clear" w:color="auto" w:fill="FFFFFF"/>
        </w:rPr>
        <w:t>on equal treatment; the rules are a</w:t>
      </w:r>
      <w:r w:rsidR="00C93A42" w:rsidRPr="009E7E81">
        <w:rPr>
          <w:rFonts w:eastAsia="Times New Roman" w:cs="Arial"/>
          <w:shd w:val="clear" w:color="auto" w:fill="FFFFFF"/>
        </w:rPr>
        <w:t xml:space="preserve"> complete negation of equal treatment. Proportionality does not get a look in, as there are no conditions</w:t>
      </w:r>
      <w:r w:rsidR="00C47831" w:rsidRPr="009E7E81">
        <w:rPr>
          <w:rFonts w:eastAsia="Times New Roman" w:cs="Arial"/>
          <w:shd w:val="clear" w:color="auto" w:fill="FFFFFF"/>
        </w:rPr>
        <w:t xml:space="preserve"> that </w:t>
      </w:r>
      <w:r w:rsidR="00C93A42" w:rsidRPr="009E7E81">
        <w:rPr>
          <w:rFonts w:eastAsia="Times New Roman" w:cs="Arial"/>
          <w:i/>
          <w:shd w:val="clear" w:color="auto" w:fill="FFFFFF"/>
        </w:rPr>
        <w:t>Zambrano</w:t>
      </w:r>
      <w:r w:rsidR="00C93A42" w:rsidRPr="009E7E81">
        <w:rPr>
          <w:rFonts w:eastAsia="Times New Roman" w:cs="Arial"/>
          <w:shd w:val="clear" w:color="auto" w:fill="FFFFFF"/>
        </w:rPr>
        <w:t xml:space="preserve"> families can meet to become eligible. </w:t>
      </w:r>
    </w:p>
    <w:p w14:paraId="73F962A2" w14:textId="37C0AEE8" w:rsidR="00D53B22" w:rsidRPr="009E7E81" w:rsidRDefault="00C93A42" w:rsidP="009E7E81">
      <w:pPr>
        <w:widowControl w:val="0"/>
        <w:autoSpaceDE w:val="0"/>
        <w:autoSpaceDN w:val="0"/>
        <w:adjustRightInd w:val="0"/>
        <w:spacing w:after="240" w:line="360" w:lineRule="auto"/>
        <w:jc w:val="both"/>
        <w:rPr>
          <w:rFonts w:eastAsia="Times New Roman" w:cs="Times New Roman"/>
        </w:rPr>
      </w:pPr>
      <w:r w:rsidRPr="009E7E81">
        <w:rPr>
          <w:rFonts w:eastAsia="Times New Roman" w:cs="Times New Roman"/>
        </w:rPr>
        <w:t xml:space="preserve">If we accept the concerns about the public purse, we must then turn to the statement that ‘public funds should be allocated to those with the greatest connection with the UK’. </w:t>
      </w:r>
      <w:r w:rsidR="00A21DFF" w:rsidRPr="009E7E81">
        <w:rPr>
          <w:rFonts w:eastAsia="Times New Roman" w:cs="Times New Roman"/>
        </w:rPr>
        <w:t xml:space="preserve">But </w:t>
      </w:r>
      <w:r w:rsidRPr="009E7E81">
        <w:rPr>
          <w:rFonts w:eastAsia="Times New Roman" w:cs="Times New Roman"/>
          <w:i/>
        </w:rPr>
        <w:t>Zambrano</w:t>
      </w:r>
      <w:r w:rsidRPr="009E7E81">
        <w:rPr>
          <w:rFonts w:eastAsia="Times New Roman" w:cs="Times New Roman"/>
        </w:rPr>
        <w:t xml:space="preserve"> claims </w:t>
      </w:r>
      <w:r w:rsidR="00A21DFF" w:rsidRPr="009E7E81">
        <w:rPr>
          <w:rFonts w:eastAsia="Times New Roman" w:cs="Times New Roman"/>
        </w:rPr>
        <w:t>are based on</w:t>
      </w:r>
      <w:r w:rsidRPr="009E7E81">
        <w:rPr>
          <w:rFonts w:eastAsia="Times New Roman" w:cs="Times New Roman"/>
        </w:rPr>
        <w:t xml:space="preserve"> UK national children. The whole scheme of international law, and indeed EU free movement law </w:t>
      </w:r>
      <w:r w:rsidR="00A21DFF" w:rsidRPr="009E7E81">
        <w:rPr>
          <w:rFonts w:eastAsia="Times New Roman" w:cs="Times New Roman"/>
        </w:rPr>
        <w:t>(</w:t>
      </w:r>
      <w:r w:rsidRPr="009E7E81">
        <w:rPr>
          <w:rFonts w:eastAsia="Times New Roman" w:cs="Times New Roman"/>
        </w:rPr>
        <w:t>which permits indirect discrimination against non-national EU citizens</w:t>
      </w:r>
      <w:r w:rsidR="00D53B22" w:rsidRPr="009E7E81">
        <w:rPr>
          <w:rFonts w:eastAsia="Times New Roman" w:cs="Times New Roman"/>
        </w:rPr>
        <w:t xml:space="preserve"> – O’Brien, 2008</w:t>
      </w:r>
      <w:r w:rsidR="00A21DFF" w:rsidRPr="009E7E81">
        <w:rPr>
          <w:rFonts w:eastAsia="Times New Roman" w:cs="Times New Roman"/>
        </w:rPr>
        <w:t>)</w:t>
      </w:r>
      <w:r w:rsidRPr="009E7E81">
        <w:rPr>
          <w:rFonts w:eastAsia="Times New Roman" w:cs="Times New Roman"/>
        </w:rPr>
        <w:t xml:space="preserve">, is predicated on the tenet that </w:t>
      </w:r>
      <w:r w:rsidRPr="009E7E81">
        <w:rPr>
          <w:rFonts w:eastAsia="Times New Roman" w:cs="Times New Roman"/>
          <w:i/>
        </w:rPr>
        <w:t>nationality</w:t>
      </w:r>
      <w:r w:rsidRPr="009E7E81">
        <w:rPr>
          <w:rFonts w:eastAsia="Times New Roman" w:cs="Times New Roman"/>
        </w:rPr>
        <w:t xml:space="preserve"> provides the greatest connection with a state. </w:t>
      </w:r>
      <w:r w:rsidR="006A4331" w:rsidRPr="009E7E81">
        <w:rPr>
          <w:rFonts w:eastAsia="Times New Roman" w:cs="Times New Roman"/>
        </w:rPr>
        <w:t xml:space="preserve">The Upper Tribunal in </w:t>
      </w:r>
      <w:r w:rsidR="006A4331" w:rsidRPr="009E7E81">
        <w:rPr>
          <w:rFonts w:cs="Times New Roman"/>
          <w:i/>
          <w:lang w:val="en-US"/>
        </w:rPr>
        <w:t>Secretary of State for the Home Department v MK</w:t>
      </w:r>
      <w:r w:rsidR="006A4331" w:rsidRPr="009E7E81">
        <w:rPr>
          <w:rFonts w:cs="Times New Roman"/>
          <w:lang w:val="en-US"/>
        </w:rPr>
        <w:t xml:space="preserve"> [2011] UKUT 00475 (IAC)</w:t>
      </w:r>
      <w:r w:rsidR="006A4331" w:rsidRPr="009E7E81">
        <w:rPr>
          <w:rFonts w:eastAsia="Times New Roman" w:cs="Times New Roman"/>
          <w:i/>
        </w:rPr>
        <w:t xml:space="preserve"> </w:t>
      </w:r>
      <w:r w:rsidR="006A4331" w:rsidRPr="009E7E81">
        <w:rPr>
          <w:rFonts w:eastAsia="Times New Roman" w:cs="Times New Roman"/>
        </w:rPr>
        <w:t xml:space="preserve">noted that </w:t>
      </w:r>
      <w:r w:rsidR="006A4331" w:rsidRPr="009E7E81">
        <w:rPr>
          <w:rFonts w:cs="Times New Roman"/>
          <w:lang w:val="en-US"/>
        </w:rPr>
        <w:t>‘the fact that [the claimant] and the children are Indian citizens demonstrates that they have another country to go</w:t>
      </w:r>
      <w:r w:rsidR="00305E92" w:rsidRPr="009E7E81">
        <w:rPr>
          <w:rFonts w:cs="Times New Roman"/>
          <w:lang w:val="en-US"/>
        </w:rPr>
        <w:t xml:space="preserve"> </w:t>
      </w:r>
      <w:r w:rsidR="006A4331" w:rsidRPr="009E7E81">
        <w:rPr>
          <w:rFonts w:cs="Times New Roman"/>
          <w:lang w:val="en-US"/>
        </w:rPr>
        <w:t>to and one in which, absent special circumstances, they can legitimately expect to enjoy the benefits of that country's citizenship’</w:t>
      </w:r>
      <w:r w:rsidR="00D53B22" w:rsidRPr="009E7E81">
        <w:rPr>
          <w:rFonts w:cs="Times New Roman"/>
          <w:lang w:val="en-US"/>
        </w:rPr>
        <w:t xml:space="preserve"> (25)</w:t>
      </w:r>
      <w:r w:rsidR="006A4331" w:rsidRPr="009E7E81">
        <w:rPr>
          <w:rFonts w:cs="Times New Roman"/>
          <w:lang w:val="en-US"/>
        </w:rPr>
        <w:t xml:space="preserve">. </w:t>
      </w:r>
      <w:r w:rsidR="008F293B" w:rsidRPr="009E7E81">
        <w:rPr>
          <w:rFonts w:cs="Times New Roman"/>
          <w:lang w:val="en-US"/>
        </w:rPr>
        <w:lastRenderedPageBreak/>
        <w:t xml:space="preserve">The flip side of this is that </w:t>
      </w:r>
      <w:r w:rsidR="00712DD8">
        <w:rPr>
          <w:rFonts w:cs="Times New Roman"/>
          <w:lang w:val="en-US"/>
        </w:rPr>
        <w:t>British</w:t>
      </w:r>
      <w:r w:rsidR="008F293B" w:rsidRPr="009E7E81">
        <w:rPr>
          <w:rFonts w:cs="Times New Roman"/>
          <w:lang w:val="en-US"/>
        </w:rPr>
        <w:t xml:space="preserve"> citizens </w:t>
      </w:r>
      <w:r w:rsidR="008F293B" w:rsidRPr="009E7E81">
        <w:rPr>
          <w:rFonts w:cs="Times New Roman"/>
          <w:i/>
          <w:lang w:val="en-US"/>
        </w:rPr>
        <w:t>can</w:t>
      </w:r>
      <w:r w:rsidR="008F293B" w:rsidRPr="009E7E81">
        <w:rPr>
          <w:rFonts w:cs="Times New Roman"/>
          <w:lang w:val="en-US"/>
        </w:rPr>
        <w:t xml:space="preserve"> legitimately expect to enjoy the benefits of </w:t>
      </w:r>
      <w:r w:rsidR="00712DD8">
        <w:rPr>
          <w:rFonts w:cs="Times New Roman"/>
          <w:i/>
          <w:lang w:val="en-US"/>
        </w:rPr>
        <w:t>British</w:t>
      </w:r>
      <w:r w:rsidR="008F293B" w:rsidRPr="009E7E81">
        <w:rPr>
          <w:rFonts w:cs="Times New Roman"/>
          <w:lang w:val="en-US"/>
        </w:rPr>
        <w:t xml:space="preserve"> citizenship. </w:t>
      </w:r>
      <w:r w:rsidRPr="009E7E81">
        <w:rPr>
          <w:rFonts w:eastAsia="Times New Roman" w:cs="Times New Roman"/>
        </w:rPr>
        <w:t xml:space="preserve">Certainly, where the children do not have dual nationality, have been born in the UK and lived in the UK their whole lives, there is no other state in the world with whom those children could be said to have a stronger legal connection (and no other state in the world that would recognise them as having a stronger connection). Which suggests a startling absence of reciprocity on the part of the UK state. </w:t>
      </w:r>
    </w:p>
    <w:p w14:paraId="76A9D44C" w14:textId="50245565" w:rsidR="00D53B22" w:rsidRPr="009E7E81" w:rsidRDefault="00C93A42" w:rsidP="009E7E81">
      <w:pPr>
        <w:widowControl w:val="0"/>
        <w:autoSpaceDE w:val="0"/>
        <w:autoSpaceDN w:val="0"/>
        <w:adjustRightInd w:val="0"/>
        <w:spacing w:after="240" w:line="360" w:lineRule="auto"/>
        <w:jc w:val="both"/>
        <w:rPr>
          <w:rFonts w:eastAsia="Times New Roman" w:cs="Times New Roman"/>
        </w:rPr>
      </w:pPr>
      <w:r w:rsidRPr="009E7E81">
        <w:rPr>
          <w:rFonts w:eastAsia="Times New Roman" w:cs="Times New Roman"/>
        </w:rPr>
        <w:t xml:space="preserve">A </w:t>
      </w:r>
      <w:r w:rsidRPr="009E7E81">
        <w:rPr>
          <w:rFonts w:eastAsia="Times New Roman" w:cs="Times New Roman"/>
          <w:i/>
        </w:rPr>
        <w:t>Zambrano</w:t>
      </w:r>
      <w:r w:rsidRPr="009E7E81">
        <w:rPr>
          <w:rFonts w:eastAsia="Times New Roman" w:cs="Times New Roman"/>
        </w:rPr>
        <w:t xml:space="preserve"> carer herself may have some claim to</w:t>
      </w:r>
      <w:r w:rsidR="00712DD8">
        <w:rPr>
          <w:rFonts w:eastAsia="Times New Roman" w:cs="Times New Roman"/>
        </w:rPr>
        <w:t xml:space="preserve"> a</w:t>
      </w:r>
      <w:r w:rsidRPr="009E7E81">
        <w:rPr>
          <w:rFonts w:eastAsia="Times New Roman" w:cs="Times New Roman"/>
        </w:rPr>
        <w:t xml:space="preserve"> strong connection with the UK, not only through having a </w:t>
      </w:r>
      <w:r w:rsidR="00712DD8">
        <w:rPr>
          <w:rFonts w:eastAsia="Times New Roman" w:cs="Times New Roman"/>
        </w:rPr>
        <w:t>UK</w:t>
      </w:r>
      <w:r w:rsidRPr="009E7E81">
        <w:rPr>
          <w:rFonts w:eastAsia="Times New Roman" w:cs="Times New Roman"/>
        </w:rPr>
        <w:t xml:space="preserve"> national child, as she may have been resident for a substantial period of time, and may have been significantly economically active for a substantial period (and may still be at the time of claim). A statement that a group of UK national children, and their primary carers, can never be deemed to have as great a connection with the UK as any other UK national, or any EU national, or any third c</w:t>
      </w:r>
      <w:r w:rsidR="003E747A">
        <w:rPr>
          <w:rFonts w:eastAsia="Times New Roman" w:cs="Times New Roman"/>
        </w:rPr>
        <w:t>ountry national with another EU citizenship-</w:t>
      </w:r>
      <w:r w:rsidRPr="009E7E81">
        <w:rPr>
          <w:rFonts w:eastAsia="Times New Roman" w:cs="Times New Roman"/>
        </w:rPr>
        <w:t xml:space="preserve">based right to reside, regardless of their length of residence in the UK, regardless of whether the UK national child has any connections with any other country, and regardless of any amount of economic contribution the family has made or is making, is irrational. </w:t>
      </w:r>
      <w:r w:rsidR="007407E5">
        <w:rPr>
          <w:rFonts w:eastAsia="Times New Roman" w:cs="Times New Roman"/>
        </w:rPr>
        <w:t>But Arden LJ accepted</w:t>
      </w:r>
      <w:r w:rsidR="00D53B22" w:rsidRPr="009E7E81">
        <w:rPr>
          <w:rFonts w:eastAsia="Times New Roman" w:cs="Times New Roman"/>
        </w:rPr>
        <w:t xml:space="preserve"> that the measures were ‘</w:t>
      </w:r>
      <w:r w:rsidR="00D53B22" w:rsidRPr="009E7E81">
        <w:rPr>
          <w:rFonts w:cs="Times New Roman"/>
        </w:rPr>
        <w:t>suitable to promote that objective’ and stated that there was ‘a rational connection between the measures and their legitimate aim’</w:t>
      </w:r>
      <w:r w:rsidR="00C75FF7">
        <w:rPr>
          <w:rFonts w:cs="Times New Roman"/>
        </w:rPr>
        <w:t xml:space="preserve"> (98)</w:t>
      </w:r>
      <w:r w:rsidR="00D53B22" w:rsidRPr="009E7E81">
        <w:rPr>
          <w:rFonts w:cs="Times New Roman"/>
        </w:rPr>
        <w:t xml:space="preserve">, without </w:t>
      </w:r>
      <w:r w:rsidR="00712DD8">
        <w:rPr>
          <w:rFonts w:cs="Times New Roman"/>
        </w:rPr>
        <w:t>explaining what that connection is</w:t>
      </w:r>
      <w:r w:rsidR="00D53B22" w:rsidRPr="009E7E81">
        <w:rPr>
          <w:rFonts w:cs="Times New Roman"/>
        </w:rPr>
        <w:t xml:space="preserve">. </w:t>
      </w:r>
    </w:p>
    <w:p w14:paraId="086838E3" w14:textId="3BF8AED1" w:rsidR="00C93A42" w:rsidRPr="009E7E81" w:rsidRDefault="00C93A42" w:rsidP="009E7E81">
      <w:pPr>
        <w:widowControl w:val="0"/>
        <w:autoSpaceDE w:val="0"/>
        <w:autoSpaceDN w:val="0"/>
        <w:adjustRightInd w:val="0"/>
        <w:spacing w:after="240" w:line="360" w:lineRule="auto"/>
        <w:jc w:val="both"/>
        <w:rPr>
          <w:rFonts w:cs="Times New Roman"/>
          <w:lang w:val="en-US"/>
        </w:rPr>
      </w:pPr>
      <w:r w:rsidRPr="009E7E81">
        <w:rPr>
          <w:rFonts w:eastAsia="Times New Roman" w:cs="Times New Roman"/>
        </w:rPr>
        <w:t xml:space="preserve">This logic-blind spot is a bit of a theme on the subject of </w:t>
      </w:r>
      <w:r w:rsidRPr="009E7E81">
        <w:rPr>
          <w:rFonts w:eastAsia="Times New Roman" w:cs="Times New Roman"/>
          <w:i/>
        </w:rPr>
        <w:t>Zambrano</w:t>
      </w:r>
      <w:r w:rsidRPr="009E7E81">
        <w:rPr>
          <w:rFonts w:eastAsia="Times New Roman" w:cs="Times New Roman"/>
        </w:rPr>
        <w:t xml:space="preserve"> carers.  The government’s 2012 </w:t>
      </w:r>
      <w:r w:rsidR="00D53B22" w:rsidRPr="009E7E81">
        <w:rPr>
          <w:rFonts w:eastAsia="Times New Roman" w:cs="Times New Roman"/>
        </w:rPr>
        <w:t>equality</w:t>
      </w:r>
      <w:r w:rsidRPr="009E7E81">
        <w:rPr>
          <w:rFonts w:eastAsia="Times New Roman" w:cs="Times New Roman"/>
        </w:rPr>
        <w:t xml:space="preserve"> assessment claimed that excluding them from all social assistance benefits would encourage migrants </w:t>
      </w:r>
      <w:r w:rsidRPr="009E7E81">
        <w:rPr>
          <w:rFonts w:cs="Times New Roman"/>
          <w:lang w:val="en-US"/>
        </w:rPr>
        <w:t>‘who can make a valuable contribution to our economy, whilst deliver fairness for the taxpayer by maintaining the current level of support the benefit system is able to pr</w:t>
      </w:r>
      <w:r w:rsidR="00D53B22" w:rsidRPr="009E7E81">
        <w:rPr>
          <w:rFonts w:cs="Times New Roman"/>
          <w:lang w:val="en-US"/>
        </w:rPr>
        <w:t>ovide to the general population</w:t>
      </w:r>
      <w:r w:rsidRPr="009E7E81">
        <w:rPr>
          <w:rFonts w:cs="Times New Roman"/>
          <w:lang w:val="en-US"/>
        </w:rPr>
        <w:t>’</w:t>
      </w:r>
      <w:r w:rsidR="00D53B22" w:rsidRPr="009E7E81">
        <w:rPr>
          <w:rFonts w:cs="Times New Roman"/>
          <w:lang w:val="en-US"/>
        </w:rPr>
        <w:t xml:space="preserve"> (DWP, 2012, formulation used three times, on pages 3, 4 and 5).</w:t>
      </w:r>
      <w:r w:rsidRPr="009E7E81">
        <w:rPr>
          <w:rFonts w:cs="Times New Roman"/>
          <w:lang w:val="en-US"/>
        </w:rPr>
        <w:t xml:space="preserve"> But the regulations exclude people regardless of their past or present contributions to the economy, and exclude them </w:t>
      </w:r>
      <w:r w:rsidRPr="009E7E81">
        <w:rPr>
          <w:rFonts w:cs="Times New Roman"/>
          <w:i/>
          <w:lang w:val="en-US"/>
        </w:rPr>
        <w:t>even though they are taxpayers</w:t>
      </w:r>
      <w:r w:rsidRPr="009E7E81">
        <w:rPr>
          <w:rFonts w:cs="Times New Roman"/>
          <w:lang w:val="en-US"/>
        </w:rPr>
        <w:t xml:space="preserve"> too. Collecting taxes and national insurance, and not permitting them any degree of solidarity in return, is</w:t>
      </w:r>
      <w:r w:rsidR="00C70ADC" w:rsidRPr="009E7E81">
        <w:rPr>
          <w:rFonts w:cs="Times New Roman"/>
          <w:lang w:val="en-US"/>
        </w:rPr>
        <w:t xml:space="preserve"> a peculiar form</w:t>
      </w:r>
      <w:r w:rsidRPr="009E7E81">
        <w:rPr>
          <w:rFonts w:cs="Times New Roman"/>
          <w:lang w:val="en-US"/>
        </w:rPr>
        <w:t xml:space="preserve"> of fairness.  </w:t>
      </w:r>
    </w:p>
    <w:p w14:paraId="621EF9FF" w14:textId="5160BE34" w:rsidR="00C93A42" w:rsidRPr="009E7E81" w:rsidRDefault="00C93A42" w:rsidP="009E7E81">
      <w:pPr>
        <w:spacing w:before="100" w:beforeAutospacing="1" w:after="240" w:line="360" w:lineRule="auto"/>
        <w:jc w:val="both"/>
        <w:rPr>
          <w:rFonts w:eastAsia="Times New Roman" w:cs="Times New Roman"/>
        </w:rPr>
      </w:pPr>
      <w:r w:rsidRPr="009E7E81">
        <w:rPr>
          <w:rFonts w:eastAsia="Times New Roman" w:cs="Times New Roman"/>
        </w:rPr>
        <w:lastRenderedPageBreak/>
        <w:t xml:space="preserve">Having stated that UK funds should be directed to those with the greatest connections to the UK (carrying with it the assumption that this automatically always excludes all </w:t>
      </w:r>
      <w:r w:rsidRPr="009E7E81">
        <w:rPr>
          <w:rFonts w:eastAsia="Times New Roman" w:cs="Times New Roman"/>
          <w:i/>
        </w:rPr>
        <w:t>Zambrano</w:t>
      </w:r>
      <w:r w:rsidRPr="009E7E81">
        <w:rPr>
          <w:rFonts w:eastAsia="Times New Roman" w:cs="Times New Roman"/>
        </w:rPr>
        <w:t xml:space="preserve"> families), it is curious that the DWP submission goes on to acknowledge that ‘a number of </w:t>
      </w:r>
      <w:r w:rsidRPr="009E7E81">
        <w:rPr>
          <w:rFonts w:eastAsia="Times New Roman" w:cs="Times New Roman"/>
          <w:i/>
          <w:iCs/>
        </w:rPr>
        <w:t>Zambrano </w:t>
      </w:r>
      <w:r w:rsidRPr="009E7E81">
        <w:rPr>
          <w:rFonts w:eastAsia="Times New Roman" w:cs="Times New Roman"/>
        </w:rPr>
        <w:t>carers had been in the UK for some years before the decision in </w:t>
      </w:r>
      <w:r w:rsidRPr="009E7E81">
        <w:rPr>
          <w:rFonts w:eastAsia="Times New Roman" w:cs="Times New Roman"/>
          <w:i/>
          <w:iCs/>
        </w:rPr>
        <w:t>Zambrano</w:t>
      </w:r>
      <w:r w:rsidRPr="009E7E81">
        <w:rPr>
          <w:rFonts w:eastAsia="Times New Roman" w:cs="Times New Roman"/>
          <w:iCs/>
        </w:rPr>
        <w:t>’</w:t>
      </w:r>
      <w:r w:rsidR="00C70ADC" w:rsidRPr="009E7E81">
        <w:rPr>
          <w:rFonts w:eastAsia="Times New Roman" w:cs="Times New Roman"/>
          <w:iCs/>
        </w:rPr>
        <w:t xml:space="preserve"> (</w:t>
      </w:r>
      <w:r w:rsidR="00C70ADC" w:rsidRPr="009E7E81">
        <w:rPr>
          <w:rFonts w:eastAsia="Times New Roman" w:cs="Times New Roman"/>
          <w:i/>
          <w:iCs/>
        </w:rPr>
        <w:t>Sanneh</w:t>
      </w:r>
      <w:r w:rsidR="00C70ADC" w:rsidRPr="009E7E81">
        <w:rPr>
          <w:rFonts w:eastAsia="Times New Roman" w:cs="Times New Roman"/>
          <w:iCs/>
        </w:rPr>
        <w:t>, 96)</w:t>
      </w:r>
      <w:r w:rsidRPr="009E7E81">
        <w:rPr>
          <w:rFonts w:eastAsia="Times New Roman" w:cs="Times New Roman"/>
          <w:iCs/>
        </w:rPr>
        <w:t xml:space="preserve">. But rather than acknowledge the contradiction on the issue of </w:t>
      </w:r>
      <w:r w:rsidR="00C70ADC" w:rsidRPr="009E7E81">
        <w:rPr>
          <w:rFonts w:eastAsia="Times New Roman" w:cs="Times New Roman"/>
          <w:iCs/>
        </w:rPr>
        <w:t>‘</w:t>
      </w:r>
      <w:r w:rsidRPr="009E7E81">
        <w:rPr>
          <w:rFonts w:eastAsia="Times New Roman" w:cs="Times New Roman"/>
          <w:iCs/>
        </w:rPr>
        <w:t>UK connections</w:t>
      </w:r>
      <w:r w:rsidR="00C70ADC" w:rsidRPr="009E7E81">
        <w:rPr>
          <w:rFonts w:eastAsia="Times New Roman" w:cs="Times New Roman"/>
          <w:iCs/>
        </w:rPr>
        <w:t>’,</w:t>
      </w:r>
      <w:r w:rsidRPr="009E7E81">
        <w:rPr>
          <w:rFonts w:eastAsia="Times New Roman" w:cs="Times New Roman"/>
          <w:iCs/>
        </w:rPr>
        <w:t xml:space="preserve"> the submission uses this </w:t>
      </w:r>
      <w:r w:rsidRPr="009E7E81">
        <w:rPr>
          <w:rFonts w:eastAsia="Times New Roman" w:cs="Times New Roman"/>
          <w:i/>
          <w:iCs/>
        </w:rPr>
        <w:t>against</w:t>
      </w:r>
      <w:r w:rsidRPr="009E7E81">
        <w:rPr>
          <w:rFonts w:eastAsia="Times New Roman" w:cs="Times New Roman"/>
          <w:iCs/>
        </w:rPr>
        <w:t xml:space="preserve"> the </w:t>
      </w:r>
      <w:r w:rsidRPr="009E7E81">
        <w:rPr>
          <w:rFonts w:eastAsia="Times New Roman" w:cs="Times New Roman"/>
          <w:i/>
          <w:iCs/>
        </w:rPr>
        <w:t>Zambrano</w:t>
      </w:r>
      <w:r w:rsidR="00A21DFF" w:rsidRPr="009E7E81">
        <w:rPr>
          <w:rFonts w:eastAsia="Times New Roman" w:cs="Times New Roman"/>
          <w:iCs/>
        </w:rPr>
        <w:t xml:space="preserve"> families because </w:t>
      </w:r>
      <w:r w:rsidRPr="009E7E81">
        <w:rPr>
          <w:rFonts w:eastAsia="Times New Roman" w:cs="Times New Roman"/>
          <w:iCs/>
        </w:rPr>
        <w:t>such families ‘</w:t>
      </w:r>
      <w:r w:rsidRPr="009E7E81">
        <w:rPr>
          <w:rFonts w:eastAsia="Times New Roman" w:cs="Times New Roman"/>
        </w:rPr>
        <w:t>had been able to support themselves and their families’ – i.e. that further support, just because they now</w:t>
      </w:r>
      <w:r w:rsidR="003E747A">
        <w:rPr>
          <w:rFonts w:eastAsia="Times New Roman" w:cs="Times New Roman"/>
        </w:rPr>
        <w:t xml:space="preserve"> have an EU citizenship-</w:t>
      </w:r>
      <w:r w:rsidRPr="009E7E81">
        <w:rPr>
          <w:rFonts w:eastAsia="Times New Roman" w:cs="Times New Roman"/>
        </w:rPr>
        <w:t xml:space="preserve">based right to reside is simply not necessary. </w:t>
      </w:r>
      <w:r w:rsidR="00C70ADC" w:rsidRPr="009E7E81">
        <w:rPr>
          <w:rFonts w:eastAsia="Times New Roman" w:cs="Times New Roman"/>
        </w:rPr>
        <w:t>E</w:t>
      </w:r>
      <w:r w:rsidRPr="009E7E81">
        <w:rPr>
          <w:rFonts w:eastAsia="Times New Roman" w:cs="Times New Roman"/>
        </w:rPr>
        <w:t xml:space="preserve">stablishing that people can survive without support is meaningless – the same reasoning could be used to argue the welfare system is not needed at all. </w:t>
      </w:r>
      <w:r w:rsidR="00C70ADC" w:rsidRPr="009E7E81">
        <w:rPr>
          <w:rFonts w:eastAsia="Times New Roman" w:cs="Times New Roman"/>
        </w:rPr>
        <w:t>It</w:t>
      </w:r>
      <w:r w:rsidRPr="009E7E81">
        <w:rPr>
          <w:rFonts w:eastAsia="Times New Roman" w:cs="Times New Roman"/>
        </w:rPr>
        <w:t xml:space="preserve"> does not tell us whether rules </w:t>
      </w:r>
      <w:r w:rsidR="00A21DFF" w:rsidRPr="009E7E81">
        <w:rPr>
          <w:rFonts w:eastAsia="Times New Roman" w:cs="Times New Roman"/>
        </w:rPr>
        <w:t>that</w:t>
      </w:r>
      <w:r w:rsidRPr="009E7E81">
        <w:rPr>
          <w:rFonts w:eastAsia="Times New Roman" w:cs="Times New Roman"/>
        </w:rPr>
        <w:t xml:space="preserve"> treat some people </w:t>
      </w:r>
      <w:r w:rsidR="00712DD8">
        <w:rPr>
          <w:rFonts w:eastAsia="Times New Roman" w:cs="Times New Roman"/>
        </w:rPr>
        <w:t xml:space="preserve">differently despite </w:t>
      </w:r>
      <w:r w:rsidRPr="009E7E81">
        <w:rPr>
          <w:rFonts w:eastAsia="Times New Roman" w:cs="Times New Roman"/>
        </w:rPr>
        <w:t xml:space="preserve">similar circumstances, and so </w:t>
      </w:r>
      <w:r w:rsidRPr="009E7E81">
        <w:rPr>
          <w:rFonts w:eastAsia="Times New Roman" w:cs="Times New Roman"/>
          <w:i/>
        </w:rPr>
        <w:t>discriminate</w:t>
      </w:r>
      <w:r w:rsidRPr="009E7E81">
        <w:rPr>
          <w:rFonts w:eastAsia="Times New Roman" w:cs="Times New Roman"/>
        </w:rPr>
        <w:t xml:space="preserve"> between them, are lawful.  </w:t>
      </w:r>
    </w:p>
    <w:p w14:paraId="06AB6590" w14:textId="076DC196" w:rsidR="00AD1B80" w:rsidRPr="00712DD8" w:rsidRDefault="006C1EC0" w:rsidP="009E7E81">
      <w:pPr>
        <w:spacing w:after="240" w:line="360" w:lineRule="auto"/>
        <w:jc w:val="both"/>
        <w:rPr>
          <w:rFonts w:eastAsia="Times New Roman" w:cs="Arial"/>
          <w:i/>
          <w:shd w:val="clear" w:color="auto" w:fill="FFFFFF"/>
        </w:rPr>
      </w:pPr>
      <w:r w:rsidRPr="009E7E81">
        <w:rPr>
          <w:rFonts w:eastAsia="Times New Roman" w:cs="Arial"/>
          <w:shd w:val="clear" w:color="auto" w:fill="FFFFFF"/>
        </w:rPr>
        <w:t xml:space="preserve">The final policy reason put forward by the DWP before the Court of Appeal was the </w:t>
      </w:r>
      <w:r w:rsidR="005E42FC">
        <w:rPr>
          <w:rFonts w:eastAsia="Times New Roman" w:cs="Arial"/>
          <w:shd w:val="clear" w:color="auto" w:fill="FFFFFF"/>
        </w:rPr>
        <w:t xml:space="preserve">procreative deterrent argument – the </w:t>
      </w:r>
      <w:r w:rsidRPr="009E7E81">
        <w:rPr>
          <w:rFonts w:eastAsia="Times New Roman" w:cs="Arial"/>
          <w:shd w:val="clear" w:color="auto" w:fill="FFFFFF"/>
        </w:rPr>
        <w:t>wish to ‘</w:t>
      </w:r>
      <w:r w:rsidR="00625D94" w:rsidRPr="009E7E81">
        <w:rPr>
          <w:rFonts w:eastAsia="Times New Roman" w:cs="Times New Roman"/>
        </w:rPr>
        <w:t xml:space="preserve">encourage TCNs </w:t>
      </w:r>
      <w:r w:rsidR="00625D94" w:rsidRPr="009E7E81">
        <w:rPr>
          <w:rFonts w:eastAsia="Times New Roman" w:cs="Times New Roman"/>
          <w:i/>
        </w:rPr>
        <w:t>wishing to have children here</w:t>
      </w:r>
      <w:r w:rsidR="00625D94" w:rsidRPr="009E7E81">
        <w:rPr>
          <w:rFonts w:eastAsia="Times New Roman" w:cs="Times New Roman"/>
        </w:rPr>
        <w:t xml:space="preserve"> to ensure that they had sufficient resources to support themselves and their child, </w:t>
      </w:r>
      <w:r w:rsidRPr="009E7E81">
        <w:rPr>
          <w:rFonts w:eastAsia="Times New Roman" w:cs="Times New Roman"/>
        </w:rPr>
        <w:t>and to reduce "benefits tourism”’ (</w:t>
      </w:r>
      <w:r w:rsidR="00C70ADC" w:rsidRPr="009E7E81">
        <w:rPr>
          <w:rFonts w:eastAsia="Times New Roman" w:cs="Times New Roman"/>
          <w:i/>
        </w:rPr>
        <w:t>Sanneh</w:t>
      </w:r>
      <w:r w:rsidR="00C70ADC" w:rsidRPr="009E7E81">
        <w:rPr>
          <w:rFonts w:eastAsia="Times New Roman" w:cs="Times New Roman"/>
        </w:rPr>
        <w:t xml:space="preserve">, 96, </w:t>
      </w:r>
      <w:r w:rsidRPr="009E7E81">
        <w:rPr>
          <w:rFonts w:eastAsia="Times New Roman" w:cs="Times New Roman"/>
        </w:rPr>
        <w:t>emphasis added)</w:t>
      </w:r>
      <w:r w:rsidR="00625D94" w:rsidRPr="009E7E81">
        <w:rPr>
          <w:rFonts w:eastAsia="Times New Roman" w:cs="Times New Roman"/>
        </w:rPr>
        <w:t>.</w:t>
      </w:r>
      <w:r w:rsidRPr="009E7E81">
        <w:rPr>
          <w:rFonts w:eastAsia="Times New Roman" w:cs="Times New Roman"/>
        </w:rPr>
        <w:t xml:space="preserve"> </w:t>
      </w:r>
      <w:r w:rsidRPr="009E7E81">
        <w:rPr>
          <w:rFonts w:cs="Times New Roman"/>
          <w:lang w:val="en-US"/>
        </w:rPr>
        <w:t xml:space="preserve">This argument is acutely problematic, and counsel for the claimants argued that a deterrence argument was ‘nonsensical’, since the problem only arose </w:t>
      </w:r>
      <w:r w:rsidRPr="009E7E81">
        <w:rPr>
          <w:rFonts w:cs="Times New Roman"/>
          <w:i/>
          <w:lang w:val="en-US"/>
        </w:rPr>
        <w:t>after</w:t>
      </w:r>
      <w:r w:rsidRPr="009E7E81">
        <w:rPr>
          <w:rFonts w:cs="Times New Roman"/>
          <w:lang w:val="en-US"/>
        </w:rPr>
        <w:t xml:space="preserve"> the carer had the child. That is not the only reason it is devoid of sense. The exclusion affects </w:t>
      </w:r>
      <w:r w:rsidRPr="009E7E81">
        <w:rPr>
          <w:rFonts w:cs="Times New Roman"/>
          <w:i/>
          <w:lang w:val="en-US"/>
        </w:rPr>
        <w:t>Zambrano</w:t>
      </w:r>
      <w:r w:rsidRPr="009E7E81">
        <w:rPr>
          <w:rFonts w:cs="Times New Roman"/>
          <w:lang w:val="en-US"/>
        </w:rPr>
        <w:t xml:space="preserve"> carers regardless of whether they dutifully completed their resource calculations before having a child, and then their circumstances changed. For example, many people do not </w:t>
      </w:r>
      <w:r w:rsidR="00AD1B80" w:rsidRPr="009E7E81">
        <w:rPr>
          <w:rFonts w:cs="Times New Roman"/>
          <w:lang w:val="en-US"/>
        </w:rPr>
        <w:t xml:space="preserve">set out to become lone parents, and people’s financial circumstances and career positions shift. </w:t>
      </w:r>
      <w:r w:rsidR="00AD1B80" w:rsidRPr="009E7E81">
        <w:rPr>
          <w:rFonts w:eastAsia="Times New Roman"/>
        </w:rPr>
        <w:t xml:space="preserve">A </w:t>
      </w:r>
      <w:r w:rsidR="00AD1B80" w:rsidRPr="009E7E81">
        <w:rPr>
          <w:rFonts w:eastAsia="Times New Roman"/>
          <w:i/>
        </w:rPr>
        <w:t>Zambrano</w:t>
      </w:r>
      <w:r w:rsidR="00AD1B80" w:rsidRPr="009E7E81">
        <w:rPr>
          <w:rFonts w:eastAsia="Times New Roman"/>
        </w:rPr>
        <w:t xml:space="preserve"> carer has a right based on their child’s </w:t>
      </w:r>
      <w:r w:rsidR="00AD1B80" w:rsidRPr="009E7E81">
        <w:rPr>
          <w:rFonts w:eastAsia="Times New Roman"/>
          <w:i/>
        </w:rPr>
        <w:t>British</w:t>
      </w:r>
      <w:r w:rsidR="00AD1B80" w:rsidRPr="009E7E81">
        <w:rPr>
          <w:rFonts w:eastAsia="Times New Roman"/>
        </w:rPr>
        <w:t xml:space="preserve"> nationality. British nationality is not awarded simply on the basis of being born in the UK (jus soli), but requires a degree of jus sanguinis – ie a British parent</w:t>
      </w:r>
      <w:r w:rsidR="00F634A1" w:rsidRPr="009E7E81">
        <w:rPr>
          <w:rFonts w:eastAsia="Times New Roman"/>
        </w:rPr>
        <w:t xml:space="preserve"> or a parent with settled status</w:t>
      </w:r>
      <w:r w:rsidR="00AD1B80" w:rsidRPr="009E7E81">
        <w:rPr>
          <w:rFonts w:eastAsia="Times New Roman"/>
        </w:rPr>
        <w:t>. These children are not born as result of parthenogenesis on the part of an economically reckless TCN</w:t>
      </w:r>
      <w:r w:rsidR="00F634A1" w:rsidRPr="009E7E81">
        <w:rPr>
          <w:rFonts w:eastAsia="Times New Roman"/>
        </w:rPr>
        <w:t xml:space="preserve"> with a shaky immigration status acting alone</w:t>
      </w:r>
      <w:r w:rsidR="00AD1B80" w:rsidRPr="009E7E81">
        <w:rPr>
          <w:rFonts w:eastAsia="Times New Roman"/>
        </w:rPr>
        <w:t>, but as the result of the actions of a couple, one half of which in many cases will have been British</w:t>
      </w:r>
      <w:r w:rsidR="00F634A1" w:rsidRPr="009E7E81">
        <w:rPr>
          <w:rFonts w:eastAsia="Times New Roman"/>
        </w:rPr>
        <w:t xml:space="preserve"> or had settled status</w:t>
      </w:r>
      <w:r w:rsidR="00AD1B80" w:rsidRPr="009E7E81">
        <w:rPr>
          <w:rFonts w:eastAsia="Times New Roman"/>
        </w:rPr>
        <w:t xml:space="preserve">. </w:t>
      </w:r>
    </w:p>
    <w:p w14:paraId="34831F86" w14:textId="0C64D15B" w:rsidR="00625D94" w:rsidRPr="009E7E81" w:rsidRDefault="00AD1B80" w:rsidP="009E7E81">
      <w:pPr>
        <w:spacing w:after="240" w:line="360" w:lineRule="auto"/>
        <w:jc w:val="both"/>
        <w:rPr>
          <w:rFonts w:cs="Times New Roman"/>
          <w:i/>
          <w:lang w:val="en-US"/>
        </w:rPr>
      </w:pPr>
      <w:r w:rsidRPr="009E7E81">
        <w:rPr>
          <w:rFonts w:cs="Times New Roman"/>
          <w:lang w:val="en-US"/>
        </w:rPr>
        <w:lastRenderedPageBreak/>
        <w:t>There is, of course, also an ethical problem with deterring people from having children, on the basis of socio-economic means</w:t>
      </w:r>
      <w:r w:rsidR="00F634A1" w:rsidRPr="009E7E81">
        <w:rPr>
          <w:rFonts w:cs="Times New Roman"/>
          <w:lang w:val="en-US"/>
        </w:rPr>
        <w:t xml:space="preserve">, since such exclusion speaks to </w:t>
      </w:r>
      <w:r w:rsidR="00C70ADC" w:rsidRPr="009E7E81">
        <w:rPr>
          <w:rFonts w:cs="Times New Roman"/>
          <w:lang w:val="en-US"/>
        </w:rPr>
        <w:t>socio-</w:t>
      </w:r>
      <w:r w:rsidR="00F634A1" w:rsidRPr="009E7E81">
        <w:rPr>
          <w:rFonts w:cs="Times New Roman"/>
          <w:lang w:val="en-US"/>
        </w:rPr>
        <w:t>eugenic arguments</w:t>
      </w:r>
      <w:r w:rsidRPr="009E7E81">
        <w:rPr>
          <w:rFonts w:cs="Times New Roman"/>
          <w:lang w:val="en-US"/>
        </w:rPr>
        <w:t xml:space="preserve">. There is, further, a logic problem with arguing that </w:t>
      </w:r>
      <w:r w:rsidRPr="009E7E81">
        <w:rPr>
          <w:rFonts w:cs="Times New Roman"/>
          <w:i/>
          <w:lang w:val="en-US"/>
        </w:rPr>
        <w:t>Zambrano</w:t>
      </w:r>
      <w:r w:rsidRPr="009E7E81">
        <w:rPr>
          <w:rFonts w:cs="Times New Roman"/>
          <w:lang w:val="en-US"/>
        </w:rPr>
        <w:t xml:space="preserve"> families should be </w:t>
      </w:r>
      <w:r w:rsidRPr="009E7E81">
        <w:rPr>
          <w:rFonts w:cs="Times New Roman"/>
          <w:i/>
          <w:lang w:val="en-US"/>
        </w:rPr>
        <w:t>denied sufficient means</w:t>
      </w:r>
      <w:r w:rsidRPr="009E7E81">
        <w:rPr>
          <w:rFonts w:cs="Times New Roman"/>
          <w:lang w:val="en-US"/>
        </w:rPr>
        <w:t xml:space="preserve"> (to which they should otherwise have an EU equal treatment claim) </w:t>
      </w:r>
      <w:r w:rsidRPr="009E7E81">
        <w:rPr>
          <w:rFonts w:cs="Times New Roman"/>
          <w:i/>
          <w:lang w:val="en-US"/>
        </w:rPr>
        <w:t>because they do not have sufficient means</w:t>
      </w:r>
      <w:r w:rsidRPr="009E7E81">
        <w:rPr>
          <w:rFonts w:cs="Times New Roman"/>
          <w:lang w:val="en-US"/>
        </w:rPr>
        <w:t xml:space="preserve">. And there is an effect problem. There is no evidence to suggest that the benefit exclusion could or would deter people from having children.  What it does is </w:t>
      </w:r>
      <w:r w:rsidR="00C70ADC" w:rsidRPr="009E7E81">
        <w:rPr>
          <w:rFonts w:cs="Times New Roman"/>
          <w:lang w:val="en-US"/>
        </w:rPr>
        <w:t xml:space="preserve">deepen child poverty and </w:t>
      </w:r>
      <w:r w:rsidRPr="009E7E81">
        <w:rPr>
          <w:rFonts w:cs="Times New Roman"/>
          <w:lang w:val="en-US"/>
        </w:rPr>
        <w:t>punish children</w:t>
      </w:r>
      <w:r w:rsidR="00C70ADC" w:rsidRPr="009E7E81">
        <w:rPr>
          <w:rFonts w:cs="Times New Roman"/>
          <w:lang w:val="en-US"/>
        </w:rPr>
        <w:t xml:space="preserve"> </w:t>
      </w:r>
      <w:r w:rsidRPr="009E7E81">
        <w:rPr>
          <w:rFonts w:cs="Times New Roman"/>
          <w:lang w:val="en-US"/>
        </w:rPr>
        <w:t xml:space="preserve">for the perceived ‘sins’ of the mother – if we accept </w:t>
      </w:r>
      <w:r w:rsidR="00C70ADC" w:rsidRPr="009E7E81">
        <w:rPr>
          <w:rFonts w:cs="Times New Roman"/>
          <w:lang w:val="en-US"/>
        </w:rPr>
        <w:t>that</w:t>
      </w:r>
      <w:r w:rsidRPr="009E7E81">
        <w:rPr>
          <w:rFonts w:cs="Times New Roman"/>
          <w:lang w:val="en-US"/>
        </w:rPr>
        <w:t xml:space="preserve"> not being deterred from having a baby is a sin. And it is an established case law principle that parental </w:t>
      </w:r>
      <w:r w:rsidR="00712DD8">
        <w:rPr>
          <w:rFonts w:cs="Times New Roman"/>
          <w:lang w:val="en-US"/>
        </w:rPr>
        <w:t>shortcomings</w:t>
      </w:r>
      <w:r w:rsidRPr="009E7E81">
        <w:rPr>
          <w:rFonts w:cs="Times New Roman"/>
          <w:lang w:val="en-US"/>
        </w:rPr>
        <w:t xml:space="preserve"> should not be visited upon the children (</w:t>
      </w:r>
      <w:r w:rsidRPr="009E7E81">
        <w:rPr>
          <w:rFonts w:cs="Times New Roman"/>
          <w:i/>
          <w:lang w:val="en-US"/>
        </w:rPr>
        <w:t>ZH Tanzania</w:t>
      </w:r>
      <w:r w:rsidR="00C70ADC" w:rsidRPr="009E7E81">
        <w:rPr>
          <w:rFonts w:cs="Times New Roman"/>
          <w:i/>
          <w:lang w:val="en-US"/>
        </w:rPr>
        <w:t xml:space="preserve"> v Secretary of State for the Home Department </w:t>
      </w:r>
      <w:r w:rsidR="00C70ADC" w:rsidRPr="009E7E81">
        <w:rPr>
          <w:rFonts w:eastAsia="Times New Roman" w:cs="Times New Roman"/>
        </w:rPr>
        <w:t>[2011] UKSC 4</w:t>
      </w:r>
      <w:r w:rsidR="00C70ADC" w:rsidRPr="009E7E81">
        <w:rPr>
          <w:rFonts w:cs="Times New Roman"/>
          <w:lang w:val="en-US"/>
        </w:rPr>
        <w:t xml:space="preserve">, </w:t>
      </w:r>
      <w:r w:rsidR="00C70ADC" w:rsidRPr="009E7E81">
        <w:rPr>
          <w:rFonts w:eastAsia="Times New Roman" w:cs="Times New Roman"/>
        </w:rPr>
        <w:t xml:space="preserve">[2011] 2 WLR 148, 33, </w:t>
      </w:r>
      <w:r w:rsidR="00C70ADC" w:rsidRPr="009E7E81">
        <w:rPr>
          <w:rFonts w:cs="Times New Roman"/>
          <w:lang w:val="en-US"/>
        </w:rPr>
        <w:t>44</w:t>
      </w:r>
      <w:r w:rsidRPr="009E7E81">
        <w:rPr>
          <w:rFonts w:cs="Times New Roman"/>
          <w:lang w:val="en-US"/>
        </w:rPr>
        <w:t xml:space="preserve">). </w:t>
      </w:r>
    </w:p>
    <w:p w14:paraId="602D23F3" w14:textId="359887C8" w:rsidR="003A6DBE" w:rsidRPr="009E7E81" w:rsidRDefault="00F634A1" w:rsidP="009E7E81">
      <w:pPr>
        <w:spacing w:after="240" w:line="360" w:lineRule="auto"/>
        <w:jc w:val="both"/>
        <w:rPr>
          <w:rFonts w:cs="Times New Roman"/>
          <w:u w:val="single"/>
          <w:lang w:val="en-US"/>
        </w:rPr>
      </w:pPr>
      <w:r w:rsidRPr="009E7E81">
        <w:rPr>
          <w:rFonts w:cs="Times New Roman"/>
          <w:u w:val="single"/>
          <w:lang w:val="en-US"/>
        </w:rPr>
        <w:t xml:space="preserve">Conclusion </w:t>
      </w:r>
    </w:p>
    <w:p w14:paraId="424A11AC" w14:textId="5B2093B1" w:rsidR="00B4781F" w:rsidRPr="009E7E81" w:rsidRDefault="00F634A1" w:rsidP="009E7E81">
      <w:pPr>
        <w:spacing w:after="240" w:line="360" w:lineRule="auto"/>
        <w:jc w:val="both"/>
        <w:rPr>
          <w:rFonts w:cs="Times New Roman"/>
          <w:lang w:val="en-US"/>
        </w:rPr>
      </w:pPr>
      <w:r w:rsidRPr="009E7E81">
        <w:rPr>
          <w:rFonts w:cs="Times New Roman"/>
          <w:lang w:val="en-US"/>
        </w:rPr>
        <w:t>It seems likely that this case will be the subject of a preliminary reference</w:t>
      </w:r>
      <w:r w:rsidR="00E45454" w:rsidRPr="009E7E81">
        <w:rPr>
          <w:rFonts w:cs="Times New Roman"/>
          <w:lang w:val="en-US"/>
        </w:rPr>
        <w:t xml:space="preserve"> to the CJEU</w:t>
      </w:r>
      <w:r w:rsidRPr="009E7E81">
        <w:rPr>
          <w:rFonts w:cs="Times New Roman"/>
          <w:lang w:val="en-US"/>
        </w:rPr>
        <w:t xml:space="preserve">. The arguments pursued by the DWP that </w:t>
      </w:r>
      <w:r w:rsidR="007E0F17" w:rsidRPr="009E7E81">
        <w:rPr>
          <w:rFonts w:cs="Times New Roman"/>
          <w:lang w:val="en-US"/>
        </w:rPr>
        <w:t xml:space="preserve">the </w:t>
      </w:r>
      <w:r w:rsidRPr="009E7E81">
        <w:rPr>
          <w:rFonts w:cs="Times New Roman"/>
          <w:i/>
          <w:lang w:val="en-US"/>
        </w:rPr>
        <w:t>Zambrano</w:t>
      </w:r>
      <w:r w:rsidR="007E0F17" w:rsidRPr="009E7E81">
        <w:rPr>
          <w:rFonts w:cs="Times New Roman"/>
          <w:lang w:val="en-US"/>
        </w:rPr>
        <w:t xml:space="preserve"> ruling should be read as adorned with new, unprecedented restrictions</w:t>
      </w:r>
      <w:r w:rsidRPr="009E7E81">
        <w:rPr>
          <w:rFonts w:cs="Times New Roman"/>
          <w:lang w:val="en-US"/>
        </w:rPr>
        <w:t>, c</w:t>
      </w:r>
      <w:r w:rsidR="003E747A">
        <w:rPr>
          <w:rFonts w:cs="Times New Roman"/>
          <w:lang w:val="en-US"/>
        </w:rPr>
        <w:t xml:space="preserve">reating an EU citizenship-based </w:t>
      </w:r>
      <w:r w:rsidRPr="009E7E81">
        <w:rPr>
          <w:rFonts w:cs="Times New Roman"/>
          <w:lang w:val="en-US"/>
        </w:rPr>
        <w:t xml:space="preserve">right to reside </w:t>
      </w:r>
      <w:r w:rsidR="007E0F17" w:rsidRPr="009E7E81">
        <w:rPr>
          <w:rFonts w:cs="Times New Roman"/>
          <w:lang w:val="en-US"/>
        </w:rPr>
        <w:t xml:space="preserve">empty of any </w:t>
      </w:r>
      <w:r w:rsidRPr="009E7E81">
        <w:rPr>
          <w:rFonts w:cs="Times New Roman"/>
          <w:lang w:val="en-US"/>
        </w:rPr>
        <w:t xml:space="preserve">entitlement to equal treatment, </w:t>
      </w:r>
      <w:r w:rsidR="00CD2CD9" w:rsidRPr="009E7E81">
        <w:rPr>
          <w:rFonts w:cs="Times New Roman"/>
          <w:lang w:val="en-US"/>
        </w:rPr>
        <w:t xml:space="preserve">no matter how much a </w:t>
      </w:r>
      <w:r w:rsidR="00CD2CD9" w:rsidRPr="009E7E81">
        <w:rPr>
          <w:rFonts w:cs="Times New Roman"/>
          <w:i/>
          <w:lang w:val="en-US"/>
        </w:rPr>
        <w:t>Zambrano</w:t>
      </w:r>
      <w:r w:rsidR="00CD2CD9" w:rsidRPr="009E7E81">
        <w:rPr>
          <w:rFonts w:cs="Times New Roman"/>
          <w:lang w:val="en-US"/>
        </w:rPr>
        <w:t xml:space="preserve"> carer is </w:t>
      </w:r>
      <w:r w:rsidR="00712DD8">
        <w:rPr>
          <w:rFonts w:cs="Times New Roman"/>
          <w:lang w:val="en-US"/>
        </w:rPr>
        <w:t>work</w:t>
      </w:r>
      <w:r w:rsidR="00CD2CD9" w:rsidRPr="009E7E81">
        <w:rPr>
          <w:rFonts w:cs="Times New Roman"/>
          <w:lang w:val="en-US"/>
        </w:rPr>
        <w:t xml:space="preserve">ing, and no matter how strong the family’s connections to the UK, </w:t>
      </w:r>
      <w:r w:rsidR="00712DD8">
        <w:rPr>
          <w:rFonts w:cs="Times New Roman"/>
          <w:lang w:val="en-US"/>
        </w:rPr>
        <w:t xml:space="preserve">and </w:t>
      </w:r>
      <w:r w:rsidRPr="009E7E81">
        <w:rPr>
          <w:rFonts w:cs="Times New Roman"/>
          <w:lang w:val="en-US"/>
        </w:rPr>
        <w:t>in spite of the CJEU’s conspicuous failure to say that this is what it was doing, cannot credibly be said to be acte clair.</w:t>
      </w:r>
      <w:r w:rsidR="007E0F17" w:rsidRPr="009E7E81">
        <w:rPr>
          <w:rFonts w:cs="Times New Roman"/>
          <w:lang w:val="en-US"/>
        </w:rPr>
        <w:t xml:space="preserve"> And it would be surprising to see the Supreme Court follow the Court of Appeal in claiming  to know the mind of the CJEU better than the CJEU itself. </w:t>
      </w:r>
      <w:r w:rsidR="00501EDB" w:rsidRPr="009E7E81">
        <w:rPr>
          <w:rFonts w:cs="Times New Roman"/>
          <w:lang w:val="en-US"/>
        </w:rPr>
        <w:t xml:space="preserve">However, with the CJEU recently appearing to go to great lengths to assuage the </w:t>
      </w:r>
      <w:r w:rsidR="00466244" w:rsidRPr="009E7E81">
        <w:rPr>
          <w:rFonts w:cs="Times New Roman"/>
          <w:lang w:val="en-US"/>
        </w:rPr>
        <w:t xml:space="preserve">Member States’ </w:t>
      </w:r>
      <w:r w:rsidR="00501EDB" w:rsidRPr="009E7E81">
        <w:rPr>
          <w:rFonts w:cs="Times New Roman"/>
          <w:lang w:val="en-US"/>
        </w:rPr>
        <w:t xml:space="preserve">political </w:t>
      </w:r>
      <w:r w:rsidR="00466244" w:rsidRPr="009E7E81">
        <w:rPr>
          <w:rFonts w:cs="Times New Roman"/>
          <w:lang w:val="en-US"/>
        </w:rPr>
        <w:t>grumblings (</w:t>
      </w:r>
      <w:r w:rsidR="00466244" w:rsidRPr="009E7E81">
        <w:rPr>
          <w:rFonts w:cs="Times New Roman"/>
          <w:i/>
          <w:lang w:val="en-US"/>
        </w:rPr>
        <w:t>Alimanovic</w:t>
      </w:r>
      <w:r w:rsidR="00466244" w:rsidRPr="009E7E81">
        <w:rPr>
          <w:rFonts w:cs="Times New Roman"/>
          <w:lang w:val="en-US"/>
        </w:rPr>
        <w:t xml:space="preserve">, </w:t>
      </w:r>
      <w:r w:rsidR="00466244" w:rsidRPr="009E7E81">
        <w:rPr>
          <w:rFonts w:cs="Times New Roman"/>
          <w:i/>
          <w:lang w:val="en-US"/>
        </w:rPr>
        <w:t xml:space="preserve">Garcia Nieto, </w:t>
      </w:r>
      <w:r w:rsidR="00CD2CD9" w:rsidRPr="009E7E81">
        <w:rPr>
          <w:rFonts w:cs="Times New Roman"/>
          <w:lang w:val="en-US"/>
        </w:rPr>
        <w:t xml:space="preserve">and </w:t>
      </w:r>
      <w:r w:rsidR="00466244" w:rsidRPr="009E7E81">
        <w:rPr>
          <w:rFonts w:cs="Times New Roman"/>
          <w:lang w:val="en-US"/>
        </w:rPr>
        <w:t>Advocate General</w:t>
      </w:r>
      <w:r w:rsidR="00CD2CD9" w:rsidRPr="009E7E81">
        <w:rPr>
          <w:rFonts w:cs="Times New Roman"/>
          <w:lang w:val="en-US"/>
        </w:rPr>
        <w:t xml:space="preserve"> Cruz Villal</w:t>
      </w:r>
      <w:r w:rsidR="00CD2CD9" w:rsidRPr="009E7E81">
        <w:rPr>
          <w:rFonts w:eastAsia="Times New Roman" w:cs="Times New Roman"/>
          <w:shd w:val="clear" w:color="auto" w:fill="FFFFFF"/>
        </w:rPr>
        <w:t>ó</w:t>
      </w:r>
      <w:r w:rsidR="00CD2CD9" w:rsidRPr="009E7E81">
        <w:rPr>
          <w:rFonts w:cs="Times New Roman"/>
          <w:lang w:val="en-US"/>
        </w:rPr>
        <w:t>n</w:t>
      </w:r>
      <w:r w:rsidR="00466244" w:rsidRPr="009E7E81">
        <w:rPr>
          <w:rFonts w:cs="Times New Roman"/>
          <w:lang w:val="en-US"/>
        </w:rPr>
        <w:t xml:space="preserve">’s Opinion in </w:t>
      </w:r>
      <w:r w:rsidR="00CD2CD9" w:rsidRPr="009E7E81">
        <w:rPr>
          <w:rFonts w:cs="Times New Roman"/>
          <w:lang w:val="en-US"/>
        </w:rPr>
        <w:t xml:space="preserve">Case C-308/14 </w:t>
      </w:r>
      <w:r w:rsidR="00466244" w:rsidRPr="009E7E81">
        <w:rPr>
          <w:rFonts w:cs="Times New Roman"/>
          <w:i/>
          <w:lang w:val="en-US"/>
        </w:rPr>
        <w:t>Commission v UK</w:t>
      </w:r>
      <w:r w:rsidR="00CD2CD9" w:rsidRPr="009E7E81">
        <w:rPr>
          <w:rFonts w:cs="Times New Roman"/>
          <w:lang w:val="en-US"/>
        </w:rPr>
        <w:t xml:space="preserve"> 6 October 2015</w:t>
      </w:r>
      <w:r w:rsidR="00466244" w:rsidRPr="009E7E81">
        <w:rPr>
          <w:rFonts w:cs="Times New Roman"/>
          <w:lang w:val="en-US"/>
        </w:rPr>
        <w:t xml:space="preserve">), it is impossible to predict the results of any such reference. But </w:t>
      </w:r>
      <w:r w:rsidR="007E0F17" w:rsidRPr="009E7E81">
        <w:rPr>
          <w:rFonts w:cs="Times New Roman"/>
          <w:lang w:val="en-US"/>
        </w:rPr>
        <w:t xml:space="preserve">both courts </w:t>
      </w:r>
      <w:r w:rsidR="00466244" w:rsidRPr="009E7E81">
        <w:rPr>
          <w:rFonts w:cs="Times New Roman"/>
          <w:lang w:val="en-US"/>
        </w:rPr>
        <w:t>must</w:t>
      </w:r>
      <w:r w:rsidR="007E0F17" w:rsidRPr="009E7E81">
        <w:rPr>
          <w:rFonts w:cs="Times New Roman"/>
          <w:lang w:val="en-US"/>
        </w:rPr>
        <w:t xml:space="preserve"> not</w:t>
      </w:r>
      <w:r w:rsidR="00466244" w:rsidRPr="009E7E81">
        <w:rPr>
          <w:rFonts w:cs="Times New Roman"/>
          <w:lang w:val="en-US"/>
        </w:rPr>
        <w:t xml:space="preserve"> be bullied when determining the essence of EU citizenship.  </w:t>
      </w:r>
    </w:p>
    <w:p w14:paraId="4C9B40FA" w14:textId="4C48C42A" w:rsidR="001A441F" w:rsidRPr="009E7E81" w:rsidRDefault="00C93A42" w:rsidP="009E7E81">
      <w:pPr>
        <w:spacing w:after="240" w:line="360" w:lineRule="auto"/>
        <w:jc w:val="both"/>
        <w:rPr>
          <w:rFonts w:cs="Times New Roman"/>
          <w:lang w:val="en-US"/>
        </w:rPr>
      </w:pPr>
      <w:r w:rsidRPr="009E7E81">
        <w:rPr>
          <w:rFonts w:cs="Times New Roman"/>
          <w:lang w:val="en-US"/>
        </w:rPr>
        <w:t xml:space="preserve">The exclusion of </w:t>
      </w:r>
      <w:r w:rsidRPr="009E7E81">
        <w:rPr>
          <w:rFonts w:cs="Times New Roman"/>
          <w:i/>
          <w:lang w:val="en-US"/>
        </w:rPr>
        <w:t>Zambrano</w:t>
      </w:r>
      <w:r w:rsidRPr="009E7E81">
        <w:rPr>
          <w:rFonts w:cs="Times New Roman"/>
          <w:lang w:val="en-US"/>
        </w:rPr>
        <w:t xml:space="preserve"> families </w:t>
      </w:r>
      <w:r w:rsidR="008124AB" w:rsidRPr="009E7E81">
        <w:rPr>
          <w:rFonts w:cs="Times New Roman"/>
          <w:lang w:val="en-US"/>
        </w:rPr>
        <w:t xml:space="preserve">from equal treatment </w:t>
      </w:r>
      <w:r w:rsidRPr="009E7E81">
        <w:rPr>
          <w:rFonts w:cs="Times New Roman"/>
          <w:lang w:val="en-US"/>
        </w:rPr>
        <w:t>has a significant</w:t>
      </w:r>
      <w:r w:rsidR="008124AB" w:rsidRPr="009E7E81">
        <w:rPr>
          <w:rFonts w:cs="Times New Roman"/>
          <w:lang w:val="en-US"/>
        </w:rPr>
        <w:t>,</w:t>
      </w:r>
      <w:r w:rsidRPr="009E7E81">
        <w:rPr>
          <w:rFonts w:cs="Times New Roman"/>
          <w:lang w:val="en-US"/>
        </w:rPr>
        <w:t xml:space="preserve"> detrimental effect upon the children concerned, and it does so in a discriminatory way. They are treated less well than </w:t>
      </w:r>
      <w:r w:rsidR="002F2954" w:rsidRPr="009E7E81">
        <w:rPr>
          <w:rFonts w:cs="Times New Roman"/>
          <w:lang w:val="en-US"/>
        </w:rPr>
        <w:t xml:space="preserve">other UK national children, and less well than other children exercising an EU citizenship-based right to </w:t>
      </w:r>
      <w:r w:rsidR="002F2954" w:rsidRPr="009E7E81">
        <w:rPr>
          <w:rFonts w:cs="Times New Roman"/>
          <w:lang w:val="en-US"/>
        </w:rPr>
        <w:lastRenderedPageBreak/>
        <w:t xml:space="preserve">reside in the UK. </w:t>
      </w:r>
      <w:r w:rsidR="007E0F17" w:rsidRPr="009E7E81">
        <w:rPr>
          <w:rFonts w:cs="Times New Roman"/>
          <w:lang w:val="en-US"/>
        </w:rPr>
        <w:t xml:space="preserve">Once it is established that UK national </w:t>
      </w:r>
      <w:r w:rsidR="00477518">
        <w:rPr>
          <w:rFonts w:cs="Times New Roman"/>
          <w:lang w:val="en-US"/>
        </w:rPr>
        <w:t>children have an EU citizenship-</w:t>
      </w:r>
      <w:r w:rsidR="007E0F17" w:rsidRPr="009E7E81">
        <w:rPr>
          <w:rFonts w:cs="Times New Roman"/>
          <w:lang w:val="en-US"/>
        </w:rPr>
        <w:t>based right to be in the UK, (as well as a fundamental right in international law), and a right to be joined by their primary carer in the UK, they acquire a right to equal treatment</w:t>
      </w:r>
      <w:r w:rsidR="001A441F" w:rsidRPr="009E7E81">
        <w:rPr>
          <w:rFonts w:cs="Times New Roman"/>
          <w:lang w:val="en-US"/>
        </w:rPr>
        <w:t xml:space="preserve"> </w:t>
      </w:r>
      <w:r w:rsidR="007E0F17" w:rsidRPr="009E7E81">
        <w:rPr>
          <w:rFonts w:cs="Times New Roman"/>
          <w:lang w:val="en-US"/>
        </w:rPr>
        <w:t xml:space="preserve">as compared to other UK national children, and as compared to other EU national children in similar circumstances exercising a </w:t>
      </w:r>
      <w:r w:rsidR="007E0F17" w:rsidRPr="009E7E81">
        <w:rPr>
          <w:rFonts w:cs="Times New Roman"/>
          <w:i/>
          <w:lang w:val="en-US"/>
        </w:rPr>
        <w:t xml:space="preserve">Teixeira </w:t>
      </w:r>
      <w:r w:rsidR="00477518">
        <w:rPr>
          <w:rFonts w:cs="Times New Roman"/>
          <w:lang w:val="en-US"/>
        </w:rPr>
        <w:t>right. A</w:t>
      </w:r>
      <w:r w:rsidR="007E0F17" w:rsidRPr="009E7E81">
        <w:rPr>
          <w:rFonts w:cs="Times New Roman"/>
          <w:lang w:val="en-US"/>
        </w:rPr>
        <w:t>t the very least, the family could be analogized to other EU national families</w:t>
      </w:r>
      <w:r w:rsidR="00CD2CD9" w:rsidRPr="009E7E81">
        <w:rPr>
          <w:rFonts w:cs="Times New Roman"/>
          <w:lang w:val="en-US"/>
        </w:rPr>
        <w:t xml:space="preserve"> with a conditional and limited right to equal treatment</w:t>
      </w:r>
      <w:r w:rsidR="007E0F17" w:rsidRPr="009E7E81">
        <w:rPr>
          <w:rFonts w:cs="Times New Roman"/>
          <w:lang w:val="en-US"/>
        </w:rPr>
        <w:t>.</w:t>
      </w:r>
      <w:r w:rsidR="001A441F" w:rsidRPr="009E7E81">
        <w:rPr>
          <w:rFonts w:cs="Times New Roman"/>
          <w:lang w:val="en-US"/>
        </w:rPr>
        <w:t xml:space="preserve"> To find otherwise conde</w:t>
      </w:r>
      <w:r w:rsidR="00CD2CD9" w:rsidRPr="009E7E81">
        <w:rPr>
          <w:rFonts w:cs="Times New Roman"/>
          <w:lang w:val="en-US"/>
        </w:rPr>
        <w:t>mns the UK national child to</w:t>
      </w:r>
      <w:r w:rsidR="001A441F" w:rsidRPr="009E7E81">
        <w:rPr>
          <w:rFonts w:cs="Times New Roman"/>
          <w:lang w:val="en-US"/>
        </w:rPr>
        <w:t xml:space="preserve"> be </w:t>
      </w:r>
      <w:r w:rsidR="00CD2CD9" w:rsidRPr="009E7E81">
        <w:rPr>
          <w:rFonts w:cs="Times New Roman"/>
          <w:lang w:val="en-US"/>
        </w:rPr>
        <w:t>disentitled from</w:t>
      </w:r>
      <w:r w:rsidR="001A441F" w:rsidRPr="009E7E81">
        <w:rPr>
          <w:rFonts w:cs="Times New Roman"/>
          <w:lang w:val="en-US"/>
        </w:rPr>
        <w:t xml:space="preserve"> complete equal treatment anywhere, and from the advantages that supposedly attach to nationality and citizenship. </w:t>
      </w:r>
      <w:r w:rsidR="00305E92" w:rsidRPr="009E7E81">
        <w:rPr>
          <w:rFonts w:cs="Times New Roman"/>
          <w:lang w:val="en-US"/>
        </w:rPr>
        <w:t xml:space="preserve">A </w:t>
      </w:r>
      <w:r w:rsidR="00305E92" w:rsidRPr="009E7E81">
        <w:rPr>
          <w:rFonts w:cs="Times New Roman"/>
          <w:i/>
          <w:lang w:val="en-US"/>
        </w:rPr>
        <w:t>Zambrano</w:t>
      </w:r>
      <w:r w:rsidR="00305E92" w:rsidRPr="009E7E81">
        <w:rPr>
          <w:rFonts w:cs="Times New Roman"/>
          <w:lang w:val="en-US"/>
        </w:rPr>
        <w:t xml:space="preserve"> right is not a weak, last resort right to reside that should be grudgingly and parsimoniously eked out to children</w:t>
      </w:r>
      <w:r w:rsidR="00CD2CD9" w:rsidRPr="009E7E81">
        <w:rPr>
          <w:rFonts w:cs="Times New Roman"/>
          <w:lang w:val="en-US"/>
        </w:rPr>
        <w:t>. Jus</w:t>
      </w:r>
      <w:r w:rsidR="00305E92" w:rsidRPr="009E7E81">
        <w:rPr>
          <w:rFonts w:cs="Times New Roman"/>
          <w:lang w:val="en-US"/>
        </w:rPr>
        <w:t xml:space="preserve">t as the right to reside in your own state is the essence of nationality, so the right to reside in the EU is the essence of EU citizenship – it is the right to have EU rights. </w:t>
      </w:r>
    </w:p>
    <w:p w14:paraId="715883D2" w14:textId="49EF5507" w:rsidR="00133D6A" w:rsidRPr="009E7E81" w:rsidRDefault="00477518" w:rsidP="009E7E81">
      <w:pPr>
        <w:spacing w:after="240" w:line="360" w:lineRule="auto"/>
        <w:jc w:val="both"/>
        <w:rPr>
          <w:rFonts w:cs="Times New Roman"/>
          <w:lang w:val="en-US"/>
        </w:rPr>
      </w:pPr>
      <w:r>
        <w:rPr>
          <w:rFonts w:cs="Times New Roman"/>
          <w:lang w:val="en-US"/>
        </w:rPr>
        <w:t>An EU citizenship-</w:t>
      </w:r>
      <w:r w:rsidR="00305E92" w:rsidRPr="009E7E81">
        <w:rPr>
          <w:rFonts w:cs="Times New Roman"/>
          <w:lang w:val="en-US"/>
        </w:rPr>
        <w:t xml:space="preserve">based right to reside entails a (limited and conditional) right to equal treatment, and it also brings the </w:t>
      </w:r>
      <w:r w:rsidR="00133D6A" w:rsidRPr="009E7E81">
        <w:rPr>
          <w:rFonts w:cs="Times New Roman"/>
          <w:lang w:val="en-US"/>
        </w:rPr>
        <w:t xml:space="preserve">family within the scope of EU law, meaning they are covered by the general principle of EU law that those in comparable situations should not be treated differently. This has been found to apply to different treatment meted out by a Member State to its own nationals, especially where the genuine enjoyment of the rights attaching to citizenship is at stake. ‘Comparable’ does not mean identical; as </w:t>
      </w:r>
      <w:r w:rsidR="00133D6A" w:rsidRPr="009E7E81">
        <w:rPr>
          <w:rFonts w:cs="Times New Roman"/>
          <w:i/>
          <w:lang w:val="en-US"/>
        </w:rPr>
        <w:t>Zambrano</w:t>
      </w:r>
      <w:r w:rsidR="00133D6A" w:rsidRPr="009E7E81">
        <w:rPr>
          <w:rFonts w:cs="Times New Roman"/>
          <w:lang w:val="en-US"/>
        </w:rPr>
        <w:t xml:space="preserve"> families feature a third country national primary carer, so did </w:t>
      </w:r>
      <w:r w:rsidR="00133D6A" w:rsidRPr="009E7E81">
        <w:rPr>
          <w:rFonts w:cs="Times New Roman"/>
          <w:i/>
          <w:lang w:val="en-US"/>
        </w:rPr>
        <w:t>Eman and Sevinger</w:t>
      </w:r>
      <w:r w:rsidR="00133D6A" w:rsidRPr="009E7E81">
        <w:rPr>
          <w:rFonts w:cs="Times New Roman"/>
          <w:lang w:val="en-US"/>
        </w:rPr>
        <w:t xml:space="preserve"> feature nationals living abroad. </w:t>
      </w:r>
      <w:r w:rsidR="00CD2CD9" w:rsidRPr="009E7E81">
        <w:rPr>
          <w:rFonts w:cs="Times New Roman"/>
          <w:lang w:val="en-US"/>
        </w:rPr>
        <w:t>W</w:t>
      </w:r>
      <w:r w:rsidR="00133D6A" w:rsidRPr="009E7E81">
        <w:rPr>
          <w:rFonts w:cs="Times New Roman"/>
          <w:lang w:val="en-US"/>
        </w:rPr>
        <w:t>e are concerned with the equal treatment rights of the</w:t>
      </w:r>
      <w:r w:rsidR="00CD2CD9" w:rsidRPr="009E7E81">
        <w:rPr>
          <w:rFonts w:cs="Times New Roman"/>
          <w:lang w:val="en-US"/>
        </w:rPr>
        <w:t xml:space="preserve"> comparable</w:t>
      </w:r>
      <w:r w:rsidR="00133D6A" w:rsidRPr="009E7E81">
        <w:rPr>
          <w:rFonts w:cs="Times New Roman"/>
          <w:lang w:val="en-US"/>
        </w:rPr>
        <w:t xml:space="preserve"> children. Suggestions that the children are not the centre of the claim because benefits are paid to carers</w:t>
      </w:r>
      <w:r w:rsidR="00D31B65" w:rsidRPr="009E7E81">
        <w:rPr>
          <w:rFonts w:cs="Times New Roman"/>
          <w:lang w:val="en-US"/>
        </w:rPr>
        <w:t xml:space="preserve"> are misleading – and would suggest that children are never entitled to equal treatment since most systems do not pay anything directly to </w:t>
      </w:r>
      <w:r w:rsidR="00CD2CD9" w:rsidRPr="009E7E81">
        <w:rPr>
          <w:rFonts w:cs="Times New Roman"/>
          <w:lang w:val="en-US"/>
        </w:rPr>
        <w:t>them</w:t>
      </w:r>
      <w:r w:rsidR="00D31B65" w:rsidRPr="009E7E81">
        <w:rPr>
          <w:rFonts w:cs="Times New Roman"/>
          <w:lang w:val="en-US"/>
        </w:rPr>
        <w:t xml:space="preserve">. </w:t>
      </w:r>
      <w:r w:rsidR="00D31B65" w:rsidRPr="009E7E81">
        <w:rPr>
          <w:rFonts w:cs="Times New Roman"/>
          <w:i/>
          <w:lang w:val="en-US"/>
        </w:rPr>
        <w:t>Teixeira</w:t>
      </w:r>
      <w:r w:rsidR="00D31B65" w:rsidRPr="009E7E81">
        <w:rPr>
          <w:rFonts w:cs="Times New Roman"/>
          <w:lang w:val="en-US"/>
        </w:rPr>
        <w:t xml:space="preserve"> and </w:t>
      </w:r>
      <w:r w:rsidR="00D31B65" w:rsidRPr="009E7E81">
        <w:rPr>
          <w:rFonts w:cs="Times New Roman"/>
          <w:i/>
          <w:lang w:val="en-US"/>
        </w:rPr>
        <w:t>Ibrahim</w:t>
      </w:r>
      <w:r w:rsidR="00D31B65" w:rsidRPr="009E7E81">
        <w:rPr>
          <w:rFonts w:cs="Times New Roman"/>
          <w:lang w:val="en-US"/>
        </w:rPr>
        <w:t xml:space="preserve"> </w:t>
      </w:r>
      <w:r w:rsidR="00441847" w:rsidRPr="009E7E81">
        <w:rPr>
          <w:rFonts w:cs="Times New Roman"/>
          <w:lang w:val="en-US"/>
        </w:rPr>
        <w:t xml:space="preserve">confirm </w:t>
      </w:r>
      <w:r w:rsidR="00D31B65" w:rsidRPr="009E7E81">
        <w:rPr>
          <w:rFonts w:cs="Times New Roman"/>
          <w:lang w:val="en-US"/>
        </w:rPr>
        <w:t xml:space="preserve">that the </w:t>
      </w:r>
      <w:r w:rsidR="00D31B65" w:rsidRPr="009E7E81">
        <w:rPr>
          <w:rFonts w:cs="Times New Roman"/>
          <w:i/>
          <w:lang w:val="en-US"/>
        </w:rPr>
        <w:t>child’s</w:t>
      </w:r>
      <w:r w:rsidR="00D31B65" w:rsidRPr="009E7E81">
        <w:rPr>
          <w:rFonts w:cs="Times New Roman"/>
          <w:lang w:val="en-US"/>
        </w:rPr>
        <w:t xml:space="preserve"> right to reside and to equal treatment determine</w:t>
      </w:r>
      <w:r w:rsidR="00441847" w:rsidRPr="009E7E81">
        <w:rPr>
          <w:rFonts w:cs="Times New Roman"/>
          <w:lang w:val="en-US"/>
        </w:rPr>
        <w:t>s</w:t>
      </w:r>
      <w:r w:rsidR="00D31B65" w:rsidRPr="009E7E81">
        <w:rPr>
          <w:rFonts w:cs="Times New Roman"/>
          <w:lang w:val="en-US"/>
        </w:rPr>
        <w:t xml:space="preserve"> the family’s benefit entitlement, since such entitlement direct</w:t>
      </w:r>
      <w:r w:rsidR="00441847" w:rsidRPr="009E7E81">
        <w:rPr>
          <w:rFonts w:cs="Times New Roman"/>
          <w:lang w:val="en-US"/>
        </w:rPr>
        <w:t>ly</w:t>
      </w:r>
      <w:r w:rsidR="00D31B65" w:rsidRPr="009E7E81">
        <w:rPr>
          <w:rFonts w:cs="Times New Roman"/>
          <w:lang w:val="en-US"/>
        </w:rPr>
        <w:t xml:space="preserve"> impact</w:t>
      </w:r>
      <w:r w:rsidR="00441847" w:rsidRPr="009E7E81">
        <w:rPr>
          <w:rFonts w:cs="Times New Roman"/>
          <w:lang w:val="en-US"/>
        </w:rPr>
        <w:t>s</w:t>
      </w:r>
      <w:r w:rsidR="00D31B65" w:rsidRPr="009E7E81">
        <w:rPr>
          <w:rFonts w:cs="Times New Roman"/>
          <w:lang w:val="en-US"/>
        </w:rPr>
        <w:t xml:space="preserve"> upon the ‘circumstances</w:t>
      </w:r>
      <w:r w:rsidR="00441847" w:rsidRPr="009E7E81">
        <w:rPr>
          <w:rFonts w:cs="Times New Roman"/>
          <w:lang w:val="en-US"/>
        </w:rPr>
        <w:t>’ of the chi</w:t>
      </w:r>
      <w:r w:rsidR="003E747A">
        <w:rPr>
          <w:rFonts w:cs="Times New Roman"/>
          <w:lang w:val="en-US"/>
        </w:rPr>
        <w:t>ld’s exercise of EU citizenship-</w:t>
      </w:r>
      <w:r w:rsidR="00441847" w:rsidRPr="009E7E81">
        <w:rPr>
          <w:rFonts w:cs="Times New Roman"/>
          <w:lang w:val="en-US"/>
        </w:rPr>
        <w:t xml:space="preserve">based </w:t>
      </w:r>
      <w:r w:rsidR="00D31B65" w:rsidRPr="009E7E81">
        <w:rPr>
          <w:rFonts w:cs="Times New Roman"/>
          <w:lang w:val="en-US"/>
        </w:rPr>
        <w:t xml:space="preserve">residence rights. </w:t>
      </w:r>
    </w:p>
    <w:p w14:paraId="0C08A726" w14:textId="7FBB160C" w:rsidR="00305E92" w:rsidRPr="009E7E81" w:rsidRDefault="00133D6A" w:rsidP="009E7E81">
      <w:pPr>
        <w:spacing w:after="240" w:line="360" w:lineRule="auto"/>
        <w:jc w:val="both"/>
        <w:rPr>
          <w:rFonts w:cs="Times New Roman"/>
          <w:lang w:val="en-US"/>
        </w:rPr>
      </w:pPr>
      <w:r w:rsidRPr="009E7E81">
        <w:rPr>
          <w:rFonts w:cs="Times New Roman"/>
          <w:lang w:val="en-US"/>
        </w:rPr>
        <w:t xml:space="preserve">UK national children in </w:t>
      </w:r>
      <w:r w:rsidRPr="009E7E81">
        <w:rPr>
          <w:rFonts w:cs="Times New Roman"/>
          <w:i/>
          <w:lang w:val="en-US"/>
        </w:rPr>
        <w:t>Zambrano</w:t>
      </w:r>
      <w:r w:rsidRPr="009E7E81">
        <w:rPr>
          <w:rFonts w:cs="Times New Roman"/>
          <w:lang w:val="en-US"/>
        </w:rPr>
        <w:t xml:space="preserve"> families are in a comparable situation to other UK national children – the only difference (the </w:t>
      </w:r>
      <w:r w:rsidRPr="009E7E81">
        <w:rPr>
          <w:rFonts w:cs="Times New Roman"/>
          <w:i/>
          <w:lang w:val="en-US"/>
        </w:rPr>
        <w:t>Zambrano</w:t>
      </w:r>
      <w:r w:rsidRPr="009E7E81">
        <w:rPr>
          <w:rFonts w:cs="Times New Roman"/>
          <w:lang w:val="en-US"/>
        </w:rPr>
        <w:t xml:space="preserve"> carer) being </w:t>
      </w:r>
      <w:r w:rsidR="00712DD8">
        <w:rPr>
          <w:rFonts w:cs="Times New Roman"/>
          <w:lang w:val="en-US"/>
        </w:rPr>
        <w:t xml:space="preserve">that which </w:t>
      </w:r>
      <w:r w:rsidRPr="009E7E81">
        <w:rPr>
          <w:rFonts w:cs="Times New Roman"/>
          <w:lang w:val="en-US"/>
        </w:rPr>
        <w:lastRenderedPageBreak/>
        <w:t xml:space="preserve">brings them within the scope of EU law, which should in itself not be grounds for detrimental treatment. They are UK nationals, resident in the UK; they may have been born in the UK, they may never have lived anywhere else. They may be well integrated and attend school. Their parents may have made regular and long term economic contributions.  And, if not dual nationals, they have nowhere else to go where they can expect ‘to enjoy the benefits of that country’s citizenship’. They may also be in a comparable situation to </w:t>
      </w:r>
      <w:r w:rsidRPr="009E7E81">
        <w:rPr>
          <w:rFonts w:cs="Times New Roman"/>
          <w:i/>
          <w:lang w:val="en-US"/>
        </w:rPr>
        <w:t>Teixeira</w:t>
      </w:r>
      <w:r w:rsidRPr="009E7E81">
        <w:rPr>
          <w:rFonts w:cs="Times New Roman"/>
          <w:lang w:val="en-US"/>
        </w:rPr>
        <w:t xml:space="preserve"> children, if they are of school age, and if their parent(s) have worked in the UK</w:t>
      </w:r>
      <w:r w:rsidR="00231D7C" w:rsidRPr="009E7E81">
        <w:rPr>
          <w:rFonts w:cs="Times New Roman"/>
          <w:lang w:val="en-US"/>
        </w:rPr>
        <w:t xml:space="preserve"> (</w:t>
      </w:r>
      <w:r w:rsidR="00441847" w:rsidRPr="009E7E81">
        <w:rPr>
          <w:rFonts w:cs="Times New Roman"/>
          <w:lang w:val="en-US"/>
        </w:rPr>
        <w:t xml:space="preserve">on the triggers for a </w:t>
      </w:r>
      <w:r w:rsidR="00441847" w:rsidRPr="009E7E81">
        <w:rPr>
          <w:rFonts w:cs="Times New Roman"/>
          <w:i/>
          <w:lang w:val="en-US"/>
        </w:rPr>
        <w:t>Teixeira</w:t>
      </w:r>
      <w:r w:rsidR="00441847" w:rsidRPr="009E7E81">
        <w:rPr>
          <w:rFonts w:cs="Times New Roman"/>
          <w:lang w:val="en-US"/>
        </w:rPr>
        <w:t xml:space="preserve"> right, see </w:t>
      </w:r>
      <w:r w:rsidR="00231D7C" w:rsidRPr="009E7E81">
        <w:rPr>
          <w:rFonts w:cs="Times New Roman"/>
          <w:lang w:val="en-US"/>
        </w:rPr>
        <w:t>O’Brien, 2011)</w:t>
      </w:r>
      <w:r w:rsidRPr="009E7E81">
        <w:rPr>
          <w:rFonts w:cs="Times New Roman"/>
          <w:lang w:val="en-US"/>
        </w:rPr>
        <w:t xml:space="preserve">. The main difference being that the </w:t>
      </w:r>
      <w:r w:rsidRPr="009E7E81">
        <w:rPr>
          <w:rFonts w:cs="Times New Roman"/>
          <w:i/>
          <w:lang w:val="en-US"/>
        </w:rPr>
        <w:t>Zambrano</w:t>
      </w:r>
      <w:r w:rsidRPr="009E7E81">
        <w:rPr>
          <w:rFonts w:cs="Times New Roman"/>
          <w:lang w:val="en-US"/>
        </w:rPr>
        <w:t xml:space="preserve"> child’s right is not itself a derivative one, but a </w:t>
      </w:r>
      <w:r w:rsidRPr="009E7E81">
        <w:rPr>
          <w:rFonts w:cs="Times New Roman"/>
          <w:i/>
          <w:lang w:val="en-US"/>
        </w:rPr>
        <w:t>direct</w:t>
      </w:r>
      <w:r w:rsidR="00441847" w:rsidRPr="009E7E81">
        <w:rPr>
          <w:rFonts w:cs="Times New Roman"/>
          <w:lang w:val="en-US"/>
        </w:rPr>
        <w:t xml:space="preserve"> one</w:t>
      </w:r>
      <w:r w:rsidRPr="009E7E81">
        <w:rPr>
          <w:rFonts w:cs="Times New Roman"/>
          <w:lang w:val="en-US"/>
        </w:rPr>
        <w:t xml:space="preserve">. They may have stronger claims to real </w:t>
      </w:r>
      <w:r w:rsidR="00D31B65" w:rsidRPr="009E7E81">
        <w:rPr>
          <w:rFonts w:cs="Times New Roman"/>
          <w:lang w:val="en-US"/>
        </w:rPr>
        <w:t>l</w:t>
      </w:r>
      <w:r w:rsidRPr="009E7E81">
        <w:rPr>
          <w:rFonts w:cs="Times New Roman"/>
          <w:lang w:val="en-US"/>
        </w:rPr>
        <w:t xml:space="preserve">inks with the UK than a </w:t>
      </w:r>
      <w:r w:rsidRPr="009E7E81">
        <w:rPr>
          <w:rFonts w:cs="Times New Roman"/>
          <w:i/>
          <w:lang w:val="en-US"/>
        </w:rPr>
        <w:t xml:space="preserve">Teixeira </w:t>
      </w:r>
      <w:r w:rsidRPr="009E7E81">
        <w:rPr>
          <w:rFonts w:cs="Times New Roman"/>
          <w:lang w:val="en-US"/>
        </w:rPr>
        <w:t>child, if age, duration of residence, and duration of parents’ work etc are taken into account</w:t>
      </w:r>
      <w:r w:rsidR="00D31B65" w:rsidRPr="009E7E81">
        <w:rPr>
          <w:rFonts w:cs="Times New Roman"/>
          <w:lang w:val="en-US"/>
        </w:rPr>
        <w:t xml:space="preserve"> – and may also have stronger links with the Union as a whole since neither </w:t>
      </w:r>
      <w:r w:rsidR="00D31B65" w:rsidRPr="009E7E81">
        <w:rPr>
          <w:rFonts w:cs="Times New Roman"/>
          <w:i/>
          <w:lang w:val="en-US"/>
        </w:rPr>
        <w:t xml:space="preserve">Teixeira </w:t>
      </w:r>
      <w:r w:rsidR="00D31B65" w:rsidRPr="009E7E81">
        <w:rPr>
          <w:rFonts w:cs="Times New Roman"/>
          <w:lang w:val="en-US"/>
        </w:rPr>
        <w:t xml:space="preserve">child nor </w:t>
      </w:r>
      <w:r w:rsidR="00D31B65" w:rsidRPr="009E7E81">
        <w:rPr>
          <w:rFonts w:cs="Times New Roman"/>
          <w:i/>
          <w:lang w:val="en-US"/>
        </w:rPr>
        <w:t>Teixeira</w:t>
      </w:r>
      <w:r w:rsidR="00D31B65" w:rsidRPr="009E7E81">
        <w:rPr>
          <w:rFonts w:cs="Times New Roman"/>
          <w:lang w:val="en-US"/>
        </w:rPr>
        <w:t xml:space="preserve"> carer need be an EU national</w:t>
      </w:r>
      <w:r w:rsidRPr="009E7E81">
        <w:rPr>
          <w:rFonts w:cs="Times New Roman"/>
          <w:lang w:val="en-US"/>
        </w:rPr>
        <w:t xml:space="preserve">.   </w:t>
      </w:r>
    </w:p>
    <w:p w14:paraId="62DBC7AD" w14:textId="1DE55F24" w:rsidR="00F03376" w:rsidRPr="009E7E81" w:rsidRDefault="00D31B65" w:rsidP="009E7E81">
      <w:pPr>
        <w:spacing w:after="240" w:line="360" w:lineRule="auto"/>
        <w:jc w:val="both"/>
        <w:rPr>
          <w:rFonts w:cs="Times New Roman"/>
          <w:lang w:val="en-US"/>
        </w:rPr>
      </w:pPr>
      <w:r w:rsidRPr="009E7E81">
        <w:rPr>
          <w:rFonts w:cs="Times New Roman"/>
          <w:lang w:val="en-US"/>
        </w:rPr>
        <w:t xml:space="preserve">Having established a right to equal treatment, it is necessary to consider whether the complete equal treatment ban represents an appropriate and proportionate means of achieving a legitimate aim. </w:t>
      </w:r>
      <w:r w:rsidR="00C47831" w:rsidRPr="009E7E81">
        <w:rPr>
          <w:rFonts w:cs="Times New Roman"/>
          <w:lang w:val="en-US"/>
        </w:rPr>
        <w:t>We are presented with a few aims, including a few rather irrelevant ones about migrants subject to immigration control, or in need of re</w:t>
      </w:r>
      <w:r w:rsidR="00441847" w:rsidRPr="009E7E81">
        <w:rPr>
          <w:rFonts w:cs="Times New Roman"/>
          <w:lang w:val="en-US"/>
        </w:rPr>
        <w:t>gularizing their stay, which do</w:t>
      </w:r>
      <w:r w:rsidR="00C47831" w:rsidRPr="009E7E81">
        <w:rPr>
          <w:rFonts w:cs="Times New Roman"/>
          <w:lang w:val="en-US"/>
        </w:rPr>
        <w:t xml:space="preserve"> not apply to </w:t>
      </w:r>
      <w:r w:rsidR="00C47831" w:rsidRPr="009E7E81">
        <w:rPr>
          <w:rFonts w:cs="Times New Roman"/>
          <w:i/>
          <w:lang w:val="en-US"/>
        </w:rPr>
        <w:t>Zambrano</w:t>
      </w:r>
      <w:r w:rsidR="00C47831" w:rsidRPr="009E7E81">
        <w:rPr>
          <w:rFonts w:cs="Times New Roman"/>
          <w:lang w:val="en-US"/>
        </w:rPr>
        <w:t xml:space="preserve"> families. The </w:t>
      </w:r>
      <w:r w:rsidR="00441847" w:rsidRPr="009E7E81">
        <w:rPr>
          <w:rFonts w:cs="Times New Roman"/>
          <w:lang w:val="en-US"/>
        </w:rPr>
        <w:t>main</w:t>
      </w:r>
      <w:r w:rsidR="00C47831" w:rsidRPr="009E7E81">
        <w:rPr>
          <w:rFonts w:cs="Times New Roman"/>
          <w:lang w:val="en-US"/>
        </w:rPr>
        <w:t xml:space="preserve"> aim is the desire to restrict limited public resources to those with the greatest connection with the UK. The suggested costs of including </w:t>
      </w:r>
      <w:r w:rsidR="00C47831" w:rsidRPr="009E7E81">
        <w:rPr>
          <w:rFonts w:cs="Times New Roman"/>
          <w:i/>
          <w:lang w:val="en-US"/>
        </w:rPr>
        <w:t xml:space="preserve">Zambrano </w:t>
      </w:r>
      <w:r w:rsidR="00C47831" w:rsidRPr="009E7E81">
        <w:rPr>
          <w:rFonts w:cs="Times New Roman"/>
          <w:lang w:val="en-US"/>
        </w:rPr>
        <w:t>families from benefits are not well</w:t>
      </w:r>
      <w:r w:rsidR="007D4883">
        <w:rPr>
          <w:rFonts w:cs="Times New Roman"/>
          <w:lang w:val="en-US"/>
        </w:rPr>
        <w:t xml:space="preserve"> </w:t>
      </w:r>
      <w:r w:rsidR="00C47831" w:rsidRPr="009E7E81">
        <w:rPr>
          <w:rFonts w:cs="Times New Roman"/>
          <w:lang w:val="en-US"/>
        </w:rPr>
        <w:t>explained</w:t>
      </w:r>
      <w:r w:rsidR="007D4883">
        <w:rPr>
          <w:rFonts w:cs="Times New Roman"/>
          <w:lang w:val="en-US"/>
        </w:rPr>
        <w:t xml:space="preserve"> </w:t>
      </w:r>
      <w:r w:rsidR="00C47831" w:rsidRPr="009E7E81">
        <w:rPr>
          <w:rFonts w:cs="Times New Roman"/>
          <w:lang w:val="en-US"/>
        </w:rPr>
        <w:t xml:space="preserve">or reconciled with the </w:t>
      </w:r>
      <w:r w:rsidR="00441847" w:rsidRPr="009E7E81">
        <w:rPr>
          <w:rFonts w:cs="Times New Roman"/>
          <w:lang w:val="en-US"/>
        </w:rPr>
        <w:t>equality</w:t>
      </w:r>
      <w:r w:rsidR="00C47831" w:rsidRPr="009E7E81">
        <w:rPr>
          <w:rFonts w:cs="Times New Roman"/>
          <w:lang w:val="en-US"/>
        </w:rPr>
        <w:t xml:space="preserve"> assessment </w:t>
      </w:r>
      <w:r w:rsidR="007D4883">
        <w:rPr>
          <w:rFonts w:cs="Times New Roman"/>
          <w:lang w:val="en-US"/>
        </w:rPr>
        <w:t>suggesting</w:t>
      </w:r>
      <w:r w:rsidR="00C47831" w:rsidRPr="009E7E81">
        <w:rPr>
          <w:rFonts w:cs="Times New Roman"/>
          <w:lang w:val="en-US"/>
        </w:rPr>
        <w:t xml:space="preserve"> that few </w:t>
      </w:r>
      <w:r w:rsidR="00441847" w:rsidRPr="009E7E81">
        <w:rPr>
          <w:rFonts w:cs="Times New Roman"/>
          <w:lang w:val="en-US"/>
        </w:rPr>
        <w:t xml:space="preserve">families </w:t>
      </w:r>
      <w:r w:rsidR="00C47831" w:rsidRPr="009E7E81">
        <w:rPr>
          <w:rFonts w:cs="Times New Roman"/>
          <w:lang w:val="en-US"/>
        </w:rPr>
        <w:t xml:space="preserve">would be </w:t>
      </w:r>
      <w:r w:rsidR="00477518">
        <w:rPr>
          <w:rFonts w:cs="Times New Roman"/>
          <w:lang w:val="en-US"/>
        </w:rPr>
        <w:t>significantly a</w:t>
      </w:r>
      <w:r w:rsidR="00C47831" w:rsidRPr="009E7E81">
        <w:rPr>
          <w:rFonts w:cs="Times New Roman"/>
          <w:lang w:val="en-US"/>
        </w:rPr>
        <w:t xml:space="preserve">ffected by the changes. But most importantly, the </w:t>
      </w:r>
      <w:r w:rsidR="00C47831" w:rsidRPr="009E7E81">
        <w:rPr>
          <w:rFonts w:cs="Times New Roman"/>
          <w:i/>
          <w:lang w:val="en-US"/>
        </w:rPr>
        <w:t>relevance</w:t>
      </w:r>
      <w:r w:rsidR="00C47831" w:rsidRPr="009E7E81">
        <w:rPr>
          <w:rFonts w:cs="Times New Roman"/>
          <w:lang w:val="en-US"/>
        </w:rPr>
        <w:t xml:space="preserve"> of </w:t>
      </w:r>
      <w:r w:rsidR="00477518">
        <w:rPr>
          <w:rFonts w:cs="Times New Roman"/>
          <w:lang w:val="en-US"/>
        </w:rPr>
        <w:t xml:space="preserve">the </w:t>
      </w:r>
      <w:r w:rsidR="00C47831" w:rsidRPr="009E7E81">
        <w:rPr>
          <w:rFonts w:cs="Times New Roman"/>
          <w:lang w:val="en-US"/>
        </w:rPr>
        <w:t>costs argument is under</w:t>
      </w:r>
      <w:r w:rsidR="00441847" w:rsidRPr="009E7E81">
        <w:rPr>
          <w:rFonts w:cs="Times New Roman"/>
          <w:lang w:val="en-US"/>
        </w:rPr>
        <w:t>-</w:t>
      </w:r>
      <w:r w:rsidR="00C47831" w:rsidRPr="009E7E81">
        <w:rPr>
          <w:rFonts w:cs="Times New Roman"/>
          <w:lang w:val="en-US"/>
        </w:rPr>
        <w:t xml:space="preserve">explained; if the CJEU deems a group of people have a right to reside, and that right to reside entails equal treatment, it is not open to Member States to simply decide they would rather not meet the costs of that at all; economic considerations do not justify an infringement of EU law.  And the means are not a logical or appropriate way of securing the purported aim; simply finding that a family have a </w:t>
      </w:r>
      <w:r w:rsidR="00C47831" w:rsidRPr="009E7E81">
        <w:rPr>
          <w:rFonts w:cs="Times New Roman"/>
          <w:i/>
          <w:lang w:val="en-US"/>
        </w:rPr>
        <w:t>Zambrano</w:t>
      </w:r>
      <w:r w:rsidR="00C47831" w:rsidRPr="009E7E81">
        <w:rPr>
          <w:rFonts w:cs="Times New Roman"/>
          <w:lang w:val="en-US"/>
        </w:rPr>
        <w:t xml:space="preserve"> right does not automatically mean they have less of a connection with the UK than other UK nationals or other EU citizens who have greater equal treatment rights. This fact is rather borne out in the DWP’s </w:t>
      </w:r>
      <w:r w:rsidR="00C47831" w:rsidRPr="009E7E81">
        <w:rPr>
          <w:rFonts w:cs="Times New Roman"/>
          <w:lang w:val="en-US"/>
        </w:rPr>
        <w:lastRenderedPageBreak/>
        <w:t xml:space="preserve">admission that </w:t>
      </w:r>
      <w:r w:rsidR="00345E46" w:rsidRPr="009E7E81">
        <w:rPr>
          <w:rFonts w:cs="Times New Roman"/>
          <w:lang w:val="en-US"/>
        </w:rPr>
        <w:t>a number of</w:t>
      </w:r>
      <w:r w:rsidR="00C47831" w:rsidRPr="009E7E81">
        <w:rPr>
          <w:rFonts w:cs="Times New Roman"/>
          <w:lang w:val="en-US"/>
        </w:rPr>
        <w:t xml:space="preserve"> </w:t>
      </w:r>
      <w:r w:rsidR="00C47831" w:rsidRPr="009E7E81">
        <w:rPr>
          <w:rFonts w:cs="Times New Roman"/>
          <w:i/>
          <w:lang w:val="en-US"/>
        </w:rPr>
        <w:t>Zambrano</w:t>
      </w:r>
      <w:r w:rsidR="00345E46" w:rsidRPr="009E7E81">
        <w:rPr>
          <w:rFonts w:cs="Times New Roman"/>
          <w:i/>
          <w:lang w:val="en-US"/>
        </w:rPr>
        <w:t xml:space="preserve"> </w:t>
      </w:r>
      <w:r w:rsidR="00345E46" w:rsidRPr="009E7E81">
        <w:rPr>
          <w:rFonts w:cs="Times New Roman"/>
          <w:lang w:val="en-US"/>
        </w:rPr>
        <w:t xml:space="preserve"> families had been in the UK a number of years. </w:t>
      </w:r>
    </w:p>
    <w:p w14:paraId="3F9B7DB4" w14:textId="6EA2C404" w:rsidR="00345E46" w:rsidRPr="009E7E81" w:rsidRDefault="00F03376" w:rsidP="009E7E81">
      <w:pPr>
        <w:spacing w:after="240" w:line="360" w:lineRule="auto"/>
        <w:jc w:val="both"/>
        <w:rPr>
          <w:rFonts w:cs="Times New Roman"/>
          <w:lang w:val="en-US"/>
        </w:rPr>
      </w:pPr>
      <w:r w:rsidRPr="009E7E81">
        <w:rPr>
          <w:rFonts w:cs="Times New Roman"/>
          <w:lang w:val="en-US"/>
        </w:rPr>
        <w:t>T</w:t>
      </w:r>
      <w:r w:rsidR="00345E46" w:rsidRPr="009E7E81">
        <w:rPr>
          <w:rFonts w:cs="Times New Roman"/>
          <w:lang w:val="en-US"/>
        </w:rPr>
        <w:t xml:space="preserve">he final policy reason put forward was the procreative deterrent argument – that the exclusion would make third country nationals think carefully before having children. It is far from clear that it would have this effect – the circumstances of families can change dramatically from the point at which a child is conceived. </w:t>
      </w:r>
      <w:r w:rsidR="00441847" w:rsidRPr="009E7E81">
        <w:rPr>
          <w:rFonts w:cs="Times New Roman"/>
          <w:lang w:val="en-US"/>
        </w:rPr>
        <w:t>I</w:t>
      </w:r>
      <w:r w:rsidR="00345E46" w:rsidRPr="009E7E81">
        <w:rPr>
          <w:rFonts w:cs="Times New Roman"/>
          <w:lang w:val="en-US"/>
        </w:rPr>
        <w:t xml:space="preserve">t is far from clear that this is a </w:t>
      </w:r>
      <w:r w:rsidR="00345E46" w:rsidRPr="009E7E81">
        <w:rPr>
          <w:rFonts w:cs="Times New Roman"/>
          <w:i/>
          <w:lang w:val="en-US"/>
        </w:rPr>
        <w:t>legitimate</w:t>
      </w:r>
      <w:r w:rsidR="00345E46" w:rsidRPr="009E7E81">
        <w:rPr>
          <w:rFonts w:cs="Times New Roman"/>
          <w:lang w:val="en-US"/>
        </w:rPr>
        <w:t xml:space="preserve"> aim</w:t>
      </w:r>
      <w:r w:rsidR="00C47831" w:rsidRPr="009E7E81">
        <w:rPr>
          <w:rFonts w:cs="Times New Roman"/>
          <w:i/>
          <w:lang w:val="en-US"/>
        </w:rPr>
        <w:t xml:space="preserve"> </w:t>
      </w:r>
      <w:r w:rsidR="00345E46" w:rsidRPr="009E7E81">
        <w:rPr>
          <w:rFonts w:cs="Times New Roman"/>
          <w:lang w:val="en-US"/>
        </w:rPr>
        <w:t xml:space="preserve">– should people be dissuaded from creating EU citizen children, or more specifically, should poor people be dissuaded from creating EU citizen children? And it is far from clear that the rules are a legitimate, appropriate or proportionate means of pursuing that possibly illegitimate aim, since what they do is punish the children for the act of their parents, which conflicts with a well established principle in UK case law. </w:t>
      </w:r>
    </w:p>
    <w:p w14:paraId="73F6D907" w14:textId="50B702C1" w:rsidR="00345E46" w:rsidRPr="009E7E81" w:rsidRDefault="00F03376" w:rsidP="009E7E81">
      <w:pPr>
        <w:spacing w:after="240" w:line="360" w:lineRule="auto"/>
        <w:jc w:val="both"/>
        <w:rPr>
          <w:rFonts w:cs="Times New Roman"/>
          <w:lang w:val="en-US"/>
        </w:rPr>
      </w:pPr>
      <w:r w:rsidRPr="009E7E81">
        <w:rPr>
          <w:rFonts w:cs="Times New Roman"/>
          <w:lang w:val="en-US"/>
        </w:rPr>
        <w:t xml:space="preserve">If </w:t>
      </w:r>
      <w:r w:rsidRPr="009E7E81">
        <w:rPr>
          <w:rFonts w:cs="Times New Roman"/>
          <w:i/>
          <w:lang w:val="en-US"/>
        </w:rPr>
        <w:t xml:space="preserve">Zambrano </w:t>
      </w:r>
      <w:r w:rsidRPr="009E7E81">
        <w:rPr>
          <w:rFonts w:cs="Times New Roman"/>
          <w:lang w:val="en-US"/>
        </w:rPr>
        <w:t xml:space="preserve">families are not entitled to equal treatment, </w:t>
      </w:r>
      <w:r w:rsidR="007D4883">
        <w:rPr>
          <w:rFonts w:cs="Times New Roman"/>
          <w:lang w:val="en-US"/>
        </w:rPr>
        <w:t xml:space="preserve">or </w:t>
      </w:r>
      <w:r w:rsidRPr="009E7E81">
        <w:rPr>
          <w:rFonts w:cs="Times New Roman"/>
          <w:lang w:val="en-US"/>
        </w:rPr>
        <w:t>even a degree of equal treatment subject to limitations and conditions, then the right it confers is a hollow one</w:t>
      </w:r>
      <w:r w:rsidR="00441847" w:rsidRPr="009E7E81">
        <w:rPr>
          <w:rFonts w:cs="Times New Roman"/>
          <w:lang w:val="en-US"/>
        </w:rPr>
        <w:t xml:space="preserve"> and </w:t>
      </w:r>
      <w:r w:rsidR="00F31525" w:rsidRPr="009E7E81">
        <w:rPr>
          <w:rFonts w:cs="Times New Roman"/>
          <w:lang w:val="en-US"/>
        </w:rPr>
        <w:t>the</w:t>
      </w:r>
      <w:r w:rsidRPr="009E7E81">
        <w:rPr>
          <w:rFonts w:cs="Times New Roman"/>
          <w:lang w:val="en-US"/>
        </w:rPr>
        <w:t xml:space="preserve"> rights attaching to EU citizenship must be </w:t>
      </w:r>
      <w:r w:rsidR="00441847" w:rsidRPr="009E7E81">
        <w:rPr>
          <w:rFonts w:cs="Times New Roman"/>
          <w:lang w:val="en-US"/>
        </w:rPr>
        <w:t>insubstan</w:t>
      </w:r>
      <w:r w:rsidRPr="009E7E81">
        <w:rPr>
          <w:rFonts w:cs="Times New Roman"/>
          <w:lang w:val="en-US"/>
        </w:rPr>
        <w:t>tial (O’Brien</w:t>
      </w:r>
      <w:r w:rsidR="00324563">
        <w:rPr>
          <w:rFonts w:cs="Times New Roman"/>
          <w:lang w:val="en-US"/>
        </w:rPr>
        <w:t xml:space="preserve"> 2016</w:t>
      </w:r>
      <w:r w:rsidRPr="009E7E81">
        <w:rPr>
          <w:rFonts w:cs="Times New Roman"/>
          <w:lang w:val="en-US"/>
        </w:rPr>
        <w:t xml:space="preserve">, forthcoming) and readily vaporized by Member States. </w:t>
      </w:r>
      <w:r w:rsidRPr="009E7E81">
        <w:rPr>
          <w:rFonts w:cs="Times New Roman"/>
          <w:i/>
          <w:lang w:val="en-US"/>
        </w:rPr>
        <w:t xml:space="preserve">Zambrano </w:t>
      </w:r>
      <w:r w:rsidRPr="009E7E81">
        <w:rPr>
          <w:rFonts w:cs="Times New Roman"/>
          <w:lang w:val="en-US"/>
        </w:rPr>
        <w:t xml:space="preserve">children fall within the scope of EU law, and are entitled to claim equality as a general principle of EU law.  </w:t>
      </w:r>
      <w:r w:rsidR="00F31525" w:rsidRPr="009E7E81">
        <w:rPr>
          <w:rFonts w:cs="Times New Roman"/>
          <w:lang w:val="en-US"/>
        </w:rPr>
        <w:t>This principle is not rhetorical, or vague, but a strong, guiding fundamental doctrine, threaded throughout all areas of EU action. The current infringement of that principle</w:t>
      </w:r>
      <w:r w:rsidR="000716AF" w:rsidRPr="009E7E81">
        <w:rPr>
          <w:rFonts w:cs="Times New Roman"/>
          <w:lang w:val="en-US"/>
        </w:rPr>
        <w:t xml:space="preserve"> denudes EU citizenship of any entitlement to any standard of living or basic equal treatment beyond a ‘hand-to-mouth’ existence, and</w:t>
      </w:r>
      <w:r w:rsidR="00F31525" w:rsidRPr="009E7E81">
        <w:rPr>
          <w:rFonts w:cs="Times New Roman"/>
          <w:lang w:val="en-US"/>
        </w:rPr>
        <w:t xml:space="preserve"> is not an appropriate or proportionate means of attaining the </w:t>
      </w:r>
      <w:r w:rsidR="00441847" w:rsidRPr="009E7E81">
        <w:rPr>
          <w:rFonts w:cs="Times New Roman"/>
          <w:lang w:val="en-US"/>
        </w:rPr>
        <w:t>given objectives</w:t>
      </w:r>
      <w:r w:rsidR="00F31525" w:rsidRPr="009E7E81">
        <w:rPr>
          <w:rFonts w:cs="Times New Roman"/>
          <w:lang w:val="en-US"/>
        </w:rPr>
        <w:t>. It punishes children,</w:t>
      </w:r>
      <w:r w:rsidR="000716AF" w:rsidRPr="009E7E81">
        <w:rPr>
          <w:rFonts w:cs="Times New Roman"/>
          <w:lang w:val="en-US"/>
        </w:rPr>
        <w:t xml:space="preserve"> </w:t>
      </w:r>
      <w:r w:rsidR="00F31525" w:rsidRPr="009E7E81">
        <w:rPr>
          <w:rFonts w:cs="Times New Roman"/>
          <w:lang w:val="en-US"/>
        </w:rPr>
        <w:t>it does not take acc</w:t>
      </w:r>
      <w:r w:rsidR="00441847" w:rsidRPr="009E7E81">
        <w:rPr>
          <w:rFonts w:cs="Times New Roman"/>
          <w:lang w:val="en-US"/>
        </w:rPr>
        <w:t xml:space="preserve">ount of connections with the UK, </w:t>
      </w:r>
      <w:r w:rsidR="000716AF" w:rsidRPr="009E7E81">
        <w:rPr>
          <w:rFonts w:cs="Times New Roman"/>
          <w:lang w:val="en-US"/>
        </w:rPr>
        <w:t xml:space="preserve">it denies fairnesss to </w:t>
      </w:r>
      <w:r w:rsidR="000716AF" w:rsidRPr="009E7E81">
        <w:rPr>
          <w:rFonts w:cs="Times New Roman"/>
          <w:i/>
          <w:lang w:val="en-US"/>
        </w:rPr>
        <w:t>Zambrano</w:t>
      </w:r>
      <w:r w:rsidR="000716AF" w:rsidRPr="009E7E81">
        <w:rPr>
          <w:rFonts w:cs="Times New Roman"/>
          <w:lang w:val="en-US"/>
        </w:rPr>
        <w:t xml:space="preserve"> taxpayers, and denies </w:t>
      </w:r>
      <w:r w:rsidR="000716AF" w:rsidRPr="009E7E81">
        <w:rPr>
          <w:rFonts w:cs="Times New Roman"/>
          <w:i/>
          <w:lang w:val="en-US"/>
        </w:rPr>
        <w:t xml:space="preserve">Zambrano </w:t>
      </w:r>
      <w:r w:rsidR="000716AF" w:rsidRPr="009E7E81">
        <w:rPr>
          <w:rFonts w:cs="Times New Roman"/>
          <w:lang w:val="en-US"/>
        </w:rPr>
        <w:t>children the ‘reciprocity of rights and duties which form the bedrock of the bond of nationality’</w:t>
      </w:r>
      <w:r w:rsidR="00441847" w:rsidRPr="009E7E81">
        <w:rPr>
          <w:rFonts w:cs="Times New Roman"/>
          <w:lang w:val="en-US"/>
        </w:rPr>
        <w:t xml:space="preserve">, consigning them to tolerated alienhood in </w:t>
      </w:r>
      <w:r w:rsidR="00477518">
        <w:rPr>
          <w:rFonts w:cs="Times New Roman"/>
          <w:lang w:val="en-US"/>
        </w:rPr>
        <w:t xml:space="preserve">their </w:t>
      </w:r>
      <w:r w:rsidR="00441847" w:rsidRPr="009E7E81">
        <w:rPr>
          <w:rFonts w:cs="Times New Roman"/>
          <w:lang w:val="en-US"/>
        </w:rPr>
        <w:t>own country.</w:t>
      </w:r>
    </w:p>
    <w:p w14:paraId="6AADA70E" w14:textId="0EA82F8B" w:rsidR="00C93A42" w:rsidRPr="009E7E81" w:rsidRDefault="00DB545A" w:rsidP="009E7E81">
      <w:pPr>
        <w:spacing w:after="240" w:line="360" w:lineRule="auto"/>
        <w:jc w:val="both"/>
        <w:rPr>
          <w:rFonts w:cs="Times New Roman"/>
          <w:b/>
          <w:lang w:val="en-US"/>
        </w:rPr>
      </w:pPr>
      <w:r w:rsidRPr="009E7E81">
        <w:rPr>
          <w:rFonts w:cs="Times New Roman"/>
          <w:b/>
          <w:lang w:val="en-US"/>
        </w:rPr>
        <w:t>References</w:t>
      </w:r>
      <w:r w:rsidR="0099451A" w:rsidRPr="009E7E81">
        <w:rPr>
          <w:rFonts w:cs="Times New Roman"/>
          <w:b/>
          <w:lang w:val="en-US"/>
        </w:rPr>
        <w:t>:</w:t>
      </w:r>
    </w:p>
    <w:p w14:paraId="7A0C651D" w14:textId="79220EAC" w:rsidR="00DB545A" w:rsidRPr="009E7E81" w:rsidRDefault="0099451A" w:rsidP="009E7E81">
      <w:pPr>
        <w:spacing w:after="240" w:line="360" w:lineRule="auto"/>
        <w:jc w:val="both"/>
        <w:rPr>
          <w:rFonts w:cs="Times New Roman"/>
          <w:b/>
          <w:lang w:val="en-US"/>
        </w:rPr>
      </w:pPr>
      <w:r w:rsidRPr="009E7E81">
        <w:rPr>
          <w:rFonts w:cs="Times New Roman"/>
          <w:b/>
          <w:lang w:val="en-US"/>
        </w:rPr>
        <w:t xml:space="preserve">EU legislation </w:t>
      </w:r>
    </w:p>
    <w:p w14:paraId="402C113A" w14:textId="77777777" w:rsidR="00DE54EA" w:rsidRPr="009E7E81" w:rsidRDefault="00DE54EA" w:rsidP="009E7E81">
      <w:pPr>
        <w:spacing w:after="240" w:line="360" w:lineRule="auto"/>
        <w:jc w:val="both"/>
        <w:rPr>
          <w:rFonts w:eastAsia="Times New Roman" w:cs="Times New Roman"/>
        </w:rPr>
      </w:pPr>
      <w:r w:rsidRPr="009E7E81">
        <w:rPr>
          <w:rFonts w:eastAsia="Times New Roman" w:cs="Tahoma"/>
          <w:bCs/>
        </w:rPr>
        <w:lastRenderedPageBreak/>
        <w:t>Regulation (EEC) No 1612/68 of the Council of 15 October 1968 on freedom of movement for workers within the Community </w:t>
      </w:r>
    </w:p>
    <w:p w14:paraId="760E3DE5" w14:textId="77777777" w:rsidR="00DE54EA" w:rsidRPr="009E7E81" w:rsidRDefault="00DE54EA" w:rsidP="009E7E81">
      <w:pPr>
        <w:spacing w:after="240" w:line="360" w:lineRule="auto"/>
        <w:jc w:val="both"/>
        <w:rPr>
          <w:rFonts w:eastAsia="Times New Roman" w:cs="Times New Roman"/>
        </w:rPr>
      </w:pPr>
      <w:r w:rsidRPr="009E7E81">
        <w:rPr>
          <w:rFonts w:eastAsia="Times New Roman" w:cs="Lucida Grande"/>
          <w:bCs/>
          <w:bdr w:val="none" w:sz="0" w:space="0" w:color="auto" w:frame="1"/>
          <w:shd w:val="clear" w:color="auto" w:fill="FFFFFF"/>
        </w:rPr>
        <w:t>Council Directive 2003/109/EC of 25 November 2003 concerning the status of third-country nationals who are long-term residents</w:t>
      </w:r>
    </w:p>
    <w:p w14:paraId="066712E5" w14:textId="01AEB17B" w:rsidR="0099451A" w:rsidRPr="009E7E81" w:rsidRDefault="0099451A" w:rsidP="009E7E81">
      <w:pPr>
        <w:widowControl w:val="0"/>
        <w:autoSpaceDE w:val="0"/>
        <w:autoSpaceDN w:val="0"/>
        <w:adjustRightInd w:val="0"/>
        <w:spacing w:after="240" w:line="360" w:lineRule="auto"/>
        <w:jc w:val="both"/>
        <w:rPr>
          <w:rFonts w:cs="Times New Roman"/>
          <w:lang w:val="en-US"/>
        </w:rPr>
      </w:pPr>
      <w:r w:rsidRPr="009E7E81">
        <w:rPr>
          <w:rFonts w:cs="Times New Roman"/>
          <w:lang w:val="en-US"/>
        </w:rPr>
        <w:t>Directive 2004/38/EC of the European Parliament and of the Council of 29 April 2004 on the right of</w:t>
      </w:r>
      <w:r w:rsidR="00DE54EA" w:rsidRPr="009E7E81">
        <w:rPr>
          <w:rFonts w:cs="Times New Roman"/>
          <w:lang w:val="en-US"/>
        </w:rPr>
        <w:t xml:space="preserve"> </w:t>
      </w:r>
      <w:r w:rsidRPr="009E7E81">
        <w:rPr>
          <w:rFonts w:cs="Times New Roman"/>
          <w:lang w:val="en-US"/>
        </w:rPr>
        <w:t>citizens of the Union and their family members to move and reside freely within the territory of</w:t>
      </w:r>
      <w:r w:rsidR="00DE54EA" w:rsidRPr="009E7E81">
        <w:rPr>
          <w:rFonts w:cs="Times New Roman"/>
          <w:lang w:val="en-US"/>
        </w:rPr>
        <w:t xml:space="preserve"> </w:t>
      </w:r>
      <w:r w:rsidRPr="009E7E81">
        <w:rPr>
          <w:rFonts w:cs="Times New Roman"/>
          <w:lang w:val="en-US"/>
        </w:rPr>
        <w:t>the Member States OJ [2004] L158/77.</w:t>
      </w:r>
    </w:p>
    <w:p w14:paraId="32E1F138" w14:textId="6B366CBE" w:rsidR="0099451A" w:rsidRPr="009E7E81" w:rsidRDefault="0099451A" w:rsidP="009E7E81">
      <w:pPr>
        <w:widowControl w:val="0"/>
        <w:autoSpaceDE w:val="0"/>
        <w:autoSpaceDN w:val="0"/>
        <w:adjustRightInd w:val="0"/>
        <w:spacing w:after="240" w:line="360" w:lineRule="auto"/>
        <w:jc w:val="both"/>
        <w:rPr>
          <w:rFonts w:cs="Times New Roman"/>
          <w:lang w:val="en-US"/>
        </w:rPr>
      </w:pPr>
      <w:r w:rsidRPr="009E7E81">
        <w:rPr>
          <w:rFonts w:cs="Times New Roman"/>
          <w:lang w:val="en-US"/>
        </w:rPr>
        <w:t>Regulation (EU) No 492/2011 of the European Parliament and of the Council of 5 April 2011 on the</w:t>
      </w:r>
      <w:r w:rsidR="00DE54EA" w:rsidRPr="009E7E81">
        <w:rPr>
          <w:rFonts w:cs="Times New Roman"/>
          <w:lang w:val="en-US"/>
        </w:rPr>
        <w:t xml:space="preserve"> </w:t>
      </w:r>
      <w:r w:rsidRPr="009E7E81">
        <w:rPr>
          <w:rFonts w:cs="Times New Roman"/>
          <w:lang w:val="en-US"/>
        </w:rPr>
        <w:t>freedom of movement for workers within the Union [2011] OJ L 141/1.</w:t>
      </w:r>
    </w:p>
    <w:p w14:paraId="783089C4" w14:textId="272DBFF6" w:rsidR="0099451A" w:rsidRPr="009E7E81" w:rsidRDefault="0099451A" w:rsidP="009E7E81">
      <w:pPr>
        <w:spacing w:after="240" w:line="360" w:lineRule="auto"/>
        <w:jc w:val="both"/>
        <w:rPr>
          <w:rFonts w:cs="Times New Roman"/>
          <w:b/>
          <w:lang w:val="en-US"/>
        </w:rPr>
      </w:pPr>
      <w:r w:rsidRPr="009E7E81">
        <w:rPr>
          <w:rFonts w:cs="Times New Roman"/>
          <w:b/>
          <w:lang w:val="en-US"/>
        </w:rPr>
        <w:t>Other References:</w:t>
      </w:r>
    </w:p>
    <w:p w14:paraId="7D50B401" w14:textId="77777777" w:rsidR="00DE54EA" w:rsidRPr="009E7E81" w:rsidRDefault="00DE54EA" w:rsidP="009E7E81">
      <w:pPr>
        <w:spacing w:after="240" w:line="360" w:lineRule="auto"/>
        <w:jc w:val="both"/>
      </w:pPr>
      <w:r w:rsidRPr="009E7E81">
        <w:t xml:space="preserve">Arendt, H. (1973) </w:t>
      </w:r>
      <w:r w:rsidRPr="009E7E81">
        <w:rPr>
          <w:i/>
        </w:rPr>
        <w:t>The Origins of Totalitarianism</w:t>
      </w:r>
      <w:r w:rsidRPr="009E7E81">
        <w:t xml:space="preserve"> (New York: Harcourt)</w:t>
      </w:r>
    </w:p>
    <w:p w14:paraId="4839612F" w14:textId="77777777" w:rsidR="00DE54EA" w:rsidRPr="009E7E81" w:rsidRDefault="00DE54EA" w:rsidP="009E7E81">
      <w:pPr>
        <w:spacing w:after="240" w:line="360" w:lineRule="auto"/>
        <w:jc w:val="both"/>
        <w:rPr>
          <w:rFonts w:eastAsia="Times New Roman" w:cs="Times New Roman"/>
        </w:rPr>
      </w:pPr>
      <w:r w:rsidRPr="009E7E81">
        <w:t xml:space="preserve">Belfield, C., Cribb, J., Hood, A., &amp; Joyce, R. (2015) </w:t>
      </w:r>
      <w:r w:rsidRPr="009E7E81">
        <w:rPr>
          <w:rFonts w:eastAsia="Times New Roman" w:cs="Times New Roman"/>
          <w:i/>
        </w:rPr>
        <w:t xml:space="preserve">Living Standards, Poverty and Inequality in the UK: 2015 </w:t>
      </w:r>
      <w:r w:rsidRPr="009E7E81">
        <w:rPr>
          <w:rFonts w:eastAsia="Times New Roman" w:cs="Times New Roman"/>
        </w:rPr>
        <w:t>(Institute for Fiscal Studies) available at: &lt;http://www.ifs.org.uk/uploads/publications/comms/R107.pdf&gt; last accessed 11 April 2016</w:t>
      </w:r>
    </w:p>
    <w:p w14:paraId="7F520C8D" w14:textId="36458B9F" w:rsidR="00DE54EA" w:rsidRPr="009E7E81" w:rsidRDefault="00DE54EA" w:rsidP="009E7E81">
      <w:pPr>
        <w:widowControl w:val="0"/>
        <w:autoSpaceDE w:val="0"/>
        <w:autoSpaceDN w:val="0"/>
        <w:adjustRightInd w:val="0"/>
        <w:spacing w:after="240" w:line="360" w:lineRule="auto"/>
        <w:jc w:val="both"/>
        <w:rPr>
          <w:rFonts w:cs="Times New Roman"/>
          <w:lang w:val="en-US"/>
        </w:rPr>
      </w:pPr>
      <w:r w:rsidRPr="009E7E81">
        <w:rPr>
          <w:rFonts w:cs="Times New Roman"/>
          <w:lang w:val="en-US"/>
        </w:rPr>
        <w:t>Birmingham Law Centre (2013) “Zambrano and Pryce: Does the homelessness duty mean anything?” Blog: 23 Feb. 2013  &lt;http://ilegal.org.uk/thread/7425/zambrano-pryce-homeless-duty-mean&gt;, last accessed 11 April 2016.</w:t>
      </w:r>
    </w:p>
    <w:p w14:paraId="6A794942" w14:textId="77777777" w:rsidR="00DE54EA" w:rsidRPr="009E7E81" w:rsidRDefault="00DE54EA" w:rsidP="009E7E81">
      <w:pPr>
        <w:spacing w:after="240" w:line="360" w:lineRule="auto"/>
        <w:jc w:val="both"/>
      </w:pPr>
      <w:r w:rsidRPr="009E7E81">
        <w:t xml:space="preserve">Boll, A.M. (2007) </w:t>
      </w:r>
      <w:r w:rsidRPr="009E7E81">
        <w:rPr>
          <w:i/>
        </w:rPr>
        <w:t>Multiple Nationality and International Law</w:t>
      </w:r>
      <w:r w:rsidRPr="009E7E81">
        <w:t xml:space="preserve"> (Leiden: Martinus Nijhoff)</w:t>
      </w:r>
    </w:p>
    <w:p w14:paraId="4FFDAAA2" w14:textId="5FA758CC" w:rsidR="00DE54EA" w:rsidRPr="009E7E81" w:rsidRDefault="00DE54EA" w:rsidP="009E7E81">
      <w:pPr>
        <w:widowControl w:val="0"/>
        <w:autoSpaceDE w:val="0"/>
        <w:autoSpaceDN w:val="0"/>
        <w:adjustRightInd w:val="0"/>
        <w:spacing w:after="240" w:line="360" w:lineRule="auto"/>
        <w:jc w:val="both"/>
        <w:rPr>
          <w:rFonts w:cs="Times New Roman"/>
          <w:lang w:val="en-US"/>
        </w:rPr>
      </w:pPr>
      <w:r w:rsidRPr="009E7E81">
        <w:rPr>
          <w:rFonts w:cs="Times New Roman"/>
          <w:lang w:val="en-US"/>
        </w:rPr>
        <w:t>Citizens Advice. (2008). Barriers to work Lone parents and the challenges of working. Evidence Briefing. Available at: &lt;https://www.citizensadvice.org.uk/Global/Migrated_Documents/corporate/pdf-barriers-to-work.pdf&gt; last accessed 11 April 2016</w:t>
      </w:r>
    </w:p>
    <w:p w14:paraId="05A76D83" w14:textId="14EC772A" w:rsidR="00671D4F" w:rsidRPr="009E7E81" w:rsidRDefault="00671D4F" w:rsidP="009E7E81">
      <w:pPr>
        <w:widowControl w:val="0"/>
        <w:autoSpaceDE w:val="0"/>
        <w:autoSpaceDN w:val="0"/>
        <w:adjustRightInd w:val="0"/>
        <w:spacing w:after="240" w:line="360" w:lineRule="auto"/>
        <w:jc w:val="both"/>
        <w:rPr>
          <w:rFonts w:cs="Times New Roman"/>
          <w:lang w:val="en-US"/>
        </w:rPr>
      </w:pPr>
      <w:r w:rsidRPr="009E7E81">
        <w:rPr>
          <w:rFonts w:cs="Times New Roman"/>
          <w:lang w:val="en-US"/>
        </w:rPr>
        <w:t>Currie, S. (2009) “The transformation of Union citizenship”, in Dougan</w:t>
      </w:r>
      <w:r w:rsidR="00DE54EA" w:rsidRPr="009E7E81">
        <w:rPr>
          <w:rFonts w:cs="Times New Roman"/>
          <w:lang w:val="en-US"/>
        </w:rPr>
        <w:t>, M.</w:t>
      </w:r>
      <w:r w:rsidRPr="009E7E81">
        <w:rPr>
          <w:rFonts w:cs="Times New Roman"/>
          <w:lang w:val="en-US"/>
        </w:rPr>
        <w:t xml:space="preserve"> and </w:t>
      </w:r>
      <w:r w:rsidRPr="009E7E81">
        <w:rPr>
          <w:rFonts w:cs="Times New Roman"/>
          <w:lang w:val="en-US"/>
        </w:rPr>
        <w:lastRenderedPageBreak/>
        <w:t>Currie</w:t>
      </w:r>
      <w:r w:rsidR="00DE54EA" w:rsidRPr="009E7E81">
        <w:rPr>
          <w:rFonts w:cs="Times New Roman"/>
          <w:lang w:val="en-US"/>
        </w:rPr>
        <w:t>, S.</w:t>
      </w:r>
      <w:r w:rsidRPr="009E7E81">
        <w:rPr>
          <w:rFonts w:cs="Times New Roman"/>
          <w:lang w:val="en-US"/>
        </w:rPr>
        <w:t xml:space="preserve"> (Eds.), 50</w:t>
      </w:r>
      <w:r w:rsidR="00DE54EA" w:rsidRPr="009E7E81">
        <w:rPr>
          <w:rFonts w:cs="Times New Roman"/>
          <w:lang w:val="en-US"/>
        </w:rPr>
        <w:t xml:space="preserve"> </w:t>
      </w:r>
      <w:r w:rsidRPr="009E7E81">
        <w:rPr>
          <w:rFonts w:cs="Times New Roman"/>
          <w:lang w:val="en-US"/>
        </w:rPr>
        <w:t>years of the European Treaties: Looking Back and Thinking Forward (Oxford: Hart)</w:t>
      </w:r>
    </w:p>
    <w:p w14:paraId="6DD659AA" w14:textId="5139C706" w:rsidR="00DE54EA" w:rsidRPr="009E7E81" w:rsidRDefault="00DE54EA" w:rsidP="009E7E81">
      <w:pPr>
        <w:spacing w:after="240" w:line="360" w:lineRule="auto"/>
        <w:jc w:val="both"/>
        <w:rPr>
          <w:rFonts w:eastAsia="Times New Roman" w:cs="Times New Roman"/>
        </w:rPr>
      </w:pPr>
      <w:r w:rsidRPr="009E7E81">
        <w:t>Department for Work and Pensions (2012) ‘</w:t>
      </w:r>
      <w:r w:rsidRPr="009E7E81">
        <w:rPr>
          <w:rFonts w:eastAsia="Times New Roman" w:cs="Times New Roman"/>
        </w:rPr>
        <w:t xml:space="preserve">Access to benefits for those who will have a “Zambrano” Right to Reside and Work’ </w:t>
      </w:r>
      <w:r w:rsidRPr="009E7E81">
        <w:rPr>
          <w:rFonts w:eastAsia="Times New Roman" w:cs="Times New Roman"/>
          <w:i/>
        </w:rPr>
        <w:t>Equality Analysis for The Social Security (Habitual Residence)(Amendment) Regulations 2012</w:t>
      </w:r>
      <w:r w:rsidRPr="009E7E81">
        <w:rPr>
          <w:rFonts w:eastAsia="Times New Roman" w:cs="Times New Roman"/>
        </w:rPr>
        <w:t xml:space="preserve"> </w:t>
      </w:r>
      <w:r w:rsidRPr="009E7E81">
        <w:t>October 2012 available at &lt;https://www.gov.uk/government/uploads/system/uploads/attachment_data/file/220217/eia-zambrano-right-to-reside-and-work.pdf&gt; last accessed 11 April 2016.</w:t>
      </w:r>
    </w:p>
    <w:p w14:paraId="34D208A9" w14:textId="1129D39A" w:rsidR="00B96B1D" w:rsidRPr="009E7E81" w:rsidRDefault="00B96B1D" w:rsidP="009E7E81">
      <w:pPr>
        <w:spacing w:after="240" w:line="360" w:lineRule="auto"/>
        <w:jc w:val="both"/>
        <w:rPr>
          <w:rFonts w:cs="Times New Roman"/>
          <w:lang w:val="en-US"/>
        </w:rPr>
      </w:pPr>
      <w:r w:rsidRPr="009E7E81">
        <w:rPr>
          <w:rFonts w:cs="Times New Roman"/>
          <w:lang w:val="en-US"/>
        </w:rPr>
        <w:t xml:space="preserve">Home Office (2015) </w:t>
      </w:r>
      <w:r w:rsidRPr="009E7E81">
        <w:rPr>
          <w:rFonts w:cs="Times New Roman"/>
          <w:i/>
          <w:lang w:val="en-US"/>
        </w:rPr>
        <w:t>Derivative rights of residence, version 2.0</w:t>
      </w:r>
      <w:r w:rsidRPr="009E7E81">
        <w:rPr>
          <w:rFonts w:cs="Times New Roman"/>
          <w:lang w:val="en-US"/>
        </w:rPr>
        <w:t xml:space="preserve"> Valid from April 2015, available at: &lt;https://www.gov.uk/government/uploads/system/uploads/attachment_data/file/488448/Derivative_rights_of_residence_v2.0_ext_clean.pdf&gt; last accessed 11 April 2016.</w:t>
      </w:r>
    </w:p>
    <w:p w14:paraId="1C88B658" w14:textId="77777777" w:rsidR="00DE54EA" w:rsidRPr="009E7E81" w:rsidRDefault="00DE54EA" w:rsidP="009E7E81">
      <w:pPr>
        <w:spacing w:after="240" w:line="360" w:lineRule="auto"/>
        <w:jc w:val="both"/>
      </w:pPr>
      <w:r w:rsidRPr="009E7E81">
        <w:t xml:space="preserve">Kesby, A. (2012) </w:t>
      </w:r>
      <w:r w:rsidRPr="009E7E81">
        <w:rPr>
          <w:i/>
        </w:rPr>
        <w:t>The Right to Have Rights: Citizenship, Huamnity and International Law</w:t>
      </w:r>
      <w:r w:rsidRPr="009E7E81">
        <w:t xml:space="preserve"> (Oxford: OUP)</w:t>
      </w:r>
    </w:p>
    <w:p w14:paraId="187BB18A" w14:textId="3F0D12A0" w:rsidR="00874D0E" w:rsidRPr="00874D0E" w:rsidRDefault="00874D0E" w:rsidP="00874D0E">
      <w:pPr>
        <w:rPr>
          <w:rFonts w:eastAsia="Times New Roman" w:cs="Times New Roman"/>
        </w:rPr>
      </w:pPr>
      <w:r w:rsidRPr="00874D0E">
        <w:rPr>
          <w:rFonts w:eastAsia="Times New Roman" w:cs="Times New Roman"/>
          <w:shd w:val="clear" w:color="auto" w:fill="FFFFFF"/>
        </w:rPr>
        <w:t>Kochenov, D. (2013) ‘The Right to Have </w:t>
      </w:r>
      <w:r w:rsidRPr="00874D0E">
        <w:rPr>
          <w:rFonts w:eastAsia="Times New Roman" w:cs="Times New Roman"/>
          <w:i/>
          <w:iCs/>
          <w:shd w:val="clear" w:color="auto" w:fill="FFFFFF"/>
        </w:rPr>
        <w:t>What</w:t>
      </w:r>
      <w:r w:rsidRPr="00874D0E">
        <w:rPr>
          <w:rFonts w:eastAsia="Times New Roman" w:cs="Times New Roman"/>
          <w:shd w:val="clear" w:color="auto" w:fill="FFFFFF"/>
        </w:rPr>
        <w:t xml:space="preserve"> Rights? EU Citizenship in Need of Clarification’ </w:t>
      </w:r>
      <w:r w:rsidRPr="00874D0E">
        <w:rPr>
          <w:rFonts w:eastAsia="Times New Roman" w:cs="Times New Roman"/>
          <w:iCs/>
          <w:shd w:val="clear" w:color="auto" w:fill="FFFFFF"/>
        </w:rPr>
        <w:t>ELJ</w:t>
      </w:r>
      <w:r w:rsidRPr="00874D0E">
        <w:rPr>
          <w:rFonts w:eastAsia="Times New Roman" w:cs="Times New Roman"/>
          <w:shd w:val="clear" w:color="auto" w:fill="FFFFFF"/>
        </w:rPr>
        <w:t xml:space="preserve"> 19, 502 </w:t>
      </w:r>
    </w:p>
    <w:p w14:paraId="0C4BDCF0" w14:textId="77777777" w:rsidR="00874D0E" w:rsidRDefault="00874D0E" w:rsidP="009E7E81">
      <w:pPr>
        <w:spacing w:after="240" w:line="360" w:lineRule="auto"/>
        <w:jc w:val="both"/>
        <w:rPr>
          <w:rFonts w:cs="Times New Roman"/>
          <w:lang w:val="en-US"/>
        </w:rPr>
      </w:pPr>
    </w:p>
    <w:p w14:paraId="55679FBB" w14:textId="77777777" w:rsidR="00874D0E" w:rsidRDefault="00874D0E" w:rsidP="009E7E81">
      <w:pPr>
        <w:spacing w:after="240" w:line="360" w:lineRule="auto"/>
        <w:jc w:val="both"/>
        <w:rPr>
          <w:rFonts w:cs="Times New Roman"/>
          <w:lang w:val="en-US"/>
        </w:rPr>
      </w:pPr>
    </w:p>
    <w:p w14:paraId="2831382F" w14:textId="19B56418" w:rsidR="00DB545A" w:rsidRPr="009E7E81" w:rsidRDefault="00DB545A" w:rsidP="009E7E81">
      <w:pPr>
        <w:spacing w:after="240" w:line="360" w:lineRule="auto"/>
        <w:jc w:val="both"/>
        <w:rPr>
          <w:rFonts w:eastAsia="Times New Roman" w:cs="Times New Roman"/>
        </w:rPr>
      </w:pPr>
      <w:r w:rsidRPr="009E7E81">
        <w:rPr>
          <w:rFonts w:cs="Times New Roman"/>
          <w:lang w:val="en-US"/>
        </w:rPr>
        <w:t>Lansbergen, A &amp; Miller, N (2011) ‘</w:t>
      </w:r>
      <w:r w:rsidRPr="009E7E81">
        <w:rPr>
          <w:rFonts w:eastAsia="Times New Roman" w:cs="Times New Roman"/>
        </w:rPr>
        <w:t xml:space="preserve">European citizenship rights in internal situations: an ambiguous revolution? Decision of 8 March 2011, Case C-34/09 Gerardo Ruiz Zambrano v Office national de l'emploi (ONEM)’ </w:t>
      </w:r>
      <w:r w:rsidRPr="009E7E81">
        <w:rPr>
          <w:rFonts w:eastAsia="Times New Roman" w:cs="Times New Roman"/>
          <w:shd w:val="clear" w:color="auto" w:fill="FFFFFF"/>
        </w:rPr>
        <w:t>E.C.L. Review 7(2), 287</w:t>
      </w:r>
    </w:p>
    <w:p w14:paraId="5F211617" w14:textId="599AF224" w:rsidR="00FB4678" w:rsidRPr="009E7E81" w:rsidRDefault="00FB4678" w:rsidP="009E7E81">
      <w:pPr>
        <w:spacing w:after="240" w:line="360" w:lineRule="auto"/>
        <w:jc w:val="both"/>
        <w:rPr>
          <w:rFonts w:cs="Times New Roman"/>
          <w:lang w:val="en-US"/>
        </w:rPr>
      </w:pPr>
      <w:r w:rsidRPr="009E7E81">
        <w:rPr>
          <w:rFonts w:cs="Times New Roman"/>
          <w:lang w:val="en-US"/>
        </w:rPr>
        <w:t xml:space="preserve">Malthus, T (2008) </w:t>
      </w:r>
      <w:r w:rsidRPr="009E7E81">
        <w:rPr>
          <w:rFonts w:cs="Times New Roman"/>
          <w:i/>
          <w:lang w:val="en-US"/>
        </w:rPr>
        <w:t>An Essay on the principle of population</w:t>
      </w:r>
      <w:r w:rsidRPr="009E7E81">
        <w:rPr>
          <w:rFonts w:cs="Times New Roman"/>
          <w:lang w:val="en-US"/>
        </w:rPr>
        <w:t>, (Oxford: Oxford World Classics)</w:t>
      </w:r>
    </w:p>
    <w:p w14:paraId="46784955" w14:textId="5236EEE2" w:rsidR="00DE54EA" w:rsidRPr="009E7E81" w:rsidRDefault="00DE54EA" w:rsidP="009E7E81">
      <w:pPr>
        <w:widowControl w:val="0"/>
        <w:autoSpaceDE w:val="0"/>
        <w:autoSpaceDN w:val="0"/>
        <w:adjustRightInd w:val="0"/>
        <w:spacing w:after="240" w:line="360" w:lineRule="auto"/>
        <w:jc w:val="both"/>
        <w:rPr>
          <w:rFonts w:cs="Times New Roman"/>
          <w:lang w:val="en-US"/>
        </w:rPr>
      </w:pPr>
      <w:r w:rsidRPr="009E7E81">
        <w:rPr>
          <w:rFonts w:cs="Times New Roman"/>
          <w:lang w:val="en-US"/>
        </w:rPr>
        <w:t>Maplethorpe, M., Chanfreau, J., Philo, D., &amp; Tait, C. (2010). Families with children in Britain: findings from the 2008 families and children study. DWP Research Report. 656.</w:t>
      </w:r>
    </w:p>
    <w:p w14:paraId="5594C5AC" w14:textId="3CD6634E" w:rsidR="00DB545A" w:rsidRPr="009E7E81" w:rsidRDefault="00DB545A" w:rsidP="009E7E81">
      <w:pPr>
        <w:spacing w:after="240" w:line="360" w:lineRule="auto"/>
        <w:jc w:val="both"/>
        <w:rPr>
          <w:i/>
        </w:rPr>
      </w:pPr>
      <w:r w:rsidRPr="009E7E81">
        <w:rPr>
          <w:rFonts w:cs="Times New Roman"/>
          <w:lang w:val="en-US"/>
        </w:rPr>
        <w:lastRenderedPageBreak/>
        <w:t>O’Brien, C. (forthcoming</w:t>
      </w:r>
      <w:r w:rsidR="00BB2651">
        <w:rPr>
          <w:rFonts w:cs="Times New Roman"/>
          <w:lang w:val="en-US"/>
        </w:rPr>
        <w:t>, 2016</w:t>
      </w:r>
      <w:r w:rsidRPr="009E7E81">
        <w:rPr>
          <w:rFonts w:cs="Times New Roman"/>
          <w:lang w:val="en-US"/>
        </w:rPr>
        <w:t>) ‘</w:t>
      </w:r>
      <w:r w:rsidR="0000178D">
        <w:t>Civis captalist sum: class emerges as</w:t>
      </w:r>
      <w:r w:rsidRPr="009E7E81">
        <w:t xml:space="preserve"> the guiding principle of EU free movement rights’ </w:t>
      </w:r>
      <w:r w:rsidRPr="009E7E81">
        <w:rPr>
          <w:i/>
        </w:rPr>
        <w:t>Common Market Law Review</w:t>
      </w:r>
    </w:p>
    <w:p w14:paraId="28D89624" w14:textId="20773044" w:rsidR="00DE54EA" w:rsidRPr="009E7E81" w:rsidRDefault="00DE54EA" w:rsidP="009E7E81">
      <w:pPr>
        <w:spacing w:after="240" w:line="360" w:lineRule="auto"/>
        <w:jc w:val="both"/>
        <w:rPr>
          <w:rFonts w:eastAsia="Times New Roman" w:cs="Times New Roman"/>
          <w:shd w:val="clear" w:color="auto" w:fill="FFFFFF"/>
        </w:rPr>
      </w:pPr>
      <w:r w:rsidRPr="009E7E81">
        <w:rPr>
          <w:rFonts w:eastAsia="Times New Roman" w:cs="Times New Roman"/>
          <w:shd w:val="clear" w:color="auto" w:fill="FFFFFF"/>
        </w:rPr>
        <w:t>O'Brien, C. (2011) ‘Case C-310/08 Ibrahim, Case C-480/08 Teixiera’ CML Rev 48(1) 203.</w:t>
      </w:r>
    </w:p>
    <w:p w14:paraId="041ECB1B" w14:textId="77777777" w:rsidR="00DE54EA" w:rsidRPr="009E7E81" w:rsidRDefault="00DE54EA" w:rsidP="009E7E81">
      <w:pPr>
        <w:spacing w:after="240" w:line="360" w:lineRule="auto"/>
        <w:jc w:val="both"/>
        <w:rPr>
          <w:rFonts w:eastAsia="Times New Roman" w:cs="Times New Roman"/>
        </w:rPr>
      </w:pPr>
      <w:r w:rsidRPr="009E7E81">
        <w:rPr>
          <w:rFonts w:eastAsia="Times New Roman" w:cs="Times New Roman"/>
          <w:shd w:val="clear" w:color="auto" w:fill="FFFFFF"/>
        </w:rPr>
        <w:t>O’Brien, C. (2008) ‘Real links, abstract rights and false alarms: the relationship between the ECJ’s ‘real link’ case law and national solidarity’ EL Rev 33(5) 643</w:t>
      </w:r>
    </w:p>
    <w:p w14:paraId="616BE327" w14:textId="442431C6" w:rsidR="0099451A" w:rsidRPr="009E7E81" w:rsidRDefault="0099451A" w:rsidP="009E7E81">
      <w:pPr>
        <w:spacing w:after="240" w:line="360" w:lineRule="auto"/>
        <w:jc w:val="both"/>
      </w:pPr>
      <w:r w:rsidRPr="009E7E81">
        <w:t xml:space="preserve">O’Leary, S ‘The past, the present and the future of the purely internal rule in EU law in Dougan, M. Nic Shuibhne, N. &amp; Spaventa, E. (eds) </w:t>
      </w:r>
      <w:r w:rsidRPr="009E7E81">
        <w:rPr>
          <w:i/>
        </w:rPr>
        <w:t>Empowerment and Disempowerment of the European Citizen</w:t>
      </w:r>
      <w:r w:rsidRPr="009E7E81">
        <w:t xml:space="preserve"> (Oxford: Hart). </w:t>
      </w:r>
    </w:p>
    <w:p w14:paraId="251BF17C" w14:textId="17836437" w:rsidR="00AB6214" w:rsidRPr="009E7E81" w:rsidRDefault="00AB6214" w:rsidP="009E7E81">
      <w:pPr>
        <w:spacing w:after="240" w:line="360" w:lineRule="auto"/>
        <w:jc w:val="both"/>
      </w:pPr>
      <w:r w:rsidRPr="009E7E81">
        <w:t>Nic Shuibhne, N</w:t>
      </w:r>
      <w:r w:rsidR="00DE54EA" w:rsidRPr="009E7E81">
        <w:t>.</w:t>
      </w:r>
      <w:r w:rsidRPr="009E7E81">
        <w:t xml:space="preserve"> (2011) ‘Seven questions for seven paragraphs’ EL Rev 36(2) 161</w:t>
      </w:r>
    </w:p>
    <w:p w14:paraId="7B2AE17B" w14:textId="3151E34B" w:rsidR="00671D4F" w:rsidRPr="009E7E81" w:rsidRDefault="00671D4F" w:rsidP="009E7E81">
      <w:pPr>
        <w:widowControl w:val="0"/>
        <w:autoSpaceDE w:val="0"/>
        <w:autoSpaceDN w:val="0"/>
        <w:adjustRightInd w:val="0"/>
        <w:spacing w:after="240" w:line="360" w:lineRule="auto"/>
        <w:jc w:val="both"/>
        <w:rPr>
          <w:rFonts w:cs="Times New Roman"/>
          <w:lang w:val="en-US"/>
        </w:rPr>
      </w:pPr>
      <w:r w:rsidRPr="009E7E81">
        <w:rPr>
          <w:rFonts w:cs="Times New Roman"/>
          <w:lang w:val="en-US"/>
        </w:rPr>
        <w:t>Reynolds, S. (2013) “Exploring the ‘intrinsic connection’ between free movement and the genuine enjoyment test: reflections on EU citizenship after Iida”, 38 EL Rev. 376.</w:t>
      </w:r>
    </w:p>
    <w:p w14:paraId="41BCAF4D" w14:textId="77777777" w:rsidR="00DE54EA" w:rsidRPr="009E7E81" w:rsidRDefault="00DE54EA" w:rsidP="009E7E81">
      <w:pPr>
        <w:spacing w:after="240" w:line="360" w:lineRule="auto"/>
        <w:jc w:val="both"/>
        <w:rPr>
          <w:rFonts w:eastAsia="Times New Roman" w:cs="Times New Roman"/>
        </w:rPr>
      </w:pPr>
      <w:r w:rsidRPr="009E7E81">
        <w:t>Shelter ‘</w:t>
      </w:r>
      <w:r w:rsidRPr="009E7E81">
        <w:rPr>
          <w:rFonts w:eastAsia="Times New Roman" w:cs="Times New Roman"/>
        </w:rPr>
        <w:t xml:space="preserve">Who are the 100,000 children who are homeless this Christmas?’ </w:t>
      </w:r>
      <w:r w:rsidRPr="009E7E81">
        <w:rPr>
          <w:i/>
        </w:rPr>
        <w:t xml:space="preserve">Christmas Research Report </w:t>
      </w:r>
      <w:r w:rsidRPr="009E7E81">
        <w:t xml:space="preserve"> 1 November 2015</w:t>
      </w:r>
    </w:p>
    <w:p w14:paraId="24461F98" w14:textId="6CB8CCFD" w:rsidR="00DE54EA" w:rsidRPr="00BB2651" w:rsidRDefault="00DB545A" w:rsidP="009E7E81">
      <w:pPr>
        <w:spacing w:after="240" w:line="360" w:lineRule="auto"/>
        <w:jc w:val="both"/>
        <w:rPr>
          <w:rFonts w:cs="Times New Roman"/>
          <w:lang w:val="en-US"/>
        </w:rPr>
      </w:pPr>
      <w:r w:rsidRPr="009E7E81">
        <w:rPr>
          <w:rFonts w:cs="Times New Roman"/>
          <w:lang w:val="en-US"/>
        </w:rPr>
        <w:t>Stalford, H &amp; O’Brien, C.  (forthcoming</w:t>
      </w:r>
      <w:r w:rsidR="00BB2651">
        <w:rPr>
          <w:rFonts w:cs="Times New Roman"/>
          <w:lang w:val="en-US"/>
        </w:rPr>
        <w:t>, 2017</w:t>
      </w:r>
      <w:r w:rsidRPr="009E7E81">
        <w:rPr>
          <w:rFonts w:cs="Times New Roman"/>
          <w:lang w:val="en-US"/>
        </w:rPr>
        <w:t>) ‘</w:t>
      </w:r>
      <w:r w:rsidRPr="009E7E81">
        <w:rPr>
          <w:rFonts w:cs="Times New Roman"/>
          <w:i/>
          <w:lang w:val="en-US"/>
        </w:rPr>
        <w:t>Ruiz Zambrano</w:t>
      </w:r>
      <w:r w:rsidRPr="009E7E81">
        <w:rPr>
          <w:rFonts w:cs="Times New Roman"/>
          <w:lang w:val="en-US"/>
        </w:rPr>
        <w:t xml:space="preserve">’ in </w:t>
      </w:r>
      <w:r w:rsidRPr="009E7E81">
        <w:rPr>
          <w:rFonts w:cs="Times New Roman"/>
          <w:i/>
          <w:lang w:val="en-US"/>
        </w:rPr>
        <w:t>The Children’s Rights Judgment Project</w:t>
      </w:r>
      <w:r w:rsidR="00BB2651">
        <w:rPr>
          <w:rFonts w:cs="Times New Roman"/>
          <w:lang w:val="en-US"/>
        </w:rPr>
        <w:t xml:space="preserve"> (Oxford: Hart)</w:t>
      </w:r>
    </w:p>
    <w:p w14:paraId="291ACB7E" w14:textId="3136DBE4" w:rsidR="00DE54EA" w:rsidRPr="009E7E81" w:rsidRDefault="00DE54EA" w:rsidP="009E7E81">
      <w:pPr>
        <w:spacing w:after="240" w:line="360" w:lineRule="auto"/>
        <w:jc w:val="both"/>
      </w:pPr>
      <w:r w:rsidRPr="009E7E81">
        <w:t>Starup, P. &amp; Elsemore, M. ‘</w:t>
      </w:r>
      <w:r w:rsidRPr="009E7E81">
        <w:rPr>
          <w:rFonts w:eastAsia="Times New Roman" w:cs="Times New Roman"/>
        </w:rPr>
        <w:t>Taking a logical step forward? Comment on Ibrahim and Teixeira’ EL Rev 35(4) 371</w:t>
      </w:r>
    </w:p>
    <w:p w14:paraId="7FDBCD4E" w14:textId="4AB27A4B" w:rsidR="0099451A" w:rsidRPr="009E7E81" w:rsidRDefault="0099451A" w:rsidP="009E7E81">
      <w:pPr>
        <w:spacing w:after="240" w:line="360" w:lineRule="auto"/>
        <w:jc w:val="both"/>
        <w:rPr>
          <w:rFonts w:eastAsia="Times New Roman" w:cs="Times New Roman"/>
        </w:rPr>
      </w:pPr>
      <w:r w:rsidRPr="009E7E81">
        <w:rPr>
          <w:rStyle w:val="personname"/>
          <w:rFonts w:eastAsia="Times New Roman" w:cs="Times New Roman"/>
          <w:bCs/>
          <w:shd w:val="clear" w:color="auto" w:fill="FFFFFF"/>
        </w:rPr>
        <w:t>Tryfonidou, A.</w:t>
      </w:r>
      <w:r w:rsidRPr="009E7E81">
        <w:rPr>
          <w:rStyle w:val="apple-converted-space"/>
          <w:rFonts w:eastAsia="Times New Roman" w:cs="Times New Roman"/>
          <w:shd w:val="clear" w:color="auto" w:fill="FFFFFF"/>
        </w:rPr>
        <w:t> </w:t>
      </w:r>
      <w:r w:rsidRPr="009E7E81">
        <w:rPr>
          <w:rFonts w:eastAsia="Times New Roman" w:cs="Times New Roman"/>
          <w:shd w:val="clear" w:color="auto" w:fill="FFFFFF"/>
        </w:rPr>
        <w:t>(2009)</w:t>
      </w:r>
      <w:r w:rsidRPr="009E7E81">
        <w:rPr>
          <w:rStyle w:val="apple-converted-space"/>
          <w:rFonts w:eastAsia="Times New Roman" w:cs="Times New Roman"/>
          <w:shd w:val="clear" w:color="auto" w:fill="FFFFFF"/>
        </w:rPr>
        <w:t> ‘</w:t>
      </w:r>
      <w:r w:rsidRPr="009E7E81">
        <w:rPr>
          <w:rFonts w:eastAsia="Times New Roman" w:cs="Times New Roman"/>
          <w:bCs/>
          <w:shd w:val="clear" w:color="auto" w:fill="FFFFFF"/>
        </w:rPr>
        <w:t>Purely internal situations and reverse discrimination in a Citizens' Europe: time to "reverse" reverse discrimination?’</w:t>
      </w:r>
      <w:r w:rsidRPr="009E7E81">
        <w:t> </w:t>
      </w:r>
      <w:r w:rsidRPr="009E7E81">
        <w:rPr>
          <w:rFonts w:eastAsia="Times New Roman" w:cs="Times New Roman"/>
          <w:shd w:val="clear" w:color="auto" w:fill="FFFFFF"/>
        </w:rPr>
        <w:t xml:space="preserve">in </w:t>
      </w:r>
      <w:r w:rsidRPr="009E7E81">
        <w:rPr>
          <w:rStyle w:val="personname"/>
          <w:rFonts w:eastAsia="Times New Roman" w:cs="Times New Roman"/>
          <w:shd w:val="clear" w:color="auto" w:fill="FFFFFF"/>
        </w:rPr>
        <w:t>Xuereb, P. G.</w:t>
      </w:r>
      <w:r w:rsidRPr="009E7E81">
        <w:rPr>
          <w:rStyle w:val="apple-converted-space"/>
          <w:rFonts w:eastAsia="Times New Roman" w:cs="Times New Roman"/>
          <w:shd w:val="clear" w:color="auto" w:fill="FFFFFF"/>
        </w:rPr>
        <w:t> </w:t>
      </w:r>
      <w:r w:rsidRPr="009E7E81">
        <w:rPr>
          <w:rFonts w:eastAsia="Times New Roman" w:cs="Times New Roman"/>
          <w:shd w:val="clear" w:color="auto" w:fill="FFFFFF"/>
        </w:rPr>
        <w:t xml:space="preserve">(ed.) </w:t>
      </w:r>
      <w:r w:rsidRPr="009E7E81">
        <w:rPr>
          <w:rFonts w:eastAsia="Times New Roman" w:cs="Times New Roman"/>
          <w:i/>
          <w:shd w:val="clear" w:color="auto" w:fill="FFFFFF"/>
        </w:rPr>
        <w:t>Issues in Social Policy: A New Agenda</w:t>
      </w:r>
      <w:r w:rsidRPr="009E7E81">
        <w:rPr>
          <w:rFonts w:eastAsia="Times New Roman" w:cs="Times New Roman"/>
          <w:shd w:val="clear" w:color="auto" w:fill="FFFFFF"/>
        </w:rPr>
        <w:t xml:space="preserve"> Jean Monnet Seminar Series (Progress Press, Valletta).</w:t>
      </w:r>
    </w:p>
    <w:p w14:paraId="2E94C35C" w14:textId="1B99A99A" w:rsidR="00B4781F" w:rsidRPr="009E7E81" w:rsidRDefault="009E7E81" w:rsidP="009E7E81">
      <w:pPr>
        <w:spacing w:after="240" w:line="360" w:lineRule="auto"/>
        <w:jc w:val="both"/>
        <w:rPr>
          <w:rFonts w:cs="Times New Roman"/>
          <w:b/>
          <w:lang w:val="en-US"/>
        </w:rPr>
      </w:pPr>
      <w:r w:rsidRPr="009E7E81">
        <w:rPr>
          <w:rFonts w:cs="Times New Roman"/>
          <w:b/>
          <w:lang w:val="en-US"/>
        </w:rPr>
        <w:t>Notes</w:t>
      </w:r>
    </w:p>
    <w:sectPr w:rsidR="00B4781F" w:rsidRPr="009E7E81" w:rsidSect="00526FE9">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F6C15" w14:textId="77777777" w:rsidR="00926172" w:rsidRDefault="00926172" w:rsidP="008D3C8C">
      <w:r>
        <w:separator/>
      </w:r>
    </w:p>
  </w:endnote>
  <w:endnote w:type="continuationSeparator" w:id="0">
    <w:p w14:paraId="35E26FFF" w14:textId="77777777" w:rsidR="00926172" w:rsidRDefault="00926172" w:rsidP="008D3C8C">
      <w:r>
        <w:continuationSeparator/>
      </w:r>
    </w:p>
  </w:endnote>
  <w:endnote w:id="1">
    <w:p w14:paraId="36DAD08F" w14:textId="6E27FEDC" w:rsidR="00926172" w:rsidRPr="009E7E81" w:rsidRDefault="00926172" w:rsidP="009E7E81">
      <w:pPr>
        <w:pStyle w:val="EndnoteText"/>
        <w:spacing w:line="360" w:lineRule="auto"/>
        <w:jc w:val="both"/>
        <w:rPr>
          <w:lang w:val="en-US"/>
        </w:rPr>
      </w:pPr>
      <w:r w:rsidRPr="009E7E81">
        <w:rPr>
          <w:rStyle w:val="EndnoteReference"/>
        </w:rPr>
        <w:endnoteRef/>
      </w:r>
      <w:r w:rsidRPr="009E7E81">
        <w:t xml:space="preserve">  </w:t>
      </w:r>
      <w:r w:rsidRPr="009E7E81">
        <w:rPr>
          <w:rFonts w:eastAsia="Times New Roman" w:cs="Times New Roman"/>
        </w:rPr>
        <w:t xml:space="preserve">The Social Security (Habitual Residence)(Amendment) Regulations 2012 S.I. 2587 and </w:t>
      </w:r>
      <w:r w:rsidRPr="009E7E81">
        <w:rPr>
          <w:rFonts w:cs="Times New Roman"/>
          <w:lang w:val="en-US"/>
        </w:rPr>
        <w:t>the child benefit and child tax credit (miscellaneous amendments) regulations 2012 S.I. 2612.</w:t>
      </w:r>
    </w:p>
  </w:endnote>
  <w:endnote w:id="2">
    <w:p w14:paraId="643C0E9F" w14:textId="77777777" w:rsidR="00926172" w:rsidRPr="009E7E81" w:rsidRDefault="00926172" w:rsidP="009E7E81">
      <w:pPr>
        <w:pStyle w:val="EndnoteText"/>
        <w:spacing w:line="360" w:lineRule="auto"/>
        <w:jc w:val="both"/>
      </w:pPr>
      <w:r w:rsidRPr="009E7E81">
        <w:rPr>
          <w:rStyle w:val="EndnoteReference"/>
        </w:rPr>
        <w:endnoteRef/>
      </w:r>
      <w:r w:rsidRPr="009E7E81">
        <w:t xml:space="preserve"> The Immigration (European Economic Area) (Amendment)</w:t>
      </w:r>
    </w:p>
    <w:p w14:paraId="4134C1E1" w14:textId="72557429" w:rsidR="00926172" w:rsidRPr="009E7E81" w:rsidRDefault="00926172" w:rsidP="009E7E81">
      <w:pPr>
        <w:pStyle w:val="EndnoteText"/>
        <w:spacing w:line="360" w:lineRule="auto"/>
        <w:jc w:val="both"/>
        <w:rPr>
          <w:lang w:val="en-US"/>
        </w:rPr>
      </w:pPr>
      <w:r w:rsidRPr="009E7E81">
        <w:t>Regulations 2012 SI No 1547</w:t>
      </w:r>
    </w:p>
  </w:endnote>
  <w:endnote w:id="3">
    <w:p w14:paraId="1B131158" w14:textId="4287CC16" w:rsidR="00926172" w:rsidRPr="009E7E81" w:rsidRDefault="00926172" w:rsidP="009E7E81">
      <w:pPr>
        <w:widowControl w:val="0"/>
        <w:autoSpaceDE w:val="0"/>
        <w:autoSpaceDN w:val="0"/>
        <w:adjustRightInd w:val="0"/>
        <w:spacing w:line="360" w:lineRule="auto"/>
        <w:jc w:val="both"/>
        <w:rPr>
          <w:rFonts w:eastAsia="Times New Roman" w:cs="Times New Roman"/>
        </w:rPr>
      </w:pPr>
      <w:r w:rsidRPr="009E7E81">
        <w:rPr>
          <w:rStyle w:val="EndnoteReference"/>
        </w:rPr>
        <w:endnoteRef/>
      </w:r>
      <w:r w:rsidRPr="009E7E81">
        <w:t xml:space="preserve"> </w:t>
      </w:r>
      <w:r w:rsidRPr="009E7E81">
        <w:rPr>
          <w:rFonts w:eastAsia="Times New Roman" w:cs="Times New Roman"/>
        </w:rPr>
        <w:t xml:space="preserve">The Social Security (Habitual Residence)(Amendment) Regulations 2012 S.I. 2587 and </w:t>
      </w:r>
      <w:r w:rsidRPr="009E7E81">
        <w:rPr>
          <w:rFonts w:cs="Times New Roman"/>
          <w:lang w:val="en-US"/>
        </w:rPr>
        <w:t>the child benefit and child tax credit (miscellaneous amendments) regulations 2012 S.I. 2612</w:t>
      </w:r>
    </w:p>
  </w:endnote>
  <w:endnote w:id="4">
    <w:p w14:paraId="3DCA1EDC" w14:textId="77777777" w:rsidR="00926172" w:rsidRPr="009E7E81" w:rsidRDefault="00926172" w:rsidP="009E7E81">
      <w:pPr>
        <w:spacing w:line="360" w:lineRule="auto"/>
        <w:jc w:val="both"/>
        <w:rPr>
          <w:rFonts w:cs="Times New Roman"/>
          <w:lang w:val="en-US"/>
        </w:rPr>
      </w:pPr>
      <w:r w:rsidRPr="009E7E81">
        <w:rPr>
          <w:rStyle w:val="EndnoteReference"/>
        </w:rPr>
        <w:endnoteRef/>
      </w:r>
      <w:r w:rsidRPr="009E7E81">
        <w:t xml:space="preserve"> </w:t>
      </w:r>
      <w:r w:rsidRPr="009E7E81">
        <w:rPr>
          <w:rFonts w:cs="Times New Roman"/>
          <w:lang w:val="en-US"/>
        </w:rPr>
        <w:t>Regulation 6 of the Allocation of Housing and Homelessness (Eligibility) (England) Regulations 2006, as amended, states:</w:t>
      </w:r>
    </w:p>
    <w:p w14:paraId="66CBF894" w14:textId="77777777" w:rsidR="00926172" w:rsidRPr="009E7E81" w:rsidRDefault="00926172" w:rsidP="009E7E81">
      <w:pPr>
        <w:pStyle w:val="NormalWeb"/>
        <w:shd w:val="clear" w:color="auto" w:fill="FFFFFF"/>
        <w:spacing w:before="0" w:beforeAutospacing="0" w:after="0" w:afterAutospacing="0" w:line="360" w:lineRule="auto"/>
        <w:jc w:val="both"/>
        <w:rPr>
          <w:rFonts w:asciiTheme="minorHAnsi" w:hAnsiTheme="minorHAnsi"/>
          <w:sz w:val="24"/>
          <w:szCs w:val="24"/>
        </w:rPr>
      </w:pPr>
      <w:r w:rsidRPr="009E7E81">
        <w:rPr>
          <w:rFonts w:asciiTheme="minorHAnsi" w:hAnsiTheme="minorHAnsi"/>
          <w:sz w:val="24"/>
          <w:szCs w:val="24"/>
        </w:rPr>
        <w:t>‘(1) A person who is not subject to immigration control is to be treated as a person from abroad who is ineligible for housing assistance under</w:t>
      </w:r>
      <w:r w:rsidRPr="009E7E81">
        <w:rPr>
          <w:rStyle w:val="apple-converted-space"/>
          <w:rFonts w:asciiTheme="minorHAnsi" w:hAnsiTheme="minorHAnsi"/>
          <w:sz w:val="24"/>
          <w:szCs w:val="24"/>
        </w:rPr>
        <w:t> </w:t>
      </w:r>
      <w:hyperlink r:id="rId1" w:history="1">
        <w:r w:rsidRPr="009E7E81">
          <w:rPr>
            <w:rStyle w:val="Hyperlink"/>
            <w:rFonts w:asciiTheme="minorHAnsi" w:hAnsiTheme="minorHAnsi"/>
            <w:color w:val="auto"/>
            <w:sz w:val="24"/>
            <w:szCs w:val="24"/>
          </w:rPr>
          <w:t>Part 7</w:t>
        </w:r>
      </w:hyperlink>
      <w:r w:rsidRPr="009E7E81">
        <w:rPr>
          <w:rStyle w:val="apple-converted-space"/>
          <w:rFonts w:asciiTheme="minorHAnsi" w:hAnsiTheme="minorHAnsi"/>
          <w:sz w:val="24"/>
          <w:szCs w:val="24"/>
        </w:rPr>
        <w:t> </w:t>
      </w:r>
      <w:r w:rsidRPr="009E7E81">
        <w:rPr>
          <w:rFonts w:asciiTheme="minorHAnsi" w:hAnsiTheme="minorHAnsi"/>
          <w:sz w:val="24"/>
          <w:szCs w:val="24"/>
        </w:rPr>
        <w:t>of the 1996 Act if—</w:t>
      </w:r>
    </w:p>
    <w:p w14:paraId="3A0C290C" w14:textId="77777777" w:rsidR="00926172" w:rsidRPr="009E7E81" w:rsidRDefault="00926172" w:rsidP="009E7E81">
      <w:pPr>
        <w:pStyle w:val="NormalWeb"/>
        <w:shd w:val="clear" w:color="auto" w:fill="FFFFFF"/>
        <w:spacing w:before="0" w:beforeAutospacing="0" w:after="0" w:afterAutospacing="0" w:line="360" w:lineRule="auto"/>
        <w:jc w:val="both"/>
        <w:rPr>
          <w:rFonts w:asciiTheme="minorHAnsi" w:hAnsiTheme="minorHAnsi"/>
          <w:sz w:val="24"/>
          <w:szCs w:val="24"/>
        </w:rPr>
      </w:pPr>
      <w:r w:rsidRPr="009E7E81">
        <w:rPr>
          <w:rFonts w:asciiTheme="minorHAnsi" w:hAnsiTheme="minorHAnsi"/>
          <w:sz w:val="24"/>
          <w:szCs w:val="24"/>
        </w:rPr>
        <w:t>…</w:t>
      </w:r>
    </w:p>
    <w:p w14:paraId="7F8F7EAF" w14:textId="77777777" w:rsidR="00926172" w:rsidRPr="009E7E81" w:rsidRDefault="00926172" w:rsidP="009E7E81">
      <w:pPr>
        <w:pStyle w:val="NormalWeb"/>
        <w:shd w:val="clear" w:color="auto" w:fill="FFFFFF"/>
        <w:spacing w:before="0" w:beforeAutospacing="0" w:after="0" w:afterAutospacing="0" w:line="360" w:lineRule="auto"/>
        <w:jc w:val="both"/>
        <w:rPr>
          <w:rFonts w:asciiTheme="minorHAnsi" w:hAnsiTheme="minorHAnsi"/>
          <w:sz w:val="24"/>
          <w:szCs w:val="24"/>
        </w:rPr>
      </w:pPr>
      <w:r w:rsidRPr="009E7E81">
        <w:rPr>
          <w:rFonts w:asciiTheme="minorHAnsi" w:hAnsiTheme="minorHAnsi"/>
          <w:sz w:val="24"/>
          <w:szCs w:val="24"/>
        </w:rPr>
        <w:t>(b) his only right to reside in the United Kingdom—</w:t>
      </w:r>
    </w:p>
    <w:p w14:paraId="3EFBEACC" w14:textId="77777777" w:rsidR="00926172" w:rsidRPr="009E7E81" w:rsidRDefault="00926172" w:rsidP="009E7E81">
      <w:pPr>
        <w:pStyle w:val="NormalWeb"/>
        <w:shd w:val="clear" w:color="auto" w:fill="FFFFFF"/>
        <w:spacing w:before="0" w:beforeAutospacing="0" w:after="0" w:afterAutospacing="0" w:line="360" w:lineRule="auto"/>
        <w:jc w:val="both"/>
        <w:rPr>
          <w:rFonts w:asciiTheme="minorHAnsi" w:hAnsiTheme="minorHAnsi"/>
          <w:sz w:val="24"/>
          <w:szCs w:val="24"/>
        </w:rPr>
      </w:pPr>
      <w:r w:rsidRPr="009E7E81">
        <w:rPr>
          <w:rFonts w:asciiTheme="minorHAnsi" w:hAnsiTheme="minorHAnsi"/>
          <w:sz w:val="24"/>
          <w:szCs w:val="24"/>
        </w:rPr>
        <w:t>…</w:t>
      </w:r>
    </w:p>
    <w:p w14:paraId="616B6B40" w14:textId="77777777" w:rsidR="00926172" w:rsidRPr="009E7E81" w:rsidRDefault="00926172" w:rsidP="009E7E81">
      <w:pPr>
        <w:pStyle w:val="NormalWeb"/>
        <w:shd w:val="clear" w:color="auto" w:fill="FFFFFF"/>
        <w:spacing w:before="0" w:beforeAutospacing="0" w:after="0" w:afterAutospacing="0" w:line="360" w:lineRule="auto"/>
        <w:jc w:val="both"/>
        <w:rPr>
          <w:rFonts w:asciiTheme="minorHAnsi" w:hAnsiTheme="minorHAnsi"/>
          <w:sz w:val="24"/>
          <w:szCs w:val="24"/>
        </w:rPr>
      </w:pPr>
      <w:r w:rsidRPr="009E7E81">
        <w:rPr>
          <w:rFonts w:asciiTheme="minorHAnsi" w:hAnsiTheme="minorHAnsi"/>
          <w:sz w:val="24"/>
          <w:szCs w:val="24"/>
        </w:rPr>
        <w:t>(iv) is derived from Article 20 of the Treaty on the Functioning of the European Union in a case where the right to reside arises because a British citizen would otherwise be deprived of the genuine enjoyment of the substance of the rights attaching to the status of European Union citizen’.</w:t>
      </w:r>
    </w:p>
    <w:p w14:paraId="70FE599A" w14:textId="77777777" w:rsidR="00926172" w:rsidRPr="009744EA" w:rsidRDefault="00926172" w:rsidP="00C93A42">
      <w:pPr>
        <w:pStyle w:val="NormalWeb"/>
        <w:shd w:val="clear" w:color="auto" w:fill="FFFFFF"/>
        <w:spacing w:before="0" w:beforeAutospacing="0" w:after="0" w:afterAutospacing="0"/>
        <w:jc w:val="both"/>
        <w:rPr>
          <w:rFonts w:asciiTheme="minorHAnsi" w:hAnsiTheme="minorHAnsi"/>
          <w:sz w:val="24"/>
          <w:szCs w:val="24"/>
        </w:rPr>
      </w:pPr>
    </w:p>
    <w:p w14:paraId="68C0639A" w14:textId="77777777" w:rsidR="00926172" w:rsidRPr="00FF6F12" w:rsidRDefault="00926172" w:rsidP="00C93A42">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4A5A9" w14:textId="77777777" w:rsidR="00926172" w:rsidRDefault="00926172" w:rsidP="00C72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6FEAA" w14:textId="77777777" w:rsidR="00926172" w:rsidRDefault="00926172" w:rsidP="005E520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D3462" w14:textId="77777777" w:rsidR="00926172" w:rsidRDefault="00926172" w:rsidP="00C72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714C">
      <w:rPr>
        <w:rStyle w:val="PageNumber"/>
        <w:noProof/>
      </w:rPr>
      <w:t>2</w:t>
    </w:r>
    <w:r>
      <w:rPr>
        <w:rStyle w:val="PageNumber"/>
      </w:rPr>
      <w:fldChar w:fldCharType="end"/>
    </w:r>
  </w:p>
  <w:p w14:paraId="6B26B366" w14:textId="77777777" w:rsidR="00926172" w:rsidRDefault="00926172" w:rsidP="005E520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8F9BC" w14:textId="77777777" w:rsidR="00926172" w:rsidRDefault="00926172" w:rsidP="008D3C8C">
      <w:r>
        <w:separator/>
      </w:r>
    </w:p>
  </w:footnote>
  <w:footnote w:type="continuationSeparator" w:id="0">
    <w:p w14:paraId="7FBC8A90" w14:textId="77777777" w:rsidR="00926172" w:rsidRDefault="00926172" w:rsidP="008D3C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8002A"/>
    <w:multiLevelType w:val="multilevel"/>
    <w:tmpl w:val="6D1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2D5A63"/>
    <w:multiLevelType w:val="multilevel"/>
    <w:tmpl w:val="3FC6D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296321"/>
    <w:multiLevelType w:val="multilevel"/>
    <w:tmpl w:val="6D1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F11A57"/>
    <w:multiLevelType w:val="multilevel"/>
    <w:tmpl w:val="3FC6D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96"/>
    </w:lvlOverride>
  </w:num>
  <w:num w:numId="2">
    <w:abstractNumId w:val="1"/>
  </w:num>
  <w:num w:numId="3">
    <w:abstractNumId w:val="2"/>
    <w:lvlOverride w:ilvl="0">
      <w:startOverride w:val="90"/>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C8C"/>
    <w:rsid w:val="0000178D"/>
    <w:rsid w:val="00011C5C"/>
    <w:rsid w:val="000561C9"/>
    <w:rsid w:val="00067038"/>
    <w:rsid w:val="000716AF"/>
    <w:rsid w:val="00097462"/>
    <w:rsid w:val="000C6841"/>
    <w:rsid w:val="000F22C8"/>
    <w:rsid w:val="00122849"/>
    <w:rsid w:val="00133D6A"/>
    <w:rsid w:val="001623A5"/>
    <w:rsid w:val="001A441F"/>
    <w:rsid w:val="001B5E52"/>
    <w:rsid w:val="001C4499"/>
    <w:rsid w:val="001C7033"/>
    <w:rsid w:val="001D3557"/>
    <w:rsid w:val="001D4888"/>
    <w:rsid w:val="001D5EED"/>
    <w:rsid w:val="002131B2"/>
    <w:rsid w:val="00231D7C"/>
    <w:rsid w:val="002470FC"/>
    <w:rsid w:val="00262A27"/>
    <w:rsid w:val="002750A5"/>
    <w:rsid w:val="002838D5"/>
    <w:rsid w:val="002B7BF0"/>
    <w:rsid w:val="002D25BE"/>
    <w:rsid w:val="002D6696"/>
    <w:rsid w:val="002F1CFC"/>
    <w:rsid w:val="002F25D5"/>
    <w:rsid w:val="002F2954"/>
    <w:rsid w:val="00305E92"/>
    <w:rsid w:val="003104C3"/>
    <w:rsid w:val="00317712"/>
    <w:rsid w:val="00324563"/>
    <w:rsid w:val="0033452D"/>
    <w:rsid w:val="00345E46"/>
    <w:rsid w:val="00361781"/>
    <w:rsid w:val="003723F0"/>
    <w:rsid w:val="00383508"/>
    <w:rsid w:val="003A6DBE"/>
    <w:rsid w:val="003A714C"/>
    <w:rsid w:val="003B30A2"/>
    <w:rsid w:val="003C0F4E"/>
    <w:rsid w:val="003E747A"/>
    <w:rsid w:val="003E77D5"/>
    <w:rsid w:val="003F1222"/>
    <w:rsid w:val="003F3F17"/>
    <w:rsid w:val="003F6267"/>
    <w:rsid w:val="003F75EA"/>
    <w:rsid w:val="0040527C"/>
    <w:rsid w:val="00410F94"/>
    <w:rsid w:val="00420A58"/>
    <w:rsid w:val="00422E20"/>
    <w:rsid w:val="00433E2E"/>
    <w:rsid w:val="00441847"/>
    <w:rsid w:val="004608D8"/>
    <w:rsid w:val="00466244"/>
    <w:rsid w:val="00477518"/>
    <w:rsid w:val="004944E4"/>
    <w:rsid w:val="004B3014"/>
    <w:rsid w:val="004B552C"/>
    <w:rsid w:val="004D3AE0"/>
    <w:rsid w:val="00501EDB"/>
    <w:rsid w:val="00505226"/>
    <w:rsid w:val="00505798"/>
    <w:rsid w:val="0050581C"/>
    <w:rsid w:val="00511A72"/>
    <w:rsid w:val="00526FE9"/>
    <w:rsid w:val="00560963"/>
    <w:rsid w:val="005A4055"/>
    <w:rsid w:val="005A67CB"/>
    <w:rsid w:val="005B4700"/>
    <w:rsid w:val="005D68F6"/>
    <w:rsid w:val="005E371F"/>
    <w:rsid w:val="005E3899"/>
    <w:rsid w:val="005E42FC"/>
    <w:rsid w:val="005E5208"/>
    <w:rsid w:val="00605C5E"/>
    <w:rsid w:val="00625D94"/>
    <w:rsid w:val="006506E4"/>
    <w:rsid w:val="00660F80"/>
    <w:rsid w:val="0066161E"/>
    <w:rsid w:val="00671D4F"/>
    <w:rsid w:val="00684CE6"/>
    <w:rsid w:val="006A4331"/>
    <w:rsid w:val="006A5DCA"/>
    <w:rsid w:val="006B51AF"/>
    <w:rsid w:val="006C1EC0"/>
    <w:rsid w:val="006E2DE0"/>
    <w:rsid w:val="006F5ECD"/>
    <w:rsid w:val="006F63F7"/>
    <w:rsid w:val="00712DD8"/>
    <w:rsid w:val="007317E4"/>
    <w:rsid w:val="00733924"/>
    <w:rsid w:val="007376BB"/>
    <w:rsid w:val="007407E5"/>
    <w:rsid w:val="0075322C"/>
    <w:rsid w:val="00772A7E"/>
    <w:rsid w:val="0077787E"/>
    <w:rsid w:val="00786ECA"/>
    <w:rsid w:val="007B043F"/>
    <w:rsid w:val="007B7A94"/>
    <w:rsid w:val="007C6ADF"/>
    <w:rsid w:val="007D4883"/>
    <w:rsid w:val="007E0F17"/>
    <w:rsid w:val="008124AB"/>
    <w:rsid w:val="00817E2E"/>
    <w:rsid w:val="008271F5"/>
    <w:rsid w:val="00870982"/>
    <w:rsid w:val="00874CDE"/>
    <w:rsid w:val="00874D0E"/>
    <w:rsid w:val="00882AB8"/>
    <w:rsid w:val="00886864"/>
    <w:rsid w:val="008C10C4"/>
    <w:rsid w:val="008C78DE"/>
    <w:rsid w:val="008D3C8C"/>
    <w:rsid w:val="008E60A7"/>
    <w:rsid w:val="008E6D21"/>
    <w:rsid w:val="008F293B"/>
    <w:rsid w:val="00904A6E"/>
    <w:rsid w:val="00926172"/>
    <w:rsid w:val="00927F7E"/>
    <w:rsid w:val="0093724B"/>
    <w:rsid w:val="009411BD"/>
    <w:rsid w:val="0094630E"/>
    <w:rsid w:val="00964BEA"/>
    <w:rsid w:val="00971312"/>
    <w:rsid w:val="009744EA"/>
    <w:rsid w:val="00974717"/>
    <w:rsid w:val="00976000"/>
    <w:rsid w:val="0099451A"/>
    <w:rsid w:val="009E09D8"/>
    <w:rsid w:val="009E7E81"/>
    <w:rsid w:val="009F3C02"/>
    <w:rsid w:val="00A024BF"/>
    <w:rsid w:val="00A21DFF"/>
    <w:rsid w:val="00A25A71"/>
    <w:rsid w:val="00A91BC1"/>
    <w:rsid w:val="00AA2F77"/>
    <w:rsid w:val="00AB6214"/>
    <w:rsid w:val="00AC673C"/>
    <w:rsid w:val="00AC6B14"/>
    <w:rsid w:val="00AD1B80"/>
    <w:rsid w:val="00AF3AC6"/>
    <w:rsid w:val="00B42BB6"/>
    <w:rsid w:val="00B4781F"/>
    <w:rsid w:val="00B5659B"/>
    <w:rsid w:val="00B56BEE"/>
    <w:rsid w:val="00B808EE"/>
    <w:rsid w:val="00B875B6"/>
    <w:rsid w:val="00B96B1D"/>
    <w:rsid w:val="00BA1B9D"/>
    <w:rsid w:val="00BB2651"/>
    <w:rsid w:val="00BD08FA"/>
    <w:rsid w:val="00BE58D0"/>
    <w:rsid w:val="00C07E82"/>
    <w:rsid w:val="00C12D83"/>
    <w:rsid w:val="00C40E5B"/>
    <w:rsid w:val="00C47831"/>
    <w:rsid w:val="00C53712"/>
    <w:rsid w:val="00C70ADC"/>
    <w:rsid w:val="00C720A2"/>
    <w:rsid w:val="00C75FF7"/>
    <w:rsid w:val="00C93A42"/>
    <w:rsid w:val="00C960FE"/>
    <w:rsid w:val="00CB0BD8"/>
    <w:rsid w:val="00CB2A2B"/>
    <w:rsid w:val="00CD2CD9"/>
    <w:rsid w:val="00CF3BAA"/>
    <w:rsid w:val="00D009B4"/>
    <w:rsid w:val="00D27F6A"/>
    <w:rsid w:val="00D31B65"/>
    <w:rsid w:val="00D53B22"/>
    <w:rsid w:val="00D65BA6"/>
    <w:rsid w:val="00D72E6E"/>
    <w:rsid w:val="00D811B7"/>
    <w:rsid w:val="00DA6BF5"/>
    <w:rsid w:val="00DB545A"/>
    <w:rsid w:val="00DD7DC7"/>
    <w:rsid w:val="00DE3FDD"/>
    <w:rsid w:val="00DE54EA"/>
    <w:rsid w:val="00E05C53"/>
    <w:rsid w:val="00E22441"/>
    <w:rsid w:val="00E23B1F"/>
    <w:rsid w:val="00E3387A"/>
    <w:rsid w:val="00E45454"/>
    <w:rsid w:val="00E52A4D"/>
    <w:rsid w:val="00E6576B"/>
    <w:rsid w:val="00E83EB8"/>
    <w:rsid w:val="00E90972"/>
    <w:rsid w:val="00E975EF"/>
    <w:rsid w:val="00F03376"/>
    <w:rsid w:val="00F0525E"/>
    <w:rsid w:val="00F14B76"/>
    <w:rsid w:val="00F31525"/>
    <w:rsid w:val="00F634A1"/>
    <w:rsid w:val="00F647B4"/>
    <w:rsid w:val="00F96BFF"/>
    <w:rsid w:val="00FB4678"/>
    <w:rsid w:val="00FF6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7D6B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C8C"/>
    <w:rPr>
      <w:lang w:val="en-GB"/>
    </w:rPr>
  </w:style>
  <w:style w:type="paragraph" w:styleId="Heading2">
    <w:name w:val="heading 2"/>
    <w:basedOn w:val="Normal"/>
    <w:next w:val="Normal"/>
    <w:link w:val="Heading2Char"/>
    <w:uiPriority w:val="9"/>
    <w:semiHidden/>
    <w:unhideWhenUsed/>
    <w:qFormat/>
    <w:rsid w:val="00DB54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5E9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05E92"/>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3C8C"/>
  </w:style>
  <w:style w:type="character" w:styleId="Hyperlink">
    <w:name w:val="Hyperlink"/>
    <w:basedOn w:val="DefaultParagraphFont"/>
    <w:uiPriority w:val="99"/>
    <w:unhideWhenUsed/>
    <w:rsid w:val="008D3C8C"/>
    <w:rPr>
      <w:color w:val="0000FF"/>
      <w:u w:val="single"/>
    </w:rPr>
  </w:style>
  <w:style w:type="paragraph" w:styleId="FootnoteText">
    <w:name w:val="footnote text"/>
    <w:basedOn w:val="Normal"/>
    <w:link w:val="FootnoteTextChar"/>
    <w:uiPriority w:val="99"/>
    <w:unhideWhenUsed/>
    <w:rsid w:val="008D3C8C"/>
  </w:style>
  <w:style w:type="character" w:customStyle="1" w:styleId="FootnoteTextChar">
    <w:name w:val="Footnote Text Char"/>
    <w:basedOn w:val="DefaultParagraphFont"/>
    <w:link w:val="FootnoteText"/>
    <w:uiPriority w:val="99"/>
    <w:rsid w:val="008D3C8C"/>
    <w:rPr>
      <w:lang w:val="en-GB"/>
    </w:rPr>
  </w:style>
  <w:style w:type="character" w:styleId="FootnoteReference">
    <w:name w:val="footnote reference"/>
    <w:basedOn w:val="DefaultParagraphFont"/>
    <w:uiPriority w:val="99"/>
    <w:unhideWhenUsed/>
    <w:rsid w:val="008D3C8C"/>
    <w:rPr>
      <w:vertAlign w:val="superscript"/>
    </w:rPr>
  </w:style>
  <w:style w:type="paragraph" w:styleId="NormalWeb">
    <w:name w:val="Normal (Web)"/>
    <w:basedOn w:val="Normal"/>
    <w:uiPriority w:val="99"/>
    <w:unhideWhenUsed/>
    <w:rsid w:val="008D3C8C"/>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C6ADF"/>
    <w:rPr>
      <w:b/>
      <w:bCs/>
    </w:rPr>
  </w:style>
  <w:style w:type="character" w:customStyle="1" w:styleId="Heading4Char">
    <w:name w:val="Heading 4 Char"/>
    <w:basedOn w:val="DefaultParagraphFont"/>
    <w:link w:val="Heading4"/>
    <w:uiPriority w:val="9"/>
    <w:rsid w:val="00305E92"/>
    <w:rPr>
      <w:rFonts w:ascii="Times" w:hAnsi="Times"/>
      <w:b/>
      <w:bCs/>
      <w:lang w:val="en-GB"/>
    </w:rPr>
  </w:style>
  <w:style w:type="character" w:customStyle="1" w:styleId="Heading3Char">
    <w:name w:val="Heading 3 Char"/>
    <w:basedOn w:val="DefaultParagraphFont"/>
    <w:link w:val="Heading3"/>
    <w:uiPriority w:val="9"/>
    <w:semiHidden/>
    <w:rsid w:val="00305E92"/>
    <w:rPr>
      <w:rFonts w:asciiTheme="majorHAnsi" w:eastAsiaTheme="majorEastAsia" w:hAnsiTheme="majorHAnsi" w:cstheme="majorBidi"/>
      <w:b/>
      <w:bCs/>
      <w:color w:val="4F81BD" w:themeColor="accent1"/>
      <w:lang w:val="en-GB"/>
    </w:rPr>
  </w:style>
  <w:style w:type="paragraph" w:styleId="EndnoteText">
    <w:name w:val="endnote text"/>
    <w:basedOn w:val="Normal"/>
    <w:link w:val="EndnoteTextChar"/>
    <w:uiPriority w:val="99"/>
    <w:unhideWhenUsed/>
    <w:rsid w:val="00F03376"/>
  </w:style>
  <w:style w:type="character" w:customStyle="1" w:styleId="EndnoteTextChar">
    <w:name w:val="Endnote Text Char"/>
    <w:basedOn w:val="DefaultParagraphFont"/>
    <w:link w:val="EndnoteText"/>
    <w:uiPriority w:val="99"/>
    <w:rsid w:val="00F03376"/>
    <w:rPr>
      <w:lang w:val="en-GB"/>
    </w:rPr>
  </w:style>
  <w:style w:type="character" w:styleId="EndnoteReference">
    <w:name w:val="endnote reference"/>
    <w:basedOn w:val="DefaultParagraphFont"/>
    <w:uiPriority w:val="99"/>
    <w:unhideWhenUsed/>
    <w:rsid w:val="00F03376"/>
    <w:rPr>
      <w:vertAlign w:val="superscript"/>
    </w:rPr>
  </w:style>
  <w:style w:type="paragraph" w:styleId="Footer">
    <w:name w:val="footer"/>
    <w:basedOn w:val="Normal"/>
    <w:link w:val="FooterChar"/>
    <w:uiPriority w:val="99"/>
    <w:unhideWhenUsed/>
    <w:rsid w:val="005E5208"/>
    <w:pPr>
      <w:tabs>
        <w:tab w:val="center" w:pos="4320"/>
        <w:tab w:val="right" w:pos="8640"/>
      </w:tabs>
    </w:pPr>
  </w:style>
  <w:style w:type="character" w:customStyle="1" w:styleId="FooterChar">
    <w:name w:val="Footer Char"/>
    <w:basedOn w:val="DefaultParagraphFont"/>
    <w:link w:val="Footer"/>
    <w:uiPriority w:val="99"/>
    <w:rsid w:val="005E5208"/>
    <w:rPr>
      <w:lang w:val="en-GB"/>
    </w:rPr>
  </w:style>
  <w:style w:type="character" w:styleId="PageNumber">
    <w:name w:val="page number"/>
    <w:basedOn w:val="DefaultParagraphFont"/>
    <w:uiPriority w:val="99"/>
    <w:semiHidden/>
    <w:unhideWhenUsed/>
    <w:rsid w:val="005E5208"/>
  </w:style>
  <w:style w:type="character" w:customStyle="1" w:styleId="Heading2Char">
    <w:name w:val="Heading 2 Char"/>
    <w:basedOn w:val="DefaultParagraphFont"/>
    <w:link w:val="Heading2"/>
    <w:uiPriority w:val="9"/>
    <w:semiHidden/>
    <w:rsid w:val="00DB545A"/>
    <w:rPr>
      <w:rFonts w:asciiTheme="majorHAnsi" w:eastAsiaTheme="majorEastAsia" w:hAnsiTheme="majorHAnsi" w:cstheme="majorBidi"/>
      <w:b/>
      <w:bCs/>
      <w:color w:val="4F81BD" w:themeColor="accent1"/>
      <w:sz w:val="26"/>
      <w:szCs w:val="26"/>
      <w:lang w:val="en-GB"/>
    </w:rPr>
  </w:style>
  <w:style w:type="character" w:customStyle="1" w:styleId="readingname49edb09977f73dd81f8e99448dc2abba">
    <w:name w:val="reading_name_49edb09977f73dd81f8e99448dc2abba"/>
    <w:basedOn w:val="DefaultParagraphFont"/>
    <w:rsid w:val="0099451A"/>
  </w:style>
  <w:style w:type="character" w:customStyle="1" w:styleId="personname">
    <w:name w:val="person_name"/>
    <w:basedOn w:val="DefaultParagraphFont"/>
    <w:rsid w:val="0099451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C8C"/>
    <w:rPr>
      <w:lang w:val="en-GB"/>
    </w:rPr>
  </w:style>
  <w:style w:type="paragraph" w:styleId="Heading2">
    <w:name w:val="heading 2"/>
    <w:basedOn w:val="Normal"/>
    <w:next w:val="Normal"/>
    <w:link w:val="Heading2Char"/>
    <w:uiPriority w:val="9"/>
    <w:semiHidden/>
    <w:unhideWhenUsed/>
    <w:qFormat/>
    <w:rsid w:val="00DB54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5E9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05E92"/>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3C8C"/>
  </w:style>
  <w:style w:type="character" w:styleId="Hyperlink">
    <w:name w:val="Hyperlink"/>
    <w:basedOn w:val="DefaultParagraphFont"/>
    <w:uiPriority w:val="99"/>
    <w:unhideWhenUsed/>
    <w:rsid w:val="008D3C8C"/>
    <w:rPr>
      <w:color w:val="0000FF"/>
      <w:u w:val="single"/>
    </w:rPr>
  </w:style>
  <w:style w:type="paragraph" w:styleId="FootnoteText">
    <w:name w:val="footnote text"/>
    <w:basedOn w:val="Normal"/>
    <w:link w:val="FootnoteTextChar"/>
    <w:uiPriority w:val="99"/>
    <w:unhideWhenUsed/>
    <w:rsid w:val="008D3C8C"/>
  </w:style>
  <w:style w:type="character" w:customStyle="1" w:styleId="FootnoteTextChar">
    <w:name w:val="Footnote Text Char"/>
    <w:basedOn w:val="DefaultParagraphFont"/>
    <w:link w:val="FootnoteText"/>
    <w:uiPriority w:val="99"/>
    <w:rsid w:val="008D3C8C"/>
    <w:rPr>
      <w:lang w:val="en-GB"/>
    </w:rPr>
  </w:style>
  <w:style w:type="character" w:styleId="FootnoteReference">
    <w:name w:val="footnote reference"/>
    <w:basedOn w:val="DefaultParagraphFont"/>
    <w:uiPriority w:val="99"/>
    <w:unhideWhenUsed/>
    <w:rsid w:val="008D3C8C"/>
    <w:rPr>
      <w:vertAlign w:val="superscript"/>
    </w:rPr>
  </w:style>
  <w:style w:type="paragraph" w:styleId="NormalWeb">
    <w:name w:val="Normal (Web)"/>
    <w:basedOn w:val="Normal"/>
    <w:uiPriority w:val="99"/>
    <w:unhideWhenUsed/>
    <w:rsid w:val="008D3C8C"/>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C6ADF"/>
    <w:rPr>
      <w:b/>
      <w:bCs/>
    </w:rPr>
  </w:style>
  <w:style w:type="character" w:customStyle="1" w:styleId="Heading4Char">
    <w:name w:val="Heading 4 Char"/>
    <w:basedOn w:val="DefaultParagraphFont"/>
    <w:link w:val="Heading4"/>
    <w:uiPriority w:val="9"/>
    <w:rsid w:val="00305E92"/>
    <w:rPr>
      <w:rFonts w:ascii="Times" w:hAnsi="Times"/>
      <w:b/>
      <w:bCs/>
      <w:lang w:val="en-GB"/>
    </w:rPr>
  </w:style>
  <w:style w:type="character" w:customStyle="1" w:styleId="Heading3Char">
    <w:name w:val="Heading 3 Char"/>
    <w:basedOn w:val="DefaultParagraphFont"/>
    <w:link w:val="Heading3"/>
    <w:uiPriority w:val="9"/>
    <w:semiHidden/>
    <w:rsid w:val="00305E92"/>
    <w:rPr>
      <w:rFonts w:asciiTheme="majorHAnsi" w:eastAsiaTheme="majorEastAsia" w:hAnsiTheme="majorHAnsi" w:cstheme="majorBidi"/>
      <w:b/>
      <w:bCs/>
      <w:color w:val="4F81BD" w:themeColor="accent1"/>
      <w:lang w:val="en-GB"/>
    </w:rPr>
  </w:style>
  <w:style w:type="paragraph" w:styleId="EndnoteText">
    <w:name w:val="endnote text"/>
    <w:basedOn w:val="Normal"/>
    <w:link w:val="EndnoteTextChar"/>
    <w:uiPriority w:val="99"/>
    <w:unhideWhenUsed/>
    <w:rsid w:val="00F03376"/>
  </w:style>
  <w:style w:type="character" w:customStyle="1" w:styleId="EndnoteTextChar">
    <w:name w:val="Endnote Text Char"/>
    <w:basedOn w:val="DefaultParagraphFont"/>
    <w:link w:val="EndnoteText"/>
    <w:uiPriority w:val="99"/>
    <w:rsid w:val="00F03376"/>
    <w:rPr>
      <w:lang w:val="en-GB"/>
    </w:rPr>
  </w:style>
  <w:style w:type="character" w:styleId="EndnoteReference">
    <w:name w:val="endnote reference"/>
    <w:basedOn w:val="DefaultParagraphFont"/>
    <w:uiPriority w:val="99"/>
    <w:unhideWhenUsed/>
    <w:rsid w:val="00F03376"/>
    <w:rPr>
      <w:vertAlign w:val="superscript"/>
    </w:rPr>
  </w:style>
  <w:style w:type="paragraph" w:styleId="Footer">
    <w:name w:val="footer"/>
    <w:basedOn w:val="Normal"/>
    <w:link w:val="FooterChar"/>
    <w:uiPriority w:val="99"/>
    <w:unhideWhenUsed/>
    <w:rsid w:val="005E5208"/>
    <w:pPr>
      <w:tabs>
        <w:tab w:val="center" w:pos="4320"/>
        <w:tab w:val="right" w:pos="8640"/>
      </w:tabs>
    </w:pPr>
  </w:style>
  <w:style w:type="character" w:customStyle="1" w:styleId="FooterChar">
    <w:name w:val="Footer Char"/>
    <w:basedOn w:val="DefaultParagraphFont"/>
    <w:link w:val="Footer"/>
    <w:uiPriority w:val="99"/>
    <w:rsid w:val="005E5208"/>
    <w:rPr>
      <w:lang w:val="en-GB"/>
    </w:rPr>
  </w:style>
  <w:style w:type="character" w:styleId="PageNumber">
    <w:name w:val="page number"/>
    <w:basedOn w:val="DefaultParagraphFont"/>
    <w:uiPriority w:val="99"/>
    <w:semiHidden/>
    <w:unhideWhenUsed/>
    <w:rsid w:val="005E5208"/>
  </w:style>
  <w:style w:type="character" w:customStyle="1" w:styleId="Heading2Char">
    <w:name w:val="Heading 2 Char"/>
    <w:basedOn w:val="DefaultParagraphFont"/>
    <w:link w:val="Heading2"/>
    <w:uiPriority w:val="9"/>
    <w:semiHidden/>
    <w:rsid w:val="00DB545A"/>
    <w:rPr>
      <w:rFonts w:asciiTheme="majorHAnsi" w:eastAsiaTheme="majorEastAsia" w:hAnsiTheme="majorHAnsi" w:cstheme="majorBidi"/>
      <w:b/>
      <w:bCs/>
      <w:color w:val="4F81BD" w:themeColor="accent1"/>
      <w:sz w:val="26"/>
      <w:szCs w:val="26"/>
      <w:lang w:val="en-GB"/>
    </w:rPr>
  </w:style>
  <w:style w:type="character" w:customStyle="1" w:styleId="readingname49edb09977f73dd81f8e99448dc2abba">
    <w:name w:val="reading_name_49edb09977f73dd81f8e99448dc2abba"/>
    <w:basedOn w:val="DefaultParagraphFont"/>
    <w:rsid w:val="0099451A"/>
  </w:style>
  <w:style w:type="character" w:customStyle="1" w:styleId="personname">
    <w:name w:val="person_name"/>
    <w:basedOn w:val="DefaultParagraphFont"/>
    <w:rsid w:val="00994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0994">
      <w:bodyDiv w:val="1"/>
      <w:marLeft w:val="0"/>
      <w:marRight w:val="0"/>
      <w:marTop w:val="0"/>
      <w:marBottom w:val="0"/>
      <w:divBdr>
        <w:top w:val="none" w:sz="0" w:space="0" w:color="auto"/>
        <w:left w:val="none" w:sz="0" w:space="0" w:color="auto"/>
        <w:bottom w:val="none" w:sz="0" w:space="0" w:color="auto"/>
        <w:right w:val="none" w:sz="0" w:space="0" w:color="auto"/>
      </w:divBdr>
    </w:div>
    <w:div w:id="82918134">
      <w:bodyDiv w:val="1"/>
      <w:marLeft w:val="0"/>
      <w:marRight w:val="0"/>
      <w:marTop w:val="0"/>
      <w:marBottom w:val="0"/>
      <w:divBdr>
        <w:top w:val="none" w:sz="0" w:space="0" w:color="auto"/>
        <w:left w:val="none" w:sz="0" w:space="0" w:color="auto"/>
        <w:bottom w:val="none" w:sz="0" w:space="0" w:color="auto"/>
        <w:right w:val="none" w:sz="0" w:space="0" w:color="auto"/>
      </w:divBdr>
    </w:div>
    <w:div w:id="84805742">
      <w:bodyDiv w:val="1"/>
      <w:marLeft w:val="0"/>
      <w:marRight w:val="0"/>
      <w:marTop w:val="0"/>
      <w:marBottom w:val="0"/>
      <w:divBdr>
        <w:top w:val="none" w:sz="0" w:space="0" w:color="auto"/>
        <w:left w:val="none" w:sz="0" w:space="0" w:color="auto"/>
        <w:bottom w:val="none" w:sz="0" w:space="0" w:color="auto"/>
        <w:right w:val="none" w:sz="0" w:space="0" w:color="auto"/>
      </w:divBdr>
    </w:div>
    <w:div w:id="111094741">
      <w:bodyDiv w:val="1"/>
      <w:marLeft w:val="0"/>
      <w:marRight w:val="0"/>
      <w:marTop w:val="0"/>
      <w:marBottom w:val="0"/>
      <w:divBdr>
        <w:top w:val="none" w:sz="0" w:space="0" w:color="auto"/>
        <w:left w:val="none" w:sz="0" w:space="0" w:color="auto"/>
        <w:bottom w:val="none" w:sz="0" w:space="0" w:color="auto"/>
        <w:right w:val="none" w:sz="0" w:space="0" w:color="auto"/>
      </w:divBdr>
    </w:div>
    <w:div w:id="122038986">
      <w:bodyDiv w:val="1"/>
      <w:marLeft w:val="0"/>
      <w:marRight w:val="0"/>
      <w:marTop w:val="0"/>
      <w:marBottom w:val="0"/>
      <w:divBdr>
        <w:top w:val="none" w:sz="0" w:space="0" w:color="auto"/>
        <w:left w:val="none" w:sz="0" w:space="0" w:color="auto"/>
        <w:bottom w:val="none" w:sz="0" w:space="0" w:color="auto"/>
        <w:right w:val="none" w:sz="0" w:space="0" w:color="auto"/>
      </w:divBdr>
    </w:div>
    <w:div w:id="123155195">
      <w:bodyDiv w:val="1"/>
      <w:marLeft w:val="0"/>
      <w:marRight w:val="0"/>
      <w:marTop w:val="0"/>
      <w:marBottom w:val="0"/>
      <w:divBdr>
        <w:top w:val="none" w:sz="0" w:space="0" w:color="auto"/>
        <w:left w:val="none" w:sz="0" w:space="0" w:color="auto"/>
        <w:bottom w:val="none" w:sz="0" w:space="0" w:color="auto"/>
        <w:right w:val="none" w:sz="0" w:space="0" w:color="auto"/>
      </w:divBdr>
    </w:div>
    <w:div w:id="163399576">
      <w:bodyDiv w:val="1"/>
      <w:marLeft w:val="0"/>
      <w:marRight w:val="0"/>
      <w:marTop w:val="0"/>
      <w:marBottom w:val="0"/>
      <w:divBdr>
        <w:top w:val="none" w:sz="0" w:space="0" w:color="auto"/>
        <w:left w:val="none" w:sz="0" w:space="0" w:color="auto"/>
        <w:bottom w:val="none" w:sz="0" w:space="0" w:color="auto"/>
        <w:right w:val="none" w:sz="0" w:space="0" w:color="auto"/>
      </w:divBdr>
    </w:div>
    <w:div w:id="306933002">
      <w:bodyDiv w:val="1"/>
      <w:marLeft w:val="0"/>
      <w:marRight w:val="0"/>
      <w:marTop w:val="0"/>
      <w:marBottom w:val="0"/>
      <w:divBdr>
        <w:top w:val="none" w:sz="0" w:space="0" w:color="auto"/>
        <w:left w:val="none" w:sz="0" w:space="0" w:color="auto"/>
        <w:bottom w:val="none" w:sz="0" w:space="0" w:color="auto"/>
        <w:right w:val="none" w:sz="0" w:space="0" w:color="auto"/>
      </w:divBdr>
    </w:div>
    <w:div w:id="363138246">
      <w:bodyDiv w:val="1"/>
      <w:marLeft w:val="0"/>
      <w:marRight w:val="0"/>
      <w:marTop w:val="0"/>
      <w:marBottom w:val="0"/>
      <w:divBdr>
        <w:top w:val="none" w:sz="0" w:space="0" w:color="auto"/>
        <w:left w:val="none" w:sz="0" w:space="0" w:color="auto"/>
        <w:bottom w:val="none" w:sz="0" w:space="0" w:color="auto"/>
        <w:right w:val="none" w:sz="0" w:space="0" w:color="auto"/>
      </w:divBdr>
    </w:div>
    <w:div w:id="376467663">
      <w:bodyDiv w:val="1"/>
      <w:marLeft w:val="0"/>
      <w:marRight w:val="0"/>
      <w:marTop w:val="0"/>
      <w:marBottom w:val="0"/>
      <w:divBdr>
        <w:top w:val="none" w:sz="0" w:space="0" w:color="auto"/>
        <w:left w:val="none" w:sz="0" w:space="0" w:color="auto"/>
        <w:bottom w:val="none" w:sz="0" w:space="0" w:color="auto"/>
        <w:right w:val="none" w:sz="0" w:space="0" w:color="auto"/>
      </w:divBdr>
    </w:div>
    <w:div w:id="399139341">
      <w:bodyDiv w:val="1"/>
      <w:marLeft w:val="0"/>
      <w:marRight w:val="0"/>
      <w:marTop w:val="0"/>
      <w:marBottom w:val="0"/>
      <w:divBdr>
        <w:top w:val="none" w:sz="0" w:space="0" w:color="auto"/>
        <w:left w:val="none" w:sz="0" w:space="0" w:color="auto"/>
        <w:bottom w:val="none" w:sz="0" w:space="0" w:color="auto"/>
        <w:right w:val="none" w:sz="0" w:space="0" w:color="auto"/>
      </w:divBdr>
    </w:div>
    <w:div w:id="400718702">
      <w:bodyDiv w:val="1"/>
      <w:marLeft w:val="0"/>
      <w:marRight w:val="0"/>
      <w:marTop w:val="0"/>
      <w:marBottom w:val="0"/>
      <w:divBdr>
        <w:top w:val="none" w:sz="0" w:space="0" w:color="auto"/>
        <w:left w:val="none" w:sz="0" w:space="0" w:color="auto"/>
        <w:bottom w:val="none" w:sz="0" w:space="0" w:color="auto"/>
        <w:right w:val="none" w:sz="0" w:space="0" w:color="auto"/>
      </w:divBdr>
    </w:div>
    <w:div w:id="453716622">
      <w:bodyDiv w:val="1"/>
      <w:marLeft w:val="0"/>
      <w:marRight w:val="0"/>
      <w:marTop w:val="0"/>
      <w:marBottom w:val="0"/>
      <w:divBdr>
        <w:top w:val="none" w:sz="0" w:space="0" w:color="auto"/>
        <w:left w:val="none" w:sz="0" w:space="0" w:color="auto"/>
        <w:bottom w:val="none" w:sz="0" w:space="0" w:color="auto"/>
        <w:right w:val="none" w:sz="0" w:space="0" w:color="auto"/>
      </w:divBdr>
    </w:div>
    <w:div w:id="479031997">
      <w:bodyDiv w:val="1"/>
      <w:marLeft w:val="0"/>
      <w:marRight w:val="0"/>
      <w:marTop w:val="0"/>
      <w:marBottom w:val="0"/>
      <w:divBdr>
        <w:top w:val="none" w:sz="0" w:space="0" w:color="auto"/>
        <w:left w:val="none" w:sz="0" w:space="0" w:color="auto"/>
        <w:bottom w:val="none" w:sz="0" w:space="0" w:color="auto"/>
        <w:right w:val="none" w:sz="0" w:space="0" w:color="auto"/>
      </w:divBdr>
    </w:div>
    <w:div w:id="493498648">
      <w:bodyDiv w:val="1"/>
      <w:marLeft w:val="0"/>
      <w:marRight w:val="0"/>
      <w:marTop w:val="0"/>
      <w:marBottom w:val="0"/>
      <w:divBdr>
        <w:top w:val="none" w:sz="0" w:space="0" w:color="auto"/>
        <w:left w:val="none" w:sz="0" w:space="0" w:color="auto"/>
        <w:bottom w:val="none" w:sz="0" w:space="0" w:color="auto"/>
        <w:right w:val="none" w:sz="0" w:space="0" w:color="auto"/>
      </w:divBdr>
    </w:div>
    <w:div w:id="498085828">
      <w:bodyDiv w:val="1"/>
      <w:marLeft w:val="0"/>
      <w:marRight w:val="0"/>
      <w:marTop w:val="0"/>
      <w:marBottom w:val="0"/>
      <w:divBdr>
        <w:top w:val="none" w:sz="0" w:space="0" w:color="auto"/>
        <w:left w:val="none" w:sz="0" w:space="0" w:color="auto"/>
        <w:bottom w:val="none" w:sz="0" w:space="0" w:color="auto"/>
        <w:right w:val="none" w:sz="0" w:space="0" w:color="auto"/>
      </w:divBdr>
    </w:div>
    <w:div w:id="534150332">
      <w:bodyDiv w:val="1"/>
      <w:marLeft w:val="0"/>
      <w:marRight w:val="0"/>
      <w:marTop w:val="0"/>
      <w:marBottom w:val="0"/>
      <w:divBdr>
        <w:top w:val="none" w:sz="0" w:space="0" w:color="auto"/>
        <w:left w:val="none" w:sz="0" w:space="0" w:color="auto"/>
        <w:bottom w:val="none" w:sz="0" w:space="0" w:color="auto"/>
        <w:right w:val="none" w:sz="0" w:space="0" w:color="auto"/>
      </w:divBdr>
    </w:div>
    <w:div w:id="563033251">
      <w:bodyDiv w:val="1"/>
      <w:marLeft w:val="0"/>
      <w:marRight w:val="0"/>
      <w:marTop w:val="0"/>
      <w:marBottom w:val="0"/>
      <w:divBdr>
        <w:top w:val="none" w:sz="0" w:space="0" w:color="auto"/>
        <w:left w:val="none" w:sz="0" w:space="0" w:color="auto"/>
        <w:bottom w:val="none" w:sz="0" w:space="0" w:color="auto"/>
        <w:right w:val="none" w:sz="0" w:space="0" w:color="auto"/>
      </w:divBdr>
    </w:div>
    <w:div w:id="567959139">
      <w:bodyDiv w:val="1"/>
      <w:marLeft w:val="0"/>
      <w:marRight w:val="0"/>
      <w:marTop w:val="0"/>
      <w:marBottom w:val="0"/>
      <w:divBdr>
        <w:top w:val="none" w:sz="0" w:space="0" w:color="auto"/>
        <w:left w:val="none" w:sz="0" w:space="0" w:color="auto"/>
        <w:bottom w:val="none" w:sz="0" w:space="0" w:color="auto"/>
        <w:right w:val="none" w:sz="0" w:space="0" w:color="auto"/>
      </w:divBdr>
    </w:div>
    <w:div w:id="587887696">
      <w:bodyDiv w:val="1"/>
      <w:marLeft w:val="0"/>
      <w:marRight w:val="0"/>
      <w:marTop w:val="0"/>
      <w:marBottom w:val="0"/>
      <w:divBdr>
        <w:top w:val="none" w:sz="0" w:space="0" w:color="auto"/>
        <w:left w:val="none" w:sz="0" w:space="0" w:color="auto"/>
        <w:bottom w:val="none" w:sz="0" w:space="0" w:color="auto"/>
        <w:right w:val="none" w:sz="0" w:space="0" w:color="auto"/>
      </w:divBdr>
    </w:div>
    <w:div w:id="598946859">
      <w:bodyDiv w:val="1"/>
      <w:marLeft w:val="0"/>
      <w:marRight w:val="0"/>
      <w:marTop w:val="0"/>
      <w:marBottom w:val="0"/>
      <w:divBdr>
        <w:top w:val="none" w:sz="0" w:space="0" w:color="auto"/>
        <w:left w:val="none" w:sz="0" w:space="0" w:color="auto"/>
        <w:bottom w:val="none" w:sz="0" w:space="0" w:color="auto"/>
        <w:right w:val="none" w:sz="0" w:space="0" w:color="auto"/>
      </w:divBdr>
    </w:div>
    <w:div w:id="605504458">
      <w:bodyDiv w:val="1"/>
      <w:marLeft w:val="0"/>
      <w:marRight w:val="0"/>
      <w:marTop w:val="0"/>
      <w:marBottom w:val="0"/>
      <w:divBdr>
        <w:top w:val="none" w:sz="0" w:space="0" w:color="auto"/>
        <w:left w:val="none" w:sz="0" w:space="0" w:color="auto"/>
        <w:bottom w:val="none" w:sz="0" w:space="0" w:color="auto"/>
        <w:right w:val="none" w:sz="0" w:space="0" w:color="auto"/>
      </w:divBdr>
    </w:div>
    <w:div w:id="646008993">
      <w:bodyDiv w:val="1"/>
      <w:marLeft w:val="0"/>
      <w:marRight w:val="0"/>
      <w:marTop w:val="0"/>
      <w:marBottom w:val="0"/>
      <w:divBdr>
        <w:top w:val="none" w:sz="0" w:space="0" w:color="auto"/>
        <w:left w:val="none" w:sz="0" w:space="0" w:color="auto"/>
        <w:bottom w:val="none" w:sz="0" w:space="0" w:color="auto"/>
        <w:right w:val="none" w:sz="0" w:space="0" w:color="auto"/>
      </w:divBdr>
    </w:div>
    <w:div w:id="650519744">
      <w:bodyDiv w:val="1"/>
      <w:marLeft w:val="0"/>
      <w:marRight w:val="0"/>
      <w:marTop w:val="0"/>
      <w:marBottom w:val="0"/>
      <w:divBdr>
        <w:top w:val="none" w:sz="0" w:space="0" w:color="auto"/>
        <w:left w:val="none" w:sz="0" w:space="0" w:color="auto"/>
        <w:bottom w:val="none" w:sz="0" w:space="0" w:color="auto"/>
        <w:right w:val="none" w:sz="0" w:space="0" w:color="auto"/>
      </w:divBdr>
    </w:div>
    <w:div w:id="654573750">
      <w:bodyDiv w:val="1"/>
      <w:marLeft w:val="0"/>
      <w:marRight w:val="0"/>
      <w:marTop w:val="0"/>
      <w:marBottom w:val="0"/>
      <w:divBdr>
        <w:top w:val="none" w:sz="0" w:space="0" w:color="auto"/>
        <w:left w:val="none" w:sz="0" w:space="0" w:color="auto"/>
        <w:bottom w:val="none" w:sz="0" w:space="0" w:color="auto"/>
        <w:right w:val="none" w:sz="0" w:space="0" w:color="auto"/>
      </w:divBdr>
    </w:div>
    <w:div w:id="686442825">
      <w:bodyDiv w:val="1"/>
      <w:marLeft w:val="0"/>
      <w:marRight w:val="0"/>
      <w:marTop w:val="0"/>
      <w:marBottom w:val="0"/>
      <w:divBdr>
        <w:top w:val="none" w:sz="0" w:space="0" w:color="auto"/>
        <w:left w:val="none" w:sz="0" w:space="0" w:color="auto"/>
        <w:bottom w:val="none" w:sz="0" w:space="0" w:color="auto"/>
        <w:right w:val="none" w:sz="0" w:space="0" w:color="auto"/>
      </w:divBdr>
    </w:div>
    <w:div w:id="697780262">
      <w:bodyDiv w:val="1"/>
      <w:marLeft w:val="0"/>
      <w:marRight w:val="0"/>
      <w:marTop w:val="0"/>
      <w:marBottom w:val="0"/>
      <w:divBdr>
        <w:top w:val="none" w:sz="0" w:space="0" w:color="auto"/>
        <w:left w:val="none" w:sz="0" w:space="0" w:color="auto"/>
        <w:bottom w:val="none" w:sz="0" w:space="0" w:color="auto"/>
        <w:right w:val="none" w:sz="0" w:space="0" w:color="auto"/>
      </w:divBdr>
    </w:div>
    <w:div w:id="777796357">
      <w:bodyDiv w:val="1"/>
      <w:marLeft w:val="0"/>
      <w:marRight w:val="0"/>
      <w:marTop w:val="0"/>
      <w:marBottom w:val="0"/>
      <w:divBdr>
        <w:top w:val="none" w:sz="0" w:space="0" w:color="auto"/>
        <w:left w:val="none" w:sz="0" w:space="0" w:color="auto"/>
        <w:bottom w:val="none" w:sz="0" w:space="0" w:color="auto"/>
        <w:right w:val="none" w:sz="0" w:space="0" w:color="auto"/>
      </w:divBdr>
    </w:div>
    <w:div w:id="969286920">
      <w:bodyDiv w:val="1"/>
      <w:marLeft w:val="0"/>
      <w:marRight w:val="0"/>
      <w:marTop w:val="0"/>
      <w:marBottom w:val="0"/>
      <w:divBdr>
        <w:top w:val="none" w:sz="0" w:space="0" w:color="auto"/>
        <w:left w:val="none" w:sz="0" w:space="0" w:color="auto"/>
        <w:bottom w:val="none" w:sz="0" w:space="0" w:color="auto"/>
        <w:right w:val="none" w:sz="0" w:space="0" w:color="auto"/>
      </w:divBdr>
    </w:div>
    <w:div w:id="1003821529">
      <w:bodyDiv w:val="1"/>
      <w:marLeft w:val="0"/>
      <w:marRight w:val="0"/>
      <w:marTop w:val="0"/>
      <w:marBottom w:val="0"/>
      <w:divBdr>
        <w:top w:val="none" w:sz="0" w:space="0" w:color="auto"/>
        <w:left w:val="none" w:sz="0" w:space="0" w:color="auto"/>
        <w:bottom w:val="none" w:sz="0" w:space="0" w:color="auto"/>
        <w:right w:val="none" w:sz="0" w:space="0" w:color="auto"/>
      </w:divBdr>
    </w:div>
    <w:div w:id="1035544250">
      <w:bodyDiv w:val="1"/>
      <w:marLeft w:val="0"/>
      <w:marRight w:val="0"/>
      <w:marTop w:val="0"/>
      <w:marBottom w:val="0"/>
      <w:divBdr>
        <w:top w:val="none" w:sz="0" w:space="0" w:color="auto"/>
        <w:left w:val="none" w:sz="0" w:space="0" w:color="auto"/>
        <w:bottom w:val="none" w:sz="0" w:space="0" w:color="auto"/>
        <w:right w:val="none" w:sz="0" w:space="0" w:color="auto"/>
      </w:divBdr>
    </w:div>
    <w:div w:id="1074888205">
      <w:bodyDiv w:val="1"/>
      <w:marLeft w:val="0"/>
      <w:marRight w:val="0"/>
      <w:marTop w:val="0"/>
      <w:marBottom w:val="0"/>
      <w:divBdr>
        <w:top w:val="none" w:sz="0" w:space="0" w:color="auto"/>
        <w:left w:val="none" w:sz="0" w:space="0" w:color="auto"/>
        <w:bottom w:val="none" w:sz="0" w:space="0" w:color="auto"/>
        <w:right w:val="none" w:sz="0" w:space="0" w:color="auto"/>
      </w:divBdr>
    </w:div>
    <w:div w:id="1117531011">
      <w:bodyDiv w:val="1"/>
      <w:marLeft w:val="0"/>
      <w:marRight w:val="0"/>
      <w:marTop w:val="0"/>
      <w:marBottom w:val="0"/>
      <w:divBdr>
        <w:top w:val="none" w:sz="0" w:space="0" w:color="auto"/>
        <w:left w:val="none" w:sz="0" w:space="0" w:color="auto"/>
        <w:bottom w:val="none" w:sz="0" w:space="0" w:color="auto"/>
        <w:right w:val="none" w:sz="0" w:space="0" w:color="auto"/>
      </w:divBdr>
    </w:div>
    <w:div w:id="1155681167">
      <w:bodyDiv w:val="1"/>
      <w:marLeft w:val="0"/>
      <w:marRight w:val="0"/>
      <w:marTop w:val="0"/>
      <w:marBottom w:val="0"/>
      <w:divBdr>
        <w:top w:val="none" w:sz="0" w:space="0" w:color="auto"/>
        <w:left w:val="none" w:sz="0" w:space="0" w:color="auto"/>
        <w:bottom w:val="none" w:sz="0" w:space="0" w:color="auto"/>
        <w:right w:val="none" w:sz="0" w:space="0" w:color="auto"/>
      </w:divBdr>
    </w:div>
    <w:div w:id="1199464061">
      <w:bodyDiv w:val="1"/>
      <w:marLeft w:val="0"/>
      <w:marRight w:val="0"/>
      <w:marTop w:val="0"/>
      <w:marBottom w:val="0"/>
      <w:divBdr>
        <w:top w:val="none" w:sz="0" w:space="0" w:color="auto"/>
        <w:left w:val="none" w:sz="0" w:space="0" w:color="auto"/>
        <w:bottom w:val="none" w:sz="0" w:space="0" w:color="auto"/>
        <w:right w:val="none" w:sz="0" w:space="0" w:color="auto"/>
      </w:divBdr>
    </w:div>
    <w:div w:id="1239821902">
      <w:bodyDiv w:val="1"/>
      <w:marLeft w:val="0"/>
      <w:marRight w:val="0"/>
      <w:marTop w:val="0"/>
      <w:marBottom w:val="0"/>
      <w:divBdr>
        <w:top w:val="none" w:sz="0" w:space="0" w:color="auto"/>
        <w:left w:val="none" w:sz="0" w:space="0" w:color="auto"/>
        <w:bottom w:val="none" w:sz="0" w:space="0" w:color="auto"/>
        <w:right w:val="none" w:sz="0" w:space="0" w:color="auto"/>
      </w:divBdr>
    </w:div>
    <w:div w:id="1275399606">
      <w:bodyDiv w:val="1"/>
      <w:marLeft w:val="0"/>
      <w:marRight w:val="0"/>
      <w:marTop w:val="0"/>
      <w:marBottom w:val="0"/>
      <w:divBdr>
        <w:top w:val="none" w:sz="0" w:space="0" w:color="auto"/>
        <w:left w:val="none" w:sz="0" w:space="0" w:color="auto"/>
        <w:bottom w:val="none" w:sz="0" w:space="0" w:color="auto"/>
        <w:right w:val="none" w:sz="0" w:space="0" w:color="auto"/>
      </w:divBdr>
    </w:div>
    <w:div w:id="1301836750">
      <w:bodyDiv w:val="1"/>
      <w:marLeft w:val="0"/>
      <w:marRight w:val="0"/>
      <w:marTop w:val="0"/>
      <w:marBottom w:val="0"/>
      <w:divBdr>
        <w:top w:val="none" w:sz="0" w:space="0" w:color="auto"/>
        <w:left w:val="none" w:sz="0" w:space="0" w:color="auto"/>
        <w:bottom w:val="none" w:sz="0" w:space="0" w:color="auto"/>
        <w:right w:val="none" w:sz="0" w:space="0" w:color="auto"/>
      </w:divBdr>
    </w:div>
    <w:div w:id="1302073136">
      <w:bodyDiv w:val="1"/>
      <w:marLeft w:val="0"/>
      <w:marRight w:val="0"/>
      <w:marTop w:val="0"/>
      <w:marBottom w:val="0"/>
      <w:divBdr>
        <w:top w:val="none" w:sz="0" w:space="0" w:color="auto"/>
        <w:left w:val="none" w:sz="0" w:space="0" w:color="auto"/>
        <w:bottom w:val="none" w:sz="0" w:space="0" w:color="auto"/>
        <w:right w:val="none" w:sz="0" w:space="0" w:color="auto"/>
      </w:divBdr>
    </w:div>
    <w:div w:id="1461608905">
      <w:bodyDiv w:val="1"/>
      <w:marLeft w:val="0"/>
      <w:marRight w:val="0"/>
      <w:marTop w:val="0"/>
      <w:marBottom w:val="0"/>
      <w:divBdr>
        <w:top w:val="none" w:sz="0" w:space="0" w:color="auto"/>
        <w:left w:val="none" w:sz="0" w:space="0" w:color="auto"/>
        <w:bottom w:val="none" w:sz="0" w:space="0" w:color="auto"/>
        <w:right w:val="none" w:sz="0" w:space="0" w:color="auto"/>
      </w:divBdr>
    </w:div>
    <w:div w:id="1513490971">
      <w:bodyDiv w:val="1"/>
      <w:marLeft w:val="0"/>
      <w:marRight w:val="0"/>
      <w:marTop w:val="0"/>
      <w:marBottom w:val="0"/>
      <w:divBdr>
        <w:top w:val="none" w:sz="0" w:space="0" w:color="auto"/>
        <w:left w:val="none" w:sz="0" w:space="0" w:color="auto"/>
        <w:bottom w:val="none" w:sz="0" w:space="0" w:color="auto"/>
        <w:right w:val="none" w:sz="0" w:space="0" w:color="auto"/>
      </w:divBdr>
    </w:div>
    <w:div w:id="1590120447">
      <w:bodyDiv w:val="1"/>
      <w:marLeft w:val="0"/>
      <w:marRight w:val="0"/>
      <w:marTop w:val="0"/>
      <w:marBottom w:val="0"/>
      <w:divBdr>
        <w:top w:val="none" w:sz="0" w:space="0" w:color="auto"/>
        <w:left w:val="none" w:sz="0" w:space="0" w:color="auto"/>
        <w:bottom w:val="none" w:sz="0" w:space="0" w:color="auto"/>
        <w:right w:val="none" w:sz="0" w:space="0" w:color="auto"/>
      </w:divBdr>
    </w:div>
    <w:div w:id="1639141826">
      <w:bodyDiv w:val="1"/>
      <w:marLeft w:val="0"/>
      <w:marRight w:val="0"/>
      <w:marTop w:val="0"/>
      <w:marBottom w:val="0"/>
      <w:divBdr>
        <w:top w:val="none" w:sz="0" w:space="0" w:color="auto"/>
        <w:left w:val="none" w:sz="0" w:space="0" w:color="auto"/>
        <w:bottom w:val="none" w:sz="0" w:space="0" w:color="auto"/>
        <w:right w:val="none" w:sz="0" w:space="0" w:color="auto"/>
      </w:divBdr>
    </w:div>
    <w:div w:id="1639341782">
      <w:bodyDiv w:val="1"/>
      <w:marLeft w:val="0"/>
      <w:marRight w:val="0"/>
      <w:marTop w:val="0"/>
      <w:marBottom w:val="0"/>
      <w:divBdr>
        <w:top w:val="none" w:sz="0" w:space="0" w:color="auto"/>
        <w:left w:val="none" w:sz="0" w:space="0" w:color="auto"/>
        <w:bottom w:val="none" w:sz="0" w:space="0" w:color="auto"/>
        <w:right w:val="none" w:sz="0" w:space="0" w:color="auto"/>
      </w:divBdr>
    </w:div>
    <w:div w:id="1672684796">
      <w:bodyDiv w:val="1"/>
      <w:marLeft w:val="0"/>
      <w:marRight w:val="0"/>
      <w:marTop w:val="0"/>
      <w:marBottom w:val="0"/>
      <w:divBdr>
        <w:top w:val="none" w:sz="0" w:space="0" w:color="auto"/>
        <w:left w:val="none" w:sz="0" w:space="0" w:color="auto"/>
        <w:bottom w:val="none" w:sz="0" w:space="0" w:color="auto"/>
        <w:right w:val="none" w:sz="0" w:space="0" w:color="auto"/>
      </w:divBdr>
    </w:div>
    <w:div w:id="1685596687">
      <w:bodyDiv w:val="1"/>
      <w:marLeft w:val="0"/>
      <w:marRight w:val="0"/>
      <w:marTop w:val="0"/>
      <w:marBottom w:val="0"/>
      <w:divBdr>
        <w:top w:val="none" w:sz="0" w:space="0" w:color="auto"/>
        <w:left w:val="none" w:sz="0" w:space="0" w:color="auto"/>
        <w:bottom w:val="none" w:sz="0" w:space="0" w:color="auto"/>
        <w:right w:val="none" w:sz="0" w:space="0" w:color="auto"/>
      </w:divBdr>
    </w:div>
    <w:div w:id="1709069473">
      <w:bodyDiv w:val="1"/>
      <w:marLeft w:val="0"/>
      <w:marRight w:val="0"/>
      <w:marTop w:val="0"/>
      <w:marBottom w:val="0"/>
      <w:divBdr>
        <w:top w:val="none" w:sz="0" w:space="0" w:color="auto"/>
        <w:left w:val="none" w:sz="0" w:space="0" w:color="auto"/>
        <w:bottom w:val="none" w:sz="0" w:space="0" w:color="auto"/>
        <w:right w:val="none" w:sz="0" w:space="0" w:color="auto"/>
      </w:divBdr>
    </w:div>
    <w:div w:id="1718435528">
      <w:bodyDiv w:val="1"/>
      <w:marLeft w:val="0"/>
      <w:marRight w:val="0"/>
      <w:marTop w:val="0"/>
      <w:marBottom w:val="0"/>
      <w:divBdr>
        <w:top w:val="none" w:sz="0" w:space="0" w:color="auto"/>
        <w:left w:val="none" w:sz="0" w:space="0" w:color="auto"/>
        <w:bottom w:val="none" w:sz="0" w:space="0" w:color="auto"/>
        <w:right w:val="none" w:sz="0" w:space="0" w:color="auto"/>
      </w:divBdr>
    </w:div>
    <w:div w:id="1721395446">
      <w:bodyDiv w:val="1"/>
      <w:marLeft w:val="0"/>
      <w:marRight w:val="0"/>
      <w:marTop w:val="0"/>
      <w:marBottom w:val="0"/>
      <w:divBdr>
        <w:top w:val="none" w:sz="0" w:space="0" w:color="auto"/>
        <w:left w:val="none" w:sz="0" w:space="0" w:color="auto"/>
        <w:bottom w:val="none" w:sz="0" w:space="0" w:color="auto"/>
        <w:right w:val="none" w:sz="0" w:space="0" w:color="auto"/>
      </w:divBdr>
    </w:div>
    <w:div w:id="1763142471">
      <w:bodyDiv w:val="1"/>
      <w:marLeft w:val="0"/>
      <w:marRight w:val="0"/>
      <w:marTop w:val="0"/>
      <w:marBottom w:val="0"/>
      <w:divBdr>
        <w:top w:val="none" w:sz="0" w:space="0" w:color="auto"/>
        <w:left w:val="none" w:sz="0" w:space="0" w:color="auto"/>
        <w:bottom w:val="none" w:sz="0" w:space="0" w:color="auto"/>
        <w:right w:val="none" w:sz="0" w:space="0" w:color="auto"/>
      </w:divBdr>
    </w:div>
    <w:div w:id="1778409598">
      <w:bodyDiv w:val="1"/>
      <w:marLeft w:val="0"/>
      <w:marRight w:val="0"/>
      <w:marTop w:val="0"/>
      <w:marBottom w:val="0"/>
      <w:divBdr>
        <w:top w:val="none" w:sz="0" w:space="0" w:color="auto"/>
        <w:left w:val="none" w:sz="0" w:space="0" w:color="auto"/>
        <w:bottom w:val="none" w:sz="0" w:space="0" w:color="auto"/>
        <w:right w:val="none" w:sz="0" w:space="0" w:color="auto"/>
      </w:divBdr>
    </w:div>
    <w:div w:id="1794254332">
      <w:bodyDiv w:val="1"/>
      <w:marLeft w:val="0"/>
      <w:marRight w:val="0"/>
      <w:marTop w:val="0"/>
      <w:marBottom w:val="0"/>
      <w:divBdr>
        <w:top w:val="none" w:sz="0" w:space="0" w:color="auto"/>
        <w:left w:val="none" w:sz="0" w:space="0" w:color="auto"/>
        <w:bottom w:val="none" w:sz="0" w:space="0" w:color="auto"/>
        <w:right w:val="none" w:sz="0" w:space="0" w:color="auto"/>
      </w:divBdr>
    </w:div>
    <w:div w:id="1839617656">
      <w:bodyDiv w:val="1"/>
      <w:marLeft w:val="0"/>
      <w:marRight w:val="0"/>
      <w:marTop w:val="0"/>
      <w:marBottom w:val="0"/>
      <w:divBdr>
        <w:top w:val="none" w:sz="0" w:space="0" w:color="auto"/>
        <w:left w:val="none" w:sz="0" w:space="0" w:color="auto"/>
        <w:bottom w:val="none" w:sz="0" w:space="0" w:color="auto"/>
        <w:right w:val="none" w:sz="0" w:space="0" w:color="auto"/>
      </w:divBdr>
    </w:div>
    <w:div w:id="1876623517">
      <w:bodyDiv w:val="1"/>
      <w:marLeft w:val="0"/>
      <w:marRight w:val="0"/>
      <w:marTop w:val="0"/>
      <w:marBottom w:val="0"/>
      <w:divBdr>
        <w:top w:val="none" w:sz="0" w:space="0" w:color="auto"/>
        <w:left w:val="none" w:sz="0" w:space="0" w:color="auto"/>
        <w:bottom w:val="none" w:sz="0" w:space="0" w:color="auto"/>
        <w:right w:val="none" w:sz="0" w:space="0" w:color="auto"/>
      </w:divBdr>
    </w:div>
    <w:div w:id="1887569778">
      <w:bodyDiv w:val="1"/>
      <w:marLeft w:val="0"/>
      <w:marRight w:val="0"/>
      <w:marTop w:val="0"/>
      <w:marBottom w:val="0"/>
      <w:divBdr>
        <w:top w:val="none" w:sz="0" w:space="0" w:color="auto"/>
        <w:left w:val="none" w:sz="0" w:space="0" w:color="auto"/>
        <w:bottom w:val="none" w:sz="0" w:space="0" w:color="auto"/>
        <w:right w:val="none" w:sz="0" w:space="0" w:color="auto"/>
      </w:divBdr>
    </w:div>
    <w:div w:id="1996906916">
      <w:bodyDiv w:val="1"/>
      <w:marLeft w:val="0"/>
      <w:marRight w:val="0"/>
      <w:marTop w:val="0"/>
      <w:marBottom w:val="0"/>
      <w:divBdr>
        <w:top w:val="none" w:sz="0" w:space="0" w:color="auto"/>
        <w:left w:val="none" w:sz="0" w:space="0" w:color="auto"/>
        <w:bottom w:val="none" w:sz="0" w:space="0" w:color="auto"/>
        <w:right w:val="none" w:sz="0" w:space="0" w:color="auto"/>
      </w:divBdr>
    </w:div>
    <w:div w:id="2054307571">
      <w:bodyDiv w:val="1"/>
      <w:marLeft w:val="0"/>
      <w:marRight w:val="0"/>
      <w:marTop w:val="0"/>
      <w:marBottom w:val="0"/>
      <w:divBdr>
        <w:top w:val="none" w:sz="0" w:space="0" w:color="auto"/>
        <w:left w:val="none" w:sz="0" w:space="0" w:color="auto"/>
        <w:bottom w:val="none" w:sz="0" w:space="0" w:color="auto"/>
        <w:right w:val="none" w:sz="0" w:space="0" w:color="auto"/>
      </w:divBdr>
    </w:div>
    <w:div w:id="2126726096">
      <w:bodyDiv w:val="1"/>
      <w:marLeft w:val="0"/>
      <w:marRight w:val="0"/>
      <w:marTop w:val="0"/>
      <w:marBottom w:val="0"/>
      <w:divBdr>
        <w:top w:val="none" w:sz="0" w:space="0" w:color="auto"/>
        <w:left w:val="none" w:sz="0" w:space="0" w:color="auto"/>
        <w:bottom w:val="none" w:sz="0" w:space="0" w:color="auto"/>
        <w:right w:val="none" w:sz="0" w:space="0" w:color="auto"/>
      </w:divBdr>
    </w:div>
    <w:div w:id="21416126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login.westlaw.co.uk.ezproxy.york.ac.uk/maf/wluk/app/document?src=doc&amp;linktype=ref&amp;context=6&amp;crumb-action=replace&amp;docguid=I296C8CA1E44F11DA8D70A0E70A78ED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C7E4F-23C1-DB43-BA18-2A52F823D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9585</Words>
  <Characters>54637</Characters>
  <Application>Microsoft Macintosh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York Law School</Company>
  <LinksUpToDate>false</LinksUpToDate>
  <CharactersWithSpaces>64094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O'Brien</dc:creator>
  <cp:keywords/>
  <dc:description/>
  <cp:lastModifiedBy>Tom Royston</cp:lastModifiedBy>
  <cp:revision>3</cp:revision>
  <dcterms:created xsi:type="dcterms:W3CDTF">2016-04-18T14:37:00Z</dcterms:created>
  <dcterms:modified xsi:type="dcterms:W3CDTF">2016-04-18T14:44:00Z</dcterms:modified>
</cp:coreProperties>
</file>