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17C9" w14:textId="77777777" w:rsidR="00241B7C" w:rsidRPr="005F5C62" w:rsidRDefault="00241B7C" w:rsidP="00A077C1">
      <w:pPr>
        <w:rPr>
          <w:rFonts w:ascii="Arial" w:hAnsi="Arial" w:cs="Arial"/>
          <w:b/>
          <w:color w:val="1A1A1A"/>
          <w:sz w:val="28"/>
          <w:szCs w:val="22"/>
          <w:lang w:val="en-US"/>
        </w:rPr>
      </w:pPr>
      <w:r w:rsidRPr="005F5C62">
        <w:rPr>
          <w:rFonts w:ascii="Arial" w:hAnsi="Arial" w:cs="Arial"/>
          <w:b/>
          <w:color w:val="1A1A1A"/>
          <w:sz w:val="28"/>
          <w:szCs w:val="22"/>
          <w:lang w:val="en-US"/>
        </w:rPr>
        <w:t>Metabolic constraints for a novel symbiosis</w:t>
      </w:r>
    </w:p>
    <w:p w14:paraId="038569AB" w14:textId="77777777" w:rsidR="00241B7C" w:rsidRDefault="00241B7C" w:rsidP="00BF0803">
      <w:pPr>
        <w:rPr>
          <w:rFonts w:ascii="Arial" w:hAnsi="Arial" w:cs="Arial"/>
          <w:color w:val="1A1A1A"/>
          <w:sz w:val="22"/>
          <w:szCs w:val="22"/>
          <w:lang w:val="en-US"/>
        </w:rPr>
      </w:pPr>
    </w:p>
    <w:p w14:paraId="30336AF6" w14:textId="77777777" w:rsidR="00A01E55" w:rsidRDefault="00A01E55" w:rsidP="00BF0803">
      <w:pPr>
        <w:rPr>
          <w:rFonts w:ascii="Arial" w:hAnsi="Arial" w:cs="Arial"/>
          <w:color w:val="1A1A1A"/>
          <w:sz w:val="22"/>
          <w:szCs w:val="22"/>
          <w:vertAlign w:val="superscript"/>
          <w:lang w:val="en-US"/>
        </w:rPr>
      </w:pPr>
      <w:r>
        <w:rPr>
          <w:rFonts w:ascii="Arial" w:hAnsi="Arial" w:cs="Arial"/>
          <w:color w:val="1A1A1A"/>
          <w:sz w:val="22"/>
          <w:szCs w:val="22"/>
          <w:lang w:val="en-US"/>
        </w:rPr>
        <w:t>Megan</w:t>
      </w:r>
      <w:r w:rsidR="001C13BD">
        <w:rPr>
          <w:rFonts w:ascii="Arial" w:hAnsi="Arial" w:cs="Arial"/>
          <w:color w:val="1A1A1A"/>
          <w:sz w:val="22"/>
          <w:szCs w:val="22"/>
          <w:lang w:val="en-US"/>
        </w:rPr>
        <w:t xml:space="preserve"> E. S.</w:t>
      </w:r>
      <w:r>
        <w:rPr>
          <w:rFonts w:ascii="Arial" w:hAnsi="Arial" w:cs="Arial"/>
          <w:color w:val="1A1A1A"/>
          <w:sz w:val="22"/>
          <w:szCs w:val="22"/>
          <w:lang w:val="en-US"/>
        </w:rPr>
        <w:t xml:space="preserve"> S</w:t>
      </w:r>
      <w:r w:rsidR="007B73E6" w:rsidRPr="007B73E6">
        <w:rPr>
          <w:rFonts w:ascii="Arial" w:hAnsi="Arial" w:cs="Arial"/>
          <w:color w:val="000000"/>
          <w:sz w:val="22"/>
        </w:rPr>
        <w:t>ø</w:t>
      </w:r>
      <w:r>
        <w:rPr>
          <w:rFonts w:ascii="Arial" w:hAnsi="Arial" w:cs="Arial"/>
          <w:color w:val="1A1A1A"/>
          <w:sz w:val="22"/>
          <w:szCs w:val="22"/>
          <w:lang w:val="en-US"/>
        </w:rPr>
        <w:t>rensen</w:t>
      </w:r>
      <w:r w:rsidRPr="00A01E55">
        <w:rPr>
          <w:rFonts w:ascii="Arial" w:hAnsi="Arial" w:cs="Arial"/>
          <w:color w:val="1A1A1A"/>
          <w:sz w:val="22"/>
          <w:szCs w:val="22"/>
          <w:vertAlign w:val="superscript"/>
          <w:lang w:val="en-US"/>
        </w:rPr>
        <w:t>1</w:t>
      </w:r>
      <w:r>
        <w:rPr>
          <w:rFonts w:ascii="Arial" w:hAnsi="Arial" w:cs="Arial"/>
          <w:color w:val="1A1A1A"/>
          <w:sz w:val="22"/>
          <w:szCs w:val="22"/>
          <w:vertAlign w:val="superscript"/>
          <w:lang w:val="en-US"/>
        </w:rPr>
        <w:t>,*</w:t>
      </w:r>
      <w:r>
        <w:rPr>
          <w:rFonts w:ascii="Arial" w:hAnsi="Arial" w:cs="Arial"/>
          <w:color w:val="1A1A1A"/>
          <w:sz w:val="22"/>
          <w:szCs w:val="22"/>
          <w:lang w:val="en-US"/>
        </w:rPr>
        <w:t xml:space="preserve">, Duncan </w:t>
      </w:r>
      <w:r w:rsidR="00947B5E">
        <w:rPr>
          <w:rFonts w:ascii="Arial" w:hAnsi="Arial" w:cs="Arial"/>
          <w:color w:val="1A1A1A"/>
          <w:sz w:val="22"/>
          <w:szCs w:val="22"/>
          <w:lang w:val="en-US"/>
        </w:rPr>
        <w:t xml:space="preserve">D. </w:t>
      </w:r>
      <w:r>
        <w:rPr>
          <w:rFonts w:ascii="Arial" w:hAnsi="Arial" w:cs="Arial"/>
          <w:color w:val="1A1A1A"/>
          <w:sz w:val="22"/>
          <w:szCs w:val="22"/>
          <w:lang w:val="en-US"/>
        </w:rPr>
        <w:t>Cameron</w:t>
      </w:r>
      <w:r w:rsidRPr="00A01E55">
        <w:rPr>
          <w:rFonts w:ascii="Arial" w:hAnsi="Arial" w:cs="Arial"/>
          <w:color w:val="1A1A1A"/>
          <w:sz w:val="22"/>
          <w:szCs w:val="22"/>
          <w:vertAlign w:val="superscript"/>
          <w:lang w:val="en-US"/>
        </w:rPr>
        <w:t>2</w:t>
      </w:r>
      <w:r>
        <w:rPr>
          <w:rFonts w:ascii="Arial" w:hAnsi="Arial" w:cs="Arial"/>
          <w:color w:val="1A1A1A"/>
          <w:sz w:val="22"/>
          <w:szCs w:val="22"/>
          <w:lang w:val="en-US"/>
        </w:rPr>
        <w:t xml:space="preserve">, Michael </w:t>
      </w:r>
      <w:r w:rsidR="004778C7">
        <w:rPr>
          <w:rFonts w:ascii="Arial" w:hAnsi="Arial" w:cs="Arial"/>
          <w:color w:val="1A1A1A"/>
          <w:sz w:val="22"/>
          <w:szCs w:val="22"/>
          <w:lang w:val="en-US"/>
        </w:rPr>
        <w:t xml:space="preserve">A. </w:t>
      </w:r>
      <w:r>
        <w:rPr>
          <w:rFonts w:ascii="Arial" w:hAnsi="Arial" w:cs="Arial"/>
          <w:color w:val="1A1A1A"/>
          <w:sz w:val="22"/>
          <w:szCs w:val="22"/>
          <w:lang w:val="en-US"/>
        </w:rPr>
        <w:t>Brockhurst</w:t>
      </w:r>
      <w:r w:rsidRPr="00A01E55">
        <w:rPr>
          <w:rFonts w:ascii="Arial" w:hAnsi="Arial" w:cs="Arial"/>
          <w:color w:val="1A1A1A"/>
          <w:sz w:val="22"/>
          <w:szCs w:val="22"/>
          <w:vertAlign w:val="superscript"/>
          <w:lang w:val="en-US"/>
        </w:rPr>
        <w:t>1</w:t>
      </w:r>
      <w:r>
        <w:rPr>
          <w:rFonts w:ascii="Arial" w:hAnsi="Arial" w:cs="Arial"/>
          <w:color w:val="1A1A1A"/>
          <w:sz w:val="22"/>
          <w:szCs w:val="22"/>
          <w:lang w:val="en-US"/>
        </w:rPr>
        <w:t>, A. Jamie Wood</w:t>
      </w:r>
      <w:r w:rsidRPr="00A01E55">
        <w:rPr>
          <w:rFonts w:ascii="Arial" w:hAnsi="Arial" w:cs="Arial"/>
          <w:color w:val="1A1A1A"/>
          <w:sz w:val="22"/>
          <w:szCs w:val="22"/>
          <w:vertAlign w:val="superscript"/>
          <w:lang w:val="en-US"/>
        </w:rPr>
        <w:t>1</w:t>
      </w:r>
      <w:proofErr w:type="gramStart"/>
      <w:r w:rsidRPr="00A01E55">
        <w:rPr>
          <w:rFonts w:ascii="Arial" w:hAnsi="Arial" w:cs="Arial"/>
          <w:color w:val="1A1A1A"/>
          <w:sz w:val="22"/>
          <w:szCs w:val="22"/>
          <w:vertAlign w:val="superscript"/>
          <w:lang w:val="en-US"/>
        </w:rPr>
        <w:t>,3</w:t>
      </w:r>
      <w:proofErr w:type="gramEnd"/>
      <w:r>
        <w:rPr>
          <w:rFonts w:ascii="Arial" w:hAnsi="Arial" w:cs="Arial"/>
          <w:color w:val="1A1A1A"/>
          <w:sz w:val="22"/>
          <w:szCs w:val="22"/>
          <w:vertAlign w:val="superscript"/>
          <w:lang w:val="en-US"/>
        </w:rPr>
        <w:t>,*</w:t>
      </w:r>
    </w:p>
    <w:p w14:paraId="3F9B2ECB" w14:textId="77777777" w:rsidR="00A01E55" w:rsidRDefault="00A01E55" w:rsidP="00BF0803">
      <w:pPr>
        <w:rPr>
          <w:rFonts w:ascii="Arial" w:hAnsi="Arial" w:cs="Arial"/>
          <w:color w:val="1A1A1A"/>
          <w:sz w:val="22"/>
          <w:szCs w:val="22"/>
          <w:vertAlign w:val="superscript"/>
          <w:lang w:val="en-US"/>
        </w:rPr>
      </w:pPr>
    </w:p>
    <w:p w14:paraId="3F5EE9E7" w14:textId="77777777" w:rsidR="00A01E55" w:rsidRDefault="00A01E55" w:rsidP="00A01E55">
      <w:pPr>
        <w:rPr>
          <w:rFonts w:ascii="Arial" w:hAnsi="Arial" w:cs="Arial"/>
          <w:color w:val="1A1A1A"/>
          <w:sz w:val="22"/>
          <w:szCs w:val="22"/>
          <w:lang w:val="en-US"/>
        </w:rPr>
      </w:pPr>
      <w:r w:rsidRPr="00A01E55">
        <w:rPr>
          <w:rFonts w:ascii="Arial" w:hAnsi="Arial" w:cs="Arial"/>
          <w:color w:val="1A1A1A"/>
          <w:sz w:val="22"/>
          <w:szCs w:val="22"/>
          <w:vertAlign w:val="superscript"/>
          <w:lang w:val="en-US"/>
        </w:rPr>
        <w:t>1</w:t>
      </w:r>
      <w:r>
        <w:rPr>
          <w:rFonts w:ascii="Arial" w:hAnsi="Arial" w:cs="Arial"/>
          <w:color w:val="1A1A1A"/>
          <w:sz w:val="22"/>
          <w:szCs w:val="22"/>
          <w:lang w:val="en-US"/>
        </w:rPr>
        <w:t xml:space="preserve">Department of Biology, </w:t>
      </w:r>
      <w:r w:rsidRPr="00A01E55">
        <w:rPr>
          <w:rFonts w:ascii="Arial" w:hAnsi="Arial" w:cs="Arial"/>
          <w:color w:val="1A1A1A"/>
          <w:sz w:val="22"/>
          <w:szCs w:val="22"/>
          <w:lang w:val="en-US"/>
        </w:rPr>
        <w:t>University of York</w:t>
      </w:r>
      <w:r>
        <w:rPr>
          <w:rFonts w:ascii="Arial" w:hAnsi="Arial" w:cs="Arial"/>
          <w:color w:val="1A1A1A"/>
          <w:sz w:val="22"/>
          <w:szCs w:val="22"/>
          <w:lang w:val="en-US"/>
        </w:rPr>
        <w:t>, York, YO10 5GG</w:t>
      </w:r>
    </w:p>
    <w:p w14:paraId="374019B0" w14:textId="77777777" w:rsidR="009D4516" w:rsidRDefault="00A01E55" w:rsidP="009D4516">
      <w:pPr>
        <w:rPr>
          <w:rFonts w:ascii="Arial" w:hAnsi="Arial" w:cs="Arial"/>
          <w:color w:val="1A1A1A"/>
          <w:sz w:val="22"/>
          <w:szCs w:val="22"/>
          <w:lang w:val="en-US"/>
        </w:rPr>
      </w:pPr>
      <w:r w:rsidRPr="00A01E55">
        <w:rPr>
          <w:rFonts w:ascii="Arial" w:hAnsi="Arial" w:cs="Arial"/>
          <w:color w:val="1A1A1A"/>
          <w:sz w:val="22"/>
          <w:szCs w:val="22"/>
          <w:vertAlign w:val="superscript"/>
          <w:lang w:val="en-US"/>
        </w:rPr>
        <w:t>2</w:t>
      </w:r>
      <w:r w:rsidR="009D4516" w:rsidRPr="009D4516">
        <w:rPr>
          <w:rFonts w:ascii="Arial" w:hAnsi="Arial" w:cs="Arial"/>
          <w:color w:val="1A1A1A"/>
          <w:sz w:val="22"/>
          <w:szCs w:val="22"/>
          <w:lang w:val="en-US"/>
        </w:rPr>
        <w:t>De</w:t>
      </w:r>
      <w:r w:rsidR="009D4516">
        <w:rPr>
          <w:rFonts w:ascii="Arial" w:hAnsi="Arial" w:cs="Arial"/>
          <w:color w:val="1A1A1A"/>
          <w:sz w:val="22"/>
          <w:szCs w:val="22"/>
          <w:lang w:val="en-US"/>
        </w:rPr>
        <w:t>partment of Animal and Plant Sciences, University of Sheffield, Western Bank, Sheffield, S10 2TN</w:t>
      </w:r>
    </w:p>
    <w:p w14:paraId="31263574" w14:textId="77777777" w:rsidR="00A01E55" w:rsidRDefault="00A01E55" w:rsidP="00A01E55">
      <w:pPr>
        <w:rPr>
          <w:rFonts w:ascii="Arial" w:hAnsi="Arial" w:cs="Arial"/>
          <w:color w:val="1A1A1A"/>
          <w:sz w:val="22"/>
          <w:szCs w:val="22"/>
          <w:lang w:val="en-US"/>
        </w:rPr>
      </w:pPr>
      <w:r w:rsidRPr="00A01E55">
        <w:rPr>
          <w:rFonts w:ascii="Arial" w:hAnsi="Arial" w:cs="Arial"/>
          <w:color w:val="1A1A1A"/>
          <w:sz w:val="22"/>
          <w:szCs w:val="22"/>
          <w:vertAlign w:val="superscript"/>
          <w:lang w:val="en-US"/>
        </w:rPr>
        <w:t>3</w:t>
      </w:r>
      <w:r>
        <w:rPr>
          <w:rFonts w:ascii="Arial" w:hAnsi="Arial" w:cs="Arial"/>
          <w:color w:val="1A1A1A"/>
          <w:sz w:val="22"/>
          <w:szCs w:val="22"/>
          <w:lang w:val="en-US"/>
        </w:rPr>
        <w:t xml:space="preserve">Department of Mathematics, </w:t>
      </w:r>
      <w:r w:rsidRPr="00A01E55">
        <w:rPr>
          <w:rFonts w:ascii="Arial" w:hAnsi="Arial" w:cs="Arial"/>
          <w:color w:val="1A1A1A"/>
          <w:sz w:val="22"/>
          <w:szCs w:val="22"/>
          <w:lang w:val="en-US"/>
        </w:rPr>
        <w:t>University of York</w:t>
      </w:r>
      <w:r>
        <w:rPr>
          <w:rFonts w:ascii="Arial" w:hAnsi="Arial" w:cs="Arial"/>
          <w:color w:val="1A1A1A"/>
          <w:sz w:val="22"/>
          <w:szCs w:val="22"/>
          <w:lang w:val="en-US"/>
        </w:rPr>
        <w:t>, York, YO10 5GG</w:t>
      </w:r>
    </w:p>
    <w:p w14:paraId="21DD65AE" w14:textId="77777777" w:rsidR="00A01E55" w:rsidRPr="00A01E55" w:rsidRDefault="00A01E55" w:rsidP="00BF0803">
      <w:pPr>
        <w:rPr>
          <w:rFonts w:ascii="Arial" w:hAnsi="Arial" w:cs="Arial"/>
          <w:color w:val="1A1A1A"/>
          <w:sz w:val="22"/>
          <w:szCs w:val="22"/>
          <w:lang w:val="en-US"/>
        </w:rPr>
      </w:pPr>
    </w:p>
    <w:p w14:paraId="45928313" w14:textId="77777777" w:rsidR="00A01E55" w:rsidRPr="00A01E55" w:rsidRDefault="00A01E55" w:rsidP="00BF0803">
      <w:pPr>
        <w:rPr>
          <w:rFonts w:ascii="Arial" w:hAnsi="Arial" w:cs="Arial"/>
          <w:color w:val="1A1A1A"/>
          <w:sz w:val="22"/>
          <w:szCs w:val="22"/>
          <w:lang w:val="en-US"/>
        </w:rPr>
      </w:pPr>
      <w:r>
        <w:rPr>
          <w:rFonts w:ascii="Arial" w:hAnsi="Arial" w:cs="Arial"/>
          <w:color w:val="1A1A1A"/>
          <w:sz w:val="22"/>
          <w:szCs w:val="22"/>
          <w:lang w:val="en-US"/>
        </w:rPr>
        <w:t>* Corresponding authors</w:t>
      </w:r>
    </w:p>
    <w:p w14:paraId="20BB58F4" w14:textId="77777777" w:rsidR="00A01E55" w:rsidRDefault="00A01E55" w:rsidP="00BF0803">
      <w:pPr>
        <w:rPr>
          <w:rFonts w:ascii="Arial" w:hAnsi="Arial" w:cs="Arial"/>
          <w:color w:val="1A1A1A"/>
          <w:sz w:val="22"/>
          <w:szCs w:val="22"/>
          <w:lang w:val="en-US"/>
        </w:rPr>
      </w:pPr>
    </w:p>
    <w:p w14:paraId="4E505571" w14:textId="77777777" w:rsidR="00A01E55" w:rsidRDefault="00A01E55" w:rsidP="00BF0803">
      <w:pPr>
        <w:rPr>
          <w:rFonts w:ascii="Arial" w:hAnsi="Arial" w:cs="Arial"/>
          <w:color w:val="1A1A1A"/>
          <w:sz w:val="22"/>
          <w:szCs w:val="22"/>
          <w:lang w:val="en-US"/>
        </w:rPr>
      </w:pPr>
      <w:proofErr w:type="gramStart"/>
      <w:r>
        <w:rPr>
          <w:rFonts w:ascii="Arial" w:hAnsi="Arial" w:cs="Arial"/>
          <w:color w:val="1A1A1A"/>
          <w:sz w:val="22"/>
          <w:szCs w:val="22"/>
          <w:lang w:val="en-US"/>
        </w:rPr>
        <w:t>email</w:t>
      </w:r>
      <w:proofErr w:type="gramEnd"/>
      <w:r>
        <w:rPr>
          <w:rFonts w:ascii="Arial" w:hAnsi="Arial" w:cs="Arial"/>
          <w:color w:val="1A1A1A"/>
          <w:sz w:val="22"/>
          <w:szCs w:val="22"/>
          <w:lang w:val="en-US"/>
        </w:rPr>
        <w:t xml:space="preserve">: </w:t>
      </w:r>
      <w:hyperlink r:id="rId8" w:history="1">
        <w:r w:rsidRPr="00F020D9">
          <w:rPr>
            <w:rStyle w:val="Hyperlink"/>
            <w:rFonts w:ascii="Arial" w:hAnsi="Arial" w:cs="Arial"/>
            <w:sz w:val="22"/>
            <w:szCs w:val="22"/>
            <w:lang w:val="en-US"/>
          </w:rPr>
          <w:t>mess500@york.ac.uk</w:t>
        </w:r>
      </w:hyperlink>
      <w:r>
        <w:rPr>
          <w:rFonts w:ascii="Arial" w:hAnsi="Arial" w:cs="Arial"/>
          <w:color w:val="1A1A1A"/>
          <w:sz w:val="22"/>
          <w:szCs w:val="22"/>
          <w:lang w:val="en-US"/>
        </w:rPr>
        <w:t xml:space="preserve">, </w:t>
      </w:r>
      <w:hyperlink r:id="rId9" w:history="1">
        <w:r w:rsidRPr="00F020D9">
          <w:rPr>
            <w:rStyle w:val="Hyperlink"/>
            <w:rFonts w:ascii="Arial" w:hAnsi="Arial" w:cs="Arial"/>
            <w:sz w:val="22"/>
            <w:szCs w:val="22"/>
            <w:lang w:val="en-US"/>
          </w:rPr>
          <w:t>jamie.wood@york.ac.uk</w:t>
        </w:r>
      </w:hyperlink>
    </w:p>
    <w:p w14:paraId="7AEAB0DB" w14:textId="77777777" w:rsidR="00A01E55" w:rsidRDefault="00A01E55" w:rsidP="00BF0803">
      <w:pPr>
        <w:rPr>
          <w:rFonts w:ascii="Arial" w:hAnsi="Arial" w:cs="Arial"/>
          <w:color w:val="1A1A1A"/>
          <w:sz w:val="22"/>
          <w:szCs w:val="22"/>
          <w:lang w:val="en-US"/>
        </w:rPr>
      </w:pPr>
    </w:p>
    <w:p w14:paraId="188FB57A" w14:textId="77777777" w:rsidR="00B3179C" w:rsidRPr="00B3179C" w:rsidRDefault="00B3179C" w:rsidP="00B3179C">
      <w:pPr>
        <w:rPr>
          <w:rFonts w:ascii="Arial" w:hAnsi="Arial" w:cs="Arial"/>
          <w:b/>
          <w:color w:val="1A1A1A"/>
          <w:sz w:val="22"/>
          <w:szCs w:val="22"/>
          <w:lang w:val="en-US"/>
        </w:rPr>
      </w:pPr>
      <w:r w:rsidRPr="00B3179C">
        <w:rPr>
          <w:rFonts w:ascii="Arial" w:hAnsi="Arial" w:cs="Arial"/>
          <w:b/>
          <w:color w:val="1A1A1A"/>
          <w:sz w:val="22"/>
          <w:szCs w:val="22"/>
          <w:lang w:val="en-US"/>
        </w:rPr>
        <w:t>Competing Interests</w:t>
      </w:r>
    </w:p>
    <w:p w14:paraId="5C31BCCB" w14:textId="77777777" w:rsidR="00B3179C" w:rsidRPr="00B3179C" w:rsidRDefault="00B3179C" w:rsidP="00B3179C">
      <w:pPr>
        <w:rPr>
          <w:rFonts w:ascii="Arial" w:hAnsi="Arial" w:cs="Arial"/>
          <w:b/>
          <w:color w:val="1A1A1A"/>
          <w:sz w:val="22"/>
          <w:szCs w:val="22"/>
          <w:lang w:val="en-US"/>
        </w:rPr>
      </w:pPr>
    </w:p>
    <w:p w14:paraId="7B24AFC7" w14:textId="77777777" w:rsidR="00B3179C" w:rsidRPr="00B3179C" w:rsidRDefault="00B3179C" w:rsidP="00B3179C">
      <w:pPr>
        <w:rPr>
          <w:rFonts w:ascii="Arial" w:hAnsi="Arial" w:cs="Arial"/>
          <w:color w:val="1A1A1A"/>
          <w:sz w:val="22"/>
          <w:szCs w:val="22"/>
          <w:lang w:val="en-US"/>
        </w:rPr>
      </w:pPr>
      <w:r w:rsidRPr="00B3179C">
        <w:rPr>
          <w:rFonts w:ascii="Arial" w:hAnsi="Arial" w:cs="Arial"/>
          <w:color w:val="1A1A1A"/>
          <w:sz w:val="22"/>
          <w:szCs w:val="22"/>
          <w:lang w:val="en-US"/>
        </w:rPr>
        <w:t>The authors have declared that no competing interests exist.</w:t>
      </w:r>
    </w:p>
    <w:p w14:paraId="4978650C" w14:textId="77777777" w:rsidR="00B3179C" w:rsidRPr="00B3179C" w:rsidRDefault="00B3179C" w:rsidP="00B3179C">
      <w:pPr>
        <w:rPr>
          <w:rFonts w:ascii="Arial" w:hAnsi="Arial" w:cs="Arial"/>
          <w:b/>
          <w:color w:val="1A1A1A"/>
          <w:sz w:val="22"/>
          <w:szCs w:val="22"/>
          <w:lang w:val="en-US"/>
        </w:rPr>
      </w:pPr>
    </w:p>
    <w:p w14:paraId="2AC94BA9" w14:textId="77777777" w:rsidR="00B3179C" w:rsidRPr="00B3179C" w:rsidRDefault="00B3179C" w:rsidP="00B3179C">
      <w:pPr>
        <w:rPr>
          <w:rFonts w:ascii="Arial" w:hAnsi="Arial" w:cs="Arial"/>
          <w:b/>
          <w:color w:val="1A1A1A"/>
          <w:sz w:val="22"/>
          <w:szCs w:val="22"/>
          <w:lang w:val="en-US"/>
        </w:rPr>
      </w:pPr>
      <w:r w:rsidRPr="00B3179C">
        <w:rPr>
          <w:rFonts w:ascii="Arial" w:hAnsi="Arial" w:cs="Arial"/>
          <w:b/>
          <w:color w:val="1A1A1A"/>
          <w:sz w:val="22"/>
          <w:szCs w:val="22"/>
          <w:lang w:val="en-US"/>
        </w:rPr>
        <w:t>Author Contributions</w:t>
      </w:r>
    </w:p>
    <w:p w14:paraId="0768651F" w14:textId="77777777" w:rsidR="00B3179C" w:rsidRPr="00B3179C" w:rsidRDefault="00B3179C" w:rsidP="00B3179C">
      <w:pPr>
        <w:rPr>
          <w:rFonts w:ascii="Arial" w:hAnsi="Arial" w:cs="Arial"/>
          <w:b/>
          <w:color w:val="1A1A1A"/>
          <w:sz w:val="22"/>
          <w:szCs w:val="22"/>
          <w:lang w:val="en-US"/>
        </w:rPr>
      </w:pPr>
    </w:p>
    <w:p w14:paraId="4AFBF7C1" w14:textId="77777777" w:rsidR="00C86CCB" w:rsidRPr="00B3179C" w:rsidRDefault="00B3179C" w:rsidP="00B3179C">
      <w:pPr>
        <w:rPr>
          <w:rFonts w:ascii="Arial" w:hAnsi="Arial" w:cs="Arial"/>
          <w:color w:val="1A1A1A"/>
          <w:sz w:val="22"/>
          <w:szCs w:val="22"/>
          <w:lang w:val="en-US"/>
        </w:rPr>
      </w:pPr>
      <w:r w:rsidRPr="00B3179C">
        <w:rPr>
          <w:rFonts w:ascii="Arial" w:hAnsi="Arial" w:cs="Arial"/>
          <w:color w:val="1A1A1A"/>
          <w:sz w:val="22"/>
          <w:szCs w:val="22"/>
          <w:lang w:val="en-US"/>
        </w:rPr>
        <w:t xml:space="preserve">Conceived and designed the study: MESS, DDC, MAB, </w:t>
      </w:r>
      <w:proofErr w:type="gramStart"/>
      <w:r w:rsidRPr="00B3179C">
        <w:rPr>
          <w:rFonts w:ascii="Arial" w:hAnsi="Arial" w:cs="Arial"/>
          <w:color w:val="1A1A1A"/>
          <w:sz w:val="22"/>
          <w:szCs w:val="22"/>
          <w:lang w:val="en-US"/>
        </w:rPr>
        <w:t>AJW</w:t>
      </w:r>
      <w:proofErr w:type="gramEnd"/>
      <w:r w:rsidRPr="00B3179C">
        <w:rPr>
          <w:rFonts w:ascii="Arial" w:hAnsi="Arial" w:cs="Arial"/>
          <w:color w:val="1A1A1A"/>
          <w:sz w:val="22"/>
          <w:szCs w:val="22"/>
          <w:lang w:val="en-US"/>
        </w:rPr>
        <w:t>. Performed the experiments analyzed the data: MESS AJW. Wrote the paper: MESS, DDC, MAB, AJW</w:t>
      </w:r>
      <w:r w:rsidR="00C86CCB" w:rsidRPr="00B3179C">
        <w:rPr>
          <w:rFonts w:ascii="Arial" w:hAnsi="Arial" w:cs="Arial"/>
          <w:color w:val="1A1A1A"/>
          <w:sz w:val="22"/>
          <w:szCs w:val="22"/>
          <w:lang w:val="en-US"/>
        </w:rPr>
        <w:br w:type="page"/>
      </w:r>
    </w:p>
    <w:p w14:paraId="3F5C885F" w14:textId="77777777" w:rsidR="00A01E55" w:rsidRPr="00A01E55" w:rsidRDefault="00A01E55" w:rsidP="00BF0803">
      <w:pPr>
        <w:rPr>
          <w:rFonts w:ascii="Arial" w:hAnsi="Arial" w:cs="Arial"/>
          <w:b/>
          <w:color w:val="1A1A1A"/>
          <w:sz w:val="22"/>
          <w:szCs w:val="22"/>
          <w:lang w:val="en-US"/>
        </w:rPr>
      </w:pPr>
      <w:r w:rsidRPr="00A01E55">
        <w:rPr>
          <w:rFonts w:ascii="Arial" w:hAnsi="Arial" w:cs="Arial"/>
          <w:b/>
          <w:color w:val="1A1A1A"/>
          <w:sz w:val="22"/>
          <w:szCs w:val="22"/>
          <w:lang w:val="en-US"/>
        </w:rPr>
        <w:lastRenderedPageBreak/>
        <w:t>Abstract</w:t>
      </w:r>
    </w:p>
    <w:p w14:paraId="5BE87582" w14:textId="77777777" w:rsidR="00A01E55" w:rsidRDefault="00A01E55" w:rsidP="00BF0803">
      <w:pPr>
        <w:rPr>
          <w:rFonts w:ascii="Arial" w:hAnsi="Arial" w:cs="Arial"/>
          <w:color w:val="1A1A1A"/>
          <w:sz w:val="22"/>
          <w:szCs w:val="22"/>
          <w:lang w:val="en-US"/>
        </w:rPr>
      </w:pPr>
    </w:p>
    <w:p w14:paraId="7FF0E3A0" w14:textId="03B9714F" w:rsidR="00C86CCB" w:rsidRDefault="00596396" w:rsidP="007B00E4">
      <w:pPr>
        <w:spacing w:line="360" w:lineRule="auto"/>
        <w:rPr>
          <w:rFonts w:ascii="Arial" w:hAnsi="Arial" w:cs="Arial"/>
          <w:sz w:val="22"/>
        </w:rPr>
      </w:pPr>
      <w:r w:rsidRPr="00596396">
        <w:rPr>
          <w:rFonts w:ascii="Arial" w:hAnsi="Arial" w:cs="Arial"/>
          <w:sz w:val="22"/>
        </w:rPr>
        <w:t>Ancient evolutionary events are difficult to study because their current products are derived forms altered by m</w:t>
      </w:r>
      <w:r>
        <w:rPr>
          <w:rFonts w:ascii="Arial" w:hAnsi="Arial" w:cs="Arial"/>
          <w:sz w:val="22"/>
        </w:rPr>
        <w:t xml:space="preserve">illions of years of adaptation. </w:t>
      </w:r>
      <w:r w:rsidRPr="00596396">
        <w:rPr>
          <w:rFonts w:ascii="Arial" w:hAnsi="Arial" w:cs="Arial"/>
          <w:sz w:val="22"/>
        </w:rPr>
        <w:t>The primary endosymbiotic event formed the first</w:t>
      </w:r>
      <w:r>
        <w:rPr>
          <w:rFonts w:ascii="Arial" w:hAnsi="Arial" w:cs="Arial"/>
          <w:sz w:val="22"/>
        </w:rPr>
        <w:t xml:space="preserve"> photosynthetic eukaryote resulting in both</w:t>
      </w:r>
      <w:r w:rsidRPr="00596396">
        <w:rPr>
          <w:rFonts w:ascii="Arial" w:hAnsi="Arial" w:cs="Arial"/>
          <w:sz w:val="22"/>
        </w:rPr>
        <w:t xml:space="preserve"> </w:t>
      </w:r>
      <w:r>
        <w:rPr>
          <w:rFonts w:ascii="Arial" w:hAnsi="Arial" w:cs="Arial"/>
          <w:sz w:val="22"/>
        </w:rPr>
        <w:t>plants and algae</w:t>
      </w:r>
      <w:r w:rsidR="00533434">
        <w:rPr>
          <w:rFonts w:ascii="Arial" w:hAnsi="Arial" w:cs="Arial"/>
          <w:sz w:val="22"/>
        </w:rPr>
        <w:t>,</w:t>
      </w:r>
      <w:r>
        <w:rPr>
          <w:rFonts w:ascii="Arial" w:hAnsi="Arial" w:cs="Arial"/>
          <w:sz w:val="22"/>
        </w:rPr>
        <w:t xml:space="preserve"> with </w:t>
      </w:r>
      <w:r w:rsidRPr="00596396">
        <w:rPr>
          <w:rFonts w:ascii="Arial" w:hAnsi="Arial" w:cs="Arial"/>
          <w:sz w:val="22"/>
        </w:rPr>
        <w:t xml:space="preserve">vast consequences for life on earth. </w:t>
      </w:r>
      <w:r>
        <w:rPr>
          <w:rFonts w:ascii="Arial" w:hAnsi="Arial" w:cs="Arial"/>
          <w:sz w:val="22"/>
        </w:rPr>
        <w:t xml:space="preserve">The evolutionary time that passed since this event means the dominant mechanisms and changes </w:t>
      </w:r>
      <w:r w:rsidR="004778C7">
        <w:rPr>
          <w:rFonts w:ascii="Arial" w:hAnsi="Arial" w:cs="Arial"/>
          <w:sz w:val="22"/>
        </w:rPr>
        <w:t xml:space="preserve">that were </w:t>
      </w:r>
      <w:r>
        <w:rPr>
          <w:rFonts w:ascii="Arial" w:hAnsi="Arial" w:cs="Arial"/>
          <w:sz w:val="22"/>
        </w:rPr>
        <w:t xml:space="preserve">required are obscured. </w:t>
      </w:r>
      <w:r w:rsidR="004778C7">
        <w:rPr>
          <w:rFonts w:ascii="Arial" w:hAnsi="Arial" w:cs="Arial"/>
          <w:sz w:val="22"/>
        </w:rPr>
        <w:t xml:space="preserve">Synthetic symbioses such as the novel interaction between </w:t>
      </w:r>
      <w:r w:rsidRPr="00596396">
        <w:rPr>
          <w:rFonts w:ascii="Arial" w:hAnsi="Arial" w:cs="Arial"/>
          <w:i/>
          <w:sz w:val="22"/>
        </w:rPr>
        <w:t xml:space="preserve">Paramecium </w:t>
      </w:r>
      <w:r w:rsidR="004B7344">
        <w:rPr>
          <w:rFonts w:ascii="Arial" w:hAnsi="Arial" w:cs="Arial"/>
          <w:i/>
          <w:sz w:val="22"/>
        </w:rPr>
        <w:t>b</w:t>
      </w:r>
      <w:r w:rsidRPr="00596396">
        <w:rPr>
          <w:rFonts w:ascii="Arial" w:hAnsi="Arial" w:cs="Arial"/>
          <w:i/>
          <w:sz w:val="22"/>
        </w:rPr>
        <w:t>ursaria</w:t>
      </w:r>
      <w:r>
        <w:rPr>
          <w:rFonts w:ascii="Arial" w:hAnsi="Arial" w:cs="Arial"/>
          <w:sz w:val="22"/>
        </w:rPr>
        <w:t xml:space="preserve"> and </w:t>
      </w:r>
      <w:r w:rsidR="004778C7">
        <w:rPr>
          <w:rFonts w:ascii="Arial" w:hAnsi="Arial" w:cs="Arial"/>
          <w:sz w:val="22"/>
        </w:rPr>
        <w:t>the</w:t>
      </w:r>
      <w:r>
        <w:rPr>
          <w:rFonts w:ascii="Arial" w:hAnsi="Arial" w:cs="Arial"/>
          <w:sz w:val="22"/>
        </w:rPr>
        <w:t xml:space="preserve"> cyanobacteri</w:t>
      </w:r>
      <w:r w:rsidR="004778C7">
        <w:rPr>
          <w:rFonts w:ascii="Arial" w:hAnsi="Arial" w:cs="Arial"/>
          <w:sz w:val="22"/>
        </w:rPr>
        <w:t>um</w:t>
      </w:r>
      <w:r>
        <w:rPr>
          <w:rFonts w:ascii="Arial" w:hAnsi="Arial" w:cs="Arial"/>
          <w:sz w:val="22"/>
        </w:rPr>
        <w:t xml:space="preserve"> </w:t>
      </w:r>
      <w:r w:rsidR="007B00E4" w:rsidRPr="007B00E4">
        <w:rPr>
          <w:rFonts w:ascii="Arial" w:hAnsi="Arial" w:cs="Arial"/>
          <w:i/>
          <w:sz w:val="22"/>
        </w:rPr>
        <w:t>S</w:t>
      </w:r>
      <w:r w:rsidRPr="007B00E4">
        <w:rPr>
          <w:rFonts w:ascii="Arial" w:hAnsi="Arial" w:cs="Arial"/>
          <w:i/>
          <w:sz w:val="22"/>
        </w:rPr>
        <w:t xml:space="preserve">ynechocystis </w:t>
      </w:r>
      <w:r>
        <w:rPr>
          <w:rFonts w:ascii="Arial" w:hAnsi="Arial" w:cs="Arial"/>
          <w:sz w:val="22"/>
        </w:rPr>
        <w:t>PC6803</w:t>
      </w:r>
      <w:r w:rsidR="00533434">
        <w:rPr>
          <w:rFonts w:ascii="Arial" w:hAnsi="Arial" w:cs="Arial"/>
          <w:sz w:val="22"/>
        </w:rPr>
        <w:t>,</w:t>
      </w:r>
      <w:r>
        <w:rPr>
          <w:rFonts w:ascii="Arial" w:hAnsi="Arial" w:cs="Arial"/>
          <w:sz w:val="22"/>
        </w:rPr>
        <w:t xml:space="preserve"> </w:t>
      </w:r>
      <w:r w:rsidR="004778C7">
        <w:rPr>
          <w:rFonts w:ascii="Arial" w:hAnsi="Arial" w:cs="Arial"/>
          <w:sz w:val="22"/>
        </w:rPr>
        <w:t>recently established in the laboratory</w:t>
      </w:r>
      <w:r w:rsidR="00533434">
        <w:rPr>
          <w:rFonts w:ascii="Arial" w:hAnsi="Arial" w:cs="Arial"/>
          <w:sz w:val="22"/>
        </w:rPr>
        <w:t>,</w:t>
      </w:r>
      <w:r>
        <w:rPr>
          <w:rFonts w:ascii="Arial" w:hAnsi="Arial" w:cs="Arial"/>
          <w:sz w:val="22"/>
        </w:rPr>
        <w:t xml:space="preserve"> permits a unique window on the possible early trajectories</w:t>
      </w:r>
      <w:r w:rsidR="00533434">
        <w:rPr>
          <w:rFonts w:ascii="Arial" w:hAnsi="Arial" w:cs="Arial"/>
          <w:sz w:val="22"/>
        </w:rPr>
        <w:t xml:space="preserve"> of</w:t>
      </w:r>
      <w:r>
        <w:rPr>
          <w:rFonts w:ascii="Arial" w:hAnsi="Arial" w:cs="Arial"/>
          <w:sz w:val="22"/>
        </w:rPr>
        <w:t xml:space="preserve"> this critical evolutionary event.</w:t>
      </w:r>
      <w:r w:rsidRPr="00596396">
        <w:rPr>
          <w:rFonts w:ascii="Arial" w:hAnsi="Arial" w:cs="Arial"/>
          <w:sz w:val="22"/>
        </w:rPr>
        <w:t xml:space="preserve"> </w:t>
      </w:r>
      <w:r>
        <w:rPr>
          <w:rFonts w:ascii="Arial" w:hAnsi="Arial" w:cs="Arial"/>
          <w:sz w:val="22"/>
        </w:rPr>
        <w:t>Here we apply</w:t>
      </w:r>
      <w:r w:rsidRPr="00596396">
        <w:rPr>
          <w:rFonts w:ascii="Arial" w:hAnsi="Arial" w:cs="Arial"/>
          <w:sz w:val="22"/>
        </w:rPr>
        <w:t xml:space="preserve"> metabolic modelling, using flux balance analysis (FBA), to </w:t>
      </w:r>
      <w:r w:rsidR="004778C7">
        <w:rPr>
          <w:rFonts w:ascii="Arial" w:hAnsi="Arial" w:cs="Arial"/>
          <w:sz w:val="22"/>
        </w:rPr>
        <w:t>predict the</w:t>
      </w:r>
      <w:r w:rsidRPr="00596396">
        <w:rPr>
          <w:rFonts w:ascii="Arial" w:hAnsi="Arial" w:cs="Arial"/>
          <w:sz w:val="22"/>
        </w:rPr>
        <w:t xml:space="preserve"> metabolic adaptations necessary for </w:t>
      </w:r>
      <w:r w:rsidR="004778C7">
        <w:rPr>
          <w:rFonts w:ascii="Arial" w:hAnsi="Arial" w:cs="Arial"/>
          <w:sz w:val="22"/>
        </w:rPr>
        <w:t>this previously free-living symbiont</w:t>
      </w:r>
      <w:r w:rsidRPr="00596396">
        <w:rPr>
          <w:rFonts w:ascii="Arial" w:hAnsi="Arial" w:cs="Arial"/>
          <w:sz w:val="22"/>
        </w:rPr>
        <w:t xml:space="preserve"> to transition to </w:t>
      </w:r>
      <w:r w:rsidR="004778C7">
        <w:rPr>
          <w:rFonts w:ascii="Arial" w:hAnsi="Arial" w:cs="Arial"/>
          <w:sz w:val="22"/>
        </w:rPr>
        <w:t xml:space="preserve">the </w:t>
      </w:r>
      <w:r w:rsidRPr="00596396">
        <w:rPr>
          <w:rFonts w:ascii="Arial" w:hAnsi="Arial" w:cs="Arial"/>
          <w:sz w:val="22"/>
        </w:rPr>
        <w:t>endosymbiotic</w:t>
      </w:r>
      <w:r w:rsidR="004778C7">
        <w:rPr>
          <w:rFonts w:ascii="Arial" w:hAnsi="Arial" w:cs="Arial"/>
          <w:sz w:val="22"/>
        </w:rPr>
        <w:t xml:space="preserve"> niche</w:t>
      </w:r>
      <w:r w:rsidRPr="00596396">
        <w:rPr>
          <w:rFonts w:ascii="Arial" w:hAnsi="Arial" w:cs="Arial"/>
          <w:sz w:val="22"/>
        </w:rPr>
        <w:t xml:space="preserve">. </w:t>
      </w:r>
      <w:r>
        <w:rPr>
          <w:rFonts w:ascii="Arial" w:hAnsi="Arial" w:cs="Arial"/>
          <w:sz w:val="22"/>
        </w:rPr>
        <w:t xml:space="preserve">By </w:t>
      </w:r>
      <w:r w:rsidR="004778C7">
        <w:rPr>
          <w:rFonts w:ascii="Arial" w:hAnsi="Arial" w:cs="Arial"/>
          <w:sz w:val="22"/>
        </w:rPr>
        <w:t>enforcing reciprocal nutrient trading</w:t>
      </w:r>
      <w:r w:rsidR="007B00E4">
        <w:rPr>
          <w:rFonts w:ascii="Arial" w:hAnsi="Arial" w:cs="Arial"/>
          <w:sz w:val="22"/>
        </w:rPr>
        <w:t xml:space="preserve"> we are able to </w:t>
      </w:r>
      <w:r w:rsidR="004778C7">
        <w:rPr>
          <w:rFonts w:ascii="Arial" w:hAnsi="Arial" w:cs="Arial"/>
          <w:sz w:val="22"/>
        </w:rPr>
        <w:t xml:space="preserve">predict </w:t>
      </w:r>
      <w:r w:rsidR="007B00E4">
        <w:rPr>
          <w:rFonts w:ascii="Arial" w:hAnsi="Arial" w:cs="Arial"/>
          <w:sz w:val="22"/>
        </w:rPr>
        <w:t xml:space="preserve">the most efficient exchange nutrients for both host and symbiont. </w:t>
      </w:r>
      <w:r w:rsidR="004778C7">
        <w:rPr>
          <w:rFonts w:ascii="Arial" w:hAnsi="Arial" w:cs="Arial"/>
          <w:sz w:val="22"/>
        </w:rPr>
        <w:t xml:space="preserve">During the transition from free-living to obligate symbiosis </w:t>
      </w:r>
      <w:r w:rsidR="00F05844">
        <w:rPr>
          <w:rFonts w:ascii="Arial" w:hAnsi="Arial" w:cs="Arial"/>
          <w:sz w:val="22"/>
        </w:rPr>
        <w:t>it is likely that</w:t>
      </w:r>
      <w:r w:rsidR="007B00E4">
        <w:rPr>
          <w:rFonts w:ascii="Arial" w:hAnsi="Arial" w:cs="Arial"/>
          <w:sz w:val="22"/>
        </w:rPr>
        <w:t xml:space="preserve"> the trading parameters</w:t>
      </w:r>
      <w:r w:rsidR="00F05844">
        <w:rPr>
          <w:rFonts w:ascii="Arial" w:hAnsi="Arial" w:cs="Arial"/>
          <w:sz w:val="22"/>
        </w:rPr>
        <w:t xml:space="preserve"> will change over time, which leads in our model</w:t>
      </w:r>
      <w:r w:rsidR="007B00E4">
        <w:rPr>
          <w:rFonts w:ascii="Arial" w:hAnsi="Arial" w:cs="Arial"/>
          <w:sz w:val="22"/>
        </w:rPr>
        <w:t xml:space="preserve"> </w:t>
      </w:r>
      <w:r w:rsidR="00F05844">
        <w:rPr>
          <w:rFonts w:ascii="Arial" w:hAnsi="Arial" w:cs="Arial"/>
          <w:sz w:val="22"/>
        </w:rPr>
        <w:t>to</w:t>
      </w:r>
      <w:r w:rsidR="007B00E4">
        <w:rPr>
          <w:rFonts w:ascii="Arial" w:hAnsi="Arial" w:cs="Arial"/>
          <w:sz w:val="22"/>
        </w:rPr>
        <w:t xml:space="preserve"> discontinuous change</w:t>
      </w:r>
      <w:r w:rsidR="00F05844">
        <w:rPr>
          <w:rFonts w:ascii="Arial" w:hAnsi="Arial" w:cs="Arial"/>
          <w:sz w:val="22"/>
        </w:rPr>
        <w:t>s</w:t>
      </w:r>
      <w:r w:rsidR="007B00E4">
        <w:rPr>
          <w:rFonts w:ascii="Arial" w:hAnsi="Arial" w:cs="Arial"/>
          <w:sz w:val="22"/>
        </w:rPr>
        <w:t xml:space="preserve"> in the preferred </w:t>
      </w:r>
      <w:r w:rsidR="00F05844">
        <w:rPr>
          <w:rFonts w:ascii="Arial" w:hAnsi="Arial" w:cs="Arial"/>
          <w:sz w:val="22"/>
        </w:rPr>
        <w:t xml:space="preserve">exchange </w:t>
      </w:r>
      <w:r w:rsidR="007B00E4">
        <w:rPr>
          <w:rFonts w:ascii="Arial" w:hAnsi="Arial" w:cs="Arial"/>
          <w:sz w:val="22"/>
        </w:rPr>
        <w:t>nutrient</w:t>
      </w:r>
      <w:r w:rsidR="00F05844">
        <w:rPr>
          <w:rFonts w:ascii="Arial" w:hAnsi="Arial" w:cs="Arial"/>
          <w:sz w:val="22"/>
        </w:rPr>
        <w:t>s</w:t>
      </w:r>
      <w:r w:rsidR="007B00E4">
        <w:rPr>
          <w:rFonts w:ascii="Arial" w:hAnsi="Arial" w:cs="Arial"/>
          <w:sz w:val="22"/>
        </w:rPr>
        <w:t xml:space="preserve">. Our </w:t>
      </w:r>
      <w:r w:rsidR="007B00E4" w:rsidRPr="00596396">
        <w:rPr>
          <w:rFonts w:ascii="Arial" w:hAnsi="Arial" w:cs="Arial"/>
          <w:sz w:val="22"/>
        </w:rPr>
        <w:t>results show the app</w:t>
      </w:r>
      <w:r w:rsidR="007B00E4">
        <w:rPr>
          <w:rFonts w:ascii="Arial" w:hAnsi="Arial" w:cs="Arial"/>
          <w:sz w:val="22"/>
        </w:rPr>
        <w:t xml:space="preserve">licability of FBA modelling to </w:t>
      </w:r>
      <w:r w:rsidR="007B00E4" w:rsidRPr="00596396">
        <w:rPr>
          <w:rFonts w:ascii="Arial" w:hAnsi="Arial" w:cs="Arial"/>
          <w:sz w:val="22"/>
        </w:rPr>
        <w:t xml:space="preserve">ancient evolutionary transitions driven by metabolic exchanges, </w:t>
      </w:r>
      <w:r w:rsidR="007B00E4">
        <w:rPr>
          <w:rFonts w:ascii="Arial" w:hAnsi="Arial" w:cs="Arial"/>
          <w:sz w:val="22"/>
        </w:rPr>
        <w:t xml:space="preserve">and </w:t>
      </w:r>
      <w:r w:rsidR="00F05844">
        <w:rPr>
          <w:rFonts w:ascii="Arial" w:hAnsi="Arial" w:cs="Arial"/>
          <w:sz w:val="22"/>
        </w:rPr>
        <w:t xml:space="preserve">predicts </w:t>
      </w:r>
      <w:r w:rsidR="007B00E4">
        <w:rPr>
          <w:rFonts w:ascii="Arial" w:hAnsi="Arial" w:cs="Arial"/>
          <w:sz w:val="22"/>
        </w:rPr>
        <w:t>how newly established endosymbios</w:t>
      </w:r>
      <w:r w:rsidR="00F05844">
        <w:rPr>
          <w:rFonts w:ascii="Arial" w:hAnsi="Arial" w:cs="Arial"/>
          <w:sz w:val="22"/>
        </w:rPr>
        <w:t>e</w:t>
      </w:r>
      <w:r w:rsidR="007B00E4">
        <w:rPr>
          <w:rFonts w:ascii="Arial" w:hAnsi="Arial" w:cs="Arial"/>
          <w:sz w:val="22"/>
        </w:rPr>
        <w:t xml:space="preserve">s, </w:t>
      </w:r>
      <w:r w:rsidR="007B00E4" w:rsidRPr="00596396">
        <w:rPr>
          <w:rFonts w:ascii="Arial" w:hAnsi="Arial" w:cs="Arial"/>
          <w:sz w:val="22"/>
        </w:rPr>
        <w:t>governe</w:t>
      </w:r>
      <w:r w:rsidR="007B00E4">
        <w:rPr>
          <w:rFonts w:ascii="Arial" w:hAnsi="Arial" w:cs="Arial"/>
          <w:sz w:val="22"/>
        </w:rPr>
        <w:t xml:space="preserve">d by conflict, </w:t>
      </w:r>
      <w:r w:rsidR="00F05844">
        <w:rPr>
          <w:rFonts w:ascii="Arial" w:hAnsi="Arial" w:cs="Arial"/>
          <w:sz w:val="22"/>
        </w:rPr>
        <w:t xml:space="preserve">will </w:t>
      </w:r>
      <w:r w:rsidR="007B00E4">
        <w:rPr>
          <w:rFonts w:ascii="Arial" w:hAnsi="Arial" w:cs="Arial"/>
          <w:sz w:val="22"/>
        </w:rPr>
        <w:t xml:space="preserve">differ from </w:t>
      </w:r>
      <w:r w:rsidR="007B00E4" w:rsidRPr="00596396">
        <w:rPr>
          <w:rFonts w:ascii="Arial" w:hAnsi="Arial" w:cs="Arial"/>
          <w:sz w:val="22"/>
        </w:rPr>
        <w:t>a well-developed one that has reached a mutual-benefit state.</w:t>
      </w:r>
    </w:p>
    <w:p w14:paraId="57596470" w14:textId="77777777" w:rsidR="00C86CCB" w:rsidRDefault="00C86CCB" w:rsidP="007B00E4">
      <w:pPr>
        <w:spacing w:line="360" w:lineRule="auto"/>
        <w:rPr>
          <w:rFonts w:ascii="Arial" w:hAnsi="Arial" w:cs="Arial"/>
          <w:sz w:val="22"/>
        </w:rPr>
      </w:pPr>
    </w:p>
    <w:p w14:paraId="1B6F0B82" w14:textId="77777777" w:rsidR="00B002A2" w:rsidRDefault="00B002A2">
      <w:pPr>
        <w:rPr>
          <w:rFonts w:ascii="Arial" w:hAnsi="Arial" w:cs="Arial"/>
          <w:sz w:val="22"/>
        </w:rPr>
      </w:pPr>
      <w:r>
        <w:rPr>
          <w:rFonts w:ascii="Arial" w:hAnsi="Arial" w:cs="Arial"/>
          <w:sz w:val="22"/>
        </w:rPr>
        <w:br w:type="page"/>
      </w:r>
    </w:p>
    <w:p w14:paraId="48CBF6AD" w14:textId="34A8B77D" w:rsidR="00241B7C" w:rsidRPr="005F5C62" w:rsidRDefault="00241B7C" w:rsidP="00BF0803">
      <w:pPr>
        <w:spacing w:line="360" w:lineRule="auto"/>
        <w:rPr>
          <w:rFonts w:ascii="Arial" w:hAnsi="Arial" w:cs="Arial"/>
          <w:b/>
          <w:sz w:val="22"/>
          <w:szCs w:val="22"/>
        </w:rPr>
      </w:pPr>
      <w:r>
        <w:rPr>
          <w:rFonts w:ascii="Arial" w:hAnsi="Arial" w:cs="Arial"/>
          <w:b/>
          <w:sz w:val="22"/>
          <w:szCs w:val="22"/>
        </w:rPr>
        <w:lastRenderedPageBreak/>
        <w:t>Introduction</w:t>
      </w:r>
    </w:p>
    <w:p w14:paraId="53C331F3" w14:textId="77777777" w:rsidR="00241B7C" w:rsidRPr="005F5C62" w:rsidRDefault="00241B7C" w:rsidP="00BF0803">
      <w:pPr>
        <w:spacing w:line="360" w:lineRule="auto"/>
        <w:rPr>
          <w:rFonts w:ascii="Arial" w:hAnsi="Arial" w:cs="Arial"/>
          <w:sz w:val="22"/>
          <w:szCs w:val="22"/>
        </w:rPr>
      </w:pPr>
    </w:p>
    <w:p w14:paraId="5262C4A6" w14:textId="29C19E59" w:rsidR="00251E87" w:rsidRPr="00352040" w:rsidRDefault="00241B7C" w:rsidP="00EE1DBC">
      <w:pPr>
        <w:spacing w:line="360" w:lineRule="auto"/>
        <w:rPr>
          <w:rFonts w:ascii="Arial" w:hAnsi="Arial" w:cs="Arial"/>
          <w:b/>
          <w:sz w:val="22"/>
          <w:szCs w:val="22"/>
        </w:rPr>
      </w:pPr>
      <w:r w:rsidRPr="00251E87">
        <w:rPr>
          <w:rFonts w:ascii="Arial" w:hAnsi="Arial" w:cs="Arial"/>
          <w:sz w:val="22"/>
          <w:szCs w:val="22"/>
        </w:rPr>
        <w:t>Endosymbiosis</w:t>
      </w:r>
      <w:r w:rsidR="009D4516" w:rsidRPr="00251E87">
        <w:rPr>
          <w:rFonts w:ascii="Arial" w:hAnsi="Arial" w:cs="Arial"/>
          <w:sz w:val="22"/>
          <w:szCs w:val="22"/>
        </w:rPr>
        <w:t>, a symbiotic relationship where one organism resides within another,</w:t>
      </w:r>
      <w:r w:rsidRPr="00251E87">
        <w:rPr>
          <w:rFonts w:ascii="Arial" w:hAnsi="Arial" w:cs="Arial"/>
          <w:sz w:val="22"/>
          <w:szCs w:val="22"/>
        </w:rPr>
        <w:t xml:space="preserve"> has led to some of the most important transitions in the evolution of eukaryotes, including their origin </w:t>
      </w:r>
      <w:r w:rsidRPr="00352040">
        <w:rPr>
          <w:rFonts w:ascii="Arial" w:hAnsi="Arial" w:cs="Arial"/>
          <w:sz w:val="22"/>
          <w:szCs w:val="22"/>
        </w:rPr>
        <w:t xml:space="preserve">and later the formation of photosynthetic eukaryotes </w:t>
      </w:r>
      <w:r w:rsidR="003C44C2" w:rsidRPr="00352040">
        <w:rPr>
          <w:rFonts w:ascii="Arial" w:hAnsi="Arial" w:cs="Arial"/>
          <w:sz w:val="22"/>
          <w:szCs w:val="22"/>
        </w:rPr>
        <w:fldChar w:fldCharType="begin"/>
      </w:r>
      <w:r w:rsidR="00E333C8" w:rsidRPr="00352040">
        <w:rPr>
          <w:rFonts w:ascii="Arial" w:hAnsi="Arial" w:cs="Arial"/>
          <w:sz w:val="22"/>
          <w:szCs w:val="22"/>
        </w:rPr>
        <w:instrText xml:space="preserve"> ADDIN ZOTERO_ITEM CSL_CITATION {"citationID":"1uiefspolh","properties":{"formattedCitation":"(1)","plainCitation":"(1)"},"citationItems":[{"id":272,"uris":["http://zotero.org/users/2452229/items/7ERCMGVA"],"uri":["http://zotero.org/users/2452229/items/7ERCMGVA"],"itemData":{"id":272,"type":"article-journal","title":"The number, speed, and impact of plastid endosymbioses in eukaryotic evolution.","container-title":"Annual review of plant biology","page":"583-607","volume":"64","abstract":"Plastids (chloroplasts) have long been recognized to have originated by endosymbiosis of a cyanobacterium, but their subsequent evolutionary history has proved complex because they have also moved between eukaryotes during additional rounds of secondary and tertiary endosymbioses. Much of this history has been revealed by genomic analyses, but some debates remain unresolved, in particular those relating to secondary red plastids of the chromalveolates, especially cryptomonads. Here, I examine several fundamental questions and assumptions about endosymbiosis and plastid evolution, including the number of endosymbiotic events needed to explain plastid diversity, whether the genetic contribution of the endosymbionts to the host genome goes far beyond plastid-targeted genes, and whether organelle origins are best viewed as a singular transition involving one symbiont or as a gradual transition involving a long line of transient food/symbionts. I also discuss a possible link between transporters and the evolution of protein targeting in organelle integration.","ISSN":"1543-5008","author":[{"family":"Keeling","given":"Patrick J"}],"issued":{"date-parts":[["2013"]]}}}],"schema":"https://github.com/citation-style-language/schema/raw/master/csl-citation.json"} </w:instrText>
      </w:r>
      <w:r w:rsidR="003C44C2" w:rsidRPr="00352040">
        <w:rPr>
          <w:rFonts w:ascii="Arial" w:hAnsi="Arial" w:cs="Arial"/>
          <w:sz w:val="22"/>
          <w:szCs w:val="22"/>
        </w:rPr>
        <w:fldChar w:fldCharType="separate"/>
      </w:r>
      <w:r w:rsidR="00E333C8" w:rsidRPr="00352040">
        <w:rPr>
          <w:rFonts w:ascii="Arial" w:hAnsi="Arial" w:cs="Arial"/>
          <w:noProof/>
          <w:sz w:val="22"/>
          <w:szCs w:val="22"/>
        </w:rPr>
        <w:t>(1)</w:t>
      </w:r>
      <w:r w:rsidR="003C44C2" w:rsidRPr="00352040">
        <w:rPr>
          <w:rFonts w:ascii="Arial" w:hAnsi="Arial" w:cs="Arial"/>
          <w:sz w:val="22"/>
          <w:szCs w:val="22"/>
        </w:rPr>
        <w:fldChar w:fldCharType="end"/>
      </w:r>
      <w:r w:rsidR="00E333C8" w:rsidRPr="00352040">
        <w:rPr>
          <w:rFonts w:ascii="Arial" w:hAnsi="Arial" w:cs="Arial"/>
          <w:sz w:val="22"/>
          <w:szCs w:val="22"/>
        </w:rPr>
        <w:t>.</w:t>
      </w:r>
      <w:r w:rsidRPr="00352040">
        <w:rPr>
          <w:rFonts w:ascii="Arial" w:hAnsi="Arial" w:cs="Arial"/>
          <w:sz w:val="22"/>
          <w:szCs w:val="22"/>
        </w:rPr>
        <w:t xml:space="preserve"> The endosymbiotic origin of organelles</w:t>
      </w:r>
      <w:r w:rsidR="00251E87" w:rsidRPr="00352040">
        <w:rPr>
          <w:rFonts w:ascii="Arial" w:hAnsi="Arial" w:cs="Arial"/>
          <w:sz w:val="22"/>
          <w:szCs w:val="22"/>
        </w:rPr>
        <w:t>,</w:t>
      </w:r>
      <w:r w:rsidRPr="00352040">
        <w:rPr>
          <w:rFonts w:ascii="Arial" w:hAnsi="Arial" w:cs="Arial"/>
          <w:sz w:val="22"/>
          <w:szCs w:val="22"/>
        </w:rPr>
        <w:t xml:space="preserve"> </w:t>
      </w:r>
      <w:r w:rsidR="00251E87" w:rsidRPr="00352040">
        <w:rPr>
          <w:rFonts w:ascii="Arial" w:hAnsi="Arial" w:cs="Arial"/>
          <w:sz w:val="22"/>
          <w:szCs w:val="22"/>
        </w:rPr>
        <w:t xml:space="preserve">conceived by </w:t>
      </w:r>
      <w:proofErr w:type="spellStart"/>
      <w:r w:rsidR="000F50B0" w:rsidRPr="00352040">
        <w:rPr>
          <w:rFonts w:ascii="Arial" w:hAnsi="Arial" w:cs="Arial"/>
          <w:sz w:val="22"/>
          <w:szCs w:val="22"/>
        </w:rPr>
        <w:t>Merechowsky</w:t>
      </w:r>
      <w:proofErr w:type="spellEnd"/>
      <w:r w:rsidR="000F50B0" w:rsidRPr="00352040">
        <w:rPr>
          <w:rFonts w:ascii="Arial" w:hAnsi="Arial" w:cs="Arial"/>
          <w:sz w:val="22"/>
          <w:szCs w:val="22"/>
        </w:rPr>
        <w:t xml:space="preserve"> </w:t>
      </w:r>
      <w:r w:rsidR="000F50B0"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1eqcl2dsqg","properties":{"formattedCitation":"(2)","plainCitation":"(2)"},"citationItems":[{"id":434,"uris":["http://zotero.org/users/local/MrShCNTT/items/B9TU2SGS"],"uri":["http://zotero.org/users/local/MrShCNTT/items/B9TU2SGS"],"itemData":{"id":434,"type":"article-journal","title":"Über Natur und Ursprung der Chromatophoren im Pflanzenreiche. Biologisches Centralblatt 25/18: 38–604, ed","container-title":"J. Rosenthal","source":"Google Scholar","shortTitle":"Über Natur und Ursprung der Chromatophoren im Pflanzenreiche. Biologisches Centralblatt 25/18","author":[{"family":"Mereschkowsky","given":"C."}],"issued":{"date-parts":[["1905"]]}}}],"schema":"https://github.com/citation-style-language/schema/raw/master/csl-citation.json"} </w:instrText>
      </w:r>
      <w:r w:rsidR="000F50B0" w:rsidRPr="00352040">
        <w:rPr>
          <w:rFonts w:ascii="Arial" w:hAnsi="Arial" w:cs="Arial"/>
          <w:sz w:val="22"/>
          <w:szCs w:val="22"/>
        </w:rPr>
        <w:fldChar w:fldCharType="separate"/>
      </w:r>
      <w:r w:rsidR="000F50B0" w:rsidRPr="00352040">
        <w:rPr>
          <w:rFonts w:ascii="Arial" w:hAnsi="Arial" w:cs="Arial"/>
          <w:sz w:val="22"/>
        </w:rPr>
        <w:t>(2)</w:t>
      </w:r>
      <w:r w:rsidR="000F50B0" w:rsidRPr="00352040">
        <w:rPr>
          <w:rFonts w:ascii="Arial" w:hAnsi="Arial" w:cs="Arial"/>
          <w:sz w:val="22"/>
          <w:szCs w:val="22"/>
        </w:rPr>
        <w:fldChar w:fldCharType="end"/>
      </w:r>
      <w:r w:rsidR="00251E87" w:rsidRPr="00352040">
        <w:rPr>
          <w:rFonts w:ascii="Arial" w:hAnsi="Arial" w:cs="Arial"/>
          <w:sz w:val="22"/>
          <w:szCs w:val="22"/>
        </w:rPr>
        <w:t>,</w:t>
      </w:r>
    </w:p>
    <w:p w14:paraId="02600EB9" w14:textId="561DBA5E" w:rsidR="00241B7C" w:rsidRPr="00530589" w:rsidRDefault="00241B7C" w:rsidP="00251E87">
      <w:pPr>
        <w:spacing w:line="360" w:lineRule="auto"/>
        <w:rPr>
          <w:rFonts w:ascii="Arial" w:hAnsi="Arial" w:cs="Arial"/>
          <w:sz w:val="22"/>
          <w:szCs w:val="22"/>
        </w:rPr>
      </w:pPr>
      <w:r w:rsidRPr="00352040">
        <w:rPr>
          <w:rFonts w:ascii="Arial" w:hAnsi="Arial" w:cs="Arial"/>
          <w:sz w:val="22"/>
          <w:szCs w:val="22"/>
        </w:rPr>
        <w:t xml:space="preserve">was a controversial concept, but championed by </w:t>
      </w:r>
      <w:proofErr w:type="spellStart"/>
      <w:r w:rsidRPr="00352040">
        <w:rPr>
          <w:rFonts w:ascii="Arial" w:hAnsi="Arial" w:cs="Arial"/>
          <w:sz w:val="22"/>
          <w:szCs w:val="22"/>
        </w:rPr>
        <w:t>Margulis</w:t>
      </w:r>
      <w:proofErr w:type="spellEnd"/>
      <w:r w:rsidRPr="00352040">
        <w:rPr>
          <w:rFonts w:ascii="Arial" w:hAnsi="Arial" w:cs="Arial"/>
          <w:sz w:val="22"/>
          <w:szCs w:val="22"/>
        </w:rPr>
        <w:t xml:space="preserve"> </w:t>
      </w:r>
      <w:r w:rsidR="00E333C8"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14siofcb4e","properties":{"formattedCitation":"(3)","plainCitation":"(3)"},"citationItems":[{"id":277,"uris":["http://zotero.org/users/2452229/items/2HKPQA95"],"uri":["http://zotero.org/users/2452229/items/2HKPQA95"],"itemData":{"id":277,"type":"article-journal","title":"On the origin of mitosing cells","container-title":"Journal of theoretical biology","page":"255-74","volume":"14","issue":"3","abstract":"A theory of the origin of eukaryotic cells (\"higher\" cells which divide by classical mitosis) is presented. By hypothesis, three fundamental organelles: the mitochondria, the photosynthetic plastids and the (9+2) basal bodies of flagella were themselves once free-living (prokaryotic) cells. The evolution of photosynthesis under the anaerobic conditions of the early atmosphere to form anaerobic bacteria, photosynthetic bacteria and eventually blue-green algae (and protoplastids) is described. The subsequent evolution of aerobic metabolism in prokaryotes to form aerobic bacteria (protoflagella and protomitochondria) presumably occurred during the transition to the oxidizing atmosphere. Classical mitosis evolved in protozoan-type cells millions of years after the evolution of photosynthesis. A plausible scheme for the origin of classical mitosis in primitive amoeboflagellates is presented. During the course of the evolution of mitosis, photosynthetic plastids (themselves derived from prokaryotes) were symbiotically acquired by some of these protozoans to form the eukaryotic algae and the green plants. The cytological, biochemical and paleontological evidence for this theory is presented, along with suggestions for further possible experimental verification. The implications of this scheme for the systematics of the lower organisms is discussed.","ISSN":"0022-5193","author":[{"family":"Sagan","given":"L"}],"issued":{"date-parts":[["1967",3]]}}}],"schema":"https://github.com/citation-style-language/schema/raw/master/csl-citation.json"} </w:instrText>
      </w:r>
      <w:r w:rsidR="00E333C8" w:rsidRPr="00352040">
        <w:rPr>
          <w:rFonts w:ascii="Arial" w:hAnsi="Arial" w:cs="Arial"/>
          <w:sz w:val="22"/>
          <w:szCs w:val="22"/>
        </w:rPr>
        <w:fldChar w:fldCharType="separate"/>
      </w:r>
      <w:r w:rsidR="000F50B0" w:rsidRPr="00352040">
        <w:rPr>
          <w:rFonts w:ascii="Arial" w:hAnsi="Arial" w:cs="Arial"/>
          <w:sz w:val="22"/>
        </w:rPr>
        <w:t>(3)</w:t>
      </w:r>
      <w:r w:rsidR="00E333C8" w:rsidRPr="00352040">
        <w:rPr>
          <w:rFonts w:ascii="Arial" w:hAnsi="Arial" w:cs="Arial"/>
          <w:sz w:val="22"/>
          <w:szCs w:val="22"/>
        </w:rPr>
        <w:fldChar w:fldCharType="end"/>
      </w:r>
      <w:r w:rsidRPr="00352040">
        <w:rPr>
          <w:rFonts w:ascii="Arial" w:hAnsi="Arial" w:cs="Arial"/>
          <w:sz w:val="22"/>
          <w:szCs w:val="22"/>
        </w:rPr>
        <w:t xml:space="preserve"> it was eventually accepted with the advent of molecular techniques </w:t>
      </w:r>
      <w:r w:rsidR="00E333C8"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{"citationID":"101j6338ep","properties":{"formattedCitation":"{\\rtf (4\\uc0\\u8211{}7)}","plainCitation":"(4–7)"},"citationItems":[{"id":408,"uris":["http://zotero.org/users/local/MrShCNTT/items/ICN8C4GG"],"uri":["http://zotero.org/users/local/MrShCNTT/items/ICN8C4GG"],"itemData":{"id":408,"type":"article-journal","title":"Phylogenetic origin of the chloroplast and prokaryotic nature of its ribosomal RNA","container-title":"Proceedings of the National Academy of Sciences","page":"2418-2422","volume":"72","issue":"6","source":"www.pnas.org","abstract":"The 16S ribosomal RNA of the Euglena gracilis chloroplast has been characterized in terms of its two-dimensional electrophoretic \"fingerprint\" (T1 ribonuclease). Results show it to be a typically prokaryotic 16 S rRNA. By the present criterion, different chloroplasts are shown to be related to one another and at least distantly to blue-green algae and perhaps to Bacillaceae. These results argue in favor of an endosymbiont origin of the chloroplast.","ISSN":"0027-8424, 1091-6490","note":"PMID: 806081","journalAbbreviation":"PNAS","language":"en","author":[{"family":"Zablen","given":"L. B."},{"family":"Kissil","given":"M. S."},{"family":"Woese","given":"C. R."},{"family":"Buetow","given":"D. E."}],"issued":{"date-parts":[["1975",6,1]]},"PMID":"806081"}},{"id":412,"uris":["http://zotero.org/users/local/MrShCNTT/items/UZDW8M5Q"],"uri":["http://zotero.org/users/local/MrShCNTT/items/UZDW8M5Q"],"itemData":{"id":412,"type":"article-journal","title":"A multiple origin for plastids and mitochondria","container-title":"Science (New York, N.Y.)","page":"641-646","volume":"169","issue":"3946","source":"PubMed","abstract":"The impressive homologies between mitochondria and plastids, on the one hand, and procaryotic organisms, on the other, make it almost certain that these important cellular organelles had their origin as independent organisms. The vast number of symbiotic relationships of all degrees of evolutionary antiquity which have been found in contemporary organisms point to the ease with which such relationships can be established.","ISSN":"0036-8075","note":"PMID: 4988062","journalAbbreviation":"Science","language":"eng","author":[{"family":"Raven","given":"P. H."}],"issued":{"date-parts":[["1970",8,14]]},"PMID":"4988062"}},{"id":141,"uris":["http://zotero.org/users/local/MrShCNTT/items/BEKMQ46M"],"uri":["http://zotero.org/users/local/MrShCNTT/items/BEKMQ46M"],"itemData":{"id":141,"type":"article-journal","title":"On the prokaryotic nature of red algal chloroplasts","container-title":"Proceedings of the National Academy of Sciences","page":"2310-2314","volume":"72","issue":"6","source":"www.pnas.org","abstract":"The sequences of oligonucleotides released by T1 ribonuclease digestion of 32-P-labeled 16S (chloroplast) and 18S (cytoplasmic) ribosomal RNAs from a marine species of Porphyridium (Rhodophyta) have been determined. The resultant catalogs have been compared to those obtained for three prokaryotes:Escherichia coli, Bacillus subtilis, and Anacystis nidulans (a blud-green alga). There is extensive sequence homology between the Porphyridium chloroplast 16S ribosomal RNA and each of the prokaryotic 16S ribosomal RNAs, but little homology between the Porphyridium cytoplasmic 18S ribosomal RNA and any of the 16S species. These data provide a measure of the evolutionary distance separating existing chloroplasts from contemporary bacteria and blue-green algae, and are discussed in terms of the hypothesis that these organelles evolved from endosymbiotic photosynthetic prokaryotes.","ISSN":"0027-8424, 1091-6490","note":"PMID: 1056032","journalAbbreviation":"PNAS","language":"en","author":[{"family":"Bonen","given":"L."},{"family":"Doolittle","given":"W. F."}],"issued":{"date-parts":[["1975",6,1]]},"PMID":"1056032"}},{"id":146,"uris":["http://zotero.org/users/local/MrShCNTT/items/4U3D7EI6"],"uri":["http://zotero.org/users/local/MrShCNTT/items/4U3D7EI6"],"itemData":{"id":146,"type":"article-journal","title":"The primary structure of 16S rDNA from Zea mays chloroplast is homologous to E. coli 16S rRNA","container-title":"Nature","page":"739-742","volume":"283","source":"NASA ADS","abstract":"The nucleotide sequence of ribosomal DNA coding for 16S rRNA from Zea \nmays chloroplast has been determined. A comparison with the 16S rRNA\nsequence from Escherichia coli reveals strong homology and thereby\ndemonstrates the prokaryotic nature of chloroplast ribosomes from a\nhigher plant.","DOI":"10.1038/283739a0","ISSN":"0028-0836","journalAbbreviation":"Nature","author":[{"family":"Schwarz","given":"Zs."},{"family":"Kössel","given":"H."}],"issued":{"date-parts":[["1980",2,1]]}}}],"schema":"https://github.com/citation-style-language/schema/raw/master/csl-citation.json"} </w:instrText>
      </w:r>
      <w:r w:rsidR="00E333C8" w:rsidRPr="00352040">
        <w:rPr>
          <w:rFonts w:ascii="Arial" w:hAnsi="Arial" w:cs="Arial"/>
          <w:sz w:val="22"/>
          <w:szCs w:val="22"/>
        </w:rPr>
        <w:fldChar w:fldCharType="separate"/>
      </w:r>
      <w:r w:rsidR="000F50B0" w:rsidRPr="00352040">
        <w:rPr>
          <w:rFonts w:ascii="Arial" w:hAnsi="Arial" w:cs="Arial"/>
          <w:sz w:val="22"/>
        </w:rPr>
        <w:t>(4–7)</w:t>
      </w:r>
      <w:r w:rsidR="00E333C8" w:rsidRPr="00352040">
        <w:rPr>
          <w:rFonts w:ascii="Arial" w:hAnsi="Arial" w:cs="Arial"/>
          <w:sz w:val="22"/>
          <w:szCs w:val="22"/>
        </w:rPr>
        <w:fldChar w:fldCharType="end"/>
      </w:r>
      <w:r w:rsidRPr="00352040">
        <w:rPr>
          <w:rFonts w:ascii="Arial" w:hAnsi="Arial" w:cs="Arial"/>
          <w:sz w:val="22"/>
          <w:szCs w:val="22"/>
        </w:rPr>
        <w:t>. Endosymbiosis</w:t>
      </w:r>
      <w:r w:rsidR="009D4516" w:rsidRPr="00352040">
        <w:rPr>
          <w:rFonts w:ascii="Arial" w:hAnsi="Arial" w:cs="Arial"/>
          <w:sz w:val="22"/>
          <w:szCs w:val="22"/>
        </w:rPr>
        <w:t xml:space="preserve"> i</w:t>
      </w:r>
      <w:r w:rsidRPr="00352040">
        <w:rPr>
          <w:rFonts w:ascii="Arial" w:hAnsi="Arial" w:cs="Arial"/>
          <w:sz w:val="22"/>
          <w:szCs w:val="22"/>
        </w:rPr>
        <w:t xml:space="preserve">s a common occurrence in algae, though the </w:t>
      </w:r>
      <w:r w:rsidR="00F05844" w:rsidRPr="00352040">
        <w:rPr>
          <w:rFonts w:ascii="Arial" w:hAnsi="Arial" w:cs="Arial"/>
          <w:sz w:val="22"/>
          <w:szCs w:val="22"/>
        </w:rPr>
        <w:t xml:space="preserve">evolutionary </w:t>
      </w:r>
      <w:r w:rsidRPr="00352040">
        <w:rPr>
          <w:rFonts w:ascii="Arial" w:hAnsi="Arial" w:cs="Arial"/>
          <w:sz w:val="22"/>
          <w:szCs w:val="22"/>
        </w:rPr>
        <w:t>transition</w:t>
      </w:r>
      <w:r w:rsidR="002037BF" w:rsidRPr="00352040">
        <w:rPr>
          <w:rFonts w:ascii="Arial" w:hAnsi="Arial" w:cs="Arial"/>
          <w:sz w:val="22"/>
          <w:szCs w:val="22"/>
        </w:rPr>
        <w:t xml:space="preserve"> </w:t>
      </w:r>
      <w:r w:rsidR="00F05844" w:rsidRPr="00352040">
        <w:rPr>
          <w:rFonts w:ascii="Arial" w:hAnsi="Arial" w:cs="Arial"/>
          <w:sz w:val="22"/>
          <w:szCs w:val="22"/>
        </w:rPr>
        <w:t>of photosynthetic</w:t>
      </w:r>
      <w:r w:rsidR="002037BF" w:rsidRPr="00352040">
        <w:rPr>
          <w:rFonts w:ascii="Arial" w:hAnsi="Arial" w:cs="Arial"/>
          <w:sz w:val="22"/>
          <w:szCs w:val="22"/>
        </w:rPr>
        <w:t xml:space="preserve"> symbionts</w:t>
      </w:r>
      <w:r w:rsidRPr="00352040">
        <w:rPr>
          <w:rFonts w:ascii="Arial" w:hAnsi="Arial" w:cs="Arial"/>
          <w:sz w:val="22"/>
          <w:szCs w:val="22"/>
        </w:rPr>
        <w:t xml:space="preserve"> </w:t>
      </w:r>
      <w:r w:rsidR="00F05844" w:rsidRPr="00352040">
        <w:rPr>
          <w:rFonts w:ascii="Arial" w:hAnsi="Arial" w:cs="Arial"/>
          <w:sz w:val="22"/>
          <w:szCs w:val="22"/>
        </w:rPr>
        <w:t>in</w:t>
      </w:r>
      <w:r w:rsidRPr="00352040">
        <w:rPr>
          <w:rFonts w:ascii="Arial" w:hAnsi="Arial" w:cs="Arial"/>
          <w:sz w:val="22"/>
          <w:szCs w:val="22"/>
        </w:rPr>
        <w:t>to organelles is rare</w:t>
      </w:r>
      <w:r w:rsidR="00E333C8" w:rsidRPr="00352040">
        <w:rPr>
          <w:rFonts w:ascii="Arial" w:hAnsi="Arial" w:cs="Arial"/>
          <w:sz w:val="22"/>
          <w:szCs w:val="22"/>
        </w:rPr>
        <w:t xml:space="preserve"> </w:t>
      </w:r>
      <w:r w:rsidR="00E333C8"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2f51fpd52h","properties":{"formattedCitation":"(8)","plainCitation":"(8)"},"citationItems":[{"id":374,"uris":["http://zotero.org/users/2452229/items/WBQW99M7"],"uri":["http://zotero.org/users/2452229/items/WBQW99M7"],"itemData":{"id":374,"type":"article-journal","title":"Symbiogenesis: Mechanisms, Evolutionary Consequences, and Systematic Implications.","container-title":"Annual Review of Ecology Evolution and Systematics","page":"145-72","volume":"44","issue":"1","author":[{"family":"Cavalier-Smith","given":"T"}],"issued":{"date-parts":[["2013"]]}}}],"schema":"https://github.com/citation-style-language/schema/raw/master/csl-citation.json"} </w:instrText>
      </w:r>
      <w:r w:rsidR="00E333C8" w:rsidRPr="00352040">
        <w:rPr>
          <w:rFonts w:ascii="Arial" w:hAnsi="Arial" w:cs="Arial"/>
          <w:sz w:val="22"/>
          <w:szCs w:val="22"/>
        </w:rPr>
        <w:fldChar w:fldCharType="separate"/>
      </w:r>
      <w:r w:rsidR="000F50B0" w:rsidRPr="00352040">
        <w:rPr>
          <w:rFonts w:ascii="Arial" w:hAnsi="Arial" w:cs="Arial"/>
          <w:sz w:val="22"/>
        </w:rPr>
        <w:t>(8)</w:t>
      </w:r>
      <w:r w:rsidR="00E333C8" w:rsidRPr="00352040">
        <w:rPr>
          <w:rFonts w:ascii="Arial" w:hAnsi="Arial" w:cs="Arial"/>
          <w:sz w:val="22"/>
          <w:szCs w:val="22"/>
        </w:rPr>
        <w:fldChar w:fldCharType="end"/>
      </w:r>
      <w:r w:rsidRPr="00352040">
        <w:rPr>
          <w:rFonts w:ascii="Arial" w:hAnsi="Arial" w:cs="Arial"/>
          <w:sz w:val="22"/>
          <w:szCs w:val="22"/>
        </w:rPr>
        <w:t xml:space="preserve">. The primary endosymbiosis event </w:t>
      </w:r>
      <w:r w:rsidR="002037BF" w:rsidRPr="00352040">
        <w:rPr>
          <w:rFonts w:ascii="Arial" w:hAnsi="Arial" w:cs="Arial"/>
          <w:sz w:val="22"/>
          <w:szCs w:val="22"/>
        </w:rPr>
        <w:t xml:space="preserve">underpinning the evolution of photosynthetic eukaryotes </w:t>
      </w:r>
      <w:r w:rsidRPr="00352040">
        <w:rPr>
          <w:rFonts w:ascii="Arial" w:hAnsi="Arial" w:cs="Arial"/>
          <w:sz w:val="22"/>
          <w:szCs w:val="22"/>
        </w:rPr>
        <w:t xml:space="preserve">involved the </w:t>
      </w:r>
      <w:r w:rsidR="002037BF" w:rsidRPr="00352040">
        <w:rPr>
          <w:rFonts w:ascii="Arial" w:hAnsi="Arial" w:cs="Arial"/>
          <w:sz w:val="22"/>
          <w:szCs w:val="22"/>
        </w:rPr>
        <w:t xml:space="preserve">acquisition </w:t>
      </w:r>
      <w:r w:rsidRPr="00352040">
        <w:rPr>
          <w:rFonts w:ascii="Arial" w:hAnsi="Arial" w:cs="Arial"/>
          <w:sz w:val="22"/>
          <w:szCs w:val="22"/>
        </w:rPr>
        <w:t>of a cyanobacterium; this has since radiated</w:t>
      </w:r>
      <w:r w:rsidR="00533434" w:rsidRPr="00352040">
        <w:rPr>
          <w:rFonts w:ascii="Arial" w:hAnsi="Arial" w:cs="Arial"/>
          <w:sz w:val="22"/>
          <w:szCs w:val="22"/>
        </w:rPr>
        <w:t xml:space="preserve">, </w:t>
      </w:r>
      <w:r w:rsidR="002037BF" w:rsidRPr="00352040">
        <w:rPr>
          <w:rFonts w:ascii="Arial" w:hAnsi="Arial" w:cs="Arial"/>
          <w:sz w:val="22"/>
          <w:szCs w:val="22"/>
        </w:rPr>
        <w:t>leading to the evolution of today's</w:t>
      </w:r>
      <w:r w:rsidRPr="00352040">
        <w:rPr>
          <w:rFonts w:ascii="Arial" w:hAnsi="Arial" w:cs="Arial"/>
          <w:sz w:val="22"/>
          <w:szCs w:val="22"/>
        </w:rPr>
        <w:t xml:space="preserve"> land plants and algae. </w:t>
      </w:r>
      <w:r w:rsidR="002037BF" w:rsidRPr="00352040">
        <w:rPr>
          <w:rFonts w:ascii="Arial" w:hAnsi="Arial" w:cs="Arial"/>
          <w:sz w:val="22"/>
          <w:szCs w:val="22"/>
        </w:rPr>
        <w:t xml:space="preserve">Over the intervening </w:t>
      </w:r>
      <w:r w:rsidRPr="00352040">
        <w:rPr>
          <w:rFonts w:ascii="Arial" w:hAnsi="Arial" w:cs="Arial"/>
          <w:sz w:val="22"/>
          <w:szCs w:val="22"/>
        </w:rPr>
        <w:t>hundreds of millions of years</w:t>
      </w:r>
      <w:r w:rsidR="002037BF" w:rsidRPr="00352040">
        <w:rPr>
          <w:rFonts w:ascii="Arial" w:hAnsi="Arial" w:cs="Arial"/>
          <w:sz w:val="22"/>
          <w:szCs w:val="22"/>
        </w:rPr>
        <w:t>, the symbiont has experienced</w:t>
      </w:r>
      <w:r w:rsidRPr="00352040">
        <w:rPr>
          <w:rFonts w:ascii="Arial" w:hAnsi="Arial" w:cs="Arial"/>
          <w:sz w:val="22"/>
          <w:szCs w:val="22"/>
        </w:rPr>
        <w:t xml:space="preserve"> coevolution and genome reduction</w:t>
      </w:r>
      <w:r w:rsidR="00461158" w:rsidRPr="00352040">
        <w:rPr>
          <w:rFonts w:ascii="Arial" w:hAnsi="Arial" w:cs="Arial"/>
          <w:sz w:val="22"/>
          <w:szCs w:val="22"/>
        </w:rPr>
        <w:t xml:space="preserve"> (the loss of genes required for </w:t>
      </w:r>
      <w:r w:rsidR="00C46A1B" w:rsidRPr="00352040">
        <w:rPr>
          <w:rFonts w:ascii="Arial" w:hAnsi="Arial" w:cs="Arial"/>
          <w:sz w:val="22"/>
          <w:szCs w:val="22"/>
        </w:rPr>
        <w:t>free living</w:t>
      </w:r>
      <w:r w:rsidR="00461158" w:rsidRPr="00352040">
        <w:rPr>
          <w:rFonts w:ascii="Arial" w:hAnsi="Arial" w:cs="Arial"/>
          <w:sz w:val="22"/>
          <w:szCs w:val="22"/>
        </w:rPr>
        <w:t>)</w:t>
      </w:r>
      <w:r w:rsidRPr="00352040">
        <w:rPr>
          <w:rFonts w:ascii="Arial" w:hAnsi="Arial" w:cs="Arial"/>
          <w:sz w:val="22"/>
          <w:szCs w:val="22"/>
        </w:rPr>
        <w:t xml:space="preserve"> to the extent that it has lost autonomy and become an organelle – the chloroplast</w:t>
      </w:r>
      <w:r w:rsidR="00E333C8" w:rsidRPr="00352040">
        <w:rPr>
          <w:rFonts w:ascii="Arial" w:hAnsi="Arial" w:cs="Arial"/>
          <w:sz w:val="22"/>
          <w:szCs w:val="22"/>
        </w:rPr>
        <w:t xml:space="preserve"> </w:t>
      </w:r>
      <w:r w:rsidR="00E333C8"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e5bjrtks7","properties":{"formattedCitation":"(9)","plainCitation":"(9)"},"citationItems":[{"id":380,"uris":["http://zotero.org/users/2452229/items/IMTE6BIT"],"uri":["http://zotero.org/users/2452229/items/IMTE6BIT"],"itemData":{"id":380,"type":"article-journal","title":"Ancient invasions: from endosymbionts to organelles.","container-title":"Science (New York, N.Y.)","page":"253-7","volume":"304","issue":"5668","abstract":"The acquisitions of mitochondria and plastids were important events in the evolution of the eukaryotic cell, supplying it with compartmentalized bioenergetic and biosynthetic factories. Ancient invasions by eubacteria through symbiosis more than a billion years ago initiated these processes. Advances in geochemistry, molecular phylogeny, and cell biology have offered insight into complex molecular events that drove the evolution of endosymbionts into contemporary organelles. In losing their autonomy, endosymbionts lost the bulk of their genomes, necessitating the evolution of elaborate mechanisms for organelle biogenesis and metabolite exchange. In the process, symbionts acquired many host-derived properties, lost much of their eubacterial identity, and were transformed into extraordinarily diverse organelles that reveal complex histories that we are only beginning to decipher.","ISSN":"0036-8075","author":[{"family":"Dyall","given":"Sabrina D"},{"family":"Brown","given":"Mark T"},{"family":"Johnson","given":"Patricia J"}],"issued":{"date-parts":[["2004",4,9]]}}}],"schema":"https://github.com/citation-style-language/schema/raw/master/csl-citation.json"} </w:instrText>
      </w:r>
      <w:r w:rsidR="00E333C8" w:rsidRPr="00352040">
        <w:rPr>
          <w:rFonts w:ascii="Arial" w:hAnsi="Arial" w:cs="Arial"/>
          <w:sz w:val="22"/>
          <w:szCs w:val="22"/>
        </w:rPr>
        <w:fldChar w:fldCharType="separate"/>
      </w:r>
      <w:r w:rsidR="000F50B0" w:rsidRPr="00352040">
        <w:rPr>
          <w:rFonts w:ascii="Arial" w:hAnsi="Arial" w:cs="Arial"/>
          <w:sz w:val="22"/>
        </w:rPr>
        <w:t>(9)</w:t>
      </w:r>
      <w:r w:rsidR="00E333C8" w:rsidRPr="00352040">
        <w:rPr>
          <w:rFonts w:ascii="Arial" w:hAnsi="Arial" w:cs="Arial"/>
          <w:sz w:val="22"/>
          <w:szCs w:val="22"/>
        </w:rPr>
        <w:fldChar w:fldCharType="end"/>
      </w:r>
      <w:r w:rsidRPr="00352040">
        <w:rPr>
          <w:rFonts w:ascii="Arial" w:hAnsi="Arial" w:cs="Arial"/>
          <w:sz w:val="22"/>
          <w:szCs w:val="22"/>
        </w:rPr>
        <w:t xml:space="preserve">. </w:t>
      </w:r>
      <w:r w:rsidR="00461158" w:rsidRPr="00352040">
        <w:rPr>
          <w:rFonts w:ascii="Arial" w:hAnsi="Arial" w:cs="Arial"/>
          <w:sz w:val="22"/>
          <w:szCs w:val="22"/>
        </w:rPr>
        <w:t xml:space="preserve">Moreover, genome reduction </w:t>
      </w:r>
      <w:r w:rsidR="00066604" w:rsidRPr="00352040">
        <w:rPr>
          <w:rFonts w:ascii="Arial" w:hAnsi="Arial" w:cs="Arial"/>
          <w:sz w:val="22"/>
          <w:szCs w:val="22"/>
        </w:rPr>
        <w:t xml:space="preserve">over the course of co-evolution between host and endosymbiont </w:t>
      </w:r>
      <w:r w:rsidR="00461158" w:rsidRPr="00352040">
        <w:rPr>
          <w:rFonts w:ascii="Arial" w:hAnsi="Arial" w:cs="Arial"/>
          <w:sz w:val="22"/>
          <w:szCs w:val="22"/>
        </w:rPr>
        <w:t>is frequently accompanied by gene transfer from plastid to host nucleus, as has occurred in plants with the small subunit of the primary enzyme of carbon fixation Ribulose-1,5-bisphosphate carboxylase/oxygenase (</w:t>
      </w:r>
      <w:proofErr w:type="spellStart"/>
      <w:r w:rsidR="00461158" w:rsidRPr="00352040">
        <w:rPr>
          <w:rFonts w:ascii="Arial" w:hAnsi="Arial" w:cs="Arial"/>
          <w:sz w:val="22"/>
          <w:szCs w:val="22"/>
        </w:rPr>
        <w:t>rbcS</w:t>
      </w:r>
      <w:proofErr w:type="spellEnd"/>
      <w:r w:rsidR="00461158" w:rsidRPr="00352040">
        <w:rPr>
          <w:rFonts w:ascii="Arial" w:hAnsi="Arial" w:cs="Arial"/>
          <w:sz w:val="22"/>
          <w:szCs w:val="22"/>
        </w:rPr>
        <w:t xml:space="preserve">) encoded by the nuclear rather than the plastid genome with </w:t>
      </w:r>
      <w:r w:rsidR="00066604" w:rsidRPr="00352040">
        <w:rPr>
          <w:rFonts w:ascii="Arial" w:hAnsi="Arial" w:cs="Arial"/>
          <w:sz w:val="22"/>
          <w:szCs w:val="22"/>
        </w:rPr>
        <w:t xml:space="preserve">the large subunit, </w:t>
      </w:r>
      <w:proofErr w:type="spellStart"/>
      <w:r w:rsidR="00066604" w:rsidRPr="00352040">
        <w:rPr>
          <w:rFonts w:ascii="Arial" w:hAnsi="Arial" w:cs="Arial"/>
          <w:sz w:val="22"/>
          <w:szCs w:val="22"/>
        </w:rPr>
        <w:t>rbcL</w:t>
      </w:r>
      <w:proofErr w:type="spellEnd"/>
      <w:r w:rsidR="00066604" w:rsidRPr="00352040">
        <w:rPr>
          <w:rFonts w:ascii="Arial" w:hAnsi="Arial" w:cs="Arial"/>
          <w:sz w:val="22"/>
          <w:szCs w:val="22"/>
        </w:rPr>
        <w:t>, remaining</w:t>
      </w:r>
      <w:r w:rsidR="00461158" w:rsidRPr="00352040">
        <w:rPr>
          <w:rFonts w:ascii="Arial" w:hAnsi="Arial" w:cs="Arial"/>
          <w:sz w:val="22"/>
          <w:szCs w:val="22"/>
        </w:rPr>
        <w:t xml:space="preserve"> encoded by the plastid</w:t>
      </w:r>
      <w:r w:rsidR="00AE7D88" w:rsidRPr="00352040">
        <w:rPr>
          <w:rFonts w:ascii="Arial" w:hAnsi="Arial" w:cs="Arial"/>
          <w:sz w:val="22"/>
          <w:szCs w:val="22"/>
        </w:rPr>
        <w:t xml:space="preserve"> </w:t>
      </w:r>
      <w:r w:rsidR="00B87EAB"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{"citationID":"2nm0d6aevm","properties":{"formattedCitation":"{\\rtf (10\\uc0\\u8211{}12)}","plainCitation":"(10–12)"},"citationItems":[{"id":429,"uris":["http://zotero.org/users/local/MrShCNTT/items/6WAVPIWA"],"uri":["http://zotero.org/users/local/MrShCNTT/items/6WAVPIWA"],"itemData":{"id":429,"type":"article-journal","title":"Gene Transfer from Organelles to the Nucleus: How Much, What Happens, and Why?","container-title":"Plant Physiology","page":"9-17","volume":"118","issue":"1","source":"PubMed Central","ISSN":"0032-0889","note":"PMID: 9733521\nPMCID: PMC1539188","shortTitle":"Gene Transfer from Organelles to the Nucleus","journalAbbreviation":"Plant Physiol","author":[{"family":"Martin","given":"W."},{"family":"Herrmann","given":"R. G."}],"issued":{"date-parts":[["1998",9]]},"PMID":"9733521","PMCID":"PMC1539188"}},{"id":417,"uris":["http://zotero.org/users/local/MrShCNTT/items/GITMG7TR"],"uri":["http://zotero.org/users/local/MrShCNTT/items/GITMG7TR"],"itemData":{"id":417,"type":"article-journal","title":"Evolutionary analysis of Arabidopsis, cyanobacterial, and chloroplast genomes reveals plastid phylogeny and thousands of cyanobacterial genes in the nucleus","container-title":"Proceedings of the National Academy of Sciences of the United States of America","page":"12246-12251","volume":"99","issue":"19","source":"PubMed","abstract":"Chloroplasts were once free-living cyanobacteria that became endosymbionts, but the genomes of contemporary plastids encode only approximately 5-10% as many genes as those of their free-living cousins, indicating that many genes were either lost from plastids or transferred to the nucleus during the course of plant evolution. Previous estimates have suggested that between 800 and perhaps as many as 2,000 genes in the Arabidopsis genome might come from cyanobacteria, but genome-wide phylogenetic surveys that could provide direct estimates of this number are lacking. We compared 24,990 proteins encoded in the Arabidopsis genome to the proteins from three cyanobacterial genomes, 16 other prokaryotic reference genomes, and yeast. Of 9,368 Arabidopsis proteins sufficiently conserved for primary sequence comparison, 866 detected homologues only among cyanobacteria and 834 other branched with cyanobacterial homologues in phylogenetic trees. Extrapolating from these conserved proteins to the whole genome, the data suggest that approximately 4,500 of Arabidopsis protein-coding genes ( approximately 18% of the total) were acquired from the cyanobacterial ancestor of plastids. These proteins encompass all functional classes, and the majority of them are targeted to cell compartments other than the chloroplast. Analysis of 15 sequenced chloroplast genomes revealed 117 nuclear-encoded proteins that are also still present in at least one chloroplast genome. A phylogeny of chloroplast genomes inferred from 41 proteins and 8,303 amino acids sites indicates that at least two independent secondary endosymbiotic events have occurred involving red algae and that amino acid composition bias in chloroplast proteins strongly affects plastid genome phylogeny.","DOI":"10.1073/pnas.182432999","ISSN":"0027-8424","note":"PMID: 12218172\nPMCID: PMC129430","journalAbbreviation":"Proc. Natl. Acad. Sci. U.S.A.","language":"eng","author":[{"family":"Martin","given":"William"},{"family":"Rujan","given":"Tamas"},{"family":"Richly","given":"Erik"},{"family":"Hansen","given":"Andrea"},{"family":"Cornelsen","given":"Sabine"},{"family":"Lins","given":"Thomas"},{"family":"Leister","given":"Dario"},{"family":"Stoebe","given":"Bettina"},{"family":"Hasegawa","given":"Masami"},{"family":"Penny","given":"David"}],"issued":{"date-parts":[["2002",9,17]]},"PMID":"12218172","PMCID":"PMC129430"}},{"id":414,"uris":["http://zotero.org/users/local/MrShCNTT/items/M95IUMAH"],"uri":["http://zotero.org/users/local/MrShCNTT/items/M95IUMAH"],"itemData":{"id":414,"type":"article-journal","title":"Post-translational transport into intact chloroplasts of a precursor to the small subunit of ribulose-1,5-bisphosphate carboxylase","container-title":"Proceedings of the National Academy of Sciences of the United States of America","page":"6110-6114","volume":"75","issue":"12","source":"PubMed Central","abstract":"A precursor to the small subunit of ribulose-1,5-bisphosphate carboxylase [3-phospho-D-glycerate carboxylyase (dimerizing), EC 4.1.1.39] has been identified among the products of cell-free translation of polyadenylated RNA from spinach and pea. In both cases, the precursor is larger than the mature protein by 4000-5000 daltons. Upon incubation of post-ribosomal supernatants of the in vitro protein synthesis mixtures with purified intact chloroplasts, the pea and spinach precursors are transported interchangeably into the chloroplasts and processed to the mature size and charge. Moreover, the newly transported small subunits are found to assemble with endogenous large subunits to form the holoenzyme. In contrast, a precursor to the Chlamydomonas reinhardtii small subunit is not taken up by higher plant chloroplasts, indicating the specificity of the transport events. Together, these results demonstrate that the in vitro reconstruction of the post-translational transport of the higher plant precursors is physiologically significant.","ISSN":"0027-8424","note":"PMID: 16592597\nPMCID: PMC393128","journalAbbreviation":"Proc Natl Acad Sci U S A","author":[{"family":"Chua","given":"Nam-Hai"},{"family":"Schmidt","given":"Gregory W."}],"issued":{"date-parts":[["1978",12]]},"PMID":"16592597","PMCID":"PMC393128"}}],"schema":"https://github.com/citation-style-language/schema/raw/master/csl-citation.json"} </w:instrText>
      </w:r>
      <w:r w:rsidR="00B87EAB" w:rsidRPr="00352040">
        <w:rPr>
          <w:rFonts w:ascii="Arial" w:hAnsi="Arial" w:cs="Arial"/>
          <w:sz w:val="22"/>
          <w:szCs w:val="22"/>
        </w:rPr>
        <w:fldChar w:fldCharType="separate"/>
      </w:r>
      <w:r w:rsidR="000F50B0" w:rsidRPr="00352040">
        <w:rPr>
          <w:rFonts w:ascii="Arial" w:hAnsi="Arial" w:cs="Arial"/>
          <w:sz w:val="22"/>
        </w:rPr>
        <w:t>(10–12)</w:t>
      </w:r>
      <w:r w:rsidR="00B87EAB" w:rsidRPr="00352040">
        <w:rPr>
          <w:rFonts w:ascii="Arial" w:hAnsi="Arial" w:cs="Arial"/>
          <w:sz w:val="22"/>
          <w:szCs w:val="22"/>
        </w:rPr>
        <w:fldChar w:fldCharType="end"/>
      </w:r>
      <w:r w:rsidR="00461158" w:rsidRPr="00352040">
        <w:rPr>
          <w:rFonts w:ascii="Arial" w:hAnsi="Arial" w:cs="Arial"/>
          <w:sz w:val="22"/>
          <w:szCs w:val="22"/>
        </w:rPr>
        <w:t>.</w:t>
      </w:r>
      <w:r w:rsidR="00533434" w:rsidRPr="00352040">
        <w:rPr>
          <w:rFonts w:ascii="Arial" w:hAnsi="Arial" w:cs="Arial"/>
          <w:sz w:val="22"/>
          <w:szCs w:val="22"/>
        </w:rPr>
        <w:t xml:space="preserve"> </w:t>
      </w:r>
      <w:r w:rsidRPr="00352040">
        <w:rPr>
          <w:rFonts w:ascii="Arial" w:hAnsi="Arial" w:cs="Arial"/>
          <w:sz w:val="22"/>
          <w:szCs w:val="22"/>
        </w:rPr>
        <w:t>This highly derived</w:t>
      </w:r>
      <w:r w:rsidRPr="00530589">
        <w:rPr>
          <w:rFonts w:ascii="Arial" w:hAnsi="Arial" w:cs="Arial"/>
          <w:sz w:val="22"/>
          <w:szCs w:val="22"/>
        </w:rPr>
        <w:t xml:space="preserve"> form makes the establishment of this major endosymbiotic event difficult to study.</w:t>
      </w:r>
      <w:r w:rsidR="000F50B0" w:rsidRPr="00251E87">
        <w:rPr>
          <w:rFonts w:ascii="Arial" w:hAnsi="Arial" w:cs="Arial"/>
          <w:noProof/>
          <w:sz w:val="22"/>
          <w:szCs w:val="22"/>
          <w:highlight w:val="yellow"/>
        </w:rPr>
        <w:t xml:space="preserve"> </w:t>
      </w:r>
    </w:p>
    <w:p w14:paraId="3A2181B6" w14:textId="77777777" w:rsidR="00241B7C" w:rsidRPr="00530589" w:rsidRDefault="00241B7C" w:rsidP="00BF0803">
      <w:pPr>
        <w:spacing w:line="360" w:lineRule="auto"/>
        <w:rPr>
          <w:rFonts w:ascii="Arial" w:hAnsi="Arial" w:cs="Arial"/>
          <w:sz w:val="22"/>
          <w:szCs w:val="22"/>
        </w:rPr>
      </w:pPr>
    </w:p>
    <w:p w14:paraId="3279E6EE" w14:textId="77C322C8" w:rsidR="008D0CCC" w:rsidRPr="005F5C62" w:rsidRDefault="00241B7C" w:rsidP="008D0CCC">
      <w:pPr>
        <w:shd w:val="clear" w:color="auto" w:fill="FFFFFF"/>
        <w:spacing w:line="360" w:lineRule="auto"/>
        <w:textAlignment w:val="baseline"/>
        <w:rPr>
          <w:rFonts w:ascii="Arial" w:hAnsi="Arial" w:cs="Arial"/>
          <w:iCs/>
          <w:sz w:val="22"/>
          <w:szCs w:val="22"/>
        </w:rPr>
      </w:pPr>
      <w:r w:rsidRPr="00530589">
        <w:rPr>
          <w:rFonts w:ascii="Arial" w:hAnsi="Arial" w:cs="Arial"/>
          <w:sz w:val="22"/>
          <w:szCs w:val="22"/>
        </w:rPr>
        <w:t>Recently</w:t>
      </w:r>
      <w:r w:rsidR="002037BF">
        <w:rPr>
          <w:rFonts w:ascii="Arial" w:hAnsi="Arial" w:cs="Arial"/>
          <w:sz w:val="22"/>
          <w:szCs w:val="22"/>
        </w:rPr>
        <w:t>,</w:t>
      </w:r>
      <w:r w:rsidRPr="00530589">
        <w:rPr>
          <w:rFonts w:ascii="Arial" w:hAnsi="Arial" w:cs="Arial"/>
          <w:sz w:val="22"/>
          <w:szCs w:val="22"/>
        </w:rPr>
        <w:t xml:space="preserve"> an artificial endosymbiosis was created by supplying </w:t>
      </w:r>
      <w:proofErr w:type="spellStart"/>
      <w:r w:rsidRPr="00530589">
        <w:rPr>
          <w:rFonts w:ascii="Arial" w:hAnsi="Arial" w:cs="Arial"/>
          <w:sz w:val="22"/>
          <w:szCs w:val="22"/>
        </w:rPr>
        <w:t>aposymbiotic</w:t>
      </w:r>
      <w:proofErr w:type="spellEnd"/>
      <w:r w:rsidRPr="00530589">
        <w:rPr>
          <w:rFonts w:ascii="Arial" w:hAnsi="Arial" w:cs="Arial"/>
          <w:sz w:val="22"/>
          <w:szCs w:val="22"/>
        </w:rPr>
        <w:t xml:space="preserve"> </w:t>
      </w:r>
      <w:r w:rsidRPr="00530589">
        <w:rPr>
          <w:rFonts w:ascii="Arial" w:hAnsi="Arial" w:cs="Arial"/>
          <w:i/>
          <w:sz w:val="22"/>
          <w:szCs w:val="22"/>
        </w:rPr>
        <w:t xml:space="preserve">Paramecium bursaria </w:t>
      </w:r>
      <w:r w:rsidRPr="00530589">
        <w:rPr>
          <w:rFonts w:ascii="Arial" w:hAnsi="Arial" w:cs="Arial"/>
          <w:sz w:val="22"/>
          <w:szCs w:val="22"/>
        </w:rPr>
        <w:t>with Synechocystis PCC6803</w:t>
      </w:r>
      <w:r w:rsidR="00533434">
        <w:rPr>
          <w:rFonts w:ascii="Arial" w:hAnsi="Arial" w:cs="Arial"/>
          <w:sz w:val="22"/>
          <w:szCs w:val="22"/>
        </w:rPr>
        <w:t xml:space="preserve"> </w:t>
      </w:r>
      <w:r w:rsidR="00533434">
        <w:rPr>
          <w:rFonts w:ascii="Arial" w:hAnsi="Arial" w:cs="Arial"/>
          <w:sz w:val="22"/>
          <w:szCs w:val="22"/>
        </w:rPr>
        <w:fldChar w:fldCharType="begin"/>
      </w:r>
      <w:r w:rsidR="000F50B0">
        <w:rPr>
          <w:rFonts w:ascii="Arial" w:hAnsi="Arial" w:cs="Arial"/>
          <w:sz w:val="22"/>
          <w:szCs w:val="22"/>
        </w:rPr>
        <w:instrText xml:space="preserve"> ADDIN ZOTERO_ITEM CSL_CITATION {"citationID":"b86shr0c5","properties":{"formattedCitation":"(13)","plainCitation":"(13)"},"citationItems":[{"id":207,"uris":["http://zotero.org/users/2452229/items/XZTGI569"],"uri":["http://zotero.org/users/2452229/items/XZTGI569"],"itemData":{"id":207,"type":"article-journal","title":"Forced symbiosis between Synechocystis spp. PCC 6803 and apo-symbiotic Paramecium bursaria as an experimental model for evolutionary emergence of primitive photosynthetic eukaryotes.","container-title":"Plant signaling &amp; behavior","page":"773-6","volume":"6","issue":"6","abstract":"Single-cell green paramecia (Paramecium bursaria) is a swimming vehicle that carries several hundred cells of endo-symbiotic green algae. Here, a novel model for endo-symbiosis, prepared by introducing and maintaining the cells of cyanobacterium (Synechocystis spp. PCC 6803) in the apo-symbiotic cells of P. bursaria is described.","ISSN":"1559-2316","author":[{"family":"Ohkawa","given":"Hiroshi"},{"family":"Hashimoto","given":"Naoko"},{"family":"Furukawa","given":"Shunsuke"},{"family":"Kadono","given":"Takashi"},{"family":"Kawano","given":"Tomonori"}],"issued":{"date-parts":[["2011",6]]}}}],"schema":"https://github.com/citation-style-language/schema/raw/master/csl-citation.json"} </w:instrText>
      </w:r>
      <w:r w:rsidR="00533434">
        <w:rPr>
          <w:rFonts w:ascii="Arial" w:hAnsi="Arial" w:cs="Arial"/>
          <w:sz w:val="22"/>
          <w:szCs w:val="22"/>
        </w:rPr>
        <w:fldChar w:fldCharType="separate"/>
      </w:r>
      <w:r w:rsidR="000F50B0" w:rsidRPr="000F50B0">
        <w:rPr>
          <w:rFonts w:ascii="Arial" w:hAnsi="Arial" w:cs="Arial"/>
          <w:sz w:val="22"/>
        </w:rPr>
        <w:t>(13)</w:t>
      </w:r>
      <w:r w:rsidR="00533434">
        <w:rPr>
          <w:rFonts w:ascii="Arial" w:hAnsi="Arial" w:cs="Arial"/>
          <w:sz w:val="22"/>
          <w:szCs w:val="22"/>
        </w:rPr>
        <w:fldChar w:fldCharType="end"/>
      </w:r>
      <w:r w:rsidRPr="00530589">
        <w:rPr>
          <w:rFonts w:ascii="Arial" w:hAnsi="Arial" w:cs="Arial"/>
          <w:sz w:val="22"/>
          <w:szCs w:val="22"/>
        </w:rPr>
        <w:t xml:space="preserve">. </w:t>
      </w:r>
      <w:r w:rsidR="008D0CCC" w:rsidRPr="005F5C62">
        <w:rPr>
          <w:rFonts w:ascii="Arial" w:hAnsi="Arial" w:cs="Arial"/>
          <w:sz w:val="22"/>
          <w:szCs w:val="22"/>
        </w:rPr>
        <w:t xml:space="preserve">These organisms do not naturally form a symbiosis and so have not co-evolved. </w:t>
      </w:r>
      <w:r w:rsidR="008D0CCC" w:rsidRPr="005F5C62">
        <w:rPr>
          <w:rFonts w:ascii="Arial" w:hAnsi="Arial" w:cs="Arial"/>
          <w:i/>
          <w:iCs/>
          <w:sz w:val="22"/>
          <w:szCs w:val="22"/>
        </w:rPr>
        <w:t xml:space="preserve">Synechocystis </w:t>
      </w:r>
      <w:r w:rsidR="008D0CCC" w:rsidRPr="005F5C62">
        <w:rPr>
          <w:rFonts w:ascii="Arial" w:hAnsi="Arial" w:cs="Arial"/>
          <w:iCs/>
          <w:sz w:val="22"/>
          <w:szCs w:val="22"/>
        </w:rPr>
        <w:t xml:space="preserve">is a cyanobacterium that </w:t>
      </w:r>
      <w:r w:rsidR="00EA1F61">
        <w:rPr>
          <w:rFonts w:ascii="Arial" w:hAnsi="Arial" w:cs="Arial"/>
          <w:iCs/>
          <w:sz w:val="22"/>
          <w:szCs w:val="22"/>
        </w:rPr>
        <w:t>requires</w:t>
      </w:r>
      <w:r w:rsidR="008D0CCC" w:rsidRPr="005F5C62">
        <w:rPr>
          <w:rFonts w:ascii="Arial" w:hAnsi="Arial" w:cs="Arial"/>
          <w:iCs/>
          <w:sz w:val="22"/>
          <w:szCs w:val="22"/>
        </w:rPr>
        <w:t xml:space="preserve"> nitrogen </w:t>
      </w:r>
      <w:r w:rsidR="00EA1F61">
        <w:rPr>
          <w:rFonts w:ascii="Arial" w:hAnsi="Arial" w:cs="Arial"/>
          <w:iCs/>
          <w:sz w:val="22"/>
          <w:szCs w:val="22"/>
        </w:rPr>
        <w:t xml:space="preserve">and fixes carbon </w:t>
      </w:r>
      <w:r w:rsidR="008D0CCC" w:rsidRPr="005F5C62">
        <w:rPr>
          <w:rFonts w:ascii="Arial" w:hAnsi="Arial" w:cs="Arial"/>
          <w:iCs/>
          <w:sz w:val="22"/>
          <w:szCs w:val="22"/>
        </w:rPr>
        <w:t>and therefore is capable of acting as a photosymbiont</w:t>
      </w:r>
      <w:r w:rsidR="00EA1F61">
        <w:rPr>
          <w:rFonts w:ascii="Arial" w:hAnsi="Arial" w:cs="Arial"/>
          <w:iCs/>
          <w:sz w:val="22"/>
          <w:szCs w:val="22"/>
        </w:rPr>
        <w:t xml:space="preserve"> for the ciliate. This discovery</w:t>
      </w:r>
      <w:r w:rsidR="008D0CCC" w:rsidRPr="005F5C62">
        <w:rPr>
          <w:rFonts w:ascii="Arial" w:hAnsi="Arial" w:cs="Arial"/>
          <w:iCs/>
          <w:sz w:val="22"/>
          <w:szCs w:val="22"/>
        </w:rPr>
        <w:t xml:space="preserve"> </w:t>
      </w:r>
      <w:r w:rsidR="00EA1F61">
        <w:rPr>
          <w:rFonts w:ascii="Arial" w:hAnsi="Arial" w:cs="Arial"/>
          <w:iCs/>
          <w:sz w:val="22"/>
          <w:szCs w:val="22"/>
        </w:rPr>
        <w:t>permits the recapitulation of</w:t>
      </w:r>
      <w:r w:rsidR="008D0CCC" w:rsidRPr="005F5C62">
        <w:rPr>
          <w:rFonts w:ascii="Arial" w:hAnsi="Arial" w:cs="Arial"/>
          <w:iCs/>
          <w:sz w:val="22"/>
          <w:szCs w:val="22"/>
        </w:rPr>
        <w:t xml:space="preserve"> the </w:t>
      </w:r>
      <w:r w:rsidR="00EA1F61">
        <w:rPr>
          <w:rFonts w:ascii="Arial" w:hAnsi="Arial" w:cs="Arial"/>
          <w:iCs/>
          <w:sz w:val="22"/>
          <w:szCs w:val="22"/>
        </w:rPr>
        <w:t>early evolution of</w:t>
      </w:r>
      <w:r w:rsidR="008D0CCC" w:rsidRPr="005F5C62">
        <w:rPr>
          <w:rFonts w:ascii="Arial" w:hAnsi="Arial" w:cs="Arial"/>
          <w:iCs/>
          <w:sz w:val="22"/>
          <w:szCs w:val="22"/>
        </w:rPr>
        <w:t xml:space="preserve"> </w:t>
      </w:r>
      <w:r w:rsidR="00EA1F61">
        <w:rPr>
          <w:rFonts w:ascii="Arial" w:hAnsi="Arial" w:cs="Arial"/>
          <w:iCs/>
          <w:sz w:val="22"/>
          <w:szCs w:val="22"/>
        </w:rPr>
        <w:t xml:space="preserve">the </w:t>
      </w:r>
      <w:r w:rsidR="008D0CCC" w:rsidRPr="005F5C62">
        <w:rPr>
          <w:rFonts w:ascii="Arial" w:hAnsi="Arial" w:cs="Arial"/>
          <w:iCs/>
          <w:sz w:val="22"/>
          <w:szCs w:val="22"/>
        </w:rPr>
        <w:t>original endosymbiotic event</w:t>
      </w:r>
      <w:r w:rsidR="00EA1F61">
        <w:rPr>
          <w:rFonts w:ascii="Arial" w:hAnsi="Arial" w:cs="Arial"/>
          <w:iCs/>
          <w:sz w:val="22"/>
          <w:szCs w:val="22"/>
        </w:rPr>
        <w:t xml:space="preserve">. </w:t>
      </w:r>
      <w:r w:rsidR="00C46A1B">
        <w:rPr>
          <w:rFonts w:ascii="Arial" w:hAnsi="Arial" w:cs="Arial"/>
          <w:iCs/>
          <w:sz w:val="22"/>
          <w:szCs w:val="22"/>
        </w:rPr>
        <w:t>Synthetic symbioses of this kind potentially allow us to</w:t>
      </w:r>
      <w:r w:rsidR="00EA1F61">
        <w:rPr>
          <w:rFonts w:ascii="Arial" w:hAnsi="Arial" w:cs="Arial"/>
          <w:iCs/>
          <w:sz w:val="22"/>
          <w:szCs w:val="22"/>
        </w:rPr>
        <w:t xml:space="preserve"> interrogate </w:t>
      </w:r>
      <w:r w:rsidR="008D0CCC" w:rsidRPr="005F5C62">
        <w:rPr>
          <w:rFonts w:ascii="Arial" w:hAnsi="Arial" w:cs="Arial"/>
          <w:iCs/>
          <w:sz w:val="22"/>
          <w:szCs w:val="22"/>
        </w:rPr>
        <w:t xml:space="preserve">the evolutionary likelihood and </w:t>
      </w:r>
      <w:r w:rsidR="00EA1F61">
        <w:rPr>
          <w:rFonts w:ascii="Arial" w:hAnsi="Arial" w:cs="Arial"/>
          <w:iCs/>
          <w:sz w:val="22"/>
          <w:szCs w:val="22"/>
        </w:rPr>
        <w:t>possible initial trajectories</w:t>
      </w:r>
      <w:r w:rsidR="008D0CCC" w:rsidRPr="005F5C62">
        <w:rPr>
          <w:rFonts w:ascii="Arial" w:hAnsi="Arial" w:cs="Arial"/>
          <w:iCs/>
          <w:sz w:val="22"/>
          <w:szCs w:val="22"/>
        </w:rPr>
        <w:t xml:space="preserve"> </w:t>
      </w:r>
      <w:r w:rsidR="00C46A1B">
        <w:rPr>
          <w:rFonts w:ascii="Arial" w:hAnsi="Arial" w:cs="Arial"/>
          <w:iCs/>
          <w:sz w:val="22"/>
          <w:szCs w:val="22"/>
        </w:rPr>
        <w:t>of transitions to endosymbiosis</w:t>
      </w:r>
      <w:r w:rsidR="00533434">
        <w:rPr>
          <w:rFonts w:ascii="Arial" w:hAnsi="Arial" w:cs="Arial"/>
          <w:iCs/>
          <w:sz w:val="22"/>
          <w:szCs w:val="22"/>
        </w:rPr>
        <w:t xml:space="preserve">. In the case of the partnership created by </w:t>
      </w:r>
      <w:proofErr w:type="spellStart"/>
      <w:r w:rsidR="00533434">
        <w:rPr>
          <w:rFonts w:ascii="Arial" w:hAnsi="Arial" w:cs="Arial"/>
          <w:iCs/>
          <w:sz w:val="22"/>
          <w:szCs w:val="22"/>
        </w:rPr>
        <w:t>Ohkawa</w:t>
      </w:r>
      <w:proofErr w:type="spellEnd"/>
      <w:r w:rsidR="00533434">
        <w:rPr>
          <w:rFonts w:ascii="Arial" w:hAnsi="Arial" w:cs="Arial"/>
          <w:iCs/>
          <w:sz w:val="22"/>
          <w:szCs w:val="22"/>
        </w:rPr>
        <w:t xml:space="preserve"> et al. this is possible</w:t>
      </w:r>
      <w:r w:rsidR="00C46A1B">
        <w:rPr>
          <w:rFonts w:ascii="Arial" w:hAnsi="Arial" w:cs="Arial"/>
          <w:iCs/>
          <w:sz w:val="22"/>
          <w:szCs w:val="22"/>
        </w:rPr>
        <w:t xml:space="preserve"> </w:t>
      </w:r>
      <w:r w:rsidR="008D0CCC" w:rsidRPr="005F5C62">
        <w:rPr>
          <w:rFonts w:ascii="Arial" w:hAnsi="Arial" w:cs="Arial"/>
          <w:iCs/>
          <w:sz w:val="22"/>
          <w:szCs w:val="22"/>
        </w:rPr>
        <w:t>to a</w:t>
      </w:r>
      <w:r w:rsidR="00533434">
        <w:rPr>
          <w:rFonts w:ascii="Arial" w:hAnsi="Arial" w:cs="Arial"/>
          <w:iCs/>
          <w:sz w:val="22"/>
          <w:szCs w:val="22"/>
        </w:rPr>
        <w:t>n unusual</w:t>
      </w:r>
      <w:r w:rsidR="008D0CCC" w:rsidRPr="005F5C62">
        <w:rPr>
          <w:rFonts w:ascii="Arial" w:hAnsi="Arial" w:cs="Arial"/>
          <w:iCs/>
          <w:sz w:val="22"/>
          <w:szCs w:val="22"/>
        </w:rPr>
        <w:t xml:space="preserve"> level of detail </w:t>
      </w:r>
      <w:r w:rsidR="00C46A1B">
        <w:rPr>
          <w:rFonts w:ascii="Arial" w:hAnsi="Arial" w:cs="Arial"/>
          <w:iCs/>
          <w:sz w:val="22"/>
          <w:szCs w:val="22"/>
        </w:rPr>
        <w:t xml:space="preserve">because the genome of the </w:t>
      </w:r>
      <w:r w:rsidR="00250B4D">
        <w:rPr>
          <w:rFonts w:ascii="Arial" w:hAnsi="Arial" w:cs="Arial"/>
          <w:iCs/>
          <w:sz w:val="22"/>
          <w:szCs w:val="22"/>
        </w:rPr>
        <w:t>introduced symbiont is available to study and can be used to model the metabolism of the ancestral state</w:t>
      </w:r>
      <w:r w:rsidR="008D0CCC" w:rsidRPr="005F5C62">
        <w:rPr>
          <w:rFonts w:ascii="Arial" w:hAnsi="Arial" w:cs="Arial"/>
          <w:iCs/>
          <w:sz w:val="22"/>
          <w:szCs w:val="22"/>
        </w:rPr>
        <w:t>.</w:t>
      </w:r>
    </w:p>
    <w:p w14:paraId="099D11B4" w14:textId="77777777" w:rsidR="00241B7C" w:rsidRPr="005F5C62" w:rsidRDefault="00241B7C" w:rsidP="00BF0803">
      <w:pPr>
        <w:shd w:val="clear" w:color="auto" w:fill="FFFFFF"/>
        <w:spacing w:line="360" w:lineRule="auto"/>
        <w:textAlignment w:val="baseline"/>
        <w:rPr>
          <w:rFonts w:ascii="Arial" w:hAnsi="Arial" w:cs="Arial"/>
          <w:iCs/>
          <w:sz w:val="22"/>
          <w:szCs w:val="22"/>
        </w:rPr>
      </w:pPr>
    </w:p>
    <w:p w14:paraId="69BCE6AD" w14:textId="74F57F37" w:rsidR="00241B7C" w:rsidRPr="00530589" w:rsidRDefault="00241B7C" w:rsidP="00BF0803">
      <w:pPr>
        <w:shd w:val="clear" w:color="auto" w:fill="FFFFFF"/>
        <w:spacing w:line="360" w:lineRule="auto"/>
        <w:textAlignment w:val="baseline"/>
        <w:rPr>
          <w:rFonts w:ascii="Arial" w:hAnsi="Arial" w:cs="Arial"/>
          <w:sz w:val="22"/>
          <w:szCs w:val="22"/>
        </w:rPr>
      </w:pPr>
      <w:r w:rsidRPr="005F5C62">
        <w:rPr>
          <w:rFonts w:ascii="Arial" w:hAnsi="Arial" w:cs="Arial"/>
          <w:i/>
          <w:sz w:val="22"/>
          <w:szCs w:val="22"/>
        </w:rPr>
        <w:t>Paramecium bursaria</w:t>
      </w:r>
      <w:r w:rsidRPr="005F5C62">
        <w:rPr>
          <w:rFonts w:ascii="Arial" w:hAnsi="Arial" w:cs="Arial"/>
          <w:sz w:val="22"/>
          <w:szCs w:val="22"/>
        </w:rPr>
        <w:t xml:space="preserve"> has an established endosymbiosis</w:t>
      </w:r>
      <w:r w:rsidR="002037BF">
        <w:rPr>
          <w:rFonts w:ascii="Arial" w:hAnsi="Arial" w:cs="Arial"/>
          <w:sz w:val="22"/>
          <w:szCs w:val="22"/>
        </w:rPr>
        <w:t xml:space="preserve"> </w:t>
      </w:r>
      <w:r w:rsidRPr="005F5C62">
        <w:rPr>
          <w:rFonts w:ascii="Arial" w:hAnsi="Arial" w:cs="Arial"/>
          <w:sz w:val="22"/>
          <w:szCs w:val="22"/>
        </w:rPr>
        <w:t xml:space="preserve">with the green algae </w:t>
      </w:r>
      <w:r w:rsidRPr="005F5C62">
        <w:rPr>
          <w:rFonts w:ascii="Arial" w:hAnsi="Arial" w:cs="Arial"/>
          <w:i/>
          <w:sz w:val="22"/>
          <w:szCs w:val="22"/>
        </w:rPr>
        <w:t>Chlorella</w:t>
      </w:r>
      <w:r w:rsidRPr="005F5C62">
        <w:rPr>
          <w:rFonts w:ascii="Arial" w:hAnsi="Arial" w:cs="Arial"/>
          <w:sz w:val="22"/>
          <w:szCs w:val="22"/>
        </w:rPr>
        <w:t xml:space="preserve"> spp.</w:t>
      </w:r>
      <w:r w:rsidR="002037BF">
        <w:rPr>
          <w:rFonts w:ascii="Arial" w:hAnsi="Arial" w:cs="Arial"/>
          <w:sz w:val="22"/>
          <w:szCs w:val="22"/>
        </w:rPr>
        <w:t xml:space="preserve"> This symbiosis sits</w:t>
      </w:r>
      <w:r w:rsidR="002037BF" w:rsidRPr="005F5C62">
        <w:rPr>
          <w:rFonts w:ascii="Arial" w:hAnsi="Arial" w:cs="Arial"/>
          <w:sz w:val="22"/>
          <w:szCs w:val="22"/>
        </w:rPr>
        <w:t xml:space="preserve"> on the borderline between facultative and </w:t>
      </w:r>
      <w:r w:rsidR="002037BF">
        <w:rPr>
          <w:rFonts w:ascii="Arial" w:hAnsi="Arial" w:cs="Arial"/>
          <w:sz w:val="22"/>
          <w:szCs w:val="22"/>
        </w:rPr>
        <w:t xml:space="preserve">obligate </w:t>
      </w:r>
      <w:r w:rsidR="002037BF">
        <w:rPr>
          <w:rFonts w:ascii="Arial" w:hAnsi="Arial" w:cs="Arial"/>
          <w:sz w:val="22"/>
          <w:szCs w:val="22"/>
        </w:rPr>
        <w:lastRenderedPageBreak/>
        <w:t>and is thus</w:t>
      </w:r>
      <w:r w:rsidR="005E008E">
        <w:rPr>
          <w:rFonts w:ascii="Arial" w:hAnsi="Arial" w:cs="Arial"/>
          <w:sz w:val="22"/>
          <w:szCs w:val="22"/>
        </w:rPr>
        <w:t xml:space="preserve"> </w:t>
      </w:r>
      <w:r w:rsidR="00836C43">
        <w:rPr>
          <w:rFonts w:ascii="Arial" w:hAnsi="Arial" w:cs="Arial"/>
          <w:sz w:val="22"/>
          <w:szCs w:val="22"/>
        </w:rPr>
        <w:t>suggesti</w:t>
      </w:r>
      <w:r w:rsidR="002037BF">
        <w:rPr>
          <w:rFonts w:ascii="Arial" w:hAnsi="Arial" w:cs="Arial"/>
          <w:sz w:val="22"/>
          <w:szCs w:val="22"/>
        </w:rPr>
        <w:t>ve of</w:t>
      </w:r>
      <w:r w:rsidR="00836C43">
        <w:rPr>
          <w:rFonts w:ascii="Arial" w:hAnsi="Arial" w:cs="Arial"/>
          <w:sz w:val="22"/>
          <w:szCs w:val="22"/>
        </w:rPr>
        <w:t xml:space="preserve"> the potential to establish novel endosymbioses</w:t>
      </w:r>
      <w:r w:rsidRPr="005F5C62">
        <w:rPr>
          <w:rFonts w:ascii="Arial" w:hAnsi="Arial" w:cs="Arial"/>
          <w:sz w:val="22"/>
          <w:szCs w:val="22"/>
        </w:rPr>
        <w:t xml:space="preserve">. </w:t>
      </w:r>
      <w:r w:rsidRPr="005F5C62">
        <w:rPr>
          <w:rFonts w:ascii="Arial" w:hAnsi="Arial" w:cs="Arial"/>
          <w:iCs/>
          <w:sz w:val="22"/>
          <w:szCs w:val="22"/>
        </w:rPr>
        <w:t xml:space="preserve">The </w:t>
      </w:r>
      <w:r w:rsidR="00836C43" w:rsidRPr="00836C43">
        <w:rPr>
          <w:rFonts w:ascii="Arial" w:hAnsi="Arial" w:cs="Arial"/>
          <w:i/>
          <w:iCs/>
          <w:sz w:val="22"/>
          <w:szCs w:val="22"/>
        </w:rPr>
        <w:t xml:space="preserve">Chlorella </w:t>
      </w:r>
      <w:r w:rsidRPr="005F5C62">
        <w:rPr>
          <w:rFonts w:ascii="Arial" w:hAnsi="Arial" w:cs="Arial"/>
          <w:iCs/>
          <w:sz w:val="22"/>
          <w:szCs w:val="22"/>
        </w:rPr>
        <w:t xml:space="preserve">symbiont is vertically inherited and the two cell cycles are </w:t>
      </w:r>
      <w:r w:rsidRPr="00530589">
        <w:rPr>
          <w:rFonts w:ascii="Arial" w:hAnsi="Arial" w:cs="Arial"/>
          <w:iCs/>
          <w:sz w:val="22"/>
          <w:szCs w:val="22"/>
        </w:rPr>
        <w:t xml:space="preserve">synchronised, which </w:t>
      </w:r>
      <w:r w:rsidRPr="00352040">
        <w:rPr>
          <w:rFonts w:ascii="Arial" w:hAnsi="Arial" w:cs="Arial"/>
          <w:iCs/>
          <w:sz w:val="22"/>
          <w:szCs w:val="22"/>
        </w:rPr>
        <w:t xml:space="preserve">indicates a </w:t>
      </w:r>
      <w:r w:rsidR="00C81540" w:rsidRPr="00352040">
        <w:rPr>
          <w:rFonts w:ascii="Arial" w:hAnsi="Arial" w:cs="Arial"/>
          <w:iCs/>
          <w:sz w:val="22"/>
          <w:szCs w:val="22"/>
        </w:rPr>
        <w:t>tightly</w:t>
      </w:r>
      <w:r w:rsidR="00113637" w:rsidRPr="00352040">
        <w:rPr>
          <w:rFonts w:ascii="Arial" w:hAnsi="Arial" w:cs="Arial"/>
          <w:iCs/>
          <w:sz w:val="22"/>
          <w:szCs w:val="22"/>
        </w:rPr>
        <w:t xml:space="preserve"> coevolved</w:t>
      </w:r>
      <w:r w:rsidRPr="00352040">
        <w:rPr>
          <w:rFonts w:ascii="Arial" w:hAnsi="Arial" w:cs="Arial"/>
          <w:iCs/>
          <w:sz w:val="22"/>
          <w:szCs w:val="22"/>
        </w:rPr>
        <w:t xml:space="preserve"> relationship</w:t>
      </w:r>
      <w:r w:rsidRPr="00530589">
        <w:rPr>
          <w:rFonts w:ascii="Arial" w:hAnsi="Arial" w:cs="Arial"/>
          <w:iCs/>
          <w:sz w:val="22"/>
          <w:szCs w:val="22"/>
        </w:rPr>
        <w:t xml:space="preserve">. However, </w:t>
      </w:r>
      <w:r w:rsidR="00524E06">
        <w:rPr>
          <w:rFonts w:ascii="Arial" w:hAnsi="Arial" w:cs="Arial"/>
          <w:iCs/>
          <w:sz w:val="22"/>
          <w:szCs w:val="22"/>
        </w:rPr>
        <w:t xml:space="preserve">in </w:t>
      </w:r>
      <w:r w:rsidR="004349F1">
        <w:rPr>
          <w:rFonts w:ascii="Arial" w:hAnsi="Arial" w:cs="Arial"/>
          <w:iCs/>
          <w:sz w:val="22"/>
          <w:szCs w:val="22"/>
        </w:rPr>
        <w:t>most</w:t>
      </w:r>
      <w:r w:rsidR="005D332B">
        <w:rPr>
          <w:rFonts w:ascii="Arial" w:hAnsi="Arial" w:cs="Arial"/>
          <w:iCs/>
          <w:sz w:val="22"/>
          <w:szCs w:val="22"/>
        </w:rPr>
        <w:t xml:space="preserve"> natural</w:t>
      </w:r>
      <w:r w:rsidR="00524E06">
        <w:rPr>
          <w:rFonts w:ascii="Arial" w:hAnsi="Arial" w:cs="Arial"/>
          <w:iCs/>
          <w:sz w:val="22"/>
          <w:szCs w:val="22"/>
        </w:rPr>
        <w:t xml:space="preserve"> isolates</w:t>
      </w:r>
      <w:r w:rsidR="00524E06" w:rsidRPr="00530589">
        <w:rPr>
          <w:rFonts w:ascii="Arial" w:hAnsi="Arial" w:cs="Arial"/>
          <w:iCs/>
          <w:sz w:val="22"/>
          <w:szCs w:val="22"/>
        </w:rPr>
        <w:t xml:space="preserve"> </w:t>
      </w:r>
      <w:r w:rsidRPr="00530589">
        <w:rPr>
          <w:rFonts w:ascii="Arial" w:hAnsi="Arial" w:cs="Arial"/>
          <w:iCs/>
          <w:sz w:val="22"/>
          <w:szCs w:val="22"/>
        </w:rPr>
        <w:t xml:space="preserve">both organisms can survive if </w:t>
      </w:r>
      <w:r w:rsidR="00524E06">
        <w:rPr>
          <w:rFonts w:ascii="Arial" w:hAnsi="Arial" w:cs="Arial"/>
          <w:iCs/>
          <w:sz w:val="22"/>
          <w:szCs w:val="22"/>
        </w:rPr>
        <w:t>separated</w:t>
      </w:r>
      <w:r w:rsidRPr="00530589">
        <w:rPr>
          <w:rFonts w:ascii="Arial" w:hAnsi="Arial" w:cs="Arial"/>
          <w:iCs/>
          <w:sz w:val="22"/>
          <w:szCs w:val="22"/>
        </w:rPr>
        <w:t>,</w:t>
      </w:r>
      <w:r w:rsidR="00113637">
        <w:rPr>
          <w:rFonts w:ascii="Arial" w:hAnsi="Arial" w:cs="Arial"/>
          <w:iCs/>
          <w:sz w:val="22"/>
          <w:szCs w:val="22"/>
        </w:rPr>
        <w:t xml:space="preserve"> suggesting that this</w:t>
      </w:r>
      <w:r w:rsidRPr="00530589">
        <w:rPr>
          <w:rFonts w:ascii="Arial" w:hAnsi="Arial" w:cs="Arial"/>
          <w:iCs/>
          <w:sz w:val="22"/>
          <w:szCs w:val="22"/>
        </w:rPr>
        <w:t xml:space="preserve"> remains a facultative </w:t>
      </w:r>
      <w:r w:rsidR="004349F1">
        <w:rPr>
          <w:rFonts w:ascii="Arial" w:hAnsi="Arial" w:cs="Arial"/>
          <w:iCs/>
          <w:sz w:val="22"/>
          <w:szCs w:val="22"/>
        </w:rPr>
        <w:t>association</w:t>
      </w:r>
      <w:r w:rsidRPr="00530589">
        <w:rPr>
          <w:rFonts w:ascii="Arial" w:hAnsi="Arial" w:cs="Arial"/>
          <w:iCs/>
          <w:sz w:val="22"/>
          <w:szCs w:val="22"/>
        </w:rPr>
        <w:t xml:space="preserve">. </w:t>
      </w:r>
      <w:r w:rsidRPr="00530589">
        <w:rPr>
          <w:rFonts w:ascii="Arial" w:hAnsi="Arial" w:cs="Arial"/>
          <w:i/>
          <w:sz w:val="22"/>
          <w:szCs w:val="22"/>
        </w:rPr>
        <w:t>Paramecium</w:t>
      </w:r>
      <w:r w:rsidRPr="00530589">
        <w:rPr>
          <w:rFonts w:ascii="Arial" w:hAnsi="Arial" w:cs="Arial"/>
          <w:sz w:val="22"/>
          <w:szCs w:val="22"/>
        </w:rPr>
        <w:t xml:space="preserve"> and </w:t>
      </w:r>
      <w:r w:rsidRPr="00530589">
        <w:rPr>
          <w:rFonts w:ascii="Arial" w:hAnsi="Arial" w:cs="Arial"/>
          <w:i/>
          <w:sz w:val="22"/>
          <w:szCs w:val="22"/>
        </w:rPr>
        <w:t>Chlorella</w:t>
      </w:r>
      <w:r w:rsidRPr="00530589">
        <w:rPr>
          <w:rFonts w:ascii="Arial" w:hAnsi="Arial" w:cs="Arial"/>
          <w:sz w:val="22"/>
          <w:szCs w:val="22"/>
        </w:rPr>
        <w:t xml:space="preserve"> have a classical </w:t>
      </w:r>
      <w:proofErr w:type="spellStart"/>
      <w:r w:rsidRPr="00530589">
        <w:rPr>
          <w:rFonts w:ascii="Arial" w:hAnsi="Arial" w:cs="Arial"/>
          <w:sz w:val="22"/>
          <w:szCs w:val="22"/>
        </w:rPr>
        <w:t>photosymbiotic</w:t>
      </w:r>
      <w:proofErr w:type="spellEnd"/>
      <w:r w:rsidRPr="00530589">
        <w:rPr>
          <w:rFonts w:ascii="Arial" w:hAnsi="Arial" w:cs="Arial"/>
          <w:sz w:val="22"/>
          <w:szCs w:val="22"/>
        </w:rPr>
        <w:t xml:space="preserve"> exchange, whereby the </w:t>
      </w:r>
      <w:r w:rsidRPr="00530589">
        <w:rPr>
          <w:rFonts w:ascii="Arial" w:hAnsi="Arial" w:cs="Arial"/>
          <w:i/>
          <w:sz w:val="22"/>
          <w:szCs w:val="22"/>
        </w:rPr>
        <w:t>Chlorella</w:t>
      </w:r>
      <w:r w:rsidRPr="00530589">
        <w:rPr>
          <w:rFonts w:ascii="Arial" w:hAnsi="Arial" w:cs="Arial"/>
          <w:sz w:val="22"/>
          <w:szCs w:val="22"/>
        </w:rPr>
        <w:t xml:space="preserve"> provides organic carbon fixed by photosynthesis and </w:t>
      </w:r>
      <w:r w:rsidRPr="00530589">
        <w:rPr>
          <w:rFonts w:ascii="Arial" w:hAnsi="Arial" w:cs="Arial"/>
          <w:i/>
          <w:sz w:val="22"/>
          <w:szCs w:val="22"/>
        </w:rPr>
        <w:t>Paramecium</w:t>
      </w:r>
      <w:r w:rsidRPr="00530589">
        <w:rPr>
          <w:rFonts w:ascii="Arial" w:hAnsi="Arial" w:cs="Arial"/>
          <w:sz w:val="22"/>
          <w:szCs w:val="22"/>
        </w:rPr>
        <w:t xml:space="preserve"> in return supplies organic nitrogen. It is estimated that the </w:t>
      </w:r>
      <w:r w:rsidRPr="00530589">
        <w:rPr>
          <w:rFonts w:ascii="Arial" w:hAnsi="Arial" w:cs="Arial"/>
          <w:i/>
          <w:sz w:val="22"/>
          <w:szCs w:val="22"/>
        </w:rPr>
        <w:t>Chlorella</w:t>
      </w:r>
      <w:r w:rsidRPr="00530589">
        <w:rPr>
          <w:rFonts w:ascii="Arial" w:hAnsi="Arial" w:cs="Arial"/>
          <w:sz w:val="22"/>
          <w:szCs w:val="22"/>
        </w:rPr>
        <w:t xml:space="preserve"> endosymbionts release 57 % of their fixed carbon to their host</w:t>
      </w:r>
      <w:r w:rsidR="00E333C8" w:rsidRPr="00530589">
        <w:rPr>
          <w:rFonts w:ascii="Arial" w:hAnsi="Arial" w:cs="Arial"/>
          <w:sz w:val="22"/>
          <w:szCs w:val="22"/>
        </w:rPr>
        <w:t xml:space="preserv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qg9nbhct7","properties":{"formattedCitation":"(14)","plainCitation":"(14)"},"citationItems":[{"id":265,"uris":["http://zotero.org/users/2452229/items/RUZX3IEP"],"uri":["http://zotero.org/users/2452229/items/RUZX3IEP"],"itemData":{"id":265,"type":"article-journal","title":"The acquisition of phototrophy: adaptive strategies of hosting endosymbionts and organelles.","container-title":"Photosynthesis research","page":"117-32","volume":"107","issue":"1","abstract":"Many non-photosynthetic species of protists and metazoans are capable of hosting viable algal endosymbionts or their organelles through adaptations of phagocytic pathways. A form of mixotrophy combining phototrophy and heterotrophy, acquired phototrophy (AcPh) encompasses a suite of endosymbiotic and organelle retention interactions, that range from facultative to obligate. AcPh is a common phenomenon in aquatic ecosystems, with endosymbiotic associations generally more prevalent in nutrient poor environments, and organelle retention typically associated with more productive ones. All AcPhs benefit from enhanced growth due to access to photosynthetic products; however, the degree of metabolic integration and dependency in the host varies widely. AcPh is found in at least four of the major eukaryotic supergroups, and is the driving force in the evolution of secondary and tertiary plastid acquisitions. Mutualistic resource partitioning characterizes most algal endosymbiotic interactions, while organelle retention is a form of predation, characterized by nutrient flow (i.e., growth) in one direction. AcPh involves adaptations to recognize specific prey or endosymbionts and to house organelles or endosymbionts within the endomembrane system but free from digestion. In many cases, hosts depend upon AcPh for the production of essential nutrients, many of which remain obscure. The practice of AcPh has led to multiple independent secondary and tertiary plastid acquisition events among several eukaryote lineages, giving rise to the diverse array of algae found in modern aquatic ecosystems. This article highlights those AcPhs that are model research organisms for both metazoans and protists. Much of the basic biology of AcPhs remains enigmatic, particularly (1) which essential nutrients or factors make certain forms of AcPh obligatory, (2) how hosts regulate and manipulate endosymbionts or sequestered organelles, and (3) what genomic imprint, if any, AcPh leaves on non-photosynthetic host species.","ISSN":"0166-8595","author":[{"family":"Johnson","given":"Matthew D"}],"issued":{"date-parts":[["2011",1]],"season":"undefined"}}}],"schema":"https://github.com/citation-style-language/schema/raw/master/csl-citation.json"}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(14)</w:t>
      </w:r>
      <w:r w:rsidR="00E333C8" w:rsidRPr="00530589">
        <w:rPr>
          <w:rFonts w:ascii="Arial" w:hAnsi="Arial" w:cs="Arial"/>
          <w:sz w:val="22"/>
          <w:szCs w:val="22"/>
        </w:rPr>
        <w:fldChar w:fldCharType="end"/>
      </w:r>
      <w:r w:rsidRPr="00530589">
        <w:rPr>
          <w:rFonts w:ascii="Arial" w:hAnsi="Arial" w:cs="Arial"/>
          <w:sz w:val="22"/>
          <w:szCs w:val="22"/>
        </w:rPr>
        <w:t>. This</w:t>
      </w:r>
      <w:r w:rsidRPr="005F5C62">
        <w:rPr>
          <w:rFonts w:ascii="Arial" w:hAnsi="Arial" w:cs="Arial"/>
          <w:sz w:val="22"/>
          <w:szCs w:val="22"/>
        </w:rPr>
        <w:t xml:space="preserve"> partnership has been studied </w:t>
      </w:r>
      <w:r w:rsidR="00533434">
        <w:rPr>
          <w:rFonts w:ascii="Arial" w:hAnsi="Arial" w:cs="Arial"/>
          <w:sz w:val="22"/>
          <w:szCs w:val="22"/>
        </w:rPr>
        <w:t xml:space="preserve">and </w:t>
      </w:r>
      <w:r w:rsidRPr="005F5C62">
        <w:rPr>
          <w:rFonts w:ascii="Arial" w:hAnsi="Arial" w:cs="Arial"/>
          <w:sz w:val="22"/>
          <w:szCs w:val="22"/>
        </w:rPr>
        <w:t xml:space="preserve">thoroughly </w:t>
      </w:r>
      <w:r w:rsidR="00533434">
        <w:rPr>
          <w:rFonts w:ascii="Arial" w:hAnsi="Arial" w:cs="Arial"/>
          <w:sz w:val="22"/>
          <w:szCs w:val="22"/>
        </w:rPr>
        <w:t xml:space="preserve">documented </w:t>
      </w:r>
      <w:r w:rsidRPr="005F5C62">
        <w:rPr>
          <w:rFonts w:ascii="Arial" w:hAnsi="Arial" w:cs="Arial"/>
          <w:sz w:val="22"/>
          <w:szCs w:val="22"/>
        </w:rPr>
        <w:t xml:space="preserve">due to the ease of isolation and reinfection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PpzRCIWg","properties":{"formattedCitation":"(15)","plainCitation":"(15)"},"citationItems":[{"id":346,"uris":["http://zotero.org/users/2452229/items/2ZX6XVIK"],"uri":["http://zotero.org/users/2452229/items/2ZX6XVIK"],"itemData":{"id":346,"type":"article-journal","title":"Four Important Cytological Events Needed to establish Endosymbiosis of Symbiotic Chlorella Sp. to the Alga-Free Paramecium Bursaria of","container-title":"Jpn J Protozool","page":"1","volume":"44","issue":"1 SRC  - GoogleScholar","author":[{"family":"Kodama","given":"Y"},{"family":"Fujishima","given":"M"}],"issued":{"date-parts":[["2011"]]}}}],"schema":"https://github.com/citation-style-language/schema/raw/master/csl-citation.json"}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(15)</w:t>
      </w:r>
      <w:r w:rsidR="00E333C8" w:rsidRPr="00530589">
        <w:rPr>
          <w:rFonts w:ascii="Arial" w:hAnsi="Arial" w:cs="Arial"/>
          <w:sz w:val="22"/>
          <w:szCs w:val="22"/>
        </w:rPr>
        <w:fldChar w:fldCharType="end"/>
      </w:r>
      <w:r w:rsidR="00E333C8">
        <w:rPr>
          <w:rFonts w:ascii="Arial" w:hAnsi="Arial" w:cs="Arial"/>
          <w:sz w:val="22"/>
          <w:szCs w:val="22"/>
        </w:rPr>
        <w:t>.</w:t>
      </w:r>
      <w:r w:rsidRPr="005F5C62">
        <w:rPr>
          <w:rFonts w:ascii="Arial" w:hAnsi="Arial" w:cs="Arial"/>
          <w:sz w:val="22"/>
          <w:szCs w:val="22"/>
        </w:rPr>
        <w:t xml:space="preserve"> The two organisms are interdependent to the extent that their circadian cycles are linked. For instance, it has been demonstrated that </w:t>
      </w:r>
      <w:r w:rsidRPr="005F5C62">
        <w:rPr>
          <w:rFonts w:ascii="Arial" w:hAnsi="Arial" w:cs="Arial"/>
          <w:i/>
          <w:sz w:val="22"/>
          <w:szCs w:val="22"/>
        </w:rPr>
        <w:t>P. bursaria</w:t>
      </w:r>
      <w:r w:rsidR="002037BF">
        <w:rPr>
          <w:rFonts w:ascii="Arial" w:hAnsi="Arial" w:cs="Arial"/>
          <w:sz w:val="22"/>
          <w:szCs w:val="22"/>
        </w:rPr>
        <w:t>/</w:t>
      </w:r>
      <w:r w:rsidRPr="005F5C62">
        <w:rPr>
          <w:rFonts w:ascii="Arial" w:hAnsi="Arial" w:cs="Arial"/>
          <w:i/>
          <w:sz w:val="22"/>
          <w:szCs w:val="22"/>
        </w:rPr>
        <w:t>Chlorella</w:t>
      </w:r>
      <w:r w:rsidRPr="005F5C62">
        <w:rPr>
          <w:rFonts w:ascii="Arial" w:hAnsi="Arial" w:cs="Arial"/>
          <w:sz w:val="22"/>
          <w:szCs w:val="22"/>
        </w:rPr>
        <w:t xml:space="preserve"> </w:t>
      </w:r>
      <w:proofErr w:type="spellStart"/>
      <w:r w:rsidR="002037BF">
        <w:rPr>
          <w:rFonts w:ascii="Arial" w:hAnsi="Arial" w:cs="Arial"/>
          <w:sz w:val="22"/>
          <w:szCs w:val="22"/>
        </w:rPr>
        <w:t>holobionts</w:t>
      </w:r>
      <w:proofErr w:type="spellEnd"/>
      <w:r w:rsidR="002037BF">
        <w:rPr>
          <w:rFonts w:ascii="Arial" w:hAnsi="Arial" w:cs="Arial"/>
          <w:sz w:val="22"/>
          <w:szCs w:val="22"/>
        </w:rPr>
        <w:t xml:space="preserve"> (the collective term for the endosymbiotic state) </w:t>
      </w:r>
      <w:r w:rsidRPr="005F5C62">
        <w:rPr>
          <w:rFonts w:ascii="Arial" w:hAnsi="Arial" w:cs="Arial"/>
          <w:sz w:val="22"/>
          <w:szCs w:val="22"/>
        </w:rPr>
        <w:t xml:space="preserve">have a longer period than </w:t>
      </w:r>
      <w:proofErr w:type="spellStart"/>
      <w:r w:rsidRPr="005F5C62">
        <w:rPr>
          <w:rFonts w:ascii="Arial" w:hAnsi="Arial" w:cs="Arial"/>
          <w:sz w:val="22"/>
          <w:szCs w:val="22"/>
        </w:rPr>
        <w:t>aposymbiont</w:t>
      </w:r>
      <w:proofErr w:type="spellEnd"/>
      <w:r w:rsidRPr="005F5C62">
        <w:rPr>
          <w:rFonts w:ascii="Arial" w:hAnsi="Arial" w:cs="Arial"/>
          <w:sz w:val="22"/>
          <w:szCs w:val="22"/>
        </w:rPr>
        <w:t xml:space="preserve"> </w:t>
      </w:r>
      <w:r w:rsidR="002037BF" w:rsidRPr="005F5C62">
        <w:rPr>
          <w:rFonts w:ascii="Arial" w:hAnsi="Arial" w:cs="Arial"/>
          <w:i/>
          <w:sz w:val="22"/>
          <w:szCs w:val="22"/>
        </w:rPr>
        <w:t>P. bursaria</w:t>
      </w:r>
      <w:r w:rsidR="002037BF" w:rsidRPr="005F5C62" w:rsidDel="002037BF">
        <w:rPr>
          <w:rFonts w:ascii="Arial" w:hAnsi="Arial" w:cs="Arial"/>
          <w:sz w:val="22"/>
          <w:szCs w:val="22"/>
        </w:rPr>
        <w:t xml:space="preserve"> </w:t>
      </w:r>
      <w:r w:rsidR="002037BF">
        <w:rPr>
          <w:rFonts w:ascii="Arial" w:hAnsi="Arial" w:cs="Arial"/>
          <w:sz w:val="22"/>
          <w:szCs w:val="22"/>
        </w:rPr>
        <w:t>individuals</w:t>
      </w:r>
      <w:r w:rsidR="00B87EAB">
        <w:rPr>
          <w:rFonts w:ascii="Arial" w:hAnsi="Arial" w:cs="Arial"/>
          <w:sz w:val="22"/>
          <w:szCs w:val="22"/>
        </w:rPr>
        <w:t>,</w:t>
      </w:r>
      <w:r w:rsidR="00533434">
        <w:rPr>
          <w:rFonts w:ascii="Arial" w:hAnsi="Arial" w:cs="Arial"/>
          <w:sz w:val="22"/>
          <w:szCs w:val="22"/>
        </w:rPr>
        <w:t xml:space="preserve"> </w:t>
      </w:r>
      <w:r w:rsidRPr="005F5C62">
        <w:rPr>
          <w:rFonts w:ascii="Arial" w:hAnsi="Arial" w:cs="Arial"/>
          <w:i/>
          <w:sz w:val="22"/>
          <w:szCs w:val="22"/>
        </w:rPr>
        <w:t>P. bursaria</w:t>
      </w:r>
      <w:r w:rsidRPr="005F5C62">
        <w:rPr>
          <w:rFonts w:ascii="Arial" w:hAnsi="Arial" w:cs="Arial"/>
          <w:sz w:val="22"/>
          <w:szCs w:val="22"/>
        </w:rPr>
        <w:t xml:space="preserve"> mutants </w:t>
      </w:r>
      <w:r w:rsidR="00B87EAB">
        <w:rPr>
          <w:rFonts w:ascii="Arial" w:hAnsi="Arial" w:cs="Arial"/>
          <w:sz w:val="22"/>
          <w:szCs w:val="22"/>
        </w:rPr>
        <w:t xml:space="preserve">with an </w:t>
      </w:r>
      <w:r w:rsidR="00B87EAB" w:rsidRPr="005F5C62">
        <w:rPr>
          <w:rFonts w:ascii="Arial" w:hAnsi="Arial" w:cs="Arial"/>
          <w:sz w:val="22"/>
          <w:szCs w:val="22"/>
        </w:rPr>
        <w:t xml:space="preserve">arrhythmic </w:t>
      </w:r>
      <w:r w:rsidR="00B87EAB">
        <w:rPr>
          <w:rFonts w:ascii="Arial" w:hAnsi="Arial" w:cs="Arial"/>
          <w:sz w:val="22"/>
          <w:szCs w:val="22"/>
        </w:rPr>
        <w:t xml:space="preserve">circadian rhythm </w:t>
      </w:r>
      <w:r w:rsidRPr="005F5C62">
        <w:rPr>
          <w:rFonts w:ascii="Arial" w:hAnsi="Arial" w:cs="Arial"/>
          <w:sz w:val="22"/>
          <w:szCs w:val="22"/>
        </w:rPr>
        <w:t>can be rescued by symbionts, and</w:t>
      </w:r>
      <w:r w:rsidR="00B87EAB">
        <w:rPr>
          <w:rFonts w:ascii="Arial" w:hAnsi="Arial" w:cs="Arial"/>
          <w:sz w:val="22"/>
          <w:szCs w:val="22"/>
        </w:rPr>
        <w:t>,</w:t>
      </w:r>
      <w:r w:rsidRPr="005F5C62">
        <w:rPr>
          <w:rFonts w:ascii="Arial" w:hAnsi="Arial" w:cs="Arial"/>
          <w:sz w:val="22"/>
          <w:szCs w:val="22"/>
        </w:rPr>
        <w:t xml:space="preserve"> if the </w:t>
      </w:r>
      <w:r w:rsidRPr="00530589">
        <w:rPr>
          <w:rFonts w:ascii="Arial" w:hAnsi="Arial" w:cs="Arial"/>
          <w:sz w:val="22"/>
          <w:szCs w:val="22"/>
        </w:rPr>
        <w:t xml:space="preserve">host and symbiont </w:t>
      </w:r>
      <w:r w:rsidR="00B87EAB">
        <w:rPr>
          <w:rFonts w:ascii="Arial" w:hAnsi="Arial" w:cs="Arial"/>
          <w:sz w:val="22"/>
          <w:szCs w:val="22"/>
        </w:rPr>
        <w:t>have</w:t>
      </w:r>
      <w:r w:rsidRPr="00530589">
        <w:rPr>
          <w:rFonts w:ascii="Arial" w:hAnsi="Arial" w:cs="Arial"/>
          <w:sz w:val="22"/>
          <w:szCs w:val="22"/>
        </w:rPr>
        <w:t xml:space="preserve"> </w:t>
      </w:r>
      <w:r w:rsidR="00B87EAB">
        <w:rPr>
          <w:rFonts w:ascii="Arial" w:hAnsi="Arial" w:cs="Arial"/>
          <w:sz w:val="22"/>
          <w:szCs w:val="22"/>
        </w:rPr>
        <w:t>out of phase</w:t>
      </w:r>
      <w:r w:rsidRPr="00530589">
        <w:rPr>
          <w:rFonts w:ascii="Arial" w:hAnsi="Arial" w:cs="Arial"/>
          <w:sz w:val="22"/>
          <w:szCs w:val="22"/>
        </w:rPr>
        <w:t xml:space="preserve"> </w:t>
      </w:r>
      <w:r w:rsidR="00B87EAB">
        <w:rPr>
          <w:rFonts w:ascii="Arial" w:hAnsi="Arial" w:cs="Arial"/>
          <w:sz w:val="22"/>
          <w:szCs w:val="22"/>
        </w:rPr>
        <w:t>circadian rhythms,</w:t>
      </w:r>
      <w:r w:rsidRPr="00530589">
        <w:rPr>
          <w:rFonts w:ascii="Arial" w:hAnsi="Arial" w:cs="Arial"/>
          <w:sz w:val="22"/>
          <w:szCs w:val="22"/>
        </w:rPr>
        <w:t xml:space="preserve"> </w:t>
      </w:r>
      <w:r w:rsidRPr="00530589">
        <w:rPr>
          <w:rFonts w:ascii="Arial" w:hAnsi="Arial" w:cs="Arial"/>
          <w:i/>
          <w:sz w:val="22"/>
          <w:szCs w:val="22"/>
        </w:rPr>
        <w:t>P. bursaria</w:t>
      </w:r>
      <w:r w:rsidRPr="00530589">
        <w:rPr>
          <w:rFonts w:ascii="Arial" w:hAnsi="Arial" w:cs="Arial"/>
          <w:sz w:val="22"/>
          <w:szCs w:val="22"/>
        </w:rPr>
        <w:t xml:space="preserve"> will gradually shift </w:t>
      </w:r>
      <w:r w:rsidR="00B87EAB">
        <w:rPr>
          <w:rFonts w:ascii="Arial" w:hAnsi="Arial" w:cs="Arial"/>
          <w:sz w:val="22"/>
          <w:szCs w:val="22"/>
        </w:rPr>
        <w:t xml:space="preserve">its </w:t>
      </w:r>
      <w:proofErr w:type="spellStart"/>
      <w:r w:rsidR="00B87EAB">
        <w:rPr>
          <w:rFonts w:ascii="Arial" w:hAnsi="Arial" w:cs="Arial"/>
          <w:sz w:val="22"/>
          <w:szCs w:val="22"/>
        </w:rPr>
        <w:t>rhthym</w:t>
      </w:r>
      <w:proofErr w:type="spellEnd"/>
      <w:r w:rsidR="00B87EAB">
        <w:rPr>
          <w:rFonts w:ascii="Arial" w:hAnsi="Arial" w:cs="Arial"/>
          <w:sz w:val="22"/>
          <w:szCs w:val="22"/>
        </w:rPr>
        <w:t xml:space="preserve"> </w:t>
      </w:r>
      <w:r w:rsidRPr="00530589">
        <w:rPr>
          <w:rFonts w:ascii="Arial" w:hAnsi="Arial" w:cs="Arial"/>
          <w:sz w:val="22"/>
          <w:szCs w:val="22"/>
        </w:rPr>
        <w:t xml:space="preserve">to match </w:t>
      </w:r>
      <w:r w:rsidR="00B87EAB">
        <w:rPr>
          <w:rFonts w:ascii="Arial" w:hAnsi="Arial" w:cs="Arial"/>
          <w:sz w:val="22"/>
          <w:szCs w:val="22"/>
        </w:rPr>
        <w:t xml:space="preserve">the </w:t>
      </w:r>
      <w:r w:rsidRPr="00530589">
        <w:rPr>
          <w:rFonts w:ascii="Arial" w:hAnsi="Arial" w:cs="Arial"/>
          <w:i/>
          <w:sz w:val="22"/>
          <w:szCs w:val="22"/>
        </w:rPr>
        <w:t>Chlorella’s</w:t>
      </w:r>
      <w:r w:rsidRPr="00530589">
        <w:rPr>
          <w:rFonts w:ascii="Arial" w:hAnsi="Arial" w:cs="Arial"/>
          <w:sz w:val="22"/>
          <w:szCs w:val="22"/>
        </w:rPr>
        <w:t xml:space="preserv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ns2nbgrih","properties":{"formattedCitation":"(16)","plainCitation":"(16)"},"citationItems":[{"id":246,"uris":["http://zotero.org/users/2452229/items/S4VRJDVV"],"uri":["http://zotero.org/users/2452229/items/S4VRJDVV"],"itemData":{"id":246,"type":"article-journal","title":"Effects of Symbiotic Chlorella on the Period Length and the Phase Shift of Circadian Rhythms in Paramecium Bursaria","container-title":"European Journal of Protistology","page":"102-7","volume":"32","author":[{"family":"Miwa","given":"I"},{"family":"Fujimori","given":"N"},{"family":"Tanaka","given":"M"}],"issued":{"date-parts":[["1996"]]}}}],"schema":"https://github.com/citation-style-language/schema/raw/master/csl-citation.json"}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(16)</w:t>
      </w:r>
      <w:r w:rsidR="00E333C8" w:rsidRPr="00530589">
        <w:rPr>
          <w:rFonts w:ascii="Arial" w:hAnsi="Arial" w:cs="Arial"/>
          <w:sz w:val="22"/>
          <w:szCs w:val="22"/>
        </w:rPr>
        <w:fldChar w:fldCharType="end"/>
      </w:r>
      <w:r w:rsidRPr="00530589">
        <w:rPr>
          <w:rFonts w:ascii="Arial" w:hAnsi="Arial" w:cs="Arial"/>
          <w:sz w:val="22"/>
          <w:szCs w:val="22"/>
        </w:rPr>
        <w:t>.</w:t>
      </w:r>
    </w:p>
    <w:p w14:paraId="0EEA7535" w14:textId="77777777" w:rsidR="00241B7C" w:rsidRPr="00530589" w:rsidRDefault="00241B7C" w:rsidP="00BF0803">
      <w:pPr>
        <w:shd w:val="clear" w:color="auto" w:fill="FFFFFF"/>
        <w:spacing w:line="360" w:lineRule="auto"/>
        <w:textAlignment w:val="baseline"/>
        <w:rPr>
          <w:rFonts w:ascii="Arial" w:hAnsi="Arial" w:cs="Arial"/>
          <w:sz w:val="22"/>
          <w:szCs w:val="22"/>
        </w:rPr>
      </w:pPr>
    </w:p>
    <w:p w14:paraId="539F3D7B" w14:textId="43DCA0E4" w:rsidR="00241B7C" w:rsidRPr="00530589" w:rsidRDefault="00241B7C" w:rsidP="00604529">
      <w:pPr>
        <w:shd w:val="clear" w:color="auto" w:fill="FFFFFF"/>
        <w:spacing w:line="360" w:lineRule="auto"/>
        <w:textAlignment w:val="baseline"/>
        <w:rPr>
          <w:rFonts w:ascii="Arial" w:hAnsi="Arial" w:cs="Arial"/>
          <w:sz w:val="22"/>
          <w:szCs w:val="22"/>
        </w:rPr>
      </w:pPr>
      <w:r w:rsidRPr="00530589">
        <w:rPr>
          <w:rFonts w:ascii="Arial" w:hAnsi="Arial" w:cs="Arial"/>
          <w:sz w:val="22"/>
          <w:szCs w:val="22"/>
        </w:rPr>
        <w:t>It has been demonstrated that th</w:t>
      </w:r>
      <w:r w:rsidR="005E008E">
        <w:rPr>
          <w:rFonts w:ascii="Arial" w:hAnsi="Arial" w:cs="Arial"/>
          <w:sz w:val="22"/>
          <w:szCs w:val="22"/>
        </w:rPr>
        <w:t>e</w:t>
      </w:r>
      <w:r w:rsidRPr="00530589">
        <w:rPr>
          <w:rFonts w:ascii="Arial" w:hAnsi="Arial" w:cs="Arial"/>
          <w:sz w:val="22"/>
          <w:szCs w:val="22"/>
        </w:rPr>
        <w:t xml:space="preserve"> </w:t>
      </w:r>
      <w:r w:rsidR="00063FB3" w:rsidRPr="00063FB3">
        <w:rPr>
          <w:rFonts w:ascii="Arial" w:hAnsi="Arial" w:cs="Arial"/>
          <w:sz w:val="22"/>
          <w:szCs w:val="22"/>
        </w:rPr>
        <w:t xml:space="preserve">disaccharide </w:t>
      </w:r>
      <w:r w:rsidRPr="00530589">
        <w:rPr>
          <w:rFonts w:ascii="Arial" w:hAnsi="Arial" w:cs="Arial"/>
          <w:sz w:val="22"/>
          <w:szCs w:val="22"/>
        </w:rPr>
        <w:t xml:space="preserve">maltose constitutes the primary carbon exchange metabolite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135ihqfosi","properties":{"formattedCitation":"(17)","plainCitation":"(17)"},"citationItems":[{"id":409,"uris":["http://zotero.org/users/2452229/items/C6BEGFFT"],"uri":["http://zotero.org/users/2452229/items/C6BEGFFT"],"itemData":{"id":409,"type":"article-journal","title":"Evidence of de novo synthesis of maltose excreted by the endosymbiotic Chlorella from Paramecium bursaria.","container-title":"Planta","page":"481-5","volume":"153","issue":"5","abstract":"The endosymbiotic Chlorella sp. from Paramecium bursaria excretes maltose both in the light and in the dark. Experiments on photosynthetic (14)CO2 fixation and (14)CO2 pulse-chase experiments show that maltose is synthesized in the light directly from compounds of the Calvin cycle, whereas in the dark it results from starch degradation.","ISSN":"0032-0935","author":[{"family":"Ziesenisz","given":"E"},{"family":"Reisser","given":"W"},{"family":"Wiessner","given":"W"}],"issued":{"date-parts":[["1981",12]]}}}],"schema":"https://github.com/citation-style-language/schema/raw/master/csl-citation.json"}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(17)</w:t>
      </w:r>
      <w:r w:rsidR="00E333C8" w:rsidRPr="00530589">
        <w:rPr>
          <w:rFonts w:ascii="Arial" w:hAnsi="Arial" w:cs="Arial"/>
          <w:sz w:val="22"/>
          <w:szCs w:val="22"/>
        </w:rPr>
        <w:fldChar w:fldCharType="end"/>
      </w:r>
      <w:r w:rsidRPr="00530589">
        <w:rPr>
          <w:rFonts w:ascii="Arial" w:hAnsi="Arial" w:cs="Arial"/>
          <w:sz w:val="22"/>
          <w:szCs w:val="22"/>
        </w:rPr>
        <w:t xml:space="preserve"> from symbiont to host. It is provided during both day and night but by two different pathways:  in the light</w:t>
      </w:r>
      <w:r w:rsidR="00063FB3">
        <w:rPr>
          <w:rFonts w:ascii="Arial" w:hAnsi="Arial" w:cs="Arial"/>
          <w:sz w:val="22"/>
          <w:szCs w:val="22"/>
        </w:rPr>
        <w:t>,</w:t>
      </w:r>
      <w:r w:rsidRPr="00530589">
        <w:rPr>
          <w:rFonts w:ascii="Arial" w:hAnsi="Arial" w:cs="Arial"/>
          <w:sz w:val="22"/>
          <w:szCs w:val="22"/>
        </w:rPr>
        <w:t xml:space="preserve"> maltose is synthesised </w:t>
      </w:r>
      <w:r w:rsidRPr="00530589">
        <w:rPr>
          <w:rFonts w:ascii="Arial" w:hAnsi="Arial" w:cs="Arial"/>
          <w:i/>
          <w:sz w:val="22"/>
          <w:szCs w:val="22"/>
        </w:rPr>
        <w:t>de novo</w:t>
      </w:r>
      <w:r w:rsidRPr="00530589">
        <w:rPr>
          <w:rFonts w:ascii="Arial" w:hAnsi="Arial" w:cs="Arial"/>
          <w:sz w:val="22"/>
          <w:szCs w:val="22"/>
        </w:rPr>
        <w:t xml:space="preserve"> from the products of the Calvin Cycle while in the dark it is </w:t>
      </w:r>
      <w:r w:rsidR="00063FB3">
        <w:rPr>
          <w:rFonts w:ascii="Arial" w:hAnsi="Arial" w:cs="Arial"/>
          <w:sz w:val="22"/>
          <w:szCs w:val="22"/>
        </w:rPr>
        <w:t>generated</w:t>
      </w:r>
      <w:r w:rsidR="00063FB3" w:rsidRPr="00530589">
        <w:rPr>
          <w:rFonts w:ascii="Arial" w:hAnsi="Arial" w:cs="Arial"/>
          <w:sz w:val="22"/>
          <w:szCs w:val="22"/>
        </w:rPr>
        <w:t xml:space="preserve"> </w:t>
      </w:r>
      <w:r w:rsidRPr="00530589">
        <w:rPr>
          <w:rFonts w:ascii="Arial" w:hAnsi="Arial" w:cs="Arial"/>
          <w:sz w:val="22"/>
          <w:szCs w:val="22"/>
        </w:rPr>
        <w:t>from starch degradation</w:t>
      </w:r>
      <w:r w:rsidR="00063FB3">
        <w:rPr>
          <w:rFonts w:ascii="Arial" w:hAnsi="Arial" w:cs="Arial"/>
          <w:sz w:val="22"/>
          <w:szCs w:val="22"/>
        </w:rPr>
        <w:t xml:space="preserve"> via the enzyme amylase</w:t>
      </w:r>
      <w:r w:rsidRPr="00530589">
        <w:rPr>
          <w:rFonts w:ascii="Arial" w:hAnsi="Arial" w:cs="Arial"/>
          <w:sz w:val="22"/>
          <w:szCs w:val="22"/>
        </w:rPr>
        <w:t xml:space="preserv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bf89e18oc","properties":{"formattedCitation":"(17)","plainCitation":"(17)"},"citationItems":[{"id":409,"uris":["http://zotero.org/users/2452229/items/C6BEGFFT"],"uri":["http://zotero.org/users/2452229/items/C6BEGFFT"],"itemData":{"id":409,"type":"article-journal","title":"Evidence of de novo synthesis of maltose excreted by the endosymbiotic Chlorella from Paramecium bursaria.","container-title":"Planta","page":"481-5","volume":"153","issue":"5","abstract":"The endosymbiotic Chlorella sp. from Paramecium bursaria excretes maltose both in the light and in the dark. Experiments on photosynthetic (14)CO2 fixation and (14)CO2 pulse-chase experiments show that maltose is synthesized in the light directly from compounds of the Calvin cycle, whereas in the dark it results from starch degradation.","ISSN":"0032-0935","author":[{"family":"Ziesenisz","given":"E"},{"family":"Reisser","given":"W"},{"family":"Wiessner","given":"W"}],"issued":{"date-parts":[["1981",12]]}}}],"schema":"https://github.com/citation-style-language/schema/raw/master/csl-citation.json"}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(17)</w:t>
      </w:r>
      <w:r w:rsidR="00E333C8" w:rsidRPr="00530589">
        <w:rPr>
          <w:rFonts w:ascii="Arial" w:hAnsi="Arial" w:cs="Arial"/>
          <w:sz w:val="22"/>
          <w:szCs w:val="22"/>
        </w:rPr>
        <w:fldChar w:fldCharType="end"/>
      </w:r>
      <w:r w:rsidR="00E333C8" w:rsidRPr="00530589">
        <w:rPr>
          <w:rFonts w:ascii="Arial" w:hAnsi="Arial" w:cs="Arial"/>
          <w:sz w:val="22"/>
          <w:szCs w:val="22"/>
        </w:rPr>
        <w:t xml:space="preserve">. </w:t>
      </w:r>
      <w:r w:rsidRPr="00530589">
        <w:rPr>
          <w:rFonts w:ascii="Arial" w:hAnsi="Arial" w:cs="Arial"/>
          <w:sz w:val="22"/>
          <w:szCs w:val="22"/>
        </w:rPr>
        <w:t xml:space="preserve">In </w:t>
      </w:r>
      <w:r w:rsidR="004349F1">
        <w:rPr>
          <w:rFonts w:ascii="Arial" w:hAnsi="Arial" w:cs="Arial"/>
          <w:sz w:val="22"/>
          <w:szCs w:val="22"/>
        </w:rPr>
        <w:t>coevolved</w:t>
      </w:r>
      <w:r w:rsidR="004349F1" w:rsidRPr="00530589">
        <w:rPr>
          <w:rFonts w:ascii="Arial" w:hAnsi="Arial" w:cs="Arial"/>
          <w:sz w:val="22"/>
          <w:szCs w:val="22"/>
        </w:rPr>
        <w:t xml:space="preserve"> </w:t>
      </w:r>
      <w:r w:rsidRPr="00530589">
        <w:rPr>
          <w:rFonts w:ascii="Arial" w:hAnsi="Arial" w:cs="Arial"/>
          <w:sz w:val="22"/>
          <w:szCs w:val="22"/>
        </w:rPr>
        <w:t>partnerships such as</w:t>
      </w:r>
      <w:r w:rsidR="004349F1">
        <w:rPr>
          <w:rFonts w:ascii="Arial" w:hAnsi="Arial" w:cs="Arial"/>
          <w:sz w:val="22"/>
          <w:szCs w:val="22"/>
        </w:rPr>
        <w:t xml:space="preserve"> the</w:t>
      </w:r>
      <w:r w:rsidRPr="00530589">
        <w:rPr>
          <w:rFonts w:ascii="Arial" w:hAnsi="Arial" w:cs="Arial"/>
          <w:sz w:val="22"/>
          <w:szCs w:val="22"/>
        </w:rPr>
        <w:t xml:space="preserve"> </w:t>
      </w:r>
      <w:r w:rsidR="00063FB3" w:rsidRPr="00063FB3">
        <w:rPr>
          <w:rFonts w:ascii="Arial" w:hAnsi="Arial" w:cs="Arial"/>
          <w:i/>
          <w:sz w:val="22"/>
          <w:szCs w:val="22"/>
        </w:rPr>
        <w:t>P. bursaria</w:t>
      </w:r>
      <w:r w:rsidR="00063FB3" w:rsidRPr="00063FB3">
        <w:rPr>
          <w:rFonts w:ascii="Arial" w:hAnsi="Arial" w:cs="Arial"/>
          <w:sz w:val="22"/>
          <w:szCs w:val="22"/>
        </w:rPr>
        <w:t>/</w:t>
      </w:r>
      <w:r w:rsidR="00063FB3" w:rsidRPr="00063FB3">
        <w:rPr>
          <w:rFonts w:ascii="Arial" w:hAnsi="Arial" w:cs="Arial"/>
          <w:i/>
          <w:sz w:val="22"/>
          <w:szCs w:val="22"/>
        </w:rPr>
        <w:t>Chlorella</w:t>
      </w:r>
      <w:r w:rsidR="00063FB3" w:rsidRPr="00063FB3">
        <w:rPr>
          <w:rFonts w:ascii="Arial" w:hAnsi="Arial" w:cs="Arial"/>
          <w:sz w:val="22"/>
          <w:szCs w:val="22"/>
        </w:rPr>
        <w:t xml:space="preserve"> </w:t>
      </w:r>
      <w:r w:rsidR="00063FB3">
        <w:rPr>
          <w:rFonts w:ascii="Arial" w:hAnsi="Arial" w:cs="Arial"/>
          <w:sz w:val="22"/>
          <w:szCs w:val="22"/>
        </w:rPr>
        <w:t>holobiont,</w:t>
      </w:r>
      <w:r w:rsidR="00063FB3" w:rsidRPr="00063FB3">
        <w:rPr>
          <w:rFonts w:ascii="Arial" w:hAnsi="Arial" w:cs="Arial"/>
          <w:sz w:val="22"/>
          <w:szCs w:val="22"/>
        </w:rPr>
        <w:t xml:space="preserve"> </w:t>
      </w:r>
      <w:r w:rsidRPr="00530589">
        <w:rPr>
          <w:rFonts w:ascii="Arial" w:hAnsi="Arial" w:cs="Arial"/>
          <w:sz w:val="22"/>
          <w:szCs w:val="22"/>
        </w:rPr>
        <w:t>the exchange is not a passive process</w:t>
      </w:r>
      <w:r w:rsidR="00063FB3">
        <w:rPr>
          <w:rFonts w:ascii="Arial" w:hAnsi="Arial" w:cs="Arial"/>
          <w:sz w:val="22"/>
          <w:szCs w:val="22"/>
        </w:rPr>
        <w:t xml:space="preserve"> as evidence by </w:t>
      </w:r>
      <w:r w:rsidRPr="00530589">
        <w:rPr>
          <w:rFonts w:ascii="Arial" w:hAnsi="Arial" w:cs="Arial"/>
          <w:sz w:val="22"/>
          <w:szCs w:val="22"/>
        </w:rPr>
        <w:t>inhibit</w:t>
      </w:r>
      <w:r w:rsidR="00063FB3">
        <w:rPr>
          <w:rFonts w:ascii="Arial" w:hAnsi="Arial" w:cs="Arial"/>
          <w:sz w:val="22"/>
          <w:szCs w:val="22"/>
        </w:rPr>
        <w:t>ion of</w:t>
      </w:r>
      <w:r w:rsidRPr="00530589">
        <w:rPr>
          <w:rFonts w:ascii="Arial" w:hAnsi="Arial" w:cs="Arial"/>
          <w:sz w:val="22"/>
          <w:szCs w:val="22"/>
        </w:rPr>
        <w:t xml:space="preserve"> serine uptake into </w:t>
      </w:r>
      <w:r w:rsidRPr="00530589">
        <w:rPr>
          <w:rFonts w:ascii="Arial" w:hAnsi="Arial" w:cs="Arial"/>
          <w:i/>
          <w:sz w:val="22"/>
          <w:szCs w:val="22"/>
        </w:rPr>
        <w:t>Chlorella</w:t>
      </w:r>
      <w:r w:rsidRPr="00530589">
        <w:rPr>
          <w:rFonts w:ascii="Arial" w:hAnsi="Arial" w:cs="Arial"/>
          <w:sz w:val="22"/>
          <w:szCs w:val="22"/>
        </w:rPr>
        <w:t xml:space="preserve"> </w:t>
      </w:r>
      <w:r w:rsidR="00E64106">
        <w:rPr>
          <w:rFonts w:ascii="Arial" w:hAnsi="Arial" w:cs="Arial"/>
          <w:sz w:val="22"/>
          <w:szCs w:val="22"/>
        </w:rPr>
        <w:t xml:space="preserve">by </w:t>
      </w:r>
      <w:r w:rsidR="00063FB3" w:rsidRPr="00530589">
        <w:rPr>
          <w:rFonts w:ascii="Arial" w:hAnsi="Arial" w:cs="Arial"/>
          <w:sz w:val="22"/>
          <w:szCs w:val="22"/>
        </w:rPr>
        <w:t>host Ca</w:t>
      </w:r>
      <w:r w:rsidR="00063FB3" w:rsidRPr="00530589">
        <w:rPr>
          <w:rFonts w:ascii="Arial" w:hAnsi="Arial" w:cs="Arial"/>
          <w:sz w:val="22"/>
          <w:szCs w:val="22"/>
          <w:vertAlign w:val="superscript"/>
        </w:rPr>
        <w:t>2+</w:t>
      </w:r>
      <w:r w:rsidR="00063FB3">
        <w:rPr>
          <w:rFonts w:ascii="Arial" w:hAnsi="Arial" w:cs="Arial"/>
          <w:sz w:val="22"/>
          <w:szCs w:val="22"/>
        </w:rPr>
        <w:t xml:space="preserve"> coupled to the observation that host</w:t>
      </w:r>
      <w:r w:rsidR="00063FB3" w:rsidRPr="00530589">
        <w:rPr>
          <w:rFonts w:ascii="Arial" w:hAnsi="Arial" w:cs="Arial"/>
          <w:sz w:val="22"/>
          <w:szCs w:val="22"/>
        </w:rPr>
        <w:t xml:space="preserve"> </w:t>
      </w:r>
      <w:r w:rsidRPr="00530589">
        <w:rPr>
          <w:rFonts w:ascii="Arial" w:hAnsi="Arial" w:cs="Arial"/>
          <w:sz w:val="22"/>
          <w:szCs w:val="22"/>
        </w:rPr>
        <w:t>glucose increases the uptake</w:t>
      </w:r>
      <w:r w:rsidR="00063FB3">
        <w:rPr>
          <w:rFonts w:ascii="Arial" w:hAnsi="Arial" w:cs="Arial"/>
          <w:sz w:val="22"/>
          <w:szCs w:val="22"/>
        </w:rPr>
        <w:t xml:space="preserve"> of</w:t>
      </w:r>
      <w:r w:rsidR="00063FB3" w:rsidRPr="00530589">
        <w:rPr>
          <w:rFonts w:ascii="Arial" w:hAnsi="Arial" w:cs="Arial"/>
          <w:sz w:val="22"/>
          <w:szCs w:val="22"/>
        </w:rPr>
        <w:t xml:space="preserve"> serine</w:t>
      </w:r>
      <w:r w:rsidR="00063FB3">
        <w:rPr>
          <w:rFonts w:ascii="Arial" w:hAnsi="Arial" w:cs="Arial"/>
          <w:sz w:val="22"/>
          <w:szCs w:val="22"/>
        </w:rPr>
        <w:t xml:space="preserve"> by </w:t>
      </w:r>
      <w:r w:rsidR="00063FB3" w:rsidRPr="00530589">
        <w:rPr>
          <w:rFonts w:ascii="Arial" w:hAnsi="Arial" w:cs="Arial"/>
          <w:i/>
          <w:sz w:val="22"/>
          <w:szCs w:val="22"/>
        </w:rPr>
        <w:t>Chlorella</w:t>
      </w:r>
      <w:r w:rsidRPr="00530589">
        <w:rPr>
          <w:rFonts w:ascii="Arial" w:hAnsi="Arial" w:cs="Arial"/>
          <w:sz w:val="22"/>
          <w:szCs w:val="22"/>
        </w:rPr>
        <w:t xml:space="preserv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p3lrl5ig2","properties":{"formattedCitation":"(18,19)","plainCitation":"(18,19)"},"citationItems":[{"id":396,"uris":["http://zotero.org/users/2452229/items/MQZR4BI6"],"uri":["http://zotero.org/users/2452229/items/MQZR4BI6"],"itemData":{"id":396,"type":"article-journal","title":"Effect of sugars on amino acid transport by symbiotic Chlorella.","container-title":"Plant physiology and biochemistry : PPB / Societe francaise de physiologie vegetale","page":"911-7","volume":"46","issue":"10","abstract":"Symbiotic Chlorella F36-ZK isolated from Paramecium bursaria F36 has constitutive amino acid transport systems, whereas free-living Chlorella does not. We found that in symbiotic algae, the rate of serine (Ser) uptake increased in the presence of glucose (Glc) and non-metabolisable analogues, whilst incorporation of Ser into protein was not affected. The activation did not involve new protein synthesis and was enhanced under alkaline conditions. An increase in the rate of Ser transport resulted from Glc treatment even when pulsed for only 1 min at low concentrations (EC(50)=3 microM). No uptake of Glc itself was observed in F36-ZK. Thus, the transport signal appears to be transmitted via a glucose sensing and signalling pathway. Many Glc-related compounds also increased the rate of Ser uptake without an additive effect, suggesting recognition of these sugars by the same receptor and providing some insight into features of the structure-activity relationship. Ser uptake by F36-ZK is inhibited by Ca(2+), which is typically considered to be a positive modulator of amino acid uptake. Given that Glc restored Ser uptake from inhibition by Ca(2+), we propose that this compound is possibly involved in regulation of amino acid transport in this symbiotic relationship.","ISSN":"0981-9428","author":[{"family":"Kato","given":"Yutaka"},{"family":"Imamura","given":"Nobutaka"}],"issued":{"date-parts":[["2008"]]}}},{"id":354,"uris":["http://zotero.org/users/2452229/items/J6KK6CRM"],"uri":["http://zotero.org/users/2452229/items/J6KK6CRM"],"itemData":{"id":354,"type":"article-journal","title":"Effect of Calcium Ion on Uptake of Amino Acids by Symbiotic Chlorella F36-from Japanese Paramecium Bursaria.","container-title":"Plant Science","page":"88-96","volume":"174","author":[{"family":"Kato","given":"Y"},{"family":"Imamura","given":"N"}],"issued":{"date-parts":[["2008"]]}}}],"schema":"https://github.com/citation-style-language/schema/raw/master/csl-citation.json"}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(18,19)</w:t>
      </w:r>
      <w:r w:rsidR="00E333C8" w:rsidRPr="00530589">
        <w:rPr>
          <w:rFonts w:ascii="Arial" w:hAnsi="Arial" w:cs="Arial"/>
          <w:sz w:val="22"/>
          <w:szCs w:val="22"/>
        </w:rPr>
        <w:fldChar w:fldCharType="end"/>
      </w:r>
      <w:r w:rsidRPr="00530589">
        <w:rPr>
          <w:rFonts w:ascii="Arial" w:hAnsi="Arial" w:cs="Arial"/>
          <w:sz w:val="22"/>
          <w:szCs w:val="22"/>
        </w:rPr>
        <w:t xml:space="preserve">.  </w:t>
      </w:r>
      <w:r w:rsidR="00063FB3">
        <w:rPr>
          <w:rFonts w:ascii="Arial" w:hAnsi="Arial" w:cs="Arial"/>
          <w:sz w:val="22"/>
          <w:szCs w:val="22"/>
        </w:rPr>
        <w:t xml:space="preserve">While the basis of carbon metabolism and transport to the holobiont is well resolved, the mechanistic basis for </w:t>
      </w:r>
      <w:r w:rsidR="00E14582">
        <w:rPr>
          <w:rFonts w:ascii="Arial" w:hAnsi="Arial" w:cs="Arial"/>
          <w:sz w:val="22"/>
          <w:szCs w:val="22"/>
        </w:rPr>
        <w:t xml:space="preserve">the </w:t>
      </w:r>
      <w:r w:rsidR="00063FB3">
        <w:rPr>
          <w:rFonts w:ascii="Arial" w:hAnsi="Arial" w:cs="Arial"/>
          <w:sz w:val="22"/>
          <w:szCs w:val="22"/>
        </w:rPr>
        <w:t>reciprocal</w:t>
      </w:r>
      <w:r w:rsidR="00063FB3" w:rsidRPr="00530589">
        <w:rPr>
          <w:rFonts w:ascii="Arial" w:hAnsi="Arial" w:cs="Arial"/>
          <w:sz w:val="22"/>
          <w:szCs w:val="22"/>
        </w:rPr>
        <w:t xml:space="preserve"> </w:t>
      </w:r>
      <w:r w:rsidR="00063FB3">
        <w:rPr>
          <w:rFonts w:ascii="Arial" w:hAnsi="Arial" w:cs="Arial"/>
          <w:sz w:val="22"/>
          <w:szCs w:val="22"/>
        </w:rPr>
        <w:t xml:space="preserve">transfer of </w:t>
      </w:r>
      <w:r w:rsidRPr="00530589">
        <w:rPr>
          <w:rFonts w:ascii="Arial" w:hAnsi="Arial" w:cs="Arial"/>
          <w:sz w:val="22"/>
          <w:szCs w:val="22"/>
        </w:rPr>
        <w:t xml:space="preserve">nitrogen to the </w:t>
      </w:r>
      <w:r w:rsidR="00063FB3">
        <w:rPr>
          <w:rFonts w:ascii="Arial" w:hAnsi="Arial" w:cs="Arial"/>
          <w:sz w:val="22"/>
          <w:szCs w:val="22"/>
        </w:rPr>
        <w:t>endo</w:t>
      </w:r>
      <w:r w:rsidRPr="00530589">
        <w:rPr>
          <w:rFonts w:ascii="Arial" w:hAnsi="Arial" w:cs="Arial"/>
          <w:sz w:val="22"/>
          <w:szCs w:val="22"/>
        </w:rPr>
        <w:t xml:space="preserve">symbiont is not yet verified, though there are several </w:t>
      </w:r>
      <w:r w:rsidR="00063FB3">
        <w:rPr>
          <w:rFonts w:ascii="Arial" w:hAnsi="Arial" w:cs="Arial"/>
          <w:sz w:val="22"/>
          <w:szCs w:val="22"/>
        </w:rPr>
        <w:t>potential processes</w:t>
      </w:r>
      <w:r w:rsidRPr="00530589">
        <w:rPr>
          <w:rFonts w:ascii="Arial" w:hAnsi="Arial" w:cs="Arial"/>
          <w:sz w:val="22"/>
          <w:szCs w:val="22"/>
        </w:rPr>
        <w:t xml:space="preserve">. </w:t>
      </w:r>
      <w:r w:rsidR="00063FB3">
        <w:rPr>
          <w:rFonts w:ascii="Arial" w:hAnsi="Arial" w:cs="Arial"/>
          <w:sz w:val="22"/>
          <w:szCs w:val="22"/>
        </w:rPr>
        <w:t>Amino acids have been suggested as candidate nitrogen transfer molecules as t</w:t>
      </w:r>
      <w:r w:rsidR="00063FB3" w:rsidRPr="00530589">
        <w:rPr>
          <w:rFonts w:ascii="Arial" w:hAnsi="Arial" w:cs="Arial"/>
          <w:sz w:val="22"/>
          <w:szCs w:val="22"/>
        </w:rPr>
        <w:t xml:space="preserve">he </w:t>
      </w:r>
      <w:r w:rsidRPr="00530589">
        <w:rPr>
          <w:rFonts w:ascii="Arial" w:hAnsi="Arial" w:cs="Arial"/>
          <w:sz w:val="22"/>
          <w:szCs w:val="22"/>
        </w:rPr>
        <w:t xml:space="preserve">Japanese </w:t>
      </w:r>
      <w:r w:rsidR="00836C43">
        <w:rPr>
          <w:rFonts w:ascii="Arial" w:hAnsi="Arial" w:cs="Arial"/>
          <w:i/>
          <w:sz w:val="22"/>
          <w:szCs w:val="22"/>
        </w:rPr>
        <w:t xml:space="preserve">Chlorella </w:t>
      </w:r>
      <w:r w:rsidRPr="00530589">
        <w:rPr>
          <w:rFonts w:ascii="Arial" w:hAnsi="Arial" w:cs="Arial"/>
          <w:sz w:val="22"/>
          <w:szCs w:val="22"/>
        </w:rPr>
        <w:t>strain F36-ZK</w:t>
      </w:r>
      <w:r w:rsidR="00063FB3">
        <w:rPr>
          <w:rFonts w:ascii="Arial" w:hAnsi="Arial" w:cs="Arial"/>
          <w:sz w:val="22"/>
          <w:szCs w:val="22"/>
        </w:rPr>
        <w:t xml:space="preserve"> that</w:t>
      </w:r>
      <w:r w:rsidRPr="00530589">
        <w:rPr>
          <w:rFonts w:ascii="Arial" w:hAnsi="Arial" w:cs="Arial"/>
          <w:sz w:val="22"/>
          <w:szCs w:val="22"/>
        </w:rPr>
        <w:t xml:space="preserve"> has lost</w:t>
      </w:r>
      <w:r w:rsidR="0068118D">
        <w:rPr>
          <w:rFonts w:ascii="Arial" w:hAnsi="Arial" w:cs="Arial"/>
          <w:sz w:val="22"/>
          <w:szCs w:val="22"/>
        </w:rPr>
        <w:t xml:space="preserve"> its nitrate reductase activity</w:t>
      </w:r>
      <w:r w:rsidR="00F850B3" w:rsidRPr="00530589">
        <w:rPr>
          <w:rFonts w:ascii="Arial" w:hAnsi="Arial" w:cs="Arial"/>
          <w:sz w:val="22"/>
          <w:szCs w:val="22"/>
        </w:rPr>
        <w:t xml:space="preserve"> </w:t>
      </w:r>
      <w:r w:rsidR="00063FB3">
        <w:rPr>
          <w:rFonts w:ascii="Arial" w:hAnsi="Arial" w:cs="Arial"/>
          <w:sz w:val="22"/>
          <w:szCs w:val="22"/>
        </w:rPr>
        <w:t>remains able t</w:t>
      </w:r>
      <w:r w:rsidR="003E67BF">
        <w:rPr>
          <w:rFonts w:ascii="Arial" w:hAnsi="Arial" w:cs="Arial"/>
          <w:sz w:val="22"/>
          <w:szCs w:val="22"/>
        </w:rPr>
        <w:t>o</w:t>
      </w:r>
      <w:r w:rsidRPr="00530589">
        <w:rPr>
          <w:rFonts w:ascii="Arial" w:hAnsi="Arial" w:cs="Arial"/>
          <w:sz w:val="22"/>
          <w:szCs w:val="22"/>
        </w:rPr>
        <w:t xml:space="preserve"> utilise amino acids</w:t>
      </w:r>
      <w:r w:rsidR="00C81540">
        <w:rPr>
          <w:rFonts w:ascii="Arial" w:hAnsi="Arial" w:cs="Arial"/>
          <w:sz w:val="22"/>
          <w:szCs w:val="22"/>
        </w:rPr>
        <w:t xml:space="preserve"> </w:t>
      </w:r>
      <w:r w:rsidR="00074D49">
        <w:rPr>
          <w:rFonts w:ascii="Arial" w:hAnsi="Arial" w:cs="Arial"/>
          <w:sz w:val="22"/>
          <w:szCs w:val="22"/>
        </w:rPr>
        <w:fldChar w:fldCharType="begin"/>
      </w:r>
      <w:r w:rsidR="000F50B0">
        <w:rPr>
          <w:rFonts w:ascii="Arial" w:hAnsi="Arial" w:cs="Arial"/>
          <w:sz w:val="22"/>
          <w:szCs w:val="22"/>
        </w:rPr>
        <w:instrText xml:space="preserve"> ADDIN ZOTERO_ITEM CSL_CITATION {"citationID":"23u45o3hb5","properties":{"formattedCitation":"(19)","plainCitation":"(19)"},"citationItems":[{"id":354,"uris":["http://zotero.org/users/2452229/items/J6KK6CRM"],"uri":["http://zotero.org/users/2452229/items/J6KK6CRM"],"itemData":{"id":354,"type":"article-journal","title":"Effect of Calcium Ion on Uptake of Amino Acids by Symbiotic Chlorella F36-from Japanese Paramecium Bursaria.","container-title":"Plant Science","page":"88-96","volume":"174","author":[{"family":"Kato","given":"Y"},{"family":"Imamura","given":"N"}],"issued":{"date-parts":[["2008"]]}}}],"schema":"https://github.com/citation-style-language/schema/raw/master/csl-citation.json"} </w:instrText>
      </w:r>
      <w:r w:rsidR="00074D49">
        <w:rPr>
          <w:rFonts w:ascii="Arial" w:hAnsi="Arial" w:cs="Arial"/>
          <w:sz w:val="22"/>
          <w:szCs w:val="22"/>
        </w:rPr>
        <w:fldChar w:fldCharType="separate"/>
      </w:r>
      <w:r w:rsidR="000F50B0" w:rsidRPr="000F50B0">
        <w:rPr>
          <w:rFonts w:ascii="Arial" w:hAnsi="Arial" w:cs="Arial"/>
          <w:sz w:val="22"/>
        </w:rPr>
        <w:t>(19)</w:t>
      </w:r>
      <w:r w:rsidR="00074D49">
        <w:rPr>
          <w:rFonts w:ascii="Arial" w:hAnsi="Arial" w:cs="Arial"/>
          <w:sz w:val="22"/>
          <w:szCs w:val="22"/>
        </w:rPr>
        <w:fldChar w:fldCharType="end"/>
      </w:r>
      <w:r w:rsidR="00E333C8" w:rsidRPr="00530589">
        <w:rPr>
          <w:rFonts w:ascii="Arial" w:hAnsi="Arial" w:cs="Arial"/>
          <w:sz w:val="22"/>
          <w:szCs w:val="22"/>
        </w:rPr>
        <w:t xml:space="preserve">. </w:t>
      </w:r>
      <w:r w:rsidRPr="00530589">
        <w:rPr>
          <w:rFonts w:ascii="Arial" w:hAnsi="Arial" w:cs="Arial"/>
          <w:sz w:val="22"/>
          <w:szCs w:val="22"/>
        </w:rPr>
        <w:t xml:space="preserve">Alternatively, other work suggests that </w:t>
      </w:r>
      <w:r w:rsidRPr="00530589">
        <w:rPr>
          <w:rFonts w:ascii="Arial" w:hAnsi="Arial" w:cs="Arial"/>
          <w:i/>
          <w:sz w:val="22"/>
          <w:szCs w:val="22"/>
        </w:rPr>
        <w:t>Paramecium</w:t>
      </w:r>
      <w:r w:rsidRPr="00530589">
        <w:rPr>
          <w:rFonts w:ascii="Arial" w:hAnsi="Arial" w:cs="Arial"/>
          <w:sz w:val="22"/>
          <w:szCs w:val="22"/>
        </w:rPr>
        <w:t xml:space="preserve"> produces nitrogen</w:t>
      </w:r>
      <w:r w:rsidR="009069FF">
        <w:rPr>
          <w:rFonts w:ascii="Arial" w:hAnsi="Arial" w:cs="Arial"/>
          <w:sz w:val="22"/>
          <w:szCs w:val="22"/>
        </w:rPr>
        <w:t>ous</w:t>
      </w:r>
      <w:r w:rsidRPr="00530589">
        <w:rPr>
          <w:rFonts w:ascii="Arial" w:hAnsi="Arial" w:cs="Arial"/>
          <w:sz w:val="22"/>
          <w:szCs w:val="22"/>
        </w:rPr>
        <w:t xml:space="preserve"> waste in the form of nucleic acid derivatives, such as guanine and xanthine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ajcin21u7","properties":{"formattedCitation":"(20)","plainCitation":"(20)"},"citationItems":[{"id":230,"uris":["http://zotero.org/users/2452229/items/QI3DGZXJ"],"uri":["http://zotero.org/users/2452229/items/QI3DGZXJ"],"itemData":{"id":230,"type":"article-journal","title":"Excretory Nature of Refractile Bodies in the Marine Ciliate Parauronema Acutum","container-title":"The Journal of Protozoology","page":"416-18","volume":"25","issue":"3","author":[{"family":"Soldo","given":"AT"},{"family":"Godoy","given":"GA"},{"family":"Larin","given":"F"}],"issued":{"date-parts":[["1978"]]}}}],"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(20)</w:t>
      </w:r>
      <w:r w:rsidR="00E333C8" w:rsidRPr="00530589">
        <w:rPr>
          <w:rFonts w:ascii="Arial" w:hAnsi="Arial" w:cs="Arial"/>
          <w:sz w:val="22"/>
          <w:szCs w:val="22"/>
        </w:rPr>
        <w:fldChar w:fldCharType="end"/>
      </w:r>
      <w:r w:rsidR="00E333C8" w:rsidRPr="00530589">
        <w:rPr>
          <w:rFonts w:ascii="Arial" w:hAnsi="Arial" w:cs="Arial"/>
          <w:sz w:val="22"/>
          <w:szCs w:val="22"/>
        </w:rPr>
        <w:t xml:space="preserve">, </w:t>
      </w:r>
      <w:r w:rsidRPr="00530589">
        <w:rPr>
          <w:rFonts w:ascii="Arial" w:hAnsi="Arial" w:cs="Arial"/>
          <w:sz w:val="22"/>
          <w:szCs w:val="22"/>
        </w:rPr>
        <w:t xml:space="preserve"> which are then assimilated by </w:t>
      </w:r>
      <w:r w:rsidRPr="00530589">
        <w:rPr>
          <w:rFonts w:ascii="Arial" w:hAnsi="Arial" w:cs="Arial"/>
          <w:i/>
          <w:sz w:val="22"/>
          <w:szCs w:val="22"/>
        </w:rPr>
        <w:t xml:space="preserve">Chlorella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gifdintdh","properties":{"formattedCitation":"(21)","plainCitation":"(21)"},"citationItems":[{"id":359,"uris":["http://zotero.org/users/2452229/items/9WSTVJ8Q"],"uri":["http://zotero.org/users/2452229/items/9WSTVJ8Q"],"itemData":{"id":359,"type":"article-journal","title":"The Uptake of Guanine and Hypoxanthine by Marine Microalgae.","container-title":"Journal of the Marine Biological Association of the United Kingdom","page":"545-56","volume":"64","issue":"03","author":[{"family":"Shah","given":"N"},{"family":"Syrett","given":"PJ"}],"issued":{"date-parts":[["1984"]]}}}],"schema":"https://github.com/citation-style-language/schema/raw/master/csl-citation.json"}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(21)</w:t>
      </w:r>
      <w:r w:rsidR="00E333C8" w:rsidRPr="00530589">
        <w:rPr>
          <w:rFonts w:ascii="Arial" w:hAnsi="Arial" w:cs="Arial"/>
          <w:sz w:val="22"/>
          <w:szCs w:val="22"/>
        </w:rPr>
        <w:fldChar w:fldCharType="end"/>
      </w:r>
      <w:r w:rsidRPr="00530589">
        <w:rPr>
          <w:rFonts w:ascii="Arial" w:hAnsi="Arial" w:cs="Arial"/>
          <w:sz w:val="22"/>
          <w:szCs w:val="22"/>
        </w:rPr>
        <w:t xml:space="preserve">. Nucleoside recycling has been demonstrated in other endosymbioses </w:t>
      </w:r>
      <w:r w:rsidR="00E333C8"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RnQeBjig","properties":{"formattedCitation":"(22,23)","plainCitation":"(22,23)"},"citationItems":[{"id":204,"uris":["http://zotero.org/users/2452229/items/ZQUERD3M"],"uri":["http://zotero.org/users/2452229/items/ZQUERD3M"],"itemData":{"id":204,"type":"article-journal","title":"Genomic Evidence for Complementary Purine Metabolism in the Pea Aphid, Acyrthosiphon Pisum, and Its Symbiotic Bacterium Buchnera Aphidicola","container-title":"Insect Molecular Biology","page":"241-48","volume":"19","issue":"March","author":[{"family":"Ramsey","given":"JS"},{"family":"MacDonald","given":"SJ"},{"family":"Jander","given":"G"},{"family":"Nakabachi","given":"A"},{"family":"Thomas","given":"GH"},{"family":"Douglas","given":"AE"}],"issued":{"date-parts":[["2010"]]}}},{"id":420,"uris":["http://zotero.org/users/2452229/items/G2SXEVT9"],"uri":["http://zotero.org/users/2452229/items/G2SXEVT9"],"itemData":{"id":420,"type":"article-journal","title":"A fragile metabolic network adapted for cooperation in the symbiotic bacterium Buchnera aphidicola","container-title":"BMC Systems Biology","page":"24","volume":"3","issue":"1","source":"www.biomedcentral.com","abstract":"PMID: 19232131","DOI":"10.1186/1752-0509-3-24","ISSN":"1752-0509","note":"PMID: 19232131","language":"en","author":[{"family":"Thomas","given":"Gavin H."},{"family":"Zucker","given":"Jeremy"},{"family":"Macdonald","given":"Sandy J."},{"family":"Sorokin","given":"Anatoly"},{"family":"Goryanin","given":"Igor"},{"family":"Douglas","given":"Angela E."}],"issued":{"date-parts":[["2009",2,21]]},"accessed":{"date-parts":[["2015",8,24]]},"PMID":"19232131"}}],"schema":"https://github.com/citation-style-language/schema/raw/master/csl-citation.json"} </w:instrText>
      </w:r>
      <w:r w:rsidR="00E333C8" w:rsidRPr="00530589">
        <w:rPr>
          <w:rFonts w:ascii="Arial" w:hAnsi="Arial" w:cs="Arial"/>
          <w:sz w:val="22"/>
          <w:szCs w:val="22"/>
        </w:rPr>
        <w:fldChar w:fldCharType="separate"/>
      </w:r>
      <w:r w:rsidR="000F50B0" w:rsidRPr="000F50B0">
        <w:rPr>
          <w:rFonts w:ascii="Arial" w:hAnsi="Arial" w:cs="Arial"/>
          <w:sz w:val="22"/>
        </w:rPr>
        <w:t>(22,23)</w:t>
      </w:r>
      <w:r w:rsidR="00E333C8" w:rsidRPr="00530589">
        <w:rPr>
          <w:rFonts w:ascii="Arial" w:hAnsi="Arial" w:cs="Arial"/>
          <w:sz w:val="22"/>
          <w:szCs w:val="22"/>
        </w:rPr>
        <w:fldChar w:fldCharType="end"/>
      </w:r>
      <w:r w:rsidRPr="00530589">
        <w:rPr>
          <w:rFonts w:ascii="Arial" w:hAnsi="Arial" w:cs="Arial"/>
          <w:sz w:val="22"/>
          <w:szCs w:val="22"/>
        </w:rPr>
        <w:t>, and the efficiency of using a host waste product would decrease the cost of symbiosis.</w:t>
      </w:r>
    </w:p>
    <w:p w14:paraId="1F067F9D" w14:textId="77777777" w:rsidR="00241B7C" w:rsidRPr="00530589" w:rsidRDefault="00241B7C" w:rsidP="00BF0803">
      <w:pPr>
        <w:spacing w:line="360" w:lineRule="auto"/>
        <w:rPr>
          <w:rFonts w:ascii="Arial" w:hAnsi="Arial" w:cs="Arial"/>
          <w:iCs/>
          <w:sz w:val="22"/>
          <w:szCs w:val="22"/>
        </w:rPr>
      </w:pPr>
    </w:p>
    <w:p w14:paraId="40636088" w14:textId="77777777" w:rsidR="00241B7C" w:rsidRPr="00530589" w:rsidRDefault="00241B7C" w:rsidP="00BF0803">
      <w:pPr>
        <w:spacing w:line="360" w:lineRule="auto"/>
        <w:rPr>
          <w:rFonts w:ascii="Arial" w:hAnsi="Arial" w:cs="Arial"/>
          <w:iCs/>
          <w:sz w:val="22"/>
          <w:szCs w:val="22"/>
        </w:rPr>
      </w:pPr>
    </w:p>
    <w:p w14:paraId="3F7B0956" w14:textId="35DF63F4" w:rsidR="00241B7C" w:rsidRPr="00530589" w:rsidRDefault="00241B7C" w:rsidP="00604529">
      <w:pPr>
        <w:shd w:val="clear" w:color="auto" w:fill="FFFFFF"/>
        <w:spacing w:line="360" w:lineRule="auto"/>
        <w:textAlignment w:val="baseline"/>
        <w:rPr>
          <w:rFonts w:ascii="Arial" w:hAnsi="Arial" w:cs="Arial"/>
          <w:iCs/>
          <w:sz w:val="22"/>
          <w:szCs w:val="22"/>
        </w:rPr>
      </w:pPr>
      <w:r w:rsidRPr="00530589">
        <w:rPr>
          <w:rFonts w:ascii="Arial" w:hAnsi="Arial" w:cs="Arial"/>
          <w:iCs/>
          <w:sz w:val="22"/>
          <w:szCs w:val="22"/>
        </w:rPr>
        <w:lastRenderedPageBreak/>
        <w:t xml:space="preserve">The interchange of metabolites between host and symbiont is key to understanding the evolutionary mechanisms for symbiosis formation. The metabolic exchange between the ciliate and </w:t>
      </w:r>
      <w:r w:rsidRPr="00530589">
        <w:rPr>
          <w:rFonts w:ascii="Arial" w:hAnsi="Arial" w:cs="Arial"/>
          <w:i/>
          <w:sz w:val="22"/>
          <w:szCs w:val="22"/>
        </w:rPr>
        <w:t>Synechocystis</w:t>
      </w:r>
      <w:r w:rsidRPr="00530589">
        <w:rPr>
          <w:rFonts w:ascii="Arial" w:hAnsi="Arial" w:cs="Arial"/>
          <w:iCs/>
          <w:sz w:val="22"/>
          <w:szCs w:val="22"/>
        </w:rPr>
        <w:t xml:space="preserve"> </w:t>
      </w:r>
      <w:r w:rsidR="00836C43">
        <w:rPr>
          <w:rFonts w:ascii="Arial" w:hAnsi="Arial" w:cs="Arial"/>
          <w:iCs/>
          <w:sz w:val="22"/>
          <w:szCs w:val="22"/>
        </w:rPr>
        <w:t xml:space="preserve">in the novel interaction reported by </w:t>
      </w:r>
      <w:proofErr w:type="spellStart"/>
      <w:r w:rsidR="00836C43" w:rsidRPr="005F5C62">
        <w:rPr>
          <w:rFonts w:ascii="Arial" w:hAnsi="Arial" w:cs="Arial"/>
          <w:sz w:val="22"/>
          <w:szCs w:val="22"/>
        </w:rPr>
        <w:t>Ohkawa</w:t>
      </w:r>
      <w:proofErr w:type="spellEnd"/>
      <w:r w:rsidR="00836C43" w:rsidRPr="005F5C62">
        <w:rPr>
          <w:rFonts w:ascii="Arial" w:hAnsi="Arial" w:cs="Arial"/>
          <w:sz w:val="22"/>
          <w:szCs w:val="22"/>
        </w:rPr>
        <w:t xml:space="preserve"> </w:t>
      </w:r>
      <w:r w:rsidR="00836C43" w:rsidRPr="005F5C62">
        <w:rPr>
          <w:rFonts w:ascii="Arial" w:hAnsi="Arial" w:cs="Arial"/>
          <w:i/>
          <w:sz w:val="22"/>
          <w:szCs w:val="22"/>
        </w:rPr>
        <w:t>et al.</w:t>
      </w:r>
      <w:r w:rsidR="00836C43" w:rsidRPr="005F5C62">
        <w:rPr>
          <w:rFonts w:ascii="Arial" w:hAnsi="Arial" w:cs="Arial"/>
          <w:sz w:val="22"/>
          <w:szCs w:val="22"/>
        </w:rPr>
        <w:t xml:space="preserve"> </w:t>
      </w:r>
      <w:r w:rsidR="00533434">
        <w:rPr>
          <w:rFonts w:ascii="Arial" w:hAnsi="Arial" w:cs="Arial"/>
          <w:sz w:val="22"/>
          <w:szCs w:val="22"/>
        </w:rPr>
        <w:fldChar w:fldCharType="begin"/>
      </w:r>
      <w:r w:rsidR="000F50B0">
        <w:rPr>
          <w:rFonts w:ascii="Arial" w:hAnsi="Arial" w:cs="Arial"/>
          <w:sz w:val="22"/>
          <w:szCs w:val="22"/>
        </w:rPr>
        <w:instrText xml:space="preserve"> ADDIN ZOTERO_ITEM CSL_CITATION {"citationID":"2m3bn2aq2m","properties":{"formattedCitation":"(13)","plainCitation":"(13)"},"citationItems":[{"id":207,"uris":["http://zotero.org/users/2452229/items/XZTGI569"],"uri":["http://zotero.org/users/2452229/items/XZTGI569"],"itemData":{"id":207,"type":"article-journal","title":"Forced symbiosis between Synechocystis spp. PCC 6803 and apo-symbiotic Paramecium bursaria as an experimental model for evolutionary emergence of primitive photosynthetic eukaryotes.","container-title":"Plant signaling &amp; behavior","page":"773-6","volume":"6","issue":"6","abstract":"Single-cell green paramecia (Paramecium bursaria) is a swimming vehicle that carries several hundred cells of endo-symbiotic green algae. Here, a novel model for endo-symbiosis, prepared by introducing and maintaining the cells of cyanobacterium (Synechocystis spp. PCC 6803) in the apo-symbiotic cells of P. bursaria is described.","ISSN":"1559-2316","author":[{"family":"Ohkawa","given":"Hiroshi"},{"family":"Hashimoto","given":"Naoko"},{"family":"Furukawa","given":"Shunsuke"},{"family":"Kadono","given":"Takashi"},{"family":"Kawano","given":"Tomonori"}],"issued":{"date-parts":[["2011",6]]}}}],"schema":"https://github.com/citation-style-language/schema/raw/master/csl-citation.json"} </w:instrText>
      </w:r>
      <w:r w:rsidR="00533434">
        <w:rPr>
          <w:rFonts w:ascii="Arial" w:hAnsi="Arial" w:cs="Arial"/>
          <w:sz w:val="22"/>
          <w:szCs w:val="22"/>
        </w:rPr>
        <w:fldChar w:fldCharType="separate"/>
      </w:r>
      <w:r w:rsidR="000F50B0" w:rsidRPr="000F50B0">
        <w:rPr>
          <w:rFonts w:ascii="Arial" w:hAnsi="Arial" w:cs="Arial"/>
          <w:sz w:val="22"/>
        </w:rPr>
        <w:t>(13)</w:t>
      </w:r>
      <w:r w:rsidR="00533434">
        <w:rPr>
          <w:rFonts w:ascii="Arial" w:hAnsi="Arial" w:cs="Arial"/>
          <w:sz w:val="22"/>
          <w:szCs w:val="22"/>
        </w:rPr>
        <w:fldChar w:fldCharType="end"/>
      </w:r>
      <w:r w:rsidR="00533434">
        <w:rPr>
          <w:rFonts w:ascii="Arial" w:hAnsi="Arial" w:cs="Arial"/>
          <w:sz w:val="22"/>
          <w:szCs w:val="22"/>
        </w:rPr>
        <w:t xml:space="preserve"> </w:t>
      </w:r>
      <w:r w:rsidRPr="00530589">
        <w:rPr>
          <w:rFonts w:ascii="Arial" w:hAnsi="Arial" w:cs="Arial"/>
          <w:iCs/>
          <w:sz w:val="22"/>
          <w:szCs w:val="22"/>
        </w:rPr>
        <w:t xml:space="preserve">is unlikely to be identical to that between </w:t>
      </w:r>
      <w:r w:rsidRPr="00530589">
        <w:rPr>
          <w:rFonts w:ascii="Arial" w:hAnsi="Arial" w:cs="Arial"/>
          <w:i/>
          <w:sz w:val="22"/>
          <w:szCs w:val="22"/>
        </w:rPr>
        <w:t>P. bursaria</w:t>
      </w:r>
      <w:r w:rsidRPr="00530589">
        <w:rPr>
          <w:rFonts w:ascii="Arial" w:hAnsi="Arial" w:cs="Arial"/>
          <w:sz w:val="22"/>
          <w:szCs w:val="22"/>
        </w:rPr>
        <w:t xml:space="preserve"> and </w:t>
      </w:r>
      <w:r w:rsidRPr="00530589">
        <w:rPr>
          <w:rFonts w:ascii="Arial" w:hAnsi="Arial" w:cs="Arial"/>
          <w:i/>
          <w:sz w:val="22"/>
          <w:szCs w:val="22"/>
        </w:rPr>
        <w:t xml:space="preserve">Chlorella </w:t>
      </w:r>
      <w:r w:rsidRPr="00530589">
        <w:rPr>
          <w:rFonts w:ascii="Arial" w:hAnsi="Arial" w:cs="Arial"/>
          <w:sz w:val="22"/>
          <w:szCs w:val="22"/>
        </w:rPr>
        <w:t xml:space="preserve">because the maltose exporter is an </w:t>
      </w:r>
      <w:proofErr w:type="spellStart"/>
      <w:r w:rsidRPr="00530589">
        <w:rPr>
          <w:rFonts w:ascii="Arial" w:hAnsi="Arial" w:cs="Arial"/>
          <w:color w:val="000000"/>
          <w:sz w:val="22"/>
          <w:szCs w:val="22"/>
        </w:rPr>
        <w:t>Archaeplastida</w:t>
      </w:r>
      <w:proofErr w:type="spellEnd"/>
      <w:r w:rsidRPr="00530589">
        <w:rPr>
          <w:rFonts w:ascii="Arial" w:hAnsi="Arial" w:cs="Arial"/>
          <w:sz w:val="22"/>
          <w:szCs w:val="22"/>
        </w:rPr>
        <w:t xml:space="preserve"> innovation and there is no evidence to suggest </w:t>
      </w:r>
      <w:r w:rsidRPr="00530589">
        <w:rPr>
          <w:rFonts w:ascii="Arial" w:hAnsi="Arial" w:cs="Arial"/>
          <w:i/>
          <w:sz w:val="22"/>
          <w:szCs w:val="22"/>
        </w:rPr>
        <w:t>Synechocystis</w:t>
      </w:r>
      <w:r w:rsidRPr="00530589">
        <w:rPr>
          <w:rFonts w:ascii="Arial" w:hAnsi="Arial" w:cs="Arial"/>
          <w:sz w:val="22"/>
          <w:szCs w:val="22"/>
        </w:rPr>
        <w:t xml:space="preserve"> can produce maltose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vstu9sq4q","properties":{"formattedCitation":"(24,25)","plainCitation":"(24,25)"},"citationItems":[{"id":214,"uris":["http://zotero.org/users/2452229/items/T5KMZTSR"],"uri":["http://zotero.org/users/2452229/items/T5KMZTSR"],"itemData":{"id":214,"type":"article-journal","title":"The evolution of glycogen and starch metabolism in eukaryotes gives molecular clues to understand the establishment of plastid endosymbiosis","container-title":"Journal of Experimental Botany","page":"1775-1801","volume":"62","issue":"6","source":"jxb.oxfordjournals.org","abstract":"Solid semi-crystalline starch and hydrosoluble glycogen define two distinct physical states of the same type of storage polysaccharide. Appearance of semi-crystalline storage polysaccharides appears linked to the requirement of unicellular diazotrophic cyanobacteria to fuel nitrogenase and protect it from oxygen through respiration of vast amounts of stored carbon. Starch metabolism itself resulted from the merging of the bacterial and eukaryote pathways of storage polysaccharide metabolism after endosymbiosis of the plastid. This generated the three Archaeplastida lineages: the green algae and land plants (Chloroplastida), the red algae (Rhodophyceae), and the glaucophytes (Glaucophyta). Reconstruction of starch metabolism in the common ancestor of Archaeplastida suggests that polysaccharide synthesis was ancestrally cytosolic. In addition, the synthesis of cytosolic starch from the ADP-glucose exported from the cyanobacterial symbiont possibly defined the original metabolic flux by which the cyanobiont provided photosynthate to its host. Additional evidence supporting this scenario include the monophyletic origin of the major carbon translocators of the inner membrane of eukaryote plastids which are sisters to nucleotide-sugar transporters of the eukaryote endomembrane system. It also includes the extent of enzyme subfunctionalization that came as a consequence of the rewiring of this pathway to the chloroplasts in the green algae. Recent evidence suggests that, at the time of endosymbiosis, obligate intracellular energy parasites related to extant Chlamydia have donated important genes to the ancestral starch metabolism network.","DOI":"10.1093/jxb/erq411","ISSN":"0022-0957, 1460-2431","journalAbbreviation":"J. Exp. Bot.","language":"en","author":[{"family":"Ball","given":"Steven"},{"family":"Colleoni","given":"Christophe"},{"family":"Cenci","given":"Ugo"},{"family":"Raj","given":"Jenifer Nirmal"},{"family":"Tirtiaux","given":"Catherine"}],"issued":{"date-parts":[["2011",3,1]]},"accessed":{"date-parts":[["2015",6,5]]}}},{"id":186,"uris":["http://zotero.org/users/2452229/items/52KI5HDF"],"uri":["http://zotero.org/users/2452229/items/52KI5HDF"],"itemData":{"id":186,"type":"article-journal","title":"A previously unknown maltose transporter essential for starch degradation in leaves","container-title":"Science (New York, N.Y.)","page":"87-89","volume":"303","issue":"5654","source":"PubMed","abstract":"A previously unknown maltose transporter is essential for the conversion of starch to sucrose in Arabidopsis leaves at night. The transporter was identified by isolating two allelic mutants with high starch levels and very high maltose, an intermediate of starch breakdown. The mutations affect a gene of previously unknown function, MEX1. We show that MEX1is a maltose transporter that is unrelated to other sugar transporters. The severe mex1 phenotype demonstrates that MEX1is the predominant route of carbohydrate export from chloroplasts at night. Homologous genes in plants including rice and potato indicate that maltose export is of widespread significance.","DOI":"10.1126/science.1091811","ISSN":"1095-9203","journalAbbreviation":"Science","language":"eng","author":[{"family":"Niittylä","given":"Totte"},{"family":"Messerli","given":"Gaëlle"},{"family":"Trevisan","given":"Martine"},{"family":"Chen","given":"Jychian"},{"family":"Smith","given":"Alison M."},{"family":"Zeeman","given":"Samuel C."}],"issued":{"date-parts":[["2004",1,2]]}}}],"schema":"https://github.com/citation-style-language/schema/raw/master/csl-citation.json"}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(24,25)</w:t>
      </w:r>
      <w:r w:rsidR="00990586" w:rsidRPr="00530589">
        <w:rPr>
          <w:rFonts w:ascii="Arial" w:hAnsi="Arial" w:cs="Arial"/>
          <w:sz w:val="22"/>
          <w:szCs w:val="22"/>
        </w:rPr>
        <w:fldChar w:fldCharType="end"/>
      </w:r>
      <w:r w:rsidRPr="00530589">
        <w:rPr>
          <w:rFonts w:ascii="Arial" w:hAnsi="Arial" w:cs="Arial"/>
          <w:sz w:val="22"/>
          <w:szCs w:val="22"/>
        </w:rPr>
        <w:t xml:space="preserve">. The exchanges, however, are probably similar because </w:t>
      </w:r>
      <w:r w:rsidRPr="00530589">
        <w:rPr>
          <w:rFonts w:ascii="Arial" w:hAnsi="Arial" w:cs="Arial"/>
          <w:i/>
          <w:sz w:val="22"/>
          <w:szCs w:val="22"/>
        </w:rPr>
        <w:t>Paramecium’s</w:t>
      </w:r>
      <w:r w:rsidRPr="00530589">
        <w:rPr>
          <w:rFonts w:ascii="Arial" w:hAnsi="Arial" w:cs="Arial"/>
          <w:sz w:val="22"/>
          <w:szCs w:val="22"/>
        </w:rPr>
        <w:t xml:space="preserve"> recognition of potential symbionts will most likely require a supply of certain metabolites.</w:t>
      </w:r>
      <w:r w:rsidRPr="00530589">
        <w:rPr>
          <w:rFonts w:ascii="Arial" w:hAnsi="Arial" w:cs="Arial"/>
          <w:iCs/>
          <w:sz w:val="22"/>
          <w:szCs w:val="22"/>
        </w:rPr>
        <w:t xml:space="preserve"> </w:t>
      </w:r>
    </w:p>
    <w:p w14:paraId="6E221077" w14:textId="77777777" w:rsidR="00241B7C" w:rsidRPr="00530589" w:rsidRDefault="00241B7C" w:rsidP="00604529">
      <w:pPr>
        <w:shd w:val="clear" w:color="auto" w:fill="FFFFFF"/>
        <w:spacing w:line="360" w:lineRule="auto"/>
        <w:textAlignment w:val="baseline"/>
        <w:rPr>
          <w:rFonts w:ascii="Arial" w:hAnsi="Arial" w:cs="Arial"/>
          <w:iCs/>
          <w:sz w:val="22"/>
          <w:szCs w:val="22"/>
        </w:rPr>
      </w:pPr>
    </w:p>
    <w:p w14:paraId="2BDE9879" w14:textId="65CB63D5" w:rsidR="00241B7C" w:rsidRPr="003557EF" w:rsidRDefault="00241B7C" w:rsidP="00630BE6">
      <w:pPr>
        <w:spacing w:line="360" w:lineRule="auto"/>
        <w:rPr>
          <w:rFonts w:ascii="Arial" w:hAnsi="Arial" w:cs="Arial"/>
          <w:sz w:val="22"/>
          <w:szCs w:val="22"/>
        </w:rPr>
      </w:pPr>
      <w:r w:rsidRPr="003557EF">
        <w:rPr>
          <w:rFonts w:ascii="Arial" w:hAnsi="Arial" w:cs="Arial"/>
          <w:sz w:val="22"/>
          <w:szCs w:val="22"/>
        </w:rPr>
        <w:t xml:space="preserve">To capture the metabolic potential of the symbiotic partners we require a detailed model capable of capturing the metabolic exchanges and changes in the evolution. A powerful theoretical method for analysing metabolism is Flux Balance Analysis (FBA), which is </w:t>
      </w:r>
      <w:r w:rsidRPr="00352040">
        <w:rPr>
          <w:rFonts w:ascii="Arial" w:hAnsi="Arial" w:cs="Arial"/>
          <w:sz w:val="22"/>
          <w:szCs w:val="22"/>
        </w:rPr>
        <w:t xml:space="preserve">capable of predicting the optimal metabolic fluxes of an organism and thus its growth rate </w:t>
      </w:r>
      <w:r w:rsidR="00990586"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{"citationID":"7v32n5m1k","properties":{"formattedCitation":"{\\rtf (26\\uc0\\u8211{}28)}","plainCitation":"(26–28)"},"citationItems":[{"id":252,"uris":["http://zotero.org/users/2452229/items/3NJ3CCBG"],"uri":["http://zotero.org/users/2452229/items/3NJ3CCBG"],"itemData":{"id":252,"type":"article-journal","title":"What is flux balance analysis?","container-title":"Nature biotechnology","page":"245-8","volume":"28","issue":"3","ISSN":"1087-0156","author":[{"family":"Orth","given":"Jeffrey D"},{"family":"Thiele","given":"Ines"},{"family":"Palsson","given":"Bernhard Ø"}],"issued":{"date-parts":[["2010",3]]}}},{"id":281,"uris":["http://zotero.org/users/2452229/items/94VQ9XV5"],"uri":["http://zotero.org/users/2452229/items/94VQ9XV5"],"itemData":{"id":281,"type":"article-journal","title":"Stoichiometric flux balance models quantitatively predict growth and metabolic by-product secretion in wild-type Escherichia coli W3110.","container-title":"Applied and environmental microbiology","page":"3724-31","volume":"60","issue":"10","abstract":"Flux balance models of metabolism use stoichiometry of metabolic pathways, metabolic demands of growth, and optimality principles to predict metabolic flux distribution and cellular growth under specified environmental conditions. These models have provided a mechanistic interpretation of systemic metabolic physiology, and they are also useful as a quantitative tool for metabolic pathway design. Quantitative predictions of cell growth and metabolic by-product secretion that are experimentally testable can be obtained from these models. In the present report, we used independent measurements to determine the model parameters for the wild-type Escherichia coli strain W3110. We experimentally determined the maximum oxygen utilization rate (15 mmol of O2 per g [dry weight] per h), the maximum aerobic glucose utilization rate (10.5 mmol of Glc per g [dry weight] per h), the maximum anaerobic glucose utilization rate (18.5 mmol of Glc per g [dry weight] per h), the non-growth-associated maintenance requirements (7.6 mmol of ATP per g [dry weight] per h), and the growth-associated maintenance requirements (13 mmol of ATP per g of biomass). The flux balance model specified by these parameters was found to quantitatively predict glucose and oxygen uptake rates as well as acetate secretion rates observed in chemostat experiments. We have formulated a predictive algorithm in order to apply the flux balance model to describe unsteady-state growth and by-product secretion in aerobic batch, fed-batch, and anaerobic batch cultures. In aerobic experiments we observed acetate secretion, accumulation in the culture medium, and reutilization from the culture medium. In fed-batch cultures acetate is cometabolized with glucose during the later part of the culture period.(ABSTRACT TRUNCATED AT 250 WORDS)","ISSN":"0099-2240","author":[{"family":"Varma","given":"A"},{"family":"Palsson","given":"B O"}],"issued":{"date-parts":[["1994",10]]}}},{"id":315,"uris":["http://zotero.org/users/2452229/items/NWBEN8R3"],"uri":["http://zotero.org/users/2452229/items/NWBEN8R3"],"itemData":{"id":315,"type":"article-journal","title":"Metabolic Flux Balancing: Basic Concepts, Scientific and Practical Use.","container-title":"Nature Biotechnology","page":"994-98","volume":"12","issue":"10","ISSN":"1087-0156 SRC  - GOOGLESCHOLAR","author":[{"family":"Varma","given":"A"},{"family":"Palsson","given":"BØ"}],"issued":{"date-parts":[["1994"]]}}}],"schema":"https://github.com/citation-style-language/schema/raw/master/csl-citation.json"} </w:instrText>
      </w:r>
      <w:r w:rsidR="00990586" w:rsidRPr="00352040">
        <w:rPr>
          <w:rFonts w:ascii="Arial" w:hAnsi="Arial" w:cs="Arial"/>
          <w:sz w:val="22"/>
          <w:szCs w:val="22"/>
        </w:rPr>
        <w:fldChar w:fldCharType="separate"/>
      </w:r>
      <w:r w:rsidR="000F50B0" w:rsidRPr="00352040">
        <w:rPr>
          <w:rFonts w:ascii="Arial" w:hAnsi="Arial" w:cs="Arial"/>
          <w:sz w:val="22"/>
        </w:rPr>
        <w:t>(26–28)</w:t>
      </w:r>
      <w:r w:rsidR="00990586" w:rsidRPr="00352040">
        <w:rPr>
          <w:rFonts w:ascii="Arial" w:hAnsi="Arial" w:cs="Arial"/>
          <w:sz w:val="22"/>
          <w:szCs w:val="22"/>
        </w:rPr>
        <w:fldChar w:fldCharType="end"/>
      </w:r>
      <w:r w:rsidRPr="00352040">
        <w:rPr>
          <w:rFonts w:ascii="Arial" w:hAnsi="Arial" w:cs="Arial"/>
          <w:sz w:val="22"/>
          <w:szCs w:val="22"/>
        </w:rPr>
        <w:t xml:space="preserve">. </w:t>
      </w:r>
      <w:r w:rsidR="00ED19C7" w:rsidRPr="00352040">
        <w:rPr>
          <w:rFonts w:ascii="Arial" w:hAnsi="Arial" w:cs="Arial"/>
          <w:sz w:val="22"/>
          <w:szCs w:val="22"/>
        </w:rPr>
        <w:t xml:space="preserve">Within the constraints of stoichiometry, FBA calculates the flux through each known reaction in the cell. The flux values are optimised with respect to the objective function. This varies, but is commonly </w:t>
      </w:r>
      <w:r w:rsidR="0068118D" w:rsidRPr="00352040">
        <w:rPr>
          <w:rFonts w:ascii="Arial" w:hAnsi="Arial" w:cs="Arial"/>
          <w:sz w:val="22"/>
          <w:szCs w:val="22"/>
        </w:rPr>
        <w:t>taken as the organism</w:t>
      </w:r>
      <w:r w:rsidR="00352040" w:rsidRPr="00352040">
        <w:rPr>
          <w:rFonts w:ascii="Arial" w:hAnsi="Arial" w:cs="Arial"/>
          <w:sz w:val="22"/>
          <w:szCs w:val="22"/>
        </w:rPr>
        <w:t>’</w:t>
      </w:r>
      <w:r w:rsidR="0068118D" w:rsidRPr="00352040">
        <w:rPr>
          <w:rFonts w:ascii="Arial" w:hAnsi="Arial" w:cs="Arial"/>
          <w:sz w:val="22"/>
          <w:szCs w:val="22"/>
        </w:rPr>
        <w:t xml:space="preserve">s </w:t>
      </w:r>
      <w:r w:rsidR="00ED19C7" w:rsidRPr="00352040">
        <w:rPr>
          <w:rFonts w:ascii="Arial" w:hAnsi="Arial" w:cs="Arial"/>
          <w:sz w:val="22"/>
          <w:szCs w:val="22"/>
        </w:rPr>
        <w:t xml:space="preserve">biomass on the assumption that organisms ‘prioritise’ growth and division. The model requires a large amount of data and so is limited to organisms with in-depth metabolic and genomic information. Furthermore, the enzymes and genes are considered to be Boolean values (they are ‘on’ or ‘off’), therefore there is no regulation, and it assumes no underlying constraints prevent optimality. </w:t>
      </w:r>
      <w:r w:rsidRPr="00352040">
        <w:rPr>
          <w:rFonts w:ascii="Arial" w:hAnsi="Arial" w:cs="Arial"/>
          <w:sz w:val="22"/>
          <w:szCs w:val="22"/>
        </w:rPr>
        <w:t xml:space="preserve">Despite its simplifying assumptions, FBA has </w:t>
      </w:r>
      <w:r w:rsidR="0068118D" w:rsidRPr="00352040">
        <w:rPr>
          <w:rFonts w:ascii="Arial" w:hAnsi="Arial" w:cs="Arial"/>
          <w:sz w:val="22"/>
          <w:szCs w:val="22"/>
        </w:rPr>
        <w:t>significant applications in</w:t>
      </w:r>
      <w:r w:rsidRPr="00352040">
        <w:rPr>
          <w:rFonts w:ascii="Arial" w:hAnsi="Arial" w:cs="Arial"/>
          <w:sz w:val="22"/>
          <w:szCs w:val="22"/>
        </w:rPr>
        <w:t xml:space="preserve"> biotechnology </w:t>
      </w:r>
      <w:r w:rsidR="00990586"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1cjtpqp5dn","properties":{"formattedCitation":"(29)","plainCitation":"(29)"},"citationItems":[{"id":292,"uris":["http://zotero.org/users/2452229/items/VAV7RMHK"],"uri":["http://zotero.org/users/2452229/items/VAV7RMHK"],"itemData":{"id":292,"type":"article-journal","title":"Accomplishments in genome-scale in silico modeling for industrial and medical biotechnology","container-title":"Biotechnology Journal","page":"1653-1670","volume":"4","issue":"12","source":"PubMed","abstract":"Driven by advancements in high-throughput biological technologies and the growing number of sequenced genomes, the construction of in silico models at the genome scale has provided powerful tools to investigate a vast array of biological systems and applications. Here, we review comprehensively the uses of such models in industrial and medical biotechnology, including biofuel generation, food production, and drug development. While the use of in silico models is still in its early stages for delivering to industry, significant initial successes have been achieved. For the cases presented here, genome-scale models predict engineering strategies to enhance properties of interest in an organism or to inhibit harmful mechanisms of pathogens. Going forward, genome-scale in silico models promise to extend their application and analysis scope to become a trans-formative tool in biotechnology.","DOI":"10.1002/biot.200900234","ISSN":"1860-7314","journalAbbreviation":"Biotechnol J","language":"eng","author":[{"family":"Milne","given":"Caroline B."},{"family":"Kim","given":"Pan-Jun"},{"family":"Eddy","given":"James A."},{"family":"Price","given":"Nathan D."}],"issued":{"date-parts":[["2009",12]]}}}],"schema":"https://github.com/citation-style-language/schema/raw/master/csl-citation.json"} </w:instrText>
      </w:r>
      <w:r w:rsidR="00990586" w:rsidRPr="00352040">
        <w:rPr>
          <w:rFonts w:ascii="Arial" w:hAnsi="Arial" w:cs="Arial"/>
          <w:sz w:val="22"/>
          <w:szCs w:val="22"/>
        </w:rPr>
        <w:fldChar w:fldCharType="separate"/>
      </w:r>
      <w:r w:rsidR="000F50B0" w:rsidRPr="00352040">
        <w:rPr>
          <w:rFonts w:ascii="Arial" w:hAnsi="Arial" w:cs="Arial"/>
          <w:sz w:val="22"/>
        </w:rPr>
        <w:t>(</w:t>
      </w:r>
      <w:r w:rsidR="0068118D" w:rsidRPr="00352040">
        <w:rPr>
          <w:rFonts w:ascii="Arial" w:hAnsi="Arial" w:cs="Arial"/>
          <w:sz w:val="22"/>
        </w:rPr>
        <w:t xml:space="preserve">e.g. </w:t>
      </w:r>
      <w:r w:rsidR="000F50B0" w:rsidRPr="00352040">
        <w:rPr>
          <w:rFonts w:ascii="Arial" w:hAnsi="Arial" w:cs="Arial"/>
          <w:sz w:val="22"/>
        </w:rPr>
        <w:t>29)</w:t>
      </w:r>
      <w:r w:rsidR="00990586" w:rsidRPr="00352040">
        <w:rPr>
          <w:rFonts w:ascii="Arial" w:hAnsi="Arial" w:cs="Arial"/>
          <w:sz w:val="22"/>
          <w:szCs w:val="22"/>
        </w:rPr>
        <w:fldChar w:fldCharType="end"/>
      </w:r>
      <w:r w:rsidRPr="00352040">
        <w:rPr>
          <w:rFonts w:ascii="Arial" w:hAnsi="Arial" w:cs="Arial"/>
          <w:sz w:val="22"/>
          <w:szCs w:val="22"/>
        </w:rPr>
        <w:t xml:space="preserve"> and </w:t>
      </w:r>
      <w:r w:rsidR="00ED19C7" w:rsidRPr="00352040">
        <w:rPr>
          <w:rFonts w:ascii="Arial" w:hAnsi="Arial" w:cs="Arial"/>
          <w:sz w:val="22"/>
          <w:szCs w:val="22"/>
        </w:rPr>
        <w:t xml:space="preserve">in several cases </w:t>
      </w:r>
      <w:r w:rsidR="0068118D" w:rsidRPr="00352040">
        <w:rPr>
          <w:rFonts w:ascii="Arial" w:hAnsi="Arial" w:cs="Arial"/>
          <w:sz w:val="22"/>
          <w:szCs w:val="22"/>
        </w:rPr>
        <w:t xml:space="preserve">has </w:t>
      </w:r>
      <w:r w:rsidR="00ED19C7" w:rsidRPr="00352040">
        <w:rPr>
          <w:rFonts w:ascii="Arial" w:hAnsi="Arial" w:cs="Arial"/>
          <w:sz w:val="22"/>
          <w:szCs w:val="22"/>
        </w:rPr>
        <w:t xml:space="preserve">successfully predicted the outcome of </w:t>
      </w:r>
      <w:r w:rsidRPr="00352040">
        <w:rPr>
          <w:rFonts w:ascii="Arial" w:hAnsi="Arial" w:cs="Arial"/>
          <w:sz w:val="22"/>
          <w:szCs w:val="22"/>
        </w:rPr>
        <w:t xml:space="preserve">evolution experiments </w:t>
      </w:r>
      <w:r w:rsidR="00990586" w:rsidRPr="00352040">
        <w:rPr>
          <w:rFonts w:ascii="Arial" w:hAnsi="Arial" w:cs="Arial"/>
          <w:sz w:val="22"/>
          <w:szCs w:val="22"/>
        </w:rPr>
        <w:fldChar w:fldCharType="begin"/>
      </w:r>
      <w:r w:rsidR="000F50B0" w:rsidRPr="00352040">
        <w:rPr>
          <w:rFonts w:ascii="Arial" w:hAnsi="Arial" w:cs="Arial"/>
          <w:sz w:val="22"/>
          <w:szCs w:val="22"/>
        </w:rPr>
        <w:instrText xml:space="preserve"> ADDIN ZOTERO_ITEM CSL_CITATION {"citationID":"kcc60EtE","properties":{"formattedCitation":"(23,30,31)","plainCitation":"(23,30,31)"},"citationItems":[{"id":232,"uris":["http://zotero.org/users/2452229/items/BS4KGMPR"],"uri":["http://zotero.org/users/2452229/items/BS4KGMPR"],"itemData":{"id":232,"type":"article-journal","title":"The ability of flux balance analysis to predict evolution of central metabolism scales with the initial distance to the optimum.","container-title":"PLoS computational biology","page":"e1003091","volume":"9","issue":"6","abstract":"The most powerful genome-scale framework to model metabolism, flux balance analysis (FBA), is an evolutionary optimality model. It hypothesizes selection upon a proposed optimality criterion in order to predict the set of internal fluxes that would maximize fitness. Here we present a direct test of the optimality assumption underlying FBA by comparing the central metabolic fluxes predicted by multiple criteria to changes measurable by a (13)C-labeling method for experimentally-evolved strains. We considered datasets for three Escherichia coli evolution experiments that varied in their length, consistency of environment, and initial optimality. For ten populations that were evolved for 50,000 generations in glucose minimal medium, we observed modest changes in relative fluxes that led to small, but significant decreases in optimality and increased the distance to the predicted optimal flux distribution. In contrast, seven populations evolved on the poor substrate lactate for 900 generations collectively became more optimal and had flux distributions that moved toward predictions. For three pairs of central metabolic knockouts evolved on glucose for 600-800 generations, there was a balance between cases where optimality and flux patterns moved toward or away from FBA predictions. Despite this variation in predictability of changes in central metabolism, two generalities emerged. First, improved growth largely derived from evolved increases in the rate of substrate use. Second, FBA predictions bore out well for the two experiments initiated with ancestors with relatively sub-optimal yield, whereas those begun already quite optimal tended to move somewhat away from predictions. These findings suggest that the tradeoff between rate and yield is surprisingly modest. The observed positive correlation between rate and yield when adaptation initiated further from the optimum resulted in the ability of FBA to use stoichiometric constraints to predict the evolution of metabolism despite selection for rate.","ISSN":"1553-734X","author":[{"family":"Harcombe","given":"William R"},{"family":"Delaney","given":"Nigel F"},{"family":"Leiby","given":"Nicholas"},{"family":"Klitgord","given":"Niels"},{"family":"Marx","given":"Christopher J"}],"issued":{"date-parts":[["2013"]]}}},{"id":362,"uris":["http://zotero.org/users/2452229/items/TGZ5KK6J"],"uri":["http://zotero.org/users/2452229/items/TGZ5KK6J"],"itemData":{"id":362,"type":"article-journal","title":"Escherichia coli K-12 undergoes adaptive evolution to achieve in silico predicted optimal growth.","container-title":"Nature","page":"186-9","volume":"420","issue":"6912","abstract":"Annotated genome sequences can be used to reconstruct whole-cell metabolic networks. These metabolic networks can be modelled and analysed (computed) to study complex biological functions. In particular, constraints-based in silico models have been used to calculate optimal growth rates on common carbon substrates, and the results were found to be consistent with experimental data under many but not all conditions. Optimal biological functions are acquired through an evolutionary process. Thus, incorrect predictions of in silico models based on optimal performance criteria may be due to incomplete adaptive evolution under the conditions examined. Escherichia coli K-12 MG1655 grows sub-optimally on glycerol as the sole carbon source. Here we show that when placed under growth selection pressure, the growth rate of E. coli on glycerol reproducibly evolved over 40 days, or about 700 generations, from a sub-optimal value to the optimal growth rate predicted from a whole-cell in silico model. These results open the possibility of using adaptive evolution of entire metabolic networks to realize metabolic states that have been determined a priori based on in silico analysis.","ISSN":"0028-0836","author":[{"family":"Ibarra","given":"Rafael U"},{"family":"Edwards","given":"Jeremy S"},{"family":"Palsson","given":"Bernhard O"}],"issued":{"date-parts":[["2002",11,14]]}}},{"id":420,"uris":["http://zotero.org/users/2452229/items/G2SXEVT9"],"uri":["http://zotero.org/users/2452229/items/G2SXEVT9"],"itemData":{"id":420,"type":"article-journal","title":"A fragile metabolic network adapted for cooperation in the symbiotic bacterium Buchnera aphidicola","container-title":"BMC Systems Biology","page":"24","volume":"3","issue":"1","source":"www.biomedcentral.com","abstract":"PMID: 19232131","DOI":"10.1186/1752-0509-3-24","ISSN":"1752-0509","note":"PMID: 19232131","language":"en","author":[{"family":"Thomas","given":"Gavin H."},{"family":"Zucker","given":"Jeremy"},{"family":"Macdonald","given":"Sandy J."},{"family":"Sorokin","given":"Anatoly"},{"family":"Goryanin","given":"Igor"},{"family":"Douglas","given":"Angela E."}],"issued":{"date-parts":[["2009",2,21]]},"accessed":{"date-parts":[["2015",8,24]]},"PMID":"19232131"}}],"schema":"https://github.com/citation-style-language/schema/raw/master/csl-citation.json"} </w:instrText>
      </w:r>
      <w:r w:rsidR="00990586" w:rsidRPr="00352040">
        <w:rPr>
          <w:rFonts w:ascii="Arial" w:hAnsi="Arial" w:cs="Arial"/>
          <w:sz w:val="22"/>
          <w:szCs w:val="22"/>
        </w:rPr>
        <w:fldChar w:fldCharType="separate"/>
      </w:r>
      <w:r w:rsidR="000F50B0" w:rsidRPr="00352040">
        <w:rPr>
          <w:rFonts w:ascii="Arial" w:hAnsi="Arial" w:cs="Arial"/>
          <w:sz w:val="22"/>
        </w:rPr>
        <w:t>(23,30,31)</w:t>
      </w:r>
      <w:r w:rsidR="00990586" w:rsidRPr="00352040">
        <w:rPr>
          <w:rFonts w:ascii="Arial" w:hAnsi="Arial" w:cs="Arial"/>
          <w:sz w:val="22"/>
          <w:szCs w:val="22"/>
        </w:rPr>
        <w:fldChar w:fldCharType="end"/>
      </w:r>
      <w:r w:rsidRPr="00352040">
        <w:rPr>
          <w:rFonts w:ascii="Arial" w:hAnsi="Arial" w:cs="Arial"/>
          <w:sz w:val="22"/>
          <w:szCs w:val="22"/>
        </w:rPr>
        <w:t xml:space="preserve">. Due to its potential for biotechnology several FBA models have been created for </w:t>
      </w:r>
      <w:r w:rsidRPr="00352040">
        <w:rPr>
          <w:rFonts w:ascii="Arial" w:hAnsi="Arial" w:cs="Arial"/>
          <w:i/>
          <w:sz w:val="22"/>
          <w:szCs w:val="22"/>
        </w:rPr>
        <w:t>Synechocystis</w:t>
      </w:r>
      <w:r w:rsidRPr="003557EF">
        <w:rPr>
          <w:rFonts w:ascii="Arial" w:hAnsi="Arial" w:cs="Arial"/>
          <w:sz w:val="22"/>
          <w:szCs w:val="22"/>
        </w:rPr>
        <w:t xml:space="preserve"> PCC6803, which is a very well characterised organism </w:t>
      </w:r>
      <w:r w:rsidR="00990586" w:rsidRPr="003557EF">
        <w:rPr>
          <w:rFonts w:ascii="Arial" w:hAnsi="Arial" w:cs="Arial"/>
          <w:sz w:val="22"/>
          <w:szCs w:val="22"/>
        </w:rPr>
        <w:fldChar w:fldCharType="begin"/>
      </w:r>
      <w:r w:rsidR="000F50B0">
        <w:rPr>
          <w:rFonts w:ascii="Arial" w:hAnsi="Arial" w:cs="Arial"/>
          <w:sz w:val="22"/>
          <w:szCs w:val="22"/>
        </w:rPr>
        <w:instrText xml:space="preserve"> ADDIN ZOTERO_ITEM CSL_CITATION {"citationID":"8amfba0oa","properties":{"formattedCitation":"{\\rtf (32\\uc0\\u8211{}34)}","plainCitation":"(32–34)"},"citationItems":[{"id":361,"uris":["http://zotero.org/users/2452229/items/9TAKBSMS"],"uri":["http://zotero.org/users/2452229/items/9TAKBSMS"],"itemData":{"id":361,"type":"article-journal","title":"Flux balance analysis of photoautotrophic metabolism.","container-title":"Biotechnology progress","page":"1617-26","volume":"21","issue":"6","abstract":"Photosynthesis is the principal process responsible for fixation of inorganic carbon dioxide into organic molecules with sunlight as the energy source. Potentially, many chemicals could be inexpensively produced by photosynthetic organisms. Mathematical modeling of photoautotrophic metabolism is therefore important to evaluate maximum theoretical product yields and to deeply understand the interactions between biochemical energy, carbon fixation, and assimilation pathways. Flux balance analysis based on linear programming is applied to photoautotrophic metabolism. The stoichiometric network of a model photosynthetic prokaryote, Synechocystis sp. PCC 6803, has been reconstructed from genomic data and biochemical literature and coupled with a model of the photophosphorylation processes. Flux map topologies for the hetero-, auto-, and mixotrophic modes of metabolism under conditions of optimal growth were determined and compared. The roles of important metabolic reactions such as the glyoxylate shunt and the transhydrogenase reaction were analyzed. We also theoretically evaluated the effect of gene deletions or additions on biomass yield and metabolic flux distributions.","ISSN":"8756-7938","author":[{"family":"Shastri","given":"Avantika A"},{"family":"Morgan","given":"John A"}],"issued":{"date-parts":[["2005",12]]}}},{"id":334,"uris":["http://zotero.org/users/2452229/items/9G9Q6PB7"],"uri":["http://zotero.org/users/2452229/items/9G9Q6PB7"],"itemData":{"id":334,"type":"article-journal","title":"Detailing the optimality of photosynthesis in cyanobacteria through systems biology analysis.","container-title":"Proceedings of the National Academy of Sciences of the United States of America","page":"2678-83","volume":"109","issue":"7","abstract":"Photosynthesis has recently gained considerable attention for its potential role in the development of renewable energy sources. Optimizing photosynthetic organisms for biomass or biofuel production will therefore require a systems understanding of photosynthetic processes. We reconstructed a high-quality genome-scale metabolic network for Synechocystis sp. PCC6803 that describes key photosynthetic processes in mechanistic detail. We performed an exhaustive in silico analysis of the reconstructed photosynthetic process under different light and inorganic carbon (Ci) conditions as well as under genetic perturbations. Our key results include the following. (i) We identified two main states of the photosynthetic apparatus: a Ci-limited state and a light-limited state. (ii) We discovered nine alternative electron flow pathways that assist the photosynthetic linear electron flow in optimizing the photosynthesis performance. (iii) A high degree of cooperativity between alternative pathways was found to be critical for optimal autotrophic metabolism. Although pathways with high photosynthetic yield exist for optimizing growth under suboptimal light conditions, pathways with low photosynthetic yield guarantee optimal growth under excessive light or Ci limitation. (iv) Photorespiration was found to be essential for the optimal photosynthetic process, clarifying its role in high-light acclimation. Finally, (v) an extremely high photosynthetic robustness drives the optimal autotrophic metabolism at the expense of metabolic versatility and robustness. The results and modeling approach presented here may promote a better understanding of the photosynthetic process. They can also guide bioengineering projects toward optimal biofuel production in photosynthetic organisms.","ISSN":"0027-8424","author":[{"family":"Nogales","given":"Juan"},{"family":"Gudmundsson","given":"Steinn"},{"family":"Knight","given":"Eric M"},{"family":"Palsson","given":"Bernhard O"},{"family":"Thiele","given":"Ines"}],"issued":{"date-parts":[["2012",2,14]]}}},{"id":106,"uris":["http://zotero.org/users/2452229/items/RTFMHMRM"],"uri":["http://zotero.org/users/2452229/items/RTFMHMRM"],"itemData":{"id":106,"type":"article-journal","title":"Flux Balance Analysis of Cyanobacterial Metabolism: The Metabolic Network of Synechocystis sp. PCC 6803","container-title":"PLoS Computational Biology","volume":"9","issue":"6","source":"PubMed Central","abstract":"Cyanobacteria are versatile unicellular phototrophic microorganisms that are highly abundant in many environments. Owing to their capability to utilize solar energy and atmospheric carbon dioxide for growth, cyanobacteria are increasingly recognized as a prolific resource for the synthesis of valuable chemicals and various biofuels. To fully harness the metabolic capabilities of cyanobacteria necessitates an in-depth understanding of the metabolic interconversions taking place during phototrophic growth, as provided by genome-scale reconstructions of microbial organisms. Here we present an extended reconstruction and analysis of the metabolic network of the unicellular cyanobacterium Synechocystis sp. PCC 6803. Building upon several recent reconstructions of cyanobacterial metabolism, unclear reaction steps are experimentally validated and the functional consequences of unknown or dissenting pathway topologies are discussed. The updated model integrates novel results with respect to the cyanobacterial TCA cycle, an alleged glyoxylate shunt, and the role of photorespiration in cellular growth. Going beyond conventional flux-balance analysis, we extend the computational analysis to diurnal light/dark cycles of cyanobacterial metabolism., Phototrophic microorganisms hold great promises as a resource to generate high-value products and biofuels using only atmospheric carbon dioxide, light, and some minerals. In particular cyanobacteria, the only known prokaryotes capable of oxygen-evolving photosynthesis, have attracted recent attention as a possible chassis for the generation of third generation biofuels. Rational engineering of microorganisms is increasingly guided by large-scale reconstructions of the metabolic network of the respective organism. Such reconstructions then serve as an integrated knowledge base for all metabolic interconversions taking place during cellular growth. Here, we present and analyze such a genome-scale reconstruction for the unicellular cyanobacterium Synechocystis sp. PCC 6803. Taking into account several recent reconstructions, the functional consequences of unclear and dissenting pathway annotations are discussed. The model is supplemented with experimental data to validate specific reactions steps. As a specific feature of phototrophic organisms, the re-organization of metabolism in alternating diurnal light/dark cycles is studied.","URL":"http://www.ncbi.nlm.nih.gov/pmc/articles/PMC3699288/","DOI":"10.1371/journal.pcbi.1003081","ISSN":"1553-734X","note":"PMID: 23843751\nPMCID: PMC3699288","shortTitle":"Flux Balance Analysis of Cyanobacterial Metabolism","journalAbbreviation":"PLoS Comput Biol","author":[{"family":"Knoop","given":"Henning"},{"family":"Gründel","given":"Marianne"},{"family":"Zilliges","given":"Yvonne"},{"family":"Lehmann","given":"Robert"},{"family":"Hoffmann","given":"Sabrina"},{"family":"Lockau","given":"Wolfgang"},{"family":"Steuer","given":"Ralf"}],"issued":{"date-parts":[["2013",6]]},"accessed":{"date-parts":[["2015",6,10]]},"PMID":"23843751","PMCID":"PMC3699288"}}],"schema":"https://github.com/citation-style-language/schema/raw/master/csl-citation.json"} </w:instrText>
      </w:r>
      <w:r w:rsidR="00990586" w:rsidRPr="003557EF">
        <w:rPr>
          <w:rFonts w:ascii="Arial" w:hAnsi="Arial" w:cs="Arial"/>
          <w:sz w:val="22"/>
          <w:szCs w:val="22"/>
        </w:rPr>
        <w:fldChar w:fldCharType="separate"/>
      </w:r>
      <w:r w:rsidR="000F50B0" w:rsidRPr="000F50B0">
        <w:rPr>
          <w:rFonts w:ascii="Arial" w:hAnsi="Arial" w:cs="Arial"/>
          <w:sz w:val="22"/>
        </w:rPr>
        <w:t>(32–34)</w:t>
      </w:r>
      <w:r w:rsidR="00990586" w:rsidRPr="003557EF">
        <w:rPr>
          <w:rFonts w:ascii="Arial" w:hAnsi="Arial" w:cs="Arial"/>
          <w:sz w:val="22"/>
          <w:szCs w:val="22"/>
        </w:rPr>
        <w:fldChar w:fldCharType="end"/>
      </w:r>
      <w:r w:rsidRPr="003557EF">
        <w:rPr>
          <w:rFonts w:ascii="Arial" w:hAnsi="Arial" w:cs="Arial"/>
          <w:sz w:val="22"/>
          <w:szCs w:val="22"/>
        </w:rPr>
        <w:t xml:space="preserve">. Unfortunately there is insufficient data to create a complementary </w:t>
      </w:r>
      <w:r w:rsidRPr="003557EF">
        <w:rPr>
          <w:rFonts w:ascii="Arial" w:hAnsi="Arial" w:cs="Arial"/>
          <w:i/>
          <w:sz w:val="22"/>
          <w:szCs w:val="22"/>
        </w:rPr>
        <w:t>Paramecium</w:t>
      </w:r>
      <w:r w:rsidRPr="003557EF">
        <w:rPr>
          <w:rFonts w:ascii="Arial" w:hAnsi="Arial" w:cs="Arial"/>
          <w:sz w:val="22"/>
          <w:szCs w:val="22"/>
        </w:rPr>
        <w:t xml:space="preserve"> FBA model because its genetic complexity has prevented any whole genome sequencing.</w:t>
      </w:r>
    </w:p>
    <w:p w14:paraId="11C0EE54" w14:textId="77777777" w:rsidR="00ED19C7" w:rsidRDefault="00ED19C7" w:rsidP="00630BE6">
      <w:pPr>
        <w:spacing w:line="360" w:lineRule="auto"/>
        <w:rPr>
          <w:rFonts w:ascii="Arial" w:hAnsi="Arial" w:cs="Arial"/>
          <w:sz w:val="22"/>
          <w:szCs w:val="22"/>
        </w:rPr>
      </w:pPr>
    </w:p>
    <w:p w14:paraId="3B0894AF" w14:textId="25994436" w:rsidR="00241B7C" w:rsidRPr="00530589" w:rsidRDefault="00241B7C" w:rsidP="00BF0803">
      <w:pPr>
        <w:spacing w:line="360" w:lineRule="auto"/>
        <w:rPr>
          <w:rFonts w:ascii="Arial" w:hAnsi="Arial" w:cs="Arial"/>
          <w:sz w:val="22"/>
          <w:szCs w:val="22"/>
        </w:rPr>
      </w:pPr>
      <w:r w:rsidRPr="00530589">
        <w:rPr>
          <w:rFonts w:ascii="Arial" w:hAnsi="Arial" w:cs="Arial"/>
          <w:sz w:val="22"/>
          <w:szCs w:val="22"/>
        </w:rPr>
        <w:t xml:space="preserve">To understand the establishment of endosymbiosis and therefore its evolution, evidence of the initial metabolic exchange between the host and symbiont is necessary. In this article we use FBA modelling to predict the emergent metabolic trading in the synthetic endosymbiosis between </w:t>
      </w:r>
      <w:r w:rsidRPr="00530589">
        <w:rPr>
          <w:rFonts w:ascii="Arial" w:hAnsi="Arial" w:cs="Arial"/>
          <w:i/>
          <w:sz w:val="22"/>
          <w:szCs w:val="22"/>
        </w:rPr>
        <w:t>Synechocystis</w:t>
      </w:r>
      <w:r w:rsidRPr="00530589">
        <w:rPr>
          <w:rFonts w:ascii="Arial" w:hAnsi="Arial" w:cs="Arial"/>
          <w:sz w:val="22"/>
          <w:szCs w:val="22"/>
        </w:rPr>
        <w:t xml:space="preserve"> PCC6803 and </w:t>
      </w:r>
      <w:r w:rsidRPr="00530589">
        <w:rPr>
          <w:rFonts w:ascii="Arial" w:hAnsi="Arial" w:cs="Arial"/>
          <w:i/>
          <w:sz w:val="22"/>
          <w:szCs w:val="22"/>
        </w:rPr>
        <w:t>Paramecium Bursaria</w:t>
      </w:r>
      <w:r w:rsidRPr="00530589">
        <w:rPr>
          <w:rFonts w:ascii="Arial" w:hAnsi="Arial" w:cs="Arial"/>
          <w:sz w:val="22"/>
          <w:szCs w:val="22"/>
        </w:rPr>
        <w:t xml:space="preserve">. </w:t>
      </w:r>
    </w:p>
    <w:p w14:paraId="533CCF78" w14:textId="77777777" w:rsidR="00241B7C" w:rsidRPr="00530589" w:rsidRDefault="00241B7C" w:rsidP="00BF0803">
      <w:pPr>
        <w:spacing w:line="360" w:lineRule="auto"/>
        <w:rPr>
          <w:rFonts w:ascii="Arial" w:hAnsi="Arial" w:cs="Arial"/>
          <w:sz w:val="22"/>
          <w:szCs w:val="22"/>
        </w:rPr>
      </w:pPr>
    </w:p>
    <w:p w14:paraId="5EF01CE3" w14:textId="77777777" w:rsidR="00241B7C" w:rsidRPr="00530589" w:rsidRDefault="00241B7C" w:rsidP="00BF0803">
      <w:pPr>
        <w:spacing w:line="360" w:lineRule="auto"/>
        <w:rPr>
          <w:rFonts w:ascii="Arial" w:hAnsi="Arial" w:cs="Arial"/>
          <w:sz w:val="22"/>
          <w:szCs w:val="22"/>
        </w:rPr>
      </w:pPr>
      <w:r w:rsidRPr="00530589">
        <w:rPr>
          <w:rFonts w:ascii="Arial" w:hAnsi="Arial" w:cs="Arial"/>
          <w:sz w:val="22"/>
          <w:szCs w:val="22"/>
        </w:rPr>
        <w:t>Methods</w:t>
      </w:r>
    </w:p>
    <w:p w14:paraId="3C9118B1" w14:textId="77777777" w:rsidR="00241B7C" w:rsidRPr="00530589" w:rsidRDefault="00241B7C" w:rsidP="00630BE6">
      <w:pPr>
        <w:spacing w:line="360" w:lineRule="auto"/>
        <w:rPr>
          <w:rFonts w:ascii="Arial" w:hAnsi="Arial" w:cs="Arial"/>
          <w:sz w:val="22"/>
          <w:szCs w:val="22"/>
        </w:rPr>
      </w:pPr>
    </w:p>
    <w:p w14:paraId="256D0B2E" w14:textId="0D7B6BF1" w:rsidR="00241B7C" w:rsidRPr="00530589" w:rsidRDefault="00241B7C" w:rsidP="00630BE6">
      <w:pPr>
        <w:spacing w:line="360" w:lineRule="auto"/>
        <w:rPr>
          <w:rFonts w:ascii="Arial" w:hAnsi="Arial" w:cs="Arial"/>
          <w:sz w:val="22"/>
          <w:szCs w:val="22"/>
        </w:rPr>
      </w:pPr>
      <w:r w:rsidRPr="00530589">
        <w:rPr>
          <w:rFonts w:ascii="Arial" w:hAnsi="Arial" w:cs="Arial"/>
          <w:sz w:val="22"/>
          <w:szCs w:val="22"/>
        </w:rPr>
        <w:lastRenderedPageBreak/>
        <w:t xml:space="preserve">We adopt the most recent FBA model of </w:t>
      </w:r>
      <w:r w:rsidRPr="00352040">
        <w:rPr>
          <w:rFonts w:ascii="Arial" w:hAnsi="Arial" w:cs="Arial"/>
          <w:i/>
          <w:sz w:val="22"/>
          <w:szCs w:val="22"/>
        </w:rPr>
        <w:t>Synechocystis</w:t>
      </w:r>
      <w:r w:rsidR="00836099" w:rsidRPr="00352040">
        <w:rPr>
          <w:rFonts w:ascii="Arial" w:hAnsi="Arial" w:cs="Arial"/>
          <w:i/>
          <w:sz w:val="22"/>
          <w:szCs w:val="22"/>
        </w:rPr>
        <w:t xml:space="preserve"> </w:t>
      </w:r>
      <w:r w:rsidR="00836099" w:rsidRPr="00352040">
        <w:rPr>
          <w:rFonts w:ascii="Arial" w:hAnsi="Arial" w:cs="Arial"/>
          <w:sz w:val="22"/>
          <w:szCs w:val="22"/>
        </w:rPr>
        <w:t>published</w:t>
      </w:r>
      <w:r w:rsidR="00836099" w:rsidRPr="00352040">
        <w:rPr>
          <w:rFonts w:ascii="Arial" w:hAnsi="Arial" w:cs="Arial"/>
          <w:i/>
          <w:sz w:val="22"/>
          <w:szCs w:val="22"/>
        </w:rPr>
        <w:t xml:space="preserve"> </w:t>
      </w:r>
      <w:r w:rsidR="00836099" w:rsidRPr="00352040">
        <w:rPr>
          <w:rFonts w:ascii="Arial" w:hAnsi="Arial" w:cs="Arial"/>
          <w:sz w:val="22"/>
          <w:szCs w:val="22"/>
        </w:rPr>
        <w:t xml:space="preserve">by </w:t>
      </w:r>
      <w:proofErr w:type="spellStart"/>
      <w:r w:rsidR="00836099" w:rsidRPr="00352040">
        <w:rPr>
          <w:rFonts w:ascii="Arial" w:hAnsi="Arial" w:cs="Arial"/>
          <w:sz w:val="22"/>
          <w:szCs w:val="22"/>
        </w:rPr>
        <w:t>Knoop</w:t>
      </w:r>
      <w:proofErr w:type="spellEnd"/>
      <w:r w:rsidR="00836099" w:rsidRPr="00352040">
        <w:rPr>
          <w:rFonts w:ascii="Arial" w:hAnsi="Arial" w:cs="Arial"/>
          <w:i/>
          <w:sz w:val="22"/>
          <w:szCs w:val="22"/>
        </w:rPr>
        <w:t xml:space="preserve"> et al. </w:t>
      </w:r>
      <w:r w:rsidR="00836099" w:rsidRPr="00352040">
        <w:rPr>
          <w:rFonts w:ascii="Arial" w:hAnsi="Arial" w:cs="Arial"/>
          <w:sz w:val="22"/>
          <w:szCs w:val="22"/>
        </w:rPr>
        <w:t>in</w:t>
      </w:r>
      <w:r w:rsidR="00836099" w:rsidRPr="00836099">
        <w:rPr>
          <w:rFonts w:ascii="Arial" w:hAnsi="Arial" w:cs="Arial"/>
          <w:sz w:val="22"/>
          <w:szCs w:val="22"/>
        </w:rPr>
        <w:t xml:space="preserve"> 2013 </w:t>
      </w:r>
      <w:r w:rsidR="00836099"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sjd0o30d2","properties":{"formattedCitation":"(34)","plainCitation":"(34)"},"citationItems":[{"id":106,"uris":["http://zotero.org/users/2452229/items/RTFMHMRM"],"uri":["http://zotero.org/users/2452229/items/RTFMHMRM"],"itemData":{"id":106,"type":"article-journal","title":"Flux Balance Analysis of Cyanobacterial Metabolism: The Metabolic Network of Synechocystis sp. PCC 6803","container-title":"PLoS Computational Biology","volume":"9","issue":"6","source":"PubMed Central","abstract":"Cyanobacteria are versatile unicellular phototrophic microorganisms that are highly abundant in many environments. Owing to their capability to utilize solar energy and atmospheric carbon dioxide for growth, cyanobacteria are increasingly recognized as a prolific resource for the synthesis of valuable chemicals and various biofuels. To fully harness the metabolic capabilities of cyanobacteria necessitates an in-depth understanding of the metabolic interconversions taking place during phototrophic growth, as provided by genome-scale reconstructions of microbial organisms. Here we present an extended reconstruction and analysis of the metabolic network of the unicellular cyanobacterium Synechocystis sp. PCC 6803. Building upon several recent reconstructions of cyanobacterial metabolism, unclear reaction steps are experimentally validated and the functional consequences of unknown or dissenting pathway topologies are discussed. The updated model integrates novel results with respect to the cyanobacterial TCA cycle, an alleged glyoxylate shunt, and the role of photorespiration in cellular growth. Going beyond conventional flux-balance analysis, we extend the computational analysis to diurnal light/dark cycles of cyanobacterial metabolism., Phototrophic microorganisms hold great promises as a resource to generate high-value products and biofuels using only atmospheric carbon dioxide, light, and some minerals. In particular cyanobacteria, the only known prokaryotes capable of oxygen-evolving photosynthesis, have attracted recent attention as a possible chassis for the generation of third generation biofuels. Rational engineering of microorganisms is increasingly guided by large-scale reconstructions of the metabolic network of the respective organism. Such reconstructions then serve as an integrated knowledge base for all metabolic interconversions taking place during cellular growth. Here, we present and analyze such a genome-scale reconstruction for the unicellular cyanobacterium Synechocystis sp. PCC 6803. Taking into account several recent reconstructions, the functional consequences of unclear and dissenting pathway annotations are discussed. The model is supplemented with experimental data to validate specific reactions steps. As a specific feature of phototrophic organisms, the re-organization of metabolism in alternating diurnal light/dark cycles is studied.","URL":"http://www.ncbi.nlm.nih.gov/pmc/articles/PMC3699288/","DOI":"10.1371/journal.pcbi.1003081","ISSN":"1553-734X","note":"PMID: 23843751\nPMCID: PMC3699288","shortTitle":"Flux Balance Analysis of Cyanobacterial Metabolism","journalAbbreviation":"PLoS Comput Biol","author":[{"family":"Knoop","given":"Henning"},{"family":"Gründel","given":"Marianne"},{"family":"Zilliges","given":"Yvonne"},{"family":"Lehmann","given":"Robert"},{"family":"Hoffmann","given":"Sabrina"},{"family":"Lockau","given":"Wolfgang"},{"family":"Steuer","given":"Ralf"}],"issued":{"date-parts":[["2013",6]]},"accessed":{"date-parts":[["2015",6,10]]},"PMID":"23843751","PMCID":"PMC3699288"}}],"schema":"https://github.com/citation-style-language/schema/raw/master/csl-citation.json"} </w:instrText>
      </w:r>
      <w:r w:rsidR="00836099" w:rsidRPr="00530589">
        <w:rPr>
          <w:rFonts w:ascii="Arial" w:hAnsi="Arial" w:cs="Arial"/>
          <w:sz w:val="22"/>
          <w:szCs w:val="22"/>
        </w:rPr>
        <w:fldChar w:fldCharType="separate"/>
      </w:r>
      <w:r w:rsidR="000F50B0" w:rsidRPr="000F50B0">
        <w:rPr>
          <w:rFonts w:ascii="Arial" w:hAnsi="Arial" w:cs="Arial"/>
          <w:sz w:val="22"/>
        </w:rPr>
        <w:t>(34)</w:t>
      </w:r>
      <w:r w:rsidR="00836099" w:rsidRPr="00530589">
        <w:rPr>
          <w:rFonts w:ascii="Arial" w:hAnsi="Arial" w:cs="Arial"/>
          <w:sz w:val="22"/>
          <w:szCs w:val="22"/>
        </w:rPr>
        <w:fldChar w:fldCharType="end"/>
      </w:r>
      <w:r w:rsidR="00836099">
        <w:rPr>
          <w:rFonts w:ascii="Arial" w:hAnsi="Arial" w:cs="Arial"/>
          <w:sz w:val="22"/>
          <w:szCs w:val="22"/>
        </w:rPr>
        <w:t xml:space="preserve"> </w:t>
      </w:r>
      <w:r w:rsidRPr="00530589">
        <w:rPr>
          <w:rFonts w:ascii="Arial" w:hAnsi="Arial" w:cs="Arial"/>
          <w:sz w:val="22"/>
          <w:szCs w:val="22"/>
        </w:rPr>
        <w:t xml:space="preserve">as our starting point. The model was then modified for a symbiosis by introducing an exchange reaction that forces nutrient exchange as detailed below. Arguably, endosymbionts satisfy more of the assumptions of FBA modelling than other organisms because the host provides a stable environment for the symbiont permitting a context with less fluctuation in gene expression. Furthermore, obligate endosymbionts that have co-evolved with their host experience gene reduction and a decrease in transcriptional regulation, both of which makes FBA modelling more appropriate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jMmWiDDD","properties":{"formattedCitation":"(23)","plainCitation":"(23)"},"citationItems":[{"id":420,"uris":["http://zotero.org/users/2452229/items/G2SXEVT9"],"uri":["http://zotero.org/users/2452229/items/G2SXEVT9"],"itemData":{"id":420,"type":"article-journal","title":"A fragile metabolic network adapted for cooperation in the symbiotic bacterium Buchnera aphidicola","container-title":"BMC Systems Biology","page":"24","volume":"3","issue":"1","source":"www.biomedcentral.com","abstract":"PMID: 19232131","DOI":"10.1186/1752-0509-3-24","ISSN":"1752-0509","note":"PMID: 19232131","language":"en","author":[{"family":"Thomas","given":"Gavin H."},{"family":"Zucker","given":"Jeremy"},{"family":"Macdonald","given":"Sandy J."},{"family":"Sorokin","given":"Anatoly"},{"family":"Goryanin","given":"Igor"},{"family":"Douglas","given":"Angela E."}],"issued":{"date-parts":[["2009",2,21]]},"accessed":{"date-parts":[["2015",8,24]]},"PMID":"19232131"}}],"schema":"https://github.com/citation-style-language/schema/raw/master/csl-citation.json"}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(23)</w:t>
      </w:r>
      <w:r w:rsidR="00990586" w:rsidRPr="00530589">
        <w:rPr>
          <w:rFonts w:ascii="Arial" w:hAnsi="Arial" w:cs="Arial"/>
          <w:sz w:val="22"/>
          <w:szCs w:val="22"/>
        </w:rPr>
        <w:fldChar w:fldCharType="end"/>
      </w:r>
      <w:r w:rsidRPr="00530589">
        <w:rPr>
          <w:rFonts w:ascii="Arial" w:hAnsi="Arial" w:cs="Arial"/>
          <w:sz w:val="22"/>
          <w:szCs w:val="22"/>
        </w:rPr>
        <w:t xml:space="preserve">. </w:t>
      </w:r>
    </w:p>
    <w:p w14:paraId="6352A51F" w14:textId="77777777" w:rsidR="00241B7C" w:rsidRPr="00530589" w:rsidRDefault="00241B7C" w:rsidP="00630BE6">
      <w:pPr>
        <w:spacing w:line="360" w:lineRule="auto"/>
        <w:rPr>
          <w:rFonts w:ascii="Arial" w:hAnsi="Arial" w:cs="Arial"/>
          <w:sz w:val="22"/>
          <w:szCs w:val="22"/>
        </w:rPr>
      </w:pPr>
    </w:p>
    <w:p w14:paraId="7495860D" w14:textId="30B7F04F" w:rsidR="00241B7C" w:rsidRPr="00530589" w:rsidRDefault="00241B7C" w:rsidP="005F5C62">
      <w:pPr>
        <w:spacing w:line="360" w:lineRule="auto"/>
        <w:rPr>
          <w:rFonts w:ascii="Arial" w:hAnsi="Arial" w:cs="Arial"/>
          <w:sz w:val="22"/>
          <w:szCs w:val="22"/>
        </w:rPr>
      </w:pPr>
      <w:r w:rsidRPr="00530589">
        <w:rPr>
          <w:rFonts w:ascii="Arial" w:hAnsi="Arial" w:cs="Arial"/>
          <w:sz w:val="22"/>
          <w:szCs w:val="22"/>
        </w:rPr>
        <w:t>The FBA model used is the iHK677 model</w:t>
      </w:r>
      <w:r w:rsidR="00990586" w:rsidRPr="00530589">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238n6nvlvl","properties":{"formattedCitation":"(34)","plainCitation":"(34)"},"citationItems":[{"id":106,"uris":["http://zotero.org/users/2452229/items/RTFMHMRM"],"uri":["http://zotero.org/users/2452229/items/RTFMHMRM"],"itemData":{"id":106,"type":"article-journal","title":"Flux Balance Analysis of Cyanobacterial Metabolism: The Metabolic Network of Synechocystis sp. PCC 6803","container-title":"PLoS Computational Biology","volume":"9","issue":"6","source":"PubMed Central","abstract":"Cyanobacteria are versatile unicellular phototrophic microorganisms that are highly abundant in many environments. Owing to their capability to utilize solar energy and atmospheric carbon dioxide for growth, cyanobacteria are increasingly recognized as a prolific resource for the synthesis of valuable chemicals and various biofuels. To fully harness the metabolic capabilities of cyanobacteria necessitates an in-depth understanding of the metabolic interconversions taking place during phototrophic growth, as provided by genome-scale reconstructions of microbial organisms. Here we present an extended reconstruction and analysis of the metabolic network of the unicellular cyanobacterium Synechocystis sp. PCC 6803. Building upon several recent reconstructions of cyanobacterial metabolism, unclear reaction steps are experimentally validated and the functional consequences of unknown or dissenting pathway topologies are discussed. The updated model integrates novel results with respect to the cyanobacterial TCA cycle, an alleged glyoxylate shunt, and the role of photorespiration in cellular growth. Going beyond conventional flux-balance analysis, we extend the computational analysis to diurnal light/dark cycles of cyanobacterial metabolism., Phototrophic microorganisms hold great promises as a resource to generate high-value products and biofuels using only atmospheric carbon dioxide, light, and some minerals. In particular cyanobacteria, the only known prokaryotes capable of oxygen-evolving photosynthesis, have attracted recent attention as a possible chassis for the generation of third generation biofuels. Rational engineering of microorganisms is increasingly guided by large-scale reconstructions of the metabolic network of the respective organism. Such reconstructions then serve as an integrated knowledge base for all metabolic interconversions taking place during cellular growth. Here, we present and analyze such a genome-scale reconstruction for the unicellular cyanobacterium Synechocystis sp. PCC 6803. Taking into account several recent reconstructions, the functional consequences of unclear and dissenting pathway annotations are discussed. The model is supplemented with experimental data to validate specific reactions steps. As a specific feature of phototrophic organisms, the re-organization of metabolism in alternating diurnal light/dark cycles is studied.","URL":"http://www.ncbi.nlm.nih.gov/pmc/articles/PMC3699288/","DOI":"10.1371/journal.pcbi.1003081","ISSN":"1553-734X","note":"PMID: 23843751\nPMCID: PMC3699288","shortTitle":"Flux Balance Analysis of Cyanobacterial Metabolism","journalAbbreviation":"PLoS Comput Biol","author":[{"family":"Knoop","given":"Henning"},{"family":"Gründel","given":"Marianne"},{"family":"Zilliges","given":"Yvonne"},{"family":"Lehmann","given":"Robert"},{"family":"Hoffmann","given":"Sabrina"},{"family":"Lockau","given":"Wolfgang"},{"family":"Steuer","given":"Ralf"}],"issued":{"date-parts":[["2013",6]]},"accessed":{"date-parts":[["2015",6,10]]},"PMID":"23843751","PMCID":"PMC3699288"}}],"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(34)</w:t>
      </w:r>
      <w:r w:rsidR="00990586" w:rsidRPr="00530589">
        <w:rPr>
          <w:rFonts w:ascii="Arial" w:hAnsi="Arial" w:cs="Arial"/>
          <w:sz w:val="22"/>
          <w:szCs w:val="22"/>
        </w:rPr>
        <w:fldChar w:fldCharType="end"/>
      </w:r>
      <w:r w:rsidRPr="00530589">
        <w:rPr>
          <w:rFonts w:ascii="Arial" w:hAnsi="Arial" w:cs="Arial"/>
          <w:sz w:val="22"/>
          <w:szCs w:val="22"/>
        </w:rPr>
        <w:t xml:space="preserve"> augmented by the explicit inclusion of transport reactions. The iHK677 model encompasses 677 genes that encode for 759 reactions. The network defines six cellular compartments - the cytosol, plasma membrane, thylakoid membrane, thylakoid lumen, </w:t>
      </w:r>
      <w:proofErr w:type="spellStart"/>
      <w:r w:rsidRPr="00530589">
        <w:rPr>
          <w:rFonts w:ascii="Arial" w:hAnsi="Arial" w:cs="Arial"/>
          <w:sz w:val="22"/>
          <w:szCs w:val="22"/>
        </w:rPr>
        <w:t>carboxysomes</w:t>
      </w:r>
      <w:proofErr w:type="spellEnd"/>
      <w:r w:rsidRPr="00530589">
        <w:rPr>
          <w:rFonts w:ascii="Arial" w:hAnsi="Arial" w:cs="Arial"/>
          <w:sz w:val="22"/>
          <w:szCs w:val="22"/>
        </w:rPr>
        <w:t>, and periplasm - in addition to the extracellular space.  The symbiotic exchange reaction was included when appropriate. Biomass was used as the objective function. A second optimisation was applied that minimises the reaction fluxes while maintaining the optimum biomass to remove futile cycles. The metabolic modelled was performed in a custom JAVA environment utilising the GLPK library for the linear optimisation.</w:t>
      </w:r>
    </w:p>
    <w:p w14:paraId="2744A13A" w14:textId="77777777" w:rsidR="00241B7C" w:rsidRPr="00530589" w:rsidRDefault="00241B7C" w:rsidP="005F5C62">
      <w:pPr>
        <w:spacing w:line="360" w:lineRule="auto"/>
        <w:rPr>
          <w:rFonts w:ascii="Arial" w:hAnsi="Arial" w:cs="Arial"/>
          <w:sz w:val="22"/>
          <w:szCs w:val="22"/>
        </w:rPr>
      </w:pPr>
    </w:p>
    <w:p w14:paraId="0EE9F555" w14:textId="7F8FD3B9" w:rsidR="00241B7C" w:rsidRPr="00530589" w:rsidRDefault="00241B7C" w:rsidP="005F5C62">
      <w:pPr>
        <w:spacing w:line="360" w:lineRule="auto"/>
        <w:rPr>
          <w:rFonts w:ascii="Arial" w:hAnsi="Arial" w:cs="Arial"/>
          <w:sz w:val="22"/>
          <w:szCs w:val="22"/>
        </w:rPr>
      </w:pPr>
      <w:r w:rsidRPr="00352040">
        <w:rPr>
          <w:rFonts w:ascii="Arial" w:hAnsi="Arial" w:cs="Arial"/>
          <w:sz w:val="22"/>
          <w:szCs w:val="22"/>
        </w:rPr>
        <w:t xml:space="preserve">The only constraints on reaction fluxes were taken from </w:t>
      </w:r>
      <w:proofErr w:type="spellStart"/>
      <w:r w:rsidRPr="00352040">
        <w:rPr>
          <w:rFonts w:ascii="Arial" w:hAnsi="Arial" w:cs="Arial"/>
          <w:sz w:val="22"/>
          <w:szCs w:val="22"/>
        </w:rPr>
        <w:t>Knoop</w:t>
      </w:r>
      <w:proofErr w:type="spellEnd"/>
      <w:r w:rsidRPr="00352040">
        <w:rPr>
          <w:rFonts w:ascii="Arial" w:hAnsi="Arial" w:cs="Arial"/>
          <w:sz w:val="22"/>
          <w:szCs w:val="22"/>
        </w:rPr>
        <w:t xml:space="preserve"> </w:t>
      </w:r>
      <w:r w:rsidRPr="00352040">
        <w:rPr>
          <w:rFonts w:ascii="Arial" w:hAnsi="Arial" w:cs="Arial"/>
          <w:i/>
          <w:sz w:val="22"/>
          <w:szCs w:val="22"/>
        </w:rPr>
        <w:t>et al.</w:t>
      </w:r>
      <w:r w:rsidR="00EF2D9D" w:rsidRPr="00352040">
        <w:rPr>
          <w:rFonts w:ascii="Arial" w:hAnsi="Arial" w:cs="Arial"/>
          <w:sz w:val="22"/>
          <w:szCs w:val="22"/>
        </w:rPr>
        <w:t xml:space="preserve"> (2013) and are: general</w:t>
      </w:r>
      <w:r w:rsidRPr="00352040">
        <w:rPr>
          <w:rFonts w:ascii="Arial" w:hAnsi="Arial" w:cs="Arial"/>
          <w:sz w:val="22"/>
          <w:szCs w:val="22"/>
        </w:rPr>
        <w:t xml:space="preserve"> ATP consumption</w:t>
      </w:r>
      <w:r w:rsidR="00EF2D9D" w:rsidRPr="00352040">
        <w:rPr>
          <w:rFonts w:ascii="Arial" w:hAnsi="Arial" w:cs="Arial"/>
          <w:sz w:val="22"/>
          <w:szCs w:val="22"/>
        </w:rPr>
        <w:t xml:space="preserve"> for cellular maintenance</w:t>
      </w:r>
      <w:r w:rsidRPr="00352040">
        <w:rPr>
          <w:rFonts w:ascii="Arial" w:hAnsi="Arial" w:cs="Arial"/>
          <w:sz w:val="22"/>
          <w:szCs w:val="22"/>
        </w:rPr>
        <w:t xml:space="preserve"> (0.13 </w:t>
      </w:r>
      <w:proofErr w:type="spellStart"/>
      <w:r w:rsidRPr="00352040">
        <w:rPr>
          <w:rFonts w:ascii="Arial" w:hAnsi="Arial" w:cs="Arial"/>
          <w:sz w:val="22"/>
          <w:szCs w:val="22"/>
        </w:rPr>
        <w:t>mmol</w:t>
      </w:r>
      <w:proofErr w:type="spellEnd"/>
      <w:r w:rsidRPr="00352040">
        <w:rPr>
          <w:rFonts w:ascii="Arial" w:hAnsi="Arial" w:cs="Arial"/>
          <w:sz w:val="22"/>
          <w:szCs w:val="22"/>
        </w:rPr>
        <w:t xml:space="preserve"> gDW</w:t>
      </w:r>
      <w:r w:rsidRPr="00352040">
        <w:rPr>
          <w:rFonts w:ascii="Arial" w:hAnsi="Arial" w:cs="Arial"/>
          <w:sz w:val="22"/>
          <w:szCs w:val="22"/>
          <w:vertAlign w:val="superscript"/>
        </w:rPr>
        <w:t xml:space="preserve">-1 </w:t>
      </w:r>
      <w:r w:rsidRPr="00352040">
        <w:rPr>
          <w:rFonts w:ascii="Arial" w:hAnsi="Arial" w:cs="Arial"/>
          <w:sz w:val="22"/>
          <w:szCs w:val="22"/>
        </w:rPr>
        <w:t>hr</w:t>
      </w:r>
      <w:r w:rsidRPr="00352040">
        <w:rPr>
          <w:rFonts w:ascii="Arial" w:hAnsi="Arial" w:cs="Arial"/>
          <w:sz w:val="22"/>
          <w:szCs w:val="22"/>
          <w:vertAlign w:val="superscript"/>
        </w:rPr>
        <w:t>-1</w:t>
      </w:r>
      <w:r w:rsidRPr="00352040">
        <w:rPr>
          <w:rFonts w:ascii="Arial" w:hAnsi="Arial" w:cs="Arial"/>
          <w:sz w:val="22"/>
          <w:szCs w:val="22"/>
        </w:rPr>
        <w:t xml:space="preserve">), a residual respiration rate (0.2263 </w:t>
      </w:r>
      <w:proofErr w:type="spellStart"/>
      <w:r w:rsidRPr="00352040">
        <w:rPr>
          <w:rFonts w:ascii="Arial" w:hAnsi="Arial" w:cs="Arial"/>
          <w:sz w:val="22"/>
          <w:szCs w:val="22"/>
        </w:rPr>
        <w:t>mmol</w:t>
      </w:r>
      <w:proofErr w:type="spellEnd"/>
      <w:r w:rsidRPr="00352040">
        <w:rPr>
          <w:rFonts w:ascii="Arial" w:hAnsi="Arial" w:cs="Arial"/>
          <w:sz w:val="22"/>
          <w:szCs w:val="22"/>
        </w:rPr>
        <w:t xml:space="preserve"> gDW</w:t>
      </w:r>
      <w:r w:rsidRPr="00352040">
        <w:rPr>
          <w:rFonts w:ascii="Arial" w:hAnsi="Arial" w:cs="Arial"/>
          <w:sz w:val="22"/>
          <w:szCs w:val="22"/>
          <w:vertAlign w:val="superscript"/>
        </w:rPr>
        <w:t xml:space="preserve">-1 </w:t>
      </w:r>
      <w:r w:rsidRPr="00352040">
        <w:rPr>
          <w:rFonts w:ascii="Arial" w:hAnsi="Arial" w:cs="Arial"/>
          <w:sz w:val="22"/>
          <w:szCs w:val="22"/>
        </w:rPr>
        <w:t>hr</w:t>
      </w:r>
      <w:r w:rsidRPr="00352040">
        <w:rPr>
          <w:rFonts w:ascii="Arial" w:hAnsi="Arial" w:cs="Arial"/>
          <w:sz w:val="22"/>
          <w:szCs w:val="22"/>
          <w:vertAlign w:val="superscript"/>
        </w:rPr>
        <w:t>-1</w:t>
      </w:r>
      <w:r w:rsidRPr="00352040">
        <w:rPr>
          <w:rFonts w:ascii="Arial" w:hAnsi="Arial" w:cs="Arial"/>
          <w:sz w:val="22"/>
          <w:szCs w:val="22"/>
        </w:rPr>
        <w:t xml:space="preserve">), </w:t>
      </w:r>
      <w:proofErr w:type="spellStart"/>
      <w:r w:rsidRPr="00352040">
        <w:rPr>
          <w:rFonts w:ascii="Arial" w:hAnsi="Arial" w:cs="Arial"/>
          <w:sz w:val="22"/>
          <w:szCs w:val="22"/>
        </w:rPr>
        <w:t>Mehler</w:t>
      </w:r>
      <w:proofErr w:type="spellEnd"/>
      <w:r w:rsidRPr="00352040">
        <w:rPr>
          <w:rFonts w:ascii="Arial" w:hAnsi="Arial" w:cs="Arial"/>
          <w:sz w:val="22"/>
          <w:szCs w:val="22"/>
        </w:rPr>
        <w:t>-like reaction (</w:t>
      </w:r>
      <w:r w:rsidRPr="00352040">
        <w:rPr>
          <w:rFonts w:ascii="Arial" w:hAnsi="Arial" w:cs="Arial"/>
          <w:color w:val="000000"/>
          <w:sz w:val="22"/>
          <w:szCs w:val="22"/>
          <w:lang w:eastAsia="en-GB"/>
        </w:rPr>
        <w:t>0.2263</w:t>
      </w:r>
      <w:r w:rsidRPr="00352040">
        <w:rPr>
          <w:rFonts w:ascii="Arial" w:hAnsi="Arial" w:cs="Arial"/>
          <w:sz w:val="22"/>
          <w:szCs w:val="22"/>
        </w:rPr>
        <w:t xml:space="preserve"> </w:t>
      </w:r>
      <w:proofErr w:type="spellStart"/>
      <w:r w:rsidRPr="00352040">
        <w:rPr>
          <w:rFonts w:ascii="Arial" w:hAnsi="Arial" w:cs="Arial"/>
          <w:sz w:val="22"/>
          <w:szCs w:val="22"/>
        </w:rPr>
        <w:t>mmol</w:t>
      </w:r>
      <w:proofErr w:type="spellEnd"/>
      <w:r w:rsidRPr="00352040">
        <w:rPr>
          <w:rFonts w:ascii="Arial" w:hAnsi="Arial" w:cs="Arial"/>
          <w:sz w:val="22"/>
          <w:szCs w:val="22"/>
        </w:rPr>
        <w:t xml:space="preserve"> gDW</w:t>
      </w:r>
      <w:r w:rsidRPr="00352040">
        <w:rPr>
          <w:rFonts w:ascii="Arial" w:hAnsi="Arial" w:cs="Arial"/>
          <w:sz w:val="22"/>
          <w:szCs w:val="22"/>
          <w:vertAlign w:val="superscript"/>
        </w:rPr>
        <w:t xml:space="preserve">-1 </w:t>
      </w:r>
      <w:r w:rsidRPr="00352040">
        <w:rPr>
          <w:rFonts w:ascii="Arial" w:hAnsi="Arial" w:cs="Arial"/>
          <w:sz w:val="22"/>
          <w:szCs w:val="22"/>
        </w:rPr>
        <w:t>hr</w:t>
      </w:r>
      <w:r w:rsidRPr="00352040">
        <w:rPr>
          <w:rFonts w:ascii="Arial" w:hAnsi="Arial" w:cs="Arial"/>
          <w:sz w:val="22"/>
          <w:szCs w:val="22"/>
          <w:vertAlign w:val="superscript"/>
        </w:rPr>
        <w:t>-1</w:t>
      </w:r>
      <w:r w:rsidRPr="00352040">
        <w:rPr>
          <w:rFonts w:ascii="Arial" w:hAnsi="Arial" w:cs="Arial"/>
          <w:sz w:val="22"/>
          <w:szCs w:val="22"/>
        </w:rPr>
        <w:t>), reactive oxygen species production</w:t>
      </w:r>
      <w:r w:rsidRPr="00530589">
        <w:rPr>
          <w:rFonts w:ascii="Arial" w:hAnsi="Arial" w:cs="Arial"/>
          <w:sz w:val="22"/>
          <w:szCs w:val="22"/>
        </w:rPr>
        <w:t xml:space="preserve"> at PSII (</w:t>
      </w:r>
      <w:r w:rsidRPr="00530589">
        <w:rPr>
          <w:rFonts w:ascii="Arial" w:hAnsi="Arial" w:cs="Arial"/>
          <w:color w:val="000000"/>
          <w:sz w:val="22"/>
          <w:szCs w:val="22"/>
          <w:lang w:eastAsia="en-GB"/>
        </w:rPr>
        <w:t>0.0477</w:t>
      </w:r>
      <w:r w:rsidRPr="00530589">
        <w:rPr>
          <w:rFonts w:ascii="Arial" w:hAnsi="Arial" w:cs="Arial"/>
          <w:sz w:val="22"/>
          <w:szCs w:val="22"/>
        </w:rPr>
        <w:t xml:space="preserve"> </w:t>
      </w:r>
      <w:proofErr w:type="spellStart"/>
      <w:r w:rsidRPr="00530589">
        <w:rPr>
          <w:rFonts w:ascii="Arial" w:hAnsi="Arial" w:cs="Arial"/>
          <w:sz w:val="22"/>
          <w:szCs w:val="22"/>
        </w:rPr>
        <w:t>mmol</w:t>
      </w:r>
      <w:proofErr w:type="spellEnd"/>
      <w:r w:rsidRPr="00530589">
        <w:rPr>
          <w:rFonts w:ascii="Arial" w:hAnsi="Arial" w:cs="Arial"/>
          <w:sz w:val="22"/>
          <w:szCs w:val="22"/>
        </w:rPr>
        <w:t xml:space="preserve"> gDW</w:t>
      </w:r>
      <w:r w:rsidRPr="00530589">
        <w:rPr>
          <w:rFonts w:ascii="Arial" w:hAnsi="Arial" w:cs="Arial"/>
          <w:sz w:val="22"/>
          <w:szCs w:val="22"/>
          <w:vertAlign w:val="superscript"/>
        </w:rPr>
        <w:t xml:space="preserve">-1 </w:t>
      </w:r>
      <w:r w:rsidRPr="00530589">
        <w:rPr>
          <w:rFonts w:ascii="Arial" w:hAnsi="Arial" w:cs="Arial"/>
          <w:sz w:val="22"/>
          <w:szCs w:val="22"/>
        </w:rPr>
        <w:t>hr</w:t>
      </w:r>
      <w:r w:rsidRPr="00530589">
        <w:rPr>
          <w:rFonts w:ascii="Arial" w:hAnsi="Arial" w:cs="Arial"/>
          <w:sz w:val="22"/>
          <w:szCs w:val="22"/>
          <w:vertAlign w:val="superscript"/>
        </w:rPr>
        <w:t>-1</w:t>
      </w:r>
      <w:r w:rsidRPr="00530589">
        <w:rPr>
          <w:rFonts w:ascii="Arial" w:hAnsi="Arial" w:cs="Arial"/>
          <w:color w:val="000000"/>
          <w:sz w:val="22"/>
          <w:szCs w:val="22"/>
          <w:lang w:eastAsia="en-GB"/>
        </w:rPr>
        <w:t xml:space="preserve">), and </w:t>
      </w:r>
      <w:proofErr w:type="spellStart"/>
      <w:r w:rsidRPr="00530589">
        <w:rPr>
          <w:rFonts w:ascii="Arial" w:hAnsi="Arial" w:cs="Arial"/>
          <w:color w:val="000000"/>
          <w:sz w:val="22"/>
          <w:szCs w:val="22"/>
          <w:lang w:eastAsia="en-GB"/>
        </w:rPr>
        <w:t>Mehler</w:t>
      </w:r>
      <w:proofErr w:type="spellEnd"/>
      <w:r w:rsidRPr="00530589">
        <w:rPr>
          <w:rFonts w:ascii="Arial" w:hAnsi="Arial" w:cs="Arial"/>
          <w:color w:val="000000"/>
          <w:sz w:val="22"/>
          <w:szCs w:val="22"/>
          <w:lang w:eastAsia="en-GB"/>
        </w:rPr>
        <w:t xml:space="preserve"> reaction at PSI (0.0473</w:t>
      </w:r>
      <w:r w:rsidRPr="00530589">
        <w:rPr>
          <w:rFonts w:ascii="Arial" w:hAnsi="Arial" w:cs="Arial"/>
          <w:sz w:val="22"/>
          <w:szCs w:val="22"/>
        </w:rPr>
        <w:t xml:space="preserve"> </w:t>
      </w:r>
      <w:proofErr w:type="spellStart"/>
      <w:r w:rsidRPr="00530589">
        <w:rPr>
          <w:rFonts w:ascii="Arial" w:hAnsi="Arial" w:cs="Arial"/>
          <w:sz w:val="22"/>
          <w:szCs w:val="22"/>
        </w:rPr>
        <w:t>mmol</w:t>
      </w:r>
      <w:proofErr w:type="spellEnd"/>
      <w:r w:rsidRPr="00530589">
        <w:rPr>
          <w:rFonts w:ascii="Arial" w:hAnsi="Arial" w:cs="Arial"/>
          <w:sz w:val="22"/>
          <w:szCs w:val="22"/>
        </w:rPr>
        <w:t xml:space="preserve"> gDW</w:t>
      </w:r>
      <w:r w:rsidRPr="00530589">
        <w:rPr>
          <w:rFonts w:ascii="Arial" w:hAnsi="Arial" w:cs="Arial"/>
          <w:sz w:val="22"/>
          <w:szCs w:val="22"/>
          <w:vertAlign w:val="superscript"/>
        </w:rPr>
        <w:t xml:space="preserve">-1 </w:t>
      </w:r>
      <w:r w:rsidRPr="00530589">
        <w:rPr>
          <w:rFonts w:ascii="Arial" w:hAnsi="Arial" w:cs="Arial"/>
          <w:sz w:val="22"/>
          <w:szCs w:val="22"/>
        </w:rPr>
        <w:t>hr</w:t>
      </w:r>
      <w:r w:rsidRPr="00530589">
        <w:rPr>
          <w:rFonts w:ascii="Arial" w:hAnsi="Arial" w:cs="Arial"/>
          <w:sz w:val="22"/>
          <w:szCs w:val="22"/>
          <w:vertAlign w:val="superscript"/>
        </w:rPr>
        <w:t>-1</w:t>
      </w:r>
      <w:r w:rsidRPr="00530589">
        <w:rPr>
          <w:rFonts w:ascii="Arial" w:hAnsi="Arial" w:cs="Arial"/>
          <w:color w:val="000000"/>
          <w:sz w:val="22"/>
          <w:szCs w:val="22"/>
          <w:lang w:eastAsia="en-GB"/>
        </w:rPr>
        <w:t>)</w:t>
      </w:r>
      <w:r w:rsidRPr="00530589">
        <w:rPr>
          <w:rFonts w:ascii="Arial" w:hAnsi="Arial" w:cs="Arial"/>
          <w:sz w:val="22"/>
          <w:szCs w:val="22"/>
        </w:rPr>
        <w:t xml:space="preserve">. In the standard condition, light is assumed to be the limiting factor and is set to 18.7 </w:t>
      </w:r>
      <w:proofErr w:type="spellStart"/>
      <w:r w:rsidRPr="00530589">
        <w:rPr>
          <w:rFonts w:ascii="Arial" w:hAnsi="Arial" w:cs="Arial"/>
          <w:sz w:val="22"/>
          <w:szCs w:val="22"/>
        </w:rPr>
        <w:t>mmol</w:t>
      </w:r>
      <w:proofErr w:type="spellEnd"/>
      <w:r w:rsidRPr="00530589">
        <w:rPr>
          <w:rFonts w:ascii="Arial" w:hAnsi="Arial" w:cs="Arial"/>
          <w:sz w:val="22"/>
          <w:szCs w:val="22"/>
        </w:rPr>
        <w:t xml:space="preserve"> gDW</w:t>
      </w:r>
      <w:r w:rsidRPr="00530589">
        <w:rPr>
          <w:rFonts w:ascii="Arial" w:hAnsi="Arial" w:cs="Arial"/>
          <w:sz w:val="22"/>
          <w:szCs w:val="22"/>
          <w:vertAlign w:val="superscript"/>
        </w:rPr>
        <w:t xml:space="preserve">-1 </w:t>
      </w:r>
      <w:r w:rsidRPr="00530589">
        <w:rPr>
          <w:rFonts w:ascii="Arial" w:hAnsi="Arial" w:cs="Arial"/>
          <w:sz w:val="22"/>
          <w:szCs w:val="22"/>
        </w:rPr>
        <w:t>hr</w:t>
      </w:r>
      <w:r w:rsidRPr="00530589">
        <w:rPr>
          <w:rFonts w:ascii="Arial" w:hAnsi="Arial" w:cs="Arial"/>
          <w:sz w:val="22"/>
          <w:szCs w:val="22"/>
          <w:vertAlign w:val="superscript"/>
        </w:rPr>
        <w:t>-1</w:t>
      </w:r>
      <w:r w:rsidRPr="00530589">
        <w:rPr>
          <w:rFonts w:ascii="Arial" w:hAnsi="Arial" w:cs="Arial"/>
          <w:sz w:val="22"/>
          <w:szCs w:val="22"/>
        </w:rPr>
        <w:t xml:space="preserve"> and nutrients are considered unlimited, though carbon uptake is restricted to bicarbonate (HCO</w:t>
      </w:r>
      <w:r w:rsidRPr="00530589">
        <w:rPr>
          <w:rFonts w:ascii="Arial" w:hAnsi="Arial" w:cs="Arial"/>
          <w:sz w:val="22"/>
          <w:szCs w:val="22"/>
          <w:vertAlign w:val="subscript"/>
        </w:rPr>
        <w:t>3</w:t>
      </w:r>
      <w:r w:rsidRPr="00530589">
        <w:rPr>
          <w:rFonts w:ascii="Arial" w:hAnsi="Arial" w:cs="Arial"/>
          <w:sz w:val="22"/>
          <w:szCs w:val="22"/>
        </w:rPr>
        <w:t>) and nitrogen uptake is as nitrate (NO</w:t>
      </w:r>
      <w:r w:rsidRPr="00530589">
        <w:rPr>
          <w:rFonts w:ascii="Arial" w:hAnsi="Arial" w:cs="Arial"/>
          <w:sz w:val="22"/>
          <w:szCs w:val="22"/>
          <w:vertAlign w:val="subscript"/>
        </w:rPr>
        <w:t>3</w:t>
      </w:r>
      <w:r w:rsidRPr="00530589">
        <w:rPr>
          <w:rFonts w:ascii="Arial" w:hAnsi="Arial" w:cs="Arial"/>
          <w:sz w:val="22"/>
          <w:szCs w:val="22"/>
          <w:vertAlign w:val="superscript"/>
        </w:rPr>
        <w:t>-</w:t>
      </w:r>
      <w:r w:rsidRPr="00530589">
        <w:rPr>
          <w:rFonts w:ascii="Arial" w:hAnsi="Arial" w:cs="Arial"/>
          <w:sz w:val="22"/>
          <w:szCs w:val="22"/>
        </w:rPr>
        <w:t xml:space="preserve">). The model includes the reactions for other sources but these have a default value of ‘off’. </w:t>
      </w:r>
    </w:p>
    <w:p w14:paraId="40756764" w14:textId="77777777" w:rsidR="00241B7C" w:rsidRPr="00530589" w:rsidRDefault="00241B7C" w:rsidP="005F5C62">
      <w:pPr>
        <w:spacing w:line="360" w:lineRule="auto"/>
        <w:rPr>
          <w:rFonts w:ascii="Arial" w:hAnsi="Arial" w:cs="Arial"/>
          <w:b/>
          <w:sz w:val="22"/>
          <w:szCs w:val="22"/>
        </w:rPr>
      </w:pPr>
    </w:p>
    <w:p w14:paraId="730C32EE" w14:textId="75C086E8" w:rsidR="00241B7C" w:rsidRPr="00530589" w:rsidRDefault="00241B7C" w:rsidP="005F5C62">
      <w:pPr>
        <w:spacing w:line="360" w:lineRule="auto"/>
        <w:rPr>
          <w:rFonts w:ascii="Arial" w:hAnsi="Arial" w:cs="Arial"/>
          <w:sz w:val="22"/>
          <w:szCs w:val="22"/>
        </w:rPr>
      </w:pPr>
      <w:r w:rsidRPr="00530589">
        <w:rPr>
          <w:rFonts w:ascii="Arial" w:hAnsi="Arial" w:cs="Arial"/>
          <w:sz w:val="22"/>
          <w:szCs w:val="22"/>
        </w:rPr>
        <w:t xml:space="preserve">When investigating different nitrogen sources a maximum uptake rate per nitrogen molecule was introduced to the model. A maximum </w:t>
      </w:r>
      <w:r w:rsidRPr="00352040">
        <w:rPr>
          <w:rFonts w:ascii="Arial" w:hAnsi="Arial" w:cs="Arial"/>
          <w:sz w:val="22"/>
          <w:szCs w:val="22"/>
        </w:rPr>
        <w:t xml:space="preserve">uptake rate </w:t>
      </w:r>
      <w:r w:rsidR="00EC7F82" w:rsidRPr="00352040">
        <w:rPr>
          <w:rFonts w:ascii="Arial" w:hAnsi="Arial" w:cs="Arial"/>
          <w:sz w:val="22"/>
          <w:szCs w:val="22"/>
        </w:rPr>
        <w:t>of 0.46g N gD</w:t>
      </w:r>
      <w:r w:rsidRPr="00352040">
        <w:rPr>
          <w:rFonts w:ascii="Arial" w:hAnsi="Arial" w:cs="Arial"/>
          <w:sz w:val="22"/>
          <w:szCs w:val="22"/>
        </w:rPr>
        <w:t>W</w:t>
      </w:r>
      <w:r w:rsidRPr="00352040">
        <w:rPr>
          <w:rFonts w:ascii="Arial" w:hAnsi="Arial" w:cs="Arial"/>
          <w:sz w:val="22"/>
          <w:szCs w:val="22"/>
          <w:vertAlign w:val="superscript"/>
        </w:rPr>
        <w:t>-1</w:t>
      </w:r>
      <w:r w:rsidRPr="00530589">
        <w:rPr>
          <w:rFonts w:ascii="Arial" w:hAnsi="Arial" w:cs="Arial"/>
          <w:sz w:val="22"/>
          <w:szCs w:val="22"/>
          <w:vertAlign w:val="superscript"/>
        </w:rPr>
        <w:t xml:space="preserve"> </w:t>
      </w:r>
      <w:r w:rsidRPr="00530589">
        <w:rPr>
          <w:rFonts w:ascii="Arial" w:hAnsi="Arial" w:cs="Arial"/>
          <w:sz w:val="22"/>
          <w:szCs w:val="22"/>
        </w:rPr>
        <w:t>day</w:t>
      </w:r>
      <w:r w:rsidRPr="00530589">
        <w:rPr>
          <w:rFonts w:ascii="Arial" w:hAnsi="Arial" w:cs="Arial"/>
          <w:sz w:val="22"/>
          <w:szCs w:val="22"/>
          <w:vertAlign w:val="superscript"/>
        </w:rPr>
        <w:t>-1</w:t>
      </w:r>
      <w:r w:rsidRPr="00530589">
        <w:rPr>
          <w:rFonts w:ascii="Arial" w:hAnsi="Arial" w:cs="Arial"/>
          <w:sz w:val="22"/>
          <w:szCs w:val="22"/>
        </w:rPr>
        <w:t xml:space="preserve"> was used that ha</w:t>
      </w:r>
      <w:r w:rsidR="0068118D">
        <w:rPr>
          <w:rFonts w:ascii="Arial" w:hAnsi="Arial" w:cs="Arial"/>
          <w:sz w:val="22"/>
          <w:szCs w:val="22"/>
        </w:rPr>
        <w:t>s</w:t>
      </w:r>
      <w:r w:rsidRPr="00530589">
        <w:rPr>
          <w:rFonts w:ascii="Arial" w:hAnsi="Arial" w:cs="Arial"/>
          <w:sz w:val="22"/>
          <w:szCs w:val="22"/>
        </w:rPr>
        <w:t xml:space="preserve"> been measured by Kim</w:t>
      </w:r>
      <w:r w:rsidR="00990586" w:rsidRPr="00530589">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e5dm3f0u1","properties":{"formattedCitation":"(35)","plainCitation":"(35)"},"citationItems":[{"id":203,"uris":["http://zotero.org/users/2452229/items/P2M5ZB7B"],"uri":["http://zotero.org/users/2452229/items/P2M5ZB7B"],"itemData":{"id":203,"type":"article-journal","title":"Nutrient acquisition and limitation for the photoautotrophic growth of Synechocystis sp. PCC6803 as a renewable biomass source.","container-title":"Biotechnology and bioengineering","page":"277-85","volume":"108","issue":"2","abstract":"Photoautotrophic microorganisms (cyanobacteria and algae) offer high promise as a source of biomass for renewable energy due to their rapid growth rates and high biomass yields. To provide a framework for evaluating the feasibility of growing phototrophic microorganisms with high biomass production rates, we operated a bench-scale photobioreactor using Synechocystis sp. PCC6803 and with light conditions imitating actual day-night light irradiance (LI). During the time of peak LI, PCC6803's specific growth rate (1.7 day</w:instrText>
      </w:r>
      <w:r w:rsidR="000F50B0">
        <w:rPr>
          <w:rFonts w:ascii="Cambria Math" w:hAnsi="Cambria Math" w:cs="Cambria Math"/>
          <w:sz w:val="22"/>
          <w:szCs w:val="22"/>
        </w:rPr>
        <w:instrText>⁻</w:instrText>
      </w:r>
      <w:r w:rsidR="000F50B0">
        <w:rPr>
          <w:rFonts w:ascii="Arial" w:hAnsi="Arial" w:cs="Arial"/>
          <w:sz w:val="22"/>
          <w:szCs w:val="22"/>
        </w:rPr>
        <w:instrText>¹) and the nitrate uptake rate (0.46 g N/g DW day) were high compared to past reports. Analysis employing the stoichiometry of photosynthesis of PCC6803 and ionic speciation showed that bicarbonate and phosphate were driven to very low concentrations for the high-LI conditions. In particular, the systematic evaluation of rate-limiting factors identified when the CO</w:instrText>
      </w:r>
      <w:r w:rsidR="000F50B0">
        <w:rPr>
          <w:rFonts w:ascii="Cambria Math" w:hAnsi="Cambria Math" w:cs="Cambria Math"/>
          <w:sz w:val="22"/>
          <w:szCs w:val="22"/>
        </w:rPr>
        <w:instrText>₂</w:instrText>
      </w:r>
      <w:r w:rsidR="000F50B0">
        <w:rPr>
          <w:rFonts w:ascii="Arial" w:hAnsi="Arial" w:cs="Arial"/>
          <w:sz w:val="22"/>
          <w:szCs w:val="22"/>
        </w:rPr>
        <w:instrText>-C(i) supply rate needed to be increased to mitigate HCO</w:instrText>
      </w:r>
      <w:r w:rsidR="000F50B0">
        <w:rPr>
          <w:rFonts w:ascii="Cambria Math" w:hAnsi="Cambria Math" w:cs="Cambria Math"/>
          <w:sz w:val="22"/>
          <w:szCs w:val="22"/>
        </w:rPr>
        <w:instrText>₃⁻</w:instrText>
      </w:r>
      <w:r w:rsidR="000F50B0">
        <w:rPr>
          <w:rFonts w:ascii="Arial" w:hAnsi="Arial" w:cs="Arial"/>
          <w:sz w:val="22"/>
          <w:szCs w:val="22"/>
        </w:rPr>
        <w:instrText xml:space="preserve"> depletion and a large pH increase. It also showed that the traditional BG-11 medium needs to be augmented with phosphate to avoid severe P depletion. This work exploits quantitative understanding the stoichiometry and kinetics of cyanobacteria for the high-rate production of a renewable biomass.","ISSN":"0006-3592","author":[{"family":"Kim","given":"Hyun Woo"},{"family":"Vannela","given":"Raveender"},{"family":"Zhou","given":"Chao"},{"family":"Rittmann","given":"Bruce E"}],"issued":{"date-parts":[["2011",2]]}}}],"schema":"https://github.com/citation-style-language/schema/raw/master/csl-citation.json"}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(35)</w:t>
      </w:r>
      <w:r w:rsidR="00990586" w:rsidRPr="00530589">
        <w:rPr>
          <w:rFonts w:ascii="Arial" w:hAnsi="Arial" w:cs="Arial"/>
          <w:sz w:val="22"/>
          <w:szCs w:val="22"/>
        </w:rPr>
        <w:fldChar w:fldCharType="end"/>
      </w:r>
      <w:r w:rsidRPr="00530589">
        <w:rPr>
          <w:rFonts w:ascii="Arial" w:hAnsi="Arial" w:cs="Arial"/>
          <w:sz w:val="22"/>
          <w:szCs w:val="22"/>
        </w:rPr>
        <w:t xml:space="preserve">. </w:t>
      </w:r>
    </w:p>
    <w:p w14:paraId="360AB8DE" w14:textId="77777777" w:rsidR="00241B7C" w:rsidRPr="00530589" w:rsidRDefault="00241B7C" w:rsidP="00BF0803">
      <w:pPr>
        <w:spacing w:line="360" w:lineRule="auto"/>
        <w:rPr>
          <w:rFonts w:ascii="Arial" w:hAnsi="Arial" w:cs="Arial"/>
          <w:sz w:val="22"/>
          <w:szCs w:val="22"/>
        </w:rPr>
      </w:pPr>
    </w:p>
    <w:p w14:paraId="5462DF69" w14:textId="77777777" w:rsidR="00241B7C" w:rsidRPr="00530589" w:rsidRDefault="00241B7C" w:rsidP="00BF0803">
      <w:pPr>
        <w:rPr>
          <w:rFonts w:ascii="Arial" w:hAnsi="Arial" w:cs="Arial"/>
          <w:sz w:val="22"/>
          <w:szCs w:val="22"/>
        </w:rPr>
      </w:pPr>
      <w:r w:rsidRPr="00530589">
        <w:rPr>
          <w:rFonts w:ascii="Arial" w:hAnsi="Arial" w:cs="Arial"/>
          <w:b/>
          <w:sz w:val="22"/>
          <w:szCs w:val="22"/>
        </w:rPr>
        <w:t>Results</w:t>
      </w:r>
    </w:p>
    <w:p w14:paraId="702192E9" w14:textId="77777777" w:rsidR="00241B7C" w:rsidRPr="00530589" w:rsidRDefault="00241B7C" w:rsidP="004F3DE4">
      <w:pPr>
        <w:spacing w:line="360" w:lineRule="auto"/>
        <w:rPr>
          <w:rFonts w:ascii="Arial" w:hAnsi="Arial" w:cs="Arial"/>
          <w:sz w:val="22"/>
          <w:szCs w:val="22"/>
        </w:rPr>
      </w:pPr>
    </w:p>
    <w:p w14:paraId="530DF7B1" w14:textId="195F11AA" w:rsidR="008D0CCC" w:rsidRPr="005F5C62" w:rsidRDefault="00533434" w:rsidP="008D0CCC">
      <w:pPr>
        <w:spacing w:line="360" w:lineRule="auto"/>
        <w:rPr>
          <w:rFonts w:ascii="Arial" w:hAnsi="Arial" w:cs="Arial"/>
          <w:sz w:val="22"/>
          <w:szCs w:val="22"/>
        </w:rPr>
      </w:pPr>
      <w:r>
        <w:rPr>
          <w:rFonts w:ascii="Arial" w:hAnsi="Arial" w:cs="Arial"/>
          <w:sz w:val="22"/>
          <w:szCs w:val="22"/>
        </w:rPr>
        <w:lastRenderedPageBreak/>
        <w:t>Our first objective is to examine the potential of the</w:t>
      </w:r>
      <w:r w:rsidR="008D0CCC" w:rsidRPr="005F5C62">
        <w:rPr>
          <w:rFonts w:ascii="Arial" w:hAnsi="Arial" w:cs="Arial"/>
          <w:sz w:val="22"/>
          <w:szCs w:val="22"/>
        </w:rPr>
        <w:t xml:space="preserve"> </w:t>
      </w:r>
      <w:r w:rsidR="008D0CCC" w:rsidRPr="005F5C62">
        <w:rPr>
          <w:rFonts w:ascii="Arial" w:hAnsi="Arial" w:cs="Arial"/>
          <w:i/>
          <w:sz w:val="22"/>
          <w:szCs w:val="22"/>
        </w:rPr>
        <w:t>Synechocystis</w:t>
      </w:r>
      <w:r w:rsidR="008D0CCC" w:rsidRPr="005F5C62">
        <w:rPr>
          <w:rFonts w:ascii="Arial" w:hAnsi="Arial" w:cs="Arial"/>
          <w:sz w:val="22"/>
          <w:szCs w:val="22"/>
        </w:rPr>
        <w:t xml:space="preserve"> model </w:t>
      </w:r>
      <w:r w:rsidR="0068118D">
        <w:rPr>
          <w:rFonts w:ascii="Arial" w:hAnsi="Arial" w:cs="Arial"/>
          <w:sz w:val="22"/>
          <w:szCs w:val="22"/>
        </w:rPr>
        <w:t xml:space="preserve">to </w:t>
      </w:r>
      <w:r>
        <w:rPr>
          <w:rFonts w:ascii="Arial" w:hAnsi="Arial" w:cs="Arial"/>
          <w:sz w:val="22"/>
          <w:szCs w:val="22"/>
        </w:rPr>
        <w:t>uptake</w:t>
      </w:r>
      <w:r w:rsidR="008D0CCC" w:rsidRPr="005F5C62">
        <w:rPr>
          <w:rFonts w:ascii="Arial" w:hAnsi="Arial" w:cs="Arial"/>
          <w:sz w:val="22"/>
          <w:szCs w:val="22"/>
        </w:rPr>
        <w:t xml:space="preserve"> different nitrogen sources </w:t>
      </w:r>
      <w:r w:rsidR="008D0CCC">
        <w:rPr>
          <w:rFonts w:ascii="Arial" w:hAnsi="Arial" w:cs="Arial"/>
          <w:sz w:val="22"/>
          <w:szCs w:val="22"/>
        </w:rPr>
        <w:t xml:space="preserve">– </w:t>
      </w:r>
      <w:r w:rsidR="008D0CCC" w:rsidRPr="005F5C62">
        <w:rPr>
          <w:rFonts w:ascii="Arial" w:hAnsi="Arial" w:cs="Arial"/>
          <w:sz w:val="22"/>
          <w:szCs w:val="22"/>
        </w:rPr>
        <w:t xml:space="preserve">the main exchange element received by this organism. Some of the nitrogen sources contain carbon and therefore the host, which is providing the nitrogen, is giving </w:t>
      </w:r>
      <w:r w:rsidR="0068118D">
        <w:rPr>
          <w:rFonts w:ascii="Arial" w:hAnsi="Arial" w:cs="Arial"/>
          <w:sz w:val="22"/>
          <w:szCs w:val="22"/>
        </w:rPr>
        <w:t xml:space="preserve">some </w:t>
      </w:r>
      <w:r w:rsidR="008D0CCC" w:rsidRPr="005F5C62">
        <w:rPr>
          <w:rFonts w:ascii="Arial" w:hAnsi="Arial" w:cs="Arial"/>
          <w:sz w:val="22"/>
          <w:szCs w:val="22"/>
        </w:rPr>
        <w:t xml:space="preserve">carbon away in order to receive carbon. The initial model is for a free-living and therefore ‘selfish’ </w:t>
      </w:r>
      <w:r w:rsidR="008D0CCC" w:rsidRPr="005F5C62">
        <w:rPr>
          <w:rFonts w:ascii="Arial" w:hAnsi="Arial" w:cs="Arial"/>
          <w:i/>
          <w:sz w:val="22"/>
          <w:szCs w:val="22"/>
        </w:rPr>
        <w:t>Synechocystis</w:t>
      </w:r>
      <w:r w:rsidR="008D0CCC" w:rsidRPr="005F5C62">
        <w:rPr>
          <w:rFonts w:ascii="Arial" w:hAnsi="Arial" w:cs="Arial"/>
          <w:sz w:val="22"/>
          <w:szCs w:val="22"/>
        </w:rPr>
        <w:t xml:space="preserve">, which prefers the source that </w:t>
      </w:r>
      <w:r w:rsidR="008D0CCC">
        <w:rPr>
          <w:rFonts w:ascii="Arial" w:hAnsi="Arial" w:cs="Arial"/>
          <w:sz w:val="22"/>
          <w:szCs w:val="22"/>
        </w:rPr>
        <w:t>maximises</w:t>
      </w:r>
      <w:r w:rsidR="008D0CCC" w:rsidRPr="005F5C62">
        <w:rPr>
          <w:rFonts w:ascii="Arial" w:hAnsi="Arial" w:cs="Arial"/>
          <w:sz w:val="22"/>
          <w:szCs w:val="22"/>
        </w:rPr>
        <w:t xml:space="preserve"> its growth. </w:t>
      </w:r>
      <w:r>
        <w:rPr>
          <w:rFonts w:ascii="Arial" w:hAnsi="Arial" w:cs="Arial"/>
          <w:sz w:val="22"/>
          <w:szCs w:val="22"/>
        </w:rPr>
        <w:t xml:space="preserve">In this case glutamate is strongly predicted as the best source for growth (Fig. 1). </w:t>
      </w:r>
      <w:r w:rsidR="008D0CCC" w:rsidRPr="005F5C62">
        <w:rPr>
          <w:rFonts w:ascii="Arial" w:hAnsi="Arial" w:cs="Arial"/>
          <w:sz w:val="22"/>
          <w:szCs w:val="22"/>
        </w:rPr>
        <w:t xml:space="preserve">However, carbon compensation can be introduced to model a </w:t>
      </w:r>
      <w:r w:rsidR="008D0CCC">
        <w:rPr>
          <w:rFonts w:ascii="Arial" w:hAnsi="Arial" w:cs="Arial"/>
          <w:sz w:val="22"/>
          <w:szCs w:val="22"/>
        </w:rPr>
        <w:t xml:space="preserve">more </w:t>
      </w:r>
      <w:r w:rsidR="008D0CCC" w:rsidRPr="005F5C62">
        <w:rPr>
          <w:rFonts w:ascii="Arial" w:hAnsi="Arial" w:cs="Arial"/>
          <w:sz w:val="22"/>
          <w:szCs w:val="22"/>
        </w:rPr>
        <w:t xml:space="preserve">mutualistic situation, in which the </w:t>
      </w:r>
      <w:r w:rsidR="008D0CCC" w:rsidRPr="005F5C62">
        <w:rPr>
          <w:rFonts w:ascii="Arial" w:hAnsi="Arial" w:cs="Arial"/>
          <w:i/>
          <w:sz w:val="22"/>
          <w:szCs w:val="22"/>
        </w:rPr>
        <w:t>Synechocystis</w:t>
      </w:r>
      <w:r w:rsidR="008D0CCC" w:rsidRPr="005F5C62">
        <w:rPr>
          <w:rFonts w:ascii="Arial" w:hAnsi="Arial" w:cs="Arial"/>
          <w:sz w:val="22"/>
          <w:szCs w:val="22"/>
        </w:rPr>
        <w:t xml:space="preserve"> does not benefit from the carbon within the nitrogen source. When carbon compensation is applied (Fig. 1) the predicted growth rate across the nitrogen sources </w:t>
      </w:r>
      <w:r w:rsidR="008D0CCC">
        <w:rPr>
          <w:rFonts w:ascii="Arial" w:hAnsi="Arial" w:cs="Arial"/>
          <w:sz w:val="22"/>
          <w:szCs w:val="22"/>
        </w:rPr>
        <w:t>is</w:t>
      </w:r>
      <w:r w:rsidR="008D0CCC" w:rsidRPr="005F5C62">
        <w:rPr>
          <w:rFonts w:ascii="Arial" w:hAnsi="Arial" w:cs="Arial"/>
          <w:sz w:val="22"/>
          <w:szCs w:val="22"/>
        </w:rPr>
        <w:t xml:space="preserve"> similar and the advantage of the amino acids</w:t>
      </w:r>
      <w:r w:rsidR="008D0CCC">
        <w:rPr>
          <w:rFonts w:ascii="Arial" w:hAnsi="Arial" w:cs="Arial"/>
          <w:sz w:val="22"/>
          <w:szCs w:val="22"/>
        </w:rPr>
        <w:t>, particularly</w:t>
      </w:r>
      <w:r w:rsidR="008D0CCC" w:rsidRPr="005F5C62">
        <w:rPr>
          <w:rFonts w:ascii="Arial" w:hAnsi="Arial" w:cs="Arial"/>
          <w:sz w:val="22"/>
          <w:szCs w:val="22"/>
        </w:rPr>
        <w:t xml:space="preserve"> glutamate</w:t>
      </w:r>
      <w:r w:rsidR="008D0CCC">
        <w:rPr>
          <w:rFonts w:ascii="Arial" w:hAnsi="Arial" w:cs="Arial"/>
          <w:sz w:val="22"/>
          <w:szCs w:val="22"/>
        </w:rPr>
        <w:t>,</w:t>
      </w:r>
      <w:r w:rsidR="008D0CCC" w:rsidRPr="005F5C62">
        <w:rPr>
          <w:rFonts w:ascii="Arial" w:hAnsi="Arial" w:cs="Arial"/>
          <w:sz w:val="22"/>
          <w:szCs w:val="22"/>
        </w:rPr>
        <w:t xml:space="preserve"> is </w:t>
      </w:r>
      <w:r w:rsidR="008D0CCC">
        <w:rPr>
          <w:rFonts w:ascii="Arial" w:hAnsi="Arial" w:cs="Arial"/>
          <w:sz w:val="22"/>
          <w:szCs w:val="22"/>
        </w:rPr>
        <w:t>no longer</w:t>
      </w:r>
      <w:r w:rsidR="008D0CCC" w:rsidRPr="005F5C62">
        <w:rPr>
          <w:rFonts w:ascii="Arial" w:hAnsi="Arial" w:cs="Arial"/>
          <w:sz w:val="22"/>
          <w:szCs w:val="22"/>
        </w:rPr>
        <w:t xml:space="preserve"> prominent compared to the free-living model. This is because the </w:t>
      </w:r>
      <w:r w:rsidR="008D0CCC" w:rsidRPr="005F5C62">
        <w:rPr>
          <w:rFonts w:ascii="Arial" w:hAnsi="Arial" w:cs="Arial"/>
          <w:i/>
          <w:sz w:val="22"/>
          <w:szCs w:val="22"/>
        </w:rPr>
        <w:t>Synechocystis</w:t>
      </w:r>
      <w:r w:rsidR="008D0CCC" w:rsidRPr="005F5C62">
        <w:rPr>
          <w:rFonts w:ascii="Arial" w:hAnsi="Arial" w:cs="Arial"/>
          <w:sz w:val="22"/>
          <w:szCs w:val="22"/>
        </w:rPr>
        <w:t xml:space="preserve"> is no longer gaining the benefit of any carbon within the nitrogen source and glutamate has the highest C</w:t>
      </w:r>
      <w:proofErr w:type="gramStart"/>
      <w:r w:rsidR="008D0CCC" w:rsidRPr="005F5C62">
        <w:rPr>
          <w:rFonts w:ascii="Arial" w:hAnsi="Arial" w:cs="Arial"/>
          <w:sz w:val="22"/>
          <w:szCs w:val="22"/>
        </w:rPr>
        <w:t>:N</w:t>
      </w:r>
      <w:proofErr w:type="gramEnd"/>
      <w:r w:rsidR="008D0CCC" w:rsidRPr="005F5C62">
        <w:rPr>
          <w:rFonts w:ascii="Arial" w:hAnsi="Arial" w:cs="Arial"/>
          <w:sz w:val="22"/>
          <w:szCs w:val="22"/>
        </w:rPr>
        <w:t xml:space="preserve"> ratio. </w:t>
      </w:r>
      <w:r w:rsidR="008D0CCC">
        <w:rPr>
          <w:rFonts w:ascii="Arial" w:hAnsi="Arial" w:cs="Arial"/>
          <w:sz w:val="22"/>
          <w:szCs w:val="22"/>
        </w:rPr>
        <w:t>Under carbon compensation a</w:t>
      </w:r>
      <w:r w:rsidR="008D0CCC" w:rsidRPr="005F5C62">
        <w:rPr>
          <w:rFonts w:ascii="Arial" w:hAnsi="Arial" w:cs="Arial"/>
          <w:sz w:val="22"/>
          <w:szCs w:val="22"/>
        </w:rPr>
        <w:t xml:space="preserve">rginine and ammonium act as the best nitrogen sources. </w:t>
      </w:r>
    </w:p>
    <w:p w14:paraId="59E435AA" w14:textId="77777777" w:rsidR="00241B7C" w:rsidRPr="00530589" w:rsidRDefault="00241B7C" w:rsidP="004F3DE4">
      <w:pPr>
        <w:spacing w:line="360" w:lineRule="auto"/>
        <w:rPr>
          <w:rFonts w:ascii="Arial" w:hAnsi="Arial" w:cs="Arial"/>
          <w:sz w:val="22"/>
          <w:szCs w:val="22"/>
        </w:rPr>
      </w:pPr>
    </w:p>
    <w:p w14:paraId="22EB97F9" w14:textId="7BC71F97"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t xml:space="preserve">A symbiotic state was then created by including a complete exchange reaction: in order for </w:t>
      </w:r>
      <w:r w:rsidRPr="00530589">
        <w:rPr>
          <w:rFonts w:ascii="Arial" w:hAnsi="Arial" w:cs="Arial"/>
          <w:i/>
          <w:sz w:val="22"/>
          <w:szCs w:val="22"/>
        </w:rPr>
        <w:t>Synechocystis</w:t>
      </w:r>
      <w:r w:rsidRPr="00530589">
        <w:rPr>
          <w:rFonts w:ascii="Arial" w:hAnsi="Arial" w:cs="Arial"/>
          <w:sz w:val="22"/>
          <w:szCs w:val="22"/>
        </w:rPr>
        <w:t xml:space="preserve"> to uptake nitrogen it must export carbon. </w:t>
      </w:r>
      <w:r w:rsidR="00E33938">
        <w:rPr>
          <w:rFonts w:ascii="Arial" w:hAnsi="Arial" w:cs="Arial"/>
          <w:sz w:val="22"/>
          <w:szCs w:val="22"/>
        </w:rPr>
        <w:t>Two</w:t>
      </w:r>
      <w:r w:rsidRPr="00530589">
        <w:rPr>
          <w:rFonts w:ascii="Arial" w:hAnsi="Arial" w:cs="Arial"/>
          <w:sz w:val="22"/>
          <w:szCs w:val="22"/>
        </w:rPr>
        <w:t xml:space="preserve"> example</w:t>
      </w:r>
      <w:r w:rsidR="00E33938">
        <w:rPr>
          <w:rFonts w:ascii="Arial" w:hAnsi="Arial" w:cs="Arial"/>
          <w:sz w:val="22"/>
          <w:szCs w:val="22"/>
        </w:rPr>
        <w:t>s</w:t>
      </w:r>
      <w:r w:rsidRPr="00530589">
        <w:rPr>
          <w:rFonts w:ascii="Arial" w:hAnsi="Arial" w:cs="Arial"/>
          <w:sz w:val="22"/>
          <w:szCs w:val="22"/>
        </w:rPr>
        <w:t xml:space="preserve"> of which </w:t>
      </w:r>
      <w:r w:rsidR="00E33938">
        <w:rPr>
          <w:rFonts w:ascii="Arial" w:hAnsi="Arial" w:cs="Arial"/>
          <w:sz w:val="22"/>
          <w:szCs w:val="22"/>
        </w:rPr>
        <w:t>are</w:t>
      </w:r>
      <w:r w:rsidR="00E33938" w:rsidRPr="00530589">
        <w:rPr>
          <w:rFonts w:ascii="Arial" w:hAnsi="Arial" w:cs="Arial"/>
          <w:sz w:val="22"/>
          <w:szCs w:val="22"/>
        </w:rPr>
        <w:t xml:space="preserve"> </w:t>
      </w:r>
      <w:r w:rsidRPr="00530589">
        <w:rPr>
          <w:rFonts w:ascii="Arial" w:hAnsi="Arial" w:cs="Arial"/>
          <w:sz w:val="22"/>
          <w:szCs w:val="22"/>
        </w:rPr>
        <w:t>shown below (reaction</w:t>
      </w:r>
      <w:r w:rsidR="00E33938">
        <w:rPr>
          <w:rFonts w:ascii="Arial" w:hAnsi="Arial" w:cs="Arial"/>
          <w:sz w:val="22"/>
          <w:szCs w:val="22"/>
        </w:rPr>
        <w:t>s</w:t>
      </w:r>
      <w:r w:rsidRPr="00530589">
        <w:rPr>
          <w:rFonts w:ascii="Arial" w:hAnsi="Arial" w:cs="Arial"/>
          <w:sz w:val="22"/>
          <w:szCs w:val="22"/>
        </w:rPr>
        <w:t xml:space="preserve"> </w:t>
      </w:r>
      <w:r w:rsidR="00CA04BB">
        <w:rPr>
          <w:rFonts w:ascii="Arial" w:hAnsi="Arial" w:cs="Arial"/>
          <w:sz w:val="22"/>
          <w:szCs w:val="22"/>
        </w:rPr>
        <w:t>770</w:t>
      </w:r>
      <w:r w:rsidR="00E33938">
        <w:rPr>
          <w:rFonts w:ascii="Arial" w:hAnsi="Arial" w:cs="Arial"/>
          <w:sz w:val="22"/>
          <w:szCs w:val="22"/>
        </w:rPr>
        <w:t xml:space="preserve"> and 772</w:t>
      </w:r>
      <w:r w:rsidRPr="00530589">
        <w:rPr>
          <w:rFonts w:ascii="Arial" w:hAnsi="Arial" w:cs="Arial"/>
          <w:sz w:val="22"/>
          <w:szCs w:val="22"/>
        </w:rPr>
        <w:t>). A key parameter in defining these reactions is the ratio of carbon to nitrogen exchange, effectively the relative worth of these elements. This is a variable parameter which is determined by the both the environmental context and by which partner is exerting contr</w:t>
      </w:r>
      <w:r w:rsidR="008D0CCC">
        <w:rPr>
          <w:rFonts w:ascii="Arial" w:hAnsi="Arial" w:cs="Arial"/>
          <w:sz w:val="22"/>
          <w:szCs w:val="22"/>
        </w:rPr>
        <w:t xml:space="preserve">ol, i.e. determining the price for </w:t>
      </w:r>
      <w:r w:rsidRPr="00530589">
        <w:rPr>
          <w:rFonts w:ascii="Arial" w:hAnsi="Arial" w:cs="Arial"/>
          <w:sz w:val="22"/>
          <w:szCs w:val="22"/>
        </w:rPr>
        <w:t xml:space="preserve">the exchange. In the examples below we assume the host is in control as this is representing the initial establishment of the symbiosis. The value is therefore estimated using a C:N ratio from a related ciliate, </w:t>
      </w:r>
      <w:r w:rsidRPr="00530589">
        <w:rPr>
          <w:rFonts w:ascii="Arial" w:hAnsi="Arial" w:cs="Arial"/>
          <w:i/>
          <w:sz w:val="22"/>
          <w:szCs w:val="22"/>
        </w:rPr>
        <w:t xml:space="preserve">Paramecium </w:t>
      </w:r>
      <w:proofErr w:type="spellStart"/>
      <w:r w:rsidRPr="00530589">
        <w:rPr>
          <w:rFonts w:ascii="Arial" w:hAnsi="Arial" w:cs="Arial"/>
          <w:i/>
          <w:sz w:val="22"/>
          <w:szCs w:val="22"/>
        </w:rPr>
        <w:t>caudatum</w:t>
      </w:r>
      <w:proofErr w:type="spellEnd"/>
      <w:r w:rsidR="008D0CCC">
        <w:rPr>
          <w:rFonts w:ascii="Arial" w:hAnsi="Arial" w:cs="Arial"/>
          <w:sz w:val="22"/>
          <w:szCs w:val="22"/>
        </w:rPr>
        <w:t>,</w:t>
      </w:r>
      <w:r w:rsidR="008D0CCC" w:rsidRPr="005F5C62">
        <w:rPr>
          <w:rFonts w:ascii="Arial" w:hAnsi="Arial" w:cs="Arial"/>
          <w:sz w:val="22"/>
          <w:szCs w:val="22"/>
        </w:rPr>
        <w:t xml:space="preserve"> </w:t>
      </w:r>
      <w:r w:rsidR="008D0CCC">
        <w:rPr>
          <w:rFonts w:ascii="Arial" w:hAnsi="Arial" w:cs="Arial"/>
          <w:sz w:val="22"/>
          <w:szCs w:val="22"/>
        </w:rPr>
        <w:t>which has a C:N ratio of</w:t>
      </w:r>
      <w:r w:rsidRPr="00530589">
        <w:rPr>
          <w:rFonts w:ascii="Arial" w:hAnsi="Arial" w:cs="Arial"/>
          <w:sz w:val="22"/>
          <w:szCs w:val="22"/>
        </w:rPr>
        <w:t xml:space="preserve"> 3.5 according to measurements by Finlay</w:t>
      </w:r>
      <w:r w:rsidR="00990586" w:rsidRPr="00530589">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dsqn6jdb9","properties":{"formattedCitation":"(36)","plainCitation":"(36)"},"citationItems":[{"id":329,"uris":["http://zotero.org/users/2452229/items/E6UUM4ZS"],"uri":["http://zotero.org/users/2452229/items/E6UUM4ZS"],"itemData":{"id":329,"type":"article-journal","title":"Calorific and Carbon Values of Marine and Freshwater Protozoa.","container-title":"Helgolnder Meeresuntersuchungen","page":"401-12","volume":"34","issue":"4","author":[{"family":"Finlay","given":"BJ"},{"family":"Uhlig","given":"G"}],"issued":{"date-parts":[["1981"]]}}}],"schema":"https://github.com/citation-style-language/schema/raw/master/csl-citation.json"}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(36)</w:t>
      </w:r>
      <w:r w:rsidR="00990586" w:rsidRPr="00530589">
        <w:rPr>
          <w:rFonts w:ascii="Arial" w:hAnsi="Arial" w:cs="Arial"/>
          <w:sz w:val="22"/>
          <w:szCs w:val="22"/>
        </w:rPr>
        <w:fldChar w:fldCharType="end"/>
      </w:r>
      <w:r w:rsidRPr="00530589">
        <w:rPr>
          <w:rFonts w:ascii="Arial" w:hAnsi="Arial" w:cs="Arial"/>
          <w:sz w:val="22"/>
          <w:szCs w:val="22"/>
        </w:rPr>
        <w:t xml:space="preserve">. All calculations are based on the number of carbon or nitrogen molecules within the compound. </w:t>
      </w:r>
      <w:r w:rsidR="00650872">
        <w:rPr>
          <w:rFonts w:ascii="Arial" w:hAnsi="Arial" w:cs="Arial"/>
          <w:sz w:val="22"/>
          <w:szCs w:val="22"/>
        </w:rPr>
        <w:t xml:space="preserve">For example, reaction </w:t>
      </w:r>
      <w:r w:rsidR="00CA04BB">
        <w:rPr>
          <w:rFonts w:ascii="Arial" w:hAnsi="Arial" w:cs="Arial"/>
          <w:sz w:val="22"/>
          <w:szCs w:val="22"/>
        </w:rPr>
        <w:t>770</w:t>
      </w:r>
      <w:r w:rsidR="00650872">
        <w:rPr>
          <w:rFonts w:ascii="Arial" w:hAnsi="Arial" w:cs="Arial"/>
          <w:sz w:val="22"/>
          <w:szCs w:val="22"/>
        </w:rPr>
        <w:t xml:space="preserve"> below shows the exchange requirement for the six carbon glucose (3.5/6.0) in order for the single N-containing nitrate to be taken up</w:t>
      </w:r>
      <w:r w:rsidR="00CA04BB">
        <w:rPr>
          <w:rFonts w:ascii="Arial" w:hAnsi="Arial" w:cs="Arial"/>
          <w:sz w:val="22"/>
          <w:szCs w:val="22"/>
        </w:rPr>
        <w:t xml:space="preserve"> and reaction 772</w:t>
      </w:r>
      <w:r w:rsidR="00215FCA">
        <w:rPr>
          <w:rFonts w:ascii="Arial" w:hAnsi="Arial" w:cs="Arial"/>
          <w:sz w:val="22"/>
          <w:szCs w:val="22"/>
        </w:rPr>
        <w:t xml:space="preserve"> shows the exchange between the six carbon glucose and the two-nitrogen one-carbon urea ( ((2*3.5)+1)/6 )</w:t>
      </w:r>
      <w:r w:rsidR="004D3410">
        <w:rPr>
          <w:rFonts w:ascii="Arial" w:hAnsi="Arial" w:cs="Arial"/>
          <w:sz w:val="22"/>
          <w:szCs w:val="22"/>
        </w:rPr>
        <w:t>:</w:t>
      </w:r>
    </w:p>
    <w:p w14:paraId="4331DD6F" w14:textId="77777777" w:rsidR="00241B7C" w:rsidRPr="00530589" w:rsidRDefault="00241B7C" w:rsidP="004F3DE4">
      <w:pPr>
        <w:spacing w:line="360" w:lineRule="auto"/>
        <w:rPr>
          <w:rFonts w:ascii="Arial" w:hAnsi="Arial" w:cs="Arial"/>
          <w:sz w:val="22"/>
          <w:szCs w:val="22"/>
        </w:rPr>
      </w:pPr>
    </w:p>
    <w:p w14:paraId="6B08CB15" w14:textId="34328887" w:rsidR="00241B7C" w:rsidRPr="00533434" w:rsidRDefault="00241B7C" w:rsidP="004F3DE4">
      <w:pPr>
        <w:spacing w:line="360" w:lineRule="auto"/>
        <w:rPr>
          <w:rFonts w:ascii="Arial" w:hAnsi="Arial" w:cs="Arial"/>
          <w:color w:val="222222"/>
          <w:sz w:val="22"/>
          <w:szCs w:val="22"/>
          <w:shd w:val="clear" w:color="auto" w:fill="FFFFFF"/>
        </w:rPr>
      </w:pPr>
      <w:r w:rsidRPr="00530589">
        <w:rPr>
          <w:rFonts w:ascii="Arial" w:hAnsi="Arial" w:cs="Arial"/>
          <w:i/>
          <w:color w:val="222222"/>
          <w:sz w:val="22"/>
          <w:szCs w:val="22"/>
          <w:shd w:val="clear" w:color="auto" w:fill="FFFFFF"/>
        </w:rPr>
        <w:t xml:space="preserve">Reaction </w:t>
      </w:r>
      <w:r w:rsidR="00CA04BB">
        <w:rPr>
          <w:rFonts w:ascii="Arial" w:hAnsi="Arial" w:cs="Arial"/>
          <w:i/>
          <w:color w:val="222222"/>
          <w:sz w:val="22"/>
          <w:szCs w:val="22"/>
          <w:shd w:val="clear" w:color="auto" w:fill="FFFFFF"/>
        </w:rPr>
        <w:t>770</w:t>
      </w:r>
      <w:r w:rsidRPr="00530589">
        <w:rPr>
          <w:rFonts w:ascii="Arial" w:hAnsi="Arial" w:cs="Arial"/>
          <w:i/>
          <w:color w:val="222222"/>
          <w:sz w:val="22"/>
          <w:szCs w:val="22"/>
          <w:shd w:val="clear" w:color="auto" w:fill="FFFFFF"/>
        </w:rPr>
        <w:t>:</w:t>
      </w:r>
      <w:r w:rsidRPr="00530589">
        <w:rPr>
          <w:rFonts w:ascii="Arial" w:hAnsi="Arial" w:cs="Arial"/>
          <w:color w:val="222222"/>
          <w:sz w:val="22"/>
          <w:szCs w:val="22"/>
          <w:shd w:val="clear" w:color="auto" w:fill="FFFFFF"/>
        </w:rPr>
        <w:t xml:space="preserve">  0.583*</w:t>
      </w:r>
      <w:proofErr w:type="gramStart"/>
      <w:r w:rsidRPr="00530589">
        <w:rPr>
          <w:rFonts w:ascii="Arial" w:hAnsi="Arial" w:cs="Arial"/>
          <w:color w:val="222222"/>
          <w:sz w:val="22"/>
          <w:szCs w:val="22"/>
          <w:shd w:val="clear" w:color="auto" w:fill="FFFFFF"/>
        </w:rPr>
        <w:t>Glucose</w:t>
      </w:r>
      <w:r w:rsidRPr="00530589">
        <w:rPr>
          <w:rFonts w:ascii="Arial" w:hAnsi="Arial" w:cs="Arial"/>
          <w:color w:val="222222"/>
          <w:sz w:val="22"/>
          <w:szCs w:val="22"/>
          <w:shd w:val="clear" w:color="auto" w:fill="FFFFFF"/>
          <w:vertAlign w:val="subscript"/>
        </w:rPr>
        <w:t>[</w:t>
      </w:r>
      <w:proofErr w:type="spellStart"/>
      <w:proofErr w:type="gramEnd"/>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Nitrate</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ext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ATP</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H</w:t>
      </w:r>
      <w:r w:rsidRPr="00530589">
        <w:rPr>
          <w:rFonts w:ascii="Arial" w:hAnsi="Arial" w:cs="Arial"/>
          <w:color w:val="222222"/>
          <w:sz w:val="22"/>
          <w:szCs w:val="22"/>
          <w:shd w:val="clear" w:color="auto" w:fill="FFFFFF"/>
          <w:vertAlign w:val="subscript"/>
        </w:rPr>
        <w:t>2</w:t>
      </w:r>
      <w:r w:rsidRPr="00530589">
        <w:rPr>
          <w:rFonts w:ascii="Arial" w:hAnsi="Arial" w:cs="Arial"/>
          <w:color w:val="222222"/>
          <w:sz w:val="22"/>
          <w:szCs w:val="22"/>
          <w:shd w:val="clear" w:color="auto" w:fill="FFFFFF"/>
        </w:rPr>
        <w:t>O</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 xml:space="preserve">] </w:t>
      </w:r>
      <w:r w:rsidR="00533434">
        <w:rPr>
          <w:rFonts w:ascii="Arial" w:hAnsi="Arial" w:cs="Arial"/>
          <w:color w:val="222222"/>
          <w:sz w:val="22"/>
          <w:szCs w:val="22"/>
          <w:shd w:val="clear" w:color="auto" w:fill="FFFFFF"/>
        </w:rPr>
        <w:t xml:space="preserve"> </w:t>
      </w:r>
      <m:oMath>
        <m:r>
          <w:rPr>
            <w:rFonts w:ascii="Cambria Math" w:hAnsi="Cambria Math" w:cs="Arial"/>
            <w:color w:val="222222"/>
            <w:sz w:val="22"/>
            <w:szCs w:val="22"/>
            <w:shd w:val="clear" w:color="auto" w:fill="FFFFFF"/>
          </w:rPr>
          <m:t>→</m:t>
        </m:r>
      </m:oMath>
    </w:p>
    <w:p w14:paraId="4B63C3B6" w14:textId="77777777" w:rsidR="00241B7C" w:rsidRDefault="00241B7C" w:rsidP="006D27E9">
      <w:pPr>
        <w:spacing w:line="360" w:lineRule="auto"/>
        <w:ind w:firstLine="720"/>
        <w:jc w:val="right"/>
        <w:rPr>
          <w:rFonts w:ascii="Arial" w:hAnsi="Arial" w:cs="Arial"/>
          <w:color w:val="222222"/>
          <w:sz w:val="22"/>
          <w:szCs w:val="22"/>
          <w:shd w:val="clear" w:color="auto" w:fill="FFFFFF"/>
          <w:vertAlign w:val="subscript"/>
        </w:rPr>
      </w:pPr>
      <w:r w:rsidRPr="00530589">
        <w:rPr>
          <w:rFonts w:ascii="Arial" w:hAnsi="Arial" w:cs="Arial"/>
          <w:color w:val="222222"/>
          <w:sz w:val="22"/>
          <w:szCs w:val="22"/>
          <w:shd w:val="clear" w:color="auto" w:fill="FFFFFF"/>
        </w:rPr>
        <w:t>0.583*</w:t>
      </w:r>
      <w:proofErr w:type="gramStart"/>
      <w:r w:rsidRPr="00530589">
        <w:rPr>
          <w:rFonts w:ascii="Arial" w:hAnsi="Arial" w:cs="Arial"/>
          <w:color w:val="222222"/>
          <w:sz w:val="22"/>
          <w:szCs w:val="22"/>
          <w:shd w:val="clear" w:color="auto" w:fill="FFFFFF"/>
        </w:rPr>
        <w:t>Glucose</w:t>
      </w:r>
      <w:r w:rsidRPr="00530589">
        <w:rPr>
          <w:rFonts w:ascii="Arial" w:hAnsi="Arial" w:cs="Arial"/>
          <w:color w:val="222222"/>
          <w:sz w:val="22"/>
          <w:szCs w:val="22"/>
          <w:shd w:val="clear" w:color="auto" w:fill="FFFFFF"/>
          <w:vertAlign w:val="subscript"/>
        </w:rPr>
        <w:t>[</w:t>
      </w:r>
      <w:proofErr w:type="spellStart"/>
      <w:proofErr w:type="gramEnd"/>
      <w:r w:rsidRPr="00530589">
        <w:rPr>
          <w:rFonts w:ascii="Arial" w:hAnsi="Arial" w:cs="Arial"/>
          <w:color w:val="222222"/>
          <w:sz w:val="22"/>
          <w:szCs w:val="22"/>
          <w:shd w:val="clear" w:color="auto" w:fill="FFFFFF"/>
          <w:vertAlign w:val="subscript"/>
        </w:rPr>
        <w:t>ext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Nitrate</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ADP</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Orthophosphate</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p>
    <w:p w14:paraId="085C5A92" w14:textId="526FE89C" w:rsidR="00215FCA" w:rsidRPr="00533434" w:rsidRDefault="00215FCA" w:rsidP="00215FCA">
      <w:pPr>
        <w:spacing w:line="360" w:lineRule="auto"/>
        <w:rPr>
          <w:rFonts w:ascii="Arial" w:hAnsi="Arial" w:cs="Arial"/>
          <w:color w:val="222222"/>
          <w:sz w:val="22"/>
          <w:szCs w:val="22"/>
          <w:shd w:val="clear" w:color="auto" w:fill="FFFFFF"/>
        </w:rPr>
      </w:pPr>
      <w:r>
        <w:rPr>
          <w:rFonts w:ascii="Arial" w:hAnsi="Arial" w:cs="Arial"/>
          <w:i/>
          <w:color w:val="222222"/>
          <w:sz w:val="22"/>
          <w:szCs w:val="22"/>
          <w:shd w:val="clear" w:color="auto" w:fill="FFFFFF"/>
        </w:rPr>
        <w:t xml:space="preserve">Reaction </w:t>
      </w:r>
      <w:r w:rsidR="00CA04BB">
        <w:rPr>
          <w:rFonts w:ascii="Arial" w:hAnsi="Arial" w:cs="Arial"/>
          <w:i/>
          <w:color w:val="222222"/>
          <w:sz w:val="22"/>
          <w:szCs w:val="22"/>
          <w:shd w:val="clear" w:color="auto" w:fill="FFFFFF"/>
        </w:rPr>
        <w:t>772</w:t>
      </w:r>
      <w:r w:rsidRPr="00530589">
        <w:rPr>
          <w:rFonts w:ascii="Arial" w:hAnsi="Arial" w:cs="Arial"/>
          <w:i/>
          <w:color w:val="222222"/>
          <w:sz w:val="22"/>
          <w:szCs w:val="22"/>
          <w:shd w:val="clear" w:color="auto" w:fill="FFFFFF"/>
        </w:rPr>
        <w:t>:</w:t>
      </w:r>
      <w:r w:rsidRPr="00530589">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1.333</w:t>
      </w:r>
      <w:r w:rsidRPr="00530589">
        <w:rPr>
          <w:rFonts w:ascii="Arial" w:hAnsi="Arial" w:cs="Arial"/>
          <w:color w:val="222222"/>
          <w:sz w:val="22"/>
          <w:szCs w:val="22"/>
          <w:shd w:val="clear" w:color="auto" w:fill="FFFFFF"/>
        </w:rPr>
        <w:t>*</w:t>
      </w:r>
      <w:proofErr w:type="gramStart"/>
      <w:r w:rsidRPr="00530589">
        <w:rPr>
          <w:rFonts w:ascii="Arial" w:hAnsi="Arial" w:cs="Arial"/>
          <w:color w:val="222222"/>
          <w:sz w:val="22"/>
          <w:szCs w:val="22"/>
          <w:shd w:val="clear" w:color="auto" w:fill="FFFFFF"/>
        </w:rPr>
        <w:t>Glucose</w:t>
      </w:r>
      <w:r w:rsidRPr="00530589">
        <w:rPr>
          <w:rFonts w:ascii="Arial" w:hAnsi="Arial" w:cs="Arial"/>
          <w:color w:val="222222"/>
          <w:sz w:val="22"/>
          <w:szCs w:val="22"/>
          <w:shd w:val="clear" w:color="auto" w:fill="FFFFFF"/>
          <w:vertAlign w:val="subscript"/>
        </w:rPr>
        <w:t>[</w:t>
      </w:r>
      <w:proofErr w:type="spellStart"/>
      <w:proofErr w:type="gramEnd"/>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w:t>
      </w:r>
      <w:r>
        <w:rPr>
          <w:rFonts w:ascii="Arial" w:hAnsi="Arial" w:cs="Arial"/>
          <w:color w:val="222222"/>
          <w:sz w:val="22"/>
          <w:szCs w:val="22"/>
          <w:shd w:val="clear" w:color="auto" w:fill="FFFFFF"/>
        </w:rPr>
        <w:t>Urea</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ext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ATP</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H</w:t>
      </w:r>
      <w:r w:rsidRPr="00530589">
        <w:rPr>
          <w:rFonts w:ascii="Arial" w:hAnsi="Arial" w:cs="Arial"/>
          <w:color w:val="222222"/>
          <w:sz w:val="22"/>
          <w:szCs w:val="22"/>
          <w:shd w:val="clear" w:color="auto" w:fill="FFFFFF"/>
          <w:vertAlign w:val="subscript"/>
        </w:rPr>
        <w:t>2</w:t>
      </w:r>
      <w:r w:rsidRPr="00530589">
        <w:rPr>
          <w:rFonts w:ascii="Arial" w:hAnsi="Arial" w:cs="Arial"/>
          <w:color w:val="222222"/>
          <w:sz w:val="22"/>
          <w:szCs w:val="22"/>
          <w:shd w:val="clear" w:color="auto" w:fill="FFFFFF"/>
        </w:rPr>
        <w:t>O</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 xml:space="preserve">] </w:t>
      </w:r>
      <w:r>
        <w:rPr>
          <w:rFonts w:ascii="Arial" w:hAnsi="Arial" w:cs="Arial"/>
          <w:color w:val="222222"/>
          <w:sz w:val="22"/>
          <w:szCs w:val="22"/>
          <w:shd w:val="clear" w:color="auto" w:fill="FFFFFF"/>
        </w:rPr>
        <w:t xml:space="preserve"> </w:t>
      </w:r>
      <m:oMath>
        <m:r>
          <w:rPr>
            <w:rFonts w:ascii="Cambria Math" w:hAnsi="Cambria Math" w:cs="Arial"/>
            <w:color w:val="222222"/>
            <w:sz w:val="22"/>
            <w:szCs w:val="22"/>
            <w:shd w:val="clear" w:color="auto" w:fill="FFFFFF"/>
          </w:rPr>
          <m:t>→</m:t>
        </m:r>
      </m:oMath>
    </w:p>
    <w:p w14:paraId="5A0B5413" w14:textId="12FAD7F9" w:rsidR="00215FCA" w:rsidRPr="00530589" w:rsidRDefault="00215FCA" w:rsidP="00215FCA">
      <w:pPr>
        <w:spacing w:line="360" w:lineRule="auto"/>
        <w:ind w:firstLine="720"/>
        <w:jc w:val="right"/>
        <w:rPr>
          <w:rFonts w:ascii="Arial" w:hAnsi="Arial" w:cs="Arial"/>
          <w:color w:val="222222"/>
          <w:sz w:val="22"/>
          <w:szCs w:val="22"/>
          <w:shd w:val="clear" w:color="auto" w:fill="FFFFFF"/>
        </w:rPr>
      </w:pPr>
      <w:r>
        <w:rPr>
          <w:rFonts w:ascii="Arial" w:hAnsi="Arial" w:cs="Arial"/>
          <w:color w:val="222222"/>
          <w:sz w:val="22"/>
          <w:szCs w:val="22"/>
          <w:shd w:val="clear" w:color="auto" w:fill="FFFFFF"/>
        </w:rPr>
        <w:t>1.333</w:t>
      </w:r>
      <w:r w:rsidRPr="00530589">
        <w:rPr>
          <w:rFonts w:ascii="Arial" w:hAnsi="Arial" w:cs="Arial"/>
          <w:color w:val="222222"/>
          <w:sz w:val="22"/>
          <w:szCs w:val="22"/>
          <w:shd w:val="clear" w:color="auto" w:fill="FFFFFF"/>
        </w:rPr>
        <w:t>*</w:t>
      </w:r>
      <w:proofErr w:type="gramStart"/>
      <w:r w:rsidRPr="00530589">
        <w:rPr>
          <w:rFonts w:ascii="Arial" w:hAnsi="Arial" w:cs="Arial"/>
          <w:color w:val="222222"/>
          <w:sz w:val="22"/>
          <w:szCs w:val="22"/>
          <w:shd w:val="clear" w:color="auto" w:fill="FFFFFF"/>
        </w:rPr>
        <w:t>Glucose</w:t>
      </w:r>
      <w:r w:rsidRPr="00530589">
        <w:rPr>
          <w:rFonts w:ascii="Arial" w:hAnsi="Arial" w:cs="Arial"/>
          <w:color w:val="222222"/>
          <w:sz w:val="22"/>
          <w:szCs w:val="22"/>
          <w:shd w:val="clear" w:color="auto" w:fill="FFFFFF"/>
          <w:vertAlign w:val="subscript"/>
        </w:rPr>
        <w:t>[</w:t>
      </w:r>
      <w:proofErr w:type="spellStart"/>
      <w:proofErr w:type="gramEnd"/>
      <w:r w:rsidRPr="00530589">
        <w:rPr>
          <w:rFonts w:ascii="Arial" w:hAnsi="Arial" w:cs="Arial"/>
          <w:color w:val="222222"/>
          <w:sz w:val="22"/>
          <w:szCs w:val="22"/>
          <w:shd w:val="clear" w:color="auto" w:fill="FFFFFF"/>
          <w:vertAlign w:val="subscript"/>
        </w:rPr>
        <w:t>ext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w:t>
      </w:r>
      <w:r>
        <w:rPr>
          <w:rFonts w:ascii="Arial" w:hAnsi="Arial" w:cs="Arial"/>
          <w:color w:val="222222"/>
          <w:sz w:val="22"/>
          <w:szCs w:val="22"/>
          <w:shd w:val="clear" w:color="auto" w:fill="FFFFFF"/>
        </w:rPr>
        <w:t>Urea</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ADP</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r w:rsidRPr="00530589">
        <w:rPr>
          <w:rFonts w:ascii="Arial" w:hAnsi="Arial" w:cs="Arial"/>
          <w:color w:val="222222"/>
          <w:sz w:val="22"/>
          <w:szCs w:val="22"/>
          <w:shd w:val="clear" w:color="auto" w:fill="FFFFFF"/>
        </w:rPr>
        <w:t xml:space="preserve"> + Orthophosphate</w:t>
      </w:r>
      <w:r w:rsidRPr="00530589">
        <w:rPr>
          <w:rFonts w:ascii="Arial" w:hAnsi="Arial" w:cs="Arial"/>
          <w:color w:val="222222"/>
          <w:sz w:val="22"/>
          <w:szCs w:val="22"/>
          <w:shd w:val="clear" w:color="auto" w:fill="FFFFFF"/>
          <w:vertAlign w:val="subscript"/>
        </w:rPr>
        <w:t>[</w:t>
      </w:r>
      <w:proofErr w:type="spellStart"/>
      <w:r w:rsidRPr="00530589">
        <w:rPr>
          <w:rFonts w:ascii="Arial" w:hAnsi="Arial" w:cs="Arial"/>
          <w:color w:val="222222"/>
          <w:sz w:val="22"/>
          <w:szCs w:val="22"/>
          <w:shd w:val="clear" w:color="auto" w:fill="FFFFFF"/>
          <w:vertAlign w:val="subscript"/>
        </w:rPr>
        <w:t>cyt</w:t>
      </w:r>
      <w:proofErr w:type="spellEnd"/>
      <w:r w:rsidRPr="00530589">
        <w:rPr>
          <w:rFonts w:ascii="Arial" w:hAnsi="Arial" w:cs="Arial"/>
          <w:color w:val="222222"/>
          <w:sz w:val="22"/>
          <w:szCs w:val="22"/>
          <w:shd w:val="clear" w:color="auto" w:fill="FFFFFF"/>
          <w:vertAlign w:val="subscript"/>
        </w:rPr>
        <w:t>]</w:t>
      </w:r>
    </w:p>
    <w:p w14:paraId="12B2CB97" w14:textId="77777777" w:rsidR="00215FCA" w:rsidRPr="00530589" w:rsidRDefault="00215FCA" w:rsidP="006D27E9">
      <w:pPr>
        <w:spacing w:line="360" w:lineRule="auto"/>
        <w:ind w:firstLine="720"/>
        <w:jc w:val="right"/>
        <w:rPr>
          <w:rFonts w:ascii="Arial" w:hAnsi="Arial" w:cs="Arial"/>
          <w:color w:val="222222"/>
          <w:sz w:val="22"/>
          <w:szCs w:val="22"/>
          <w:shd w:val="clear" w:color="auto" w:fill="FFFFFF"/>
        </w:rPr>
      </w:pPr>
    </w:p>
    <w:p w14:paraId="458F854F" w14:textId="4CD529EF"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lastRenderedPageBreak/>
        <w:t xml:space="preserve">The model was then used to predict the identity of the carbon export compound. Representative carbon compounds were chosen (Fig. 2) that span from the output of photosynthesis to the storage compound of </w:t>
      </w:r>
      <w:r w:rsidRPr="00530589">
        <w:rPr>
          <w:rFonts w:ascii="Arial" w:hAnsi="Arial" w:cs="Arial"/>
          <w:i/>
          <w:sz w:val="22"/>
          <w:szCs w:val="22"/>
        </w:rPr>
        <w:t>Synechocystis</w:t>
      </w:r>
      <w:r w:rsidRPr="00530589">
        <w:rPr>
          <w:rFonts w:ascii="Arial" w:hAnsi="Arial" w:cs="Arial"/>
          <w:sz w:val="22"/>
          <w:szCs w:val="22"/>
        </w:rPr>
        <w:t>, glycogen</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nsqo2tble","properties":{"formattedCitation":"(37)","plainCitation":"(37)"},"citationItems":[{"id":392,"uris":["http://zotero.org/users/2452229/items/BXZBIWAH"],"uri":["http://zotero.org/users/2452229/items/BXZBIWAH"],"itemData":{"id":392,"type":"article-journal","title":"Characterization of cyanobacterial glycogen isolated from the wild type and from a mutant lacking of branching enzyme.","container-title":"Carbohydrate research","page":"2195-203","volume":"337","issue":"21-23","abstract":"Cyanobacteria produce glycogen as their primary form of carbohydrate storage. The genomic DNA sequence of Synechocystis sp. PCC6803 indicates that this strain encodes one glycogen-branching enzyme (GBE) and two isoforms of glycogen synthase (GS). To confirm the putative GBE and to demonstrate the presence of only one GBE gene, we generated a mutant lacking the putative GBE gene, sll0158, by replacing it with a kanamycin resistance gene through homologous recombination. GBE in sll0158(-) mutant was eliminated; the mutant strain produced less glucan, equivalent to 48% of that produced by the wild type. In contrast to the wild-type strain that had 74% of the glucan being water-soluble, the mutant had only 14% of the glucan water-soluble. Molecular structures of glucans produced by the mutant and the wild type were characterized by using high-performance size-exclusion and anion-exchange chromatography. The glycogen produced by the wild type displayed a molecular mass of 6.6 x 10(7) daltons (degree of polymerization (DP) 40700) and 10% branch linkages, and the alpha-D-glucan produced by the mutant displayed a molecular mass of 4.7-5.6 x 10(3) daltons (DP 29-35) with slight branch linkages. The results indicated that sll0158 was the major functional GBE gene in Synechocystis sp. PCC6803.","ISSN":"0008-6215","author":[{"family":"Yoo","given":"Sang-Ho"},{"family":"Spalding","given":"Martin H"},{"family":"Jane","given":"Jay-lin"}],"issued":{"date-parts":[["2002",11,19]]}}}],"schema":"https://github.com/citation-style-language/schema/raw/master/csl-citation.json"}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(37)</w:t>
      </w:r>
      <w:r w:rsidR="00990586" w:rsidRPr="00530589">
        <w:rPr>
          <w:rFonts w:ascii="Arial" w:hAnsi="Arial" w:cs="Arial"/>
          <w:sz w:val="22"/>
          <w:szCs w:val="22"/>
        </w:rPr>
        <w:fldChar w:fldCharType="end"/>
      </w:r>
      <w:r w:rsidRPr="00530589">
        <w:rPr>
          <w:rFonts w:ascii="Arial" w:hAnsi="Arial" w:cs="Arial"/>
          <w:sz w:val="22"/>
          <w:szCs w:val="22"/>
        </w:rPr>
        <w:t>. Pyruvate was also included because of its pivotal role in carbohydrate metabolism.</w:t>
      </w:r>
    </w:p>
    <w:p w14:paraId="2DFA0C08" w14:textId="77777777" w:rsidR="00241B7C" w:rsidRPr="00530589" w:rsidRDefault="00241B7C" w:rsidP="004F3DE4">
      <w:pPr>
        <w:spacing w:line="360" w:lineRule="auto"/>
        <w:rPr>
          <w:rFonts w:ascii="Arial" w:hAnsi="Arial" w:cs="Arial"/>
          <w:sz w:val="22"/>
          <w:szCs w:val="22"/>
        </w:rPr>
      </w:pPr>
    </w:p>
    <w:p w14:paraId="6CAC4AB2" w14:textId="2272E96C"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t>The selected compounds were first exchanged for the standard nitrogen source, nitrate. The predic</w:t>
      </w:r>
      <w:r w:rsidR="008D0CCC">
        <w:rPr>
          <w:rFonts w:ascii="Arial" w:hAnsi="Arial" w:cs="Arial"/>
          <w:sz w:val="22"/>
          <w:szCs w:val="22"/>
        </w:rPr>
        <w:t>ted growth rates</w:t>
      </w:r>
      <w:r w:rsidRPr="00530589">
        <w:rPr>
          <w:rFonts w:ascii="Arial" w:hAnsi="Arial" w:cs="Arial"/>
          <w:sz w:val="22"/>
          <w:szCs w:val="22"/>
        </w:rPr>
        <w:t xml:space="preserve"> in this case have only small variation (Fig. 3a), but some salient features are apparent. For this analysis, any carbon compound containing phosphate was also tested in a phosphate antiporter situation. This allows for any phosphate to be regained, which otherwise increases the cost of the exchange. This is a plausible addition because an antiport mechanism is theorised to have facilitated exchange in the primary endosymbiotic event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15p338lhqc","properties":{"formattedCitation":"(38)","plainCitation":"(38)"},"citationItems":[{"id":348,"uris":["http://zotero.org/users/2452229/items/878DAMM7"],"uri":["http://zotero.org/users/2452229/items/878DAMM7"],"itemData":{"id":348,"type":"article-journal","title":"Single, ancient origin of a plastid metabolite translocator family in Plantae from an endomembrane-derived ancestor.","container-title":"Eukaryotic cell","page":"609-12","volume":"5","issue":"3","abstract":"Phylogenetic analyses show the single origin of a plastid metabolite translocator family in the Plantae from a gene encoding an existing endomembrane-derived protein. Red algal secondary endosymbiosis has spread a translocator gene into the ancestor of the \"chromalveolate\" protists, where it has diversified into a novel clade of proteins.","ISSN":"1535-9778","author":[{"family":"Weber","given":"Andreas P M"},{"family":"Linka","given":"Marc"},{"family":"Bhattacharya","given":"Debashish"}],"issued":{"date-parts":[["2006",3]]}}}],"schema":"https://github.com/citation-style-language/schema/raw/master/csl-citation.json"}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(38)</w:t>
      </w:r>
      <w:r w:rsidR="00990586" w:rsidRPr="00530589">
        <w:rPr>
          <w:rFonts w:ascii="Arial" w:hAnsi="Arial" w:cs="Arial"/>
          <w:sz w:val="22"/>
          <w:szCs w:val="22"/>
        </w:rPr>
        <w:fldChar w:fldCharType="end"/>
      </w:r>
      <w:r w:rsidRPr="00530589">
        <w:rPr>
          <w:rFonts w:ascii="Arial" w:hAnsi="Arial" w:cs="Arial"/>
          <w:sz w:val="22"/>
          <w:szCs w:val="22"/>
        </w:rPr>
        <w:t xml:space="preserve"> and phosphate antiporters are currently present in the exchange between chloroplast and the cytoplasm</w:t>
      </w:r>
      <w:r w:rsidR="00990586" w:rsidRPr="00530589">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t1pg8tqsp","properties":{"formattedCitation":"(39)","plainCitation":"(39)"},"citationItems":[{"id":319,"uris":["http://zotero.org/users/2452229/items/KFEM2QBA"],"uri":["http://zotero.org/users/2452229/items/KFEM2QBA"],"itemData":{"id":319,"type":"article-journal","title":"Metabolite Translocators of the Chloroplast Envelope","container-title":"Annual Review of Plant Physiology and Plant Molecular Biology","page":"129-144","volume":"42","issue":"1","source":"Annual Reviews","DOI":"10.1146/annurev.pp.42.060191.001021","author":[{"family":"Flugge","given":"U"},{"family":"Heldt","given":"H W"}],"issued":{"date-parts":[["1991"]]},"accessed":{"date-parts":[["2015",8,24]]}}}],"schema":"https://github.com/citation-style-language/schema/raw/master/csl-citation.json"}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(39)</w:t>
      </w:r>
      <w:r w:rsidR="00990586" w:rsidRPr="00530589">
        <w:rPr>
          <w:rFonts w:ascii="Arial" w:hAnsi="Arial" w:cs="Arial"/>
          <w:sz w:val="22"/>
          <w:szCs w:val="22"/>
        </w:rPr>
        <w:fldChar w:fldCharType="end"/>
      </w:r>
      <w:r w:rsidRPr="00530589">
        <w:rPr>
          <w:rFonts w:ascii="Arial" w:hAnsi="Arial" w:cs="Arial"/>
          <w:sz w:val="22"/>
          <w:szCs w:val="22"/>
        </w:rPr>
        <w:t xml:space="preserve">. It is evident that the phosphate antiport makes a significant difference, especially for ADP-glucose that cannot grow without it. The different uptake rates (Fig. 3b) suggest that the higher uptake is used as compensation for when there is no antiport mechanism. This is shown by UDP-glucose. Overall, pyruvate export leads to the highest growth rate of </w:t>
      </w:r>
      <w:r w:rsidRPr="00530589">
        <w:rPr>
          <w:rFonts w:ascii="Arial" w:hAnsi="Arial" w:cs="Arial"/>
          <w:i/>
          <w:sz w:val="22"/>
          <w:szCs w:val="22"/>
        </w:rPr>
        <w:t>Synechocystis</w:t>
      </w:r>
      <w:r w:rsidRPr="00530589">
        <w:rPr>
          <w:rFonts w:ascii="Arial" w:hAnsi="Arial" w:cs="Arial"/>
          <w:sz w:val="22"/>
          <w:szCs w:val="22"/>
        </w:rPr>
        <w:t xml:space="preserve"> though the variation is small.</w:t>
      </w:r>
    </w:p>
    <w:p w14:paraId="28BA8CEC" w14:textId="77777777" w:rsidR="00241B7C" w:rsidRPr="00530589" w:rsidRDefault="00854488" w:rsidP="00527571">
      <w:pPr>
        <w:spacing w:line="360" w:lineRule="auto"/>
        <w:rPr>
          <w:rFonts w:ascii="Arial" w:hAnsi="Arial" w:cs="Arial"/>
          <w:b/>
          <w:sz w:val="22"/>
          <w:szCs w:val="22"/>
        </w:rPr>
      </w:pPr>
      <w:r w:rsidRPr="00530589">
        <w:rPr>
          <w:noProof/>
          <w:lang w:eastAsia="en-GB"/>
        </w:rPr>
        <mc:AlternateContent>
          <mc:Choice Requires="wps">
            <w:drawing>
              <wp:anchor distT="0" distB="0" distL="114300" distR="114300" simplePos="0" relativeHeight="251655680" behindDoc="0" locked="0" layoutInCell="1" allowOverlap="1" wp14:anchorId="4B6CECE2" wp14:editId="2CC87B23">
                <wp:simplePos x="0" y="0"/>
                <wp:positionH relativeFrom="column">
                  <wp:posOffset>-2348230</wp:posOffset>
                </wp:positionH>
                <wp:positionV relativeFrom="paragraph">
                  <wp:posOffset>49530</wp:posOffset>
                </wp:positionV>
                <wp:extent cx="409575" cy="269875"/>
                <wp:effectExtent l="1270" t="0" r="0" b="63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1079" w14:textId="77777777" w:rsidR="000F50B0" w:rsidRPr="00F82935" w:rsidRDefault="000F50B0" w:rsidP="004F3DE4">
                            <w:pPr>
                              <w:rPr>
                                <w:b/>
                              </w:rPr>
                            </w:pPr>
                            <w:r>
                              <w:rPr>
                                <w:b/>
                              </w:rPr>
                              <w:t>B</w:t>
                            </w:r>
                            <w:r w:rsidRPr="00F82935">
                              <w:rPr>
                                <w:b/>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184.9pt;margin-top:3.9pt;width:32.25pt;height:159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zvtgIAALs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" filled="f" stroked="f">
                <v:textbox style="mso-fit-shape-to-text:t">
                  <w:txbxContent>
                    <w:p w14:paraId="39BB1079" w14:textId="77777777" w:rsidR="000F50B0" w:rsidRPr="00F82935" w:rsidRDefault="000F50B0" w:rsidP="004F3DE4">
                      <w:pPr>
                        <w:rPr>
                          <w:b/>
                        </w:rPr>
                      </w:pPr>
                      <w:r>
                        <w:rPr>
                          <w:b/>
                        </w:rPr>
                        <w:t>B</w:t>
                      </w:r>
                      <w:r w:rsidRPr="00F82935">
                        <w:rPr>
                          <w:b/>
                        </w:rPr>
                        <w:t>.</w:t>
                      </w:r>
                    </w:p>
                  </w:txbxContent>
                </v:textbox>
              </v:shape>
            </w:pict>
          </mc:Fallback>
        </mc:AlternateContent>
      </w:r>
      <w:r w:rsidRPr="00530589">
        <w:rPr>
          <w:noProof/>
          <w:lang w:eastAsia="en-GB"/>
        </w:rPr>
        <mc:AlternateContent>
          <mc:Choice Requires="wps">
            <w:drawing>
              <wp:anchor distT="0" distB="0" distL="114300" distR="114300" simplePos="0" relativeHeight="251654656" behindDoc="0" locked="0" layoutInCell="1" allowOverlap="1" wp14:anchorId="2228A9CF" wp14:editId="0D07379B">
                <wp:simplePos x="0" y="0"/>
                <wp:positionH relativeFrom="column">
                  <wp:posOffset>-5462905</wp:posOffset>
                </wp:positionH>
                <wp:positionV relativeFrom="paragraph">
                  <wp:posOffset>49530</wp:posOffset>
                </wp:positionV>
                <wp:extent cx="409575" cy="269875"/>
                <wp:effectExtent l="0" t="0" r="0" b="63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4D33" w14:textId="77777777" w:rsidR="000F50B0" w:rsidRPr="00F82935" w:rsidRDefault="000F50B0" w:rsidP="004F3DE4">
                            <w:pPr>
                              <w:rPr>
                                <w:b/>
                              </w:rPr>
                            </w:pPr>
                            <w:r w:rsidRPr="00F82935">
                              <w:rPr>
                                <w:b/>
                              </w:rPr>
                              <w: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7" type="#_x0000_t202" style="position:absolute;margin-left:-430.15pt;margin-top:3.9pt;width:32.25pt;height:159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hJugIAAMI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" filled="f" stroked="f">
                <v:textbox style="mso-fit-shape-to-text:t">
                  <w:txbxContent>
                    <w:p w14:paraId="69AF4D33" w14:textId="77777777" w:rsidR="000F50B0" w:rsidRPr="00F82935" w:rsidRDefault="000F50B0" w:rsidP="004F3DE4">
                      <w:pPr>
                        <w:rPr>
                          <w:b/>
                        </w:rPr>
                      </w:pPr>
                      <w:r w:rsidRPr="00F82935">
                        <w:rPr>
                          <w:b/>
                        </w:rPr>
                        <w:t>A.</w:t>
                      </w:r>
                    </w:p>
                  </w:txbxContent>
                </v:textbox>
              </v:shape>
            </w:pict>
          </mc:Fallback>
        </mc:AlternateContent>
      </w:r>
    </w:p>
    <w:p w14:paraId="17BCEFC3" w14:textId="77777777"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t>The analysis was then expanded to consider the range of carbon sources in combination with the range of nitrogen sources (Fig. 4)</w:t>
      </w:r>
      <w:r w:rsidR="008D0CCC">
        <w:rPr>
          <w:rFonts w:ascii="Arial" w:hAnsi="Arial" w:cs="Arial"/>
          <w:sz w:val="22"/>
          <w:szCs w:val="22"/>
        </w:rPr>
        <w:t xml:space="preserve"> for the symbiotic state</w:t>
      </w:r>
      <w:r w:rsidRPr="00530589">
        <w:rPr>
          <w:rFonts w:ascii="Arial" w:hAnsi="Arial" w:cs="Arial"/>
          <w:sz w:val="22"/>
          <w:szCs w:val="22"/>
        </w:rPr>
        <w:t xml:space="preserve">. The results are not merely additive and the sum of the two previous tests, but rather some of the combinations behave non-additively. Pyruvate is unusual because it is the only carbon </w:t>
      </w:r>
      <w:r w:rsidR="008D0CCC">
        <w:rPr>
          <w:rFonts w:ascii="Arial" w:hAnsi="Arial" w:cs="Arial"/>
          <w:sz w:val="22"/>
          <w:szCs w:val="22"/>
        </w:rPr>
        <w:t xml:space="preserve">source </w:t>
      </w:r>
      <w:r w:rsidRPr="00530589">
        <w:rPr>
          <w:rFonts w:ascii="Arial" w:hAnsi="Arial" w:cs="Arial"/>
          <w:sz w:val="22"/>
          <w:szCs w:val="22"/>
        </w:rPr>
        <w:t>for which arginine and not ammonium results in the highest growth and for which glutamate does not lead to the lowest growth rate. UDP-glucose has much larger differences between the nitrogen sources and there is no growth if it is exchanged for glutamate</w:t>
      </w:r>
      <w:r w:rsidR="008D0CCC">
        <w:rPr>
          <w:rFonts w:ascii="Arial" w:hAnsi="Arial" w:cs="Arial"/>
          <w:sz w:val="22"/>
          <w:szCs w:val="22"/>
        </w:rPr>
        <w:t>.</w:t>
      </w:r>
      <w:r w:rsidRPr="00530589">
        <w:rPr>
          <w:rFonts w:ascii="Arial" w:hAnsi="Arial" w:cs="Arial"/>
          <w:sz w:val="22"/>
          <w:szCs w:val="22"/>
        </w:rPr>
        <w:t xml:space="preserve"> This combinatorial analysis predicts that a pyruvate for arginine is the optimal exchange when the relationship is mutualistic. </w:t>
      </w:r>
    </w:p>
    <w:p w14:paraId="4646BDE4" w14:textId="77777777" w:rsidR="00241B7C" w:rsidRPr="00530589" w:rsidRDefault="00241B7C" w:rsidP="004F3DE4">
      <w:pPr>
        <w:spacing w:line="360" w:lineRule="auto"/>
        <w:rPr>
          <w:rFonts w:ascii="Arial" w:hAnsi="Arial" w:cs="Arial"/>
          <w:sz w:val="22"/>
          <w:szCs w:val="22"/>
        </w:rPr>
      </w:pPr>
    </w:p>
    <w:p w14:paraId="22EFBA8F" w14:textId="77777777"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t>This analysis was performed with a set C</w:t>
      </w:r>
      <w:proofErr w:type="gramStart"/>
      <w:r w:rsidRPr="00530589">
        <w:rPr>
          <w:rFonts w:ascii="Arial" w:hAnsi="Arial" w:cs="Arial"/>
          <w:sz w:val="22"/>
          <w:szCs w:val="22"/>
        </w:rPr>
        <w:t>:N</w:t>
      </w:r>
      <w:proofErr w:type="gramEnd"/>
      <w:r w:rsidRPr="00530589">
        <w:rPr>
          <w:rFonts w:ascii="Arial" w:hAnsi="Arial" w:cs="Arial"/>
          <w:sz w:val="22"/>
          <w:szCs w:val="22"/>
        </w:rPr>
        <w:t xml:space="preserve"> ratio that assumed the host was in control and therefore sets the relative value of the nutrients. This is the likely ‘endpoint’ in the endosymbiosis as the host could egest/digest any uncooperative symbionts that did not adhere to the ‘set price’. However, it may be that in the transitional stages the symbiont retains a degree of autonomy and therefore has more influence on the price.</w:t>
      </w:r>
    </w:p>
    <w:p w14:paraId="61D4B48C" w14:textId="77777777" w:rsidR="00241B7C" w:rsidRPr="00530589" w:rsidRDefault="00241B7C" w:rsidP="004F3DE4">
      <w:pPr>
        <w:spacing w:line="360" w:lineRule="auto"/>
        <w:rPr>
          <w:rFonts w:ascii="Arial" w:hAnsi="Arial" w:cs="Arial"/>
          <w:sz w:val="22"/>
          <w:szCs w:val="22"/>
        </w:rPr>
      </w:pPr>
    </w:p>
    <w:p w14:paraId="381F4C55" w14:textId="1B3E0504"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lastRenderedPageBreak/>
        <w:t>To investigate the effect of the C</w:t>
      </w:r>
      <w:proofErr w:type="gramStart"/>
      <w:r w:rsidRPr="00530589">
        <w:rPr>
          <w:rFonts w:ascii="Arial" w:hAnsi="Arial" w:cs="Arial"/>
          <w:sz w:val="22"/>
          <w:szCs w:val="22"/>
        </w:rPr>
        <w:t>:N</w:t>
      </w:r>
      <w:proofErr w:type="gramEnd"/>
      <w:r w:rsidRPr="00530589">
        <w:rPr>
          <w:rFonts w:ascii="Arial" w:hAnsi="Arial" w:cs="Arial"/>
          <w:sz w:val="22"/>
          <w:szCs w:val="22"/>
        </w:rPr>
        <w:t xml:space="preserve"> ratio and therefore the price, the optimum metabolite exchange was identified over a range of ratios and also over a degree of carbon compensation (Fig. 5). As both the C</w:t>
      </w:r>
      <w:proofErr w:type="gramStart"/>
      <w:r w:rsidRPr="00530589">
        <w:rPr>
          <w:rFonts w:ascii="Arial" w:hAnsi="Arial" w:cs="Arial"/>
          <w:sz w:val="22"/>
          <w:szCs w:val="22"/>
        </w:rPr>
        <w:t>:N</w:t>
      </w:r>
      <w:proofErr w:type="gramEnd"/>
      <w:r w:rsidRPr="00530589">
        <w:rPr>
          <w:rFonts w:ascii="Arial" w:hAnsi="Arial" w:cs="Arial"/>
          <w:sz w:val="22"/>
          <w:szCs w:val="22"/>
        </w:rPr>
        <w:t xml:space="preserve"> ratio and carbon compensation increases the symbiosis becomes more costly for the symbiont and more beneficial to the host. Interestingly, the transitions between </w:t>
      </w:r>
      <w:r w:rsidR="009C4040">
        <w:rPr>
          <w:rFonts w:ascii="Arial" w:hAnsi="Arial" w:cs="Arial"/>
          <w:sz w:val="22"/>
          <w:szCs w:val="22"/>
        </w:rPr>
        <w:t xml:space="preserve">the </w:t>
      </w:r>
      <w:r w:rsidRPr="00530589">
        <w:rPr>
          <w:rFonts w:ascii="Arial" w:hAnsi="Arial" w:cs="Arial"/>
          <w:sz w:val="22"/>
          <w:szCs w:val="22"/>
        </w:rPr>
        <w:t>carbon sources are dependent on the C</w:t>
      </w:r>
      <w:proofErr w:type="gramStart"/>
      <w:r w:rsidRPr="00530589">
        <w:rPr>
          <w:rFonts w:ascii="Arial" w:hAnsi="Arial" w:cs="Arial"/>
          <w:sz w:val="22"/>
          <w:szCs w:val="22"/>
        </w:rPr>
        <w:t>:N</w:t>
      </w:r>
      <w:proofErr w:type="gramEnd"/>
      <w:r w:rsidRPr="00530589">
        <w:rPr>
          <w:rFonts w:ascii="Arial" w:hAnsi="Arial" w:cs="Arial"/>
          <w:sz w:val="22"/>
          <w:szCs w:val="22"/>
        </w:rPr>
        <w:t xml:space="preserve"> ratio, but the transitions between the nitrogen sources are not and instead occur at set percentages of compensation. As the ratio</w:t>
      </w:r>
      <w:r w:rsidR="00650872">
        <w:rPr>
          <w:rFonts w:ascii="Arial" w:hAnsi="Arial" w:cs="Arial"/>
          <w:sz w:val="22"/>
          <w:szCs w:val="22"/>
        </w:rPr>
        <w:t>,</w:t>
      </w:r>
      <w:r w:rsidRPr="00530589">
        <w:rPr>
          <w:rFonts w:ascii="Arial" w:hAnsi="Arial" w:cs="Arial"/>
          <w:sz w:val="22"/>
          <w:szCs w:val="22"/>
        </w:rPr>
        <w:t xml:space="preserve"> and therefore </w:t>
      </w:r>
      <w:r w:rsidR="00650872">
        <w:rPr>
          <w:rFonts w:ascii="Arial" w:hAnsi="Arial" w:cs="Arial"/>
          <w:sz w:val="22"/>
          <w:szCs w:val="22"/>
        </w:rPr>
        <w:t xml:space="preserve">the </w:t>
      </w:r>
      <w:r w:rsidRPr="00530589">
        <w:rPr>
          <w:rFonts w:ascii="Arial" w:hAnsi="Arial" w:cs="Arial"/>
          <w:sz w:val="22"/>
          <w:szCs w:val="22"/>
        </w:rPr>
        <w:t>price</w:t>
      </w:r>
      <w:r w:rsidR="00650872">
        <w:rPr>
          <w:rFonts w:ascii="Arial" w:hAnsi="Arial" w:cs="Arial"/>
          <w:sz w:val="22"/>
          <w:szCs w:val="22"/>
        </w:rPr>
        <w:t>,</w:t>
      </w:r>
      <w:r w:rsidRPr="00530589">
        <w:rPr>
          <w:rFonts w:ascii="Arial" w:hAnsi="Arial" w:cs="Arial"/>
          <w:sz w:val="22"/>
          <w:szCs w:val="22"/>
        </w:rPr>
        <w:t xml:space="preserve"> increases the transition to using pyruvate as the carbon export compound </w:t>
      </w:r>
      <w:r w:rsidR="00650872">
        <w:rPr>
          <w:rFonts w:ascii="Arial" w:hAnsi="Arial" w:cs="Arial"/>
          <w:sz w:val="22"/>
          <w:szCs w:val="22"/>
        </w:rPr>
        <w:t>occurs more readily</w:t>
      </w:r>
      <w:r w:rsidRPr="00530589">
        <w:rPr>
          <w:rFonts w:ascii="Arial" w:hAnsi="Arial" w:cs="Arial"/>
          <w:sz w:val="22"/>
          <w:szCs w:val="22"/>
        </w:rPr>
        <w:t>. Pyruvate contains no phosphate or nitrogen</w:t>
      </w:r>
      <w:r w:rsidR="00650872">
        <w:rPr>
          <w:rFonts w:ascii="Arial" w:hAnsi="Arial" w:cs="Arial"/>
          <w:sz w:val="22"/>
          <w:szCs w:val="22"/>
        </w:rPr>
        <w:t>,</w:t>
      </w:r>
      <w:r w:rsidRPr="00530589">
        <w:rPr>
          <w:rFonts w:ascii="Arial" w:hAnsi="Arial" w:cs="Arial"/>
          <w:sz w:val="22"/>
          <w:szCs w:val="22"/>
        </w:rPr>
        <w:t xml:space="preserve"> unlike UDP and </w:t>
      </w:r>
      <w:proofErr w:type="gramStart"/>
      <w:r w:rsidRPr="00530589">
        <w:rPr>
          <w:rFonts w:ascii="Arial" w:hAnsi="Arial" w:cs="Arial"/>
          <w:sz w:val="22"/>
          <w:szCs w:val="22"/>
        </w:rPr>
        <w:t>ADP,</w:t>
      </w:r>
      <w:proofErr w:type="gramEnd"/>
      <w:r w:rsidRPr="00530589">
        <w:rPr>
          <w:rFonts w:ascii="Arial" w:hAnsi="Arial" w:cs="Arial"/>
          <w:sz w:val="22"/>
          <w:szCs w:val="22"/>
        </w:rPr>
        <w:t xml:space="preserve"> therefore it may be that the cost of these additional molecules intensifies at higher ratio values. </w:t>
      </w:r>
    </w:p>
    <w:p w14:paraId="23C01AD1" w14:textId="77777777" w:rsidR="00241B7C" w:rsidRPr="00530589" w:rsidRDefault="00241B7C" w:rsidP="004F3DE4">
      <w:pPr>
        <w:spacing w:line="360" w:lineRule="auto"/>
        <w:rPr>
          <w:rFonts w:ascii="Arial" w:hAnsi="Arial" w:cs="Arial"/>
          <w:b/>
          <w:sz w:val="22"/>
          <w:szCs w:val="22"/>
          <w:u w:val="single"/>
        </w:rPr>
      </w:pPr>
      <w:r w:rsidRPr="00530589">
        <w:rPr>
          <w:rFonts w:ascii="Arial" w:hAnsi="Arial" w:cs="Arial"/>
          <w:sz w:val="22"/>
          <w:szCs w:val="22"/>
        </w:rPr>
        <w:t xml:space="preserve"> </w:t>
      </w:r>
    </w:p>
    <w:p w14:paraId="1BD197C6" w14:textId="2B9CE693" w:rsidR="00241B7C" w:rsidRPr="00530589" w:rsidRDefault="00241B7C" w:rsidP="004F3DE4">
      <w:pPr>
        <w:spacing w:line="360" w:lineRule="auto"/>
        <w:rPr>
          <w:rFonts w:ascii="Arial" w:hAnsi="Arial" w:cs="Arial"/>
          <w:sz w:val="22"/>
          <w:szCs w:val="22"/>
        </w:rPr>
      </w:pPr>
      <w:r w:rsidRPr="00530589">
        <w:rPr>
          <w:rFonts w:ascii="Arial" w:hAnsi="Arial" w:cs="Arial"/>
          <w:sz w:val="22"/>
          <w:szCs w:val="22"/>
        </w:rPr>
        <w:t>The C</w:t>
      </w:r>
      <w:proofErr w:type="gramStart"/>
      <w:r w:rsidRPr="00530589">
        <w:rPr>
          <w:rFonts w:ascii="Arial" w:hAnsi="Arial" w:cs="Arial"/>
          <w:sz w:val="22"/>
          <w:szCs w:val="22"/>
        </w:rPr>
        <w:t>:N</w:t>
      </w:r>
      <w:proofErr w:type="gramEnd"/>
      <w:r w:rsidRPr="00530589">
        <w:rPr>
          <w:rFonts w:ascii="Arial" w:hAnsi="Arial" w:cs="Arial"/>
          <w:sz w:val="22"/>
          <w:szCs w:val="22"/>
        </w:rPr>
        <w:t xml:space="preserve"> ratio of </w:t>
      </w:r>
      <w:r w:rsidRPr="00530589">
        <w:rPr>
          <w:rFonts w:ascii="Arial" w:hAnsi="Arial" w:cs="Arial"/>
          <w:i/>
          <w:sz w:val="22"/>
          <w:szCs w:val="22"/>
        </w:rPr>
        <w:t>Synechocystis</w:t>
      </w:r>
      <w:r w:rsidR="009C4040">
        <w:rPr>
          <w:rFonts w:ascii="Arial" w:hAnsi="Arial" w:cs="Arial"/>
          <w:i/>
          <w:sz w:val="22"/>
          <w:szCs w:val="22"/>
        </w:rPr>
        <w:t xml:space="preserve">, </w:t>
      </w:r>
      <w:r w:rsidRPr="00530589">
        <w:rPr>
          <w:rFonts w:ascii="Arial" w:hAnsi="Arial" w:cs="Arial"/>
          <w:sz w:val="22"/>
          <w:szCs w:val="22"/>
        </w:rPr>
        <w:t xml:space="preserve">predicted </w:t>
      </w:r>
      <w:r w:rsidR="009C4040">
        <w:rPr>
          <w:rFonts w:ascii="Arial" w:hAnsi="Arial" w:cs="Arial"/>
          <w:sz w:val="22"/>
          <w:szCs w:val="22"/>
        </w:rPr>
        <w:t xml:space="preserve">in the biomass function </w:t>
      </w:r>
      <w:r w:rsidRPr="00530589">
        <w:rPr>
          <w:rFonts w:ascii="Arial" w:hAnsi="Arial" w:cs="Arial"/>
          <w:sz w:val="22"/>
          <w:szCs w:val="22"/>
        </w:rPr>
        <w:t>of the metabolic model</w:t>
      </w:r>
      <w:r w:rsidR="009C4040">
        <w:rPr>
          <w:rFonts w:ascii="Arial" w:hAnsi="Arial" w:cs="Arial"/>
          <w:sz w:val="22"/>
          <w:szCs w:val="22"/>
        </w:rPr>
        <w:t>,</w:t>
      </w:r>
      <w:r w:rsidRPr="00530589">
        <w:rPr>
          <w:rFonts w:ascii="Arial" w:hAnsi="Arial" w:cs="Arial"/>
          <w:sz w:val="22"/>
          <w:szCs w:val="22"/>
        </w:rPr>
        <w:t xml:space="preserve"> is 4.5, while the host ratio used earlier is 3.5. The graph demonstrates that the change between these two values is very little, with no difference between their transition points. This implies that to adapt from a free-living directed state to one where the host imposes control over the relative value of C</w:t>
      </w:r>
      <w:proofErr w:type="gramStart"/>
      <w:r w:rsidRPr="00530589">
        <w:rPr>
          <w:rFonts w:ascii="Arial" w:hAnsi="Arial" w:cs="Arial"/>
          <w:sz w:val="22"/>
          <w:szCs w:val="22"/>
        </w:rPr>
        <w:t>:N</w:t>
      </w:r>
      <w:proofErr w:type="gramEnd"/>
      <w:r w:rsidRPr="00530589">
        <w:rPr>
          <w:rFonts w:ascii="Arial" w:hAnsi="Arial" w:cs="Arial"/>
          <w:sz w:val="22"/>
          <w:szCs w:val="22"/>
        </w:rPr>
        <w:t xml:space="preserve"> is plausible and in this aspect does not require much adjustment. </w:t>
      </w:r>
    </w:p>
    <w:p w14:paraId="52B84438" w14:textId="77777777" w:rsidR="00241B7C" w:rsidRPr="00530589" w:rsidRDefault="00241B7C" w:rsidP="004F3DE4">
      <w:pPr>
        <w:spacing w:line="360" w:lineRule="auto"/>
        <w:rPr>
          <w:rFonts w:ascii="Arial" w:hAnsi="Arial" w:cs="Arial"/>
          <w:sz w:val="22"/>
          <w:szCs w:val="22"/>
        </w:rPr>
      </w:pPr>
    </w:p>
    <w:p w14:paraId="021E0884" w14:textId="77777777" w:rsidR="00241B7C" w:rsidRPr="00530589" w:rsidRDefault="00241B7C" w:rsidP="004F3DE4">
      <w:pPr>
        <w:spacing w:line="360" w:lineRule="auto"/>
        <w:rPr>
          <w:rFonts w:ascii="Arial" w:hAnsi="Arial" w:cs="Arial"/>
          <w:b/>
          <w:sz w:val="22"/>
          <w:szCs w:val="22"/>
        </w:rPr>
      </w:pPr>
      <w:r w:rsidRPr="00530589">
        <w:rPr>
          <w:rFonts w:ascii="Arial" w:hAnsi="Arial" w:cs="Arial"/>
          <w:b/>
          <w:sz w:val="22"/>
          <w:szCs w:val="22"/>
        </w:rPr>
        <w:t>Discussion</w:t>
      </w:r>
    </w:p>
    <w:p w14:paraId="55396035" w14:textId="77777777" w:rsidR="00241B7C" w:rsidRPr="00530589" w:rsidRDefault="00241B7C" w:rsidP="00C90F97">
      <w:pPr>
        <w:spacing w:line="360" w:lineRule="auto"/>
        <w:rPr>
          <w:rFonts w:ascii="Arial" w:hAnsi="Arial" w:cs="Arial"/>
          <w:b/>
          <w:sz w:val="22"/>
          <w:szCs w:val="22"/>
          <w:u w:val="single"/>
        </w:rPr>
      </w:pPr>
    </w:p>
    <w:p w14:paraId="152CAA33" w14:textId="299CE87D" w:rsidR="00241B7C" w:rsidRPr="00530589" w:rsidRDefault="008D0CCC" w:rsidP="00C90F97">
      <w:pPr>
        <w:spacing w:line="360" w:lineRule="auto"/>
        <w:rPr>
          <w:rFonts w:ascii="Arial" w:hAnsi="Arial" w:cs="Arial"/>
          <w:sz w:val="22"/>
          <w:szCs w:val="22"/>
        </w:rPr>
      </w:pPr>
      <w:r>
        <w:rPr>
          <w:rFonts w:ascii="Arial" w:hAnsi="Arial" w:cs="Arial"/>
          <w:sz w:val="22"/>
          <w:szCs w:val="22"/>
        </w:rPr>
        <w:t>Here we</w:t>
      </w:r>
      <w:r w:rsidR="00241B7C" w:rsidRPr="00530589">
        <w:rPr>
          <w:rFonts w:ascii="Arial" w:hAnsi="Arial" w:cs="Arial"/>
          <w:sz w:val="22"/>
          <w:szCs w:val="22"/>
        </w:rPr>
        <w:t xml:space="preserve"> took the novel approach of applying FBA to model an evolutionary transition to endosymbiosis. Following an investigation into the free-living state of the </w:t>
      </w:r>
      <w:r>
        <w:rPr>
          <w:rFonts w:ascii="Arial" w:hAnsi="Arial" w:cs="Arial"/>
          <w:sz w:val="22"/>
          <w:szCs w:val="22"/>
        </w:rPr>
        <w:t>cyano</w:t>
      </w:r>
      <w:r w:rsidR="00241B7C" w:rsidRPr="00530589">
        <w:rPr>
          <w:rFonts w:ascii="Arial" w:hAnsi="Arial" w:cs="Arial"/>
          <w:sz w:val="22"/>
          <w:szCs w:val="22"/>
        </w:rPr>
        <w:t>bacteria symbiont, predictions were made that charted the transition to endosymbiosis. The work focused on the metabolic changes that would occur, in particularly in terms of the exchange reaction at the heart of the symbiosis. It accounted for both the symbiont whose metabolism was modelled directly but also considered the interest of the host through the ‘price’ of the compounds and compensation costs. In doing so FBA modelling has been used to predict the metabolic transitions that may have occurred in an ancient</w:t>
      </w:r>
      <w:r w:rsidR="000A4028">
        <w:rPr>
          <w:rFonts w:ascii="Arial" w:hAnsi="Arial" w:cs="Arial"/>
          <w:sz w:val="22"/>
          <w:szCs w:val="22"/>
        </w:rPr>
        <w:t>, or more contemporary</w:t>
      </w:r>
      <w:r w:rsidR="00650872">
        <w:rPr>
          <w:rFonts w:ascii="Arial" w:hAnsi="Arial" w:cs="Arial"/>
          <w:sz w:val="22"/>
          <w:szCs w:val="22"/>
        </w:rPr>
        <w:t>,</w:t>
      </w:r>
      <w:r w:rsidR="00241B7C" w:rsidRPr="00530589">
        <w:rPr>
          <w:rFonts w:ascii="Arial" w:hAnsi="Arial" w:cs="Arial"/>
          <w:sz w:val="22"/>
          <w:szCs w:val="22"/>
        </w:rPr>
        <w:t xml:space="preserve"> evolutionary event. </w:t>
      </w:r>
    </w:p>
    <w:p w14:paraId="6D8A21F1" w14:textId="77777777" w:rsidR="00241B7C" w:rsidRDefault="00241B7C" w:rsidP="00C90F97">
      <w:pPr>
        <w:spacing w:line="360" w:lineRule="auto"/>
        <w:rPr>
          <w:rFonts w:ascii="Arial" w:hAnsi="Arial" w:cs="Arial"/>
          <w:sz w:val="22"/>
          <w:szCs w:val="22"/>
        </w:rPr>
      </w:pPr>
    </w:p>
    <w:p w14:paraId="10A9C33F" w14:textId="4F9B3890" w:rsidR="000A4028" w:rsidRDefault="000A4028" w:rsidP="00C90F97">
      <w:pPr>
        <w:spacing w:line="360" w:lineRule="auto"/>
        <w:rPr>
          <w:rFonts w:ascii="Arial" w:hAnsi="Arial" w:cs="Arial"/>
          <w:sz w:val="22"/>
          <w:szCs w:val="22"/>
        </w:rPr>
      </w:pPr>
      <w:r>
        <w:rPr>
          <w:rFonts w:ascii="Arial" w:hAnsi="Arial" w:cs="Arial"/>
          <w:sz w:val="22"/>
          <w:szCs w:val="22"/>
        </w:rPr>
        <w:t>Of interest are the possible evolutionary trajectories of the host and symbiont once a basic endosymbiotic relationship is established. Presumably there are many possible alternatives to the formation of an obligate endosymbiosis</w:t>
      </w:r>
      <w:r w:rsidR="00260FB1">
        <w:rPr>
          <w:rFonts w:ascii="Arial" w:hAnsi="Arial" w:cs="Arial"/>
          <w:sz w:val="22"/>
          <w:szCs w:val="22"/>
        </w:rPr>
        <w:t>, including loss of symbiosis</w:t>
      </w:r>
      <w:r>
        <w:rPr>
          <w:rFonts w:ascii="Arial" w:hAnsi="Arial" w:cs="Arial"/>
          <w:sz w:val="22"/>
          <w:szCs w:val="22"/>
        </w:rPr>
        <w:t xml:space="preserve">, and these are determined by the changes that must occur in both partners. In this work we have focussed exclusively on the metabolic changes, and </w:t>
      </w:r>
      <w:r>
        <w:rPr>
          <w:rFonts w:ascii="Arial" w:hAnsi="Arial" w:cs="Arial"/>
          <w:sz w:val="22"/>
          <w:szCs w:val="22"/>
        </w:rPr>
        <w:lastRenderedPageBreak/>
        <w:t>this predicts discontinuous changes in the exchange metabolites as the holobiont strives for higher growth rates and the control of the relationship changes. However we emphasise that the modelling approach we have used does not include regulation, nor additional costs and benefits such as membrane production and maintenance or photo-protection respectively.</w:t>
      </w:r>
    </w:p>
    <w:p w14:paraId="1E1D6106" w14:textId="77777777" w:rsidR="000A4028" w:rsidRDefault="000A4028" w:rsidP="00C90F97">
      <w:pPr>
        <w:spacing w:line="360" w:lineRule="auto"/>
        <w:rPr>
          <w:rFonts w:ascii="Arial" w:hAnsi="Arial" w:cs="Arial"/>
          <w:sz w:val="22"/>
          <w:szCs w:val="22"/>
        </w:rPr>
      </w:pPr>
    </w:p>
    <w:p w14:paraId="0202E93A" w14:textId="009FA44C" w:rsidR="000A4028" w:rsidRPr="00530589" w:rsidRDefault="000A4028" w:rsidP="000A4028">
      <w:pPr>
        <w:spacing w:line="360" w:lineRule="auto"/>
        <w:rPr>
          <w:rFonts w:ascii="Arial" w:hAnsi="Arial" w:cs="Arial"/>
          <w:iCs/>
          <w:sz w:val="22"/>
          <w:szCs w:val="22"/>
        </w:rPr>
      </w:pPr>
      <w:r w:rsidRPr="00530589">
        <w:rPr>
          <w:rStyle w:val="Emphasis"/>
          <w:rFonts w:ascii="Arial" w:hAnsi="Arial" w:cs="Arial"/>
          <w:i w:val="0"/>
          <w:sz w:val="22"/>
          <w:szCs w:val="22"/>
          <w:bdr w:val="none" w:sz="0" w:space="0" w:color="auto" w:frame="1"/>
          <w:shd w:val="clear" w:color="auto" w:fill="FFFFFF"/>
        </w:rPr>
        <w:t>There is one independent endosymbiotic event, which, like the primary endosymbiotic event, involved the uptake of cyanobacteria as the symbiont. The amebae</w:t>
      </w:r>
      <w:r w:rsidRPr="00530589">
        <w:rPr>
          <w:rStyle w:val="Emphasis"/>
          <w:rFonts w:ascii="Arial" w:hAnsi="Arial" w:cs="Arial"/>
          <w:sz w:val="22"/>
          <w:szCs w:val="22"/>
          <w:bdr w:val="none" w:sz="0" w:space="0" w:color="auto" w:frame="1"/>
          <w:shd w:val="clear" w:color="auto" w:fill="FFFFFF"/>
        </w:rPr>
        <w:t xml:space="preserve"> </w:t>
      </w:r>
      <w:proofErr w:type="spellStart"/>
      <w:r w:rsidRPr="00530589">
        <w:rPr>
          <w:rStyle w:val="Emphasis"/>
          <w:rFonts w:ascii="Arial" w:hAnsi="Arial" w:cs="Arial"/>
          <w:sz w:val="22"/>
          <w:szCs w:val="22"/>
          <w:bdr w:val="none" w:sz="0" w:space="0" w:color="auto" w:frame="1"/>
          <w:shd w:val="clear" w:color="auto" w:fill="FFFFFF"/>
        </w:rPr>
        <w:t>Paulinella</w:t>
      </w:r>
      <w:proofErr w:type="spellEnd"/>
      <w:r w:rsidRPr="00530589">
        <w:rPr>
          <w:rStyle w:val="Emphasis"/>
          <w:rFonts w:ascii="Arial" w:hAnsi="Arial" w:cs="Arial"/>
          <w:sz w:val="22"/>
          <w:szCs w:val="22"/>
          <w:bdr w:val="none" w:sz="0" w:space="0" w:color="auto" w:frame="1"/>
          <w:shd w:val="clear" w:color="auto" w:fill="FFFFFF"/>
        </w:rPr>
        <w:t xml:space="preserve"> </w:t>
      </w:r>
      <w:proofErr w:type="spellStart"/>
      <w:r w:rsidRPr="00530589">
        <w:rPr>
          <w:rStyle w:val="Emphasis"/>
          <w:rFonts w:ascii="Arial" w:hAnsi="Arial" w:cs="Arial"/>
          <w:sz w:val="22"/>
          <w:szCs w:val="22"/>
          <w:bdr w:val="none" w:sz="0" w:space="0" w:color="auto" w:frame="1"/>
          <w:shd w:val="clear" w:color="auto" w:fill="FFFFFF"/>
        </w:rPr>
        <w:t>chromatophora</w:t>
      </w:r>
      <w:proofErr w:type="spellEnd"/>
      <w:r w:rsidRPr="00530589">
        <w:rPr>
          <w:rStyle w:val="apple-converted-space"/>
          <w:rFonts w:ascii="Arial" w:hAnsi="Arial" w:cs="Arial"/>
          <w:sz w:val="22"/>
          <w:szCs w:val="22"/>
          <w:shd w:val="clear" w:color="auto" w:fill="FFFFFF"/>
        </w:rPr>
        <w:t xml:space="preserve"> has been found to have an organelle-like structure, a </w:t>
      </w:r>
      <w:proofErr w:type="spellStart"/>
      <w:r w:rsidRPr="00530589">
        <w:rPr>
          <w:rStyle w:val="apple-converted-space"/>
          <w:rFonts w:ascii="Arial" w:hAnsi="Arial" w:cs="Arial"/>
          <w:sz w:val="22"/>
          <w:szCs w:val="22"/>
          <w:shd w:val="clear" w:color="auto" w:fill="FFFFFF"/>
        </w:rPr>
        <w:t>chromatophore</w:t>
      </w:r>
      <w:proofErr w:type="spellEnd"/>
      <w:r w:rsidRPr="00530589">
        <w:rPr>
          <w:rStyle w:val="apple-converted-space"/>
          <w:rFonts w:ascii="Arial" w:hAnsi="Arial" w:cs="Arial"/>
          <w:sz w:val="22"/>
          <w:szCs w:val="22"/>
          <w:shd w:val="clear" w:color="auto" w:fill="FFFFFF"/>
        </w:rPr>
        <w:t xml:space="preserve">, which is derived from a cyanobacterium – </w:t>
      </w:r>
      <w:proofErr w:type="spellStart"/>
      <w:r w:rsidRPr="00530589">
        <w:rPr>
          <w:rStyle w:val="apple-converted-space"/>
          <w:rFonts w:ascii="Arial" w:hAnsi="Arial" w:cs="Arial"/>
          <w:i/>
          <w:sz w:val="22"/>
          <w:szCs w:val="22"/>
          <w:shd w:val="clear" w:color="auto" w:fill="FFFFFF"/>
        </w:rPr>
        <w:t>Synechococcus</w:t>
      </w:r>
      <w:proofErr w:type="spellEnd"/>
      <w:r w:rsidRPr="00530589">
        <w:rPr>
          <w:rStyle w:val="apple-converted-space"/>
          <w:rFonts w:ascii="Arial" w:hAnsi="Arial" w:cs="Arial"/>
          <w:sz w:val="22"/>
          <w:szCs w:val="22"/>
          <w:shd w:val="clear" w:color="auto" w:fill="FFFFFF"/>
        </w:rPr>
        <w:t xml:space="preserve"> </w:t>
      </w:r>
      <w:r w:rsidRPr="00530589">
        <w:rPr>
          <w:rStyle w:val="apple-converted-space"/>
          <w:rFonts w:ascii="Arial" w:hAnsi="Arial" w:cs="Arial"/>
          <w:sz w:val="22"/>
          <w:szCs w:val="22"/>
          <w:shd w:val="clear" w:color="auto" w:fill="FFFFFF"/>
        </w:rPr>
        <w:fldChar w:fldCharType="begin"/>
      </w:r>
      <w:r w:rsidR="000F50B0">
        <w:rPr>
          <w:rStyle w:val="apple-converted-space"/>
          <w:rFonts w:ascii="Arial" w:hAnsi="Arial" w:cs="Arial"/>
          <w:sz w:val="22"/>
          <w:szCs w:val="22"/>
          <w:shd w:val="clear" w:color="auto" w:fill="FFFFFF"/>
        </w:rPr>
        <w:instrText xml:space="preserve"> ADDIN ZOTERO_ITEM CSL_CITATION {"citationID":"utaotssmj","properties":{"formattedCitation":"(40)","plainCitation":"(40)"},"citationItems":[{"id":278,"uris":["http://zotero.org/users/2452229/items/MMIWG5HR"],"uri":["http://zotero.org/users/2452229/items/MMIWG5HR"],"itemData":{"id":278,"type":"article-journal","title":"A plastid in the making: evidence for a second primary endosymbiosis","container-title":"Protist","page":"425–432","volume":"156","issue":"4","source":"Google Scholar","shortTitle":"A plastid in the making","author":[{"family":"Marin","given":"Birger"},{"family":"Nowack","given":"Eva CM"},{"family":"Melkonian","given":"Michael"}],"issued":{"date-parts":[["2005"]]},"accessed":{"date-parts":[["2015",8,24]]}}}],"schema":"https://github.com/citation-style-language/schema/raw/master/csl-citation.json"} </w:instrText>
      </w:r>
      <w:r w:rsidRPr="00530589">
        <w:rPr>
          <w:rStyle w:val="apple-converted-space"/>
          <w:rFonts w:ascii="Arial" w:hAnsi="Arial" w:cs="Arial"/>
          <w:sz w:val="22"/>
          <w:szCs w:val="22"/>
          <w:shd w:val="clear" w:color="auto" w:fill="FFFFFF"/>
        </w:rPr>
        <w:fldChar w:fldCharType="separate"/>
      </w:r>
      <w:r w:rsidR="000F50B0" w:rsidRPr="000F50B0">
        <w:rPr>
          <w:rFonts w:ascii="Arial" w:hAnsi="Arial" w:cs="Arial"/>
          <w:sz w:val="22"/>
        </w:rPr>
        <w:t>(40)</w:t>
      </w:r>
      <w:r w:rsidRPr="00530589">
        <w:rPr>
          <w:rStyle w:val="apple-converted-space"/>
          <w:rFonts w:ascii="Arial" w:hAnsi="Arial" w:cs="Arial"/>
          <w:sz w:val="22"/>
          <w:szCs w:val="22"/>
          <w:shd w:val="clear" w:color="auto" w:fill="FFFFFF"/>
        </w:rPr>
        <w:fldChar w:fldCharType="end"/>
      </w:r>
      <w:r w:rsidRPr="00530589">
        <w:rPr>
          <w:rStyle w:val="apple-converted-space"/>
          <w:rFonts w:ascii="Arial" w:hAnsi="Arial" w:cs="Arial"/>
          <w:sz w:val="22"/>
          <w:szCs w:val="22"/>
          <w:shd w:val="clear" w:color="auto" w:fill="FFFFFF"/>
        </w:rPr>
        <w:t xml:space="preserve">. There have been several, possibly 32, genes transferred to the nucleus </w:t>
      </w:r>
      <w:r w:rsidRPr="00530589">
        <w:rPr>
          <w:rStyle w:val="apple-converted-space"/>
          <w:rFonts w:ascii="Arial" w:hAnsi="Arial" w:cs="Arial"/>
          <w:sz w:val="22"/>
          <w:szCs w:val="22"/>
          <w:shd w:val="clear" w:color="auto" w:fill="FFFFFF"/>
        </w:rPr>
        <w:fldChar w:fldCharType="begin"/>
      </w:r>
      <w:r w:rsidR="000F50B0">
        <w:rPr>
          <w:rStyle w:val="apple-converted-space"/>
          <w:rFonts w:ascii="Arial" w:hAnsi="Arial" w:cs="Arial"/>
          <w:sz w:val="22"/>
          <w:szCs w:val="22"/>
          <w:shd w:val="clear" w:color="auto" w:fill="FFFFFF"/>
        </w:rPr>
        <w:instrText xml:space="preserve"> ADDIN ZOTERO_ITEM CSL_CITATION {"citationID":"1hg1j4pac2","properties":{"formattedCitation":"(41)","plainCitation":"(41)"},"citationItems":[{"id":320,"uris":["http://zotero.org/users/2452229/items/K4884EGA"],"uri":["http://zotero.org/users/2452229/items/K4884EGA"],"itemData":{"id":320,"type":"article-journal","title":"Endosymbiotic gene transfer and transcriptional regulation of transferred genes in Paulinella chromatophora.","container-title":"Molecular biology and evolution","page":"407-22","volume":"28","issue":"1","abstract":"Paulinella chromatophora is a cercozoan amoeba that contains \"chromatophores,\" which are photosynthetic inclusions of cyanobacterial origin. The recent discovery that chromatophores evolved independently of plastids, underwent major genome reduction, and transferred at least two genes to the host nucleus has highlighted P. chromatophora as a model to infer early steps in the evolution of photosynthetic organelles. However, owing to the paucity of nuclear genome sequence data, the extent of endosymbiotic gene transfer (EGT) and host symbiont regulation are currently unknown. A combination of 454 and Illumina next generation sequencing enabled us to generate a comprehensive reference transcriptome data set for P. chromatophora on which we mapped short Illumina cDNA reads generated from cultures from the dark and light phases of a diel cycle. Combined with extensive phylogenetic analyses of the deduced protein sequences, these data revealed that 1) about 0.3-0.8% of the nuclear genes were obtained by EGT compared with 11-14% in the Plantae, 2) transferred genes show a distinct bias in that many encode small proteins involved in photosynthesis and photoacclimation, 3) host cells established control over expression of transferred genes, and 4) not only EGT, but to a minor extent also horizontal gene transfer from organisms that presumably served as food sources, helped to shape the nuclear genome of P. chromatophora. The identification of a significant number of transferred genes involved in photosynthesis and photoacclimation of thylakoid membranes as well as the observed transcriptional regulation of these genes strongly implies import of the encoded gene products into chromatophores, a feature previously thought to be restricted to canonical organelles. Thus, a possible mechanism by which P. chromatophora exerts control over the performance of its newly acquired photosynthetic organelle may involve controlling the expression of nuclear-encoded chromatophore-targeted regulatory components of the thylakoid membranes.","ISSN":"0737-4038","author":[{"family":"Nowack","given":"Eva C M"},{"family":"Vogel","given":"Heiko"},{"family":"Groth","given":"Marco"},{"family":"Grossman","given":"Arthur R"},{"family":"Melkonian","given":"Michael"},{"family":"Glöckner","given":"Gernot"}],"issued":{"date-parts":[["2011",1]],"season":"undefined"}}}],"schema":"https://github.com/citation-style-language/schema/raw/master/csl-citation.json"} </w:instrText>
      </w:r>
      <w:r w:rsidRPr="00530589">
        <w:rPr>
          <w:rStyle w:val="apple-converted-space"/>
          <w:rFonts w:ascii="Arial" w:hAnsi="Arial" w:cs="Arial"/>
          <w:sz w:val="22"/>
          <w:szCs w:val="22"/>
          <w:shd w:val="clear" w:color="auto" w:fill="FFFFFF"/>
        </w:rPr>
        <w:fldChar w:fldCharType="separate"/>
      </w:r>
      <w:r w:rsidR="000F50B0" w:rsidRPr="000F50B0">
        <w:rPr>
          <w:rFonts w:ascii="Arial" w:hAnsi="Arial" w:cs="Arial"/>
          <w:sz w:val="22"/>
        </w:rPr>
        <w:t>(41)</w:t>
      </w:r>
      <w:r w:rsidRPr="00530589">
        <w:rPr>
          <w:rStyle w:val="apple-converted-space"/>
          <w:rFonts w:ascii="Arial" w:hAnsi="Arial" w:cs="Arial"/>
          <w:sz w:val="22"/>
          <w:szCs w:val="22"/>
          <w:shd w:val="clear" w:color="auto" w:fill="FFFFFF"/>
        </w:rPr>
        <w:fldChar w:fldCharType="end"/>
      </w:r>
      <w:r w:rsidRPr="00530589">
        <w:rPr>
          <w:rStyle w:val="apple-converted-space"/>
          <w:rFonts w:ascii="Arial" w:hAnsi="Arial" w:cs="Arial"/>
          <w:sz w:val="22"/>
          <w:szCs w:val="22"/>
          <w:shd w:val="clear" w:color="auto" w:fill="FFFFFF"/>
        </w:rPr>
        <w:t xml:space="preserve">, and these genes are biased towards a role in photosynthesis, for instance </w:t>
      </w:r>
      <w:proofErr w:type="spellStart"/>
      <w:r w:rsidRPr="00530589">
        <w:rPr>
          <w:rStyle w:val="apple-converted-space"/>
          <w:rFonts w:ascii="Arial" w:hAnsi="Arial" w:cs="Arial"/>
          <w:sz w:val="22"/>
          <w:szCs w:val="22"/>
          <w:shd w:val="clear" w:color="auto" w:fill="FFFFFF"/>
        </w:rPr>
        <w:t>psaE</w:t>
      </w:r>
      <w:proofErr w:type="spellEnd"/>
      <w:r w:rsidRPr="00530589">
        <w:rPr>
          <w:rStyle w:val="apple-converted-space"/>
          <w:rFonts w:ascii="Arial" w:hAnsi="Arial" w:cs="Arial"/>
          <w:sz w:val="22"/>
          <w:szCs w:val="22"/>
          <w:shd w:val="clear" w:color="auto" w:fill="FFFFFF"/>
        </w:rPr>
        <w:t xml:space="preserve"> which is a peripheral protein in photosystem I. This suggests that these transfers are examples of fully functional endosymbiotic gene transfers and since some of the proteins encoded are localised to the </w:t>
      </w:r>
      <w:proofErr w:type="spellStart"/>
      <w:r w:rsidRPr="00530589">
        <w:rPr>
          <w:rStyle w:val="apple-converted-space"/>
          <w:rFonts w:ascii="Arial" w:hAnsi="Arial" w:cs="Arial"/>
          <w:sz w:val="22"/>
          <w:szCs w:val="22"/>
          <w:shd w:val="clear" w:color="auto" w:fill="FFFFFF"/>
        </w:rPr>
        <w:t>chromatophore</w:t>
      </w:r>
      <w:proofErr w:type="spellEnd"/>
      <w:r w:rsidRPr="00530589">
        <w:rPr>
          <w:rStyle w:val="apple-converted-space"/>
          <w:rFonts w:ascii="Arial" w:hAnsi="Arial" w:cs="Arial"/>
          <w:sz w:val="22"/>
          <w:szCs w:val="22"/>
          <w:shd w:val="clear" w:color="auto" w:fill="FFFFFF"/>
        </w:rPr>
        <w:t xml:space="preserve">, a protein import mechanism is implicated. There are several suggested mechanisms of protein import but its exact nature is currently unknown </w:t>
      </w:r>
      <w:r w:rsidRPr="00530589">
        <w:rPr>
          <w:rStyle w:val="apple-converted-space"/>
          <w:rFonts w:ascii="Arial" w:hAnsi="Arial" w:cs="Arial"/>
          <w:sz w:val="22"/>
          <w:szCs w:val="22"/>
          <w:shd w:val="clear" w:color="auto" w:fill="FFFFFF"/>
        </w:rPr>
        <w:fldChar w:fldCharType="begin"/>
      </w:r>
      <w:r w:rsidR="000F50B0">
        <w:rPr>
          <w:rStyle w:val="apple-converted-space"/>
          <w:rFonts w:ascii="Arial" w:hAnsi="Arial" w:cs="Arial"/>
          <w:sz w:val="22"/>
          <w:szCs w:val="22"/>
          <w:shd w:val="clear" w:color="auto" w:fill="FFFFFF"/>
        </w:rPr>
        <w:instrText xml:space="preserve"> ADDIN ZOTERO_ITEM CSL_CITATION {"citationID":"2gudanssu3","properties":{"formattedCitation":"(42)","plainCitation":"(42)"},"citationItems":[{"id":270,"uris":["http://zotero.org/users/2452229/items/BDZU32JT"],"uri":["http://zotero.org/users/2452229/items/BDZU32JT"],"itemData":{"id":270,"type":"article-journal","title":"Comparative genomic studies suggest that the cyanobacterial endosymbionts of the amoeba Paulinella chromatophora possess an import apparatus for nuclear-encoded proteins","container-title":"Plant Biology","page":"639-649","volume":"12","issue":"4","source":"Wiley Online Library","abstract":"Plastids evolved from free-living cyanobacteria through a process of primary endosymbiosis. The most widely accepted hypothesis derives three ancient lineages of primary plastids, i.e. those of glaucophytes, red algae and green plants, from a single cyanobacterial endosymbiosis. This hypothesis was originally predicated on the assumption that transformations of endosymbionts into organelles must be exceptionally rare because of the difficulty in establishing efficient protein trafficking between a host cell and incipient organelle. It turns out, however, that highly integrated endosymbiotic associations are more common than once thought. Among them is the amoeba Paulinella chromatophora, which harbours independently acquired cyanobacterial endosymbionts functioning as plastids. Sequencing of the Paulinella endosymbiont genome revealed an absence of essential genes for protein trafficking, suggesting their residence in the host nucleus and import of protein products back into the endosymbiont. To investigate this hypothesis, we searched the Paulinella endosymbiont genome for homologues of higher plant translocon proteins that form the import apparatus in two-membrane envelopes of primary plastids. We found homologues of Toc12, Tic21 and Tic32, but genes for other key translocon proteins (e.g. Omp85/Toc75 and Tic20) were missing. We propose that these missing genes were transferred to the Paulinella nucleus and their products are imported and integrated into the endosymbiont envelope membranes, thereby creating an effective protein import apparatus. We further suggest that other bacterial/cyanobacterial endosymbionts found in protists, plants and animals could have evolved efficient protein import systems independently and, therefore, reached the status of true cellular organelles.","DOI":"10.1111/j.1438-8677.2009.00264.x","ISSN":"1438-8677","language":"en","author":[{"family":"Bodył","given":"A."},{"family":"Mackiewicz","given":"P."},{"family":"Stiller","given":"J. W."}],"issued":{"date-parts":[["2010",7,1]]},"accessed":{"date-parts":[["2015",8,24]]}}}],"schema":"https://github.com/citation-style-language/schema/raw/master/csl-citation.json"} </w:instrText>
      </w:r>
      <w:r w:rsidRPr="00530589">
        <w:rPr>
          <w:rStyle w:val="apple-converted-space"/>
          <w:rFonts w:ascii="Arial" w:hAnsi="Arial" w:cs="Arial"/>
          <w:sz w:val="22"/>
          <w:szCs w:val="22"/>
          <w:shd w:val="clear" w:color="auto" w:fill="FFFFFF"/>
        </w:rPr>
        <w:fldChar w:fldCharType="separate"/>
      </w:r>
      <w:r w:rsidR="000F50B0" w:rsidRPr="000F50B0">
        <w:rPr>
          <w:rFonts w:ascii="Arial" w:hAnsi="Arial" w:cs="Arial"/>
          <w:sz w:val="22"/>
        </w:rPr>
        <w:t>(42)</w:t>
      </w:r>
      <w:r w:rsidRPr="00530589">
        <w:rPr>
          <w:rStyle w:val="apple-converted-space"/>
          <w:rFonts w:ascii="Arial" w:hAnsi="Arial" w:cs="Arial"/>
          <w:sz w:val="22"/>
          <w:szCs w:val="22"/>
          <w:shd w:val="clear" w:color="auto" w:fill="FFFFFF"/>
        </w:rPr>
        <w:fldChar w:fldCharType="end"/>
      </w:r>
      <w:r w:rsidRPr="00530589">
        <w:rPr>
          <w:rStyle w:val="apple-converted-space"/>
          <w:rFonts w:ascii="Arial" w:hAnsi="Arial" w:cs="Arial"/>
          <w:sz w:val="22"/>
          <w:szCs w:val="22"/>
          <w:shd w:val="clear" w:color="auto" w:fill="FFFFFF"/>
        </w:rPr>
        <w:t xml:space="preserve">. Relative to the primary endosymbiotic event this is a ‘recent’ event, but it is still ancient, occurring approximately 60 million years ago </w:t>
      </w:r>
      <w:r w:rsidRPr="00530589">
        <w:rPr>
          <w:rStyle w:val="apple-converted-space"/>
          <w:rFonts w:ascii="Arial" w:hAnsi="Arial" w:cs="Arial"/>
          <w:sz w:val="22"/>
          <w:szCs w:val="22"/>
          <w:shd w:val="clear" w:color="auto" w:fill="FFFFFF"/>
        </w:rPr>
        <w:fldChar w:fldCharType="begin"/>
      </w:r>
      <w:r w:rsidR="000F50B0">
        <w:rPr>
          <w:rStyle w:val="apple-converted-space"/>
          <w:rFonts w:ascii="Arial" w:hAnsi="Arial" w:cs="Arial"/>
          <w:sz w:val="22"/>
          <w:szCs w:val="22"/>
          <w:shd w:val="clear" w:color="auto" w:fill="FFFFFF"/>
        </w:rPr>
        <w:instrText xml:space="preserve"> ADDIN ZOTERO_ITEM CSL_CITATION {"citationID":"23jl8d8ap3","properties":{"formattedCitation":"(43)","plainCitation":"(43)"},"citationItems":[{"id":310,"uris":["http://zotero.org/users/2452229/items/B8GQR4KT"],"uri":["http://zotero.org/users/2452229/items/B8GQR4KT"],"itemData":{"id":310,"type":"article-journal","title":"Possible import routes of proteins into the cyanobacterial endosymbionts/plastids of Paulinella chromatophora","container-title":"Theory in Biosciences","page":"1-18","volume":"131","issue":"1","source":"PubMed Central","abstract":"The rhizarian amoeba Paulinella chromatophora harbors two photosynthetically active and deeply integrated cyanobacterial endosymbionts acquired ~60 million years ago. Recent genomic analyses of P. chromatophora have revealed the loss of many essential genes from the endosymbiont’s genome, and have identified more than 30 genes that have been transferred to the host cell’s nucleus through endosymbiotic gene transfer (EGT). This indicates that, similar to classical primary plastids, Paulinella endosymbionts have evolved a transport system to import their nuclear-encoded proteins. To deduce how these proteins are transported, we searched for potential targeting signals in genes for 10 EGT-derived proteins. Our analyses indicate that five proteins carry potential signal peptides, implying they are targeted via the host endomembrane system. One sequence encodes a mitochondrial-like transit peptide, which suggests an import pathway involving a channel protein residing in the outer membrane of the endosymbiont. No N-terminal targeting signals were identified in the four other genes, but their encoded proteins could utilize non-classical targeting signals contained internally or in C-terminal regions. Several amino acids more often found in the Paulinella EGT-derived proteins than in their ancestral set (proteins still encoded in the endosymbiont genome) could constitute such signals. Characteristic features of the EGT-derived proteins are low molecular weight and nearly neutral charge, which both could be adaptations to enhance passage through the peptidoglycan wall present in the intermembrane space of the endosymbiont’s envelope. Our results suggest that Paulinella endosymbionts/plastids have evolved several different import routes, as has been shown in classical primary plastids.","DOI":"10.1007/s12064-011-0147-7","ISSN":"1431-7613","journalAbbreviation":"Theory Biosci","author":[{"family":"Mackiewicz","given":"Paweł"},{"family":"Bodył","given":"Andrzej"},{"family":"Gagat","given":"Przemysław"}],"issued":{"date-parts":[["2012",5]]},"accessed":{"date-parts":[["2015",8,20]]}}}],"schema":"https://github.com/citation-style-language/schema/raw/master/csl-citation.json"} </w:instrText>
      </w:r>
      <w:r w:rsidRPr="00530589">
        <w:rPr>
          <w:rStyle w:val="apple-converted-space"/>
          <w:rFonts w:ascii="Arial" w:hAnsi="Arial" w:cs="Arial"/>
          <w:sz w:val="22"/>
          <w:szCs w:val="22"/>
          <w:shd w:val="clear" w:color="auto" w:fill="FFFFFF"/>
        </w:rPr>
        <w:fldChar w:fldCharType="separate"/>
      </w:r>
      <w:r w:rsidR="000F50B0" w:rsidRPr="000F50B0">
        <w:rPr>
          <w:rFonts w:ascii="Arial" w:hAnsi="Arial" w:cs="Arial"/>
          <w:sz w:val="22"/>
        </w:rPr>
        <w:t>(43)</w:t>
      </w:r>
      <w:r w:rsidRPr="00530589">
        <w:rPr>
          <w:rStyle w:val="apple-converted-space"/>
          <w:rFonts w:ascii="Arial" w:hAnsi="Arial" w:cs="Arial"/>
          <w:sz w:val="22"/>
          <w:szCs w:val="22"/>
          <w:shd w:val="clear" w:color="auto" w:fill="FFFFFF"/>
        </w:rPr>
        <w:fldChar w:fldCharType="end"/>
      </w:r>
      <w:r w:rsidRPr="00530589">
        <w:rPr>
          <w:rStyle w:val="apple-converted-space"/>
          <w:rFonts w:ascii="Arial" w:hAnsi="Arial" w:cs="Arial"/>
          <w:sz w:val="22"/>
          <w:szCs w:val="22"/>
          <w:shd w:val="clear" w:color="auto" w:fill="FFFFFF"/>
        </w:rPr>
        <w:t xml:space="preserve">. It highlights the propensity for cyanobacteria and </w:t>
      </w:r>
      <w:proofErr w:type="spellStart"/>
      <w:r w:rsidRPr="00530589">
        <w:rPr>
          <w:rStyle w:val="apple-converted-space"/>
          <w:rFonts w:ascii="Arial" w:hAnsi="Arial" w:cs="Arial"/>
          <w:sz w:val="22"/>
          <w:szCs w:val="22"/>
          <w:shd w:val="clear" w:color="auto" w:fill="FFFFFF"/>
        </w:rPr>
        <w:t>protists</w:t>
      </w:r>
      <w:proofErr w:type="spellEnd"/>
      <w:r w:rsidRPr="00530589">
        <w:rPr>
          <w:rStyle w:val="apple-converted-space"/>
          <w:rFonts w:ascii="Arial" w:hAnsi="Arial" w:cs="Arial"/>
          <w:sz w:val="22"/>
          <w:szCs w:val="22"/>
          <w:shd w:val="clear" w:color="auto" w:fill="FFFFFF"/>
        </w:rPr>
        <w:t xml:space="preserve"> to form endosymbioses that can in rare instances evolve to become an organelle.</w:t>
      </w:r>
    </w:p>
    <w:p w14:paraId="7096FD10" w14:textId="77777777" w:rsidR="000A4028" w:rsidRPr="00530589" w:rsidRDefault="000A4028" w:rsidP="00C90F97">
      <w:pPr>
        <w:spacing w:line="360" w:lineRule="auto"/>
        <w:rPr>
          <w:rFonts w:ascii="Arial" w:hAnsi="Arial" w:cs="Arial"/>
          <w:sz w:val="22"/>
          <w:szCs w:val="22"/>
        </w:rPr>
      </w:pPr>
    </w:p>
    <w:p w14:paraId="67451C53" w14:textId="2CE0E018" w:rsidR="00241B7C" w:rsidRPr="00530589" w:rsidRDefault="008D0CCC" w:rsidP="00C90F97">
      <w:pPr>
        <w:spacing w:line="360" w:lineRule="auto"/>
        <w:rPr>
          <w:rFonts w:ascii="Arial" w:hAnsi="Arial" w:cs="Arial"/>
          <w:sz w:val="22"/>
          <w:szCs w:val="22"/>
        </w:rPr>
      </w:pPr>
      <w:r>
        <w:rPr>
          <w:rFonts w:ascii="Arial" w:hAnsi="Arial" w:cs="Arial"/>
          <w:sz w:val="22"/>
          <w:szCs w:val="22"/>
        </w:rPr>
        <w:t>Our</w:t>
      </w:r>
      <w:r w:rsidR="00241B7C" w:rsidRPr="00530589">
        <w:rPr>
          <w:rFonts w:ascii="Arial" w:hAnsi="Arial" w:cs="Arial"/>
          <w:sz w:val="22"/>
          <w:szCs w:val="22"/>
        </w:rPr>
        <w:t xml:space="preserve"> predicted optimal exchange metabolites </w:t>
      </w:r>
      <w:r>
        <w:rPr>
          <w:rFonts w:ascii="Arial" w:hAnsi="Arial" w:cs="Arial"/>
          <w:sz w:val="22"/>
          <w:szCs w:val="22"/>
        </w:rPr>
        <w:t xml:space="preserve">for the symbiosis </w:t>
      </w:r>
      <w:r w:rsidR="00241B7C" w:rsidRPr="00530589">
        <w:rPr>
          <w:rFonts w:ascii="Arial" w:hAnsi="Arial" w:cs="Arial"/>
          <w:sz w:val="22"/>
          <w:szCs w:val="22"/>
        </w:rPr>
        <w:t>are known to be exchanged in some natural endosymbios</w:t>
      </w:r>
      <w:r w:rsidR="00650872">
        <w:rPr>
          <w:rFonts w:ascii="Arial" w:hAnsi="Arial" w:cs="Arial"/>
          <w:sz w:val="22"/>
          <w:szCs w:val="22"/>
        </w:rPr>
        <w:t>e</w:t>
      </w:r>
      <w:r w:rsidR="00241B7C" w:rsidRPr="00530589">
        <w:rPr>
          <w:rFonts w:ascii="Arial" w:hAnsi="Arial" w:cs="Arial"/>
          <w:sz w:val="22"/>
          <w:szCs w:val="22"/>
        </w:rPr>
        <w:t xml:space="preserve">s. For instance, glutamate, along with glutamine and aspartate, is provided by the aphid to its bacterial endosymbiont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ppYAL11e","properties":{"formattedCitation":"(23,44)","plainCitation":"(23,44)"},"citationItems":[{"id":211,"uris":["http://zotero.org/users/2452229/items/46BKH56C"],"uri":["http://zotero.org/users/2452229/items/46BKH56C"],"itemData":{"id":211,"type":"article-journal","title":"Production of essential amino acids from glutamate by mycetocyte symbionts of the pea aphid, Acyrthosiphon pisum","container-title":"Journal of Insect Physiology","page":"41-46","volume":"41","issue":"1","source":"ScienceDirect","abstract":"Glutamine was the most abundant amino acid constituent in the hemolymph of pea aphids, Acyrthosiphon pisum. While mycetocytes isolated from the aphids took up glutamine actively, the intracellular symbionts isolated from the mycetocytes scarcely took up the amino acid, and instead took up glutamic acid actively. [U-14C]Glutamine incorporated by mycetocytes was converted into glutamate. When [ϵ-15N]glutamine was introduced into mycetocytes, [15N]glutamate was found in the cytosol. These results suggested that glutamine taken up by mycetocytes was hydrolyzed into glutamic acid and ammonia, and at least a portion of ammonia was assimilated into glutamate in the cytosol, probably through reaction with α-ketoglutarate. When isolated symbionts were incubated with [15N]glutamic acid, the following amino acids were found highly labeled: alanine, aspartic acid, glutamine, isoleucine, leucine, phenylalanine, proline and valine.","DOI":"10.1016/0022-1910(94)00080-Z","ISSN":"0022-1910","journalAbbreviation":"Journal of Insect Physiology","author":[{"family":"Sasaki","given":"Tetsuhiko"},{"family":"Ishikawa","given":"Hajime"}],"issued":{"date-parts":[["1995",1]]},"accessed":{"date-parts":[["2015",6,3]]}}},{"id":420,"uris":["http://zotero.org/users/2452229/items/G2SXEVT9"],"uri":["http://zotero.org/users/2452229/items/G2SXEVT9"],"itemData":{"id":420,"type":"article-journal","title":"A fragile metabolic network adapted for cooperation in the symbiotic bacterium Buchnera aphidicola","container-title":"BMC Systems Biology","page":"24","volume":"3","issue":"1","source":"www.biomedcentral.com","abstract":"PMID: 19232131","DOI":"10.1186/1752-0509-3-24","ISSN":"1752-0509","note":"PMID: 19232131","language":"en","author":[{"family":"Thomas","given":"Gavin H."},{"family":"Zucker","given":"Jeremy"},{"family":"Macdonald","given":"Sandy J."},{"family":"Sorokin","given":"Anatoly"},{"family":"Goryanin","given":"Igor"},{"family":"Douglas","given":"Angela E."}],"issued":{"date-parts":[["2009",2,21]]},"accessed":{"date-parts":[["2015",8,24]]},"PMID":"19232131"}}],"schema":"https://github.com/citation-style-language/schema/raw/master/csl-citation.json"}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(23,44)</w:t>
      </w:r>
      <w:r w:rsidR="00990586" w:rsidRPr="00530589">
        <w:rPr>
          <w:rFonts w:ascii="Arial" w:hAnsi="Arial" w:cs="Arial"/>
          <w:sz w:val="22"/>
          <w:szCs w:val="22"/>
        </w:rPr>
        <w:fldChar w:fldCharType="end"/>
      </w:r>
      <w:r w:rsidR="00990586" w:rsidRPr="00530589">
        <w:rPr>
          <w:rFonts w:ascii="Arial" w:hAnsi="Arial" w:cs="Arial"/>
          <w:sz w:val="22"/>
          <w:szCs w:val="22"/>
        </w:rPr>
        <w:t>.</w:t>
      </w:r>
      <w:r w:rsidR="00241B7C" w:rsidRPr="00530589">
        <w:rPr>
          <w:rFonts w:ascii="Arial" w:hAnsi="Arial" w:cs="Arial"/>
          <w:sz w:val="22"/>
          <w:szCs w:val="22"/>
        </w:rPr>
        <w:t xml:space="preserve"> Arginine metabolism, however, is often associated with symbioses without it being the actual exchange metabolite, for instance in the </w:t>
      </w:r>
      <w:r w:rsidR="00241B7C" w:rsidRPr="00530589">
        <w:rPr>
          <w:rFonts w:ascii="Arial" w:hAnsi="Arial" w:cs="Arial"/>
          <w:color w:val="000000"/>
          <w:sz w:val="22"/>
          <w:szCs w:val="22"/>
          <w:shd w:val="clear" w:color="auto" w:fill="FFFFFF"/>
        </w:rPr>
        <w:t xml:space="preserve">arbuscular mycorrhizal </w:t>
      </w:r>
      <w:r w:rsidR="00241B7C" w:rsidRPr="00530589">
        <w:rPr>
          <w:rFonts w:ascii="Arial" w:hAnsi="Arial" w:cs="Arial"/>
          <w:sz w:val="22"/>
          <w:szCs w:val="22"/>
        </w:rPr>
        <w:t xml:space="preserve">symbiosis arginine is converted to ammonium </w:t>
      </w:r>
      <w:r w:rsidR="00066604">
        <w:rPr>
          <w:rFonts w:ascii="Arial" w:hAnsi="Arial" w:cs="Arial"/>
          <w:sz w:val="22"/>
          <w:szCs w:val="22"/>
        </w:rPr>
        <w:t xml:space="preserve">in the terminal </w:t>
      </w:r>
      <w:proofErr w:type="spellStart"/>
      <w:r w:rsidR="00066604">
        <w:rPr>
          <w:rFonts w:ascii="Arial" w:hAnsi="Arial" w:cs="Arial"/>
          <w:sz w:val="22"/>
          <w:szCs w:val="22"/>
        </w:rPr>
        <w:t>arbuscule</w:t>
      </w:r>
      <w:proofErr w:type="spellEnd"/>
      <w:r w:rsidR="00066604" w:rsidRPr="00530589">
        <w:rPr>
          <w:rFonts w:ascii="Arial" w:hAnsi="Arial" w:cs="Arial"/>
          <w:sz w:val="22"/>
          <w:szCs w:val="22"/>
        </w:rPr>
        <w:t xml:space="preserve"> </w:t>
      </w:r>
      <w:r w:rsidR="00241B7C" w:rsidRPr="00530589">
        <w:rPr>
          <w:rFonts w:ascii="Arial" w:hAnsi="Arial" w:cs="Arial"/>
          <w:sz w:val="22"/>
          <w:szCs w:val="22"/>
        </w:rPr>
        <w:t xml:space="preserve">before being </w:t>
      </w:r>
      <w:r w:rsidR="00066604">
        <w:rPr>
          <w:rFonts w:ascii="Arial" w:hAnsi="Arial" w:cs="Arial"/>
          <w:sz w:val="22"/>
          <w:szCs w:val="22"/>
        </w:rPr>
        <w:t xml:space="preserve">unloaded into the interfacial </w:t>
      </w:r>
      <w:proofErr w:type="spellStart"/>
      <w:r w:rsidR="00066604">
        <w:rPr>
          <w:rFonts w:ascii="Arial" w:hAnsi="Arial" w:cs="Arial"/>
          <w:sz w:val="22"/>
          <w:szCs w:val="22"/>
        </w:rPr>
        <w:t>apoplast</w:t>
      </w:r>
      <w:proofErr w:type="spellEnd"/>
      <w:r w:rsidR="00066604">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l9f9k04g5","properties":{"formattedCitation":"(45)","plainCitation":"(45)"},"citationItems":[{"id":410,"uris":["http://zotero.org/users/2452229/items/3DGXZ9NP"],"uri":["http://zotero.org/users/2452229/items/3DGXZ9NP"],"itemData":{"id":410,"type":"article-journal","title":"The role of carbon in fungal nutrient uptake and transport: implications for resource exchange in the arbuscular mycorrhizal symbiosis.","container-title":"Plant signaling &amp; behavior","page":"1509-12","volume":"7","issue":"11","abstract":"The arbuscular mycorrhizal (AM) symbiosis, which forms between plant hosts and ubiquitous soil fungi of the phylum Glomeromycota, plays a key role for the nutrient uptake of the majority of land plants, including many economically important crop species. AM fungi take up nutrients from the soil and exchange them for photosynthetically fixed carbon from the host. While our understanding of the exact mechanisms controlling carbon and nutrient exchange is still limited, we recently demonstrated that (i) carbon acts as an important trigger for fungal N uptake and transport, (ii) the fungus changes its strategy in response to an exogenous supply of carbon, and that (iii) both plants and fungi reciprocally reward resources to those partners providing more benefit. Here, we summarize recent research findings and discuss the implications of these results for fungal and plant control of resource exchange in the AM symbiosis.","ISSN":"1559-2316","author":[{"family":"Fellbaum","given":"Carl R"},{"family":"Mensah","given":"Jerry A"},{"family":"Pfeffer","given":"Philip E"},{"family":"Kiers","given":"E Toby"},{"family":"Bücking","given":"Heike"}],"issued":{"date-parts":[["2012",11]]}}}],"schema":"https://github.com/citation-style-language/schema/raw/master/csl-citation.json"}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(45)</w:t>
      </w:r>
      <w:r w:rsidR="00990586" w:rsidRPr="00530589">
        <w:rPr>
          <w:rFonts w:ascii="Arial" w:hAnsi="Arial" w:cs="Arial"/>
          <w:sz w:val="22"/>
          <w:szCs w:val="22"/>
        </w:rPr>
        <w:fldChar w:fldCharType="end"/>
      </w:r>
      <w:r w:rsidR="00241B7C" w:rsidRPr="00530589">
        <w:rPr>
          <w:rFonts w:ascii="Arial" w:hAnsi="Arial" w:cs="Arial"/>
          <w:sz w:val="22"/>
          <w:szCs w:val="22"/>
        </w:rPr>
        <w:t xml:space="preserve">. In addition to this example, ammonium is the nitrogen exchange metabolite in several other symbioses, including </w:t>
      </w:r>
      <w:proofErr w:type="spellStart"/>
      <w:r w:rsidR="00241B7C" w:rsidRPr="00530589">
        <w:rPr>
          <w:rFonts w:ascii="Arial" w:hAnsi="Arial" w:cs="Arial"/>
          <w:i/>
          <w:sz w:val="22"/>
          <w:szCs w:val="22"/>
        </w:rPr>
        <w:t>Gunnera</w:t>
      </w:r>
      <w:r w:rsidR="00241B7C" w:rsidRPr="00530589">
        <w:rPr>
          <w:rFonts w:ascii="Arial" w:hAnsi="Arial" w:cs="Arial"/>
          <w:sz w:val="22"/>
          <w:szCs w:val="22"/>
        </w:rPr>
        <w:t>-</w:t>
      </w:r>
      <w:r w:rsidR="00241B7C" w:rsidRPr="00530589">
        <w:rPr>
          <w:rFonts w:ascii="Arial" w:hAnsi="Arial" w:cs="Arial"/>
          <w:i/>
          <w:sz w:val="22"/>
          <w:szCs w:val="22"/>
        </w:rPr>
        <w:t>Nostoc</w:t>
      </w:r>
      <w:proofErr w:type="spellEnd"/>
      <w:r w:rsidR="00241B7C" w:rsidRPr="00530589">
        <w:rPr>
          <w:rFonts w:ascii="Arial" w:hAnsi="Arial" w:cs="Arial"/>
          <w:sz w:val="22"/>
          <w:szCs w:val="22"/>
        </w:rPr>
        <w:t xml:space="preserv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23mdgsls3i","properties":{"formattedCitation":"(46)","plainCitation":"(46)"},"citationItems":[{"id":180,"uris":["http://zotero.org/users/2452229/items/65HRKRW4"],"uri":["http://zotero.org/users/2452229/items/65HRKRW4"],"itemData":{"id":180,"type":"article-journal","title":"Direct measurement of release and assimilation of ammonia in the Gunnera–Nostoc symbiosis","container-title":"New Phytologist","page":"617-625","volume":"132","issue":"4","source":"Wiley Online Library","abstract":"In Gunnera, Nostoc cells invade secretory tissue forming well defined symbiotic areas within the stems and are termed internal nodules (Silvester, 1976). Excised, but intact, internal stem Nostoc nodules taken from Gunnera magellanica show light-stimulated nitrogenase activity and release a small, but measurable, proportion of their current N2 fixation as NH3 into the external solution. When nodules are disrupted and Nostoc extracted anaerobically, 90% or more of the estimated N2 fixation is released from the Nostoc cells as NH3 into the surrounding medium. Use of 15N2 confirmed that only 12% of N2 fixed is retained within the cells of Nostoc. The remaining 88% was identified as NH3 released outside the cells. Within the intact nodule system, 15N2 uptake showed that 2–5% of recently fixed N2 remains within the Nostoc cells and up to 30% of extracellular N is in asparagine after 1 h. Evidence is presented that stimulation of nitrogenase by light in the intact Gunnera/Nostoc system produces more NH3 than can be assimilated by the host cells, resulting in significant NH3 accumulation.","DOI":"10.1111/j.1469-8137.1996.tb01880.x","ISSN":"1469-8137","language":"en","author":[{"family":"Silvester","given":"Warwick B."},{"family":"Parsons","given":"Richard"},{"family":"Watt","given":"Peter W."}],"issued":{"date-parts":[["1996",4,1]]},"accessed":{"date-parts":[["2015",6,3]]}}}],"schema":"https://github.com/citation-style-language/schema/raw/master/csl-citation.json"}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(46)</w:t>
      </w:r>
      <w:r w:rsidR="00990586" w:rsidRPr="00530589">
        <w:rPr>
          <w:rFonts w:ascii="Arial" w:hAnsi="Arial" w:cs="Arial"/>
          <w:sz w:val="22"/>
          <w:szCs w:val="22"/>
        </w:rPr>
        <w:fldChar w:fldCharType="end"/>
      </w:r>
      <w:r w:rsidR="00241B7C" w:rsidRPr="00530589">
        <w:rPr>
          <w:rFonts w:ascii="Arial" w:hAnsi="Arial" w:cs="Arial"/>
          <w:sz w:val="22"/>
          <w:szCs w:val="22"/>
        </w:rPr>
        <w:t xml:space="preserve">, salamander eggs and green algae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vdoiu8f9o","properties":{"formattedCitation":"(47)","plainCitation":"(47)"},"citationItems":[{"id":300,"uris":["http://zotero.org/users/2452229/items/SNX7X5M2"],"uri":["http://zotero.org/users/2452229/items/SNX7X5M2"],"itemData":{"id":300,"type":"article-journal","title":"The roles of oxygen and ammonia in the symbiotic relationship between the spotted salamander Ambystoma maculatum and the green alga Oophila amblystomatis during embryonic development","container-title":"Symbiosis","page":"1-10","volume":"64","issue":"1","source":"link.springer.com","abstract":"Some of the positive benefits of the symbiotic relationship between the yellow spotted salamander Ambystoma maculatum and the green alga Oophila amblystomatis on salamander embryonic development have been well documented. However, the fundamental basis of the relationship, in terms of the exchange of metabolic and photosynthetic products, is under debate, especially as it relates to newly discovered endosymbiotic aspects of the relationship. We developed a novel experimental approach in which we liberated egg capsules from egg masses and compared de-capsulated embryos to capsulated embryos. We were able to discern the contribution of salamander embryo respiration and ammonia excretion and algal photosynthesis to oxygen and ammonia dynamics within the egg capsules under light and dark conditions. Algal photosynthesis drove oxygen production under light conditions, while salamander respiration caused hypoxia during dark conditions. Ammonia was consumed to such an extent that it may be the limiting factor for algal growth. Algal cells actively penetrated the developing gut of embryos through the blastopore from an early developmental stage, and some algae came to reside in the vicinity of liver primordia towards later embryonic development, perhaps explaining the lack of detectable ammonia production by de-capsulated embryos. We suggest that oxygen and ammonia may influence A. maculatum growth and O. amblystomatis population dynamics. We have also demonstrated the extent to which algal cells penetrate internal spaces of embryos, which may be the precursor to endosymbiosis between these two species.","DOI":"10.1007/s13199-014-0297-8","ISSN":"0334-5114, 1878-7665","journalAbbreviation":"Symbiosis","language":"en","author":[{"family":"Small","given":"Daniel P."},{"family":"Bennett","given":"R. Scott"},{"family":"Bishop","given":"Cory D."}],"issued":{"date-parts":[["2014",11,11]]},"accessed":{"date-parts":[["2015",6,3]]}}}],"schema":"https://github.com/citation-style-language/schema/raw/master/csl-citation.json"}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(47)</w:t>
      </w:r>
      <w:r w:rsidR="00990586" w:rsidRPr="00530589">
        <w:rPr>
          <w:rFonts w:ascii="Arial" w:hAnsi="Arial" w:cs="Arial"/>
          <w:sz w:val="22"/>
          <w:szCs w:val="22"/>
        </w:rPr>
        <w:fldChar w:fldCharType="end"/>
      </w:r>
      <w:r w:rsidR="00241B7C" w:rsidRPr="00530589">
        <w:rPr>
          <w:rFonts w:ascii="Arial" w:hAnsi="Arial" w:cs="Arial"/>
          <w:sz w:val="22"/>
          <w:szCs w:val="22"/>
        </w:rPr>
        <w:t xml:space="preserve"> and Rhizobia and legumes </w:t>
      </w:r>
      <w:r w:rsidR="00990586"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tsqv01ip6","properties":{"formattedCitation":"(48)","plainCitation":"(48)"},"citationItems":[{"id":218,"uris":["http://zotero.org/users/2452229/items/2Z6TF94E"],"uri":["http://zotero.org/users/2452229/items/2Z6TF94E"],"itemData":{"id":218,"type":"article-journal","title":"Metabolic changes of rhizobia in legume nodules","container-title":"Trends in Microbiology","page":"161-168","volume":"14","issue":"4","source":"ScienceDirect","abstract":"Bacteria have evolved a wide variety of metabolic strategies to cope with varied environments. Some are specialists and only able to survive in restricted environments; others are generalists and able to cope with diverse environmental conditions. Rhizobia (e.g. Rhizobium, Sinorhizobium, Bradyrhizobium, Mesorhizobium and Azorhizobium species) can survive and compete for nutrients in soil and the plant rhizosphere but can also form a beneficial symbiosis with legumes in a highly specialized plant cell environment. Inside the legume-root nodule, the bacteria (bacteroids) reduce dinitrogen to ammonium, which is secreted to the plant in exchange for a carbon and energy source. A new and challenging aspect of nodule physiology is that nitrogen fixation requires the cycling of amino acids between the bacteroid and plant. This review aims to summarize the metabolic plasticity of rhizobia and the importance of amino acid cycling.","DOI":"10.1016/j.tim.2006.02.005","ISSN":"0966-842X","journalAbbreviation":"Trends in Microbiology","author":[{"family":"Prell","given":"Juergen"},{"family":"Poole","given":"Philip"}],"issued":{"date-parts":[["2006",4]]},"accessed":{"date-parts":[["2015",6,3]]}}}],"schema":"https://github.com/citation-style-language/schema/raw/master/csl-citation.json"} </w:instrText>
      </w:r>
      <w:r w:rsidR="00990586" w:rsidRPr="00530589">
        <w:rPr>
          <w:rFonts w:ascii="Arial" w:hAnsi="Arial" w:cs="Arial"/>
          <w:sz w:val="22"/>
          <w:szCs w:val="22"/>
        </w:rPr>
        <w:fldChar w:fldCharType="separate"/>
      </w:r>
      <w:r w:rsidR="000F50B0" w:rsidRPr="000F50B0">
        <w:rPr>
          <w:rFonts w:ascii="Arial" w:hAnsi="Arial" w:cs="Arial"/>
          <w:sz w:val="22"/>
        </w:rPr>
        <w:t>(48)</w:t>
      </w:r>
      <w:r w:rsidR="00990586" w:rsidRPr="00530589">
        <w:rPr>
          <w:rFonts w:ascii="Arial" w:hAnsi="Arial" w:cs="Arial"/>
          <w:sz w:val="22"/>
          <w:szCs w:val="22"/>
        </w:rPr>
        <w:fldChar w:fldCharType="end"/>
      </w:r>
      <w:r w:rsidR="00D541ED" w:rsidRPr="00530589">
        <w:rPr>
          <w:rFonts w:ascii="Arial" w:hAnsi="Arial" w:cs="Arial"/>
          <w:sz w:val="22"/>
          <w:szCs w:val="22"/>
        </w:rPr>
        <w:t>.</w:t>
      </w:r>
      <w:r w:rsidR="00241B7C" w:rsidRPr="00530589">
        <w:rPr>
          <w:rFonts w:ascii="Arial" w:hAnsi="Arial" w:cs="Arial"/>
          <w:sz w:val="22"/>
          <w:szCs w:val="22"/>
        </w:rPr>
        <w:t xml:space="preserve"> Ammonium</w:t>
      </w:r>
      <w:r w:rsidR="0068118D">
        <w:rPr>
          <w:rFonts w:ascii="Arial" w:hAnsi="Arial" w:cs="Arial"/>
          <w:sz w:val="22"/>
          <w:szCs w:val="22"/>
        </w:rPr>
        <w:t>,</w:t>
      </w:r>
      <w:r w:rsidR="00241B7C" w:rsidRPr="00530589">
        <w:rPr>
          <w:rFonts w:ascii="Arial" w:hAnsi="Arial" w:cs="Arial"/>
          <w:sz w:val="22"/>
          <w:szCs w:val="22"/>
        </w:rPr>
        <w:t xml:space="preserve"> unlike arginine</w:t>
      </w:r>
      <w:r w:rsidR="0068118D">
        <w:rPr>
          <w:rFonts w:ascii="Arial" w:hAnsi="Arial" w:cs="Arial"/>
          <w:sz w:val="22"/>
          <w:szCs w:val="22"/>
        </w:rPr>
        <w:t>,</w:t>
      </w:r>
      <w:r w:rsidR="00241B7C" w:rsidRPr="00530589">
        <w:rPr>
          <w:rFonts w:ascii="Arial" w:hAnsi="Arial" w:cs="Arial"/>
          <w:sz w:val="22"/>
          <w:szCs w:val="22"/>
        </w:rPr>
        <w:t xml:space="preserve"> does not contain any organic carbon; it could therefore</w:t>
      </w:r>
      <w:r w:rsidR="0068118D">
        <w:rPr>
          <w:rFonts w:ascii="Arial" w:hAnsi="Arial" w:cs="Arial"/>
          <w:sz w:val="22"/>
          <w:szCs w:val="22"/>
        </w:rPr>
        <w:t xml:space="preserve"> </w:t>
      </w:r>
      <w:r w:rsidR="00241B7C" w:rsidRPr="00530589">
        <w:rPr>
          <w:rFonts w:ascii="Arial" w:hAnsi="Arial" w:cs="Arial"/>
          <w:sz w:val="22"/>
          <w:szCs w:val="22"/>
        </w:rPr>
        <w:t>be that the model’s carbon compensation mechanism is only partially able to account for this cost to the host. Since the model only indirectly models the host</w:t>
      </w:r>
      <w:r w:rsidR="0068118D">
        <w:rPr>
          <w:rFonts w:ascii="Arial" w:hAnsi="Arial" w:cs="Arial"/>
          <w:sz w:val="22"/>
          <w:szCs w:val="22"/>
        </w:rPr>
        <w:t>,</w:t>
      </w:r>
      <w:r w:rsidR="00241B7C" w:rsidRPr="00530589">
        <w:rPr>
          <w:rFonts w:ascii="Arial" w:hAnsi="Arial" w:cs="Arial"/>
          <w:sz w:val="22"/>
          <w:szCs w:val="22"/>
        </w:rPr>
        <w:t xml:space="preserve"> this is perhaps unsurprising. Ammonium was predicted as being the second-best metabolite after arginine, but evidence from natural endosymbioses implies that when the host is fully considered, this balance changes and ammonium is preferred. </w:t>
      </w:r>
      <w:r w:rsidR="00241B7C" w:rsidRPr="00530589">
        <w:rPr>
          <w:rFonts w:ascii="Arial" w:hAnsi="Arial" w:cs="Arial"/>
          <w:sz w:val="22"/>
          <w:szCs w:val="22"/>
        </w:rPr>
        <w:lastRenderedPageBreak/>
        <w:t xml:space="preserve">This assumes, however, that the exchange will be similar to current symbioses and it may be the case that a </w:t>
      </w:r>
      <w:r w:rsidR="00241B7C" w:rsidRPr="00530589">
        <w:rPr>
          <w:rFonts w:ascii="Arial" w:hAnsi="Arial" w:cs="Arial"/>
          <w:i/>
          <w:sz w:val="22"/>
          <w:szCs w:val="22"/>
        </w:rPr>
        <w:t>Synechocystis</w:t>
      </w:r>
      <w:r w:rsidR="00241B7C" w:rsidRPr="00530589">
        <w:rPr>
          <w:rFonts w:ascii="Arial" w:hAnsi="Arial" w:cs="Arial"/>
          <w:sz w:val="22"/>
          <w:szCs w:val="22"/>
        </w:rPr>
        <w:t>-</w:t>
      </w:r>
      <w:r w:rsidR="00241B7C" w:rsidRPr="00530589">
        <w:rPr>
          <w:rFonts w:ascii="Arial" w:hAnsi="Arial" w:cs="Arial"/>
          <w:i/>
          <w:sz w:val="22"/>
          <w:szCs w:val="22"/>
        </w:rPr>
        <w:t>Paramecium</w:t>
      </w:r>
      <w:r w:rsidR="00241B7C" w:rsidRPr="00530589">
        <w:rPr>
          <w:rFonts w:ascii="Arial" w:hAnsi="Arial" w:cs="Arial"/>
          <w:sz w:val="22"/>
          <w:szCs w:val="22"/>
        </w:rPr>
        <w:t xml:space="preserve"> endosymbiosis would have an unusual exchange reaction. </w:t>
      </w:r>
    </w:p>
    <w:p w14:paraId="615C8D11" w14:textId="77777777" w:rsidR="00241B7C" w:rsidRPr="00530589" w:rsidRDefault="00241B7C" w:rsidP="00C90F97">
      <w:pPr>
        <w:spacing w:line="360" w:lineRule="auto"/>
        <w:rPr>
          <w:rFonts w:ascii="Arial" w:hAnsi="Arial" w:cs="Arial"/>
          <w:sz w:val="22"/>
          <w:szCs w:val="22"/>
        </w:rPr>
      </w:pPr>
    </w:p>
    <w:p w14:paraId="19547804" w14:textId="33367335" w:rsidR="00241B7C" w:rsidRPr="00530589" w:rsidRDefault="00241B7C" w:rsidP="008B180E">
      <w:pPr>
        <w:spacing w:line="360" w:lineRule="auto"/>
        <w:rPr>
          <w:rFonts w:ascii="Arial" w:hAnsi="Arial" w:cs="Arial"/>
          <w:sz w:val="22"/>
          <w:szCs w:val="22"/>
        </w:rPr>
      </w:pPr>
      <w:r w:rsidRPr="00530589">
        <w:rPr>
          <w:rFonts w:ascii="Arial" w:hAnsi="Arial" w:cs="Arial"/>
          <w:sz w:val="22"/>
          <w:szCs w:val="22"/>
        </w:rPr>
        <w:t xml:space="preserve">Pyruvate as an exchange metabolite is unusual. There are a few examples where it is exchanged, for instance it is excreted by the bacterial symbiont of a </w:t>
      </w:r>
      <w:r w:rsidRPr="00530589">
        <w:rPr>
          <w:rFonts w:ascii="Arial" w:eastAsia="Arial Unicode MS" w:hAnsi="Arial" w:cs="Arial"/>
          <w:sz w:val="22"/>
          <w:szCs w:val="22"/>
          <w:shd w:val="clear" w:color="auto" w:fill="FFFFFF"/>
        </w:rPr>
        <w:t>luminescent fish</w:t>
      </w:r>
      <w:r w:rsidRPr="00530589">
        <w:rPr>
          <w:rFonts w:ascii="Arial" w:hAnsi="Arial" w:cs="Arial"/>
          <w:sz w:val="22"/>
          <w:szCs w:val="22"/>
        </w:rPr>
        <w:t xml:space="preserve">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1658g0ho33","properties":{"formattedCitation":"(49)","plainCitation":"(49)"},"citationItems":[{"id":183,"uris":["http://zotero.org/users/2452229/items/KHD3GEJK"],"uri":["http://zotero.org/users/2452229/items/KHD3GEJK"],"itemData":{"id":183,"type":"article-journal","title":"Luminous bacteria and light emitting fish: Ultrastructure of the symbiosis","container-title":"Biosystems","page":"269-280","volume":"11","issue":"4","source":"ScienceDirect","abstract":"The luminescent fish Monocentris japonicus uses symbiotic luminous bacteria as a source of light. These bacteria live in light organs, complex tissue compartments, consisting of richly vascularized tubules or canals (in which the bacteria are cultured) lined with mitochondria-rich epithelial cells. The structure is consistent with a proposed model of symbiosis in which nutrients and oxygen are supplied by the vertebrate blood (vascular system). The nutrients, oxidized by the bacteria for growth and light production, are returned in part to the fish as pyruvate, which by reacting with mitochondrial oxygen regulates the light organ oxygen tensions. The luminous bacteria provide steady light that is modulated by passage through the melanocyte-containing dermis of the fish. Both the fish and the bacteria are highly adapted for their symbiotic coexistence.","DOI":"10.1016/0303-2647(79)90027-3","ISSN":"0303-2647","shortTitle":"Luminous bacteria and light emitting fish","journalAbbreviation":"Biosystems","author":[{"family":"Tebo","given":"Bradley M."},{"family":"Scott Linthicum","given":"D."},{"family":"Nealson","given":"Kenneth H."}],"issued":{"date-parts":[["1979",12]]},"accessed":{"date-parts":[["2015",6,3]]}}}],"schema":"https://github.com/citation-style-language/schema/raw/master/csl-citation.json"}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(49)</w:t>
      </w:r>
      <w:r w:rsidR="00D541ED" w:rsidRPr="00530589">
        <w:rPr>
          <w:rFonts w:ascii="Arial" w:hAnsi="Arial" w:cs="Arial"/>
          <w:sz w:val="22"/>
          <w:szCs w:val="22"/>
        </w:rPr>
        <w:fldChar w:fldCharType="end"/>
      </w:r>
      <w:r w:rsidRPr="00530589">
        <w:rPr>
          <w:rFonts w:ascii="Arial" w:hAnsi="Arial" w:cs="Arial"/>
          <w:sz w:val="22"/>
          <w:szCs w:val="22"/>
        </w:rPr>
        <w:t xml:space="preserve">. The vast majority of symbioses, however, use simple carbohydrate sources instead; for instance glucose and glycerol are exchanged between dinoflagellates and cnidarians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2mmt60h9cv","properties":{"formattedCitation":"(50,51)","plainCitation":"(50,51)"},"citationItems":[{"id":248,"uris":["http://zotero.org/users/2452229/items/TGXFHADI"],"uri":["http://zotero.org/users/2452229/items/TGXFHADI"],"itemData":{"id":248,"type":"article-journal","title":"Evidence that glucose is the major transferred metabolite in dinoflagellate–cnidarian symbiosis","container-title":"The Journal of Experimental Biology","page":"3467-3477","volume":"215","issue":"19","source":"jeb.biologists.org","abstract":"Reef-building corals and many other cnidarians are symbiotic with dinoflagellates of the genus Symbiodinium. It has long been known that the endosymbiotic algae transfer much of their photosynthetically fixed carbon to the host and that this can provide much of the host's total energy. However, it has remained unclear which metabolite(s) are directly translocated from the algae into the host tissue. We reexamined this question in the small sea anemone Aiptasia using labeling of intact animals in the light with 13C-bicarbonate, rapid homogenization and separation of animal and algal fractions, and analysis of metabolite labeling by gas chromatography-mass spectrometry. We found labeled glucose in the animal fraction within 2 min of exposure to 13C-bicarbonate, whereas no significant labeling of other compounds was observed within the first 10 min. Although considerable previous evidence has suggested that glycerol might be a major translocated metabolite, we saw no significant labeling of glycerol within the first hour, and incubation of intact animals with 13C-labeled glycerol did not result in a rapid production of 13C-glucose. In contrast, when Symbiodinium cells freshly isolated from host tissue were exposed to light and 13C-bicarbonate in the presence of host homogenate, labeled glycerol, but not glucose, was detected in the medium. We also observed early production of labeled glucose, but not glycerol, in three coral species. Taken together, the results suggest that glucose is the major translocated metabolite in dinoflagellate–cnidarian symbiosis and that the release of glycerol from isolated algae may be part of a stress response.","DOI":"10.1242/jeb.070946","ISSN":"0022-0949, 1477-9145","journalAbbreviation":"J Exp Biol","language":"en","author":[{"family":"Burriesci","given":"Matthew S."},{"family":"Raab","given":"Theodore K."},{"family":"Pringle","given":"John R."}],"issued":{"date-parts":[["2012",10,1]]},"accessed":{"date-parts":[["2015",6,3]]}}},{"id":221,"uris":["http://zotero.org/users/2452229/items/MSN4XSMX"],"uri":["http://zotero.org/users/2452229/items/MSN4XSMX"],"itemData":{"id":221,"type":"article-journal","title":"Glycerol excretion by symbiotic algae from corals and tridacna and its control by the host","container-title":"Science (New York, N.Y.)","page":"516-519","volume":"156","issue":"3774","source":"PubMed","abstract":"Zooxanthellae isolated from reef corals and Tridacna crocea incorporate labeled carbon dioxide photosynthetically. In the presence of some component of the host tissue, up to 40 percent of the labeled algal photosynthate is liberated primarily as glycerol. Excretion of glycerol by the algae in situ and its control and utilization by the host may represent a mechanism by which zooxanthellae contribute to produtctivity of coral reefs.","DOI":"10.1126/science.156.3774.516","ISSN":"0036-8075","journalAbbreviation":"Science","language":"eng","author":[{"family":"Muscatine","given":"L."}],"issued":{"date-parts":[["1967",4,28]]}}}],"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(50,51)</w:t>
      </w:r>
      <w:r w:rsidR="00D541ED" w:rsidRPr="00530589">
        <w:rPr>
          <w:rFonts w:ascii="Arial" w:hAnsi="Arial" w:cs="Arial"/>
          <w:sz w:val="22"/>
          <w:szCs w:val="22"/>
        </w:rPr>
        <w:fldChar w:fldCharType="end"/>
      </w:r>
      <w:r w:rsidRPr="00530589">
        <w:rPr>
          <w:rFonts w:ascii="Arial" w:hAnsi="Arial" w:cs="Arial"/>
          <w:sz w:val="22"/>
          <w:szCs w:val="22"/>
        </w:rPr>
        <w:t xml:space="preserve">, maltose between </w:t>
      </w:r>
      <w:r w:rsidRPr="00530589">
        <w:rPr>
          <w:rFonts w:ascii="Arial" w:hAnsi="Arial" w:cs="Arial"/>
          <w:i/>
          <w:sz w:val="22"/>
          <w:szCs w:val="22"/>
        </w:rPr>
        <w:t>Paramecium</w:t>
      </w:r>
      <w:r w:rsidRPr="00530589">
        <w:rPr>
          <w:rFonts w:ascii="Arial" w:hAnsi="Arial" w:cs="Arial"/>
          <w:sz w:val="22"/>
          <w:szCs w:val="22"/>
        </w:rPr>
        <w:t>-</w:t>
      </w:r>
      <w:r w:rsidRPr="00530589">
        <w:rPr>
          <w:rFonts w:ascii="Arial" w:hAnsi="Arial" w:cs="Arial"/>
          <w:i/>
          <w:sz w:val="22"/>
          <w:szCs w:val="22"/>
        </w:rPr>
        <w:t>Chlorella</w:t>
      </w:r>
      <w:r w:rsidRPr="00530589">
        <w:rPr>
          <w:rFonts w:ascii="Arial" w:hAnsi="Arial" w:cs="Arial"/>
          <w:sz w:val="22"/>
          <w:szCs w:val="22"/>
        </w:rPr>
        <w:t xml:space="preserve">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t2rnmsg2f","properties":{"formattedCitation":"(17)","plainCitation":"(17)"},"citationItems":[{"id":409,"uris":["http://zotero.org/users/2452229/items/C6BEGFFT"],"uri":["http://zotero.org/users/2452229/items/C6BEGFFT"],"itemData":{"id":409,"type":"article-journal","title":"Evidence of de novo synthesis of maltose excreted by the endosymbiotic Chlorella from Paramecium bursaria.","container-title":"Planta","page":"481-5","volume":"153","issue":"5","abstract":"The endosymbiotic Chlorella sp. from Paramecium bursaria excretes maltose both in the light and in the dark. Experiments on photosynthetic (14)CO2 fixation and (14)CO2 pulse-chase experiments show that maltose is synthesized in the light directly from compounds of the Calvin cycle, whereas in the dark it results from starch degradation.","ISSN":"0032-0935","author":[{"family":"Ziesenisz","given":"E"},{"family":"Reisser","given":"W"},{"family":"Wiessner","given":"W"}],"issued":{"date-parts":[["1981",12]]}}}],"schema":"https://github.com/citation-style-language/schema/raw/master/csl-citation.json"}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(17)</w:t>
      </w:r>
      <w:r w:rsidR="00D541ED" w:rsidRPr="00530589">
        <w:rPr>
          <w:rFonts w:ascii="Arial" w:hAnsi="Arial" w:cs="Arial"/>
          <w:sz w:val="22"/>
          <w:szCs w:val="22"/>
        </w:rPr>
        <w:fldChar w:fldCharType="end"/>
      </w:r>
      <w:r w:rsidRPr="00530589">
        <w:rPr>
          <w:rFonts w:ascii="Arial" w:hAnsi="Arial" w:cs="Arial"/>
          <w:sz w:val="22"/>
          <w:szCs w:val="22"/>
        </w:rPr>
        <w:t>, and malate between Rhizobia-legumes</w:t>
      </w:r>
      <w:r w:rsidR="00D541ED" w:rsidRPr="00530589">
        <w:rPr>
          <w:rFonts w:ascii="Arial" w:hAnsi="Arial" w:cs="Arial"/>
          <w:sz w:val="22"/>
          <w:szCs w:val="22"/>
        </w:rPr>
        <w:t xml:space="preserve">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a5r2ks1ph","properties":{"formattedCitation":"(48)","plainCitation":"(48)"},"citationItems":[{"id":218,"uris":["http://zotero.org/users/2452229/items/2Z6TF94E"],"uri":["http://zotero.org/users/2452229/items/2Z6TF94E"],"itemData":{"id":218,"type":"article-journal","title":"Metabolic changes of rhizobia in legume nodules","container-title":"Trends in Microbiology","page":"161-168","volume":"14","issue":"4","source":"ScienceDirect","abstract":"Bacteria have evolved a wide variety of metabolic strategies to cope with varied environments. Some are specialists and only able to survive in restricted environments; others are generalists and able to cope with diverse environmental conditions. Rhizobia (e.g. Rhizobium, Sinorhizobium, Bradyrhizobium, Mesorhizobium and Azorhizobium species) can survive and compete for nutrients in soil and the plant rhizosphere but can also form a beneficial symbiosis with legumes in a highly specialized plant cell environment. Inside the legume-root nodule, the bacteria (bacteroids) reduce dinitrogen to ammonium, which is secreted to the plant in exchange for a carbon and energy source. A new and challenging aspect of nodule physiology is that nitrogen fixation requires the cycling of amino acids between the bacteroid and plant. This review aims to summarize the metabolic plasticity of rhizobia and the importance of amino acid cycling.","DOI":"10.1016/j.tim.2006.02.005","ISSN":"0966-842X","journalAbbreviation":"Trends in Microbiology","author":[{"family":"Prell","given":"Juergen"},{"family":"Poole","given":"Philip"}],"issued":{"date-parts":[["2006",4]]},"accessed":{"date-parts":[["2015",6,3]]}}}],"schema":"https://github.com/citation-style-language/schema/raw/master/csl-citation.json"}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(48)</w:t>
      </w:r>
      <w:r w:rsidR="00D541ED" w:rsidRPr="00530589">
        <w:rPr>
          <w:rFonts w:ascii="Arial" w:hAnsi="Arial" w:cs="Arial"/>
          <w:sz w:val="22"/>
          <w:szCs w:val="22"/>
        </w:rPr>
        <w:fldChar w:fldCharType="end"/>
      </w:r>
      <w:r w:rsidRPr="00530589">
        <w:rPr>
          <w:rFonts w:ascii="Arial" w:hAnsi="Arial" w:cs="Arial"/>
          <w:sz w:val="22"/>
          <w:szCs w:val="22"/>
        </w:rPr>
        <w:t xml:space="preserve">. This may be because pyruvate has a central role in metabolism and therefore feedback regulation, which means that changing its concentration could have knock-on detrimental effects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1p22mol6bp","properties":{"formattedCitation":"(52,53)","plainCitation":"(52,53)"},"citationItems":[{"id":273,"uris":["http://zotero.org/users/2452229/items/4A8EFF38"],"uri":["http://zotero.org/users/2452229/items/4A8EFF38"],"itemData":{"id":273,"type":"article-journal","title":"Importance of AOX pathway in optimizing photosynthesis under high light stress: role of pyruvate and malate in activating AOX","container-title":"Physiologia Plantarum","page":"13-26","volume":"139","issue":"1","source":"Wiley Online Library","abstract":"The present study shows the importance of alternative oxidase (AOX) pathway in optimizing photosynthesis under high light (HL). The responses of photosynthesis and respiration were monitored as O2 evolution and O2 uptake in mesophyll protoplasts of pea pre-incubated under different light intensities. Under HL (3000 µmol m−2 s−1), mesophyll protoplasts showed remarkable decrease in the rates of NaHCO3-dependent O2 evolution (indicator of photosynthetic carbon assimilation), while decrease in the rates of respiratory O2 uptake were marginal. While the capacity of AOX pathway increased significantly by two fold under HL, the capacity of cytochrome oxidase (COX) pathway decreased by &gt;50% compared with capacities under darkness and normal light (NL). Further, the total cellular levels of pyruvate and malate, which are assimilatory products of active photosynthesis and stimulators of AOX activity, were increased remarkably parallel to the increase in AOX protein under HL. Upon restriction of AOX pathway using salicylhydroxamic acid (SHAM), the observed decrease in NaHCO3-dependent O2 evolution or p-benzoquinone (BQ)-dependent O2 evolution [indicator of photosystem II (PSII) activity] and the increase in total cellular levels of pyruvate and malate were further aggravated/promoted under HL. The significance of raised malate and pyruvate levels in activation of AOX protein/AOX pathway, which in turn play an important role in dissipating excess chloroplastic reducing equivalents and sustenance of photosynthetic carbon assimilation to balance the effects of HL stress on photosynthesis, was depicted as a model.","DOI":"10.1111/j.1399-3054.2010.01346.x","ISSN":"1399-3054","shortTitle":"Importance of AOX pathway in optimizing photosynthesis under high light stress","language":"en","author":[{"family":"Dinakar","given":"Challabathula"},{"family":"Raghavendra","given":"Agepati S."},{"family":"Padmasree","given":"Kollipara"}],"issued":{"date-parts":[["2010",5,1]]},"accessed":{"date-parts":[["2015",6,4]]}}},{"id":263,"uris":["http://zotero.org/users/2452229/items/VHQV7QQT"],"uri":["http://zotero.org/users/2452229/items/VHQV7QQT"],"itemData":{"id":263,"type":"article-journal","title":"Interaction between photosynthesis and respiration in illuminated leaves.","container-title":"Mitochondrion","page":"87-99","volume":"8","issue":"1","abstract":"Plants are sessile organisms that often receive excessive amounts of light energy. This excess energy can be exported from the chloroplasts and dissipated by the mitochondrial respiratory chain. The inner membrane of plant mitochondria possesses unique non-phosphorylating pathways, involving alternative oxidase and type II NAD(P)H dehydrogenases. There are accumulating amounts of evidence showing that these energy-wasteful pathways are up-regulated under excess light conditions, suggesting that they play key roles in efficient photosynthesis. Based on recent advances in our understanding about the metabolic interaction between chloroplasts and mitochondria, we discuss the importance of the respiratory chain for stabilizing the photosynthetic system.","ISSN":"1567-7249","author":[{"family":"Noguchi","given":"Ko"},{"family":"Yoshida","given":"Keisuke"}],"issued":{"date-parts":[["2008",1]],"season":"undefined"}}}],"schema":"https://github.com/citation-style-language/schema/raw/master/csl-citation.json"}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(52,53)</w:t>
      </w:r>
      <w:r w:rsidR="00D541ED" w:rsidRPr="00530589">
        <w:rPr>
          <w:rFonts w:ascii="Arial" w:hAnsi="Arial" w:cs="Arial"/>
          <w:sz w:val="22"/>
          <w:szCs w:val="22"/>
        </w:rPr>
        <w:fldChar w:fldCharType="end"/>
      </w:r>
      <w:r w:rsidR="00D541ED" w:rsidRPr="00530589">
        <w:rPr>
          <w:rFonts w:ascii="Arial" w:hAnsi="Arial" w:cs="Arial"/>
          <w:sz w:val="22"/>
          <w:szCs w:val="22"/>
        </w:rPr>
        <w:t>.</w:t>
      </w:r>
      <w:r w:rsidRPr="00530589">
        <w:rPr>
          <w:rFonts w:ascii="Arial" w:hAnsi="Arial" w:cs="Arial"/>
          <w:sz w:val="22"/>
          <w:szCs w:val="22"/>
        </w:rPr>
        <w:t xml:space="preserve"> </w:t>
      </w:r>
      <w:r w:rsidR="0068118D">
        <w:rPr>
          <w:rFonts w:ascii="Arial" w:hAnsi="Arial" w:cs="Arial"/>
          <w:sz w:val="22"/>
          <w:szCs w:val="22"/>
        </w:rPr>
        <w:t xml:space="preserve"> </w:t>
      </w:r>
      <w:r w:rsidR="00650872" w:rsidRPr="00530589">
        <w:rPr>
          <w:rFonts w:ascii="Arial" w:hAnsi="Arial" w:cs="Arial"/>
          <w:sz w:val="22"/>
          <w:szCs w:val="22"/>
        </w:rPr>
        <w:t>The model cannot consider this potential regulation constraint for pyruvate</w:t>
      </w:r>
      <w:r w:rsidRPr="00530589">
        <w:rPr>
          <w:rFonts w:ascii="Arial" w:hAnsi="Arial" w:cs="Arial"/>
          <w:sz w:val="22"/>
          <w:szCs w:val="22"/>
        </w:rPr>
        <w:t xml:space="preserve"> because FBA modelling does not include regulation, which can lead to biologically implausible scenarios. Possible regulation conflicts affect many of the intermediates of glycolysis and the TCA cycle. For example, 3-phosphoglycerate has a positive feedback effect on photosystem protein synthesis; therefore, excess depletion could decrease photosynthesis </w:t>
      </w:r>
      <w:r w:rsidR="00D541ED" w:rsidRPr="00530589">
        <w:rPr>
          <w:rFonts w:ascii="Arial" w:hAnsi="Arial" w:cs="Arial"/>
          <w:sz w:val="22"/>
          <w:szCs w:val="22"/>
        </w:rPr>
        <w:fldChar w:fldCharType="begin"/>
      </w:r>
      <w:r w:rsidR="000F50B0">
        <w:rPr>
          <w:rFonts w:ascii="Arial" w:hAnsi="Arial" w:cs="Arial"/>
          <w:sz w:val="22"/>
          <w:szCs w:val="22"/>
        </w:rPr>
        <w:instrText xml:space="preserve"> ADDIN ZOTERO_ITEM CSL_CITATION {"citationID":"m768163hs","properties":{"formattedCitation":"(54)","plainCitation":"(54)"},"citationItems":[{"id":197,"uris":["http://zotero.org/users/2452229/items/GFT88ADA"],"uri":["http://zotero.org/users/2452229/items/GFT88ADA"],"itemData":{"id":197,"type":"article-journal","title":"Glycerate-3-phosphate, produced by CO2 fixation in the Calvin cycle, is critical for the synthesis of the D1 protein of photosystem II.","container-title":"Biochimica et biophysica acta","page":"198-205","volume":"1757","issue":"3","abstract":"We demonstrated recently that, in intact cells of Chlamydomonas reinhardtii, interruption of CO2 fixation via the Calvin cycle inhibits the synthesis of proteins in photosystem II (PSII), in particular, synthesis of the D1 protein, during the repair of PSII after photodamage. In the present study, we investigated the mechanism responsible for this phenomenon using intact chloroplasts isolated from spinach leaves. When CO2 fixation was inhibited by exogenous glycolaldehyde, which inhibits the phosphoribulokinase that synthesizes ribulose-1,5-bisphosphate, the synthesis de novo of the D1 protein was inhibited. However, when glycerate-3-phosphate (3-PGA), which is a product of CO2 fixation in the Calvin cycle, was supplied exogenously, the inhibitory effect of glycolaldehyde was abolished. A reduced supply of CO2 also suppressed the synthesis of the D1 protein, and this inhibitory effect was also abolished by exogenous 3-PGA. These findings suggest that the supply of 3-PGA, generated by CO2 fixation, is important for the synthesis of the D1 Protein. It is likely that 3-PGA accepts electrons from NADPH and decreases the level of reactive oxygen species, which inhibit the synthesis of proteins, such as the D1 protein.","ISSN":"0006-3002","author":[{"family":"Takahashi","given":"Shunichi"},{"family":"Murata","given":"Norio"}],"issued":{"date-parts":[["2006",3]]}}}],"schema":"https://github.com/citation-style-language/schema/raw/master/csl-citation.json"} </w:instrText>
      </w:r>
      <w:r w:rsidR="00D541ED" w:rsidRPr="00530589">
        <w:rPr>
          <w:rFonts w:ascii="Arial" w:hAnsi="Arial" w:cs="Arial"/>
          <w:sz w:val="22"/>
          <w:szCs w:val="22"/>
        </w:rPr>
        <w:fldChar w:fldCharType="separate"/>
      </w:r>
      <w:r w:rsidR="000F50B0" w:rsidRPr="000F50B0">
        <w:rPr>
          <w:rFonts w:ascii="Arial" w:hAnsi="Arial" w:cs="Arial"/>
          <w:sz w:val="22"/>
        </w:rPr>
        <w:t>(54)</w:t>
      </w:r>
      <w:r w:rsidR="00D541ED" w:rsidRPr="00530589">
        <w:rPr>
          <w:rFonts w:ascii="Arial" w:hAnsi="Arial" w:cs="Arial"/>
          <w:sz w:val="22"/>
          <w:szCs w:val="22"/>
        </w:rPr>
        <w:fldChar w:fldCharType="end"/>
      </w:r>
      <w:r w:rsidRPr="00530589">
        <w:rPr>
          <w:rFonts w:ascii="Arial" w:hAnsi="Arial" w:cs="Arial"/>
          <w:sz w:val="22"/>
          <w:szCs w:val="22"/>
        </w:rPr>
        <w:t xml:space="preserve">. The </w:t>
      </w:r>
      <w:proofErr w:type="gramStart"/>
      <w:r w:rsidRPr="00530589">
        <w:rPr>
          <w:rFonts w:ascii="Arial" w:hAnsi="Arial" w:cs="Arial"/>
          <w:sz w:val="22"/>
          <w:szCs w:val="22"/>
        </w:rPr>
        <w:t>consequences of the complicated regulation systems of the major metabolic pathways needs</w:t>
      </w:r>
      <w:proofErr w:type="gramEnd"/>
      <w:r w:rsidRPr="00530589">
        <w:rPr>
          <w:rFonts w:ascii="Arial" w:hAnsi="Arial" w:cs="Arial"/>
          <w:sz w:val="22"/>
          <w:szCs w:val="22"/>
        </w:rPr>
        <w:t xml:space="preserve"> </w:t>
      </w:r>
      <w:r w:rsidR="00D541ED" w:rsidRPr="00530589">
        <w:rPr>
          <w:rFonts w:ascii="Arial" w:hAnsi="Arial" w:cs="Arial"/>
          <w:sz w:val="22"/>
          <w:szCs w:val="22"/>
        </w:rPr>
        <w:t>to be taken into consideration.</w:t>
      </w:r>
    </w:p>
    <w:p w14:paraId="588CF2B7" w14:textId="77777777" w:rsidR="00D541ED" w:rsidRPr="00530589" w:rsidRDefault="00D541ED" w:rsidP="008B180E">
      <w:pPr>
        <w:spacing w:line="360" w:lineRule="auto"/>
        <w:rPr>
          <w:rFonts w:ascii="Arial" w:hAnsi="Arial" w:cs="Arial"/>
          <w:sz w:val="22"/>
          <w:szCs w:val="22"/>
        </w:rPr>
      </w:pPr>
    </w:p>
    <w:p w14:paraId="32483857" w14:textId="2E049C86" w:rsidR="00241B7C" w:rsidRPr="00530589" w:rsidRDefault="00241B7C" w:rsidP="00303F9A">
      <w:pPr>
        <w:spacing w:line="360" w:lineRule="auto"/>
        <w:rPr>
          <w:rFonts w:ascii="Arial" w:hAnsi="Arial" w:cs="Arial"/>
          <w:sz w:val="22"/>
          <w:szCs w:val="22"/>
        </w:rPr>
      </w:pPr>
      <w:r w:rsidRPr="00530589">
        <w:rPr>
          <w:rFonts w:ascii="Arial" w:hAnsi="Arial" w:cs="Arial"/>
          <w:sz w:val="22"/>
          <w:szCs w:val="22"/>
        </w:rPr>
        <w:t xml:space="preserve">The present work has predicted the optimum metabolic compound without the constraints of regulation. This is the first step required in understanding the co-evolution process as it reveals what the symbiont, in particular, would be ‘aiming’ for. Any diversions from the metabolically optimum exchange would reveal additional restraints, either from biochemical regulation or </w:t>
      </w:r>
      <w:r w:rsidR="00753F7E" w:rsidRPr="00530589">
        <w:rPr>
          <w:rFonts w:ascii="Arial" w:hAnsi="Arial" w:cs="Arial"/>
          <w:sz w:val="22"/>
          <w:szCs w:val="22"/>
        </w:rPr>
        <w:t>conflict between the organisms</w:t>
      </w:r>
      <w:r w:rsidR="006D7C9D">
        <w:rPr>
          <w:rFonts w:ascii="Arial" w:hAnsi="Arial" w:cs="Arial"/>
          <w:sz w:val="22"/>
          <w:szCs w:val="22"/>
        </w:rPr>
        <w:t>,</w:t>
      </w:r>
      <w:r w:rsidRPr="00530589">
        <w:rPr>
          <w:rFonts w:ascii="Arial" w:hAnsi="Arial" w:cs="Arial"/>
          <w:sz w:val="22"/>
          <w:szCs w:val="22"/>
        </w:rPr>
        <w:t xml:space="preserve"> and indicates which partner is forced to bear the cost of the endosymbiosis. For instance, if pyruvate is not often exchanged in modern symbioses it indicates that the carbon-providing organism is forced to invest in further converting the carbon source</w:t>
      </w:r>
      <w:r w:rsidR="00594348" w:rsidRPr="00530589">
        <w:rPr>
          <w:rFonts w:ascii="Arial" w:hAnsi="Arial" w:cs="Arial"/>
          <w:sz w:val="22"/>
          <w:szCs w:val="22"/>
        </w:rPr>
        <w:t xml:space="preserve">, </w:t>
      </w:r>
      <w:r w:rsidRPr="00530589">
        <w:rPr>
          <w:rFonts w:ascii="Arial" w:hAnsi="Arial" w:cs="Arial"/>
          <w:sz w:val="22"/>
          <w:szCs w:val="22"/>
        </w:rPr>
        <w:t xml:space="preserve">potentially because of host-controlled carbon transporters that could pull out pyruvate from the essential carbon reserves. </w:t>
      </w:r>
    </w:p>
    <w:p w14:paraId="17A61DA0" w14:textId="77777777" w:rsidR="00241B7C" w:rsidRPr="00530589" w:rsidRDefault="00241B7C" w:rsidP="00C90F97">
      <w:pPr>
        <w:spacing w:line="360" w:lineRule="auto"/>
        <w:rPr>
          <w:rFonts w:ascii="Arial" w:hAnsi="Arial" w:cs="Arial"/>
          <w:sz w:val="22"/>
          <w:szCs w:val="22"/>
        </w:rPr>
      </w:pPr>
    </w:p>
    <w:p w14:paraId="5ACB498E" w14:textId="4E30268C" w:rsidR="00241B7C" w:rsidRPr="00530589" w:rsidRDefault="00241B7C" w:rsidP="00C90F97">
      <w:pPr>
        <w:spacing w:line="360" w:lineRule="auto"/>
        <w:rPr>
          <w:rFonts w:ascii="Arial" w:hAnsi="Arial" w:cs="Arial"/>
          <w:sz w:val="22"/>
          <w:szCs w:val="22"/>
        </w:rPr>
      </w:pPr>
      <w:r w:rsidRPr="00530589">
        <w:rPr>
          <w:rFonts w:ascii="Arial" w:hAnsi="Arial" w:cs="Arial"/>
          <w:sz w:val="22"/>
          <w:szCs w:val="22"/>
        </w:rPr>
        <w:t xml:space="preserve">In addition, the model predicts a change from glutamate to arginine as the endosymbiosis progresses, and because arginine has the most markedly different metabolism, this reveals that perhaps the metabolic adaptation to mutualism is more extreme than to the initial symbiosis. This more severe change would, however, have the advantage of being a transition that could develop over time, while the initial symbiotic event is abrupt. The </w:t>
      </w:r>
      <w:r w:rsidR="00650872" w:rsidRPr="00530589">
        <w:rPr>
          <w:rFonts w:ascii="Arial" w:hAnsi="Arial" w:cs="Arial"/>
          <w:sz w:val="22"/>
          <w:szCs w:val="22"/>
        </w:rPr>
        <w:t>results of varying the C</w:t>
      </w:r>
      <w:proofErr w:type="gramStart"/>
      <w:r w:rsidR="00650872" w:rsidRPr="00530589">
        <w:rPr>
          <w:rFonts w:ascii="Arial" w:hAnsi="Arial" w:cs="Arial"/>
          <w:sz w:val="22"/>
          <w:szCs w:val="22"/>
        </w:rPr>
        <w:t>:N</w:t>
      </w:r>
      <w:proofErr w:type="gramEnd"/>
      <w:r w:rsidR="00650872" w:rsidRPr="00530589">
        <w:rPr>
          <w:rFonts w:ascii="Arial" w:hAnsi="Arial" w:cs="Arial"/>
          <w:sz w:val="22"/>
          <w:szCs w:val="22"/>
        </w:rPr>
        <w:t xml:space="preserve"> ratio and the degree of </w:t>
      </w:r>
      <w:r w:rsidR="00650872" w:rsidRPr="00530589">
        <w:rPr>
          <w:rFonts w:ascii="Arial" w:hAnsi="Arial" w:cs="Arial"/>
          <w:sz w:val="22"/>
          <w:szCs w:val="22"/>
        </w:rPr>
        <w:lastRenderedPageBreak/>
        <w:t>carbon compensation also support</w:t>
      </w:r>
      <w:r w:rsidRPr="00530589">
        <w:rPr>
          <w:rFonts w:ascii="Arial" w:hAnsi="Arial" w:cs="Arial"/>
          <w:sz w:val="22"/>
          <w:szCs w:val="22"/>
        </w:rPr>
        <w:t xml:space="preserve"> the idea that the initial adaptation is plausible and does not require much adjustment. </w:t>
      </w:r>
    </w:p>
    <w:p w14:paraId="43D1C2E6" w14:textId="77777777" w:rsidR="00241B7C" w:rsidRPr="00530589" w:rsidRDefault="00241B7C" w:rsidP="00C90F97">
      <w:pPr>
        <w:spacing w:line="360" w:lineRule="auto"/>
        <w:rPr>
          <w:rFonts w:ascii="Arial" w:hAnsi="Arial" w:cs="Arial"/>
          <w:sz w:val="22"/>
          <w:szCs w:val="22"/>
        </w:rPr>
      </w:pPr>
    </w:p>
    <w:p w14:paraId="612EC420" w14:textId="77777777" w:rsidR="00241B7C" w:rsidRPr="005F5C62" w:rsidRDefault="00241B7C" w:rsidP="00C90F97">
      <w:pPr>
        <w:spacing w:line="360" w:lineRule="auto"/>
        <w:rPr>
          <w:rFonts w:ascii="Arial" w:hAnsi="Arial" w:cs="Arial"/>
          <w:sz w:val="22"/>
          <w:szCs w:val="22"/>
        </w:rPr>
      </w:pPr>
      <w:r w:rsidRPr="00530589">
        <w:rPr>
          <w:rFonts w:ascii="Arial" w:hAnsi="Arial" w:cs="Arial"/>
          <w:sz w:val="22"/>
          <w:szCs w:val="22"/>
        </w:rPr>
        <w:t xml:space="preserve">This work has demonstrated how FBA modelling can be applied to evolutionary questions. Parameter values are used that allow the metabolism of </w:t>
      </w:r>
      <w:r w:rsidRPr="00530589">
        <w:rPr>
          <w:rFonts w:ascii="Arial" w:hAnsi="Arial" w:cs="Arial"/>
          <w:i/>
          <w:sz w:val="22"/>
          <w:szCs w:val="22"/>
        </w:rPr>
        <w:t>Synechocystis</w:t>
      </w:r>
      <w:r w:rsidRPr="00530589">
        <w:rPr>
          <w:rFonts w:ascii="Arial" w:hAnsi="Arial" w:cs="Arial"/>
          <w:sz w:val="22"/>
          <w:szCs w:val="22"/>
        </w:rPr>
        <w:t xml:space="preserve"> to be studied over a spectrum of cooperation. This analysis is analogous to the potential changes that the symbiont may undergo as it adapts from a free-living organism to living within a host. These predications are applicable to the primary endosymbiotic event and provide a mechanism by which metabolism of an ancient event can be inferred.</w:t>
      </w:r>
      <w:r w:rsidRPr="005F5C62">
        <w:rPr>
          <w:rFonts w:ascii="Arial" w:hAnsi="Arial" w:cs="Arial"/>
          <w:sz w:val="22"/>
          <w:szCs w:val="22"/>
        </w:rPr>
        <w:t xml:space="preserve"> </w:t>
      </w:r>
    </w:p>
    <w:p w14:paraId="5A26DFE8" w14:textId="77777777" w:rsidR="00241B7C" w:rsidRPr="00255078" w:rsidRDefault="00241B7C" w:rsidP="004F3DE4">
      <w:pPr>
        <w:spacing w:line="360" w:lineRule="auto"/>
        <w:rPr>
          <w:rFonts w:ascii="Arial" w:hAnsi="Arial" w:cs="Arial"/>
          <w:sz w:val="22"/>
          <w:szCs w:val="22"/>
        </w:rPr>
      </w:pPr>
    </w:p>
    <w:p w14:paraId="6B52B8E7" w14:textId="7ABA3FED" w:rsidR="007B73E6" w:rsidRPr="00EE4251" w:rsidRDefault="00E07EA0" w:rsidP="004F3DE4">
      <w:pPr>
        <w:spacing w:line="360" w:lineRule="auto"/>
        <w:rPr>
          <w:rFonts w:ascii="Arial" w:hAnsi="Arial" w:cs="Arial"/>
          <w:sz w:val="22"/>
          <w:szCs w:val="22"/>
        </w:rPr>
      </w:pPr>
      <w:r w:rsidRPr="00EE4251">
        <w:rPr>
          <w:rFonts w:ascii="Arial" w:hAnsi="Arial" w:cs="Arial"/>
          <w:sz w:val="22"/>
          <w:szCs w:val="22"/>
        </w:rPr>
        <w:t>Funding</w:t>
      </w:r>
    </w:p>
    <w:p w14:paraId="5F8C645C" w14:textId="77777777" w:rsidR="007B73E6" w:rsidRPr="00EE4251" w:rsidRDefault="007B73E6" w:rsidP="004F3DE4">
      <w:pPr>
        <w:spacing w:line="360" w:lineRule="auto"/>
        <w:rPr>
          <w:rFonts w:ascii="Arial" w:hAnsi="Arial" w:cs="Arial"/>
          <w:sz w:val="22"/>
          <w:szCs w:val="22"/>
        </w:rPr>
      </w:pPr>
      <w:r w:rsidRPr="00EE4251">
        <w:rPr>
          <w:rFonts w:ascii="Arial" w:hAnsi="Arial" w:cs="Arial"/>
          <w:sz w:val="22"/>
          <w:szCs w:val="22"/>
        </w:rPr>
        <w:t xml:space="preserve">MESS was supported by start-up funding from University of York to MAB. </w:t>
      </w:r>
    </w:p>
    <w:p w14:paraId="7BB02C04" w14:textId="34E3F0B5" w:rsidR="00E07EA0" w:rsidRDefault="00E07EA0" w:rsidP="004F3DE4">
      <w:pPr>
        <w:spacing w:line="360" w:lineRule="auto"/>
        <w:rPr>
          <w:rFonts w:ascii="Arial" w:hAnsi="Arial" w:cs="Arial"/>
          <w:color w:val="333333"/>
          <w:sz w:val="21"/>
          <w:szCs w:val="21"/>
          <w:shd w:val="clear" w:color="auto" w:fill="FFFFFF"/>
        </w:rPr>
      </w:pPr>
      <w:bookmarkStart w:id="0" w:name="_GoBack"/>
      <w:bookmarkEnd w:id="0"/>
    </w:p>
    <w:p w14:paraId="104E0F42" w14:textId="77777777" w:rsidR="00E07EA0" w:rsidRDefault="00E07EA0" w:rsidP="004F3DE4">
      <w:pPr>
        <w:spacing w:line="360" w:lineRule="auto"/>
        <w:rPr>
          <w:rFonts w:ascii="Arial" w:hAnsi="Arial" w:cs="Arial"/>
          <w:color w:val="333333"/>
          <w:sz w:val="21"/>
          <w:szCs w:val="21"/>
          <w:shd w:val="clear" w:color="auto" w:fill="FFFFFF"/>
        </w:rPr>
      </w:pPr>
    </w:p>
    <w:p w14:paraId="1572CDCB" w14:textId="77777777" w:rsidR="00E07EA0" w:rsidRDefault="00E07EA0" w:rsidP="004F3DE4">
      <w:pPr>
        <w:spacing w:line="360" w:lineRule="auto"/>
        <w:rPr>
          <w:rFonts w:ascii="Arial" w:hAnsi="Arial" w:cs="Arial"/>
          <w:sz w:val="22"/>
          <w:szCs w:val="22"/>
        </w:rPr>
      </w:pPr>
    </w:p>
    <w:p w14:paraId="3348E5DE" w14:textId="77777777" w:rsidR="0023663C" w:rsidRDefault="0023663C" w:rsidP="004F3DE4">
      <w:pPr>
        <w:spacing w:line="360" w:lineRule="auto"/>
        <w:rPr>
          <w:rFonts w:ascii="Arial" w:hAnsi="Arial" w:cs="Arial"/>
          <w:sz w:val="22"/>
          <w:szCs w:val="22"/>
        </w:rPr>
      </w:pPr>
      <w:r>
        <w:rPr>
          <w:rFonts w:ascii="Arial" w:hAnsi="Arial" w:cs="Arial"/>
          <w:sz w:val="22"/>
          <w:szCs w:val="22"/>
        </w:rPr>
        <w:t>References</w:t>
      </w:r>
    </w:p>
    <w:p w14:paraId="0926F629" w14:textId="77777777" w:rsidR="000F50B0" w:rsidRDefault="0023663C" w:rsidP="000F50B0">
      <w:pPr>
        <w:pStyle w:val="Bibliography"/>
      </w:pPr>
      <w:r>
        <w:rPr>
          <w:rFonts w:ascii="Arial" w:hAnsi="Arial" w:cs="Arial"/>
          <w:sz w:val="22"/>
          <w:szCs w:val="22"/>
        </w:rPr>
        <w:fldChar w:fldCharType="begin"/>
      </w:r>
      <w:r w:rsidR="000F50B0">
        <w:rPr>
          <w:rFonts w:ascii="Arial" w:hAnsi="Arial" w:cs="Arial"/>
          <w:sz w:val="22"/>
          <w:szCs w:val="22"/>
        </w:rPr>
        <w:instrText xml:space="preserve"> ADDIN ZOTERO_BIBL {"custom":[]} CSL_BIBLIOGRAPHY </w:instrText>
      </w:r>
      <w:r>
        <w:rPr>
          <w:rFonts w:ascii="Arial" w:hAnsi="Arial" w:cs="Arial"/>
          <w:sz w:val="22"/>
          <w:szCs w:val="22"/>
        </w:rPr>
        <w:fldChar w:fldCharType="separate"/>
      </w:r>
      <w:r w:rsidR="000F50B0">
        <w:t xml:space="preserve">1. </w:t>
      </w:r>
      <w:r w:rsidR="000F50B0">
        <w:tab/>
        <w:t xml:space="preserve">Keeling PJ. The number, speed, and impact of plastid endosymbioses in eukaryotic evolution. Annu Rev Plant Biol. 2013;64:583–607. </w:t>
      </w:r>
    </w:p>
    <w:p w14:paraId="36BE2882" w14:textId="77777777" w:rsidR="000F50B0" w:rsidRDefault="000F50B0" w:rsidP="000F50B0">
      <w:pPr>
        <w:pStyle w:val="Bibliography"/>
      </w:pPr>
      <w:r>
        <w:t xml:space="preserve">2. </w:t>
      </w:r>
      <w:r>
        <w:tab/>
        <w:t xml:space="preserve">Mereschkowsky C. Über Natur und Ursprung der Chromatophoren im Pflanzenreiche. Biologisches Centralblatt 25/18: 38–604, ed. J Rosenthal. 1905; </w:t>
      </w:r>
    </w:p>
    <w:p w14:paraId="3824E41C" w14:textId="77777777" w:rsidR="000F50B0" w:rsidRDefault="000F50B0" w:rsidP="000F50B0">
      <w:pPr>
        <w:pStyle w:val="Bibliography"/>
      </w:pPr>
      <w:r>
        <w:t xml:space="preserve">3. </w:t>
      </w:r>
      <w:r>
        <w:tab/>
        <w:t xml:space="preserve">Sagan L. On the origin of mitosing cells. J Theor Biol. 1967 Mar;14(3):255–74. </w:t>
      </w:r>
    </w:p>
    <w:p w14:paraId="7A4FDAB0" w14:textId="77777777" w:rsidR="000F50B0" w:rsidRDefault="000F50B0" w:rsidP="000F50B0">
      <w:pPr>
        <w:pStyle w:val="Bibliography"/>
      </w:pPr>
      <w:r>
        <w:t xml:space="preserve">4. </w:t>
      </w:r>
      <w:r>
        <w:tab/>
        <w:t xml:space="preserve">Zablen LB, Kissil MS, Woese CR, Buetow DE. Phylogenetic origin of the chloroplast and prokaryotic nature of its ribosomal RNA. Proc Natl Acad Sci. 1975 Jun 1;72(6):2418–22. </w:t>
      </w:r>
    </w:p>
    <w:p w14:paraId="64858DF1" w14:textId="77777777" w:rsidR="000F50B0" w:rsidRDefault="000F50B0" w:rsidP="000F50B0">
      <w:pPr>
        <w:pStyle w:val="Bibliography"/>
      </w:pPr>
      <w:r>
        <w:t xml:space="preserve">5. </w:t>
      </w:r>
      <w:r>
        <w:tab/>
        <w:t xml:space="preserve">Raven PH. A multiple origin for plastids and mitochondria. Science. 1970 Aug 14;169(3946):641–6. </w:t>
      </w:r>
    </w:p>
    <w:p w14:paraId="72A34810" w14:textId="77777777" w:rsidR="000F50B0" w:rsidRDefault="000F50B0" w:rsidP="000F50B0">
      <w:pPr>
        <w:pStyle w:val="Bibliography"/>
      </w:pPr>
      <w:r>
        <w:t xml:space="preserve">6. </w:t>
      </w:r>
      <w:r>
        <w:tab/>
        <w:t xml:space="preserve">Bonen L, Doolittle WF. On the prokaryotic nature of red algal chloroplasts. Proc Natl Acad Sci. 1975 Jun 1;72(6):2310–4. </w:t>
      </w:r>
    </w:p>
    <w:p w14:paraId="7D109521" w14:textId="77777777" w:rsidR="000F50B0" w:rsidRDefault="000F50B0" w:rsidP="000F50B0">
      <w:pPr>
        <w:pStyle w:val="Bibliography"/>
      </w:pPr>
      <w:r>
        <w:t xml:space="preserve">7. </w:t>
      </w:r>
      <w:r>
        <w:tab/>
        <w:t xml:space="preserve">Schwarz Z, Kössel H. The primary structure of 16S rDNA from Zea mays chloroplast is homologous to E. coli 16S rRNA. Nature. 1980 Feb 1;283:739–42. </w:t>
      </w:r>
    </w:p>
    <w:p w14:paraId="003614D8" w14:textId="77777777" w:rsidR="000F50B0" w:rsidRDefault="000F50B0" w:rsidP="000F50B0">
      <w:pPr>
        <w:pStyle w:val="Bibliography"/>
      </w:pPr>
      <w:r>
        <w:t xml:space="preserve">8. </w:t>
      </w:r>
      <w:r>
        <w:tab/>
        <w:t xml:space="preserve">Cavalier-Smith T. Symbiogenesis: Mechanisms, Evolutionary Consequences, and Systematic Implications. Annu Rev Ecol Evol Syst. 2013;44(1):145–72. </w:t>
      </w:r>
    </w:p>
    <w:p w14:paraId="35CA4DB4" w14:textId="77777777" w:rsidR="000F50B0" w:rsidRDefault="000F50B0" w:rsidP="000F50B0">
      <w:pPr>
        <w:pStyle w:val="Bibliography"/>
      </w:pPr>
      <w:r>
        <w:lastRenderedPageBreak/>
        <w:t xml:space="preserve">9. </w:t>
      </w:r>
      <w:r>
        <w:tab/>
        <w:t xml:space="preserve">Dyall SD, Brown MT, Johnson PJ. Ancient invasions: from endosymbionts to organelles. Science. 2004 Apr 9;304(5668):253–7. </w:t>
      </w:r>
    </w:p>
    <w:p w14:paraId="2D13C4D1" w14:textId="77777777" w:rsidR="000F50B0" w:rsidRDefault="000F50B0" w:rsidP="000F50B0">
      <w:pPr>
        <w:pStyle w:val="Bibliography"/>
      </w:pPr>
      <w:r>
        <w:t xml:space="preserve">10. </w:t>
      </w:r>
      <w:r>
        <w:tab/>
        <w:t xml:space="preserve">Martin W, Herrmann RG. Gene Transfer from Organelles to the Nucleus: How Much, What Happens, and Why? Plant Physiol. 1998 Sep;118(1):9–17. </w:t>
      </w:r>
    </w:p>
    <w:p w14:paraId="6A72404B" w14:textId="77777777" w:rsidR="000F50B0" w:rsidRDefault="000F50B0" w:rsidP="000F50B0">
      <w:pPr>
        <w:pStyle w:val="Bibliography"/>
      </w:pPr>
      <w:r>
        <w:t xml:space="preserve">11. </w:t>
      </w:r>
      <w:r>
        <w:tab/>
        <w:t xml:space="preserve">Martin W, Rujan T, Richly E, Hansen A, Cornelsen S, Lins T, et al. Evolutionary analysis of Arabidopsis, cyanobacterial, and chloroplast genomes reveals plastid phylogeny and thousands of cyanobacterial genes in the nucleus. Proc Natl Acad Sci U S A. 2002 Sep 17;99(19):12246–51. </w:t>
      </w:r>
    </w:p>
    <w:p w14:paraId="3C196A31" w14:textId="77777777" w:rsidR="000F50B0" w:rsidRDefault="000F50B0" w:rsidP="000F50B0">
      <w:pPr>
        <w:pStyle w:val="Bibliography"/>
      </w:pPr>
      <w:r>
        <w:t xml:space="preserve">12. </w:t>
      </w:r>
      <w:r>
        <w:tab/>
        <w:t xml:space="preserve">Chua N-H, Schmidt GW. Post-translational transport into intact chloroplasts of a precursor to the small subunit of ribulose-1,5-bisphosphate carboxylase. Proc Natl Acad Sci U S A. 1978 Dec;75(12):6110–4. </w:t>
      </w:r>
    </w:p>
    <w:p w14:paraId="360BB7B0" w14:textId="77777777" w:rsidR="000F50B0" w:rsidRDefault="000F50B0" w:rsidP="000F50B0">
      <w:pPr>
        <w:pStyle w:val="Bibliography"/>
      </w:pPr>
      <w:r>
        <w:t xml:space="preserve">13. </w:t>
      </w:r>
      <w:r>
        <w:tab/>
        <w:t xml:space="preserve">Ohkawa H, Hashimoto N, Furukawa S, Kadono T, Kawano T. Forced symbiosis between Synechocystis spp. PCC 6803 and apo-symbiotic Paramecium bursaria as an experimental model for evolutionary emergence of primitive photosynthetic eukaryotes. Plant Signal Behav. 2011 Jun;6(6):773–6. </w:t>
      </w:r>
    </w:p>
    <w:p w14:paraId="7A92A543" w14:textId="77777777" w:rsidR="000F50B0" w:rsidRDefault="000F50B0" w:rsidP="000F50B0">
      <w:pPr>
        <w:pStyle w:val="Bibliography"/>
      </w:pPr>
      <w:r>
        <w:t xml:space="preserve">14. </w:t>
      </w:r>
      <w:r>
        <w:tab/>
        <w:t xml:space="preserve">Johnson MD. The acquisition of phototrophy: adaptive strategies of hosting endosymbionts and organelles. Photosynth Res. 2011 Jan;107(1):117–32. </w:t>
      </w:r>
    </w:p>
    <w:p w14:paraId="66DB02BC" w14:textId="77777777" w:rsidR="000F50B0" w:rsidRDefault="000F50B0" w:rsidP="000F50B0">
      <w:pPr>
        <w:pStyle w:val="Bibliography"/>
      </w:pPr>
      <w:r>
        <w:t xml:space="preserve">15. </w:t>
      </w:r>
      <w:r>
        <w:tab/>
        <w:t xml:space="preserve">Kodama Y, Fujishima M. Four Important Cytological Events Needed to establish Endosymbiosis of Symbiotic Chlorella Sp. to the Alga-Free Paramecium Bursaria of. Jpn J Protozool. 2011;44(1 SRC  - GoogleScholar):1. </w:t>
      </w:r>
    </w:p>
    <w:p w14:paraId="7B04C8D3" w14:textId="77777777" w:rsidR="000F50B0" w:rsidRDefault="000F50B0" w:rsidP="000F50B0">
      <w:pPr>
        <w:pStyle w:val="Bibliography"/>
      </w:pPr>
      <w:r>
        <w:t xml:space="preserve">16. </w:t>
      </w:r>
      <w:r>
        <w:tab/>
        <w:t xml:space="preserve">Miwa I, Fujimori N, Tanaka M. Effects of Symbiotic Chlorella on the Period Length and the Phase Shift of Circadian Rhythms in Paramecium Bursaria. Eur J Protistol. 1996;32:102–7. </w:t>
      </w:r>
    </w:p>
    <w:p w14:paraId="01994164" w14:textId="77777777" w:rsidR="000F50B0" w:rsidRDefault="000F50B0" w:rsidP="000F50B0">
      <w:pPr>
        <w:pStyle w:val="Bibliography"/>
      </w:pPr>
      <w:r>
        <w:t xml:space="preserve">17. </w:t>
      </w:r>
      <w:r>
        <w:tab/>
        <w:t xml:space="preserve">Ziesenisz E, Reisser W, Wiessner W. Evidence of de novo synthesis of maltose excreted by the endosymbiotic Chlorella from Paramecium bursaria. Planta. 1981 Dec;153(5):481–5. </w:t>
      </w:r>
    </w:p>
    <w:p w14:paraId="6F6E3AAB" w14:textId="77777777" w:rsidR="000F50B0" w:rsidRDefault="000F50B0" w:rsidP="000F50B0">
      <w:pPr>
        <w:pStyle w:val="Bibliography"/>
      </w:pPr>
      <w:r>
        <w:t xml:space="preserve">18. </w:t>
      </w:r>
      <w:r>
        <w:tab/>
        <w:t xml:space="preserve">Kato Y, Imamura N. Effect of sugars on amino acid transport by symbiotic Chlorella. Plant Physiol Biochem PPB Soc Francaise Physiol Veg. 2008;46(10):911–7. </w:t>
      </w:r>
    </w:p>
    <w:p w14:paraId="72CDABCE" w14:textId="77777777" w:rsidR="000F50B0" w:rsidRDefault="000F50B0" w:rsidP="000F50B0">
      <w:pPr>
        <w:pStyle w:val="Bibliography"/>
      </w:pPr>
      <w:r>
        <w:t xml:space="preserve">19. </w:t>
      </w:r>
      <w:r>
        <w:tab/>
        <w:t xml:space="preserve">Kato Y, Imamura N. Effect of Calcium Ion on Uptake of Amino Acids by Symbiotic Chlorella F36-from Japanese Paramecium Bursaria. Plant Sci. 2008;174:88–96. </w:t>
      </w:r>
    </w:p>
    <w:p w14:paraId="5744E29D" w14:textId="77777777" w:rsidR="000F50B0" w:rsidRDefault="000F50B0" w:rsidP="000F50B0">
      <w:pPr>
        <w:pStyle w:val="Bibliography"/>
      </w:pPr>
      <w:r>
        <w:t xml:space="preserve">20. </w:t>
      </w:r>
      <w:r>
        <w:tab/>
        <w:t xml:space="preserve">Soldo A, Godoy G, Larin F. Excretory Nature of Refractile Bodies in the Marine Ciliate Parauronema Acutum. J Protozool. 1978;25(3):416–8. </w:t>
      </w:r>
    </w:p>
    <w:p w14:paraId="08B686B7" w14:textId="77777777" w:rsidR="000F50B0" w:rsidRDefault="000F50B0" w:rsidP="000F50B0">
      <w:pPr>
        <w:pStyle w:val="Bibliography"/>
      </w:pPr>
      <w:r>
        <w:t xml:space="preserve">21. </w:t>
      </w:r>
      <w:r>
        <w:tab/>
        <w:t xml:space="preserve">Shah N, Syrett P. The Uptake of Guanine and Hypoxanthine by Marine Microalgae. J Mar Biol Assoc U K. 1984;64(03):545–56. </w:t>
      </w:r>
    </w:p>
    <w:p w14:paraId="5D5AE09D" w14:textId="77777777" w:rsidR="000F50B0" w:rsidRDefault="000F50B0" w:rsidP="000F50B0">
      <w:pPr>
        <w:pStyle w:val="Bibliography"/>
      </w:pPr>
      <w:r>
        <w:lastRenderedPageBreak/>
        <w:t xml:space="preserve">22. </w:t>
      </w:r>
      <w:r>
        <w:tab/>
        <w:t xml:space="preserve">Ramsey J, MacDonald S, Jander G, Nakabachi A, Thomas G, Douglas A. Genomic Evidence for Complementary Purine Metabolism in the Pea Aphid, Acyrthosiphon Pisum, and Its Symbiotic Bacterium Buchnera Aphidicola. Insect Mol Biol. 2010;19(March):241–8. </w:t>
      </w:r>
    </w:p>
    <w:p w14:paraId="0267C17A" w14:textId="77777777" w:rsidR="000F50B0" w:rsidRDefault="000F50B0" w:rsidP="000F50B0">
      <w:pPr>
        <w:pStyle w:val="Bibliography"/>
      </w:pPr>
      <w:r>
        <w:t xml:space="preserve">23. </w:t>
      </w:r>
      <w:r>
        <w:tab/>
        <w:t xml:space="preserve">Thomas GH, Zucker J, Macdonald SJ, Sorokin A, Goryanin I, Douglas AE. A fragile metabolic network adapted for cooperation in the symbiotic bacterium Buchnera aphidicola. BMC Syst Biol. 2009 Feb 21;3(1):24. </w:t>
      </w:r>
    </w:p>
    <w:p w14:paraId="61762203" w14:textId="77777777" w:rsidR="000F50B0" w:rsidRDefault="000F50B0" w:rsidP="000F50B0">
      <w:pPr>
        <w:pStyle w:val="Bibliography"/>
      </w:pPr>
      <w:r>
        <w:t xml:space="preserve">24. </w:t>
      </w:r>
      <w:r>
        <w:tab/>
        <w:t xml:space="preserve">Ball S, Colleoni C, Cenci U, Raj JN, Tirtiaux C. The evolution of glycogen and starch metabolism in eukaryotes gives molecular clues to understand the establishment of plastid endosymbiosis. J Exp Bot. 2011 Mar 1;62(6):1775–801. </w:t>
      </w:r>
    </w:p>
    <w:p w14:paraId="0C03ABE1" w14:textId="77777777" w:rsidR="000F50B0" w:rsidRDefault="000F50B0" w:rsidP="000F50B0">
      <w:pPr>
        <w:pStyle w:val="Bibliography"/>
      </w:pPr>
      <w:r>
        <w:t xml:space="preserve">25. </w:t>
      </w:r>
      <w:r>
        <w:tab/>
        <w:t xml:space="preserve">Niittylä T, Messerli G, Trevisan M, Chen J, Smith AM, Zeeman SC. A previously unknown maltose transporter essential for starch degradation in leaves. Science. 2004 Jan 2;303(5654):87–9. </w:t>
      </w:r>
    </w:p>
    <w:p w14:paraId="03E5989B" w14:textId="77777777" w:rsidR="000F50B0" w:rsidRDefault="000F50B0" w:rsidP="000F50B0">
      <w:pPr>
        <w:pStyle w:val="Bibliography"/>
      </w:pPr>
      <w:r>
        <w:t xml:space="preserve">26. </w:t>
      </w:r>
      <w:r>
        <w:tab/>
        <w:t xml:space="preserve">Orth JD, Thiele I, Palsson BØ. What is flux balance analysis? Nat Biotechnol. 2010 Mar;28(3):245–8. </w:t>
      </w:r>
    </w:p>
    <w:p w14:paraId="1A1C18D3" w14:textId="77777777" w:rsidR="000F50B0" w:rsidRDefault="000F50B0" w:rsidP="000F50B0">
      <w:pPr>
        <w:pStyle w:val="Bibliography"/>
      </w:pPr>
      <w:r>
        <w:t xml:space="preserve">27. </w:t>
      </w:r>
      <w:r>
        <w:tab/>
        <w:t xml:space="preserve">Varma A, Palsson BO. Stoichiometric flux balance models quantitatively predict growth and metabolic by-product secretion in wild-type Escherichia coli W3110. Appl Environ Microbiol. 1994 Oct;60(10):3724–31. </w:t>
      </w:r>
    </w:p>
    <w:p w14:paraId="42F11811" w14:textId="77777777" w:rsidR="000F50B0" w:rsidRDefault="000F50B0" w:rsidP="000F50B0">
      <w:pPr>
        <w:pStyle w:val="Bibliography"/>
      </w:pPr>
      <w:r>
        <w:t xml:space="preserve">28. </w:t>
      </w:r>
      <w:r>
        <w:tab/>
        <w:t xml:space="preserve">Varma A, Palsson B. Metabolic Flux Balancing: Basic Concepts, Scientific and Practical Use. Nat Biotechnol. 1994;12(10):994–8. </w:t>
      </w:r>
    </w:p>
    <w:p w14:paraId="36350D9B" w14:textId="77777777" w:rsidR="000F50B0" w:rsidRDefault="000F50B0" w:rsidP="000F50B0">
      <w:pPr>
        <w:pStyle w:val="Bibliography"/>
      </w:pPr>
      <w:r>
        <w:t xml:space="preserve">29. </w:t>
      </w:r>
      <w:r>
        <w:tab/>
        <w:t xml:space="preserve">Milne CB, Kim P-J, Eddy JA, Price ND. Accomplishments in genome-scale in silico modeling for industrial and medical biotechnology. Biotechnol J. 2009 Dec;4(12):1653–70. </w:t>
      </w:r>
    </w:p>
    <w:p w14:paraId="2C57CD73" w14:textId="77777777" w:rsidR="000F50B0" w:rsidRDefault="000F50B0" w:rsidP="000F50B0">
      <w:pPr>
        <w:pStyle w:val="Bibliography"/>
      </w:pPr>
      <w:r>
        <w:t xml:space="preserve">30. </w:t>
      </w:r>
      <w:r>
        <w:tab/>
        <w:t xml:space="preserve">Harcombe WR, Delaney NF, Leiby N, Klitgord N, Marx CJ. The ability of flux balance analysis to predict evolution of central metabolism scales with the initial distance to the optimum. PLoS Comput Biol. 2013;9(6):e1003091. </w:t>
      </w:r>
    </w:p>
    <w:p w14:paraId="3F717BF6" w14:textId="77777777" w:rsidR="000F50B0" w:rsidRDefault="000F50B0" w:rsidP="000F50B0">
      <w:pPr>
        <w:pStyle w:val="Bibliography"/>
      </w:pPr>
      <w:r>
        <w:t xml:space="preserve">31. </w:t>
      </w:r>
      <w:r>
        <w:tab/>
        <w:t xml:space="preserve">Ibarra RU, Edwards JS, Palsson BO. Escherichia coli K-12 undergoes adaptive evolution to achieve in silico predicted optimal growth. Nature. 2002 Nov 14;420(6912):186–9. </w:t>
      </w:r>
    </w:p>
    <w:p w14:paraId="7FAD5545" w14:textId="77777777" w:rsidR="000F50B0" w:rsidRDefault="000F50B0" w:rsidP="000F50B0">
      <w:pPr>
        <w:pStyle w:val="Bibliography"/>
      </w:pPr>
      <w:r>
        <w:t xml:space="preserve">32. </w:t>
      </w:r>
      <w:r>
        <w:tab/>
        <w:t xml:space="preserve">Shastri AA, Morgan JA. Flux balance analysis of photoautotrophic metabolism. Biotechnol Prog. 2005 Dec;21(6):1617–26. </w:t>
      </w:r>
    </w:p>
    <w:p w14:paraId="37AD2E27" w14:textId="77777777" w:rsidR="000F50B0" w:rsidRDefault="000F50B0" w:rsidP="000F50B0">
      <w:pPr>
        <w:pStyle w:val="Bibliography"/>
      </w:pPr>
      <w:r>
        <w:t xml:space="preserve">33. </w:t>
      </w:r>
      <w:r>
        <w:tab/>
        <w:t xml:space="preserve">Nogales J, Gudmundsson S, Knight EM, Palsson BO, Thiele I. Detailing the optimality of photosynthesis in cyanobacteria through systems biology analysis. Proc Natl Acad Sci U S A. 2012 Feb 14;109(7):2678–83. </w:t>
      </w:r>
    </w:p>
    <w:p w14:paraId="09D07233" w14:textId="77777777" w:rsidR="000F50B0" w:rsidRDefault="000F50B0" w:rsidP="000F50B0">
      <w:pPr>
        <w:pStyle w:val="Bibliography"/>
      </w:pPr>
      <w:r>
        <w:t xml:space="preserve">34. </w:t>
      </w:r>
      <w:r>
        <w:tab/>
        <w:t xml:space="preserve">Knoop H, Gründel M, Zilliges Y, Lehmann R, Hoffmann S, Lockau W, et al. Flux Balance Analysis of Cyanobacterial Metabolism: The Metabolic Network of Synechocystis sp. PCC 6803. PLoS Comput Biol [Internet]. 2013 </w:t>
      </w:r>
      <w:r>
        <w:lastRenderedPageBreak/>
        <w:t>Jun [cited 2015 Jun 10];9(6). Available from: http://www.ncbi.nlm.nih.gov/pmc/articles/PMC3699288/</w:t>
      </w:r>
    </w:p>
    <w:p w14:paraId="1CB9D4D0" w14:textId="77777777" w:rsidR="000F50B0" w:rsidRDefault="000F50B0" w:rsidP="000F50B0">
      <w:pPr>
        <w:pStyle w:val="Bibliography"/>
      </w:pPr>
      <w:r>
        <w:t xml:space="preserve">35. </w:t>
      </w:r>
      <w:r>
        <w:tab/>
        <w:t xml:space="preserve">Kim HW, Vannela R, Zhou C, Rittmann BE. Nutrient acquisition and limitation for the photoautotrophic growth of Synechocystis sp. PCC6803 as a renewable biomass source. Biotechnol Bioeng. 2011 Feb;108(2):277–85. </w:t>
      </w:r>
    </w:p>
    <w:p w14:paraId="2025F194" w14:textId="77777777" w:rsidR="000F50B0" w:rsidRDefault="000F50B0" w:rsidP="000F50B0">
      <w:pPr>
        <w:pStyle w:val="Bibliography"/>
      </w:pPr>
      <w:r>
        <w:t xml:space="preserve">36. </w:t>
      </w:r>
      <w:r>
        <w:tab/>
        <w:t xml:space="preserve">Finlay B, Uhlig G. Calorific and Carbon Values of Marine and Freshwater Protozoa. Helgolnder Meeresunters. 1981;34(4):401–12. </w:t>
      </w:r>
    </w:p>
    <w:p w14:paraId="6AB16F37" w14:textId="77777777" w:rsidR="000F50B0" w:rsidRDefault="000F50B0" w:rsidP="000F50B0">
      <w:pPr>
        <w:pStyle w:val="Bibliography"/>
      </w:pPr>
      <w:r>
        <w:t xml:space="preserve">37. </w:t>
      </w:r>
      <w:r>
        <w:tab/>
        <w:t xml:space="preserve">Yoo S-H, Spalding MH, Jane J. Characterization of cyanobacterial glycogen isolated from the wild type and from a mutant lacking of branching enzyme. Carbohydr Res. 2002 Nov 19;337(21-23):2195–203. </w:t>
      </w:r>
    </w:p>
    <w:p w14:paraId="34047084" w14:textId="77777777" w:rsidR="000F50B0" w:rsidRDefault="000F50B0" w:rsidP="000F50B0">
      <w:pPr>
        <w:pStyle w:val="Bibliography"/>
      </w:pPr>
      <w:r>
        <w:t xml:space="preserve">38. </w:t>
      </w:r>
      <w:r>
        <w:tab/>
        <w:t xml:space="preserve">Weber APM, Linka M, Bhattacharya D. Single, ancient origin of a plastid metabolite translocator family in Plantae from an endomembrane-derived ancestor. Eukaryot Cell. 2006 Mar;5(3):609–12. </w:t>
      </w:r>
    </w:p>
    <w:p w14:paraId="295D4222" w14:textId="77777777" w:rsidR="000F50B0" w:rsidRDefault="000F50B0" w:rsidP="000F50B0">
      <w:pPr>
        <w:pStyle w:val="Bibliography"/>
      </w:pPr>
      <w:r>
        <w:t xml:space="preserve">39. </w:t>
      </w:r>
      <w:r>
        <w:tab/>
        <w:t xml:space="preserve">Flugge U, Heldt HW. Metabolite Translocators of the Chloroplast Envelope. Annu Rev Plant Physiol Plant Mol Biol. 1991;42(1):129–44. </w:t>
      </w:r>
    </w:p>
    <w:p w14:paraId="79BEE572" w14:textId="77777777" w:rsidR="000F50B0" w:rsidRDefault="000F50B0" w:rsidP="000F50B0">
      <w:pPr>
        <w:pStyle w:val="Bibliography"/>
      </w:pPr>
      <w:r>
        <w:t xml:space="preserve">40. </w:t>
      </w:r>
      <w:r>
        <w:tab/>
        <w:t xml:space="preserve">Marin B, Nowack EC, Melkonian M. A plastid in the making: evidence for a second primary endosymbiosis. Protist. 2005;156(4):425–32. </w:t>
      </w:r>
    </w:p>
    <w:p w14:paraId="2B75311D" w14:textId="77777777" w:rsidR="000F50B0" w:rsidRDefault="000F50B0" w:rsidP="000F50B0">
      <w:pPr>
        <w:pStyle w:val="Bibliography"/>
      </w:pPr>
      <w:r>
        <w:t xml:space="preserve">41. </w:t>
      </w:r>
      <w:r>
        <w:tab/>
        <w:t xml:space="preserve">Nowack ECM, Vogel H, Groth M, Grossman AR, Melkonian M, Glöckner G. Endosymbiotic gene transfer and transcriptional regulation of transferred genes in Paulinella chromatophora. Mol Biol Evol. 2011 Jan;28(1):407–22. </w:t>
      </w:r>
    </w:p>
    <w:p w14:paraId="49E9F230" w14:textId="77777777" w:rsidR="000F50B0" w:rsidRDefault="000F50B0" w:rsidP="000F50B0">
      <w:pPr>
        <w:pStyle w:val="Bibliography"/>
      </w:pPr>
      <w:r>
        <w:t xml:space="preserve">42. </w:t>
      </w:r>
      <w:r>
        <w:tab/>
        <w:t xml:space="preserve">Bodył A, Mackiewicz P, Stiller JW. Comparative genomic studies suggest that the cyanobacterial endosymbionts of the amoeba Paulinella chromatophora possess an import apparatus for nuclear-encoded proteins. Plant Biol. 2010 Jul 1;12(4):639–49. </w:t>
      </w:r>
    </w:p>
    <w:p w14:paraId="2EFCEE4F" w14:textId="77777777" w:rsidR="000F50B0" w:rsidRDefault="000F50B0" w:rsidP="000F50B0">
      <w:pPr>
        <w:pStyle w:val="Bibliography"/>
      </w:pPr>
      <w:r>
        <w:t xml:space="preserve">43. </w:t>
      </w:r>
      <w:r>
        <w:tab/>
        <w:t xml:space="preserve">Mackiewicz P, Bodył A, Gagat P. Possible import routes of proteins into the cyanobacterial endosymbionts/plastids of Paulinella chromatophora. Theory Biosci. 2012 May;131(1):1–18. </w:t>
      </w:r>
    </w:p>
    <w:p w14:paraId="384F227E" w14:textId="77777777" w:rsidR="000F50B0" w:rsidRDefault="000F50B0" w:rsidP="000F50B0">
      <w:pPr>
        <w:pStyle w:val="Bibliography"/>
      </w:pPr>
      <w:r>
        <w:t xml:space="preserve">44. </w:t>
      </w:r>
      <w:r>
        <w:tab/>
        <w:t xml:space="preserve">Sasaki T, Ishikawa H. Production of essential amino acids from glutamate by mycetocyte symbionts of the pea aphid, Acyrthosiphon pisum. J Insect Physiol. 1995 Jan;41(1):41–6. </w:t>
      </w:r>
    </w:p>
    <w:p w14:paraId="4EEB14CA" w14:textId="77777777" w:rsidR="000F50B0" w:rsidRDefault="000F50B0" w:rsidP="000F50B0">
      <w:pPr>
        <w:pStyle w:val="Bibliography"/>
      </w:pPr>
      <w:r>
        <w:t xml:space="preserve">45. </w:t>
      </w:r>
      <w:r>
        <w:tab/>
        <w:t xml:space="preserve">Fellbaum CR, Mensah JA, Pfeffer PE, Kiers ET, Bücking H. The role of carbon in fungal nutrient uptake and transport: implications for resource exchange in the arbuscular mycorrhizal symbiosis. Plant Signal Behav. 2012 Nov;7(11):1509–12. </w:t>
      </w:r>
    </w:p>
    <w:p w14:paraId="2B895B22" w14:textId="77777777" w:rsidR="000F50B0" w:rsidRDefault="000F50B0" w:rsidP="000F50B0">
      <w:pPr>
        <w:pStyle w:val="Bibliography"/>
      </w:pPr>
      <w:r>
        <w:t xml:space="preserve">46. </w:t>
      </w:r>
      <w:r>
        <w:tab/>
        <w:t xml:space="preserve">Silvester WB, Parsons R, Watt PW. Direct measurement of release and assimilation of ammonia in the Gunnera–Nostoc symbiosis. New Phytol. 1996 Apr 1;132(4):617–25. </w:t>
      </w:r>
    </w:p>
    <w:p w14:paraId="4F79E158" w14:textId="77777777" w:rsidR="000F50B0" w:rsidRDefault="000F50B0" w:rsidP="000F50B0">
      <w:pPr>
        <w:pStyle w:val="Bibliography"/>
      </w:pPr>
      <w:r>
        <w:lastRenderedPageBreak/>
        <w:t xml:space="preserve">47. </w:t>
      </w:r>
      <w:r>
        <w:tab/>
        <w:t xml:space="preserve">Small DP, Bennett RS, Bishop CD. The roles of oxygen and ammonia in the symbiotic relationship between the spotted salamander Ambystoma maculatum and the green alga Oophila amblystomatis during embryonic development. Symbiosis. 2014 Nov 11;64(1):1–10. </w:t>
      </w:r>
    </w:p>
    <w:p w14:paraId="11C6DD70" w14:textId="77777777" w:rsidR="000F50B0" w:rsidRDefault="000F50B0" w:rsidP="000F50B0">
      <w:pPr>
        <w:pStyle w:val="Bibliography"/>
      </w:pPr>
      <w:r>
        <w:t xml:space="preserve">48. </w:t>
      </w:r>
      <w:r>
        <w:tab/>
        <w:t xml:space="preserve">Prell J, Poole P. Metabolic changes of rhizobia in legume nodules. Trends Microbiol. 2006 Apr;14(4):161–8. </w:t>
      </w:r>
    </w:p>
    <w:p w14:paraId="1529DDD1" w14:textId="77777777" w:rsidR="000F50B0" w:rsidRDefault="000F50B0" w:rsidP="000F50B0">
      <w:pPr>
        <w:pStyle w:val="Bibliography"/>
      </w:pPr>
      <w:r>
        <w:t xml:space="preserve">49. </w:t>
      </w:r>
      <w:r>
        <w:tab/>
        <w:t xml:space="preserve">Tebo BM, Scott Linthicum D, Nealson KH. Luminous bacteria and light emitting fish: Ultrastructure of the symbiosis. Biosystems. 1979 Dec;11(4):269–80. </w:t>
      </w:r>
    </w:p>
    <w:p w14:paraId="022F6363" w14:textId="77777777" w:rsidR="000F50B0" w:rsidRDefault="000F50B0" w:rsidP="000F50B0">
      <w:pPr>
        <w:pStyle w:val="Bibliography"/>
      </w:pPr>
      <w:r>
        <w:t xml:space="preserve">50. </w:t>
      </w:r>
      <w:r>
        <w:tab/>
        <w:t xml:space="preserve">Burriesci MS, Raab TK, Pringle JR. Evidence that glucose is the major transferred metabolite in dinoflagellate–cnidarian symbiosis. J Exp Biol. 2012 Oct 1;215(19):3467–77. </w:t>
      </w:r>
    </w:p>
    <w:p w14:paraId="6F0472E0" w14:textId="77777777" w:rsidR="000F50B0" w:rsidRDefault="000F50B0" w:rsidP="000F50B0">
      <w:pPr>
        <w:pStyle w:val="Bibliography"/>
      </w:pPr>
      <w:r>
        <w:t xml:space="preserve">51. </w:t>
      </w:r>
      <w:r>
        <w:tab/>
        <w:t xml:space="preserve">Muscatine L. Glycerol excretion by symbiotic algae from corals and tridacna and its control by the host. Science. 1967 Apr 28;156(3774):516–9. </w:t>
      </w:r>
    </w:p>
    <w:p w14:paraId="18B7F823" w14:textId="77777777" w:rsidR="000F50B0" w:rsidRDefault="000F50B0" w:rsidP="000F50B0">
      <w:pPr>
        <w:pStyle w:val="Bibliography"/>
      </w:pPr>
      <w:r>
        <w:t xml:space="preserve">52. </w:t>
      </w:r>
      <w:r>
        <w:tab/>
        <w:t xml:space="preserve">Dinakar C, Raghavendra AS, Padmasree K. Importance of AOX pathway in optimizing photosynthesis under high light stress: role of pyruvate and malate in activating AOX. Physiol Plant. 2010 May 1;139(1):13–26. </w:t>
      </w:r>
    </w:p>
    <w:p w14:paraId="64B70B63" w14:textId="77777777" w:rsidR="000F50B0" w:rsidRDefault="000F50B0" w:rsidP="000F50B0">
      <w:pPr>
        <w:pStyle w:val="Bibliography"/>
      </w:pPr>
      <w:r>
        <w:t xml:space="preserve">53. </w:t>
      </w:r>
      <w:r>
        <w:tab/>
        <w:t xml:space="preserve">Noguchi K, Yoshida K. Interaction between photosynthesis and respiration in illuminated leaves. Mitochondrion. 2008 Jan;8(1):87–99. </w:t>
      </w:r>
    </w:p>
    <w:p w14:paraId="5D3CC967" w14:textId="77777777" w:rsidR="000F50B0" w:rsidRDefault="000F50B0" w:rsidP="000F50B0">
      <w:pPr>
        <w:pStyle w:val="Bibliography"/>
      </w:pPr>
      <w:r>
        <w:t xml:space="preserve">54. </w:t>
      </w:r>
      <w:r>
        <w:tab/>
        <w:t xml:space="preserve">Takahashi S, Murata N. Glycerate-3-phosphate, produced by CO2 fixation in the Calvin cycle, is critical for the synthesis of the D1 protein of photosystem II. Biochim Biophys Acta. 2006 Mar;1757(3):198–205. </w:t>
      </w:r>
    </w:p>
    <w:p w14:paraId="54946028" w14:textId="64A77E5D" w:rsidR="00581050" w:rsidRDefault="0023663C" w:rsidP="001460C5">
      <w:pPr>
        <w:spacing w:line="360" w:lineRule="auto"/>
        <w:rPr>
          <w:rFonts w:ascii="Arial" w:hAnsi="Arial" w:cs="Arial"/>
          <w:sz w:val="22"/>
          <w:szCs w:val="22"/>
        </w:rPr>
      </w:pPr>
      <w:r>
        <w:rPr>
          <w:rFonts w:ascii="Arial" w:hAnsi="Arial" w:cs="Arial"/>
          <w:sz w:val="22"/>
          <w:szCs w:val="22"/>
        </w:rPr>
        <w:fldChar w:fldCharType="end"/>
      </w:r>
      <w:r w:rsidR="00581050">
        <w:rPr>
          <w:rFonts w:ascii="Arial" w:hAnsi="Arial" w:cs="Arial"/>
          <w:sz w:val="22"/>
          <w:szCs w:val="22"/>
        </w:rPr>
        <w:br w:type="page"/>
      </w:r>
    </w:p>
    <w:p w14:paraId="5B39C4BC" w14:textId="77777777" w:rsidR="00241B7C" w:rsidRDefault="00241B7C" w:rsidP="004F3DE4">
      <w:pPr>
        <w:rPr>
          <w:rFonts w:ascii="Arial" w:hAnsi="Arial" w:cs="Arial"/>
          <w:sz w:val="22"/>
          <w:szCs w:val="22"/>
        </w:rPr>
      </w:pPr>
    </w:p>
    <w:p w14:paraId="523D3C4F" w14:textId="77777777" w:rsidR="00241B7C" w:rsidRDefault="00241B7C" w:rsidP="004F3DE4">
      <w:pPr>
        <w:rPr>
          <w:rFonts w:ascii="Arial" w:hAnsi="Arial" w:cs="Arial"/>
          <w:sz w:val="22"/>
          <w:szCs w:val="22"/>
        </w:rPr>
      </w:pPr>
    </w:p>
    <w:p w14:paraId="123F7EA4" w14:textId="02662A3A" w:rsidR="00241B7C" w:rsidRDefault="00241B7C" w:rsidP="004F3DE4">
      <w:pPr>
        <w:rPr>
          <w:rFonts w:ascii="Arial" w:hAnsi="Arial" w:cs="Arial"/>
          <w:sz w:val="22"/>
          <w:szCs w:val="22"/>
        </w:rPr>
      </w:pPr>
    </w:p>
    <w:p w14:paraId="28EA082F" w14:textId="7E3A04A9" w:rsidR="00241B7C" w:rsidRPr="005F5C62" w:rsidRDefault="00241B7C" w:rsidP="004F3DE4">
      <w:pPr>
        <w:rPr>
          <w:rFonts w:ascii="Arial" w:hAnsi="Arial" w:cs="Arial"/>
          <w:sz w:val="22"/>
          <w:szCs w:val="22"/>
        </w:rPr>
      </w:pPr>
      <w:r w:rsidRPr="005F5C62">
        <w:rPr>
          <w:rFonts w:ascii="Arial" w:hAnsi="Arial" w:cs="Arial"/>
          <w:sz w:val="22"/>
          <w:szCs w:val="22"/>
        </w:rPr>
        <w:t xml:space="preserve">Figure 1: FBA predicted growth rates on different nitrogen sources in the standard condition and when carbon compensated.  </w:t>
      </w:r>
    </w:p>
    <w:p w14:paraId="3548CC2A" w14:textId="609380FE" w:rsidR="00241B7C" w:rsidRPr="005F5C62" w:rsidRDefault="00241B7C" w:rsidP="004F3DE4">
      <w:pPr>
        <w:rPr>
          <w:rFonts w:ascii="Arial" w:hAnsi="Arial" w:cs="Arial"/>
          <w:sz w:val="22"/>
          <w:szCs w:val="22"/>
        </w:rPr>
      </w:pPr>
    </w:p>
    <w:p w14:paraId="44CD3FF9" w14:textId="25643505" w:rsidR="00241B7C" w:rsidRDefault="00241B7C">
      <w:pPr>
        <w:rPr>
          <w:rFonts w:ascii="Arial" w:hAnsi="Arial" w:cs="Arial"/>
          <w:sz w:val="22"/>
          <w:szCs w:val="22"/>
        </w:rPr>
      </w:pPr>
      <w:r>
        <w:rPr>
          <w:rFonts w:ascii="Arial" w:hAnsi="Arial" w:cs="Arial"/>
          <w:sz w:val="22"/>
          <w:szCs w:val="22"/>
        </w:rPr>
        <w:t>Figure 2</w:t>
      </w:r>
      <w:r w:rsidRPr="005F5C62">
        <w:rPr>
          <w:rFonts w:ascii="Arial" w:hAnsi="Arial" w:cs="Arial"/>
          <w:sz w:val="22"/>
          <w:szCs w:val="22"/>
        </w:rPr>
        <w:t xml:space="preserve">: The chosen carbon compounds (in yellow) in the context of metabolism </w:t>
      </w:r>
    </w:p>
    <w:p w14:paraId="29E2D3DA" w14:textId="77777777" w:rsidR="0020245A" w:rsidRPr="005F5C62" w:rsidRDefault="0020245A">
      <w:pPr>
        <w:rPr>
          <w:rFonts w:ascii="Arial" w:hAnsi="Arial" w:cs="Arial"/>
          <w:sz w:val="22"/>
          <w:szCs w:val="22"/>
        </w:rPr>
      </w:pPr>
    </w:p>
    <w:p w14:paraId="2B2D560C" w14:textId="77777777" w:rsidR="00E801B9" w:rsidRPr="005F5C62" w:rsidRDefault="00E801B9" w:rsidP="00527571">
      <w:pPr>
        <w:rPr>
          <w:rFonts w:ascii="Arial" w:hAnsi="Arial" w:cs="Arial"/>
          <w:sz w:val="22"/>
          <w:szCs w:val="22"/>
        </w:rPr>
      </w:pPr>
      <w:r>
        <w:rPr>
          <w:rFonts w:ascii="Arial" w:hAnsi="Arial" w:cs="Arial"/>
          <w:sz w:val="22"/>
          <w:szCs w:val="22"/>
        </w:rPr>
        <w:t>Figure 3</w:t>
      </w:r>
      <w:r w:rsidRPr="005F5C62">
        <w:rPr>
          <w:rFonts w:ascii="Arial" w:hAnsi="Arial" w:cs="Arial"/>
          <w:sz w:val="22"/>
          <w:szCs w:val="22"/>
        </w:rPr>
        <w:t xml:space="preserve">: FBA predictions for different carbon export compounds. A) plots the predicted growth rate values and B) the </w:t>
      </w:r>
      <w:r>
        <w:rPr>
          <w:rFonts w:ascii="Arial" w:hAnsi="Arial" w:cs="Arial"/>
          <w:sz w:val="22"/>
          <w:szCs w:val="22"/>
        </w:rPr>
        <w:t xml:space="preserve">predicted nitrogen uptake flux </w:t>
      </w:r>
    </w:p>
    <w:p w14:paraId="2532896D" w14:textId="65D931DE" w:rsidR="003854B7" w:rsidRDefault="003854B7">
      <w:pPr>
        <w:rPr>
          <w:rFonts w:ascii="Arial" w:hAnsi="Arial" w:cs="Arial"/>
          <w:sz w:val="22"/>
          <w:szCs w:val="22"/>
        </w:rPr>
      </w:pPr>
    </w:p>
    <w:p w14:paraId="23EE2D8D" w14:textId="77777777" w:rsidR="00241B7C" w:rsidRPr="005F5C62" w:rsidRDefault="00241B7C" w:rsidP="00527571">
      <w:pPr>
        <w:rPr>
          <w:rFonts w:ascii="Arial" w:hAnsi="Arial" w:cs="Arial"/>
          <w:sz w:val="22"/>
          <w:szCs w:val="22"/>
        </w:rPr>
      </w:pPr>
      <w:r>
        <w:rPr>
          <w:rFonts w:ascii="Arial" w:hAnsi="Arial" w:cs="Arial"/>
          <w:sz w:val="22"/>
          <w:szCs w:val="22"/>
        </w:rPr>
        <w:t>Figure 4</w:t>
      </w:r>
      <w:r w:rsidRPr="005F5C62">
        <w:rPr>
          <w:rFonts w:ascii="Arial" w:hAnsi="Arial" w:cs="Arial"/>
          <w:sz w:val="22"/>
          <w:szCs w:val="22"/>
        </w:rPr>
        <w:t>: Predicted growth rates of the different combinations of the nitrogen import compounds and the carbon export compounds.</w:t>
      </w:r>
      <w:r w:rsidR="00D81B1C">
        <w:rPr>
          <w:rFonts w:ascii="Arial" w:hAnsi="Arial" w:cs="Arial"/>
          <w:sz w:val="22"/>
          <w:szCs w:val="22"/>
        </w:rPr>
        <w:t xml:space="preserve"> </w:t>
      </w:r>
      <w:r w:rsidR="00D81B1C" w:rsidRPr="005F5C62">
        <w:rPr>
          <w:rFonts w:ascii="Arial" w:hAnsi="Arial" w:cs="Arial"/>
          <w:sz w:val="22"/>
          <w:szCs w:val="22"/>
        </w:rPr>
        <w:t>The nitrogen sou</w:t>
      </w:r>
      <w:r w:rsidR="00D81B1C">
        <w:rPr>
          <w:rFonts w:ascii="Arial" w:hAnsi="Arial" w:cs="Arial"/>
          <w:sz w:val="22"/>
          <w:szCs w:val="22"/>
        </w:rPr>
        <w:t>rces have been arranged on the horizontal</w:t>
      </w:r>
      <w:r w:rsidR="00D81B1C" w:rsidRPr="005F5C62">
        <w:rPr>
          <w:rFonts w:ascii="Arial" w:hAnsi="Arial" w:cs="Arial"/>
          <w:sz w:val="22"/>
          <w:szCs w:val="22"/>
        </w:rPr>
        <w:t xml:space="preserve"> axis in order of increasing growth rate from left to right when exchanged for glucose, to allow easier comparisons</w:t>
      </w:r>
      <w:r w:rsidRPr="005F5C62">
        <w:rPr>
          <w:rFonts w:ascii="Arial" w:hAnsi="Arial" w:cs="Arial"/>
          <w:sz w:val="22"/>
          <w:szCs w:val="22"/>
        </w:rPr>
        <w:t xml:space="preserve"> </w:t>
      </w:r>
    </w:p>
    <w:p w14:paraId="03563DAA" w14:textId="19402DB5" w:rsidR="00241B7C" w:rsidRPr="005F5C62" w:rsidRDefault="00241B7C">
      <w:pPr>
        <w:rPr>
          <w:rFonts w:ascii="Arial" w:hAnsi="Arial" w:cs="Arial"/>
          <w:sz w:val="22"/>
          <w:szCs w:val="22"/>
        </w:rPr>
      </w:pPr>
    </w:p>
    <w:p w14:paraId="5D5C8C99" w14:textId="77777777" w:rsidR="00241B7C" w:rsidRDefault="00241B7C" w:rsidP="008261DA">
      <w:pPr>
        <w:rPr>
          <w:rFonts w:ascii="Arial" w:hAnsi="Arial" w:cs="Arial"/>
          <w:sz w:val="22"/>
          <w:szCs w:val="22"/>
        </w:rPr>
      </w:pPr>
      <w:r>
        <w:rPr>
          <w:rFonts w:ascii="Arial" w:hAnsi="Arial" w:cs="Arial"/>
          <w:sz w:val="22"/>
          <w:szCs w:val="22"/>
        </w:rPr>
        <w:t>Figure 5</w:t>
      </w:r>
      <w:r w:rsidRPr="005F5C62">
        <w:rPr>
          <w:rFonts w:ascii="Arial" w:hAnsi="Arial" w:cs="Arial"/>
          <w:sz w:val="22"/>
          <w:szCs w:val="22"/>
        </w:rPr>
        <w:t>: Optimal metabolite exchange across a range of ratios and degrees of carbon compensation</w:t>
      </w:r>
      <w:r w:rsidR="00D81B1C">
        <w:rPr>
          <w:rFonts w:ascii="Arial" w:hAnsi="Arial" w:cs="Arial"/>
          <w:sz w:val="22"/>
          <w:szCs w:val="22"/>
        </w:rPr>
        <w:t xml:space="preserve"> ((from 0 to 100%)</w:t>
      </w:r>
      <w:r w:rsidRPr="005F5C62">
        <w:rPr>
          <w:rFonts w:ascii="Arial" w:hAnsi="Arial" w:cs="Arial"/>
          <w:sz w:val="22"/>
          <w:szCs w:val="22"/>
        </w:rPr>
        <w:t xml:space="preserve">. </w:t>
      </w:r>
      <w:r w:rsidR="008D0CCC" w:rsidRPr="00530589">
        <w:rPr>
          <w:rFonts w:ascii="Arial" w:hAnsi="Arial" w:cs="Arial"/>
          <w:sz w:val="22"/>
          <w:szCs w:val="22"/>
        </w:rPr>
        <w:t xml:space="preserve">The gradient lines indicate the value of </w:t>
      </w:r>
      <w:proofErr w:type="spellStart"/>
      <w:r w:rsidR="008D0CCC" w:rsidRPr="00530589">
        <w:rPr>
          <w:rFonts w:ascii="Arial" w:hAnsi="Arial" w:cs="Arial"/>
          <w:i/>
          <w:sz w:val="22"/>
          <w:szCs w:val="22"/>
        </w:rPr>
        <w:t>Synechocystis’s</w:t>
      </w:r>
      <w:proofErr w:type="spellEnd"/>
      <w:r w:rsidR="008D0CCC" w:rsidRPr="00530589">
        <w:rPr>
          <w:rFonts w:ascii="Arial" w:hAnsi="Arial" w:cs="Arial"/>
          <w:sz w:val="22"/>
          <w:szCs w:val="22"/>
        </w:rPr>
        <w:t xml:space="preserve"> growth rate</w:t>
      </w:r>
      <w:r w:rsidR="008D0CCC">
        <w:rPr>
          <w:rFonts w:ascii="Arial" w:hAnsi="Arial" w:cs="Arial"/>
          <w:sz w:val="22"/>
          <w:szCs w:val="22"/>
        </w:rPr>
        <w:t xml:space="preserve">. </w:t>
      </w:r>
      <w:r w:rsidR="00D81B1C" w:rsidRPr="005F5C62">
        <w:rPr>
          <w:rFonts w:ascii="Arial" w:hAnsi="Arial" w:cs="Arial"/>
          <w:sz w:val="22"/>
          <w:szCs w:val="22"/>
        </w:rPr>
        <w:t xml:space="preserve">The space between a pair of contour lines represents a change in growth rate of 0.0045 </w:t>
      </w:r>
      <w:proofErr w:type="spellStart"/>
      <w:r w:rsidR="00D81B1C" w:rsidRPr="005F5C62">
        <w:rPr>
          <w:rFonts w:ascii="Arial" w:hAnsi="Arial" w:cs="Arial"/>
          <w:sz w:val="22"/>
          <w:szCs w:val="22"/>
        </w:rPr>
        <w:t>mmol</w:t>
      </w:r>
      <w:proofErr w:type="spellEnd"/>
      <w:r w:rsidR="00D81B1C" w:rsidRPr="005F5C62">
        <w:rPr>
          <w:rFonts w:ascii="Arial" w:hAnsi="Arial" w:cs="Arial"/>
          <w:sz w:val="22"/>
          <w:szCs w:val="22"/>
        </w:rPr>
        <w:t xml:space="preserve"> biomass gDW</w:t>
      </w:r>
      <w:r w:rsidR="00D81B1C" w:rsidRPr="005F5C62">
        <w:rPr>
          <w:rFonts w:ascii="Arial" w:hAnsi="Arial" w:cs="Arial"/>
          <w:sz w:val="22"/>
          <w:szCs w:val="22"/>
          <w:vertAlign w:val="superscript"/>
        </w:rPr>
        <w:t>-1</w:t>
      </w:r>
      <w:r w:rsidR="00D81B1C" w:rsidRPr="005F5C62">
        <w:rPr>
          <w:rFonts w:ascii="Arial" w:hAnsi="Arial" w:cs="Arial"/>
          <w:sz w:val="22"/>
          <w:szCs w:val="22"/>
        </w:rPr>
        <w:t xml:space="preserve"> hr</w:t>
      </w:r>
      <w:r w:rsidR="00D81B1C" w:rsidRPr="005F5C62">
        <w:rPr>
          <w:rFonts w:ascii="Arial" w:hAnsi="Arial" w:cs="Arial"/>
          <w:sz w:val="22"/>
          <w:szCs w:val="22"/>
          <w:vertAlign w:val="superscript"/>
        </w:rPr>
        <w:t>-1</w:t>
      </w:r>
      <w:r w:rsidR="00D81B1C" w:rsidRPr="005F5C62">
        <w:rPr>
          <w:rFonts w:ascii="Arial" w:hAnsi="Arial" w:cs="Arial"/>
          <w:sz w:val="22"/>
          <w:szCs w:val="22"/>
        </w:rPr>
        <w:t xml:space="preserve"> and the growth rate is highest in the bottom left corner and lowest in the top right. </w:t>
      </w:r>
      <w:r w:rsidRPr="005F5C62">
        <w:rPr>
          <w:rFonts w:ascii="Arial" w:hAnsi="Arial" w:cs="Arial"/>
          <w:sz w:val="22"/>
          <w:szCs w:val="22"/>
        </w:rPr>
        <w:t>The arrows indicate the C</w:t>
      </w:r>
      <w:proofErr w:type="gramStart"/>
      <w:r w:rsidRPr="005F5C62">
        <w:rPr>
          <w:rFonts w:ascii="Arial" w:hAnsi="Arial" w:cs="Arial"/>
          <w:sz w:val="22"/>
          <w:szCs w:val="22"/>
        </w:rPr>
        <w:t>:N</w:t>
      </w:r>
      <w:proofErr w:type="gramEnd"/>
      <w:r w:rsidRPr="005F5C62">
        <w:rPr>
          <w:rFonts w:ascii="Arial" w:hAnsi="Arial" w:cs="Arial"/>
          <w:sz w:val="22"/>
          <w:szCs w:val="22"/>
        </w:rPr>
        <w:t xml:space="preserve"> ratio of the two organism; 3.5 is the value for the host and 4.5 for the symbiont. </w:t>
      </w:r>
    </w:p>
    <w:p w14:paraId="428ABACD" w14:textId="77777777" w:rsidR="00F176F6" w:rsidRDefault="00F176F6" w:rsidP="008261DA">
      <w:pPr>
        <w:rPr>
          <w:rFonts w:ascii="Arial" w:hAnsi="Arial" w:cs="Arial"/>
          <w:sz w:val="22"/>
          <w:szCs w:val="22"/>
        </w:rPr>
      </w:pPr>
    </w:p>
    <w:p w14:paraId="4354500D" w14:textId="28198074" w:rsidR="000B7B4E" w:rsidRPr="005F5C62" w:rsidRDefault="000B7B4E" w:rsidP="008261DA">
      <w:pPr>
        <w:rPr>
          <w:rFonts w:ascii="Arial" w:hAnsi="Arial" w:cs="Arial"/>
          <w:sz w:val="22"/>
          <w:szCs w:val="22"/>
        </w:rPr>
      </w:pPr>
    </w:p>
    <w:sectPr w:rsidR="000B7B4E" w:rsidRPr="005F5C62" w:rsidSect="00A01E55">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3829" w14:textId="77777777" w:rsidR="002642FF" w:rsidRDefault="002642FF" w:rsidP="004F3DE4">
      <w:r>
        <w:separator/>
      </w:r>
    </w:p>
  </w:endnote>
  <w:endnote w:type="continuationSeparator" w:id="0">
    <w:p w14:paraId="57C9D008" w14:textId="77777777" w:rsidR="002642FF" w:rsidRDefault="002642FF" w:rsidP="004F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38258" w14:textId="77777777" w:rsidR="002642FF" w:rsidRDefault="002642FF" w:rsidP="004F3DE4">
      <w:r>
        <w:separator/>
      </w:r>
    </w:p>
  </w:footnote>
  <w:footnote w:type="continuationSeparator" w:id="0">
    <w:p w14:paraId="5D15B9E1" w14:textId="77777777" w:rsidR="002642FF" w:rsidRDefault="002642FF" w:rsidP="004F3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03"/>
    <w:rsid w:val="00044345"/>
    <w:rsid w:val="00063FB3"/>
    <w:rsid w:val="00066604"/>
    <w:rsid w:val="00074D49"/>
    <w:rsid w:val="00087DF0"/>
    <w:rsid w:val="000A4028"/>
    <w:rsid w:val="000B54D0"/>
    <w:rsid w:val="000B7B4E"/>
    <w:rsid w:val="000E21A0"/>
    <w:rsid w:val="000F50B0"/>
    <w:rsid w:val="00113637"/>
    <w:rsid w:val="00134B0C"/>
    <w:rsid w:val="001460C5"/>
    <w:rsid w:val="0018226A"/>
    <w:rsid w:val="00196522"/>
    <w:rsid w:val="001A31C2"/>
    <w:rsid w:val="001C13BD"/>
    <w:rsid w:val="001E005A"/>
    <w:rsid w:val="001F73C9"/>
    <w:rsid w:val="0020245A"/>
    <w:rsid w:val="002037BF"/>
    <w:rsid w:val="00203940"/>
    <w:rsid w:val="0020433E"/>
    <w:rsid w:val="00215FCA"/>
    <w:rsid w:val="0023663C"/>
    <w:rsid w:val="00241B7C"/>
    <w:rsid w:val="00250B4D"/>
    <w:rsid w:val="00251E87"/>
    <w:rsid w:val="00255078"/>
    <w:rsid w:val="00256098"/>
    <w:rsid w:val="00260D36"/>
    <w:rsid w:val="00260FB1"/>
    <w:rsid w:val="00261E88"/>
    <w:rsid w:val="002642FF"/>
    <w:rsid w:val="002A241F"/>
    <w:rsid w:val="002E2C31"/>
    <w:rsid w:val="002E3632"/>
    <w:rsid w:val="002E722D"/>
    <w:rsid w:val="00303F9A"/>
    <w:rsid w:val="00340996"/>
    <w:rsid w:val="00343A07"/>
    <w:rsid w:val="00352040"/>
    <w:rsid w:val="003557EF"/>
    <w:rsid w:val="003854B7"/>
    <w:rsid w:val="0039510D"/>
    <w:rsid w:val="0039758A"/>
    <w:rsid w:val="003B4240"/>
    <w:rsid w:val="003C2A2C"/>
    <w:rsid w:val="003C44C2"/>
    <w:rsid w:val="003D02F5"/>
    <w:rsid w:val="003E67BF"/>
    <w:rsid w:val="00413798"/>
    <w:rsid w:val="004349F1"/>
    <w:rsid w:val="00451226"/>
    <w:rsid w:val="00461158"/>
    <w:rsid w:val="004760E5"/>
    <w:rsid w:val="004778C7"/>
    <w:rsid w:val="004B7344"/>
    <w:rsid w:val="004D3410"/>
    <w:rsid w:val="004D50D9"/>
    <w:rsid w:val="004E4EBE"/>
    <w:rsid w:val="004E7317"/>
    <w:rsid w:val="004F3DE4"/>
    <w:rsid w:val="004F422A"/>
    <w:rsid w:val="004F72A3"/>
    <w:rsid w:val="00524AF7"/>
    <w:rsid w:val="00524E06"/>
    <w:rsid w:val="00527571"/>
    <w:rsid w:val="00530589"/>
    <w:rsid w:val="00533434"/>
    <w:rsid w:val="00552A0E"/>
    <w:rsid w:val="00565DFE"/>
    <w:rsid w:val="00581050"/>
    <w:rsid w:val="0058687D"/>
    <w:rsid w:val="00594348"/>
    <w:rsid w:val="00596396"/>
    <w:rsid w:val="005A163C"/>
    <w:rsid w:val="005A3EAE"/>
    <w:rsid w:val="005A750D"/>
    <w:rsid w:val="005C5625"/>
    <w:rsid w:val="005D332B"/>
    <w:rsid w:val="005E008E"/>
    <w:rsid w:val="005F1F9D"/>
    <w:rsid w:val="005F5C62"/>
    <w:rsid w:val="0060402F"/>
    <w:rsid w:val="00604529"/>
    <w:rsid w:val="00607364"/>
    <w:rsid w:val="00630BE6"/>
    <w:rsid w:val="00650872"/>
    <w:rsid w:val="00670CDB"/>
    <w:rsid w:val="006801C3"/>
    <w:rsid w:val="0068118D"/>
    <w:rsid w:val="006B356E"/>
    <w:rsid w:val="006C0DA7"/>
    <w:rsid w:val="006D1E30"/>
    <w:rsid w:val="006D27E9"/>
    <w:rsid w:val="006D7C9D"/>
    <w:rsid w:val="00703ACB"/>
    <w:rsid w:val="007105D5"/>
    <w:rsid w:val="00716811"/>
    <w:rsid w:val="00753F7E"/>
    <w:rsid w:val="00771541"/>
    <w:rsid w:val="00773465"/>
    <w:rsid w:val="007770D4"/>
    <w:rsid w:val="00792AC8"/>
    <w:rsid w:val="00797959"/>
    <w:rsid w:val="007B00E4"/>
    <w:rsid w:val="007B73E6"/>
    <w:rsid w:val="007F2B0C"/>
    <w:rsid w:val="007F3B2F"/>
    <w:rsid w:val="008261DA"/>
    <w:rsid w:val="00836099"/>
    <w:rsid w:val="00836C43"/>
    <w:rsid w:val="00854488"/>
    <w:rsid w:val="00867789"/>
    <w:rsid w:val="008B180E"/>
    <w:rsid w:val="008C4885"/>
    <w:rsid w:val="008D0CCC"/>
    <w:rsid w:val="008D554E"/>
    <w:rsid w:val="009045E5"/>
    <w:rsid w:val="009069FF"/>
    <w:rsid w:val="00944F4E"/>
    <w:rsid w:val="00947B5E"/>
    <w:rsid w:val="00952D3C"/>
    <w:rsid w:val="00990586"/>
    <w:rsid w:val="009A42EB"/>
    <w:rsid w:val="009C4040"/>
    <w:rsid w:val="009D164C"/>
    <w:rsid w:val="009D4516"/>
    <w:rsid w:val="009D750E"/>
    <w:rsid w:val="00A01E55"/>
    <w:rsid w:val="00A077C1"/>
    <w:rsid w:val="00A11A6D"/>
    <w:rsid w:val="00A214E6"/>
    <w:rsid w:val="00A24BC6"/>
    <w:rsid w:val="00A44D1D"/>
    <w:rsid w:val="00AA4995"/>
    <w:rsid w:val="00AA7EDA"/>
    <w:rsid w:val="00AB6DFA"/>
    <w:rsid w:val="00AE53D8"/>
    <w:rsid w:val="00AE7D88"/>
    <w:rsid w:val="00B002A2"/>
    <w:rsid w:val="00B10D13"/>
    <w:rsid w:val="00B14D7F"/>
    <w:rsid w:val="00B24015"/>
    <w:rsid w:val="00B3179C"/>
    <w:rsid w:val="00B424C6"/>
    <w:rsid w:val="00B87EAB"/>
    <w:rsid w:val="00B9579A"/>
    <w:rsid w:val="00BC2D65"/>
    <w:rsid w:val="00BF0803"/>
    <w:rsid w:val="00C075B5"/>
    <w:rsid w:val="00C43D01"/>
    <w:rsid w:val="00C46A1B"/>
    <w:rsid w:val="00C74D5B"/>
    <w:rsid w:val="00C81540"/>
    <w:rsid w:val="00C8605A"/>
    <w:rsid w:val="00C86485"/>
    <w:rsid w:val="00C86CCB"/>
    <w:rsid w:val="00C90F97"/>
    <w:rsid w:val="00CA04BB"/>
    <w:rsid w:val="00D336EC"/>
    <w:rsid w:val="00D4163F"/>
    <w:rsid w:val="00D518DC"/>
    <w:rsid w:val="00D541ED"/>
    <w:rsid w:val="00D81B1C"/>
    <w:rsid w:val="00DA2307"/>
    <w:rsid w:val="00DB061D"/>
    <w:rsid w:val="00DD2363"/>
    <w:rsid w:val="00DD6FE1"/>
    <w:rsid w:val="00DE0A56"/>
    <w:rsid w:val="00DF244B"/>
    <w:rsid w:val="00E07EA0"/>
    <w:rsid w:val="00E14582"/>
    <w:rsid w:val="00E333C8"/>
    <w:rsid w:val="00E33938"/>
    <w:rsid w:val="00E360EB"/>
    <w:rsid w:val="00E41686"/>
    <w:rsid w:val="00E64106"/>
    <w:rsid w:val="00E801B9"/>
    <w:rsid w:val="00E83CC3"/>
    <w:rsid w:val="00E91BD0"/>
    <w:rsid w:val="00E97F18"/>
    <w:rsid w:val="00EA1F61"/>
    <w:rsid w:val="00EB6F63"/>
    <w:rsid w:val="00EC7F82"/>
    <w:rsid w:val="00ED19C7"/>
    <w:rsid w:val="00ED3E8D"/>
    <w:rsid w:val="00EE1DBC"/>
    <w:rsid w:val="00EE4251"/>
    <w:rsid w:val="00EF2D9D"/>
    <w:rsid w:val="00F05844"/>
    <w:rsid w:val="00F176F6"/>
    <w:rsid w:val="00F30C68"/>
    <w:rsid w:val="00F433F6"/>
    <w:rsid w:val="00F60B7A"/>
    <w:rsid w:val="00F82935"/>
    <w:rsid w:val="00F850B3"/>
    <w:rsid w:val="00FE00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B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4C6"/>
    <w:rPr>
      <w:sz w:val="24"/>
      <w:szCs w:val="24"/>
      <w:lang w:eastAsia="en-US"/>
    </w:rPr>
  </w:style>
  <w:style w:type="paragraph" w:styleId="Heading1">
    <w:name w:val="heading 1"/>
    <w:basedOn w:val="Normal"/>
    <w:link w:val="Heading1Char"/>
    <w:uiPriority w:val="99"/>
    <w:qFormat/>
    <w:rsid w:val="00BF0803"/>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0803"/>
    <w:rPr>
      <w:rFonts w:ascii="Times New Roman" w:hAnsi="Times New Roman" w:cs="Times New Roman"/>
      <w:b/>
      <w:bCs/>
      <w:kern w:val="36"/>
      <w:sz w:val="48"/>
      <w:szCs w:val="48"/>
      <w:lang w:eastAsia="en-GB"/>
    </w:rPr>
  </w:style>
  <w:style w:type="character" w:customStyle="1" w:styleId="apple-converted-space">
    <w:name w:val="apple-converted-space"/>
    <w:uiPriority w:val="99"/>
    <w:rsid w:val="00BF0803"/>
    <w:rPr>
      <w:rFonts w:cs="Times New Roman"/>
    </w:rPr>
  </w:style>
  <w:style w:type="character" w:styleId="Hyperlink">
    <w:name w:val="Hyperlink"/>
    <w:uiPriority w:val="99"/>
    <w:rsid w:val="00BF0803"/>
    <w:rPr>
      <w:rFonts w:cs="Times New Roman"/>
      <w:color w:val="0000FF"/>
      <w:u w:val="single"/>
    </w:rPr>
  </w:style>
  <w:style w:type="character" w:styleId="Emphasis">
    <w:name w:val="Emphasis"/>
    <w:uiPriority w:val="99"/>
    <w:qFormat/>
    <w:rsid w:val="00BF0803"/>
    <w:rPr>
      <w:rFonts w:cs="Times New Roman"/>
      <w:i/>
      <w:iCs/>
    </w:rPr>
  </w:style>
  <w:style w:type="character" w:customStyle="1" w:styleId="name">
    <w:name w:val="name"/>
    <w:uiPriority w:val="99"/>
    <w:rsid w:val="00BF0803"/>
    <w:rPr>
      <w:rFonts w:cs="Times New Roman"/>
    </w:rPr>
  </w:style>
  <w:style w:type="paragraph" w:styleId="BalloonText">
    <w:name w:val="Balloon Text"/>
    <w:basedOn w:val="Normal"/>
    <w:link w:val="BalloonTextChar"/>
    <w:uiPriority w:val="99"/>
    <w:semiHidden/>
    <w:rsid w:val="00630BE6"/>
    <w:rPr>
      <w:rFonts w:ascii="Lucida Grande" w:hAnsi="Lucida Grande" w:cs="Lucida Grande"/>
      <w:sz w:val="18"/>
      <w:szCs w:val="18"/>
    </w:rPr>
  </w:style>
  <w:style w:type="character" w:customStyle="1" w:styleId="BalloonTextChar">
    <w:name w:val="Balloon Text Char"/>
    <w:link w:val="BalloonText"/>
    <w:uiPriority w:val="99"/>
    <w:semiHidden/>
    <w:rsid w:val="00630BE6"/>
    <w:rPr>
      <w:rFonts w:ascii="Lucida Grande" w:hAnsi="Lucida Grande" w:cs="Lucida Grande"/>
      <w:sz w:val="18"/>
      <w:szCs w:val="18"/>
    </w:rPr>
  </w:style>
  <w:style w:type="paragraph" w:styleId="NormalWeb">
    <w:name w:val="Normal (Web)"/>
    <w:basedOn w:val="Normal"/>
    <w:uiPriority w:val="99"/>
    <w:semiHidden/>
    <w:rsid w:val="004F3DE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rsid w:val="004F3DE4"/>
    <w:pPr>
      <w:tabs>
        <w:tab w:val="center" w:pos="4320"/>
        <w:tab w:val="right" w:pos="8640"/>
      </w:tabs>
    </w:pPr>
  </w:style>
  <w:style w:type="character" w:customStyle="1" w:styleId="HeaderChar">
    <w:name w:val="Header Char"/>
    <w:link w:val="Header"/>
    <w:uiPriority w:val="99"/>
    <w:rsid w:val="004F3DE4"/>
    <w:rPr>
      <w:rFonts w:cs="Times New Roman"/>
    </w:rPr>
  </w:style>
  <w:style w:type="paragraph" w:styleId="Footer">
    <w:name w:val="footer"/>
    <w:basedOn w:val="Normal"/>
    <w:link w:val="FooterChar"/>
    <w:uiPriority w:val="99"/>
    <w:rsid w:val="004F3DE4"/>
    <w:pPr>
      <w:tabs>
        <w:tab w:val="center" w:pos="4320"/>
        <w:tab w:val="right" w:pos="8640"/>
      </w:tabs>
    </w:pPr>
  </w:style>
  <w:style w:type="character" w:customStyle="1" w:styleId="FooterChar">
    <w:name w:val="Footer Char"/>
    <w:link w:val="Footer"/>
    <w:uiPriority w:val="99"/>
    <w:rsid w:val="004F3DE4"/>
    <w:rPr>
      <w:rFonts w:cs="Times New Roman"/>
    </w:rPr>
  </w:style>
  <w:style w:type="character" w:styleId="CommentReference">
    <w:name w:val="annotation reference"/>
    <w:uiPriority w:val="99"/>
    <w:semiHidden/>
    <w:rsid w:val="005F5C62"/>
    <w:rPr>
      <w:rFonts w:cs="Times New Roman"/>
      <w:sz w:val="18"/>
      <w:szCs w:val="18"/>
    </w:rPr>
  </w:style>
  <w:style w:type="paragraph" w:styleId="CommentText">
    <w:name w:val="annotation text"/>
    <w:basedOn w:val="Normal"/>
    <w:link w:val="CommentTextChar"/>
    <w:uiPriority w:val="99"/>
    <w:semiHidden/>
    <w:rsid w:val="005F5C62"/>
  </w:style>
  <w:style w:type="character" w:customStyle="1" w:styleId="CommentTextChar">
    <w:name w:val="Comment Text Char"/>
    <w:link w:val="CommentText"/>
    <w:uiPriority w:val="99"/>
    <w:semiHidden/>
    <w:rsid w:val="005F5C62"/>
    <w:rPr>
      <w:rFonts w:cs="Times New Roman"/>
    </w:rPr>
  </w:style>
  <w:style w:type="paragraph" w:styleId="CommentSubject">
    <w:name w:val="annotation subject"/>
    <w:basedOn w:val="CommentText"/>
    <w:next w:val="CommentText"/>
    <w:link w:val="CommentSubjectChar"/>
    <w:uiPriority w:val="99"/>
    <w:semiHidden/>
    <w:rsid w:val="005F5C62"/>
    <w:rPr>
      <w:b/>
      <w:bCs/>
      <w:sz w:val="20"/>
      <w:szCs w:val="20"/>
    </w:rPr>
  </w:style>
  <w:style w:type="character" w:customStyle="1" w:styleId="CommentSubjectChar">
    <w:name w:val="Comment Subject Char"/>
    <w:link w:val="CommentSubject"/>
    <w:uiPriority w:val="99"/>
    <w:semiHidden/>
    <w:rsid w:val="005F5C62"/>
    <w:rPr>
      <w:rFonts w:cs="Times New Roman"/>
      <w:b/>
      <w:bCs/>
      <w:sz w:val="20"/>
      <w:szCs w:val="20"/>
    </w:rPr>
  </w:style>
  <w:style w:type="table" w:styleId="TableGrid">
    <w:name w:val="Table Grid"/>
    <w:basedOn w:val="TableNormal"/>
    <w:uiPriority w:val="99"/>
    <w:rsid w:val="008C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01E55"/>
  </w:style>
  <w:style w:type="paragraph" w:styleId="Bibliography">
    <w:name w:val="Bibliography"/>
    <w:basedOn w:val="Normal"/>
    <w:next w:val="Normal"/>
    <w:uiPriority w:val="37"/>
    <w:unhideWhenUsed/>
    <w:rsid w:val="0023663C"/>
    <w:pPr>
      <w:tabs>
        <w:tab w:val="left" w:pos="500"/>
      </w:tabs>
      <w:spacing w:after="240"/>
      <w:ind w:left="504" w:hanging="504"/>
    </w:pPr>
  </w:style>
  <w:style w:type="paragraph" w:styleId="Revision">
    <w:name w:val="Revision"/>
    <w:hidden/>
    <w:uiPriority w:val="99"/>
    <w:semiHidden/>
    <w:rsid w:val="00250B4D"/>
    <w:rPr>
      <w:sz w:val="24"/>
      <w:szCs w:val="24"/>
      <w:lang w:eastAsia="en-US"/>
    </w:rPr>
  </w:style>
  <w:style w:type="character" w:styleId="Strong">
    <w:name w:val="Strong"/>
    <w:basedOn w:val="DefaultParagraphFont"/>
    <w:uiPriority w:val="22"/>
    <w:qFormat/>
    <w:rsid w:val="00B3179C"/>
    <w:rPr>
      <w:b/>
      <w:bCs/>
    </w:rPr>
  </w:style>
  <w:style w:type="character" w:styleId="PlaceholderText">
    <w:name w:val="Placeholder Text"/>
    <w:basedOn w:val="DefaultParagraphFont"/>
    <w:uiPriority w:val="99"/>
    <w:semiHidden/>
    <w:rsid w:val="005334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4C6"/>
    <w:rPr>
      <w:sz w:val="24"/>
      <w:szCs w:val="24"/>
      <w:lang w:eastAsia="en-US"/>
    </w:rPr>
  </w:style>
  <w:style w:type="paragraph" w:styleId="Heading1">
    <w:name w:val="heading 1"/>
    <w:basedOn w:val="Normal"/>
    <w:link w:val="Heading1Char"/>
    <w:uiPriority w:val="99"/>
    <w:qFormat/>
    <w:rsid w:val="00BF0803"/>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0803"/>
    <w:rPr>
      <w:rFonts w:ascii="Times New Roman" w:hAnsi="Times New Roman" w:cs="Times New Roman"/>
      <w:b/>
      <w:bCs/>
      <w:kern w:val="36"/>
      <w:sz w:val="48"/>
      <w:szCs w:val="48"/>
      <w:lang w:eastAsia="en-GB"/>
    </w:rPr>
  </w:style>
  <w:style w:type="character" w:customStyle="1" w:styleId="apple-converted-space">
    <w:name w:val="apple-converted-space"/>
    <w:uiPriority w:val="99"/>
    <w:rsid w:val="00BF0803"/>
    <w:rPr>
      <w:rFonts w:cs="Times New Roman"/>
    </w:rPr>
  </w:style>
  <w:style w:type="character" w:styleId="Hyperlink">
    <w:name w:val="Hyperlink"/>
    <w:uiPriority w:val="99"/>
    <w:rsid w:val="00BF0803"/>
    <w:rPr>
      <w:rFonts w:cs="Times New Roman"/>
      <w:color w:val="0000FF"/>
      <w:u w:val="single"/>
    </w:rPr>
  </w:style>
  <w:style w:type="character" w:styleId="Emphasis">
    <w:name w:val="Emphasis"/>
    <w:uiPriority w:val="99"/>
    <w:qFormat/>
    <w:rsid w:val="00BF0803"/>
    <w:rPr>
      <w:rFonts w:cs="Times New Roman"/>
      <w:i/>
      <w:iCs/>
    </w:rPr>
  </w:style>
  <w:style w:type="character" w:customStyle="1" w:styleId="name">
    <w:name w:val="name"/>
    <w:uiPriority w:val="99"/>
    <w:rsid w:val="00BF0803"/>
    <w:rPr>
      <w:rFonts w:cs="Times New Roman"/>
    </w:rPr>
  </w:style>
  <w:style w:type="paragraph" w:styleId="BalloonText">
    <w:name w:val="Balloon Text"/>
    <w:basedOn w:val="Normal"/>
    <w:link w:val="BalloonTextChar"/>
    <w:uiPriority w:val="99"/>
    <w:semiHidden/>
    <w:rsid w:val="00630BE6"/>
    <w:rPr>
      <w:rFonts w:ascii="Lucida Grande" w:hAnsi="Lucida Grande" w:cs="Lucida Grande"/>
      <w:sz w:val="18"/>
      <w:szCs w:val="18"/>
    </w:rPr>
  </w:style>
  <w:style w:type="character" w:customStyle="1" w:styleId="BalloonTextChar">
    <w:name w:val="Balloon Text Char"/>
    <w:link w:val="BalloonText"/>
    <w:uiPriority w:val="99"/>
    <w:semiHidden/>
    <w:rsid w:val="00630BE6"/>
    <w:rPr>
      <w:rFonts w:ascii="Lucida Grande" w:hAnsi="Lucida Grande" w:cs="Lucida Grande"/>
      <w:sz w:val="18"/>
      <w:szCs w:val="18"/>
    </w:rPr>
  </w:style>
  <w:style w:type="paragraph" w:styleId="NormalWeb">
    <w:name w:val="Normal (Web)"/>
    <w:basedOn w:val="Normal"/>
    <w:uiPriority w:val="99"/>
    <w:semiHidden/>
    <w:rsid w:val="004F3DE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rsid w:val="004F3DE4"/>
    <w:pPr>
      <w:tabs>
        <w:tab w:val="center" w:pos="4320"/>
        <w:tab w:val="right" w:pos="8640"/>
      </w:tabs>
    </w:pPr>
  </w:style>
  <w:style w:type="character" w:customStyle="1" w:styleId="HeaderChar">
    <w:name w:val="Header Char"/>
    <w:link w:val="Header"/>
    <w:uiPriority w:val="99"/>
    <w:rsid w:val="004F3DE4"/>
    <w:rPr>
      <w:rFonts w:cs="Times New Roman"/>
    </w:rPr>
  </w:style>
  <w:style w:type="paragraph" w:styleId="Footer">
    <w:name w:val="footer"/>
    <w:basedOn w:val="Normal"/>
    <w:link w:val="FooterChar"/>
    <w:uiPriority w:val="99"/>
    <w:rsid w:val="004F3DE4"/>
    <w:pPr>
      <w:tabs>
        <w:tab w:val="center" w:pos="4320"/>
        <w:tab w:val="right" w:pos="8640"/>
      </w:tabs>
    </w:pPr>
  </w:style>
  <w:style w:type="character" w:customStyle="1" w:styleId="FooterChar">
    <w:name w:val="Footer Char"/>
    <w:link w:val="Footer"/>
    <w:uiPriority w:val="99"/>
    <w:rsid w:val="004F3DE4"/>
    <w:rPr>
      <w:rFonts w:cs="Times New Roman"/>
    </w:rPr>
  </w:style>
  <w:style w:type="character" w:styleId="CommentReference">
    <w:name w:val="annotation reference"/>
    <w:uiPriority w:val="99"/>
    <w:semiHidden/>
    <w:rsid w:val="005F5C62"/>
    <w:rPr>
      <w:rFonts w:cs="Times New Roman"/>
      <w:sz w:val="18"/>
      <w:szCs w:val="18"/>
    </w:rPr>
  </w:style>
  <w:style w:type="paragraph" w:styleId="CommentText">
    <w:name w:val="annotation text"/>
    <w:basedOn w:val="Normal"/>
    <w:link w:val="CommentTextChar"/>
    <w:uiPriority w:val="99"/>
    <w:semiHidden/>
    <w:rsid w:val="005F5C62"/>
  </w:style>
  <w:style w:type="character" w:customStyle="1" w:styleId="CommentTextChar">
    <w:name w:val="Comment Text Char"/>
    <w:link w:val="CommentText"/>
    <w:uiPriority w:val="99"/>
    <w:semiHidden/>
    <w:rsid w:val="005F5C62"/>
    <w:rPr>
      <w:rFonts w:cs="Times New Roman"/>
    </w:rPr>
  </w:style>
  <w:style w:type="paragraph" w:styleId="CommentSubject">
    <w:name w:val="annotation subject"/>
    <w:basedOn w:val="CommentText"/>
    <w:next w:val="CommentText"/>
    <w:link w:val="CommentSubjectChar"/>
    <w:uiPriority w:val="99"/>
    <w:semiHidden/>
    <w:rsid w:val="005F5C62"/>
    <w:rPr>
      <w:b/>
      <w:bCs/>
      <w:sz w:val="20"/>
      <w:szCs w:val="20"/>
    </w:rPr>
  </w:style>
  <w:style w:type="character" w:customStyle="1" w:styleId="CommentSubjectChar">
    <w:name w:val="Comment Subject Char"/>
    <w:link w:val="CommentSubject"/>
    <w:uiPriority w:val="99"/>
    <w:semiHidden/>
    <w:rsid w:val="005F5C62"/>
    <w:rPr>
      <w:rFonts w:cs="Times New Roman"/>
      <w:b/>
      <w:bCs/>
      <w:sz w:val="20"/>
      <w:szCs w:val="20"/>
    </w:rPr>
  </w:style>
  <w:style w:type="table" w:styleId="TableGrid">
    <w:name w:val="Table Grid"/>
    <w:basedOn w:val="TableNormal"/>
    <w:uiPriority w:val="99"/>
    <w:rsid w:val="008C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01E55"/>
  </w:style>
  <w:style w:type="paragraph" w:styleId="Bibliography">
    <w:name w:val="Bibliography"/>
    <w:basedOn w:val="Normal"/>
    <w:next w:val="Normal"/>
    <w:uiPriority w:val="37"/>
    <w:unhideWhenUsed/>
    <w:rsid w:val="0023663C"/>
    <w:pPr>
      <w:tabs>
        <w:tab w:val="left" w:pos="500"/>
      </w:tabs>
      <w:spacing w:after="240"/>
      <w:ind w:left="504" w:hanging="504"/>
    </w:pPr>
  </w:style>
  <w:style w:type="paragraph" w:styleId="Revision">
    <w:name w:val="Revision"/>
    <w:hidden/>
    <w:uiPriority w:val="99"/>
    <w:semiHidden/>
    <w:rsid w:val="00250B4D"/>
    <w:rPr>
      <w:sz w:val="24"/>
      <w:szCs w:val="24"/>
      <w:lang w:eastAsia="en-US"/>
    </w:rPr>
  </w:style>
  <w:style w:type="character" w:styleId="Strong">
    <w:name w:val="Strong"/>
    <w:basedOn w:val="DefaultParagraphFont"/>
    <w:uiPriority w:val="22"/>
    <w:qFormat/>
    <w:rsid w:val="00B3179C"/>
    <w:rPr>
      <w:b/>
      <w:bCs/>
    </w:rPr>
  </w:style>
  <w:style w:type="character" w:styleId="PlaceholderText">
    <w:name w:val="Placeholder Text"/>
    <w:basedOn w:val="DefaultParagraphFont"/>
    <w:uiPriority w:val="99"/>
    <w:semiHidden/>
    <w:rsid w:val="005334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4582">
      <w:bodyDiv w:val="1"/>
      <w:marLeft w:val="0"/>
      <w:marRight w:val="0"/>
      <w:marTop w:val="0"/>
      <w:marBottom w:val="0"/>
      <w:divBdr>
        <w:top w:val="none" w:sz="0" w:space="0" w:color="auto"/>
        <w:left w:val="none" w:sz="0" w:space="0" w:color="auto"/>
        <w:bottom w:val="none" w:sz="0" w:space="0" w:color="auto"/>
        <w:right w:val="none" w:sz="0" w:space="0" w:color="auto"/>
      </w:divBdr>
      <w:divsChild>
        <w:div w:id="1430081018">
          <w:marLeft w:val="0"/>
          <w:marRight w:val="0"/>
          <w:marTop w:val="0"/>
          <w:marBottom w:val="0"/>
          <w:divBdr>
            <w:top w:val="none" w:sz="0" w:space="0" w:color="auto"/>
            <w:left w:val="none" w:sz="0" w:space="0" w:color="auto"/>
            <w:bottom w:val="none" w:sz="0" w:space="0" w:color="auto"/>
            <w:right w:val="none" w:sz="0" w:space="0" w:color="auto"/>
          </w:divBdr>
          <w:divsChild>
            <w:div w:id="2137016404">
              <w:marLeft w:val="0"/>
              <w:marRight w:val="0"/>
              <w:marTop w:val="0"/>
              <w:marBottom w:val="0"/>
              <w:divBdr>
                <w:top w:val="none" w:sz="0" w:space="0" w:color="auto"/>
                <w:left w:val="none" w:sz="0" w:space="0" w:color="auto"/>
                <w:bottom w:val="none" w:sz="0" w:space="0" w:color="auto"/>
                <w:right w:val="none" w:sz="0" w:space="0" w:color="auto"/>
              </w:divBdr>
              <w:divsChild>
                <w:div w:id="12944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07425">
      <w:bodyDiv w:val="1"/>
      <w:marLeft w:val="0"/>
      <w:marRight w:val="0"/>
      <w:marTop w:val="0"/>
      <w:marBottom w:val="0"/>
      <w:divBdr>
        <w:top w:val="none" w:sz="0" w:space="0" w:color="auto"/>
        <w:left w:val="none" w:sz="0" w:space="0" w:color="auto"/>
        <w:bottom w:val="none" w:sz="0" w:space="0" w:color="auto"/>
        <w:right w:val="none" w:sz="0" w:space="0" w:color="auto"/>
      </w:divBdr>
    </w:div>
    <w:div w:id="392512828">
      <w:bodyDiv w:val="1"/>
      <w:marLeft w:val="0"/>
      <w:marRight w:val="0"/>
      <w:marTop w:val="0"/>
      <w:marBottom w:val="0"/>
      <w:divBdr>
        <w:top w:val="none" w:sz="0" w:space="0" w:color="auto"/>
        <w:left w:val="none" w:sz="0" w:space="0" w:color="auto"/>
        <w:bottom w:val="none" w:sz="0" w:space="0" w:color="auto"/>
        <w:right w:val="none" w:sz="0" w:space="0" w:color="auto"/>
      </w:divBdr>
    </w:div>
    <w:div w:id="896937852">
      <w:bodyDiv w:val="1"/>
      <w:marLeft w:val="0"/>
      <w:marRight w:val="0"/>
      <w:marTop w:val="0"/>
      <w:marBottom w:val="0"/>
      <w:divBdr>
        <w:top w:val="none" w:sz="0" w:space="0" w:color="auto"/>
        <w:left w:val="none" w:sz="0" w:space="0" w:color="auto"/>
        <w:bottom w:val="none" w:sz="0" w:space="0" w:color="auto"/>
        <w:right w:val="none" w:sz="0" w:space="0" w:color="auto"/>
      </w:divBdr>
    </w:div>
    <w:div w:id="899439719">
      <w:bodyDiv w:val="1"/>
      <w:marLeft w:val="0"/>
      <w:marRight w:val="0"/>
      <w:marTop w:val="0"/>
      <w:marBottom w:val="0"/>
      <w:divBdr>
        <w:top w:val="none" w:sz="0" w:space="0" w:color="auto"/>
        <w:left w:val="none" w:sz="0" w:space="0" w:color="auto"/>
        <w:bottom w:val="none" w:sz="0" w:space="0" w:color="auto"/>
        <w:right w:val="none" w:sz="0" w:space="0" w:color="auto"/>
      </w:divBdr>
    </w:div>
    <w:div w:id="937325079">
      <w:bodyDiv w:val="1"/>
      <w:marLeft w:val="0"/>
      <w:marRight w:val="0"/>
      <w:marTop w:val="0"/>
      <w:marBottom w:val="0"/>
      <w:divBdr>
        <w:top w:val="none" w:sz="0" w:space="0" w:color="auto"/>
        <w:left w:val="none" w:sz="0" w:space="0" w:color="auto"/>
        <w:bottom w:val="none" w:sz="0" w:space="0" w:color="auto"/>
        <w:right w:val="none" w:sz="0" w:space="0" w:color="auto"/>
      </w:divBdr>
    </w:div>
    <w:div w:id="1047221581">
      <w:bodyDiv w:val="1"/>
      <w:marLeft w:val="0"/>
      <w:marRight w:val="0"/>
      <w:marTop w:val="0"/>
      <w:marBottom w:val="0"/>
      <w:divBdr>
        <w:top w:val="none" w:sz="0" w:space="0" w:color="auto"/>
        <w:left w:val="none" w:sz="0" w:space="0" w:color="auto"/>
        <w:bottom w:val="none" w:sz="0" w:space="0" w:color="auto"/>
        <w:right w:val="none" w:sz="0" w:space="0" w:color="auto"/>
      </w:divBdr>
    </w:div>
    <w:div w:id="1247033994">
      <w:bodyDiv w:val="1"/>
      <w:marLeft w:val="0"/>
      <w:marRight w:val="0"/>
      <w:marTop w:val="0"/>
      <w:marBottom w:val="0"/>
      <w:divBdr>
        <w:top w:val="none" w:sz="0" w:space="0" w:color="auto"/>
        <w:left w:val="none" w:sz="0" w:space="0" w:color="auto"/>
        <w:bottom w:val="none" w:sz="0" w:space="0" w:color="auto"/>
        <w:right w:val="none" w:sz="0" w:space="0" w:color="auto"/>
      </w:divBdr>
    </w:div>
    <w:div w:id="1432508372">
      <w:bodyDiv w:val="1"/>
      <w:marLeft w:val="0"/>
      <w:marRight w:val="0"/>
      <w:marTop w:val="0"/>
      <w:marBottom w:val="0"/>
      <w:divBdr>
        <w:top w:val="none" w:sz="0" w:space="0" w:color="auto"/>
        <w:left w:val="none" w:sz="0" w:space="0" w:color="auto"/>
        <w:bottom w:val="none" w:sz="0" w:space="0" w:color="auto"/>
        <w:right w:val="none" w:sz="0" w:space="0" w:color="auto"/>
      </w:divBdr>
    </w:div>
    <w:div w:id="1452476581">
      <w:bodyDiv w:val="1"/>
      <w:marLeft w:val="0"/>
      <w:marRight w:val="0"/>
      <w:marTop w:val="0"/>
      <w:marBottom w:val="0"/>
      <w:divBdr>
        <w:top w:val="none" w:sz="0" w:space="0" w:color="auto"/>
        <w:left w:val="none" w:sz="0" w:space="0" w:color="auto"/>
        <w:bottom w:val="none" w:sz="0" w:space="0" w:color="auto"/>
        <w:right w:val="none" w:sz="0" w:space="0" w:color="auto"/>
      </w:divBdr>
    </w:div>
    <w:div w:id="1578440809">
      <w:bodyDiv w:val="1"/>
      <w:marLeft w:val="0"/>
      <w:marRight w:val="0"/>
      <w:marTop w:val="0"/>
      <w:marBottom w:val="0"/>
      <w:divBdr>
        <w:top w:val="none" w:sz="0" w:space="0" w:color="auto"/>
        <w:left w:val="none" w:sz="0" w:space="0" w:color="auto"/>
        <w:bottom w:val="none" w:sz="0" w:space="0" w:color="auto"/>
        <w:right w:val="none" w:sz="0" w:space="0" w:color="auto"/>
      </w:divBdr>
      <w:divsChild>
        <w:div w:id="2048794759">
          <w:marLeft w:val="0"/>
          <w:marRight w:val="0"/>
          <w:marTop w:val="0"/>
          <w:marBottom w:val="0"/>
          <w:divBdr>
            <w:top w:val="none" w:sz="0" w:space="0" w:color="auto"/>
            <w:left w:val="none" w:sz="0" w:space="0" w:color="auto"/>
            <w:bottom w:val="none" w:sz="0" w:space="0" w:color="auto"/>
            <w:right w:val="none" w:sz="0" w:space="0" w:color="auto"/>
          </w:divBdr>
          <w:divsChild>
            <w:div w:id="1747610254">
              <w:marLeft w:val="0"/>
              <w:marRight w:val="0"/>
              <w:marTop w:val="0"/>
              <w:marBottom w:val="0"/>
              <w:divBdr>
                <w:top w:val="none" w:sz="0" w:space="0" w:color="auto"/>
                <w:left w:val="none" w:sz="0" w:space="0" w:color="auto"/>
                <w:bottom w:val="none" w:sz="0" w:space="0" w:color="auto"/>
                <w:right w:val="none" w:sz="0" w:space="0" w:color="auto"/>
              </w:divBdr>
              <w:divsChild>
                <w:div w:id="6763458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25424013">
      <w:bodyDiv w:val="1"/>
      <w:marLeft w:val="0"/>
      <w:marRight w:val="0"/>
      <w:marTop w:val="0"/>
      <w:marBottom w:val="0"/>
      <w:divBdr>
        <w:top w:val="none" w:sz="0" w:space="0" w:color="auto"/>
        <w:left w:val="none" w:sz="0" w:space="0" w:color="auto"/>
        <w:bottom w:val="none" w:sz="0" w:space="0" w:color="auto"/>
        <w:right w:val="none" w:sz="0" w:space="0" w:color="auto"/>
      </w:divBdr>
    </w:div>
    <w:div w:id="1734042846">
      <w:bodyDiv w:val="1"/>
      <w:marLeft w:val="0"/>
      <w:marRight w:val="0"/>
      <w:marTop w:val="0"/>
      <w:marBottom w:val="0"/>
      <w:divBdr>
        <w:top w:val="none" w:sz="0" w:space="0" w:color="auto"/>
        <w:left w:val="none" w:sz="0" w:space="0" w:color="auto"/>
        <w:bottom w:val="none" w:sz="0" w:space="0" w:color="auto"/>
        <w:right w:val="none" w:sz="0" w:space="0" w:color="auto"/>
      </w:divBdr>
    </w:div>
    <w:div w:id="1818766445">
      <w:bodyDiv w:val="1"/>
      <w:marLeft w:val="0"/>
      <w:marRight w:val="0"/>
      <w:marTop w:val="0"/>
      <w:marBottom w:val="0"/>
      <w:divBdr>
        <w:top w:val="none" w:sz="0" w:space="0" w:color="auto"/>
        <w:left w:val="none" w:sz="0" w:space="0" w:color="auto"/>
        <w:bottom w:val="none" w:sz="0" w:space="0" w:color="auto"/>
        <w:right w:val="none" w:sz="0" w:space="0" w:color="auto"/>
      </w:divBdr>
    </w:div>
    <w:div w:id="1913852906">
      <w:bodyDiv w:val="1"/>
      <w:marLeft w:val="0"/>
      <w:marRight w:val="0"/>
      <w:marTop w:val="0"/>
      <w:marBottom w:val="0"/>
      <w:divBdr>
        <w:top w:val="none" w:sz="0" w:space="0" w:color="auto"/>
        <w:left w:val="none" w:sz="0" w:space="0" w:color="auto"/>
        <w:bottom w:val="none" w:sz="0" w:space="0" w:color="auto"/>
        <w:right w:val="none" w:sz="0" w:space="0" w:color="auto"/>
      </w:divBdr>
    </w:div>
    <w:div w:id="1988196191">
      <w:bodyDiv w:val="1"/>
      <w:marLeft w:val="0"/>
      <w:marRight w:val="0"/>
      <w:marTop w:val="0"/>
      <w:marBottom w:val="0"/>
      <w:divBdr>
        <w:top w:val="none" w:sz="0" w:space="0" w:color="auto"/>
        <w:left w:val="none" w:sz="0" w:space="0" w:color="auto"/>
        <w:bottom w:val="none" w:sz="0" w:space="0" w:color="auto"/>
        <w:right w:val="none" w:sz="0" w:space="0" w:color="auto"/>
      </w:divBdr>
    </w:div>
    <w:div w:id="2026441555">
      <w:marLeft w:val="0"/>
      <w:marRight w:val="0"/>
      <w:marTop w:val="0"/>
      <w:marBottom w:val="0"/>
      <w:divBdr>
        <w:top w:val="none" w:sz="0" w:space="0" w:color="auto"/>
        <w:left w:val="none" w:sz="0" w:space="0" w:color="auto"/>
        <w:bottom w:val="none" w:sz="0" w:space="0" w:color="auto"/>
        <w:right w:val="none" w:sz="0" w:space="0" w:color="auto"/>
      </w:divBdr>
      <w:divsChild>
        <w:div w:id="2026441549">
          <w:marLeft w:val="0"/>
          <w:marRight w:val="0"/>
          <w:marTop w:val="0"/>
          <w:marBottom w:val="0"/>
          <w:divBdr>
            <w:top w:val="none" w:sz="0" w:space="0" w:color="auto"/>
            <w:left w:val="none" w:sz="0" w:space="0" w:color="auto"/>
            <w:bottom w:val="none" w:sz="0" w:space="0" w:color="auto"/>
            <w:right w:val="none" w:sz="0" w:space="0" w:color="auto"/>
          </w:divBdr>
        </w:div>
        <w:div w:id="2026441550">
          <w:marLeft w:val="0"/>
          <w:marRight w:val="0"/>
          <w:marTop w:val="0"/>
          <w:marBottom w:val="0"/>
          <w:divBdr>
            <w:top w:val="none" w:sz="0" w:space="0" w:color="auto"/>
            <w:left w:val="none" w:sz="0" w:space="0" w:color="auto"/>
            <w:bottom w:val="none" w:sz="0" w:space="0" w:color="auto"/>
            <w:right w:val="none" w:sz="0" w:space="0" w:color="auto"/>
          </w:divBdr>
        </w:div>
        <w:div w:id="2026441551">
          <w:marLeft w:val="0"/>
          <w:marRight w:val="0"/>
          <w:marTop w:val="0"/>
          <w:marBottom w:val="0"/>
          <w:divBdr>
            <w:top w:val="none" w:sz="0" w:space="0" w:color="auto"/>
            <w:left w:val="none" w:sz="0" w:space="0" w:color="auto"/>
            <w:bottom w:val="none" w:sz="0" w:space="0" w:color="auto"/>
            <w:right w:val="none" w:sz="0" w:space="0" w:color="auto"/>
          </w:divBdr>
        </w:div>
        <w:div w:id="2026441554">
          <w:marLeft w:val="0"/>
          <w:marRight w:val="0"/>
          <w:marTop w:val="0"/>
          <w:marBottom w:val="0"/>
          <w:divBdr>
            <w:top w:val="none" w:sz="0" w:space="0" w:color="auto"/>
            <w:left w:val="none" w:sz="0" w:space="0" w:color="auto"/>
            <w:bottom w:val="none" w:sz="0" w:space="0" w:color="auto"/>
            <w:right w:val="none" w:sz="0" w:space="0" w:color="auto"/>
          </w:divBdr>
        </w:div>
        <w:div w:id="2026441557">
          <w:marLeft w:val="0"/>
          <w:marRight w:val="0"/>
          <w:marTop w:val="0"/>
          <w:marBottom w:val="0"/>
          <w:divBdr>
            <w:top w:val="none" w:sz="0" w:space="0" w:color="auto"/>
            <w:left w:val="none" w:sz="0" w:space="0" w:color="auto"/>
            <w:bottom w:val="none" w:sz="0" w:space="0" w:color="auto"/>
            <w:right w:val="none" w:sz="0" w:space="0" w:color="auto"/>
          </w:divBdr>
        </w:div>
      </w:divsChild>
    </w:div>
    <w:div w:id="2026441556">
      <w:marLeft w:val="0"/>
      <w:marRight w:val="0"/>
      <w:marTop w:val="0"/>
      <w:marBottom w:val="0"/>
      <w:divBdr>
        <w:top w:val="none" w:sz="0" w:space="0" w:color="auto"/>
        <w:left w:val="none" w:sz="0" w:space="0" w:color="auto"/>
        <w:bottom w:val="none" w:sz="0" w:space="0" w:color="auto"/>
        <w:right w:val="none" w:sz="0" w:space="0" w:color="auto"/>
      </w:divBdr>
      <w:divsChild>
        <w:div w:id="2026441548">
          <w:marLeft w:val="0"/>
          <w:marRight w:val="0"/>
          <w:marTop w:val="0"/>
          <w:marBottom w:val="0"/>
          <w:divBdr>
            <w:top w:val="none" w:sz="0" w:space="0" w:color="auto"/>
            <w:left w:val="none" w:sz="0" w:space="0" w:color="auto"/>
            <w:bottom w:val="none" w:sz="0" w:space="0" w:color="auto"/>
            <w:right w:val="none" w:sz="0" w:space="0" w:color="auto"/>
          </w:divBdr>
        </w:div>
        <w:div w:id="2026441552">
          <w:marLeft w:val="0"/>
          <w:marRight w:val="0"/>
          <w:marTop w:val="0"/>
          <w:marBottom w:val="0"/>
          <w:divBdr>
            <w:top w:val="none" w:sz="0" w:space="0" w:color="auto"/>
            <w:left w:val="none" w:sz="0" w:space="0" w:color="auto"/>
            <w:bottom w:val="none" w:sz="0" w:space="0" w:color="auto"/>
            <w:right w:val="none" w:sz="0" w:space="0" w:color="auto"/>
          </w:divBdr>
        </w:div>
        <w:div w:id="2026441553">
          <w:marLeft w:val="0"/>
          <w:marRight w:val="0"/>
          <w:marTop w:val="0"/>
          <w:marBottom w:val="0"/>
          <w:divBdr>
            <w:top w:val="none" w:sz="0" w:space="0" w:color="auto"/>
            <w:left w:val="none" w:sz="0" w:space="0" w:color="auto"/>
            <w:bottom w:val="none" w:sz="0" w:space="0" w:color="auto"/>
            <w:right w:val="none" w:sz="0" w:space="0" w:color="auto"/>
          </w:divBdr>
        </w:div>
      </w:divsChild>
    </w:div>
    <w:div w:id="2131197368">
      <w:bodyDiv w:val="1"/>
      <w:marLeft w:val="0"/>
      <w:marRight w:val="0"/>
      <w:marTop w:val="0"/>
      <w:marBottom w:val="0"/>
      <w:divBdr>
        <w:top w:val="none" w:sz="0" w:space="0" w:color="auto"/>
        <w:left w:val="none" w:sz="0" w:space="0" w:color="auto"/>
        <w:bottom w:val="none" w:sz="0" w:space="0" w:color="auto"/>
        <w:right w:val="none" w:sz="0" w:space="0" w:color="auto"/>
      </w:divBdr>
      <w:divsChild>
        <w:div w:id="1601064592">
          <w:marLeft w:val="0"/>
          <w:marRight w:val="0"/>
          <w:marTop w:val="0"/>
          <w:marBottom w:val="0"/>
          <w:divBdr>
            <w:top w:val="none" w:sz="0" w:space="0" w:color="auto"/>
            <w:left w:val="none" w:sz="0" w:space="0" w:color="auto"/>
            <w:bottom w:val="none" w:sz="0" w:space="0" w:color="auto"/>
            <w:right w:val="none" w:sz="0" w:space="0" w:color="auto"/>
          </w:divBdr>
          <w:divsChild>
            <w:div w:id="179245510">
              <w:marLeft w:val="0"/>
              <w:marRight w:val="0"/>
              <w:marTop w:val="0"/>
              <w:marBottom w:val="0"/>
              <w:divBdr>
                <w:top w:val="none" w:sz="0" w:space="0" w:color="auto"/>
                <w:left w:val="none" w:sz="0" w:space="0" w:color="auto"/>
                <w:bottom w:val="none" w:sz="0" w:space="0" w:color="auto"/>
                <w:right w:val="none" w:sz="0" w:space="0" w:color="auto"/>
              </w:divBdr>
              <w:divsChild>
                <w:div w:id="14201299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s500@york.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mie.wood@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11D630-EF4A-45CF-AC33-6E76B29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91669974.dotm</Template>
  <TotalTime>0</TotalTime>
  <Pages>17</Pages>
  <Words>21404</Words>
  <Characters>122009</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Re</vt:lpstr>
    </vt:vector>
  </TitlesOfParts>
  <Company>University of York</Company>
  <LinksUpToDate>false</LinksUpToDate>
  <CharactersWithSpaces>143127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A. Jamie Wood</dc:creator>
  <cp:lastModifiedBy>Megan Elisabeth Stig Sørensen</cp:lastModifiedBy>
  <cp:revision>2</cp:revision>
  <cp:lastPrinted>2015-09-01T08:29:00Z</cp:lastPrinted>
  <dcterms:created xsi:type="dcterms:W3CDTF">2016-02-17T11:24:00Z</dcterms:created>
  <dcterms:modified xsi:type="dcterms:W3CDTF">2016-02-17T11:24:00Z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id="s7MQ6sju"/&gt;&lt;style id="http://www.zotero.org/styles/vancouver" hasBibliography="1" bibliographyStyleHasBeenSet="1"/&gt;&lt;prefs&gt;&lt;pref name="fieldType" value="Field"/&gt;&lt;pref name="storeReferences" valu</vt:lpwstr>
  </property>
  <property fmtid="{D5CDD505-2E9C-101B-9397-08002B2CF9AE}" pid="3" name="ZOTERO_PREF_2">
    <vt:lpwstr>e="true"/&gt;&lt;pref name="automaticJournalAbbreviations" value="true"/&gt;&lt;pref name="noteType" value="0"/&gt;&lt;/prefs&gt;&lt;/data&gt;</vt:lpwstr>
  </property>
</Properties>
</file>