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284" w:rsidRPr="001F2BED" w:rsidRDefault="00196284" w:rsidP="0073452A">
      <w:pPr>
        <w:rPr>
          <w:b/>
          <w:sz w:val="28"/>
        </w:rPr>
      </w:pPr>
      <w:r w:rsidRPr="001F2BED">
        <w:rPr>
          <w:b/>
          <w:sz w:val="28"/>
        </w:rPr>
        <w:t>Steps towards sustainable manufacturing through modelling material, energy and waste flows</w:t>
      </w:r>
    </w:p>
    <w:p w:rsidR="00196284" w:rsidRPr="001F2BED" w:rsidRDefault="00196284" w:rsidP="0073452A">
      <w:pPr>
        <w:rPr>
          <w:sz w:val="28"/>
        </w:rPr>
      </w:pPr>
    </w:p>
    <w:p w:rsidR="00196284" w:rsidRPr="001F2BED" w:rsidRDefault="00196284" w:rsidP="0073452A">
      <w:pPr>
        <w:rPr>
          <w:b/>
          <w:sz w:val="28"/>
        </w:rPr>
      </w:pPr>
      <w:r w:rsidRPr="001F2BED">
        <w:rPr>
          <w:b/>
          <w:sz w:val="28"/>
        </w:rPr>
        <w:t>Leigh Smith &amp; Peter Ball</w:t>
      </w:r>
      <w:r w:rsidRPr="001F2BED">
        <w:rPr>
          <w:rStyle w:val="FootnoteReference"/>
          <w:b/>
          <w:sz w:val="28"/>
        </w:rPr>
        <w:footnoteReference w:id="1"/>
      </w:r>
    </w:p>
    <w:p w:rsidR="00196284" w:rsidRDefault="00196284" w:rsidP="0073452A">
      <w:r>
        <w:t xml:space="preserve">Manufacturing Department, </w:t>
      </w:r>
      <w:smartTag w:uri="urn:schemas-microsoft-com:office:smarttags" w:element="City">
        <w:smartTag w:uri="urn:schemas-microsoft-com:office:smarttags" w:element="place">
          <w:r>
            <w:t>Cranfield University</w:t>
          </w:r>
        </w:smartTag>
        <w:r>
          <w:t xml:space="preserve">, </w:t>
        </w:r>
        <w:smartTag w:uri="urn:schemas-microsoft-com:office:smarttags" w:element="country-region">
          <w:r>
            <w:t>UK</w:t>
          </w:r>
        </w:smartTag>
      </w:smartTag>
    </w:p>
    <w:p w:rsidR="00196284" w:rsidRDefault="00C66858" w:rsidP="0073452A">
      <w:r>
        <w:t>24/11/11 v11</w:t>
      </w:r>
    </w:p>
    <w:p w:rsidR="00196284" w:rsidRDefault="00196284" w:rsidP="0073452A"/>
    <w:p w:rsidR="00196284" w:rsidRPr="000A55EB" w:rsidRDefault="00196284" w:rsidP="0073452A">
      <w:pPr>
        <w:rPr>
          <w:b/>
        </w:rPr>
      </w:pPr>
      <w:r w:rsidRPr="000A55EB">
        <w:rPr>
          <w:b/>
        </w:rPr>
        <w:t>Abstract</w:t>
      </w:r>
    </w:p>
    <w:p w:rsidR="00196284" w:rsidRDefault="00196284" w:rsidP="00692645">
      <w:r>
        <w:t>A</w:t>
      </w:r>
      <w:r w:rsidRPr="00D81D1F">
        <w:t xml:space="preserve"> sustainable society cannot be realised without more efficient </w:t>
      </w:r>
      <w:r>
        <w:t>approaches and technologies</w:t>
      </w:r>
      <w:r w:rsidRPr="00D81D1F">
        <w:t xml:space="preserve"> </w:t>
      </w:r>
      <w:r>
        <w:t>which must in part be provided by manufacturing</w:t>
      </w:r>
      <w:r w:rsidRPr="00D81D1F">
        <w:t xml:space="preserve">. </w:t>
      </w:r>
      <w:r>
        <w:t>Available</w:t>
      </w:r>
      <w:r w:rsidRPr="00FC7E8C">
        <w:t xml:space="preserve"> literature covers the principles for making manufacturing more sustainable</w:t>
      </w:r>
      <w:r>
        <w:t>,</w:t>
      </w:r>
      <w:r w:rsidRPr="00FC7E8C">
        <w:t xml:space="preserve"> but there is little</w:t>
      </w:r>
      <w:r>
        <w:t>,</w:t>
      </w:r>
      <w:r w:rsidRPr="00FC7E8C">
        <w:t xml:space="preserve"> if any</w:t>
      </w:r>
      <w:r>
        <w:t>, practical</w:t>
      </w:r>
      <w:r w:rsidRPr="00FC7E8C">
        <w:t xml:space="preserve"> guidance </w:t>
      </w:r>
      <w:r>
        <w:t xml:space="preserve">to show </w:t>
      </w:r>
      <w:r w:rsidRPr="00FC7E8C">
        <w:t>how to apply the</w:t>
      </w:r>
      <w:r>
        <w:t>se principles. L</w:t>
      </w:r>
      <w:r w:rsidRPr="00FC7E8C">
        <w:t xml:space="preserve">ower level </w:t>
      </w:r>
      <w:r>
        <w:t>guidelines</w:t>
      </w:r>
      <w:r w:rsidRPr="00FC7E8C">
        <w:t xml:space="preserve"> </w:t>
      </w:r>
      <w:r>
        <w:t>are</w:t>
      </w:r>
      <w:r w:rsidRPr="00FC7E8C">
        <w:t xml:space="preserve"> required to </w:t>
      </w:r>
      <w:r>
        <w:t>provide</w:t>
      </w:r>
      <w:r w:rsidRPr="00FC7E8C">
        <w:t xml:space="preserve"> guidance on systematically analy</w:t>
      </w:r>
      <w:r>
        <w:t>s</w:t>
      </w:r>
      <w:r w:rsidRPr="00FC7E8C">
        <w:t xml:space="preserve">ing manufacturing </w:t>
      </w:r>
      <w:r>
        <w:t>facilities</w:t>
      </w:r>
      <w:r w:rsidRPr="00FC7E8C">
        <w:t xml:space="preserve"> </w:t>
      </w:r>
      <w:r>
        <w:t>and</w:t>
      </w:r>
      <w:r w:rsidRPr="00FC7E8C">
        <w:t xml:space="preserve"> </w:t>
      </w:r>
      <w:r>
        <w:t xml:space="preserve">to </w:t>
      </w:r>
      <w:r w:rsidRPr="00FC7E8C">
        <w:t>assist with the identification and selection of improvement opportunities</w:t>
      </w:r>
      <w:r>
        <w:t>. This paper reports on</w:t>
      </w:r>
      <w:r w:rsidRPr="00EB098A">
        <w:t xml:space="preserve"> work to develop guidelines for Material</w:t>
      </w:r>
      <w:r>
        <w:t>,</w:t>
      </w:r>
      <w:r w:rsidRPr="00EB098A">
        <w:t xml:space="preserve"> Energy and Waste (MEW) process flow modelling to support the pursuit of </w:t>
      </w:r>
      <w:r>
        <w:t>sustainable manufacturing</w:t>
      </w:r>
      <w:r w:rsidRPr="00EB098A">
        <w:t xml:space="preserve">. </w:t>
      </w:r>
      <w:r>
        <w:t>Using</w:t>
      </w:r>
      <w:r w:rsidRPr="00EB098A">
        <w:t xml:space="preserve"> qualitative MEW </w:t>
      </w:r>
      <w:r>
        <w:t xml:space="preserve">process flow </w:t>
      </w:r>
      <w:r w:rsidRPr="00EB098A">
        <w:t>maps of a case facility</w:t>
      </w:r>
      <w:r>
        <w:t>,</w:t>
      </w:r>
      <w:r w:rsidRPr="00EB098A">
        <w:t xml:space="preserve"> data </w:t>
      </w:r>
      <w:r>
        <w:t xml:space="preserve">was </w:t>
      </w:r>
      <w:r w:rsidRPr="00EB098A">
        <w:t>collect</w:t>
      </w:r>
      <w:r>
        <w:t>ed</w:t>
      </w:r>
      <w:r w:rsidRPr="00EB098A">
        <w:t xml:space="preserve"> to build a spreadsheet model aligned to each of the MEW process flows. The quantitative analysis provide</w:t>
      </w:r>
      <w:r>
        <w:t>d</w:t>
      </w:r>
      <w:r w:rsidRPr="00EB098A">
        <w:t xml:space="preserve"> detailed insight into the MEW process flows within the system and assist</w:t>
      </w:r>
      <w:r>
        <w:t>ed</w:t>
      </w:r>
      <w:r w:rsidRPr="00EB098A">
        <w:t xml:space="preserve"> with the identification and selection of environmental efficiency improvements. The key learning points </w:t>
      </w:r>
      <w:r>
        <w:t xml:space="preserve">from conducting the analysis </w:t>
      </w:r>
      <w:r w:rsidRPr="00EB098A">
        <w:t>generate</w:t>
      </w:r>
      <w:r>
        <w:t>d</w:t>
      </w:r>
      <w:r w:rsidRPr="00EB098A">
        <w:t xml:space="preserve"> a set of guidelines to aid the analysis of manufacturing systems</w:t>
      </w:r>
      <w:r>
        <w:t>,</w:t>
      </w:r>
      <w:r w:rsidRPr="00EB098A">
        <w:t xml:space="preserve"> using MEW process flow modelling.</w:t>
      </w:r>
      <w:r w:rsidRPr="00D81D1F">
        <w:t xml:space="preserve"> </w:t>
      </w:r>
      <w:r>
        <w:t xml:space="preserve">This paper documents the approach developed and the environmental performance improvement opportunities identified in the case facility. </w:t>
      </w:r>
    </w:p>
    <w:p w:rsidR="00196284" w:rsidRDefault="00196284" w:rsidP="0073452A"/>
    <w:p w:rsidR="00196284" w:rsidRDefault="00196284" w:rsidP="0073452A"/>
    <w:p w:rsidR="00196284" w:rsidRPr="000A55EB" w:rsidRDefault="00196284" w:rsidP="0073452A">
      <w:pPr>
        <w:rPr>
          <w:b/>
        </w:rPr>
      </w:pPr>
      <w:r w:rsidRPr="000A55EB">
        <w:rPr>
          <w:b/>
        </w:rPr>
        <w:t>Keywords</w:t>
      </w:r>
    </w:p>
    <w:p w:rsidR="00196284" w:rsidRDefault="00196284" w:rsidP="0073452A">
      <w:r>
        <w:t>Process mapping, sustainable manufacture, zero carbon</w:t>
      </w:r>
      <w:r w:rsidR="00AB7296">
        <w:t>, material energy &amp; waste modelling</w:t>
      </w:r>
    </w:p>
    <w:p w:rsidR="00196284" w:rsidRDefault="00196284" w:rsidP="0073452A"/>
    <w:p w:rsidR="00196284" w:rsidRPr="00CA7585" w:rsidRDefault="00196284" w:rsidP="00B65FCE">
      <w:pPr>
        <w:keepNext/>
        <w:rPr>
          <w:b/>
        </w:rPr>
      </w:pPr>
      <w:r>
        <w:rPr>
          <w:b/>
        </w:rPr>
        <w:lastRenderedPageBreak/>
        <w:t xml:space="preserve">1. </w:t>
      </w:r>
      <w:r w:rsidRPr="00CA7585">
        <w:rPr>
          <w:b/>
        </w:rPr>
        <w:t>Introduction</w:t>
      </w:r>
    </w:p>
    <w:p w:rsidR="00196284" w:rsidRDefault="00196284" w:rsidP="009B5C11">
      <w:r>
        <w:t>A sustainable society must live within its means and use energy and materials in a way that will not compromise the standards and health of future generations</w:t>
      </w:r>
      <w:r w:rsidR="00810E20">
        <w:t xml:space="preserve"> [</w:t>
      </w:r>
      <w:r w:rsidR="00810E20">
        <w:fldChar w:fldCharType="begin"/>
      </w:r>
      <w:r w:rsidR="00810E20">
        <w:instrText xml:space="preserve"> REF _Ref274727731 \r \h </w:instrText>
      </w:r>
      <w:r w:rsidR="00810E20">
        <w:fldChar w:fldCharType="separate"/>
      </w:r>
      <w:r w:rsidR="00B238BB">
        <w:t>1</w:t>
      </w:r>
      <w:r w:rsidR="00810E20">
        <w:fldChar w:fldCharType="end"/>
      </w:r>
      <w:r w:rsidR="00810E20">
        <w:t>]</w:t>
      </w:r>
      <w:r>
        <w:t xml:space="preserve">. </w:t>
      </w:r>
      <w:r w:rsidRPr="00D81D1F">
        <w:t>Substantial improvements in the efficiency in which finite natural resources are used</w:t>
      </w:r>
      <w:r>
        <w:t>,</w:t>
      </w:r>
      <w:r w:rsidRPr="00D81D1F">
        <w:t xml:space="preserve"> and reduction of the wastes and emissions generated through their use</w:t>
      </w:r>
      <w:r>
        <w:t>,</w:t>
      </w:r>
      <w:r w:rsidRPr="00D81D1F">
        <w:t xml:space="preserve"> are required. </w:t>
      </w:r>
    </w:p>
    <w:p w:rsidR="00196284" w:rsidRDefault="00196284" w:rsidP="009B5C11">
      <w:r>
        <w:t>A</w:t>
      </w:r>
      <w:r w:rsidRPr="00D81D1F">
        <w:t xml:space="preserve"> sustainable society cannot be realised without more efficient </w:t>
      </w:r>
      <w:r>
        <w:t xml:space="preserve">approaches and </w:t>
      </w:r>
      <w:r w:rsidRPr="00D81D1F">
        <w:t xml:space="preserve">technologies </w:t>
      </w:r>
      <w:r>
        <w:t>which must in part be provided by manufacturing</w:t>
      </w:r>
      <w:r w:rsidRPr="00D81D1F">
        <w:t xml:space="preserve">. </w:t>
      </w:r>
      <w:r w:rsidRPr="00712F81">
        <w:t>Whilst the existing industrial system has helped to create the high standard of living which is enjoyed today in developed countries, merely using its existing configuration to produce these technol</w:t>
      </w:r>
      <w:r>
        <w:t>ogies is no longer appropriate [</w:t>
      </w:r>
      <w:r w:rsidR="00810E20">
        <w:fldChar w:fldCharType="begin"/>
      </w:r>
      <w:r w:rsidR="00810E20">
        <w:instrText xml:space="preserve"> REF _Ref309898135 \r \h </w:instrText>
      </w:r>
      <w:r w:rsidR="00810E20">
        <w:fldChar w:fldCharType="separate"/>
      </w:r>
      <w:r w:rsidR="00B238BB">
        <w:t>2</w:t>
      </w:r>
      <w:r w:rsidR="00810E20">
        <w:fldChar w:fldCharType="end"/>
      </w:r>
      <w:r>
        <w:t>]</w:t>
      </w:r>
      <w:r w:rsidRPr="00D81D1F">
        <w:t>. As global living standards continue to rise; the challenge for manufacturing is to meet a constantly increasing demand for products whilst using less material, less energy and generating less waste</w:t>
      </w:r>
      <w:r>
        <w:t xml:space="preserve"> [</w:t>
      </w:r>
      <w:r w:rsidR="006D3C89">
        <w:fldChar w:fldCharType="begin"/>
      </w:r>
      <w:r>
        <w:instrText xml:space="preserve"> REF _Ref274727637 \r \h </w:instrText>
      </w:r>
      <w:r w:rsidR="006D3C89">
        <w:fldChar w:fldCharType="separate"/>
      </w:r>
      <w:r w:rsidR="00B238BB">
        <w:t>3</w:t>
      </w:r>
      <w:r w:rsidR="006D3C89">
        <w:fldChar w:fldCharType="end"/>
      </w:r>
      <w:r>
        <w:t>]</w:t>
      </w:r>
      <w:r w:rsidRPr="00D81D1F">
        <w:t xml:space="preserve">. </w:t>
      </w:r>
    </w:p>
    <w:p w:rsidR="00196284" w:rsidRPr="00053FB6" w:rsidRDefault="00196284" w:rsidP="009B5C11">
      <w:pPr>
        <w:rPr>
          <w:rFonts w:eastAsia="SyntaxLT-Roman"/>
          <w:highlight w:val="darkCyan"/>
        </w:rPr>
      </w:pPr>
    </w:p>
    <w:p w:rsidR="00196284" w:rsidRDefault="00196284" w:rsidP="009B5C11">
      <w:r w:rsidRPr="00D60579">
        <w:t>Organisations</w:t>
      </w:r>
      <w:r w:rsidRPr="00D81D1F">
        <w:t xml:space="preserve"> that pursue more environmentally friendly products and operations will</w:t>
      </w:r>
      <w:r>
        <w:t xml:space="preserve"> recover costs quickly [</w:t>
      </w:r>
      <w:r w:rsidR="006D3C89">
        <w:fldChar w:fldCharType="begin"/>
      </w:r>
      <w:r>
        <w:instrText xml:space="preserve"> REF _Ref274744785 \r \h </w:instrText>
      </w:r>
      <w:r w:rsidR="006D3C89">
        <w:fldChar w:fldCharType="separate"/>
      </w:r>
      <w:r w:rsidR="00B238BB">
        <w:t>4</w:t>
      </w:r>
      <w:r w:rsidR="006D3C89">
        <w:fldChar w:fldCharType="end"/>
      </w:r>
      <w:r>
        <w:t>]</w:t>
      </w:r>
      <w:r w:rsidRPr="00D81D1F">
        <w:t xml:space="preserve"> </w:t>
      </w:r>
      <w:r>
        <w:t xml:space="preserve">and contribute to </w:t>
      </w:r>
      <w:r w:rsidRPr="00D81D1F">
        <w:t>competitive advantage</w:t>
      </w:r>
      <w:r>
        <w:t xml:space="preserve"> [</w:t>
      </w:r>
      <w:r w:rsidR="006D3C89">
        <w:fldChar w:fldCharType="begin"/>
      </w:r>
      <w:r>
        <w:instrText xml:space="preserve"> REF _Ref274745254 \r \h </w:instrText>
      </w:r>
      <w:r w:rsidR="006D3C89">
        <w:fldChar w:fldCharType="separate"/>
      </w:r>
      <w:r w:rsidR="00B238BB">
        <w:t>5</w:t>
      </w:r>
      <w:r w:rsidR="006D3C89">
        <w:fldChar w:fldCharType="end"/>
      </w:r>
      <w:r>
        <w:t>]</w:t>
      </w:r>
      <w:r w:rsidR="00C06105">
        <w:t xml:space="preserve"> rather than </w:t>
      </w:r>
      <w:r w:rsidR="00810E20">
        <w:t>suffering</w:t>
      </w:r>
      <w:r w:rsidR="00C06105">
        <w:t xml:space="preserve"> a burden [</w:t>
      </w:r>
      <w:r w:rsidR="006D3C89">
        <w:fldChar w:fldCharType="begin"/>
      </w:r>
      <w:r w:rsidR="00C06105">
        <w:instrText xml:space="preserve"> REF _Ref309830543 \r \h </w:instrText>
      </w:r>
      <w:r w:rsidR="006D3C89">
        <w:fldChar w:fldCharType="separate"/>
      </w:r>
      <w:r w:rsidR="00B238BB">
        <w:t>6</w:t>
      </w:r>
      <w:r w:rsidR="006D3C89">
        <w:fldChar w:fldCharType="end"/>
      </w:r>
      <w:r w:rsidR="00C06105">
        <w:t>]</w:t>
      </w:r>
      <w:r w:rsidRPr="00D81D1F">
        <w:t xml:space="preserve">. Indeed, as material, energy and waste costs rise, environmental efficiency improvements will have greater benefit than ever before. </w:t>
      </w:r>
      <w:r>
        <w:t>Those that do not</w:t>
      </w:r>
      <w:r w:rsidRPr="00001F24">
        <w:t xml:space="preserve"> </w:t>
      </w:r>
      <w:r w:rsidR="00810E20">
        <w:t xml:space="preserve">improve </w:t>
      </w:r>
      <w:r w:rsidRPr="00001F24">
        <w:t>will</w:t>
      </w:r>
      <w:r w:rsidRPr="00D81D1F">
        <w:t xml:space="preserve"> </w:t>
      </w:r>
      <w:r>
        <w:t>suffer</w:t>
      </w:r>
      <w:r w:rsidRPr="00D81D1F">
        <w:t xml:space="preserve"> higher costs from waste disposal and non-compliance with punitive legislation</w:t>
      </w:r>
      <w:r>
        <w:t xml:space="preserve"> [</w:t>
      </w:r>
      <w:r w:rsidR="006D3C89">
        <w:fldChar w:fldCharType="begin"/>
      </w:r>
      <w:r>
        <w:instrText xml:space="preserve"> REF _Ref274727660 \r \h </w:instrText>
      </w:r>
      <w:r w:rsidR="006D3C89">
        <w:fldChar w:fldCharType="separate"/>
      </w:r>
      <w:r w:rsidR="00B238BB">
        <w:t>7</w:t>
      </w:r>
      <w:r w:rsidR="006D3C89">
        <w:fldChar w:fldCharType="end"/>
      </w:r>
      <w:r>
        <w:t>]</w:t>
      </w:r>
      <w:r w:rsidRPr="00D81D1F">
        <w:t>.</w:t>
      </w:r>
      <w:r w:rsidRPr="00D60579">
        <w:t xml:space="preserve"> </w:t>
      </w:r>
      <w:r w:rsidR="008E059B">
        <w:rPr>
          <w:rFonts w:cstheme="minorHAnsi"/>
        </w:rPr>
        <w:t xml:space="preserve">Significant benefits from an environmental focus have been </w:t>
      </w:r>
      <w:r w:rsidR="008E059B" w:rsidRPr="00CC50D0">
        <w:rPr>
          <w:rFonts w:cstheme="minorHAnsi"/>
          <w:color w:val="000000"/>
        </w:rPr>
        <w:t>shown</w:t>
      </w:r>
      <w:r w:rsidR="008E059B">
        <w:rPr>
          <w:rFonts w:cstheme="minorHAnsi"/>
          <w:color w:val="000000"/>
        </w:rPr>
        <w:t xml:space="preserve"> [</w:t>
      </w:r>
      <w:r w:rsidR="006D3C89">
        <w:rPr>
          <w:rFonts w:cstheme="minorHAnsi"/>
          <w:color w:val="000000"/>
        </w:rPr>
        <w:fldChar w:fldCharType="begin"/>
      </w:r>
      <w:r w:rsidR="008E059B">
        <w:rPr>
          <w:rFonts w:cstheme="minorHAnsi"/>
          <w:color w:val="000000"/>
        </w:rPr>
        <w:instrText xml:space="preserve"> REF _Ref309829923 \r \h </w:instrText>
      </w:r>
      <w:r w:rsidR="006D3C89">
        <w:rPr>
          <w:rFonts w:cstheme="minorHAnsi"/>
          <w:color w:val="000000"/>
        </w:rPr>
      </w:r>
      <w:r w:rsidR="006D3C89">
        <w:rPr>
          <w:rFonts w:cstheme="minorHAnsi"/>
          <w:color w:val="000000"/>
        </w:rPr>
        <w:fldChar w:fldCharType="separate"/>
      </w:r>
      <w:r w:rsidR="00B238BB">
        <w:rPr>
          <w:rFonts w:cstheme="minorHAnsi"/>
          <w:color w:val="000000"/>
        </w:rPr>
        <w:t>8</w:t>
      </w:r>
      <w:r w:rsidR="006D3C89">
        <w:rPr>
          <w:rFonts w:cstheme="minorHAnsi"/>
          <w:color w:val="000000"/>
        </w:rPr>
        <w:fldChar w:fldCharType="end"/>
      </w:r>
      <w:r w:rsidR="008E059B">
        <w:rPr>
          <w:rFonts w:cstheme="minorHAnsi"/>
          <w:color w:val="000000"/>
        </w:rPr>
        <w:t>] and f</w:t>
      </w:r>
      <w:r w:rsidRPr="00D81D1F">
        <w:t>orward thinking companies that prepare for this future will thrive, while the rest will be le</w:t>
      </w:r>
      <w:r>
        <w:t>ft behind [</w:t>
      </w:r>
      <w:r w:rsidR="006D3C89">
        <w:fldChar w:fldCharType="begin"/>
      </w:r>
      <w:r>
        <w:instrText xml:space="preserve"> REF _Ref274727688 \r \h </w:instrText>
      </w:r>
      <w:r w:rsidR="006D3C89">
        <w:fldChar w:fldCharType="separate"/>
      </w:r>
      <w:r w:rsidR="00B238BB">
        <w:t>9</w:t>
      </w:r>
      <w:r w:rsidR="006D3C89">
        <w:fldChar w:fldCharType="end"/>
      </w:r>
      <w:r>
        <w:t>]</w:t>
      </w:r>
      <w:r w:rsidRPr="00D81D1F">
        <w:t xml:space="preserve">. </w:t>
      </w:r>
    </w:p>
    <w:p w:rsidR="00196284" w:rsidRPr="00D81D1F" w:rsidRDefault="00196284" w:rsidP="009B5C11"/>
    <w:p w:rsidR="00196284" w:rsidRDefault="00196284" w:rsidP="009B5C11">
      <w:pPr>
        <w:rPr>
          <w:color w:val="000000"/>
        </w:rPr>
      </w:pPr>
      <w:r w:rsidRPr="00FC7E8C">
        <w:t xml:space="preserve">For manufacturing companies that have recognised the need for change, their challenge becomes understanding how it can be achieved. </w:t>
      </w:r>
      <w:r>
        <w:t>R</w:t>
      </w:r>
      <w:r w:rsidRPr="00FC7E8C">
        <w:t>esearch has been carried out to address this challenge</w:t>
      </w:r>
      <w:r w:rsidR="00972707">
        <w:t xml:space="preserve"> [</w:t>
      </w:r>
      <w:r w:rsidR="006D3C89">
        <w:fldChar w:fldCharType="begin"/>
      </w:r>
      <w:r w:rsidR="008344AC">
        <w:instrText xml:space="preserve"> REF _Ref275352539 \r \h </w:instrText>
      </w:r>
      <w:r w:rsidR="006D3C89">
        <w:fldChar w:fldCharType="separate"/>
      </w:r>
      <w:r w:rsidR="00B238BB">
        <w:t>10</w:t>
      </w:r>
      <w:r w:rsidR="006D3C89">
        <w:fldChar w:fldCharType="end"/>
      </w:r>
      <w:r w:rsidR="008344AC">
        <w:t xml:space="preserve">, </w:t>
      </w:r>
      <w:r w:rsidR="006D3C89">
        <w:fldChar w:fldCharType="begin"/>
      </w:r>
      <w:r w:rsidR="008344AC">
        <w:instrText xml:space="preserve"> REF _Ref275352597 \r \h </w:instrText>
      </w:r>
      <w:r w:rsidR="006D3C89">
        <w:fldChar w:fldCharType="separate"/>
      </w:r>
      <w:r w:rsidR="00B238BB">
        <w:t>11</w:t>
      </w:r>
      <w:r w:rsidR="006D3C89">
        <w:fldChar w:fldCharType="end"/>
      </w:r>
      <w:r w:rsidR="008344AC">
        <w:t xml:space="preserve">, </w:t>
      </w:r>
      <w:r w:rsidR="006D3C89">
        <w:fldChar w:fldCharType="begin"/>
      </w:r>
      <w:r w:rsidR="008344AC">
        <w:instrText xml:space="preserve"> REF _Ref275352598 \r \h </w:instrText>
      </w:r>
      <w:r w:rsidR="006D3C89">
        <w:fldChar w:fldCharType="separate"/>
      </w:r>
      <w:proofErr w:type="gramStart"/>
      <w:r w:rsidR="00B238BB">
        <w:t>12</w:t>
      </w:r>
      <w:proofErr w:type="gramEnd"/>
      <w:r w:rsidR="006D3C89">
        <w:fldChar w:fldCharType="end"/>
      </w:r>
      <w:r w:rsidR="00972707">
        <w:t>],</w:t>
      </w:r>
      <w:r>
        <w:t xml:space="preserve"> </w:t>
      </w:r>
      <w:r w:rsidR="00972707">
        <w:t xml:space="preserve">however, in general most research </w:t>
      </w:r>
      <w:r w:rsidRPr="00FC7E8C">
        <w:t xml:space="preserve">is generic </w:t>
      </w:r>
      <w:r w:rsidR="00810E20">
        <w:t>and</w:t>
      </w:r>
      <w:r w:rsidRPr="00FC7E8C">
        <w:t xml:space="preserve"> high level. The literature covers the principles for making manufacturing</w:t>
      </w:r>
      <w:r>
        <w:t xml:space="preserve"> operations</w:t>
      </w:r>
      <w:r w:rsidRPr="00FC7E8C">
        <w:t xml:space="preserve"> more sustainable</w:t>
      </w:r>
      <w:r>
        <w:t>,</w:t>
      </w:r>
      <w:r w:rsidRPr="00FC7E8C">
        <w:t xml:space="preserve"> but there is little</w:t>
      </w:r>
      <w:r>
        <w:t>,</w:t>
      </w:r>
      <w:r w:rsidRPr="00FC7E8C">
        <w:t xml:space="preserve"> if any</w:t>
      </w:r>
      <w:r>
        <w:t>,</w:t>
      </w:r>
      <w:r w:rsidRPr="00FC7E8C">
        <w:t xml:space="preserve"> practical guidance available </w:t>
      </w:r>
      <w:r>
        <w:t xml:space="preserve">showing </w:t>
      </w:r>
      <w:r w:rsidRPr="00FC7E8C">
        <w:t>how to apply the</w:t>
      </w:r>
      <w:r>
        <w:t>se</w:t>
      </w:r>
      <w:r w:rsidRPr="00FC7E8C">
        <w:t xml:space="preserve"> principles. </w:t>
      </w:r>
      <w:r>
        <w:t>L</w:t>
      </w:r>
      <w:r w:rsidRPr="00FC7E8C">
        <w:t xml:space="preserve">ower level </w:t>
      </w:r>
      <w:r>
        <w:t>guidelines are</w:t>
      </w:r>
      <w:r w:rsidRPr="00FC7E8C">
        <w:t xml:space="preserve"> required to aid manufacturers in ma</w:t>
      </w:r>
      <w:r w:rsidR="00810E20">
        <w:t>king changes in their factories</w:t>
      </w:r>
      <w:r w:rsidRPr="00FC7E8C">
        <w:t xml:space="preserve"> in order to improve environmental efficiency. The methodology must provide detailed guidance on systematically </w:t>
      </w:r>
      <w:r>
        <w:t>analys</w:t>
      </w:r>
      <w:r w:rsidRPr="00FC7E8C">
        <w:t xml:space="preserve">ing individual manufacturing processes </w:t>
      </w:r>
      <w:r>
        <w:t>and</w:t>
      </w:r>
      <w:r w:rsidRPr="00FC7E8C">
        <w:t xml:space="preserve"> assistance with the identification and selection of improvement opportunities.</w:t>
      </w:r>
      <w:r w:rsidRPr="00FC7E8C">
        <w:rPr>
          <w:color w:val="000000"/>
        </w:rPr>
        <w:t xml:space="preserve"> </w:t>
      </w:r>
    </w:p>
    <w:p w:rsidR="00196284" w:rsidRPr="001F5221" w:rsidRDefault="00196284" w:rsidP="009B5C11">
      <w:pPr>
        <w:rPr>
          <w:color w:val="000000"/>
        </w:rPr>
      </w:pPr>
    </w:p>
    <w:p w:rsidR="00196284" w:rsidRDefault="00005422" w:rsidP="009B5C11">
      <w:r>
        <w:lastRenderedPageBreak/>
        <w:t xml:space="preserve">Process flow modelling could be the basis for the creation of a suitable approach by mapping the lifecycle of Material, Energy and Waste (MEW) process flows.  This has been achieved at a generic level </w:t>
      </w:r>
      <w:r w:rsidR="00196284">
        <w:t>[</w:t>
      </w:r>
      <w:r w:rsidR="006D3C89">
        <w:fldChar w:fldCharType="begin"/>
      </w:r>
      <w:r w:rsidR="00196284">
        <w:instrText xml:space="preserve"> REF _Ref274727660 \r \h </w:instrText>
      </w:r>
      <w:r w:rsidR="006D3C89">
        <w:fldChar w:fldCharType="separate"/>
      </w:r>
      <w:r w:rsidR="00B238BB">
        <w:t>7</w:t>
      </w:r>
      <w:r w:rsidR="006D3C89">
        <w:fldChar w:fldCharType="end"/>
      </w:r>
      <w:r w:rsidR="00196284">
        <w:t xml:space="preserve">] </w:t>
      </w:r>
      <w:r>
        <w:t>and has potential for use at a company level.</w:t>
      </w:r>
      <w:r w:rsidR="00196284">
        <w:t xml:space="preserve"> MEW process flows are the </w:t>
      </w:r>
      <w:r w:rsidR="00196284" w:rsidRPr="0006588B">
        <w:t xml:space="preserve">physical </w:t>
      </w:r>
      <w:r w:rsidR="00196284">
        <w:t>resource inputs and outputs to the facility, and their efficiency within a manufacturing system could be measured financially and in terms o</w:t>
      </w:r>
      <w:r w:rsidR="00810E20">
        <w:t>f carbon emissions. This paper introduce</w:t>
      </w:r>
      <w:r w:rsidR="00196284">
        <w:t>s an implementation approach developed and illustrates its application in a case company.</w:t>
      </w:r>
    </w:p>
    <w:p w:rsidR="00196284" w:rsidRDefault="00196284" w:rsidP="00CA7585"/>
    <w:p w:rsidR="00196284" w:rsidRPr="00CA7585" w:rsidRDefault="00196284" w:rsidP="009B5C11">
      <w:pPr>
        <w:keepNext/>
        <w:rPr>
          <w:b/>
        </w:rPr>
      </w:pPr>
      <w:r>
        <w:rPr>
          <w:b/>
        </w:rPr>
        <w:t>2. Aim and method</w:t>
      </w:r>
    </w:p>
    <w:p w:rsidR="00196284" w:rsidRDefault="00196284" w:rsidP="009B5C11">
      <w:r w:rsidRPr="0006588B">
        <w:t xml:space="preserve">The aim of this </w:t>
      </w:r>
      <w:r>
        <w:t>work</w:t>
      </w:r>
      <w:r w:rsidRPr="0006588B">
        <w:t xml:space="preserve"> is to develop guidelines for </w:t>
      </w:r>
      <w:r>
        <w:t>Material, Energy and Waste (</w:t>
      </w:r>
      <w:r w:rsidRPr="0006588B">
        <w:t>MEW</w:t>
      </w:r>
      <w:r>
        <w:t>)</w:t>
      </w:r>
      <w:r w:rsidRPr="0006588B">
        <w:t xml:space="preserve"> process flow modelling to support the pursuit of </w:t>
      </w:r>
      <w:r>
        <w:t>more sustainable manufacture</w:t>
      </w:r>
      <w:r w:rsidRPr="0006588B">
        <w:t>.</w:t>
      </w:r>
      <w:r>
        <w:t xml:space="preserve"> </w:t>
      </w:r>
    </w:p>
    <w:p w:rsidR="00196284" w:rsidRDefault="00196284" w:rsidP="009B5C11"/>
    <w:p w:rsidR="00196284" w:rsidRDefault="00196284" w:rsidP="009B5C11">
      <w:r>
        <w:t>The method used was to review available literature to establish the principles of sustainable manufacturing and the approaches to their deployment.  Based on earlier literature review, it was known that available detailed approaches for manufacturing operations were sparse and therefore this work was necessarily inductive to draw from practice and generalise. From the literature review an initial approach for modelling MEW flows was developed and deployed in a case company to capture the qualitative and quantitative process flow data. This data was then analysed to assist in the identification of improvement opportunities. The result was both potential savings for manufacturing operations by taking a sustainability perspective as well as key learning points that were used to generate practical guidelines for others to use.</w:t>
      </w:r>
    </w:p>
    <w:p w:rsidR="00196284" w:rsidRDefault="00196284" w:rsidP="009B5C11"/>
    <w:p w:rsidR="00196284" w:rsidRDefault="00196284" w:rsidP="00CA7585">
      <w:r>
        <w:t xml:space="preserve">In scope are the production operations and supporting facilities of manufacturer.  </w:t>
      </w:r>
      <w:r w:rsidRPr="00835D05">
        <w:t xml:space="preserve">Efforts to reduce the environmental impact </w:t>
      </w:r>
      <w:r>
        <w:t xml:space="preserve">through supply chain configuration, product design, material selection, </w:t>
      </w:r>
      <w:proofErr w:type="gramStart"/>
      <w:r>
        <w:t>product</w:t>
      </w:r>
      <w:proofErr w:type="gramEnd"/>
      <w:r>
        <w:t xml:space="preserve"> use and product end of life</w:t>
      </w:r>
      <w:r w:rsidRPr="00835D05">
        <w:t xml:space="preserve"> are out of scope. </w:t>
      </w:r>
      <w:r>
        <w:t>W</w:t>
      </w:r>
      <w:r w:rsidRPr="00835D05">
        <w:t>ider issues relating to consumerism</w:t>
      </w:r>
      <w:r>
        <w:t xml:space="preserve"> and business models are also out of scope.</w:t>
      </w:r>
    </w:p>
    <w:p w:rsidR="00196284" w:rsidRDefault="00196284" w:rsidP="0073452A"/>
    <w:p w:rsidR="00196284" w:rsidRPr="00FC1956" w:rsidRDefault="00196284" w:rsidP="00862755">
      <w:pPr>
        <w:keepNext/>
        <w:rPr>
          <w:b/>
        </w:rPr>
      </w:pPr>
      <w:r>
        <w:rPr>
          <w:b/>
        </w:rPr>
        <w:lastRenderedPageBreak/>
        <w:t xml:space="preserve">3. </w:t>
      </w:r>
      <w:r w:rsidRPr="00FC1956">
        <w:rPr>
          <w:b/>
        </w:rPr>
        <w:t>Literature review</w:t>
      </w:r>
    </w:p>
    <w:p w:rsidR="00196284" w:rsidRDefault="00196284" w:rsidP="00862755">
      <w:pPr>
        <w:keepNext/>
        <w:rPr>
          <w:b/>
        </w:rPr>
      </w:pPr>
      <w:bookmarkStart w:id="0" w:name="_Toc271541879"/>
      <w:bookmarkStart w:id="1" w:name="_Toc271666851"/>
    </w:p>
    <w:p w:rsidR="00196284" w:rsidRPr="00F2741A" w:rsidRDefault="00196284" w:rsidP="00862755">
      <w:pPr>
        <w:keepNext/>
        <w:rPr>
          <w:b/>
        </w:rPr>
      </w:pPr>
      <w:r>
        <w:rPr>
          <w:b/>
        </w:rPr>
        <w:t>3</w:t>
      </w:r>
      <w:r w:rsidRPr="00F2741A">
        <w:rPr>
          <w:b/>
        </w:rPr>
        <w:t>.1 Sustainability</w:t>
      </w:r>
      <w:bookmarkEnd w:id="0"/>
      <w:bookmarkEnd w:id="1"/>
      <w:r w:rsidRPr="00F2741A">
        <w:rPr>
          <w:b/>
        </w:rPr>
        <w:t xml:space="preserve"> and business</w:t>
      </w:r>
    </w:p>
    <w:p w:rsidR="00196284" w:rsidRDefault="00196284" w:rsidP="00862755">
      <w:pPr>
        <w:keepNext/>
      </w:pPr>
    </w:p>
    <w:p w:rsidR="00196284" w:rsidRDefault="00196284" w:rsidP="006955F8">
      <w:proofErr w:type="spellStart"/>
      <w:r w:rsidRPr="000410D4">
        <w:t>Brundtland</w:t>
      </w:r>
      <w:proofErr w:type="spellEnd"/>
      <w:r w:rsidRPr="000410D4">
        <w:t xml:space="preserve"> </w:t>
      </w:r>
      <w:r>
        <w:t>[</w:t>
      </w:r>
      <w:r w:rsidR="006D3C89">
        <w:fldChar w:fldCharType="begin"/>
      </w:r>
      <w:r>
        <w:instrText xml:space="preserve"> REF _Ref274727731 \r \h </w:instrText>
      </w:r>
      <w:r w:rsidR="006D3C89">
        <w:fldChar w:fldCharType="separate"/>
      </w:r>
      <w:r w:rsidR="00B238BB">
        <w:t>1</w:t>
      </w:r>
      <w:r w:rsidR="006D3C89">
        <w:fldChar w:fldCharType="end"/>
      </w:r>
      <w:r>
        <w:t xml:space="preserve">] </w:t>
      </w:r>
      <w:r w:rsidRPr="000410D4">
        <w:t xml:space="preserve">defines sustainability as “meeting the needs of the present generation without compromising the ability of future generations </w:t>
      </w:r>
      <w:r>
        <w:t>to meet their own needs” (</w:t>
      </w:r>
      <w:r w:rsidRPr="000410D4">
        <w:t>p. 8). Sustainability is the goal of sustainable development and this is de</w:t>
      </w:r>
      <w:r>
        <w:t>scribed</w:t>
      </w:r>
      <w:r w:rsidRPr="000410D4">
        <w:t xml:space="preserve"> as “types of economic </w:t>
      </w:r>
      <w:r w:rsidRPr="00C347A4">
        <w:t xml:space="preserve">and social development that protect and enhance the natural environment and social equity” </w:t>
      </w:r>
      <w:r>
        <w:t>([</w:t>
      </w:r>
      <w:r w:rsidR="006D3C89">
        <w:fldChar w:fldCharType="begin"/>
      </w:r>
      <w:r>
        <w:instrText xml:space="preserve"> REF _Ref274727814 \r \h </w:instrText>
      </w:r>
      <w:r w:rsidR="006D3C89">
        <w:fldChar w:fldCharType="separate"/>
      </w:r>
      <w:r w:rsidR="00B238BB">
        <w:t>13</w:t>
      </w:r>
      <w:r w:rsidR="006D3C89">
        <w:fldChar w:fldCharType="end"/>
      </w:r>
      <w:r>
        <w:t>], p.3)</w:t>
      </w:r>
      <w:r w:rsidRPr="00C347A4">
        <w:t>.</w:t>
      </w:r>
      <w:r w:rsidRPr="000410D4">
        <w:t xml:space="preserve"> To be physically sustainable</w:t>
      </w:r>
      <w:r>
        <w:t>,</w:t>
      </w:r>
      <w:r w:rsidRPr="000410D4">
        <w:t xml:space="preserve"> Daly </w:t>
      </w:r>
      <w:r>
        <w:t>[</w:t>
      </w:r>
      <w:r w:rsidR="006D3C89">
        <w:fldChar w:fldCharType="begin"/>
      </w:r>
      <w:r>
        <w:instrText xml:space="preserve"> REF _Ref274727847 \r \h </w:instrText>
      </w:r>
      <w:r w:rsidR="006D3C89">
        <w:fldChar w:fldCharType="separate"/>
      </w:r>
      <w:r w:rsidR="00B238BB">
        <w:t>14</w:t>
      </w:r>
      <w:r w:rsidR="006D3C89">
        <w:fldChar w:fldCharType="end"/>
      </w:r>
      <w:r>
        <w:t>]</w:t>
      </w:r>
      <w:r w:rsidRPr="000410D4">
        <w:t xml:space="preserve"> </w:t>
      </w:r>
      <w:r>
        <w:t>identifies</w:t>
      </w:r>
      <w:r w:rsidRPr="000410D4">
        <w:t xml:space="preserve"> three rules which must be met:</w:t>
      </w:r>
      <w:r>
        <w:t xml:space="preserve"> h</w:t>
      </w:r>
      <w:r w:rsidRPr="000410D4">
        <w:t>arvest or extraction rates should</w:t>
      </w:r>
      <w:r>
        <w:t xml:space="preserve"> not exceed regeneration rates; w</w:t>
      </w:r>
      <w:r w:rsidRPr="000410D4">
        <w:t>aste emission rates should not exceed the natural absorption capacities of the ecosyste</w:t>
      </w:r>
      <w:r>
        <w:t>ms into which they are emitted; r</w:t>
      </w:r>
      <w:r w:rsidRPr="000410D4">
        <w:t>egenerative and absorption capacities are considered to be natural capital, and failure to maintain these capacities is natural capital consumption, which is not sustainable.</w:t>
      </w:r>
      <w:r>
        <w:t xml:space="preserve"> </w:t>
      </w:r>
      <w:r w:rsidRPr="000410D4">
        <w:t>Today, none of these rules are being met. The consequences of this have been</w:t>
      </w:r>
      <w:r w:rsidRPr="00BF5B41">
        <w:t xml:space="preserve"> </w:t>
      </w:r>
      <w:r>
        <w:t>the key environmental issues identified</w:t>
      </w:r>
      <w:r w:rsidRPr="000410D4">
        <w:t xml:space="preserve"> by </w:t>
      </w:r>
      <w:proofErr w:type="spellStart"/>
      <w:r w:rsidRPr="000410D4">
        <w:t>Esty</w:t>
      </w:r>
      <w:proofErr w:type="spellEnd"/>
      <w:r w:rsidRPr="000410D4">
        <w:t xml:space="preserve"> and Winston</w:t>
      </w:r>
      <w:r>
        <w:t xml:space="preserve"> [</w:t>
      </w:r>
      <w:r w:rsidR="006D3C89">
        <w:fldChar w:fldCharType="begin"/>
      </w:r>
      <w:r>
        <w:instrText xml:space="preserve"> REF _Ref274727861 \r \h </w:instrText>
      </w:r>
      <w:r w:rsidR="006D3C89">
        <w:fldChar w:fldCharType="separate"/>
      </w:r>
      <w:r w:rsidR="00B238BB">
        <w:t>15</w:t>
      </w:r>
      <w:r w:rsidR="006D3C89">
        <w:fldChar w:fldCharType="end"/>
      </w:r>
      <w:r>
        <w:t>]</w:t>
      </w:r>
      <w:r w:rsidRPr="000410D4">
        <w:t xml:space="preserve"> </w:t>
      </w:r>
      <w:r>
        <w:t>of climate change, energy, water, biodiversity, toxics, air pollution, waste management, ozone, oceans and deforestation. In addition, materials sourcing and cost are also causes for concern, p</w:t>
      </w:r>
      <w:r w:rsidRPr="000410D4">
        <w:t xml:space="preserve">articularly for manufacturing businesses. </w:t>
      </w:r>
    </w:p>
    <w:p w:rsidR="00196284" w:rsidRDefault="00196284" w:rsidP="006955F8"/>
    <w:p w:rsidR="00196284" w:rsidRDefault="00196284" w:rsidP="006955F8">
      <w:r>
        <w:t>E</w:t>
      </w:r>
      <w:r w:rsidRPr="00EC4E24">
        <w:t xml:space="preserve">nvironmental sustainability is of significant relevance </w:t>
      </w:r>
      <w:r>
        <w:t xml:space="preserve">to all </w:t>
      </w:r>
      <w:r w:rsidRPr="00EC4E24">
        <w:t>sector</w:t>
      </w:r>
      <w:r>
        <w:t>s</w:t>
      </w:r>
      <w:r w:rsidRPr="00EC4E24">
        <w:t xml:space="preserve"> </w:t>
      </w:r>
      <w:r>
        <w:t>and presents both risks and opportunities for businesses [</w:t>
      </w:r>
      <w:r w:rsidR="006D3C89">
        <w:fldChar w:fldCharType="begin"/>
      </w:r>
      <w:r>
        <w:instrText xml:space="preserve"> REF _Ref274727882 \r \h </w:instrText>
      </w:r>
      <w:r w:rsidR="006D3C89">
        <w:fldChar w:fldCharType="separate"/>
      </w:r>
      <w:r w:rsidR="00B238BB">
        <w:t>16</w:t>
      </w:r>
      <w:r w:rsidR="006D3C89">
        <w:fldChar w:fldCharType="end"/>
      </w:r>
      <w:r>
        <w:t xml:space="preserve">]. </w:t>
      </w:r>
      <w:proofErr w:type="spellStart"/>
      <w:r w:rsidRPr="00EC4E24">
        <w:t>Elkington</w:t>
      </w:r>
      <w:proofErr w:type="spellEnd"/>
      <w:r>
        <w:t xml:space="preserve"> [</w:t>
      </w:r>
      <w:r w:rsidR="006D3C89">
        <w:fldChar w:fldCharType="begin"/>
      </w:r>
      <w:r>
        <w:instrText xml:space="preserve"> REF _Ref274727894 \r \h </w:instrText>
      </w:r>
      <w:r w:rsidR="006D3C89">
        <w:fldChar w:fldCharType="separate"/>
      </w:r>
      <w:r w:rsidR="00B238BB">
        <w:t>17</w:t>
      </w:r>
      <w:r w:rsidR="006D3C89">
        <w:fldChar w:fldCharType="end"/>
      </w:r>
      <w:r>
        <w:t>]</w:t>
      </w:r>
      <w:r w:rsidRPr="00EC4E24">
        <w:t xml:space="preserve"> depicts the sustainability challenge as “an unprecedented source of commercial opportunity for competitive companies, through technological innovation and improved eco-efficiency”. A sustainable business model is one which recognises the triple bottom line </w:t>
      </w:r>
      <w:r>
        <w:t xml:space="preserve">(3BL) </w:t>
      </w:r>
      <w:r w:rsidRPr="00EC4E24">
        <w:t xml:space="preserve">of social justice (People), environmental quality (Planet) and economic prosperity (Profit) </w:t>
      </w:r>
      <w:r>
        <w:t>[</w:t>
      </w:r>
      <w:r w:rsidR="006D3C89">
        <w:fldChar w:fldCharType="begin"/>
      </w:r>
      <w:r>
        <w:instrText xml:space="preserve"> REF _Ref274727894 \r \h </w:instrText>
      </w:r>
      <w:r w:rsidR="006D3C89">
        <w:fldChar w:fldCharType="separate"/>
      </w:r>
      <w:r w:rsidR="00B238BB">
        <w:t>17</w:t>
      </w:r>
      <w:r w:rsidR="006D3C89">
        <w:fldChar w:fldCharType="end"/>
      </w:r>
      <w:r>
        <w:t>]</w:t>
      </w:r>
      <w:r w:rsidRPr="00EC4E24">
        <w:t>. This means that whether the justification for improved environmental performance is concern for the environment itself, management of the risks</w:t>
      </w:r>
      <w:r>
        <w:t xml:space="preserve"> </w:t>
      </w:r>
      <w:r w:rsidRPr="00EC4E24">
        <w:t>associated</w:t>
      </w:r>
      <w:r>
        <w:t xml:space="preserve"> with sustainability</w:t>
      </w:r>
      <w:r w:rsidRPr="00EC4E24">
        <w:t xml:space="preserve">, or to capitalise on the associated opportunities, it </w:t>
      </w:r>
      <w:r>
        <w:t>is</w:t>
      </w:r>
      <w:r w:rsidRPr="00EC4E24">
        <w:t xml:space="preserve"> essential to recognise the importance of </w:t>
      </w:r>
      <w:r>
        <w:t>sustainability</w:t>
      </w:r>
      <w:r w:rsidRPr="00EC4E24">
        <w:t xml:space="preserve"> and to adapt business models accordingly.</w:t>
      </w:r>
    </w:p>
    <w:p w:rsidR="00196284" w:rsidRPr="00EC4E24" w:rsidRDefault="00196284" w:rsidP="006955F8">
      <w:pPr>
        <w:rPr>
          <w:u w:val="single"/>
        </w:rPr>
      </w:pPr>
    </w:p>
    <w:p w:rsidR="00196284" w:rsidRPr="00F2741A" w:rsidRDefault="00196284" w:rsidP="008D0DF8">
      <w:pPr>
        <w:keepNext/>
        <w:rPr>
          <w:b/>
        </w:rPr>
      </w:pPr>
      <w:bookmarkStart w:id="2" w:name="_Toc271666853"/>
      <w:bookmarkStart w:id="3" w:name="_Toc271541881"/>
      <w:r>
        <w:rPr>
          <w:b/>
        </w:rPr>
        <w:lastRenderedPageBreak/>
        <w:t>3</w:t>
      </w:r>
      <w:r w:rsidRPr="00F2741A">
        <w:rPr>
          <w:b/>
        </w:rPr>
        <w:t>.2 Linking environmental and financial performance</w:t>
      </w:r>
      <w:bookmarkEnd w:id="2"/>
      <w:r w:rsidRPr="00F2741A">
        <w:rPr>
          <w:b/>
        </w:rPr>
        <w:t xml:space="preserve"> </w:t>
      </w:r>
      <w:bookmarkEnd w:id="3"/>
    </w:p>
    <w:p w:rsidR="00196284" w:rsidRDefault="00196284" w:rsidP="008D0DF8">
      <w:pPr>
        <w:keepNext/>
      </w:pPr>
    </w:p>
    <w:p w:rsidR="00196284" w:rsidRDefault="00196284" w:rsidP="0057413E">
      <w:r>
        <w:t>T</w:t>
      </w:r>
      <w:r w:rsidRPr="00EC4E24">
        <w:t xml:space="preserve">raditional thinking </w:t>
      </w:r>
      <w:r>
        <w:t xml:space="preserve">in manufacturing companies </w:t>
      </w:r>
      <w:r w:rsidRPr="00EC4E24">
        <w:t>suggest</w:t>
      </w:r>
      <w:r>
        <w:t>s</w:t>
      </w:r>
      <w:r w:rsidRPr="00EC4E24">
        <w:t xml:space="preserve"> that the minimum amount of work should be done in order to meet environmental regulatory compliance</w:t>
      </w:r>
      <w:r>
        <w:t>,</w:t>
      </w:r>
      <w:r w:rsidRPr="00EC4E24">
        <w:t xml:space="preserve"> as going beyond this w</w:t>
      </w:r>
      <w:r>
        <w:t>ill</w:t>
      </w:r>
      <w:r w:rsidRPr="00EC4E24">
        <w:t xml:space="preserve"> increase costs</w:t>
      </w:r>
      <w:r>
        <w:t xml:space="preserve"> [</w:t>
      </w:r>
      <w:r w:rsidR="006D3C89">
        <w:fldChar w:fldCharType="begin"/>
      </w:r>
      <w:r>
        <w:instrText xml:space="preserve"> REF _Ref274727930 \r \h </w:instrText>
      </w:r>
      <w:r w:rsidR="006D3C89">
        <w:fldChar w:fldCharType="separate"/>
      </w:r>
      <w:r w:rsidR="00B238BB">
        <w:t>18</w:t>
      </w:r>
      <w:r w:rsidR="006D3C89">
        <w:fldChar w:fldCharType="end"/>
      </w:r>
      <w:r>
        <w:t>]</w:t>
      </w:r>
      <w:r w:rsidRPr="00EC4E24">
        <w:t xml:space="preserve">. </w:t>
      </w:r>
      <w:r>
        <w:t>M</w:t>
      </w:r>
      <w:r w:rsidRPr="00EC4E24">
        <w:t xml:space="preserve">anufacturers </w:t>
      </w:r>
      <w:r>
        <w:t>accept</w:t>
      </w:r>
      <w:r w:rsidRPr="00EC4E24">
        <w:t xml:space="preserve"> environmental excellence can lead to extensive benefits, but have found the cost of complying with environmental regulation, or best practice targets, </w:t>
      </w:r>
      <w:r>
        <w:t>can</w:t>
      </w:r>
      <w:r w:rsidRPr="00EC4E24">
        <w:t xml:space="preserve"> be high</w:t>
      </w:r>
      <w:r>
        <w:t xml:space="preserve"> [</w:t>
      </w:r>
      <w:r w:rsidR="006D3C89">
        <w:fldChar w:fldCharType="begin"/>
      </w:r>
      <w:r>
        <w:instrText xml:space="preserve"> REF _Ref274727952 \r \h </w:instrText>
      </w:r>
      <w:r w:rsidR="006D3C89">
        <w:fldChar w:fldCharType="separate"/>
      </w:r>
      <w:r w:rsidR="00B238BB">
        <w:t>19</w:t>
      </w:r>
      <w:r w:rsidR="006D3C89">
        <w:fldChar w:fldCharType="end"/>
      </w:r>
      <w:r>
        <w:t>]</w:t>
      </w:r>
      <w:r w:rsidRPr="00EC4E24">
        <w:t xml:space="preserve">. </w:t>
      </w:r>
      <w:r w:rsidR="00005422">
        <w:t xml:space="preserve">Notably, </w:t>
      </w:r>
      <w:r w:rsidR="00AB7296">
        <w:t>the</w:t>
      </w:r>
      <w:r>
        <w:t xml:space="preserve"> </w:t>
      </w:r>
      <w:r w:rsidRPr="00EC4E24">
        <w:t>survey by the Economist Intelligence Unit found that “</w:t>
      </w:r>
      <w:r>
        <w:t>...</w:t>
      </w:r>
      <w:r w:rsidRPr="00EC4E24">
        <w:t xml:space="preserve"> 69% believe the link </w:t>
      </w:r>
      <w:r w:rsidR="00005422">
        <w:t xml:space="preserve">[between </w:t>
      </w:r>
      <w:r w:rsidR="00005422" w:rsidRPr="00EC4E24">
        <w:t>financial performance and commitment to sustainability</w:t>
      </w:r>
      <w:r w:rsidR="00005422">
        <w:t xml:space="preserve">] </w:t>
      </w:r>
      <w:r w:rsidR="00005422" w:rsidRPr="00EC4E24">
        <w:t xml:space="preserve">is strong </w:t>
      </w:r>
      <w:r w:rsidRPr="00EC4E24">
        <w:t>in the long term (5-10 years), and companies worldwide are moving sustainability principles into their core policies and practices”</w:t>
      </w:r>
      <w:r>
        <w:t xml:space="preserve"> [</w:t>
      </w:r>
      <w:r w:rsidR="006D3C89">
        <w:fldChar w:fldCharType="begin"/>
      </w:r>
      <w:r>
        <w:instrText xml:space="preserve"> REF _Ref274727966 \r \h </w:instrText>
      </w:r>
      <w:r w:rsidR="006D3C89">
        <w:fldChar w:fldCharType="separate"/>
      </w:r>
      <w:r w:rsidR="00B238BB">
        <w:t>20</w:t>
      </w:r>
      <w:r w:rsidR="006D3C89">
        <w:fldChar w:fldCharType="end"/>
      </w:r>
      <w:r>
        <w:t>]</w:t>
      </w:r>
      <w:r w:rsidRPr="00EC4E24">
        <w:t xml:space="preserve">. </w:t>
      </w:r>
      <w:r w:rsidR="00B238BB">
        <w:t>Additionally, Yang et al [</w:t>
      </w:r>
      <w:r w:rsidR="00B238BB">
        <w:fldChar w:fldCharType="begin"/>
      </w:r>
      <w:r w:rsidR="00B238BB">
        <w:instrText xml:space="preserve"> REF _Ref309898842 \r \h </w:instrText>
      </w:r>
      <w:r w:rsidR="00B238BB">
        <w:fldChar w:fldCharType="separate"/>
      </w:r>
      <w:r w:rsidR="00B238BB">
        <w:t>21</w:t>
      </w:r>
      <w:r w:rsidR="00B238BB">
        <w:fldChar w:fldCharType="end"/>
      </w:r>
      <w:r w:rsidR="00B238BB">
        <w:t>] found that environmental performance positively impacts on financial and market performance.</w:t>
      </w:r>
    </w:p>
    <w:p w:rsidR="00196284" w:rsidRDefault="00196284" w:rsidP="0057413E"/>
    <w:p w:rsidR="00196284" w:rsidRDefault="00AB7296" w:rsidP="0057413E">
      <w:r>
        <w:rPr>
          <w:bCs/>
        </w:rPr>
        <w:t>F</w:t>
      </w:r>
      <w:r w:rsidR="00196284" w:rsidRPr="00EC4E24">
        <w:rPr>
          <w:bCs/>
        </w:rPr>
        <w:t xml:space="preserve">orward thinking </w:t>
      </w:r>
      <w:r w:rsidR="00196284" w:rsidRPr="00EC4E24">
        <w:t xml:space="preserve">manufacturing companies have recognised that whilst in the short term, improved environmental efficiency may lead to increased costs in some areas, in the long term it will lead to significantly improved financial performance and is now a prerequisite to make a business sustainable. As </w:t>
      </w:r>
      <w:r w:rsidR="00196284">
        <w:t>material and energy costs (as well as their subsequent waste disposal)</w:t>
      </w:r>
      <w:r w:rsidR="00196284" w:rsidRPr="00EC4E24">
        <w:t xml:space="preserve"> cost</w:t>
      </w:r>
      <w:r w:rsidR="00196284">
        <w:t xml:space="preserve">s rise, the cost of </w:t>
      </w:r>
      <w:r w:rsidR="00196284" w:rsidRPr="00EC4E24">
        <w:t>inaction towards environmental efficiency improvements may cost more than making the improvements themselves.</w:t>
      </w:r>
    </w:p>
    <w:p w:rsidR="00196284" w:rsidRDefault="00196284" w:rsidP="0057413E"/>
    <w:p w:rsidR="00196284" w:rsidRDefault="00196284" w:rsidP="0057413E">
      <w:r>
        <w:t>There are an increasing number of examples of savings that companies have made, for example:</w:t>
      </w:r>
    </w:p>
    <w:p w:rsidR="00196284" w:rsidRDefault="00196284" w:rsidP="005E7DBC">
      <w:pPr>
        <w:pStyle w:val="ListParagraph"/>
        <w:numPr>
          <w:ilvl w:val="0"/>
          <w:numId w:val="22"/>
        </w:numPr>
      </w:pPr>
      <w:proofErr w:type="spellStart"/>
      <w:r>
        <w:t>Brandix</w:t>
      </w:r>
      <w:proofErr w:type="spellEnd"/>
      <w:r>
        <w:t xml:space="preserve"> reduced water usage by 58% and reduced energy usage by 46% resulting in 30-40% reduction in operating costs [</w:t>
      </w:r>
      <w:r w:rsidR="006D3C89">
        <w:fldChar w:fldCharType="begin"/>
      </w:r>
      <w:r>
        <w:instrText xml:space="preserve"> REF _Ref274727617 \r \h </w:instrText>
      </w:r>
      <w:r w:rsidR="006D3C89">
        <w:fldChar w:fldCharType="separate"/>
      </w:r>
      <w:r w:rsidR="00B238BB">
        <w:t>1</w:t>
      </w:r>
      <w:r w:rsidR="006D3C89">
        <w:fldChar w:fldCharType="end"/>
      </w:r>
      <w:r>
        <w:t>]</w:t>
      </w:r>
    </w:p>
    <w:p w:rsidR="00196284" w:rsidRDefault="00196284" w:rsidP="005E7DBC">
      <w:pPr>
        <w:pStyle w:val="ListParagraph"/>
        <w:numPr>
          <w:ilvl w:val="0"/>
          <w:numId w:val="22"/>
        </w:numPr>
      </w:pPr>
      <w:r>
        <w:t>Ford (Global Operations) reduced their energy usage by 30% and water usage by 43% [</w:t>
      </w:r>
      <w:r w:rsidR="006D3C89">
        <w:fldChar w:fldCharType="begin"/>
      </w:r>
      <w:r>
        <w:instrText xml:space="preserve"> REF _Ref274728007 \r \h </w:instrText>
      </w:r>
      <w:r w:rsidR="006D3C89">
        <w:fldChar w:fldCharType="separate"/>
      </w:r>
      <w:r w:rsidR="00B238BB">
        <w:t>22</w:t>
      </w:r>
      <w:r w:rsidR="006D3C89">
        <w:fldChar w:fldCharType="end"/>
      </w:r>
      <w:r>
        <w:t>]</w:t>
      </w:r>
    </w:p>
    <w:p w:rsidR="00196284" w:rsidRDefault="00196284" w:rsidP="005E7DBC">
      <w:pPr>
        <w:pStyle w:val="ListParagraph"/>
        <w:numPr>
          <w:ilvl w:val="0"/>
          <w:numId w:val="22"/>
        </w:numPr>
      </w:pPr>
      <w:r>
        <w:t xml:space="preserve">Sony reduced their </w:t>
      </w:r>
      <w:r w:rsidRPr="00D4035E">
        <w:t>CO</w:t>
      </w:r>
      <w:r w:rsidRPr="00D4035E">
        <w:rPr>
          <w:vertAlign w:val="subscript"/>
        </w:rPr>
        <w:t>2</w:t>
      </w:r>
      <w:r w:rsidRPr="00D4035E">
        <w:t xml:space="preserve"> emissions from electricity use and facility heating (European operations)</w:t>
      </w:r>
      <w:r>
        <w:t xml:space="preserve"> by 93% over 10 years [</w:t>
      </w:r>
      <w:r w:rsidR="006D3C89">
        <w:fldChar w:fldCharType="begin"/>
      </w:r>
      <w:r>
        <w:instrText xml:space="preserve"> REF _Ref274728016 \r \h </w:instrText>
      </w:r>
      <w:r w:rsidR="006D3C89">
        <w:fldChar w:fldCharType="separate"/>
      </w:r>
      <w:r w:rsidR="00B238BB">
        <w:t>23</w:t>
      </w:r>
      <w:r w:rsidR="006D3C89">
        <w:fldChar w:fldCharType="end"/>
      </w:r>
      <w:r>
        <w:t>]</w:t>
      </w:r>
    </w:p>
    <w:p w:rsidR="00196284" w:rsidRPr="00D4035E" w:rsidRDefault="00196284" w:rsidP="005E7DBC">
      <w:pPr>
        <w:pStyle w:val="ListParagraph"/>
        <w:numPr>
          <w:ilvl w:val="0"/>
          <w:numId w:val="22"/>
        </w:numPr>
      </w:pPr>
      <w:r>
        <w:t>Rolls-Royce reduced solvents by 51%, reduced greenhouse gas emissions by 24% and increased the proportion of solid waste sent for recycling by 63% over a period of 10 years whilst doubling turnover [</w:t>
      </w:r>
      <w:r w:rsidR="006D3C89">
        <w:fldChar w:fldCharType="begin"/>
      </w:r>
      <w:r>
        <w:instrText xml:space="preserve"> REF _Ref274728037 \r \h </w:instrText>
      </w:r>
      <w:r w:rsidR="006D3C89">
        <w:fldChar w:fldCharType="separate"/>
      </w:r>
      <w:r w:rsidR="00B238BB">
        <w:t>24</w:t>
      </w:r>
      <w:r w:rsidR="006D3C89">
        <w:fldChar w:fldCharType="end"/>
      </w:r>
      <w:r>
        <w:t>].</w:t>
      </w:r>
    </w:p>
    <w:p w:rsidR="00196284" w:rsidRDefault="00196284" w:rsidP="001E2605"/>
    <w:p w:rsidR="00196284" w:rsidRPr="00EC4E24" w:rsidRDefault="00196284" w:rsidP="001E2605">
      <w:r>
        <w:lastRenderedPageBreak/>
        <w:t xml:space="preserve">Analysis of the </w:t>
      </w:r>
      <w:r w:rsidRPr="00EC4E24">
        <w:t xml:space="preserve">improvements </w:t>
      </w:r>
      <w:r>
        <w:t>found showed that each</w:t>
      </w:r>
      <w:r w:rsidRPr="00EC4E24">
        <w:t xml:space="preserve"> </w:t>
      </w:r>
      <w:r>
        <w:t xml:space="preserve">of them </w:t>
      </w:r>
      <w:r w:rsidRPr="00EC4E24">
        <w:t>fit</w:t>
      </w:r>
      <w:r>
        <w:t>s</w:t>
      </w:r>
      <w:r w:rsidRPr="00EC4E24">
        <w:t xml:space="preserve"> into </w:t>
      </w:r>
      <w:r>
        <w:t xml:space="preserve">one or more of </w:t>
      </w:r>
      <w:r w:rsidRPr="00EC4E24">
        <w:t xml:space="preserve">the </w:t>
      </w:r>
      <w:r>
        <w:t>three material, energy and waste (</w:t>
      </w:r>
      <w:r w:rsidRPr="00EC4E24">
        <w:t>MEW</w:t>
      </w:r>
      <w:r>
        <w:t>)</w:t>
      </w:r>
      <w:r w:rsidRPr="00EC4E24">
        <w:t xml:space="preserve"> </w:t>
      </w:r>
      <w:r>
        <w:t xml:space="preserve">process flow </w:t>
      </w:r>
      <w:r w:rsidRPr="00EC4E24">
        <w:t>categories</w:t>
      </w:r>
      <w:r>
        <w:t>, which can be directly linked to the economic dimension</w:t>
      </w:r>
      <w:r w:rsidRPr="00EC4E24">
        <w:t>.</w:t>
      </w:r>
      <w:r>
        <w:t xml:space="preserve"> C</w:t>
      </w:r>
      <w:r w:rsidRPr="00EC4E24">
        <w:t>learly</w:t>
      </w:r>
      <w:r>
        <w:t>,</w:t>
      </w:r>
      <w:r w:rsidRPr="00EC4E24">
        <w:t xml:space="preserve"> </w:t>
      </w:r>
      <w:r w:rsidR="00B238BB">
        <w:t>drawing less inputs and generating less waste</w:t>
      </w:r>
      <w:r>
        <w:t xml:space="preserve"> outputs which must be paid</w:t>
      </w:r>
      <w:r w:rsidRPr="00EC4E24">
        <w:t xml:space="preserve"> for</w:t>
      </w:r>
      <w:r>
        <w:t>,</w:t>
      </w:r>
      <w:r w:rsidRPr="00EC4E24">
        <w:t xml:space="preserve"> or pa</w:t>
      </w:r>
      <w:r>
        <w:t xml:space="preserve">id </w:t>
      </w:r>
      <w:r w:rsidRPr="00EC4E24">
        <w:t xml:space="preserve">to dispose of, is of </w:t>
      </w:r>
      <w:r>
        <w:t xml:space="preserve">financial and environmental </w:t>
      </w:r>
      <w:r w:rsidRPr="00EC4E24">
        <w:t>benefit</w:t>
      </w:r>
      <w:r>
        <w:t>. These examples collectively suggest that</w:t>
      </w:r>
      <w:r w:rsidRPr="00EC4E24">
        <w:t xml:space="preserve"> </w:t>
      </w:r>
      <w:r>
        <w:t>a</w:t>
      </w:r>
      <w:r w:rsidRPr="00EC4E24">
        <w:t xml:space="preserve"> </w:t>
      </w:r>
      <w:r w:rsidR="00B238BB">
        <w:t xml:space="preserve">focus on </w:t>
      </w:r>
      <w:r w:rsidRPr="00EC4E24">
        <w:t xml:space="preserve">the MEW process flows within a facility provides a </w:t>
      </w:r>
      <w:r w:rsidR="00B238BB">
        <w:t>basis</w:t>
      </w:r>
      <w:r w:rsidRPr="00EC4E24">
        <w:t xml:space="preserve"> upon which environmental </w:t>
      </w:r>
      <w:r>
        <w:t xml:space="preserve">and financial performance </w:t>
      </w:r>
      <w:r w:rsidRPr="00EC4E24">
        <w:t>improvements can be pursued</w:t>
      </w:r>
      <w:r>
        <w:t>.</w:t>
      </w:r>
    </w:p>
    <w:p w:rsidR="00196284" w:rsidRDefault="00196284" w:rsidP="00F2741A">
      <w:pPr>
        <w:rPr>
          <w:b/>
        </w:rPr>
      </w:pPr>
      <w:bookmarkStart w:id="4" w:name="_Toc271541882"/>
      <w:bookmarkStart w:id="5" w:name="_Toc271666854"/>
      <w:bookmarkStart w:id="6" w:name="_Toc262385423"/>
    </w:p>
    <w:p w:rsidR="00196284" w:rsidRPr="00F2741A" w:rsidRDefault="00196284" w:rsidP="00DF7474">
      <w:pPr>
        <w:keepNext/>
        <w:rPr>
          <w:b/>
        </w:rPr>
      </w:pPr>
      <w:r>
        <w:rPr>
          <w:b/>
        </w:rPr>
        <w:t>3</w:t>
      </w:r>
      <w:r w:rsidRPr="00F2741A">
        <w:rPr>
          <w:b/>
        </w:rPr>
        <w:t>.3 Approaches for achieving environmental efficiency improvements</w:t>
      </w:r>
      <w:bookmarkEnd w:id="4"/>
      <w:bookmarkEnd w:id="5"/>
    </w:p>
    <w:p w:rsidR="00196284" w:rsidRDefault="00196284" w:rsidP="00DF7474">
      <w:pPr>
        <w:keepNext/>
      </w:pPr>
    </w:p>
    <w:p w:rsidR="00196284" w:rsidRDefault="00196284" w:rsidP="001E2605">
      <w:r w:rsidRPr="00EC4E24">
        <w:t>Having</w:t>
      </w:r>
      <w:r w:rsidRPr="00577530">
        <w:t xml:space="preserve"> recognised</w:t>
      </w:r>
      <w:r w:rsidRPr="00EC4E24">
        <w:t xml:space="preserve"> the importance of the environment to businesses and seen examples of real benefits being achieved</w:t>
      </w:r>
      <w:r>
        <w:t>, it is necessary to understand the approaches available for</w:t>
      </w:r>
      <w:r w:rsidRPr="00EC4E24">
        <w:t xml:space="preserve"> </w:t>
      </w:r>
      <w:r>
        <w:t>pursuing improvements</w:t>
      </w:r>
      <w:r w:rsidRPr="00EC4E24">
        <w:t>. As awareness of environmental concerns has grown</w:t>
      </w:r>
      <w:r>
        <w:t>,</w:t>
      </w:r>
      <w:r w:rsidRPr="00EC4E24">
        <w:t xml:space="preserve"> so has the literature and research activity in this area. </w:t>
      </w:r>
    </w:p>
    <w:p w:rsidR="00196284" w:rsidRDefault="00196284" w:rsidP="001E2605">
      <w:pPr>
        <w:rPr>
          <w:color w:val="000000"/>
        </w:rPr>
      </w:pPr>
    </w:p>
    <w:p w:rsidR="00196284" w:rsidRDefault="00196284" w:rsidP="00536840">
      <w:r w:rsidRPr="00EC4E24">
        <w:t xml:space="preserve">The Natural-Step (TNS) defined by Broman et al. </w:t>
      </w:r>
      <w:r>
        <w:t>[</w:t>
      </w:r>
      <w:r w:rsidR="006D3C89">
        <w:fldChar w:fldCharType="begin"/>
      </w:r>
      <w:r>
        <w:instrText xml:space="preserve"> REF _Ref274728057 \r \h </w:instrText>
      </w:r>
      <w:r w:rsidR="006D3C89">
        <w:fldChar w:fldCharType="separate"/>
      </w:r>
      <w:r w:rsidR="00B238BB">
        <w:t>25</w:t>
      </w:r>
      <w:r w:rsidR="006D3C89">
        <w:fldChar w:fldCharType="end"/>
      </w:r>
      <w:r>
        <w:t xml:space="preserve">] </w:t>
      </w:r>
      <w:r w:rsidRPr="00EC4E24">
        <w:t xml:space="preserve">is a </w:t>
      </w:r>
      <w:r>
        <w:t xml:space="preserve">broad </w:t>
      </w:r>
      <w:r w:rsidRPr="00EC4E24">
        <w:t>strategic framework for</w:t>
      </w:r>
      <w:r w:rsidRPr="00577530">
        <w:t xml:space="preserve"> organisations</w:t>
      </w:r>
      <w:r w:rsidRPr="00EC4E24">
        <w:t xml:space="preserve"> which provides high-level guidance for sustainability investments and initiatives. According to this framework, there are systems conditions which must be met for society to become</w:t>
      </w:r>
      <w:r>
        <w:t xml:space="preserve"> sustainable (the ecosphere must not be subjected to increasing concentrations of waste, over-harvested or used inefficiently), and a</w:t>
      </w:r>
      <w:r w:rsidRPr="00EC4E24">
        <w:t xml:space="preserve"> strategy is required to change the organisation in order to</w:t>
      </w:r>
      <w:r w:rsidRPr="00577530">
        <w:t xml:space="preserve"> </w:t>
      </w:r>
      <w:r w:rsidRPr="009C4340">
        <w:t>fulfil these conditions</w:t>
      </w:r>
      <w:r>
        <w:t xml:space="preserve"> (understanding the conditions, understand a company’s relative position, creating a vision and specifying an action plan)</w:t>
      </w:r>
      <w:r w:rsidRPr="009C4340">
        <w:t xml:space="preserve">. </w:t>
      </w:r>
      <w:r>
        <w:t xml:space="preserve"> </w:t>
      </w:r>
      <w:r w:rsidRPr="00EC4E24">
        <w:t xml:space="preserve">TNS intentionally does not prescribe specific actions </w:t>
      </w:r>
      <w:r>
        <w:t>hence companies must</w:t>
      </w:r>
      <w:r w:rsidRPr="00EC4E24">
        <w:t xml:space="preserve"> define the tactical and operational level changes required</w:t>
      </w:r>
      <w:r>
        <w:t>, possibly combining</w:t>
      </w:r>
      <w:r w:rsidRPr="00EC4E24">
        <w:t xml:space="preserve"> with other approaches to</w:t>
      </w:r>
      <w:r w:rsidRPr="00577530">
        <w:t xml:space="preserve"> realise</w:t>
      </w:r>
      <w:r w:rsidRPr="00EC4E24">
        <w:t xml:space="preserve"> environmental improvements. </w:t>
      </w:r>
    </w:p>
    <w:p w:rsidR="00196284" w:rsidRPr="000F14B7" w:rsidRDefault="00196284" w:rsidP="00536840"/>
    <w:p w:rsidR="00196284" w:rsidRPr="00EC4E24" w:rsidRDefault="00196284" w:rsidP="00536840">
      <w:pPr>
        <w:rPr>
          <w:color w:val="000000"/>
        </w:rPr>
      </w:pPr>
      <w:r>
        <w:rPr>
          <w:color w:val="000000"/>
        </w:rPr>
        <w:t xml:space="preserve">For the concept of Industrial Ecology (IE), </w:t>
      </w:r>
      <w:proofErr w:type="spellStart"/>
      <w:r>
        <w:rPr>
          <w:color w:val="000000"/>
        </w:rPr>
        <w:t>Graedel</w:t>
      </w:r>
      <w:proofErr w:type="spellEnd"/>
      <w:r>
        <w:rPr>
          <w:color w:val="000000"/>
        </w:rPr>
        <w:t xml:space="preserve"> [</w:t>
      </w:r>
      <w:r w:rsidR="006D3C89">
        <w:rPr>
          <w:color w:val="000000"/>
        </w:rPr>
        <w:fldChar w:fldCharType="begin"/>
      </w:r>
      <w:r>
        <w:rPr>
          <w:color w:val="000000"/>
        </w:rPr>
        <w:instrText xml:space="preserve"> REF _Ref274728085 \r \h </w:instrText>
      </w:r>
      <w:r w:rsidR="006D3C89">
        <w:rPr>
          <w:color w:val="000000"/>
        </w:rPr>
      </w:r>
      <w:r w:rsidR="006D3C89">
        <w:rPr>
          <w:color w:val="000000"/>
        </w:rPr>
        <w:fldChar w:fldCharType="separate"/>
      </w:r>
      <w:r w:rsidR="00B238BB">
        <w:rPr>
          <w:color w:val="000000"/>
        </w:rPr>
        <w:t>26</w:t>
      </w:r>
      <w:r w:rsidR="006D3C89">
        <w:rPr>
          <w:color w:val="000000"/>
        </w:rPr>
        <w:fldChar w:fldCharType="end"/>
      </w:r>
      <w:r>
        <w:rPr>
          <w:color w:val="000000"/>
        </w:rPr>
        <w:t xml:space="preserve">] describes three model types that capture resource flows from the ecosphere to the </w:t>
      </w:r>
      <w:proofErr w:type="spellStart"/>
      <w:r>
        <w:rPr>
          <w:color w:val="000000"/>
        </w:rPr>
        <w:t>technosphere</w:t>
      </w:r>
      <w:proofErr w:type="spellEnd"/>
      <w:r>
        <w:rPr>
          <w:color w:val="000000"/>
        </w:rPr>
        <w:t xml:space="preserve"> and back. In the first model (linear, type I) the resources flow (material and energy) from the ecosphere into the </w:t>
      </w:r>
      <w:proofErr w:type="spellStart"/>
      <w:r>
        <w:rPr>
          <w:color w:val="000000"/>
        </w:rPr>
        <w:t>technosphere</w:t>
      </w:r>
      <w:proofErr w:type="spellEnd"/>
      <w:r>
        <w:rPr>
          <w:color w:val="000000"/>
        </w:rPr>
        <w:t xml:space="preserve"> and then waste is returned to the ecosphere with the assumption there is unlimited capacity to absorb the industrial waste.  In the second model (quasi-cyclic, type II) there is a certain degree of cycling of resource in the </w:t>
      </w:r>
      <w:proofErr w:type="spellStart"/>
      <w:r>
        <w:rPr>
          <w:color w:val="000000"/>
        </w:rPr>
        <w:t>technosphere</w:t>
      </w:r>
      <w:proofErr w:type="spellEnd"/>
      <w:r>
        <w:rPr>
          <w:color w:val="000000"/>
        </w:rPr>
        <w:t xml:space="preserve"> and thereby reducing the burden on the ecosphere to provide </w:t>
      </w:r>
      <w:r>
        <w:rPr>
          <w:color w:val="000000"/>
        </w:rPr>
        <w:lastRenderedPageBreak/>
        <w:t>resource and absorb waste. Hence material and energy flows are reduced, as well as waste flows. In the third model (cyclic, type III) the highest degree of cycling through closed loop occurs to enable self-sufficiency and reliance only on renewable energy inputs.  IE concept has not been applied at factory level [</w:t>
      </w:r>
      <w:r w:rsidR="006D3C89">
        <w:rPr>
          <w:color w:val="000000"/>
        </w:rPr>
        <w:fldChar w:fldCharType="begin"/>
      </w:r>
      <w:r>
        <w:rPr>
          <w:color w:val="000000"/>
        </w:rPr>
        <w:instrText xml:space="preserve"> REF _Ref274728109 \r \h </w:instrText>
      </w:r>
      <w:r w:rsidR="006D3C89">
        <w:rPr>
          <w:color w:val="000000"/>
        </w:rPr>
      </w:r>
      <w:r w:rsidR="006D3C89">
        <w:rPr>
          <w:color w:val="000000"/>
        </w:rPr>
        <w:fldChar w:fldCharType="separate"/>
      </w:r>
      <w:r w:rsidR="00B238BB">
        <w:rPr>
          <w:color w:val="000000"/>
        </w:rPr>
        <w:t>27</w:t>
      </w:r>
      <w:r w:rsidR="006D3C89">
        <w:rPr>
          <w:color w:val="000000"/>
        </w:rPr>
        <w:fldChar w:fldCharType="end"/>
      </w:r>
      <w:r>
        <w:rPr>
          <w:color w:val="000000"/>
        </w:rPr>
        <w:t>] and therefore whilst conceptually it is of relevance there is no guidance for its deployment in companies.</w:t>
      </w:r>
    </w:p>
    <w:bookmarkEnd w:id="6"/>
    <w:p w:rsidR="00196284" w:rsidRDefault="00196284" w:rsidP="00F2741A"/>
    <w:p w:rsidR="00196284" w:rsidRPr="00EC4E24" w:rsidRDefault="00196284" w:rsidP="00F2741A">
      <w:r w:rsidRPr="00EC4E24">
        <w:rPr>
          <w:color w:val="000000"/>
        </w:rPr>
        <w:t xml:space="preserve">Sustainable </w:t>
      </w:r>
      <w:r w:rsidRPr="00EC4E24">
        <w:t xml:space="preserve">Manufacturing (SM) </w:t>
      </w:r>
      <w:r>
        <w:t>[</w:t>
      </w:r>
      <w:r w:rsidR="006D3C89">
        <w:fldChar w:fldCharType="begin"/>
      </w:r>
      <w:r w:rsidR="00972707">
        <w:instrText xml:space="preserve"> REF _Ref275352539 \r \h </w:instrText>
      </w:r>
      <w:r w:rsidR="006D3C89">
        <w:fldChar w:fldCharType="separate"/>
      </w:r>
      <w:r w:rsidR="00B238BB">
        <w:t>10</w:t>
      </w:r>
      <w:r w:rsidR="006D3C89">
        <w:fldChar w:fldCharType="end"/>
      </w:r>
      <w:r>
        <w:t xml:space="preserve">, </w:t>
      </w:r>
      <w:r w:rsidR="006D3C89">
        <w:fldChar w:fldCharType="begin"/>
      </w:r>
      <w:r>
        <w:instrText xml:space="preserve"> REF _Ref274739885 \r \h </w:instrText>
      </w:r>
      <w:r w:rsidR="006D3C89">
        <w:fldChar w:fldCharType="separate"/>
      </w:r>
      <w:r w:rsidR="00B238BB">
        <w:t>28</w:t>
      </w:r>
      <w:r w:rsidR="006D3C89">
        <w:fldChar w:fldCharType="end"/>
      </w:r>
      <w:r>
        <w:t xml:space="preserve">, </w:t>
      </w:r>
      <w:r w:rsidR="006D3C89">
        <w:fldChar w:fldCharType="begin"/>
      </w:r>
      <w:r>
        <w:instrText xml:space="preserve"> REF _Ref274743662 \r \h </w:instrText>
      </w:r>
      <w:r w:rsidR="006D3C89">
        <w:fldChar w:fldCharType="separate"/>
      </w:r>
      <w:r w:rsidR="00B238BB">
        <w:t>29</w:t>
      </w:r>
      <w:r w:rsidR="006D3C89">
        <w:fldChar w:fldCharType="end"/>
      </w:r>
      <w:r>
        <w:t xml:space="preserve">] (based on environmental conscious manufacturing) </w:t>
      </w:r>
      <w:r w:rsidRPr="00EC4E24">
        <w:t>is broad in scope</w:t>
      </w:r>
      <w:r>
        <w:t>,</w:t>
      </w:r>
      <w:r w:rsidRPr="00EC4E24">
        <w:t xml:space="preserve"> taking a high level view of manufacturing and including all three ele</w:t>
      </w:r>
      <w:r>
        <w:t xml:space="preserve">ments of the triple bottom line. </w:t>
      </w:r>
      <w:r w:rsidRPr="00EC4E24">
        <w:t xml:space="preserve">SM </w:t>
      </w:r>
      <w:r>
        <w:t xml:space="preserve">and its predecessors </w:t>
      </w:r>
      <w:r w:rsidRPr="00EC4E24">
        <w:t>looks beyond the boundaries of a single facility and considers the entire material cycle</w:t>
      </w:r>
      <w:r>
        <w:t xml:space="preserve"> from material extraction through processing and use to subsequent disposal [</w:t>
      </w:r>
      <w:r w:rsidR="006D3C89">
        <w:fldChar w:fldCharType="begin"/>
      </w:r>
      <w:r>
        <w:instrText xml:space="preserve"> REF _Ref274744785 \r \h </w:instrText>
      </w:r>
      <w:r w:rsidR="006D3C89">
        <w:fldChar w:fldCharType="separate"/>
      </w:r>
      <w:r w:rsidR="00B238BB">
        <w:t>4</w:t>
      </w:r>
      <w:r w:rsidR="006D3C89">
        <w:fldChar w:fldCharType="end"/>
      </w:r>
      <w:r>
        <w:t xml:space="preserve">, </w:t>
      </w:r>
      <w:r w:rsidR="006D3C89">
        <w:fldChar w:fldCharType="begin"/>
      </w:r>
      <w:r>
        <w:instrText xml:space="preserve"> REF _Ref274737637 \r \h </w:instrText>
      </w:r>
      <w:r w:rsidR="006D3C89">
        <w:fldChar w:fldCharType="separate"/>
      </w:r>
      <w:r w:rsidR="00B238BB">
        <w:t>30</w:t>
      </w:r>
      <w:r w:rsidR="006D3C89">
        <w:fldChar w:fldCharType="end"/>
      </w:r>
      <w:r>
        <w:t>].</w:t>
      </w:r>
      <w:r w:rsidRPr="001E2605">
        <w:t xml:space="preserve"> </w:t>
      </w:r>
      <w:r>
        <w:t xml:space="preserve">A lot of </w:t>
      </w:r>
      <w:r w:rsidRPr="00EC4E24">
        <w:t xml:space="preserve">SM research has focused on product development and end-of-life management </w:t>
      </w:r>
      <w:r w:rsidRPr="00EC4E24">
        <w:rPr>
          <w:color w:val="000000"/>
        </w:rPr>
        <w:t xml:space="preserve">in order </w:t>
      </w:r>
      <w:r w:rsidRPr="00EC4E24">
        <w:t xml:space="preserve">to keep products within the </w:t>
      </w:r>
      <w:proofErr w:type="spellStart"/>
      <w:r>
        <w:t>technosphere</w:t>
      </w:r>
      <w:proofErr w:type="spellEnd"/>
      <w:r>
        <w:t xml:space="preserve"> </w:t>
      </w:r>
      <w:r w:rsidRPr="00EC4E24">
        <w:t xml:space="preserve">after the </w:t>
      </w:r>
      <w:r>
        <w:t>“Use”</w:t>
      </w:r>
      <w:r w:rsidRPr="00EC4E24">
        <w:t xml:space="preserve"> phase. </w:t>
      </w:r>
      <w:r w:rsidRPr="00EC4E24">
        <w:rPr>
          <w:color w:val="000000"/>
        </w:rPr>
        <w:t>There has been less SM research activity focusing on improving specific manufacturing systems</w:t>
      </w:r>
      <w:r>
        <w:rPr>
          <w:color w:val="000000"/>
        </w:rPr>
        <w:t>, especially the component production and assembly</w:t>
      </w:r>
      <w:r w:rsidRPr="00EC4E24">
        <w:rPr>
          <w:color w:val="000000"/>
        </w:rPr>
        <w:t xml:space="preserve"> stages. This has meant that SM does not provide </w:t>
      </w:r>
      <w:r w:rsidRPr="00EC4E24">
        <w:t xml:space="preserve">a methodology for manufacturers to generate improvements within their own facilities </w:t>
      </w:r>
      <w:r>
        <w:rPr>
          <w:color w:val="000000"/>
        </w:rPr>
        <w:t>[</w:t>
      </w:r>
      <w:r w:rsidR="006D3C89">
        <w:rPr>
          <w:color w:val="000000"/>
        </w:rPr>
        <w:fldChar w:fldCharType="begin"/>
      </w:r>
      <w:r>
        <w:rPr>
          <w:color w:val="000000"/>
        </w:rPr>
        <w:instrText xml:space="preserve"> REF _Ref274728143 \r \h </w:instrText>
      </w:r>
      <w:r w:rsidR="006D3C89">
        <w:rPr>
          <w:color w:val="000000"/>
        </w:rPr>
      </w:r>
      <w:r w:rsidR="006D3C89">
        <w:rPr>
          <w:color w:val="000000"/>
        </w:rPr>
        <w:fldChar w:fldCharType="separate"/>
      </w:r>
      <w:r w:rsidR="00B238BB">
        <w:rPr>
          <w:color w:val="000000"/>
        </w:rPr>
        <w:t>31</w:t>
      </w:r>
      <w:r w:rsidR="006D3C89">
        <w:rPr>
          <w:color w:val="000000"/>
        </w:rPr>
        <w:fldChar w:fldCharType="end"/>
      </w:r>
      <w:r>
        <w:rPr>
          <w:color w:val="000000"/>
        </w:rPr>
        <w:t>]</w:t>
      </w:r>
      <w:r w:rsidRPr="00EC4E24">
        <w:rPr>
          <w:color w:val="000000"/>
        </w:rPr>
        <w:t>.</w:t>
      </w:r>
    </w:p>
    <w:p w:rsidR="00196284" w:rsidRPr="00EC4E24" w:rsidRDefault="00196284" w:rsidP="00F2741A"/>
    <w:p w:rsidR="00196284" w:rsidRDefault="00196284" w:rsidP="00F2741A">
      <w:r w:rsidRPr="00EC4E24">
        <w:t xml:space="preserve">Zero Carbon Manufacturing (ZCM) </w:t>
      </w:r>
      <w:r>
        <w:t>[</w:t>
      </w:r>
      <w:r w:rsidR="006D3C89">
        <w:fldChar w:fldCharType="begin"/>
      </w:r>
      <w:r>
        <w:instrText xml:space="preserve"> REF _Ref274727660 \r \h </w:instrText>
      </w:r>
      <w:r w:rsidR="006D3C89">
        <w:fldChar w:fldCharType="separate"/>
      </w:r>
      <w:r w:rsidR="00B238BB">
        <w:t>7</w:t>
      </w:r>
      <w:r w:rsidR="006D3C89">
        <w:fldChar w:fldCharType="end"/>
      </w:r>
      <w:r>
        <w:t>]</w:t>
      </w:r>
      <w:r w:rsidRPr="00D60579">
        <w:t xml:space="preserve"> </w:t>
      </w:r>
      <w:r w:rsidRPr="00EC4E24">
        <w:t xml:space="preserve">can be viewed as a constituent element of sustainable manufacturing which is focused on the tactical and operational levels of an organisation. ZCM takes the perspective of the manufacturer and seeks to improve the environmental performance of their system by understanding </w:t>
      </w:r>
      <w:r>
        <w:t>the</w:t>
      </w:r>
      <w:r w:rsidRPr="00EC4E24">
        <w:t xml:space="preserve"> process flows within it. This is achieved by examining the manufacturing processes, the surrounding building</w:t>
      </w:r>
      <w:r>
        <w:t xml:space="preserve"> </w:t>
      </w:r>
      <w:r w:rsidRPr="00EC4E24">
        <w:t xml:space="preserve">and </w:t>
      </w:r>
      <w:r>
        <w:t xml:space="preserve">the </w:t>
      </w:r>
      <w:r w:rsidRPr="00EC4E24">
        <w:t>associated facilities at a systems level</w:t>
      </w:r>
      <w:r>
        <w:t xml:space="preserve"> through Material, Energy and Waste (MEW) process mapping</w:t>
      </w:r>
      <w:r w:rsidRPr="00EC4E24">
        <w:t xml:space="preserve">. A black-box view of the system and its components is adopted and the focus is on </w:t>
      </w:r>
      <w:r>
        <w:t xml:space="preserve">examining </w:t>
      </w:r>
      <w:r w:rsidRPr="00EC4E24">
        <w:t xml:space="preserve">the </w:t>
      </w:r>
      <w:r>
        <w:t>process inputs and outputs</w:t>
      </w:r>
      <w:r w:rsidRPr="00EC4E24">
        <w:t>. Opportunities are sought for reusing outputs elsewhere in the system as inputs to other processes</w:t>
      </w:r>
      <w:r>
        <w:t>,</w:t>
      </w:r>
      <w:r w:rsidRPr="00EC4E24">
        <w:t xml:space="preserve"> to reduce net environmental impact. When viewed in isolation, manufacturing processes cannot be zero carbon</w:t>
      </w:r>
      <w:r>
        <w:t>,</w:t>
      </w:r>
      <w:r w:rsidRPr="00EC4E24">
        <w:t xml:space="preserve"> but when considering such processes as part of a wider system; it </w:t>
      </w:r>
      <w:r w:rsidR="00AB7296">
        <w:t>is</w:t>
      </w:r>
      <w:r w:rsidRPr="00EC4E24">
        <w:t xml:space="preserve"> possible to achieve net c</w:t>
      </w:r>
      <w:r>
        <w:t>arbon reduction [</w:t>
      </w:r>
      <w:r w:rsidR="006D3C89">
        <w:fldChar w:fldCharType="begin"/>
      </w:r>
      <w:r>
        <w:instrText xml:space="preserve"> REF _Ref274728215 \r \h </w:instrText>
      </w:r>
      <w:r w:rsidR="006D3C89">
        <w:fldChar w:fldCharType="separate"/>
      </w:r>
      <w:r w:rsidR="00B238BB">
        <w:t>32</w:t>
      </w:r>
      <w:r w:rsidR="006D3C89">
        <w:fldChar w:fldCharType="end"/>
      </w:r>
      <w:r>
        <w:t>]</w:t>
      </w:r>
      <w:r w:rsidRPr="00EC4E24">
        <w:t>.</w:t>
      </w:r>
    </w:p>
    <w:p w:rsidR="00196284" w:rsidRDefault="00196284" w:rsidP="00F2741A"/>
    <w:p w:rsidR="00196284" w:rsidRPr="00F2741A" w:rsidRDefault="00196284" w:rsidP="00DE0766">
      <w:pPr>
        <w:keepNext/>
        <w:rPr>
          <w:b/>
        </w:rPr>
      </w:pPr>
      <w:r>
        <w:rPr>
          <w:b/>
        </w:rPr>
        <w:lastRenderedPageBreak/>
        <w:t>4</w:t>
      </w:r>
      <w:r w:rsidRPr="00F2741A">
        <w:rPr>
          <w:b/>
        </w:rPr>
        <w:t xml:space="preserve">. Development of </w:t>
      </w:r>
      <w:r>
        <w:rPr>
          <w:b/>
        </w:rPr>
        <w:t xml:space="preserve">an </w:t>
      </w:r>
      <w:r w:rsidRPr="00F2741A">
        <w:rPr>
          <w:b/>
        </w:rPr>
        <w:t xml:space="preserve">approach </w:t>
      </w:r>
      <w:r>
        <w:rPr>
          <w:b/>
        </w:rPr>
        <w:t>to</w:t>
      </w:r>
      <w:r w:rsidRPr="00F2741A">
        <w:rPr>
          <w:b/>
        </w:rPr>
        <w:t xml:space="preserve"> address sustainability at factory level </w:t>
      </w:r>
    </w:p>
    <w:p w:rsidR="00196284" w:rsidRDefault="00196284" w:rsidP="00DE0766">
      <w:pPr>
        <w:keepNext/>
      </w:pPr>
    </w:p>
    <w:p w:rsidR="00196284" w:rsidRDefault="00B238BB" w:rsidP="00F2741A">
      <w:r>
        <w:t xml:space="preserve">It is apparent from the literature </w:t>
      </w:r>
      <w:r w:rsidR="00196284">
        <w:t>that</w:t>
      </w:r>
      <w:r w:rsidR="00196284" w:rsidRPr="00A84D7D">
        <w:t xml:space="preserve"> most approaches for progressing towards sustainable development are generic and high level. </w:t>
      </w:r>
      <w:r w:rsidR="00196284">
        <w:t>There is a lack of guida</w:t>
      </w:r>
      <w:r w:rsidR="00196284" w:rsidRPr="00A84D7D">
        <w:t xml:space="preserve">nce and tools </w:t>
      </w:r>
      <w:r w:rsidR="00196284">
        <w:t>for</w:t>
      </w:r>
      <w:r w:rsidR="00196284" w:rsidRPr="00A84D7D">
        <w:t xml:space="preserve"> manufacturers to identify improvement opportunities within their own factories.</w:t>
      </w:r>
      <w:r w:rsidR="00196284">
        <w:t xml:space="preserve"> The use of material, energy and waste (MEW) as a basis for improvement has potential for analysis given that manufacturers express their improvements in those forms and there are high level concepts in which to frame the work.  Any analysis must address both the qualitative MEW flows as well as the quantitative flows.</w:t>
      </w:r>
    </w:p>
    <w:p w:rsidR="00196284" w:rsidRDefault="00196284" w:rsidP="00F2741A">
      <w:pPr>
        <w:rPr>
          <w:u w:val="single"/>
        </w:rPr>
      </w:pPr>
    </w:p>
    <w:p w:rsidR="00196284" w:rsidRDefault="00196284" w:rsidP="00C334DE">
      <w:r w:rsidRPr="00093A2D">
        <w:t xml:space="preserve">In order to develop the MEW </w:t>
      </w:r>
      <w:r>
        <w:t>p</w:t>
      </w:r>
      <w:r w:rsidRPr="00093A2D">
        <w:t xml:space="preserve">rocess </w:t>
      </w:r>
      <w:r>
        <w:t>flow modelling</w:t>
      </w:r>
      <w:r w:rsidRPr="00093A2D">
        <w:t xml:space="preserve"> technique</w:t>
      </w:r>
      <w:r>
        <w:t>,</w:t>
      </w:r>
      <w:r w:rsidRPr="00093A2D">
        <w:t xml:space="preserve"> it is first necessary to determine the </w:t>
      </w:r>
      <w:r>
        <w:t xml:space="preserve">most appropriate </w:t>
      </w:r>
      <w:r w:rsidRPr="00093A2D">
        <w:t xml:space="preserve">process flow mapping </w:t>
      </w:r>
      <w:r>
        <w:t>tool</w:t>
      </w:r>
      <w:r w:rsidRPr="00093A2D">
        <w:t xml:space="preserve"> </w:t>
      </w:r>
      <w:r>
        <w:t>to</w:t>
      </w:r>
      <w:r w:rsidRPr="00093A2D">
        <w:t xml:space="preserve"> be used. To pursue environmental efficiency improvements, the systems within a manufacturing organisation must be represented </w:t>
      </w:r>
      <w:r>
        <w:t>so</w:t>
      </w:r>
      <w:r w:rsidRPr="00093A2D">
        <w:t xml:space="preserve"> that the complexities and interactions </w:t>
      </w:r>
      <w:r>
        <w:t>are reduced</w:t>
      </w:r>
      <w:r w:rsidRPr="00093A2D">
        <w:t xml:space="preserve"> to a manageable level for analysis. Process maps can be jointly analysed by Facilities Maintenance and Manufacturing Engineering </w:t>
      </w:r>
      <w:r>
        <w:t>S</w:t>
      </w:r>
      <w:r w:rsidRPr="00093A2D">
        <w:t>pecialists</w:t>
      </w:r>
      <w:r>
        <w:t>,</w:t>
      </w:r>
      <w:r w:rsidRPr="00093A2D">
        <w:t xml:space="preserve"> to highlight where the input of one activity can be provided by the output of another activity, </w:t>
      </w:r>
      <w:r>
        <w:t xml:space="preserve">in order </w:t>
      </w:r>
      <w:r w:rsidRPr="00093A2D">
        <w:t xml:space="preserve">to reduce overall consumption. Traditionally these departments </w:t>
      </w:r>
      <w:r>
        <w:t>would</w:t>
      </w:r>
      <w:r w:rsidRPr="00093A2D">
        <w:t xml:space="preserve"> be focused on </w:t>
      </w:r>
      <w:r>
        <w:t xml:space="preserve">reducing </w:t>
      </w:r>
      <w:r w:rsidRPr="00093A2D">
        <w:t>waste within their own areas rather than adopting an integrated view of the facility</w:t>
      </w:r>
      <w:r>
        <w:t xml:space="preserve"> and reducing waste at the system level</w:t>
      </w:r>
      <w:r w:rsidRPr="00093A2D">
        <w:t xml:space="preserve">. </w:t>
      </w:r>
    </w:p>
    <w:p w:rsidR="00196284" w:rsidRDefault="00196284" w:rsidP="00C334DE">
      <w:pPr>
        <w:rPr>
          <w:color w:val="000000"/>
        </w:rPr>
      </w:pPr>
    </w:p>
    <w:p w:rsidR="00196284" w:rsidRDefault="00196284" w:rsidP="00C334DE">
      <w:pPr>
        <w:rPr>
          <w:color w:val="000000"/>
        </w:rPr>
      </w:pPr>
      <w:r w:rsidRPr="00093A2D">
        <w:t>IDEF0 is a suitable format for representing MEW process flows</w:t>
      </w:r>
      <w:r>
        <w:t xml:space="preserve">, </w:t>
      </w:r>
      <w:r w:rsidRPr="007A1550">
        <w:t>provid</w:t>
      </w:r>
      <w:r>
        <w:t>ing</w:t>
      </w:r>
      <w:r w:rsidRPr="007A1550">
        <w:t xml:space="preserve"> a structur</w:t>
      </w:r>
      <w:r>
        <w:t xml:space="preserve">ed </w:t>
      </w:r>
      <w:r w:rsidRPr="007A1550">
        <w:t xml:space="preserve">representation of activities </w:t>
      </w:r>
      <w:r>
        <w:t xml:space="preserve">(boxes) </w:t>
      </w:r>
      <w:r w:rsidRPr="007A1550">
        <w:t>within a system</w:t>
      </w:r>
      <w:r>
        <w:t xml:space="preserve"> with their corresponding</w:t>
      </w:r>
      <w:r w:rsidRPr="007A1550">
        <w:t xml:space="preserve"> Input, Control, Output and Mechanism (ICOM) </w:t>
      </w:r>
      <w:r>
        <w:t>(</w:t>
      </w:r>
      <w:r w:rsidRPr="007A1550">
        <w:t>arrows</w:t>
      </w:r>
      <w:r>
        <w:t>)</w:t>
      </w:r>
      <w:r w:rsidRPr="007A1550">
        <w:t>. Inputs enter on the left of the activity box, outputs leave on the right,</w:t>
      </w:r>
      <w:r>
        <w:t xml:space="preserve"> mechanisms (activity enablers) enter</w:t>
      </w:r>
      <w:r w:rsidRPr="007A1550">
        <w:t xml:space="preserve"> from below and controls (legislations and policies)</w:t>
      </w:r>
      <w:r>
        <w:t xml:space="preserve"> feed</w:t>
      </w:r>
      <w:r w:rsidRPr="007A1550">
        <w:t xml:space="preserve"> from above. </w:t>
      </w:r>
      <w:r>
        <w:t>Conveniently, e</w:t>
      </w:r>
      <w:r w:rsidRPr="007A1550">
        <w:t xml:space="preserve">ach activity can be </w:t>
      </w:r>
      <w:r>
        <w:t xml:space="preserve">hierarchically </w:t>
      </w:r>
      <w:r w:rsidRPr="007A1550">
        <w:t xml:space="preserve">decomposed to a lower level to provide a more detailed representation of that activity. </w:t>
      </w:r>
      <w:r>
        <w:t>The approach is standardised but users must possess basic knowledge of the technique in order to understand it</w:t>
      </w:r>
      <w:r>
        <w:rPr>
          <w:color w:val="000000"/>
        </w:rPr>
        <w:t>.</w:t>
      </w:r>
    </w:p>
    <w:p w:rsidR="00196284" w:rsidRDefault="00196284" w:rsidP="00C334DE">
      <w:r w:rsidRPr="00542A13">
        <w:t xml:space="preserve"> </w:t>
      </w:r>
    </w:p>
    <w:p w:rsidR="00196284" w:rsidRDefault="00196284" w:rsidP="00C334DE">
      <w:r w:rsidRPr="007C5E51">
        <w:t>The use of a structured process mapping tool followed by detailed quantitative analysis is useful in understanding interactions within a system</w:t>
      </w:r>
      <w:r>
        <w:t xml:space="preserve"> [</w:t>
      </w:r>
      <w:r w:rsidR="006D3C89">
        <w:fldChar w:fldCharType="begin"/>
      </w:r>
      <w:r>
        <w:instrText xml:space="preserve"> REF _Ref274728288 \r \h </w:instrText>
      </w:r>
      <w:r w:rsidR="006D3C89">
        <w:fldChar w:fldCharType="separate"/>
      </w:r>
      <w:r w:rsidR="00B238BB">
        <w:t>33</w:t>
      </w:r>
      <w:r w:rsidR="006D3C89">
        <w:fldChar w:fldCharType="end"/>
      </w:r>
      <w:r>
        <w:t>]</w:t>
      </w:r>
      <w:r w:rsidRPr="007C5E51">
        <w:t xml:space="preserve">. Quantitative analysis of MEW flows can be done using a top down, or bottom up approach. The </w:t>
      </w:r>
      <w:r w:rsidRPr="007C5E51">
        <w:lastRenderedPageBreak/>
        <w:t xml:space="preserve">top down approach involves </w:t>
      </w:r>
      <w:r>
        <w:t>examining</w:t>
      </w:r>
      <w:r w:rsidRPr="007C5E51">
        <w:t xml:space="preserve"> the total MEW </w:t>
      </w:r>
      <w:r>
        <w:t>flows and costs</w:t>
      </w:r>
      <w:r w:rsidRPr="007C5E51">
        <w:t xml:space="preserve"> in a given time period and attempting to trace the usage and generation to particular assets. The bottom up approach</w:t>
      </w:r>
      <w:r>
        <w:t>, which is used in this work,</w:t>
      </w:r>
      <w:r w:rsidRPr="007C5E51">
        <w:t xml:space="preserve"> involves mapping MEW process flows from a systems level perspective to understand the inputs and outputs of the system and the individual processes within i</w:t>
      </w:r>
      <w:r>
        <w:t>t</w:t>
      </w:r>
      <w:r w:rsidRPr="007C5E51">
        <w:t xml:space="preserve">. </w:t>
      </w:r>
    </w:p>
    <w:p w:rsidR="00196284" w:rsidRDefault="00196284" w:rsidP="00C334DE"/>
    <w:p w:rsidR="00FF0A8C" w:rsidRDefault="00FF0A8C" w:rsidP="00C334DE">
      <w:r>
        <w:t>Lean production [</w:t>
      </w:r>
      <w:r w:rsidR="006D3C89">
        <w:fldChar w:fldCharType="begin"/>
      </w:r>
      <w:r>
        <w:instrText xml:space="preserve"> REF _Ref309827644 \r \h </w:instrText>
      </w:r>
      <w:r w:rsidR="006D3C89">
        <w:fldChar w:fldCharType="separate"/>
      </w:r>
      <w:r w:rsidR="00B238BB">
        <w:t>34</w:t>
      </w:r>
      <w:r w:rsidR="006D3C89">
        <w:fldChar w:fldCharType="end"/>
      </w:r>
      <w:r>
        <w:t xml:space="preserve">] is an approach with supporting tools to reduce waste and </w:t>
      </w:r>
      <w:r w:rsidRPr="00AD4A46">
        <w:t xml:space="preserve">improve flow by focusing on delivering value to the customer.  Lean approaches for lean have the potential as </w:t>
      </w:r>
      <w:r w:rsidR="00B238BB">
        <w:t xml:space="preserve">a </w:t>
      </w:r>
      <w:r w:rsidRPr="00AD4A46">
        <w:t xml:space="preserve">base for looking at wider production resources, namely: look see, </w:t>
      </w:r>
      <w:r w:rsidR="00B238BB">
        <w:t xml:space="preserve">process </w:t>
      </w:r>
      <w:r w:rsidRPr="00AD4A46">
        <w:t>mapping, data collect</w:t>
      </w:r>
      <w:r w:rsidR="00B238BB">
        <w:t>ion</w:t>
      </w:r>
      <w:r w:rsidRPr="00AD4A46">
        <w:t>, data analysis, improvement opportunities, implementation and review.  However, whilst sustainable manufacturing practices are</w:t>
      </w:r>
      <w:r>
        <w:t xml:space="preserve"> compatible with lean, primarily through waste reduction, it is not a given that lean practices will </w:t>
      </w:r>
      <w:r w:rsidR="0011634F">
        <w:t>improve environmental performance [</w:t>
      </w:r>
      <w:r w:rsidR="0011634F">
        <w:fldChar w:fldCharType="begin"/>
      </w:r>
      <w:r w:rsidR="0011634F">
        <w:instrText xml:space="preserve"> REF _Ref309898842 \r \h </w:instrText>
      </w:r>
      <w:r w:rsidR="0011634F">
        <w:fldChar w:fldCharType="separate"/>
      </w:r>
      <w:r w:rsidR="0011634F">
        <w:t>21</w:t>
      </w:r>
      <w:r w:rsidR="0011634F">
        <w:fldChar w:fldCharType="end"/>
      </w:r>
      <w:r w:rsidR="0011634F">
        <w:t xml:space="preserve">] through </w:t>
      </w:r>
      <w:r>
        <w:t>reduc</w:t>
      </w:r>
      <w:r w:rsidR="0011634F">
        <w:t>ing</w:t>
      </w:r>
      <w:r>
        <w:t xml:space="preserve"> waste </w:t>
      </w:r>
      <w:r w:rsidR="0011634F">
        <w:t>and reusing</w:t>
      </w:r>
      <w:r w:rsidR="00AD4A46">
        <w:t xml:space="preserve"> resources </w:t>
      </w:r>
      <w:r>
        <w:t>across the spectrum of a manufacturing system necessary.</w:t>
      </w:r>
      <w:r w:rsidR="00AD4A46">
        <w:t xml:space="preserve"> Lean in practice and as a result of the typical toolset is focused on the primary flows to customer, not the support infrastructure to achieve them. This is supported by empirical evidence. For example, as a proponent of lean, Toyota is seen as the benchmark for lean adoption, however has made massive reductions in resource consumption </w:t>
      </w:r>
      <w:r w:rsidR="00B238BB">
        <w:t xml:space="preserve">since it adopted its eco-factory focus in its </w:t>
      </w:r>
      <w:r w:rsidR="000075BB">
        <w:t xml:space="preserve">sustainable plants </w:t>
      </w:r>
      <w:r w:rsidR="00B238BB">
        <w:t>over the l</w:t>
      </w:r>
      <w:r w:rsidR="00AD4A46">
        <w:t>as</w:t>
      </w:r>
      <w:r w:rsidR="00B238BB">
        <w:t>t decade</w:t>
      </w:r>
      <w:r w:rsidR="00AD4A46">
        <w:t xml:space="preserve"> [</w:t>
      </w:r>
      <w:r w:rsidR="006D3C89">
        <w:fldChar w:fldCharType="begin"/>
      </w:r>
      <w:r w:rsidR="000075BB">
        <w:instrText xml:space="preserve"> REF _Ref309829169 \r \h </w:instrText>
      </w:r>
      <w:r w:rsidR="006D3C89">
        <w:fldChar w:fldCharType="separate"/>
      </w:r>
      <w:r w:rsidR="00B238BB">
        <w:t>35</w:t>
      </w:r>
      <w:r w:rsidR="006D3C89">
        <w:fldChar w:fldCharType="end"/>
      </w:r>
      <w:r w:rsidR="00AD4A46">
        <w:t>].</w:t>
      </w:r>
    </w:p>
    <w:p w:rsidR="00AB7296" w:rsidRDefault="00AB7296" w:rsidP="00C334DE"/>
    <w:p w:rsidR="00B238BB" w:rsidRDefault="00B238BB" w:rsidP="00B238BB">
      <w:r>
        <w:t>Th</w:t>
      </w:r>
      <w:r w:rsidRPr="001F5221">
        <w:t>e literature review</w:t>
      </w:r>
      <w:r>
        <w:t xml:space="preserve"> failed to uncover</w:t>
      </w:r>
      <w:r w:rsidRPr="001F5221">
        <w:t xml:space="preserve"> techniques for gathering MEW process flow data and quantitative modelling. </w:t>
      </w:r>
      <w:r>
        <w:t>The closest examples are Life Cycle Analysis (LCA) (see ISO14040) and adapted versions of Value Stream Mapping (VSM) [</w:t>
      </w:r>
      <w:r>
        <w:fldChar w:fldCharType="begin"/>
      </w:r>
      <w:r>
        <w:instrText xml:space="preserve"> REF _Ref274742146 \r \h </w:instrText>
      </w:r>
      <w:r>
        <w:fldChar w:fldCharType="separate"/>
      </w:r>
      <w:r>
        <w:t>36</w:t>
      </w:r>
      <w:r>
        <w:fldChar w:fldCharType="end"/>
      </w:r>
      <w:r>
        <w:t>], both of which are product stream rather than production function focused.  Another example is that of de Ron [</w:t>
      </w:r>
      <w:r>
        <w:fldChar w:fldCharType="begin"/>
      </w:r>
      <w:r>
        <w:instrText xml:space="preserve"> REF _Ref274746144 \r \h </w:instrText>
      </w:r>
      <w:r>
        <w:fldChar w:fldCharType="separate"/>
      </w:r>
      <w:r>
        <w:t>37</w:t>
      </w:r>
      <w:r>
        <w:fldChar w:fldCharType="end"/>
      </w:r>
      <w:r>
        <w:t xml:space="preserve">] which lacks the production system depth and case evidence presented here. </w:t>
      </w:r>
    </w:p>
    <w:p w:rsidR="00B238BB" w:rsidRDefault="00B238BB" w:rsidP="00B238BB"/>
    <w:p w:rsidR="00196284" w:rsidRDefault="00196284" w:rsidP="00C334DE">
      <w:r w:rsidRPr="001F5221">
        <w:t>The</w:t>
      </w:r>
      <w:r>
        <w:t>se areas</w:t>
      </w:r>
      <w:r w:rsidRPr="001F5221">
        <w:t xml:space="preserve"> currently </w:t>
      </w:r>
      <w:r>
        <w:t xml:space="preserve">represent </w:t>
      </w:r>
      <w:r w:rsidRPr="001F5221">
        <w:t xml:space="preserve">gaps in </w:t>
      </w:r>
      <w:r>
        <w:t xml:space="preserve">the </w:t>
      </w:r>
      <w:r w:rsidRPr="001F5221">
        <w:t xml:space="preserve">literature </w:t>
      </w:r>
      <w:r>
        <w:t xml:space="preserve">which this research is intended </w:t>
      </w:r>
      <w:proofErr w:type="gramStart"/>
      <w:r>
        <w:t>to</w:t>
      </w:r>
      <w:proofErr w:type="gramEnd"/>
      <w:r>
        <w:t xml:space="preserve"> fill. The following steps were judged to be appropriate as a starting point for modelling and the key learning points gained from their deployment will be used to develop generic guidelines:</w:t>
      </w:r>
    </w:p>
    <w:p w:rsidR="0011634F" w:rsidRDefault="0011634F" w:rsidP="00C334DE"/>
    <w:p w:rsidR="00196284" w:rsidRDefault="00196284" w:rsidP="0011634F">
      <w:pPr>
        <w:pStyle w:val="ListParagraph"/>
        <w:keepNext/>
        <w:numPr>
          <w:ilvl w:val="0"/>
          <w:numId w:val="23"/>
        </w:numPr>
        <w:ind w:left="964" w:hanging="964"/>
      </w:pPr>
      <w:r>
        <w:lastRenderedPageBreak/>
        <w:t>Factory walk around to understand the manufacturing system</w:t>
      </w:r>
    </w:p>
    <w:p w:rsidR="00196284" w:rsidRDefault="00196284" w:rsidP="0011634F">
      <w:pPr>
        <w:pStyle w:val="ListParagraph"/>
        <w:keepNext/>
        <w:numPr>
          <w:ilvl w:val="0"/>
          <w:numId w:val="23"/>
        </w:numPr>
        <w:ind w:left="964" w:hanging="964"/>
      </w:pPr>
      <w:r>
        <w:t>Creation of IDEF0 map for the manufacturing system flows and verify</w:t>
      </w:r>
    </w:p>
    <w:p w:rsidR="00196284" w:rsidRDefault="00196284" w:rsidP="0011634F">
      <w:pPr>
        <w:pStyle w:val="ListParagraph"/>
        <w:keepNext/>
        <w:numPr>
          <w:ilvl w:val="0"/>
          <w:numId w:val="23"/>
        </w:numPr>
        <w:ind w:left="964" w:hanging="964"/>
      </w:pPr>
      <w:r w:rsidRPr="005832B6">
        <w:t>Brainstorm</w:t>
      </w:r>
      <w:r>
        <w:t xml:space="preserve"> the MEW flows to enrich documentation</w:t>
      </w:r>
    </w:p>
    <w:p w:rsidR="00196284" w:rsidRDefault="00196284" w:rsidP="00227F70">
      <w:pPr>
        <w:pStyle w:val="ListParagraph"/>
        <w:numPr>
          <w:ilvl w:val="0"/>
          <w:numId w:val="23"/>
        </w:numPr>
        <w:ind w:left="964" w:hanging="964"/>
      </w:pPr>
      <w:r>
        <w:t>Establish IDEF0 MEW flows</w:t>
      </w:r>
    </w:p>
    <w:p w:rsidR="00196284" w:rsidRDefault="00196284" w:rsidP="00227F70">
      <w:pPr>
        <w:pStyle w:val="ListParagraph"/>
        <w:numPr>
          <w:ilvl w:val="0"/>
          <w:numId w:val="23"/>
        </w:numPr>
        <w:ind w:left="964" w:hanging="964"/>
      </w:pPr>
      <w:r>
        <w:t>Gather quantitative data against each MEW flow</w:t>
      </w:r>
    </w:p>
    <w:p w:rsidR="00196284" w:rsidRDefault="00196284" w:rsidP="00227F70">
      <w:pPr>
        <w:pStyle w:val="ListParagraph"/>
        <w:numPr>
          <w:ilvl w:val="0"/>
          <w:numId w:val="23"/>
        </w:numPr>
        <w:ind w:left="964" w:hanging="964"/>
      </w:pPr>
      <w:r>
        <w:t>Create quantitative model and verify</w:t>
      </w:r>
    </w:p>
    <w:p w:rsidR="00196284" w:rsidRDefault="00196284" w:rsidP="00227F70">
      <w:pPr>
        <w:pStyle w:val="ListParagraph"/>
        <w:numPr>
          <w:ilvl w:val="0"/>
          <w:numId w:val="23"/>
        </w:numPr>
        <w:ind w:left="964" w:hanging="964"/>
      </w:pPr>
      <w:r>
        <w:t>Analyse results from model to identify candidate areas for improvement</w:t>
      </w:r>
    </w:p>
    <w:p w:rsidR="00196284" w:rsidRDefault="00196284" w:rsidP="00227F70">
      <w:pPr>
        <w:pStyle w:val="ListParagraph"/>
        <w:numPr>
          <w:ilvl w:val="0"/>
          <w:numId w:val="23"/>
        </w:numPr>
        <w:ind w:left="964" w:hanging="964"/>
      </w:pPr>
      <w:r>
        <w:t>Develop solutions and make recommendations</w:t>
      </w:r>
    </w:p>
    <w:p w:rsidR="00196284" w:rsidRDefault="00196284" w:rsidP="00227F70">
      <w:pPr>
        <w:pStyle w:val="ListParagraph"/>
        <w:numPr>
          <w:ilvl w:val="0"/>
          <w:numId w:val="23"/>
        </w:numPr>
        <w:ind w:left="964" w:hanging="964"/>
      </w:pPr>
      <w:r>
        <w:t>Implement improvements</w:t>
      </w:r>
    </w:p>
    <w:p w:rsidR="00196284" w:rsidRDefault="00196284" w:rsidP="001F2BED"/>
    <w:p w:rsidR="00196284" w:rsidRDefault="00196284" w:rsidP="001F2BED">
      <w:r>
        <w:t>For s</w:t>
      </w:r>
      <w:r w:rsidRPr="007B1485">
        <w:t xml:space="preserve">olutions </w:t>
      </w:r>
      <w:r>
        <w:t>deemed to</w:t>
      </w:r>
      <w:r w:rsidRPr="007B1485">
        <w:t xml:space="preserve"> lead to improved environmental performance, </w:t>
      </w:r>
      <w:r>
        <w:t>methods are</w:t>
      </w:r>
      <w:r w:rsidRPr="007B1485">
        <w:t xml:space="preserve"> required to prioritise which ones to pursue to ensure maximum benefit.</w:t>
      </w:r>
      <w:r>
        <w:t xml:space="preserve"> For energy and waste flows, it </w:t>
      </w:r>
      <w:r w:rsidRPr="00096F02">
        <w:t>is necessary</w:t>
      </w:r>
      <w:r>
        <w:t xml:space="preserve"> to evaluate them against the</w:t>
      </w:r>
      <w:r w:rsidRPr="00096F02">
        <w:t xml:space="preserve"> energy and waste hierarchies </w:t>
      </w:r>
      <w:r>
        <w:t xml:space="preserve">and to </w:t>
      </w:r>
      <w:r w:rsidRPr="00096F02">
        <w:t xml:space="preserve">consider </w:t>
      </w:r>
      <w:r>
        <w:t xml:space="preserve">the </w:t>
      </w:r>
      <w:r w:rsidRPr="00096F02">
        <w:t xml:space="preserve">technical, practical, and economic </w:t>
      </w:r>
      <w:r>
        <w:t>aspects, as shown in Figure 1</w:t>
      </w:r>
      <w:r w:rsidRPr="00096F02">
        <w:t xml:space="preserve">. </w:t>
      </w:r>
      <w:r>
        <w:t xml:space="preserve">For material flows, only </w:t>
      </w:r>
      <w:r w:rsidRPr="00096F02">
        <w:t xml:space="preserve">technical, practical, and economic </w:t>
      </w:r>
      <w:r>
        <w:t>aspects can be considered as a hierarchy does not exist.</w:t>
      </w:r>
    </w:p>
    <w:p w:rsidR="00196284" w:rsidRDefault="00196284" w:rsidP="008D0DF8">
      <w:pPr>
        <w:pStyle w:val="Heading2"/>
        <w:ind w:left="360"/>
        <w:rPr>
          <w:b/>
          <w:bCs w:val="0"/>
          <w:iCs w:val="0"/>
        </w:rPr>
      </w:pPr>
      <w:bookmarkStart w:id="7" w:name="_Toc271541891"/>
      <w:bookmarkStart w:id="8" w:name="_Toc271666863"/>
      <w:bookmarkStart w:id="9" w:name="_Toc262385420"/>
    </w:p>
    <w:p w:rsidR="00196284" w:rsidRDefault="00196284" w:rsidP="008D0DF8">
      <w:pPr>
        <w:keepNext/>
      </w:pPr>
      <w:r>
        <w:rPr>
          <w:b/>
        </w:rPr>
        <w:t>5. Industrial case</w:t>
      </w:r>
    </w:p>
    <w:p w:rsidR="00196284" w:rsidRDefault="00196284" w:rsidP="008D0DF8">
      <w:r w:rsidRPr="00EC4E24">
        <w:t xml:space="preserve">The case company is a </w:t>
      </w:r>
      <w:r>
        <w:t xml:space="preserve">leading </w:t>
      </w:r>
      <w:r w:rsidRPr="00EC4E24">
        <w:t>supplier of</w:t>
      </w:r>
      <w:r>
        <w:t xml:space="preserve"> high value</w:t>
      </w:r>
      <w:r w:rsidRPr="00EC4E24">
        <w:t xml:space="preserve"> products and services </w:t>
      </w:r>
      <w:r w:rsidR="00B238BB">
        <w:t>through</w:t>
      </w:r>
      <w:r w:rsidRPr="00EC4E24">
        <w:t xml:space="preserve"> the manufacture</w:t>
      </w:r>
      <w:r>
        <w:t xml:space="preserve"> of</w:t>
      </w:r>
      <w:r w:rsidRPr="00EC4E24">
        <w:t xml:space="preserve"> equi</w:t>
      </w:r>
      <w:r>
        <w:t>pment for industrial, process, research</w:t>
      </w:r>
      <w:r w:rsidRPr="00EC4E24">
        <w:t xml:space="preserve">, and analytical instrumentation applications. </w:t>
      </w:r>
      <w:r>
        <w:t>The company employs several thousand</w:t>
      </w:r>
      <w:r w:rsidRPr="00EC4E24">
        <w:t xml:space="preserve"> people who</w:t>
      </w:r>
      <w:r w:rsidRPr="0038407A">
        <w:t xml:space="preserve"> specialise</w:t>
      </w:r>
      <w:r w:rsidRPr="00EC4E24">
        <w:t xml:space="preserve"> in the design, manufacture, servicing and support of high technology </w:t>
      </w:r>
      <w:r>
        <w:t xml:space="preserve">industrial </w:t>
      </w:r>
      <w:r w:rsidRPr="00EC4E24">
        <w:t xml:space="preserve">equipment. </w:t>
      </w:r>
      <w:r w:rsidRPr="00574D88">
        <w:t xml:space="preserve">The business operates multiple manufacturing and service hubs across the </w:t>
      </w:r>
      <w:proofErr w:type="gramStart"/>
      <w:r w:rsidRPr="00574D88">
        <w:t>globe which are</w:t>
      </w:r>
      <w:proofErr w:type="gramEnd"/>
      <w:r w:rsidRPr="00574D88">
        <w:t xml:space="preserve"> associated with </w:t>
      </w:r>
      <w:r>
        <w:t>different product</w:t>
      </w:r>
      <w:r w:rsidRPr="00574D88">
        <w:t xml:space="preserve"> </w:t>
      </w:r>
      <w:r>
        <w:t>divisions</w:t>
      </w:r>
      <w:r w:rsidRPr="00574D88">
        <w:t xml:space="preserve">. </w:t>
      </w:r>
      <w:r w:rsidRPr="00D81D1F">
        <w:t>The case</w:t>
      </w:r>
      <w:r>
        <w:t xml:space="preserve"> </w:t>
      </w:r>
      <w:r w:rsidRPr="00D81D1F">
        <w:t>facility</w:t>
      </w:r>
      <w:r>
        <w:t xml:space="preserve"> for this work is in the UK and primarily </w:t>
      </w:r>
      <w:r w:rsidRPr="00D81D1F">
        <w:t>i</w:t>
      </w:r>
      <w:r>
        <w:t xml:space="preserve">ncludes precision machining and </w:t>
      </w:r>
      <w:r w:rsidRPr="00D81D1F">
        <w:t>as</w:t>
      </w:r>
      <w:r>
        <w:t>sembly processes. The facility is subdivided into different manufacturing cells based on the processes</w:t>
      </w:r>
      <w:r w:rsidRPr="008E404B">
        <w:t xml:space="preserve"> utilised</w:t>
      </w:r>
      <w:r>
        <w:t xml:space="preserve"> and products produced</w:t>
      </w:r>
    </w:p>
    <w:p w:rsidR="00196284" w:rsidRDefault="00196284" w:rsidP="008D0DF8"/>
    <w:bookmarkEnd w:id="7"/>
    <w:bookmarkEnd w:id="8"/>
    <w:bookmarkEnd w:id="9"/>
    <w:p w:rsidR="00196284" w:rsidRDefault="00196284" w:rsidP="00095398">
      <w:r w:rsidRPr="00EC4E24">
        <w:t xml:space="preserve">The data </w:t>
      </w:r>
      <w:r>
        <w:t xml:space="preserve">for the analysis </w:t>
      </w:r>
      <w:r w:rsidRPr="00EC4E24">
        <w:t>was gathere</w:t>
      </w:r>
      <w:r>
        <w:t xml:space="preserve">d by walking the factory </w:t>
      </w:r>
      <w:r w:rsidR="00B238BB">
        <w:t xml:space="preserve">floor </w:t>
      </w:r>
      <w:r>
        <w:t>and meeting</w:t>
      </w:r>
      <w:r w:rsidRPr="00EC4E24">
        <w:t xml:space="preserve"> with stakeholders</w:t>
      </w:r>
      <w:r>
        <w:t xml:space="preserve"> from Operations Management, Facilities Maintenance and Machine Tool Maintenance</w:t>
      </w:r>
      <w:r w:rsidRPr="00EC4E24">
        <w:t>.</w:t>
      </w:r>
      <w:r>
        <w:t xml:space="preserve"> </w:t>
      </w:r>
      <w:r w:rsidRPr="00EC4E24">
        <w:t>IDEF0 map</w:t>
      </w:r>
      <w:r>
        <w:t>s</w:t>
      </w:r>
      <w:r w:rsidRPr="00EC4E24">
        <w:t xml:space="preserve"> </w:t>
      </w:r>
      <w:r>
        <w:t>were</w:t>
      </w:r>
      <w:r w:rsidRPr="00EC4E24">
        <w:t xml:space="preserve"> produced</w:t>
      </w:r>
      <w:r>
        <w:t xml:space="preserve"> to</w:t>
      </w:r>
      <w:r w:rsidRPr="00EC4E24">
        <w:t xml:space="preserve"> represent the </w:t>
      </w:r>
      <w:r>
        <w:t>systems used within the facility</w:t>
      </w:r>
      <w:r w:rsidRPr="00EC4E24">
        <w:t xml:space="preserve">. </w:t>
      </w:r>
      <w:r>
        <w:t xml:space="preserve">Brainstorming </w:t>
      </w:r>
      <w:r w:rsidRPr="00EC4E24">
        <w:t xml:space="preserve">was carried out to </w:t>
      </w:r>
      <w:r>
        <w:t>identify</w:t>
      </w:r>
      <w:r w:rsidRPr="00EC4E24">
        <w:t xml:space="preserve"> </w:t>
      </w:r>
      <w:r>
        <w:t xml:space="preserve">the potential MEW process </w:t>
      </w:r>
      <w:r w:rsidRPr="00EC4E24">
        <w:t xml:space="preserve">flows to look for </w:t>
      </w:r>
      <w:r>
        <w:t>prior to</w:t>
      </w:r>
      <w:r w:rsidRPr="00EC4E24">
        <w:t xml:space="preserve"> the second walk around the factory. </w:t>
      </w:r>
      <w:r>
        <w:t xml:space="preserve">The brainstorm and factory </w:t>
      </w:r>
      <w:r>
        <w:lastRenderedPageBreak/>
        <w:t>walks</w:t>
      </w:r>
      <w:r w:rsidRPr="00EC4E24">
        <w:t xml:space="preserve"> w</w:t>
      </w:r>
      <w:r>
        <w:t xml:space="preserve">ere used to create the IDEF0 maps showing the MEW process flows </w:t>
      </w:r>
      <w:r w:rsidRPr="00EC4E24">
        <w:t xml:space="preserve">within the </w:t>
      </w:r>
      <w:r>
        <w:t>facility</w:t>
      </w:r>
      <w:r w:rsidRPr="00EC4E24">
        <w:t xml:space="preserve">. </w:t>
      </w:r>
      <w:r>
        <w:t>The completed maps were reviewed</w:t>
      </w:r>
      <w:r w:rsidRPr="00EC4E24">
        <w:t xml:space="preserve"> to ascertain the quantitative data required for each </w:t>
      </w:r>
      <w:r>
        <w:t>process flow</w:t>
      </w:r>
      <w:r w:rsidRPr="00EC4E24">
        <w:t xml:space="preserve">. </w:t>
      </w:r>
      <w:r>
        <w:t>After the data was gathered, it</w:t>
      </w:r>
      <w:r w:rsidRPr="00EC4E24">
        <w:t xml:space="preserve"> was reviewed to determine if it was of suitable quality to </w:t>
      </w:r>
      <w:r>
        <w:t>create a quantitative model.</w:t>
      </w:r>
    </w:p>
    <w:p w:rsidR="00196284" w:rsidRPr="00EC4E24" w:rsidRDefault="00196284" w:rsidP="00095398"/>
    <w:p w:rsidR="00196284" w:rsidRPr="00EC4E24" w:rsidRDefault="00196284" w:rsidP="00095398">
      <w:r>
        <w:t xml:space="preserve">The intention of the </w:t>
      </w:r>
      <w:r w:rsidRPr="00EC4E24">
        <w:t>model</w:t>
      </w:r>
      <w:r>
        <w:t xml:space="preserve"> was to present the quantitative data in a logical way for analysis and for identifying</w:t>
      </w:r>
      <w:r w:rsidRPr="00574D88">
        <w:t xml:space="preserve"> </w:t>
      </w:r>
      <w:r>
        <w:t xml:space="preserve">improvement opportunities. Having established that understanding MEW process flows was essential for pursuing improvements, the quantitative data in the model was presented using the same format as the qualitative maps. The anticipated level of detail in the model was to provide data that could be used to answer questions such as </w:t>
      </w:r>
      <w:r w:rsidRPr="00EC4E24">
        <w:t>how much</w:t>
      </w:r>
      <w:r w:rsidRPr="005E6E35">
        <w:t xml:space="preserve"> electr</w:t>
      </w:r>
      <w:r>
        <w:t>i</w:t>
      </w:r>
      <w:r w:rsidRPr="005E6E35">
        <w:t>city</w:t>
      </w:r>
      <w:r>
        <w:t xml:space="preserve"> was consumed</w:t>
      </w:r>
      <w:r w:rsidRPr="00EC4E24">
        <w:t xml:space="preserve"> over a given </w:t>
      </w:r>
      <w:r>
        <w:t xml:space="preserve">time </w:t>
      </w:r>
      <w:r w:rsidRPr="00EC4E24">
        <w:t>period</w:t>
      </w:r>
      <w:r>
        <w:t xml:space="preserve"> by a particular asset, and whether the consumption was the same in all modes of operation?</w:t>
      </w:r>
      <w:r w:rsidRPr="00EC4E24">
        <w:t xml:space="preserve"> </w:t>
      </w:r>
    </w:p>
    <w:p w:rsidR="00196284" w:rsidRDefault="00196284" w:rsidP="00CA7585"/>
    <w:p w:rsidR="00196284" w:rsidRDefault="00196284" w:rsidP="00CA7585">
      <w:r>
        <w:t>Examination of the quantitative analysis of the process flows led to the application of Pareto analysis to rank the process flows by value to establish which area was best to focus improvement efforts, noting that it is not only necessary to look at the quantities of the MEW process flows but also the ability to influence them. Following the ranking the approach described for figure 1 was adopted.</w:t>
      </w:r>
    </w:p>
    <w:p w:rsidR="00196284" w:rsidRDefault="00196284" w:rsidP="00CA7585"/>
    <w:p w:rsidR="00196284" w:rsidRPr="00227F70" w:rsidRDefault="00196284" w:rsidP="00AB7296">
      <w:pPr>
        <w:keepNext/>
        <w:rPr>
          <w:b/>
        </w:rPr>
      </w:pPr>
      <w:r w:rsidRPr="00227F70">
        <w:rPr>
          <w:b/>
        </w:rPr>
        <w:t>6. Results</w:t>
      </w:r>
    </w:p>
    <w:p w:rsidR="00196284" w:rsidRDefault="00196284" w:rsidP="00CA7585"/>
    <w:p w:rsidR="00196284" w:rsidRDefault="00196284" w:rsidP="00CA7585">
      <w:r>
        <w:t>Using the provisional approach presented earlier the application of MEW process flow modelling was applied in the case company. Step 9 (implementation) is omitted.</w:t>
      </w:r>
    </w:p>
    <w:p w:rsidR="00196284" w:rsidRDefault="00196284" w:rsidP="00CA7585"/>
    <w:p w:rsidR="00196284" w:rsidRPr="00B308D7" w:rsidRDefault="00196284" w:rsidP="00D94FA1">
      <w:pPr>
        <w:keepNext/>
        <w:rPr>
          <w:i/>
        </w:rPr>
      </w:pPr>
      <w:proofErr w:type="gramStart"/>
      <w:r w:rsidRPr="00B308D7">
        <w:rPr>
          <w:i/>
        </w:rPr>
        <w:t>Step 1.</w:t>
      </w:r>
      <w:proofErr w:type="gramEnd"/>
      <w:r w:rsidRPr="00B308D7">
        <w:rPr>
          <w:i/>
        </w:rPr>
        <w:t xml:space="preserve"> Understanding the manufacturing system</w:t>
      </w:r>
    </w:p>
    <w:p w:rsidR="00196284" w:rsidRDefault="00196284" w:rsidP="00227F70">
      <w:r>
        <w:t>One author was already familiar with the manufacturing system. A walk around the production area was necessary however to look at the system not from the eyes of a lean specialist improving flow by focusing on value add but from the view of MEW flows</w:t>
      </w:r>
      <w:r w:rsidR="00DD2499">
        <w:t xml:space="preserve">. The walk draws from the benefits of </w:t>
      </w:r>
      <w:proofErr w:type="spellStart"/>
      <w:r w:rsidR="00DD2499" w:rsidRPr="00DD2499">
        <w:t>Gemba</w:t>
      </w:r>
      <w:proofErr w:type="spellEnd"/>
      <w:r w:rsidR="00B238BB">
        <w:t xml:space="preserve"> practis</w:t>
      </w:r>
      <w:r w:rsidR="00DD2499">
        <w:t>ed by adopters of lean management where going to see the problem an essential early step.</w:t>
      </w:r>
    </w:p>
    <w:p w:rsidR="00196284" w:rsidRDefault="00196284" w:rsidP="00CA7585"/>
    <w:p w:rsidR="00196284" w:rsidRPr="00B308D7" w:rsidRDefault="00196284" w:rsidP="00D94FA1">
      <w:pPr>
        <w:keepNext/>
        <w:rPr>
          <w:i/>
        </w:rPr>
      </w:pPr>
      <w:proofErr w:type="gramStart"/>
      <w:r>
        <w:rPr>
          <w:i/>
        </w:rPr>
        <w:lastRenderedPageBreak/>
        <w:t>Steps 2.</w:t>
      </w:r>
      <w:proofErr w:type="gramEnd"/>
      <w:r>
        <w:rPr>
          <w:i/>
        </w:rPr>
        <w:t xml:space="preserve"> Creation of IDEF0 MEW maps and verification</w:t>
      </w:r>
    </w:p>
    <w:p w:rsidR="00196284" w:rsidRDefault="00196284" w:rsidP="00CA7585">
      <w:r>
        <w:t>To produce the IDEF0 process maps it wa</w:t>
      </w:r>
      <w:r w:rsidRPr="00313D20">
        <w:t>s necessary to set the level of abstraction</w:t>
      </w:r>
      <w:r>
        <w:t xml:space="preserve"> for viewing the manufacturing system and whether</w:t>
      </w:r>
      <w:r w:rsidRPr="00313D20">
        <w:t xml:space="preserve"> to map a specific product, a family of products, or generic product</w:t>
      </w:r>
      <w:r>
        <w:t>s</w:t>
      </w:r>
      <w:r w:rsidRPr="00313D20">
        <w:t xml:space="preserve"> within the factory. </w:t>
      </w:r>
      <w:r>
        <w:t>The parts produced in the case facility were divided into generic categories, and were assumed to be produced in the same way using generic processes. An example process map is shown in Figure 2. The map shown was the simplest of the 10 maps developed for all the production cells in the facility.</w:t>
      </w:r>
      <w:r w:rsidR="00AB7296">
        <w:t xml:space="preserve"> It became clear during the case that is it necessary to then verify the maps by repeating step 1 to ensure complete and correct capture.</w:t>
      </w:r>
    </w:p>
    <w:p w:rsidR="00196284" w:rsidRDefault="00196284" w:rsidP="00CA7585"/>
    <w:p w:rsidR="00196284" w:rsidRDefault="00196284" w:rsidP="00CA7585">
      <w:r>
        <w:t>Figure 2 shows how castings are machined and inspected prior to delivery to the downstream cell.  High level MEW categories are captured on these maps. For example, castings (material) and utilities (energy) feed a machining operation resulting in production waste and consumable waste.  The energy waste (heat) is not shown in the map at this stage as it is not an obvious or visible output.</w:t>
      </w:r>
    </w:p>
    <w:p w:rsidR="00196284" w:rsidRDefault="00196284" w:rsidP="00CA7585"/>
    <w:p w:rsidR="00196284" w:rsidRPr="00B308D7" w:rsidRDefault="00196284" w:rsidP="00CA7585">
      <w:pPr>
        <w:rPr>
          <w:i/>
        </w:rPr>
      </w:pPr>
      <w:proofErr w:type="gramStart"/>
      <w:r>
        <w:rPr>
          <w:i/>
        </w:rPr>
        <w:t>Step 3.</w:t>
      </w:r>
      <w:proofErr w:type="gramEnd"/>
      <w:r>
        <w:rPr>
          <w:i/>
        </w:rPr>
        <w:t xml:space="preserve"> Brainstorm to enrich MEW flows</w:t>
      </w:r>
    </w:p>
    <w:p w:rsidR="00196284" w:rsidRDefault="00B238BB" w:rsidP="00CA7585">
      <w:r>
        <w:t>Brainstorming was</w:t>
      </w:r>
      <w:r w:rsidR="00196284">
        <w:t xml:space="preserve"> carried out to identify the MEW process flows throughout the facility prior to structured MEW process flow mapping using IDEF0. An example brainstorm of typical MEW process flows is shown in Figure 3. Following the rules of brainstorming all MEW flows were captured and judgements were not made on whether or not they were valuable enough to include.</w:t>
      </w:r>
    </w:p>
    <w:p w:rsidR="00196284" w:rsidRPr="00655C8D" w:rsidRDefault="00196284" w:rsidP="00CA7585">
      <w:pPr>
        <w:rPr>
          <w:lang w:val="en-US"/>
        </w:rPr>
      </w:pPr>
    </w:p>
    <w:p w:rsidR="00196284" w:rsidRPr="00413E79" w:rsidRDefault="00196284" w:rsidP="00D94FA1">
      <w:pPr>
        <w:keepNext/>
        <w:rPr>
          <w:i/>
        </w:rPr>
      </w:pPr>
      <w:proofErr w:type="gramStart"/>
      <w:r>
        <w:rPr>
          <w:i/>
        </w:rPr>
        <w:t>Step 4.</w:t>
      </w:r>
      <w:proofErr w:type="gramEnd"/>
      <w:r>
        <w:rPr>
          <w:i/>
        </w:rPr>
        <w:t xml:space="preserve"> Establish IDEF0 MEW flows</w:t>
      </w:r>
    </w:p>
    <w:p w:rsidR="00196284" w:rsidRDefault="00196284" w:rsidP="00413E79">
      <w:r>
        <w:t>For the IDEF0 MEW process maps, the flows were divided into Material, Energy and Waste categories, as shown in Table 1. The same categories were also used for the quantitative analysis.</w:t>
      </w:r>
    </w:p>
    <w:p w:rsidR="00196284" w:rsidRDefault="00196284" w:rsidP="00CA7585"/>
    <w:p w:rsidR="00196284" w:rsidRPr="00D94FA1" w:rsidRDefault="00196284" w:rsidP="00D94FA1">
      <w:pPr>
        <w:keepNext/>
        <w:rPr>
          <w:i/>
        </w:rPr>
      </w:pPr>
      <w:r w:rsidRPr="00D94FA1">
        <w:rPr>
          <w:i/>
        </w:rPr>
        <w:t>Steps 5-</w:t>
      </w:r>
      <w:r>
        <w:rPr>
          <w:i/>
        </w:rPr>
        <w:t>7</w:t>
      </w:r>
      <w:r w:rsidRPr="00D94FA1">
        <w:rPr>
          <w:i/>
        </w:rPr>
        <w:t xml:space="preserve"> Quantitative MEW data gathering, modelling and analysis</w:t>
      </w:r>
    </w:p>
    <w:p w:rsidR="00196284" w:rsidRDefault="00196284" w:rsidP="00D94FA1">
      <w:r w:rsidRPr="00A362BE">
        <w:t xml:space="preserve">Although quantities were not given on the qualitative IDEF0 maps and brainstorms, a review of these documents indicated that the machining </w:t>
      </w:r>
      <w:r>
        <w:t>area</w:t>
      </w:r>
      <w:r w:rsidRPr="00A362BE">
        <w:t xml:space="preserve"> had the highest consumption and waste generation as </w:t>
      </w:r>
      <w:r>
        <w:t>it</w:t>
      </w:r>
      <w:r w:rsidRPr="00A362BE">
        <w:t xml:space="preserve"> had the greatest number of process flow arrows. This would also have been intuitive whilst walking the case facility</w:t>
      </w:r>
      <w:r>
        <w:t>,</w:t>
      </w:r>
      <w:r w:rsidRPr="00A362BE">
        <w:t xml:space="preserve"> as there were not many different types of processes used. In other facilities</w:t>
      </w:r>
      <w:r>
        <w:t>,</w:t>
      </w:r>
      <w:r w:rsidRPr="00A362BE">
        <w:t xml:space="preserve"> where numerous </w:t>
      </w:r>
      <w:r w:rsidRPr="00A362BE">
        <w:lastRenderedPageBreak/>
        <w:t xml:space="preserve">types of machinery are used, it would not have been as clear; hence the value of the mapping increases. </w:t>
      </w:r>
    </w:p>
    <w:p w:rsidR="00196284" w:rsidRDefault="00196284" w:rsidP="00D94FA1"/>
    <w:p w:rsidR="00196284" w:rsidRDefault="00196284" w:rsidP="00D94FA1">
      <w:r>
        <w:t xml:space="preserve">A </w:t>
      </w:r>
      <w:r w:rsidRPr="00EC4E24">
        <w:t xml:space="preserve">spreadsheet model </w:t>
      </w:r>
      <w:r>
        <w:t>was constructed</w:t>
      </w:r>
      <w:r w:rsidRPr="00EC4E24">
        <w:t xml:space="preserve"> </w:t>
      </w:r>
      <w:r>
        <w:t>to quantify the MEW process flows. The structure of the quantitative model is shown in Figure 4 and subsequent figures show example screenshots of the quantitative data (Figure 5) and Pareto analysis (Figure 6). The qualitative maps were presented at the front of the model to illustrate the evolution from IDEF0 maps to a spreadsheet model and for reference during the quantitative analysis. The summary page collates the data from the variable usage asset sheets and presents them in terms of MEW process flows. The constant usage assets are</w:t>
      </w:r>
      <w:r w:rsidRPr="00212B6D">
        <w:t xml:space="preserve"> analysed</w:t>
      </w:r>
      <w:r>
        <w:t xml:space="preserve"> on the summary page. For variable usage assets that were dependent on production levels, the same level was used throughout to ensure relevant comparisons were made. A combination of strategies was used to collect data, including analysis of retrospective MEW data, asset performance calculations and empirical measurements. </w:t>
      </w:r>
    </w:p>
    <w:p w:rsidR="00196284" w:rsidRDefault="00196284" w:rsidP="00725D7A"/>
    <w:p w:rsidR="00196284" w:rsidRDefault="00196284" w:rsidP="00725D7A">
      <w:r>
        <w:t>The charts developed showed that the key material, energy and waste process flow costs for machined parts and castings, were electricity, and scrap respectively. These were then investigated further. It is also possible to conduct a Pareto analysis by asset rather than by process flow type. Taking this approach helps to identify particular assets with high consumption and waste generation.</w:t>
      </w:r>
    </w:p>
    <w:p w:rsidR="00196284" w:rsidRPr="00E41BE3" w:rsidRDefault="00196284" w:rsidP="00CA7585">
      <w:pPr>
        <w:rPr>
          <w:lang w:val="en-US"/>
        </w:rPr>
      </w:pPr>
    </w:p>
    <w:p w:rsidR="00196284" w:rsidRPr="00725D7A" w:rsidRDefault="00196284" w:rsidP="00AB7296">
      <w:pPr>
        <w:keepNext/>
        <w:rPr>
          <w:i/>
        </w:rPr>
      </w:pPr>
      <w:proofErr w:type="gramStart"/>
      <w:r w:rsidRPr="00725D7A">
        <w:rPr>
          <w:i/>
        </w:rPr>
        <w:t>Step 8.</w:t>
      </w:r>
      <w:proofErr w:type="gramEnd"/>
      <w:r w:rsidRPr="00725D7A">
        <w:rPr>
          <w:i/>
        </w:rPr>
        <w:t xml:space="preserve"> Develop solutions and make recommendations </w:t>
      </w:r>
    </w:p>
    <w:p w:rsidR="00196284" w:rsidRDefault="00196284" w:rsidP="00725D7A"/>
    <w:p w:rsidR="00196284" w:rsidRDefault="00196284" w:rsidP="00725D7A">
      <w:r>
        <w:t>From the analysis and ranking, three areas were investigated and recommendations proposed for improvement. It should be noted that the improvements areas listed are not initially obvious and may not have been uncovered had classic lean approaches alone been deployed.</w:t>
      </w:r>
    </w:p>
    <w:p w:rsidR="00196284" w:rsidRDefault="00196284" w:rsidP="00725D7A"/>
    <w:p w:rsidR="00196284" w:rsidRDefault="00196284" w:rsidP="00E11558">
      <w:pPr>
        <w:pStyle w:val="ListParagraph"/>
        <w:numPr>
          <w:ilvl w:val="0"/>
          <w:numId w:val="24"/>
        </w:numPr>
      </w:pPr>
      <w:proofErr w:type="gramStart"/>
      <w:r w:rsidRPr="00E11558">
        <w:rPr>
          <w:b/>
        </w:rPr>
        <w:t>e-Stop</w:t>
      </w:r>
      <w:proofErr w:type="gramEnd"/>
      <w:r>
        <w:t>. Machining centres consume large amounts of electricity whether they are in operational mode (metal cutting) or idle mode (waiting).  In operational mode</w:t>
      </w:r>
      <w:r w:rsidRPr="00EC4E24">
        <w:t xml:space="preserve">, the electricity consumption cannot be influenced as it is governed by the machine design and part machining requirements. To save electricity in idle mode, the machine could be </w:t>
      </w:r>
      <w:r w:rsidRPr="00797987">
        <w:t>shutdown</w:t>
      </w:r>
      <w:r w:rsidRPr="00EC4E24">
        <w:t xml:space="preserve"> or</w:t>
      </w:r>
      <w:r>
        <w:t xml:space="preserve"> </w:t>
      </w:r>
      <w:r w:rsidRPr="00EC4E24">
        <w:t xml:space="preserve">be switched to </w:t>
      </w:r>
      <w:r>
        <w:t xml:space="preserve">the </w:t>
      </w:r>
      <w:r w:rsidRPr="00EC4E24">
        <w:t xml:space="preserve">emergency stop (e-stop) state </w:t>
      </w:r>
      <w:r w:rsidRPr="00EC4E24">
        <w:lastRenderedPageBreak/>
        <w:t>after a defined period of time</w:t>
      </w:r>
      <w:r w:rsidRPr="009E3229">
        <w:t xml:space="preserve"> </w:t>
      </w:r>
      <w:r w:rsidRPr="00EC4E24">
        <w:t>at the end of a cycle</w:t>
      </w:r>
      <w:r>
        <w:t>.  Calculations showed that this could</w:t>
      </w:r>
      <w:r w:rsidR="002A3BDB">
        <w:t xml:space="preserve"> save the case facility around €</w:t>
      </w:r>
      <w:r>
        <w:t>1</w:t>
      </w:r>
      <w:r w:rsidR="002A3BDB">
        <w:t>15</w:t>
      </w:r>
      <w:r>
        <w:t>k/year. Enabling</w:t>
      </w:r>
      <w:r w:rsidRPr="00EC4E24">
        <w:t xml:space="preserve"> e-stop should not compromise accuracy providing </w:t>
      </w:r>
      <w:r>
        <w:t xml:space="preserve">the machine </w:t>
      </w:r>
      <w:r w:rsidRPr="00EC4E24">
        <w:t xml:space="preserve">is warmed up again before </w:t>
      </w:r>
      <w:r>
        <w:t>producing more parts. A process capability analysis needs to be conducted to prove this.</w:t>
      </w:r>
    </w:p>
    <w:p w:rsidR="00196284" w:rsidRDefault="00196284" w:rsidP="00E11558">
      <w:pPr>
        <w:pStyle w:val="ListParagraph"/>
        <w:ind w:left="360"/>
      </w:pPr>
    </w:p>
    <w:p w:rsidR="00196284" w:rsidRDefault="00196284" w:rsidP="00E11558">
      <w:pPr>
        <w:pStyle w:val="ListParagraph"/>
        <w:numPr>
          <w:ilvl w:val="0"/>
          <w:numId w:val="24"/>
        </w:numPr>
      </w:pPr>
      <w:r w:rsidRPr="00E11558">
        <w:rPr>
          <w:b/>
        </w:rPr>
        <w:t>Coolant</w:t>
      </w:r>
      <w:r>
        <w:t xml:space="preserve">. A coolant management processes is used in the case facility. </w:t>
      </w:r>
      <w:r w:rsidRPr="00D71164">
        <w:t xml:space="preserve">The most expensive element of the process is to dispose of waste oil. </w:t>
      </w:r>
      <w:r>
        <w:t>T</w:t>
      </w:r>
      <w:r w:rsidRPr="00D71164">
        <w:t>o reduce the amount of oil that needs to be disposed</w:t>
      </w:r>
      <w:r>
        <w:t xml:space="preserve"> of, a</w:t>
      </w:r>
      <w:r w:rsidRPr="00D71164">
        <w:t xml:space="preserve"> coolant recycling machine</w:t>
      </w:r>
      <w:r>
        <w:t xml:space="preserve"> could be employed. </w:t>
      </w:r>
      <w:r w:rsidRPr="00235E0E">
        <w:t xml:space="preserve">Large plants typically spend </w:t>
      </w:r>
      <w:r w:rsidR="002A3BDB">
        <w:t>€</w:t>
      </w:r>
      <w:r w:rsidRPr="00235E0E">
        <w:t>1.</w:t>
      </w:r>
      <w:r w:rsidR="002A3BDB">
        <w:t>5M/</w:t>
      </w:r>
      <w:r w:rsidRPr="00AF62E7">
        <w:t>year on replacing fluids</w:t>
      </w:r>
      <w:r>
        <w:t>;</w:t>
      </w:r>
      <w:r w:rsidRPr="00AF62E7">
        <w:t xml:space="preserve"> therefore significant savings </w:t>
      </w:r>
      <w:r>
        <w:t>can be made [</w:t>
      </w:r>
      <w:r w:rsidR="006D3C89">
        <w:fldChar w:fldCharType="begin"/>
      </w:r>
      <w:r>
        <w:instrText xml:space="preserve"> REF _Ref274727882 \r \h </w:instrText>
      </w:r>
      <w:r w:rsidR="006D3C89">
        <w:fldChar w:fldCharType="separate"/>
      </w:r>
      <w:r w:rsidR="00B238BB">
        <w:t>16</w:t>
      </w:r>
      <w:r w:rsidR="006D3C89">
        <w:fldChar w:fldCharType="end"/>
      </w:r>
      <w:r>
        <w:t>]</w:t>
      </w:r>
      <w:r w:rsidRPr="00AF62E7">
        <w:t xml:space="preserve">. </w:t>
      </w:r>
      <w:r>
        <w:t>Investment and cost savings are not available for the case facility.</w:t>
      </w:r>
    </w:p>
    <w:p w:rsidR="00196284" w:rsidRDefault="00196284" w:rsidP="00E11558">
      <w:pPr>
        <w:pStyle w:val="ListParagraph"/>
      </w:pPr>
    </w:p>
    <w:p w:rsidR="00196284" w:rsidRDefault="00196284" w:rsidP="00E11558">
      <w:pPr>
        <w:pStyle w:val="ListParagraph"/>
        <w:numPr>
          <w:ilvl w:val="0"/>
          <w:numId w:val="24"/>
        </w:numPr>
      </w:pPr>
      <w:r>
        <w:rPr>
          <w:b/>
        </w:rPr>
        <w:t>Compressed air</w:t>
      </w:r>
      <w:r>
        <w:t>. Compressed air usage is an expensive yet essential part of many manufacturing processes. A number of steps can be taken to reduce the environmental and economic cost of compressed air. McGuire [</w:t>
      </w:r>
      <w:r w:rsidR="006D3C89">
        <w:fldChar w:fldCharType="begin"/>
      </w:r>
      <w:r>
        <w:instrText xml:space="preserve"> REF _Ref274742200 \r \h </w:instrText>
      </w:r>
      <w:r w:rsidR="006D3C89">
        <w:fldChar w:fldCharType="separate"/>
      </w:r>
      <w:r w:rsidR="00B238BB">
        <w:t>40</w:t>
      </w:r>
      <w:r w:rsidR="006D3C89">
        <w:fldChar w:fldCharType="end"/>
      </w:r>
      <w:r>
        <w:t xml:space="preserve">] suggests a number of steps to reducing the environmental and economic cost of compressed air including controlling leaks, controlling temperatures, reducing pressures and using better lubricants. Investment and cost savings are not available for the case facility. </w:t>
      </w:r>
      <w:r w:rsidR="002A3BDB" w:rsidRPr="002A3BDB">
        <w:t xml:space="preserve">The estimated cost is </w:t>
      </w:r>
      <w:r w:rsidR="002A3BDB">
        <w:t>€</w:t>
      </w:r>
      <w:r w:rsidR="002A3BDB" w:rsidRPr="002A3BDB">
        <w:t>1</w:t>
      </w:r>
      <w:r w:rsidR="002A3BDB">
        <w:t>2</w:t>
      </w:r>
      <w:r w:rsidR="002A3BDB" w:rsidRPr="002A3BDB">
        <w:t>k</w:t>
      </w:r>
      <w:r w:rsidR="002A3BDB">
        <w:t>/year</w:t>
      </w:r>
      <w:r w:rsidR="002A3BDB" w:rsidRPr="002A3BDB">
        <w:t xml:space="preserve"> at facility level.</w:t>
      </w:r>
    </w:p>
    <w:p w:rsidR="00196284" w:rsidRDefault="00196284" w:rsidP="00725D7A"/>
    <w:p w:rsidR="00AB7296" w:rsidRDefault="00AB7296" w:rsidP="00AB7296">
      <w:pPr>
        <w:keepNext/>
      </w:pPr>
      <w:r>
        <w:t>The benefits of this investigation were as follows:</w:t>
      </w:r>
    </w:p>
    <w:p w:rsidR="00AB7296" w:rsidRDefault="00AB7296" w:rsidP="00AB7296">
      <w:pPr>
        <w:pStyle w:val="ListParagraph"/>
        <w:numPr>
          <w:ilvl w:val="0"/>
          <w:numId w:val="27"/>
        </w:numPr>
      </w:pPr>
      <w:r>
        <w:t>The process enabled improvement opportunities to be generated with quantified cash savings by purchasing less resource.</w:t>
      </w:r>
    </w:p>
    <w:p w:rsidR="00AB7296" w:rsidRDefault="00AB7296" w:rsidP="00AB7296">
      <w:pPr>
        <w:pStyle w:val="ListParagraph"/>
        <w:numPr>
          <w:ilvl w:val="0"/>
          <w:numId w:val="27"/>
        </w:numPr>
      </w:pPr>
      <w:r>
        <w:t>The options generated, whilst could be considered compatible with the lean philosophy, would not have been generated by the traditional application of lean methods.  Power, consumables, etc. are not the typical focus of lean improvement work.</w:t>
      </w:r>
    </w:p>
    <w:p w:rsidR="00AB7296" w:rsidRDefault="00AB7296" w:rsidP="00AB7296">
      <w:pPr>
        <w:pStyle w:val="ListParagraph"/>
        <w:numPr>
          <w:ilvl w:val="0"/>
          <w:numId w:val="27"/>
        </w:numPr>
      </w:pPr>
      <w:r>
        <w:t xml:space="preserve">Whilst </w:t>
      </w:r>
      <w:r w:rsidR="0026627F">
        <w:t xml:space="preserve">the </w:t>
      </w:r>
      <w:r>
        <w:t xml:space="preserve">solutions </w:t>
      </w:r>
      <w:r w:rsidR="0011634F">
        <w:t xml:space="preserve">initially </w:t>
      </w:r>
      <w:r>
        <w:t>were not obvious to those on the shop floor</w:t>
      </w:r>
      <w:r w:rsidR="0026627F">
        <w:t>, they were identified by, and traceable to, the improvement method used.</w:t>
      </w:r>
    </w:p>
    <w:p w:rsidR="0026627F" w:rsidRDefault="0026627F" w:rsidP="0026627F">
      <w:pPr>
        <w:pStyle w:val="ListParagraph"/>
      </w:pPr>
    </w:p>
    <w:p w:rsidR="00196284" w:rsidRPr="00862755" w:rsidRDefault="00196284" w:rsidP="00862755">
      <w:pPr>
        <w:keepNext/>
        <w:rPr>
          <w:b/>
        </w:rPr>
      </w:pPr>
      <w:r w:rsidRPr="00862755">
        <w:rPr>
          <w:b/>
        </w:rPr>
        <w:lastRenderedPageBreak/>
        <w:t>7. Developing MEW process modelling guidelines</w:t>
      </w:r>
    </w:p>
    <w:p w:rsidR="00196284" w:rsidRDefault="00196284" w:rsidP="00862755">
      <w:pPr>
        <w:keepNext/>
      </w:pPr>
    </w:p>
    <w:p w:rsidR="00196284" w:rsidRPr="0075709C" w:rsidRDefault="00196284" w:rsidP="009110A6">
      <w:r>
        <w:t>The application of the initial approach to modelling and analysing MEW flows was developed in the absence of detailed guidelines for working towards sustainable manufacturing but in the context of high level, well disseminated concepts.  Key learning points from the application of the initial approach were used to develop the guidelines shown in Figure 7.</w:t>
      </w:r>
      <w:r w:rsidRPr="009110A6">
        <w:t xml:space="preserve"> </w:t>
      </w:r>
      <w:r>
        <w:t>These guidelines are described in more detail next.</w:t>
      </w:r>
    </w:p>
    <w:p w:rsidR="00196284" w:rsidRDefault="00196284" w:rsidP="009110A6"/>
    <w:p w:rsidR="00196284" w:rsidRPr="003649BB" w:rsidRDefault="00196284" w:rsidP="001C1BBC">
      <w:pPr>
        <w:keepNext/>
        <w:rPr>
          <w:b/>
        </w:rPr>
      </w:pPr>
      <w:r w:rsidRPr="003649BB">
        <w:rPr>
          <w:b/>
        </w:rPr>
        <w:t>7.1 Walk factory to understand systems within the factory</w:t>
      </w:r>
    </w:p>
    <w:p w:rsidR="00196284" w:rsidRDefault="00196284" w:rsidP="009110A6">
      <w:r>
        <w:t xml:space="preserve">The factory walk </w:t>
      </w:r>
      <w:r w:rsidRPr="00CE09E0">
        <w:t>includes the manufacturing, b</w:t>
      </w:r>
      <w:r>
        <w:t>uilding and facilities systems, individually or by</w:t>
      </w:r>
      <w:r w:rsidRPr="00CE09E0">
        <w:t xml:space="preserve"> multidisciplinary</w:t>
      </w:r>
      <w:r>
        <w:t xml:space="preserve"> teams </w:t>
      </w:r>
      <w:r w:rsidRPr="00CE09E0">
        <w:rPr>
          <w:rFonts w:eastAsia="MS PGothic"/>
        </w:rPr>
        <w:t xml:space="preserve">including operations management, </w:t>
      </w:r>
      <w:r>
        <w:rPr>
          <w:rFonts w:eastAsia="MS PGothic"/>
        </w:rPr>
        <w:t xml:space="preserve">maintenance and </w:t>
      </w:r>
      <w:r w:rsidRPr="00CE09E0">
        <w:rPr>
          <w:rFonts w:eastAsia="MS PGothic"/>
        </w:rPr>
        <w:t>manufacturing engineer</w:t>
      </w:r>
      <w:r>
        <w:rPr>
          <w:rFonts w:eastAsia="MS PGothic"/>
        </w:rPr>
        <w:t xml:space="preserve">ing. </w:t>
      </w:r>
      <w:r>
        <w:t>Repeat</w:t>
      </w:r>
      <w:r w:rsidRPr="00CE09E0">
        <w:t xml:space="preserve"> as required.</w:t>
      </w:r>
    </w:p>
    <w:p w:rsidR="00196284" w:rsidRDefault="00196284" w:rsidP="009110A6"/>
    <w:p w:rsidR="00196284" w:rsidRPr="003649BB" w:rsidRDefault="00196284" w:rsidP="001C1BBC">
      <w:pPr>
        <w:keepNext/>
        <w:rPr>
          <w:b/>
        </w:rPr>
      </w:pPr>
      <w:r w:rsidRPr="003649BB">
        <w:rPr>
          <w:b/>
        </w:rPr>
        <w:t>7.2 Qualitatively map manufacturing processes</w:t>
      </w:r>
    </w:p>
    <w:p w:rsidR="00196284" w:rsidRDefault="00196284" w:rsidP="009110A6">
      <w:r>
        <w:t xml:space="preserve">Capture the systems using a structured process mapping technique. </w:t>
      </w:r>
      <w:r w:rsidRPr="00EC4E24">
        <w:t xml:space="preserve">An IDEF0 map </w:t>
      </w:r>
      <w:r>
        <w:t>with 3 levels of decomposition</w:t>
      </w:r>
      <w:r w:rsidRPr="00EC4E24">
        <w:t xml:space="preserve"> is </w:t>
      </w:r>
      <w:r>
        <w:t>recommended</w:t>
      </w:r>
      <w:r w:rsidRPr="00EC4E24">
        <w:t xml:space="preserve">. </w:t>
      </w:r>
      <w:r>
        <w:t>T</w:t>
      </w:r>
      <w:r w:rsidRPr="00EC4E24">
        <w:t xml:space="preserve">he </w:t>
      </w:r>
      <w:r>
        <w:t>operational characteristics of the systems should be understood prior to</w:t>
      </w:r>
      <w:r w:rsidRPr="005E7247">
        <w:t xml:space="preserve"> </w:t>
      </w:r>
      <w:r>
        <w:t>considering MEW process</w:t>
      </w:r>
      <w:r w:rsidRPr="00EC4E24">
        <w:t xml:space="preserve"> flows</w:t>
      </w:r>
      <w:r>
        <w:t>.  Although IDEF0 has been specified for the qualitative mapping stage, the desired result could be achieved using other hierarchical methodologies if preferred.</w:t>
      </w:r>
    </w:p>
    <w:p w:rsidR="00196284" w:rsidRDefault="00196284" w:rsidP="009110A6"/>
    <w:p w:rsidR="00196284" w:rsidRPr="003649BB" w:rsidRDefault="00196284" w:rsidP="001C1BBC">
      <w:pPr>
        <w:keepNext/>
        <w:rPr>
          <w:b/>
        </w:rPr>
      </w:pPr>
      <w:r w:rsidRPr="003649BB">
        <w:rPr>
          <w:b/>
        </w:rPr>
        <w:t>7.3 Brainstorm likely MEW flows in systems</w:t>
      </w:r>
    </w:p>
    <w:p w:rsidR="00196284" w:rsidRPr="00EC4E24" w:rsidRDefault="00196284" w:rsidP="009110A6">
      <w:r>
        <w:t>B</w:t>
      </w:r>
      <w:r w:rsidRPr="00EC4E24">
        <w:t>rainstorm</w:t>
      </w:r>
      <w:r>
        <w:t xml:space="preserve">ing is beneficial for identifying the </w:t>
      </w:r>
      <w:r w:rsidRPr="00EC4E24">
        <w:t xml:space="preserve">MEW </w:t>
      </w:r>
      <w:r>
        <w:t xml:space="preserve">process </w:t>
      </w:r>
      <w:r w:rsidRPr="00EC4E24">
        <w:t xml:space="preserve">flows for each </w:t>
      </w:r>
      <w:r>
        <w:t>area</w:t>
      </w:r>
      <w:r w:rsidRPr="00EC4E24">
        <w:t xml:space="preserve">. This unstructured method helps </w:t>
      </w:r>
      <w:r>
        <w:t xml:space="preserve">to quickly capture some of the MEW flows that will be present, but not necessarily the exact locations. It will indicate the area that the MEW IDEF0 maps and quantitative modelling should focus. </w:t>
      </w:r>
      <w:r w:rsidRPr="00EC4E24">
        <w:t xml:space="preserve">Brainstorming also </w:t>
      </w:r>
      <w:r>
        <w:t xml:space="preserve">allows MEW flows </w:t>
      </w:r>
      <w:r w:rsidRPr="00EC4E24">
        <w:t>that are not directly related to the p</w:t>
      </w:r>
      <w:r>
        <w:t>rocesses that have been defined to be captured.</w:t>
      </w:r>
    </w:p>
    <w:p w:rsidR="00196284" w:rsidRDefault="00196284" w:rsidP="009110A6"/>
    <w:p w:rsidR="00196284" w:rsidRPr="003649BB" w:rsidRDefault="00196284" w:rsidP="001C1BBC">
      <w:pPr>
        <w:keepNext/>
        <w:rPr>
          <w:b/>
        </w:rPr>
      </w:pPr>
      <w:r w:rsidRPr="003649BB">
        <w:rPr>
          <w:b/>
        </w:rPr>
        <w:t>7.4 Select area for MEW quantitative modelling</w:t>
      </w:r>
    </w:p>
    <w:p w:rsidR="00196284" w:rsidRDefault="00196284" w:rsidP="009110A6">
      <w:r w:rsidRPr="00EC4E24">
        <w:t>To</w:t>
      </w:r>
      <w:r w:rsidRPr="00EB4302">
        <w:t xml:space="preserve"> maximise</w:t>
      </w:r>
      <w:r w:rsidRPr="00EC4E24">
        <w:t xml:space="preserve"> improvement opportunities, the largest MEW generation and usage areas </w:t>
      </w:r>
      <w:r>
        <w:t>should be</w:t>
      </w:r>
      <w:r w:rsidRPr="00DA1D7B">
        <w:t xml:space="preserve"> modelled</w:t>
      </w:r>
      <w:r>
        <w:t xml:space="preserve"> </w:t>
      </w:r>
      <w:r w:rsidRPr="00EC4E24">
        <w:t>first</w:t>
      </w:r>
      <w:r>
        <w:t>. When f</w:t>
      </w:r>
      <w:r w:rsidRPr="00EC4E24">
        <w:t xml:space="preserve">ocusing on a small area of </w:t>
      </w:r>
      <w:r>
        <w:t>a facility, care must be taken when</w:t>
      </w:r>
      <w:r w:rsidRPr="00EC4E24">
        <w:t xml:space="preserve"> </w:t>
      </w:r>
      <w:r>
        <w:t>apportioning the inputs and outputs</w:t>
      </w:r>
      <w:r w:rsidRPr="00EC4E24">
        <w:t xml:space="preserve"> </w:t>
      </w:r>
      <w:r>
        <w:t xml:space="preserve">of </w:t>
      </w:r>
      <w:r w:rsidRPr="00EC4E24">
        <w:t xml:space="preserve">shared </w:t>
      </w:r>
      <w:r>
        <w:t xml:space="preserve">assets. These assets provide MEW process flows, </w:t>
      </w:r>
      <w:r w:rsidRPr="00EC4E24">
        <w:t>such as compressed air or water</w:t>
      </w:r>
      <w:r>
        <w:t>, for the entire facility, so</w:t>
      </w:r>
      <w:r w:rsidRPr="00EC4E24">
        <w:t xml:space="preserve"> </w:t>
      </w:r>
      <w:r>
        <w:t xml:space="preserve">by focusing on a smaller area, </w:t>
      </w:r>
      <w:r w:rsidRPr="00EC4E24">
        <w:t xml:space="preserve">assumptions </w:t>
      </w:r>
      <w:r>
        <w:t>must be made regarding</w:t>
      </w:r>
      <w:r w:rsidRPr="00EC4E24">
        <w:t xml:space="preserve"> the </w:t>
      </w:r>
      <w:r w:rsidRPr="00EC4E24">
        <w:lastRenderedPageBreak/>
        <w:t xml:space="preserve">proportion </w:t>
      </w:r>
      <w:r>
        <w:t>which should be allocated to the chosen area if metering is not available</w:t>
      </w:r>
      <w:r w:rsidRPr="00EC4E24">
        <w:t>.</w:t>
      </w:r>
      <w:r>
        <w:t xml:space="preserve"> Sensitivity of the model to variation in these assumptions should be tested.</w:t>
      </w:r>
      <w:r w:rsidRPr="00EC4E24">
        <w:t xml:space="preserve"> </w:t>
      </w:r>
    </w:p>
    <w:p w:rsidR="00196284" w:rsidRDefault="00196284" w:rsidP="009110A6"/>
    <w:p w:rsidR="00196284" w:rsidRPr="003649BB" w:rsidRDefault="00196284" w:rsidP="001C1BBC">
      <w:pPr>
        <w:keepNext/>
        <w:rPr>
          <w:b/>
        </w:rPr>
      </w:pPr>
      <w:r w:rsidRPr="003649BB">
        <w:rPr>
          <w:b/>
        </w:rPr>
        <w:t>7.5 Qualitatively map MEW flows in chosen area</w:t>
      </w:r>
    </w:p>
    <w:p w:rsidR="00196284" w:rsidRDefault="00196284" w:rsidP="009110A6">
      <w:r w:rsidRPr="00FC77C5">
        <w:t xml:space="preserve">Qualitative mapping of the MEW process flows captures information in a structured manner which drives the quantitative analysis. Accuracy of the maps </w:t>
      </w:r>
      <w:r>
        <w:t>should be confirmed</w:t>
      </w:r>
      <w:r w:rsidRPr="00FC77C5">
        <w:t xml:space="preserve"> with Manufacturing Engin</w:t>
      </w:r>
      <w:r>
        <w:t>eers and Facilities Maintenance,</w:t>
      </w:r>
      <w:r w:rsidRPr="00FC77C5">
        <w:t xml:space="preserve"> as their perspectives </w:t>
      </w:r>
      <w:r>
        <w:t>may be</w:t>
      </w:r>
      <w:r w:rsidRPr="00FC77C5">
        <w:t xml:space="preserve"> different.</w:t>
      </w:r>
      <w:r>
        <w:t xml:space="preserve"> </w:t>
      </w:r>
    </w:p>
    <w:p w:rsidR="00196284" w:rsidRDefault="00196284" w:rsidP="009110A6"/>
    <w:p w:rsidR="00196284" w:rsidRPr="003649BB" w:rsidRDefault="00196284" w:rsidP="001C1BBC">
      <w:pPr>
        <w:keepNext/>
        <w:rPr>
          <w:b/>
        </w:rPr>
      </w:pPr>
      <w:r w:rsidRPr="003649BB">
        <w:rPr>
          <w:b/>
        </w:rPr>
        <w:t>7.6 Identify shared process and non-process related MEW flows in chosen area</w:t>
      </w:r>
    </w:p>
    <w:p w:rsidR="00196284" w:rsidRDefault="00196284" w:rsidP="009110A6">
      <w:r>
        <w:t>Mapping identifies process related MEW flows. Shared process related MEW flows, such as compressed air, should also be captured. It is not possible to represent non-process related MEW flows such as,</w:t>
      </w:r>
      <w:r w:rsidRPr="00EC4E24">
        <w:t xml:space="preserve"> ligh</w:t>
      </w:r>
      <w:r>
        <w:t xml:space="preserve">ting or heating, for the building using IDEF0. Brainstorming is recommended for capturing this information qualitatively. </w:t>
      </w:r>
    </w:p>
    <w:p w:rsidR="00196284" w:rsidRDefault="00196284" w:rsidP="009110A6"/>
    <w:p w:rsidR="00196284" w:rsidRPr="003649BB" w:rsidRDefault="00196284" w:rsidP="001C1BBC">
      <w:pPr>
        <w:keepNext/>
        <w:rPr>
          <w:b/>
        </w:rPr>
      </w:pPr>
      <w:r w:rsidRPr="003649BB">
        <w:rPr>
          <w:b/>
        </w:rPr>
        <w:t>7.7 Identify assets in chosen area</w:t>
      </w:r>
    </w:p>
    <w:p w:rsidR="00196284" w:rsidRPr="00FD636D" w:rsidRDefault="00196284" w:rsidP="009110A6">
      <w:r w:rsidRPr="00FD636D">
        <w:t>The</w:t>
      </w:r>
      <w:r>
        <w:t xml:space="preserve"> </w:t>
      </w:r>
      <w:r w:rsidRPr="00FD636D">
        <w:t>processes and MEW flows</w:t>
      </w:r>
      <w:r>
        <w:t xml:space="preserve"> on the</w:t>
      </w:r>
      <w:r w:rsidRPr="00FD636D">
        <w:t xml:space="preserve"> qualitative maps must be linked to the </w:t>
      </w:r>
      <w:r>
        <w:t>assets in the</w:t>
      </w:r>
      <w:r w:rsidRPr="00FD636D">
        <w:t xml:space="preserve"> </w:t>
      </w:r>
      <w:r>
        <w:t>selected area.</w:t>
      </w:r>
    </w:p>
    <w:p w:rsidR="00196284" w:rsidRDefault="00196284" w:rsidP="009110A6"/>
    <w:p w:rsidR="00196284" w:rsidRPr="003649BB" w:rsidRDefault="00196284" w:rsidP="001C1BBC">
      <w:pPr>
        <w:keepNext/>
        <w:rPr>
          <w:b/>
        </w:rPr>
      </w:pPr>
      <w:r w:rsidRPr="003649BB">
        <w:rPr>
          <w:b/>
        </w:rPr>
        <w:t>7.8 Gather high level MEW data for assets</w:t>
      </w:r>
    </w:p>
    <w:p w:rsidR="00196284" w:rsidRDefault="00196284" w:rsidP="009110A6">
      <w:r>
        <w:t>It is essential to develop a basic u</w:t>
      </w:r>
      <w:r w:rsidRPr="00EC4E24">
        <w:t>nderstand</w:t>
      </w:r>
      <w:r>
        <w:t>ing of</w:t>
      </w:r>
      <w:r w:rsidRPr="00EC4E24">
        <w:t xml:space="preserve"> how </w:t>
      </w:r>
      <w:r>
        <w:t xml:space="preserve">each asset works, particularly for shared assets that were not investigated in the process mapping stage. </w:t>
      </w:r>
    </w:p>
    <w:p w:rsidR="00196284" w:rsidRDefault="00196284" w:rsidP="009110A6"/>
    <w:p w:rsidR="00196284" w:rsidRPr="003649BB" w:rsidRDefault="00196284" w:rsidP="001C1BBC">
      <w:pPr>
        <w:keepNext/>
        <w:rPr>
          <w:b/>
        </w:rPr>
      </w:pPr>
      <w:r w:rsidRPr="003649BB">
        <w:rPr>
          <w:b/>
        </w:rPr>
        <w:t>7.9 Determine constant and variable usage assets</w:t>
      </w:r>
    </w:p>
    <w:p w:rsidR="00196284" w:rsidRDefault="00196284" w:rsidP="009110A6">
      <w:r>
        <w:t>All assets have variable consumption and waste generation levels. For modelling purposes, some assets can be simplified by treating them as constant usage whilst maintaining a suitable level of accuracy. Data will be required from the asset manufacturer in order to accurately model variable usage assets. Less data is required for constant usage assets.</w:t>
      </w:r>
    </w:p>
    <w:p w:rsidR="00196284" w:rsidRDefault="00196284" w:rsidP="009110A6"/>
    <w:p w:rsidR="00196284" w:rsidRPr="003649BB" w:rsidRDefault="00196284" w:rsidP="001C1BBC">
      <w:pPr>
        <w:keepNext/>
        <w:rPr>
          <w:b/>
        </w:rPr>
      </w:pPr>
      <w:r w:rsidRPr="003649BB">
        <w:rPr>
          <w:b/>
        </w:rPr>
        <w:t>7.10 Determine low level data gathering strategies</w:t>
      </w:r>
    </w:p>
    <w:p w:rsidR="00196284" w:rsidRDefault="00196284" w:rsidP="009110A6">
      <w:r>
        <w:t>In preparation for detailed quantitative analysis it is necessary to determine suitable low level data gathering strategies of (in order of increasing effort):</w:t>
      </w:r>
    </w:p>
    <w:p w:rsidR="00196284" w:rsidRDefault="00196284" w:rsidP="003649BB">
      <w:pPr>
        <w:pStyle w:val="ListParagraph"/>
        <w:numPr>
          <w:ilvl w:val="0"/>
          <w:numId w:val="25"/>
        </w:numPr>
      </w:pPr>
      <w:r>
        <w:t>Analysis of retrospective MEW data</w:t>
      </w:r>
    </w:p>
    <w:p w:rsidR="00196284" w:rsidRDefault="00196284" w:rsidP="003649BB">
      <w:pPr>
        <w:pStyle w:val="ListParagraph"/>
        <w:numPr>
          <w:ilvl w:val="0"/>
          <w:numId w:val="25"/>
        </w:numPr>
      </w:pPr>
      <w:r>
        <w:lastRenderedPageBreak/>
        <w:t>Asset calculations</w:t>
      </w:r>
    </w:p>
    <w:p w:rsidR="00196284" w:rsidRDefault="00196284" w:rsidP="003649BB">
      <w:pPr>
        <w:pStyle w:val="ListParagraph"/>
        <w:numPr>
          <w:ilvl w:val="0"/>
          <w:numId w:val="25"/>
        </w:numPr>
      </w:pPr>
      <w:r>
        <w:t>Empirical measurements</w:t>
      </w:r>
    </w:p>
    <w:p w:rsidR="00196284" w:rsidRDefault="00196284" w:rsidP="003649BB">
      <w:pPr>
        <w:pStyle w:val="ListParagraph"/>
        <w:numPr>
          <w:ilvl w:val="0"/>
          <w:numId w:val="25"/>
        </w:numPr>
      </w:pPr>
      <w:r>
        <w:t>Benchmark against similar companies or available case studies</w:t>
      </w:r>
    </w:p>
    <w:p w:rsidR="00196284" w:rsidRPr="0075709C" w:rsidRDefault="00196284" w:rsidP="003649BB"/>
    <w:p w:rsidR="00196284" w:rsidRPr="003649BB" w:rsidRDefault="00196284" w:rsidP="001C1BBC">
      <w:pPr>
        <w:keepNext/>
        <w:rPr>
          <w:b/>
        </w:rPr>
      </w:pPr>
      <w:r w:rsidRPr="003649BB">
        <w:rPr>
          <w:b/>
        </w:rPr>
        <w:t>7.11 Create and validate MEW quantitative model</w:t>
      </w:r>
    </w:p>
    <w:p w:rsidR="00196284" w:rsidRPr="003649BB" w:rsidRDefault="00196284" w:rsidP="009110A6">
      <w:r w:rsidRPr="00FF77D8">
        <w:t>At the earliest</w:t>
      </w:r>
      <w:r>
        <w:t xml:space="preserve"> opportunity </w:t>
      </w:r>
      <w:r w:rsidRPr="003649BB">
        <w:t>set the scope of the MEW quantitative model to drive its creation and to validate it appropriately. The qualitative analysis will suggest areas of the facility to focus the quantitative analysis, as high consumption or waste and generation will be reflected in the process maps. Data availability will also influence what can be achieved; if there is more data about one area then</w:t>
      </w:r>
      <w:r>
        <w:t xml:space="preserve"> greater insights can be made.</w:t>
      </w:r>
      <w:r w:rsidRPr="003649BB">
        <w:t xml:space="preserve"> </w:t>
      </w:r>
    </w:p>
    <w:p w:rsidR="00196284" w:rsidRDefault="00196284" w:rsidP="009110A6"/>
    <w:p w:rsidR="00196284" w:rsidRPr="003649BB" w:rsidRDefault="00196284" w:rsidP="001C1BBC">
      <w:pPr>
        <w:keepNext/>
        <w:rPr>
          <w:b/>
        </w:rPr>
      </w:pPr>
      <w:proofErr w:type="gramStart"/>
      <w:r w:rsidRPr="003649BB">
        <w:rPr>
          <w:b/>
        </w:rPr>
        <w:t>7.12  Analyse</w:t>
      </w:r>
      <w:proofErr w:type="gramEnd"/>
      <w:r w:rsidRPr="003649BB">
        <w:rPr>
          <w:b/>
        </w:rPr>
        <w:t xml:space="preserve"> results and identify improvement opportunities</w:t>
      </w:r>
    </w:p>
    <w:p w:rsidR="00196284" w:rsidRDefault="00196284" w:rsidP="009110A6">
      <w:r>
        <w:t xml:space="preserve">Pareto analysis </w:t>
      </w:r>
      <w:r w:rsidRPr="00C26BE3">
        <w:t xml:space="preserve">identifies which of the </w:t>
      </w:r>
      <w:r>
        <w:t xml:space="preserve">MEW process flows </w:t>
      </w:r>
      <w:r w:rsidRPr="00C26BE3">
        <w:t xml:space="preserve">have the greatest </w:t>
      </w:r>
      <w:r>
        <w:t>impact. The costs can be represented per asset or per MEW flow.</w:t>
      </w:r>
    </w:p>
    <w:p w:rsidR="00196284" w:rsidRDefault="00196284" w:rsidP="009110A6"/>
    <w:p w:rsidR="00196284" w:rsidRPr="003649BB" w:rsidRDefault="00196284" w:rsidP="001C1BBC">
      <w:pPr>
        <w:keepNext/>
        <w:rPr>
          <w:b/>
        </w:rPr>
      </w:pPr>
      <w:r w:rsidRPr="003649BB">
        <w:rPr>
          <w:b/>
        </w:rPr>
        <w:t>7.13 Rank improvement opportunities</w:t>
      </w:r>
    </w:p>
    <w:p w:rsidR="00196284" w:rsidRDefault="00196284" w:rsidP="009110A6">
      <w:r w:rsidRPr="00134B79">
        <w:t xml:space="preserve">To </w:t>
      </w:r>
      <w:r>
        <w:t>rank</w:t>
      </w:r>
      <w:r w:rsidRPr="00134B79">
        <w:t xml:space="preserve"> improvement opportunities, it is necessary to look at the quantities of the MEW process flows and the ability to influence them. The energy and waste hierarchies are also useful for this purpose followed by consideration of the technical, practical, and economic aspects</w:t>
      </w:r>
      <w:r>
        <w:t xml:space="preserve"> of each improvement.</w:t>
      </w:r>
    </w:p>
    <w:p w:rsidR="00196284" w:rsidRDefault="00196284" w:rsidP="009110A6"/>
    <w:p w:rsidR="00196284" w:rsidRPr="003649BB" w:rsidRDefault="00196284" w:rsidP="001C1BBC">
      <w:pPr>
        <w:keepNext/>
        <w:rPr>
          <w:b/>
        </w:rPr>
      </w:pPr>
      <w:r>
        <w:rPr>
          <w:b/>
        </w:rPr>
        <w:t xml:space="preserve">7.14 </w:t>
      </w:r>
      <w:r w:rsidRPr="003649BB">
        <w:rPr>
          <w:b/>
        </w:rPr>
        <w:t>Implement improvements</w:t>
      </w:r>
    </w:p>
    <w:p w:rsidR="00196284" w:rsidRDefault="00196284" w:rsidP="009110A6">
      <w:r>
        <w:t>Standard project management techniques apply here.</w:t>
      </w:r>
    </w:p>
    <w:p w:rsidR="00196284" w:rsidRDefault="00196284" w:rsidP="009110A6"/>
    <w:p w:rsidR="00196284" w:rsidRPr="003649BB" w:rsidRDefault="00196284" w:rsidP="001C1BBC">
      <w:pPr>
        <w:keepNext/>
        <w:rPr>
          <w:b/>
        </w:rPr>
      </w:pPr>
      <w:r w:rsidRPr="003649BB">
        <w:rPr>
          <w:b/>
        </w:rPr>
        <w:t>7.15 Monitor improvements</w:t>
      </w:r>
    </w:p>
    <w:p w:rsidR="00196284" w:rsidRDefault="00196284" w:rsidP="009110A6">
      <w:r>
        <w:t xml:space="preserve">Improvements must be monitored to ensure </w:t>
      </w:r>
      <w:r w:rsidRPr="00802BBD">
        <w:t>benefits are realised after the initial implementation and rebound effects do not</w:t>
      </w:r>
      <w:r>
        <w:t xml:space="preserve"> occur.</w:t>
      </w:r>
    </w:p>
    <w:p w:rsidR="00196284" w:rsidRDefault="00196284" w:rsidP="009110A6"/>
    <w:p w:rsidR="00196284" w:rsidRPr="003649BB" w:rsidRDefault="00196284" w:rsidP="001C1BBC">
      <w:pPr>
        <w:keepNext/>
        <w:rPr>
          <w:b/>
        </w:rPr>
      </w:pPr>
      <w:r w:rsidRPr="003649BB">
        <w:rPr>
          <w:b/>
        </w:rPr>
        <w:t>7.16 Roll out guidelines and improvements to other areas/facilities</w:t>
      </w:r>
    </w:p>
    <w:p w:rsidR="00196284" w:rsidRDefault="00196284" w:rsidP="009110A6">
      <w:r>
        <w:t>The methodology and improvements should be applied to other cells within the facility and to other manufacturing facilities in order to</w:t>
      </w:r>
      <w:r w:rsidRPr="00E04CB7">
        <w:t xml:space="preserve"> minimise</w:t>
      </w:r>
      <w:r>
        <w:t xml:space="preserve"> environmental impact.</w:t>
      </w:r>
    </w:p>
    <w:p w:rsidR="00196284" w:rsidRPr="009110A6" w:rsidRDefault="00196284" w:rsidP="0073452A">
      <w:pPr>
        <w:rPr>
          <w:lang w:val="en-US"/>
        </w:rPr>
      </w:pPr>
    </w:p>
    <w:p w:rsidR="00196284" w:rsidRPr="009110A6" w:rsidRDefault="00196284" w:rsidP="0073452A"/>
    <w:p w:rsidR="00196284" w:rsidRPr="00862755" w:rsidRDefault="00196284" w:rsidP="001C1BBC">
      <w:pPr>
        <w:keepNext/>
        <w:rPr>
          <w:b/>
        </w:rPr>
      </w:pPr>
      <w:r w:rsidRPr="00862755">
        <w:rPr>
          <w:b/>
        </w:rPr>
        <w:t>8. Discussion</w:t>
      </w:r>
    </w:p>
    <w:p w:rsidR="00196284" w:rsidRDefault="00196284" w:rsidP="001C1BBC">
      <w:pPr>
        <w:keepNext/>
      </w:pPr>
    </w:p>
    <w:p w:rsidR="00196284" w:rsidRDefault="00196284" w:rsidP="001C1BBC">
      <w:pPr>
        <w:rPr>
          <w:rFonts w:cs="Arial"/>
        </w:rPr>
      </w:pPr>
      <w:r w:rsidRPr="00CD1317">
        <w:t>The processes and flows that were observed by walking around the case facility were mapped first</w:t>
      </w:r>
      <w:r>
        <w:t xml:space="preserve">. This is in contrast to the </w:t>
      </w:r>
      <w:r w:rsidRPr="00CD1317">
        <w:t>recommended IDEF0 practice of producing the</w:t>
      </w:r>
      <w:r>
        <w:t xml:space="preserve"> more abstract, </w:t>
      </w:r>
      <w:r w:rsidRPr="00CD1317">
        <w:t xml:space="preserve">top level diagram </w:t>
      </w:r>
      <w:r>
        <w:t xml:space="preserve">first </w:t>
      </w:r>
      <w:r w:rsidRPr="00CD1317">
        <w:t>and then decom</w:t>
      </w:r>
      <w:r>
        <w:t>posing down to lower levels with increasing detail</w:t>
      </w:r>
      <w:r w:rsidRPr="00CD1317">
        <w:t>. It was easier to map what had been seen during the walk rather than attempting to think abstractly about processes that were unfami</w:t>
      </w:r>
      <w:r w:rsidRPr="006D7F50">
        <w:t xml:space="preserve">liar. </w:t>
      </w:r>
      <w:r w:rsidR="00C75600">
        <w:t>T</w:t>
      </w:r>
      <w:r w:rsidR="008458F8" w:rsidRPr="00C75600">
        <w:t xml:space="preserve">he convention for IDEF0 </w:t>
      </w:r>
      <w:r w:rsidR="002A3BDB" w:rsidRPr="00C75600">
        <w:t>is to show</w:t>
      </w:r>
      <w:r w:rsidR="008458F8" w:rsidRPr="00C75600">
        <w:t xml:space="preserve"> </w:t>
      </w:r>
      <w:r w:rsidR="008458F8" w:rsidRPr="00C75600">
        <w:rPr>
          <w:rFonts w:cs="Arial"/>
        </w:rPr>
        <w:t xml:space="preserve">less than 6 processes per level of decomposition. The maps produced showed additional processes which added to their complexity </w:t>
      </w:r>
      <w:r w:rsidR="002A3BDB" w:rsidRPr="00C75600">
        <w:rPr>
          <w:rFonts w:cs="Arial"/>
        </w:rPr>
        <w:t>but a</w:t>
      </w:r>
      <w:r w:rsidR="00C75600" w:rsidRPr="00C75600">
        <w:rPr>
          <w:rFonts w:cs="Arial"/>
        </w:rPr>
        <w:t xml:space="preserve">voided any reduction in </w:t>
      </w:r>
      <w:r w:rsidR="008458F8" w:rsidRPr="00C75600">
        <w:rPr>
          <w:rFonts w:cs="Arial"/>
        </w:rPr>
        <w:t xml:space="preserve">clarity </w:t>
      </w:r>
      <w:r w:rsidR="00C75600">
        <w:rPr>
          <w:rFonts w:cs="Arial"/>
        </w:rPr>
        <w:t>from</w:t>
      </w:r>
      <w:r w:rsidR="008458F8" w:rsidRPr="00C75600">
        <w:rPr>
          <w:rFonts w:cs="Arial"/>
        </w:rPr>
        <w:t xml:space="preserve"> the cross-over of many arrows</w:t>
      </w:r>
      <w:r w:rsidR="00C75600" w:rsidRPr="00C75600">
        <w:rPr>
          <w:rFonts w:cs="Arial"/>
        </w:rPr>
        <w:t xml:space="preserve"> that could have otherwise occurred</w:t>
      </w:r>
      <w:r w:rsidR="008458F8" w:rsidRPr="00C75600">
        <w:rPr>
          <w:rFonts w:cs="Arial"/>
        </w:rPr>
        <w:t>.</w:t>
      </w:r>
      <w:r w:rsidR="0026627F">
        <w:rPr>
          <w:rFonts w:cs="Arial"/>
        </w:rPr>
        <w:t xml:space="preserve">  The process walk and the use of process maps are complementary; the process walk captures </w:t>
      </w:r>
      <w:r w:rsidR="0087741C">
        <w:rPr>
          <w:rFonts w:cs="Arial"/>
        </w:rPr>
        <w:t>the</w:t>
      </w:r>
      <w:r w:rsidR="0026627F">
        <w:rPr>
          <w:rFonts w:cs="Arial"/>
        </w:rPr>
        <w:t xml:space="preserve"> visible processes and generic process maps prompt for omissions such as waste (particularly heat waste) and checks for mass flow balance. </w:t>
      </w:r>
    </w:p>
    <w:p w:rsidR="00196284" w:rsidRDefault="00196284" w:rsidP="001C1BBC">
      <w:pPr>
        <w:keepNext/>
      </w:pPr>
    </w:p>
    <w:p w:rsidR="00196284" w:rsidRPr="0025721F" w:rsidRDefault="00196284" w:rsidP="001C1BBC">
      <w:r>
        <w:t>R</w:t>
      </w:r>
      <w:r w:rsidRPr="0025721F">
        <w:t xml:space="preserve">etrospective data can be of value as a comparison to establish the accuracy of a quantitative model if the </w:t>
      </w:r>
      <w:r>
        <w:t>quality</w:t>
      </w:r>
      <w:r w:rsidRPr="0025721F">
        <w:t xml:space="preserve"> of the data is high. </w:t>
      </w:r>
      <w:r w:rsidR="008A133B">
        <w:t xml:space="preserve">An issue found in the case study data was that available data often had missing data points or extreme outliers meaning manual correction was necessary by knowledgeable individuals. </w:t>
      </w:r>
      <w:r w:rsidRPr="0025721F">
        <w:t>If the</w:t>
      </w:r>
      <w:r>
        <w:t>re is a high degree of uncertainty in</w:t>
      </w:r>
      <w:r w:rsidRPr="0025721F">
        <w:t xml:space="preserve"> the data it is possible to </w:t>
      </w:r>
      <w:r>
        <w:t>attempt</w:t>
      </w:r>
      <w:r w:rsidRPr="0025721F">
        <w:t xml:space="preserve"> to cleanse</w:t>
      </w:r>
      <w:r>
        <w:t xml:space="preserve"> it </w:t>
      </w:r>
      <w:r w:rsidRPr="0025721F">
        <w:t>by removing anomalies, and confirming that the data collection frequency and resolution is appropriate.</w:t>
      </w:r>
      <w:r>
        <w:t xml:space="preserve"> </w:t>
      </w:r>
      <w:r w:rsidRPr="0025721F">
        <w:t xml:space="preserve">To </w:t>
      </w:r>
      <w:r>
        <w:t>facilitate</w:t>
      </w:r>
      <w:r w:rsidRPr="0025721F">
        <w:t xml:space="preserve"> meaningful </w:t>
      </w:r>
      <w:r>
        <w:t>comparisons,</w:t>
      </w:r>
      <w:r w:rsidRPr="0025721F">
        <w:t xml:space="preserve"> </w:t>
      </w:r>
      <w:r>
        <w:t xml:space="preserve">a </w:t>
      </w:r>
      <w:r w:rsidRPr="0025721F">
        <w:t xml:space="preserve">disciplined approach to data gathering is required. Personnel </w:t>
      </w:r>
      <w:r>
        <w:t>tasked with gathering</w:t>
      </w:r>
      <w:r w:rsidRPr="0025721F">
        <w:t xml:space="preserve"> data do not necessarily have formal training in this area, or </w:t>
      </w:r>
      <w:r>
        <w:t xml:space="preserve">the </w:t>
      </w:r>
      <w:r w:rsidRPr="0025721F">
        <w:t>awareness</w:t>
      </w:r>
      <w:r>
        <w:t xml:space="preserve"> of the value of the data and its use in downstream activities</w:t>
      </w:r>
      <w:r w:rsidRPr="0025721F">
        <w:t xml:space="preserve">. It </w:t>
      </w:r>
      <w:r>
        <w:t>i</w:t>
      </w:r>
      <w:r w:rsidRPr="0025721F">
        <w:t xml:space="preserve">s not necessary to conduct such detailed analysis on assets </w:t>
      </w:r>
      <w:r>
        <w:t xml:space="preserve">with low </w:t>
      </w:r>
      <w:r w:rsidRPr="0025721F">
        <w:t xml:space="preserve">consumption levels </w:t>
      </w:r>
      <w:r>
        <w:t xml:space="preserve">and </w:t>
      </w:r>
      <w:proofErr w:type="gramStart"/>
      <w:r>
        <w:t>costs,</w:t>
      </w:r>
      <w:proofErr w:type="gramEnd"/>
      <w:r>
        <w:t xml:space="preserve"> however</w:t>
      </w:r>
      <w:r w:rsidRPr="0025721F">
        <w:t xml:space="preserve">, </w:t>
      </w:r>
      <w:r w:rsidR="00C75600">
        <w:t>identifying them does help educate staff.</w:t>
      </w:r>
      <w:r w:rsidR="008F59F6">
        <w:t xml:space="preserve">  The work here provide guidance on the types of data to collect but does not completely address the gap in the literature of guiding the quality of data to collect, i.e. frequency, duration, detail and accuracy. </w:t>
      </w:r>
    </w:p>
    <w:p w:rsidR="00196284" w:rsidRDefault="00196284" w:rsidP="001C1BBC"/>
    <w:p w:rsidR="00196284" w:rsidRDefault="00196284" w:rsidP="001C1BBC">
      <w:r w:rsidRPr="00612676">
        <w:t xml:space="preserve">This work does not attempt to reduce scrap levels, but it does highlight both the cost of wasted material and also the cost of wasted production overheads, which </w:t>
      </w:r>
      <w:r>
        <w:t xml:space="preserve">are not traditionally </w:t>
      </w:r>
      <w:r w:rsidRPr="00612676">
        <w:t xml:space="preserve">considered. It </w:t>
      </w:r>
      <w:r>
        <w:t>will</w:t>
      </w:r>
      <w:r w:rsidRPr="00612676">
        <w:t xml:space="preserve"> help to raise awareness</w:t>
      </w:r>
      <w:r>
        <w:t>,</w:t>
      </w:r>
      <w:r w:rsidRPr="00612676">
        <w:t xml:space="preserve"> such that operators are </w:t>
      </w:r>
      <w:r>
        <w:lastRenderedPageBreak/>
        <w:t xml:space="preserve">encouraged to be </w:t>
      </w:r>
      <w:r w:rsidRPr="00612676">
        <w:t xml:space="preserve">more careful when using </w:t>
      </w:r>
      <w:r>
        <w:t>expensive</w:t>
      </w:r>
      <w:r w:rsidRPr="00612676">
        <w:t xml:space="preserve"> assets and par</w:t>
      </w:r>
      <w:r>
        <w:t xml:space="preserve">ts. The same is true of </w:t>
      </w:r>
      <w:proofErr w:type="spellStart"/>
      <w:r>
        <w:t>swarf</w:t>
      </w:r>
      <w:proofErr w:type="spellEnd"/>
      <w:r>
        <w:t>;</w:t>
      </w:r>
      <w:r w:rsidRPr="00612676">
        <w:t xml:space="preserve"> the amount of </w:t>
      </w:r>
      <w:proofErr w:type="spellStart"/>
      <w:r>
        <w:t>swarf</w:t>
      </w:r>
      <w:proofErr w:type="spellEnd"/>
      <w:r w:rsidRPr="00612676">
        <w:t xml:space="preserve"> produced is not influenced directly, but by highlighting the associated costs</w:t>
      </w:r>
      <w:r>
        <w:t>,</w:t>
      </w:r>
      <w:r w:rsidRPr="00612676">
        <w:t xml:space="preserve"> it encourages better </w:t>
      </w:r>
      <w:r>
        <w:t xml:space="preserve">product and </w:t>
      </w:r>
      <w:r w:rsidRPr="00612676">
        <w:t xml:space="preserve">process </w:t>
      </w:r>
      <w:r>
        <w:t>design</w:t>
      </w:r>
      <w:r w:rsidRPr="00612676">
        <w:t xml:space="preserve"> to reduce </w:t>
      </w:r>
      <w:proofErr w:type="spellStart"/>
      <w:r w:rsidRPr="00612676">
        <w:t>swarf</w:t>
      </w:r>
      <w:proofErr w:type="spellEnd"/>
      <w:r>
        <w:t xml:space="preserve"> generation</w:t>
      </w:r>
      <w:r w:rsidRPr="00612676">
        <w:t xml:space="preserve">, </w:t>
      </w:r>
      <w:r>
        <w:t xml:space="preserve">and better </w:t>
      </w:r>
      <w:r w:rsidRPr="00612676">
        <w:t xml:space="preserve">management </w:t>
      </w:r>
      <w:r>
        <w:t xml:space="preserve">of what </w:t>
      </w:r>
      <w:proofErr w:type="spellStart"/>
      <w:r w:rsidR="0011634F">
        <w:t>swarf</w:t>
      </w:r>
      <w:proofErr w:type="spellEnd"/>
      <w:r w:rsidR="0011634F">
        <w:t xml:space="preserve"> </w:t>
      </w:r>
      <w:r>
        <w:t>is produced.</w:t>
      </w:r>
    </w:p>
    <w:p w:rsidR="00196284" w:rsidRDefault="00196284" w:rsidP="001C1BBC"/>
    <w:p w:rsidR="00196284" w:rsidRDefault="00196284" w:rsidP="00DA774D">
      <w:pPr>
        <w:rPr>
          <w:rFonts w:cs="Arial"/>
        </w:rPr>
      </w:pPr>
      <w:r w:rsidRPr="009833EC">
        <w:rPr>
          <w:rFonts w:cs="Arial"/>
        </w:rPr>
        <w:t xml:space="preserve">An alternative </w:t>
      </w:r>
      <w:r>
        <w:rPr>
          <w:rFonts w:cs="Arial"/>
        </w:rPr>
        <w:t xml:space="preserve">modelling </w:t>
      </w:r>
      <w:r w:rsidRPr="009833EC">
        <w:rPr>
          <w:rFonts w:cs="Arial"/>
        </w:rPr>
        <w:t xml:space="preserve">strategy </w:t>
      </w:r>
      <w:r>
        <w:rPr>
          <w:rFonts w:cs="Arial"/>
        </w:rPr>
        <w:t>to adopt is</w:t>
      </w:r>
      <w:r w:rsidRPr="009833EC">
        <w:rPr>
          <w:rFonts w:cs="Arial"/>
        </w:rPr>
        <w:t xml:space="preserve"> to produce a model without any form of </w:t>
      </w:r>
      <w:r>
        <w:rPr>
          <w:rFonts w:cs="Arial"/>
        </w:rPr>
        <w:t>qualitative process mapping first.</w:t>
      </w:r>
      <w:r w:rsidRPr="009833EC">
        <w:rPr>
          <w:rFonts w:cs="Arial"/>
        </w:rPr>
        <w:t xml:space="preserve"> </w:t>
      </w:r>
      <w:r>
        <w:rPr>
          <w:rFonts w:cs="Arial"/>
        </w:rPr>
        <w:t>Whilst this could have been pursued, the maps made the quantitative model easier and quicker to construct. They offer</w:t>
      </w:r>
      <w:r w:rsidRPr="009833EC">
        <w:rPr>
          <w:rFonts w:cs="Arial"/>
        </w:rPr>
        <w:t xml:space="preserve"> a wider appreciation of </w:t>
      </w:r>
      <w:r>
        <w:rPr>
          <w:rFonts w:cs="Arial"/>
        </w:rPr>
        <w:t xml:space="preserve">the </w:t>
      </w:r>
      <w:r w:rsidRPr="009833EC">
        <w:rPr>
          <w:rFonts w:cs="Arial"/>
        </w:rPr>
        <w:t xml:space="preserve">opportunities </w:t>
      </w:r>
      <w:r>
        <w:rPr>
          <w:rFonts w:cs="Arial"/>
        </w:rPr>
        <w:t>for system</w:t>
      </w:r>
      <w:r w:rsidRPr="009833EC">
        <w:rPr>
          <w:rFonts w:cs="Arial"/>
        </w:rPr>
        <w:t xml:space="preserve"> level </w:t>
      </w:r>
      <w:r>
        <w:rPr>
          <w:rFonts w:cs="Arial"/>
        </w:rPr>
        <w:t xml:space="preserve">improvements </w:t>
      </w:r>
      <w:r w:rsidRPr="009833EC">
        <w:rPr>
          <w:rFonts w:cs="Arial"/>
        </w:rPr>
        <w:t xml:space="preserve">and </w:t>
      </w:r>
      <w:r>
        <w:rPr>
          <w:rFonts w:cs="Arial"/>
        </w:rPr>
        <w:t>provide</w:t>
      </w:r>
      <w:r w:rsidRPr="009833EC">
        <w:rPr>
          <w:rFonts w:cs="Arial"/>
        </w:rPr>
        <w:t xml:space="preserve"> confidence that all the MEW process flows have been considered. They are also easier to communicate th</w:t>
      </w:r>
      <w:r w:rsidR="008A133B">
        <w:rPr>
          <w:rFonts w:cs="Arial"/>
        </w:rPr>
        <w:t xml:space="preserve">an a complex quantitative model and in turn help build confidence with those affected by potential changes or </w:t>
      </w:r>
      <w:r w:rsidR="008F59F6">
        <w:rPr>
          <w:rFonts w:cs="Arial"/>
        </w:rPr>
        <w:t>those</w:t>
      </w:r>
      <w:r w:rsidR="008A133B">
        <w:rPr>
          <w:rFonts w:cs="Arial"/>
        </w:rPr>
        <w:t xml:space="preserve"> needed to give approval for change.</w:t>
      </w:r>
    </w:p>
    <w:p w:rsidR="00196284" w:rsidRPr="00DA774D" w:rsidRDefault="00196284" w:rsidP="00DA774D">
      <w:pPr>
        <w:rPr>
          <w:rFonts w:cs="Arial"/>
        </w:rPr>
      </w:pPr>
    </w:p>
    <w:p w:rsidR="00196284" w:rsidRDefault="00196284" w:rsidP="001C1BBC">
      <w:r w:rsidRPr="005F6F87">
        <w:t>Process maps can only represent improvement opportunities related to the process itself. The</w:t>
      </w:r>
      <w:r>
        <w:t>y</w:t>
      </w:r>
      <w:r w:rsidRPr="005F6F87">
        <w:t xml:space="preserve"> </w:t>
      </w:r>
      <w:r>
        <w:t>do not</w:t>
      </w:r>
      <w:r w:rsidRPr="005F6F87">
        <w:t xml:space="preserve"> </w:t>
      </w:r>
      <w:r>
        <w:t xml:space="preserve">directly </w:t>
      </w:r>
      <w:r w:rsidRPr="005F6F87">
        <w:t>identify</w:t>
      </w:r>
      <w:r>
        <w:t xml:space="preserve"> </w:t>
      </w:r>
      <w:r w:rsidRPr="005F6F87">
        <w:t xml:space="preserve">non-process related opportunities </w:t>
      </w:r>
      <w:r>
        <w:t xml:space="preserve">for integrating MEW process flows such </w:t>
      </w:r>
      <w:r w:rsidRPr="005F6F87">
        <w:t xml:space="preserve">as rainwater harvesting or using waste water. </w:t>
      </w:r>
      <w:r w:rsidRPr="002772EA">
        <w:t>The</w:t>
      </w:r>
      <w:r>
        <w:t xml:space="preserve"> maps</w:t>
      </w:r>
      <w:r w:rsidRPr="002772EA">
        <w:t xml:space="preserve"> assist indirectly </w:t>
      </w:r>
      <w:r>
        <w:t>because as</w:t>
      </w:r>
      <w:r w:rsidRPr="002772EA">
        <w:t xml:space="preserve"> opportunities</w:t>
      </w:r>
      <w:r>
        <w:t xml:space="preserve"> are sought for </w:t>
      </w:r>
      <w:r w:rsidRPr="002772EA">
        <w:t xml:space="preserve">process related </w:t>
      </w:r>
      <w:r>
        <w:t>improvements, the scope of the search naturally evolves to include non-process related opportunities.</w:t>
      </w:r>
      <w:r w:rsidR="0087741C">
        <w:t xml:space="preserve"> One </w:t>
      </w:r>
      <w:r w:rsidR="00974E3F">
        <w:t>issue with</w:t>
      </w:r>
      <w:r w:rsidR="0087741C">
        <w:t xml:space="preserve"> the approach</w:t>
      </w:r>
      <w:r w:rsidR="008F59F6">
        <w:t xml:space="preserve"> </w:t>
      </w:r>
      <w:r w:rsidR="0087741C">
        <w:t xml:space="preserve">is that it guides improvements in areas that typical manufacturing engineers </w:t>
      </w:r>
      <w:r w:rsidR="00974E3F">
        <w:t>lack</w:t>
      </w:r>
      <w:r w:rsidR="0087741C">
        <w:t xml:space="preserve"> experience</w:t>
      </w:r>
      <w:r w:rsidR="0011634F">
        <w:t>. This is</w:t>
      </w:r>
      <w:r w:rsidR="0087741C">
        <w:t xml:space="preserve"> in co</w:t>
      </w:r>
      <w:r w:rsidR="00974E3F">
        <w:t>ntrast to improvements in value-</w:t>
      </w:r>
      <w:r w:rsidR="0087741C">
        <w:t xml:space="preserve">adding processes through the application of lean and other tools where engineers will have more experience and access to more examples.  There is potential therefore to find ways of linking the </w:t>
      </w:r>
      <w:r w:rsidR="008A133B">
        <w:t>guidelines</w:t>
      </w:r>
      <w:r w:rsidR="0087741C">
        <w:t xml:space="preserve"> presented to repositories of practices</w:t>
      </w:r>
      <w:r w:rsidR="0011634F">
        <w:t xml:space="preserve"> [</w:t>
      </w:r>
      <w:r w:rsidR="0011634F">
        <w:fldChar w:fldCharType="begin"/>
      </w:r>
      <w:r w:rsidR="0011634F">
        <w:instrText xml:space="preserve"> REF _Ref309899404 \r \h </w:instrText>
      </w:r>
      <w:r w:rsidR="0011634F">
        <w:fldChar w:fldCharType="separate"/>
      </w:r>
      <w:r w:rsidR="0011634F">
        <w:t>41</w:t>
      </w:r>
      <w:r w:rsidR="0011634F">
        <w:fldChar w:fldCharType="end"/>
      </w:r>
      <w:r w:rsidR="0011634F">
        <w:t>]</w:t>
      </w:r>
      <w:r w:rsidR="0087741C">
        <w:t xml:space="preserve"> that engineers </w:t>
      </w:r>
      <w:r w:rsidR="008A133B">
        <w:t xml:space="preserve">can </w:t>
      </w:r>
      <w:r w:rsidR="0087741C">
        <w:t xml:space="preserve">search for </w:t>
      </w:r>
      <w:r w:rsidR="00974E3F">
        <w:t xml:space="preserve">specific </w:t>
      </w:r>
      <w:r w:rsidR="0087741C">
        <w:t>ideas.</w:t>
      </w:r>
      <w:r w:rsidR="00974E3F">
        <w:t xml:space="preserve">  This particular case study was based on activities by manufacturing engineering, wider membership could have prompted how inputs </w:t>
      </w:r>
      <w:r w:rsidR="00DD2499">
        <w:t xml:space="preserve">and outputs identified </w:t>
      </w:r>
      <w:r w:rsidR="00974E3F">
        <w:t xml:space="preserve">in the process maps are provided and </w:t>
      </w:r>
      <w:r w:rsidR="00DD2499">
        <w:t xml:space="preserve">or can </w:t>
      </w:r>
      <w:r w:rsidR="00974E3F">
        <w:t>utilised</w:t>
      </w:r>
      <w:r w:rsidR="00DD2499">
        <w:t xml:space="preserve"> respectively.</w:t>
      </w:r>
    </w:p>
    <w:p w:rsidR="00196284" w:rsidRPr="00F605B9" w:rsidRDefault="00196284" w:rsidP="001C1BBC">
      <w:pPr>
        <w:rPr>
          <w:highlight w:val="darkCyan"/>
        </w:rPr>
      </w:pPr>
    </w:p>
    <w:p w:rsidR="00196284" w:rsidRDefault="00196284" w:rsidP="001C1BBC">
      <w:r w:rsidRPr="00633344">
        <w:t xml:space="preserve">The number of opportunities for integrating MEW process flows </w:t>
      </w:r>
      <w:r>
        <w:t xml:space="preserve">by </w:t>
      </w:r>
      <w:r w:rsidRPr="00633344">
        <w:t>recovering</w:t>
      </w:r>
      <w:r>
        <w:t xml:space="preserve"> </w:t>
      </w:r>
      <w:r w:rsidRPr="00633344">
        <w:t>waste</w:t>
      </w:r>
      <w:r>
        <w:t xml:space="preserve">s, such as </w:t>
      </w:r>
      <w:r w:rsidRPr="00633344">
        <w:t>heat or water</w:t>
      </w:r>
      <w:r>
        <w:t>,</w:t>
      </w:r>
      <w:r w:rsidRPr="00633344">
        <w:t xml:space="preserve"> </w:t>
      </w:r>
      <w:r>
        <w:t>for use</w:t>
      </w:r>
      <w:r w:rsidRPr="00633344">
        <w:t xml:space="preserve"> as inputs</w:t>
      </w:r>
      <w:r>
        <w:t xml:space="preserve"> </w:t>
      </w:r>
      <w:r w:rsidRPr="00633344">
        <w:t>else</w:t>
      </w:r>
      <w:r>
        <w:t>where</w:t>
      </w:r>
      <w:r w:rsidRPr="00633344">
        <w:t xml:space="preserve"> in the system is dependent on the type of manufacturer.</w:t>
      </w:r>
      <w:r>
        <w:t xml:space="preserve"> There will be more opportunities in</w:t>
      </w:r>
      <w:r w:rsidRPr="00633344">
        <w:t xml:space="preserve"> </w:t>
      </w:r>
      <w:r>
        <w:t>process industries or</w:t>
      </w:r>
      <w:r w:rsidRPr="00633344">
        <w:t xml:space="preserve"> </w:t>
      </w:r>
      <w:r>
        <w:t xml:space="preserve">other </w:t>
      </w:r>
      <w:r w:rsidRPr="00633344">
        <w:t>plant</w:t>
      </w:r>
      <w:r>
        <w:t>s</w:t>
      </w:r>
      <w:r w:rsidRPr="00633344">
        <w:t xml:space="preserve"> where the </w:t>
      </w:r>
      <w:r>
        <w:t xml:space="preserve">building is designed around the process. In such companies, assets have a long lifespan and are large in size, or have high </w:t>
      </w:r>
      <w:r>
        <w:lastRenderedPageBreak/>
        <w:t>throughputs, meaning their locations tend to be fixed for the duration of their life. In s</w:t>
      </w:r>
      <w:r w:rsidRPr="00633344">
        <w:t>maller companies</w:t>
      </w:r>
      <w:r>
        <w:t xml:space="preserve"> </w:t>
      </w:r>
      <w:r w:rsidRPr="00633344">
        <w:t xml:space="preserve">making </w:t>
      </w:r>
      <w:r>
        <w:t>lower volume parts, or smaller discrete products,</w:t>
      </w:r>
      <w:r w:rsidRPr="00633344">
        <w:t xml:space="preserve"> more flexibility</w:t>
      </w:r>
      <w:r>
        <w:t xml:space="preserve"> is required</w:t>
      </w:r>
      <w:r w:rsidRPr="00633344">
        <w:t xml:space="preserve"> in </w:t>
      </w:r>
      <w:r>
        <w:t xml:space="preserve">their factory </w:t>
      </w:r>
      <w:r w:rsidRPr="00633344">
        <w:t xml:space="preserve">setup </w:t>
      </w:r>
      <w:r>
        <w:t>meaning the</w:t>
      </w:r>
      <w:r w:rsidRPr="00633344">
        <w:t xml:space="preserve"> </w:t>
      </w:r>
      <w:r>
        <w:t xml:space="preserve">locations </w:t>
      </w:r>
      <w:r w:rsidRPr="00633344">
        <w:t xml:space="preserve">of </w:t>
      </w:r>
      <w:r>
        <w:t xml:space="preserve">their </w:t>
      </w:r>
      <w:r w:rsidRPr="00633344">
        <w:t>assets</w:t>
      </w:r>
      <w:r>
        <w:t xml:space="preserve"> do not tend to be </w:t>
      </w:r>
      <w:r w:rsidRPr="00633344">
        <w:t xml:space="preserve">permanent. </w:t>
      </w:r>
      <w:r>
        <w:t>In larger companies the level of investment available will be higher meaning more sophisticated systems can be built around assets to</w:t>
      </w:r>
      <w:r w:rsidRPr="001F1344">
        <w:t xml:space="preserve"> maximise</w:t>
      </w:r>
      <w:r>
        <w:t xml:space="preserve"> the recovery and recycling of wastes. This starts to move the focus of MEW modelling from Industrial Ecology Type I to Type II with a certain degree of recycling internally</w:t>
      </w:r>
      <w:r w:rsidR="0011634F">
        <w:t xml:space="preserve"> such as heat waste</w:t>
      </w:r>
      <w:r>
        <w:t>.</w:t>
      </w:r>
    </w:p>
    <w:p w:rsidR="00196284" w:rsidRDefault="00196284" w:rsidP="001C1BBC"/>
    <w:p w:rsidR="00196284" w:rsidRPr="00C50426" w:rsidRDefault="00196284" w:rsidP="00DA774D">
      <w:r>
        <w:t xml:space="preserve">Applying the guidelines and improvement opportunities </w:t>
      </w:r>
      <w:r w:rsidRPr="00C50426">
        <w:t>to facilities</w:t>
      </w:r>
      <w:r>
        <w:t xml:space="preserve"> has the potential to reduce their environmental impact and improve economic performance. </w:t>
      </w:r>
      <w:r w:rsidR="00DD2499">
        <w:t xml:space="preserve">The improvements identified in the case directly impact on economic and environmental metrics through more efficient use of resources and lower waste output. </w:t>
      </w:r>
      <w:r>
        <w:t>The analysis results should be used to influence</w:t>
      </w:r>
      <w:r w:rsidRPr="00C50426">
        <w:t xml:space="preserve"> the design of new facilities, or the expansion of existing facilities, </w:t>
      </w:r>
      <w:r>
        <w:t>by integrating</w:t>
      </w:r>
      <w:r w:rsidRPr="00C50426">
        <w:t xml:space="preserve"> manufacturing, building and facility syst</w:t>
      </w:r>
      <w:r>
        <w:t>ems to reduce environmental impact.</w:t>
      </w:r>
    </w:p>
    <w:p w:rsidR="00196284" w:rsidRDefault="00196284" w:rsidP="00DA774D"/>
    <w:p w:rsidR="0026627F" w:rsidRDefault="00196284" w:rsidP="001C1BBC">
      <w:r>
        <w:t>It should be noted that the improvements offered by modelling MEW flows does not replace the use of lean techniques but complements them by broadening the scope beyond the value stream to less obvious, less visible improvement opportunities.</w:t>
      </w:r>
      <w:r w:rsidR="0026627F">
        <w:t xml:space="preserve"> Future opportunities, apart from the application of the approach in a wider range of companies, </w:t>
      </w:r>
      <w:r w:rsidR="0011634F">
        <w:t xml:space="preserve">could </w:t>
      </w:r>
      <w:r w:rsidR="0026627F">
        <w:t>come from understanding how to “mainstream” the approach to integrate the developments here with improvement approaches that focus on the value add processes to customer.  The method developed here demonstrates the applicability of the a</w:t>
      </w:r>
      <w:r w:rsidR="00C362FF">
        <w:t>pproach to the particular case but the strength of this method over others is difficult to assess given the absence of published alternatives.</w:t>
      </w:r>
    </w:p>
    <w:p w:rsidR="0026627F" w:rsidRPr="00E04CB7" w:rsidRDefault="0026627F" w:rsidP="001C1BBC"/>
    <w:p w:rsidR="00196284" w:rsidRPr="00862755" w:rsidRDefault="00196284" w:rsidP="005832B6">
      <w:pPr>
        <w:keepNext/>
        <w:rPr>
          <w:b/>
        </w:rPr>
      </w:pPr>
      <w:r w:rsidRPr="00862755">
        <w:rPr>
          <w:b/>
        </w:rPr>
        <w:t>9. Conclusion</w:t>
      </w:r>
    </w:p>
    <w:p w:rsidR="00196284" w:rsidRDefault="00196284" w:rsidP="005832B6">
      <w:pPr>
        <w:keepNext/>
      </w:pPr>
    </w:p>
    <w:p w:rsidR="00196284" w:rsidRDefault="00196284" w:rsidP="005832B6">
      <w:r w:rsidRPr="00D77297">
        <w:t>Manufacturers have a key role in aiding the</w:t>
      </w:r>
      <w:r>
        <w:t xml:space="preserve"> transition</w:t>
      </w:r>
      <w:r w:rsidRPr="00D77297">
        <w:t xml:space="preserve"> towards sustainable development. Sustainability must be a key consideration for manufacturing organisations today, and its importance will only increase in the future. Some </w:t>
      </w:r>
      <w:r>
        <w:t>companies</w:t>
      </w:r>
      <w:r w:rsidRPr="00D77297">
        <w:t xml:space="preserve"> are already benefiting by managing the risks associated with </w:t>
      </w:r>
      <w:r w:rsidRPr="00D77297">
        <w:lastRenderedPageBreak/>
        <w:t>sustainability and capitalising on the opportunities. Improved environmental performance leads to larger profits</w:t>
      </w:r>
      <w:r>
        <w:t>,</w:t>
      </w:r>
      <w:r w:rsidRPr="00D77297">
        <w:t xml:space="preserve"> as operational costs are reduced. </w:t>
      </w:r>
    </w:p>
    <w:p w:rsidR="00196284" w:rsidRPr="00D77297" w:rsidRDefault="00196284" w:rsidP="005832B6"/>
    <w:p w:rsidR="00196284" w:rsidRDefault="00196284" w:rsidP="005832B6">
      <w:r w:rsidRPr="00D77297">
        <w:t xml:space="preserve">Detailed methodologies are required to aid manufacturers in analysing their operations to identify and implement improvements within their factories to reduce environmental impact. The literature review revealed </w:t>
      </w:r>
      <w:r>
        <w:t xml:space="preserve">that </w:t>
      </w:r>
      <w:r w:rsidRPr="00D77297">
        <w:t xml:space="preserve">these are not available and represent </w:t>
      </w:r>
      <w:r w:rsidR="0011634F">
        <w:t xml:space="preserve">a </w:t>
      </w:r>
      <w:r w:rsidRPr="00D77297">
        <w:t>gap in knowledge. The aim of this work was to develop guidelines for Material, Energy and Waste (MEW) process flow modelling</w:t>
      </w:r>
      <w:r>
        <w:t>,</w:t>
      </w:r>
      <w:r w:rsidRPr="00D77297">
        <w:t xml:space="preserve"> to support the pursuit of </w:t>
      </w:r>
      <w:r>
        <w:t>Zero Carbon Manufacturing (</w:t>
      </w:r>
      <w:r w:rsidRPr="00D77297">
        <w:t>ZCM</w:t>
      </w:r>
      <w:r>
        <w:t>) and sustainable manufacturing</w:t>
      </w:r>
      <w:r w:rsidR="008A133B">
        <w:t xml:space="preserve"> to address the gaps</w:t>
      </w:r>
      <w:r w:rsidRPr="00D77297">
        <w:t>.</w:t>
      </w:r>
    </w:p>
    <w:p w:rsidR="00196284" w:rsidRDefault="00196284" w:rsidP="005832B6"/>
    <w:p w:rsidR="00196284" w:rsidRDefault="00196284" w:rsidP="0073452A">
      <w:r>
        <w:t xml:space="preserve">The aim was achieved through </w:t>
      </w:r>
      <w:r w:rsidRPr="00D77297">
        <w:t xml:space="preserve">qualitative </w:t>
      </w:r>
      <w:r>
        <w:t>mapping</w:t>
      </w:r>
      <w:r w:rsidRPr="00D77297">
        <w:t xml:space="preserve"> of the MEW process flows within a machining cell in </w:t>
      </w:r>
      <w:r>
        <w:t>a</w:t>
      </w:r>
      <w:r w:rsidRPr="00D77297">
        <w:t xml:space="preserve"> case facility. Thi</w:t>
      </w:r>
      <w:r>
        <w:t>s was followed by</w:t>
      </w:r>
      <w:r w:rsidRPr="00D77297">
        <w:t xml:space="preserve"> </w:t>
      </w:r>
      <w:r>
        <w:t xml:space="preserve">the creation of a </w:t>
      </w:r>
      <w:r w:rsidRPr="00D77297">
        <w:t xml:space="preserve">quantitative </w:t>
      </w:r>
      <w:r>
        <w:t xml:space="preserve">spreadsheet </w:t>
      </w:r>
      <w:r w:rsidRPr="00D77297">
        <w:t xml:space="preserve">model and the definition of methods for selecting and </w:t>
      </w:r>
      <w:r>
        <w:t>implementing</w:t>
      </w:r>
      <w:r w:rsidRPr="00D77297">
        <w:t xml:space="preserve"> </w:t>
      </w:r>
      <w:r>
        <w:t xml:space="preserve">environmental </w:t>
      </w:r>
      <w:r w:rsidRPr="00D77297">
        <w:t>improvement opportunities.</w:t>
      </w:r>
      <w:r>
        <w:t xml:space="preserve"> G</w:t>
      </w:r>
      <w:r w:rsidRPr="00D77297">
        <w:t>uidelines</w:t>
      </w:r>
      <w:r>
        <w:t xml:space="preserve"> were produced</w:t>
      </w:r>
      <w:r w:rsidRPr="00D77297">
        <w:t xml:space="preserve"> by </w:t>
      </w:r>
      <w:r>
        <w:t>capturing what was learnt through the analysis of the case facility.</w:t>
      </w:r>
    </w:p>
    <w:p w:rsidR="00C362FF" w:rsidRDefault="00C362FF" w:rsidP="0073452A"/>
    <w:p w:rsidR="00C362FF" w:rsidRDefault="00C362FF" w:rsidP="0073452A">
      <w:r>
        <w:t xml:space="preserve">This work contributes to the state of the art </w:t>
      </w:r>
      <w:r w:rsidR="008A133B">
        <w:t xml:space="preserve">by introducing guidelines </w:t>
      </w:r>
      <w:r>
        <w:t>to identify improvements not explicitly or typically identified by lean or other improvement approaches.  Whilst the solutions derived are not novel</w:t>
      </w:r>
      <w:r w:rsidR="008A133B">
        <w:t>,</w:t>
      </w:r>
      <w:r>
        <w:t xml:space="preserve"> structured procedures to identify them, such as the one presented here, are </w:t>
      </w:r>
      <w:r w:rsidR="0011634F">
        <w:t>new</w:t>
      </w:r>
      <w:r>
        <w:t>.</w:t>
      </w:r>
    </w:p>
    <w:p w:rsidR="00C362FF" w:rsidRDefault="00C362FF" w:rsidP="0073452A"/>
    <w:p w:rsidR="00C362FF" w:rsidRDefault="00C362FF" w:rsidP="0073452A">
      <w:r>
        <w:t>Through t</w:t>
      </w:r>
      <w:r w:rsidR="00DD2499">
        <w:t>his</w:t>
      </w:r>
      <w:r>
        <w:t xml:space="preserve"> work</w:t>
      </w:r>
      <w:r w:rsidR="00DD2499">
        <w:t>,</w:t>
      </w:r>
      <w:r>
        <w:t xml:space="preserve"> potential future research directions have been identified. Firstly, </w:t>
      </w:r>
      <w:r w:rsidR="0011634F">
        <w:t xml:space="preserve">improvement </w:t>
      </w:r>
      <w:r>
        <w:t xml:space="preserve">metrics are important but there is an absence of work on what effective metrics are and how they can be combined with existing key performance indicators to drive </w:t>
      </w:r>
      <w:r w:rsidR="0011634F">
        <w:t>appropriate</w:t>
      </w:r>
      <w:r>
        <w:t xml:space="preserve"> shop floor actions.  Secondly, the work used bespoke spreadsheet models as there was an absence of available tools to support modelling and evaluation.  Future tools developed need to be able to span the primary materials processing through to the support environment and be able to evaluate the inevitable trade-offs transpire.  Thirdly, sustainable manufacturing solutions developed are typically derived locally from </w:t>
      </w:r>
      <w:r w:rsidR="007274AD">
        <w:t>structured analysis of problems and there is potential for databases of sustainable practices to inform the solution generation to improve the solutions selected or reduce the time to establishing solutions.</w:t>
      </w:r>
      <w:r>
        <w:t xml:space="preserve"> </w:t>
      </w:r>
      <w:r w:rsidR="007274AD">
        <w:t xml:space="preserve">Finally, it is important that research is conducted on understanding and recognising that </w:t>
      </w:r>
      <w:r w:rsidR="007274AD">
        <w:lastRenderedPageBreak/>
        <w:t xml:space="preserve">compromises have to be made in implementing more sustainable manufacturing practices and the impact </w:t>
      </w:r>
      <w:r w:rsidR="0011634F">
        <w:t>that</w:t>
      </w:r>
      <w:r w:rsidR="007274AD">
        <w:t xml:space="preserve"> reducing resources use </w:t>
      </w:r>
      <w:r w:rsidR="0011634F">
        <w:t xml:space="preserve">has </w:t>
      </w:r>
      <w:r w:rsidR="007274AD">
        <w:t>on production activities.</w:t>
      </w:r>
    </w:p>
    <w:p w:rsidR="00196284" w:rsidRPr="00DA774D" w:rsidRDefault="00196284" w:rsidP="0073452A"/>
    <w:p w:rsidR="00196284" w:rsidRPr="000A55EB" w:rsidRDefault="00196284" w:rsidP="005832B6">
      <w:pPr>
        <w:keepNext/>
        <w:rPr>
          <w:b/>
        </w:rPr>
      </w:pPr>
      <w:r>
        <w:rPr>
          <w:b/>
        </w:rPr>
        <w:t>A</w:t>
      </w:r>
      <w:r w:rsidRPr="000A55EB">
        <w:rPr>
          <w:b/>
        </w:rPr>
        <w:t>cknowledgements</w:t>
      </w:r>
    </w:p>
    <w:p w:rsidR="00196284" w:rsidRDefault="00196284" w:rsidP="0073452A">
      <w:r>
        <w:t xml:space="preserve">The authors would like to acknowledge </w:t>
      </w:r>
      <w:r w:rsidRPr="00F25F0E">
        <w:t xml:space="preserve">L Beaufort-Jones, D </w:t>
      </w:r>
      <w:proofErr w:type="spellStart"/>
      <w:r w:rsidRPr="00F25F0E">
        <w:t>Gayen</w:t>
      </w:r>
      <w:proofErr w:type="spellEnd"/>
      <w:r w:rsidRPr="00F25F0E">
        <w:t xml:space="preserve">, M Gonzalez Ortega, T </w:t>
      </w:r>
      <w:proofErr w:type="spellStart"/>
      <w:r w:rsidRPr="00F25F0E">
        <w:t>Mangwiro</w:t>
      </w:r>
      <w:proofErr w:type="spellEnd"/>
      <w:r w:rsidRPr="00F25F0E">
        <w:t xml:space="preserve">, O </w:t>
      </w:r>
      <w:proofErr w:type="spellStart"/>
      <w:r w:rsidRPr="00F25F0E">
        <w:t>O</w:t>
      </w:r>
      <w:proofErr w:type="spellEnd"/>
      <w:r w:rsidRPr="00F25F0E">
        <w:t xml:space="preserve"> Oguntuyi, J </w:t>
      </w:r>
      <w:proofErr w:type="spellStart"/>
      <w:r w:rsidRPr="00F25F0E">
        <w:t>Orizu</w:t>
      </w:r>
      <w:proofErr w:type="spellEnd"/>
      <w:r w:rsidRPr="00F25F0E">
        <w:t xml:space="preserve"> and F </w:t>
      </w:r>
      <w:proofErr w:type="spellStart"/>
      <w:r w:rsidRPr="00F25F0E">
        <w:t>Soumare</w:t>
      </w:r>
      <w:proofErr w:type="spellEnd"/>
      <w:r>
        <w:t xml:space="preserve"> for their work on generic IDEF0 material, energy and waste flow maps that informed this investigation.</w:t>
      </w:r>
    </w:p>
    <w:p w:rsidR="00196284" w:rsidRDefault="00196284" w:rsidP="0073452A"/>
    <w:p w:rsidR="00196284" w:rsidRPr="00DA774D" w:rsidRDefault="00196284" w:rsidP="0073452A">
      <w:pPr>
        <w:rPr>
          <w:b/>
        </w:rPr>
      </w:pPr>
      <w:r w:rsidRPr="00DA774D">
        <w:rPr>
          <w:b/>
        </w:rPr>
        <w:t>Words</w:t>
      </w:r>
      <w:r>
        <w:rPr>
          <w:b/>
        </w:rPr>
        <w:t xml:space="preserve"> in main body</w:t>
      </w:r>
      <w:r w:rsidRPr="00DA774D">
        <w:rPr>
          <w:b/>
        </w:rPr>
        <w:t xml:space="preserve">: </w:t>
      </w:r>
      <w:r w:rsidR="00C75600">
        <w:rPr>
          <w:b/>
        </w:rPr>
        <w:t>6</w:t>
      </w:r>
      <w:r w:rsidR="0011634F">
        <w:rPr>
          <w:b/>
        </w:rPr>
        <w:t>,497</w:t>
      </w:r>
    </w:p>
    <w:p w:rsidR="00196284" w:rsidRDefault="00196284" w:rsidP="0073452A"/>
    <w:p w:rsidR="00196284" w:rsidRDefault="00196284" w:rsidP="0073452A">
      <w:pPr>
        <w:rPr>
          <w:b/>
        </w:rPr>
      </w:pPr>
      <w:r w:rsidRPr="00F25F0E">
        <w:rPr>
          <w:b/>
        </w:rPr>
        <w:t>References</w:t>
      </w:r>
    </w:p>
    <w:p w:rsidR="00810E20" w:rsidRPr="00D6072B" w:rsidRDefault="00810E20" w:rsidP="00810E20">
      <w:pPr>
        <w:pStyle w:val="NormalLeft"/>
        <w:numPr>
          <w:ilvl w:val="0"/>
          <w:numId w:val="26"/>
        </w:numPr>
        <w:spacing w:before="0" w:beforeAutospacing="0" w:after="0" w:afterAutospacing="0" w:line="240" w:lineRule="auto"/>
        <w:rPr>
          <w:sz w:val="20"/>
          <w:szCs w:val="20"/>
        </w:rPr>
      </w:pPr>
      <w:bookmarkStart w:id="10" w:name="_Ref274727617"/>
      <w:bookmarkStart w:id="11" w:name="_Ref274727731"/>
      <w:proofErr w:type="spellStart"/>
      <w:r w:rsidRPr="00972707">
        <w:rPr>
          <w:sz w:val="20"/>
          <w:szCs w:val="20"/>
        </w:rPr>
        <w:t>Brundtland</w:t>
      </w:r>
      <w:proofErr w:type="spellEnd"/>
      <w:r w:rsidRPr="00972707">
        <w:rPr>
          <w:sz w:val="20"/>
          <w:szCs w:val="20"/>
        </w:rPr>
        <w:t>, G. 1987. World Commission on Environment and Development, Our Common Future. Oxford University Press, Oxford, UK.</w:t>
      </w:r>
      <w:bookmarkEnd w:id="11"/>
    </w:p>
    <w:p w:rsidR="00196284" w:rsidRDefault="00196284" w:rsidP="00D6072B">
      <w:pPr>
        <w:pStyle w:val="NormalLeft"/>
        <w:numPr>
          <w:ilvl w:val="0"/>
          <w:numId w:val="26"/>
        </w:numPr>
        <w:spacing w:before="0" w:beforeAutospacing="0" w:after="0" w:afterAutospacing="0" w:line="240" w:lineRule="auto"/>
        <w:rPr>
          <w:sz w:val="20"/>
          <w:szCs w:val="20"/>
        </w:rPr>
      </w:pPr>
      <w:bookmarkStart w:id="12" w:name="_Ref309898135"/>
      <w:r w:rsidRPr="00DE0766">
        <w:rPr>
          <w:sz w:val="20"/>
          <w:szCs w:val="20"/>
        </w:rPr>
        <w:t xml:space="preserve">Evans, S., </w:t>
      </w:r>
      <w:proofErr w:type="spellStart"/>
      <w:r w:rsidRPr="00DE0766">
        <w:rPr>
          <w:sz w:val="20"/>
          <w:szCs w:val="20"/>
        </w:rPr>
        <w:t>Bergendahl</w:t>
      </w:r>
      <w:proofErr w:type="spellEnd"/>
      <w:r w:rsidRPr="00DE0766">
        <w:rPr>
          <w:sz w:val="20"/>
          <w:szCs w:val="20"/>
        </w:rPr>
        <w:t>, M. N., Gregory, M. Ryan, C., 2008. Towards a sustainable industrial system with recommendations for education, research, industry and policy, The Institute for Manufacturing, Cambridge, UK.</w:t>
      </w:r>
      <w:bookmarkEnd w:id="10"/>
      <w:bookmarkEnd w:id="12"/>
    </w:p>
    <w:p w:rsidR="00196284" w:rsidRDefault="00196284" w:rsidP="00D6072B">
      <w:pPr>
        <w:pStyle w:val="NormalLeft"/>
        <w:numPr>
          <w:ilvl w:val="0"/>
          <w:numId w:val="26"/>
        </w:numPr>
        <w:spacing w:before="0" w:beforeAutospacing="0" w:after="0" w:afterAutospacing="0" w:line="240" w:lineRule="auto"/>
        <w:rPr>
          <w:sz w:val="20"/>
          <w:szCs w:val="20"/>
        </w:rPr>
      </w:pPr>
      <w:bookmarkStart w:id="13" w:name="_Ref274727637"/>
      <w:r w:rsidRPr="00DE0766">
        <w:rPr>
          <w:sz w:val="20"/>
          <w:szCs w:val="20"/>
        </w:rPr>
        <w:t xml:space="preserve">European Commission. 2010. Factories of the future, </w:t>
      </w:r>
      <w:r w:rsidR="0011634F" w:rsidRPr="0011634F">
        <w:rPr>
          <w:sz w:val="20"/>
          <w:szCs w:val="20"/>
        </w:rPr>
        <w:t>http://ec.europa.eu/research/industrial_technologies/factories-of-the-future_en.html</w:t>
      </w:r>
      <w:r w:rsidRPr="00DE0766">
        <w:rPr>
          <w:sz w:val="20"/>
          <w:szCs w:val="20"/>
        </w:rPr>
        <w:t>, accessed 2</w:t>
      </w:r>
      <w:r w:rsidR="0011634F">
        <w:rPr>
          <w:sz w:val="20"/>
          <w:szCs w:val="20"/>
        </w:rPr>
        <w:t>4</w:t>
      </w:r>
      <w:r w:rsidRPr="00DE0766">
        <w:rPr>
          <w:sz w:val="20"/>
          <w:szCs w:val="20"/>
          <w:vertAlign w:val="superscript"/>
        </w:rPr>
        <w:t>th</w:t>
      </w:r>
      <w:r w:rsidRPr="00DE0766">
        <w:rPr>
          <w:sz w:val="20"/>
          <w:szCs w:val="20"/>
        </w:rPr>
        <w:t xml:space="preserve"> </w:t>
      </w:r>
      <w:r w:rsidR="0011634F">
        <w:rPr>
          <w:sz w:val="20"/>
          <w:szCs w:val="20"/>
        </w:rPr>
        <w:t>November</w:t>
      </w:r>
      <w:r w:rsidRPr="00DE0766">
        <w:rPr>
          <w:sz w:val="20"/>
          <w:szCs w:val="20"/>
        </w:rPr>
        <w:t xml:space="preserve"> 201</w:t>
      </w:r>
      <w:r w:rsidR="0011634F">
        <w:rPr>
          <w:sz w:val="20"/>
          <w:szCs w:val="20"/>
        </w:rPr>
        <w:t>1</w:t>
      </w:r>
      <w:r w:rsidRPr="00DE0766">
        <w:rPr>
          <w:sz w:val="20"/>
          <w:szCs w:val="20"/>
        </w:rPr>
        <w:t>.</w:t>
      </w:r>
      <w:bookmarkEnd w:id="13"/>
    </w:p>
    <w:p w:rsidR="00196284" w:rsidRDefault="00196284" w:rsidP="00D6072B">
      <w:pPr>
        <w:pStyle w:val="NormalLeft"/>
        <w:numPr>
          <w:ilvl w:val="0"/>
          <w:numId w:val="26"/>
        </w:numPr>
        <w:spacing w:before="0" w:beforeAutospacing="0" w:after="0" w:afterAutospacing="0" w:line="240" w:lineRule="auto"/>
        <w:rPr>
          <w:sz w:val="20"/>
          <w:szCs w:val="20"/>
        </w:rPr>
      </w:pPr>
      <w:bookmarkStart w:id="14" w:name="_Ref274744785"/>
      <w:r>
        <w:rPr>
          <w:sz w:val="20"/>
          <w:szCs w:val="20"/>
        </w:rPr>
        <w:t>O’Brien, C. 1999. Sustainable production – a new paradigm for the millennium. International Journal of Production Economics, 60-61, 1-7.</w:t>
      </w:r>
      <w:bookmarkEnd w:id="14"/>
    </w:p>
    <w:p w:rsidR="00196284" w:rsidRDefault="00196284" w:rsidP="00D6072B">
      <w:pPr>
        <w:pStyle w:val="NormalLeft"/>
        <w:numPr>
          <w:ilvl w:val="0"/>
          <w:numId w:val="26"/>
        </w:numPr>
        <w:spacing w:before="0" w:beforeAutospacing="0" w:after="0" w:afterAutospacing="0" w:line="240" w:lineRule="auto"/>
        <w:rPr>
          <w:sz w:val="20"/>
          <w:szCs w:val="20"/>
        </w:rPr>
      </w:pPr>
      <w:bookmarkStart w:id="15" w:name="_Ref274745254"/>
      <w:r>
        <w:rPr>
          <w:sz w:val="20"/>
          <w:szCs w:val="20"/>
        </w:rPr>
        <w:t xml:space="preserve">Yang, C-. L., Lin, S-.P., Chan, Y-.H., </w:t>
      </w:r>
      <w:proofErr w:type="spellStart"/>
      <w:r>
        <w:rPr>
          <w:sz w:val="20"/>
          <w:szCs w:val="20"/>
        </w:rPr>
        <w:t>Sheu</w:t>
      </w:r>
      <w:proofErr w:type="spellEnd"/>
      <w:r>
        <w:rPr>
          <w:sz w:val="20"/>
          <w:szCs w:val="20"/>
        </w:rPr>
        <w:t>, C. 2010. Mediated effect of environmental management on manufacturing competitiveness: An empirical study. International Journal of Production Economics, 123, 210-220.</w:t>
      </w:r>
      <w:bookmarkEnd w:id="15"/>
    </w:p>
    <w:p w:rsidR="00C06105" w:rsidRPr="00DE0766" w:rsidRDefault="00C06105" w:rsidP="00D6072B">
      <w:pPr>
        <w:pStyle w:val="NormalLeft"/>
        <w:numPr>
          <w:ilvl w:val="0"/>
          <w:numId w:val="26"/>
        </w:numPr>
        <w:spacing w:before="0" w:beforeAutospacing="0" w:after="0" w:afterAutospacing="0" w:line="240" w:lineRule="auto"/>
        <w:rPr>
          <w:sz w:val="20"/>
          <w:szCs w:val="20"/>
        </w:rPr>
      </w:pPr>
      <w:bookmarkStart w:id="16" w:name="_Ref309830543"/>
      <w:proofErr w:type="spellStart"/>
      <w:r w:rsidRPr="00C06105">
        <w:rPr>
          <w:sz w:val="20"/>
          <w:szCs w:val="20"/>
        </w:rPr>
        <w:t>Menzel</w:t>
      </w:r>
      <w:proofErr w:type="spellEnd"/>
      <w:r w:rsidRPr="00C06105">
        <w:rPr>
          <w:sz w:val="20"/>
          <w:szCs w:val="20"/>
        </w:rPr>
        <w:t>, V.,</w:t>
      </w:r>
      <w:r>
        <w:rPr>
          <w:sz w:val="20"/>
          <w:szCs w:val="20"/>
        </w:rPr>
        <w:t xml:space="preserve"> </w:t>
      </w:r>
      <w:proofErr w:type="spellStart"/>
      <w:r>
        <w:rPr>
          <w:sz w:val="20"/>
          <w:szCs w:val="20"/>
        </w:rPr>
        <w:t>Smagin</w:t>
      </w:r>
      <w:proofErr w:type="spellEnd"/>
      <w:r>
        <w:rPr>
          <w:sz w:val="20"/>
          <w:szCs w:val="20"/>
        </w:rPr>
        <w:t xml:space="preserve">, J., David, F. 2010. </w:t>
      </w:r>
      <w:r w:rsidRPr="00C06105">
        <w:rPr>
          <w:sz w:val="20"/>
          <w:szCs w:val="20"/>
        </w:rPr>
        <w:t>Can companies pro</w:t>
      </w:r>
      <w:r>
        <w:rPr>
          <w:sz w:val="20"/>
          <w:szCs w:val="20"/>
        </w:rPr>
        <w:t>fit from greener manufacturing</w:t>
      </w:r>
      <w:proofErr w:type="gramStart"/>
      <w:r>
        <w:rPr>
          <w:sz w:val="20"/>
          <w:szCs w:val="20"/>
        </w:rPr>
        <w:t>?</w:t>
      </w:r>
      <w:r w:rsidRPr="00C06105">
        <w:rPr>
          <w:sz w:val="20"/>
          <w:szCs w:val="20"/>
        </w:rPr>
        <w:t>,</w:t>
      </w:r>
      <w:proofErr w:type="gramEnd"/>
      <w:r w:rsidRPr="00C06105">
        <w:rPr>
          <w:sz w:val="20"/>
          <w:szCs w:val="20"/>
        </w:rPr>
        <w:t xml:space="preserve"> Measuring Business Excellence,</w:t>
      </w:r>
      <w:r>
        <w:rPr>
          <w:sz w:val="20"/>
          <w:szCs w:val="20"/>
        </w:rPr>
        <w:t xml:space="preserve"> </w:t>
      </w:r>
      <w:r w:rsidRPr="00C06105">
        <w:rPr>
          <w:sz w:val="20"/>
          <w:szCs w:val="20"/>
        </w:rPr>
        <w:t>14</w:t>
      </w:r>
      <w:r>
        <w:rPr>
          <w:sz w:val="20"/>
          <w:szCs w:val="20"/>
        </w:rPr>
        <w:t xml:space="preserve"> (</w:t>
      </w:r>
      <w:r w:rsidRPr="00C06105">
        <w:rPr>
          <w:sz w:val="20"/>
          <w:szCs w:val="20"/>
        </w:rPr>
        <w:t>2</w:t>
      </w:r>
      <w:r>
        <w:rPr>
          <w:sz w:val="20"/>
          <w:szCs w:val="20"/>
        </w:rPr>
        <w:t>)</w:t>
      </w:r>
      <w:r w:rsidRPr="00C06105">
        <w:rPr>
          <w:sz w:val="20"/>
          <w:szCs w:val="20"/>
        </w:rPr>
        <w:t>, 22-31.</w:t>
      </w:r>
      <w:bookmarkEnd w:id="16"/>
    </w:p>
    <w:p w:rsidR="00196284" w:rsidRDefault="00196284" w:rsidP="00DE0766">
      <w:pPr>
        <w:pStyle w:val="NormalLeft"/>
        <w:numPr>
          <w:ilvl w:val="0"/>
          <w:numId w:val="26"/>
        </w:numPr>
        <w:spacing w:before="0" w:beforeAutospacing="0" w:after="0" w:afterAutospacing="0" w:line="240" w:lineRule="auto"/>
        <w:rPr>
          <w:sz w:val="20"/>
          <w:szCs w:val="20"/>
        </w:rPr>
      </w:pPr>
      <w:bookmarkStart w:id="17" w:name="_Ref274727660"/>
      <w:r w:rsidRPr="00D6072B">
        <w:rPr>
          <w:sz w:val="20"/>
          <w:szCs w:val="20"/>
        </w:rPr>
        <w:t>Ball, P. D., Evan</w:t>
      </w:r>
      <w:r>
        <w:rPr>
          <w:sz w:val="20"/>
          <w:szCs w:val="20"/>
        </w:rPr>
        <w:t xml:space="preserve">s, S., Levers, A., Ellison, D., </w:t>
      </w:r>
      <w:r w:rsidRPr="00D6072B">
        <w:rPr>
          <w:sz w:val="20"/>
          <w:szCs w:val="20"/>
        </w:rPr>
        <w:t>2008</w:t>
      </w:r>
      <w:r>
        <w:rPr>
          <w:sz w:val="20"/>
          <w:szCs w:val="20"/>
        </w:rPr>
        <w:t xml:space="preserve">. </w:t>
      </w:r>
      <w:r w:rsidRPr="00D6072B">
        <w:rPr>
          <w:sz w:val="20"/>
          <w:szCs w:val="20"/>
        </w:rPr>
        <w:t>Zero carbon manufacturing facility – towards integrating material, energy and waste process flows</w:t>
      </w:r>
      <w:r>
        <w:rPr>
          <w:sz w:val="20"/>
          <w:szCs w:val="20"/>
        </w:rPr>
        <w:t>.</w:t>
      </w:r>
      <w:r w:rsidRPr="00D6072B">
        <w:rPr>
          <w:sz w:val="20"/>
          <w:szCs w:val="20"/>
        </w:rPr>
        <w:t xml:space="preserve"> Proceedings of the Institution of Mechanical Engineers, Part B: Journal of Engineering Manufacture, 223</w:t>
      </w:r>
      <w:r>
        <w:rPr>
          <w:sz w:val="20"/>
          <w:szCs w:val="20"/>
        </w:rPr>
        <w:t xml:space="preserve"> (</w:t>
      </w:r>
      <w:r w:rsidRPr="00D6072B">
        <w:rPr>
          <w:sz w:val="20"/>
          <w:szCs w:val="20"/>
        </w:rPr>
        <w:t>9</w:t>
      </w:r>
      <w:r>
        <w:rPr>
          <w:sz w:val="20"/>
          <w:szCs w:val="20"/>
        </w:rPr>
        <w:t>)</w:t>
      </w:r>
      <w:r w:rsidRPr="00D6072B">
        <w:rPr>
          <w:sz w:val="20"/>
          <w:szCs w:val="20"/>
        </w:rPr>
        <w:t>, 1085-1096.</w:t>
      </w:r>
      <w:bookmarkEnd w:id="17"/>
    </w:p>
    <w:p w:rsidR="008E059B" w:rsidRPr="00D6072B" w:rsidRDefault="008E059B" w:rsidP="00DE0766">
      <w:pPr>
        <w:pStyle w:val="NormalLeft"/>
        <w:numPr>
          <w:ilvl w:val="0"/>
          <w:numId w:val="26"/>
        </w:numPr>
        <w:spacing w:before="0" w:beforeAutospacing="0" w:after="0" w:afterAutospacing="0" w:line="240" w:lineRule="auto"/>
        <w:rPr>
          <w:sz w:val="20"/>
          <w:szCs w:val="20"/>
        </w:rPr>
      </w:pPr>
      <w:bookmarkStart w:id="18" w:name="_Ref309829923"/>
      <w:proofErr w:type="spellStart"/>
      <w:r w:rsidRPr="008E059B">
        <w:rPr>
          <w:sz w:val="20"/>
          <w:szCs w:val="20"/>
        </w:rPr>
        <w:t>Schönsleben</w:t>
      </w:r>
      <w:proofErr w:type="spellEnd"/>
      <w:r w:rsidRPr="008E059B">
        <w:rPr>
          <w:sz w:val="20"/>
          <w:szCs w:val="20"/>
        </w:rPr>
        <w:t xml:space="preserve">, P., </w:t>
      </w:r>
      <w:proofErr w:type="spellStart"/>
      <w:r w:rsidRPr="008E059B">
        <w:rPr>
          <w:sz w:val="20"/>
          <w:szCs w:val="20"/>
        </w:rPr>
        <w:t>Vodicka</w:t>
      </w:r>
      <w:proofErr w:type="spellEnd"/>
      <w:r w:rsidRPr="008E059B">
        <w:rPr>
          <w:sz w:val="20"/>
          <w:szCs w:val="20"/>
        </w:rPr>
        <w:t xml:space="preserve">, M., </w:t>
      </w:r>
      <w:proofErr w:type="spellStart"/>
      <w:r w:rsidRPr="008E059B">
        <w:rPr>
          <w:sz w:val="20"/>
          <w:szCs w:val="20"/>
        </w:rPr>
        <w:t>Bunse</w:t>
      </w:r>
      <w:proofErr w:type="spellEnd"/>
      <w:r w:rsidRPr="008E059B">
        <w:rPr>
          <w:sz w:val="20"/>
          <w:szCs w:val="20"/>
        </w:rPr>
        <w:t xml:space="preserve">, K. &amp; Ernst, F.O. 2010 </w:t>
      </w:r>
      <w:proofErr w:type="gramStart"/>
      <w:r w:rsidRPr="008E059B">
        <w:rPr>
          <w:sz w:val="20"/>
          <w:szCs w:val="20"/>
        </w:rPr>
        <w:t>The</w:t>
      </w:r>
      <w:proofErr w:type="gramEnd"/>
      <w:r w:rsidRPr="008E059B">
        <w:rPr>
          <w:sz w:val="20"/>
          <w:szCs w:val="20"/>
        </w:rPr>
        <w:t xml:space="preserve"> changing concept of sustainability and economic opportunities for energy-intensive industries, CIRP Annals - Manufacturing Technology, 59(1): 477-480.</w:t>
      </w:r>
      <w:bookmarkEnd w:id="18"/>
    </w:p>
    <w:p w:rsidR="00196284" w:rsidRDefault="00196284" w:rsidP="00DE0766">
      <w:pPr>
        <w:pStyle w:val="NormalLeft"/>
        <w:numPr>
          <w:ilvl w:val="0"/>
          <w:numId w:val="26"/>
        </w:numPr>
        <w:spacing w:before="0" w:beforeAutospacing="0" w:after="0" w:afterAutospacing="0" w:line="240" w:lineRule="auto"/>
        <w:rPr>
          <w:sz w:val="20"/>
          <w:szCs w:val="20"/>
        </w:rPr>
      </w:pPr>
      <w:bookmarkStart w:id="19" w:name="_Ref274727688"/>
      <w:r w:rsidRPr="00D6072B">
        <w:rPr>
          <w:sz w:val="20"/>
          <w:szCs w:val="20"/>
        </w:rPr>
        <w:t>Industry T</w:t>
      </w:r>
      <w:r>
        <w:rPr>
          <w:sz w:val="20"/>
          <w:szCs w:val="20"/>
        </w:rPr>
        <w:t>oday, 2010.</w:t>
      </w:r>
      <w:r w:rsidRPr="00D6072B">
        <w:rPr>
          <w:sz w:val="20"/>
          <w:szCs w:val="20"/>
        </w:rPr>
        <w:t xml:space="preserve"> A Climate of Change - Manufacturing must rise to the risks and opportunities of global warming</w:t>
      </w:r>
      <w:r>
        <w:rPr>
          <w:sz w:val="20"/>
          <w:szCs w:val="20"/>
        </w:rPr>
        <w:t xml:space="preserve">, </w:t>
      </w:r>
      <w:r w:rsidRPr="00E27495">
        <w:rPr>
          <w:sz w:val="20"/>
          <w:szCs w:val="20"/>
        </w:rPr>
        <w:t>www.usitoday.com/article_view.asp?ArticleID=F272</w:t>
      </w:r>
      <w:r w:rsidRPr="00DE0766">
        <w:t xml:space="preserve">, </w:t>
      </w:r>
      <w:r w:rsidRPr="00D6072B">
        <w:rPr>
          <w:sz w:val="20"/>
          <w:szCs w:val="20"/>
        </w:rPr>
        <w:t xml:space="preserve">accessed </w:t>
      </w:r>
      <w:r w:rsidR="00540D46">
        <w:rPr>
          <w:sz w:val="20"/>
          <w:szCs w:val="20"/>
        </w:rPr>
        <w:t>24</w:t>
      </w:r>
      <w:r w:rsidR="00540D46" w:rsidRPr="00540D46">
        <w:rPr>
          <w:sz w:val="20"/>
          <w:szCs w:val="20"/>
          <w:vertAlign w:val="superscript"/>
        </w:rPr>
        <w:t>th</w:t>
      </w:r>
      <w:r w:rsidR="00540D46">
        <w:rPr>
          <w:sz w:val="20"/>
          <w:szCs w:val="20"/>
        </w:rPr>
        <w:t xml:space="preserve"> November 2011</w:t>
      </w:r>
      <w:r w:rsidRPr="00D6072B">
        <w:rPr>
          <w:sz w:val="20"/>
          <w:szCs w:val="20"/>
        </w:rPr>
        <w:t>.</w:t>
      </w:r>
      <w:bookmarkEnd w:id="19"/>
    </w:p>
    <w:p w:rsidR="00972707" w:rsidRPr="008344AC" w:rsidRDefault="00972707" w:rsidP="00DE0766">
      <w:pPr>
        <w:pStyle w:val="NormalLeft"/>
        <w:numPr>
          <w:ilvl w:val="0"/>
          <w:numId w:val="26"/>
        </w:numPr>
        <w:spacing w:before="0" w:beforeAutospacing="0" w:after="0" w:afterAutospacing="0" w:line="240" w:lineRule="auto"/>
        <w:rPr>
          <w:sz w:val="20"/>
          <w:szCs w:val="20"/>
        </w:rPr>
      </w:pPr>
      <w:bookmarkStart w:id="20" w:name="_Ref275352539"/>
      <w:r w:rsidRPr="008344AC">
        <w:rPr>
          <w:sz w:val="20"/>
          <w:szCs w:val="20"/>
          <w:lang w:val="en-GB"/>
        </w:rPr>
        <w:t xml:space="preserve">Rahimifard, S., Clegg, A. J., 2007. Aspects of sustainable design and manufacture, </w:t>
      </w:r>
      <w:r w:rsidRPr="008344AC">
        <w:rPr>
          <w:iCs/>
          <w:sz w:val="20"/>
          <w:szCs w:val="20"/>
          <w:lang w:val="en-GB"/>
        </w:rPr>
        <w:t xml:space="preserve">International Journal of Production Research, </w:t>
      </w:r>
      <w:r w:rsidRPr="008344AC">
        <w:rPr>
          <w:sz w:val="20"/>
          <w:szCs w:val="20"/>
          <w:lang w:val="en-GB"/>
        </w:rPr>
        <w:t>45 (18-19), 4013-4019.</w:t>
      </w:r>
      <w:bookmarkEnd w:id="20"/>
    </w:p>
    <w:p w:rsidR="00972707" w:rsidRPr="008344AC" w:rsidRDefault="008344AC" w:rsidP="00972707">
      <w:pPr>
        <w:pStyle w:val="NormalLeft"/>
        <w:numPr>
          <w:ilvl w:val="0"/>
          <w:numId w:val="26"/>
        </w:numPr>
        <w:spacing w:line="240" w:lineRule="auto"/>
        <w:rPr>
          <w:sz w:val="20"/>
          <w:szCs w:val="20"/>
        </w:rPr>
      </w:pPr>
      <w:bookmarkStart w:id="21" w:name="_Ref275352597"/>
      <w:r w:rsidRPr="008344AC">
        <w:rPr>
          <w:sz w:val="20"/>
          <w:szCs w:val="20"/>
        </w:rPr>
        <w:t>Abd</w:t>
      </w:r>
      <w:r>
        <w:rPr>
          <w:sz w:val="20"/>
          <w:szCs w:val="20"/>
        </w:rPr>
        <w:t>ul Rashid, S.H.,</w:t>
      </w:r>
      <w:r w:rsidRPr="008344AC">
        <w:rPr>
          <w:sz w:val="20"/>
          <w:szCs w:val="20"/>
        </w:rPr>
        <w:t xml:space="preserve"> Evans</w:t>
      </w:r>
      <w:r>
        <w:rPr>
          <w:sz w:val="20"/>
          <w:szCs w:val="20"/>
        </w:rPr>
        <w:t>, S.</w:t>
      </w:r>
      <w:r w:rsidRPr="008344AC">
        <w:rPr>
          <w:sz w:val="20"/>
          <w:szCs w:val="20"/>
        </w:rPr>
        <w:t xml:space="preserve">, Longhurst, P. </w:t>
      </w:r>
      <w:r w:rsidR="00972707" w:rsidRPr="008344AC">
        <w:rPr>
          <w:sz w:val="20"/>
          <w:szCs w:val="20"/>
        </w:rPr>
        <w:t>2008</w:t>
      </w:r>
      <w:r w:rsidRPr="008344AC">
        <w:rPr>
          <w:sz w:val="20"/>
          <w:szCs w:val="20"/>
        </w:rPr>
        <w:t>.</w:t>
      </w:r>
      <w:r w:rsidR="00972707" w:rsidRPr="008344AC">
        <w:rPr>
          <w:sz w:val="20"/>
          <w:szCs w:val="20"/>
        </w:rPr>
        <w:t xml:space="preserve"> A comparison of four sust</w:t>
      </w:r>
      <w:r w:rsidRPr="008344AC">
        <w:rPr>
          <w:sz w:val="20"/>
          <w:szCs w:val="20"/>
        </w:rPr>
        <w:t>ainable</w:t>
      </w:r>
      <w:r w:rsidR="00972707" w:rsidRPr="008344AC">
        <w:rPr>
          <w:sz w:val="20"/>
          <w:szCs w:val="20"/>
        </w:rPr>
        <w:t xml:space="preserve"> manuf</w:t>
      </w:r>
      <w:r w:rsidRPr="008344AC">
        <w:rPr>
          <w:sz w:val="20"/>
          <w:szCs w:val="20"/>
        </w:rPr>
        <w:t>acturing</w:t>
      </w:r>
      <w:r w:rsidR="00972707" w:rsidRPr="008344AC">
        <w:rPr>
          <w:sz w:val="20"/>
          <w:szCs w:val="20"/>
        </w:rPr>
        <w:t xml:space="preserve"> strategies, Int</w:t>
      </w:r>
      <w:r w:rsidRPr="008344AC">
        <w:rPr>
          <w:sz w:val="20"/>
          <w:szCs w:val="20"/>
        </w:rPr>
        <w:t>er</w:t>
      </w:r>
      <w:r>
        <w:rPr>
          <w:sz w:val="20"/>
          <w:szCs w:val="20"/>
        </w:rPr>
        <w:t>n</w:t>
      </w:r>
      <w:r w:rsidRPr="008344AC">
        <w:rPr>
          <w:sz w:val="20"/>
          <w:szCs w:val="20"/>
        </w:rPr>
        <w:t>ational Journal of Sustainable Engineering,</w:t>
      </w:r>
      <w:r w:rsidR="00972707" w:rsidRPr="008344AC">
        <w:rPr>
          <w:sz w:val="20"/>
          <w:szCs w:val="20"/>
        </w:rPr>
        <w:t xml:space="preserve"> 1(3)</w:t>
      </w:r>
      <w:r w:rsidRPr="008344AC">
        <w:rPr>
          <w:sz w:val="20"/>
          <w:szCs w:val="20"/>
        </w:rPr>
        <w:t xml:space="preserve">, </w:t>
      </w:r>
      <w:r w:rsidR="00972707" w:rsidRPr="008344AC">
        <w:rPr>
          <w:sz w:val="20"/>
          <w:szCs w:val="20"/>
        </w:rPr>
        <w:t>214-229</w:t>
      </w:r>
      <w:bookmarkEnd w:id="21"/>
      <w:r w:rsidRPr="008344AC">
        <w:rPr>
          <w:sz w:val="20"/>
          <w:szCs w:val="20"/>
        </w:rPr>
        <w:t>.</w:t>
      </w:r>
    </w:p>
    <w:p w:rsidR="00972707" w:rsidRPr="008344AC" w:rsidRDefault="00972707" w:rsidP="00972707">
      <w:pPr>
        <w:pStyle w:val="NormalLeft"/>
        <w:numPr>
          <w:ilvl w:val="0"/>
          <w:numId w:val="26"/>
        </w:numPr>
        <w:spacing w:line="240" w:lineRule="auto"/>
        <w:rPr>
          <w:sz w:val="20"/>
          <w:szCs w:val="20"/>
        </w:rPr>
      </w:pPr>
      <w:bookmarkStart w:id="22" w:name="_Ref275352598"/>
      <w:r w:rsidRPr="008344AC">
        <w:rPr>
          <w:sz w:val="20"/>
          <w:szCs w:val="20"/>
          <w:lang w:val="de-DE"/>
        </w:rPr>
        <w:t>Seliger</w:t>
      </w:r>
      <w:r w:rsidR="008344AC" w:rsidRPr="008344AC">
        <w:rPr>
          <w:sz w:val="20"/>
          <w:szCs w:val="20"/>
          <w:lang w:val="de-DE"/>
        </w:rPr>
        <w:t>, G.</w:t>
      </w:r>
      <w:r w:rsidRPr="008344AC">
        <w:rPr>
          <w:sz w:val="20"/>
          <w:szCs w:val="20"/>
          <w:lang w:val="de-DE"/>
        </w:rPr>
        <w:t>, Kim</w:t>
      </w:r>
      <w:r w:rsidR="008344AC" w:rsidRPr="008344AC">
        <w:rPr>
          <w:sz w:val="20"/>
          <w:szCs w:val="20"/>
          <w:lang w:val="de-DE"/>
        </w:rPr>
        <w:t>, H.-J.</w:t>
      </w:r>
      <w:r w:rsidRPr="008344AC">
        <w:rPr>
          <w:sz w:val="20"/>
          <w:szCs w:val="20"/>
          <w:lang w:val="de-DE"/>
        </w:rPr>
        <w:t>, Kernbaum,</w:t>
      </w:r>
      <w:r w:rsidR="008344AC" w:rsidRPr="008344AC">
        <w:rPr>
          <w:sz w:val="20"/>
          <w:szCs w:val="20"/>
          <w:lang w:val="de-DE"/>
        </w:rPr>
        <w:t xml:space="preserve"> S., Zettl, M. 2008. </w:t>
      </w:r>
      <w:r w:rsidRPr="008344AC">
        <w:rPr>
          <w:sz w:val="20"/>
          <w:szCs w:val="20"/>
          <w:lang w:val="de-DE"/>
        </w:rPr>
        <w:t xml:space="preserve"> </w:t>
      </w:r>
      <w:r w:rsidRPr="008344AC">
        <w:rPr>
          <w:sz w:val="20"/>
          <w:szCs w:val="20"/>
        </w:rPr>
        <w:t>Approaches to sustainable manufacturing, Int</w:t>
      </w:r>
      <w:r w:rsidR="008344AC" w:rsidRPr="008344AC">
        <w:rPr>
          <w:sz w:val="20"/>
          <w:szCs w:val="20"/>
        </w:rPr>
        <w:t>ernational Journal of Sustainable Manufacture,</w:t>
      </w:r>
      <w:r w:rsidRPr="008344AC">
        <w:rPr>
          <w:sz w:val="20"/>
          <w:szCs w:val="20"/>
        </w:rPr>
        <w:t xml:space="preserve"> 1(1-2)</w:t>
      </w:r>
      <w:r w:rsidR="008344AC" w:rsidRPr="008344AC">
        <w:rPr>
          <w:sz w:val="20"/>
          <w:szCs w:val="20"/>
        </w:rPr>
        <w:t xml:space="preserve">, </w:t>
      </w:r>
      <w:r w:rsidRPr="008344AC">
        <w:rPr>
          <w:sz w:val="20"/>
          <w:szCs w:val="20"/>
        </w:rPr>
        <w:t>58-77</w:t>
      </w:r>
      <w:bookmarkEnd w:id="22"/>
      <w:r w:rsidR="008344AC" w:rsidRPr="008344AC">
        <w:rPr>
          <w:sz w:val="20"/>
          <w:szCs w:val="20"/>
        </w:rPr>
        <w:t>.</w:t>
      </w:r>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23" w:name="_Ref274727814"/>
      <w:proofErr w:type="spellStart"/>
      <w:r>
        <w:rPr>
          <w:sz w:val="20"/>
          <w:szCs w:val="20"/>
        </w:rPr>
        <w:t>Diesendorf</w:t>
      </w:r>
      <w:proofErr w:type="spellEnd"/>
      <w:r>
        <w:rPr>
          <w:sz w:val="20"/>
          <w:szCs w:val="20"/>
        </w:rPr>
        <w:t xml:space="preserve">, M., 2000, </w:t>
      </w:r>
      <w:r w:rsidRPr="00D6072B">
        <w:rPr>
          <w:sz w:val="20"/>
          <w:szCs w:val="20"/>
        </w:rPr>
        <w:t xml:space="preserve">Sustainability and sustainable development, in </w:t>
      </w:r>
      <w:proofErr w:type="spellStart"/>
      <w:r w:rsidRPr="00D6072B">
        <w:rPr>
          <w:sz w:val="20"/>
          <w:szCs w:val="20"/>
        </w:rPr>
        <w:t>Dunphy</w:t>
      </w:r>
      <w:proofErr w:type="spellEnd"/>
      <w:r w:rsidRPr="00D6072B">
        <w:rPr>
          <w:sz w:val="20"/>
          <w:szCs w:val="20"/>
        </w:rPr>
        <w:t xml:space="preserve">, D., </w:t>
      </w:r>
      <w:proofErr w:type="spellStart"/>
      <w:r w:rsidRPr="00D6072B">
        <w:rPr>
          <w:sz w:val="20"/>
          <w:szCs w:val="20"/>
        </w:rPr>
        <w:t>Benveniste</w:t>
      </w:r>
      <w:proofErr w:type="spellEnd"/>
      <w:r w:rsidRPr="00D6072B">
        <w:rPr>
          <w:sz w:val="20"/>
          <w:szCs w:val="20"/>
        </w:rPr>
        <w:t xml:space="preserve">, J., Griffiths, A. and Sutton, P. (editors), Sustainability: The corporate challenge </w:t>
      </w:r>
      <w:r w:rsidRPr="00DE0766">
        <w:rPr>
          <w:sz w:val="20"/>
          <w:szCs w:val="20"/>
        </w:rPr>
        <w:t>of the 21st century</w:t>
      </w:r>
      <w:r w:rsidRPr="00D6072B">
        <w:rPr>
          <w:sz w:val="20"/>
          <w:szCs w:val="20"/>
        </w:rPr>
        <w:t xml:space="preserve">, Allen &amp; </w:t>
      </w:r>
      <w:proofErr w:type="spellStart"/>
      <w:r w:rsidRPr="00D6072B">
        <w:rPr>
          <w:sz w:val="20"/>
          <w:szCs w:val="20"/>
        </w:rPr>
        <w:t>Unwin</w:t>
      </w:r>
      <w:proofErr w:type="spellEnd"/>
      <w:r w:rsidRPr="00D6072B">
        <w:rPr>
          <w:sz w:val="20"/>
          <w:szCs w:val="20"/>
        </w:rPr>
        <w:t xml:space="preserve">, </w:t>
      </w:r>
      <w:r>
        <w:rPr>
          <w:sz w:val="20"/>
          <w:szCs w:val="20"/>
        </w:rPr>
        <w:t xml:space="preserve">Sydney, </w:t>
      </w:r>
      <w:r w:rsidRPr="00D6072B">
        <w:rPr>
          <w:sz w:val="20"/>
          <w:szCs w:val="20"/>
        </w:rPr>
        <w:t>19-37.</w:t>
      </w:r>
      <w:bookmarkEnd w:id="23"/>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24" w:name="_Ref274727847"/>
      <w:r>
        <w:rPr>
          <w:sz w:val="20"/>
          <w:szCs w:val="20"/>
        </w:rPr>
        <w:t xml:space="preserve">Daly, H, E., </w:t>
      </w:r>
      <w:r w:rsidRPr="00D6072B">
        <w:rPr>
          <w:sz w:val="20"/>
          <w:szCs w:val="20"/>
        </w:rPr>
        <w:t>1990</w:t>
      </w:r>
      <w:r>
        <w:rPr>
          <w:sz w:val="20"/>
          <w:szCs w:val="20"/>
        </w:rPr>
        <w:t xml:space="preserve">. </w:t>
      </w:r>
      <w:r w:rsidRPr="00D6072B">
        <w:rPr>
          <w:sz w:val="20"/>
          <w:szCs w:val="20"/>
        </w:rPr>
        <w:t xml:space="preserve">Toward some operational principles of sustainable development”, </w:t>
      </w:r>
      <w:r w:rsidRPr="00DE0766">
        <w:rPr>
          <w:sz w:val="20"/>
          <w:szCs w:val="20"/>
        </w:rPr>
        <w:t>Ecological Economics</w:t>
      </w:r>
      <w:r w:rsidRPr="00D6072B">
        <w:rPr>
          <w:sz w:val="20"/>
          <w:szCs w:val="20"/>
        </w:rPr>
        <w:t>, 2</w:t>
      </w:r>
      <w:r>
        <w:rPr>
          <w:sz w:val="20"/>
          <w:szCs w:val="20"/>
        </w:rPr>
        <w:t xml:space="preserve"> (</w:t>
      </w:r>
      <w:r w:rsidRPr="00D6072B">
        <w:rPr>
          <w:sz w:val="20"/>
          <w:szCs w:val="20"/>
        </w:rPr>
        <w:t>1</w:t>
      </w:r>
      <w:r>
        <w:rPr>
          <w:sz w:val="20"/>
          <w:szCs w:val="20"/>
        </w:rPr>
        <w:t xml:space="preserve">), </w:t>
      </w:r>
      <w:r w:rsidRPr="00D6072B">
        <w:rPr>
          <w:sz w:val="20"/>
          <w:szCs w:val="20"/>
        </w:rPr>
        <w:t>1-6.</w:t>
      </w:r>
      <w:bookmarkEnd w:id="24"/>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25" w:name="_Ref274727861"/>
      <w:proofErr w:type="spellStart"/>
      <w:r>
        <w:rPr>
          <w:sz w:val="20"/>
          <w:szCs w:val="20"/>
        </w:rPr>
        <w:t>Esty</w:t>
      </w:r>
      <w:proofErr w:type="spellEnd"/>
      <w:r>
        <w:rPr>
          <w:sz w:val="20"/>
          <w:szCs w:val="20"/>
        </w:rPr>
        <w:t xml:space="preserve">, D.C., Winston, A. S., </w:t>
      </w:r>
      <w:r w:rsidRPr="00D6072B">
        <w:rPr>
          <w:sz w:val="20"/>
          <w:szCs w:val="20"/>
        </w:rPr>
        <w:t>2009</w:t>
      </w:r>
      <w:r>
        <w:rPr>
          <w:sz w:val="20"/>
          <w:szCs w:val="20"/>
        </w:rPr>
        <w:t>.</w:t>
      </w:r>
      <w:r w:rsidRPr="00D6072B">
        <w:rPr>
          <w:sz w:val="20"/>
          <w:szCs w:val="20"/>
        </w:rPr>
        <w:t xml:space="preserve"> Green to Gold: How Smart Companies Use Environmental Strategy to Innovate, Create Value, and Build Competitive Advantage, Wiley, </w:t>
      </w:r>
      <w:proofErr w:type="spellStart"/>
      <w:r w:rsidRPr="00D6072B">
        <w:rPr>
          <w:sz w:val="20"/>
          <w:szCs w:val="20"/>
        </w:rPr>
        <w:t>Chichester</w:t>
      </w:r>
      <w:proofErr w:type="spellEnd"/>
      <w:r w:rsidRPr="00D6072B">
        <w:rPr>
          <w:sz w:val="20"/>
          <w:szCs w:val="20"/>
        </w:rPr>
        <w:t>, UK.</w:t>
      </w:r>
      <w:bookmarkEnd w:id="25"/>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26" w:name="_Ref274727882"/>
      <w:proofErr w:type="spellStart"/>
      <w:r>
        <w:rPr>
          <w:sz w:val="20"/>
          <w:szCs w:val="20"/>
        </w:rPr>
        <w:t>Gaughran</w:t>
      </w:r>
      <w:proofErr w:type="spellEnd"/>
      <w:r>
        <w:rPr>
          <w:sz w:val="20"/>
          <w:szCs w:val="20"/>
        </w:rPr>
        <w:t xml:space="preserve">, W. F., Burke, S., Phelan, P., 2007. </w:t>
      </w:r>
      <w:r w:rsidRPr="00D6072B">
        <w:rPr>
          <w:sz w:val="20"/>
          <w:szCs w:val="20"/>
        </w:rPr>
        <w:t>Intelligent manufacturing and environmental sustainability. Robotics and Computer-Integrated Manufacturing, 23(6), 704–711.</w:t>
      </w:r>
      <w:bookmarkEnd w:id="26"/>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27" w:name="_Ref274727894"/>
      <w:proofErr w:type="spellStart"/>
      <w:r>
        <w:rPr>
          <w:sz w:val="20"/>
          <w:szCs w:val="20"/>
        </w:rPr>
        <w:lastRenderedPageBreak/>
        <w:t>Elkington</w:t>
      </w:r>
      <w:proofErr w:type="spellEnd"/>
      <w:r>
        <w:rPr>
          <w:sz w:val="20"/>
          <w:szCs w:val="20"/>
        </w:rPr>
        <w:t xml:space="preserve">, J., </w:t>
      </w:r>
      <w:r w:rsidRPr="00D6072B">
        <w:rPr>
          <w:sz w:val="20"/>
          <w:szCs w:val="20"/>
        </w:rPr>
        <w:t>1998</w:t>
      </w:r>
      <w:r>
        <w:rPr>
          <w:sz w:val="20"/>
          <w:szCs w:val="20"/>
        </w:rPr>
        <w:t>.</w:t>
      </w:r>
      <w:r w:rsidRPr="00D6072B">
        <w:rPr>
          <w:sz w:val="20"/>
          <w:szCs w:val="20"/>
        </w:rPr>
        <w:t xml:space="preserve"> Cannibals with Forks: The Triple Bottom Line of 21st Century Business, New Society Publishers, Connecticut, USA.</w:t>
      </w:r>
      <w:bookmarkEnd w:id="27"/>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28" w:name="_Ref274727930"/>
      <w:r w:rsidRPr="00D6072B">
        <w:rPr>
          <w:sz w:val="20"/>
          <w:szCs w:val="20"/>
        </w:rPr>
        <w:t>Sharma, A., 2010</w:t>
      </w:r>
      <w:r>
        <w:rPr>
          <w:sz w:val="20"/>
          <w:szCs w:val="20"/>
        </w:rPr>
        <w:t>.</w:t>
      </w:r>
      <w:r w:rsidRPr="00D6072B">
        <w:rPr>
          <w:sz w:val="20"/>
          <w:szCs w:val="20"/>
        </w:rPr>
        <w:t xml:space="preserve"> Business as Unusual: Trash to Cash</w:t>
      </w:r>
      <w:r>
        <w:rPr>
          <w:sz w:val="20"/>
          <w:szCs w:val="20"/>
        </w:rPr>
        <w:t xml:space="preserve">, </w:t>
      </w:r>
      <w:r w:rsidRPr="000D036D">
        <w:rPr>
          <w:sz w:val="20"/>
          <w:szCs w:val="20"/>
        </w:rPr>
        <w:t>www.themanufacturer.com/uk/content/10784/Business_as_Unusual%3A_Trash_to_Cash</w:t>
      </w:r>
      <w:r>
        <w:rPr>
          <w:sz w:val="20"/>
          <w:szCs w:val="20"/>
        </w:rPr>
        <w:t xml:space="preserve">, </w:t>
      </w:r>
      <w:r w:rsidRPr="00D6072B">
        <w:rPr>
          <w:sz w:val="20"/>
          <w:szCs w:val="20"/>
        </w:rPr>
        <w:t>access</w:t>
      </w:r>
      <w:r w:rsidR="00540D46">
        <w:rPr>
          <w:sz w:val="20"/>
          <w:szCs w:val="20"/>
        </w:rPr>
        <w:t>ed 24</w:t>
      </w:r>
      <w:r w:rsidR="00540D46" w:rsidRPr="00540D46">
        <w:rPr>
          <w:sz w:val="20"/>
          <w:szCs w:val="20"/>
          <w:vertAlign w:val="superscript"/>
        </w:rPr>
        <w:t>th</w:t>
      </w:r>
      <w:r w:rsidR="00540D46">
        <w:rPr>
          <w:sz w:val="20"/>
          <w:szCs w:val="20"/>
        </w:rPr>
        <w:t xml:space="preserve"> November 2011</w:t>
      </w:r>
      <w:r w:rsidRPr="00D6072B">
        <w:rPr>
          <w:sz w:val="20"/>
          <w:szCs w:val="20"/>
        </w:rPr>
        <w:t>.</w:t>
      </w:r>
      <w:bookmarkEnd w:id="28"/>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29" w:name="_Ref274727952"/>
      <w:proofErr w:type="spellStart"/>
      <w:r>
        <w:rPr>
          <w:sz w:val="20"/>
          <w:szCs w:val="20"/>
        </w:rPr>
        <w:t>Machin</w:t>
      </w:r>
      <w:proofErr w:type="spellEnd"/>
      <w:r>
        <w:rPr>
          <w:sz w:val="20"/>
          <w:szCs w:val="20"/>
        </w:rPr>
        <w:t xml:space="preserve">, E., </w:t>
      </w:r>
      <w:r w:rsidRPr="00D6072B">
        <w:rPr>
          <w:sz w:val="20"/>
          <w:szCs w:val="20"/>
        </w:rPr>
        <w:t>2010</w:t>
      </w:r>
      <w:r>
        <w:rPr>
          <w:sz w:val="20"/>
          <w:szCs w:val="20"/>
        </w:rPr>
        <w:t xml:space="preserve">. </w:t>
      </w:r>
      <w:proofErr w:type="spellStart"/>
      <w:r w:rsidRPr="00D6072B">
        <w:rPr>
          <w:sz w:val="20"/>
          <w:szCs w:val="20"/>
        </w:rPr>
        <w:t>Emissionary</w:t>
      </w:r>
      <w:proofErr w:type="spellEnd"/>
      <w:r w:rsidRPr="00D6072B">
        <w:rPr>
          <w:sz w:val="20"/>
          <w:szCs w:val="20"/>
        </w:rPr>
        <w:t xml:space="preserve"> Times</w:t>
      </w:r>
      <w:r>
        <w:rPr>
          <w:sz w:val="20"/>
          <w:szCs w:val="20"/>
        </w:rPr>
        <w:t xml:space="preserve">, </w:t>
      </w:r>
      <w:r w:rsidRPr="000D036D">
        <w:rPr>
          <w:sz w:val="20"/>
          <w:szCs w:val="20"/>
        </w:rPr>
        <w:t>http://www.themanufacturer.com/uk/detail.html?contents_id=9923</w:t>
      </w:r>
      <w:r>
        <w:rPr>
          <w:sz w:val="20"/>
          <w:szCs w:val="20"/>
        </w:rPr>
        <w:t xml:space="preserve">, </w:t>
      </w:r>
      <w:r w:rsidRPr="00D6072B">
        <w:rPr>
          <w:sz w:val="20"/>
          <w:szCs w:val="20"/>
        </w:rPr>
        <w:t xml:space="preserve">accessed </w:t>
      </w:r>
      <w:r w:rsidR="00540D46">
        <w:rPr>
          <w:sz w:val="20"/>
          <w:szCs w:val="20"/>
        </w:rPr>
        <w:t>24 November 2011</w:t>
      </w:r>
      <w:r w:rsidRPr="00D6072B">
        <w:rPr>
          <w:sz w:val="20"/>
          <w:szCs w:val="20"/>
        </w:rPr>
        <w:t>.</w:t>
      </w:r>
      <w:bookmarkEnd w:id="29"/>
    </w:p>
    <w:p w:rsidR="00196284" w:rsidRDefault="00196284" w:rsidP="00DE0766">
      <w:pPr>
        <w:pStyle w:val="NormalLeft"/>
        <w:numPr>
          <w:ilvl w:val="0"/>
          <w:numId w:val="26"/>
        </w:numPr>
        <w:spacing w:before="0" w:beforeAutospacing="0" w:after="0" w:afterAutospacing="0" w:line="240" w:lineRule="auto"/>
        <w:rPr>
          <w:sz w:val="20"/>
          <w:szCs w:val="20"/>
        </w:rPr>
      </w:pPr>
      <w:bookmarkStart w:id="30" w:name="_Ref274727966"/>
      <w:r>
        <w:rPr>
          <w:sz w:val="20"/>
          <w:szCs w:val="20"/>
        </w:rPr>
        <w:t>The Manufacturer.com, 2010.</w:t>
      </w:r>
      <w:r w:rsidRPr="00D6072B">
        <w:rPr>
          <w:sz w:val="20"/>
          <w:szCs w:val="20"/>
        </w:rPr>
        <w:t xml:space="preserve"> Of sustainability and profit</w:t>
      </w:r>
      <w:r>
        <w:rPr>
          <w:sz w:val="20"/>
          <w:szCs w:val="20"/>
        </w:rPr>
        <w:t xml:space="preserve">, </w:t>
      </w:r>
      <w:r w:rsidRPr="000D036D">
        <w:rPr>
          <w:sz w:val="20"/>
          <w:szCs w:val="20"/>
        </w:rPr>
        <w:t>www.themanufacturer.com/uk/content/10158/Of_sustainability_and_profit</w:t>
      </w:r>
      <w:r>
        <w:rPr>
          <w:sz w:val="20"/>
          <w:szCs w:val="20"/>
        </w:rPr>
        <w:t xml:space="preserve">, </w:t>
      </w:r>
      <w:r w:rsidRPr="00D6072B">
        <w:rPr>
          <w:sz w:val="20"/>
          <w:szCs w:val="20"/>
        </w:rPr>
        <w:t xml:space="preserve">accessed </w:t>
      </w:r>
      <w:r w:rsidR="00540D46">
        <w:rPr>
          <w:sz w:val="20"/>
          <w:szCs w:val="20"/>
        </w:rPr>
        <w:t>24 November 2011</w:t>
      </w:r>
      <w:r w:rsidRPr="00D6072B">
        <w:rPr>
          <w:sz w:val="20"/>
          <w:szCs w:val="20"/>
        </w:rPr>
        <w:t>.</w:t>
      </w:r>
      <w:bookmarkEnd w:id="30"/>
    </w:p>
    <w:p w:rsidR="00B238BB" w:rsidRPr="00D6072B" w:rsidRDefault="00B238BB" w:rsidP="00DE0766">
      <w:pPr>
        <w:pStyle w:val="NormalLeft"/>
        <w:numPr>
          <w:ilvl w:val="0"/>
          <w:numId w:val="26"/>
        </w:numPr>
        <w:spacing w:before="0" w:beforeAutospacing="0" w:after="0" w:afterAutospacing="0" w:line="240" w:lineRule="auto"/>
        <w:rPr>
          <w:sz w:val="20"/>
          <w:szCs w:val="20"/>
        </w:rPr>
      </w:pPr>
      <w:bookmarkStart w:id="31" w:name="_Ref309898842"/>
      <w:r>
        <w:rPr>
          <w:sz w:val="20"/>
          <w:szCs w:val="20"/>
        </w:rPr>
        <w:t xml:space="preserve">Yang, M.G., Hong, P., </w:t>
      </w:r>
      <w:proofErr w:type="spellStart"/>
      <w:r w:rsidRPr="00B238BB">
        <w:rPr>
          <w:sz w:val="20"/>
          <w:szCs w:val="20"/>
        </w:rPr>
        <w:t>Modi</w:t>
      </w:r>
      <w:proofErr w:type="spellEnd"/>
      <w:r w:rsidRPr="00B238BB">
        <w:rPr>
          <w:sz w:val="20"/>
          <w:szCs w:val="20"/>
        </w:rPr>
        <w:t xml:space="preserve">, S.B. 2011. Impact of lean manufacturing and environmental management on business performance: An empirical study of manufacturing </w:t>
      </w:r>
      <w:proofErr w:type="spellStart"/>
      <w:r w:rsidRPr="00B238BB">
        <w:rPr>
          <w:sz w:val="20"/>
          <w:szCs w:val="20"/>
        </w:rPr>
        <w:t>ﬁrms</w:t>
      </w:r>
      <w:proofErr w:type="spellEnd"/>
      <w:r w:rsidRPr="00B238BB">
        <w:rPr>
          <w:sz w:val="20"/>
          <w:szCs w:val="20"/>
        </w:rPr>
        <w:t>, International Journal of Production Economics, 129: 251-261.</w:t>
      </w:r>
      <w:bookmarkEnd w:id="31"/>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32" w:name="_Ref274728007"/>
      <w:r>
        <w:rPr>
          <w:sz w:val="20"/>
          <w:szCs w:val="20"/>
        </w:rPr>
        <w:t xml:space="preserve">Ford Motor Company, </w:t>
      </w:r>
      <w:r w:rsidRPr="00D6072B">
        <w:rPr>
          <w:sz w:val="20"/>
          <w:szCs w:val="20"/>
        </w:rPr>
        <w:t>2007</w:t>
      </w:r>
      <w:r>
        <w:rPr>
          <w:sz w:val="20"/>
          <w:szCs w:val="20"/>
        </w:rPr>
        <w:t xml:space="preserve">. </w:t>
      </w:r>
      <w:r w:rsidRPr="00D6072B">
        <w:rPr>
          <w:sz w:val="20"/>
          <w:szCs w:val="20"/>
        </w:rPr>
        <w:t>Sustainability Report 2007/08 - Dagenham Engine Plant Case Study</w:t>
      </w:r>
      <w:r>
        <w:rPr>
          <w:sz w:val="20"/>
          <w:szCs w:val="20"/>
        </w:rPr>
        <w:t>,</w:t>
      </w:r>
      <w:r w:rsidRPr="00D6072B">
        <w:rPr>
          <w:sz w:val="20"/>
          <w:szCs w:val="20"/>
        </w:rPr>
        <w:t xml:space="preserve"> </w:t>
      </w:r>
      <w:r w:rsidRPr="000D036D">
        <w:rPr>
          <w:sz w:val="20"/>
          <w:szCs w:val="20"/>
        </w:rPr>
        <w:t>www.ford.com/microsites/sustainability-report-2007-08/environment-case-dagenham</w:t>
      </w:r>
      <w:r>
        <w:rPr>
          <w:sz w:val="20"/>
          <w:szCs w:val="20"/>
        </w:rPr>
        <w:t xml:space="preserve">, </w:t>
      </w:r>
      <w:r w:rsidRPr="00D6072B">
        <w:rPr>
          <w:sz w:val="20"/>
          <w:szCs w:val="20"/>
        </w:rPr>
        <w:t>accessed 31</w:t>
      </w:r>
      <w:r w:rsidRPr="00DE0766">
        <w:rPr>
          <w:sz w:val="20"/>
          <w:szCs w:val="20"/>
        </w:rPr>
        <w:t>st</w:t>
      </w:r>
      <w:r>
        <w:rPr>
          <w:sz w:val="20"/>
          <w:szCs w:val="20"/>
        </w:rPr>
        <w:t xml:space="preserve"> July 2010</w:t>
      </w:r>
      <w:r w:rsidRPr="00D6072B">
        <w:rPr>
          <w:sz w:val="20"/>
          <w:szCs w:val="20"/>
        </w:rPr>
        <w:t>.</w:t>
      </w:r>
      <w:bookmarkEnd w:id="32"/>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33" w:name="_Ref274728016"/>
      <w:r>
        <w:rPr>
          <w:sz w:val="20"/>
          <w:szCs w:val="20"/>
        </w:rPr>
        <w:t xml:space="preserve">Sony, </w:t>
      </w:r>
      <w:r w:rsidRPr="00D6072B">
        <w:rPr>
          <w:sz w:val="20"/>
          <w:szCs w:val="20"/>
        </w:rPr>
        <w:t>2010</w:t>
      </w:r>
      <w:r>
        <w:rPr>
          <w:sz w:val="20"/>
          <w:szCs w:val="20"/>
        </w:rPr>
        <w:t xml:space="preserve">. </w:t>
      </w:r>
      <w:r w:rsidRPr="00DE0766">
        <w:rPr>
          <w:sz w:val="20"/>
          <w:szCs w:val="20"/>
        </w:rPr>
        <w:t xml:space="preserve">Sony launches Road to Zero environmental plan and sets 2015 mid-term targets, </w:t>
      </w:r>
      <w:r w:rsidRPr="000D036D">
        <w:rPr>
          <w:sz w:val="20"/>
          <w:szCs w:val="20"/>
        </w:rPr>
        <w:t>www.sony.com/SCA/press/100407.shtml</w:t>
      </w:r>
      <w:r>
        <w:rPr>
          <w:sz w:val="20"/>
          <w:szCs w:val="20"/>
        </w:rPr>
        <w:t xml:space="preserve">, </w:t>
      </w:r>
      <w:r w:rsidRPr="00D6072B">
        <w:rPr>
          <w:sz w:val="20"/>
          <w:szCs w:val="20"/>
        </w:rPr>
        <w:t xml:space="preserve">accessed </w:t>
      </w:r>
      <w:r w:rsidR="00540D46">
        <w:rPr>
          <w:sz w:val="20"/>
          <w:szCs w:val="20"/>
        </w:rPr>
        <w:t>24</w:t>
      </w:r>
      <w:r w:rsidR="00540D46" w:rsidRPr="00540D46">
        <w:rPr>
          <w:sz w:val="20"/>
          <w:szCs w:val="20"/>
          <w:vertAlign w:val="superscript"/>
        </w:rPr>
        <w:t>th</w:t>
      </w:r>
      <w:r w:rsidR="00540D46">
        <w:rPr>
          <w:sz w:val="20"/>
          <w:szCs w:val="20"/>
        </w:rPr>
        <w:t xml:space="preserve"> November 2011</w:t>
      </w:r>
      <w:r w:rsidRPr="00D6072B">
        <w:rPr>
          <w:sz w:val="20"/>
          <w:szCs w:val="20"/>
        </w:rPr>
        <w:t>.</w:t>
      </w:r>
      <w:bookmarkEnd w:id="33"/>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34" w:name="_Ref274728037"/>
      <w:r>
        <w:rPr>
          <w:sz w:val="20"/>
          <w:szCs w:val="20"/>
        </w:rPr>
        <w:t>Rolls Royce, 2010.</w:t>
      </w:r>
      <w:r w:rsidRPr="00D6072B">
        <w:rPr>
          <w:sz w:val="20"/>
          <w:szCs w:val="20"/>
        </w:rPr>
        <w:t xml:space="preserve"> Operational Excellence</w:t>
      </w:r>
      <w:r>
        <w:rPr>
          <w:sz w:val="20"/>
          <w:szCs w:val="20"/>
        </w:rPr>
        <w:t xml:space="preserve">, </w:t>
      </w:r>
      <w:r w:rsidRPr="000D036D">
        <w:rPr>
          <w:sz w:val="20"/>
          <w:szCs w:val="20"/>
        </w:rPr>
        <w:t>www.rolls-royce.com/cr/environment/operational_excellence.jsp</w:t>
      </w:r>
      <w:r w:rsidRPr="00D6072B">
        <w:rPr>
          <w:sz w:val="20"/>
          <w:szCs w:val="20"/>
        </w:rPr>
        <w:t>, accessed 5</w:t>
      </w:r>
      <w:r w:rsidRPr="00DE0766">
        <w:rPr>
          <w:sz w:val="20"/>
          <w:szCs w:val="20"/>
        </w:rPr>
        <w:t>th</w:t>
      </w:r>
      <w:r w:rsidRPr="00D6072B">
        <w:rPr>
          <w:sz w:val="20"/>
          <w:szCs w:val="20"/>
        </w:rPr>
        <w:t xml:space="preserve"> September</w:t>
      </w:r>
      <w:r>
        <w:rPr>
          <w:sz w:val="20"/>
          <w:szCs w:val="20"/>
        </w:rPr>
        <w:t xml:space="preserve"> 2010</w:t>
      </w:r>
      <w:r w:rsidRPr="00D6072B">
        <w:rPr>
          <w:sz w:val="20"/>
          <w:szCs w:val="20"/>
        </w:rPr>
        <w:t>.</w:t>
      </w:r>
      <w:bookmarkEnd w:id="34"/>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35" w:name="_Ref274728057"/>
      <w:r w:rsidRPr="00D6072B">
        <w:rPr>
          <w:sz w:val="20"/>
          <w:szCs w:val="20"/>
        </w:rPr>
        <w:t xml:space="preserve">Broman, G., Holmberg, J., </w:t>
      </w:r>
      <w:proofErr w:type="spellStart"/>
      <w:r w:rsidRPr="00D6072B">
        <w:rPr>
          <w:sz w:val="20"/>
          <w:szCs w:val="20"/>
        </w:rPr>
        <w:t>Robèrt</w:t>
      </w:r>
      <w:proofErr w:type="spellEnd"/>
      <w:r w:rsidRPr="00D6072B">
        <w:rPr>
          <w:sz w:val="20"/>
          <w:szCs w:val="20"/>
        </w:rPr>
        <w:t>. K. H.</w:t>
      </w:r>
      <w:r>
        <w:rPr>
          <w:sz w:val="20"/>
          <w:szCs w:val="20"/>
        </w:rPr>
        <w:t>,</w:t>
      </w:r>
      <w:r w:rsidRPr="00D6072B">
        <w:rPr>
          <w:sz w:val="20"/>
          <w:szCs w:val="20"/>
        </w:rPr>
        <w:t xml:space="preserve"> </w:t>
      </w:r>
      <w:r>
        <w:rPr>
          <w:sz w:val="20"/>
          <w:szCs w:val="20"/>
        </w:rPr>
        <w:t>2000.</w:t>
      </w:r>
      <w:r w:rsidRPr="00D6072B">
        <w:rPr>
          <w:sz w:val="20"/>
          <w:szCs w:val="20"/>
        </w:rPr>
        <w:t xml:space="preserve"> Simplicity Without Reduction - Thinking Upstream Towards the Sustainable Society, </w:t>
      </w:r>
      <w:r>
        <w:rPr>
          <w:sz w:val="20"/>
          <w:szCs w:val="20"/>
        </w:rPr>
        <w:t xml:space="preserve">Interfaces: </w:t>
      </w:r>
      <w:r w:rsidRPr="00DE0766">
        <w:rPr>
          <w:sz w:val="20"/>
          <w:szCs w:val="20"/>
        </w:rPr>
        <w:t>International Journal of the Institute for Operations Research and the Management Sciences</w:t>
      </w:r>
      <w:r w:rsidRPr="00D6072B">
        <w:rPr>
          <w:sz w:val="20"/>
          <w:szCs w:val="20"/>
        </w:rPr>
        <w:t>, 30 (3)</w:t>
      </w:r>
      <w:r>
        <w:rPr>
          <w:sz w:val="20"/>
          <w:szCs w:val="20"/>
        </w:rPr>
        <w:t>, 13-25</w:t>
      </w:r>
      <w:bookmarkEnd w:id="35"/>
      <w:r>
        <w:rPr>
          <w:sz w:val="20"/>
          <w:szCs w:val="20"/>
        </w:rPr>
        <w:t>.</w:t>
      </w:r>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36" w:name="_Ref274728085"/>
      <w:r w:rsidRPr="00074149">
        <w:rPr>
          <w:sz w:val="20"/>
          <w:szCs w:val="20"/>
          <w:lang w:val="de-DE"/>
        </w:rPr>
        <w:t>Graedel</w:t>
      </w:r>
      <w:bookmarkEnd w:id="36"/>
      <w:r w:rsidRPr="00074149">
        <w:rPr>
          <w:sz w:val="20"/>
          <w:szCs w:val="20"/>
          <w:lang w:val="de-DE"/>
        </w:rPr>
        <w:t xml:space="preserve">, T. E., Allenby, B. R., 2002. </w:t>
      </w:r>
      <w:r w:rsidRPr="00074149">
        <w:rPr>
          <w:sz w:val="20"/>
          <w:szCs w:val="20"/>
        </w:rPr>
        <w:t>Industrial ecology, Prentice Hall, Englewood Cliffs, NJ,</w:t>
      </w:r>
      <w:r>
        <w:rPr>
          <w:sz w:val="20"/>
          <w:szCs w:val="20"/>
        </w:rPr>
        <w:t xml:space="preserve"> USA.</w:t>
      </w:r>
    </w:p>
    <w:p w:rsidR="00196284" w:rsidRDefault="00196284" w:rsidP="00DE0766">
      <w:pPr>
        <w:pStyle w:val="NormalLeft"/>
        <w:numPr>
          <w:ilvl w:val="0"/>
          <w:numId w:val="26"/>
        </w:numPr>
        <w:spacing w:before="0" w:beforeAutospacing="0" w:after="0" w:afterAutospacing="0" w:line="240" w:lineRule="auto"/>
        <w:rPr>
          <w:sz w:val="20"/>
          <w:szCs w:val="20"/>
        </w:rPr>
      </w:pPr>
      <w:bookmarkStart w:id="37" w:name="_Ref274728109"/>
      <w:bookmarkStart w:id="38" w:name="_Ref274728129"/>
      <w:r w:rsidRPr="00D6072B">
        <w:rPr>
          <w:sz w:val="20"/>
          <w:szCs w:val="20"/>
        </w:rPr>
        <w:t>Andrews, C. J.</w:t>
      </w:r>
      <w:r>
        <w:rPr>
          <w:sz w:val="20"/>
          <w:szCs w:val="20"/>
        </w:rPr>
        <w:t>,</w:t>
      </w:r>
      <w:r w:rsidRPr="00D6072B">
        <w:rPr>
          <w:sz w:val="20"/>
          <w:szCs w:val="20"/>
        </w:rPr>
        <w:t xml:space="preserve"> 2001</w:t>
      </w:r>
      <w:r>
        <w:rPr>
          <w:sz w:val="20"/>
          <w:szCs w:val="20"/>
        </w:rPr>
        <w:t xml:space="preserve">. </w:t>
      </w:r>
      <w:r w:rsidRPr="00D6072B">
        <w:rPr>
          <w:sz w:val="20"/>
          <w:szCs w:val="20"/>
        </w:rPr>
        <w:t xml:space="preserve">Building a micro foundation for industrial ecology, </w:t>
      </w:r>
      <w:r w:rsidRPr="00DE0766">
        <w:rPr>
          <w:sz w:val="20"/>
          <w:szCs w:val="20"/>
        </w:rPr>
        <w:t xml:space="preserve">Journal of Industrial Ecology, </w:t>
      </w:r>
      <w:r>
        <w:rPr>
          <w:sz w:val="20"/>
          <w:szCs w:val="20"/>
        </w:rPr>
        <w:t xml:space="preserve">4 (3), </w:t>
      </w:r>
      <w:r w:rsidRPr="00D6072B">
        <w:rPr>
          <w:sz w:val="20"/>
          <w:szCs w:val="20"/>
        </w:rPr>
        <w:t>35-51.</w:t>
      </w:r>
      <w:bookmarkEnd w:id="37"/>
    </w:p>
    <w:p w:rsidR="00196284" w:rsidRPr="001D28C9" w:rsidRDefault="00196284" w:rsidP="00DE0766">
      <w:pPr>
        <w:pStyle w:val="NormalLeft"/>
        <w:numPr>
          <w:ilvl w:val="0"/>
          <w:numId w:val="26"/>
        </w:numPr>
        <w:spacing w:before="0" w:beforeAutospacing="0" w:after="0" w:afterAutospacing="0" w:line="240" w:lineRule="auto"/>
        <w:rPr>
          <w:sz w:val="20"/>
          <w:szCs w:val="20"/>
        </w:rPr>
      </w:pPr>
      <w:bookmarkStart w:id="39" w:name="_Ref274739885"/>
      <w:proofErr w:type="spellStart"/>
      <w:r w:rsidRPr="00B272E6">
        <w:rPr>
          <w:sz w:val="20"/>
          <w:szCs w:val="20"/>
          <w:lang w:val="en-GB"/>
        </w:rPr>
        <w:t>Seliger</w:t>
      </w:r>
      <w:proofErr w:type="spellEnd"/>
      <w:r w:rsidRPr="00B272E6">
        <w:rPr>
          <w:sz w:val="20"/>
          <w:szCs w:val="20"/>
          <w:lang w:val="en-GB"/>
        </w:rPr>
        <w:t xml:space="preserve">, G., 2007. </w:t>
      </w:r>
      <w:r w:rsidRPr="00B272E6">
        <w:rPr>
          <w:iCs/>
          <w:sz w:val="20"/>
          <w:szCs w:val="20"/>
          <w:lang w:val="en-GB"/>
        </w:rPr>
        <w:t xml:space="preserve">Sustainability in manufacturing: recovery of resources in product and material cycles, </w:t>
      </w:r>
      <w:r w:rsidRPr="00B272E6">
        <w:rPr>
          <w:sz w:val="20"/>
          <w:szCs w:val="20"/>
          <w:lang w:val="en-GB"/>
        </w:rPr>
        <w:t>Springer, Berlin.</w:t>
      </w:r>
      <w:bookmarkEnd w:id="39"/>
    </w:p>
    <w:p w:rsidR="00196284" w:rsidRPr="00B272E6" w:rsidRDefault="00196284" w:rsidP="00DE0766">
      <w:pPr>
        <w:pStyle w:val="NormalLeft"/>
        <w:numPr>
          <w:ilvl w:val="0"/>
          <w:numId w:val="26"/>
        </w:numPr>
        <w:spacing w:before="0" w:beforeAutospacing="0" w:after="0" w:afterAutospacing="0" w:line="240" w:lineRule="auto"/>
        <w:rPr>
          <w:sz w:val="20"/>
          <w:szCs w:val="20"/>
        </w:rPr>
      </w:pPr>
      <w:bookmarkStart w:id="40" w:name="_Ref274743662"/>
      <w:proofErr w:type="spellStart"/>
      <w:r w:rsidRPr="001D28C9">
        <w:rPr>
          <w:sz w:val="20"/>
          <w:szCs w:val="20"/>
        </w:rPr>
        <w:t>Kumazawa</w:t>
      </w:r>
      <w:proofErr w:type="spellEnd"/>
      <w:r>
        <w:rPr>
          <w:sz w:val="20"/>
          <w:szCs w:val="20"/>
        </w:rPr>
        <w:t xml:space="preserve">, T., Kobayashi, H., 2003. </w:t>
      </w:r>
      <w:r w:rsidRPr="001D28C9">
        <w:rPr>
          <w:sz w:val="20"/>
          <w:szCs w:val="20"/>
        </w:rPr>
        <w:t>Feasibility study on sustainable manufacturing system, 3rd International Symposium on Environmentally Conscious Design and Inverse Manufacturing (</w:t>
      </w:r>
      <w:proofErr w:type="spellStart"/>
      <w:r w:rsidRPr="001D28C9">
        <w:rPr>
          <w:sz w:val="20"/>
          <w:szCs w:val="20"/>
        </w:rPr>
        <w:t>Ec</w:t>
      </w:r>
      <w:r>
        <w:rPr>
          <w:sz w:val="20"/>
          <w:szCs w:val="20"/>
        </w:rPr>
        <w:t>oDesign</w:t>
      </w:r>
      <w:proofErr w:type="spellEnd"/>
      <w:r>
        <w:rPr>
          <w:sz w:val="20"/>
          <w:szCs w:val="20"/>
        </w:rPr>
        <w:t xml:space="preserve"> '03)</w:t>
      </w:r>
      <w:r w:rsidRPr="001D28C9">
        <w:rPr>
          <w:sz w:val="20"/>
          <w:szCs w:val="20"/>
        </w:rPr>
        <w:t xml:space="preserve">, Tokyo, </w:t>
      </w:r>
      <w:r>
        <w:rPr>
          <w:sz w:val="20"/>
          <w:szCs w:val="20"/>
        </w:rPr>
        <w:t xml:space="preserve">Japan, </w:t>
      </w:r>
      <w:r w:rsidRPr="001D28C9">
        <w:rPr>
          <w:sz w:val="20"/>
          <w:szCs w:val="20"/>
        </w:rPr>
        <w:t>517</w:t>
      </w:r>
      <w:r>
        <w:rPr>
          <w:sz w:val="20"/>
          <w:szCs w:val="20"/>
        </w:rPr>
        <w:t>.</w:t>
      </w:r>
      <w:bookmarkEnd w:id="40"/>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41" w:name="_Ref274737637"/>
      <w:proofErr w:type="spellStart"/>
      <w:r w:rsidRPr="00D6072B">
        <w:rPr>
          <w:sz w:val="20"/>
          <w:szCs w:val="20"/>
        </w:rPr>
        <w:t>Allwood</w:t>
      </w:r>
      <w:proofErr w:type="spellEnd"/>
      <w:r w:rsidRPr="00D6072B">
        <w:rPr>
          <w:sz w:val="20"/>
          <w:szCs w:val="20"/>
        </w:rPr>
        <w:t xml:space="preserve"> J., 2005. What is sustainable manufacturing? </w:t>
      </w:r>
      <w:r w:rsidRPr="00DE0766">
        <w:rPr>
          <w:sz w:val="20"/>
          <w:szCs w:val="20"/>
        </w:rPr>
        <w:t>Sustainable Manufacturing Seminar Series</w:t>
      </w:r>
      <w:r w:rsidRPr="00D6072B">
        <w:rPr>
          <w:sz w:val="20"/>
          <w:szCs w:val="20"/>
        </w:rPr>
        <w:t>, 16th February 2005. Institute for Manufacturing, Cambridge, UK.</w:t>
      </w:r>
      <w:bookmarkEnd w:id="38"/>
      <w:bookmarkEnd w:id="41"/>
      <w:r w:rsidRPr="00D6072B">
        <w:rPr>
          <w:sz w:val="20"/>
          <w:szCs w:val="20"/>
        </w:rPr>
        <w:t xml:space="preserve"> </w:t>
      </w:r>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42" w:name="_Ref274728143"/>
      <w:r>
        <w:rPr>
          <w:sz w:val="20"/>
          <w:szCs w:val="20"/>
        </w:rPr>
        <w:t>Despeisse, M., 2010</w:t>
      </w:r>
      <w:r w:rsidRPr="00D6072B">
        <w:rPr>
          <w:sz w:val="20"/>
          <w:szCs w:val="20"/>
        </w:rPr>
        <w:t xml:space="preserve">, Zero carbon manufacturing through material energy and waste process flow </w:t>
      </w:r>
      <w:r>
        <w:rPr>
          <w:sz w:val="20"/>
          <w:szCs w:val="20"/>
        </w:rPr>
        <w:t xml:space="preserve">modeling, </w:t>
      </w:r>
      <w:r w:rsidRPr="00D6072B">
        <w:rPr>
          <w:sz w:val="20"/>
          <w:szCs w:val="20"/>
        </w:rPr>
        <w:t>MSc thesis, Cranfield University, Cranfield</w:t>
      </w:r>
      <w:r>
        <w:rPr>
          <w:sz w:val="20"/>
          <w:szCs w:val="20"/>
        </w:rPr>
        <w:t>, UK</w:t>
      </w:r>
      <w:r w:rsidRPr="00D6072B">
        <w:rPr>
          <w:sz w:val="20"/>
          <w:szCs w:val="20"/>
        </w:rPr>
        <w:t>.</w:t>
      </w:r>
      <w:bookmarkEnd w:id="42"/>
    </w:p>
    <w:p w:rsidR="00196284" w:rsidRPr="00D6072B" w:rsidRDefault="00196284" w:rsidP="00DE0766">
      <w:pPr>
        <w:pStyle w:val="NormalLeft"/>
        <w:numPr>
          <w:ilvl w:val="0"/>
          <w:numId w:val="26"/>
        </w:numPr>
        <w:spacing w:before="0" w:beforeAutospacing="0" w:after="0" w:afterAutospacing="0" w:line="240" w:lineRule="auto"/>
        <w:rPr>
          <w:sz w:val="20"/>
          <w:szCs w:val="20"/>
        </w:rPr>
      </w:pPr>
      <w:bookmarkStart w:id="43" w:name="_Ref274728215"/>
      <w:bookmarkStart w:id="44" w:name="_Toc237077526"/>
      <w:r w:rsidRPr="00D6072B">
        <w:rPr>
          <w:sz w:val="20"/>
          <w:szCs w:val="20"/>
        </w:rPr>
        <w:t>Despeisse, M., Ball, P.D., Evans, S.</w:t>
      </w:r>
      <w:r>
        <w:rPr>
          <w:sz w:val="20"/>
          <w:szCs w:val="20"/>
        </w:rPr>
        <w:t>,</w:t>
      </w:r>
      <w:r w:rsidRPr="00D6072B">
        <w:rPr>
          <w:sz w:val="20"/>
          <w:szCs w:val="20"/>
        </w:rPr>
        <w:t xml:space="preserve"> Levers, A.</w:t>
      </w:r>
      <w:r>
        <w:rPr>
          <w:sz w:val="20"/>
          <w:szCs w:val="20"/>
        </w:rPr>
        <w:t>,</w:t>
      </w:r>
      <w:r w:rsidRPr="00D6072B">
        <w:rPr>
          <w:sz w:val="20"/>
          <w:szCs w:val="20"/>
        </w:rPr>
        <w:t xml:space="preserve"> 2009. Zero Carbon Manufacturing through process flow </w:t>
      </w:r>
      <w:proofErr w:type="spellStart"/>
      <w:r w:rsidRPr="00D6072B">
        <w:rPr>
          <w:sz w:val="20"/>
          <w:szCs w:val="20"/>
        </w:rPr>
        <w:t>modelling</w:t>
      </w:r>
      <w:proofErr w:type="spellEnd"/>
      <w:r w:rsidRPr="00D6072B">
        <w:rPr>
          <w:sz w:val="20"/>
          <w:szCs w:val="20"/>
        </w:rPr>
        <w:t xml:space="preserve">, Proceedings of 11th International Conference on Modern Information Technology in the Innovation Processes of the Industrial Enterprises (MITIP), 15-16 October 2009, </w:t>
      </w:r>
      <w:proofErr w:type="gramStart"/>
      <w:r w:rsidRPr="00D6072B">
        <w:rPr>
          <w:sz w:val="20"/>
          <w:szCs w:val="20"/>
        </w:rPr>
        <w:t>Bergamo</w:t>
      </w:r>
      <w:proofErr w:type="gramEnd"/>
      <w:r w:rsidRPr="00D6072B">
        <w:rPr>
          <w:sz w:val="20"/>
          <w:szCs w:val="20"/>
        </w:rPr>
        <w:t>, Italy.</w:t>
      </w:r>
      <w:bookmarkEnd w:id="43"/>
      <w:r w:rsidRPr="00D6072B">
        <w:rPr>
          <w:sz w:val="20"/>
          <w:szCs w:val="20"/>
        </w:rPr>
        <w:t xml:space="preserve"> </w:t>
      </w:r>
    </w:p>
    <w:p w:rsidR="00196284" w:rsidRDefault="00196284" w:rsidP="00DE0766">
      <w:pPr>
        <w:pStyle w:val="NormalLeft"/>
        <w:numPr>
          <w:ilvl w:val="0"/>
          <w:numId w:val="26"/>
        </w:numPr>
        <w:spacing w:before="0" w:beforeAutospacing="0" w:after="0" w:afterAutospacing="0" w:line="240" w:lineRule="auto"/>
        <w:rPr>
          <w:sz w:val="20"/>
          <w:szCs w:val="20"/>
        </w:rPr>
      </w:pPr>
      <w:bookmarkStart w:id="45" w:name="_Ref274728288"/>
      <w:bookmarkEnd w:id="44"/>
      <w:r w:rsidRPr="00D6072B">
        <w:rPr>
          <w:sz w:val="20"/>
          <w:szCs w:val="20"/>
        </w:rPr>
        <w:t>Hall, A.</w:t>
      </w:r>
      <w:r>
        <w:rPr>
          <w:sz w:val="20"/>
          <w:szCs w:val="20"/>
        </w:rPr>
        <w:t>,</w:t>
      </w:r>
      <w:r w:rsidRPr="00D6072B">
        <w:rPr>
          <w:sz w:val="20"/>
          <w:szCs w:val="20"/>
        </w:rPr>
        <w:t xml:space="preserve"> Martin, S.</w:t>
      </w:r>
      <w:r>
        <w:rPr>
          <w:sz w:val="20"/>
          <w:szCs w:val="20"/>
        </w:rPr>
        <w:t xml:space="preserve">, </w:t>
      </w:r>
      <w:r w:rsidRPr="00D6072B">
        <w:rPr>
          <w:sz w:val="20"/>
          <w:szCs w:val="20"/>
        </w:rPr>
        <w:t>2002</w:t>
      </w:r>
      <w:r>
        <w:rPr>
          <w:sz w:val="20"/>
          <w:szCs w:val="20"/>
        </w:rPr>
        <w:t xml:space="preserve">. </w:t>
      </w:r>
      <w:r w:rsidRPr="00D6072B">
        <w:rPr>
          <w:sz w:val="20"/>
          <w:szCs w:val="20"/>
        </w:rPr>
        <w:t xml:space="preserve">Sustainable development - professional practice and systems thinking, </w:t>
      </w:r>
      <w:proofErr w:type="spellStart"/>
      <w:r w:rsidRPr="00D6072B">
        <w:rPr>
          <w:sz w:val="20"/>
          <w:szCs w:val="20"/>
        </w:rPr>
        <w:t>Int</w:t>
      </w:r>
      <w:proofErr w:type="spellEnd"/>
      <w:r w:rsidRPr="00D6072B">
        <w:rPr>
          <w:sz w:val="20"/>
          <w:szCs w:val="20"/>
        </w:rPr>
        <w:t xml:space="preserve"> Conf</w:t>
      </w:r>
      <w:r>
        <w:rPr>
          <w:sz w:val="20"/>
          <w:szCs w:val="20"/>
        </w:rPr>
        <w:t>erence</w:t>
      </w:r>
      <w:r w:rsidR="0011634F">
        <w:rPr>
          <w:sz w:val="20"/>
          <w:szCs w:val="20"/>
        </w:rPr>
        <w:t xml:space="preserve"> on Design and M</w:t>
      </w:r>
      <w:r w:rsidRPr="00D6072B">
        <w:rPr>
          <w:sz w:val="20"/>
          <w:szCs w:val="20"/>
        </w:rPr>
        <w:t xml:space="preserve">anufacture for </w:t>
      </w:r>
      <w:r w:rsidR="0011634F">
        <w:rPr>
          <w:sz w:val="20"/>
          <w:szCs w:val="20"/>
        </w:rPr>
        <w:t>S</w:t>
      </w:r>
      <w:r w:rsidRPr="00D6072B">
        <w:rPr>
          <w:sz w:val="20"/>
          <w:szCs w:val="20"/>
        </w:rPr>
        <w:t xml:space="preserve">ustainable </w:t>
      </w:r>
      <w:r w:rsidR="0011634F">
        <w:rPr>
          <w:sz w:val="20"/>
          <w:szCs w:val="20"/>
        </w:rPr>
        <w:t>D</w:t>
      </w:r>
      <w:r w:rsidRPr="00D6072B">
        <w:rPr>
          <w:sz w:val="20"/>
          <w:szCs w:val="20"/>
        </w:rPr>
        <w:t xml:space="preserve">evelopment, Liverpool, </w:t>
      </w:r>
      <w:r>
        <w:rPr>
          <w:sz w:val="20"/>
          <w:szCs w:val="20"/>
        </w:rPr>
        <w:t>UK</w:t>
      </w:r>
      <w:r w:rsidRPr="00D6072B">
        <w:rPr>
          <w:sz w:val="20"/>
          <w:szCs w:val="20"/>
        </w:rPr>
        <w:t>, 47-52.</w:t>
      </w:r>
      <w:bookmarkEnd w:id="45"/>
    </w:p>
    <w:p w:rsidR="00FF0A8C" w:rsidRDefault="00FF0A8C" w:rsidP="00DE0766">
      <w:pPr>
        <w:pStyle w:val="NormalLeft"/>
        <w:numPr>
          <w:ilvl w:val="0"/>
          <w:numId w:val="26"/>
        </w:numPr>
        <w:spacing w:before="0" w:beforeAutospacing="0" w:after="0" w:afterAutospacing="0" w:line="240" w:lineRule="auto"/>
        <w:rPr>
          <w:sz w:val="20"/>
          <w:szCs w:val="20"/>
        </w:rPr>
      </w:pPr>
      <w:bookmarkStart w:id="46" w:name="_Ref309827644"/>
      <w:r w:rsidRPr="00FF0A8C">
        <w:rPr>
          <w:sz w:val="20"/>
          <w:szCs w:val="20"/>
        </w:rPr>
        <w:t xml:space="preserve">Womack, J.P., Jones, D.T. &amp; </w:t>
      </w:r>
      <w:proofErr w:type="spellStart"/>
      <w:r w:rsidRPr="00FF0A8C">
        <w:rPr>
          <w:sz w:val="20"/>
          <w:szCs w:val="20"/>
        </w:rPr>
        <w:t>Roos</w:t>
      </w:r>
      <w:proofErr w:type="spellEnd"/>
      <w:r w:rsidRPr="00FF0A8C">
        <w:rPr>
          <w:sz w:val="20"/>
          <w:szCs w:val="20"/>
        </w:rPr>
        <w:t>, D. 1990. The machine that change the world. Simon &amp; Schuster Ltd</w:t>
      </w:r>
      <w:bookmarkEnd w:id="46"/>
    </w:p>
    <w:p w:rsidR="00AD4A46" w:rsidRPr="00D6072B" w:rsidRDefault="00AD4A46" w:rsidP="00DE0766">
      <w:pPr>
        <w:pStyle w:val="NormalLeft"/>
        <w:numPr>
          <w:ilvl w:val="0"/>
          <w:numId w:val="26"/>
        </w:numPr>
        <w:spacing w:before="0" w:beforeAutospacing="0" w:after="0" w:afterAutospacing="0" w:line="240" w:lineRule="auto"/>
        <w:rPr>
          <w:sz w:val="20"/>
          <w:szCs w:val="20"/>
        </w:rPr>
      </w:pPr>
      <w:bookmarkStart w:id="47" w:name="_Ref309829169"/>
      <w:r>
        <w:rPr>
          <w:sz w:val="20"/>
          <w:szCs w:val="20"/>
        </w:rPr>
        <w:t xml:space="preserve">Toyota, 2011.  Toyota </w:t>
      </w:r>
      <w:r w:rsidR="000075BB">
        <w:rPr>
          <w:sz w:val="20"/>
          <w:szCs w:val="20"/>
        </w:rPr>
        <w:t xml:space="preserve">European </w:t>
      </w:r>
      <w:r>
        <w:rPr>
          <w:sz w:val="20"/>
          <w:szCs w:val="20"/>
        </w:rPr>
        <w:t>Sustainability Report.</w:t>
      </w:r>
      <w:r w:rsidR="000075BB">
        <w:rPr>
          <w:sz w:val="20"/>
          <w:szCs w:val="20"/>
        </w:rPr>
        <w:t xml:space="preserve"> </w:t>
      </w:r>
      <w:r w:rsidR="000075BB" w:rsidRPr="000075BB">
        <w:rPr>
          <w:sz w:val="20"/>
          <w:szCs w:val="20"/>
        </w:rPr>
        <w:t>www.toyota.eu/sustainability/Pages/default.aspx</w:t>
      </w:r>
      <w:r w:rsidR="000075BB">
        <w:rPr>
          <w:sz w:val="20"/>
          <w:szCs w:val="20"/>
        </w:rPr>
        <w:t>, accessed 23 November 2011.</w:t>
      </w:r>
      <w:bookmarkEnd w:id="47"/>
    </w:p>
    <w:p w:rsidR="00B238BB" w:rsidRDefault="00B238BB" w:rsidP="00B238BB">
      <w:pPr>
        <w:pStyle w:val="NormalLeft"/>
        <w:numPr>
          <w:ilvl w:val="0"/>
          <w:numId w:val="26"/>
        </w:numPr>
        <w:spacing w:before="0" w:beforeAutospacing="0" w:after="0" w:afterAutospacing="0" w:line="240" w:lineRule="auto"/>
        <w:rPr>
          <w:sz w:val="20"/>
          <w:szCs w:val="20"/>
        </w:rPr>
      </w:pPr>
      <w:bookmarkStart w:id="48" w:name="_Ref274742146"/>
      <w:proofErr w:type="spellStart"/>
      <w:r>
        <w:rPr>
          <w:sz w:val="20"/>
          <w:szCs w:val="20"/>
        </w:rPr>
        <w:t>Erlach</w:t>
      </w:r>
      <w:proofErr w:type="spellEnd"/>
      <w:r>
        <w:rPr>
          <w:sz w:val="20"/>
          <w:szCs w:val="20"/>
        </w:rPr>
        <w:t>, K. 2010. Energy efficiency in manufacturing using the energy value stream method for building an energy-efficient factory, Proceedings of the APMS 2010 International Conference, IFIP Working Group 5.7.</w:t>
      </w:r>
      <w:bookmarkEnd w:id="48"/>
    </w:p>
    <w:p w:rsidR="00B238BB" w:rsidRDefault="00B238BB" w:rsidP="00B238BB">
      <w:pPr>
        <w:pStyle w:val="NormalLeft"/>
        <w:numPr>
          <w:ilvl w:val="0"/>
          <w:numId w:val="26"/>
        </w:numPr>
        <w:spacing w:before="0" w:beforeAutospacing="0" w:after="0" w:afterAutospacing="0" w:line="240" w:lineRule="auto"/>
        <w:rPr>
          <w:sz w:val="20"/>
          <w:szCs w:val="20"/>
        </w:rPr>
      </w:pPr>
      <w:bookmarkStart w:id="49" w:name="_Ref274746144"/>
      <w:proofErr w:type="gramStart"/>
      <w:r>
        <w:rPr>
          <w:sz w:val="20"/>
          <w:szCs w:val="20"/>
        </w:rPr>
        <w:t>de</w:t>
      </w:r>
      <w:proofErr w:type="gramEnd"/>
      <w:r>
        <w:rPr>
          <w:sz w:val="20"/>
          <w:szCs w:val="20"/>
        </w:rPr>
        <w:t xml:space="preserve"> Ron, A.J. 1998. Sustainable production: The ultimate result of a continuous improvement. International Journal of Production Economics, 56-57, 99-110.</w:t>
      </w:r>
      <w:bookmarkEnd w:id="49"/>
    </w:p>
    <w:p w:rsidR="00196284" w:rsidRPr="00D6072B" w:rsidRDefault="00196284" w:rsidP="00DE0766">
      <w:pPr>
        <w:pStyle w:val="NormalLeft"/>
        <w:numPr>
          <w:ilvl w:val="0"/>
          <w:numId w:val="26"/>
        </w:numPr>
        <w:spacing w:before="0" w:beforeAutospacing="0" w:after="0" w:afterAutospacing="0" w:line="240" w:lineRule="auto"/>
        <w:rPr>
          <w:sz w:val="20"/>
          <w:szCs w:val="20"/>
        </w:rPr>
      </w:pPr>
      <w:r>
        <w:rPr>
          <w:sz w:val="20"/>
          <w:szCs w:val="20"/>
        </w:rPr>
        <w:t xml:space="preserve">IET, </w:t>
      </w:r>
      <w:r w:rsidRPr="00D6072B">
        <w:rPr>
          <w:sz w:val="20"/>
          <w:szCs w:val="20"/>
        </w:rPr>
        <w:t>2009</w:t>
      </w:r>
      <w:r>
        <w:rPr>
          <w:sz w:val="20"/>
          <w:szCs w:val="20"/>
        </w:rPr>
        <w:t xml:space="preserve">. </w:t>
      </w:r>
      <w:r w:rsidRPr="00D6072B">
        <w:rPr>
          <w:sz w:val="20"/>
          <w:szCs w:val="20"/>
        </w:rPr>
        <w:t>T</w:t>
      </w:r>
      <w:r>
        <w:rPr>
          <w:sz w:val="20"/>
          <w:szCs w:val="20"/>
        </w:rPr>
        <w:t xml:space="preserve">he </w:t>
      </w:r>
      <w:r w:rsidRPr="00D6072B">
        <w:rPr>
          <w:sz w:val="20"/>
          <w:szCs w:val="20"/>
        </w:rPr>
        <w:t xml:space="preserve">IET </w:t>
      </w:r>
      <w:r>
        <w:rPr>
          <w:sz w:val="20"/>
          <w:szCs w:val="20"/>
        </w:rPr>
        <w:t>Energy Principles</w:t>
      </w:r>
      <w:r w:rsidRPr="00D6072B">
        <w:rPr>
          <w:sz w:val="20"/>
          <w:szCs w:val="20"/>
        </w:rPr>
        <w:t>: The Institution of Engineering and Technology primer on electrical energy policy</w:t>
      </w:r>
      <w:r>
        <w:rPr>
          <w:sz w:val="20"/>
          <w:szCs w:val="20"/>
        </w:rPr>
        <w:t>. The IET, London, UK</w:t>
      </w:r>
      <w:r w:rsidRPr="00D6072B">
        <w:rPr>
          <w:sz w:val="20"/>
          <w:szCs w:val="20"/>
        </w:rPr>
        <w:t>.</w:t>
      </w:r>
    </w:p>
    <w:p w:rsidR="00196284" w:rsidRDefault="00196284" w:rsidP="00DE0766">
      <w:pPr>
        <w:pStyle w:val="NormalLeft"/>
        <w:numPr>
          <w:ilvl w:val="0"/>
          <w:numId w:val="26"/>
        </w:numPr>
        <w:spacing w:before="0" w:beforeAutospacing="0" w:after="0" w:afterAutospacing="0" w:line="240" w:lineRule="auto"/>
        <w:rPr>
          <w:sz w:val="20"/>
          <w:szCs w:val="20"/>
        </w:rPr>
      </w:pPr>
      <w:proofErr w:type="spellStart"/>
      <w:r>
        <w:rPr>
          <w:sz w:val="20"/>
          <w:szCs w:val="20"/>
        </w:rPr>
        <w:t>Gertsakis</w:t>
      </w:r>
      <w:proofErr w:type="spellEnd"/>
      <w:r>
        <w:rPr>
          <w:sz w:val="20"/>
          <w:szCs w:val="20"/>
        </w:rPr>
        <w:t>, J., Lewis, H., 2003.</w:t>
      </w:r>
      <w:r w:rsidRPr="00D6072B">
        <w:rPr>
          <w:sz w:val="20"/>
          <w:szCs w:val="20"/>
        </w:rPr>
        <w:t xml:space="preserve"> Sustainability and the Waste Management Hierarchy – A Discussion paper on the waste management hierarchy and its relationship to sustainability,</w:t>
      </w:r>
      <w:r>
        <w:rPr>
          <w:sz w:val="20"/>
          <w:szCs w:val="20"/>
        </w:rPr>
        <w:t xml:space="preserve"> </w:t>
      </w:r>
      <w:r w:rsidRPr="000D036D">
        <w:rPr>
          <w:sz w:val="20"/>
          <w:szCs w:val="20"/>
        </w:rPr>
        <w:t>www.cfd.rmit.edu.au/programs/sustainable_products_and_packaging/sustainability_and_the_waste_management_hierarchy</w:t>
      </w:r>
      <w:r>
        <w:rPr>
          <w:sz w:val="20"/>
          <w:szCs w:val="20"/>
        </w:rPr>
        <w:t xml:space="preserve">, </w:t>
      </w:r>
      <w:r w:rsidRPr="00D6072B">
        <w:rPr>
          <w:sz w:val="20"/>
          <w:szCs w:val="20"/>
        </w:rPr>
        <w:t>accessed 2</w:t>
      </w:r>
      <w:r w:rsidRPr="00DE0766">
        <w:rPr>
          <w:sz w:val="20"/>
          <w:szCs w:val="20"/>
        </w:rPr>
        <w:t>nd</w:t>
      </w:r>
      <w:r>
        <w:rPr>
          <w:sz w:val="20"/>
          <w:szCs w:val="20"/>
        </w:rPr>
        <w:t xml:space="preserve"> April 2010</w:t>
      </w:r>
      <w:r w:rsidRPr="00D6072B">
        <w:rPr>
          <w:sz w:val="20"/>
          <w:szCs w:val="20"/>
        </w:rPr>
        <w:t>.</w:t>
      </w:r>
    </w:p>
    <w:p w:rsidR="00196284" w:rsidRDefault="00196284" w:rsidP="00DE0766">
      <w:pPr>
        <w:pStyle w:val="NormalLeft"/>
        <w:numPr>
          <w:ilvl w:val="0"/>
          <w:numId w:val="26"/>
        </w:numPr>
        <w:spacing w:before="0" w:beforeAutospacing="0" w:after="0" w:afterAutospacing="0" w:line="240" w:lineRule="auto"/>
        <w:rPr>
          <w:sz w:val="20"/>
          <w:szCs w:val="20"/>
        </w:rPr>
      </w:pPr>
      <w:bookmarkStart w:id="50" w:name="_Ref274742200"/>
      <w:r w:rsidRPr="006D7BF0">
        <w:rPr>
          <w:sz w:val="20"/>
          <w:szCs w:val="20"/>
        </w:rPr>
        <w:t xml:space="preserve">McGuire, T., 2010, Top 7 Compressed Air Energy Saving Tips, </w:t>
      </w:r>
      <w:hyperlink r:id="rId8" w:history="1">
        <w:r w:rsidRPr="006D7BF0">
          <w:rPr>
            <w:sz w:val="20"/>
            <w:szCs w:val="20"/>
          </w:rPr>
          <w:t>http://ezinearticles.com/?Top-7-Compressed-Air-Energy-Saving-Tips&amp;id=3940109</w:t>
        </w:r>
      </w:hyperlink>
      <w:r w:rsidRPr="006D7BF0">
        <w:rPr>
          <w:sz w:val="20"/>
          <w:szCs w:val="20"/>
        </w:rPr>
        <w:t>, (accessed 31st August 2010</w:t>
      </w:r>
      <w:r>
        <w:rPr>
          <w:sz w:val="20"/>
          <w:szCs w:val="20"/>
        </w:rPr>
        <w:t>)</w:t>
      </w:r>
      <w:bookmarkEnd w:id="50"/>
    </w:p>
    <w:p w:rsidR="00196284" w:rsidRPr="0011634F" w:rsidRDefault="0011634F" w:rsidP="0073452A">
      <w:pPr>
        <w:pStyle w:val="NormalLeft"/>
        <w:numPr>
          <w:ilvl w:val="0"/>
          <w:numId w:val="26"/>
        </w:numPr>
        <w:spacing w:before="0" w:beforeAutospacing="0" w:after="0" w:afterAutospacing="0" w:line="240" w:lineRule="auto"/>
        <w:rPr>
          <w:sz w:val="20"/>
          <w:szCs w:val="20"/>
        </w:rPr>
      </w:pPr>
      <w:bookmarkStart w:id="51" w:name="_Ref309899404"/>
      <w:r w:rsidRPr="0011634F">
        <w:rPr>
          <w:sz w:val="20"/>
          <w:szCs w:val="20"/>
        </w:rPr>
        <w:t>Despe</w:t>
      </w:r>
      <w:r>
        <w:rPr>
          <w:sz w:val="20"/>
          <w:szCs w:val="20"/>
        </w:rPr>
        <w:t xml:space="preserve">isse, M., </w:t>
      </w:r>
      <w:proofErr w:type="spellStart"/>
      <w:r>
        <w:rPr>
          <w:sz w:val="20"/>
          <w:szCs w:val="20"/>
        </w:rPr>
        <w:t>Mbaye</w:t>
      </w:r>
      <w:proofErr w:type="spellEnd"/>
      <w:r>
        <w:rPr>
          <w:sz w:val="20"/>
          <w:szCs w:val="20"/>
        </w:rPr>
        <w:t xml:space="preserve">, F., Ball, P.D., Levers, A. 2011. </w:t>
      </w:r>
      <w:r w:rsidRPr="0011634F">
        <w:rPr>
          <w:sz w:val="20"/>
          <w:szCs w:val="20"/>
        </w:rPr>
        <w:t>Emergence of sustainable manufacturing practices, Production Planning and Control. In press. DOI:10.1080/09537287.2011.555425.</w:t>
      </w:r>
      <w:bookmarkEnd w:id="51"/>
    </w:p>
    <w:p w:rsidR="00196284" w:rsidRPr="007C0DC0" w:rsidRDefault="00196284" w:rsidP="007613F9">
      <w:pPr>
        <w:pageBreakBefore/>
        <w:rPr>
          <w:b/>
        </w:rPr>
      </w:pPr>
      <w:r w:rsidRPr="007C0DC0">
        <w:rPr>
          <w:b/>
        </w:rPr>
        <w:lastRenderedPageBreak/>
        <w:t>Figure captions</w:t>
      </w:r>
    </w:p>
    <w:p w:rsidR="00196284" w:rsidRPr="009A7399" w:rsidRDefault="00196284" w:rsidP="007C0DC0">
      <w:pPr>
        <w:rPr>
          <w:color w:val="FF9900"/>
        </w:rPr>
      </w:pPr>
      <w:r w:rsidRPr="009A7399">
        <w:t xml:space="preserve">Figure </w:t>
      </w:r>
      <w:r>
        <w:t>1</w:t>
      </w:r>
      <w:r w:rsidRPr="009A7399">
        <w:t>: Criteria for ranking solutions to improve environmental efficiency</w:t>
      </w:r>
    </w:p>
    <w:p w:rsidR="00196284" w:rsidRDefault="00196284" w:rsidP="007C0DC0">
      <w:pPr>
        <w:jc w:val="left"/>
      </w:pPr>
      <w:proofErr w:type="gramStart"/>
      <w:r w:rsidRPr="0075709C">
        <w:t xml:space="preserve">Figure </w:t>
      </w:r>
      <w:r>
        <w:t>2.</w:t>
      </w:r>
      <w:proofErr w:type="gramEnd"/>
      <w:r w:rsidRPr="0075709C">
        <w:t xml:space="preserve"> IDEF0 map of cell selected for quantitative analysis</w:t>
      </w:r>
    </w:p>
    <w:p w:rsidR="00196284" w:rsidRDefault="00196284" w:rsidP="007C0DC0">
      <w:r w:rsidRPr="0075709C">
        <w:t xml:space="preserve">Figure </w:t>
      </w:r>
      <w:r>
        <w:t>3</w:t>
      </w:r>
      <w:r w:rsidRPr="0075709C">
        <w:t>: Brainstorm of MEW process flows in cell selected for quantitative analysis</w:t>
      </w:r>
    </w:p>
    <w:p w:rsidR="00196284" w:rsidRPr="0075709C" w:rsidRDefault="00196284" w:rsidP="007C0DC0">
      <w:r w:rsidRPr="0075709C">
        <w:t xml:space="preserve">Figure </w:t>
      </w:r>
      <w:r>
        <w:t>4</w:t>
      </w:r>
      <w:r w:rsidRPr="0075709C">
        <w:t>: Quantitative model structure</w:t>
      </w:r>
    </w:p>
    <w:p w:rsidR="00196284" w:rsidRDefault="00196284" w:rsidP="007C0DC0">
      <w:proofErr w:type="gramStart"/>
      <w:r>
        <w:t>Figure 5.</w:t>
      </w:r>
      <w:proofErr w:type="gramEnd"/>
      <w:r w:rsidRPr="007B181A">
        <w:t xml:space="preserve"> </w:t>
      </w:r>
      <w:r>
        <w:t>Summary sheet containing constant and variable assets and overall MEW (Section 2 of Model)</w:t>
      </w:r>
    </w:p>
    <w:p w:rsidR="00196284" w:rsidRDefault="00196284" w:rsidP="0073452A">
      <w:proofErr w:type="gramStart"/>
      <w:r>
        <w:t>Figure 6.</w:t>
      </w:r>
      <w:proofErr w:type="gramEnd"/>
      <w:r>
        <w:t xml:space="preserve"> Example Pareto analysis chart showing energy flows (Section 4 of Model)</w:t>
      </w:r>
    </w:p>
    <w:p w:rsidR="00196284" w:rsidRDefault="00196284" w:rsidP="007C0DC0">
      <w:r w:rsidRPr="0075709C">
        <w:t xml:space="preserve">Figure </w:t>
      </w:r>
      <w:r>
        <w:t>7</w:t>
      </w:r>
      <w:r w:rsidRPr="0075709C">
        <w:t>: Guidelines for MEW process flow modelling</w:t>
      </w:r>
    </w:p>
    <w:p w:rsidR="00196284" w:rsidRDefault="00196284" w:rsidP="0073452A"/>
    <w:p w:rsidR="00196284" w:rsidRPr="007C0DC0" w:rsidRDefault="00196284" w:rsidP="0073452A">
      <w:pPr>
        <w:rPr>
          <w:b/>
        </w:rPr>
      </w:pPr>
      <w:r w:rsidRPr="007C0DC0">
        <w:rPr>
          <w:b/>
        </w:rPr>
        <w:t>Table captions</w:t>
      </w:r>
    </w:p>
    <w:p w:rsidR="00196284" w:rsidRDefault="00196284" w:rsidP="007C0DC0">
      <w:r w:rsidRPr="0075709C">
        <w:t xml:space="preserve">Table </w:t>
      </w:r>
      <w:r>
        <w:t>1</w:t>
      </w:r>
      <w:r w:rsidRPr="0075709C">
        <w:t>: MEW process flow categories</w:t>
      </w:r>
    </w:p>
    <w:p w:rsidR="00196284" w:rsidRDefault="00196284" w:rsidP="0073452A"/>
    <w:p w:rsidR="00196284" w:rsidRDefault="00196284" w:rsidP="0073452A">
      <w:pPr>
        <w:jc w:val="left"/>
        <w:rPr>
          <w:rFonts w:ascii="Verdana" w:hAnsi="Verdana"/>
          <w:color w:val="2B3244"/>
          <w:sz w:val="17"/>
          <w:szCs w:val="17"/>
        </w:rPr>
      </w:pPr>
    </w:p>
    <w:p w:rsidR="00196284" w:rsidRPr="007C0DC0" w:rsidRDefault="00196284" w:rsidP="007C0DC0">
      <w:pPr>
        <w:pageBreakBefore/>
        <w:spacing w:line="240" w:lineRule="auto"/>
        <w:rPr>
          <w:rFonts w:cs="Arial"/>
          <w:b/>
          <w:bCs/>
          <w:szCs w:val="20"/>
        </w:rPr>
      </w:pPr>
      <w:r w:rsidRPr="007C0DC0">
        <w:rPr>
          <w:rFonts w:cs="Arial"/>
          <w:b/>
          <w:bCs/>
          <w:szCs w:val="20"/>
        </w:rPr>
        <w:lastRenderedPageBreak/>
        <w:t>Figures and tables</w:t>
      </w:r>
    </w:p>
    <w:p w:rsidR="00196284" w:rsidRDefault="00196284" w:rsidP="007C0DC0">
      <w:pPr>
        <w:spacing w:line="240" w:lineRule="auto"/>
      </w:pPr>
      <w:r>
        <w:rPr>
          <w:rFonts w:ascii="Verdana" w:hAnsi="Verdana"/>
          <w:color w:val="2B3244"/>
          <w:sz w:val="17"/>
          <w:szCs w:val="17"/>
        </w:rPr>
        <w:br/>
      </w:r>
      <w:r w:rsidR="000E6F2A">
        <w:rPr>
          <w:noProof/>
          <w:lang w:eastAsia="en-GB"/>
        </w:rPr>
        <w:drawing>
          <wp:inline distT="0" distB="0" distL="0" distR="0">
            <wp:extent cx="5705475" cy="4333875"/>
            <wp:effectExtent l="19050" t="0" r="952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705475" cy="4333875"/>
                    </a:xfrm>
                    <a:prstGeom prst="rect">
                      <a:avLst/>
                    </a:prstGeom>
                    <a:noFill/>
                    <a:ln w="9525">
                      <a:noFill/>
                      <a:miter lim="800000"/>
                      <a:headEnd/>
                      <a:tailEnd/>
                    </a:ln>
                  </pic:spPr>
                </pic:pic>
              </a:graphicData>
            </a:graphic>
          </wp:inline>
        </w:drawing>
      </w:r>
    </w:p>
    <w:p w:rsidR="00196284" w:rsidRPr="009A7399" w:rsidRDefault="00196284" w:rsidP="007C0DC0">
      <w:pPr>
        <w:rPr>
          <w:color w:val="FF9900"/>
        </w:rPr>
      </w:pPr>
      <w:r w:rsidRPr="009A7399">
        <w:t xml:space="preserve">Figure </w:t>
      </w:r>
      <w:r>
        <w:t>1</w:t>
      </w:r>
      <w:r w:rsidRPr="009A7399">
        <w:t>: Criteria for ranking solutions to improve environmental efficiency</w:t>
      </w:r>
    </w:p>
    <w:p w:rsidR="00196284" w:rsidRDefault="00196284" w:rsidP="0073452A">
      <w:pPr>
        <w:jc w:val="left"/>
      </w:pPr>
    </w:p>
    <w:p w:rsidR="00196284" w:rsidRDefault="00196284" w:rsidP="007C0DC0">
      <w:pPr>
        <w:pStyle w:val="NormalLeft"/>
        <w:spacing w:line="240" w:lineRule="auto"/>
        <w:jc w:val="both"/>
        <w:rPr>
          <w:noProof/>
          <w:lang w:val="en-GB" w:eastAsia="en-GB"/>
        </w:rPr>
      </w:pPr>
    </w:p>
    <w:p w:rsidR="00196284" w:rsidRPr="00B75B15" w:rsidRDefault="00196284" w:rsidP="007C0DC0">
      <w:pPr>
        <w:pStyle w:val="NormalLeft"/>
        <w:spacing w:line="240" w:lineRule="auto"/>
        <w:jc w:val="both"/>
      </w:pPr>
    </w:p>
    <w:p w:rsidR="00196284" w:rsidRDefault="00196284" w:rsidP="009042AE">
      <w:pPr>
        <w:jc w:val="left"/>
      </w:pPr>
      <w:r>
        <w:object w:dxaOrig="12490" w:dyaOrig="7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25pt;height:314.35pt" o:ole="">
            <v:imagedata r:id="rId10" o:title=""/>
          </v:shape>
          <o:OLEObject Type="Embed" ProgID="Visio.Drawing.11" ShapeID="_x0000_i1025" DrawAspect="Content" ObjectID="_1383642379" r:id="rId11"/>
        </w:object>
      </w:r>
    </w:p>
    <w:p w:rsidR="00196284" w:rsidRDefault="00196284" w:rsidP="007C0DC0"/>
    <w:p w:rsidR="00196284" w:rsidRPr="0075709C" w:rsidRDefault="00196284" w:rsidP="007C0DC0">
      <w:proofErr w:type="gramStart"/>
      <w:r w:rsidRPr="0075709C">
        <w:t xml:space="preserve">Figure </w:t>
      </w:r>
      <w:r>
        <w:t>2.</w:t>
      </w:r>
      <w:proofErr w:type="gramEnd"/>
      <w:r w:rsidRPr="0075709C">
        <w:t xml:space="preserve"> IDEF0 map of cell selected for quantitative analysis</w:t>
      </w:r>
    </w:p>
    <w:p w:rsidR="00196284" w:rsidRDefault="00196284" w:rsidP="0073452A">
      <w:pPr>
        <w:jc w:val="left"/>
      </w:pPr>
    </w:p>
    <w:p w:rsidR="00196284" w:rsidRDefault="00196284" w:rsidP="0073452A">
      <w:pPr>
        <w:jc w:val="left"/>
      </w:pPr>
    </w:p>
    <w:p w:rsidR="00196284" w:rsidRDefault="00196284" w:rsidP="0073452A">
      <w:pPr>
        <w:jc w:val="left"/>
        <w:sectPr w:rsidR="00196284" w:rsidSect="00DE0766">
          <w:footerReference w:type="default" r:id="rId12"/>
          <w:type w:val="continuous"/>
          <w:pgSz w:w="11906" w:h="16838"/>
          <w:pgMar w:top="1418" w:right="1418" w:bottom="1418" w:left="1418" w:header="709" w:footer="709" w:gutter="0"/>
          <w:cols w:space="708"/>
          <w:docGrid w:linePitch="360"/>
        </w:sectPr>
      </w:pPr>
    </w:p>
    <w:p w:rsidR="00196284" w:rsidRDefault="00196284" w:rsidP="0073452A">
      <w:pPr>
        <w:jc w:val="left"/>
      </w:pPr>
    </w:p>
    <w:p w:rsidR="00196284" w:rsidRDefault="000E6F2A" w:rsidP="007C0DC0">
      <w:r>
        <w:rPr>
          <w:noProof/>
          <w:lang w:eastAsia="en-GB"/>
        </w:rPr>
        <w:drawing>
          <wp:inline distT="0" distB="0" distL="0" distR="0">
            <wp:extent cx="6991350" cy="4895850"/>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6991350" cy="4895850"/>
                    </a:xfrm>
                    <a:prstGeom prst="rect">
                      <a:avLst/>
                    </a:prstGeom>
                    <a:noFill/>
                    <a:ln w="9525">
                      <a:noFill/>
                      <a:miter lim="800000"/>
                      <a:headEnd/>
                      <a:tailEnd/>
                    </a:ln>
                  </pic:spPr>
                </pic:pic>
              </a:graphicData>
            </a:graphic>
          </wp:inline>
        </w:drawing>
      </w:r>
    </w:p>
    <w:p w:rsidR="00196284" w:rsidRDefault="00196284" w:rsidP="007C0DC0">
      <w:r w:rsidRPr="0075709C">
        <w:t xml:space="preserve">Figure </w:t>
      </w:r>
      <w:r>
        <w:t>3</w:t>
      </w:r>
      <w:r w:rsidRPr="0075709C">
        <w:t>: Brainstorm of MEW process flows in cell selected for quantitative analysis</w:t>
      </w:r>
    </w:p>
    <w:p w:rsidR="00196284" w:rsidRDefault="00196284" w:rsidP="0073452A">
      <w:pPr>
        <w:jc w:val="left"/>
      </w:pPr>
    </w:p>
    <w:p w:rsidR="00196284" w:rsidRDefault="00196284" w:rsidP="0073452A">
      <w:pPr>
        <w:jc w:val="left"/>
        <w:sectPr w:rsidR="00196284" w:rsidSect="00D6072B">
          <w:pgSz w:w="16838" w:h="11906" w:orient="landscape"/>
          <w:pgMar w:top="1418" w:right="1418" w:bottom="1418" w:left="1418" w:header="709" w:footer="709" w:gutter="0"/>
          <w:cols w:space="708"/>
          <w:docGrid w:linePitch="360"/>
        </w:sectPr>
      </w:pPr>
    </w:p>
    <w:p w:rsidR="00196284" w:rsidRDefault="006D3C89" w:rsidP="007C0DC0">
      <w:pPr>
        <w:pStyle w:val="NormalLeft"/>
        <w:keepNext/>
        <w:spacing w:line="240" w:lineRule="auto"/>
        <w:jc w:val="both"/>
      </w:pPr>
      <w:r>
        <w:pict>
          <v:group id="_x0000_s1026" editas="canvas" style="width:495pt;height:339.85pt;mso-position-horizontal-relative:char;mso-position-vertical-relative:line" coordorigin="1494,7906" coordsize="9900,6797">
            <o:lock v:ext="edit" aspectratio="t"/>
            <v:shape id="_x0000_s1027" type="#_x0000_t75" style="position:absolute;left:1494;top:7906;width:9900;height:679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6713;top:10982;width:1980;height:361" fillcolor="#c5e2ff">
              <v:textbox style="mso-next-textbox:#_x0000_s1028">
                <w:txbxContent>
                  <w:p w:rsidR="00810E20" w:rsidRPr="005344CF" w:rsidRDefault="00810E20" w:rsidP="007C0DC0">
                    <w:pPr>
                      <w:jc w:val="center"/>
                      <w:rPr>
                        <w:sz w:val="16"/>
                        <w:szCs w:val="16"/>
                      </w:rPr>
                    </w:pPr>
                    <w:r w:rsidRPr="005344CF">
                      <w:rPr>
                        <w:sz w:val="16"/>
                        <w:szCs w:val="16"/>
                      </w:rPr>
                      <w:t xml:space="preserve">Castings, parts &amp; </w:t>
                    </w:r>
                    <w:proofErr w:type="spellStart"/>
                    <w:r w:rsidRPr="005344CF">
                      <w:rPr>
                        <w:sz w:val="16"/>
                        <w:szCs w:val="16"/>
                      </w:rPr>
                      <w:t>swarf</w:t>
                    </w:r>
                    <w:proofErr w:type="spellEnd"/>
                  </w:p>
                  <w:p w:rsidR="00810E20" w:rsidRPr="005344CF" w:rsidRDefault="00810E20" w:rsidP="007C0DC0">
                    <w:pPr>
                      <w:rPr>
                        <w:sz w:val="16"/>
                        <w:szCs w:val="16"/>
                      </w:rPr>
                    </w:pPr>
                  </w:p>
                </w:txbxContent>
              </v:textbox>
            </v:shape>
            <v:shape id="_x0000_s1029" type="#_x0000_t202" style="position:absolute;left:6713;top:11522;width:1980;height:361" fillcolor="#c5e2ff">
              <v:textbox style="mso-next-textbox:#_x0000_s1029">
                <w:txbxContent>
                  <w:p w:rsidR="00810E20" w:rsidRPr="005344CF" w:rsidRDefault="00810E20" w:rsidP="007C0DC0">
                    <w:pPr>
                      <w:jc w:val="center"/>
                      <w:rPr>
                        <w:sz w:val="16"/>
                        <w:szCs w:val="16"/>
                      </w:rPr>
                    </w:pPr>
                    <w:r>
                      <w:rPr>
                        <w:sz w:val="16"/>
                        <w:szCs w:val="16"/>
                      </w:rPr>
                      <w:t>Consumables</w:t>
                    </w:r>
                  </w:p>
                  <w:p w:rsidR="00810E20" w:rsidRPr="005344CF" w:rsidRDefault="00810E20" w:rsidP="007C0DC0">
                    <w:pPr>
                      <w:jc w:val="center"/>
                      <w:rPr>
                        <w:sz w:val="16"/>
                        <w:szCs w:val="16"/>
                      </w:rPr>
                    </w:pPr>
                  </w:p>
                </w:txbxContent>
              </v:textbox>
            </v:shape>
            <v:shape id="_x0000_s1030" type="#_x0000_t202" style="position:absolute;left:6713;top:12062;width:1980;height:361" fillcolor="#c5e2ff">
              <v:textbox style="mso-next-textbox:#_x0000_s1030">
                <w:txbxContent>
                  <w:p w:rsidR="00810E20" w:rsidRPr="005344CF" w:rsidRDefault="00810E20" w:rsidP="007C0DC0">
                    <w:pPr>
                      <w:jc w:val="center"/>
                      <w:rPr>
                        <w:sz w:val="16"/>
                        <w:szCs w:val="16"/>
                      </w:rPr>
                    </w:pPr>
                    <w:r>
                      <w:rPr>
                        <w:sz w:val="16"/>
                        <w:szCs w:val="16"/>
                      </w:rPr>
                      <w:t>Coolant usage</w:t>
                    </w:r>
                  </w:p>
                  <w:p w:rsidR="00810E20" w:rsidRPr="005344CF" w:rsidRDefault="00810E20" w:rsidP="007C0DC0">
                    <w:pPr>
                      <w:jc w:val="center"/>
                      <w:rPr>
                        <w:sz w:val="16"/>
                        <w:szCs w:val="16"/>
                      </w:rPr>
                    </w:pPr>
                  </w:p>
                </w:txbxContent>
              </v:textbox>
            </v:shape>
            <v:shape id="_x0000_s1031" type="#_x0000_t202" style="position:absolute;left:6713;top:12602;width:1980;height:361" fillcolor="#c5e2ff">
              <v:textbox style="mso-next-textbox:#_x0000_s1031">
                <w:txbxContent>
                  <w:p w:rsidR="00810E20" w:rsidRPr="005344CF" w:rsidRDefault="00810E20" w:rsidP="007C0DC0">
                    <w:pPr>
                      <w:jc w:val="center"/>
                      <w:rPr>
                        <w:sz w:val="16"/>
                        <w:szCs w:val="16"/>
                      </w:rPr>
                    </w:pPr>
                    <w:r>
                      <w:rPr>
                        <w:sz w:val="16"/>
                        <w:szCs w:val="16"/>
                      </w:rPr>
                      <w:t>Lubricants</w:t>
                    </w:r>
                  </w:p>
                </w:txbxContent>
              </v:textbox>
            </v:shape>
            <v:shape id="_x0000_s1032" type="#_x0000_t202" style="position:absolute;left:6713;top:13142;width:1980;height:361" fillcolor="#c5e2ff">
              <v:textbox style="mso-next-textbox:#_x0000_s1032">
                <w:txbxContent>
                  <w:p w:rsidR="00810E20" w:rsidRPr="005344CF" w:rsidRDefault="00810E20" w:rsidP="007C0DC0">
                    <w:pPr>
                      <w:jc w:val="center"/>
                      <w:rPr>
                        <w:sz w:val="16"/>
                        <w:szCs w:val="16"/>
                      </w:rPr>
                    </w:pPr>
                    <w:r>
                      <w:rPr>
                        <w:sz w:val="16"/>
                        <w:szCs w:val="16"/>
                      </w:rPr>
                      <w:t>Machining centres</w:t>
                    </w:r>
                  </w:p>
                </w:txbxContent>
              </v:textbox>
            </v:shape>
            <v:shape id="_x0000_s1033" type="#_x0000_t202" style="position:absolute;left:6713;top:13682;width:1980;height:361" fillcolor="#c5e2ff">
              <v:textbox style="mso-next-textbox:#_x0000_s1033">
                <w:txbxContent>
                  <w:p w:rsidR="00810E20" w:rsidRPr="005344CF" w:rsidRDefault="00810E20" w:rsidP="007C0DC0">
                    <w:pPr>
                      <w:jc w:val="center"/>
                      <w:rPr>
                        <w:sz w:val="16"/>
                        <w:szCs w:val="16"/>
                      </w:rPr>
                    </w:pPr>
                    <w:proofErr w:type="gramStart"/>
                    <w:r>
                      <w:rPr>
                        <w:sz w:val="16"/>
                        <w:szCs w:val="16"/>
                      </w:rPr>
                      <w:t>etc</w:t>
                    </w:r>
                    <w:proofErr w:type="gramEnd"/>
                  </w:p>
                </w:txbxContent>
              </v:textbox>
            </v:shape>
            <v:shape id="_x0000_s1034" type="#_x0000_t202" style="position:absolute;left:6713;top:14222;width:1980;height:361" fillcolor="#c5e2ff">
              <v:textbox style="mso-next-textbox:#_x0000_s1034">
                <w:txbxContent>
                  <w:p w:rsidR="00810E20" w:rsidRPr="005344CF" w:rsidRDefault="00810E20" w:rsidP="007C0DC0">
                    <w:pPr>
                      <w:jc w:val="center"/>
                      <w:rPr>
                        <w:sz w:val="16"/>
                        <w:szCs w:val="16"/>
                      </w:rPr>
                    </w:pPr>
                    <w:proofErr w:type="gramStart"/>
                    <w:r>
                      <w:rPr>
                        <w:sz w:val="16"/>
                        <w:szCs w:val="16"/>
                      </w:rPr>
                      <w:t>etc</w:t>
                    </w:r>
                    <w:proofErr w:type="gramEnd"/>
                  </w:p>
                </w:txbxContent>
              </v:textbox>
            </v:shape>
            <v:shape id="_x0000_s1035" type="#_x0000_t202" style="position:absolute;left:4014;top:11148;width:1980;height:3240" fillcolor="#c5e2ff">
              <v:textbox style="mso-next-textbox:#_x0000_s1035">
                <w:txbxContent>
                  <w:p w:rsidR="00810E20" w:rsidRDefault="00810E20" w:rsidP="007C0DC0">
                    <w:pPr>
                      <w:jc w:val="center"/>
                      <w:rPr>
                        <w:sz w:val="16"/>
                        <w:szCs w:val="16"/>
                      </w:rPr>
                    </w:pPr>
                  </w:p>
                  <w:p w:rsidR="00810E20" w:rsidRDefault="00810E20" w:rsidP="007C0DC0">
                    <w:pPr>
                      <w:jc w:val="center"/>
                      <w:rPr>
                        <w:sz w:val="16"/>
                        <w:szCs w:val="16"/>
                      </w:rPr>
                    </w:pPr>
                    <w:r>
                      <w:rPr>
                        <w:sz w:val="16"/>
                        <w:szCs w:val="16"/>
                      </w:rPr>
                      <w:t>1. List of constants used in all calculations</w:t>
                    </w:r>
                  </w:p>
                  <w:p w:rsidR="00810E20" w:rsidRDefault="00810E20" w:rsidP="007C0DC0">
                    <w:pPr>
                      <w:jc w:val="center"/>
                      <w:rPr>
                        <w:sz w:val="16"/>
                        <w:szCs w:val="16"/>
                      </w:rPr>
                    </w:pPr>
                  </w:p>
                  <w:p w:rsidR="00810E20" w:rsidRDefault="00810E20" w:rsidP="007C0DC0">
                    <w:pPr>
                      <w:jc w:val="center"/>
                      <w:rPr>
                        <w:sz w:val="16"/>
                        <w:szCs w:val="16"/>
                      </w:rPr>
                    </w:pPr>
                    <w:r>
                      <w:rPr>
                        <w:sz w:val="16"/>
                        <w:szCs w:val="16"/>
                      </w:rPr>
                      <w:t>2. Production levels summary</w:t>
                    </w:r>
                  </w:p>
                  <w:p w:rsidR="00810E20" w:rsidRDefault="00810E20" w:rsidP="007C0DC0">
                    <w:pPr>
                      <w:jc w:val="center"/>
                      <w:rPr>
                        <w:sz w:val="16"/>
                        <w:szCs w:val="16"/>
                      </w:rPr>
                    </w:pPr>
                  </w:p>
                  <w:p w:rsidR="00810E20" w:rsidRDefault="00810E20" w:rsidP="007C0DC0">
                    <w:pPr>
                      <w:jc w:val="center"/>
                      <w:rPr>
                        <w:sz w:val="16"/>
                        <w:szCs w:val="16"/>
                      </w:rPr>
                    </w:pPr>
                    <w:r>
                      <w:rPr>
                        <w:sz w:val="16"/>
                        <w:szCs w:val="16"/>
                      </w:rPr>
                      <w:t>3. List of assets</w:t>
                    </w:r>
                  </w:p>
                  <w:p w:rsidR="00810E20" w:rsidRDefault="00810E20" w:rsidP="007C0DC0">
                    <w:pPr>
                      <w:jc w:val="center"/>
                      <w:rPr>
                        <w:sz w:val="16"/>
                        <w:szCs w:val="16"/>
                      </w:rPr>
                    </w:pPr>
                  </w:p>
                  <w:p w:rsidR="00810E20" w:rsidRDefault="00810E20" w:rsidP="007C0DC0">
                    <w:pPr>
                      <w:jc w:val="center"/>
                      <w:rPr>
                        <w:sz w:val="16"/>
                        <w:szCs w:val="16"/>
                      </w:rPr>
                    </w:pPr>
                    <w:r>
                      <w:rPr>
                        <w:sz w:val="16"/>
                        <w:szCs w:val="16"/>
                      </w:rPr>
                      <w:t>4. Modelling of constant usage assets</w:t>
                    </w:r>
                  </w:p>
                  <w:p w:rsidR="00810E20" w:rsidRDefault="00810E20" w:rsidP="007C0DC0">
                    <w:pPr>
                      <w:jc w:val="center"/>
                      <w:rPr>
                        <w:sz w:val="16"/>
                        <w:szCs w:val="16"/>
                      </w:rPr>
                    </w:pPr>
                  </w:p>
                  <w:p w:rsidR="00810E20" w:rsidRPr="005344CF" w:rsidRDefault="00810E20" w:rsidP="007C0DC0">
                    <w:pPr>
                      <w:jc w:val="center"/>
                      <w:rPr>
                        <w:sz w:val="16"/>
                        <w:szCs w:val="16"/>
                      </w:rPr>
                    </w:pPr>
                    <w:r>
                      <w:rPr>
                        <w:sz w:val="16"/>
                        <w:szCs w:val="16"/>
                      </w:rPr>
                      <w:t>5. Summary MEW table (populated by Section 3 elements)</w:t>
                    </w:r>
                  </w:p>
                </w:txbxContent>
              </v:textbox>
            </v:shape>
            <v:shapetype id="_x0000_t32" coordsize="21600,21600" o:spt="32" o:oned="t" path="m,l21600,21600e" filled="f">
              <v:path arrowok="t" fillok="f" o:connecttype="none"/>
              <o:lock v:ext="edit" shapetype="t"/>
            </v:shapetype>
            <v:shape id="_x0000_s1036" type="#_x0000_t32" style="position:absolute;left:5994;top:12768;width:719;height:1635;flip:x y" o:connectortype="straight"/>
            <v:shape id="_x0000_s1037" type="#_x0000_t32" style="position:absolute;left:5994;top:12768;width:719;height:1095;flip:x y" o:connectortype="straight"/>
            <v:shape id="_x0000_s1038" type="#_x0000_t32" style="position:absolute;left:5994;top:12768;width:719;height:555;flip:x y" o:connectortype="straight"/>
            <v:shape id="_x0000_s1039" type="#_x0000_t32" style="position:absolute;left:5994;top:12768;width:719;height:15;flip:x y" o:connectortype="straight"/>
            <v:shape id="_x0000_s1040" type="#_x0000_t32" style="position:absolute;left:5994;top:11703;width:719;height:1065;flip:x" o:connectortype="straight"/>
            <v:shape id="_x0000_s1041" type="#_x0000_t32" style="position:absolute;left:5994;top:11163;width:719;height:1605;flip:x" o:connectortype="straight"/>
            <v:shape id="_x0000_s1042" type="#_x0000_t32" style="position:absolute;left:5994;top:12243;width:719;height:525;flip:y" o:connectortype="straight"/>
            <v:shape id="_x0000_s1043" type="#_x0000_t32" style="position:absolute;left:8693;top:12768;width:721;height:15;flip:x" o:connectortype="straight"/>
            <v:shape id="_x0000_s1044" type="#_x0000_t202" style="position:absolute;left:9414;top:11148;width:1980;height:3240" fillcolor="#c5e2ff">
              <v:textbox style="mso-next-textbox:#_x0000_s1044">
                <w:txbxContent>
                  <w:p w:rsidR="00810E20" w:rsidRDefault="00810E20" w:rsidP="007C0DC0">
                    <w:pPr>
                      <w:jc w:val="center"/>
                      <w:rPr>
                        <w:sz w:val="16"/>
                        <w:szCs w:val="16"/>
                      </w:rPr>
                    </w:pPr>
                  </w:p>
                  <w:p w:rsidR="00810E20" w:rsidRDefault="00810E20" w:rsidP="007C0DC0">
                    <w:pPr>
                      <w:jc w:val="center"/>
                      <w:rPr>
                        <w:sz w:val="16"/>
                        <w:szCs w:val="16"/>
                      </w:rPr>
                    </w:pPr>
                    <w:r>
                      <w:rPr>
                        <w:sz w:val="16"/>
                        <w:szCs w:val="16"/>
                      </w:rPr>
                      <w:t>1. Material process flow Pareto analysis chart</w:t>
                    </w:r>
                  </w:p>
                  <w:p w:rsidR="00810E20" w:rsidRDefault="00810E20" w:rsidP="007C0DC0">
                    <w:pPr>
                      <w:jc w:val="center"/>
                      <w:rPr>
                        <w:sz w:val="16"/>
                        <w:szCs w:val="16"/>
                      </w:rPr>
                    </w:pPr>
                  </w:p>
                  <w:p w:rsidR="00810E20" w:rsidRDefault="00810E20" w:rsidP="007C0DC0">
                    <w:pPr>
                      <w:jc w:val="center"/>
                      <w:rPr>
                        <w:sz w:val="16"/>
                        <w:szCs w:val="16"/>
                      </w:rPr>
                    </w:pPr>
                  </w:p>
                  <w:p w:rsidR="00810E20" w:rsidRDefault="00810E20" w:rsidP="007C0DC0">
                    <w:pPr>
                      <w:jc w:val="center"/>
                      <w:rPr>
                        <w:sz w:val="16"/>
                        <w:szCs w:val="16"/>
                      </w:rPr>
                    </w:pPr>
                  </w:p>
                  <w:p w:rsidR="00810E20" w:rsidRDefault="00810E20" w:rsidP="007C0DC0">
                    <w:pPr>
                      <w:jc w:val="center"/>
                      <w:rPr>
                        <w:sz w:val="16"/>
                        <w:szCs w:val="16"/>
                      </w:rPr>
                    </w:pPr>
                    <w:r>
                      <w:rPr>
                        <w:sz w:val="16"/>
                        <w:szCs w:val="16"/>
                      </w:rPr>
                      <w:t>2. Energy process flow Pareto analysis chart</w:t>
                    </w:r>
                  </w:p>
                  <w:p w:rsidR="00810E20" w:rsidRDefault="00810E20" w:rsidP="007C0DC0">
                    <w:pPr>
                      <w:jc w:val="center"/>
                      <w:rPr>
                        <w:sz w:val="16"/>
                        <w:szCs w:val="16"/>
                      </w:rPr>
                    </w:pPr>
                  </w:p>
                  <w:p w:rsidR="00810E20" w:rsidRDefault="00810E20" w:rsidP="007C0DC0">
                    <w:pPr>
                      <w:jc w:val="center"/>
                      <w:rPr>
                        <w:sz w:val="16"/>
                        <w:szCs w:val="16"/>
                      </w:rPr>
                    </w:pPr>
                  </w:p>
                  <w:p w:rsidR="00810E20" w:rsidRDefault="00810E20" w:rsidP="007C0DC0">
                    <w:pPr>
                      <w:jc w:val="center"/>
                      <w:rPr>
                        <w:sz w:val="16"/>
                        <w:szCs w:val="16"/>
                      </w:rPr>
                    </w:pPr>
                  </w:p>
                  <w:p w:rsidR="00810E20" w:rsidRDefault="00810E20" w:rsidP="007C0DC0">
                    <w:pPr>
                      <w:jc w:val="center"/>
                      <w:rPr>
                        <w:sz w:val="16"/>
                        <w:szCs w:val="16"/>
                      </w:rPr>
                    </w:pPr>
                    <w:r>
                      <w:rPr>
                        <w:sz w:val="16"/>
                        <w:szCs w:val="16"/>
                      </w:rPr>
                      <w:t xml:space="preserve">3. Waste process flow </w:t>
                    </w:r>
                  </w:p>
                  <w:p w:rsidR="00810E20" w:rsidRPr="005344CF" w:rsidRDefault="00810E20" w:rsidP="007C0DC0">
                    <w:pPr>
                      <w:jc w:val="center"/>
                      <w:rPr>
                        <w:sz w:val="16"/>
                        <w:szCs w:val="16"/>
                      </w:rPr>
                    </w:pPr>
                    <w:r>
                      <w:rPr>
                        <w:sz w:val="16"/>
                        <w:szCs w:val="16"/>
                      </w:rPr>
                      <w:t>Pareto analysis chart</w:t>
                    </w:r>
                  </w:p>
                </w:txbxContent>
              </v:textbox>
            </v:shape>
            <v:shape id="_x0000_s1045" type="#_x0000_t202" style="position:absolute;left:1674;top:11148;width:1980;height:3240" fillcolor="#c5e2ff">
              <v:textbox style="mso-next-textbox:#_x0000_s1045">
                <w:txbxContent>
                  <w:p w:rsidR="00810E20" w:rsidRDefault="00810E20" w:rsidP="007C0DC0">
                    <w:pPr>
                      <w:jc w:val="center"/>
                      <w:rPr>
                        <w:sz w:val="16"/>
                        <w:szCs w:val="16"/>
                      </w:rPr>
                    </w:pPr>
                  </w:p>
                  <w:p w:rsidR="00810E20" w:rsidRDefault="00810E20" w:rsidP="007C0DC0">
                    <w:pPr>
                      <w:jc w:val="center"/>
                      <w:rPr>
                        <w:sz w:val="16"/>
                        <w:szCs w:val="16"/>
                      </w:rPr>
                    </w:pPr>
                    <w:r>
                      <w:rPr>
                        <w:sz w:val="16"/>
                        <w:szCs w:val="16"/>
                      </w:rPr>
                      <w:t>1. IDEF0 map manufacturing system in selected cell</w:t>
                    </w:r>
                  </w:p>
                  <w:p w:rsidR="00810E20" w:rsidRDefault="00810E20" w:rsidP="007C0DC0">
                    <w:pPr>
                      <w:jc w:val="center"/>
                      <w:rPr>
                        <w:sz w:val="16"/>
                        <w:szCs w:val="16"/>
                      </w:rPr>
                    </w:pPr>
                  </w:p>
                  <w:p w:rsidR="00810E20" w:rsidRDefault="00810E20" w:rsidP="007C0DC0">
                    <w:pPr>
                      <w:jc w:val="center"/>
                      <w:rPr>
                        <w:sz w:val="16"/>
                        <w:szCs w:val="16"/>
                      </w:rPr>
                    </w:pPr>
                  </w:p>
                  <w:p w:rsidR="00810E20" w:rsidRDefault="00810E20" w:rsidP="007C0DC0">
                    <w:pPr>
                      <w:jc w:val="center"/>
                      <w:rPr>
                        <w:sz w:val="16"/>
                        <w:szCs w:val="16"/>
                      </w:rPr>
                    </w:pPr>
                  </w:p>
                  <w:p w:rsidR="00810E20" w:rsidRDefault="00810E20" w:rsidP="007C0DC0">
                    <w:pPr>
                      <w:jc w:val="center"/>
                      <w:rPr>
                        <w:sz w:val="16"/>
                        <w:szCs w:val="16"/>
                      </w:rPr>
                    </w:pPr>
                    <w:r>
                      <w:rPr>
                        <w:sz w:val="16"/>
                        <w:szCs w:val="16"/>
                      </w:rPr>
                      <w:t>2. MEW brainstorm of cell processes</w:t>
                    </w:r>
                  </w:p>
                  <w:p w:rsidR="00810E20" w:rsidRDefault="00810E20" w:rsidP="007C0DC0">
                    <w:pPr>
                      <w:jc w:val="center"/>
                      <w:rPr>
                        <w:sz w:val="16"/>
                        <w:szCs w:val="16"/>
                      </w:rPr>
                    </w:pPr>
                  </w:p>
                  <w:p w:rsidR="00810E20" w:rsidRDefault="00810E20" w:rsidP="007C0DC0">
                    <w:pPr>
                      <w:jc w:val="center"/>
                      <w:rPr>
                        <w:sz w:val="16"/>
                        <w:szCs w:val="16"/>
                      </w:rPr>
                    </w:pPr>
                  </w:p>
                  <w:p w:rsidR="00810E20" w:rsidRDefault="00810E20" w:rsidP="007C0DC0">
                    <w:pPr>
                      <w:jc w:val="center"/>
                      <w:rPr>
                        <w:sz w:val="16"/>
                        <w:szCs w:val="16"/>
                      </w:rPr>
                    </w:pPr>
                  </w:p>
                  <w:p w:rsidR="00810E20" w:rsidRPr="005344CF" w:rsidRDefault="00810E20" w:rsidP="007C0DC0">
                    <w:pPr>
                      <w:jc w:val="center"/>
                      <w:rPr>
                        <w:sz w:val="16"/>
                        <w:szCs w:val="16"/>
                      </w:rPr>
                    </w:pPr>
                    <w:r>
                      <w:rPr>
                        <w:sz w:val="16"/>
                        <w:szCs w:val="16"/>
                      </w:rPr>
                      <w:t>3. IDEF0 MEW process flow map of cell processes</w:t>
                    </w:r>
                  </w:p>
                </w:txbxContent>
              </v:textbox>
            </v:shape>
            <v:shape id="_x0000_s1046" type="#_x0000_t32" style="position:absolute;left:3654;top:12768;width:360;height:1;flip:x" o:connectortype="straight"/>
            <v:shape id="_x0000_s1047" type="#_x0000_t32" style="position:absolute;left:8693;top:12243;width:721;height:525" o:connectortype="straight"/>
            <v:shape id="_x0000_s1048" type="#_x0000_t32" style="position:absolute;left:8693;top:12768;width:721;height:555;flip:y" o:connectortype="straight"/>
            <v:shape id="_x0000_s1049" type="#_x0000_t32" style="position:absolute;left:8693;top:11703;width:721;height:1065" o:connectortype="straight"/>
            <v:shape id="_x0000_s1050" type="#_x0000_t32" style="position:absolute;left:8693;top:12768;width:721;height:1095;flip:x" o:connectortype="straight"/>
            <v:shape id="_x0000_s1051" type="#_x0000_t32" style="position:absolute;left:8693;top:12768;width:721;height:1635;flip:x" o:connectortype="straight"/>
            <v:shape id="_x0000_s1052" type="#_x0000_t32" style="position:absolute;left:8693;top:11163;width:721;height:1605;flip:x y" o:connectortype="straight"/>
            <v:shape id="_x0000_s1053" type="#_x0000_t202" style="position:absolute;left:1674;top:8086;width:1980;height:1260" fillcolor="#9cf">
              <v:textbox style="mso-next-textbox:#_x0000_s1053">
                <w:txbxContent>
                  <w:p w:rsidR="00810E20" w:rsidRPr="007E5ED2" w:rsidRDefault="00810E20" w:rsidP="007C0DC0">
                    <w:pPr>
                      <w:jc w:val="center"/>
                      <w:rPr>
                        <w:b/>
                        <w:sz w:val="16"/>
                        <w:szCs w:val="16"/>
                        <w:u w:val="single"/>
                      </w:rPr>
                    </w:pPr>
                    <w:r>
                      <w:rPr>
                        <w:b/>
                        <w:sz w:val="16"/>
                        <w:szCs w:val="16"/>
                        <w:u w:val="single"/>
                      </w:rPr>
                      <w:t>Section 1</w:t>
                    </w:r>
                  </w:p>
                  <w:p w:rsidR="00810E20" w:rsidRDefault="00810E20" w:rsidP="007C0DC0">
                    <w:pPr>
                      <w:jc w:val="center"/>
                      <w:rPr>
                        <w:b/>
                        <w:sz w:val="16"/>
                        <w:szCs w:val="16"/>
                      </w:rPr>
                    </w:pPr>
                  </w:p>
                  <w:p w:rsidR="00810E20" w:rsidRPr="007E5ED2" w:rsidRDefault="00810E20" w:rsidP="007C0DC0">
                    <w:pPr>
                      <w:jc w:val="center"/>
                      <w:rPr>
                        <w:sz w:val="16"/>
                        <w:szCs w:val="16"/>
                      </w:rPr>
                    </w:pPr>
                    <w:r w:rsidRPr="007E5ED2">
                      <w:rPr>
                        <w:sz w:val="16"/>
                        <w:szCs w:val="16"/>
                      </w:rPr>
                      <w:t>Qualitative mapping</w:t>
                    </w:r>
                  </w:p>
                </w:txbxContent>
              </v:textbox>
            </v:shape>
            <v:shape id="_x0000_s1054" type="#_x0000_t202" style="position:absolute;left:4014;top:8086;width:1980;height:1260" fillcolor="#9cf">
              <v:textbox style="mso-next-textbox:#_x0000_s1054">
                <w:txbxContent>
                  <w:p w:rsidR="00810E20" w:rsidRPr="007E5ED2" w:rsidRDefault="00810E20" w:rsidP="007C0DC0">
                    <w:pPr>
                      <w:jc w:val="center"/>
                      <w:rPr>
                        <w:b/>
                        <w:sz w:val="16"/>
                        <w:szCs w:val="16"/>
                        <w:u w:val="single"/>
                      </w:rPr>
                    </w:pPr>
                    <w:r>
                      <w:rPr>
                        <w:b/>
                        <w:sz w:val="16"/>
                        <w:szCs w:val="16"/>
                        <w:u w:val="single"/>
                      </w:rPr>
                      <w:t>Section 2</w:t>
                    </w:r>
                  </w:p>
                  <w:p w:rsidR="00810E20" w:rsidRDefault="00810E20" w:rsidP="007C0DC0">
                    <w:pPr>
                      <w:jc w:val="center"/>
                      <w:rPr>
                        <w:b/>
                        <w:sz w:val="16"/>
                        <w:szCs w:val="16"/>
                      </w:rPr>
                    </w:pPr>
                  </w:p>
                  <w:p w:rsidR="00810E20" w:rsidRPr="007E5ED2" w:rsidRDefault="00810E20" w:rsidP="007C0DC0">
                    <w:pPr>
                      <w:jc w:val="center"/>
                      <w:rPr>
                        <w:sz w:val="16"/>
                        <w:szCs w:val="16"/>
                      </w:rPr>
                    </w:pPr>
                    <w:r w:rsidRPr="007E5ED2">
                      <w:rPr>
                        <w:sz w:val="16"/>
                        <w:szCs w:val="16"/>
                      </w:rPr>
                      <w:t>Data, Quantitative modelling of constant assets &amp; summary table</w:t>
                    </w:r>
                  </w:p>
                </w:txbxContent>
              </v:textbox>
            </v:shape>
            <v:shape id="_x0000_s1055" type="#_x0000_t202" style="position:absolute;left:6714;top:8086;width:1980;height:1260" fillcolor="#9cf">
              <v:textbox style="mso-next-textbox:#_x0000_s1055">
                <w:txbxContent>
                  <w:p w:rsidR="00810E20" w:rsidRDefault="00810E20" w:rsidP="007C0DC0">
                    <w:pPr>
                      <w:jc w:val="center"/>
                      <w:rPr>
                        <w:b/>
                        <w:sz w:val="16"/>
                        <w:szCs w:val="16"/>
                      </w:rPr>
                    </w:pPr>
                    <w:r w:rsidRPr="007E5ED2">
                      <w:rPr>
                        <w:b/>
                        <w:sz w:val="16"/>
                        <w:szCs w:val="16"/>
                        <w:u w:val="single"/>
                      </w:rPr>
                      <w:t>Section 3</w:t>
                    </w:r>
                    <w:r>
                      <w:rPr>
                        <w:b/>
                        <w:sz w:val="16"/>
                        <w:szCs w:val="16"/>
                      </w:rPr>
                      <w:t xml:space="preserve"> </w:t>
                    </w:r>
                  </w:p>
                  <w:p w:rsidR="00810E20" w:rsidRDefault="00810E20" w:rsidP="007C0DC0">
                    <w:pPr>
                      <w:jc w:val="center"/>
                      <w:rPr>
                        <w:sz w:val="16"/>
                        <w:szCs w:val="16"/>
                      </w:rPr>
                    </w:pPr>
                  </w:p>
                  <w:p w:rsidR="00810E20" w:rsidRPr="00D76EE4" w:rsidRDefault="00810E20" w:rsidP="007C0DC0">
                    <w:pPr>
                      <w:jc w:val="center"/>
                      <w:rPr>
                        <w:b/>
                        <w:sz w:val="16"/>
                        <w:szCs w:val="16"/>
                      </w:rPr>
                    </w:pPr>
                    <w:r w:rsidRPr="007E5ED2">
                      <w:rPr>
                        <w:sz w:val="16"/>
                        <w:szCs w:val="16"/>
                      </w:rPr>
                      <w:t>Quantitative modelling of variable usage assets</w:t>
                    </w:r>
                  </w:p>
                </w:txbxContent>
              </v:textbox>
            </v:shape>
            <v:shape id="_x0000_s1056" type="#_x0000_t202" style="position:absolute;left:9414;top:8086;width:1980;height:1260" fillcolor="#9cf">
              <v:textbox style="mso-next-textbox:#_x0000_s1056">
                <w:txbxContent>
                  <w:p w:rsidR="00810E20" w:rsidRDefault="00810E20" w:rsidP="007C0DC0">
                    <w:pPr>
                      <w:jc w:val="center"/>
                      <w:rPr>
                        <w:b/>
                        <w:sz w:val="16"/>
                        <w:szCs w:val="16"/>
                      </w:rPr>
                    </w:pPr>
                    <w:r>
                      <w:rPr>
                        <w:b/>
                        <w:sz w:val="16"/>
                        <w:szCs w:val="16"/>
                      </w:rPr>
                      <w:t>Section 4</w:t>
                    </w:r>
                  </w:p>
                  <w:p w:rsidR="00810E20" w:rsidRPr="007E5ED2" w:rsidRDefault="00810E20" w:rsidP="007C0DC0">
                    <w:pPr>
                      <w:jc w:val="center"/>
                      <w:rPr>
                        <w:sz w:val="16"/>
                        <w:szCs w:val="16"/>
                      </w:rPr>
                    </w:pPr>
                  </w:p>
                  <w:p w:rsidR="00810E20" w:rsidRPr="007E5ED2" w:rsidRDefault="00810E20" w:rsidP="007C0DC0">
                    <w:pPr>
                      <w:jc w:val="center"/>
                      <w:rPr>
                        <w:sz w:val="16"/>
                        <w:szCs w:val="16"/>
                      </w:rPr>
                    </w:pPr>
                    <w:r>
                      <w:rPr>
                        <w:sz w:val="16"/>
                        <w:szCs w:val="16"/>
                      </w:rPr>
                      <w:t>Quantitative modelling output Pareto charts</w:t>
                    </w:r>
                  </w:p>
                </w:txbxContent>
              </v:textbox>
            </v:shape>
            <v:shape id="_x0000_s1057" type="#_x0000_t32" style="position:absolute;left:3654;top:8716;width:360;height:1" o:connectortype="straight">
              <v:stroke endarrow="block"/>
            </v:shape>
            <v:shape id="_x0000_s1058" type="#_x0000_t32" style="position:absolute;left:5994;top:8716;width:720;height:1" o:connectortype="straight">
              <v:stroke endarrow="block"/>
            </v:shape>
            <v:shape id="_x0000_s1059" type="#_x0000_t32" style="position:absolute;left:8694;top:8716;width:720;height:1" o:connectortype="straight">
              <v:stroke endarrow="block"/>
            </v:shape>
            <v:shape id="_x0000_s1060" type="#_x0000_t202" style="position:absolute;left:1674;top:10428;width:1980;height:633" fillcolor="#9cf">
              <v:textbox style="mso-next-textbox:#_x0000_s1060">
                <w:txbxContent>
                  <w:p w:rsidR="00810E20" w:rsidRPr="00EA4F4C" w:rsidRDefault="00810E20" w:rsidP="007C0DC0">
                    <w:pPr>
                      <w:jc w:val="center"/>
                      <w:rPr>
                        <w:b/>
                        <w:sz w:val="16"/>
                        <w:szCs w:val="16"/>
                      </w:rPr>
                    </w:pPr>
                    <w:r w:rsidRPr="00EA4F4C">
                      <w:rPr>
                        <w:b/>
                        <w:sz w:val="16"/>
                        <w:szCs w:val="16"/>
                      </w:rPr>
                      <w:t xml:space="preserve">Section 1 </w:t>
                    </w:r>
                    <w:r>
                      <w:rPr>
                        <w:b/>
                        <w:sz w:val="16"/>
                        <w:szCs w:val="16"/>
                      </w:rPr>
                      <w:t>model e</w:t>
                    </w:r>
                    <w:r w:rsidRPr="00EA4F4C">
                      <w:rPr>
                        <w:b/>
                        <w:sz w:val="16"/>
                        <w:szCs w:val="16"/>
                      </w:rPr>
                      <w:t>lements</w:t>
                    </w:r>
                  </w:p>
                </w:txbxContent>
              </v:textbox>
            </v:shape>
            <v:shape id="_x0000_s1061" type="#_x0000_t202" style="position:absolute;left:4014;top:10428;width:1980;height:633" fillcolor="#9cf">
              <v:textbox style="mso-next-textbox:#_x0000_s1061">
                <w:txbxContent>
                  <w:p w:rsidR="00810E20" w:rsidRPr="00EA4F4C" w:rsidRDefault="00810E20" w:rsidP="007C0DC0">
                    <w:pPr>
                      <w:jc w:val="center"/>
                      <w:rPr>
                        <w:b/>
                        <w:sz w:val="16"/>
                        <w:szCs w:val="16"/>
                      </w:rPr>
                    </w:pPr>
                    <w:r w:rsidRPr="00EA4F4C">
                      <w:rPr>
                        <w:b/>
                        <w:sz w:val="16"/>
                        <w:szCs w:val="16"/>
                      </w:rPr>
                      <w:t xml:space="preserve">Section 2 </w:t>
                    </w:r>
                    <w:r>
                      <w:rPr>
                        <w:b/>
                        <w:sz w:val="16"/>
                        <w:szCs w:val="16"/>
                      </w:rPr>
                      <w:t>model e</w:t>
                    </w:r>
                    <w:r w:rsidRPr="00EA4F4C">
                      <w:rPr>
                        <w:b/>
                        <w:sz w:val="16"/>
                        <w:szCs w:val="16"/>
                      </w:rPr>
                      <w:t>lements</w:t>
                    </w:r>
                  </w:p>
                </w:txbxContent>
              </v:textbox>
            </v:shape>
            <v:shape id="_x0000_s1062" type="#_x0000_t202" style="position:absolute;left:9414;top:10428;width:1980;height:633" fillcolor="#9cf">
              <v:textbox style="mso-next-textbox:#_x0000_s1062">
                <w:txbxContent>
                  <w:p w:rsidR="00810E20" w:rsidRPr="00EA4F4C" w:rsidRDefault="00810E20" w:rsidP="007C0DC0">
                    <w:pPr>
                      <w:jc w:val="center"/>
                      <w:rPr>
                        <w:b/>
                        <w:sz w:val="16"/>
                        <w:szCs w:val="16"/>
                      </w:rPr>
                    </w:pPr>
                    <w:r>
                      <w:rPr>
                        <w:b/>
                        <w:sz w:val="16"/>
                        <w:szCs w:val="16"/>
                      </w:rPr>
                      <w:t>Section 4 model e</w:t>
                    </w:r>
                    <w:r w:rsidRPr="00EA4F4C">
                      <w:rPr>
                        <w:b/>
                        <w:sz w:val="16"/>
                        <w:szCs w:val="16"/>
                      </w:rPr>
                      <w:t>lements</w:t>
                    </w:r>
                  </w:p>
                </w:txbxContent>
              </v:textbox>
            </v:shape>
            <v:shape id="_x0000_s1063" type="#_x0000_t202" style="position:absolute;left:6714;top:9710;width:1980;height:1153" fillcolor="#9cf">
              <v:textbox style="mso-next-textbox:#_x0000_s1063">
                <w:txbxContent>
                  <w:p w:rsidR="00810E20" w:rsidRDefault="00810E20" w:rsidP="007C0DC0">
                    <w:pPr>
                      <w:jc w:val="center"/>
                      <w:rPr>
                        <w:b/>
                        <w:sz w:val="16"/>
                        <w:szCs w:val="16"/>
                      </w:rPr>
                    </w:pPr>
                    <w:r w:rsidRPr="00EA4F4C">
                      <w:rPr>
                        <w:b/>
                        <w:sz w:val="16"/>
                        <w:szCs w:val="16"/>
                      </w:rPr>
                      <w:t xml:space="preserve">Section 3 </w:t>
                    </w:r>
                    <w:r>
                      <w:rPr>
                        <w:b/>
                        <w:sz w:val="16"/>
                        <w:szCs w:val="16"/>
                      </w:rPr>
                      <w:t>model e</w:t>
                    </w:r>
                    <w:r w:rsidRPr="00EA4F4C">
                      <w:rPr>
                        <w:b/>
                        <w:sz w:val="16"/>
                        <w:szCs w:val="16"/>
                      </w:rPr>
                      <w:t>lements</w:t>
                    </w:r>
                  </w:p>
                  <w:p w:rsidR="00810E20" w:rsidRPr="00EA4F4C" w:rsidRDefault="00810E20" w:rsidP="007C0DC0">
                    <w:pPr>
                      <w:jc w:val="center"/>
                      <w:rPr>
                        <w:b/>
                        <w:sz w:val="16"/>
                        <w:szCs w:val="16"/>
                      </w:rPr>
                    </w:pPr>
                    <w:r w:rsidRPr="007E5ED2">
                      <w:rPr>
                        <w:sz w:val="16"/>
                        <w:szCs w:val="16"/>
                      </w:rPr>
                      <w:t>(</w:t>
                    </w:r>
                    <w:r>
                      <w:rPr>
                        <w:sz w:val="16"/>
                        <w:szCs w:val="16"/>
                      </w:rPr>
                      <w:t>W</w:t>
                    </w:r>
                    <w:r w:rsidRPr="007E5ED2">
                      <w:rPr>
                        <w:sz w:val="16"/>
                        <w:szCs w:val="16"/>
                      </w:rPr>
                      <w:t>orksheet for each asset)</w:t>
                    </w:r>
                  </w:p>
                </w:txbxContent>
              </v:textbox>
            </v:shape>
            <w10:wrap type="none"/>
            <w10:anchorlock/>
          </v:group>
        </w:pict>
      </w:r>
    </w:p>
    <w:p w:rsidR="00196284" w:rsidRPr="0075709C" w:rsidRDefault="00196284" w:rsidP="007C0DC0">
      <w:r w:rsidRPr="0075709C">
        <w:t xml:space="preserve">Figure </w:t>
      </w:r>
      <w:r>
        <w:t>4</w:t>
      </w:r>
      <w:r w:rsidRPr="0075709C">
        <w:t>: Quantitative model structure</w:t>
      </w:r>
    </w:p>
    <w:p w:rsidR="00196284" w:rsidRDefault="00196284" w:rsidP="0073452A">
      <w:pPr>
        <w:jc w:val="left"/>
      </w:pPr>
    </w:p>
    <w:p w:rsidR="00196284" w:rsidRDefault="006D3C89" w:rsidP="007C0DC0">
      <w:pPr>
        <w:keepNext/>
      </w:pPr>
      <w:r>
        <w:rPr>
          <w:noProof/>
          <w:lang w:eastAsia="en-GB"/>
        </w:rPr>
        <w:lastRenderedPageBreak/>
        <w:pict>
          <v:shape id="_x0000_s1064" type="#_x0000_t202" style="position:absolute;left:0;text-align:left;margin-left:0;margin-top:5.35pt;width:193.85pt;height:33.35pt;z-index:251653120" fillcolor="#c5e2ff">
            <v:textbox style="mso-next-textbox:#_x0000_s1064">
              <w:txbxContent>
                <w:p w:rsidR="00810E20" w:rsidRDefault="00810E20" w:rsidP="007C0DC0">
                  <w:pPr>
                    <w:jc w:val="left"/>
                    <w:rPr>
                      <w:sz w:val="16"/>
                      <w:szCs w:val="16"/>
                    </w:rPr>
                  </w:pPr>
                  <w:r w:rsidRPr="00580700">
                    <w:rPr>
                      <w:sz w:val="16"/>
                      <w:szCs w:val="16"/>
                    </w:rPr>
                    <w:t>Constant</w:t>
                  </w:r>
                  <w:r>
                    <w:rPr>
                      <w:sz w:val="16"/>
                      <w:szCs w:val="16"/>
                    </w:rPr>
                    <w:t xml:space="preserve"> usage</w:t>
                  </w:r>
                  <w:r w:rsidRPr="00580700">
                    <w:rPr>
                      <w:sz w:val="16"/>
                      <w:szCs w:val="16"/>
                    </w:rPr>
                    <w:t xml:space="preserve"> asset modelling</w:t>
                  </w:r>
                </w:p>
                <w:p w:rsidR="00810E20" w:rsidRPr="00580700" w:rsidRDefault="00810E20" w:rsidP="007C0DC0">
                  <w:pPr>
                    <w:jc w:val="left"/>
                    <w:rPr>
                      <w:sz w:val="16"/>
                      <w:szCs w:val="16"/>
                    </w:rPr>
                  </w:pPr>
                  <w:r w:rsidRPr="00580700">
                    <w:rPr>
                      <w:sz w:val="16"/>
                      <w:szCs w:val="16"/>
                    </w:rPr>
                    <w:t xml:space="preserve">Variable </w:t>
                  </w:r>
                  <w:r>
                    <w:rPr>
                      <w:sz w:val="16"/>
                      <w:szCs w:val="16"/>
                    </w:rPr>
                    <w:t xml:space="preserve">usage </w:t>
                  </w:r>
                  <w:r w:rsidRPr="00580700">
                    <w:rPr>
                      <w:sz w:val="16"/>
                      <w:szCs w:val="16"/>
                    </w:rPr>
                    <w:t>asset modelling summary</w:t>
                  </w:r>
                </w:p>
              </w:txbxContent>
            </v:textbox>
          </v:shape>
        </w:pict>
      </w:r>
    </w:p>
    <w:p w:rsidR="00196284" w:rsidRPr="00E41BE3" w:rsidRDefault="006D3C89" w:rsidP="007C0DC0">
      <w:pPr>
        <w:pStyle w:val="NormalLeft"/>
        <w:keepNext/>
        <w:spacing w:line="240" w:lineRule="auto"/>
        <w:jc w:val="both"/>
        <w:rPr>
          <w:sz w:val="2"/>
        </w:rPr>
      </w:pPr>
      <w:r w:rsidRPr="006D3C89">
        <w:rPr>
          <w:noProof/>
          <w:lang w:val="en-GB" w:eastAsia="en-GB"/>
        </w:rPr>
        <w:pict>
          <v:shape id="_x0000_s1065" type="#_x0000_t202" style="position:absolute;left:0;text-align:left;margin-left:457.65pt;margin-top:3.95pt;width:18pt;height:9pt;z-index:251660288" fillcolor="#f60">
            <v:textbox style="mso-next-textbox:#_x0000_s1065">
              <w:txbxContent>
                <w:p w:rsidR="00810E20" w:rsidRPr="00580700" w:rsidRDefault="00810E20" w:rsidP="007C0DC0">
                  <w:pPr>
                    <w:rPr>
                      <w:szCs w:val="16"/>
                    </w:rPr>
                  </w:pPr>
                </w:p>
              </w:txbxContent>
            </v:textbox>
          </v:shape>
        </w:pict>
      </w:r>
      <w:r w:rsidRPr="006D3C89">
        <w:rPr>
          <w:noProof/>
          <w:lang w:val="en-GB" w:eastAsia="en-GB"/>
        </w:rPr>
        <w:pict>
          <v:shape id="_x0000_s1066" type="#_x0000_t202" style="position:absolute;left:0;text-align:left;margin-left:198pt;margin-top:0;width:4in;height:18pt;z-index:251656192" fillcolor="#c5e2ff">
            <v:textbox style="mso-next-textbox:#_x0000_s1066">
              <w:txbxContent>
                <w:p w:rsidR="00810E20" w:rsidRPr="00B652CF" w:rsidRDefault="00810E20" w:rsidP="007C0DC0">
                  <w:pPr>
                    <w:jc w:val="left"/>
                    <w:rPr>
                      <w:sz w:val="16"/>
                      <w:szCs w:val="16"/>
                    </w:rPr>
                  </w:pPr>
                  <w:r>
                    <w:rPr>
                      <w:sz w:val="16"/>
                      <w:szCs w:val="16"/>
                    </w:rPr>
                    <w:t>Energy flows shown, Material and Waste hidden to the right in model</w:t>
                  </w:r>
                </w:p>
              </w:txbxContent>
            </v:textbox>
          </v:shape>
        </w:pict>
      </w:r>
      <w:r w:rsidRPr="006D3C89">
        <w:rPr>
          <w:noProof/>
          <w:lang w:val="en-GB" w:eastAsia="en-GB"/>
        </w:rPr>
        <w:pict>
          <v:shape id="_x0000_s1067" type="#_x0000_t202" style="position:absolute;left:0;text-align:left;margin-left:162pt;margin-top:5.95pt;width:18pt;height:9pt;z-index:251658240" fillcolor="#ff9">
            <v:textbox style="mso-next-textbox:#_x0000_s1067">
              <w:txbxContent>
                <w:p w:rsidR="00810E20" w:rsidRPr="00580700" w:rsidRDefault="00810E20" w:rsidP="007C0DC0">
                  <w:pPr>
                    <w:rPr>
                      <w:szCs w:val="16"/>
                    </w:rPr>
                  </w:pPr>
                </w:p>
              </w:txbxContent>
            </v:textbox>
          </v:shape>
        </w:pict>
      </w:r>
      <w:r w:rsidRPr="006D3C89">
        <w:rPr>
          <w:noProof/>
          <w:lang w:val="en-GB" w:eastAsia="en-GB"/>
        </w:rPr>
        <w:pict>
          <v:shape id="_x0000_s1068" type="#_x0000_t202" style="position:absolute;left:0;text-align:left;margin-left:162pt;margin-top:-6.1pt;width:18pt;height:9pt;z-index:251659264" fillcolor="#c9f">
            <v:textbox style="mso-next-textbox:#_x0000_s1068">
              <w:txbxContent>
                <w:p w:rsidR="00810E20" w:rsidRPr="00580700" w:rsidRDefault="00810E20" w:rsidP="007C0DC0">
                  <w:pPr>
                    <w:rPr>
                      <w:szCs w:val="16"/>
                    </w:rPr>
                  </w:pPr>
                </w:p>
              </w:txbxContent>
            </v:textbox>
          </v:shape>
        </w:pict>
      </w:r>
    </w:p>
    <w:p w:rsidR="00196284" w:rsidRDefault="006D3C89" w:rsidP="007C0DC0">
      <w:pPr>
        <w:pStyle w:val="NormalLeft"/>
        <w:keepNext/>
        <w:spacing w:line="240" w:lineRule="auto"/>
        <w:jc w:val="both"/>
      </w:pPr>
      <w:r>
        <w:rPr>
          <w:noProof/>
          <w:lang w:val="en-GB" w:eastAsia="en-GB"/>
        </w:rPr>
        <w:pict>
          <v:shape id="_x0000_s1069" type="#_x0000_t202" style="position:absolute;left:0;text-align:left;margin-left:0;margin-top:282.55pt;width:198pt;height:31.1pt;z-index:251661312" fillcolor="#c5e2ff">
            <v:textbox style="mso-next-textbox:#_x0000_s1069">
              <w:txbxContent>
                <w:p w:rsidR="00810E20" w:rsidRPr="00B652CF" w:rsidRDefault="00810E20" w:rsidP="007C0DC0">
                  <w:pPr>
                    <w:jc w:val="center"/>
                    <w:rPr>
                      <w:sz w:val="16"/>
                      <w:szCs w:val="16"/>
                    </w:rPr>
                  </w:pPr>
                  <w:r w:rsidRPr="00AF3F8E">
                    <w:rPr>
                      <w:b/>
                      <w:color w:val="00FF00"/>
                      <w:sz w:val="16"/>
                      <w:szCs w:val="16"/>
                    </w:rPr>
                    <w:t>Y</w:t>
                  </w:r>
                  <w:r>
                    <w:rPr>
                      <w:sz w:val="16"/>
                      <w:szCs w:val="16"/>
                    </w:rPr>
                    <w:t xml:space="preserve"> = MEW process flows that were acknowledge to be present but were not quantified directly.</w:t>
                  </w:r>
                </w:p>
              </w:txbxContent>
            </v:textbox>
          </v:shape>
        </w:pict>
      </w:r>
      <w:r>
        <w:rPr>
          <w:noProof/>
          <w:lang w:val="en-GB" w:eastAsia="en-GB"/>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0" type="#_x0000_t88" style="position:absolute;left:0;text-align:left;margin-left:328.5pt;margin-top:156.7pt;width:9pt;height:252pt;rotation:90;z-index:251652096" strokeweight="2pt"/>
        </w:pict>
      </w:r>
      <w:r>
        <w:rPr>
          <w:noProof/>
          <w:lang w:val="en-GB" w:eastAsia="en-GB"/>
        </w:rPr>
        <w:pict>
          <v:shape id="_x0000_s1071" type="#_x0000_t88" style="position:absolute;left:0;text-align:left;margin-left:120.75pt;margin-top:-107.3pt;width:18pt;height:237.25pt;rotation:270;z-index:251657216" adj=",7160" strokeweight="2pt"/>
        </w:pict>
      </w:r>
      <w:r>
        <w:rPr>
          <w:noProof/>
          <w:lang w:val="en-GB" w:eastAsia="en-GB"/>
        </w:rPr>
        <w:pict>
          <v:shape id="_x0000_s1072" type="#_x0000_t88" style="position:absolute;left:0;text-align:left;margin-left:364.5pt;margin-top:-109.65pt;width:18pt;height:243pt;rotation:270;z-index:251655168" strokeweight="2pt"/>
        </w:pict>
      </w:r>
      <w:r w:rsidR="000E6F2A">
        <w:rPr>
          <w:noProof/>
          <w:lang w:val="en-GB" w:eastAsia="en-GB"/>
        </w:rPr>
        <w:drawing>
          <wp:inline distT="0" distB="0" distL="0" distR="0">
            <wp:extent cx="6238875" cy="3381375"/>
            <wp:effectExtent l="19050" t="0" r="9525"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srcRect t="15599" b="9888"/>
                    <a:stretch>
                      <a:fillRect/>
                    </a:stretch>
                  </pic:blipFill>
                  <pic:spPr bwMode="auto">
                    <a:xfrm>
                      <a:off x="0" y="0"/>
                      <a:ext cx="6238875" cy="3381375"/>
                    </a:xfrm>
                    <a:prstGeom prst="rect">
                      <a:avLst/>
                    </a:prstGeom>
                    <a:noFill/>
                    <a:ln w="9525">
                      <a:noFill/>
                      <a:miter lim="800000"/>
                      <a:headEnd/>
                      <a:tailEnd/>
                    </a:ln>
                  </pic:spPr>
                </pic:pic>
              </a:graphicData>
            </a:graphic>
          </wp:inline>
        </w:drawing>
      </w:r>
    </w:p>
    <w:p w:rsidR="00196284" w:rsidRDefault="006D3C89" w:rsidP="007C0DC0">
      <w:pPr>
        <w:pStyle w:val="NormalLeft"/>
        <w:keepNext/>
        <w:spacing w:line="240" w:lineRule="auto"/>
        <w:jc w:val="both"/>
      </w:pPr>
      <w:r>
        <w:rPr>
          <w:noProof/>
          <w:lang w:val="en-GB" w:eastAsia="en-GB"/>
        </w:rPr>
        <w:pict>
          <v:shape id="_x0000_s1073" type="#_x0000_t202" style="position:absolute;left:0;text-align:left;margin-left:3in;margin-top:-.1pt;width:234pt;height:18pt;z-index:251654144" fillcolor="#c5e2ff">
            <v:textbox style="mso-next-textbox:#_x0000_s1073">
              <w:txbxContent>
                <w:p w:rsidR="00810E20" w:rsidRPr="00B652CF" w:rsidRDefault="00810E20" w:rsidP="007C0DC0">
                  <w:pPr>
                    <w:jc w:val="center"/>
                    <w:rPr>
                      <w:sz w:val="16"/>
                      <w:szCs w:val="16"/>
                    </w:rPr>
                  </w:pPr>
                  <w:r>
                    <w:rPr>
                      <w:sz w:val="16"/>
                      <w:szCs w:val="16"/>
                    </w:rPr>
                    <w:t>Variable assets detailed modelling on separate worksheets</w:t>
                  </w:r>
                </w:p>
              </w:txbxContent>
            </v:textbox>
          </v:shape>
        </w:pict>
      </w:r>
    </w:p>
    <w:p w:rsidR="00C75600" w:rsidRDefault="00C75600" w:rsidP="007C0DC0"/>
    <w:p w:rsidR="00196284" w:rsidRDefault="00196284" w:rsidP="007C0DC0">
      <w:proofErr w:type="gramStart"/>
      <w:r>
        <w:t>Figure 5.</w:t>
      </w:r>
      <w:proofErr w:type="gramEnd"/>
      <w:r>
        <w:t xml:space="preserve"> Summary sheet containing constant and variable assets and overall MEW (Section 2 of Model)</w:t>
      </w:r>
    </w:p>
    <w:p w:rsidR="00196284" w:rsidRDefault="00196284" w:rsidP="007C0DC0">
      <w:pPr>
        <w:pStyle w:val="NormalLeft"/>
        <w:spacing w:line="240" w:lineRule="auto"/>
        <w:jc w:val="both"/>
        <w:rPr>
          <w:sz w:val="18"/>
          <w:szCs w:val="18"/>
        </w:rPr>
      </w:pPr>
    </w:p>
    <w:p w:rsidR="00196284" w:rsidRDefault="00196284" w:rsidP="007C0DC0">
      <w:pPr>
        <w:pStyle w:val="NormalLeft"/>
        <w:spacing w:line="240" w:lineRule="auto"/>
        <w:jc w:val="both"/>
        <w:rPr>
          <w:noProof/>
          <w:sz w:val="18"/>
          <w:szCs w:val="18"/>
          <w:lang w:val="en-GB" w:eastAsia="en-GB"/>
        </w:rPr>
      </w:pPr>
    </w:p>
    <w:p w:rsidR="00196284" w:rsidRDefault="000E6F2A" w:rsidP="007C0DC0">
      <w:pPr>
        <w:pStyle w:val="NormalLeft"/>
        <w:spacing w:line="240" w:lineRule="auto"/>
        <w:jc w:val="both"/>
        <w:rPr>
          <w:sz w:val="18"/>
          <w:szCs w:val="18"/>
        </w:rPr>
      </w:pPr>
      <w:r>
        <w:rPr>
          <w:noProof/>
          <w:sz w:val="18"/>
          <w:szCs w:val="18"/>
          <w:lang w:val="en-GB" w:eastAsia="en-GB"/>
        </w:rPr>
        <w:lastRenderedPageBreak/>
        <w:drawing>
          <wp:inline distT="0" distB="0" distL="0" distR="0">
            <wp:extent cx="5289929" cy="3941072"/>
            <wp:effectExtent l="19050" t="0" r="5971"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t="15443" r="25837" b="9740"/>
                    <a:stretch>
                      <a:fillRect/>
                    </a:stretch>
                  </pic:blipFill>
                  <pic:spPr bwMode="auto">
                    <a:xfrm>
                      <a:off x="0" y="0"/>
                      <a:ext cx="5290682" cy="3941633"/>
                    </a:xfrm>
                    <a:prstGeom prst="rect">
                      <a:avLst/>
                    </a:prstGeom>
                    <a:noFill/>
                    <a:ln w="9525">
                      <a:noFill/>
                      <a:miter lim="800000"/>
                      <a:headEnd/>
                      <a:tailEnd/>
                    </a:ln>
                  </pic:spPr>
                </pic:pic>
              </a:graphicData>
            </a:graphic>
          </wp:inline>
        </w:drawing>
      </w:r>
    </w:p>
    <w:p w:rsidR="00196284" w:rsidRDefault="00196284" w:rsidP="007C0DC0">
      <w:proofErr w:type="gramStart"/>
      <w:r>
        <w:t>Figure 6.</w:t>
      </w:r>
      <w:proofErr w:type="gramEnd"/>
      <w:r>
        <w:t xml:space="preserve"> Example Pareto analysis chart showing </w:t>
      </w:r>
      <w:r w:rsidR="00C75600">
        <w:t>waste flows (Section 4 of Model)</w:t>
      </w:r>
    </w:p>
    <w:p w:rsidR="00196284" w:rsidRDefault="00196284" w:rsidP="0073452A">
      <w:pPr>
        <w:jc w:val="left"/>
      </w:pPr>
    </w:p>
    <w:p w:rsidR="00196284" w:rsidRDefault="000E6F2A" w:rsidP="007C0DC0">
      <w:pPr>
        <w:keepNext/>
        <w:jc w:val="left"/>
      </w:pPr>
      <w:r>
        <w:rPr>
          <w:noProof/>
          <w:lang w:eastAsia="en-GB"/>
        </w:rPr>
        <w:lastRenderedPageBreak/>
        <w:drawing>
          <wp:inline distT="0" distB="0" distL="0" distR="0">
            <wp:extent cx="5734050" cy="4581525"/>
            <wp:effectExtent l="0" t="0" r="0" b="0"/>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5734050" cy="4581525"/>
                    </a:xfrm>
                    <a:prstGeom prst="rect">
                      <a:avLst/>
                    </a:prstGeom>
                    <a:noFill/>
                    <a:ln w="9525">
                      <a:noFill/>
                      <a:miter lim="800000"/>
                      <a:headEnd/>
                      <a:tailEnd/>
                    </a:ln>
                  </pic:spPr>
                </pic:pic>
              </a:graphicData>
            </a:graphic>
          </wp:inline>
        </w:drawing>
      </w:r>
    </w:p>
    <w:p w:rsidR="00196284" w:rsidRDefault="00196284" w:rsidP="007C0DC0">
      <w:r w:rsidRPr="0075709C">
        <w:t xml:space="preserve">Figure </w:t>
      </w:r>
      <w:r>
        <w:t>7</w:t>
      </w:r>
      <w:r w:rsidRPr="0075709C">
        <w:t>: Guidelines for MEW process flow modelling</w:t>
      </w:r>
    </w:p>
    <w:p w:rsidR="00196284" w:rsidRDefault="00196284" w:rsidP="0073452A">
      <w:pPr>
        <w:jc w:val="left"/>
      </w:pPr>
    </w:p>
    <w:p w:rsidR="00196284" w:rsidRDefault="00196284" w:rsidP="007C0DC0"/>
    <w:p w:rsidR="00196284" w:rsidRDefault="00196284" w:rsidP="007C0DC0"/>
    <w:p w:rsidR="00196284" w:rsidRDefault="00196284" w:rsidP="007C0DC0"/>
    <w:tbl>
      <w:tblPr>
        <w:tblW w:w="8715" w:type="dxa"/>
        <w:jc w:val="center"/>
        <w:tblInd w:w="93" w:type="dxa"/>
        <w:tblLook w:val="0000"/>
      </w:tblPr>
      <w:tblGrid>
        <w:gridCol w:w="506"/>
        <w:gridCol w:w="2800"/>
        <w:gridCol w:w="2800"/>
        <w:gridCol w:w="2609"/>
      </w:tblGrid>
      <w:tr w:rsidR="00196284" w:rsidRPr="00A75EA3" w:rsidTr="000D036D">
        <w:trPr>
          <w:trHeight w:val="255"/>
          <w:jc w:val="center"/>
        </w:trPr>
        <w:tc>
          <w:tcPr>
            <w:tcW w:w="506" w:type="dxa"/>
            <w:tcBorders>
              <w:top w:val="single" w:sz="4" w:space="0" w:color="auto"/>
              <w:left w:val="single" w:sz="4" w:space="0" w:color="auto"/>
              <w:bottom w:val="single" w:sz="4" w:space="0" w:color="auto"/>
              <w:right w:val="single" w:sz="4" w:space="0" w:color="auto"/>
            </w:tcBorders>
            <w:noWrap/>
            <w:vAlign w:val="center"/>
          </w:tcPr>
          <w:p w:rsidR="00196284" w:rsidRPr="00C26BE3" w:rsidRDefault="00196284" w:rsidP="000D036D">
            <w:pPr>
              <w:rPr>
                <w:rFonts w:eastAsia="Batang" w:cs="Arial"/>
                <w:b/>
                <w:bCs/>
                <w:sz w:val="16"/>
                <w:szCs w:val="16"/>
                <w:lang w:val="en-US" w:eastAsia="ko-KR"/>
              </w:rPr>
            </w:pPr>
            <w:r w:rsidRPr="00C26BE3">
              <w:rPr>
                <w:rFonts w:eastAsia="Batang" w:cs="Arial"/>
                <w:b/>
                <w:bCs/>
                <w:sz w:val="16"/>
                <w:szCs w:val="16"/>
                <w:lang w:val="en-US" w:eastAsia="ko-KR"/>
              </w:rPr>
              <w:t>No.</w:t>
            </w:r>
          </w:p>
        </w:tc>
        <w:tc>
          <w:tcPr>
            <w:tcW w:w="2800" w:type="dxa"/>
            <w:tcBorders>
              <w:top w:val="single" w:sz="4" w:space="0" w:color="auto"/>
              <w:left w:val="nil"/>
              <w:bottom w:val="single" w:sz="4" w:space="0" w:color="auto"/>
              <w:right w:val="single" w:sz="4" w:space="0" w:color="auto"/>
            </w:tcBorders>
            <w:vAlign w:val="center"/>
          </w:tcPr>
          <w:p w:rsidR="00196284" w:rsidRPr="00C26BE3" w:rsidRDefault="00196284" w:rsidP="000D036D">
            <w:pPr>
              <w:rPr>
                <w:rFonts w:eastAsia="Batang" w:cs="Arial"/>
                <w:b/>
                <w:bCs/>
                <w:sz w:val="16"/>
                <w:szCs w:val="16"/>
                <w:lang w:val="en-US" w:eastAsia="ko-KR"/>
              </w:rPr>
            </w:pPr>
            <w:r w:rsidRPr="00C26BE3">
              <w:rPr>
                <w:rFonts w:eastAsia="Batang" w:cs="Arial"/>
                <w:b/>
                <w:bCs/>
                <w:sz w:val="16"/>
                <w:szCs w:val="16"/>
                <w:lang w:val="en-US" w:eastAsia="ko-KR"/>
              </w:rPr>
              <w:t>Material</w:t>
            </w:r>
            <w:r>
              <w:rPr>
                <w:rFonts w:eastAsia="Batang" w:cs="Arial"/>
                <w:b/>
                <w:bCs/>
                <w:sz w:val="16"/>
                <w:szCs w:val="16"/>
                <w:lang w:val="en-US" w:eastAsia="ko-KR"/>
              </w:rPr>
              <w:t xml:space="preserve"> Process Flows</w:t>
            </w:r>
          </w:p>
        </w:tc>
        <w:tc>
          <w:tcPr>
            <w:tcW w:w="2800" w:type="dxa"/>
            <w:tcBorders>
              <w:top w:val="single" w:sz="4" w:space="0" w:color="auto"/>
              <w:left w:val="nil"/>
              <w:bottom w:val="single" w:sz="4" w:space="0" w:color="auto"/>
              <w:right w:val="single" w:sz="4" w:space="0" w:color="auto"/>
            </w:tcBorders>
            <w:vAlign w:val="center"/>
          </w:tcPr>
          <w:p w:rsidR="00196284" w:rsidRPr="00C26BE3" w:rsidRDefault="00196284" w:rsidP="000D036D">
            <w:pPr>
              <w:rPr>
                <w:rFonts w:eastAsia="Batang" w:cs="Arial"/>
                <w:b/>
                <w:bCs/>
                <w:sz w:val="16"/>
                <w:szCs w:val="16"/>
                <w:lang w:val="en-US" w:eastAsia="ko-KR"/>
              </w:rPr>
            </w:pPr>
            <w:r w:rsidRPr="00C26BE3">
              <w:rPr>
                <w:rFonts w:eastAsia="Batang" w:cs="Arial"/>
                <w:b/>
                <w:bCs/>
                <w:sz w:val="16"/>
                <w:szCs w:val="16"/>
                <w:lang w:val="en-US" w:eastAsia="ko-KR"/>
              </w:rPr>
              <w:t>Energy</w:t>
            </w:r>
            <w:r>
              <w:rPr>
                <w:rFonts w:eastAsia="Batang" w:cs="Arial"/>
                <w:b/>
                <w:bCs/>
                <w:sz w:val="16"/>
                <w:szCs w:val="16"/>
                <w:lang w:val="en-US" w:eastAsia="ko-KR"/>
              </w:rPr>
              <w:t xml:space="preserve"> Process Flows</w:t>
            </w:r>
          </w:p>
        </w:tc>
        <w:tc>
          <w:tcPr>
            <w:tcW w:w="2609" w:type="dxa"/>
            <w:tcBorders>
              <w:top w:val="single" w:sz="4" w:space="0" w:color="auto"/>
              <w:left w:val="nil"/>
              <w:bottom w:val="single" w:sz="4" w:space="0" w:color="auto"/>
              <w:right w:val="single" w:sz="4" w:space="0" w:color="auto"/>
            </w:tcBorders>
            <w:vAlign w:val="center"/>
          </w:tcPr>
          <w:p w:rsidR="00196284" w:rsidRPr="00C26BE3" w:rsidRDefault="00196284" w:rsidP="000D036D">
            <w:pPr>
              <w:rPr>
                <w:rFonts w:eastAsia="Batang" w:cs="Arial"/>
                <w:b/>
                <w:bCs/>
                <w:sz w:val="16"/>
                <w:szCs w:val="16"/>
                <w:lang w:val="en-US" w:eastAsia="ko-KR"/>
              </w:rPr>
            </w:pPr>
            <w:r w:rsidRPr="00C26BE3">
              <w:rPr>
                <w:rFonts w:eastAsia="Batang" w:cs="Arial"/>
                <w:b/>
                <w:bCs/>
                <w:sz w:val="16"/>
                <w:szCs w:val="16"/>
                <w:lang w:val="en-US" w:eastAsia="ko-KR"/>
              </w:rPr>
              <w:t>Waste</w:t>
            </w:r>
            <w:r>
              <w:rPr>
                <w:rFonts w:eastAsia="Batang" w:cs="Arial"/>
                <w:b/>
                <w:bCs/>
                <w:sz w:val="16"/>
                <w:szCs w:val="16"/>
                <w:lang w:val="en-US" w:eastAsia="ko-KR"/>
              </w:rPr>
              <w:t xml:space="preserve"> Process Flows</w:t>
            </w:r>
          </w:p>
        </w:tc>
      </w:tr>
      <w:tr w:rsidR="00196284" w:rsidRPr="00A75EA3" w:rsidTr="000D036D">
        <w:trPr>
          <w:trHeight w:val="255"/>
          <w:jc w:val="center"/>
        </w:trPr>
        <w:tc>
          <w:tcPr>
            <w:tcW w:w="506" w:type="dxa"/>
            <w:tcBorders>
              <w:top w:val="single" w:sz="4" w:space="0" w:color="auto"/>
              <w:left w:val="single" w:sz="4" w:space="0" w:color="auto"/>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1</w:t>
            </w:r>
          </w:p>
        </w:tc>
        <w:tc>
          <w:tcPr>
            <w:tcW w:w="2800" w:type="dxa"/>
            <w:tcBorders>
              <w:top w:val="single" w:sz="4" w:space="0" w:color="auto"/>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Castings</w:t>
            </w:r>
          </w:p>
        </w:tc>
        <w:tc>
          <w:tcPr>
            <w:tcW w:w="2800" w:type="dxa"/>
            <w:tcBorders>
              <w:top w:val="single" w:sz="4" w:space="0" w:color="auto"/>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Electricity</w:t>
            </w:r>
          </w:p>
        </w:tc>
        <w:tc>
          <w:tcPr>
            <w:tcW w:w="2609" w:type="dxa"/>
            <w:tcBorders>
              <w:top w:val="single" w:sz="4" w:space="0" w:color="auto"/>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Machining scrap</w:t>
            </w:r>
          </w:p>
        </w:tc>
      </w:tr>
      <w:tr w:rsidR="00196284" w:rsidRPr="00A75EA3" w:rsidTr="000D036D">
        <w:trPr>
          <w:trHeight w:val="255"/>
          <w:jc w:val="center"/>
        </w:trPr>
        <w:tc>
          <w:tcPr>
            <w:tcW w:w="506" w:type="dxa"/>
            <w:tcBorders>
              <w:top w:val="nil"/>
              <w:left w:val="single" w:sz="4" w:space="0" w:color="auto"/>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2</w:t>
            </w:r>
          </w:p>
        </w:tc>
        <w:tc>
          <w:tcPr>
            <w:tcW w:w="2800"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xml:space="preserve">Water </w:t>
            </w:r>
          </w:p>
        </w:tc>
        <w:tc>
          <w:tcPr>
            <w:tcW w:w="2800"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Gas</w:t>
            </w:r>
          </w:p>
        </w:tc>
        <w:tc>
          <w:tcPr>
            <w:tcW w:w="2609"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proofErr w:type="spellStart"/>
            <w:r w:rsidRPr="00C26BE3">
              <w:rPr>
                <w:rFonts w:eastAsia="Batang" w:cs="Arial"/>
                <w:sz w:val="16"/>
                <w:szCs w:val="16"/>
                <w:lang w:val="en-US" w:eastAsia="ko-KR"/>
              </w:rPr>
              <w:t>Swarf</w:t>
            </w:r>
            <w:proofErr w:type="spellEnd"/>
          </w:p>
        </w:tc>
      </w:tr>
      <w:tr w:rsidR="00196284" w:rsidRPr="00A75EA3" w:rsidTr="000D036D">
        <w:trPr>
          <w:trHeight w:val="255"/>
          <w:jc w:val="center"/>
        </w:trPr>
        <w:tc>
          <w:tcPr>
            <w:tcW w:w="506" w:type="dxa"/>
            <w:tcBorders>
              <w:top w:val="nil"/>
              <w:left w:val="single" w:sz="4" w:space="0" w:color="auto"/>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3</w:t>
            </w:r>
          </w:p>
        </w:tc>
        <w:tc>
          <w:tcPr>
            <w:tcW w:w="2800"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Compressed air</w:t>
            </w:r>
          </w:p>
        </w:tc>
        <w:tc>
          <w:tcPr>
            <w:tcW w:w="2800" w:type="dxa"/>
            <w:tcBorders>
              <w:top w:val="nil"/>
              <w:left w:val="nil"/>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609"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Water</w:t>
            </w:r>
          </w:p>
        </w:tc>
      </w:tr>
      <w:tr w:rsidR="00196284" w:rsidRPr="00A75EA3" w:rsidTr="000D036D">
        <w:trPr>
          <w:trHeight w:val="255"/>
          <w:jc w:val="center"/>
        </w:trPr>
        <w:tc>
          <w:tcPr>
            <w:tcW w:w="506" w:type="dxa"/>
            <w:tcBorders>
              <w:top w:val="nil"/>
              <w:left w:val="single" w:sz="4" w:space="0" w:color="auto"/>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4</w:t>
            </w:r>
          </w:p>
        </w:tc>
        <w:tc>
          <w:tcPr>
            <w:tcW w:w="2800"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Coolant</w:t>
            </w:r>
          </w:p>
        </w:tc>
        <w:tc>
          <w:tcPr>
            <w:tcW w:w="2800" w:type="dxa"/>
            <w:tcBorders>
              <w:top w:val="nil"/>
              <w:left w:val="nil"/>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609"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Compressed air</w:t>
            </w:r>
          </w:p>
        </w:tc>
      </w:tr>
      <w:tr w:rsidR="00196284" w:rsidRPr="00A75EA3" w:rsidTr="000D036D">
        <w:trPr>
          <w:trHeight w:val="255"/>
          <w:jc w:val="center"/>
        </w:trPr>
        <w:tc>
          <w:tcPr>
            <w:tcW w:w="506" w:type="dxa"/>
            <w:tcBorders>
              <w:top w:val="nil"/>
              <w:left w:val="single" w:sz="4" w:space="0" w:color="auto"/>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5</w:t>
            </w:r>
          </w:p>
        </w:tc>
        <w:tc>
          <w:tcPr>
            <w:tcW w:w="2800"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Machine tool lubricants</w:t>
            </w:r>
          </w:p>
        </w:tc>
        <w:tc>
          <w:tcPr>
            <w:tcW w:w="2800" w:type="dxa"/>
            <w:tcBorders>
              <w:top w:val="nil"/>
              <w:left w:val="nil"/>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609"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Coolant</w:t>
            </w:r>
          </w:p>
        </w:tc>
      </w:tr>
      <w:tr w:rsidR="00196284" w:rsidRPr="00A75EA3" w:rsidTr="000D036D">
        <w:trPr>
          <w:trHeight w:val="255"/>
          <w:jc w:val="center"/>
        </w:trPr>
        <w:tc>
          <w:tcPr>
            <w:tcW w:w="506" w:type="dxa"/>
            <w:tcBorders>
              <w:top w:val="nil"/>
              <w:left w:val="single" w:sz="4" w:space="0" w:color="auto"/>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6</w:t>
            </w:r>
          </w:p>
        </w:tc>
        <w:tc>
          <w:tcPr>
            <w:tcW w:w="2800"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General consumables</w:t>
            </w:r>
          </w:p>
        </w:tc>
        <w:tc>
          <w:tcPr>
            <w:tcW w:w="2800" w:type="dxa"/>
            <w:tcBorders>
              <w:top w:val="nil"/>
              <w:left w:val="nil"/>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609"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Waste heat</w:t>
            </w:r>
          </w:p>
        </w:tc>
      </w:tr>
      <w:tr w:rsidR="00196284" w:rsidRPr="00A75EA3" w:rsidTr="000D036D">
        <w:trPr>
          <w:trHeight w:val="255"/>
          <w:jc w:val="center"/>
        </w:trPr>
        <w:tc>
          <w:tcPr>
            <w:tcW w:w="506" w:type="dxa"/>
            <w:tcBorders>
              <w:top w:val="nil"/>
              <w:left w:val="single" w:sz="4" w:space="0" w:color="auto"/>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7</w:t>
            </w:r>
          </w:p>
        </w:tc>
        <w:tc>
          <w:tcPr>
            <w:tcW w:w="2800"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Machining process consumables</w:t>
            </w:r>
          </w:p>
        </w:tc>
        <w:tc>
          <w:tcPr>
            <w:tcW w:w="2800" w:type="dxa"/>
            <w:tcBorders>
              <w:top w:val="nil"/>
              <w:left w:val="nil"/>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609"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Machine tool lubricants</w:t>
            </w:r>
          </w:p>
        </w:tc>
      </w:tr>
      <w:tr w:rsidR="00196284" w:rsidRPr="00A75EA3" w:rsidTr="000D036D">
        <w:trPr>
          <w:trHeight w:val="255"/>
          <w:jc w:val="center"/>
        </w:trPr>
        <w:tc>
          <w:tcPr>
            <w:tcW w:w="506" w:type="dxa"/>
            <w:tcBorders>
              <w:top w:val="nil"/>
              <w:left w:val="single" w:sz="4" w:space="0" w:color="auto"/>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8</w:t>
            </w:r>
          </w:p>
        </w:tc>
        <w:tc>
          <w:tcPr>
            <w:tcW w:w="2800"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Parts</w:t>
            </w:r>
          </w:p>
        </w:tc>
        <w:tc>
          <w:tcPr>
            <w:tcW w:w="2800" w:type="dxa"/>
            <w:tcBorders>
              <w:top w:val="nil"/>
              <w:left w:val="nil"/>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609"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General consumables (usage)</w:t>
            </w:r>
          </w:p>
        </w:tc>
      </w:tr>
      <w:tr w:rsidR="00196284" w:rsidRPr="00A75EA3" w:rsidTr="000D036D">
        <w:trPr>
          <w:trHeight w:val="255"/>
          <w:jc w:val="center"/>
        </w:trPr>
        <w:tc>
          <w:tcPr>
            <w:tcW w:w="506" w:type="dxa"/>
            <w:tcBorders>
              <w:top w:val="nil"/>
              <w:left w:val="single" w:sz="4" w:space="0" w:color="auto"/>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9</w:t>
            </w:r>
          </w:p>
        </w:tc>
        <w:tc>
          <w:tcPr>
            <w:tcW w:w="2800" w:type="dxa"/>
            <w:tcBorders>
              <w:top w:val="nil"/>
              <w:left w:val="nil"/>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800" w:type="dxa"/>
            <w:tcBorders>
              <w:top w:val="nil"/>
              <w:left w:val="nil"/>
              <w:bottom w:val="nil"/>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609" w:type="dxa"/>
            <w:tcBorders>
              <w:top w:val="nil"/>
              <w:left w:val="nil"/>
              <w:bottom w:val="nil"/>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Machining consumables (usage)</w:t>
            </w:r>
          </w:p>
        </w:tc>
      </w:tr>
      <w:tr w:rsidR="00196284" w:rsidRPr="00A75EA3" w:rsidTr="000D036D">
        <w:trPr>
          <w:trHeight w:val="255"/>
          <w:jc w:val="center"/>
        </w:trPr>
        <w:tc>
          <w:tcPr>
            <w:tcW w:w="506" w:type="dxa"/>
            <w:tcBorders>
              <w:top w:val="nil"/>
              <w:left w:val="single" w:sz="4" w:space="0" w:color="auto"/>
              <w:bottom w:val="single" w:sz="4" w:space="0" w:color="auto"/>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10</w:t>
            </w:r>
          </w:p>
        </w:tc>
        <w:tc>
          <w:tcPr>
            <w:tcW w:w="2800" w:type="dxa"/>
            <w:tcBorders>
              <w:top w:val="nil"/>
              <w:left w:val="nil"/>
              <w:bottom w:val="single" w:sz="4" w:space="0" w:color="auto"/>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800" w:type="dxa"/>
            <w:tcBorders>
              <w:top w:val="nil"/>
              <w:left w:val="nil"/>
              <w:bottom w:val="single" w:sz="4" w:space="0" w:color="auto"/>
              <w:right w:val="single" w:sz="4" w:space="0" w:color="auto"/>
            </w:tcBorders>
            <w:shd w:val="clear" w:color="auto" w:fill="C5E2FF"/>
            <w:noWrap/>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 </w:t>
            </w:r>
          </w:p>
        </w:tc>
        <w:tc>
          <w:tcPr>
            <w:tcW w:w="2609" w:type="dxa"/>
            <w:tcBorders>
              <w:top w:val="nil"/>
              <w:left w:val="nil"/>
              <w:bottom w:val="single" w:sz="4" w:space="0" w:color="auto"/>
              <w:right w:val="single" w:sz="4" w:space="0" w:color="auto"/>
            </w:tcBorders>
            <w:shd w:val="clear" w:color="auto" w:fill="C5E2FF"/>
            <w:vAlign w:val="center"/>
          </w:tcPr>
          <w:p w:rsidR="00196284" w:rsidRPr="00C26BE3" w:rsidRDefault="00196284" w:rsidP="000D036D">
            <w:pPr>
              <w:rPr>
                <w:rFonts w:eastAsia="Batang" w:cs="Arial"/>
                <w:sz w:val="16"/>
                <w:szCs w:val="16"/>
                <w:lang w:val="en-US" w:eastAsia="ko-KR"/>
              </w:rPr>
            </w:pPr>
            <w:r w:rsidRPr="00C26BE3">
              <w:rPr>
                <w:rFonts w:eastAsia="Batang" w:cs="Arial"/>
                <w:sz w:val="16"/>
                <w:szCs w:val="16"/>
                <w:lang w:val="en-US" w:eastAsia="ko-KR"/>
              </w:rPr>
              <w:t>Consumables (packaging)</w:t>
            </w:r>
          </w:p>
        </w:tc>
      </w:tr>
    </w:tbl>
    <w:p w:rsidR="00196284" w:rsidRDefault="00196284" w:rsidP="007C0DC0"/>
    <w:p w:rsidR="00196284" w:rsidRDefault="00196284" w:rsidP="007C0DC0">
      <w:r w:rsidRPr="0075709C">
        <w:t xml:space="preserve">Table </w:t>
      </w:r>
      <w:r>
        <w:t>1</w:t>
      </w:r>
      <w:r w:rsidRPr="0075709C">
        <w:t>: MEW process flow categories</w:t>
      </w:r>
    </w:p>
    <w:p w:rsidR="00196284" w:rsidRDefault="00196284" w:rsidP="0073452A">
      <w:pPr>
        <w:jc w:val="left"/>
      </w:pPr>
    </w:p>
    <w:p w:rsidR="007613F9" w:rsidRPr="004E3194" w:rsidRDefault="007613F9" w:rsidP="007613F9">
      <w:pPr>
        <w:pageBreakBefore/>
        <w:rPr>
          <w:b/>
        </w:rPr>
      </w:pPr>
      <w:r w:rsidRPr="004E3194">
        <w:rPr>
          <w:b/>
        </w:rPr>
        <w:lastRenderedPageBreak/>
        <w:t>Vitae</w:t>
      </w:r>
    </w:p>
    <w:p w:rsidR="007613F9" w:rsidRPr="007C0DC0" w:rsidRDefault="007613F9" w:rsidP="007613F9">
      <w:pPr>
        <w:spacing w:line="240" w:lineRule="auto"/>
        <w:rPr>
          <w:rFonts w:cs="Arial"/>
          <w:szCs w:val="20"/>
        </w:rPr>
      </w:pPr>
      <w:r w:rsidRPr="007C0DC0">
        <w:rPr>
          <w:rFonts w:cs="Arial"/>
          <w:b/>
          <w:bCs/>
          <w:szCs w:val="20"/>
        </w:rPr>
        <w:t>Dr Peter Ball</w:t>
      </w:r>
      <w:r w:rsidRPr="007C0DC0">
        <w:rPr>
          <w:rFonts w:cs="Arial"/>
          <w:szCs w:val="20"/>
        </w:rPr>
        <w:t xml:space="preserve"> is Senior Lecturer in Manufacturing Operations at Cranfield University.  His research interests focus on the design and operation of manufacturing systems and supply chains and how models and modelling techniques support this. He has worked on projects ranging from production improvement to systems implementation and from supply chain diagnostics to sustainable manufacturing.  He has published papers in the area of simulation, outsourcing, supply chain management, service systems, e-business and sustainability. </w:t>
      </w:r>
      <w:r w:rsidR="00974E3F">
        <w:rPr>
          <w:rFonts w:cs="Arial"/>
          <w:szCs w:val="20"/>
        </w:rPr>
        <w:t>He is lead Cranfield investigator for the UK TSB funded ‘THERM’ (</w:t>
      </w:r>
      <w:proofErr w:type="spellStart"/>
      <w:r w:rsidR="00974E3F">
        <w:rPr>
          <w:rFonts w:cs="Arial"/>
          <w:szCs w:val="20"/>
        </w:rPr>
        <w:t>THrough</w:t>
      </w:r>
      <w:proofErr w:type="spellEnd"/>
      <w:r w:rsidR="00974E3F">
        <w:rPr>
          <w:rFonts w:cs="Arial"/>
          <w:szCs w:val="20"/>
        </w:rPr>
        <w:t xml:space="preserve">-life Energy &amp; Resource Modelling) and the UK EPSRC Centre for Innovative Manufacturing (CIM) in Industrial Sustainability.  </w:t>
      </w:r>
      <w:r w:rsidRPr="007C0DC0">
        <w:rPr>
          <w:rFonts w:cs="Arial"/>
          <w:szCs w:val="20"/>
        </w:rPr>
        <w:t xml:space="preserve">He is a chartered member of the IET (Institution of Engineering and Technology), and a fellow of the HEA (Higher Education Academy). </w:t>
      </w:r>
    </w:p>
    <w:p w:rsidR="007613F9" w:rsidRPr="007C0DC0" w:rsidRDefault="007613F9" w:rsidP="007613F9">
      <w:pPr>
        <w:rPr>
          <w:rFonts w:cs="Arial"/>
          <w:sz w:val="32"/>
        </w:rPr>
      </w:pPr>
    </w:p>
    <w:p w:rsidR="007613F9" w:rsidRPr="00C75600" w:rsidRDefault="007613F9" w:rsidP="007613F9">
      <w:pPr>
        <w:spacing w:line="240" w:lineRule="auto"/>
        <w:rPr>
          <w:rFonts w:cs="Arial"/>
          <w:szCs w:val="20"/>
        </w:rPr>
      </w:pPr>
      <w:r w:rsidRPr="00C75600">
        <w:rPr>
          <w:rFonts w:cs="Arial"/>
          <w:b/>
          <w:szCs w:val="20"/>
        </w:rPr>
        <w:t>Leigh Smith</w:t>
      </w:r>
      <w:r w:rsidRPr="00C75600">
        <w:rPr>
          <w:rFonts w:cs="Arial"/>
          <w:szCs w:val="20"/>
        </w:rPr>
        <w:t xml:space="preserve"> is a graduate of the </w:t>
      </w:r>
      <w:smartTag w:uri="urn:schemas-microsoft-com:office:smarttags" w:element="place">
        <w:smartTag w:uri="urn:schemas-microsoft-com:office:smarttags" w:element="PlaceType">
          <w:r w:rsidRPr="00C75600">
            <w:rPr>
              <w:rFonts w:cs="Arial"/>
              <w:szCs w:val="20"/>
            </w:rPr>
            <w:t>University</w:t>
          </w:r>
        </w:smartTag>
        <w:r w:rsidRPr="00C75600">
          <w:rPr>
            <w:rFonts w:cs="Arial"/>
            <w:szCs w:val="20"/>
          </w:rPr>
          <w:t xml:space="preserve"> of </w:t>
        </w:r>
        <w:smartTag w:uri="urn:schemas-microsoft-com:office:smarttags" w:element="PlaceName">
          <w:r w:rsidRPr="00C75600">
            <w:rPr>
              <w:rFonts w:cs="Arial"/>
              <w:szCs w:val="20"/>
            </w:rPr>
            <w:t>Brighton BEng</w:t>
          </w:r>
        </w:smartTag>
      </w:smartTag>
      <w:r w:rsidRPr="00C75600">
        <w:rPr>
          <w:rFonts w:cs="Arial"/>
          <w:szCs w:val="20"/>
        </w:rPr>
        <w:t xml:space="preserve"> (</w:t>
      </w:r>
      <w:proofErr w:type="spellStart"/>
      <w:r w:rsidRPr="00C75600">
        <w:rPr>
          <w:rFonts w:cs="Arial"/>
          <w:szCs w:val="20"/>
        </w:rPr>
        <w:t>Hons</w:t>
      </w:r>
      <w:proofErr w:type="spellEnd"/>
      <w:r w:rsidRPr="00C75600">
        <w:rPr>
          <w:rFonts w:cs="Arial"/>
          <w:szCs w:val="20"/>
        </w:rPr>
        <w:t>) in Mechanical Engineering and a graduate of the Cranfield University MSc in Engineering and Management of Manufacturing Systems.  He has worked in New Product Introduction as</w:t>
      </w:r>
      <w:r w:rsidR="00974E3F">
        <w:rPr>
          <w:rFonts w:cs="Arial"/>
          <w:szCs w:val="20"/>
        </w:rPr>
        <w:t xml:space="preserve"> a</w:t>
      </w:r>
      <w:r w:rsidRPr="00C75600">
        <w:rPr>
          <w:rFonts w:cs="Arial"/>
          <w:szCs w:val="20"/>
        </w:rPr>
        <w:t xml:space="preserve"> </w:t>
      </w:r>
      <w:r w:rsidR="00974E3F">
        <w:rPr>
          <w:rFonts w:cs="Arial"/>
          <w:szCs w:val="20"/>
        </w:rPr>
        <w:t>m</w:t>
      </w:r>
      <w:r w:rsidR="00974E3F" w:rsidRPr="00C75600">
        <w:rPr>
          <w:rFonts w:cs="Arial"/>
          <w:szCs w:val="20"/>
        </w:rPr>
        <w:t>anufacturing</w:t>
      </w:r>
      <w:r w:rsidRPr="00C75600">
        <w:rPr>
          <w:rFonts w:cs="Arial"/>
          <w:szCs w:val="20"/>
        </w:rPr>
        <w:t xml:space="preserve"> </w:t>
      </w:r>
      <w:r w:rsidR="00974E3F">
        <w:rPr>
          <w:rFonts w:cs="Arial"/>
          <w:szCs w:val="20"/>
        </w:rPr>
        <w:t>e</w:t>
      </w:r>
      <w:r w:rsidRPr="00C75600">
        <w:rPr>
          <w:rFonts w:cs="Arial"/>
          <w:szCs w:val="20"/>
        </w:rPr>
        <w:t xml:space="preserve">ngineer developing high value equipment for advanced manufacturing industries. Recent work has included roles in Operations Management, Product Management, and the application of sustainable manufacturing principles to reduce the environmental impact of a market-leading manufacturing business. He is a chartered member of the </w:t>
      </w:r>
      <w:proofErr w:type="spellStart"/>
      <w:r w:rsidRPr="00C75600">
        <w:rPr>
          <w:rFonts w:cs="Arial"/>
          <w:szCs w:val="20"/>
        </w:rPr>
        <w:t>IMechE</w:t>
      </w:r>
      <w:proofErr w:type="spellEnd"/>
      <w:r w:rsidRPr="00C75600">
        <w:rPr>
          <w:rFonts w:cs="Arial"/>
          <w:szCs w:val="20"/>
        </w:rPr>
        <w:t xml:space="preserve"> (Institution of Mechanical Engineering).</w:t>
      </w:r>
    </w:p>
    <w:p w:rsidR="007613F9" w:rsidRDefault="007613F9" w:rsidP="0073452A">
      <w:pPr>
        <w:jc w:val="left"/>
      </w:pPr>
    </w:p>
    <w:sectPr w:rsidR="007613F9" w:rsidSect="00E4368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CE8" w:rsidRDefault="00CC7CE8" w:rsidP="007B7031">
      <w:pPr>
        <w:spacing w:line="240" w:lineRule="auto"/>
      </w:pPr>
      <w:r>
        <w:separator/>
      </w:r>
    </w:p>
  </w:endnote>
  <w:endnote w:type="continuationSeparator" w:id="0">
    <w:p w:rsidR="00CC7CE8" w:rsidRDefault="00CC7CE8" w:rsidP="007B70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yntaxLT-Roman">
    <w:altName w:val="Arial Unicode MS"/>
    <w:panose1 w:val="00000000000000000000"/>
    <w:charset w:val="81"/>
    <w:family w:val="swiss"/>
    <w:notTrueType/>
    <w:pitch w:val="default"/>
    <w:sig w:usb0="00000001" w:usb1="09060000" w:usb2="00000010" w:usb3="00000000" w:csb0="00080000"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20" w:rsidRDefault="00810E20">
    <w:pPr>
      <w:pStyle w:val="Footer"/>
      <w:jc w:val="center"/>
    </w:pPr>
    <w:fldSimple w:instr=" PAGE   \* MERGEFORMAT ">
      <w:r w:rsidR="007871EA">
        <w:rPr>
          <w:noProof/>
        </w:rPr>
        <w:t>1</w:t>
      </w:r>
    </w:fldSimple>
  </w:p>
  <w:p w:rsidR="00810E20" w:rsidRDefault="00810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CE8" w:rsidRDefault="00CC7CE8" w:rsidP="007B7031">
      <w:pPr>
        <w:spacing w:line="240" w:lineRule="auto"/>
      </w:pPr>
      <w:r>
        <w:separator/>
      </w:r>
    </w:p>
  </w:footnote>
  <w:footnote w:type="continuationSeparator" w:id="0">
    <w:p w:rsidR="00CC7CE8" w:rsidRDefault="00CC7CE8" w:rsidP="007B7031">
      <w:pPr>
        <w:spacing w:line="240" w:lineRule="auto"/>
      </w:pPr>
      <w:r>
        <w:continuationSeparator/>
      </w:r>
    </w:p>
  </w:footnote>
  <w:footnote w:id="1">
    <w:p w:rsidR="00810E20" w:rsidRDefault="00810E20">
      <w:pPr>
        <w:pStyle w:val="FootnoteText"/>
      </w:pPr>
      <w:r>
        <w:rPr>
          <w:rStyle w:val="FootnoteReference"/>
        </w:rPr>
        <w:footnoteRef/>
      </w:r>
      <w:r>
        <w:t xml:space="preserve"> Corresponding author: Dr Peter Ball, Manufacturing Department (B50), </w:t>
      </w:r>
      <w:smartTag w:uri="urn:schemas-microsoft-com:office:smarttags" w:element="PlaceName">
        <w:r>
          <w:t>Cranfield</w:t>
        </w:r>
      </w:smartTag>
      <w:r>
        <w:t xml:space="preserve"> </w:t>
      </w:r>
      <w:smartTag w:uri="urn:schemas-microsoft-com:office:smarttags" w:element="PlaceType">
        <w:r>
          <w:t>University</w:t>
        </w:r>
      </w:smartTag>
      <w:r>
        <w:t xml:space="preserve">, Cranfield, </w:t>
      </w:r>
      <w:smartTag w:uri="urn:schemas-microsoft-com:office:smarttags" w:element="City">
        <w:smartTag w:uri="urn:schemas-microsoft-com:office:smarttags" w:element="place">
          <w:r>
            <w:t>Bedfordshire</w:t>
          </w:r>
        </w:smartTag>
        <w:r>
          <w:t xml:space="preserve">, </w:t>
        </w:r>
        <w:smartTag w:uri="urn:schemas-microsoft-com:office:smarttags" w:element="PostalCode">
          <w:r>
            <w:t>MK43 0AL</w:t>
          </w:r>
        </w:smartTag>
        <w:r>
          <w:t xml:space="preserve">, </w:t>
        </w:r>
        <w:smartTag w:uri="urn:schemas-microsoft-com:office:smarttags" w:element="country-region">
          <w:r>
            <w:t>UK</w:t>
          </w:r>
        </w:smartTag>
      </w:smartTag>
      <w:r>
        <w:t>. Tel +44 (0)1234 750111, p.d.ball@cranfield.ac.uk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30A3"/>
    <w:multiLevelType w:val="hybridMultilevel"/>
    <w:tmpl w:val="14FAFAD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502E1B"/>
    <w:multiLevelType w:val="hybridMultilevel"/>
    <w:tmpl w:val="193EB2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D157EF"/>
    <w:multiLevelType w:val="hybridMultilevel"/>
    <w:tmpl w:val="94365D88"/>
    <w:lvl w:ilvl="0" w:tplc="1AD4AA3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63052"/>
    <w:multiLevelType w:val="multilevel"/>
    <w:tmpl w:val="132CF742"/>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B3B5B7A"/>
    <w:multiLevelType w:val="hybridMultilevel"/>
    <w:tmpl w:val="2E6066A6"/>
    <w:lvl w:ilvl="0" w:tplc="1AD4AA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E065F4"/>
    <w:multiLevelType w:val="hybridMultilevel"/>
    <w:tmpl w:val="224AD766"/>
    <w:lvl w:ilvl="0" w:tplc="1AD4AA3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746D5C"/>
    <w:multiLevelType w:val="hybridMultilevel"/>
    <w:tmpl w:val="38F2249C"/>
    <w:lvl w:ilvl="0" w:tplc="1AD4AA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FE5291"/>
    <w:multiLevelType w:val="hybridMultilevel"/>
    <w:tmpl w:val="C47EA8CA"/>
    <w:lvl w:ilvl="0" w:tplc="1AD4AA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6C1966"/>
    <w:multiLevelType w:val="hybridMultilevel"/>
    <w:tmpl w:val="FB8CF38A"/>
    <w:lvl w:ilvl="0" w:tplc="1AD4AA3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0409000F">
      <w:start w:val="1"/>
      <w:numFmt w:val="decimal"/>
      <w:lvlText w:val="%3."/>
      <w:lvlJc w:val="left"/>
      <w:pPr>
        <w:tabs>
          <w:tab w:val="num" w:pos="2160"/>
        </w:tabs>
        <w:ind w:left="2160" w:hanging="360"/>
      </w:pPr>
      <w:rPr>
        <w:rFonts w:cs="Times New Roman"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9A62CA"/>
    <w:multiLevelType w:val="hybridMultilevel"/>
    <w:tmpl w:val="FDE02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E949FD"/>
    <w:multiLevelType w:val="hybridMultilevel"/>
    <w:tmpl w:val="290C2856"/>
    <w:lvl w:ilvl="0" w:tplc="E458B4F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3E9221E4"/>
    <w:multiLevelType w:val="hybridMultilevel"/>
    <w:tmpl w:val="5C6AAE50"/>
    <w:lvl w:ilvl="0" w:tplc="17DCC60C">
      <w:start w:val="1"/>
      <w:numFmt w:val="bullet"/>
      <w:lvlText w:val=""/>
      <w:lvlJc w:val="left"/>
      <w:pPr>
        <w:tabs>
          <w:tab w:val="num" w:pos="1440"/>
        </w:tabs>
        <w:ind w:left="1440" w:hanging="360"/>
      </w:pPr>
      <w:rPr>
        <w:rFonts w:ascii="Symbol" w:hAnsi="Symbol" w:hint="default"/>
        <w:color w:val="auto"/>
      </w:rPr>
    </w:lvl>
    <w:lvl w:ilvl="1" w:tplc="40B2384C">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F7C45DF"/>
    <w:multiLevelType w:val="hybridMultilevel"/>
    <w:tmpl w:val="6E3EAB0C"/>
    <w:lvl w:ilvl="0" w:tplc="1AD4AA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E85980"/>
    <w:multiLevelType w:val="hybridMultilevel"/>
    <w:tmpl w:val="D3A609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3294A86"/>
    <w:multiLevelType w:val="multilevel"/>
    <w:tmpl w:val="153AB72E"/>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o"/>
      <w:lvlJc w:val="left"/>
      <w:pPr>
        <w:tabs>
          <w:tab w:val="num" w:pos="2160"/>
        </w:tabs>
        <w:ind w:left="2160" w:hanging="360"/>
      </w:pPr>
      <w:rPr>
        <w:rFonts w:ascii="Courier New" w:hAnsi="Courier New"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9F031ED"/>
    <w:multiLevelType w:val="hybridMultilevel"/>
    <w:tmpl w:val="A15A94B6"/>
    <w:lvl w:ilvl="0" w:tplc="1E6442F8">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3996B51"/>
    <w:multiLevelType w:val="multilevel"/>
    <w:tmpl w:val="3FF4CDF6"/>
    <w:lvl w:ilvl="0">
      <w:start w:val="1"/>
      <w:numFmt w:val="decimal"/>
      <w:lvlText w:val="%1.0"/>
      <w:lvlJc w:val="left"/>
      <w:pPr>
        <w:tabs>
          <w:tab w:val="num" w:pos="0"/>
        </w:tabs>
        <w:ind w:left="165" w:hanging="525"/>
      </w:pPr>
      <w:rPr>
        <w:rFonts w:cs="Times New Roman" w:hint="default"/>
        <w:sz w:val="28"/>
      </w:rPr>
    </w:lvl>
    <w:lvl w:ilvl="1">
      <w:start w:val="1"/>
      <w:numFmt w:val="decimal"/>
      <w:lvlText w:val="%1.%2"/>
      <w:lvlJc w:val="left"/>
      <w:pPr>
        <w:tabs>
          <w:tab w:val="num" w:pos="0"/>
        </w:tabs>
        <w:ind w:left="885" w:hanging="525"/>
      </w:pPr>
      <w:rPr>
        <w:rFonts w:ascii="Arial" w:hAnsi="Arial" w:cs="Times New Roman" w:hint="default"/>
        <w:b/>
        <w:i w:val="0"/>
        <w:sz w:val="24"/>
      </w:rPr>
    </w:lvl>
    <w:lvl w:ilvl="2">
      <w:start w:val="1"/>
      <w:numFmt w:val="decimal"/>
      <w:lvlText w:val="%1.%2.%3"/>
      <w:lvlJc w:val="left"/>
      <w:pPr>
        <w:tabs>
          <w:tab w:val="num" w:pos="0"/>
        </w:tabs>
        <w:ind w:left="1800" w:hanging="720"/>
      </w:pPr>
      <w:rPr>
        <w:rFonts w:cs="Times New Roman" w:hint="default"/>
      </w:rPr>
    </w:lvl>
    <w:lvl w:ilvl="3">
      <w:start w:val="1"/>
      <w:numFmt w:val="decimal"/>
      <w:lvlText w:val="%1.%2.%3.%4"/>
      <w:lvlJc w:val="left"/>
      <w:pPr>
        <w:tabs>
          <w:tab w:val="num" w:pos="0"/>
        </w:tabs>
        <w:ind w:left="2520" w:hanging="720"/>
      </w:pPr>
      <w:rPr>
        <w:rFonts w:cs="Times New Roman" w:hint="default"/>
      </w:rPr>
    </w:lvl>
    <w:lvl w:ilvl="4">
      <w:start w:val="1"/>
      <w:numFmt w:val="decimal"/>
      <w:lvlText w:val="%1.%2.%3.%4.%5"/>
      <w:lvlJc w:val="left"/>
      <w:pPr>
        <w:tabs>
          <w:tab w:val="num" w:pos="0"/>
        </w:tabs>
        <w:ind w:left="3600" w:hanging="1080"/>
      </w:pPr>
      <w:rPr>
        <w:rFonts w:cs="Times New Roman" w:hint="default"/>
      </w:rPr>
    </w:lvl>
    <w:lvl w:ilvl="5">
      <w:start w:val="1"/>
      <w:numFmt w:val="decimal"/>
      <w:lvlText w:val="%1.%2.%3.%4.%5.%6"/>
      <w:lvlJc w:val="left"/>
      <w:pPr>
        <w:tabs>
          <w:tab w:val="num" w:pos="0"/>
        </w:tabs>
        <w:ind w:left="4320" w:hanging="1080"/>
      </w:pPr>
      <w:rPr>
        <w:rFonts w:cs="Times New Roman" w:hint="default"/>
      </w:rPr>
    </w:lvl>
    <w:lvl w:ilvl="6">
      <w:start w:val="1"/>
      <w:numFmt w:val="decimal"/>
      <w:lvlText w:val="%1.%2.%3.%4.%5.%6.%7"/>
      <w:lvlJc w:val="left"/>
      <w:pPr>
        <w:tabs>
          <w:tab w:val="num" w:pos="0"/>
        </w:tabs>
        <w:ind w:left="5400" w:hanging="1440"/>
      </w:pPr>
      <w:rPr>
        <w:rFonts w:cs="Times New Roman" w:hint="default"/>
      </w:rPr>
    </w:lvl>
    <w:lvl w:ilvl="7">
      <w:start w:val="1"/>
      <w:numFmt w:val="decimal"/>
      <w:lvlText w:val="%1.%2.%3.%4.%5.%6.%7.%8"/>
      <w:lvlJc w:val="left"/>
      <w:pPr>
        <w:tabs>
          <w:tab w:val="num" w:pos="0"/>
        </w:tabs>
        <w:ind w:left="6120" w:hanging="1440"/>
      </w:pPr>
      <w:rPr>
        <w:rFonts w:cs="Times New Roman" w:hint="default"/>
      </w:rPr>
    </w:lvl>
    <w:lvl w:ilvl="8">
      <w:start w:val="1"/>
      <w:numFmt w:val="decimal"/>
      <w:lvlText w:val="%1.%2.%3.%4.%5.%6.%7.%8.%9"/>
      <w:lvlJc w:val="left"/>
      <w:pPr>
        <w:tabs>
          <w:tab w:val="num" w:pos="0"/>
        </w:tabs>
        <w:ind w:left="7200" w:hanging="1800"/>
      </w:pPr>
      <w:rPr>
        <w:rFonts w:cs="Times New Roman" w:hint="default"/>
      </w:rPr>
    </w:lvl>
  </w:abstractNum>
  <w:abstractNum w:abstractNumId="17">
    <w:nsid w:val="55ED2AC6"/>
    <w:multiLevelType w:val="hybridMultilevel"/>
    <w:tmpl w:val="5E0EB67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5A1A6681"/>
    <w:multiLevelType w:val="multilevel"/>
    <w:tmpl w:val="9CD04F6C"/>
    <w:lvl w:ilvl="0">
      <w:start w:val="1"/>
      <w:numFmt w:val="decimal"/>
      <w:lvlText w:val="%1."/>
      <w:lvlJc w:val="left"/>
      <w:pPr>
        <w:ind w:left="720" w:hanging="360"/>
      </w:pPr>
      <w:rPr>
        <w:rFonts w:cs="Times New Roman"/>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5BB504DF"/>
    <w:multiLevelType w:val="hybridMultilevel"/>
    <w:tmpl w:val="3D5C47A2"/>
    <w:lvl w:ilvl="0" w:tplc="1E6442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C876A51"/>
    <w:multiLevelType w:val="hybridMultilevel"/>
    <w:tmpl w:val="F794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7D03D5"/>
    <w:multiLevelType w:val="hybridMultilevel"/>
    <w:tmpl w:val="369EBC10"/>
    <w:lvl w:ilvl="0" w:tplc="7A14D28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3503416"/>
    <w:multiLevelType w:val="hybridMultilevel"/>
    <w:tmpl w:val="C0982F50"/>
    <w:lvl w:ilvl="0" w:tplc="1AD4AA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F24E77"/>
    <w:multiLevelType w:val="hybridMultilevel"/>
    <w:tmpl w:val="A560C37E"/>
    <w:lvl w:ilvl="0" w:tplc="B7AAA2F8">
      <w:start w:val="1"/>
      <w:numFmt w:val="decimal"/>
      <w:lvlText w:val="Step %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nsid w:val="7203379F"/>
    <w:multiLevelType w:val="hybridMultilevel"/>
    <w:tmpl w:val="153AB72E"/>
    <w:lvl w:ilvl="0" w:tplc="1AD4AA3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8908A268">
      <w:start w:val="1"/>
      <w:numFmt w:val="bullet"/>
      <w:lvlText w:val="o"/>
      <w:lvlJc w:val="left"/>
      <w:pPr>
        <w:tabs>
          <w:tab w:val="num" w:pos="2160"/>
        </w:tabs>
        <w:ind w:left="2160" w:hanging="360"/>
      </w:pPr>
      <w:rPr>
        <w:rFonts w:ascii="Courier New" w:hAnsi="Courier New"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F1671F"/>
    <w:multiLevelType w:val="hybridMultilevel"/>
    <w:tmpl w:val="02AAA41E"/>
    <w:lvl w:ilvl="0" w:tplc="1E6442F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FAD5B54"/>
    <w:multiLevelType w:val="hybridMultilevel"/>
    <w:tmpl w:val="856CEF6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2"/>
  </w:num>
  <w:num w:numId="2">
    <w:abstractNumId w:val="11"/>
  </w:num>
  <w:num w:numId="3">
    <w:abstractNumId w:val="5"/>
  </w:num>
  <w:num w:numId="4">
    <w:abstractNumId w:val="6"/>
  </w:num>
  <w:num w:numId="5">
    <w:abstractNumId w:val="1"/>
  </w:num>
  <w:num w:numId="6">
    <w:abstractNumId w:val="12"/>
  </w:num>
  <w:num w:numId="7">
    <w:abstractNumId w:val="7"/>
  </w:num>
  <w:num w:numId="8">
    <w:abstractNumId w:val="25"/>
  </w:num>
  <w:num w:numId="9">
    <w:abstractNumId w:val="21"/>
  </w:num>
  <w:num w:numId="10">
    <w:abstractNumId w:val="0"/>
  </w:num>
  <w:num w:numId="11">
    <w:abstractNumId w:val="19"/>
  </w:num>
  <w:num w:numId="12">
    <w:abstractNumId w:val="15"/>
  </w:num>
  <w:num w:numId="13">
    <w:abstractNumId w:val="16"/>
  </w:num>
  <w:num w:numId="14">
    <w:abstractNumId w:val="22"/>
  </w:num>
  <w:num w:numId="15">
    <w:abstractNumId w:val="4"/>
  </w:num>
  <w:num w:numId="16">
    <w:abstractNumId w:val="13"/>
  </w:num>
  <w:num w:numId="17">
    <w:abstractNumId w:val="8"/>
  </w:num>
  <w:num w:numId="18">
    <w:abstractNumId w:val="24"/>
  </w:num>
  <w:num w:numId="19">
    <w:abstractNumId w:val="14"/>
  </w:num>
  <w:num w:numId="20">
    <w:abstractNumId w:val="3"/>
  </w:num>
  <w:num w:numId="21">
    <w:abstractNumId w:val="18"/>
  </w:num>
  <w:num w:numId="22">
    <w:abstractNumId w:val="20"/>
  </w:num>
  <w:num w:numId="23">
    <w:abstractNumId w:val="23"/>
  </w:num>
  <w:num w:numId="24">
    <w:abstractNumId w:val="10"/>
  </w:num>
  <w:num w:numId="25">
    <w:abstractNumId w:val="17"/>
  </w:num>
  <w:num w:numId="26">
    <w:abstractNumId w:val="26"/>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43682"/>
    <w:rsid w:val="00001F24"/>
    <w:rsid w:val="00005422"/>
    <w:rsid w:val="000075BB"/>
    <w:rsid w:val="0001435F"/>
    <w:rsid w:val="000410D4"/>
    <w:rsid w:val="00053FB6"/>
    <w:rsid w:val="0006588B"/>
    <w:rsid w:val="00074149"/>
    <w:rsid w:val="00093A2D"/>
    <w:rsid w:val="00095398"/>
    <w:rsid w:val="00096F02"/>
    <w:rsid w:val="000A55EB"/>
    <w:rsid w:val="000D036D"/>
    <w:rsid w:val="000E6F2A"/>
    <w:rsid w:val="000F14B7"/>
    <w:rsid w:val="0011634F"/>
    <w:rsid w:val="00134B79"/>
    <w:rsid w:val="00196284"/>
    <w:rsid w:val="001C1BBC"/>
    <w:rsid w:val="001D28C9"/>
    <w:rsid w:val="001D5C03"/>
    <w:rsid w:val="001E2605"/>
    <w:rsid w:val="001F1344"/>
    <w:rsid w:val="001F2BED"/>
    <w:rsid w:val="001F326A"/>
    <w:rsid w:val="001F5221"/>
    <w:rsid w:val="00212B6D"/>
    <w:rsid w:val="0022293E"/>
    <w:rsid w:val="00227F70"/>
    <w:rsid w:val="00235E0E"/>
    <w:rsid w:val="00242905"/>
    <w:rsid w:val="0025721F"/>
    <w:rsid w:val="0026627F"/>
    <w:rsid w:val="00267C85"/>
    <w:rsid w:val="002772EA"/>
    <w:rsid w:val="00286575"/>
    <w:rsid w:val="002930F3"/>
    <w:rsid w:val="002A3BDB"/>
    <w:rsid w:val="002E3D9B"/>
    <w:rsid w:val="002F19CD"/>
    <w:rsid w:val="00313D20"/>
    <w:rsid w:val="003649BB"/>
    <w:rsid w:val="0038407A"/>
    <w:rsid w:val="00393457"/>
    <w:rsid w:val="00394EB7"/>
    <w:rsid w:val="003B17BA"/>
    <w:rsid w:val="003E6111"/>
    <w:rsid w:val="00405324"/>
    <w:rsid w:val="00413E79"/>
    <w:rsid w:val="00421082"/>
    <w:rsid w:val="00431662"/>
    <w:rsid w:val="004723B3"/>
    <w:rsid w:val="00473A18"/>
    <w:rsid w:val="00480D35"/>
    <w:rsid w:val="004924A7"/>
    <w:rsid w:val="004E08BA"/>
    <w:rsid w:val="004E3194"/>
    <w:rsid w:val="004F638F"/>
    <w:rsid w:val="005157C1"/>
    <w:rsid w:val="0051673B"/>
    <w:rsid w:val="00521C56"/>
    <w:rsid w:val="005344CF"/>
    <w:rsid w:val="00536840"/>
    <w:rsid w:val="00540D46"/>
    <w:rsid w:val="00542A13"/>
    <w:rsid w:val="00546869"/>
    <w:rsid w:val="00555595"/>
    <w:rsid w:val="0057413E"/>
    <w:rsid w:val="00574D88"/>
    <w:rsid w:val="00577530"/>
    <w:rsid w:val="00580700"/>
    <w:rsid w:val="00582554"/>
    <w:rsid w:val="005832B6"/>
    <w:rsid w:val="00592F1D"/>
    <w:rsid w:val="005A5396"/>
    <w:rsid w:val="005C50D2"/>
    <w:rsid w:val="005E2662"/>
    <w:rsid w:val="005E6E35"/>
    <w:rsid w:val="005E7247"/>
    <w:rsid w:val="005E7DBC"/>
    <w:rsid w:val="005F1A5E"/>
    <w:rsid w:val="005F6F87"/>
    <w:rsid w:val="00612676"/>
    <w:rsid w:val="00633344"/>
    <w:rsid w:val="00637B48"/>
    <w:rsid w:val="006423B7"/>
    <w:rsid w:val="006436F9"/>
    <w:rsid w:val="00655C8D"/>
    <w:rsid w:val="0068148A"/>
    <w:rsid w:val="00692645"/>
    <w:rsid w:val="00694B67"/>
    <w:rsid w:val="006955F8"/>
    <w:rsid w:val="006C74F5"/>
    <w:rsid w:val="006D3C89"/>
    <w:rsid w:val="006D7BF0"/>
    <w:rsid w:val="006D7F50"/>
    <w:rsid w:val="007046F4"/>
    <w:rsid w:val="00706394"/>
    <w:rsid w:val="00712F81"/>
    <w:rsid w:val="00725D7A"/>
    <w:rsid w:val="007274AD"/>
    <w:rsid w:val="0073452A"/>
    <w:rsid w:val="0075709C"/>
    <w:rsid w:val="007613F9"/>
    <w:rsid w:val="007871EA"/>
    <w:rsid w:val="00794BE4"/>
    <w:rsid w:val="00797987"/>
    <w:rsid w:val="007A1550"/>
    <w:rsid w:val="007B1485"/>
    <w:rsid w:val="007B181A"/>
    <w:rsid w:val="007B7031"/>
    <w:rsid w:val="007C0DC0"/>
    <w:rsid w:val="007C2AC8"/>
    <w:rsid w:val="007C405F"/>
    <w:rsid w:val="007C5E51"/>
    <w:rsid w:val="007E5ED2"/>
    <w:rsid w:val="007F50EF"/>
    <w:rsid w:val="00800375"/>
    <w:rsid w:val="00802BBD"/>
    <w:rsid w:val="00810E20"/>
    <w:rsid w:val="00832B3C"/>
    <w:rsid w:val="008344AC"/>
    <w:rsid w:val="00835D05"/>
    <w:rsid w:val="008458F8"/>
    <w:rsid w:val="00854BD5"/>
    <w:rsid w:val="00856B0E"/>
    <w:rsid w:val="00862755"/>
    <w:rsid w:val="0087741C"/>
    <w:rsid w:val="00880FC4"/>
    <w:rsid w:val="008A133B"/>
    <w:rsid w:val="008A7BEF"/>
    <w:rsid w:val="008C39F6"/>
    <w:rsid w:val="008D0DF8"/>
    <w:rsid w:val="008E059B"/>
    <w:rsid w:val="008E404B"/>
    <w:rsid w:val="008E58C9"/>
    <w:rsid w:val="008F59F6"/>
    <w:rsid w:val="009042AE"/>
    <w:rsid w:val="009110A6"/>
    <w:rsid w:val="0091303F"/>
    <w:rsid w:val="00924C16"/>
    <w:rsid w:val="009633C9"/>
    <w:rsid w:val="0096387E"/>
    <w:rsid w:val="00972707"/>
    <w:rsid w:val="00974E3F"/>
    <w:rsid w:val="009833EC"/>
    <w:rsid w:val="00986F3B"/>
    <w:rsid w:val="009A3B2C"/>
    <w:rsid w:val="009A7399"/>
    <w:rsid w:val="009B5C11"/>
    <w:rsid w:val="009B7C7C"/>
    <w:rsid w:val="009C0419"/>
    <w:rsid w:val="009C4340"/>
    <w:rsid w:val="009D7845"/>
    <w:rsid w:val="009E3229"/>
    <w:rsid w:val="009E5F8B"/>
    <w:rsid w:val="009F4C62"/>
    <w:rsid w:val="00A173F3"/>
    <w:rsid w:val="00A362BE"/>
    <w:rsid w:val="00A46CFA"/>
    <w:rsid w:val="00A66E8B"/>
    <w:rsid w:val="00A75EA3"/>
    <w:rsid w:val="00A84D7D"/>
    <w:rsid w:val="00AB7296"/>
    <w:rsid w:val="00AC68D2"/>
    <w:rsid w:val="00AD46D0"/>
    <w:rsid w:val="00AD4A46"/>
    <w:rsid w:val="00AF3F8E"/>
    <w:rsid w:val="00AF62E7"/>
    <w:rsid w:val="00B238BB"/>
    <w:rsid w:val="00B24000"/>
    <w:rsid w:val="00B272E6"/>
    <w:rsid w:val="00B308D7"/>
    <w:rsid w:val="00B42F1B"/>
    <w:rsid w:val="00B652CF"/>
    <w:rsid w:val="00B65FCE"/>
    <w:rsid w:val="00B7428A"/>
    <w:rsid w:val="00B7551D"/>
    <w:rsid w:val="00B75B15"/>
    <w:rsid w:val="00B76752"/>
    <w:rsid w:val="00BE6678"/>
    <w:rsid w:val="00BF1B9D"/>
    <w:rsid w:val="00BF5B41"/>
    <w:rsid w:val="00C06105"/>
    <w:rsid w:val="00C26BE3"/>
    <w:rsid w:val="00C334DE"/>
    <w:rsid w:val="00C347A4"/>
    <w:rsid w:val="00C362FF"/>
    <w:rsid w:val="00C41976"/>
    <w:rsid w:val="00C435B8"/>
    <w:rsid w:val="00C50426"/>
    <w:rsid w:val="00C66858"/>
    <w:rsid w:val="00C75600"/>
    <w:rsid w:val="00C80143"/>
    <w:rsid w:val="00CA7585"/>
    <w:rsid w:val="00CC7CE8"/>
    <w:rsid w:val="00CD1317"/>
    <w:rsid w:val="00CE09E0"/>
    <w:rsid w:val="00CF5D00"/>
    <w:rsid w:val="00CF66E3"/>
    <w:rsid w:val="00D17AF2"/>
    <w:rsid w:val="00D20267"/>
    <w:rsid w:val="00D33FD6"/>
    <w:rsid w:val="00D34083"/>
    <w:rsid w:val="00D4035E"/>
    <w:rsid w:val="00D60579"/>
    <w:rsid w:val="00D6072B"/>
    <w:rsid w:val="00D71164"/>
    <w:rsid w:val="00D76EE4"/>
    <w:rsid w:val="00D77297"/>
    <w:rsid w:val="00D81D1F"/>
    <w:rsid w:val="00D94FA1"/>
    <w:rsid w:val="00D96BE5"/>
    <w:rsid w:val="00DA1D7B"/>
    <w:rsid w:val="00DA774D"/>
    <w:rsid w:val="00DB21AB"/>
    <w:rsid w:val="00DB2E3B"/>
    <w:rsid w:val="00DD2499"/>
    <w:rsid w:val="00DD52A6"/>
    <w:rsid w:val="00DE0766"/>
    <w:rsid w:val="00DE66D9"/>
    <w:rsid w:val="00DF7474"/>
    <w:rsid w:val="00E0195E"/>
    <w:rsid w:val="00E04CB7"/>
    <w:rsid w:val="00E05661"/>
    <w:rsid w:val="00E07BB9"/>
    <w:rsid w:val="00E11558"/>
    <w:rsid w:val="00E27495"/>
    <w:rsid w:val="00E41BE3"/>
    <w:rsid w:val="00E43682"/>
    <w:rsid w:val="00E44516"/>
    <w:rsid w:val="00E6497F"/>
    <w:rsid w:val="00E755BD"/>
    <w:rsid w:val="00E87AFB"/>
    <w:rsid w:val="00EA4F4C"/>
    <w:rsid w:val="00EB098A"/>
    <w:rsid w:val="00EB4302"/>
    <w:rsid w:val="00EC4E24"/>
    <w:rsid w:val="00ED29B4"/>
    <w:rsid w:val="00F010DB"/>
    <w:rsid w:val="00F0424F"/>
    <w:rsid w:val="00F145BA"/>
    <w:rsid w:val="00F17106"/>
    <w:rsid w:val="00F25F0E"/>
    <w:rsid w:val="00F26290"/>
    <w:rsid w:val="00F2741A"/>
    <w:rsid w:val="00F33C6F"/>
    <w:rsid w:val="00F41C68"/>
    <w:rsid w:val="00F605B9"/>
    <w:rsid w:val="00F76B84"/>
    <w:rsid w:val="00F94D73"/>
    <w:rsid w:val="00FB08EB"/>
    <w:rsid w:val="00FC1956"/>
    <w:rsid w:val="00FC77C5"/>
    <w:rsid w:val="00FC7E8C"/>
    <w:rsid w:val="00FD2A6C"/>
    <w:rsid w:val="00FD636D"/>
    <w:rsid w:val="00FF0A8C"/>
    <w:rsid w:val="00FF77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6"/>
    <o:shapelayout v:ext="edit">
      <o:idmap v:ext="edit" data="1"/>
      <o:rules v:ext="edit">
        <o:r id="V:Rule19" type="connector" idref="#_x0000_s1036"/>
        <o:r id="V:Rule20" type="connector" idref="#_x0000_s1050"/>
        <o:r id="V:Rule21" type="connector" idref="#_x0000_s1043"/>
        <o:r id="V:Rule22" type="connector" idref="#_x0000_s1058"/>
        <o:r id="V:Rule23" type="connector" idref="#_x0000_s1049"/>
        <o:r id="V:Rule24" type="connector" idref="#_x0000_s1048"/>
        <o:r id="V:Rule25" type="connector" idref="#_x0000_s1051"/>
        <o:r id="V:Rule26" type="connector" idref="#_x0000_s1040"/>
        <o:r id="V:Rule27" type="connector" idref="#_x0000_s1041"/>
        <o:r id="V:Rule28" type="connector" idref="#_x0000_s1046"/>
        <o:r id="V:Rule29" type="connector" idref="#_x0000_s1038"/>
        <o:r id="V:Rule30" type="connector" idref="#_x0000_s1059"/>
        <o:r id="V:Rule31" type="connector" idref="#_x0000_s1042"/>
        <o:r id="V:Rule32" type="connector" idref="#_x0000_s1037"/>
        <o:r id="V:Rule33" type="connector" idref="#_x0000_s1057"/>
        <o:r id="V:Rule34" type="connector" idref="#_x0000_s1052"/>
        <o:r id="V:Rule35" type="connector" idref="#_x0000_s1039"/>
        <o:r id="V:Rule3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2"/>
    <w:pPr>
      <w:spacing w:line="360" w:lineRule="auto"/>
      <w:jc w:val="both"/>
    </w:pPr>
    <w:rPr>
      <w:rFonts w:ascii="Arial" w:hAnsi="Arial"/>
      <w:sz w:val="24"/>
      <w:lang w:eastAsia="en-US"/>
    </w:rPr>
  </w:style>
  <w:style w:type="paragraph" w:styleId="Heading1">
    <w:name w:val="heading 1"/>
    <w:basedOn w:val="Normal"/>
    <w:next w:val="Normal"/>
    <w:link w:val="Heading1Char"/>
    <w:uiPriority w:val="99"/>
    <w:qFormat/>
    <w:rsid w:val="00CA7585"/>
    <w:pPr>
      <w:keepNext/>
      <w:spacing w:before="240" w:after="60" w:line="240" w:lineRule="auto"/>
      <w:outlineLvl w:val="0"/>
    </w:pPr>
    <w:rPr>
      <w:rFonts w:eastAsia="Times New Roman" w:cs="Arial"/>
      <w:b/>
      <w:bCs/>
      <w:kern w:val="32"/>
      <w:sz w:val="28"/>
      <w:szCs w:val="32"/>
    </w:rPr>
  </w:style>
  <w:style w:type="paragraph" w:styleId="Heading2">
    <w:name w:val="heading 2"/>
    <w:basedOn w:val="Normal"/>
    <w:next w:val="Normal"/>
    <w:link w:val="Heading2Char"/>
    <w:uiPriority w:val="99"/>
    <w:qFormat/>
    <w:rsid w:val="00CA7585"/>
    <w:pPr>
      <w:spacing w:before="120" w:after="120" w:line="240" w:lineRule="auto"/>
      <w:ind w:left="567"/>
      <w:outlineLvl w:val="1"/>
    </w:pPr>
    <w:rPr>
      <w:rFonts w:eastAsia="Times New Roman" w:cs="Arial"/>
      <w:bCs/>
      <w:iCs/>
      <w:szCs w:val="28"/>
    </w:rPr>
  </w:style>
  <w:style w:type="paragraph" w:styleId="Heading3">
    <w:name w:val="heading 3"/>
    <w:basedOn w:val="Normal"/>
    <w:next w:val="Normal"/>
    <w:link w:val="Heading3Char"/>
    <w:uiPriority w:val="99"/>
    <w:qFormat/>
    <w:rsid w:val="00CA7585"/>
    <w:pPr>
      <w:keepNext/>
      <w:spacing w:before="120" w:after="120" w:line="240" w:lineRule="auto"/>
      <w:ind w:left="1134"/>
      <w:outlineLvl w:val="2"/>
    </w:pPr>
    <w:rPr>
      <w:rFonts w:eastAsia="Times New Roman"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7585"/>
    <w:rPr>
      <w:rFonts w:ascii="Arial" w:hAnsi="Arial" w:cs="Arial"/>
      <w:b/>
      <w:bCs/>
      <w:kern w:val="32"/>
      <w:sz w:val="32"/>
      <w:szCs w:val="32"/>
    </w:rPr>
  </w:style>
  <w:style w:type="character" w:customStyle="1" w:styleId="Heading2Char">
    <w:name w:val="Heading 2 Char"/>
    <w:basedOn w:val="DefaultParagraphFont"/>
    <w:link w:val="Heading2"/>
    <w:uiPriority w:val="99"/>
    <w:locked/>
    <w:rsid w:val="00CA7585"/>
    <w:rPr>
      <w:rFonts w:ascii="Arial" w:hAnsi="Arial" w:cs="Arial"/>
      <w:bCs/>
      <w:iCs/>
      <w:sz w:val="28"/>
      <w:szCs w:val="28"/>
    </w:rPr>
  </w:style>
  <w:style w:type="character" w:customStyle="1" w:styleId="Heading3Char">
    <w:name w:val="Heading 3 Char"/>
    <w:basedOn w:val="DefaultParagraphFont"/>
    <w:link w:val="Heading3"/>
    <w:uiPriority w:val="99"/>
    <w:locked/>
    <w:rsid w:val="00CA7585"/>
    <w:rPr>
      <w:rFonts w:ascii="Arial" w:hAnsi="Arial" w:cs="Arial"/>
      <w:bCs/>
      <w:i/>
      <w:sz w:val="26"/>
      <w:szCs w:val="26"/>
    </w:rPr>
  </w:style>
  <w:style w:type="paragraph" w:styleId="FootnoteText">
    <w:name w:val="footnote text"/>
    <w:basedOn w:val="Normal"/>
    <w:link w:val="FootnoteTextChar"/>
    <w:uiPriority w:val="99"/>
    <w:semiHidden/>
    <w:rsid w:val="007B7031"/>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7B7031"/>
    <w:rPr>
      <w:rFonts w:ascii="Arial" w:hAnsi="Arial" w:cs="Times New Roman"/>
      <w:sz w:val="20"/>
      <w:szCs w:val="20"/>
    </w:rPr>
  </w:style>
  <w:style w:type="character" w:styleId="FootnoteReference">
    <w:name w:val="footnote reference"/>
    <w:basedOn w:val="DefaultParagraphFont"/>
    <w:uiPriority w:val="99"/>
    <w:semiHidden/>
    <w:rsid w:val="007B7031"/>
    <w:rPr>
      <w:rFonts w:cs="Times New Roman"/>
      <w:vertAlign w:val="superscript"/>
    </w:rPr>
  </w:style>
  <w:style w:type="character" w:styleId="Hyperlink">
    <w:name w:val="Hyperlink"/>
    <w:basedOn w:val="DefaultParagraphFont"/>
    <w:uiPriority w:val="99"/>
    <w:rsid w:val="007B7031"/>
    <w:rPr>
      <w:rFonts w:cs="Times New Roman"/>
      <w:color w:val="0000FF"/>
      <w:u w:val="single"/>
    </w:rPr>
  </w:style>
  <w:style w:type="paragraph" w:customStyle="1" w:styleId="NormalLeft">
    <w:name w:val="Normal + Left"/>
    <w:basedOn w:val="Normal"/>
    <w:uiPriority w:val="99"/>
    <w:rsid w:val="00692645"/>
    <w:pPr>
      <w:shd w:val="clear" w:color="auto" w:fill="FFFFFF"/>
      <w:spacing w:before="100" w:beforeAutospacing="1" w:after="100" w:afterAutospacing="1" w:line="312" w:lineRule="atLeast"/>
      <w:jc w:val="left"/>
    </w:pPr>
    <w:rPr>
      <w:rFonts w:eastAsia="Batang" w:cs="Arial"/>
      <w:szCs w:val="24"/>
      <w:lang w:val="en-US" w:eastAsia="ko-KR"/>
    </w:rPr>
  </w:style>
  <w:style w:type="paragraph" w:styleId="HTMLPreformatted">
    <w:name w:val="HTML Preformatted"/>
    <w:basedOn w:val="Normal"/>
    <w:link w:val="HTMLPreformattedChar"/>
    <w:uiPriority w:val="99"/>
    <w:rsid w:val="00CA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CA7585"/>
    <w:rPr>
      <w:rFonts w:ascii="Courier New" w:hAnsi="Courier New" w:cs="Courier New"/>
      <w:sz w:val="20"/>
      <w:szCs w:val="20"/>
    </w:rPr>
  </w:style>
  <w:style w:type="paragraph" w:styleId="Title">
    <w:name w:val="Title"/>
    <w:basedOn w:val="Normal"/>
    <w:link w:val="TitleChar"/>
    <w:uiPriority w:val="99"/>
    <w:qFormat/>
    <w:rsid w:val="00CA7585"/>
    <w:pPr>
      <w:spacing w:before="240" w:after="60" w:line="240" w:lineRule="auto"/>
      <w:jc w:val="center"/>
      <w:outlineLvl w:val="0"/>
    </w:pPr>
    <w:rPr>
      <w:rFonts w:eastAsia="Times New Roman" w:cs="Arial"/>
      <w:b/>
      <w:bCs/>
      <w:kern w:val="28"/>
      <w:sz w:val="28"/>
      <w:szCs w:val="32"/>
    </w:rPr>
  </w:style>
  <w:style w:type="character" w:customStyle="1" w:styleId="TitleChar">
    <w:name w:val="Title Char"/>
    <w:basedOn w:val="DefaultParagraphFont"/>
    <w:link w:val="Title"/>
    <w:uiPriority w:val="99"/>
    <w:locked/>
    <w:rsid w:val="00CA7585"/>
    <w:rPr>
      <w:rFonts w:ascii="Arial" w:hAnsi="Arial" w:cs="Arial"/>
      <w:b/>
      <w:bCs/>
      <w:kern w:val="28"/>
      <w:sz w:val="32"/>
      <w:szCs w:val="32"/>
    </w:rPr>
  </w:style>
  <w:style w:type="paragraph" w:customStyle="1" w:styleId="Authors">
    <w:name w:val="Authors"/>
    <w:basedOn w:val="Heading1"/>
    <w:uiPriority w:val="99"/>
    <w:rsid w:val="00CA7585"/>
    <w:pPr>
      <w:jc w:val="center"/>
    </w:pPr>
    <w:rPr>
      <w:b w:val="0"/>
      <w:i/>
      <w:sz w:val="24"/>
    </w:rPr>
  </w:style>
  <w:style w:type="paragraph" w:styleId="BalloonText">
    <w:name w:val="Balloon Text"/>
    <w:basedOn w:val="Normal"/>
    <w:link w:val="BalloonTextChar"/>
    <w:uiPriority w:val="99"/>
    <w:semiHidden/>
    <w:rsid w:val="00CA7585"/>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CA7585"/>
    <w:rPr>
      <w:rFonts w:ascii="Tahoma" w:hAnsi="Tahoma" w:cs="Tahoma"/>
      <w:sz w:val="16"/>
      <w:szCs w:val="16"/>
    </w:rPr>
  </w:style>
  <w:style w:type="paragraph" w:styleId="CommentText">
    <w:name w:val="annotation text"/>
    <w:basedOn w:val="Normal"/>
    <w:link w:val="CommentTextChar"/>
    <w:uiPriority w:val="99"/>
    <w:semiHidden/>
    <w:rsid w:val="00CA7585"/>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CA758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CA7585"/>
    <w:rPr>
      <w:b/>
      <w:bCs/>
    </w:rPr>
  </w:style>
  <w:style w:type="character" w:customStyle="1" w:styleId="CommentSubjectChar">
    <w:name w:val="Comment Subject Char"/>
    <w:basedOn w:val="CommentTextChar"/>
    <w:link w:val="CommentSubject"/>
    <w:uiPriority w:val="99"/>
    <w:semiHidden/>
    <w:locked/>
    <w:rsid w:val="00CA7585"/>
    <w:rPr>
      <w:b/>
      <w:bCs/>
    </w:rPr>
  </w:style>
  <w:style w:type="paragraph" w:styleId="Footer">
    <w:name w:val="footer"/>
    <w:basedOn w:val="Normal"/>
    <w:link w:val="FooterChar"/>
    <w:uiPriority w:val="99"/>
    <w:rsid w:val="00CA7585"/>
    <w:pPr>
      <w:tabs>
        <w:tab w:val="center" w:pos="4320"/>
        <w:tab w:val="right" w:pos="8640"/>
      </w:tabs>
      <w:spacing w:line="240" w:lineRule="auto"/>
    </w:pPr>
    <w:rPr>
      <w:rFonts w:eastAsia="Times New Roman"/>
      <w:szCs w:val="24"/>
    </w:rPr>
  </w:style>
  <w:style w:type="character" w:customStyle="1" w:styleId="FooterChar">
    <w:name w:val="Footer Char"/>
    <w:basedOn w:val="DefaultParagraphFont"/>
    <w:link w:val="Footer"/>
    <w:uiPriority w:val="99"/>
    <w:locked/>
    <w:rsid w:val="00CA7585"/>
    <w:rPr>
      <w:rFonts w:ascii="Arial" w:hAnsi="Arial" w:cs="Times New Roman"/>
      <w:sz w:val="24"/>
      <w:szCs w:val="24"/>
    </w:rPr>
  </w:style>
  <w:style w:type="character" w:styleId="PageNumber">
    <w:name w:val="page number"/>
    <w:basedOn w:val="DefaultParagraphFont"/>
    <w:uiPriority w:val="99"/>
    <w:rsid w:val="00CA7585"/>
    <w:rPr>
      <w:rFonts w:cs="Times New Roman"/>
    </w:rPr>
  </w:style>
  <w:style w:type="paragraph" w:styleId="EndnoteText">
    <w:name w:val="endnote text"/>
    <w:basedOn w:val="Normal"/>
    <w:link w:val="EndnoteTextChar"/>
    <w:uiPriority w:val="99"/>
    <w:semiHidden/>
    <w:rsid w:val="00CA7585"/>
    <w:pPr>
      <w:spacing w:line="240" w:lineRule="auto"/>
    </w:pPr>
    <w:rPr>
      <w:rFonts w:eastAsia="Times New Roman"/>
      <w:sz w:val="20"/>
      <w:szCs w:val="20"/>
    </w:rPr>
  </w:style>
  <w:style w:type="character" w:customStyle="1" w:styleId="EndnoteTextChar">
    <w:name w:val="Endnote Text Char"/>
    <w:basedOn w:val="DefaultParagraphFont"/>
    <w:link w:val="EndnoteText"/>
    <w:uiPriority w:val="99"/>
    <w:semiHidden/>
    <w:locked/>
    <w:rsid w:val="00CA7585"/>
    <w:rPr>
      <w:rFonts w:ascii="Arial" w:hAnsi="Arial" w:cs="Times New Roman"/>
      <w:sz w:val="20"/>
      <w:szCs w:val="20"/>
    </w:rPr>
  </w:style>
  <w:style w:type="character" w:customStyle="1" w:styleId="StyleFootnoteReferenceBold">
    <w:name w:val="Style Footnote Reference + Bold"/>
    <w:basedOn w:val="FootnoteReference"/>
    <w:uiPriority w:val="99"/>
    <w:rsid w:val="00CA7585"/>
    <w:rPr>
      <w:b/>
      <w:bCs/>
      <w:kern w:val="32"/>
      <w:sz w:val="24"/>
      <w:vertAlign w:val="baseline"/>
    </w:rPr>
  </w:style>
  <w:style w:type="character" w:styleId="FollowedHyperlink">
    <w:name w:val="FollowedHyperlink"/>
    <w:basedOn w:val="DefaultParagraphFont"/>
    <w:uiPriority w:val="99"/>
    <w:rsid w:val="00CA7585"/>
    <w:rPr>
      <w:rFonts w:cs="Times New Roman"/>
      <w:color w:val="800080"/>
      <w:u w:val="single"/>
    </w:rPr>
  </w:style>
  <w:style w:type="character" w:customStyle="1" w:styleId="a">
    <w:name w:val="a"/>
    <w:basedOn w:val="DefaultParagraphFont"/>
    <w:uiPriority w:val="99"/>
    <w:rsid w:val="00CA7585"/>
    <w:rPr>
      <w:rFonts w:cs="Times New Roman"/>
    </w:rPr>
  </w:style>
  <w:style w:type="paragraph" w:customStyle="1" w:styleId="ReferenceText">
    <w:name w:val="ReferenceText"/>
    <w:basedOn w:val="Normal"/>
    <w:uiPriority w:val="99"/>
    <w:rsid w:val="00CA7585"/>
    <w:pPr>
      <w:spacing w:before="120" w:after="120" w:line="240" w:lineRule="auto"/>
    </w:pPr>
    <w:rPr>
      <w:rFonts w:eastAsia="Times New Roman"/>
      <w:szCs w:val="24"/>
    </w:rPr>
  </w:style>
  <w:style w:type="paragraph" w:styleId="NormalWeb">
    <w:name w:val="Normal (Web)"/>
    <w:basedOn w:val="Normal"/>
    <w:uiPriority w:val="99"/>
    <w:rsid w:val="00CA7585"/>
    <w:pPr>
      <w:spacing w:line="240" w:lineRule="auto"/>
      <w:jc w:val="left"/>
    </w:pPr>
    <w:rPr>
      <w:rFonts w:ascii="Times New Roman" w:eastAsia="Times New Roman" w:hAnsi="Times New Roman"/>
      <w:szCs w:val="24"/>
      <w:lang w:val="en-US"/>
    </w:rPr>
  </w:style>
  <w:style w:type="paragraph" w:customStyle="1" w:styleId="Bulleted">
    <w:name w:val="Bulleted"/>
    <w:aliases w:val="Symbol (symbol),Left:  0.63 cm,Hanging:  0.63 cm + Left:  0.63 cm,F...."/>
    <w:basedOn w:val="Heading1"/>
    <w:uiPriority w:val="99"/>
    <w:rsid w:val="00CA7585"/>
    <w:pPr>
      <w:keepNext w:val="0"/>
      <w:tabs>
        <w:tab w:val="num" w:pos="1440"/>
      </w:tabs>
      <w:spacing w:before="0" w:after="0"/>
      <w:ind w:left="1440" w:hanging="360"/>
      <w:jc w:val="left"/>
    </w:pPr>
    <w:rPr>
      <w:rFonts w:ascii="Times New Roman" w:hAnsi="Times New Roman" w:cs="Times New Roman"/>
      <w:b w:val="0"/>
      <w:bCs w:val="0"/>
      <w:color w:val="000000"/>
      <w:kern w:val="36"/>
      <w:sz w:val="24"/>
      <w:szCs w:val="24"/>
      <w:lang w:eastAsia="en-GB"/>
    </w:rPr>
  </w:style>
  <w:style w:type="paragraph" w:styleId="Header">
    <w:name w:val="header"/>
    <w:basedOn w:val="Normal"/>
    <w:link w:val="HeaderChar"/>
    <w:uiPriority w:val="99"/>
    <w:rsid w:val="00CA7585"/>
    <w:pPr>
      <w:tabs>
        <w:tab w:val="center" w:pos="4320"/>
        <w:tab w:val="right" w:pos="8640"/>
      </w:tabs>
      <w:spacing w:line="240" w:lineRule="auto"/>
    </w:pPr>
    <w:rPr>
      <w:rFonts w:eastAsia="Times New Roman"/>
      <w:szCs w:val="24"/>
    </w:rPr>
  </w:style>
  <w:style w:type="character" w:customStyle="1" w:styleId="HeaderChar">
    <w:name w:val="Header Char"/>
    <w:basedOn w:val="DefaultParagraphFont"/>
    <w:link w:val="Header"/>
    <w:uiPriority w:val="99"/>
    <w:locked/>
    <w:rsid w:val="00CA7585"/>
    <w:rPr>
      <w:rFonts w:ascii="Arial" w:hAnsi="Arial" w:cs="Times New Roman"/>
      <w:sz w:val="24"/>
      <w:szCs w:val="24"/>
    </w:rPr>
  </w:style>
  <w:style w:type="paragraph" w:customStyle="1" w:styleId="Default">
    <w:name w:val="Default"/>
    <w:uiPriority w:val="99"/>
    <w:rsid w:val="00CA7585"/>
    <w:pPr>
      <w:autoSpaceDE w:val="0"/>
      <w:autoSpaceDN w:val="0"/>
      <w:adjustRightInd w:val="0"/>
    </w:pPr>
    <w:rPr>
      <w:rFonts w:ascii="Times New Roman" w:eastAsia="Batang" w:hAnsi="Times New Roman"/>
      <w:color w:val="000000"/>
      <w:sz w:val="24"/>
      <w:szCs w:val="24"/>
      <w:lang w:val="en-US" w:eastAsia="ko-KR"/>
    </w:rPr>
  </w:style>
  <w:style w:type="paragraph" w:customStyle="1" w:styleId="NormalLinespacingDouble">
    <w:name w:val="Normal + Line spacing:  Double"/>
    <w:basedOn w:val="Normal"/>
    <w:uiPriority w:val="99"/>
    <w:rsid w:val="00CA7585"/>
    <w:pPr>
      <w:spacing w:line="480" w:lineRule="auto"/>
      <w:jc w:val="left"/>
      <w:outlineLvl w:val="1"/>
    </w:pPr>
    <w:rPr>
      <w:rFonts w:ascii="Times New Roman" w:eastAsia="Times New Roman" w:hAnsi="Times New Roman"/>
      <w:szCs w:val="24"/>
      <w:lang w:eastAsia="en-GB"/>
    </w:rPr>
  </w:style>
  <w:style w:type="character" w:customStyle="1" w:styleId="bodytext1">
    <w:name w:val="bodytext1"/>
    <w:basedOn w:val="DefaultParagraphFont"/>
    <w:uiPriority w:val="99"/>
    <w:rsid w:val="00CA7585"/>
    <w:rPr>
      <w:rFonts w:ascii="Tahoma" w:hAnsi="Tahoma" w:cs="Tahoma"/>
      <w:color w:val="666666"/>
      <w:sz w:val="17"/>
      <w:szCs w:val="17"/>
      <w:u w:val="none"/>
      <w:effect w:val="none"/>
    </w:rPr>
  </w:style>
  <w:style w:type="character" w:customStyle="1" w:styleId="articleviewheadline">
    <w:name w:val="articleviewheadline"/>
    <w:basedOn w:val="DefaultParagraphFont"/>
    <w:uiPriority w:val="99"/>
    <w:rsid w:val="00CA7585"/>
    <w:rPr>
      <w:rFonts w:cs="Times New Roman"/>
      <w:sz w:val="21"/>
      <w:szCs w:val="21"/>
    </w:rPr>
  </w:style>
  <w:style w:type="character" w:styleId="HTMLCite">
    <w:name w:val="HTML Cite"/>
    <w:basedOn w:val="DefaultParagraphFont"/>
    <w:uiPriority w:val="99"/>
    <w:rsid w:val="00CA7585"/>
    <w:rPr>
      <w:rFonts w:cs="Times New Roman"/>
      <w:i/>
      <w:iCs/>
    </w:rPr>
  </w:style>
  <w:style w:type="paragraph" w:customStyle="1" w:styleId="intro1">
    <w:name w:val="intro1"/>
    <w:basedOn w:val="Normal"/>
    <w:uiPriority w:val="99"/>
    <w:rsid w:val="00CA7585"/>
    <w:pPr>
      <w:spacing w:before="100" w:beforeAutospacing="1" w:after="100" w:afterAutospacing="1" w:line="312" w:lineRule="atLeast"/>
      <w:jc w:val="left"/>
    </w:pPr>
    <w:rPr>
      <w:rFonts w:ascii="Times New Roman" w:eastAsia="Batang" w:hAnsi="Times New Roman"/>
      <w:b/>
      <w:bCs/>
      <w:color w:val="000000"/>
      <w:szCs w:val="24"/>
      <w:lang w:val="en-US" w:eastAsia="ko-KR"/>
    </w:rPr>
  </w:style>
  <w:style w:type="paragraph" w:styleId="Caption">
    <w:name w:val="caption"/>
    <w:basedOn w:val="Normal"/>
    <w:next w:val="Normal"/>
    <w:uiPriority w:val="99"/>
    <w:qFormat/>
    <w:rsid w:val="00CA7585"/>
    <w:pPr>
      <w:spacing w:line="240" w:lineRule="auto"/>
    </w:pPr>
    <w:rPr>
      <w:rFonts w:eastAsia="Times New Roman"/>
      <w:b/>
      <w:bCs/>
      <w:sz w:val="20"/>
      <w:szCs w:val="20"/>
    </w:rPr>
  </w:style>
  <w:style w:type="paragraph" w:styleId="TOC1">
    <w:name w:val="toc 1"/>
    <w:basedOn w:val="Normal"/>
    <w:next w:val="Normal"/>
    <w:autoRedefine/>
    <w:uiPriority w:val="99"/>
    <w:semiHidden/>
    <w:rsid w:val="00CA7585"/>
    <w:pPr>
      <w:tabs>
        <w:tab w:val="left" w:pos="720"/>
        <w:tab w:val="right" w:leader="dot" w:pos="9962"/>
      </w:tabs>
      <w:spacing w:line="240" w:lineRule="auto"/>
    </w:pPr>
    <w:rPr>
      <w:rFonts w:eastAsia="Times New Roman"/>
      <w:b/>
      <w:noProof/>
      <w:szCs w:val="24"/>
    </w:rPr>
  </w:style>
  <w:style w:type="paragraph" w:styleId="TOC2">
    <w:name w:val="toc 2"/>
    <w:basedOn w:val="Normal"/>
    <w:next w:val="Normal"/>
    <w:autoRedefine/>
    <w:uiPriority w:val="99"/>
    <w:semiHidden/>
    <w:rsid w:val="00CA7585"/>
    <w:pPr>
      <w:tabs>
        <w:tab w:val="left" w:pos="960"/>
        <w:tab w:val="right" w:leader="dot" w:pos="9962"/>
      </w:tabs>
      <w:spacing w:line="240" w:lineRule="auto"/>
      <w:ind w:left="240"/>
    </w:pPr>
    <w:rPr>
      <w:rFonts w:eastAsia="Times New Roman"/>
      <w:noProof/>
      <w:szCs w:val="24"/>
    </w:rPr>
  </w:style>
  <w:style w:type="paragraph" w:customStyle="1" w:styleId="font-null">
    <w:name w:val="font-null"/>
    <w:basedOn w:val="Normal"/>
    <w:uiPriority w:val="99"/>
    <w:rsid w:val="00CA7585"/>
    <w:pPr>
      <w:spacing w:before="100" w:beforeAutospacing="1" w:after="100" w:afterAutospacing="1" w:line="240" w:lineRule="auto"/>
      <w:jc w:val="left"/>
    </w:pPr>
    <w:rPr>
      <w:rFonts w:ascii="Times New Roman" w:eastAsia="Batang" w:hAnsi="Times New Roman"/>
      <w:szCs w:val="24"/>
      <w:lang w:val="en-US" w:eastAsia="ko-KR"/>
    </w:rPr>
  </w:style>
  <w:style w:type="paragraph" w:styleId="ListParagraph">
    <w:name w:val="List Paragraph"/>
    <w:basedOn w:val="Normal"/>
    <w:uiPriority w:val="99"/>
    <w:qFormat/>
    <w:rsid w:val="006955F8"/>
    <w:pPr>
      <w:ind w:left="720"/>
      <w:contextualSpacing/>
    </w:pPr>
  </w:style>
  <w:style w:type="character" w:styleId="EndnoteReference">
    <w:name w:val="endnote reference"/>
    <w:basedOn w:val="DefaultParagraphFont"/>
    <w:uiPriority w:val="99"/>
    <w:semiHidden/>
    <w:rsid w:val="00DE0766"/>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0109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zinearticles.com/?Top-7-Compressed-Air-Energy-Saving-Tips&amp;id=3940109"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8C4D6-4993-40BC-B547-00B08011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8402</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56182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Ball</dc:creator>
  <cp:lastModifiedBy>Peter Ball</cp:lastModifiedBy>
  <cp:revision>4</cp:revision>
  <cp:lastPrinted>2011-11-23T16:56:00Z</cp:lastPrinted>
  <dcterms:created xsi:type="dcterms:W3CDTF">2011-11-24T11:36:00Z</dcterms:created>
  <dcterms:modified xsi:type="dcterms:W3CDTF">2011-11-24T12:20:00Z</dcterms:modified>
</cp:coreProperties>
</file>