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Default="00B454B7" w:rsidP="001D5854">
      <w:pPr>
        <w:pStyle w:val="BodyText"/>
      </w:pPr>
    </w:p>
    <w:p w:rsidR="00B454B7" w:rsidRDefault="00B454B7" w:rsidP="001D5854">
      <w:pPr>
        <w:pStyle w:val="BodyText"/>
      </w:pPr>
    </w:p>
    <w:p w:rsidR="00B454B7" w:rsidRDefault="00B454B7" w:rsidP="002D6507">
      <w:pPr>
        <w:pStyle w:val="BodyText"/>
        <w:ind w:firstLine="0"/>
      </w:pPr>
    </w:p>
    <w:p w:rsidR="00CA5DBF" w:rsidRPr="008610BB" w:rsidRDefault="00F63C62" w:rsidP="00CA5DBF">
      <w:pPr>
        <w:pStyle w:val="Heading1"/>
        <w:keepNext/>
        <w:rPr>
          <w:b/>
          <w:szCs w:val="24"/>
        </w:rPr>
      </w:pPr>
      <w:bookmarkStart w:id="0" w:name="bkPaperTitl"/>
      <w:bookmarkEnd w:id="0"/>
      <w:r w:rsidRPr="00F63C62">
        <w:rPr>
          <w:b/>
          <w:szCs w:val="24"/>
        </w:rPr>
        <w:t xml:space="preserve">Language </w:t>
      </w:r>
      <w:r w:rsidR="00BF1E88">
        <w:rPr>
          <w:b/>
          <w:szCs w:val="24"/>
        </w:rPr>
        <w:t>affects</w:t>
      </w:r>
      <w:r w:rsidR="00E2137E">
        <w:rPr>
          <w:b/>
          <w:szCs w:val="24"/>
        </w:rPr>
        <w:t xml:space="preserve"> symbolic arithmetic</w:t>
      </w:r>
      <w:r w:rsidR="00AB2F71">
        <w:rPr>
          <w:b/>
          <w:szCs w:val="24"/>
        </w:rPr>
        <w:t xml:space="preserve"> in children</w:t>
      </w:r>
      <w:r w:rsidRPr="00F63C62">
        <w:rPr>
          <w:b/>
          <w:szCs w:val="24"/>
        </w:rPr>
        <w:t>:</w:t>
      </w:r>
    </w:p>
    <w:p w:rsidR="006E1CB3" w:rsidRPr="008610BB" w:rsidRDefault="00A00489" w:rsidP="00CA5DBF">
      <w:pPr>
        <w:pStyle w:val="Heading1"/>
        <w:keepNext/>
        <w:rPr>
          <w:b/>
          <w:szCs w:val="24"/>
        </w:rPr>
      </w:pPr>
      <w:proofErr w:type="gramStart"/>
      <w:r>
        <w:rPr>
          <w:b/>
          <w:szCs w:val="24"/>
        </w:rPr>
        <w:t>t</w:t>
      </w:r>
      <w:r w:rsidR="00E2137E">
        <w:rPr>
          <w:b/>
          <w:szCs w:val="24"/>
        </w:rPr>
        <w:t>he</w:t>
      </w:r>
      <w:proofErr w:type="gramEnd"/>
      <w:r w:rsidR="00E2137E">
        <w:rPr>
          <w:b/>
          <w:szCs w:val="24"/>
        </w:rPr>
        <w:t xml:space="preserve"> case of n</w:t>
      </w:r>
      <w:r w:rsidR="00F63C62" w:rsidRPr="00F63C62">
        <w:rPr>
          <w:b/>
          <w:szCs w:val="24"/>
        </w:rPr>
        <w:t>umber word inversion</w:t>
      </w:r>
    </w:p>
    <w:p w:rsidR="00CA5DBF" w:rsidRPr="008610BB" w:rsidRDefault="00CA5DBF" w:rsidP="00CA5DBF">
      <w:pPr>
        <w:pStyle w:val="BodyText"/>
      </w:pPr>
    </w:p>
    <w:p w:rsidR="00B26A40" w:rsidRDefault="00B26A40" w:rsidP="00CF06F8">
      <w:pPr>
        <w:pStyle w:val="BodyText"/>
        <w:rPr>
          <w:lang w:val="en-GB"/>
        </w:rPr>
      </w:pPr>
      <w:bookmarkStart w:id="1" w:name="bkAuthor"/>
      <w:bookmarkStart w:id="2" w:name="bkAuthorAffil"/>
      <w:bookmarkEnd w:id="1"/>
      <w:bookmarkEnd w:id="2"/>
    </w:p>
    <w:p w:rsidR="00E93C9C" w:rsidRDefault="00E93C9C" w:rsidP="002D6507">
      <w:pPr>
        <w:pStyle w:val="BodyText"/>
        <w:ind w:firstLine="0"/>
        <w:rPr>
          <w:lang w:val="en-GB"/>
        </w:rPr>
      </w:pPr>
    </w:p>
    <w:p w:rsidR="00E93C9C" w:rsidRDefault="00E93C9C" w:rsidP="002D6507">
      <w:pPr>
        <w:pStyle w:val="BodyText"/>
        <w:ind w:firstLine="0"/>
        <w:rPr>
          <w:lang w:val="en-GB"/>
        </w:rPr>
      </w:pPr>
    </w:p>
    <w:p w:rsidR="00E93C9C" w:rsidRDefault="00E93C9C" w:rsidP="002D6507">
      <w:pPr>
        <w:pStyle w:val="BodyText"/>
        <w:ind w:firstLine="0"/>
        <w:rPr>
          <w:lang w:val="en-GB"/>
        </w:rPr>
      </w:pPr>
    </w:p>
    <w:p w:rsidR="00E93C9C" w:rsidRDefault="00E93C9C" w:rsidP="002D6507">
      <w:pPr>
        <w:pStyle w:val="BodyText"/>
        <w:ind w:firstLine="0"/>
        <w:rPr>
          <w:lang w:val="en-GB"/>
        </w:rPr>
      </w:pPr>
    </w:p>
    <w:p w:rsidR="00E93C9C" w:rsidRDefault="00E93C9C" w:rsidP="002D6507">
      <w:pPr>
        <w:pStyle w:val="BodyText"/>
        <w:ind w:firstLine="0"/>
        <w:rPr>
          <w:lang w:val="en-GB"/>
        </w:rPr>
      </w:pPr>
    </w:p>
    <w:p w:rsidR="002D6507" w:rsidRDefault="00B26A40" w:rsidP="00E93C9C">
      <w:pPr>
        <w:pStyle w:val="BodyText"/>
        <w:ind w:firstLine="0"/>
        <w:jc w:val="center"/>
        <w:rPr>
          <w:lang w:val="en-GB"/>
        </w:rPr>
      </w:pPr>
      <w:r>
        <w:rPr>
          <w:lang w:val="en-GB"/>
        </w:rPr>
        <w:t xml:space="preserve">Word count: </w:t>
      </w:r>
      <w:r w:rsidR="002D4A40">
        <w:rPr>
          <w:lang w:val="en-GB"/>
        </w:rPr>
        <w:t>54</w:t>
      </w:r>
      <w:r w:rsidR="002D4A40">
        <w:rPr>
          <w:lang w:val="en-GB"/>
        </w:rPr>
        <w:t>32</w:t>
      </w:r>
    </w:p>
    <w:p w:rsidR="002D6507" w:rsidRDefault="002D6507" w:rsidP="002D6507">
      <w:pPr>
        <w:pStyle w:val="BodyText"/>
        <w:ind w:firstLine="0"/>
        <w:rPr>
          <w:lang w:val="en-GB"/>
        </w:rPr>
      </w:pPr>
    </w:p>
    <w:p w:rsidR="00E93C9C" w:rsidRDefault="00E93C9C">
      <w:bookmarkStart w:id="3" w:name="bkAbstract"/>
      <w:bookmarkEnd w:id="3"/>
      <w:r>
        <w:br w:type="page"/>
      </w:r>
    </w:p>
    <w:p w:rsidR="000B7E1F" w:rsidRDefault="000B7E1F">
      <w:pPr>
        <w:spacing w:line="480" w:lineRule="auto"/>
      </w:pPr>
    </w:p>
    <w:p w:rsidR="00DB5CB1" w:rsidRPr="00030991" w:rsidRDefault="00DB5CB1" w:rsidP="005B2C8A">
      <w:pPr>
        <w:spacing w:line="480" w:lineRule="auto"/>
        <w:jc w:val="center"/>
        <w:rPr>
          <w:b/>
        </w:rPr>
      </w:pPr>
      <w:r w:rsidRPr="00030991">
        <w:rPr>
          <w:b/>
        </w:rPr>
        <w:t>Abstract</w:t>
      </w:r>
    </w:p>
    <w:p w:rsidR="00D14551" w:rsidRDefault="00C958D8">
      <w:pPr>
        <w:pStyle w:val="BodyText"/>
        <w:tabs>
          <w:tab w:val="center" w:pos="4680"/>
        </w:tabs>
        <w:ind w:firstLine="0"/>
      </w:pPr>
      <w:r>
        <w:t xml:space="preserve">Specific language influences have been observed in basic numerical tasks such as magnitude comparison, </w:t>
      </w:r>
      <w:proofErr w:type="spellStart"/>
      <w:r>
        <w:t>transcoding</w:t>
      </w:r>
      <w:proofErr w:type="spellEnd"/>
      <w:r>
        <w:t xml:space="preserve"> </w:t>
      </w:r>
      <w:r w:rsidR="00030991">
        <w:t>and</w:t>
      </w:r>
      <w:r>
        <w:t xml:space="preserve"> the number line </w:t>
      </w:r>
      <w:r w:rsidR="00E2137E">
        <w:t xml:space="preserve">estimation </w:t>
      </w:r>
      <w:r>
        <w:t>task. However, so far language influences in more complex calculations have not been reported</w:t>
      </w:r>
      <w:r w:rsidR="00DC1056">
        <w:t xml:space="preserve"> in children</w:t>
      </w:r>
      <w:r>
        <w:t xml:space="preserve">. </w:t>
      </w:r>
      <w:r w:rsidR="00DC436F">
        <w:t xml:space="preserve">In this </w:t>
      </w:r>
      <w:proofErr w:type="spellStart"/>
      <w:r>
        <w:t>translingual</w:t>
      </w:r>
      <w:proofErr w:type="spellEnd"/>
      <w:r>
        <w:t xml:space="preserve"> </w:t>
      </w:r>
      <w:r w:rsidR="00DC436F">
        <w:t>study 7-</w:t>
      </w:r>
      <w:r w:rsidR="0045503E">
        <w:t>9</w:t>
      </w:r>
      <w:r w:rsidR="00DC436F">
        <w:t xml:space="preserve"> </w:t>
      </w:r>
      <w:r w:rsidR="00596D35">
        <w:t>year</w:t>
      </w:r>
      <w:r w:rsidR="00A516F9">
        <w:t xml:space="preserve"> </w:t>
      </w:r>
      <w:r w:rsidR="00DC436F">
        <w:t xml:space="preserve">old </w:t>
      </w:r>
      <w:r>
        <w:t>German</w:t>
      </w:r>
      <w:r w:rsidR="00B52CC2">
        <w:t>-</w:t>
      </w:r>
      <w:r>
        <w:t xml:space="preserve"> and Italian-speaking </w:t>
      </w:r>
      <w:r w:rsidR="00DC436F">
        <w:t xml:space="preserve">children were tested on a symbolic addition task. </w:t>
      </w:r>
      <w:r w:rsidR="00E2137E">
        <w:t>While the order of tens and unit</w:t>
      </w:r>
      <w:r w:rsidR="00030991">
        <w:t>s</w:t>
      </w:r>
      <w:r w:rsidR="00E2137E">
        <w:t xml:space="preserve"> in Italian number words follows</w:t>
      </w:r>
      <w:r w:rsidR="00030991">
        <w:t xml:space="preserve"> the order of the</w:t>
      </w:r>
      <w:r w:rsidR="00E2137E">
        <w:t xml:space="preserve"> Arabic notation</w:t>
      </w:r>
      <w:r w:rsidR="00030991">
        <w:t>, the order</w:t>
      </w:r>
      <w:r w:rsidR="00E2137E">
        <w:t xml:space="preserve"> is inverted </w:t>
      </w:r>
      <w:r w:rsidR="00030991">
        <w:t>in German number words. For</w:t>
      </w:r>
      <w:r w:rsidR="00E2137E">
        <w:t xml:space="preserve"> both language groups addition problems were more difficult when</w:t>
      </w:r>
      <w:r w:rsidR="00E2137E" w:rsidRPr="00E2137E">
        <w:t xml:space="preserve"> </w:t>
      </w:r>
      <w:r w:rsidR="00E2137E">
        <w:t>a carry operation was needed,</w:t>
      </w:r>
      <w:r w:rsidR="00DC1056">
        <w:t xml:space="preserve"> </w:t>
      </w:r>
      <w:r w:rsidR="00030991">
        <w:t xml:space="preserve">i.e. </w:t>
      </w:r>
      <w:r w:rsidR="00DC1056">
        <w:t>when</w:t>
      </w:r>
      <w:r>
        <w:t xml:space="preserve"> </w:t>
      </w:r>
      <w:r w:rsidR="00596D35">
        <w:t>a</w:t>
      </w:r>
      <w:r w:rsidR="00DC1056">
        <w:t xml:space="preserve"> </w:t>
      </w:r>
      <w:r>
        <w:t xml:space="preserve">manipulation within the place-value </w:t>
      </w:r>
      <w:r w:rsidR="00E2137E">
        <w:t xml:space="preserve">structure of the Arabic number </w:t>
      </w:r>
      <w:r>
        <w:t xml:space="preserve">system </w:t>
      </w:r>
      <w:r w:rsidR="00DC1056">
        <w:t>was</w:t>
      </w:r>
      <w:r>
        <w:t xml:space="preserve"> particularly important</w:t>
      </w:r>
      <w:r w:rsidR="00DC436F">
        <w:t>. Most importantly</w:t>
      </w:r>
      <w:r w:rsidR="00596D35">
        <w:t>,</w:t>
      </w:r>
      <w:r w:rsidR="00DC436F">
        <w:t xml:space="preserve"> </w:t>
      </w:r>
      <w:r w:rsidR="00596D35">
        <w:t xml:space="preserve">this carry effect </w:t>
      </w:r>
      <w:r w:rsidR="00DC436F">
        <w:t xml:space="preserve">was more pronounced </w:t>
      </w:r>
      <w:r w:rsidR="00030991">
        <w:t xml:space="preserve">in response latencies </w:t>
      </w:r>
      <w:r w:rsidR="00DC1056">
        <w:t xml:space="preserve">for </w:t>
      </w:r>
      <w:r w:rsidR="00DC436F">
        <w:t>children</w:t>
      </w:r>
      <w:r>
        <w:t xml:space="preserve"> </w:t>
      </w:r>
      <w:r w:rsidR="00DC1056">
        <w:t xml:space="preserve">speaking German, a language </w:t>
      </w:r>
      <w:r w:rsidR="00EF5A62">
        <w:t xml:space="preserve">with </w:t>
      </w:r>
      <w:r w:rsidR="00E2137E">
        <w:t>inverted</w:t>
      </w:r>
      <w:r>
        <w:t xml:space="preserve"> verbal mapping of </w:t>
      </w:r>
      <w:r w:rsidR="00B52CC2">
        <w:t xml:space="preserve">the </w:t>
      </w:r>
      <w:r>
        <w:t xml:space="preserve">place-value </w:t>
      </w:r>
      <w:r w:rsidR="00E2137E">
        <w:t>structure</w:t>
      </w:r>
      <w:r w:rsidR="00DC436F">
        <w:t xml:space="preserve">. </w:t>
      </w:r>
      <w:r w:rsidR="00FA6585">
        <w:t>In addition</w:t>
      </w:r>
      <w:r w:rsidR="0021592A">
        <w:t>, independent of language group,</w:t>
      </w:r>
      <w:r w:rsidR="00FA6585">
        <w:t xml:space="preserve"> the size of the carry effect was significantly related to verbal WM. </w:t>
      </w:r>
      <w:r w:rsidR="004010E8">
        <w:rPr>
          <w:rFonts w:ascii="Times" w:hAnsi="Times"/>
        </w:rPr>
        <w:t xml:space="preserve">The current study </w:t>
      </w:r>
      <w:r w:rsidR="00D73BEF">
        <w:rPr>
          <w:rFonts w:ascii="Times" w:hAnsi="Times"/>
        </w:rPr>
        <w:t>indicates</w:t>
      </w:r>
      <w:r w:rsidR="00D73BEF" w:rsidRPr="008944B7">
        <w:rPr>
          <w:rFonts w:ascii="Times" w:hAnsi="Times"/>
        </w:rPr>
        <w:t xml:space="preserve"> </w:t>
      </w:r>
      <w:r w:rsidR="00DC436F">
        <w:t xml:space="preserve">that </w:t>
      </w:r>
      <w:r>
        <w:t xml:space="preserve">symbolic </w:t>
      </w:r>
      <w:r w:rsidR="00E2137E">
        <w:t>arithmetic</w:t>
      </w:r>
      <w:r w:rsidR="00D3037B">
        <w:t xml:space="preserve"> and the carry effect in particular are</w:t>
      </w:r>
      <w:r w:rsidR="00DC436F">
        <w:t xml:space="preserve"> modulated by language-specific characteristics</w:t>
      </w:r>
      <w:r w:rsidR="004010E8">
        <w:t>. Our results underline</w:t>
      </w:r>
      <w:r w:rsidR="00DC436F">
        <w:t xml:space="preserve"> the fact that the structure of the language of instruction is an important factor in children’s math</w:t>
      </w:r>
      <w:r w:rsidR="00596D35">
        <w:t>ematic</w:t>
      </w:r>
      <w:r w:rsidR="00030991">
        <w:t>al</w:t>
      </w:r>
      <w:r w:rsidR="00DC436F">
        <w:t xml:space="preserve"> education</w:t>
      </w:r>
      <w:r w:rsidR="00030991">
        <w:t xml:space="preserve"> </w:t>
      </w:r>
      <w:r w:rsidR="00DC436F">
        <w:t xml:space="preserve">and needs to be taken into account even </w:t>
      </w:r>
      <w:r w:rsidR="00596D35">
        <w:t>for seemingly nonverbal symbolic</w:t>
      </w:r>
      <w:r w:rsidR="00030991">
        <w:t xml:space="preserve"> </w:t>
      </w:r>
      <w:r w:rsidR="00596D35">
        <w:t>Arabic tasks</w:t>
      </w:r>
      <w:r w:rsidR="00DC436F">
        <w:t>.</w:t>
      </w:r>
      <w:r w:rsidR="00B26A40">
        <w:t xml:space="preserve"> </w:t>
      </w:r>
    </w:p>
    <w:p w:rsidR="00160BA7" w:rsidRDefault="00B26A40">
      <w:pPr>
        <w:pStyle w:val="BodyText"/>
        <w:tabs>
          <w:tab w:val="center" w:pos="4680"/>
        </w:tabs>
        <w:ind w:firstLine="0"/>
      </w:pPr>
      <w:r>
        <w:t>[</w:t>
      </w:r>
      <w:r w:rsidR="0021592A">
        <w:t>207</w:t>
      </w:r>
      <w:r w:rsidR="00D73BEF">
        <w:t xml:space="preserve"> </w:t>
      </w:r>
      <w:r w:rsidR="00F96FB8">
        <w:t>words]</w:t>
      </w:r>
    </w:p>
    <w:p w:rsidR="00E8591C" w:rsidRDefault="00E8591C" w:rsidP="00DC436F">
      <w:pPr>
        <w:pStyle w:val="BodyText"/>
        <w:ind w:firstLine="0"/>
      </w:pPr>
    </w:p>
    <w:p w:rsidR="00DC436F" w:rsidRDefault="00E8591C" w:rsidP="00DC436F">
      <w:pPr>
        <w:pStyle w:val="BodyText"/>
        <w:ind w:firstLine="0"/>
      </w:pPr>
      <w:r w:rsidRPr="00D3037B">
        <w:rPr>
          <w:u w:val="single"/>
        </w:rPr>
        <w:t>Keywords:</w:t>
      </w:r>
      <w:r>
        <w:t xml:space="preserve"> addition, carry effect, number word inversion, verbal </w:t>
      </w:r>
      <w:r w:rsidR="00FD6C4C">
        <w:t>working memory</w:t>
      </w:r>
    </w:p>
    <w:p w:rsidR="002D2C04" w:rsidRDefault="002D2C04">
      <w:r>
        <w:br w:type="page"/>
      </w:r>
    </w:p>
    <w:p w:rsidR="002D2C04" w:rsidRDefault="002D2C04" w:rsidP="002D2C04">
      <w:pPr>
        <w:spacing w:line="480" w:lineRule="auto"/>
        <w:jc w:val="center"/>
        <w:rPr>
          <w:b/>
        </w:rPr>
      </w:pPr>
      <w:r>
        <w:rPr>
          <w:b/>
        </w:rPr>
        <w:lastRenderedPageBreak/>
        <w:t>Highlights</w:t>
      </w:r>
    </w:p>
    <w:p w:rsidR="002D2C04" w:rsidRPr="00A31532" w:rsidRDefault="00A31532" w:rsidP="00A31532">
      <w:pPr>
        <w:pStyle w:val="ListParagraph"/>
        <w:numPr>
          <w:ilvl w:val="0"/>
          <w:numId w:val="14"/>
        </w:numPr>
        <w:spacing w:line="480" w:lineRule="auto"/>
        <w:rPr>
          <w:rFonts w:ascii="Times New Roman" w:hAnsi="Times New Roman"/>
          <w:b/>
          <w:sz w:val="24"/>
          <w:szCs w:val="24"/>
        </w:rPr>
      </w:pPr>
      <w:r w:rsidRPr="00A31532">
        <w:rPr>
          <w:rFonts w:ascii="Times New Roman" w:hAnsi="Times New Roman"/>
          <w:sz w:val="24"/>
          <w:szCs w:val="24"/>
        </w:rPr>
        <w:t>R</w:t>
      </w:r>
      <w:r w:rsidR="00654503">
        <w:rPr>
          <w:rFonts w:ascii="Times New Roman" w:hAnsi="Times New Roman"/>
          <w:sz w:val="24"/>
          <w:szCs w:val="24"/>
        </w:rPr>
        <w:t>esponse times</w:t>
      </w:r>
      <w:r w:rsidRPr="00A31532">
        <w:rPr>
          <w:rFonts w:ascii="Times New Roman" w:hAnsi="Times New Roman"/>
          <w:sz w:val="24"/>
          <w:szCs w:val="24"/>
        </w:rPr>
        <w:t xml:space="preserve"> are higher for sums when adding</w:t>
      </w:r>
      <w:r w:rsidR="002D2C04" w:rsidRPr="00A31532">
        <w:rPr>
          <w:rFonts w:ascii="Times New Roman" w:hAnsi="Times New Roman"/>
          <w:sz w:val="24"/>
          <w:szCs w:val="24"/>
        </w:rPr>
        <w:t xml:space="preserve"> units leads to a </w:t>
      </w:r>
      <w:r w:rsidRPr="00A31532">
        <w:rPr>
          <w:rFonts w:ascii="Times New Roman" w:hAnsi="Times New Roman"/>
          <w:sz w:val="24"/>
          <w:szCs w:val="24"/>
        </w:rPr>
        <w:t xml:space="preserve">decade </w:t>
      </w:r>
      <w:r w:rsidR="002D2C04" w:rsidRPr="00A31532">
        <w:rPr>
          <w:rFonts w:ascii="Times New Roman" w:hAnsi="Times New Roman"/>
          <w:sz w:val="24"/>
          <w:szCs w:val="24"/>
        </w:rPr>
        <w:t>change (carry-effect)</w:t>
      </w:r>
    </w:p>
    <w:p w:rsidR="002D2C04" w:rsidRPr="00A31532" w:rsidRDefault="00A31532" w:rsidP="00A31532">
      <w:pPr>
        <w:pStyle w:val="ListParagraph"/>
        <w:numPr>
          <w:ilvl w:val="0"/>
          <w:numId w:val="14"/>
        </w:numPr>
        <w:spacing w:line="480" w:lineRule="auto"/>
        <w:rPr>
          <w:rFonts w:ascii="Times New Roman" w:hAnsi="Times New Roman"/>
          <w:b/>
          <w:sz w:val="24"/>
          <w:szCs w:val="24"/>
        </w:rPr>
      </w:pPr>
      <w:r>
        <w:rPr>
          <w:rFonts w:ascii="Times New Roman" w:hAnsi="Times New Roman"/>
          <w:sz w:val="24"/>
          <w:szCs w:val="24"/>
        </w:rPr>
        <w:t>N</w:t>
      </w:r>
      <w:r w:rsidRPr="00A31532">
        <w:rPr>
          <w:rFonts w:ascii="Times New Roman" w:hAnsi="Times New Roman"/>
          <w:sz w:val="24"/>
          <w:szCs w:val="24"/>
        </w:rPr>
        <w:t xml:space="preserve">umber word inversion: </w:t>
      </w:r>
      <w:r w:rsidR="002D2C04" w:rsidRPr="00A31532">
        <w:rPr>
          <w:rFonts w:ascii="Times New Roman" w:hAnsi="Times New Roman"/>
          <w:sz w:val="24"/>
          <w:szCs w:val="24"/>
        </w:rPr>
        <w:t xml:space="preserve">sequence of tens and units in words </w:t>
      </w:r>
      <w:r w:rsidRPr="00A31532">
        <w:rPr>
          <w:rFonts w:ascii="Times New Roman" w:hAnsi="Times New Roman"/>
          <w:sz w:val="24"/>
          <w:szCs w:val="24"/>
        </w:rPr>
        <w:t>is</w:t>
      </w:r>
      <w:r w:rsidR="002D2C04" w:rsidRPr="00A31532">
        <w:rPr>
          <w:rFonts w:ascii="Times New Roman" w:hAnsi="Times New Roman"/>
          <w:sz w:val="24"/>
          <w:szCs w:val="24"/>
        </w:rPr>
        <w:t xml:space="preserve"> inverted </w:t>
      </w:r>
      <w:r w:rsidRPr="00A31532">
        <w:rPr>
          <w:rFonts w:ascii="Times New Roman" w:hAnsi="Times New Roman"/>
          <w:sz w:val="24"/>
          <w:szCs w:val="24"/>
        </w:rPr>
        <w:t>compared</w:t>
      </w:r>
      <w:r w:rsidR="002D2C04" w:rsidRPr="00A31532">
        <w:rPr>
          <w:rFonts w:ascii="Times New Roman" w:hAnsi="Times New Roman"/>
          <w:sz w:val="24"/>
          <w:szCs w:val="24"/>
        </w:rPr>
        <w:t xml:space="preserve"> to Arabic notation</w:t>
      </w:r>
    </w:p>
    <w:p w:rsidR="002D2C04" w:rsidRPr="00A31532" w:rsidRDefault="002D2C04" w:rsidP="00A31532">
      <w:pPr>
        <w:pStyle w:val="ListParagraph"/>
        <w:numPr>
          <w:ilvl w:val="0"/>
          <w:numId w:val="14"/>
        </w:numPr>
        <w:spacing w:line="480" w:lineRule="auto"/>
        <w:rPr>
          <w:rFonts w:ascii="Times New Roman" w:hAnsi="Times New Roman"/>
          <w:b/>
          <w:sz w:val="24"/>
          <w:szCs w:val="24"/>
        </w:rPr>
      </w:pPr>
      <w:r w:rsidRPr="00A31532">
        <w:rPr>
          <w:rFonts w:ascii="Times New Roman" w:hAnsi="Times New Roman"/>
          <w:sz w:val="24"/>
          <w:szCs w:val="24"/>
        </w:rPr>
        <w:t>7-</w:t>
      </w:r>
      <w:r w:rsidR="00317BDC">
        <w:rPr>
          <w:rFonts w:ascii="Times New Roman" w:hAnsi="Times New Roman"/>
          <w:sz w:val="24"/>
          <w:szCs w:val="24"/>
        </w:rPr>
        <w:t>9</w:t>
      </w:r>
      <w:r w:rsidRPr="00A31532">
        <w:rPr>
          <w:rFonts w:ascii="Times New Roman" w:hAnsi="Times New Roman"/>
          <w:sz w:val="24"/>
          <w:szCs w:val="24"/>
        </w:rPr>
        <w:t xml:space="preserve"> year old children were tested on a symbolic addition task</w:t>
      </w:r>
    </w:p>
    <w:p w:rsidR="002D2C04" w:rsidRPr="00A31532" w:rsidRDefault="00A31532" w:rsidP="00A31532">
      <w:pPr>
        <w:pStyle w:val="ListParagraph"/>
        <w:numPr>
          <w:ilvl w:val="0"/>
          <w:numId w:val="14"/>
        </w:numPr>
        <w:spacing w:line="480" w:lineRule="auto"/>
        <w:rPr>
          <w:rFonts w:ascii="Times New Roman" w:hAnsi="Times New Roman"/>
          <w:b/>
          <w:sz w:val="24"/>
          <w:szCs w:val="24"/>
        </w:rPr>
      </w:pPr>
      <w:r>
        <w:rPr>
          <w:rFonts w:ascii="Times New Roman" w:hAnsi="Times New Roman"/>
          <w:sz w:val="24"/>
          <w:szCs w:val="24"/>
        </w:rPr>
        <w:t>C</w:t>
      </w:r>
      <w:r w:rsidR="002D2C04" w:rsidRPr="00A31532">
        <w:rPr>
          <w:rFonts w:ascii="Times New Roman" w:hAnsi="Times New Roman"/>
          <w:sz w:val="24"/>
          <w:szCs w:val="24"/>
        </w:rPr>
        <w:t xml:space="preserve">arry effect </w:t>
      </w:r>
      <w:r w:rsidR="00654503">
        <w:rPr>
          <w:rFonts w:ascii="Times New Roman" w:hAnsi="Times New Roman"/>
          <w:sz w:val="24"/>
          <w:szCs w:val="24"/>
        </w:rPr>
        <w:t xml:space="preserve">is </w:t>
      </w:r>
      <w:r w:rsidRPr="00A31532">
        <w:rPr>
          <w:rFonts w:ascii="Times New Roman" w:hAnsi="Times New Roman"/>
          <w:sz w:val="24"/>
          <w:szCs w:val="24"/>
        </w:rPr>
        <w:t xml:space="preserve">stronger </w:t>
      </w:r>
      <w:r w:rsidR="002D2C04" w:rsidRPr="00A31532">
        <w:rPr>
          <w:rFonts w:ascii="Times New Roman" w:hAnsi="Times New Roman"/>
          <w:sz w:val="24"/>
          <w:szCs w:val="24"/>
        </w:rPr>
        <w:t xml:space="preserve">for children speaking </w:t>
      </w:r>
      <w:r w:rsidR="00654503">
        <w:rPr>
          <w:rFonts w:ascii="Times New Roman" w:hAnsi="Times New Roman"/>
          <w:sz w:val="24"/>
          <w:szCs w:val="24"/>
        </w:rPr>
        <w:t xml:space="preserve">a </w:t>
      </w:r>
      <w:r w:rsidRPr="00A31532">
        <w:rPr>
          <w:rFonts w:ascii="Times New Roman" w:hAnsi="Times New Roman"/>
          <w:sz w:val="24"/>
          <w:szCs w:val="24"/>
        </w:rPr>
        <w:t>language with number word inversion</w:t>
      </w:r>
      <w:r w:rsidR="00FA6585">
        <w:rPr>
          <w:rFonts w:ascii="Times New Roman" w:hAnsi="Times New Roman"/>
          <w:sz w:val="24"/>
          <w:szCs w:val="24"/>
        </w:rPr>
        <w:t xml:space="preserve"> as well as for children with larger verbal working memory</w:t>
      </w:r>
    </w:p>
    <w:p w:rsidR="002D2C04" w:rsidRPr="00A31532" w:rsidRDefault="00A31532" w:rsidP="00A31532">
      <w:pPr>
        <w:pStyle w:val="ListParagraph"/>
        <w:numPr>
          <w:ilvl w:val="0"/>
          <w:numId w:val="14"/>
        </w:numPr>
        <w:spacing w:line="480" w:lineRule="auto"/>
        <w:rPr>
          <w:rFonts w:ascii="Times New Roman" w:hAnsi="Times New Roman"/>
          <w:b/>
          <w:sz w:val="24"/>
          <w:szCs w:val="24"/>
        </w:rPr>
      </w:pPr>
      <w:r>
        <w:rPr>
          <w:rFonts w:ascii="Times New Roman" w:hAnsi="Times New Roman"/>
          <w:sz w:val="24"/>
          <w:szCs w:val="24"/>
        </w:rPr>
        <w:t>L</w:t>
      </w:r>
      <w:r w:rsidR="002D2C04" w:rsidRPr="00A31532">
        <w:rPr>
          <w:rFonts w:ascii="Times New Roman" w:hAnsi="Times New Roman"/>
          <w:sz w:val="24"/>
          <w:szCs w:val="24"/>
        </w:rPr>
        <w:t>anguage of instruction is an important factor in children’s mathematical education</w:t>
      </w:r>
    </w:p>
    <w:p w:rsidR="00160BA7" w:rsidRDefault="00160BA7" w:rsidP="00A31532">
      <w:pPr>
        <w:spacing w:line="480" w:lineRule="auto"/>
      </w:pPr>
    </w:p>
    <w:p w:rsidR="00CC0F84" w:rsidRDefault="00CC0F84">
      <w:r>
        <w:br w:type="page"/>
      </w:r>
    </w:p>
    <w:p w:rsidR="007274A9" w:rsidRPr="007274A9" w:rsidRDefault="007274A9" w:rsidP="007274A9">
      <w:pPr>
        <w:pStyle w:val="Heading1"/>
        <w:keepNext/>
        <w:rPr>
          <w:b/>
          <w:szCs w:val="24"/>
        </w:rPr>
      </w:pPr>
      <w:r w:rsidRPr="007274A9">
        <w:rPr>
          <w:b/>
          <w:szCs w:val="24"/>
        </w:rPr>
        <w:lastRenderedPageBreak/>
        <w:t>Language affects symbolic arithmetic in children:</w:t>
      </w:r>
    </w:p>
    <w:p w:rsidR="007274A9" w:rsidRPr="007274A9" w:rsidRDefault="007274A9" w:rsidP="007274A9">
      <w:pPr>
        <w:pStyle w:val="Heading1"/>
        <w:keepNext/>
        <w:rPr>
          <w:b/>
          <w:szCs w:val="24"/>
        </w:rPr>
      </w:pPr>
      <w:proofErr w:type="gramStart"/>
      <w:r w:rsidRPr="007274A9">
        <w:rPr>
          <w:b/>
          <w:szCs w:val="24"/>
        </w:rPr>
        <w:t>the</w:t>
      </w:r>
      <w:proofErr w:type="gramEnd"/>
      <w:r w:rsidRPr="007274A9">
        <w:rPr>
          <w:b/>
          <w:szCs w:val="24"/>
        </w:rPr>
        <w:t xml:space="preserve"> case of number word inversion</w:t>
      </w:r>
    </w:p>
    <w:p w:rsidR="00CA5DBF" w:rsidRDefault="004A799A">
      <w:pPr>
        <w:spacing w:line="480" w:lineRule="auto"/>
      </w:pPr>
      <w:r>
        <w:t>Language e</w:t>
      </w:r>
      <w:r w:rsidR="00B37E9A">
        <w:t xml:space="preserve">ffects for </w:t>
      </w:r>
      <w:r w:rsidR="00CC0F84">
        <w:t>arithmetic</w:t>
      </w:r>
      <w:r w:rsidR="006D2D46">
        <w:t xml:space="preserve"> </w:t>
      </w:r>
      <w:r w:rsidR="00B37E9A">
        <w:t>are well-documented</w:t>
      </w:r>
      <w:r w:rsidR="006D2D46">
        <w:t>.</w:t>
      </w:r>
      <w:r w:rsidR="00B37E9A">
        <w:t xml:space="preserve"> For example, participants are faster to solve addition problems in their native</w:t>
      </w:r>
      <w:r w:rsidR="00D14551">
        <w:t xml:space="preserve"> </w:t>
      </w:r>
      <w:r w:rsidR="00B37E9A">
        <w:t xml:space="preserve">than in their second language (Campbell &amp; </w:t>
      </w:r>
      <w:proofErr w:type="spellStart"/>
      <w:r w:rsidR="00B37E9A">
        <w:t>Epp</w:t>
      </w:r>
      <w:proofErr w:type="spellEnd"/>
      <w:r w:rsidR="00B37E9A">
        <w:t>,</w:t>
      </w:r>
      <w:r w:rsidR="008C3A70">
        <w:t xml:space="preserve"> 2004)</w:t>
      </w:r>
      <w:r w:rsidR="00B26A40">
        <w:t xml:space="preserve">. </w:t>
      </w:r>
      <w:r w:rsidR="006D2D46">
        <w:t>In the current paper we propos</w:t>
      </w:r>
      <w:r w:rsidR="00EF79C6">
        <w:t>e</w:t>
      </w:r>
      <w:r w:rsidR="006D2D46">
        <w:t xml:space="preserve"> that </w:t>
      </w:r>
      <w:r w:rsidR="00AE448D">
        <w:t xml:space="preserve">not only the language of encoding but also </w:t>
      </w:r>
      <w:r w:rsidR="006D2D46">
        <w:t xml:space="preserve">language-specific number word </w:t>
      </w:r>
      <w:r w:rsidR="00582A85">
        <w:t xml:space="preserve">structure </w:t>
      </w:r>
      <w:r w:rsidR="004F203B">
        <w:t>ha</w:t>
      </w:r>
      <w:r w:rsidR="00582A85">
        <w:t>s</w:t>
      </w:r>
      <w:r w:rsidR="002207E1">
        <w:t xml:space="preserve"> an effect on </w:t>
      </w:r>
      <w:r w:rsidR="00582A85">
        <w:t>performance</w:t>
      </w:r>
      <w:r w:rsidR="004F203B">
        <w:t xml:space="preserve"> </w:t>
      </w:r>
      <w:r w:rsidR="00457AEC">
        <w:t xml:space="preserve">in addition tasks </w:t>
      </w:r>
      <w:r w:rsidR="00CC0F84">
        <w:t xml:space="preserve">presented </w:t>
      </w:r>
      <w:r w:rsidR="004F203B">
        <w:t>in Arabic notation. In particular</w:t>
      </w:r>
      <w:r w:rsidR="001560AF">
        <w:t>,</w:t>
      </w:r>
      <w:r w:rsidR="004F203B">
        <w:t xml:space="preserve"> we </w:t>
      </w:r>
      <w:r w:rsidR="002207E1">
        <w:t>show</w:t>
      </w:r>
      <w:r w:rsidR="004F203B">
        <w:t xml:space="preserve"> that </w:t>
      </w:r>
      <w:r w:rsidR="002207E1">
        <w:t xml:space="preserve">a specific </w:t>
      </w:r>
      <w:r w:rsidR="00193887">
        <w:t xml:space="preserve">effect in multi-digit addition, the </w:t>
      </w:r>
      <w:r w:rsidR="006D2D46">
        <w:t>carry effect</w:t>
      </w:r>
      <w:r w:rsidR="00193887">
        <w:t>,</w:t>
      </w:r>
      <w:r w:rsidR="006D2D46">
        <w:t xml:space="preserve"> </w:t>
      </w:r>
      <w:r w:rsidR="002207E1">
        <w:t>is</w:t>
      </w:r>
      <w:r w:rsidR="004F203B">
        <w:t xml:space="preserve"> </w:t>
      </w:r>
      <w:r w:rsidR="00193887">
        <w:t xml:space="preserve">modulated </w:t>
      </w:r>
      <w:r w:rsidR="004F203B">
        <w:t>by number word structure</w:t>
      </w:r>
      <w:r w:rsidR="006D2D46">
        <w:t>.</w:t>
      </w:r>
    </w:p>
    <w:p w:rsidR="006D2D46" w:rsidRPr="007274A9" w:rsidRDefault="006D2D46" w:rsidP="006D2D46">
      <w:pPr>
        <w:spacing w:line="480" w:lineRule="auto"/>
        <w:rPr>
          <w:b/>
        </w:rPr>
      </w:pPr>
      <w:r w:rsidRPr="007274A9">
        <w:rPr>
          <w:b/>
        </w:rPr>
        <w:t>The carry effect</w:t>
      </w:r>
    </w:p>
    <w:p w:rsidR="00CA5DBF" w:rsidRDefault="006D2D46">
      <w:pPr>
        <w:spacing w:line="480" w:lineRule="auto"/>
        <w:ind w:firstLine="720"/>
      </w:pPr>
      <w:r>
        <w:t>Children and adults take longer</w:t>
      </w:r>
      <w:r w:rsidR="00CC0F84">
        <w:t xml:space="preserve"> and commit more errors when</w:t>
      </w:r>
      <w:r>
        <w:t xml:space="preserve"> comput</w:t>
      </w:r>
      <w:r w:rsidR="00CC0F84">
        <w:t>ing</w:t>
      </w:r>
      <w:r>
        <w:t xml:space="preserve"> the solution to a sum </w:t>
      </w:r>
      <w:r w:rsidR="003F6EA9">
        <w:t xml:space="preserve">for which </w:t>
      </w:r>
      <w:r>
        <w:t xml:space="preserve">adding the units leads to a change in the number of </w:t>
      </w:r>
      <w:r w:rsidR="00AB2F71">
        <w:t xml:space="preserve">tens </w:t>
      </w:r>
      <w:r w:rsidR="00B52CC2">
        <w:t>(</w:t>
      </w:r>
      <w:r w:rsidR="001B6248">
        <w:t>e.g.</w:t>
      </w:r>
      <w:r w:rsidR="007209BF">
        <w:t>,</w:t>
      </w:r>
      <w:r w:rsidR="00B52CC2">
        <w:t xml:space="preserve"> </w:t>
      </w:r>
      <w:r w:rsidR="00AB400F">
        <w:t>14 + 9 = 23</w:t>
      </w:r>
      <w:r w:rsidR="00596D35">
        <w:t xml:space="preserve">, </w:t>
      </w:r>
      <w:proofErr w:type="spellStart"/>
      <w:r w:rsidR="007212BB">
        <w:t>Fürst</w:t>
      </w:r>
      <w:proofErr w:type="spellEnd"/>
      <w:r w:rsidR="007212BB">
        <w:t xml:space="preserve"> &amp; Hitch, 2000; </w:t>
      </w:r>
      <w:proofErr w:type="spellStart"/>
      <w:r w:rsidR="0065512D">
        <w:t>Deschuyteneer</w:t>
      </w:r>
      <w:proofErr w:type="spellEnd"/>
      <w:r w:rsidR="0065512D">
        <w:t xml:space="preserve">, De </w:t>
      </w:r>
      <w:proofErr w:type="spellStart"/>
      <w:r w:rsidR="0065512D">
        <w:t>Rammelaere</w:t>
      </w:r>
      <w:proofErr w:type="spellEnd"/>
      <w:r w:rsidR="00E3423F">
        <w:t xml:space="preserve"> &amp; </w:t>
      </w:r>
      <w:proofErr w:type="spellStart"/>
      <w:r w:rsidR="00E3423F">
        <w:t>Fias</w:t>
      </w:r>
      <w:proofErr w:type="spellEnd"/>
      <w:r w:rsidR="00E3423F">
        <w:t>, 2005</w:t>
      </w:r>
      <w:r>
        <w:t>)</w:t>
      </w:r>
      <w:r w:rsidR="00B52CC2">
        <w:t xml:space="preserve"> than </w:t>
      </w:r>
      <w:r w:rsidR="003F6EA9">
        <w:t xml:space="preserve">when </w:t>
      </w:r>
      <w:r w:rsidR="00AB400F">
        <w:t>it does not</w:t>
      </w:r>
      <w:r w:rsidR="00B52CC2">
        <w:t xml:space="preserve"> (</w:t>
      </w:r>
      <w:r w:rsidR="001B6248">
        <w:t>e.g.</w:t>
      </w:r>
      <w:r w:rsidR="007209BF">
        <w:t>,</w:t>
      </w:r>
      <w:r w:rsidR="001B6248">
        <w:t xml:space="preserve"> </w:t>
      </w:r>
      <w:r w:rsidR="00B52CC2">
        <w:t>11 + 12 = 23)</w:t>
      </w:r>
      <w:r>
        <w:t>. This effect is known as the carry effect</w:t>
      </w:r>
      <w:r w:rsidR="00193887">
        <w:t>:</w:t>
      </w:r>
      <w:r>
        <w:t xml:space="preserve"> </w:t>
      </w:r>
      <w:r w:rsidR="00B52CC2">
        <w:t xml:space="preserve">in carry </w:t>
      </w:r>
      <w:r w:rsidR="00596D35">
        <w:t>problems</w:t>
      </w:r>
      <w:r w:rsidR="00B52CC2">
        <w:t xml:space="preserve"> </w:t>
      </w:r>
      <w:r>
        <w:t>a one has to be carried from the unit to the decade slot.</w:t>
      </w:r>
    </w:p>
    <w:p w:rsidR="005B2C8A" w:rsidRDefault="003F6EA9" w:rsidP="008B5BCF">
      <w:pPr>
        <w:spacing w:line="480" w:lineRule="auto"/>
        <w:ind w:firstLine="720"/>
      </w:pPr>
      <w:r>
        <w:t xml:space="preserve">However, </w:t>
      </w:r>
      <w:r w:rsidR="0073200A">
        <w:t>there</w:t>
      </w:r>
      <w:r>
        <w:t xml:space="preserve"> </w:t>
      </w:r>
      <w:r w:rsidR="0073200A">
        <w:t xml:space="preserve">is </w:t>
      </w:r>
      <w:r>
        <w:t xml:space="preserve">currently </w:t>
      </w:r>
      <w:r w:rsidR="0073200A">
        <w:t xml:space="preserve">no agreement about the origin of the cost of a carry operation. </w:t>
      </w:r>
      <w:proofErr w:type="spellStart"/>
      <w:r w:rsidR="00A74202">
        <w:t>F</w:t>
      </w:r>
      <w:r w:rsidR="000D2742">
        <w:t>ü</w:t>
      </w:r>
      <w:r w:rsidR="00E3423F">
        <w:t>rst</w:t>
      </w:r>
      <w:proofErr w:type="spellEnd"/>
      <w:r w:rsidR="00E3423F">
        <w:t xml:space="preserve"> and</w:t>
      </w:r>
      <w:r w:rsidR="00A74202">
        <w:t xml:space="preserve"> Hitch (2000) investigate</w:t>
      </w:r>
      <w:r w:rsidR="00631D5D">
        <w:t>d</w:t>
      </w:r>
      <w:r w:rsidR="00A74202">
        <w:t xml:space="preserve"> the role of </w:t>
      </w:r>
      <w:r w:rsidR="002207E1">
        <w:t>working memory (</w:t>
      </w:r>
      <w:r w:rsidR="00A74202">
        <w:t>WM</w:t>
      </w:r>
      <w:r w:rsidR="002207E1">
        <w:t>)</w:t>
      </w:r>
      <w:r w:rsidR="00A74202">
        <w:t xml:space="preserve"> in carrying. </w:t>
      </w:r>
      <w:r w:rsidR="00631D5D">
        <w:t>When</w:t>
      </w:r>
      <w:r w:rsidR="00BF1E88">
        <w:t xml:space="preserve"> participants performed a concurrent task tapping executive control</w:t>
      </w:r>
      <w:r w:rsidR="00D14551">
        <w:t>,</w:t>
      </w:r>
      <w:r w:rsidR="00BF1E88">
        <w:t xml:space="preserve"> </w:t>
      </w:r>
      <w:r w:rsidR="00A74202">
        <w:t xml:space="preserve">addition </w:t>
      </w:r>
      <w:r w:rsidR="003A287D">
        <w:t>was impaired</w:t>
      </w:r>
      <w:r w:rsidR="00596D35">
        <w:t>,</w:t>
      </w:r>
      <w:r w:rsidR="002207E1">
        <w:t xml:space="preserve"> </w:t>
      </w:r>
      <w:r w:rsidR="00A74202">
        <w:t>in particular</w:t>
      </w:r>
      <w:r w:rsidR="00596D35">
        <w:t xml:space="preserve"> </w:t>
      </w:r>
      <w:r w:rsidR="003A287D">
        <w:t>when</w:t>
      </w:r>
      <w:r w:rsidR="00A74202">
        <w:t xml:space="preserve"> </w:t>
      </w:r>
      <w:r>
        <w:t xml:space="preserve">requiring a </w:t>
      </w:r>
      <w:r w:rsidR="00A74202">
        <w:t>carry</w:t>
      </w:r>
      <w:r w:rsidR="002207E1">
        <w:t xml:space="preserve">. </w:t>
      </w:r>
      <w:r>
        <w:t>More specifically,</w:t>
      </w:r>
      <w:r w:rsidR="00A74202">
        <w:t xml:space="preserve"> </w:t>
      </w:r>
      <w:r w:rsidR="003A287D">
        <w:t>l</w:t>
      </w:r>
      <w:r w:rsidR="008766D8">
        <w:t xml:space="preserve">oading verbal </w:t>
      </w:r>
      <w:r w:rsidR="002D2C04">
        <w:t>WM</w:t>
      </w:r>
      <w:r w:rsidR="008766D8">
        <w:t xml:space="preserve"> by </w:t>
      </w:r>
      <w:proofErr w:type="spellStart"/>
      <w:r>
        <w:t>a</w:t>
      </w:r>
      <w:r w:rsidR="00A74202">
        <w:t>rticulatory</w:t>
      </w:r>
      <w:proofErr w:type="spellEnd"/>
      <w:r w:rsidR="00A74202">
        <w:t xml:space="preserve"> suppression increase</w:t>
      </w:r>
      <w:r w:rsidR="00E8628B">
        <w:t>d</w:t>
      </w:r>
      <w:r w:rsidR="00A74202">
        <w:t xml:space="preserve"> the number of errors on carry problems. </w:t>
      </w:r>
      <w:proofErr w:type="spellStart"/>
      <w:r w:rsidR="00160BA7">
        <w:t>F</w:t>
      </w:r>
      <w:r w:rsidR="00160BA7">
        <w:rPr>
          <w:rFonts w:cs="Times"/>
        </w:rPr>
        <w:t>ü</w:t>
      </w:r>
      <w:r w:rsidR="00160BA7">
        <w:t>rst</w:t>
      </w:r>
      <w:proofErr w:type="spellEnd"/>
      <w:r w:rsidR="00160BA7">
        <w:t xml:space="preserve"> and Hitch (2000) </w:t>
      </w:r>
      <w:r w:rsidR="00DB3636">
        <w:t xml:space="preserve">concluded </w:t>
      </w:r>
      <w:r w:rsidR="00A74202">
        <w:t>that the phonological loop might be used to store the amounts to be carried. This is in line with Ashcraft</w:t>
      </w:r>
      <w:r w:rsidR="002207E1">
        <w:t>’s</w:t>
      </w:r>
      <w:r w:rsidR="00A74202">
        <w:t xml:space="preserve"> (</w:t>
      </w:r>
      <w:r w:rsidR="000D2742">
        <w:t>1995</w:t>
      </w:r>
      <w:r w:rsidR="00A74202">
        <w:t xml:space="preserve">) </w:t>
      </w:r>
      <w:r w:rsidR="002207E1">
        <w:t>view that</w:t>
      </w:r>
      <w:r w:rsidR="00A74202">
        <w:t xml:space="preserve"> a successful </w:t>
      </w:r>
      <w:proofErr w:type="gramStart"/>
      <w:r w:rsidR="00A74202">
        <w:t>carry</w:t>
      </w:r>
      <w:proofErr w:type="gramEnd"/>
      <w:r w:rsidR="00A74202">
        <w:t xml:space="preserve"> operation, i.e. carrying the decade</w:t>
      </w:r>
      <w:r w:rsidR="008766D8">
        <w:t xml:space="preserve"> digit of </w:t>
      </w:r>
      <w:r w:rsidR="00A74202">
        <w:t xml:space="preserve">the unit sum </w:t>
      </w:r>
      <w:r w:rsidR="008766D8">
        <w:t>to</w:t>
      </w:r>
      <w:r w:rsidR="00DB3636">
        <w:t xml:space="preserve"> </w:t>
      </w:r>
      <w:r w:rsidR="00A74202">
        <w:t>the decade</w:t>
      </w:r>
      <w:r w:rsidR="008766D8">
        <w:t xml:space="preserve"> of the result,</w:t>
      </w:r>
      <w:r w:rsidR="00A74202">
        <w:t xml:space="preserve"> involves </w:t>
      </w:r>
      <w:r w:rsidR="008766D8">
        <w:t>verbal</w:t>
      </w:r>
      <w:r w:rsidR="00160BA7">
        <w:t>ly</w:t>
      </w:r>
      <w:r w:rsidR="008766D8">
        <w:t xml:space="preserve"> </w:t>
      </w:r>
      <w:r w:rsidR="00A74202">
        <w:t>counting up by one.</w:t>
      </w:r>
      <w:r w:rsidR="00374120">
        <w:t xml:space="preserve"> </w:t>
      </w:r>
      <w:r w:rsidR="00BB24F9">
        <w:t>As a consequence</w:t>
      </w:r>
      <w:r w:rsidR="00374120">
        <w:t xml:space="preserve"> children </w:t>
      </w:r>
      <w:r w:rsidR="00374120">
        <w:lastRenderedPageBreak/>
        <w:t xml:space="preserve">and adults </w:t>
      </w:r>
      <w:r w:rsidR="00BB24F9">
        <w:t xml:space="preserve">with higher scores in </w:t>
      </w:r>
      <w:r w:rsidR="00550203">
        <w:t xml:space="preserve">tests of </w:t>
      </w:r>
      <w:r w:rsidR="00374120">
        <w:t xml:space="preserve">verbal WM and executive control </w:t>
      </w:r>
      <w:r w:rsidR="00D527EC">
        <w:t>are expected to</w:t>
      </w:r>
      <w:r w:rsidR="00BB24F9">
        <w:t xml:space="preserve"> </w:t>
      </w:r>
      <w:r w:rsidR="00374120">
        <w:t>show a smaller carry effect.</w:t>
      </w:r>
    </w:p>
    <w:p w:rsidR="00160BA7" w:rsidRDefault="00160BA7">
      <w:pPr>
        <w:pStyle w:val="BodyText"/>
      </w:pPr>
      <w:r>
        <w:t>In contrast</w:t>
      </w:r>
      <w:r w:rsidR="003F6EA9">
        <w:t xml:space="preserve"> </w:t>
      </w:r>
      <w:proofErr w:type="spellStart"/>
      <w:r w:rsidR="00E3423F">
        <w:t>Nuerk</w:t>
      </w:r>
      <w:proofErr w:type="spellEnd"/>
      <w:r w:rsidR="00E3423F">
        <w:t xml:space="preserve">, </w:t>
      </w:r>
      <w:r w:rsidR="008C5FDA">
        <w:t xml:space="preserve">Moeller, Klein, </w:t>
      </w:r>
      <w:proofErr w:type="spellStart"/>
      <w:r w:rsidR="008C5FDA">
        <w:t>Willmes</w:t>
      </w:r>
      <w:proofErr w:type="spellEnd"/>
      <w:r w:rsidR="008C5FDA">
        <w:t xml:space="preserve"> and Fischer</w:t>
      </w:r>
      <w:r w:rsidR="005B2C8A">
        <w:t xml:space="preserve"> (20</w:t>
      </w:r>
      <w:r w:rsidR="008C5FDA">
        <w:t>11</w:t>
      </w:r>
      <w:r w:rsidR="005B2C8A">
        <w:t xml:space="preserve">) suggest that the </w:t>
      </w:r>
      <w:r w:rsidR="000343B6">
        <w:t>carry effect</w:t>
      </w:r>
      <w:r w:rsidR="005B2C8A">
        <w:t xml:space="preserve"> is due to higher demands on the correct manipulation of single digits within the base-10 </w:t>
      </w:r>
      <w:r w:rsidR="00596D35">
        <w:t>place-</w:t>
      </w:r>
      <w:r w:rsidR="005B2C8A">
        <w:t>value structure of the Arabic number system</w:t>
      </w:r>
      <w:r w:rsidR="003F6EA9">
        <w:t xml:space="preserve"> </w:t>
      </w:r>
      <w:r w:rsidR="008766D8">
        <w:t xml:space="preserve">when having to transfer the carry from the units' to the tens' position. </w:t>
      </w:r>
      <w:r>
        <w:t>E</w:t>
      </w:r>
      <w:r w:rsidR="00A40DE2">
        <w:t xml:space="preserve">ye-tracking </w:t>
      </w:r>
      <w:r w:rsidR="008766D8">
        <w:t xml:space="preserve">results </w:t>
      </w:r>
      <w:r>
        <w:t>support</w:t>
      </w:r>
      <w:r w:rsidR="008766D8">
        <w:t xml:space="preserve"> t</w:t>
      </w:r>
      <w:r w:rsidR="00A40DE2">
        <w:t>his</w:t>
      </w:r>
      <w:r w:rsidR="00E376D3">
        <w:t xml:space="preserve"> idea. In a</w:t>
      </w:r>
      <w:r w:rsidR="008766D8">
        <w:t>n</w:t>
      </w:r>
      <w:r w:rsidR="00E376D3">
        <w:t xml:space="preserve"> addition task with adults, reading time </w:t>
      </w:r>
      <w:r w:rsidR="008766D8">
        <w:t>of</w:t>
      </w:r>
      <w:r w:rsidR="00E376D3">
        <w:t xml:space="preserve"> the unit digits of the summands was </w:t>
      </w:r>
      <w:r w:rsidR="008766D8">
        <w:t xml:space="preserve">specifically </w:t>
      </w:r>
      <w:r w:rsidR="00E376D3">
        <w:t xml:space="preserve">increased in carry trials </w:t>
      </w:r>
      <w:r w:rsidR="00E376D3" w:rsidRPr="00E3423F">
        <w:t>(Moeller</w:t>
      </w:r>
      <w:r w:rsidR="00E376D3">
        <w:t>, K</w:t>
      </w:r>
      <w:r w:rsidR="00E376D3" w:rsidRPr="00E3423F">
        <w:t>l</w:t>
      </w:r>
      <w:r w:rsidR="00E376D3">
        <w:t>e</w:t>
      </w:r>
      <w:r w:rsidR="00E376D3" w:rsidRPr="00E3423F">
        <w:t xml:space="preserve">in, &amp; </w:t>
      </w:r>
      <w:proofErr w:type="spellStart"/>
      <w:r w:rsidR="00E376D3" w:rsidRPr="00E3423F">
        <w:t>Nuerk</w:t>
      </w:r>
      <w:proofErr w:type="spellEnd"/>
      <w:r w:rsidR="00E376D3" w:rsidRPr="00E3423F">
        <w:t>, 2011b)</w:t>
      </w:r>
      <w:r w:rsidR="008766D8">
        <w:t>. Thus,</w:t>
      </w:r>
      <w:r w:rsidR="00E376D3">
        <w:t xml:space="preserve"> reading time increased exactly for those digits that determine whether a </w:t>
      </w:r>
      <w:r w:rsidR="00596D35">
        <w:t xml:space="preserve">problem requires </w:t>
      </w:r>
      <w:r w:rsidR="00E376D3">
        <w:t xml:space="preserve">a carry or not. </w:t>
      </w:r>
      <w:r w:rsidR="00BF1E88">
        <w:t>A</w:t>
      </w:r>
      <w:r w:rsidR="008766D8">
        <w:t xml:space="preserve"> specific </w:t>
      </w:r>
      <w:r w:rsidR="000343B6">
        <w:t>increase</w:t>
      </w:r>
      <w:r w:rsidR="008766D8">
        <w:t xml:space="preserve"> of </w:t>
      </w:r>
      <w:r w:rsidR="000343B6">
        <w:t>the reading time of the unit digit of the summands in carry</w:t>
      </w:r>
      <w:r w:rsidR="008766D8">
        <w:t xml:space="preserve"> </w:t>
      </w:r>
      <w:r w:rsidR="00596D35">
        <w:t>problems</w:t>
      </w:r>
      <w:r w:rsidR="000343B6" w:rsidRPr="00E3423F">
        <w:t xml:space="preserve"> </w:t>
      </w:r>
      <w:r w:rsidR="008766D8">
        <w:t xml:space="preserve">was </w:t>
      </w:r>
      <w:r w:rsidR="00BF1E88">
        <w:t xml:space="preserve">already </w:t>
      </w:r>
      <w:r w:rsidR="008766D8">
        <w:t xml:space="preserve">observed in third graders </w:t>
      </w:r>
      <w:r w:rsidR="00E376D3" w:rsidRPr="00E3423F">
        <w:t xml:space="preserve">(Moeller, Klein, &amp; </w:t>
      </w:r>
      <w:proofErr w:type="spellStart"/>
      <w:r w:rsidR="00E376D3" w:rsidRPr="00E3423F">
        <w:t>Nuerk</w:t>
      </w:r>
      <w:proofErr w:type="spellEnd"/>
      <w:r w:rsidR="00E376D3" w:rsidRPr="00E3423F">
        <w:t>, 2011a)</w:t>
      </w:r>
      <w:r w:rsidR="00E376D3">
        <w:t xml:space="preserve">. </w:t>
      </w:r>
      <w:r w:rsidR="007B0D30">
        <w:t>Furthermore</w:t>
      </w:r>
      <w:r w:rsidR="00810CDF">
        <w:t>,</w:t>
      </w:r>
      <w:r w:rsidR="007B0D30">
        <w:t xml:space="preserve"> a</w:t>
      </w:r>
      <w:r w:rsidR="005A4748">
        <w:t xml:space="preserve"> longitudinal study by Moeller, </w:t>
      </w:r>
      <w:proofErr w:type="spellStart"/>
      <w:r w:rsidR="005A4748">
        <w:t>Pixner</w:t>
      </w:r>
      <w:proofErr w:type="spellEnd"/>
      <w:r w:rsidR="005A4748">
        <w:t xml:space="preserve">, </w:t>
      </w:r>
      <w:proofErr w:type="spellStart"/>
      <w:r w:rsidR="005A4748">
        <w:t>Zuber</w:t>
      </w:r>
      <w:proofErr w:type="spellEnd"/>
      <w:r w:rsidR="005A4748">
        <w:t xml:space="preserve">, Kaufmann and </w:t>
      </w:r>
      <w:proofErr w:type="spellStart"/>
      <w:r w:rsidR="005A4748">
        <w:t>Nuerk</w:t>
      </w:r>
      <w:proofErr w:type="spellEnd"/>
      <w:r w:rsidR="005A4748">
        <w:t xml:space="preserve"> (2011) </w:t>
      </w:r>
      <w:r w:rsidR="008766D8">
        <w:t>indicated</w:t>
      </w:r>
      <w:r w:rsidR="005A4748">
        <w:t xml:space="preserve"> that early place-value understanding</w:t>
      </w:r>
      <w:r w:rsidR="00B31705">
        <w:t xml:space="preserve"> </w:t>
      </w:r>
      <w:r w:rsidR="005A4748">
        <w:t>is a significant predictor of later addition performance</w:t>
      </w:r>
      <w:r w:rsidR="000343B6">
        <w:t xml:space="preserve"> </w:t>
      </w:r>
      <w:r w:rsidR="005A4748">
        <w:t>and the carry effect.</w:t>
      </w:r>
      <w:r w:rsidR="00B956ED">
        <w:t xml:space="preserve"> </w:t>
      </w:r>
    </w:p>
    <w:p w:rsidR="003A287D" w:rsidRDefault="00C708EF" w:rsidP="00AC1F20">
      <w:pPr>
        <w:pStyle w:val="BodyText"/>
      </w:pPr>
      <w:r>
        <w:t xml:space="preserve">Given the combined influence of verbal factors and </w:t>
      </w:r>
      <w:r w:rsidR="007209BF">
        <w:t xml:space="preserve">the </w:t>
      </w:r>
      <w:r w:rsidR="00596D35">
        <w:t>place-value</w:t>
      </w:r>
      <w:r>
        <w:t xml:space="preserve"> </w:t>
      </w:r>
      <w:r w:rsidR="008766D8">
        <w:t xml:space="preserve">structure </w:t>
      </w:r>
      <w:r w:rsidR="00160BA7">
        <w:t>for</w:t>
      </w:r>
      <w:r w:rsidR="007209BF">
        <w:t xml:space="preserve"> the </w:t>
      </w:r>
      <w:r>
        <w:t xml:space="preserve">carry operation we </w:t>
      </w:r>
      <w:r w:rsidR="008766D8">
        <w:t xml:space="preserve">expect </w:t>
      </w:r>
      <w:r>
        <w:t>that c</w:t>
      </w:r>
      <w:r w:rsidR="00284F28">
        <w:t>ro</w:t>
      </w:r>
      <w:r w:rsidR="005B2C8A">
        <w:t>s</w:t>
      </w:r>
      <w:r w:rsidR="00284F28">
        <w:t xml:space="preserve">s-lingual differences in </w:t>
      </w:r>
      <w:r w:rsidR="008766D8">
        <w:t xml:space="preserve">the </w:t>
      </w:r>
      <w:r w:rsidR="00284F28">
        <w:t xml:space="preserve">structure </w:t>
      </w:r>
      <w:r w:rsidR="008766D8">
        <w:t xml:space="preserve">of verbal number words </w:t>
      </w:r>
      <w:r w:rsidR="00284F28">
        <w:t xml:space="preserve">differentially affect </w:t>
      </w:r>
      <w:r w:rsidR="007209BF">
        <w:t xml:space="preserve">addition problems </w:t>
      </w:r>
      <w:r w:rsidR="00284F28">
        <w:t>with higher deman</w:t>
      </w:r>
      <w:r w:rsidR="005B2C8A">
        <w:t>d</w:t>
      </w:r>
      <w:r w:rsidR="00284F28">
        <w:t>s on place-value integration</w:t>
      </w:r>
      <w:r w:rsidR="007209BF">
        <w:t xml:space="preserve">, </w:t>
      </w:r>
      <w:r w:rsidR="00160BA7">
        <w:t>i.e</w:t>
      </w:r>
      <w:r w:rsidR="004B798E">
        <w:t>.</w:t>
      </w:r>
      <w:r w:rsidR="007209BF">
        <w:t xml:space="preserve"> </w:t>
      </w:r>
      <w:r w:rsidR="002D0DDA">
        <w:t>those</w:t>
      </w:r>
      <w:r w:rsidR="00F350BF">
        <w:t xml:space="preserve"> requiring a carry operation</w:t>
      </w:r>
      <w:r w:rsidR="00284F28">
        <w:t>.</w:t>
      </w:r>
    </w:p>
    <w:p w:rsidR="000B7E1F" w:rsidRPr="007274A9" w:rsidRDefault="00A74C35">
      <w:pPr>
        <w:spacing w:line="480" w:lineRule="auto"/>
        <w:rPr>
          <w:b/>
        </w:rPr>
      </w:pPr>
      <w:r w:rsidRPr="007274A9">
        <w:rPr>
          <w:b/>
        </w:rPr>
        <w:t xml:space="preserve">Number word </w:t>
      </w:r>
      <w:r w:rsidR="00582A85" w:rsidRPr="007274A9">
        <w:rPr>
          <w:b/>
        </w:rPr>
        <w:t>structure</w:t>
      </w:r>
    </w:p>
    <w:p w:rsidR="00FD5396" w:rsidRDefault="007209BF">
      <w:pPr>
        <w:spacing w:line="480" w:lineRule="auto"/>
        <w:ind w:firstLine="720"/>
      </w:pPr>
      <w:r>
        <w:t>Arabic notation follows a strict system: the Arabic digits are read from left to right, the last digit specifies the number of units, the second from last digit specifies the number of decades etc</w:t>
      </w:r>
      <w:proofErr w:type="gramStart"/>
      <w:r>
        <w:t>..</w:t>
      </w:r>
      <w:proofErr w:type="gramEnd"/>
      <w:r>
        <w:t xml:space="preserve"> </w:t>
      </w:r>
      <w:r w:rsidR="00A74C35">
        <w:t xml:space="preserve">Some languages </w:t>
      </w:r>
      <w:r w:rsidR="00EF79C6">
        <w:t>(e.g.</w:t>
      </w:r>
      <w:r>
        <w:t>,</w:t>
      </w:r>
      <w:r w:rsidR="00EF79C6">
        <w:t xml:space="preserve"> Japanese) </w:t>
      </w:r>
      <w:r>
        <w:t xml:space="preserve">have </w:t>
      </w:r>
      <w:r w:rsidR="00A74C35">
        <w:t xml:space="preserve">a highly </w:t>
      </w:r>
      <w:r w:rsidR="0061717A">
        <w:t xml:space="preserve">regular </w:t>
      </w:r>
      <w:r w:rsidR="00A74C35">
        <w:t>number word structure</w:t>
      </w:r>
      <w:r w:rsidR="00F350BF">
        <w:t>;</w:t>
      </w:r>
      <w:r>
        <w:t xml:space="preserve"> their number words </w:t>
      </w:r>
      <w:r w:rsidR="00F350BF">
        <w:t xml:space="preserve">closely </w:t>
      </w:r>
      <w:r>
        <w:t>reflect the sequence of units, tens, hundreds, etc. as found in Arabic notation (</w:t>
      </w:r>
      <w:r w:rsidR="00D25196">
        <w:t xml:space="preserve">e.g., 62: </w:t>
      </w:r>
      <w:proofErr w:type="spellStart"/>
      <w:r w:rsidR="00D25196">
        <w:t>roku</w:t>
      </w:r>
      <w:proofErr w:type="spellEnd"/>
      <w:r w:rsidR="00D25196">
        <w:t xml:space="preserve"> </w:t>
      </w:r>
      <w:proofErr w:type="spellStart"/>
      <w:r w:rsidR="00D25196">
        <w:t>j</w:t>
      </w:r>
      <w:r w:rsidR="00D25196">
        <w:rPr>
          <w:rFonts w:cs="Times"/>
        </w:rPr>
        <w:t>ū</w:t>
      </w:r>
      <w:proofErr w:type="spellEnd"/>
      <w:r w:rsidR="00D25196">
        <w:t xml:space="preserve"> </w:t>
      </w:r>
      <w:proofErr w:type="spellStart"/>
      <w:proofErr w:type="gramStart"/>
      <w:r w:rsidR="00D25196">
        <w:t>ni</w:t>
      </w:r>
      <w:proofErr w:type="spellEnd"/>
      <w:proofErr w:type="gramEnd"/>
      <w:r w:rsidR="00D25196">
        <w:t xml:space="preserve"> </w:t>
      </w:r>
      <w:r w:rsidR="00D25196">
        <w:sym w:font="Wingdings" w:char="F0E0"/>
      </w:r>
      <w:r w:rsidR="00D25196">
        <w:t xml:space="preserve"> six ten two</w:t>
      </w:r>
      <w:r>
        <w:t>)</w:t>
      </w:r>
      <w:r w:rsidR="00A74C35">
        <w:t xml:space="preserve">. </w:t>
      </w:r>
      <w:r w:rsidR="00F350BF">
        <w:t>T</w:t>
      </w:r>
      <w:r w:rsidR="00A74C35">
        <w:t>his is not the case in most European languages</w:t>
      </w:r>
      <w:r w:rsidR="00B80B59">
        <w:t xml:space="preserve"> </w:t>
      </w:r>
      <w:r w:rsidR="00F350BF">
        <w:t>which</w:t>
      </w:r>
      <w:r w:rsidR="00B80B59">
        <w:t xml:space="preserve"> usually </w:t>
      </w:r>
      <w:r w:rsidR="00B80B59">
        <w:lastRenderedPageBreak/>
        <w:t>have specific names for the multiples</w:t>
      </w:r>
      <w:r w:rsidR="004B798E">
        <w:t xml:space="preserve"> </w:t>
      </w:r>
      <w:r w:rsidR="00B80B59">
        <w:t xml:space="preserve">of ten. </w:t>
      </w:r>
      <w:r w:rsidR="00A74C35">
        <w:t>In English</w:t>
      </w:r>
      <w:r w:rsidR="00F350BF">
        <w:t>,</w:t>
      </w:r>
      <w:r w:rsidR="00A74C35">
        <w:t xml:space="preserve"> for example</w:t>
      </w:r>
      <w:r w:rsidR="00F350BF">
        <w:t>,</w:t>
      </w:r>
      <w:r w:rsidR="00A74C35">
        <w:t xml:space="preserve"> </w:t>
      </w:r>
      <w:r w:rsidR="00F350BF">
        <w:t>there is</w:t>
      </w:r>
      <w:r w:rsidR="00A74C35">
        <w:t xml:space="preserve"> a relationship </w:t>
      </w:r>
      <w:r w:rsidR="004B798E">
        <w:t xml:space="preserve">between </w:t>
      </w:r>
      <w:r w:rsidR="00B80B59">
        <w:t xml:space="preserve">the </w:t>
      </w:r>
      <w:r w:rsidR="00A74C35">
        <w:t xml:space="preserve">number word for </w:t>
      </w:r>
      <w:r w:rsidR="00F350BF">
        <w:t>multiples</w:t>
      </w:r>
      <w:r w:rsidR="004B798E">
        <w:t xml:space="preserve"> </w:t>
      </w:r>
      <w:r w:rsidR="00F350BF">
        <w:t>of ten and</w:t>
      </w:r>
      <w:r w:rsidR="004B798E">
        <w:t xml:space="preserve"> </w:t>
      </w:r>
      <w:r w:rsidR="00A74C35">
        <w:t>the corresponding unit, but child</w:t>
      </w:r>
      <w:r>
        <w:t>ren</w:t>
      </w:r>
      <w:r w:rsidR="00A74C35">
        <w:t xml:space="preserve"> have to learn the marker for a decade word </w:t>
      </w:r>
      <w:r>
        <w:t>(-</w:t>
      </w:r>
      <w:proofErr w:type="spellStart"/>
      <w:r w:rsidR="00A74C35">
        <w:t>ty</w:t>
      </w:r>
      <w:proofErr w:type="spellEnd"/>
      <w:r w:rsidR="00A74C35">
        <w:t xml:space="preserve">), and the </w:t>
      </w:r>
      <w:r w:rsidR="00D25196">
        <w:t xml:space="preserve">words for the </w:t>
      </w:r>
      <w:r w:rsidR="00A74C35">
        <w:t>first decade</w:t>
      </w:r>
      <w:r w:rsidR="00D25196">
        <w:t>s</w:t>
      </w:r>
      <w:r w:rsidR="00A74C35">
        <w:t xml:space="preserve"> are not </w:t>
      </w:r>
      <w:r w:rsidR="00D25196">
        <w:t xml:space="preserve">formed </w:t>
      </w:r>
      <w:r w:rsidR="00A74C35">
        <w:t>regularly (</w:t>
      </w:r>
      <w:r w:rsidR="00D25196">
        <w:t xml:space="preserve">i.e., </w:t>
      </w:r>
      <w:r w:rsidR="00A74C35">
        <w:t>twenty, thirty instead of two</w:t>
      </w:r>
      <w:r w:rsidR="00F96FB8">
        <w:t>-</w:t>
      </w:r>
      <w:proofErr w:type="spellStart"/>
      <w:r w:rsidR="00A74C35">
        <w:t>ty</w:t>
      </w:r>
      <w:proofErr w:type="spellEnd"/>
      <w:r w:rsidR="00A74C35">
        <w:t>, three</w:t>
      </w:r>
      <w:r w:rsidR="00F96FB8">
        <w:t>-</w:t>
      </w:r>
      <w:proofErr w:type="spellStart"/>
      <w:r w:rsidR="00A74C35">
        <w:t>ty</w:t>
      </w:r>
      <w:proofErr w:type="spellEnd"/>
      <w:r w:rsidR="00A74C35">
        <w:t xml:space="preserve">). </w:t>
      </w:r>
      <w:r w:rsidR="003A287D">
        <w:t xml:space="preserve">Generally, </w:t>
      </w:r>
      <w:r w:rsidR="003A287D">
        <w:rPr>
          <w:rFonts w:ascii="Times New Roman" w:hAnsi="Times New Roman"/>
          <w:szCs w:val="24"/>
          <w:lang w:eastAsia="en-GB"/>
        </w:rPr>
        <w:t>c</w:t>
      </w:r>
      <w:r w:rsidR="0061717A">
        <w:rPr>
          <w:rFonts w:ascii="Times New Roman" w:hAnsi="Times New Roman"/>
          <w:szCs w:val="24"/>
          <w:lang w:eastAsia="en-GB"/>
        </w:rPr>
        <w:t xml:space="preserve">hildren from </w:t>
      </w:r>
      <w:r w:rsidR="003A287D">
        <w:rPr>
          <w:rFonts w:ascii="Times New Roman" w:hAnsi="Times New Roman"/>
          <w:szCs w:val="24"/>
          <w:lang w:eastAsia="en-GB"/>
        </w:rPr>
        <w:t>languages</w:t>
      </w:r>
      <w:r w:rsidR="00C228BA">
        <w:rPr>
          <w:rFonts w:ascii="Times New Roman" w:hAnsi="Times New Roman"/>
          <w:szCs w:val="24"/>
          <w:lang w:eastAsia="en-GB"/>
        </w:rPr>
        <w:t xml:space="preserve"> with regular number word structure tend to perform better in verbal counting, </w:t>
      </w:r>
      <w:r w:rsidR="0061717A">
        <w:rPr>
          <w:rFonts w:ascii="Times New Roman" w:hAnsi="Times New Roman"/>
          <w:szCs w:val="24"/>
          <w:lang w:eastAsia="en-GB"/>
        </w:rPr>
        <w:t>number reading, number comparison</w:t>
      </w:r>
      <w:r w:rsidR="00C228BA">
        <w:rPr>
          <w:rFonts w:ascii="Times New Roman" w:hAnsi="Times New Roman"/>
          <w:szCs w:val="24"/>
          <w:lang w:eastAsia="en-GB"/>
        </w:rPr>
        <w:t>, base-ten and place-value understanding</w:t>
      </w:r>
      <w:r w:rsidR="0061717A">
        <w:rPr>
          <w:rFonts w:ascii="Times New Roman" w:hAnsi="Times New Roman"/>
          <w:szCs w:val="24"/>
          <w:lang w:eastAsia="en-GB"/>
        </w:rPr>
        <w:t xml:space="preserve"> </w:t>
      </w:r>
      <w:r w:rsidR="003A287D">
        <w:rPr>
          <w:rFonts w:ascii="Times New Roman" w:hAnsi="Times New Roman"/>
          <w:szCs w:val="24"/>
          <w:lang w:eastAsia="en-GB"/>
        </w:rPr>
        <w:t>as well as</w:t>
      </w:r>
      <w:r w:rsidR="0061717A">
        <w:rPr>
          <w:rFonts w:ascii="Times New Roman" w:hAnsi="Times New Roman"/>
          <w:szCs w:val="24"/>
          <w:lang w:eastAsia="en-GB"/>
        </w:rPr>
        <w:t xml:space="preserve"> </w:t>
      </w:r>
      <w:r w:rsidR="00B31705">
        <w:rPr>
          <w:rFonts w:ascii="Times New Roman" w:hAnsi="Times New Roman"/>
          <w:szCs w:val="24"/>
          <w:lang w:eastAsia="en-GB"/>
        </w:rPr>
        <w:t xml:space="preserve">in </w:t>
      </w:r>
      <w:r w:rsidR="0061717A">
        <w:rPr>
          <w:rFonts w:ascii="Times New Roman" w:hAnsi="Times New Roman"/>
          <w:szCs w:val="24"/>
          <w:lang w:eastAsia="en-GB"/>
        </w:rPr>
        <w:t>arithmetic (</w:t>
      </w:r>
      <w:r w:rsidR="001B6712">
        <w:rPr>
          <w:rFonts w:ascii="Times New Roman" w:hAnsi="Times New Roman"/>
          <w:szCs w:val="24"/>
          <w:lang w:eastAsia="en-GB"/>
        </w:rPr>
        <w:t xml:space="preserve">e.g., </w:t>
      </w:r>
      <w:proofErr w:type="spellStart"/>
      <w:r w:rsidR="00FD5396">
        <w:rPr>
          <w:rFonts w:ascii="Times New Roman" w:hAnsi="Times New Roman"/>
          <w:szCs w:val="24"/>
          <w:lang w:eastAsia="en-GB"/>
        </w:rPr>
        <w:t>Dowker</w:t>
      </w:r>
      <w:proofErr w:type="spellEnd"/>
      <w:r w:rsidR="00FD5396">
        <w:rPr>
          <w:rFonts w:ascii="Times New Roman" w:hAnsi="Times New Roman"/>
          <w:szCs w:val="24"/>
          <w:lang w:eastAsia="en-GB"/>
        </w:rPr>
        <w:t xml:space="preserve">,  </w:t>
      </w:r>
      <w:proofErr w:type="spellStart"/>
      <w:r w:rsidR="00FD5396">
        <w:rPr>
          <w:rFonts w:ascii="Times New Roman" w:hAnsi="Times New Roman"/>
          <w:szCs w:val="24"/>
          <w:lang w:eastAsia="en-GB"/>
        </w:rPr>
        <w:t>Bala</w:t>
      </w:r>
      <w:proofErr w:type="spellEnd"/>
      <w:r w:rsidR="00FD5396">
        <w:rPr>
          <w:rFonts w:ascii="Times New Roman" w:hAnsi="Times New Roman"/>
          <w:szCs w:val="24"/>
          <w:lang w:eastAsia="en-GB"/>
        </w:rPr>
        <w:t>, &amp; Lloyd, 2008; Miller, Smith, Zhu, &amp; Zhang, 1995)</w:t>
      </w:r>
      <w:r w:rsidR="0061717A">
        <w:rPr>
          <w:rFonts w:ascii="Times New Roman" w:hAnsi="Times New Roman"/>
          <w:szCs w:val="24"/>
          <w:lang w:eastAsia="en-GB"/>
        </w:rPr>
        <w:t>.</w:t>
      </w:r>
    </w:p>
    <w:p w:rsidR="000B7E1F" w:rsidRDefault="00F350BF">
      <w:pPr>
        <w:spacing w:line="480" w:lineRule="auto"/>
        <w:ind w:firstLine="720"/>
      </w:pPr>
      <w:r>
        <w:t>In addition</w:t>
      </w:r>
      <w:r w:rsidR="00D25196">
        <w:t xml:space="preserve"> t</w:t>
      </w:r>
      <w:r w:rsidR="000343B6">
        <w:t>here</w:t>
      </w:r>
      <w:r w:rsidR="00A74C35">
        <w:t xml:space="preserve"> are languages </w:t>
      </w:r>
      <w:r w:rsidR="00BF1E88">
        <w:t xml:space="preserve">with number word inversion, i.e. </w:t>
      </w:r>
      <w:r w:rsidR="00A74C35">
        <w:t xml:space="preserve">the sequence of </w:t>
      </w:r>
      <w:r w:rsidR="00B80B59">
        <w:t xml:space="preserve">tens and units </w:t>
      </w:r>
      <w:r w:rsidR="00A74C35">
        <w:t xml:space="preserve">in number words is </w:t>
      </w:r>
      <w:r w:rsidR="00B80B59">
        <w:t xml:space="preserve">inverted </w:t>
      </w:r>
      <w:r>
        <w:t xml:space="preserve">with respect </w:t>
      </w:r>
      <w:r w:rsidR="00B80B59">
        <w:t>to</w:t>
      </w:r>
      <w:r w:rsidR="00A74C35">
        <w:t xml:space="preserve"> the sequence in </w:t>
      </w:r>
      <w:r>
        <w:t xml:space="preserve">the </w:t>
      </w:r>
      <w:r w:rsidR="00A74C35">
        <w:t xml:space="preserve">Arabic </w:t>
      </w:r>
      <w:r w:rsidR="00B80B59">
        <w:t>notation</w:t>
      </w:r>
      <w:r w:rsidR="007209BF">
        <w:t xml:space="preserve">. </w:t>
      </w:r>
      <w:r w:rsidR="00A74C35">
        <w:t xml:space="preserve">In </w:t>
      </w:r>
      <w:r w:rsidR="00BF1E88">
        <w:t xml:space="preserve">those </w:t>
      </w:r>
      <w:r w:rsidR="00A74C35">
        <w:t xml:space="preserve">languages </w:t>
      </w:r>
      <w:r w:rsidR="00B80B59">
        <w:t xml:space="preserve">(e.g., </w:t>
      </w:r>
      <w:r w:rsidR="00A74C35">
        <w:t>German</w:t>
      </w:r>
      <w:r w:rsidR="00B80B59">
        <w:t>) 26</w:t>
      </w:r>
      <w:r w:rsidR="004B798E">
        <w:t>,</w:t>
      </w:r>
      <w:r w:rsidR="00B80B59">
        <w:t xml:space="preserve"> </w:t>
      </w:r>
      <w:r>
        <w:t xml:space="preserve">for example, </w:t>
      </w:r>
      <w:r w:rsidR="00A74C35">
        <w:t xml:space="preserve">is </w:t>
      </w:r>
      <w:r w:rsidR="00B80B59">
        <w:t xml:space="preserve">named </w:t>
      </w:r>
      <w:r w:rsidR="009F35C0">
        <w:t>‘</w:t>
      </w:r>
      <w:proofErr w:type="spellStart"/>
      <w:r w:rsidR="00BF1E88">
        <w:t>sixandtwenty</w:t>
      </w:r>
      <w:proofErr w:type="spellEnd"/>
      <w:r w:rsidR="009F35C0">
        <w:t>’</w:t>
      </w:r>
      <w:r w:rsidR="00A74C35">
        <w:t>.</w:t>
      </w:r>
      <w:r w:rsidR="004A6779">
        <w:t xml:space="preserve"> The current study takes advantage of </w:t>
      </w:r>
      <w:r w:rsidR="004F203B">
        <w:t xml:space="preserve">this </w:t>
      </w:r>
      <w:r w:rsidR="004A6779">
        <w:t>cross-lingual difference to investigate the influence of verbal factors on the carry effect.</w:t>
      </w:r>
    </w:p>
    <w:p w:rsidR="000B7E1F" w:rsidRDefault="009F35C0">
      <w:pPr>
        <w:spacing w:line="480" w:lineRule="auto"/>
        <w:ind w:firstLine="720"/>
      </w:pPr>
      <w:r>
        <w:t>W</w:t>
      </w:r>
      <w:r w:rsidR="00A74C35">
        <w:t xml:space="preserve">hen the order of constituent </w:t>
      </w:r>
      <w:r w:rsidR="00B80B59">
        <w:t xml:space="preserve">tens and units </w:t>
      </w:r>
      <w:r w:rsidR="00A74C35">
        <w:t xml:space="preserve">in a number word is </w:t>
      </w:r>
      <w:r w:rsidR="00B80B59">
        <w:t xml:space="preserve">inverted compared to </w:t>
      </w:r>
      <w:r w:rsidR="00A74C35">
        <w:t xml:space="preserve">the order in </w:t>
      </w:r>
      <w:r w:rsidR="00F350BF">
        <w:t xml:space="preserve">the </w:t>
      </w:r>
      <w:r w:rsidR="00A74C35">
        <w:t xml:space="preserve">Arabic </w:t>
      </w:r>
      <w:r w:rsidR="00B80B59">
        <w:t>notation</w:t>
      </w:r>
      <w:r w:rsidR="004A6779">
        <w:t>,</w:t>
      </w:r>
      <w:r w:rsidR="00A74C35">
        <w:t xml:space="preserve"> </w:t>
      </w:r>
      <w:proofErr w:type="spellStart"/>
      <w:r w:rsidR="00A74C35">
        <w:t>transcoding</w:t>
      </w:r>
      <w:proofErr w:type="spellEnd"/>
      <w:r w:rsidR="00A74C35">
        <w:t xml:space="preserve"> from one notation to another is more challenging. For example</w:t>
      </w:r>
      <w:r w:rsidR="004B798E">
        <w:t>, when</w:t>
      </w:r>
      <w:r w:rsidR="00A74C35">
        <w:t xml:space="preserve"> a child hear</w:t>
      </w:r>
      <w:r w:rsidR="00F350BF">
        <w:t>s</w:t>
      </w:r>
      <w:r w:rsidR="00A74C35">
        <w:t xml:space="preserve"> </w:t>
      </w:r>
      <w:r w:rsidR="004A6779">
        <w:t>‘</w:t>
      </w:r>
      <w:proofErr w:type="spellStart"/>
      <w:r w:rsidR="00A74C35">
        <w:t>sechsundzwanzig</w:t>
      </w:r>
      <w:proofErr w:type="spellEnd"/>
      <w:r w:rsidR="004A6779">
        <w:t>’</w:t>
      </w:r>
      <w:r w:rsidR="00A74C35">
        <w:t xml:space="preserve"> </w:t>
      </w:r>
      <w:r w:rsidR="00BA321F">
        <w:t>(</w:t>
      </w:r>
      <w:proofErr w:type="spellStart"/>
      <w:r w:rsidR="00BA321F">
        <w:t>sixandtwenty</w:t>
      </w:r>
      <w:proofErr w:type="spellEnd"/>
      <w:r w:rsidR="00BA321F">
        <w:t xml:space="preserve">) </w:t>
      </w:r>
      <w:r w:rsidR="00A74C35">
        <w:t xml:space="preserve">and </w:t>
      </w:r>
      <w:r w:rsidR="00B80B59">
        <w:t>t</w:t>
      </w:r>
      <w:r w:rsidR="00F350BF">
        <w:t>ries</w:t>
      </w:r>
      <w:r w:rsidR="00B80B59">
        <w:t xml:space="preserve"> to </w:t>
      </w:r>
      <w:r w:rsidR="00A74C35">
        <w:t xml:space="preserve">translate </w:t>
      </w:r>
      <w:r w:rsidR="00B80B59">
        <w:t xml:space="preserve">this number word step </w:t>
      </w:r>
      <w:r w:rsidR="00A74C35">
        <w:t xml:space="preserve">by </w:t>
      </w:r>
      <w:r w:rsidR="00B80B59">
        <w:t xml:space="preserve">step </w:t>
      </w:r>
      <w:r w:rsidR="00F350BF">
        <w:t>into Arabic notation</w:t>
      </w:r>
      <w:r w:rsidR="00A74C35">
        <w:t xml:space="preserve"> </w:t>
      </w:r>
      <w:r w:rsidR="00B80B59">
        <w:t>she/he</w:t>
      </w:r>
      <w:r w:rsidR="00A74C35">
        <w:t xml:space="preserve"> </w:t>
      </w:r>
      <w:r w:rsidR="00B80B59">
        <w:t xml:space="preserve">may erroneously </w:t>
      </w:r>
      <w:r w:rsidR="00BA321F">
        <w:t xml:space="preserve">write </w:t>
      </w:r>
      <w:r w:rsidR="00B80B59">
        <w:t xml:space="preserve">down </w:t>
      </w:r>
      <w:r w:rsidR="00BA321F">
        <w:t>62 or 620</w:t>
      </w:r>
      <w:r w:rsidR="00B80B59">
        <w:t xml:space="preserve"> instead of 26</w:t>
      </w:r>
      <w:r w:rsidR="00A74C35">
        <w:t>. Th</w:t>
      </w:r>
      <w:r w:rsidR="00326D3E">
        <w:t>e</w:t>
      </w:r>
      <w:r w:rsidR="00A74C35">
        <w:t xml:space="preserve">se inversion errors are typical for children in languages with number word inversion </w:t>
      </w:r>
      <w:r w:rsidR="00B80B59">
        <w:t xml:space="preserve">and almost absent in languages without inversion </w:t>
      </w:r>
      <w:r w:rsidR="00A74C35">
        <w:t>(</w:t>
      </w:r>
      <w:r w:rsidR="008E0693">
        <w:t>e.g.</w:t>
      </w:r>
      <w:r w:rsidR="0041590E">
        <w:t>,</w:t>
      </w:r>
      <w:r w:rsidR="00A74C35">
        <w:t xml:space="preserve"> </w:t>
      </w:r>
      <w:proofErr w:type="spellStart"/>
      <w:r w:rsidR="00A74C35">
        <w:t>Zuber</w:t>
      </w:r>
      <w:proofErr w:type="spellEnd"/>
      <w:r w:rsidR="00A74C35">
        <w:t>,</w:t>
      </w:r>
      <w:r w:rsidR="00E3423F">
        <w:t xml:space="preserve"> </w:t>
      </w:r>
      <w:proofErr w:type="spellStart"/>
      <w:r w:rsidR="00E3423F">
        <w:t>Pixner</w:t>
      </w:r>
      <w:proofErr w:type="spellEnd"/>
      <w:r w:rsidR="00E3423F">
        <w:t xml:space="preserve">, Moeller, &amp; </w:t>
      </w:r>
      <w:proofErr w:type="spellStart"/>
      <w:r w:rsidR="00E3423F">
        <w:t>Nuerk</w:t>
      </w:r>
      <w:proofErr w:type="spellEnd"/>
      <w:r w:rsidR="00E3423F">
        <w:t>,</w:t>
      </w:r>
      <w:r w:rsidR="00A74C35">
        <w:t xml:space="preserve"> 2009</w:t>
      </w:r>
      <w:r w:rsidR="00DB3636">
        <w:t>).</w:t>
      </w:r>
    </w:p>
    <w:p w:rsidR="00901756" w:rsidRDefault="00A74C35" w:rsidP="00F96FB8">
      <w:pPr>
        <w:spacing w:line="480" w:lineRule="auto"/>
        <w:ind w:firstLine="720"/>
      </w:pPr>
      <w:r>
        <w:t xml:space="preserve">Given the inconsistency of the mapping between </w:t>
      </w:r>
      <w:r w:rsidR="00B97999">
        <w:t xml:space="preserve">verbal number words </w:t>
      </w:r>
      <w:r>
        <w:t xml:space="preserve">and </w:t>
      </w:r>
      <w:r w:rsidR="00B97999">
        <w:t xml:space="preserve">Arabic numbers such </w:t>
      </w:r>
      <w:r>
        <w:t xml:space="preserve">an </w:t>
      </w:r>
      <w:r w:rsidR="00B97999">
        <w:t xml:space="preserve">inversion </w:t>
      </w:r>
      <w:r>
        <w:t xml:space="preserve">effect on </w:t>
      </w:r>
      <w:proofErr w:type="spellStart"/>
      <w:r>
        <w:t>transcoding</w:t>
      </w:r>
      <w:proofErr w:type="spellEnd"/>
      <w:r>
        <w:t xml:space="preserve"> is to be expected</w:t>
      </w:r>
      <w:r w:rsidR="00B97999">
        <w:t xml:space="preserve">. However, </w:t>
      </w:r>
      <w:r>
        <w:t>even non</w:t>
      </w:r>
      <w:r w:rsidR="00A516F9">
        <w:t>verbal</w:t>
      </w:r>
      <w:r>
        <w:t xml:space="preserve"> Arabic number processing is influence</w:t>
      </w:r>
      <w:r w:rsidR="00A40DE2">
        <w:t>d</w:t>
      </w:r>
      <w:r>
        <w:t xml:space="preserve"> by number word inversion. A unit-decade compatibility effect for </w:t>
      </w:r>
      <w:r w:rsidR="0041590E">
        <w:t>two</w:t>
      </w:r>
      <w:r>
        <w:t xml:space="preserve">-digit number comparison was first described </w:t>
      </w:r>
      <w:r w:rsidR="00B60358">
        <w:t xml:space="preserve">by </w:t>
      </w:r>
      <w:proofErr w:type="spellStart"/>
      <w:r w:rsidR="00B60358">
        <w:t>Nuerk</w:t>
      </w:r>
      <w:proofErr w:type="spellEnd"/>
      <w:r w:rsidR="00E3423F">
        <w:t xml:space="preserve">, </w:t>
      </w:r>
      <w:proofErr w:type="spellStart"/>
      <w:r w:rsidR="00E3423F">
        <w:t>Weger</w:t>
      </w:r>
      <w:proofErr w:type="spellEnd"/>
      <w:r w:rsidR="00E3423F">
        <w:t xml:space="preserve"> and </w:t>
      </w:r>
      <w:proofErr w:type="spellStart"/>
      <w:r w:rsidR="00E3423F">
        <w:t>Willmes</w:t>
      </w:r>
      <w:proofErr w:type="spellEnd"/>
      <w:r w:rsidR="00B60358">
        <w:t xml:space="preserve"> </w:t>
      </w:r>
      <w:r w:rsidR="00B60358">
        <w:lastRenderedPageBreak/>
        <w:t>(2001</w:t>
      </w:r>
      <w:r>
        <w:t xml:space="preserve">). Response times were higher when decade and unit comparisons led to </w:t>
      </w:r>
      <w:r w:rsidR="00B97999">
        <w:t xml:space="preserve">opposing </w:t>
      </w:r>
      <w:r>
        <w:t>responses (e</w:t>
      </w:r>
      <w:r w:rsidR="006E4021">
        <w:t>.</w:t>
      </w:r>
      <w:r w:rsidR="00653EA8">
        <w:t>g. 28</w:t>
      </w:r>
      <w:r w:rsidR="008610BB">
        <w:t>_</w:t>
      </w:r>
      <w:r w:rsidR="00653EA8">
        <w:t>61, 2</w:t>
      </w:r>
      <w:r w:rsidR="00C107A1">
        <w:t xml:space="preserve"> </w:t>
      </w:r>
      <w:r w:rsidR="00653EA8">
        <w:t>&lt;</w:t>
      </w:r>
      <w:r w:rsidR="00C107A1">
        <w:t xml:space="preserve"> </w:t>
      </w:r>
      <w:r w:rsidR="00653EA8">
        <w:t>6 but 8 &gt;1) tha</w:t>
      </w:r>
      <w:r>
        <w:t xml:space="preserve">n when </w:t>
      </w:r>
      <w:r w:rsidR="00EF79C6">
        <w:t>they</w:t>
      </w:r>
      <w:r>
        <w:t xml:space="preserve"> led to the same response (21</w:t>
      </w:r>
      <w:r w:rsidR="008610BB">
        <w:t>_</w:t>
      </w:r>
      <w:r>
        <w:t>68, 2</w:t>
      </w:r>
      <w:r w:rsidR="006E4021">
        <w:t xml:space="preserve"> </w:t>
      </w:r>
      <w:r>
        <w:t>&lt; 6 and 1 &lt;</w:t>
      </w:r>
      <w:r w:rsidR="006E4021">
        <w:t xml:space="preserve"> </w:t>
      </w:r>
      <w:r>
        <w:t>8)</w:t>
      </w:r>
      <w:r w:rsidR="00F96FB8">
        <w:t>, indicating unit interference in two-digit number processing even when the unit is not relevant</w:t>
      </w:r>
      <w:r w:rsidR="00DB3636">
        <w:t xml:space="preserve"> for the decision</w:t>
      </w:r>
      <w:r>
        <w:t xml:space="preserve">. </w:t>
      </w:r>
      <w:r w:rsidR="00A05B42">
        <w:t>The</w:t>
      </w:r>
      <w:r>
        <w:t xml:space="preserve"> unit-decade compatibility effect is </w:t>
      </w:r>
      <w:r w:rsidR="005A55BC">
        <w:t>modulated by language</w:t>
      </w:r>
      <w:r w:rsidR="004B798E">
        <w:t>:</w:t>
      </w:r>
      <w:r w:rsidR="00F96FB8">
        <w:t xml:space="preserve"> it is less pronounced in languages without inversion (</w:t>
      </w:r>
      <w:proofErr w:type="spellStart"/>
      <w:r w:rsidR="00F96FB8">
        <w:t>Nuerk</w:t>
      </w:r>
      <w:proofErr w:type="spellEnd"/>
      <w:r w:rsidR="00F96FB8">
        <w:t xml:space="preserve">, </w:t>
      </w:r>
      <w:proofErr w:type="spellStart"/>
      <w:r w:rsidR="00F96FB8">
        <w:t>Weger</w:t>
      </w:r>
      <w:proofErr w:type="spellEnd"/>
      <w:r w:rsidR="00F96FB8">
        <w:t xml:space="preserve">, &amp; </w:t>
      </w:r>
      <w:proofErr w:type="spellStart"/>
      <w:r w:rsidR="00F96FB8">
        <w:t>Willmes</w:t>
      </w:r>
      <w:proofErr w:type="spellEnd"/>
      <w:r w:rsidR="00F96FB8">
        <w:t>, 2005</w:t>
      </w:r>
      <w:r w:rsidR="00901756">
        <w:t xml:space="preserve">; </w:t>
      </w:r>
      <w:proofErr w:type="spellStart"/>
      <w:r w:rsidR="00F96FB8">
        <w:t>P</w:t>
      </w:r>
      <w:r>
        <w:t>ixner</w:t>
      </w:r>
      <w:proofErr w:type="spellEnd"/>
      <w:r>
        <w:t xml:space="preserve"> et al.</w:t>
      </w:r>
      <w:r w:rsidR="00DB3636">
        <w:t>,</w:t>
      </w:r>
      <w:r>
        <w:t xml:space="preserve"> 2011)</w:t>
      </w:r>
      <w:r w:rsidR="00901756">
        <w:t>.</w:t>
      </w:r>
    </w:p>
    <w:p w:rsidR="00B31705" w:rsidRDefault="00901756" w:rsidP="00AC1F20">
      <w:pPr>
        <w:spacing w:line="480" w:lineRule="auto"/>
        <w:ind w:firstLine="720"/>
        <w:rPr>
          <w:b/>
        </w:rPr>
      </w:pPr>
      <w:r>
        <w:t>These data indicate that</w:t>
      </w:r>
      <w:r w:rsidR="00A74C35">
        <w:t xml:space="preserve"> inversion has a negative effect </w:t>
      </w:r>
      <w:r w:rsidR="00DB3636">
        <w:t xml:space="preserve">on </w:t>
      </w:r>
      <w:r w:rsidR="00A74C35">
        <w:t>children</w:t>
      </w:r>
      <w:r w:rsidR="00B97999">
        <w:t xml:space="preserve">’s performance in basic numerical tasks whenever </w:t>
      </w:r>
      <w:r w:rsidR="00596D35">
        <w:t>place-value</w:t>
      </w:r>
      <w:r w:rsidR="00A74C35">
        <w:t xml:space="preserve"> integration</w:t>
      </w:r>
      <w:r w:rsidR="005A55BC">
        <w:t xml:space="preserve"> </w:t>
      </w:r>
      <w:r w:rsidR="00B97999">
        <w:t>is required</w:t>
      </w:r>
      <w:r w:rsidR="00A74C35">
        <w:t xml:space="preserve">. </w:t>
      </w:r>
      <w:r>
        <w:t xml:space="preserve">However, </w:t>
      </w:r>
      <w:r w:rsidR="00326D3E">
        <w:t xml:space="preserve">to our knowledge, it has not been investigated yet </w:t>
      </w:r>
      <w:r>
        <w:t xml:space="preserve">whether </w:t>
      </w:r>
      <w:r w:rsidR="005A55BC">
        <w:t>inversion also</w:t>
      </w:r>
      <w:r w:rsidR="00A74C35">
        <w:t xml:space="preserve"> </w:t>
      </w:r>
      <w:r>
        <w:t>affects</w:t>
      </w:r>
      <w:r w:rsidR="005A55BC">
        <w:t xml:space="preserve"> more complex numerical tasks</w:t>
      </w:r>
      <w:r>
        <w:t xml:space="preserve">, </w:t>
      </w:r>
      <w:r w:rsidR="005A55BC">
        <w:t xml:space="preserve">especially in conditions </w:t>
      </w:r>
      <w:r w:rsidR="00DB3636">
        <w:t>that</w:t>
      </w:r>
      <w:r w:rsidR="005A55BC">
        <w:t xml:space="preserve"> require place-value integration. Therefore, we examined whether complex two-digit addition, and in particular the carry effect, is influenced by number </w:t>
      </w:r>
      <w:r w:rsidR="001B6248">
        <w:t xml:space="preserve">word </w:t>
      </w:r>
      <w:r w:rsidR="005A55BC">
        <w:t>inversion in children</w:t>
      </w:r>
    </w:p>
    <w:p w:rsidR="000B7E1F" w:rsidRPr="007274A9" w:rsidRDefault="00A74C35">
      <w:pPr>
        <w:spacing w:line="480" w:lineRule="auto"/>
        <w:rPr>
          <w:b/>
        </w:rPr>
      </w:pPr>
      <w:r w:rsidRPr="007274A9">
        <w:rPr>
          <w:b/>
        </w:rPr>
        <w:t>The current study</w:t>
      </w:r>
    </w:p>
    <w:p w:rsidR="00AC1F20" w:rsidRDefault="00A74C35" w:rsidP="008B5BCF">
      <w:pPr>
        <w:spacing w:line="480" w:lineRule="auto"/>
        <w:ind w:firstLine="720"/>
      </w:pPr>
      <w:r>
        <w:t xml:space="preserve">In the present study </w:t>
      </w:r>
      <w:r w:rsidR="009054BB">
        <w:t xml:space="preserve">198 </w:t>
      </w:r>
      <w:r w:rsidR="006D2D46">
        <w:t>7-9 year old</w:t>
      </w:r>
      <w:r w:rsidR="004F203B">
        <w:t xml:space="preserve"> </w:t>
      </w:r>
      <w:r>
        <w:t>children were tested on addition problems</w:t>
      </w:r>
      <w:r w:rsidR="004F203B">
        <w:t xml:space="preserve"> presented in Arabic notation</w:t>
      </w:r>
      <w:r>
        <w:t xml:space="preserve">. </w:t>
      </w:r>
      <w:r w:rsidR="00653EA8">
        <w:t>Half</w:t>
      </w:r>
      <w:r>
        <w:t xml:space="preserve"> of those problems required a carry operation. We tested Italian- and German-speaking children</w:t>
      </w:r>
      <w:r w:rsidR="00B97999">
        <w:t>,</w:t>
      </w:r>
      <w:r>
        <w:t xml:space="preserve"> </w:t>
      </w:r>
      <w:r w:rsidR="00DB3636">
        <w:t>i.e.</w:t>
      </w:r>
      <w:r>
        <w:t xml:space="preserve"> children from a language background </w:t>
      </w:r>
      <w:r w:rsidR="00DB3636">
        <w:t xml:space="preserve">either </w:t>
      </w:r>
      <w:r>
        <w:t xml:space="preserve">with regular number word structure </w:t>
      </w:r>
      <w:r w:rsidR="00F55ADA">
        <w:t>or</w:t>
      </w:r>
      <w:r>
        <w:t xml:space="preserve"> with number word</w:t>
      </w:r>
      <w:r w:rsidR="00B97999" w:rsidRPr="00B97999">
        <w:t xml:space="preserve"> </w:t>
      </w:r>
      <w:r w:rsidR="00B97999">
        <w:t>inversion</w:t>
      </w:r>
      <w:r>
        <w:t xml:space="preserve">. </w:t>
      </w:r>
      <w:r w:rsidR="004B798E">
        <w:t>Due to the inconsistency in the position of tens and units between verbal number words and digital-Arabic notation w</w:t>
      </w:r>
      <w:r w:rsidR="00653EA8">
        <w:t xml:space="preserve">e expected </w:t>
      </w:r>
      <w:r>
        <w:t xml:space="preserve">children </w:t>
      </w:r>
      <w:r w:rsidR="00B97999">
        <w:t xml:space="preserve">with </w:t>
      </w:r>
      <w:r>
        <w:t>a language with number</w:t>
      </w:r>
      <w:r w:rsidR="00A516F9">
        <w:t xml:space="preserve"> </w:t>
      </w:r>
      <w:r>
        <w:t>word inversion</w:t>
      </w:r>
      <w:r w:rsidR="006D2D46">
        <w:t>, i.e. German-speaking children,</w:t>
      </w:r>
      <w:r>
        <w:t xml:space="preserve"> to show a larger reaction time cost for carry operation</w:t>
      </w:r>
      <w:r w:rsidR="004B798E">
        <w:t>s</w:t>
      </w:r>
      <w:r>
        <w:t xml:space="preserve"> than children </w:t>
      </w:r>
      <w:r w:rsidR="00B97999">
        <w:t xml:space="preserve">with </w:t>
      </w:r>
      <w:r>
        <w:t>a language with regular number word structure</w:t>
      </w:r>
      <w:r w:rsidR="004B798E">
        <w:t>, i.e. Italian-speaking</w:t>
      </w:r>
      <w:r w:rsidR="00374120">
        <w:t xml:space="preserve">. Given the documented influence of WM on the carry effect we also </w:t>
      </w:r>
      <w:r w:rsidR="008B5BCF">
        <w:t>assessed children's</w:t>
      </w:r>
      <w:r w:rsidR="00374120">
        <w:t xml:space="preserve"> WM to ensure that any language </w:t>
      </w:r>
      <w:r w:rsidR="008B5BCF">
        <w:t>differences</w:t>
      </w:r>
      <w:r w:rsidR="00374120">
        <w:t xml:space="preserve"> found are not due to WM </w:t>
      </w:r>
      <w:r w:rsidR="00374120">
        <w:lastRenderedPageBreak/>
        <w:t>differences between the groups</w:t>
      </w:r>
      <w:r w:rsidR="008B5BCF">
        <w:t xml:space="preserve"> (with higher WM scores expected to be associated with a smaller carry effect)</w:t>
      </w:r>
      <w:r w:rsidR="00374120">
        <w:t>.</w:t>
      </w:r>
    </w:p>
    <w:p w:rsidR="00C9086D" w:rsidRDefault="00AC1F20">
      <w:pPr>
        <w:spacing w:line="480" w:lineRule="auto"/>
        <w:jc w:val="center"/>
      </w:pPr>
      <w:r>
        <w:rPr>
          <w:b/>
        </w:rPr>
        <w:t>M</w:t>
      </w:r>
      <w:r w:rsidR="005C6C88" w:rsidRPr="0094399C">
        <w:rPr>
          <w:b/>
        </w:rPr>
        <w:t>ethod</w:t>
      </w:r>
    </w:p>
    <w:p w:rsidR="00B956ED" w:rsidRDefault="00B956ED" w:rsidP="008B5BCF">
      <w:pPr>
        <w:autoSpaceDE w:val="0"/>
        <w:autoSpaceDN w:val="0"/>
        <w:adjustRightInd w:val="0"/>
        <w:spacing w:line="480" w:lineRule="auto"/>
        <w:ind w:firstLine="708"/>
        <w:jc w:val="both"/>
      </w:pPr>
      <w:r w:rsidRPr="004859B9">
        <w:rPr>
          <w:rFonts w:ascii="Times New Roman" w:hAnsi="Times New Roman"/>
        </w:rPr>
        <w:t>The current study was part of a longitudinal cross-cultural</w:t>
      </w:r>
      <w:r w:rsidRPr="004859B9" w:rsidDel="00227992">
        <w:rPr>
          <w:rFonts w:ascii="Times New Roman" w:hAnsi="Times New Roman"/>
        </w:rPr>
        <w:t xml:space="preserve"> </w:t>
      </w:r>
      <w:r w:rsidRPr="004859B9">
        <w:rPr>
          <w:rFonts w:ascii="Times New Roman" w:hAnsi="Times New Roman"/>
        </w:rPr>
        <w:t xml:space="preserve">project evaluating numerical development in Austrian </w:t>
      </w:r>
      <w:r>
        <w:rPr>
          <w:rFonts w:ascii="Times New Roman" w:hAnsi="Times New Roman"/>
        </w:rPr>
        <w:t xml:space="preserve">(German-speaking) </w:t>
      </w:r>
      <w:r w:rsidRPr="004859B9">
        <w:rPr>
          <w:rFonts w:ascii="Times New Roman" w:hAnsi="Times New Roman"/>
        </w:rPr>
        <w:t>and Italian children</w:t>
      </w:r>
      <w:r>
        <w:rPr>
          <w:rFonts w:ascii="Times New Roman" w:hAnsi="Times New Roman"/>
        </w:rPr>
        <w:t xml:space="preserve"> from grade 1 to 4. </w:t>
      </w:r>
      <w:r w:rsidR="008B5BCF">
        <w:rPr>
          <w:rFonts w:ascii="Times New Roman" w:hAnsi="Times New Roman"/>
        </w:rPr>
        <w:t>In the present study</w:t>
      </w:r>
      <w:r w:rsidR="00C0289F">
        <w:rPr>
          <w:rFonts w:ascii="Times New Roman" w:hAnsi="Times New Roman"/>
        </w:rPr>
        <w:t>, we focus</w:t>
      </w:r>
      <w:r>
        <w:rPr>
          <w:rFonts w:ascii="Times New Roman" w:hAnsi="Times New Roman"/>
        </w:rPr>
        <w:t xml:space="preserve"> on contrasting addition performance in grade 2.</w:t>
      </w:r>
    </w:p>
    <w:p w:rsidR="00400A5A" w:rsidRPr="007274A9" w:rsidRDefault="005C6C88" w:rsidP="001D5854">
      <w:pPr>
        <w:pStyle w:val="Heading2"/>
        <w:rPr>
          <w:b/>
          <w:i w:val="0"/>
        </w:rPr>
      </w:pPr>
      <w:r w:rsidRPr="007274A9">
        <w:rPr>
          <w:b/>
          <w:i w:val="0"/>
        </w:rPr>
        <w:t>Participants</w:t>
      </w:r>
    </w:p>
    <w:p w:rsidR="004859B9" w:rsidRPr="004859B9" w:rsidRDefault="007571A6" w:rsidP="00B31705">
      <w:pPr>
        <w:autoSpaceDE w:val="0"/>
        <w:autoSpaceDN w:val="0"/>
        <w:adjustRightInd w:val="0"/>
        <w:spacing w:line="480" w:lineRule="auto"/>
        <w:ind w:firstLine="720"/>
        <w:jc w:val="both"/>
        <w:rPr>
          <w:rFonts w:ascii="Times New Roman" w:hAnsi="Times New Roman"/>
        </w:rPr>
      </w:pPr>
      <w:r>
        <w:rPr>
          <w:rFonts w:ascii="Times New Roman" w:hAnsi="Times New Roman"/>
        </w:rPr>
        <w:t>Ninety-four</w:t>
      </w:r>
      <w:r w:rsidRPr="004859B9">
        <w:rPr>
          <w:rFonts w:ascii="Times New Roman" w:hAnsi="Times New Roman"/>
        </w:rPr>
        <w:t xml:space="preserve"> </w:t>
      </w:r>
      <w:r w:rsidR="00A81FB9">
        <w:rPr>
          <w:rFonts w:ascii="Times New Roman" w:hAnsi="Times New Roman"/>
        </w:rPr>
        <w:t xml:space="preserve">native </w:t>
      </w:r>
      <w:r w:rsidR="004859B9" w:rsidRPr="004859B9">
        <w:rPr>
          <w:rFonts w:ascii="Times New Roman" w:hAnsi="Times New Roman"/>
        </w:rPr>
        <w:t xml:space="preserve">German-speaking (48 girls) </w:t>
      </w:r>
      <w:r w:rsidR="00A40DE2">
        <w:rPr>
          <w:rFonts w:ascii="Times New Roman" w:hAnsi="Times New Roman"/>
        </w:rPr>
        <w:t xml:space="preserve">and </w:t>
      </w:r>
      <w:r w:rsidR="00AD37E4">
        <w:rPr>
          <w:rFonts w:ascii="Times New Roman" w:hAnsi="Times New Roman"/>
        </w:rPr>
        <w:t>104</w:t>
      </w:r>
      <w:r w:rsidR="004859B9" w:rsidRPr="004859B9">
        <w:rPr>
          <w:rFonts w:ascii="Times New Roman" w:hAnsi="Times New Roman"/>
        </w:rPr>
        <w:t xml:space="preserve"> native Italian-speaking</w:t>
      </w:r>
      <w:r w:rsidR="006A2002">
        <w:rPr>
          <w:rFonts w:ascii="Times New Roman" w:hAnsi="Times New Roman"/>
        </w:rPr>
        <w:t xml:space="preserve"> </w:t>
      </w:r>
      <w:r w:rsidR="006A2002" w:rsidRPr="004859B9">
        <w:rPr>
          <w:rFonts w:ascii="Times New Roman" w:hAnsi="Times New Roman"/>
        </w:rPr>
        <w:t>(</w:t>
      </w:r>
      <w:r w:rsidR="006A2002">
        <w:rPr>
          <w:rFonts w:ascii="Times New Roman" w:hAnsi="Times New Roman"/>
        </w:rPr>
        <w:t>50</w:t>
      </w:r>
      <w:r w:rsidR="006A2002" w:rsidRPr="004859B9">
        <w:rPr>
          <w:rFonts w:ascii="Times New Roman" w:hAnsi="Times New Roman"/>
        </w:rPr>
        <w:t xml:space="preserve"> girls)</w:t>
      </w:r>
      <w:r w:rsidR="004859B9" w:rsidRPr="004859B9">
        <w:rPr>
          <w:rFonts w:ascii="Times New Roman" w:hAnsi="Times New Roman"/>
        </w:rPr>
        <w:t xml:space="preserve"> children </w:t>
      </w:r>
      <w:r w:rsidR="00A40DE2">
        <w:rPr>
          <w:rFonts w:ascii="Times New Roman" w:hAnsi="Times New Roman"/>
        </w:rPr>
        <w:t xml:space="preserve">were </w:t>
      </w:r>
      <w:r w:rsidR="007623EC">
        <w:rPr>
          <w:rFonts w:ascii="Times New Roman" w:hAnsi="Times New Roman"/>
        </w:rPr>
        <w:t>assessed a</w:t>
      </w:r>
      <w:r w:rsidR="003A21CE">
        <w:rPr>
          <w:rFonts w:ascii="Times New Roman" w:hAnsi="Times New Roman"/>
        </w:rPr>
        <w:t>t the end of grade</w:t>
      </w:r>
      <w:r w:rsidR="00CF460A">
        <w:rPr>
          <w:rFonts w:ascii="Times New Roman" w:hAnsi="Times New Roman"/>
        </w:rPr>
        <w:t xml:space="preserve"> 2,</w:t>
      </w:r>
      <w:r w:rsidR="003A21CE">
        <w:rPr>
          <w:rFonts w:ascii="Times New Roman" w:hAnsi="Times New Roman"/>
        </w:rPr>
        <w:t xml:space="preserve"> Austrian children were between 7 years 6 months and 9 years and 4 months </w:t>
      </w:r>
      <w:r w:rsidR="004859B9" w:rsidRPr="003A21CE">
        <w:rPr>
          <w:rFonts w:ascii="Times New Roman" w:hAnsi="Times New Roman"/>
        </w:rPr>
        <w:t>(</w:t>
      </w:r>
      <w:r w:rsidR="00905820" w:rsidRPr="00905820">
        <w:rPr>
          <w:rFonts w:ascii="Times New Roman" w:hAnsi="Times New Roman"/>
          <w:i/>
        </w:rPr>
        <w:t>M =</w:t>
      </w:r>
      <w:r w:rsidR="003A21CE" w:rsidRPr="003A21CE">
        <w:rPr>
          <w:rFonts w:ascii="Times New Roman" w:hAnsi="Times New Roman"/>
        </w:rPr>
        <w:t xml:space="preserve"> 8</w:t>
      </w:r>
      <w:proofErr w:type="gramStart"/>
      <w:r w:rsidR="00B97999">
        <w:rPr>
          <w:rFonts w:ascii="Times New Roman" w:hAnsi="Times New Roman"/>
        </w:rPr>
        <w:t>;3</w:t>
      </w:r>
      <w:proofErr w:type="gramEnd"/>
      <w:r w:rsidR="003A21CE" w:rsidRPr="003A21CE">
        <w:rPr>
          <w:rFonts w:ascii="Times New Roman" w:hAnsi="Times New Roman"/>
        </w:rPr>
        <w:t xml:space="preserve"> years, </w:t>
      </w:r>
      <w:r w:rsidR="003A21CE" w:rsidRPr="00905820">
        <w:rPr>
          <w:rFonts w:ascii="Times New Roman" w:hAnsi="Times New Roman"/>
          <w:i/>
        </w:rPr>
        <w:t>SD</w:t>
      </w:r>
      <w:r w:rsidR="003A21CE" w:rsidRPr="003A21CE">
        <w:rPr>
          <w:rFonts w:ascii="Times New Roman" w:hAnsi="Times New Roman"/>
        </w:rPr>
        <w:t xml:space="preserve"> = 4 months)</w:t>
      </w:r>
      <w:r w:rsidR="00653EA8">
        <w:rPr>
          <w:rFonts w:ascii="Times New Roman" w:hAnsi="Times New Roman"/>
        </w:rPr>
        <w:t xml:space="preserve">, </w:t>
      </w:r>
      <w:r w:rsidR="003A21CE">
        <w:rPr>
          <w:rFonts w:ascii="Times New Roman" w:hAnsi="Times New Roman"/>
        </w:rPr>
        <w:t xml:space="preserve">Italian children between 7 years 3 months and 8 years 6 months </w:t>
      </w:r>
      <w:r w:rsidR="003A21CE" w:rsidRPr="003A21CE">
        <w:rPr>
          <w:rFonts w:ascii="Times New Roman" w:hAnsi="Times New Roman"/>
        </w:rPr>
        <w:t>(</w:t>
      </w:r>
      <w:r w:rsidR="00905820">
        <w:rPr>
          <w:rFonts w:ascii="Times New Roman" w:hAnsi="Times New Roman"/>
        </w:rPr>
        <w:t xml:space="preserve">M = </w:t>
      </w:r>
      <w:r w:rsidR="003A21CE" w:rsidRPr="003A21CE">
        <w:rPr>
          <w:rFonts w:ascii="Times New Roman" w:hAnsi="Times New Roman"/>
        </w:rPr>
        <w:t xml:space="preserve"> </w:t>
      </w:r>
      <w:r>
        <w:rPr>
          <w:rFonts w:ascii="Times New Roman" w:hAnsi="Times New Roman"/>
        </w:rPr>
        <w:t>7;9</w:t>
      </w:r>
      <w:r w:rsidR="003A21CE" w:rsidRPr="003A21CE">
        <w:rPr>
          <w:rFonts w:ascii="Times New Roman" w:hAnsi="Times New Roman"/>
        </w:rPr>
        <w:t xml:space="preserve"> years, </w:t>
      </w:r>
      <w:r w:rsidR="003A21CE" w:rsidRPr="00905820">
        <w:rPr>
          <w:rFonts w:ascii="Times New Roman" w:hAnsi="Times New Roman"/>
          <w:i/>
        </w:rPr>
        <w:t>SD</w:t>
      </w:r>
      <w:r w:rsidR="003A21CE" w:rsidRPr="003A21CE">
        <w:rPr>
          <w:rFonts w:ascii="Times New Roman" w:hAnsi="Times New Roman"/>
        </w:rPr>
        <w:t xml:space="preserve"> = 3 months)</w:t>
      </w:r>
      <w:r w:rsidR="00653EA8">
        <w:rPr>
          <w:rFonts w:ascii="Times New Roman" w:hAnsi="Times New Roman"/>
        </w:rPr>
        <w:t xml:space="preserve"> old</w:t>
      </w:r>
      <w:r w:rsidR="003A21CE">
        <w:rPr>
          <w:rFonts w:ascii="Times New Roman" w:hAnsi="Times New Roman"/>
        </w:rPr>
        <w:t>.</w:t>
      </w:r>
      <w:r w:rsidR="006D7BED">
        <w:rPr>
          <w:rFonts w:ascii="Times New Roman" w:hAnsi="Times New Roman"/>
        </w:rPr>
        <w:t xml:space="preserve"> </w:t>
      </w:r>
      <w:r w:rsidR="00F46B44" w:rsidRPr="00F46B44">
        <w:rPr>
          <w:rFonts w:ascii="Times New Roman" w:hAnsi="Times New Roman"/>
        </w:rPr>
        <w:t>All children had normal or corrected to normal vision.</w:t>
      </w:r>
      <w:r w:rsidR="00F46B44">
        <w:rPr>
          <w:rFonts w:ascii="Times New Roman" w:hAnsi="Times New Roman"/>
        </w:rPr>
        <w:t xml:space="preserve"> </w:t>
      </w:r>
      <w:r w:rsidR="00F46B44" w:rsidRPr="00F46B44">
        <w:rPr>
          <w:rFonts w:ascii="Times New Roman" w:hAnsi="Times New Roman"/>
        </w:rPr>
        <w:t>Children wit</w:t>
      </w:r>
      <w:r w:rsidR="00F46B44">
        <w:rPr>
          <w:rFonts w:ascii="Times New Roman" w:hAnsi="Times New Roman"/>
        </w:rPr>
        <w:t xml:space="preserve">h an IQ </w:t>
      </w:r>
      <w:r w:rsidR="00653EA8">
        <w:rPr>
          <w:rFonts w:ascii="Times New Roman" w:hAnsi="Times New Roman"/>
        </w:rPr>
        <w:t xml:space="preserve">score </w:t>
      </w:r>
      <w:r w:rsidR="00F46B44" w:rsidRPr="00F46B44">
        <w:rPr>
          <w:rFonts w:ascii="Times New Roman" w:hAnsi="Times New Roman"/>
        </w:rPr>
        <w:t xml:space="preserve">more than 1 </w:t>
      </w:r>
      <w:r w:rsidR="00F46B44" w:rsidRPr="00905820">
        <w:rPr>
          <w:rFonts w:ascii="Times New Roman" w:hAnsi="Times New Roman"/>
          <w:i/>
        </w:rPr>
        <w:t>SD</w:t>
      </w:r>
      <w:r w:rsidR="00F46B44" w:rsidRPr="00F46B44">
        <w:rPr>
          <w:rFonts w:ascii="Times New Roman" w:hAnsi="Times New Roman"/>
        </w:rPr>
        <w:t xml:space="preserve"> below average were excluded </w:t>
      </w:r>
      <w:r w:rsidR="00F46B44">
        <w:rPr>
          <w:rFonts w:ascii="Times New Roman" w:hAnsi="Times New Roman"/>
        </w:rPr>
        <w:t>(two Austrian, ten Italian</w:t>
      </w:r>
      <w:r w:rsidR="00F46B44" w:rsidRPr="00F46B44">
        <w:rPr>
          <w:rFonts w:ascii="Times New Roman" w:hAnsi="Times New Roman"/>
        </w:rPr>
        <w:t xml:space="preserve"> </w:t>
      </w:r>
      <w:r w:rsidR="00F46B44">
        <w:rPr>
          <w:rFonts w:ascii="Times New Roman" w:hAnsi="Times New Roman"/>
        </w:rPr>
        <w:t>children)</w:t>
      </w:r>
      <w:r w:rsidR="00F46B44" w:rsidRPr="00F46B44">
        <w:rPr>
          <w:rFonts w:ascii="Times New Roman" w:hAnsi="Times New Roman"/>
        </w:rPr>
        <w:t>.</w:t>
      </w:r>
      <w:r w:rsidR="0023084A">
        <w:rPr>
          <w:rFonts w:ascii="Times New Roman" w:hAnsi="Times New Roman"/>
        </w:rPr>
        <w:t xml:space="preserve"> </w:t>
      </w:r>
      <w:r w:rsidR="00C12C4A">
        <w:rPr>
          <w:rFonts w:ascii="Times New Roman" w:hAnsi="Times New Roman"/>
        </w:rPr>
        <w:t>Importantly, t</w:t>
      </w:r>
      <w:r w:rsidR="0023084A">
        <w:rPr>
          <w:rFonts w:ascii="Times New Roman" w:hAnsi="Times New Roman"/>
        </w:rPr>
        <w:t>h</w:t>
      </w:r>
      <w:r w:rsidR="0023084A" w:rsidRPr="00F46B44">
        <w:rPr>
          <w:rFonts w:ascii="Times New Roman" w:hAnsi="Times New Roman"/>
        </w:rPr>
        <w:t xml:space="preserve">e </w:t>
      </w:r>
      <w:r w:rsidR="00C12C4A" w:rsidRPr="00F46B44">
        <w:rPr>
          <w:rFonts w:ascii="Times New Roman" w:hAnsi="Times New Roman"/>
        </w:rPr>
        <w:t>math</w:t>
      </w:r>
      <w:r w:rsidR="00C12C4A">
        <w:rPr>
          <w:rFonts w:ascii="Times New Roman" w:hAnsi="Times New Roman"/>
        </w:rPr>
        <w:t>ematics</w:t>
      </w:r>
      <w:r w:rsidR="00C12C4A" w:rsidRPr="00F46B44">
        <w:rPr>
          <w:rFonts w:ascii="Times New Roman" w:hAnsi="Times New Roman"/>
        </w:rPr>
        <w:t xml:space="preserve"> </w:t>
      </w:r>
      <w:r w:rsidR="0023084A" w:rsidRPr="00F46B44">
        <w:rPr>
          <w:rFonts w:ascii="Times New Roman" w:hAnsi="Times New Roman"/>
        </w:rPr>
        <w:t xml:space="preserve">curriculum is </w:t>
      </w:r>
      <w:r w:rsidR="0023084A">
        <w:rPr>
          <w:rFonts w:ascii="Times New Roman" w:hAnsi="Times New Roman"/>
        </w:rPr>
        <w:t>very similar</w:t>
      </w:r>
      <w:r w:rsidR="0023084A" w:rsidRPr="00F46B44">
        <w:rPr>
          <w:rFonts w:ascii="Times New Roman" w:hAnsi="Times New Roman"/>
        </w:rPr>
        <w:t xml:space="preserve"> in Austria and Italy.</w:t>
      </w:r>
    </w:p>
    <w:p w:rsidR="005C6C88" w:rsidRPr="007274A9" w:rsidRDefault="00FD6C4C" w:rsidP="005C6C88">
      <w:pPr>
        <w:pStyle w:val="Heading2"/>
        <w:rPr>
          <w:b/>
          <w:i w:val="0"/>
        </w:rPr>
      </w:pPr>
      <w:r w:rsidRPr="007274A9">
        <w:rPr>
          <w:b/>
          <w:i w:val="0"/>
        </w:rPr>
        <w:t>Tasks, stimuli and p</w:t>
      </w:r>
      <w:r w:rsidR="00E2745D" w:rsidRPr="007274A9">
        <w:rPr>
          <w:b/>
          <w:i w:val="0"/>
        </w:rPr>
        <w:t>rocedure</w:t>
      </w:r>
    </w:p>
    <w:p w:rsidR="000B7E1F" w:rsidRDefault="00E2745D" w:rsidP="00AC1F20">
      <w:pPr>
        <w:pStyle w:val="Heading2"/>
        <w:ind w:firstLine="720"/>
      </w:pPr>
      <w:r w:rsidRPr="00E2745D">
        <w:rPr>
          <w:i w:val="0"/>
        </w:rPr>
        <w:t>All children were assessed individual</w:t>
      </w:r>
      <w:r w:rsidR="007B5CC9">
        <w:rPr>
          <w:i w:val="0"/>
        </w:rPr>
        <w:t>ly in one-</w:t>
      </w:r>
      <w:r w:rsidR="0045503E">
        <w:rPr>
          <w:i w:val="0"/>
        </w:rPr>
        <w:t>on</w:t>
      </w:r>
      <w:r w:rsidRPr="00E2745D">
        <w:rPr>
          <w:i w:val="0"/>
        </w:rPr>
        <w:t xml:space="preserve">-one sessions in a </w:t>
      </w:r>
      <w:r w:rsidR="007623EC">
        <w:rPr>
          <w:i w:val="0"/>
        </w:rPr>
        <w:t>separate</w:t>
      </w:r>
      <w:r w:rsidR="007623EC" w:rsidRPr="00E2745D">
        <w:rPr>
          <w:i w:val="0"/>
        </w:rPr>
        <w:t xml:space="preserve"> </w:t>
      </w:r>
      <w:r w:rsidRPr="00E2745D">
        <w:rPr>
          <w:i w:val="0"/>
        </w:rPr>
        <w:t>room.</w:t>
      </w:r>
      <w:r w:rsidR="00AC1F20">
        <w:rPr>
          <w:i w:val="0"/>
        </w:rPr>
        <w:t xml:space="preserve"> </w:t>
      </w:r>
      <w:r w:rsidR="0066799F" w:rsidRPr="0066799F">
        <w:t>Intellectual ability</w:t>
      </w:r>
      <w:r w:rsidR="00EE18BD" w:rsidRPr="00EE18BD">
        <w:rPr>
          <w:i w:val="0"/>
        </w:rPr>
        <w:t xml:space="preserve"> was assessed </w:t>
      </w:r>
      <w:r w:rsidR="0066799F">
        <w:rPr>
          <w:i w:val="0"/>
        </w:rPr>
        <w:t>by an</w:t>
      </w:r>
      <w:r w:rsidR="00EE18BD" w:rsidRPr="00EE18BD">
        <w:rPr>
          <w:i w:val="0"/>
        </w:rPr>
        <w:t xml:space="preserve"> adapted version of the Culture Fair Intelligence Test – Scale 1 (CFT-1, </w:t>
      </w:r>
      <w:proofErr w:type="spellStart"/>
      <w:r w:rsidR="00EE18BD" w:rsidRPr="00EE18BD">
        <w:rPr>
          <w:i w:val="0"/>
        </w:rPr>
        <w:t>Cattell</w:t>
      </w:r>
      <w:proofErr w:type="spellEnd"/>
      <w:r w:rsidR="00EE18BD" w:rsidRPr="00EE18BD">
        <w:rPr>
          <w:i w:val="0"/>
        </w:rPr>
        <w:t xml:space="preserve">, </w:t>
      </w:r>
      <w:proofErr w:type="spellStart"/>
      <w:r w:rsidR="00EE18BD" w:rsidRPr="00EE18BD">
        <w:rPr>
          <w:i w:val="0"/>
        </w:rPr>
        <w:t>Weiß</w:t>
      </w:r>
      <w:proofErr w:type="spellEnd"/>
      <w:r w:rsidR="00EE18BD" w:rsidRPr="00EE18BD">
        <w:rPr>
          <w:i w:val="0"/>
        </w:rPr>
        <w:t xml:space="preserve">, &amp; </w:t>
      </w:r>
      <w:proofErr w:type="spellStart"/>
      <w:r w:rsidR="00EE18BD" w:rsidRPr="00EE18BD">
        <w:rPr>
          <w:i w:val="0"/>
        </w:rPr>
        <w:t>Osterland</w:t>
      </w:r>
      <w:proofErr w:type="spellEnd"/>
      <w:r w:rsidR="00EE18BD" w:rsidRPr="00EE18BD">
        <w:rPr>
          <w:i w:val="0"/>
        </w:rPr>
        <w:t>, 1997)</w:t>
      </w:r>
      <w:r w:rsidR="0066799F">
        <w:rPr>
          <w:i w:val="0"/>
        </w:rPr>
        <w:t xml:space="preserve"> </w:t>
      </w:r>
      <w:r w:rsidR="00540CCE">
        <w:rPr>
          <w:i w:val="0"/>
        </w:rPr>
        <w:t>in</w:t>
      </w:r>
      <w:r w:rsidR="00C107A1">
        <w:rPr>
          <w:i w:val="0"/>
        </w:rPr>
        <w:t xml:space="preserve"> grade 1 </w:t>
      </w:r>
      <w:r w:rsidR="0066799F">
        <w:rPr>
          <w:i w:val="0"/>
        </w:rPr>
        <w:t xml:space="preserve">and </w:t>
      </w:r>
      <w:r w:rsidR="0045503E">
        <w:rPr>
          <w:i w:val="0"/>
        </w:rPr>
        <w:t>is</w:t>
      </w:r>
      <w:r w:rsidR="0066799F">
        <w:rPr>
          <w:i w:val="0"/>
        </w:rPr>
        <w:t xml:space="preserve"> reported </w:t>
      </w:r>
      <w:r w:rsidR="00EE18BD" w:rsidRPr="00EE18BD">
        <w:rPr>
          <w:i w:val="0"/>
        </w:rPr>
        <w:t>in T-Scores.</w:t>
      </w:r>
    </w:p>
    <w:p w:rsidR="00D46CAF" w:rsidRDefault="00F63C62" w:rsidP="00D46CAF">
      <w:pPr>
        <w:autoSpaceDE w:val="0"/>
        <w:autoSpaceDN w:val="0"/>
        <w:adjustRightInd w:val="0"/>
        <w:spacing w:line="480" w:lineRule="auto"/>
        <w:ind w:firstLine="720"/>
        <w:jc w:val="both"/>
        <w:rPr>
          <w:rFonts w:ascii="Times New Roman" w:hAnsi="Times New Roman"/>
        </w:rPr>
      </w:pPr>
      <w:r w:rsidRPr="00F63C62">
        <w:t>In second grade</w:t>
      </w:r>
      <w:r w:rsidR="0045503E">
        <w:t>,</w:t>
      </w:r>
      <w:r w:rsidRPr="00F63C62">
        <w:t xml:space="preserve"> working memory and addition performance were assess</w:t>
      </w:r>
      <w:r w:rsidR="009A74E8">
        <w:t>e</w:t>
      </w:r>
      <w:r w:rsidRPr="00F63C62">
        <w:t xml:space="preserve">d. </w:t>
      </w:r>
      <w:r w:rsidR="00BA4807">
        <w:t xml:space="preserve">Three aspects of </w:t>
      </w:r>
      <w:r w:rsidR="00A249F3">
        <w:rPr>
          <w:rFonts w:ascii="Times New Roman" w:hAnsi="Times New Roman"/>
          <w:i/>
        </w:rPr>
        <w:t>w</w:t>
      </w:r>
      <w:r w:rsidR="00D46CAF" w:rsidRPr="00C107A1">
        <w:rPr>
          <w:rFonts w:ascii="Times New Roman" w:hAnsi="Times New Roman"/>
          <w:i/>
        </w:rPr>
        <w:t>orking memory</w:t>
      </w:r>
      <w:r w:rsidR="00D46CAF" w:rsidRPr="00C107A1">
        <w:rPr>
          <w:rFonts w:ascii="Times New Roman" w:hAnsi="Times New Roman"/>
        </w:rPr>
        <w:t xml:space="preserve"> (WM</w:t>
      </w:r>
      <w:r w:rsidR="0076019F">
        <w:rPr>
          <w:rFonts w:ascii="Times New Roman" w:hAnsi="Times New Roman"/>
        </w:rPr>
        <w:t>) w</w:t>
      </w:r>
      <w:r w:rsidR="00BA4807">
        <w:rPr>
          <w:rFonts w:ascii="Times New Roman" w:hAnsi="Times New Roman"/>
        </w:rPr>
        <w:t>ere</w:t>
      </w:r>
      <w:r w:rsidR="0076019F">
        <w:rPr>
          <w:rFonts w:ascii="Times New Roman" w:hAnsi="Times New Roman"/>
        </w:rPr>
        <w:t xml:space="preserve"> measured</w:t>
      </w:r>
      <w:r w:rsidR="00C12C4A">
        <w:rPr>
          <w:rFonts w:ascii="Times New Roman" w:hAnsi="Times New Roman"/>
        </w:rPr>
        <w:t>.</w:t>
      </w:r>
      <w:r w:rsidR="0076019F">
        <w:rPr>
          <w:rFonts w:ascii="Times New Roman" w:hAnsi="Times New Roman"/>
        </w:rPr>
        <w:t xml:space="preserve"> </w:t>
      </w:r>
      <w:r w:rsidR="00540CCE">
        <w:rPr>
          <w:rFonts w:ascii="Times New Roman" w:hAnsi="Times New Roman"/>
        </w:rPr>
        <w:t>1.</w:t>
      </w:r>
      <w:r w:rsidR="00C12C4A">
        <w:rPr>
          <w:rFonts w:ascii="Times New Roman" w:hAnsi="Times New Roman"/>
        </w:rPr>
        <w:t xml:space="preserve"> </w:t>
      </w:r>
      <w:r w:rsidR="00BA4807">
        <w:rPr>
          <w:rFonts w:ascii="Times New Roman" w:hAnsi="Times New Roman"/>
        </w:rPr>
        <w:t xml:space="preserve">Verbal WM: </w:t>
      </w:r>
      <w:r w:rsidR="0076019F">
        <w:rPr>
          <w:rFonts w:ascii="Times New Roman" w:hAnsi="Times New Roman"/>
        </w:rPr>
        <w:t>children were asked to immediately recall spoken sequences of letters (</w:t>
      </w:r>
      <w:r w:rsidR="007571A6">
        <w:rPr>
          <w:rFonts w:ascii="Times New Roman" w:hAnsi="Times New Roman"/>
        </w:rPr>
        <w:t>presentation rate:</w:t>
      </w:r>
      <w:r w:rsidR="0076019F">
        <w:rPr>
          <w:rFonts w:ascii="Times New Roman" w:hAnsi="Times New Roman"/>
        </w:rPr>
        <w:t xml:space="preserve"> one letter per second)</w:t>
      </w:r>
      <w:r w:rsidR="00A00489">
        <w:rPr>
          <w:rFonts w:ascii="Times New Roman" w:hAnsi="Times New Roman"/>
        </w:rPr>
        <w:t>.</w:t>
      </w:r>
      <w:r w:rsidR="0076019F">
        <w:rPr>
          <w:rFonts w:ascii="Times New Roman" w:hAnsi="Times New Roman"/>
        </w:rPr>
        <w:t xml:space="preserve"> Starting with two-item sequences sequence length was increased by one letter when at least two of three given sequences were recalled correctly</w:t>
      </w:r>
      <w:r w:rsidR="007571A6">
        <w:rPr>
          <w:rFonts w:ascii="Times New Roman" w:hAnsi="Times New Roman"/>
        </w:rPr>
        <w:t>, o</w:t>
      </w:r>
      <w:r w:rsidR="0076019F">
        <w:rPr>
          <w:rFonts w:ascii="Times New Roman" w:hAnsi="Times New Roman"/>
        </w:rPr>
        <w:t xml:space="preserve">therwise testing was stopped. The </w:t>
      </w:r>
      <w:r w:rsidR="00BA4807">
        <w:rPr>
          <w:rFonts w:ascii="Times New Roman" w:hAnsi="Times New Roman"/>
        </w:rPr>
        <w:t xml:space="preserve">verbal WM </w:t>
      </w:r>
      <w:r w:rsidR="0076019F">
        <w:rPr>
          <w:rFonts w:ascii="Times New Roman" w:hAnsi="Times New Roman"/>
        </w:rPr>
        <w:t xml:space="preserve">score </w:t>
      </w:r>
      <w:r w:rsidR="00BA4807">
        <w:rPr>
          <w:rFonts w:ascii="Times New Roman" w:hAnsi="Times New Roman"/>
        </w:rPr>
        <w:t>i</w:t>
      </w:r>
      <w:r w:rsidR="0076019F">
        <w:rPr>
          <w:rFonts w:ascii="Times New Roman" w:hAnsi="Times New Roman"/>
        </w:rPr>
        <w:t xml:space="preserve">s </w:t>
      </w:r>
      <w:r w:rsidR="0076019F">
        <w:rPr>
          <w:rFonts w:ascii="Times New Roman" w:hAnsi="Times New Roman"/>
        </w:rPr>
        <w:lastRenderedPageBreak/>
        <w:t>the maximum sequence length at which at least two sequences were repeated correctly</w:t>
      </w:r>
      <w:r w:rsidR="00BA4807">
        <w:rPr>
          <w:rFonts w:ascii="Times New Roman" w:hAnsi="Times New Roman"/>
        </w:rPr>
        <w:t>.</w:t>
      </w:r>
      <w:r w:rsidR="00A00489">
        <w:rPr>
          <w:rFonts w:ascii="Times New Roman" w:hAnsi="Times New Roman"/>
        </w:rPr>
        <w:t xml:space="preserve"> </w:t>
      </w:r>
      <w:r w:rsidR="00540CCE">
        <w:rPr>
          <w:rFonts w:ascii="Times New Roman" w:hAnsi="Times New Roman"/>
        </w:rPr>
        <w:t xml:space="preserve">2. </w:t>
      </w:r>
      <w:proofErr w:type="spellStart"/>
      <w:r w:rsidR="00BA4807">
        <w:rPr>
          <w:rFonts w:ascii="Times New Roman" w:hAnsi="Times New Roman"/>
        </w:rPr>
        <w:t>Visuo</w:t>
      </w:r>
      <w:proofErr w:type="spellEnd"/>
      <w:r w:rsidR="00BA4807">
        <w:rPr>
          <w:rFonts w:ascii="Times New Roman" w:hAnsi="Times New Roman"/>
        </w:rPr>
        <w:t>-spatial WM: i</w:t>
      </w:r>
      <w:r w:rsidR="0076019F">
        <w:rPr>
          <w:rFonts w:ascii="Times New Roman" w:hAnsi="Times New Roman"/>
        </w:rPr>
        <w:t xml:space="preserve">n </w:t>
      </w:r>
      <w:r w:rsidR="00C12C4A">
        <w:rPr>
          <w:rFonts w:ascii="Times New Roman" w:hAnsi="Times New Roman"/>
        </w:rPr>
        <w:t xml:space="preserve">a </w:t>
      </w:r>
      <w:r w:rsidR="0076019F">
        <w:rPr>
          <w:rFonts w:ascii="Times New Roman" w:hAnsi="Times New Roman"/>
        </w:rPr>
        <w:t xml:space="preserve">block tapping task </w:t>
      </w:r>
      <w:r w:rsidR="00540CCE">
        <w:rPr>
          <w:rFonts w:ascii="Times New Roman" w:hAnsi="Times New Roman"/>
        </w:rPr>
        <w:t>(</w:t>
      </w:r>
      <w:proofErr w:type="spellStart"/>
      <w:r w:rsidR="00540CCE">
        <w:rPr>
          <w:rFonts w:ascii="Times New Roman" w:hAnsi="Times New Roman"/>
        </w:rPr>
        <w:t>Corsi</w:t>
      </w:r>
      <w:proofErr w:type="spellEnd"/>
      <w:r w:rsidR="00540CCE">
        <w:rPr>
          <w:rFonts w:ascii="Times New Roman" w:hAnsi="Times New Roman"/>
        </w:rPr>
        <w:t xml:space="preserve">, 1972) </w:t>
      </w:r>
      <w:r w:rsidR="0076019F">
        <w:rPr>
          <w:rFonts w:ascii="Times New Roman" w:hAnsi="Times New Roman"/>
        </w:rPr>
        <w:t xml:space="preserve">children </w:t>
      </w:r>
      <w:r w:rsidR="009A74E8">
        <w:rPr>
          <w:rFonts w:ascii="Times New Roman" w:hAnsi="Times New Roman"/>
        </w:rPr>
        <w:t xml:space="preserve">had to repeat </w:t>
      </w:r>
      <w:r w:rsidR="007571A6">
        <w:rPr>
          <w:rFonts w:ascii="Times New Roman" w:hAnsi="Times New Roman"/>
        </w:rPr>
        <w:t>pointing to</w:t>
      </w:r>
      <w:r w:rsidR="009A74E8">
        <w:rPr>
          <w:rFonts w:ascii="Times New Roman" w:hAnsi="Times New Roman"/>
        </w:rPr>
        <w:t xml:space="preserve"> cubes </w:t>
      </w:r>
      <w:r w:rsidR="007571A6">
        <w:rPr>
          <w:rFonts w:ascii="Times New Roman" w:hAnsi="Times New Roman"/>
        </w:rPr>
        <w:t xml:space="preserve">in the same order as </w:t>
      </w:r>
      <w:r w:rsidR="009A74E8">
        <w:rPr>
          <w:rFonts w:ascii="Times New Roman" w:hAnsi="Times New Roman"/>
        </w:rPr>
        <w:t>t</w:t>
      </w:r>
      <w:r w:rsidR="0076019F">
        <w:rPr>
          <w:rFonts w:ascii="Times New Roman" w:hAnsi="Times New Roman"/>
        </w:rPr>
        <w:t>he experimenter. Again, children started with two-item sequences</w:t>
      </w:r>
      <w:r w:rsidR="007571A6">
        <w:rPr>
          <w:rFonts w:ascii="Times New Roman" w:hAnsi="Times New Roman"/>
        </w:rPr>
        <w:t>.</w:t>
      </w:r>
      <w:r w:rsidR="0076019F">
        <w:rPr>
          <w:rFonts w:ascii="Times New Roman" w:hAnsi="Times New Roman"/>
        </w:rPr>
        <w:t xml:space="preserve"> </w:t>
      </w:r>
      <w:r w:rsidR="007571A6">
        <w:rPr>
          <w:rFonts w:ascii="Times New Roman" w:hAnsi="Times New Roman"/>
        </w:rPr>
        <w:t xml:space="preserve">The </w:t>
      </w:r>
      <w:r w:rsidR="0076019F">
        <w:rPr>
          <w:rFonts w:ascii="Times New Roman" w:hAnsi="Times New Roman"/>
        </w:rPr>
        <w:t xml:space="preserve">procedure and scoring </w:t>
      </w:r>
      <w:r w:rsidR="007571A6">
        <w:rPr>
          <w:rFonts w:ascii="Times New Roman" w:hAnsi="Times New Roman"/>
        </w:rPr>
        <w:t xml:space="preserve">were </w:t>
      </w:r>
      <w:r w:rsidR="0076019F">
        <w:rPr>
          <w:rFonts w:ascii="Times New Roman" w:hAnsi="Times New Roman"/>
        </w:rPr>
        <w:t xml:space="preserve">identical to letter repetition. </w:t>
      </w:r>
      <w:r w:rsidR="00540CCE">
        <w:rPr>
          <w:rFonts w:ascii="Times New Roman" w:hAnsi="Times New Roman"/>
        </w:rPr>
        <w:t>3. Central executive (CE):</w:t>
      </w:r>
      <w:r w:rsidR="0076019F">
        <w:rPr>
          <w:rFonts w:ascii="Times New Roman" w:hAnsi="Times New Roman"/>
        </w:rPr>
        <w:t xml:space="preserve"> </w:t>
      </w:r>
      <w:r w:rsidR="007623EC">
        <w:rPr>
          <w:rFonts w:ascii="Times New Roman" w:hAnsi="Times New Roman"/>
        </w:rPr>
        <w:t>e</w:t>
      </w:r>
      <w:r w:rsidR="00D46CAF" w:rsidRPr="006411A0">
        <w:rPr>
          <w:rFonts w:ascii="Times New Roman" w:hAnsi="Times New Roman"/>
        </w:rPr>
        <w:t>ach child</w:t>
      </w:r>
      <w:r w:rsidR="00D46CAF">
        <w:rPr>
          <w:rFonts w:ascii="Times New Roman" w:hAnsi="Times New Roman"/>
        </w:rPr>
        <w:t xml:space="preserve"> </w:t>
      </w:r>
      <w:r w:rsidR="00D46CAF" w:rsidRPr="006411A0">
        <w:rPr>
          <w:rFonts w:ascii="Times New Roman" w:hAnsi="Times New Roman"/>
        </w:rPr>
        <w:t>recall</w:t>
      </w:r>
      <w:r w:rsidR="00A00489">
        <w:rPr>
          <w:rFonts w:ascii="Times New Roman" w:hAnsi="Times New Roman"/>
        </w:rPr>
        <w:t>ed</w:t>
      </w:r>
      <w:r w:rsidR="00D46CAF" w:rsidRPr="006411A0">
        <w:rPr>
          <w:rFonts w:ascii="Times New Roman" w:hAnsi="Times New Roman"/>
        </w:rPr>
        <w:t xml:space="preserve"> sequences of letters and blocks in reversed order. </w:t>
      </w:r>
      <w:r w:rsidR="009D7ACF">
        <w:rPr>
          <w:rFonts w:ascii="Times New Roman" w:hAnsi="Times New Roman"/>
        </w:rPr>
        <w:t xml:space="preserve">The procedure and scoring were identical to </w:t>
      </w:r>
      <w:r w:rsidR="009D7ACF">
        <w:rPr>
          <w:rFonts w:ascii="Times New Roman" w:hAnsi="Times New Roman"/>
        </w:rPr>
        <w:t xml:space="preserve">the forward versions of the tasks. </w:t>
      </w:r>
      <w:r w:rsidR="00D46CAF">
        <w:rPr>
          <w:rFonts w:ascii="Times New Roman" w:hAnsi="Times New Roman"/>
        </w:rPr>
        <w:t xml:space="preserve">The </w:t>
      </w:r>
      <w:r w:rsidR="00BA4807">
        <w:rPr>
          <w:rFonts w:ascii="Times New Roman" w:hAnsi="Times New Roman"/>
        </w:rPr>
        <w:t xml:space="preserve">two backward </w:t>
      </w:r>
      <w:r w:rsidR="00D46CAF">
        <w:rPr>
          <w:rFonts w:ascii="Times New Roman" w:hAnsi="Times New Roman"/>
        </w:rPr>
        <w:t xml:space="preserve">scores were averaged to generate </w:t>
      </w:r>
      <w:r w:rsidR="007623EC">
        <w:rPr>
          <w:rFonts w:ascii="Times New Roman" w:hAnsi="Times New Roman"/>
        </w:rPr>
        <w:t xml:space="preserve">a </w:t>
      </w:r>
      <w:r w:rsidR="00540CCE">
        <w:rPr>
          <w:rFonts w:ascii="Times New Roman" w:hAnsi="Times New Roman"/>
        </w:rPr>
        <w:t>CE</w:t>
      </w:r>
      <w:r w:rsidR="00D46CAF">
        <w:rPr>
          <w:rFonts w:ascii="Times New Roman" w:hAnsi="Times New Roman"/>
        </w:rPr>
        <w:t xml:space="preserve"> score for each child.</w:t>
      </w:r>
    </w:p>
    <w:p w:rsidR="006411A0" w:rsidRDefault="00EE18BD" w:rsidP="00817F39">
      <w:pPr>
        <w:autoSpaceDE w:val="0"/>
        <w:autoSpaceDN w:val="0"/>
        <w:adjustRightInd w:val="0"/>
        <w:spacing w:line="480" w:lineRule="auto"/>
        <w:ind w:firstLine="720"/>
        <w:jc w:val="both"/>
      </w:pPr>
      <w:r w:rsidRPr="00EE18BD">
        <w:rPr>
          <w:i/>
        </w:rPr>
        <w:t>Addition task:</w:t>
      </w:r>
      <w:r w:rsidR="00D46CAF">
        <w:t xml:space="preserve"> </w:t>
      </w:r>
      <w:r w:rsidR="00406E08" w:rsidRPr="00406E08">
        <w:t xml:space="preserve">Children </w:t>
      </w:r>
      <w:r w:rsidR="003977A7">
        <w:t>were tested on</w:t>
      </w:r>
      <w:r w:rsidR="003977A7">
        <w:rPr>
          <w:rFonts w:ascii="Times New Roman" w:hAnsi="Times New Roman"/>
        </w:rPr>
        <w:t xml:space="preserve"> </w:t>
      </w:r>
      <w:r w:rsidR="00406E08">
        <w:rPr>
          <w:rFonts w:ascii="Times New Roman" w:hAnsi="Times New Roman"/>
        </w:rPr>
        <w:t xml:space="preserve">a computerized addition verification task. </w:t>
      </w:r>
      <w:r w:rsidR="003977A7">
        <w:rPr>
          <w:rFonts w:ascii="Times New Roman" w:hAnsi="Times New Roman"/>
        </w:rPr>
        <w:t xml:space="preserve">The experiment started with </w:t>
      </w:r>
      <w:r w:rsidR="002D2C04">
        <w:rPr>
          <w:rFonts w:ascii="Times New Roman" w:hAnsi="Times New Roman"/>
        </w:rPr>
        <w:t>ten</w:t>
      </w:r>
      <w:r w:rsidR="003977A7">
        <w:rPr>
          <w:rFonts w:ascii="Times New Roman" w:hAnsi="Times New Roman"/>
        </w:rPr>
        <w:t xml:space="preserve"> practice trials</w:t>
      </w:r>
      <w:r w:rsidR="003977A7" w:rsidRPr="00406E08">
        <w:rPr>
          <w:rFonts w:ascii="Times New Roman" w:hAnsi="Times New Roman"/>
        </w:rPr>
        <w:t>.</w:t>
      </w:r>
      <w:r w:rsidR="003977A7">
        <w:rPr>
          <w:rFonts w:ascii="Times New Roman" w:hAnsi="Times New Roman"/>
        </w:rPr>
        <w:t xml:space="preserve"> A</w:t>
      </w:r>
      <w:r w:rsidR="003977A7" w:rsidRPr="00406E08">
        <w:rPr>
          <w:rFonts w:ascii="Times New Roman" w:hAnsi="Times New Roman"/>
        </w:rPr>
        <w:t xml:space="preserve">ddition problems </w:t>
      </w:r>
      <w:r w:rsidR="00D801C1">
        <w:rPr>
          <w:rFonts w:ascii="Times New Roman" w:hAnsi="Times New Roman"/>
        </w:rPr>
        <w:t>(range of operands 2-19; problem</w:t>
      </w:r>
      <w:r w:rsidR="00C12C4A">
        <w:rPr>
          <w:rFonts w:ascii="Times New Roman" w:hAnsi="Times New Roman"/>
        </w:rPr>
        <w:t xml:space="preserve"> </w:t>
      </w:r>
      <w:r w:rsidR="00D801C1">
        <w:rPr>
          <w:rFonts w:ascii="Times New Roman" w:hAnsi="Times New Roman"/>
        </w:rPr>
        <w:t xml:space="preserve">size 7-36) </w:t>
      </w:r>
      <w:r w:rsidR="003977A7">
        <w:rPr>
          <w:rFonts w:ascii="Times New Roman" w:hAnsi="Times New Roman"/>
        </w:rPr>
        <w:t xml:space="preserve">and </w:t>
      </w:r>
      <w:r w:rsidR="00B2678C">
        <w:rPr>
          <w:rFonts w:ascii="Times New Roman" w:hAnsi="Times New Roman"/>
        </w:rPr>
        <w:t xml:space="preserve">two </w:t>
      </w:r>
      <w:r w:rsidR="007623EC">
        <w:rPr>
          <w:rFonts w:ascii="Times New Roman" w:hAnsi="Times New Roman"/>
        </w:rPr>
        <w:t xml:space="preserve">solution probes </w:t>
      </w:r>
      <w:r w:rsidR="003977A7">
        <w:rPr>
          <w:rFonts w:ascii="Times New Roman" w:hAnsi="Times New Roman"/>
        </w:rPr>
        <w:t>were presented at the same time on the screen</w:t>
      </w:r>
      <w:r w:rsidR="003977A7" w:rsidRPr="00406E08">
        <w:rPr>
          <w:rFonts w:ascii="Times New Roman" w:hAnsi="Times New Roman"/>
        </w:rPr>
        <w:t xml:space="preserve"> in white against a black background (font: Arial; size: 60)</w:t>
      </w:r>
      <w:r w:rsidR="003977A7">
        <w:rPr>
          <w:rFonts w:ascii="Times New Roman" w:hAnsi="Times New Roman"/>
        </w:rPr>
        <w:t>.</w:t>
      </w:r>
      <w:r w:rsidR="003977A7" w:rsidRPr="00406E08">
        <w:rPr>
          <w:rFonts w:ascii="Times New Roman" w:hAnsi="Times New Roman"/>
        </w:rPr>
        <w:t xml:space="preserve"> Problems were presented in the form xx + xx at the x-/y-coordinates (0/-120)</w:t>
      </w:r>
      <w:r w:rsidR="003977A7">
        <w:rPr>
          <w:rFonts w:ascii="Times New Roman" w:hAnsi="Times New Roman"/>
        </w:rPr>
        <w:t xml:space="preserve"> </w:t>
      </w:r>
      <w:r w:rsidR="003977A7" w:rsidRPr="00406E08">
        <w:rPr>
          <w:rFonts w:ascii="Times New Roman" w:hAnsi="Times New Roman"/>
        </w:rPr>
        <w:t xml:space="preserve">while the two </w:t>
      </w:r>
      <w:r w:rsidR="001E1327">
        <w:rPr>
          <w:rFonts w:ascii="Times New Roman" w:hAnsi="Times New Roman"/>
        </w:rPr>
        <w:t xml:space="preserve">response options </w:t>
      </w:r>
      <w:r w:rsidR="003977A7" w:rsidRPr="00406E08">
        <w:rPr>
          <w:rFonts w:ascii="Times New Roman" w:hAnsi="Times New Roman"/>
        </w:rPr>
        <w:t>appeared at (-250/120) and (250/120)</w:t>
      </w:r>
      <w:r w:rsidR="002058D8">
        <w:rPr>
          <w:rFonts w:ascii="Times New Roman" w:hAnsi="Times New Roman"/>
        </w:rPr>
        <w:t xml:space="preserve"> </w:t>
      </w:r>
      <w:r w:rsidR="007623EC">
        <w:rPr>
          <w:rFonts w:ascii="Times New Roman" w:hAnsi="Times New Roman"/>
        </w:rPr>
        <w:t xml:space="preserve">on a </w:t>
      </w:r>
      <w:r w:rsidR="003977A7">
        <w:rPr>
          <w:rFonts w:ascii="Times New Roman" w:hAnsi="Times New Roman"/>
        </w:rPr>
        <w:t xml:space="preserve">screen </w:t>
      </w:r>
      <w:r w:rsidR="007623EC">
        <w:rPr>
          <w:rFonts w:ascii="Times New Roman" w:hAnsi="Times New Roman"/>
        </w:rPr>
        <w:t xml:space="preserve">with </w:t>
      </w:r>
      <w:r w:rsidR="00332318">
        <w:rPr>
          <w:rFonts w:ascii="Times New Roman" w:hAnsi="Times New Roman"/>
        </w:rPr>
        <w:t xml:space="preserve">the </w:t>
      </w:r>
      <w:r w:rsidR="003977A7">
        <w:rPr>
          <w:rFonts w:ascii="Times New Roman" w:hAnsi="Times New Roman"/>
        </w:rPr>
        <w:t xml:space="preserve">resolution </w:t>
      </w:r>
      <w:r w:rsidR="002058D8">
        <w:rPr>
          <w:rFonts w:ascii="Times New Roman" w:hAnsi="Times New Roman"/>
        </w:rPr>
        <w:t>set to</w:t>
      </w:r>
      <w:r w:rsidR="003977A7" w:rsidRPr="00406E08">
        <w:rPr>
          <w:rFonts w:ascii="Times New Roman" w:hAnsi="Times New Roman"/>
        </w:rPr>
        <w:t xml:space="preserve"> 1024 x 768. </w:t>
      </w:r>
      <w:r w:rsidR="003977A7">
        <w:rPr>
          <w:rFonts w:ascii="Times New Roman" w:hAnsi="Times New Roman"/>
        </w:rPr>
        <w:t xml:space="preserve">There were 24 </w:t>
      </w:r>
      <w:r w:rsidR="007623EC">
        <w:rPr>
          <w:rFonts w:ascii="Times New Roman" w:hAnsi="Times New Roman"/>
        </w:rPr>
        <w:t xml:space="preserve">carry </w:t>
      </w:r>
      <w:r w:rsidR="0045503E">
        <w:rPr>
          <w:rFonts w:ascii="Times New Roman" w:hAnsi="Times New Roman"/>
        </w:rPr>
        <w:t xml:space="preserve">(e.g. 9 + 14) </w:t>
      </w:r>
      <w:r w:rsidR="003977A7">
        <w:rPr>
          <w:rFonts w:ascii="Times New Roman" w:hAnsi="Times New Roman"/>
        </w:rPr>
        <w:t xml:space="preserve">and 24 </w:t>
      </w:r>
      <w:r w:rsidR="007623EC">
        <w:rPr>
          <w:rFonts w:ascii="Times New Roman" w:hAnsi="Times New Roman"/>
        </w:rPr>
        <w:t>no-</w:t>
      </w:r>
      <w:r w:rsidR="003977A7">
        <w:rPr>
          <w:rFonts w:ascii="Times New Roman" w:hAnsi="Times New Roman"/>
        </w:rPr>
        <w:t>carry</w:t>
      </w:r>
      <w:r w:rsidR="007623EC">
        <w:rPr>
          <w:rFonts w:ascii="Times New Roman" w:hAnsi="Times New Roman"/>
        </w:rPr>
        <w:t xml:space="preserve"> </w:t>
      </w:r>
      <w:r w:rsidR="0045503E">
        <w:rPr>
          <w:rFonts w:ascii="Times New Roman" w:hAnsi="Times New Roman"/>
        </w:rPr>
        <w:t xml:space="preserve">(e.g. </w:t>
      </w:r>
      <w:r w:rsidR="004F54BD">
        <w:rPr>
          <w:rFonts w:ascii="Times New Roman" w:hAnsi="Times New Roman"/>
        </w:rPr>
        <w:t xml:space="preserve">14 + 4) </w:t>
      </w:r>
      <w:r w:rsidR="007623EC">
        <w:rPr>
          <w:rFonts w:ascii="Times New Roman" w:hAnsi="Times New Roman"/>
        </w:rPr>
        <w:t>problems</w:t>
      </w:r>
      <w:r w:rsidR="003977A7">
        <w:rPr>
          <w:rFonts w:ascii="Times New Roman" w:hAnsi="Times New Roman"/>
        </w:rPr>
        <w:t>.</w:t>
      </w:r>
      <w:r w:rsidR="003977A7" w:rsidRPr="00406E08">
        <w:rPr>
          <w:rFonts w:ascii="Times New Roman" w:hAnsi="Times New Roman"/>
        </w:rPr>
        <w:t xml:space="preserve"> </w:t>
      </w:r>
      <w:r w:rsidR="00406E08">
        <w:rPr>
          <w:rFonts w:ascii="Times New Roman" w:hAnsi="Times New Roman"/>
        </w:rPr>
        <w:t>C</w:t>
      </w:r>
      <w:r w:rsidR="00406E08" w:rsidRPr="00406E08">
        <w:rPr>
          <w:rFonts w:ascii="Times New Roman" w:hAnsi="Times New Roman"/>
        </w:rPr>
        <w:t xml:space="preserve">hildren had to </w:t>
      </w:r>
      <w:r w:rsidR="001E1327">
        <w:rPr>
          <w:rFonts w:ascii="Times New Roman" w:hAnsi="Times New Roman"/>
        </w:rPr>
        <w:t>choose</w:t>
      </w:r>
      <w:r w:rsidR="00406E08" w:rsidRPr="00406E08">
        <w:rPr>
          <w:rFonts w:ascii="Times New Roman" w:hAnsi="Times New Roman"/>
        </w:rPr>
        <w:t xml:space="preserve"> </w:t>
      </w:r>
      <w:r w:rsidR="00064809">
        <w:rPr>
          <w:rFonts w:ascii="Times New Roman" w:hAnsi="Times New Roman"/>
        </w:rPr>
        <w:t xml:space="preserve">the </w:t>
      </w:r>
      <w:r w:rsidR="00332318">
        <w:rPr>
          <w:rFonts w:ascii="Times New Roman" w:hAnsi="Times New Roman"/>
        </w:rPr>
        <w:t xml:space="preserve">solution from </w:t>
      </w:r>
      <w:r w:rsidR="00406E08">
        <w:rPr>
          <w:rFonts w:ascii="Times New Roman" w:hAnsi="Times New Roman"/>
        </w:rPr>
        <w:t>two presented</w:t>
      </w:r>
      <w:r w:rsidR="00406E08" w:rsidRPr="00406E08">
        <w:rPr>
          <w:rFonts w:ascii="Times New Roman" w:hAnsi="Times New Roman"/>
        </w:rPr>
        <w:t xml:space="preserve"> </w:t>
      </w:r>
      <w:r w:rsidR="00064809">
        <w:rPr>
          <w:rFonts w:ascii="Times New Roman" w:hAnsi="Times New Roman"/>
        </w:rPr>
        <w:t>probes</w:t>
      </w:r>
      <w:r w:rsidR="004F54BD">
        <w:rPr>
          <w:rFonts w:ascii="Times New Roman" w:hAnsi="Times New Roman"/>
        </w:rPr>
        <w:t xml:space="preserve"> (e.g.</w:t>
      </w:r>
      <w:r w:rsidR="00540CCE">
        <w:rPr>
          <w:rFonts w:ascii="Times New Roman" w:hAnsi="Times New Roman"/>
        </w:rPr>
        <w:t>,</w:t>
      </w:r>
      <w:r w:rsidR="004F54BD">
        <w:rPr>
          <w:rFonts w:ascii="Times New Roman" w:hAnsi="Times New Roman"/>
        </w:rPr>
        <w:t xml:space="preserve"> </w:t>
      </w:r>
      <w:proofErr w:type="gramStart"/>
      <w:r w:rsidR="004F54BD">
        <w:rPr>
          <w:rFonts w:ascii="Times New Roman" w:hAnsi="Times New Roman"/>
        </w:rPr>
        <w:t>21  23</w:t>
      </w:r>
      <w:proofErr w:type="gramEnd"/>
      <w:r w:rsidR="004F54BD">
        <w:rPr>
          <w:rFonts w:ascii="Times New Roman" w:hAnsi="Times New Roman"/>
        </w:rPr>
        <w:t>; 18  16)</w:t>
      </w:r>
      <w:r w:rsidR="00406E08" w:rsidRPr="00406E08">
        <w:rPr>
          <w:rFonts w:ascii="Times New Roman" w:hAnsi="Times New Roman"/>
        </w:rPr>
        <w:t xml:space="preserve">. </w:t>
      </w:r>
      <w:r w:rsidR="00064809">
        <w:rPr>
          <w:rFonts w:ascii="Times New Roman" w:hAnsi="Times New Roman"/>
        </w:rPr>
        <w:t>I</w:t>
      </w:r>
      <w:r w:rsidR="00406E08" w:rsidRPr="00406E08">
        <w:rPr>
          <w:rFonts w:ascii="Times New Roman" w:hAnsi="Times New Roman"/>
        </w:rPr>
        <w:t xml:space="preserve">ncorrect </w:t>
      </w:r>
      <w:r w:rsidR="00064809">
        <w:rPr>
          <w:rFonts w:ascii="Times New Roman" w:hAnsi="Times New Roman"/>
        </w:rPr>
        <w:t>probes differed from the correct result by either ±</w:t>
      </w:r>
      <w:r w:rsidR="001E1327">
        <w:rPr>
          <w:rFonts w:ascii="Times New Roman" w:hAnsi="Times New Roman"/>
        </w:rPr>
        <w:t xml:space="preserve">2 or </w:t>
      </w:r>
      <w:r w:rsidR="00064809">
        <w:rPr>
          <w:rFonts w:ascii="Times New Roman" w:hAnsi="Times New Roman"/>
        </w:rPr>
        <w:t>±</w:t>
      </w:r>
      <w:r w:rsidR="001E1327">
        <w:rPr>
          <w:rFonts w:ascii="Times New Roman" w:hAnsi="Times New Roman"/>
        </w:rPr>
        <w:t>10</w:t>
      </w:r>
      <w:r w:rsidR="00064809">
        <w:rPr>
          <w:rFonts w:ascii="Times New Roman" w:hAnsi="Times New Roman"/>
        </w:rPr>
        <w:t xml:space="preserve"> with a</w:t>
      </w:r>
      <w:r w:rsidR="00406E08" w:rsidRPr="00406E08">
        <w:rPr>
          <w:rFonts w:ascii="Times New Roman" w:hAnsi="Times New Roman"/>
        </w:rPr>
        <w:t xml:space="preserve">verage split </w:t>
      </w:r>
      <w:r w:rsidR="00064809">
        <w:rPr>
          <w:rFonts w:ascii="Times New Roman" w:hAnsi="Times New Roman"/>
        </w:rPr>
        <w:t>matched at</w:t>
      </w:r>
      <w:r w:rsidR="00406E08" w:rsidRPr="00406E08">
        <w:rPr>
          <w:rFonts w:ascii="Times New Roman" w:hAnsi="Times New Roman"/>
        </w:rPr>
        <w:t xml:space="preserve"> zero</w:t>
      </w:r>
      <w:r w:rsidR="00406E08">
        <w:rPr>
          <w:rFonts w:ascii="Times New Roman" w:hAnsi="Times New Roman"/>
        </w:rPr>
        <w:t xml:space="preserve">. </w:t>
      </w:r>
      <w:r w:rsidR="00011812">
        <w:rPr>
          <w:rFonts w:ascii="Times New Roman" w:hAnsi="Times New Roman"/>
        </w:rPr>
        <w:t>P</w:t>
      </w:r>
      <w:r w:rsidR="00406E08" w:rsidRPr="00406E08">
        <w:rPr>
          <w:rFonts w:ascii="Times New Roman" w:hAnsi="Times New Roman"/>
        </w:rPr>
        <w:t>roblem siz</w:t>
      </w:r>
      <w:r w:rsidR="001E1327">
        <w:rPr>
          <w:rFonts w:ascii="Times New Roman" w:hAnsi="Times New Roman"/>
        </w:rPr>
        <w:t>e</w:t>
      </w:r>
      <w:r w:rsidR="00B2678C">
        <w:rPr>
          <w:rFonts w:ascii="Times New Roman" w:hAnsi="Times New Roman"/>
        </w:rPr>
        <w:t xml:space="preserve"> </w:t>
      </w:r>
      <w:r w:rsidR="00F55ADA">
        <w:rPr>
          <w:rFonts w:ascii="Times New Roman" w:hAnsi="Times New Roman"/>
        </w:rPr>
        <w:t xml:space="preserve">was </w:t>
      </w:r>
      <w:r w:rsidR="00064809">
        <w:rPr>
          <w:rFonts w:ascii="Times New Roman" w:hAnsi="Times New Roman"/>
        </w:rPr>
        <w:t>held constant</w:t>
      </w:r>
      <w:r w:rsidR="00F55ADA" w:rsidRPr="00406E08">
        <w:rPr>
          <w:rFonts w:ascii="Times New Roman" w:hAnsi="Times New Roman"/>
        </w:rPr>
        <w:t xml:space="preserve"> </w:t>
      </w:r>
      <w:r w:rsidR="00406E08" w:rsidRPr="00406E08">
        <w:rPr>
          <w:rFonts w:ascii="Times New Roman" w:hAnsi="Times New Roman"/>
        </w:rPr>
        <w:t xml:space="preserve">between item categories. </w:t>
      </w:r>
      <w:r w:rsidR="00011812">
        <w:rPr>
          <w:rFonts w:ascii="Times New Roman" w:hAnsi="Times New Roman"/>
        </w:rPr>
        <w:t>P</w:t>
      </w:r>
      <w:r w:rsidR="001E1327">
        <w:rPr>
          <w:rFonts w:ascii="Times New Roman" w:hAnsi="Times New Roman"/>
        </w:rPr>
        <w:t xml:space="preserve">roblems and </w:t>
      </w:r>
      <w:r w:rsidR="00064809">
        <w:rPr>
          <w:rFonts w:ascii="Times New Roman" w:hAnsi="Times New Roman"/>
        </w:rPr>
        <w:t>solution probes</w:t>
      </w:r>
      <w:r w:rsidR="001E1327">
        <w:rPr>
          <w:rFonts w:ascii="Times New Roman" w:hAnsi="Times New Roman"/>
        </w:rPr>
        <w:t xml:space="preserve"> were presented </w:t>
      </w:r>
      <w:r w:rsidR="00406E08" w:rsidRPr="00406E08">
        <w:rPr>
          <w:rFonts w:ascii="Times New Roman" w:hAnsi="Times New Roman"/>
        </w:rPr>
        <w:t xml:space="preserve">until </w:t>
      </w:r>
      <w:r w:rsidR="00406E08">
        <w:rPr>
          <w:rFonts w:ascii="Times New Roman" w:hAnsi="Times New Roman"/>
        </w:rPr>
        <w:t>a</w:t>
      </w:r>
      <w:r w:rsidR="00406E08" w:rsidRPr="00406E08">
        <w:rPr>
          <w:rFonts w:ascii="Times New Roman" w:hAnsi="Times New Roman"/>
        </w:rPr>
        <w:t xml:space="preserve"> </w:t>
      </w:r>
      <w:r w:rsidR="00406E08">
        <w:rPr>
          <w:rFonts w:ascii="Times New Roman" w:hAnsi="Times New Roman"/>
        </w:rPr>
        <w:t>response</w:t>
      </w:r>
      <w:r w:rsidR="00011812">
        <w:rPr>
          <w:rFonts w:ascii="Times New Roman" w:hAnsi="Times New Roman"/>
        </w:rPr>
        <w:t xml:space="preserve"> was given</w:t>
      </w:r>
      <w:r w:rsidR="001E1327">
        <w:rPr>
          <w:rFonts w:ascii="Times New Roman" w:hAnsi="Times New Roman"/>
        </w:rPr>
        <w:t>.</w:t>
      </w:r>
      <w:r w:rsidR="00406E08" w:rsidRPr="00406E08">
        <w:rPr>
          <w:rFonts w:ascii="Times New Roman" w:hAnsi="Times New Roman"/>
        </w:rPr>
        <w:t xml:space="preserve"> </w:t>
      </w:r>
      <w:r w:rsidR="001E1327">
        <w:rPr>
          <w:rFonts w:ascii="Times New Roman" w:hAnsi="Times New Roman"/>
        </w:rPr>
        <w:t>Children indicate</w:t>
      </w:r>
      <w:r w:rsidR="00011812">
        <w:rPr>
          <w:rFonts w:ascii="Times New Roman" w:hAnsi="Times New Roman"/>
        </w:rPr>
        <w:t>d</w:t>
      </w:r>
      <w:r w:rsidR="001E1327">
        <w:rPr>
          <w:rFonts w:ascii="Times New Roman" w:hAnsi="Times New Roman"/>
        </w:rPr>
        <w:t xml:space="preserve"> the correct solution by pressing </w:t>
      </w:r>
      <w:r w:rsidR="00406E08" w:rsidRPr="00406E08">
        <w:rPr>
          <w:rFonts w:ascii="Times New Roman" w:hAnsi="Times New Roman"/>
        </w:rPr>
        <w:t xml:space="preserve">the </w:t>
      </w:r>
      <w:r w:rsidR="00B2678C">
        <w:rPr>
          <w:rFonts w:ascii="Times New Roman" w:hAnsi="Times New Roman"/>
        </w:rPr>
        <w:t>‘</w:t>
      </w:r>
      <w:r w:rsidR="00406E08" w:rsidRPr="00406E08">
        <w:rPr>
          <w:rFonts w:ascii="Times New Roman" w:hAnsi="Times New Roman"/>
        </w:rPr>
        <w:t>Alt</w:t>
      </w:r>
      <w:r w:rsidR="00B2678C">
        <w:rPr>
          <w:rFonts w:ascii="Times New Roman" w:hAnsi="Times New Roman"/>
        </w:rPr>
        <w:t>’</w:t>
      </w:r>
      <w:r w:rsidR="00E50542">
        <w:rPr>
          <w:rFonts w:ascii="Times New Roman" w:hAnsi="Times New Roman"/>
        </w:rPr>
        <w:t xml:space="preserve"> or</w:t>
      </w:r>
      <w:r w:rsidR="00406E08" w:rsidRPr="00406E08">
        <w:rPr>
          <w:rFonts w:ascii="Times New Roman" w:hAnsi="Times New Roman"/>
        </w:rPr>
        <w:t xml:space="preserve"> </w:t>
      </w:r>
      <w:r w:rsidR="00E50542" w:rsidRPr="00406E08">
        <w:rPr>
          <w:rFonts w:ascii="Times New Roman" w:hAnsi="Times New Roman"/>
        </w:rPr>
        <w:t xml:space="preserve">the </w:t>
      </w:r>
      <w:r w:rsidR="00E50542">
        <w:rPr>
          <w:rFonts w:ascii="Times New Roman" w:hAnsi="Times New Roman"/>
        </w:rPr>
        <w:t>‘</w:t>
      </w:r>
      <w:r w:rsidR="00E50542" w:rsidRPr="00406E08">
        <w:rPr>
          <w:rFonts w:ascii="Times New Roman" w:hAnsi="Times New Roman"/>
        </w:rPr>
        <w:t xml:space="preserve">Alt </w:t>
      </w:r>
      <w:proofErr w:type="spellStart"/>
      <w:r w:rsidR="00E50542" w:rsidRPr="00406E08">
        <w:rPr>
          <w:rFonts w:ascii="Times New Roman" w:hAnsi="Times New Roman"/>
        </w:rPr>
        <w:t>Gr</w:t>
      </w:r>
      <w:proofErr w:type="spellEnd"/>
      <w:r w:rsidR="00E50542">
        <w:rPr>
          <w:rFonts w:ascii="Times New Roman" w:hAnsi="Times New Roman"/>
        </w:rPr>
        <w:t>’</w:t>
      </w:r>
      <w:r w:rsidR="00E50542" w:rsidRPr="00406E08">
        <w:rPr>
          <w:rFonts w:ascii="Times New Roman" w:hAnsi="Times New Roman"/>
        </w:rPr>
        <w:t xml:space="preserve"> button </w:t>
      </w:r>
      <w:r w:rsidR="00406E08" w:rsidRPr="00406E08">
        <w:rPr>
          <w:rFonts w:ascii="Times New Roman" w:hAnsi="Times New Roman"/>
        </w:rPr>
        <w:t xml:space="preserve">of a </w:t>
      </w:r>
      <w:r w:rsidR="00BE78DF">
        <w:rPr>
          <w:rFonts w:ascii="Times New Roman" w:hAnsi="Times New Roman"/>
        </w:rPr>
        <w:t xml:space="preserve">QWERTZ </w:t>
      </w:r>
      <w:r w:rsidR="00406E08" w:rsidRPr="00406E08">
        <w:rPr>
          <w:rFonts w:ascii="Times New Roman" w:hAnsi="Times New Roman"/>
        </w:rPr>
        <w:t xml:space="preserve">keyboard </w:t>
      </w:r>
      <w:r w:rsidR="001E1327">
        <w:rPr>
          <w:rFonts w:ascii="Times New Roman" w:hAnsi="Times New Roman"/>
        </w:rPr>
        <w:t xml:space="preserve">to choose the solution presented on the left </w:t>
      </w:r>
      <w:r w:rsidR="00E50542">
        <w:rPr>
          <w:rFonts w:ascii="Times New Roman" w:hAnsi="Times New Roman"/>
        </w:rPr>
        <w:t xml:space="preserve">or </w:t>
      </w:r>
      <w:r w:rsidR="001E1327">
        <w:rPr>
          <w:rFonts w:ascii="Times New Roman" w:hAnsi="Times New Roman"/>
        </w:rPr>
        <w:t>right</w:t>
      </w:r>
      <w:r w:rsidR="00406E08" w:rsidRPr="00406E08">
        <w:rPr>
          <w:rFonts w:ascii="Times New Roman" w:hAnsi="Times New Roman"/>
        </w:rPr>
        <w:t>.</w:t>
      </w:r>
      <w:r w:rsidR="007B5CC9">
        <w:rPr>
          <w:rFonts w:ascii="Times New Roman" w:hAnsi="Times New Roman"/>
        </w:rPr>
        <w:t xml:space="preserve"> The i</w:t>
      </w:r>
      <w:r w:rsidR="00406E08" w:rsidRPr="00406E08">
        <w:rPr>
          <w:rFonts w:ascii="Times New Roman" w:hAnsi="Times New Roman"/>
        </w:rPr>
        <w:t xml:space="preserve">nter-stimulus interval </w:t>
      </w:r>
      <w:r w:rsidR="007B5CC9">
        <w:rPr>
          <w:rFonts w:ascii="Times New Roman" w:hAnsi="Times New Roman"/>
        </w:rPr>
        <w:t xml:space="preserve">was set </w:t>
      </w:r>
      <w:r w:rsidR="00BE78DF">
        <w:rPr>
          <w:rFonts w:ascii="Times New Roman" w:hAnsi="Times New Roman"/>
        </w:rPr>
        <w:t>to</w:t>
      </w:r>
      <w:r w:rsidR="00BE78DF" w:rsidRPr="00406E08">
        <w:rPr>
          <w:rFonts w:ascii="Times New Roman" w:hAnsi="Times New Roman"/>
        </w:rPr>
        <w:t xml:space="preserve"> </w:t>
      </w:r>
      <w:r w:rsidR="00406E08" w:rsidRPr="00406E08">
        <w:rPr>
          <w:rFonts w:ascii="Times New Roman" w:hAnsi="Times New Roman"/>
        </w:rPr>
        <w:t xml:space="preserve">560 </w:t>
      </w:r>
      <w:proofErr w:type="spellStart"/>
      <w:r w:rsidR="00406E08" w:rsidRPr="00406E08">
        <w:rPr>
          <w:rFonts w:ascii="Times New Roman" w:hAnsi="Times New Roman"/>
        </w:rPr>
        <w:t>ms</w:t>
      </w:r>
      <w:r w:rsidR="00485CB6">
        <w:rPr>
          <w:rFonts w:ascii="Times New Roman" w:hAnsi="Times New Roman"/>
        </w:rPr>
        <w:t>.</w:t>
      </w:r>
      <w:proofErr w:type="spellEnd"/>
      <w:r w:rsidR="00064809">
        <w:rPr>
          <w:rFonts w:ascii="Times New Roman" w:hAnsi="Times New Roman"/>
        </w:rPr>
        <w:t xml:space="preserve"> </w:t>
      </w:r>
      <w:r w:rsidR="00485CB6">
        <w:rPr>
          <w:rFonts w:ascii="Times New Roman" w:hAnsi="Times New Roman"/>
        </w:rPr>
        <w:t>N</w:t>
      </w:r>
      <w:r w:rsidR="00406E08" w:rsidRPr="00406E08">
        <w:rPr>
          <w:rFonts w:ascii="Times New Roman" w:hAnsi="Times New Roman"/>
        </w:rPr>
        <w:t>o feedback was given.</w:t>
      </w:r>
    </w:p>
    <w:p w:rsidR="00364842" w:rsidRDefault="00364842" w:rsidP="009F522B">
      <w:pPr>
        <w:pStyle w:val="BodyText"/>
      </w:pPr>
    </w:p>
    <w:p w:rsidR="00AC1F20" w:rsidRDefault="00AC1F20">
      <w:pPr>
        <w:rPr>
          <w:rFonts w:ascii="Times New Roman" w:hAnsi="Times New Roman"/>
        </w:rPr>
      </w:pPr>
      <w:r>
        <w:br w:type="page"/>
      </w:r>
    </w:p>
    <w:p w:rsidR="00F32561" w:rsidRDefault="00F32561" w:rsidP="00D6149D">
      <w:pPr>
        <w:pStyle w:val="BodyText"/>
        <w:ind w:firstLine="0"/>
      </w:pPr>
    </w:p>
    <w:p w:rsidR="00817F39" w:rsidRDefault="005C6C88" w:rsidP="00D6149D">
      <w:pPr>
        <w:pStyle w:val="BodyText"/>
        <w:ind w:firstLine="0"/>
        <w:jc w:val="center"/>
        <w:rPr>
          <w:b/>
        </w:rPr>
      </w:pPr>
      <w:r w:rsidRPr="0094399C">
        <w:rPr>
          <w:b/>
        </w:rPr>
        <w:t>Results</w:t>
      </w:r>
    </w:p>
    <w:p w:rsidR="00C0289F" w:rsidRDefault="007B5CC9" w:rsidP="00C0289F">
      <w:pPr>
        <w:pStyle w:val="BodyText"/>
      </w:pPr>
      <w:r>
        <w:t xml:space="preserve">Trials with RTs </w:t>
      </w:r>
      <w:r w:rsidR="00330E83">
        <w:t xml:space="preserve">three standard deviations above or below a child’s average </w:t>
      </w:r>
      <w:r w:rsidR="00F864BE">
        <w:t xml:space="preserve">RT </w:t>
      </w:r>
      <w:r w:rsidR="00330E83">
        <w:t>were excluded. Children with</w:t>
      </w:r>
      <w:r w:rsidR="00672202">
        <w:t xml:space="preserve"> a</w:t>
      </w:r>
      <w:r w:rsidR="00330E83">
        <w:t xml:space="preserve"> trial exclusion or error rate over 25% were not considered</w:t>
      </w:r>
      <w:r w:rsidR="0088049B">
        <w:t xml:space="preserve"> </w:t>
      </w:r>
      <w:r w:rsidR="00E8080D">
        <w:t>[</w:t>
      </w:r>
      <w:r w:rsidR="00330E83">
        <w:t>five Austrian</w:t>
      </w:r>
      <w:r w:rsidR="00E8080D">
        <w:t xml:space="preserve"> (mean age 8</w:t>
      </w:r>
      <w:proofErr w:type="gramStart"/>
      <w:r w:rsidR="00E8080D">
        <w:t>;3</w:t>
      </w:r>
      <w:proofErr w:type="gramEnd"/>
      <w:r w:rsidR="00E8080D">
        <w:t xml:space="preserve"> years, </w:t>
      </w:r>
      <w:r w:rsidR="00C12C4A">
        <w:t>3</w:t>
      </w:r>
      <w:r w:rsidR="00E8080D">
        <w:t xml:space="preserve"> </w:t>
      </w:r>
      <w:r w:rsidR="00C12C4A">
        <w:t>fe</w:t>
      </w:r>
      <w:r w:rsidR="00E8080D">
        <w:t>male)</w:t>
      </w:r>
      <w:r w:rsidR="00330E83">
        <w:t xml:space="preserve"> and 23 Italian </w:t>
      </w:r>
      <w:r w:rsidR="00540CCE">
        <w:t xml:space="preserve">(mean age years 7;11 years, </w:t>
      </w:r>
      <w:r w:rsidR="00C12C4A">
        <w:t>15</w:t>
      </w:r>
      <w:r w:rsidR="00540CCE">
        <w:t xml:space="preserve"> </w:t>
      </w:r>
      <w:r w:rsidR="00C12C4A">
        <w:t>fe</w:t>
      </w:r>
      <w:r w:rsidR="00540CCE">
        <w:t xml:space="preserve">male) </w:t>
      </w:r>
      <w:r w:rsidR="00330E83">
        <w:t>children</w:t>
      </w:r>
      <w:r w:rsidR="00E8080D">
        <w:t>]</w:t>
      </w:r>
      <w:r w:rsidR="00AD5569">
        <w:t xml:space="preserve">. </w:t>
      </w:r>
      <w:r w:rsidR="009F5196">
        <w:t xml:space="preserve">For </w:t>
      </w:r>
      <w:r w:rsidR="009A1D0A">
        <w:t>one Italian child no WM data were</w:t>
      </w:r>
      <w:r w:rsidR="009F5196">
        <w:t xml:space="preserve"> </w:t>
      </w:r>
      <w:r w:rsidR="0088049B">
        <w:t>available</w:t>
      </w:r>
      <w:r w:rsidR="009F5196">
        <w:t xml:space="preserve">. </w:t>
      </w:r>
      <w:r w:rsidR="00B66792">
        <w:t>Thus, th</w:t>
      </w:r>
      <w:r w:rsidR="00817F39">
        <w:t xml:space="preserve">e </w:t>
      </w:r>
      <w:r w:rsidR="00B66792">
        <w:t>data of 89 German- and 8</w:t>
      </w:r>
      <w:r w:rsidR="009F5196">
        <w:t>0</w:t>
      </w:r>
      <w:r w:rsidR="00B66792">
        <w:t xml:space="preserve"> Italian-speaking children were considered in the analyses</w:t>
      </w:r>
      <w:r w:rsidR="00330E83">
        <w:t>.</w:t>
      </w:r>
      <w:r w:rsidR="00C0289F">
        <w:t xml:space="preserve"> Austrian children were on average significantly older and had higher CFT-1 and WM scores than Italian children (see Table 1).</w:t>
      </w:r>
    </w:p>
    <w:p w:rsidR="00C0289F" w:rsidRDefault="00C0289F" w:rsidP="00C0289F">
      <w:pPr>
        <w:pStyle w:val="BlockText"/>
      </w:pPr>
    </w:p>
    <w:p w:rsidR="00C0289F" w:rsidRDefault="00C0289F" w:rsidP="00C0289F">
      <w:pPr>
        <w:pStyle w:val="BlockText"/>
      </w:pPr>
      <w:r>
        <w:t>Table 1</w:t>
      </w:r>
    </w:p>
    <w:p w:rsidR="00C0289F" w:rsidRPr="0005557E" w:rsidRDefault="00C0289F" w:rsidP="00C0289F">
      <w:pPr>
        <w:pStyle w:val="BlockText"/>
      </w:pPr>
      <w:r>
        <w:rPr>
          <w:i/>
        </w:rPr>
        <w:t>Mean (Standard Deviations) of age, IQ and working memory for the Austrian and Italian sample</w:t>
      </w:r>
    </w:p>
    <w:tbl>
      <w:tblPr>
        <w:tblStyle w:val="TableGrid"/>
        <w:tblW w:w="5073" w:type="pct"/>
        <w:tblLook w:val="04A0"/>
      </w:tblPr>
      <w:tblGrid>
        <w:gridCol w:w="1721"/>
        <w:gridCol w:w="90"/>
        <w:gridCol w:w="280"/>
        <w:gridCol w:w="847"/>
        <w:gridCol w:w="768"/>
        <w:gridCol w:w="459"/>
        <w:gridCol w:w="960"/>
        <w:gridCol w:w="709"/>
        <w:gridCol w:w="311"/>
        <w:gridCol w:w="113"/>
        <w:gridCol w:w="142"/>
        <w:gridCol w:w="142"/>
        <w:gridCol w:w="424"/>
        <w:gridCol w:w="282"/>
        <w:gridCol w:w="144"/>
        <w:gridCol w:w="332"/>
        <w:gridCol w:w="659"/>
        <w:gridCol w:w="144"/>
        <w:gridCol w:w="93"/>
        <w:gridCol w:w="1096"/>
      </w:tblGrid>
      <w:tr w:rsidR="00C0289F" w:rsidTr="00C0289F">
        <w:tc>
          <w:tcPr>
            <w:tcW w:w="886" w:type="pct"/>
            <w:tcBorders>
              <w:top w:val="single" w:sz="4" w:space="0" w:color="auto"/>
              <w:left w:val="nil"/>
              <w:bottom w:val="nil"/>
              <w:right w:val="nil"/>
            </w:tcBorders>
          </w:tcPr>
          <w:p w:rsidR="00C0289F" w:rsidRDefault="00C0289F" w:rsidP="00C0289F">
            <w:pPr>
              <w:pStyle w:val="BlockText"/>
            </w:pPr>
          </w:p>
        </w:tc>
        <w:tc>
          <w:tcPr>
            <w:tcW w:w="1022" w:type="pct"/>
            <w:gridSpan w:val="4"/>
            <w:tcBorders>
              <w:top w:val="single" w:sz="4" w:space="0" w:color="auto"/>
              <w:left w:val="nil"/>
              <w:bottom w:val="single" w:sz="4" w:space="0" w:color="auto"/>
              <w:right w:val="nil"/>
            </w:tcBorders>
            <w:vAlign w:val="bottom"/>
          </w:tcPr>
          <w:p w:rsidR="00C0289F" w:rsidRDefault="00C0289F" w:rsidP="00C0289F">
            <w:pPr>
              <w:pStyle w:val="BlockText"/>
              <w:spacing w:line="360" w:lineRule="auto"/>
              <w:jc w:val="center"/>
            </w:pPr>
            <w:r>
              <w:t>Austrian (N = 89)</w:t>
            </w:r>
          </w:p>
        </w:tc>
        <w:tc>
          <w:tcPr>
            <w:tcW w:w="206" w:type="pct"/>
            <w:tcBorders>
              <w:top w:val="single" w:sz="4" w:space="0" w:color="auto"/>
              <w:left w:val="nil"/>
              <w:bottom w:val="nil"/>
              <w:right w:val="nil"/>
            </w:tcBorders>
          </w:tcPr>
          <w:p w:rsidR="00C0289F" w:rsidRDefault="00C0289F" w:rsidP="00C0289F">
            <w:pPr>
              <w:pStyle w:val="BlockText"/>
              <w:spacing w:line="360" w:lineRule="auto"/>
              <w:jc w:val="center"/>
            </w:pPr>
          </w:p>
        </w:tc>
        <w:tc>
          <w:tcPr>
            <w:tcW w:w="1019" w:type="pct"/>
            <w:gridSpan w:val="3"/>
            <w:tcBorders>
              <w:top w:val="single" w:sz="4" w:space="0" w:color="auto"/>
              <w:left w:val="nil"/>
              <w:bottom w:val="single" w:sz="4" w:space="0" w:color="auto"/>
              <w:right w:val="nil"/>
            </w:tcBorders>
            <w:vAlign w:val="bottom"/>
          </w:tcPr>
          <w:p w:rsidR="00C0289F" w:rsidRDefault="00C0289F" w:rsidP="00C0289F">
            <w:pPr>
              <w:pStyle w:val="BlockText"/>
              <w:spacing w:line="360" w:lineRule="auto"/>
              <w:jc w:val="center"/>
            </w:pPr>
            <w:r>
              <w:t>Italian (N = 80)</w:t>
            </w:r>
          </w:p>
        </w:tc>
        <w:tc>
          <w:tcPr>
            <w:tcW w:w="422" w:type="pct"/>
            <w:gridSpan w:val="4"/>
            <w:tcBorders>
              <w:top w:val="single" w:sz="4" w:space="0" w:color="auto"/>
              <w:left w:val="nil"/>
              <w:bottom w:val="nil"/>
              <w:right w:val="nil"/>
            </w:tcBorders>
          </w:tcPr>
          <w:p w:rsidR="00C0289F" w:rsidRDefault="00C0289F" w:rsidP="00C0289F">
            <w:pPr>
              <w:pStyle w:val="BlockText"/>
              <w:jc w:val="center"/>
            </w:pPr>
          </w:p>
        </w:tc>
        <w:tc>
          <w:tcPr>
            <w:tcW w:w="390" w:type="pct"/>
            <w:gridSpan w:val="3"/>
            <w:tcBorders>
              <w:top w:val="single" w:sz="4" w:space="0" w:color="auto"/>
              <w:left w:val="nil"/>
              <w:bottom w:val="nil"/>
              <w:right w:val="nil"/>
            </w:tcBorders>
          </w:tcPr>
          <w:p w:rsidR="00C0289F" w:rsidRDefault="00C0289F" w:rsidP="00C0289F">
            <w:pPr>
              <w:pStyle w:val="BlockText"/>
              <w:jc w:val="center"/>
            </w:pPr>
          </w:p>
        </w:tc>
        <w:tc>
          <w:tcPr>
            <w:tcW w:w="461" w:type="pct"/>
            <w:gridSpan w:val="3"/>
            <w:tcBorders>
              <w:top w:val="single" w:sz="4" w:space="0" w:color="auto"/>
              <w:left w:val="nil"/>
              <w:bottom w:val="nil"/>
              <w:right w:val="nil"/>
            </w:tcBorders>
          </w:tcPr>
          <w:p w:rsidR="00C0289F" w:rsidRDefault="00C0289F" w:rsidP="00C0289F">
            <w:pPr>
              <w:pStyle w:val="BlockText"/>
              <w:jc w:val="center"/>
            </w:pPr>
          </w:p>
        </w:tc>
        <w:tc>
          <w:tcPr>
            <w:tcW w:w="522" w:type="pct"/>
            <w:tcBorders>
              <w:top w:val="single" w:sz="4" w:space="0" w:color="auto"/>
              <w:left w:val="nil"/>
              <w:bottom w:val="nil"/>
              <w:right w:val="nil"/>
            </w:tcBorders>
          </w:tcPr>
          <w:p w:rsidR="00C0289F" w:rsidRDefault="00C0289F" w:rsidP="00C0289F">
            <w:pPr>
              <w:pStyle w:val="BlockText"/>
              <w:jc w:val="center"/>
            </w:pPr>
          </w:p>
        </w:tc>
      </w:tr>
      <w:tr w:rsidR="00C0289F" w:rsidTr="00C0289F">
        <w:tc>
          <w:tcPr>
            <w:tcW w:w="933" w:type="pct"/>
            <w:gridSpan w:val="2"/>
            <w:tcBorders>
              <w:top w:val="nil"/>
              <w:left w:val="nil"/>
              <w:bottom w:val="single" w:sz="4" w:space="0" w:color="auto"/>
              <w:right w:val="nil"/>
            </w:tcBorders>
            <w:vAlign w:val="bottom"/>
          </w:tcPr>
          <w:p w:rsidR="00C0289F" w:rsidRDefault="00C0289F" w:rsidP="00C0289F">
            <w:pPr>
              <w:pStyle w:val="BlockText"/>
              <w:spacing w:before="240"/>
              <w:jc w:val="center"/>
            </w:pPr>
            <w:r>
              <w:t>Variable</w:t>
            </w:r>
          </w:p>
        </w:tc>
        <w:tc>
          <w:tcPr>
            <w:tcW w:w="580" w:type="pct"/>
            <w:gridSpan w:val="2"/>
            <w:tcBorders>
              <w:top w:val="single" w:sz="4" w:space="0" w:color="auto"/>
              <w:left w:val="nil"/>
              <w:bottom w:val="single" w:sz="4" w:space="0" w:color="auto"/>
              <w:right w:val="nil"/>
            </w:tcBorders>
            <w:vAlign w:val="bottom"/>
          </w:tcPr>
          <w:p w:rsidR="00C0289F" w:rsidRPr="00CD5E42" w:rsidRDefault="00C0289F" w:rsidP="00C0289F">
            <w:pPr>
              <w:pStyle w:val="BlockText"/>
              <w:spacing w:before="240"/>
              <w:jc w:val="center"/>
              <w:rPr>
                <w:i/>
              </w:rPr>
            </w:pPr>
            <w:r w:rsidRPr="00CD5E42">
              <w:rPr>
                <w:i/>
              </w:rPr>
              <w:t>M</w:t>
            </w:r>
          </w:p>
        </w:tc>
        <w:tc>
          <w:tcPr>
            <w:tcW w:w="365" w:type="pct"/>
            <w:tcBorders>
              <w:top w:val="single" w:sz="4" w:space="0" w:color="auto"/>
              <w:left w:val="nil"/>
              <w:bottom w:val="single" w:sz="4" w:space="0" w:color="auto"/>
              <w:right w:val="nil"/>
            </w:tcBorders>
            <w:vAlign w:val="bottom"/>
          </w:tcPr>
          <w:p w:rsidR="00C0289F" w:rsidRPr="00CD5E42" w:rsidRDefault="00C0289F" w:rsidP="00C0289F">
            <w:pPr>
              <w:pStyle w:val="BlockText"/>
              <w:spacing w:before="240"/>
              <w:jc w:val="center"/>
              <w:rPr>
                <w:i/>
              </w:rPr>
            </w:pPr>
            <w:r w:rsidRPr="00CD5E42">
              <w:rPr>
                <w:i/>
              </w:rPr>
              <w:t>SD</w:t>
            </w:r>
          </w:p>
        </w:tc>
        <w:tc>
          <w:tcPr>
            <w:tcW w:w="236" w:type="pct"/>
            <w:tcBorders>
              <w:top w:val="nil"/>
              <w:left w:val="nil"/>
              <w:bottom w:val="single" w:sz="4" w:space="0" w:color="auto"/>
              <w:right w:val="nil"/>
            </w:tcBorders>
          </w:tcPr>
          <w:p w:rsidR="00C0289F" w:rsidRPr="00CD5E42" w:rsidRDefault="00C0289F" w:rsidP="00C0289F">
            <w:pPr>
              <w:pStyle w:val="BlockText"/>
              <w:spacing w:before="240"/>
              <w:jc w:val="center"/>
              <w:rPr>
                <w:i/>
              </w:rPr>
            </w:pPr>
          </w:p>
        </w:tc>
        <w:tc>
          <w:tcPr>
            <w:tcW w:w="494" w:type="pct"/>
            <w:tcBorders>
              <w:top w:val="single" w:sz="4" w:space="0" w:color="auto"/>
              <w:left w:val="nil"/>
              <w:bottom w:val="single" w:sz="4" w:space="0" w:color="auto"/>
              <w:right w:val="nil"/>
            </w:tcBorders>
            <w:vAlign w:val="bottom"/>
          </w:tcPr>
          <w:p w:rsidR="00C0289F" w:rsidRPr="00CD5E42" w:rsidRDefault="00C0289F" w:rsidP="00C0289F">
            <w:pPr>
              <w:pStyle w:val="BlockText"/>
              <w:spacing w:before="240"/>
              <w:jc w:val="center"/>
              <w:rPr>
                <w:i/>
              </w:rPr>
            </w:pPr>
            <w:r w:rsidRPr="00CD5E42">
              <w:rPr>
                <w:i/>
              </w:rPr>
              <w:t>M</w:t>
            </w:r>
          </w:p>
        </w:tc>
        <w:tc>
          <w:tcPr>
            <w:tcW w:w="365" w:type="pct"/>
            <w:tcBorders>
              <w:top w:val="single" w:sz="4" w:space="0" w:color="auto"/>
              <w:left w:val="nil"/>
              <w:bottom w:val="single" w:sz="4" w:space="0" w:color="auto"/>
              <w:right w:val="nil"/>
            </w:tcBorders>
            <w:vAlign w:val="bottom"/>
          </w:tcPr>
          <w:p w:rsidR="00C0289F" w:rsidRPr="00CD5E42" w:rsidRDefault="00C0289F" w:rsidP="00C0289F">
            <w:pPr>
              <w:pStyle w:val="BlockText"/>
              <w:spacing w:before="240"/>
              <w:jc w:val="center"/>
              <w:rPr>
                <w:i/>
              </w:rPr>
            </w:pPr>
            <w:r w:rsidRPr="00CD5E42">
              <w:rPr>
                <w:i/>
              </w:rPr>
              <w:t>SD</w:t>
            </w:r>
          </w:p>
        </w:tc>
        <w:tc>
          <w:tcPr>
            <w:tcW w:w="291" w:type="pct"/>
            <w:gridSpan w:val="3"/>
            <w:tcBorders>
              <w:top w:val="nil"/>
              <w:left w:val="nil"/>
              <w:bottom w:val="single" w:sz="4" w:space="0" w:color="auto"/>
              <w:right w:val="nil"/>
            </w:tcBorders>
            <w:vAlign w:val="bottom"/>
          </w:tcPr>
          <w:p w:rsidR="00C0289F" w:rsidRPr="00CD5E42" w:rsidRDefault="00C0289F" w:rsidP="00C0289F">
            <w:pPr>
              <w:pStyle w:val="BlockText"/>
              <w:spacing w:before="240"/>
              <w:jc w:val="center"/>
              <w:rPr>
                <w:i/>
              </w:rPr>
            </w:pPr>
          </w:p>
        </w:tc>
        <w:tc>
          <w:tcPr>
            <w:tcW w:w="436" w:type="pct"/>
            <w:gridSpan w:val="3"/>
            <w:tcBorders>
              <w:top w:val="nil"/>
              <w:left w:val="nil"/>
              <w:bottom w:val="single" w:sz="4" w:space="0" w:color="auto"/>
              <w:right w:val="nil"/>
            </w:tcBorders>
            <w:vAlign w:val="bottom"/>
          </w:tcPr>
          <w:p w:rsidR="00C0289F" w:rsidRPr="00CD5E42" w:rsidRDefault="00C0289F" w:rsidP="00C0289F">
            <w:pPr>
              <w:pStyle w:val="BlockText"/>
              <w:spacing w:before="240"/>
              <w:jc w:val="center"/>
              <w:rPr>
                <w:i/>
              </w:rPr>
            </w:pPr>
            <w:r w:rsidRPr="00CD5E42">
              <w:rPr>
                <w:i/>
              </w:rPr>
              <w:t>t</w:t>
            </w:r>
            <w:r w:rsidRPr="00CD5E42">
              <w:rPr>
                <w:i/>
                <w:vertAlign w:val="superscript"/>
              </w:rPr>
              <w:t>§</w:t>
            </w:r>
          </w:p>
        </w:tc>
        <w:tc>
          <w:tcPr>
            <w:tcW w:w="584" w:type="pct"/>
            <w:gridSpan w:val="3"/>
            <w:tcBorders>
              <w:top w:val="nil"/>
              <w:left w:val="nil"/>
              <w:bottom w:val="single" w:sz="4" w:space="0" w:color="auto"/>
              <w:right w:val="nil"/>
            </w:tcBorders>
            <w:vAlign w:val="bottom"/>
          </w:tcPr>
          <w:p w:rsidR="00C0289F" w:rsidRPr="00CD5E42" w:rsidRDefault="00C0289F" w:rsidP="00C0289F">
            <w:pPr>
              <w:pStyle w:val="BlockText"/>
              <w:spacing w:before="240"/>
              <w:jc w:val="center"/>
              <w:rPr>
                <w:i/>
              </w:rPr>
            </w:pPr>
            <w:r w:rsidRPr="00CD5E42">
              <w:rPr>
                <w:i/>
              </w:rPr>
              <w:t>p</w:t>
            </w:r>
            <w:r w:rsidRPr="00CD5E42">
              <w:rPr>
                <w:i/>
                <w:vertAlign w:val="superscript"/>
              </w:rPr>
              <w:t>+</w:t>
            </w:r>
          </w:p>
        </w:tc>
        <w:tc>
          <w:tcPr>
            <w:tcW w:w="644" w:type="pct"/>
            <w:gridSpan w:val="3"/>
            <w:tcBorders>
              <w:top w:val="nil"/>
              <w:left w:val="nil"/>
              <w:bottom w:val="single" w:sz="4" w:space="0" w:color="auto"/>
              <w:right w:val="nil"/>
            </w:tcBorders>
            <w:vAlign w:val="center"/>
          </w:tcPr>
          <w:p w:rsidR="00C0289F" w:rsidRPr="00CD5E42" w:rsidRDefault="00C0289F" w:rsidP="00C0289F">
            <w:pPr>
              <w:pStyle w:val="BlockText"/>
              <w:spacing w:before="240"/>
              <w:rPr>
                <w:i/>
              </w:rPr>
            </w:pPr>
            <w:r w:rsidRPr="00CD5E42">
              <w:rPr>
                <w:i/>
              </w:rPr>
              <w:t>Cohen’s d</w:t>
            </w:r>
          </w:p>
        </w:tc>
      </w:tr>
      <w:tr w:rsidR="00C0289F" w:rsidTr="00C0289F">
        <w:tc>
          <w:tcPr>
            <w:tcW w:w="1077" w:type="pct"/>
            <w:gridSpan w:val="3"/>
            <w:tcBorders>
              <w:top w:val="single" w:sz="4" w:space="0" w:color="auto"/>
              <w:left w:val="nil"/>
              <w:bottom w:val="nil"/>
              <w:right w:val="nil"/>
            </w:tcBorders>
          </w:tcPr>
          <w:p w:rsidR="00C0289F" w:rsidRDefault="00C0289F" w:rsidP="00C0289F">
            <w:pPr>
              <w:pStyle w:val="BlockText"/>
              <w:spacing w:before="120"/>
            </w:pPr>
            <w:r>
              <w:t>Age (in months)</w:t>
            </w:r>
          </w:p>
        </w:tc>
        <w:tc>
          <w:tcPr>
            <w:tcW w:w="436" w:type="pct"/>
            <w:tcBorders>
              <w:top w:val="single" w:sz="4" w:space="0" w:color="auto"/>
              <w:left w:val="nil"/>
              <w:bottom w:val="nil"/>
              <w:right w:val="nil"/>
            </w:tcBorders>
          </w:tcPr>
          <w:p w:rsidR="00C0289F" w:rsidRDefault="00C0289F" w:rsidP="00C0289F">
            <w:pPr>
              <w:pStyle w:val="BlockText"/>
              <w:spacing w:before="120"/>
            </w:pPr>
            <w:r>
              <w:t>99.72</w:t>
            </w:r>
          </w:p>
        </w:tc>
        <w:tc>
          <w:tcPr>
            <w:tcW w:w="365" w:type="pct"/>
            <w:tcBorders>
              <w:top w:val="single" w:sz="4" w:space="0" w:color="auto"/>
              <w:left w:val="nil"/>
              <w:bottom w:val="nil"/>
              <w:right w:val="nil"/>
            </w:tcBorders>
          </w:tcPr>
          <w:p w:rsidR="00C0289F" w:rsidRDefault="00C0289F" w:rsidP="00C0289F">
            <w:pPr>
              <w:pStyle w:val="BlockText"/>
              <w:spacing w:before="120"/>
            </w:pPr>
            <w:r>
              <w:t>4.48</w:t>
            </w:r>
          </w:p>
        </w:tc>
        <w:tc>
          <w:tcPr>
            <w:tcW w:w="236" w:type="pct"/>
            <w:tcBorders>
              <w:top w:val="single" w:sz="4" w:space="0" w:color="auto"/>
              <w:left w:val="nil"/>
              <w:bottom w:val="nil"/>
              <w:right w:val="nil"/>
            </w:tcBorders>
          </w:tcPr>
          <w:p w:rsidR="00C0289F" w:rsidRDefault="00C0289F" w:rsidP="00C0289F">
            <w:pPr>
              <w:pStyle w:val="BlockText"/>
              <w:spacing w:before="120"/>
            </w:pPr>
          </w:p>
        </w:tc>
        <w:tc>
          <w:tcPr>
            <w:tcW w:w="494" w:type="pct"/>
            <w:tcBorders>
              <w:top w:val="single" w:sz="4" w:space="0" w:color="auto"/>
              <w:left w:val="nil"/>
              <w:bottom w:val="nil"/>
              <w:right w:val="nil"/>
            </w:tcBorders>
          </w:tcPr>
          <w:p w:rsidR="00C0289F" w:rsidRDefault="00C0289F" w:rsidP="00C0289F">
            <w:pPr>
              <w:pStyle w:val="BlockText"/>
              <w:spacing w:before="120"/>
            </w:pPr>
            <w:r>
              <w:t>95.24</w:t>
            </w:r>
          </w:p>
        </w:tc>
        <w:tc>
          <w:tcPr>
            <w:tcW w:w="365" w:type="pct"/>
            <w:tcBorders>
              <w:top w:val="single" w:sz="4" w:space="0" w:color="auto"/>
              <w:left w:val="nil"/>
              <w:bottom w:val="nil"/>
              <w:right w:val="nil"/>
            </w:tcBorders>
          </w:tcPr>
          <w:p w:rsidR="00C0289F" w:rsidRDefault="00C0289F" w:rsidP="00C0289F">
            <w:pPr>
              <w:pStyle w:val="BlockText"/>
              <w:spacing w:before="120"/>
            </w:pPr>
            <w:r>
              <w:t>3.42</w:t>
            </w:r>
          </w:p>
        </w:tc>
        <w:tc>
          <w:tcPr>
            <w:tcW w:w="291" w:type="pct"/>
            <w:gridSpan w:val="3"/>
            <w:tcBorders>
              <w:top w:val="single" w:sz="4" w:space="0" w:color="auto"/>
              <w:left w:val="nil"/>
              <w:bottom w:val="nil"/>
              <w:right w:val="nil"/>
            </w:tcBorders>
          </w:tcPr>
          <w:p w:rsidR="00C0289F" w:rsidRDefault="00C0289F" w:rsidP="00C0289F">
            <w:pPr>
              <w:pStyle w:val="BlockText"/>
              <w:spacing w:before="120"/>
            </w:pPr>
          </w:p>
        </w:tc>
        <w:tc>
          <w:tcPr>
            <w:tcW w:w="510" w:type="pct"/>
            <w:gridSpan w:val="4"/>
            <w:tcBorders>
              <w:top w:val="single" w:sz="4" w:space="0" w:color="auto"/>
              <w:left w:val="nil"/>
              <w:bottom w:val="nil"/>
              <w:right w:val="nil"/>
            </w:tcBorders>
          </w:tcPr>
          <w:p w:rsidR="00C0289F" w:rsidRDefault="00C0289F" w:rsidP="00C0289F">
            <w:pPr>
              <w:pStyle w:val="BlockText"/>
              <w:spacing w:before="120"/>
            </w:pPr>
            <w:r>
              <w:t>7.25</w:t>
            </w:r>
          </w:p>
        </w:tc>
        <w:tc>
          <w:tcPr>
            <w:tcW w:w="584" w:type="pct"/>
            <w:gridSpan w:val="3"/>
            <w:tcBorders>
              <w:top w:val="single" w:sz="4" w:space="0" w:color="auto"/>
              <w:left w:val="nil"/>
              <w:bottom w:val="nil"/>
              <w:right w:val="nil"/>
            </w:tcBorders>
          </w:tcPr>
          <w:p w:rsidR="00C0289F" w:rsidRDefault="00C0289F" w:rsidP="00C0289F">
            <w:pPr>
              <w:pStyle w:val="BlockText"/>
              <w:spacing w:before="120"/>
            </w:pPr>
            <w:r>
              <w:t>&lt;0.001</w:t>
            </w:r>
          </w:p>
        </w:tc>
        <w:tc>
          <w:tcPr>
            <w:tcW w:w="570" w:type="pct"/>
            <w:gridSpan w:val="2"/>
            <w:tcBorders>
              <w:top w:val="single" w:sz="4" w:space="0" w:color="auto"/>
              <w:left w:val="nil"/>
              <w:bottom w:val="nil"/>
              <w:right w:val="nil"/>
            </w:tcBorders>
          </w:tcPr>
          <w:p w:rsidR="00C0289F" w:rsidRDefault="00C0289F" w:rsidP="00C0289F">
            <w:pPr>
              <w:pStyle w:val="BlockText"/>
              <w:spacing w:before="120"/>
            </w:pPr>
            <w:r>
              <w:t>1.12</w:t>
            </w:r>
          </w:p>
        </w:tc>
      </w:tr>
      <w:tr w:rsidR="00C0289F" w:rsidTr="00C0289F">
        <w:tc>
          <w:tcPr>
            <w:tcW w:w="1077" w:type="pct"/>
            <w:gridSpan w:val="3"/>
            <w:tcBorders>
              <w:top w:val="nil"/>
              <w:left w:val="nil"/>
              <w:bottom w:val="nil"/>
              <w:right w:val="nil"/>
            </w:tcBorders>
          </w:tcPr>
          <w:p w:rsidR="00C0289F" w:rsidRDefault="00C0289F" w:rsidP="00C0289F">
            <w:pPr>
              <w:pStyle w:val="BlockText"/>
            </w:pPr>
            <w:r>
              <w:t>CFT (T-score)</w:t>
            </w:r>
          </w:p>
        </w:tc>
        <w:tc>
          <w:tcPr>
            <w:tcW w:w="436" w:type="pct"/>
            <w:tcBorders>
              <w:top w:val="nil"/>
              <w:left w:val="nil"/>
              <w:bottom w:val="nil"/>
              <w:right w:val="nil"/>
            </w:tcBorders>
          </w:tcPr>
          <w:p w:rsidR="00C0289F" w:rsidRDefault="00C0289F" w:rsidP="00C0289F">
            <w:pPr>
              <w:pStyle w:val="BlockText"/>
            </w:pPr>
            <w:r>
              <w:t>59.74</w:t>
            </w:r>
          </w:p>
        </w:tc>
        <w:tc>
          <w:tcPr>
            <w:tcW w:w="365" w:type="pct"/>
            <w:tcBorders>
              <w:top w:val="nil"/>
              <w:left w:val="nil"/>
              <w:bottom w:val="nil"/>
              <w:right w:val="nil"/>
            </w:tcBorders>
          </w:tcPr>
          <w:p w:rsidR="00C0289F" w:rsidRDefault="00C0289F" w:rsidP="00C0289F">
            <w:pPr>
              <w:pStyle w:val="BlockText"/>
            </w:pPr>
            <w:r>
              <w:t>7.86</w:t>
            </w:r>
          </w:p>
        </w:tc>
        <w:tc>
          <w:tcPr>
            <w:tcW w:w="236" w:type="pct"/>
            <w:tcBorders>
              <w:top w:val="nil"/>
              <w:left w:val="nil"/>
              <w:bottom w:val="nil"/>
              <w:right w:val="nil"/>
            </w:tcBorders>
          </w:tcPr>
          <w:p w:rsidR="00C0289F" w:rsidRDefault="00C0289F" w:rsidP="00C0289F">
            <w:pPr>
              <w:pStyle w:val="BlockText"/>
            </w:pPr>
          </w:p>
        </w:tc>
        <w:tc>
          <w:tcPr>
            <w:tcW w:w="494" w:type="pct"/>
            <w:tcBorders>
              <w:top w:val="nil"/>
              <w:left w:val="nil"/>
              <w:bottom w:val="nil"/>
              <w:right w:val="nil"/>
            </w:tcBorders>
          </w:tcPr>
          <w:p w:rsidR="00C0289F" w:rsidRDefault="00C0289F" w:rsidP="00C0289F">
            <w:pPr>
              <w:pStyle w:val="BlockText"/>
            </w:pPr>
            <w:r>
              <w:t>47.33</w:t>
            </w:r>
          </w:p>
        </w:tc>
        <w:tc>
          <w:tcPr>
            <w:tcW w:w="365" w:type="pct"/>
            <w:tcBorders>
              <w:top w:val="nil"/>
              <w:left w:val="nil"/>
              <w:bottom w:val="nil"/>
              <w:right w:val="nil"/>
            </w:tcBorders>
          </w:tcPr>
          <w:p w:rsidR="00C0289F" w:rsidRDefault="00C0289F" w:rsidP="00C0289F">
            <w:pPr>
              <w:pStyle w:val="BlockText"/>
            </w:pPr>
            <w:r>
              <w:t>7.00</w:t>
            </w:r>
          </w:p>
        </w:tc>
        <w:tc>
          <w:tcPr>
            <w:tcW w:w="291" w:type="pct"/>
            <w:gridSpan w:val="3"/>
            <w:tcBorders>
              <w:top w:val="nil"/>
              <w:left w:val="nil"/>
              <w:bottom w:val="nil"/>
              <w:right w:val="nil"/>
            </w:tcBorders>
          </w:tcPr>
          <w:p w:rsidR="00C0289F" w:rsidRDefault="00C0289F" w:rsidP="00C0289F">
            <w:pPr>
              <w:pStyle w:val="BlockText"/>
            </w:pPr>
          </w:p>
        </w:tc>
        <w:tc>
          <w:tcPr>
            <w:tcW w:w="510" w:type="pct"/>
            <w:gridSpan w:val="4"/>
            <w:tcBorders>
              <w:top w:val="nil"/>
              <w:left w:val="nil"/>
              <w:bottom w:val="nil"/>
              <w:right w:val="nil"/>
            </w:tcBorders>
          </w:tcPr>
          <w:p w:rsidR="00C0289F" w:rsidRDefault="00C0289F" w:rsidP="00C0289F">
            <w:pPr>
              <w:pStyle w:val="BlockText"/>
            </w:pPr>
            <w:r>
              <w:t>10.80</w:t>
            </w:r>
          </w:p>
        </w:tc>
        <w:tc>
          <w:tcPr>
            <w:tcW w:w="584" w:type="pct"/>
            <w:gridSpan w:val="3"/>
            <w:tcBorders>
              <w:top w:val="nil"/>
              <w:left w:val="nil"/>
              <w:bottom w:val="nil"/>
              <w:right w:val="nil"/>
            </w:tcBorders>
          </w:tcPr>
          <w:p w:rsidR="00C0289F" w:rsidRDefault="00C0289F" w:rsidP="00C0289F">
            <w:pPr>
              <w:pStyle w:val="BlockText"/>
            </w:pPr>
            <w:r>
              <w:t>&lt;0.001</w:t>
            </w:r>
          </w:p>
        </w:tc>
        <w:tc>
          <w:tcPr>
            <w:tcW w:w="570" w:type="pct"/>
            <w:gridSpan w:val="2"/>
            <w:tcBorders>
              <w:top w:val="nil"/>
              <w:left w:val="nil"/>
              <w:bottom w:val="nil"/>
              <w:right w:val="nil"/>
            </w:tcBorders>
          </w:tcPr>
          <w:p w:rsidR="00C0289F" w:rsidRDefault="00C0289F" w:rsidP="00C0289F">
            <w:pPr>
              <w:pStyle w:val="BlockText"/>
            </w:pPr>
            <w:r>
              <w:t>1.67</w:t>
            </w:r>
          </w:p>
        </w:tc>
      </w:tr>
      <w:tr w:rsidR="00C0289F" w:rsidTr="00C0289F">
        <w:trPr>
          <w:trHeight w:val="680"/>
        </w:trPr>
        <w:tc>
          <w:tcPr>
            <w:tcW w:w="1077" w:type="pct"/>
            <w:gridSpan w:val="3"/>
            <w:tcBorders>
              <w:top w:val="nil"/>
              <w:left w:val="nil"/>
              <w:bottom w:val="single" w:sz="4" w:space="0" w:color="auto"/>
              <w:right w:val="nil"/>
            </w:tcBorders>
          </w:tcPr>
          <w:p w:rsidR="00C0289F" w:rsidRDefault="00C0289F" w:rsidP="00C0289F">
            <w:pPr>
              <w:pStyle w:val="BlockText"/>
            </w:pPr>
            <w:r>
              <w:t>Verbal WM</w:t>
            </w:r>
          </w:p>
          <w:p w:rsidR="00C0289F" w:rsidRDefault="00C0289F" w:rsidP="00C0289F">
            <w:pPr>
              <w:pStyle w:val="BlockText"/>
            </w:pPr>
            <w:proofErr w:type="spellStart"/>
            <w:r>
              <w:t>Visuo</w:t>
            </w:r>
            <w:proofErr w:type="spellEnd"/>
            <w:r>
              <w:t>-spatial WM</w:t>
            </w:r>
          </w:p>
          <w:p w:rsidR="00C0289F" w:rsidRDefault="00C0289F" w:rsidP="00C0289F">
            <w:pPr>
              <w:pStyle w:val="BlockText"/>
            </w:pPr>
            <w:r>
              <w:t>Central Executive</w:t>
            </w:r>
          </w:p>
        </w:tc>
        <w:tc>
          <w:tcPr>
            <w:tcW w:w="436" w:type="pct"/>
            <w:tcBorders>
              <w:top w:val="nil"/>
              <w:left w:val="nil"/>
              <w:bottom w:val="single" w:sz="4" w:space="0" w:color="auto"/>
              <w:right w:val="nil"/>
            </w:tcBorders>
          </w:tcPr>
          <w:p w:rsidR="00C0289F" w:rsidRDefault="00C0289F" w:rsidP="00C0289F">
            <w:pPr>
              <w:pStyle w:val="BlockText"/>
            </w:pPr>
            <w:r>
              <w:t>4.36</w:t>
            </w:r>
          </w:p>
          <w:p w:rsidR="00C0289F" w:rsidRDefault="00C0289F" w:rsidP="00C0289F">
            <w:pPr>
              <w:pStyle w:val="BlockText"/>
            </w:pPr>
            <w:r>
              <w:t>4.79</w:t>
            </w:r>
          </w:p>
          <w:p w:rsidR="00C0289F" w:rsidRDefault="00C0289F" w:rsidP="00C0289F">
            <w:pPr>
              <w:pStyle w:val="BlockText"/>
            </w:pPr>
            <w:r>
              <w:t>3.31</w:t>
            </w:r>
          </w:p>
        </w:tc>
        <w:tc>
          <w:tcPr>
            <w:tcW w:w="365" w:type="pct"/>
            <w:tcBorders>
              <w:top w:val="nil"/>
              <w:left w:val="nil"/>
              <w:bottom w:val="single" w:sz="4" w:space="0" w:color="auto"/>
              <w:right w:val="nil"/>
            </w:tcBorders>
          </w:tcPr>
          <w:p w:rsidR="00C0289F" w:rsidRDefault="00C0289F" w:rsidP="00C0289F">
            <w:pPr>
              <w:pStyle w:val="BlockText"/>
            </w:pPr>
            <w:r>
              <w:t>0.87</w:t>
            </w:r>
          </w:p>
          <w:p w:rsidR="00C0289F" w:rsidRDefault="00C0289F" w:rsidP="00C0289F">
            <w:pPr>
              <w:pStyle w:val="BlockText"/>
            </w:pPr>
            <w:r>
              <w:t>0.75</w:t>
            </w:r>
          </w:p>
          <w:p w:rsidR="00C0289F" w:rsidRDefault="00C0289F" w:rsidP="00C0289F">
            <w:pPr>
              <w:pStyle w:val="BlockText"/>
            </w:pPr>
            <w:r>
              <w:t>0.60</w:t>
            </w:r>
          </w:p>
        </w:tc>
        <w:tc>
          <w:tcPr>
            <w:tcW w:w="236" w:type="pct"/>
            <w:tcBorders>
              <w:top w:val="nil"/>
              <w:left w:val="nil"/>
              <w:bottom w:val="single" w:sz="4" w:space="0" w:color="auto"/>
              <w:right w:val="nil"/>
            </w:tcBorders>
          </w:tcPr>
          <w:p w:rsidR="00C0289F" w:rsidRDefault="00C0289F" w:rsidP="00C0289F">
            <w:pPr>
              <w:pStyle w:val="BlockText"/>
            </w:pPr>
          </w:p>
        </w:tc>
        <w:tc>
          <w:tcPr>
            <w:tcW w:w="494" w:type="pct"/>
            <w:tcBorders>
              <w:top w:val="nil"/>
              <w:left w:val="nil"/>
              <w:bottom w:val="single" w:sz="4" w:space="0" w:color="auto"/>
              <w:right w:val="nil"/>
            </w:tcBorders>
          </w:tcPr>
          <w:p w:rsidR="00C0289F" w:rsidRDefault="00C0289F" w:rsidP="00C0289F">
            <w:pPr>
              <w:pStyle w:val="BlockText"/>
            </w:pPr>
            <w:r>
              <w:t>3.56</w:t>
            </w:r>
          </w:p>
          <w:p w:rsidR="00C0289F" w:rsidRDefault="00C0289F" w:rsidP="00C0289F">
            <w:pPr>
              <w:pStyle w:val="BlockText"/>
            </w:pPr>
            <w:r>
              <w:t>4.45</w:t>
            </w:r>
          </w:p>
          <w:p w:rsidR="00C0289F" w:rsidRDefault="00C0289F" w:rsidP="00C0289F">
            <w:pPr>
              <w:pStyle w:val="BlockText"/>
            </w:pPr>
            <w:r>
              <w:t>2.99</w:t>
            </w:r>
          </w:p>
        </w:tc>
        <w:tc>
          <w:tcPr>
            <w:tcW w:w="583" w:type="pct"/>
            <w:gridSpan w:val="3"/>
            <w:tcBorders>
              <w:top w:val="nil"/>
              <w:left w:val="nil"/>
              <w:bottom w:val="single" w:sz="4" w:space="0" w:color="auto"/>
              <w:right w:val="nil"/>
            </w:tcBorders>
          </w:tcPr>
          <w:p w:rsidR="00C0289F" w:rsidRDefault="00C0289F" w:rsidP="00C0289F">
            <w:pPr>
              <w:pStyle w:val="BlockText"/>
            </w:pPr>
            <w:r>
              <w:t>0.76</w:t>
            </w:r>
          </w:p>
          <w:p w:rsidR="00C0289F" w:rsidRDefault="00C0289F" w:rsidP="00C0289F">
            <w:pPr>
              <w:pStyle w:val="BlockText"/>
            </w:pPr>
            <w:r>
              <w:t>0.75</w:t>
            </w:r>
          </w:p>
          <w:p w:rsidR="00C0289F" w:rsidRDefault="00C0289F" w:rsidP="00C0289F">
            <w:pPr>
              <w:pStyle w:val="BlockText"/>
            </w:pPr>
            <w:r>
              <w:t>0.56</w:t>
            </w:r>
          </w:p>
        </w:tc>
        <w:tc>
          <w:tcPr>
            <w:tcW w:w="146" w:type="pct"/>
            <w:gridSpan w:val="2"/>
            <w:tcBorders>
              <w:top w:val="nil"/>
              <w:left w:val="nil"/>
              <w:bottom w:val="single" w:sz="4" w:space="0" w:color="auto"/>
              <w:right w:val="nil"/>
            </w:tcBorders>
          </w:tcPr>
          <w:p w:rsidR="00C0289F" w:rsidRDefault="00C0289F" w:rsidP="00C0289F">
            <w:pPr>
              <w:pStyle w:val="BlockText"/>
            </w:pPr>
          </w:p>
        </w:tc>
        <w:tc>
          <w:tcPr>
            <w:tcW w:w="437" w:type="pct"/>
            <w:gridSpan w:val="3"/>
            <w:tcBorders>
              <w:top w:val="nil"/>
              <w:left w:val="nil"/>
              <w:bottom w:val="single" w:sz="4" w:space="0" w:color="auto"/>
              <w:right w:val="nil"/>
            </w:tcBorders>
          </w:tcPr>
          <w:p w:rsidR="00C0289F" w:rsidRDefault="00C0289F" w:rsidP="00C0289F">
            <w:pPr>
              <w:pStyle w:val="BlockText"/>
              <w:jc w:val="both"/>
            </w:pPr>
            <w:r>
              <w:t>6.36</w:t>
            </w:r>
          </w:p>
          <w:p w:rsidR="00C0289F" w:rsidRDefault="00C0289F" w:rsidP="00C0289F">
            <w:pPr>
              <w:pStyle w:val="BlockText"/>
              <w:jc w:val="both"/>
            </w:pPr>
            <w:r>
              <w:t>2.93</w:t>
            </w:r>
          </w:p>
          <w:p w:rsidR="00C0289F" w:rsidRDefault="00C0289F" w:rsidP="00C0289F">
            <w:pPr>
              <w:pStyle w:val="BlockText"/>
              <w:jc w:val="both"/>
            </w:pPr>
            <w:r>
              <w:t>3.58</w:t>
            </w:r>
          </w:p>
        </w:tc>
        <w:tc>
          <w:tcPr>
            <w:tcW w:w="584" w:type="pct"/>
            <w:gridSpan w:val="3"/>
            <w:tcBorders>
              <w:top w:val="nil"/>
              <w:left w:val="nil"/>
              <w:bottom w:val="single" w:sz="4" w:space="0" w:color="auto"/>
              <w:right w:val="nil"/>
            </w:tcBorders>
          </w:tcPr>
          <w:p w:rsidR="00C0289F" w:rsidRDefault="00C0289F" w:rsidP="00C0289F">
            <w:pPr>
              <w:pStyle w:val="BlockText"/>
            </w:pPr>
            <w:r>
              <w:t>&lt;0.001</w:t>
            </w:r>
          </w:p>
          <w:p w:rsidR="00C0289F" w:rsidRDefault="00C0289F" w:rsidP="00C0289F">
            <w:pPr>
              <w:pStyle w:val="BlockText"/>
            </w:pPr>
            <w:r>
              <w:t>0.004</w:t>
            </w:r>
          </w:p>
          <w:p w:rsidR="00C0289F" w:rsidRDefault="00C0289F" w:rsidP="00C0289F">
            <w:pPr>
              <w:pStyle w:val="BlockText"/>
            </w:pPr>
            <w:r>
              <w:t>&lt;0.001</w:t>
            </w:r>
          </w:p>
        </w:tc>
        <w:tc>
          <w:tcPr>
            <w:tcW w:w="642" w:type="pct"/>
            <w:gridSpan w:val="2"/>
            <w:tcBorders>
              <w:top w:val="nil"/>
              <w:left w:val="nil"/>
              <w:bottom w:val="single" w:sz="4" w:space="0" w:color="auto"/>
              <w:right w:val="nil"/>
            </w:tcBorders>
          </w:tcPr>
          <w:p w:rsidR="00C0289F" w:rsidRDefault="00C0289F" w:rsidP="00C0289F">
            <w:pPr>
              <w:pStyle w:val="BlockText"/>
            </w:pPr>
            <w:r>
              <w:t>0.98</w:t>
            </w:r>
          </w:p>
          <w:p w:rsidR="00C0289F" w:rsidRDefault="00C0289F" w:rsidP="00C0289F">
            <w:pPr>
              <w:pStyle w:val="BlockText"/>
            </w:pPr>
            <w:r>
              <w:t>0.45</w:t>
            </w:r>
          </w:p>
          <w:p w:rsidR="00C0289F" w:rsidRDefault="00C0289F" w:rsidP="00C0289F">
            <w:pPr>
              <w:pStyle w:val="BlockText"/>
            </w:pPr>
            <w:r>
              <w:t>0.55</w:t>
            </w:r>
          </w:p>
        </w:tc>
      </w:tr>
    </w:tbl>
    <w:p w:rsidR="00C0289F" w:rsidRDefault="00C0289F" w:rsidP="00C0289F">
      <w:pPr>
        <w:pStyle w:val="BlockText"/>
      </w:pPr>
      <w:r>
        <w:rPr>
          <w:sz w:val="20"/>
          <w:lang w:val="en-GB"/>
        </w:rPr>
        <w:t xml:space="preserve">§ </w:t>
      </w:r>
      <w:r w:rsidRPr="007D3F31">
        <w:rPr>
          <w:sz w:val="20"/>
          <w:lang w:val="en-GB"/>
        </w:rPr>
        <w:t>Independent samples t-test</w:t>
      </w:r>
      <w:r>
        <w:rPr>
          <w:sz w:val="20"/>
          <w:lang w:val="en-GB"/>
        </w:rPr>
        <w:t xml:space="preserve">, + two-tailed, </w:t>
      </w:r>
      <w:proofErr w:type="spellStart"/>
      <w:r>
        <w:rPr>
          <w:sz w:val="20"/>
          <w:lang w:val="en-GB"/>
        </w:rPr>
        <w:t>Bonferroni</w:t>
      </w:r>
      <w:proofErr w:type="spellEnd"/>
      <w:r>
        <w:rPr>
          <w:sz w:val="20"/>
          <w:lang w:val="en-GB"/>
        </w:rPr>
        <w:t>-</w:t>
      </w:r>
      <w:r w:rsidRPr="006D3E1D">
        <w:rPr>
          <w:sz w:val="20"/>
          <w:lang w:val="en-GB"/>
        </w:rPr>
        <w:t>correc</w:t>
      </w:r>
      <w:r>
        <w:rPr>
          <w:sz w:val="20"/>
          <w:lang w:val="en-GB"/>
        </w:rPr>
        <w:t>ted significance level is 0.01</w:t>
      </w:r>
    </w:p>
    <w:p w:rsidR="00FD59DB" w:rsidRDefault="00FD59DB" w:rsidP="00FC3F72">
      <w:pPr>
        <w:pStyle w:val="BodyText"/>
        <w:ind w:firstLine="0"/>
        <w:rPr>
          <w:b/>
        </w:rPr>
      </w:pPr>
    </w:p>
    <w:p w:rsidR="00FC3F72" w:rsidRDefault="00461634" w:rsidP="00FC3F72">
      <w:pPr>
        <w:pStyle w:val="BodyText"/>
        <w:ind w:firstLine="0"/>
        <w:rPr>
          <w:b/>
        </w:rPr>
      </w:pPr>
      <w:r>
        <w:rPr>
          <w:b/>
        </w:rPr>
        <w:t>The effect of language on the carry effect</w:t>
      </w:r>
    </w:p>
    <w:p w:rsidR="00FD59DB" w:rsidRDefault="00536CD2" w:rsidP="00FD59DB">
      <w:pPr>
        <w:pStyle w:val="BodyText"/>
        <w:ind w:firstLine="720"/>
      </w:pPr>
      <w:r w:rsidRPr="00536CD2">
        <w:t>First, we investigated the effect of language group on the carry effect</w:t>
      </w:r>
      <w:r w:rsidR="00221297">
        <w:t xml:space="preserve"> for</w:t>
      </w:r>
      <w:r w:rsidR="00221297" w:rsidRPr="00221297">
        <w:t xml:space="preserve"> response times and accuracy</w:t>
      </w:r>
      <w:r w:rsidR="00FD59DB">
        <w:t>.</w:t>
      </w:r>
    </w:p>
    <w:p w:rsidR="00A607DF" w:rsidRDefault="00461634" w:rsidP="00A607DF">
      <w:pPr>
        <w:pStyle w:val="BodyText"/>
        <w:widowControl w:val="0"/>
        <w:ind w:firstLine="539"/>
      </w:pPr>
      <w:proofErr w:type="gramStart"/>
      <w:r w:rsidRPr="00FD59DB">
        <w:rPr>
          <w:i/>
        </w:rPr>
        <w:lastRenderedPageBreak/>
        <w:t>Reaction times.</w:t>
      </w:r>
      <w:proofErr w:type="gramEnd"/>
      <w:r>
        <w:t xml:space="preserve"> </w:t>
      </w:r>
      <w:r w:rsidR="00C0289F">
        <w:t xml:space="preserve">To control for differences in intra-individual variability </w:t>
      </w:r>
      <w:r w:rsidR="000D2047">
        <w:t xml:space="preserve">all </w:t>
      </w:r>
      <w:r w:rsidR="00C0289F">
        <w:t xml:space="preserve">analyses of response speed were conducted on z-transformed RT using the mean and standard deviation per child for standardization (cf. </w:t>
      </w:r>
      <w:proofErr w:type="spellStart"/>
      <w:r w:rsidR="00C0289F">
        <w:t>Nuerk</w:t>
      </w:r>
      <w:proofErr w:type="spellEnd"/>
      <w:r w:rsidR="00C0289F">
        <w:t xml:space="preserve">, Kaufmann, </w:t>
      </w:r>
      <w:proofErr w:type="spellStart"/>
      <w:r w:rsidR="00C0289F">
        <w:t>Zoppote</w:t>
      </w:r>
      <w:proofErr w:type="spellEnd"/>
      <w:r w:rsidR="00C0289F">
        <w:t xml:space="preserve"> &amp; </w:t>
      </w:r>
      <w:proofErr w:type="spellStart"/>
      <w:r w:rsidR="00C0289F">
        <w:t>Willmes</w:t>
      </w:r>
      <w:proofErr w:type="spellEnd"/>
      <w:r w:rsidR="00C0289F">
        <w:t xml:space="preserve">, 2004). Transformed RT of correct trials and error rates were </w:t>
      </w:r>
      <w:r w:rsidR="00C0289F" w:rsidRPr="000F5C54">
        <w:rPr>
          <w:lang w:val="en-GB"/>
        </w:rPr>
        <w:t>analy</w:t>
      </w:r>
      <w:r w:rsidR="00C0289F">
        <w:rPr>
          <w:lang w:val="en-GB"/>
        </w:rPr>
        <w:t>s</w:t>
      </w:r>
      <w:r w:rsidR="00C0289F" w:rsidRPr="000F5C54">
        <w:rPr>
          <w:lang w:val="en-GB"/>
        </w:rPr>
        <w:t>ed</w:t>
      </w:r>
      <w:r w:rsidR="00C0289F">
        <w:t xml:space="preserve"> by repeated-measures ANOVAs with carry (carry, no-carry items) as within-subject factor and language (German-speaking, Italian-speaking) as between-subject factor. Raw RT</w:t>
      </w:r>
      <w:r w:rsidR="0074126E">
        <w:t>s</w:t>
      </w:r>
      <w:r w:rsidR="00C0289F">
        <w:t xml:space="preserve"> of correct trials are given when describing the results for reasons of readability.</w:t>
      </w:r>
      <w:r w:rsidR="00393230">
        <w:t xml:space="preserve"> </w:t>
      </w:r>
      <w:r w:rsidR="00C0289F">
        <w:t>Children took on average 6909 ms (</w:t>
      </w:r>
      <w:r w:rsidR="00C0289F" w:rsidRPr="00905820">
        <w:rPr>
          <w:i/>
        </w:rPr>
        <w:t>SD</w:t>
      </w:r>
      <w:r w:rsidR="00C0289F">
        <w:t xml:space="preserve"> = 2204 ms) to choose the correct answer. </w:t>
      </w:r>
      <w:r w:rsidR="00035D29">
        <w:t>Austrian children were on average 688 ms faster than Italian children</w:t>
      </w:r>
      <w:r w:rsidR="00905820">
        <w:t>,</w:t>
      </w:r>
      <w:r w:rsidR="00BA4807">
        <w:t xml:space="preserve"> </w:t>
      </w:r>
      <w:proofErr w:type="gramStart"/>
      <w:r w:rsidR="00FC3F72" w:rsidRPr="00FC3F72">
        <w:rPr>
          <w:i/>
        </w:rPr>
        <w:t>F</w:t>
      </w:r>
      <w:r w:rsidR="00035D29">
        <w:t>(</w:t>
      </w:r>
      <w:proofErr w:type="gramEnd"/>
      <w:r w:rsidR="00035D29">
        <w:t xml:space="preserve">1,167) = 4.18, </w:t>
      </w:r>
      <w:r w:rsidR="00FC3F72" w:rsidRPr="00FC3F72">
        <w:rPr>
          <w:i/>
        </w:rPr>
        <w:t>p</w:t>
      </w:r>
      <w:r w:rsidR="00035D29">
        <w:t xml:space="preserve"> = 0.04, </w:t>
      </w:r>
      <w:r w:rsidR="00FC3F72" w:rsidRPr="00FC3F72">
        <w:rPr>
          <w:i/>
        </w:rPr>
        <w:t>η</w:t>
      </w:r>
      <w:r w:rsidR="00035D29" w:rsidRPr="00A02B35">
        <w:rPr>
          <w:vertAlign w:val="subscript"/>
        </w:rPr>
        <w:t>p</w:t>
      </w:r>
      <w:r w:rsidR="00035D29" w:rsidRPr="00A02B35">
        <w:rPr>
          <w:vertAlign w:val="superscript"/>
        </w:rPr>
        <w:t>2</w:t>
      </w:r>
      <w:r w:rsidR="00035D29">
        <w:rPr>
          <w:vertAlign w:val="superscript"/>
        </w:rPr>
        <w:t xml:space="preserve"> </w:t>
      </w:r>
      <w:r w:rsidR="00035D29">
        <w:t xml:space="preserve">= 0.02. </w:t>
      </w:r>
      <w:r w:rsidR="00B66792">
        <w:t>The reliable main effect of carry</w:t>
      </w:r>
      <w:r w:rsidR="00905820">
        <w:t xml:space="preserve">, </w:t>
      </w:r>
      <w:r w:rsidR="00FC3F72" w:rsidRPr="00FC3F72">
        <w:rPr>
          <w:i/>
        </w:rPr>
        <w:t>F</w:t>
      </w:r>
      <w:r w:rsidR="00B66792">
        <w:t>(1,16</w:t>
      </w:r>
      <w:r w:rsidR="007E0F16">
        <w:t>7</w:t>
      </w:r>
      <w:r w:rsidR="00B66792">
        <w:t>) = 18</w:t>
      </w:r>
      <w:r w:rsidR="007E0F16">
        <w:t>3</w:t>
      </w:r>
      <w:r w:rsidR="00B66792">
        <w:t>.</w:t>
      </w:r>
      <w:r w:rsidR="007E0F16">
        <w:t>28</w:t>
      </w:r>
      <w:r w:rsidR="00B66792">
        <w:t xml:space="preserve">, </w:t>
      </w:r>
      <w:r w:rsidR="00FC3F72" w:rsidRPr="00FC3F72">
        <w:rPr>
          <w:i/>
        </w:rPr>
        <w:t>p</w:t>
      </w:r>
      <w:r w:rsidR="00B66792">
        <w:t xml:space="preserve"> &lt;</w:t>
      </w:r>
      <w:r w:rsidR="00CD748C">
        <w:t xml:space="preserve"> </w:t>
      </w:r>
      <w:r w:rsidR="00B66792">
        <w:t xml:space="preserve">0.001, </w:t>
      </w:r>
      <w:r w:rsidR="00FC3F72" w:rsidRPr="00FC3F72">
        <w:rPr>
          <w:i/>
        </w:rPr>
        <w:t>η</w:t>
      </w:r>
      <w:r w:rsidR="00B66792" w:rsidRPr="00A02B35">
        <w:rPr>
          <w:vertAlign w:val="subscript"/>
        </w:rPr>
        <w:t>p</w:t>
      </w:r>
      <w:r w:rsidR="00B66792" w:rsidRPr="00A02B35">
        <w:rPr>
          <w:vertAlign w:val="superscript"/>
        </w:rPr>
        <w:t>2</w:t>
      </w:r>
      <w:r w:rsidR="00B66792">
        <w:rPr>
          <w:vertAlign w:val="superscript"/>
        </w:rPr>
        <w:t xml:space="preserve"> </w:t>
      </w:r>
      <w:r w:rsidR="00B66792">
        <w:t>= 0.5</w:t>
      </w:r>
      <w:r w:rsidR="007E0F16">
        <w:t>2</w:t>
      </w:r>
      <w:r w:rsidR="00905820">
        <w:t>,</w:t>
      </w:r>
      <w:r w:rsidR="00B66792">
        <w:t xml:space="preserve"> indicated that </w:t>
      </w:r>
      <w:r w:rsidR="00C33E53">
        <w:t>RT</w:t>
      </w:r>
      <w:r w:rsidR="00255D8B">
        <w:t>s</w:t>
      </w:r>
      <w:r w:rsidR="00C33E53">
        <w:t xml:space="preserve"> on trials </w:t>
      </w:r>
      <w:r w:rsidR="0088049B">
        <w:t>requiring</w:t>
      </w:r>
      <w:r w:rsidR="00485CB6">
        <w:t xml:space="preserve"> </w:t>
      </w:r>
      <w:r w:rsidR="00C33E53">
        <w:t xml:space="preserve">a carry operation </w:t>
      </w:r>
      <w:r w:rsidR="00B66792">
        <w:t>w</w:t>
      </w:r>
      <w:r w:rsidR="00255D8B">
        <w:t>ere</w:t>
      </w:r>
      <w:r w:rsidR="00B66792">
        <w:t xml:space="preserve"> </w:t>
      </w:r>
      <w:r w:rsidR="00C33E53">
        <w:t xml:space="preserve">on average </w:t>
      </w:r>
      <w:r w:rsidR="000620C8">
        <w:t>10</w:t>
      </w:r>
      <w:r w:rsidR="00C33E53">
        <w:t>6</w:t>
      </w:r>
      <w:r w:rsidR="007E0F16">
        <w:t>0</w:t>
      </w:r>
      <w:r w:rsidR="00C33E53">
        <w:t xml:space="preserve"> ms longer than </w:t>
      </w:r>
      <w:r w:rsidR="00B66792">
        <w:t>RT</w:t>
      </w:r>
      <w:r w:rsidR="00255D8B">
        <w:t>s</w:t>
      </w:r>
      <w:r w:rsidR="00B66792">
        <w:t xml:space="preserve"> </w:t>
      </w:r>
      <w:r w:rsidR="00C33E53">
        <w:t>for trials without a carry operation.</w:t>
      </w:r>
    </w:p>
    <w:p w:rsidR="00A607DF" w:rsidRDefault="00E8628B" w:rsidP="00A607DF">
      <w:pPr>
        <w:pStyle w:val="BodyText"/>
        <w:widowControl w:val="0"/>
        <w:ind w:firstLine="539"/>
      </w:pPr>
      <w:r>
        <w:t>D</w:t>
      </w:r>
      <w:r w:rsidR="00B66792">
        <w:t xml:space="preserve">irectly testing our hypothesis that the carry effect should be more pronounced in German- </w:t>
      </w:r>
      <w:r w:rsidR="00E50542">
        <w:t xml:space="preserve">than </w:t>
      </w:r>
      <w:r w:rsidR="00485CB6">
        <w:t>in</w:t>
      </w:r>
      <w:r w:rsidR="00B66792">
        <w:t xml:space="preserve"> Italian-speaking children revealed that this was actually the case</w:t>
      </w:r>
      <w:r w:rsidR="00905820">
        <w:t xml:space="preserve">, </w:t>
      </w:r>
      <w:r w:rsidR="00FC3F72" w:rsidRPr="00FC3F72">
        <w:rPr>
          <w:i/>
        </w:rPr>
        <w:t>t</w:t>
      </w:r>
      <w:r w:rsidR="00B66792">
        <w:t>(16</w:t>
      </w:r>
      <w:r w:rsidR="00404A16">
        <w:t>7</w:t>
      </w:r>
      <w:r w:rsidR="00B66792">
        <w:t>) = 1.</w:t>
      </w:r>
      <w:r w:rsidR="00A06241">
        <w:t>92</w:t>
      </w:r>
      <w:r w:rsidR="00B66792">
        <w:t xml:space="preserve">, </w:t>
      </w:r>
      <w:r w:rsidR="00FC3F72" w:rsidRPr="00FC3F72">
        <w:rPr>
          <w:i/>
        </w:rPr>
        <w:t>p</w:t>
      </w:r>
      <w:r w:rsidR="00B66792">
        <w:t xml:space="preserve"> &lt; .05, one-tailed</w:t>
      </w:r>
      <w:r w:rsidR="0088049B">
        <w:t xml:space="preserve"> testing</w:t>
      </w:r>
      <w:r w:rsidR="00767E61">
        <w:t xml:space="preserve"> a </w:t>
      </w:r>
      <w:r w:rsidR="001B1697">
        <w:t>direction</w:t>
      </w:r>
      <w:r w:rsidR="00767E61">
        <w:t>al a prior</w:t>
      </w:r>
      <w:r w:rsidR="00485CB6">
        <w:t>i</w:t>
      </w:r>
      <w:r w:rsidR="00767E61">
        <w:t xml:space="preserve"> </w:t>
      </w:r>
      <w:r w:rsidR="001B1697">
        <w:t>hypothesis</w:t>
      </w:r>
      <w:r w:rsidR="00B66792">
        <w:t xml:space="preserve">; ANOVA interaction: </w:t>
      </w:r>
      <w:r w:rsidR="00FC3F72" w:rsidRPr="00FC3F72">
        <w:rPr>
          <w:i/>
        </w:rPr>
        <w:t>F</w:t>
      </w:r>
      <w:r w:rsidR="00B66792">
        <w:t>(1,16</w:t>
      </w:r>
      <w:r w:rsidR="002C202B">
        <w:t>7</w:t>
      </w:r>
      <w:r w:rsidR="00B66792">
        <w:t>) = 3.</w:t>
      </w:r>
      <w:r w:rsidR="00BA2F1A">
        <w:t>70</w:t>
      </w:r>
      <w:r w:rsidR="00B66792">
        <w:t xml:space="preserve">, </w:t>
      </w:r>
      <w:r w:rsidR="00FC3F72" w:rsidRPr="00FC3F72">
        <w:rPr>
          <w:i/>
        </w:rPr>
        <w:t>p</w:t>
      </w:r>
      <w:r w:rsidR="00B66792">
        <w:t xml:space="preserve"> = 0.06, </w:t>
      </w:r>
      <w:r w:rsidR="00FC3F72" w:rsidRPr="00FC3F72">
        <w:rPr>
          <w:i/>
        </w:rPr>
        <w:t>η</w:t>
      </w:r>
      <w:r w:rsidR="00B66792" w:rsidRPr="00A02B35">
        <w:rPr>
          <w:vertAlign w:val="subscript"/>
        </w:rPr>
        <w:t>p</w:t>
      </w:r>
      <w:r w:rsidR="00B66792" w:rsidRPr="00A02B35">
        <w:rPr>
          <w:vertAlign w:val="superscript"/>
        </w:rPr>
        <w:t>2</w:t>
      </w:r>
      <w:r w:rsidR="00B66792">
        <w:rPr>
          <w:vertAlign w:val="superscript"/>
        </w:rPr>
        <w:t xml:space="preserve"> </w:t>
      </w:r>
      <w:r w:rsidR="00B66792">
        <w:t>= 0.02</w:t>
      </w:r>
      <w:r w:rsidR="00172A2F">
        <w:t>.</w:t>
      </w:r>
      <w:r w:rsidR="00B66792">
        <w:t xml:space="preserve"> </w:t>
      </w:r>
      <w:r w:rsidR="00485CB6">
        <w:t>T</w:t>
      </w:r>
      <w:r w:rsidR="000C4EC3">
        <w:t xml:space="preserve">he cost of a carry operation was </w:t>
      </w:r>
      <w:r w:rsidR="00CD748C">
        <w:t xml:space="preserve">significantly </w:t>
      </w:r>
      <w:r w:rsidR="00A02B35">
        <w:t xml:space="preserve">higher for </w:t>
      </w:r>
      <w:r w:rsidR="00B66792">
        <w:t xml:space="preserve">German- </w:t>
      </w:r>
      <w:r w:rsidR="000C4EC3">
        <w:t>than for Italian</w:t>
      </w:r>
      <w:r w:rsidR="00B66792">
        <w:t>-speaking</w:t>
      </w:r>
      <w:r w:rsidR="000C4EC3">
        <w:t xml:space="preserve"> children</w:t>
      </w:r>
      <w:r w:rsidR="00485CB6">
        <w:t xml:space="preserve"> (Figure 1</w:t>
      </w:r>
      <w:r w:rsidR="00D527EC">
        <w:t xml:space="preserve">, Table </w:t>
      </w:r>
      <w:r w:rsidR="00BB24F9">
        <w:t>2</w:t>
      </w:r>
      <w:r w:rsidR="00485CB6">
        <w:t>)</w:t>
      </w:r>
      <w:r w:rsidR="000C4EC3">
        <w:t>.</w:t>
      </w:r>
      <w:r w:rsidR="00B35276">
        <w:t xml:space="preserve"> </w:t>
      </w:r>
    </w:p>
    <w:p w:rsidR="00A607DF" w:rsidRDefault="00A607DF" w:rsidP="00A607DF">
      <w:pPr>
        <w:pStyle w:val="BodyText"/>
        <w:widowControl w:val="0"/>
        <w:ind w:firstLine="539"/>
      </w:pPr>
      <w:proofErr w:type="gramStart"/>
      <w:r w:rsidRPr="00FD59DB">
        <w:rPr>
          <w:i/>
        </w:rPr>
        <w:t>Error rates.</w:t>
      </w:r>
      <w:proofErr w:type="gramEnd"/>
      <w:r>
        <w:rPr>
          <w:b/>
        </w:rPr>
        <w:t xml:space="preserve"> </w:t>
      </w:r>
      <w:r>
        <w:t xml:space="preserve">For the error analysis an arcsine transformation was applied to approximate normal distribution. Transformed error rates were </w:t>
      </w:r>
      <w:r w:rsidRPr="000F5C54">
        <w:rPr>
          <w:lang w:val="en-GB"/>
        </w:rPr>
        <w:t>analy</w:t>
      </w:r>
      <w:r>
        <w:rPr>
          <w:lang w:val="en-GB"/>
        </w:rPr>
        <w:t>s</w:t>
      </w:r>
      <w:r w:rsidRPr="000F5C54">
        <w:rPr>
          <w:lang w:val="en-GB"/>
        </w:rPr>
        <w:t>ed</w:t>
      </w:r>
      <w:r>
        <w:t xml:space="preserve"> by repeated-measures ANOVAs with carry (carry, no-carry items) as within-subject factor and language (German-speaking, Italian-speaking) as between-subject factor. Overall, children chose the incorrect answer on 8.97% of all trials. They made significantly more mistakes on carry, </w:t>
      </w:r>
      <w:r w:rsidRPr="00905820">
        <w:rPr>
          <w:i/>
        </w:rPr>
        <w:t>M</w:t>
      </w:r>
      <w:r>
        <w:t xml:space="preserve"> = 10.21%, than on no-carry trials, </w:t>
      </w:r>
      <w:proofErr w:type="gramStart"/>
      <w:r w:rsidRPr="00905820">
        <w:rPr>
          <w:i/>
        </w:rPr>
        <w:t>M</w:t>
      </w:r>
      <w:r>
        <w:t xml:space="preserve">  =</w:t>
      </w:r>
      <w:proofErr w:type="gramEnd"/>
      <w:r>
        <w:t xml:space="preserve"> 7.73%, </w:t>
      </w:r>
      <w:r w:rsidRPr="00FC3F72">
        <w:rPr>
          <w:i/>
        </w:rPr>
        <w:t>F</w:t>
      </w:r>
      <w:r>
        <w:t xml:space="preserve">(1,167) = 13.92, </w:t>
      </w:r>
      <w:r w:rsidRPr="00FC3F72">
        <w:rPr>
          <w:i/>
        </w:rPr>
        <w:t>p</w:t>
      </w:r>
      <w:r>
        <w:t xml:space="preserve"> &lt; 0.001, </w:t>
      </w:r>
      <w:r w:rsidRPr="00FC3F72">
        <w:rPr>
          <w:i/>
        </w:rPr>
        <w:t>η</w:t>
      </w:r>
      <w:r w:rsidRPr="00A02B35">
        <w:rPr>
          <w:vertAlign w:val="subscript"/>
        </w:rPr>
        <w:t>p</w:t>
      </w:r>
      <w:r w:rsidRPr="00A02B35">
        <w:rPr>
          <w:vertAlign w:val="superscript"/>
        </w:rPr>
        <w:t>2</w:t>
      </w:r>
      <w:r>
        <w:rPr>
          <w:vertAlign w:val="superscript"/>
        </w:rPr>
        <w:t xml:space="preserve"> </w:t>
      </w:r>
      <w:r>
        <w:t xml:space="preserve">= 0.08. Error rates did not differ significantly between German- and Italian-speaking children, </w:t>
      </w:r>
      <w:proofErr w:type="gramStart"/>
      <w:r w:rsidRPr="00FC3F72">
        <w:rPr>
          <w:i/>
        </w:rPr>
        <w:t>F</w:t>
      </w:r>
      <w:r>
        <w:t>(</w:t>
      </w:r>
      <w:proofErr w:type="gramEnd"/>
      <w:r>
        <w:t xml:space="preserve">1,167) = 2.78, </w:t>
      </w:r>
      <w:r w:rsidRPr="00FC3F72">
        <w:rPr>
          <w:i/>
        </w:rPr>
        <w:t>p</w:t>
      </w:r>
      <w:r>
        <w:t xml:space="preserve"> = 0.10, </w:t>
      </w:r>
      <w:r w:rsidRPr="00FC3F72">
        <w:rPr>
          <w:i/>
        </w:rPr>
        <w:t>η</w:t>
      </w:r>
      <w:r w:rsidRPr="00A02B35">
        <w:rPr>
          <w:vertAlign w:val="subscript"/>
        </w:rPr>
        <w:t>p</w:t>
      </w:r>
      <w:r w:rsidRPr="00A02B35">
        <w:rPr>
          <w:vertAlign w:val="superscript"/>
        </w:rPr>
        <w:t>2</w:t>
      </w:r>
      <w:r>
        <w:rPr>
          <w:vertAlign w:val="superscript"/>
        </w:rPr>
        <w:t xml:space="preserve"> </w:t>
      </w:r>
      <w:r>
        <w:t xml:space="preserve">= 0.02, 7.93% vs. 10.09%, </w:t>
      </w:r>
      <w:r>
        <w:lastRenderedPageBreak/>
        <w:t xml:space="preserve">respectively, and there was no significant effect of language on the carry effect for error rates, </w:t>
      </w:r>
      <w:r w:rsidRPr="00FC3F72">
        <w:rPr>
          <w:i/>
        </w:rPr>
        <w:t>F</w:t>
      </w:r>
      <w:r>
        <w:t xml:space="preserve">(1,167) = 1.27, </w:t>
      </w:r>
      <w:r w:rsidRPr="00FC3F72">
        <w:rPr>
          <w:i/>
        </w:rPr>
        <w:t>p</w:t>
      </w:r>
      <w:r>
        <w:t xml:space="preserve"> = 0.26, </w:t>
      </w:r>
      <w:r w:rsidRPr="00FC3F72">
        <w:rPr>
          <w:i/>
        </w:rPr>
        <w:t>η</w:t>
      </w:r>
      <w:r w:rsidRPr="00A02B35">
        <w:rPr>
          <w:vertAlign w:val="subscript"/>
        </w:rPr>
        <w:t>p</w:t>
      </w:r>
      <w:r w:rsidRPr="00A02B35">
        <w:rPr>
          <w:vertAlign w:val="superscript"/>
        </w:rPr>
        <w:t>2</w:t>
      </w:r>
      <w:r>
        <w:rPr>
          <w:vertAlign w:val="superscript"/>
        </w:rPr>
        <w:t xml:space="preserve"> </w:t>
      </w:r>
      <w:r>
        <w:t>= 0.008.</w:t>
      </w:r>
    </w:p>
    <w:p w:rsidR="007206CE" w:rsidRDefault="00A607DF" w:rsidP="00D527EC">
      <w:pPr>
        <w:pStyle w:val="BodyText"/>
        <w:ind w:firstLine="0"/>
      </w:pPr>
      <w:r w:rsidRPr="00BB24F9">
        <w:rPr>
          <w:i/>
          <w:noProof/>
          <w:lang w:val="en-GB" w:eastAsia="en-GB"/>
        </w:rPr>
        <w:drawing>
          <wp:anchor distT="0" distB="0" distL="114300" distR="114300" simplePos="0" relativeHeight="251659264" behindDoc="1" locked="0" layoutInCell="1" allowOverlap="1">
            <wp:simplePos x="0" y="0"/>
            <wp:positionH relativeFrom="column">
              <wp:posOffset>638175</wp:posOffset>
            </wp:positionH>
            <wp:positionV relativeFrom="paragraph">
              <wp:posOffset>127635</wp:posOffset>
            </wp:positionV>
            <wp:extent cx="3750945" cy="2847975"/>
            <wp:effectExtent l="19050" t="0" r="1905"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750945" cy="2847975"/>
                    </a:xfrm>
                    <a:prstGeom prst="rect">
                      <a:avLst/>
                    </a:prstGeom>
                    <a:noFill/>
                  </pic:spPr>
                </pic:pic>
              </a:graphicData>
            </a:graphic>
          </wp:anchor>
        </w:drawing>
      </w:r>
      <w:proofErr w:type="gramStart"/>
      <w:r w:rsidR="007206CE" w:rsidRPr="00BB24F9">
        <w:rPr>
          <w:i/>
        </w:rPr>
        <w:t>Figure 1.</w:t>
      </w:r>
      <w:proofErr w:type="gramEnd"/>
      <w:r w:rsidR="007206CE">
        <w:t xml:space="preserve"> Mean RTs in ms for addition trials with and without carry for Austrian and Italian children (error bars reflect standard errors).</w:t>
      </w:r>
    </w:p>
    <w:p w:rsidR="00461634" w:rsidRDefault="00461634" w:rsidP="007206CE">
      <w:pPr>
        <w:pStyle w:val="BodyText"/>
        <w:ind w:firstLine="0"/>
      </w:pPr>
    </w:p>
    <w:p w:rsidR="00D527EC" w:rsidRPr="00BA4807" w:rsidRDefault="00D527EC" w:rsidP="00D527EC">
      <w:pPr>
        <w:pStyle w:val="BlockText"/>
      </w:pPr>
      <w:proofErr w:type="gramStart"/>
      <w:r>
        <w:rPr>
          <w:i/>
        </w:rPr>
        <w:t xml:space="preserve">Table </w:t>
      </w:r>
      <w:r w:rsidR="00BB24F9">
        <w:rPr>
          <w:i/>
        </w:rPr>
        <w:t>2</w:t>
      </w:r>
      <w:r w:rsidRPr="00BA4807">
        <w:rPr>
          <w:i/>
        </w:rPr>
        <w:t>.</w:t>
      </w:r>
      <w:proofErr w:type="gramEnd"/>
      <w:r>
        <w:t xml:space="preserve"> </w:t>
      </w:r>
      <w:r w:rsidRPr="00BA4807">
        <w:t xml:space="preserve">Mean (Standard Deviations) RTs and error rates for addition trials </w:t>
      </w:r>
    </w:p>
    <w:tbl>
      <w:tblPr>
        <w:tblW w:w="0" w:type="auto"/>
        <w:tblLayout w:type="fixed"/>
        <w:tblLook w:val="04A0"/>
      </w:tblPr>
      <w:tblGrid>
        <w:gridCol w:w="1683"/>
        <w:gridCol w:w="1562"/>
        <w:gridCol w:w="1563"/>
        <w:gridCol w:w="1094"/>
        <w:gridCol w:w="1563"/>
        <w:gridCol w:w="1094"/>
      </w:tblGrid>
      <w:tr w:rsidR="00D527EC" w:rsidTr="002C202B">
        <w:trPr>
          <w:trHeight w:val="436"/>
        </w:trPr>
        <w:tc>
          <w:tcPr>
            <w:tcW w:w="1683" w:type="dxa"/>
            <w:tcBorders>
              <w:top w:val="single" w:sz="12" w:space="0" w:color="auto"/>
              <w:bottom w:val="single" w:sz="6" w:space="0" w:color="auto"/>
            </w:tcBorders>
            <w:vAlign w:val="center"/>
          </w:tcPr>
          <w:p w:rsidR="00D527EC" w:rsidRDefault="00D527EC" w:rsidP="002C202B">
            <w:pPr>
              <w:pStyle w:val="BlockText"/>
              <w:spacing w:line="240" w:lineRule="auto"/>
              <w:jc w:val="center"/>
              <w:rPr>
                <w:b/>
                <w:bCs/>
              </w:rPr>
            </w:pPr>
          </w:p>
        </w:tc>
        <w:tc>
          <w:tcPr>
            <w:tcW w:w="1562" w:type="dxa"/>
            <w:tcBorders>
              <w:top w:val="single" w:sz="12" w:space="0" w:color="auto"/>
              <w:bottom w:val="single" w:sz="6" w:space="0" w:color="auto"/>
            </w:tcBorders>
            <w:vAlign w:val="center"/>
          </w:tcPr>
          <w:p w:rsidR="00D527EC" w:rsidRDefault="00D527EC" w:rsidP="002C202B">
            <w:pPr>
              <w:pStyle w:val="BlockText"/>
              <w:spacing w:line="240" w:lineRule="auto"/>
              <w:jc w:val="center"/>
              <w:rPr>
                <w:b/>
                <w:bCs/>
              </w:rPr>
            </w:pPr>
          </w:p>
        </w:tc>
        <w:tc>
          <w:tcPr>
            <w:tcW w:w="2657" w:type="dxa"/>
            <w:gridSpan w:val="2"/>
            <w:tcBorders>
              <w:top w:val="single" w:sz="12" w:space="0" w:color="auto"/>
              <w:bottom w:val="single" w:sz="6" w:space="0" w:color="auto"/>
            </w:tcBorders>
            <w:vAlign w:val="center"/>
          </w:tcPr>
          <w:p w:rsidR="00D527EC" w:rsidRDefault="00D527EC" w:rsidP="002C202B">
            <w:pPr>
              <w:pStyle w:val="BlockText"/>
              <w:spacing w:line="240" w:lineRule="auto"/>
              <w:jc w:val="center"/>
              <w:rPr>
                <w:b/>
                <w:bCs/>
              </w:rPr>
            </w:pPr>
            <w:r w:rsidRPr="00A55352">
              <w:rPr>
                <w:b/>
                <w:bCs/>
              </w:rPr>
              <w:t>Austrian children</w:t>
            </w:r>
          </w:p>
        </w:tc>
        <w:tc>
          <w:tcPr>
            <w:tcW w:w="2657" w:type="dxa"/>
            <w:gridSpan w:val="2"/>
            <w:tcBorders>
              <w:top w:val="single" w:sz="12" w:space="0" w:color="auto"/>
              <w:bottom w:val="single" w:sz="6" w:space="0" w:color="auto"/>
            </w:tcBorders>
            <w:vAlign w:val="center"/>
          </w:tcPr>
          <w:p w:rsidR="00D527EC" w:rsidRDefault="00D527EC" w:rsidP="002C202B">
            <w:pPr>
              <w:pStyle w:val="BlockText"/>
              <w:spacing w:line="240" w:lineRule="auto"/>
              <w:jc w:val="center"/>
              <w:rPr>
                <w:b/>
                <w:bCs/>
              </w:rPr>
            </w:pPr>
            <w:r w:rsidRPr="00A55352">
              <w:rPr>
                <w:b/>
                <w:bCs/>
              </w:rPr>
              <w:t>Italian children</w:t>
            </w:r>
          </w:p>
        </w:tc>
      </w:tr>
      <w:tr w:rsidR="00D527EC" w:rsidTr="002C202B">
        <w:trPr>
          <w:trHeight w:val="436"/>
        </w:trPr>
        <w:tc>
          <w:tcPr>
            <w:tcW w:w="1683" w:type="dxa"/>
            <w:tcBorders>
              <w:top w:val="single" w:sz="6" w:space="0" w:color="auto"/>
            </w:tcBorders>
            <w:vAlign w:val="center"/>
          </w:tcPr>
          <w:p w:rsidR="00D527EC" w:rsidRDefault="00D527EC" w:rsidP="002C202B">
            <w:pPr>
              <w:pStyle w:val="BlockText"/>
              <w:spacing w:line="240" w:lineRule="auto"/>
              <w:jc w:val="center"/>
              <w:rPr>
                <w:b/>
                <w:bCs/>
              </w:rPr>
            </w:pPr>
            <w:r>
              <w:rPr>
                <w:b/>
                <w:bCs/>
              </w:rPr>
              <w:t>RT in ms</w:t>
            </w:r>
          </w:p>
        </w:tc>
        <w:tc>
          <w:tcPr>
            <w:tcW w:w="1562" w:type="dxa"/>
            <w:tcBorders>
              <w:top w:val="single" w:sz="6" w:space="0" w:color="auto"/>
            </w:tcBorders>
            <w:vAlign w:val="center"/>
          </w:tcPr>
          <w:p w:rsidR="00D527EC" w:rsidRDefault="00D527EC" w:rsidP="002C202B">
            <w:pPr>
              <w:pStyle w:val="BlockText"/>
              <w:spacing w:line="240" w:lineRule="auto"/>
              <w:jc w:val="center"/>
              <w:rPr>
                <w:b/>
                <w:bCs/>
              </w:rPr>
            </w:pPr>
            <w:r>
              <w:rPr>
                <w:b/>
                <w:bCs/>
              </w:rPr>
              <w:t>Carry</w:t>
            </w:r>
          </w:p>
        </w:tc>
        <w:tc>
          <w:tcPr>
            <w:tcW w:w="1563" w:type="dxa"/>
            <w:tcBorders>
              <w:top w:val="single" w:sz="6" w:space="0" w:color="auto"/>
            </w:tcBorders>
            <w:vAlign w:val="center"/>
          </w:tcPr>
          <w:p w:rsidR="00D527EC" w:rsidRDefault="00D527EC" w:rsidP="002C202B">
            <w:pPr>
              <w:pStyle w:val="BlockText"/>
              <w:spacing w:line="240" w:lineRule="auto"/>
              <w:jc w:val="center"/>
              <w:rPr>
                <w:b/>
                <w:bCs/>
              </w:rPr>
            </w:pPr>
            <w:r>
              <w:t xml:space="preserve">7167 </w:t>
            </w:r>
          </w:p>
        </w:tc>
        <w:tc>
          <w:tcPr>
            <w:tcW w:w="1094" w:type="dxa"/>
            <w:tcBorders>
              <w:top w:val="single" w:sz="6" w:space="0" w:color="auto"/>
            </w:tcBorders>
            <w:vAlign w:val="center"/>
          </w:tcPr>
          <w:p w:rsidR="00D527EC" w:rsidRDefault="00D527EC" w:rsidP="002C202B">
            <w:pPr>
              <w:pStyle w:val="BlockText"/>
              <w:spacing w:line="240" w:lineRule="auto"/>
              <w:jc w:val="center"/>
              <w:rPr>
                <w:b/>
                <w:bCs/>
              </w:rPr>
            </w:pPr>
            <w:r>
              <w:t>(2498)</w:t>
            </w:r>
          </w:p>
        </w:tc>
        <w:tc>
          <w:tcPr>
            <w:tcW w:w="1563" w:type="dxa"/>
            <w:tcBorders>
              <w:top w:val="single" w:sz="6" w:space="0" w:color="auto"/>
            </w:tcBorders>
            <w:vAlign w:val="center"/>
          </w:tcPr>
          <w:p w:rsidR="00D527EC" w:rsidRDefault="00D527EC" w:rsidP="002C202B">
            <w:pPr>
              <w:pStyle w:val="BlockText"/>
              <w:spacing w:line="240" w:lineRule="auto"/>
              <w:jc w:val="center"/>
              <w:rPr>
                <w:b/>
                <w:bCs/>
              </w:rPr>
            </w:pPr>
            <w:r>
              <w:t xml:space="preserve">7741 </w:t>
            </w:r>
          </w:p>
        </w:tc>
        <w:tc>
          <w:tcPr>
            <w:tcW w:w="1094" w:type="dxa"/>
            <w:tcBorders>
              <w:top w:val="single" w:sz="6" w:space="0" w:color="auto"/>
            </w:tcBorders>
            <w:vAlign w:val="center"/>
          </w:tcPr>
          <w:p w:rsidR="00D527EC" w:rsidRDefault="00D527EC" w:rsidP="002C202B">
            <w:pPr>
              <w:pStyle w:val="BlockText"/>
              <w:spacing w:line="240" w:lineRule="auto"/>
              <w:jc w:val="center"/>
              <w:rPr>
                <w:b/>
                <w:bCs/>
              </w:rPr>
            </w:pPr>
            <w:r>
              <w:t>(2083)</w:t>
            </w:r>
          </w:p>
        </w:tc>
      </w:tr>
      <w:tr w:rsidR="00D527EC" w:rsidTr="002C202B">
        <w:trPr>
          <w:trHeight w:val="436"/>
        </w:trPr>
        <w:tc>
          <w:tcPr>
            <w:tcW w:w="1683" w:type="dxa"/>
            <w:vAlign w:val="center"/>
          </w:tcPr>
          <w:p w:rsidR="00D527EC" w:rsidRDefault="00D527EC" w:rsidP="002C202B">
            <w:pPr>
              <w:pStyle w:val="BlockText"/>
              <w:spacing w:line="240" w:lineRule="auto"/>
              <w:jc w:val="center"/>
              <w:rPr>
                <w:b/>
                <w:bCs/>
              </w:rPr>
            </w:pPr>
          </w:p>
        </w:tc>
        <w:tc>
          <w:tcPr>
            <w:tcW w:w="1562" w:type="dxa"/>
            <w:vAlign w:val="center"/>
          </w:tcPr>
          <w:p w:rsidR="00D527EC" w:rsidRDefault="00D527EC" w:rsidP="002C202B">
            <w:pPr>
              <w:pStyle w:val="BlockText"/>
              <w:spacing w:line="240" w:lineRule="auto"/>
              <w:jc w:val="center"/>
            </w:pPr>
            <w:r>
              <w:rPr>
                <w:b/>
                <w:bCs/>
              </w:rPr>
              <w:t>No carry</w:t>
            </w:r>
          </w:p>
        </w:tc>
        <w:tc>
          <w:tcPr>
            <w:tcW w:w="1563" w:type="dxa"/>
            <w:vAlign w:val="center"/>
          </w:tcPr>
          <w:p w:rsidR="00D527EC" w:rsidRDefault="00D527EC" w:rsidP="002C202B">
            <w:pPr>
              <w:pStyle w:val="BlockText"/>
              <w:spacing w:line="240" w:lineRule="auto"/>
              <w:jc w:val="center"/>
            </w:pPr>
            <w:r>
              <w:t xml:space="preserve">6000 </w:t>
            </w:r>
          </w:p>
        </w:tc>
        <w:tc>
          <w:tcPr>
            <w:tcW w:w="1094" w:type="dxa"/>
            <w:vAlign w:val="center"/>
          </w:tcPr>
          <w:p w:rsidR="00D527EC" w:rsidRDefault="00D527EC" w:rsidP="002C202B">
            <w:pPr>
              <w:pStyle w:val="BlockText"/>
              <w:spacing w:line="240" w:lineRule="auto"/>
              <w:jc w:val="center"/>
            </w:pPr>
            <w:r>
              <w:t>(2340)</w:t>
            </w:r>
          </w:p>
        </w:tc>
        <w:tc>
          <w:tcPr>
            <w:tcW w:w="1563" w:type="dxa"/>
            <w:vAlign w:val="center"/>
          </w:tcPr>
          <w:p w:rsidR="00D527EC" w:rsidRDefault="00D527EC" w:rsidP="002C202B">
            <w:pPr>
              <w:pStyle w:val="BlockText"/>
              <w:spacing w:line="240" w:lineRule="auto"/>
              <w:jc w:val="center"/>
            </w:pPr>
            <w:r>
              <w:t xml:space="preserve">6801 </w:t>
            </w:r>
          </w:p>
        </w:tc>
        <w:tc>
          <w:tcPr>
            <w:tcW w:w="1094" w:type="dxa"/>
            <w:vAlign w:val="center"/>
          </w:tcPr>
          <w:p w:rsidR="00D527EC" w:rsidRDefault="00D527EC" w:rsidP="002C202B">
            <w:pPr>
              <w:pStyle w:val="BlockText"/>
              <w:spacing w:line="240" w:lineRule="auto"/>
              <w:jc w:val="center"/>
            </w:pPr>
            <w:r>
              <w:t>(2038)</w:t>
            </w:r>
          </w:p>
        </w:tc>
      </w:tr>
      <w:tr w:rsidR="00D527EC" w:rsidTr="002C202B">
        <w:trPr>
          <w:trHeight w:val="436"/>
        </w:trPr>
        <w:tc>
          <w:tcPr>
            <w:tcW w:w="1683" w:type="dxa"/>
            <w:tcBorders>
              <w:bottom w:val="single" w:sz="6" w:space="0" w:color="auto"/>
            </w:tcBorders>
            <w:vAlign w:val="center"/>
          </w:tcPr>
          <w:p w:rsidR="00D527EC" w:rsidRDefault="00D527EC" w:rsidP="002C202B">
            <w:pPr>
              <w:pStyle w:val="BlockText"/>
              <w:spacing w:line="240" w:lineRule="auto"/>
              <w:jc w:val="center"/>
              <w:rPr>
                <w:b/>
                <w:bCs/>
              </w:rPr>
            </w:pPr>
          </w:p>
        </w:tc>
        <w:tc>
          <w:tcPr>
            <w:tcW w:w="1562" w:type="dxa"/>
            <w:tcBorders>
              <w:bottom w:val="single" w:sz="6" w:space="0" w:color="auto"/>
            </w:tcBorders>
            <w:vAlign w:val="center"/>
          </w:tcPr>
          <w:p w:rsidR="00D527EC" w:rsidRDefault="00D527EC" w:rsidP="002C202B">
            <w:pPr>
              <w:pStyle w:val="BlockText"/>
              <w:spacing w:line="240" w:lineRule="auto"/>
              <w:jc w:val="center"/>
              <w:rPr>
                <w:b/>
                <w:bCs/>
              </w:rPr>
            </w:pPr>
            <w:r>
              <w:rPr>
                <w:b/>
                <w:bCs/>
              </w:rPr>
              <w:t>Carry Cost</w:t>
            </w:r>
          </w:p>
        </w:tc>
        <w:tc>
          <w:tcPr>
            <w:tcW w:w="1563" w:type="dxa"/>
            <w:tcBorders>
              <w:bottom w:val="single" w:sz="6" w:space="0" w:color="auto"/>
            </w:tcBorders>
            <w:vAlign w:val="center"/>
          </w:tcPr>
          <w:p w:rsidR="00D527EC" w:rsidRDefault="00D527EC" w:rsidP="002C202B">
            <w:pPr>
              <w:pStyle w:val="BlockText"/>
              <w:spacing w:line="240" w:lineRule="auto"/>
              <w:jc w:val="center"/>
              <w:rPr>
                <w:b/>
              </w:rPr>
            </w:pPr>
            <w:r w:rsidRPr="00EE18BD">
              <w:rPr>
                <w:b/>
              </w:rPr>
              <w:t xml:space="preserve">1167 </w:t>
            </w:r>
          </w:p>
        </w:tc>
        <w:tc>
          <w:tcPr>
            <w:tcW w:w="1094" w:type="dxa"/>
            <w:tcBorders>
              <w:bottom w:val="single" w:sz="6" w:space="0" w:color="auto"/>
            </w:tcBorders>
            <w:vAlign w:val="center"/>
          </w:tcPr>
          <w:p w:rsidR="00D527EC" w:rsidRDefault="00D527EC" w:rsidP="002C202B">
            <w:pPr>
              <w:pStyle w:val="BlockText"/>
              <w:spacing w:line="240" w:lineRule="auto"/>
              <w:jc w:val="center"/>
              <w:rPr>
                <w:b/>
              </w:rPr>
            </w:pPr>
          </w:p>
        </w:tc>
        <w:tc>
          <w:tcPr>
            <w:tcW w:w="1563" w:type="dxa"/>
            <w:tcBorders>
              <w:bottom w:val="single" w:sz="6" w:space="0" w:color="auto"/>
            </w:tcBorders>
            <w:vAlign w:val="center"/>
          </w:tcPr>
          <w:p w:rsidR="00D527EC" w:rsidRDefault="00D527EC" w:rsidP="002C202B">
            <w:pPr>
              <w:pStyle w:val="BlockText"/>
              <w:spacing w:line="240" w:lineRule="auto"/>
              <w:jc w:val="center"/>
              <w:rPr>
                <w:b/>
              </w:rPr>
            </w:pPr>
            <w:r w:rsidRPr="00EE18BD">
              <w:rPr>
                <w:b/>
              </w:rPr>
              <w:t>9</w:t>
            </w:r>
            <w:r>
              <w:rPr>
                <w:b/>
              </w:rPr>
              <w:t>40</w:t>
            </w:r>
            <w:r w:rsidRPr="00EE18BD">
              <w:rPr>
                <w:b/>
              </w:rPr>
              <w:t xml:space="preserve"> </w:t>
            </w:r>
          </w:p>
        </w:tc>
        <w:tc>
          <w:tcPr>
            <w:tcW w:w="1094" w:type="dxa"/>
            <w:tcBorders>
              <w:bottom w:val="single" w:sz="6" w:space="0" w:color="auto"/>
            </w:tcBorders>
            <w:vAlign w:val="center"/>
          </w:tcPr>
          <w:p w:rsidR="00D527EC" w:rsidRDefault="00D527EC" w:rsidP="002C202B">
            <w:pPr>
              <w:pStyle w:val="BlockText"/>
              <w:spacing w:line="240" w:lineRule="auto"/>
              <w:jc w:val="center"/>
            </w:pPr>
          </w:p>
        </w:tc>
      </w:tr>
      <w:tr w:rsidR="00D527EC" w:rsidTr="002C202B">
        <w:trPr>
          <w:trHeight w:val="436"/>
        </w:trPr>
        <w:tc>
          <w:tcPr>
            <w:tcW w:w="1683" w:type="dxa"/>
            <w:tcBorders>
              <w:top w:val="single" w:sz="6" w:space="0" w:color="auto"/>
            </w:tcBorders>
            <w:vAlign w:val="center"/>
          </w:tcPr>
          <w:p w:rsidR="00D527EC" w:rsidRDefault="00D527EC" w:rsidP="002C202B">
            <w:pPr>
              <w:pStyle w:val="BlockText"/>
              <w:spacing w:line="240" w:lineRule="auto"/>
              <w:jc w:val="center"/>
              <w:rPr>
                <w:b/>
                <w:bCs/>
              </w:rPr>
            </w:pPr>
            <w:r>
              <w:rPr>
                <w:b/>
                <w:bCs/>
              </w:rPr>
              <w:t>Errors in %</w:t>
            </w:r>
          </w:p>
        </w:tc>
        <w:tc>
          <w:tcPr>
            <w:tcW w:w="1562" w:type="dxa"/>
            <w:tcBorders>
              <w:top w:val="single" w:sz="6" w:space="0" w:color="auto"/>
            </w:tcBorders>
            <w:vAlign w:val="center"/>
          </w:tcPr>
          <w:p w:rsidR="00D527EC" w:rsidRDefault="00D527EC" w:rsidP="002C202B">
            <w:pPr>
              <w:pStyle w:val="BlockText"/>
              <w:spacing w:line="240" w:lineRule="auto"/>
              <w:jc w:val="center"/>
            </w:pPr>
            <w:r>
              <w:rPr>
                <w:b/>
                <w:bCs/>
              </w:rPr>
              <w:t>Carry</w:t>
            </w:r>
          </w:p>
        </w:tc>
        <w:tc>
          <w:tcPr>
            <w:tcW w:w="1563" w:type="dxa"/>
            <w:tcBorders>
              <w:top w:val="single" w:sz="6" w:space="0" w:color="auto"/>
            </w:tcBorders>
            <w:vAlign w:val="center"/>
          </w:tcPr>
          <w:p w:rsidR="00D527EC" w:rsidRDefault="00D527EC" w:rsidP="002C202B">
            <w:pPr>
              <w:pStyle w:val="BlockText"/>
              <w:spacing w:line="240" w:lineRule="auto"/>
              <w:jc w:val="center"/>
            </w:pPr>
            <w:r>
              <w:t>8.72</w:t>
            </w:r>
          </w:p>
        </w:tc>
        <w:tc>
          <w:tcPr>
            <w:tcW w:w="1094" w:type="dxa"/>
            <w:tcBorders>
              <w:top w:val="single" w:sz="6" w:space="0" w:color="auto"/>
            </w:tcBorders>
            <w:vAlign w:val="center"/>
          </w:tcPr>
          <w:p w:rsidR="00D527EC" w:rsidRDefault="00D527EC" w:rsidP="002C202B">
            <w:pPr>
              <w:pStyle w:val="BlockText"/>
              <w:spacing w:line="240" w:lineRule="auto"/>
              <w:jc w:val="center"/>
            </w:pPr>
            <w:r>
              <w:t>(7.85)</w:t>
            </w:r>
          </w:p>
        </w:tc>
        <w:tc>
          <w:tcPr>
            <w:tcW w:w="1563" w:type="dxa"/>
            <w:tcBorders>
              <w:top w:val="single" w:sz="6" w:space="0" w:color="auto"/>
            </w:tcBorders>
            <w:vAlign w:val="center"/>
          </w:tcPr>
          <w:p w:rsidR="00D527EC" w:rsidRDefault="00D527EC" w:rsidP="002C202B">
            <w:pPr>
              <w:pStyle w:val="BlockText"/>
              <w:spacing w:line="240" w:lineRule="auto"/>
              <w:jc w:val="center"/>
            </w:pPr>
            <w:r>
              <w:t>11.88</w:t>
            </w:r>
          </w:p>
        </w:tc>
        <w:tc>
          <w:tcPr>
            <w:tcW w:w="1094" w:type="dxa"/>
            <w:tcBorders>
              <w:top w:val="single" w:sz="6" w:space="0" w:color="auto"/>
            </w:tcBorders>
            <w:vAlign w:val="center"/>
          </w:tcPr>
          <w:p w:rsidR="00D527EC" w:rsidRDefault="00D527EC" w:rsidP="002C202B">
            <w:pPr>
              <w:pStyle w:val="BlockText"/>
              <w:spacing w:line="240" w:lineRule="auto"/>
              <w:jc w:val="center"/>
            </w:pPr>
            <w:r>
              <w:t>(9.92)</w:t>
            </w:r>
          </w:p>
        </w:tc>
      </w:tr>
      <w:tr w:rsidR="00D527EC" w:rsidTr="002C202B">
        <w:trPr>
          <w:trHeight w:val="436"/>
        </w:trPr>
        <w:tc>
          <w:tcPr>
            <w:tcW w:w="1683" w:type="dxa"/>
            <w:vAlign w:val="center"/>
          </w:tcPr>
          <w:p w:rsidR="00D527EC" w:rsidRDefault="00D527EC" w:rsidP="002C202B">
            <w:pPr>
              <w:pStyle w:val="BlockText"/>
              <w:spacing w:line="240" w:lineRule="auto"/>
              <w:jc w:val="center"/>
              <w:rPr>
                <w:b/>
                <w:bCs/>
              </w:rPr>
            </w:pPr>
          </w:p>
        </w:tc>
        <w:tc>
          <w:tcPr>
            <w:tcW w:w="1562" w:type="dxa"/>
            <w:vAlign w:val="center"/>
          </w:tcPr>
          <w:p w:rsidR="00D527EC" w:rsidRDefault="00D527EC" w:rsidP="002C202B">
            <w:pPr>
              <w:pStyle w:val="BlockText"/>
              <w:spacing w:line="240" w:lineRule="auto"/>
              <w:jc w:val="center"/>
              <w:rPr>
                <w:b/>
                <w:bCs/>
              </w:rPr>
            </w:pPr>
            <w:r>
              <w:rPr>
                <w:b/>
                <w:bCs/>
              </w:rPr>
              <w:t>No carry</w:t>
            </w:r>
          </w:p>
        </w:tc>
        <w:tc>
          <w:tcPr>
            <w:tcW w:w="1563" w:type="dxa"/>
            <w:vAlign w:val="center"/>
          </w:tcPr>
          <w:p w:rsidR="00D527EC" w:rsidRDefault="00D527EC" w:rsidP="002C202B">
            <w:pPr>
              <w:pStyle w:val="BlockText"/>
              <w:spacing w:line="240" w:lineRule="auto"/>
              <w:jc w:val="center"/>
            </w:pPr>
            <w:r>
              <w:t>7.14</w:t>
            </w:r>
          </w:p>
        </w:tc>
        <w:tc>
          <w:tcPr>
            <w:tcW w:w="1094" w:type="dxa"/>
            <w:vAlign w:val="center"/>
          </w:tcPr>
          <w:p w:rsidR="00D527EC" w:rsidRDefault="00D527EC" w:rsidP="002C202B">
            <w:pPr>
              <w:pStyle w:val="BlockText"/>
              <w:spacing w:line="240" w:lineRule="auto"/>
              <w:jc w:val="center"/>
            </w:pPr>
            <w:r>
              <w:t>(7.14)</w:t>
            </w:r>
          </w:p>
        </w:tc>
        <w:tc>
          <w:tcPr>
            <w:tcW w:w="1563" w:type="dxa"/>
            <w:vAlign w:val="center"/>
          </w:tcPr>
          <w:p w:rsidR="00D527EC" w:rsidRDefault="00D527EC" w:rsidP="002C202B">
            <w:pPr>
              <w:pStyle w:val="BlockText"/>
              <w:spacing w:line="240" w:lineRule="auto"/>
              <w:jc w:val="center"/>
            </w:pPr>
            <w:r>
              <w:t>8.3</w:t>
            </w:r>
          </w:p>
        </w:tc>
        <w:tc>
          <w:tcPr>
            <w:tcW w:w="1094" w:type="dxa"/>
            <w:vAlign w:val="center"/>
          </w:tcPr>
          <w:p w:rsidR="00D527EC" w:rsidRDefault="00D527EC" w:rsidP="002C202B">
            <w:pPr>
              <w:pStyle w:val="BlockText"/>
              <w:spacing w:line="240" w:lineRule="auto"/>
              <w:jc w:val="center"/>
            </w:pPr>
            <w:r>
              <w:t>(8.19)</w:t>
            </w:r>
          </w:p>
        </w:tc>
      </w:tr>
      <w:tr w:rsidR="00D527EC" w:rsidTr="002C202B">
        <w:trPr>
          <w:trHeight w:val="438"/>
        </w:trPr>
        <w:tc>
          <w:tcPr>
            <w:tcW w:w="1683" w:type="dxa"/>
            <w:tcBorders>
              <w:bottom w:val="single" w:sz="12" w:space="0" w:color="auto"/>
            </w:tcBorders>
            <w:vAlign w:val="center"/>
          </w:tcPr>
          <w:p w:rsidR="00D527EC" w:rsidRDefault="00D527EC" w:rsidP="002C202B">
            <w:pPr>
              <w:pStyle w:val="BlockText"/>
              <w:spacing w:line="240" w:lineRule="auto"/>
              <w:jc w:val="center"/>
              <w:rPr>
                <w:b/>
                <w:bCs/>
              </w:rPr>
            </w:pPr>
          </w:p>
        </w:tc>
        <w:tc>
          <w:tcPr>
            <w:tcW w:w="1562" w:type="dxa"/>
            <w:tcBorders>
              <w:bottom w:val="single" w:sz="12" w:space="0" w:color="auto"/>
            </w:tcBorders>
            <w:vAlign w:val="center"/>
          </w:tcPr>
          <w:p w:rsidR="00D527EC" w:rsidRDefault="00D527EC" w:rsidP="002C202B">
            <w:pPr>
              <w:pStyle w:val="BlockText"/>
              <w:spacing w:line="240" w:lineRule="auto"/>
              <w:jc w:val="center"/>
              <w:rPr>
                <w:b/>
                <w:bCs/>
              </w:rPr>
            </w:pPr>
            <w:r>
              <w:rPr>
                <w:b/>
                <w:bCs/>
              </w:rPr>
              <w:t>Carry Cost</w:t>
            </w:r>
          </w:p>
        </w:tc>
        <w:tc>
          <w:tcPr>
            <w:tcW w:w="1563" w:type="dxa"/>
            <w:tcBorders>
              <w:bottom w:val="single" w:sz="12" w:space="0" w:color="auto"/>
            </w:tcBorders>
            <w:vAlign w:val="center"/>
          </w:tcPr>
          <w:p w:rsidR="00D527EC" w:rsidRDefault="00D527EC" w:rsidP="002C202B">
            <w:pPr>
              <w:pStyle w:val="BlockText"/>
              <w:spacing w:line="240" w:lineRule="auto"/>
              <w:jc w:val="center"/>
              <w:rPr>
                <w:b/>
              </w:rPr>
            </w:pPr>
            <w:r w:rsidRPr="00EE18BD">
              <w:rPr>
                <w:b/>
              </w:rPr>
              <w:t>1.58</w:t>
            </w:r>
          </w:p>
        </w:tc>
        <w:tc>
          <w:tcPr>
            <w:tcW w:w="1094" w:type="dxa"/>
            <w:tcBorders>
              <w:bottom w:val="single" w:sz="12" w:space="0" w:color="auto"/>
            </w:tcBorders>
            <w:vAlign w:val="center"/>
          </w:tcPr>
          <w:p w:rsidR="00D527EC" w:rsidRDefault="00D527EC" w:rsidP="002C202B">
            <w:pPr>
              <w:pStyle w:val="BlockText"/>
              <w:spacing w:line="240" w:lineRule="auto"/>
              <w:jc w:val="center"/>
              <w:rPr>
                <w:b/>
              </w:rPr>
            </w:pPr>
          </w:p>
        </w:tc>
        <w:tc>
          <w:tcPr>
            <w:tcW w:w="1563" w:type="dxa"/>
            <w:tcBorders>
              <w:bottom w:val="single" w:sz="12" w:space="0" w:color="auto"/>
            </w:tcBorders>
            <w:vAlign w:val="center"/>
          </w:tcPr>
          <w:p w:rsidR="00D527EC" w:rsidRDefault="00D527EC" w:rsidP="002C202B">
            <w:pPr>
              <w:pStyle w:val="BlockText"/>
              <w:spacing w:line="240" w:lineRule="auto"/>
              <w:jc w:val="center"/>
              <w:rPr>
                <w:b/>
              </w:rPr>
            </w:pPr>
            <w:r w:rsidRPr="00EE18BD">
              <w:rPr>
                <w:b/>
              </w:rPr>
              <w:t>3.</w:t>
            </w:r>
            <w:r>
              <w:rPr>
                <w:b/>
              </w:rPr>
              <w:t>54</w:t>
            </w:r>
          </w:p>
        </w:tc>
        <w:tc>
          <w:tcPr>
            <w:tcW w:w="1094" w:type="dxa"/>
            <w:tcBorders>
              <w:bottom w:val="single" w:sz="12" w:space="0" w:color="auto"/>
            </w:tcBorders>
            <w:vAlign w:val="center"/>
          </w:tcPr>
          <w:p w:rsidR="00D527EC" w:rsidRDefault="00D527EC" w:rsidP="002C202B">
            <w:pPr>
              <w:pStyle w:val="BlockText"/>
              <w:spacing w:line="240" w:lineRule="auto"/>
              <w:jc w:val="center"/>
            </w:pPr>
          </w:p>
        </w:tc>
      </w:tr>
    </w:tbl>
    <w:p w:rsidR="00C9086D" w:rsidRDefault="00C9086D">
      <w:pPr>
        <w:spacing w:line="480" w:lineRule="auto"/>
        <w:rPr>
          <w:rFonts w:ascii="Times New Roman" w:hAnsi="Times New Roman"/>
          <w:b/>
          <w:szCs w:val="24"/>
          <w:lang w:eastAsia="en-GB"/>
        </w:rPr>
      </w:pPr>
    </w:p>
    <w:p w:rsidR="008B5BCF" w:rsidRDefault="008B5BCF" w:rsidP="00FD59DB">
      <w:pPr>
        <w:pStyle w:val="BodyText"/>
        <w:ind w:firstLine="0"/>
        <w:rPr>
          <w:b/>
        </w:rPr>
      </w:pPr>
    </w:p>
    <w:p w:rsidR="008B5BCF" w:rsidRDefault="008B5BCF" w:rsidP="00FD59DB">
      <w:pPr>
        <w:pStyle w:val="BodyText"/>
        <w:ind w:firstLine="0"/>
        <w:rPr>
          <w:b/>
        </w:rPr>
      </w:pPr>
    </w:p>
    <w:p w:rsidR="00461634" w:rsidRPr="000C58EC" w:rsidRDefault="00536CD2" w:rsidP="00FD59DB">
      <w:pPr>
        <w:pStyle w:val="BodyText"/>
        <w:ind w:firstLine="0"/>
        <w:rPr>
          <w:b/>
        </w:rPr>
      </w:pPr>
      <w:r w:rsidRPr="00536CD2">
        <w:rPr>
          <w:b/>
        </w:rPr>
        <w:lastRenderedPageBreak/>
        <w:t xml:space="preserve">The relationship between </w:t>
      </w:r>
      <w:r w:rsidR="00A607DF" w:rsidRPr="00536CD2">
        <w:rPr>
          <w:b/>
        </w:rPr>
        <w:t xml:space="preserve">the carry effect </w:t>
      </w:r>
      <w:r w:rsidR="00A607DF">
        <w:rPr>
          <w:b/>
        </w:rPr>
        <w:t xml:space="preserve">and </w:t>
      </w:r>
      <w:r w:rsidRPr="00536CD2">
        <w:rPr>
          <w:b/>
        </w:rPr>
        <w:t xml:space="preserve">WM </w:t>
      </w:r>
      <w:r w:rsidR="00571D2C">
        <w:rPr>
          <w:b/>
        </w:rPr>
        <w:t>sub</w:t>
      </w:r>
      <w:r w:rsidRPr="00536CD2">
        <w:rPr>
          <w:b/>
        </w:rPr>
        <w:t xml:space="preserve">components </w:t>
      </w:r>
    </w:p>
    <w:p w:rsidR="00AE3837" w:rsidRDefault="000D2047" w:rsidP="00BA2565">
      <w:pPr>
        <w:pStyle w:val="BodyText"/>
      </w:pPr>
      <w:r>
        <w:t>In a second step,</w:t>
      </w:r>
      <w:r w:rsidR="000C58EC">
        <w:t xml:space="preserve"> </w:t>
      </w:r>
      <w:r>
        <w:t xml:space="preserve">we </w:t>
      </w:r>
      <w:r w:rsidR="000150F3">
        <w:t>investigate</w:t>
      </w:r>
      <w:r>
        <w:t>d</w:t>
      </w:r>
      <w:r w:rsidR="000150F3">
        <w:t xml:space="preserve"> the relationship between </w:t>
      </w:r>
      <w:r w:rsidR="00823FC7">
        <w:t>the carry effect and the WM sub</w:t>
      </w:r>
      <w:r>
        <w:t>components</w:t>
      </w:r>
      <w:r w:rsidR="000150F3">
        <w:t xml:space="preserve">. </w:t>
      </w:r>
      <w:r>
        <w:t>First, because WM has been implicated in the carry effect</w:t>
      </w:r>
      <w:r w:rsidR="000150F3">
        <w:t xml:space="preserve"> we calculated correlation</w:t>
      </w:r>
      <w:r w:rsidR="00823FC7">
        <w:t>s</w:t>
      </w:r>
      <w:r w:rsidR="000150F3">
        <w:t xml:space="preserve"> between children</w:t>
      </w:r>
      <w:r w:rsidR="00EA7860">
        <w:t xml:space="preserve">’s WM </w:t>
      </w:r>
      <w:proofErr w:type="spellStart"/>
      <w:r>
        <w:t>sub</w:t>
      </w:r>
      <w:r w:rsidR="00EA7860">
        <w:t>scores</w:t>
      </w:r>
      <w:proofErr w:type="spellEnd"/>
      <w:r w:rsidR="00EA7860">
        <w:t xml:space="preserve"> and their</w:t>
      </w:r>
      <w:r w:rsidR="000150F3">
        <w:t xml:space="preserve"> carry effect</w:t>
      </w:r>
      <w:r>
        <w:t xml:space="preserve"> (on RT) </w:t>
      </w:r>
      <w:r w:rsidR="003B79E9">
        <w:t>independent of language group</w:t>
      </w:r>
      <w:r>
        <w:t xml:space="preserve"> (</w:t>
      </w:r>
      <w:r w:rsidR="000150F3">
        <w:t xml:space="preserve">table </w:t>
      </w:r>
      <w:r w:rsidR="00C9086D">
        <w:t>3</w:t>
      </w:r>
      <w:r>
        <w:t xml:space="preserve">). We included split size </w:t>
      </w:r>
      <w:r w:rsidR="00FD59DB">
        <w:t xml:space="preserve">as additional factor here </w:t>
      </w:r>
      <w:r>
        <w:t>because</w:t>
      </w:r>
      <w:r w:rsidR="00221297">
        <w:t xml:space="preserve"> </w:t>
      </w:r>
      <w:r w:rsidR="00FD59DB">
        <w:t xml:space="preserve">processing distracters that differ either at the decade or unit position might affect strategy use and might </w:t>
      </w:r>
      <w:r w:rsidR="0074126E">
        <w:t xml:space="preserve">therefore </w:t>
      </w:r>
      <w:r w:rsidR="00FD59DB">
        <w:t>call on different WM components. Indeed,</w:t>
      </w:r>
      <w:r w:rsidR="0074126E">
        <w:t xml:space="preserve"> for verbal WM </w:t>
      </w:r>
      <w:r w:rsidR="00FD59DB">
        <w:t>t</w:t>
      </w:r>
      <w:r>
        <w:t xml:space="preserve">here was a significant correlation between children’s verbal WM score and the size of their </w:t>
      </w:r>
      <w:r w:rsidR="00221297">
        <w:t xml:space="preserve">overall </w:t>
      </w:r>
      <w:r>
        <w:t xml:space="preserve">carry effect </w:t>
      </w:r>
      <w:r w:rsidR="00221297">
        <w:t xml:space="preserve">as well as with the </w:t>
      </w:r>
      <w:r w:rsidR="00123B1B">
        <w:t xml:space="preserve">size of the </w:t>
      </w:r>
      <w:r w:rsidR="00221297">
        <w:t xml:space="preserve">carry effect for </w:t>
      </w:r>
      <w:r w:rsidR="00123B1B">
        <w:t>trials with split 2 and split 10 distracters</w:t>
      </w:r>
      <w:r>
        <w:t>. In contrast</w:t>
      </w:r>
      <w:r w:rsidR="00221297">
        <w:t>,</w:t>
      </w:r>
      <w:r>
        <w:t xml:space="preserve"> </w:t>
      </w:r>
      <w:r w:rsidR="009A19EF">
        <w:t xml:space="preserve">spatial WM was not significantly correlated with the carry effect. Children with larger CE scores showed a significantly larger carry effect </w:t>
      </w:r>
      <w:r w:rsidR="00221297">
        <w:t xml:space="preserve">only </w:t>
      </w:r>
      <w:r w:rsidR="009A19EF">
        <w:t>for split</w:t>
      </w:r>
      <w:r w:rsidR="00221297">
        <w:t xml:space="preserve"> </w:t>
      </w:r>
      <w:r w:rsidR="009A19EF">
        <w:t xml:space="preserve">10 trials. </w:t>
      </w:r>
    </w:p>
    <w:p w:rsidR="007206CE" w:rsidRDefault="007206CE" w:rsidP="00AC1F20">
      <w:pPr>
        <w:pStyle w:val="BodyText"/>
      </w:pPr>
    </w:p>
    <w:p w:rsidR="00C9086D" w:rsidRDefault="000C58EC">
      <w:pPr>
        <w:spacing w:line="480" w:lineRule="auto"/>
        <w:rPr>
          <w:rFonts w:ascii="Times New Roman" w:hAnsi="Times New Roman"/>
          <w:szCs w:val="24"/>
          <w:lang w:eastAsia="en-GB"/>
        </w:rPr>
      </w:pPr>
      <w:r w:rsidRPr="008F0894">
        <w:rPr>
          <w:rFonts w:ascii="Times New Roman" w:hAnsi="Times New Roman"/>
          <w:i/>
          <w:szCs w:val="24"/>
          <w:lang w:eastAsia="en-GB"/>
        </w:rPr>
        <w:t xml:space="preserve">Table </w:t>
      </w:r>
      <w:r w:rsidR="00BB24F9">
        <w:rPr>
          <w:rFonts w:ascii="Times New Roman" w:hAnsi="Times New Roman"/>
          <w:i/>
          <w:szCs w:val="24"/>
          <w:lang w:eastAsia="en-GB"/>
        </w:rPr>
        <w:t>3</w:t>
      </w:r>
      <w:r w:rsidRPr="008F0894">
        <w:rPr>
          <w:rFonts w:ascii="Times New Roman" w:hAnsi="Times New Roman"/>
          <w:i/>
          <w:szCs w:val="24"/>
          <w:lang w:eastAsia="en-GB"/>
        </w:rPr>
        <w:t>:</w:t>
      </w:r>
      <w:r w:rsidRPr="008F0894">
        <w:rPr>
          <w:rFonts w:ascii="Times New Roman" w:hAnsi="Times New Roman"/>
          <w:szCs w:val="24"/>
          <w:lang w:eastAsia="en-GB"/>
        </w:rPr>
        <w:t xml:space="preserve"> WM </w:t>
      </w:r>
      <w:proofErr w:type="spellStart"/>
      <w:r w:rsidRPr="008F0894">
        <w:rPr>
          <w:rFonts w:ascii="Times New Roman" w:hAnsi="Times New Roman"/>
          <w:szCs w:val="24"/>
          <w:lang w:eastAsia="en-GB"/>
        </w:rPr>
        <w:t>subscores</w:t>
      </w:r>
      <w:proofErr w:type="spellEnd"/>
      <w:r w:rsidRPr="008F0894">
        <w:rPr>
          <w:rFonts w:ascii="Times New Roman" w:hAnsi="Times New Roman"/>
          <w:szCs w:val="24"/>
          <w:lang w:eastAsia="en-GB"/>
        </w:rPr>
        <w:t xml:space="preserve">: relationship between the three </w:t>
      </w:r>
      <w:proofErr w:type="spellStart"/>
      <w:r w:rsidRPr="008F0894">
        <w:rPr>
          <w:rFonts w:ascii="Times New Roman" w:hAnsi="Times New Roman"/>
          <w:szCs w:val="24"/>
          <w:lang w:eastAsia="en-GB"/>
        </w:rPr>
        <w:t>subscores</w:t>
      </w:r>
      <w:proofErr w:type="spellEnd"/>
      <w:r w:rsidRPr="008F0894">
        <w:rPr>
          <w:rFonts w:ascii="Times New Roman" w:hAnsi="Times New Roman"/>
          <w:szCs w:val="24"/>
          <w:lang w:eastAsia="en-GB"/>
        </w:rPr>
        <w:t xml:space="preserve"> and the carry effect (on RT)</w:t>
      </w:r>
    </w:p>
    <w:tbl>
      <w:tblPr>
        <w:tblStyle w:val="TableGrid"/>
        <w:tblW w:w="0" w:type="auto"/>
        <w:tblInd w:w="-3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86"/>
        <w:gridCol w:w="1368"/>
        <w:gridCol w:w="1368"/>
        <w:gridCol w:w="1368"/>
        <w:gridCol w:w="1368"/>
        <w:gridCol w:w="1368"/>
        <w:gridCol w:w="1368"/>
      </w:tblGrid>
      <w:tr w:rsidR="00E735C2" w:rsidTr="00E735C2">
        <w:tc>
          <w:tcPr>
            <w:tcW w:w="1686" w:type="dxa"/>
          </w:tcPr>
          <w:p w:rsidR="00E735C2" w:rsidRDefault="00E735C2" w:rsidP="00E735C2">
            <w:pPr>
              <w:spacing w:line="480" w:lineRule="auto"/>
              <w:jc w:val="center"/>
              <w:rPr>
                <w:rFonts w:ascii="Times New Roman" w:hAnsi="Times New Roman"/>
                <w:i/>
                <w:szCs w:val="24"/>
                <w:lang w:eastAsia="en-GB"/>
              </w:rPr>
            </w:pPr>
          </w:p>
        </w:tc>
        <w:tc>
          <w:tcPr>
            <w:tcW w:w="2736" w:type="dxa"/>
            <w:gridSpan w:val="2"/>
            <w:tcBorders>
              <w:bottom w:val="single" w:sz="4" w:space="0" w:color="auto"/>
            </w:tcBorders>
          </w:tcPr>
          <w:p w:rsidR="00E735C2" w:rsidRPr="000C58EC" w:rsidRDefault="00E735C2" w:rsidP="00E735C2">
            <w:pPr>
              <w:spacing w:line="480" w:lineRule="auto"/>
              <w:jc w:val="center"/>
              <w:rPr>
                <w:rFonts w:ascii="Times New Roman" w:hAnsi="Times New Roman"/>
                <w:szCs w:val="24"/>
                <w:lang w:eastAsia="en-GB"/>
              </w:rPr>
            </w:pPr>
            <w:r w:rsidRPr="000C58EC">
              <w:rPr>
                <w:rFonts w:ascii="Times New Roman" w:hAnsi="Times New Roman"/>
                <w:szCs w:val="24"/>
                <w:lang w:eastAsia="en-GB"/>
              </w:rPr>
              <w:t>Verbal WM</w:t>
            </w:r>
          </w:p>
        </w:tc>
        <w:tc>
          <w:tcPr>
            <w:tcW w:w="2736" w:type="dxa"/>
            <w:gridSpan w:val="2"/>
            <w:tcBorders>
              <w:bottom w:val="single" w:sz="4" w:space="0" w:color="auto"/>
            </w:tcBorders>
          </w:tcPr>
          <w:p w:rsidR="00E735C2" w:rsidRPr="000C58EC" w:rsidRDefault="00E735C2" w:rsidP="00E735C2">
            <w:pPr>
              <w:spacing w:line="480" w:lineRule="auto"/>
              <w:jc w:val="center"/>
              <w:rPr>
                <w:rFonts w:ascii="Times New Roman" w:hAnsi="Times New Roman"/>
                <w:szCs w:val="24"/>
                <w:lang w:eastAsia="en-GB"/>
              </w:rPr>
            </w:pPr>
            <w:r w:rsidRPr="000C58EC">
              <w:rPr>
                <w:rFonts w:ascii="Times New Roman" w:hAnsi="Times New Roman"/>
                <w:szCs w:val="24"/>
                <w:lang w:eastAsia="en-GB"/>
              </w:rPr>
              <w:t>Spatial WM</w:t>
            </w:r>
          </w:p>
        </w:tc>
        <w:tc>
          <w:tcPr>
            <w:tcW w:w="2736" w:type="dxa"/>
            <w:gridSpan w:val="2"/>
            <w:tcBorders>
              <w:bottom w:val="single" w:sz="4" w:space="0" w:color="auto"/>
            </w:tcBorders>
          </w:tcPr>
          <w:p w:rsidR="00E735C2" w:rsidRPr="000C58EC" w:rsidRDefault="00E735C2" w:rsidP="00E735C2">
            <w:pPr>
              <w:spacing w:line="480" w:lineRule="auto"/>
              <w:jc w:val="center"/>
              <w:rPr>
                <w:rFonts w:ascii="Times New Roman" w:hAnsi="Times New Roman"/>
                <w:szCs w:val="24"/>
                <w:lang w:eastAsia="en-GB"/>
              </w:rPr>
            </w:pPr>
            <w:r w:rsidRPr="000C58EC">
              <w:rPr>
                <w:rFonts w:ascii="Times New Roman" w:hAnsi="Times New Roman"/>
                <w:szCs w:val="24"/>
                <w:lang w:eastAsia="en-GB"/>
              </w:rPr>
              <w:t>Central Executive</w:t>
            </w:r>
          </w:p>
        </w:tc>
      </w:tr>
      <w:tr w:rsidR="00E735C2" w:rsidTr="00E735C2">
        <w:tc>
          <w:tcPr>
            <w:tcW w:w="1686" w:type="dxa"/>
            <w:tcBorders>
              <w:bottom w:val="single" w:sz="4" w:space="0" w:color="auto"/>
            </w:tcBorders>
          </w:tcPr>
          <w:p w:rsidR="00E735C2" w:rsidRPr="000C58EC" w:rsidRDefault="00E735C2" w:rsidP="00E735C2">
            <w:pPr>
              <w:spacing w:line="480" w:lineRule="auto"/>
              <w:rPr>
                <w:rFonts w:ascii="Times New Roman" w:hAnsi="Times New Roman"/>
                <w:szCs w:val="24"/>
                <w:lang w:eastAsia="en-GB"/>
              </w:rPr>
            </w:pPr>
            <w:r w:rsidRPr="000C58EC">
              <w:rPr>
                <w:rFonts w:ascii="Times New Roman" w:hAnsi="Times New Roman"/>
                <w:szCs w:val="24"/>
                <w:lang w:eastAsia="en-GB"/>
              </w:rPr>
              <w:t>Carry Effect</w:t>
            </w:r>
          </w:p>
        </w:tc>
        <w:tc>
          <w:tcPr>
            <w:tcW w:w="1368" w:type="dxa"/>
            <w:tcBorders>
              <w:top w:val="single" w:sz="4" w:space="0" w:color="auto"/>
              <w:bottom w:val="single" w:sz="4" w:space="0" w:color="auto"/>
            </w:tcBorders>
          </w:tcPr>
          <w:p w:rsidR="00E735C2" w:rsidRPr="000C58EC" w:rsidRDefault="00E735C2" w:rsidP="000C58EC">
            <w:pPr>
              <w:spacing w:line="480" w:lineRule="auto"/>
              <w:jc w:val="center"/>
              <w:rPr>
                <w:rFonts w:ascii="Times New Roman" w:hAnsi="Times New Roman"/>
                <w:i/>
                <w:szCs w:val="24"/>
                <w:lang w:eastAsia="en-GB"/>
              </w:rPr>
            </w:pPr>
            <w:r w:rsidRPr="000C58EC">
              <w:rPr>
                <w:rFonts w:ascii="Times New Roman" w:hAnsi="Times New Roman"/>
                <w:i/>
                <w:szCs w:val="24"/>
                <w:lang w:eastAsia="en-GB"/>
              </w:rPr>
              <w:t>r</w:t>
            </w:r>
          </w:p>
        </w:tc>
        <w:tc>
          <w:tcPr>
            <w:tcW w:w="1368" w:type="dxa"/>
            <w:tcBorders>
              <w:top w:val="single" w:sz="4" w:space="0" w:color="auto"/>
              <w:bottom w:val="single" w:sz="4" w:space="0" w:color="auto"/>
            </w:tcBorders>
          </w:tcPr>
          <w:p w:rsidR="00E735C2" w:rsidRPr="000C58EC" w:rsidRDefault="00E735C2" w:rsidP="000C58EC">
            <w:pPr>
              <w:spacing w:line="480" w:lineRule="auto"/>
              <w:jc w:val="center"/>
              <w:rPr>
                <w:rFonts w:ascii="Times New Roman" w:hAnsi="Times New Roman"/>
                <w:i/>
                <w:szCs w:val="24"/>
                <w:lang w:eastAsia="en-GB"/>
              </w:rPr>
            </w:pPr>
            <w:r w:rsidRPr="000C58EC">
              <w:rPr>
                <w:rFonts w:ascii="Times New Roman" w:hAnsi="Times New Roman"/>
                <w:i/>
                <w:szCs w:val="24"/>
                <w:lang w:eastAsia="en-GB"/>
              </w:rPr>
              <w:t>p</w:t>
            </w:r>
          </w:p>
        </w:tc>
        <w:tc>
          <w:tcPr>
            <w:tcW w:w="1368" w:type="dxa"/>
            <w:tcBorders>
              <w:top w:val="single" w:sz="4" w:space="0" w:color="auto"/>
              <w:bottom w:val="single" w:sz="4" w:space="0" w:color="auto"/>
            </w:tcBorders>
          </w:tcPr>
          <w:p w:rsidR="00E735C2" w:rsidRPr="000C58EC" w:rsidRDefault="00E735C2" w:rsidP="000C58EC">
            <w:pPr>
              <w:spacing w:line="480" w:lineRule="auto"/>
              <w:jc w:val="center"/>
              <w:rPr>
                <w:rFonts w:ascii="Times New Roman" w:hAnsi="Times New Roman"/>
                <w:i/>
                <w:szCs w:val="24"/>
                <w:lang w:eastAsia="en-GB"/>
              </w:rPr>
            </w:pPr>
            <w:r w:rsidRPr="000C58EC">
              <w:rPr>
                <w:rFonts w:ascii="Times New Roman" w:hAnsi="Times New Roman"/>
                <w:i/>
                <w:szCs w:val="24"/>
                <w:lang w:eastAsia="en-GB"/>
              </w:rPr>
              <w:t>r</w:t>
            </w:r>
          </w:p>
        </w:tc>
        <w:tc>
          <w:tcPr>
            <w:tcW w:w="1368" w:type="dxa"/>
            <w:tcBorders>
              <w:top w:val="single" w:sz="4" w:space="0" w:color="auto"/>
              <w:bottom w:val="single" w:sz="4" w:space="0" w:color="auto"/>
            </w:tcBorders>
          </w:tcPr>
          <w:p w:rsidR="00E735C2" w:rsidRPr="000C58EC" w:rsidRDefault="00E735C2" w:rsidP="000C58EC">
            <w:pPr>
              <w:spacing w:line="480" w:lineRule="auto"/>
              <w:jc w:val="center"/>
              <w:rPr>
                <w:rFonts w:ascii="Times New Roman" w:hAnsi="Times New Roman"/>
                <w:i/>
                <w:szCs w:val="24"/>
                <w:lang w:eastAsia="en-GB"/>
              </w:rPr>
            </w:pPr>
            <w:r w:rsidRPr="000C58EC">
              <w:rPr>
                <w:rFonts w:ascii="Times New Roman" w:hAnsi="Times New Roman"/>
                <w:i/>
                <w:szCs w:val="24"/>
                <w:lang w:eastAsia="en-GB"/>
              </w:rPr>
              <w:t>p</w:t>
            </w:r>
          </w:p>
        </w:tc>
        <w:tc>
          <w:tcPr>
            <w:tcW w:w="1368" w:type="dxa"/>
            <w:tcBorders>
              <w:top w:val="single" w:sz="4" w:space="0" w:color="auto"/>
              <w:bottom w:val="single" w:sz="4" w:space="0" w:color="auto"/>
            </w:tcBorders>
          </w:tcPr>
          <w:p w:rsidR="00E735C2" w:rsidRPr="000C58EC" w:rsidRDefault="005F70AB" w:rsidP="000C58EC">
            <w:pPr>
              <w:spacing w:line="480" w:lineRule="auto"/>
              <w:jc w:val="center"/>
              <w:rPr>
                <w:rFonts w:ascii="Times New Roman" w:hAnsi="Times New Roman"/>
                <w:i/>
                <w:szCs w:val="24"/>
                <w:lang w:eastAsia="en-GB"/>
              </w:rPr>
            </w:pPr>
            <w:r>
              <w:rPr>
                <w:rFonts w:ascii="Times New Roman" w:hAnsi="Times New Roman"/>
                <w:i/>
                <w:szCs w:val="24"/>
                <w:lang w:eastAsia="en-GB"/>
              </w:rPr>
              <w:t>r</w:t>
            </w:r>
          </w:p>
        </w:tc>
        <w:tc>
          <w:tcPr>
            <w:tcW w:w="1368" w:type="dxa"/>
            <w:tcBorders>
              <w:top w:val="single" w:sz="4" w:space="0" w:color="auto"/>
              <w:bottom w:val="single" w:sz="4" w:space="0" w:color="auto"/>
            </w:tcBorders>
          </w:tcPr>
          <w:p w:rsidR="00E735C2" w:rsidRPr="000C58EC" w:rsidRDefault="00E735C2" w:rsidP="000C58EC">
            <w:pPr>
              <w:spacing w:line="480" w:lineRule="auto"/>
              <w:jc w:val="center"/>
              <w:rPr>
                <w:rFonts w:ascii="Times New Roman" w:hAnsi="Times New Roman"/>
                <w:i/>
                <w:szCs w:val="24"/>
                <w:lang w:eastAsia="en-GB"/>
              </w:rPr>
            </w:pPr>
            <w:r w:rsidRPr="000C58EC">
              <w:rPr>
                <w:rFonts w:ascii="Times New Roman" w:hAnsi="Times New Roman"/>
                <w:i/>
                <w:szCs w:val="24"/>
                <w:lang w:eastAsia="en-GB"/>
              </w:rPr>
              <w:t>p</w:t>
            </w:r>
          </w:p>
        </w:tc>
      </w:tr>
      <w:tr w:rsidR="00E735C2" w:rsidTr="00E735C2">
        <w:tc>
          <w:tcPr>
            <w:tcW w:w="1686" w:type="dxa"/>
            <w:tcBorders>
              <w:top w:val="single" w:sz="4" w:space="0" w:color="auto"/>
              <w:bottom w:val="nil"/>
            </w:tcBorders>
          </w:tcPr>
          <w:p w:rsidR="00E735C2" w:rsidRPr="000C58EC" w:rsidRDefault="00E735C2" w:rsidP="00E735C2">
            <w:pPr>
              <w:spacing w:line="480" w:lineRule="auto"/>
              <w:rPr>
                <w:rFonts w:ascii="Times New Roman" w:hAnsi="Times New Roman"/>
                <w:szCs w:val="24"/>
                <w:lang w:eastAsia="en-GB"/>
              </w:rPr>
            </w:pPr>
            <w:r w:rsidRPr="000C58EC">
              <w:rPr>
                <w:rFonts w:ascii="Times New Roman" w:hAnsi="Times New Roman"/>
                <w:szCs w:val="24"/>
                <w:lang w:eastAsia="en-GB"/>
              </w:rPr>
              <w:t>Split 2</w:t>
            </w:r>
          </w:p>
        </w:tc>
        <w:tc>
          <w:tcPr>
            <w:tcW w:w="1368" w:type="dxa"/>
            <w:tcBorders>
              <w:top w:val="single" w:sz="4" w:space="0" w:color="auto"/>
              <w:bottom w:val="nil"/>
            </w:tcBorders>
          </w:tcPr>
          <w:p w:rsidR="00E735C2" w:rsidRPr="000C58EC" w:rsidRDefault="00E735C2" w:rsidP="000C58EC">
            <w:pPr>
              <w:spacing w:line="480" w:lineRule="auto"/>
              <w:jc w:val="center"/>
              <w:rPr>
                <w:rFonts w:ascii="Times New Roman" w:hAnsi="Times New Roman"/>
                <w:szCs w:val="24"/>
                <w:lang w:eastAsia="en-GB"/>
              </w:rPr>
            </w:pPr>
            <w:r w:rsidRPr="000C58EC">
              <w:rPr>
                <w:rFonts w:ascii="Times New Roman" w:hAnsi="Times New Roman"/>
                <w:b/>
                <w:szCs w:val="24"/>
                <w:lang w:eastAsia="en-GB"/>
              </w:rPr>
              <w:t>0.17</w:t>
            </w:r>
            <w:r w:rsidR="000C58EC">
              <w:rPr>
                <w:rFonts w:ascii="Times New Roman" w:hAnsi="Times New Roman"/>
                <w:szCs w:val="24"/>
                <w:lang w:eastAsia="en-GB"/>
              </w:rPr>
              <w:t>*</w:t>
            </w:r>
          </w:p>
        </w:tc>
        <w:tc>
          <w:tcPr>
            <w:tcW w:w="1368" w:type="dxa"/>
            <w:tcBorders>
              <w:top w:val="single" w:sz="4" w:space="0" w:color="auto"/>
              <w:bottom w:val="nil"/>
            </w:tcBorders>
          </w:tcPr>
          <w:p w:rsidR="00E735C2" w:rsidRPr="000C58EC" w:rsidRDefault="00E735C2"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0.03</w:t>
            </w:r>
          </w:p>
        </w:tc>
        <w:tc>
          <w:tcPr>
            <w:tcW w:w="1368" w:type="dxa"/>
            <w:tcBorders>
              <w:top w:val="single" w:sz="4" w:space="0" w:color="auto"/>
              <w:bottom w:val="nil"/>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0.11</w:t>
            </w:r>
          </w:p>
        </w:tc>
        <w:tc>
          <w:tcPr>
            <w:tcW w:w="1368" w:type="dxa"/>
            <w:tcBorders>
              <w:top w:val="single" w:sz="4" w:space="0" w:color="auto"/>
              <w:bottom w:val="nil"/>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0.14</w:t>
            </w:r>
          </w:p>
        </w:tc>
        <w:tc>
          <w:tcPr>
            <w:tcW w:w="1368" w:type="dxa"/>
            <w:tcBorders>
              <w:top w:val="single" w:sz="4" w:space="0" w:color="auto"/>
              <w:bottom w:val="nil"/>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0.04</w:t>
            </w:r>
          </w:p>
        </w:tc>
        <w:tc>
          <w:tcPr>
            <w:tcW w:w="1368" w:type="dxa"/>
            <w:tcBorders>
              <w:top w:val="single" w:sz="4" w:space="0" w:color="auto"/>
              <w:bottom w:val="nil"/>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0.59</w:t>
            </w:r>
          </w:p>
        </w:tc>
      </w:tr>
      <w:tr w:rsidR="00E735C2" w:rsidTr="00E735C2">
        <w:tc>
          <w:tcPr>
            <w:tcW w:w="1686" w:type="dxa"/>
            <w:tcBorders>
              <w:top w:val="nil"/>
              <w:bottom w:val="nil"/>
            </w:tcBorders>
          </w:tcPr>
          <w:p w:rsidR="00E735C2" w:rsidRPr="000C58EC" w:rsidRDefault="00E735C2" w:rsidP="00E735C2">
            <w:pPr>
              <w:spacing w:line="480" w:lineRule="auto"/>
              <w:rPr>
                <w:rFonts w:ascii="Times New Roman" w:hAnsi="Times New Roman"/>
                <w:szCs w:val="24"/>
                <w:lang w:eastAsia="en-GB"/>
              </w:rPr>
            </w:pPr>
            <w:r w:rsidRPr="000C58EC">
              <w:rPr>
                <w:rFonts w:ascii="Times New Roman" w:hAnsi="Times New Roman"/>
                <w:szCs w:val="24"/>
                <w:lang w:eastAsia="en-GB"/>
              </w:rPr>
              <w:t>Split 10</w:t>
            </w:r>
          </w:p>
        </w:tc>
        <w:tc>
          <w:tcPr>
            <w:tcW w:w="1368" w:type="dxa"/>
            <w:tcBorders>
              <w:top w:val="nil"/>
              <w:bottom w:val="nil"/>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b/>
                <w:szCs w:val="24"/>
                <w:lang w:eastAsia="en-GB"/>
              </w:rPr>
              <w:t>0.21</w:t>
            </w:r>
            <w:r w:rsidRPr="000C58EC">
              <w:rPr>
                <w:rFonts w:ascii="Times New Roman" w:hAnsi="Times New Roman"/>
                <w:szCs w:val="24"/>
                <w:lang w:eastAsia="en-GB"/>
              </w:rPr>
              <w:t>*</w:t>
            </w:r>
          </w:p>
        </w:tc>
        <w:tc>
          <w:tcPr>
            <w:tcW w:w="1368" w:type="dxa"/>
            <w:tcBorders>
              <w:top w:val="nil"/>
              <w:bottom w:val="nil"/>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&lt; 0.01</w:t>
            </w:r>
          </w:p>
        </w:tc>
        <w:tc>
          <w:tcPr>
            <w:tcW w:w="1368" w:type="dxa"/>
            <w:tcBorders>
              <w:top w:val="nil"/>
              <w:bottom w:val="nil"/>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0.08</w:t>
            </w:r>
          </w:p>
        </w:tc>
        <w:tc>
          <w:tcPr>
            <w:tcW w:w="1368" w:type="dxa"/>
            <w:tcBorders>
              <w:top w:val="nil"/>
              <w:bottom w:val="nil"/>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0.29</w:t>
            </w:r>
          </w:p>
        </w:tc>
        <w:tc>
          <w:tcPr>
            <w:tcW w:w="1368" w:type="dxa"/>
            <w:tcBorders>
              <w:top w:val="nil"/>
              <w:bottom w:val="nil"/>
            </w:tcBorders>
          </w:tcPr>
          <w:p w:rsidR="00E735C2" w:rsidRPr="000C58EC" w:rsidRDefault="000C58EC" w:rsidP="000C58EC">
            <w:pPr>
              <w:spacing w:line="480" w:lineRule="auto"/>
              <w:jc w:val="center"/>
              <w:rPr>
                <w:rFonts w:ascii="Times New Roman" w:hAnsi="Times New Roman"/>
                <w:b/>
                <w:szCs w:val="24"/>
                <w:lang w:eastAsia="en-GB"/>
              </w:rPr>
            </w:pPr>
            <w:r w:rsidRPr="000C58EC">
              <w:rPr>
                <w:rFonts w:ascii="Times New Roman" w:hAnsi="Times New Roman"/>
                <w:b/>
                <w:szCs w:val="24"/>
                <w:lang w:eastAsia="en-GB"/>
              </w:rPr>
              <w:t>0.17*</w:t>
            </w:r>
          </w:p>
        </w:tc>
        <w:tc>
          <w:tcPr>
            <w:tcW w:w="1368" w:type="dxa"/>
            <w:tcBorders>
              <w:top w:val="nil"/>
              <w:bottom w:val="nil"/>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0.03</w:t>
            </w:r>
          </w:p>
        </w:tc>
      </w:tr>
      <w:tr w:rsidR="00E735C2" w:rsidTr="00E735C2">
        <w:tc>
          <w:tcPr>
            <w:tcW w:w="1686" w:type="dxa"/>
            <w:tcBorders>
              <w:top w:val="nil"/>
              <w:bottom w:val="single" w:sz="4" w:space="0" w:color="auto"/>
            </w:tcBorders>
          </w:tcPr>
          <w:p w:rsidR="00E735C2" w:rsidRPr="000C58EC" w:rsidRDefault="00E735C2" w:rsidP="00E735C2">
            <w:pPr>
              <w:spacing w:line="480" w:lineRule="auto"/>
              <w:rPr>
                <w:rFonts w:ascii="Times New Roman" w:hAnsi="Times New Roman"/>
                <w:szCs w:val="24"/>
                <w:lang w:eastAsia="en-GB"/>
              </w:rPr>
            </w:pPr>
            <w:r w:rsidRPr="000C58EC">
              <w:rPr>
                <w:rFonts w:ascii="Times New Roman" w:hAnsi="Times New Roman"/>
                <w:szCs w:val="24"/>
                <w:lang w:eastAsia="en-GB"/>
              </w:rPr>
              <w:t>Overall</w:t>
            </w:r>
          </w:p>
        </w:tc>
        <w:tc>
          <w:tcPr>
            <w:tcW w:w="1368" w:type="dxa"/>
            <w:tcBorders>
              <w:top w:val="nil"/>
              <w:bottom w:val="single" w:sz="4" w:space="0" w:color="auto"/>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b/>
                <w:szCs w:val="24"/>
                <w:lang w:eastAsia="en-GB"/>
              </w:rPr>
              <w:t>0.24</w:t>
            </w:r>
            <w:r w:rsidRPr="000C58EC">
              <w:rPr>
                <w:rFonts w:ascii="Times New Roman" w:hAnsi="Times New Roman"/>
                <w:szCs w:val="24"/>
                <w:lang w:eastAsia="en-GB"/>
              </w:rPr>
              <w:t>*</w:t>
            </w:r>
          </w:p>
        </w:tc>
        <w:tc>
          <w:tcPr>
            <w:tcW w:w="1368" w:type="dxa"/>
            <w:tcBorders>
              <w:top w:val="nil"/>
              <w:bottom w:val="single" w:sz="4" w:space="0" w:color="auto"/>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&lt; 0.01</w:t>
            </w:r>
          </w:p>
        </w:tc>
        <w:tc>
          <w:tcPr>
            <w:tcW w:w="1368" w:type="dxa"/>
            <w:tcBorders>
              <w:top w:val="nil"/>
              <w:bottom w:val="single" w:sz="4" w:space="0" w:color="auto"/>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0.12</w:t>
            </w:r>
          </w:p>
        </w:tc>
        <w:tc>
          <w:tcPr>
            <w:tcW w:w="1368" w:type="dxa"/>
            <w:tcBorders>
              <w:top w:val="nil"/>
              <w:bottom w:val="single" w:sz="4" w:space="0" w:color="auto"/>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0.13</w:t>
            </w:r>
          </w:p>
        </w:tc>
        <w:tc>
          <w:tcPr>
            <w:tcW w:w="1368" w:type="dxa"/>
            <w:tcBorders>
              <w:top w:val="nil"/>
              <w:bottom w:val="single" w:sz="4" w:space="0" w:color="auto"/>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0.13</w:t>
            </w:r>
          </w:p>
        </w:tc>
        <w:tc>
          <w:tcPr>
            <w:tcW w:w="1368" w:type="dxa"/>
            <w:tcBorders>
              <w:top w:val="nil"/>
              <w:bottom w:val="single" w:sz="4" w:space="0" w:color="auto"/>
            </w:tcBorders>
          </w:tcPr>
          <w:p w:rsidR="00E735C2" w:rsidRPr="000C58EC" w:rsidRDefault="000C58EC" w:rsidP="000C58EC">
            <w:pPr>
              <w:spacing w:line="480" w:lineRule="auto"/>
              <w:jc w:val="center"/>
              <w:rPr>
                <w:rFonts w:ascii="Times New Roman" w:hAnsi="Times New Roman"/>
                <w:szCs w:val="24"/>
                <w:lang w:eastAsia="en-GB"/>
              </w:rPr>
            </w:pPr>
            <w:r w:rsidRPr="000C58EC">
              <w:rPr>
                <w:rFonts w:ascii="Times New Roman" w:hAnsi="Times New Roman"/>
                <w:szCs w:val="24"/>
                <w:lang w:eastAsia="en-GB"/>
              </w:rPr>
              <w:t>0.09</w:t>
            </w:r>
          </w:p>
        </w:tc>
      </w:tr>
    </w:tbl>
    <w:p w:rsidR="00C9086D" w:rsidRDefault="00C9086D">
      <w:pPr>
        <w:spacing w:line="480" w:lineRule="auto"/>
        <w:rPr>
          <w:rFonts w:ascii="Times New Roman" w:hAnsi="Times New Roman"/>
          <w:i/>
          <w:szCs w:val="24"/>
          <w:lang w:eastAsia="en-GB"/>
        </w:rPr>
      </w:pPr>
    </w:p>
    <w:p w:rsidR="003B79E9" w:rsidRDefault="00221297" w:rsidP="003B79E9">
      <w:pPr>
        <w:pStyle w:val="BodyText"/>
      </w:pPr>
      <w:r>
        <w:t>Based on the result</w:t>
      </w:r>
      <w:r w:rsidR="000150F3">
        <w:t>s</w:t>
      </w:r>
      <w:r>
        <w:t xml:space="preserve"> o</w:t>
      </w:r>
      <w:r w:rsidR="000150F3">
        <w:t>f</w:t>
      </w:r>
      <w:r>
        <w:t xml:space="preserve"> t</w:t>
      </w:r>
      <w:r w:rsidR="000150F3">
        <w:t>h</w:t>
      </w:r>
      <w:r>
        <w:t xml:space="preserve">e </w:t>
      </w:r>
      <w:proofErr w:type="spellStart"/>
      <w:r>
        <w:t>correlational</w:t>
      </w:r>
      <w:proofErr w:type="spellEnd"/>
      <w:r>
        <w:t xml:space="preserve"> anal</w:t>
      </w:r>
      <w:r w:rsidR="000150F3">
        <w:t>ysi</w:t>
      </w:r>
      <w:r>
        <w:t>s</w:t>
      </w:r>
      <w:r w:rsidR="000150F3">
        <w:t xml:space="preserve"> </w:t>
      </w:r>
      <w:r w:rsidR="00461634">
        <w:t xml:space="preserve">we  </w:t>
      </w:r>
      <w:r w:rsidR="003B79E9">
        <w:t>run a repeated-measures ANCOVA with the covariates verbal WM and CE on transformed RT of correct trials with carry (carry, no-carry items) and split (2, 10) as within-subject factors</w:t>
      </w:r>
      <w:r w:rsidR="00BB6871">
        <w:t>.</w:t>
      </w:r>
      <w:r w:rsidR="003B79E9">
        <w:t xml:space="preserve"> </w:t>
      </w:r>
      <w:r w:rsidR="00EB6DAA">
        <w:t xml:space="preserve">The carry effect was no longer significant, </w:t>
      </w:r>
      <w:proofErr w:type="gramStart"/>
      <w:r w:rsidR="00EB6DAA" w:rsidRPr="00AC1F20">
        <w:rPr>
          <w:i/>
        </w:rPr>
        <w:t>F</w:t>
      </w:r>
      <w:r w:rsidR="00EB6DAA">
        <w:t>(</w:t>
      </w:r>
      <w:proofErr w:type="gramEnd"/>
      <w:r w:rsidR="00EB6DAA">
        <w:t>1, 166) = 0.12</w:t>
      </w:r>
      <w:r w:rsidR="00EB6DAA" w:rsidRPr="00AC1F20">
        <w:t xml:space="preserve">, </w:t>
      </w:r>
      <w:r w:rsidR="00EB6DAA" w:rsidRPr="00AC1F20">
        <w:rPr>
          <w:i/>
        </w:rPr>
        <w:t>p</w:t>
      </w:r>
      <w:r w:rsidR="00EB6DAA">
        <w:t xml:space="preserve"> = 0.74</w:t>
      </w:r>
      <w:r w:rsidR="00EB6DAA" w:rsidRPr="00AC1F20">
        <w:t xml:space="preserve">, </w:t>
      </w:r>
      <w:r w:rsidR="00EB6DAA" w:rsidRPr="00AC1F20">
        <w:rPr>
          <w:i/>
        </w:rPr>
        <w:t>η</w:t>
      </w:r>
      <w:r w:rsidR="00EB6DAA" w:rsidRPr="00AC1F20">
        <w:rPr>
          <w:vertAlign w:val="subscript"/>
        </w:rPr>
        <w:t>p</w:t>
      </w:r>
      <w:r w:rsidR="00EB6DAA" w:rsidRPr="00AC1F20">
        <w:rPr>
          <w:vertAlign w:val="superscript"/>
        </w:rPr>
        <w:t>2</w:t>
      </w:r>
      <w:r w:rsidR="00EB6DAA">
        <w:t xml:space="preserve"> &lt; 0.01, but was now strongly modulated by verbal WM, </w:t>
      </w:r>
      <w:r w:rsidR="00EB6DAA" w:rsidRPr="00AC1F20">
        <w:rPr>
          <w:i/>
        </w:rPr>
        <w:t>F</w:t>
      </w:r>
      <w:r w:rsidR="00EB6DAA">
        <w:t xml:space="preserve">(1, 166) </w:t>
      </w:r>
      <w:r w:rsidR="00EB6DAA">
        <w:lastRenderedPageBreak/>
        <w:t>= 7.15</w:t>
      </w:r>
      <w:r w:rsidR="00EB6DAA" w:rsidRPr="00AC1F20">
        <w:t xml:space="preserve">, </w:t>
      </w:r>
      <w:r w:rsidR="00EB6DAA" w:rsidRPr="00AC1F20">
        <w:rPr>
          <w:i/>
        </w:rPr>
        <w:t>p</w:t>
      </w:r>
      <w:r w:rsidR="00EB6DAA">
        <w:t xml:space="preserve"> &lt; 0.01</w:t>
      </w:r>
      <w:r w:rsidR="00EB6DAA" w:rsidRPr="00AC1F20">
        <w:t xml:space="preserve">, </w:t>
      </w:r>
      <w:r w:rsidR="00EB6DAA" w:rsidRPr="00AC1F20">
        <w:rPr>
          <w:i/>
        </w:rPr>
        <w:t>η</w:t>
      </w:r>
      <w:r w:rsidR="00EB6DAA" w:rsidRPr="00AC1F20">
        <w:rPr>
          <w:vertAlign w:val="subscript"/>
        </w:rPr>
        <w:t>p</w:t>
      </w:r>
      <w:r w:rsidR="00EB6DAA" w:rsidRPr="00AC1F20">
        <w:rPr>
          <w:vertAlign w:val="superscript"/>
        </w:rPr>
        <w:t>2</w:t>
      </w:r>
      <w:r w:rsidR="00EB6DAA">
        <w:t xml:space="preserve"> = 0.04. There was also a trend for split size modulating the carry effect, </w:t>
      </w:r>
      <w:proofErr w:type="gramStart"/>
      <w:r w:rsidR="00EB6DAA" w:rsidRPr="00AC1F20">
        <w:rPr>
          <w:i/>
        </w:rPr>
        <w:t>F</w:t>
      </w:r>
      <w:r w:rsidR="00EB6DAA">
        <w:t>(</w:t>
      </w:r>
      <w:proofErr w:type="gramEnd"/>
      <w:r w:rsidR="00EB6DAA">
        <w:t>1, 166) = 3.35</w:t>
      </w:r>
      <w:r w:rsidR="00EB6DAA" w:rsidRPr="00AC1F20">
        <w:t xml:space="preserve">, </w:t>
      </w:r>
      <w:r w:rsidR="00EB6DAA" w:rsidRPr="00AC1F20">
        <w:rPr>
          <w:i/>
        </w:rPr>
        <w:t>p</w:t>
      </w:r>
      <w:r w:rsidR="00EB6DAA">
        <w:t xml:space="preserve"> = 0.07</w:t>
      </w:r>
      <w:r w:rsidR="00EB6DAA" w:rsidRPr="00AC1F20">
        <w:t xml:space="preserve">, </w:t>
      </w:r>
      <w:r w:rsidR="00EB6DAA" w:rsidRPr="00AC1F20">
        <w:rPr>
          <w:i/>
        </w:rPr>
        <w:t>η</w:t>
      </w:r>
      <w:r w:rsidR="00EB6DAA" w:rsidRPr="00AC1F20">
        <w:rPr>
          <w:vertAlign w:val="subscript"/>
        </w:rPr>
        <w:t>p</w:t>
      </w:r>
      <w:r w:rsidR="00EB6DAA" w:rsidRPr="00AC1F20">
        <w:rPr>
          <w:vertAlign w:val="superscript"/>
        </w:rPr>
        <w:t>2</w:t>
      </w:r>
      <w:r w:rsidR="00EB6DAA">
        <w:t xml:space="preserve"> = 0.02. C</w:t>
      </w:r>
      <w:r w:rsidR="00EB6DAA" w:rsidRPr="00AC1F20">
        <w:t xml:space="preserve">hildren with larger CE, </w:t>
      </w:r>
      <w:proofErr w:type="gramStart"/>
      <w:r w:rsidR="00EB6DAA" w:rsidRPr="00AC1F20">
        <w:rPr>
          <w:i/>
        </w:rPr>
        <w:t>F</w:t>
      </w:r>
      <w:r w:rsidR="00EB6DAA">
        <w:t>(</w:t>
      </w:r>
      <w:proofErr w:type="gramEnd"/>
      <w:r w:rsidR="00EB6DAA">
        <w:t>1, 166) = 2.6</w:t>
      </w:r>
      <w:r w:rsidR="00EB6DAA" w:rsidRPr="00AC1F20">
        <w:t xml:space="preserve">9, </w:t>
      </w:r>
      <w:r w:rsidR="00EB6DAA" w:rsidRPr="00AC1F20">
        <w:rPr>
          <w:i/>
        </w:rPr>
        <w:t>p</w:t>
      </w:r>
      <w:r w:rsidR="00EB6DAA">
        <w:t xml:space="preserve"> = 0.10</w:t>
      </w:r>
      <w:r w:rsidR="00EB6DAA" w:rsidRPr="00AC1F20">
        <w:t xml:space="preserve">, </w:t>
      </w:r>
      <w:r w:rsidR="00EB6DAA" w:rsidRPr="00AC1F20">
        <w:rPr>
          <w:i/>
        </w:rPr>
        <w:t>η</w:t>
      </w:r>
      <w:r w:rsidR="00EB6DAA" w:rsidRPr="00AC1F20">
        <w:rPr>
          <w:vertAlign w:val="subscript"/>
        </w:rPr>
        <w:t>p</w:t>
      </w:r>
      <w:r w:rsidR="00EB6DAA" w:rsidRPr="00AC1F20">
        <w:rPr>
          <w:vertAlign w:val="superscript"/>
        </w:rPr>
        <w:t>2</w:t>
      </w:r>
      <w:r w:rsidR="00EB6DAA">
        <w:t xml:space="preserve"> = 0.02</w:t>
      </w:r>
      <w:r w:rsidR="00EB6DAA" w:rsidRPr="00AC1F20">
        <w:t xml:space="preserve">, </w:t>
      </w:r>
      <w:r w:rsidR="00EB6DAA">
        <w:t>showed a trend towards  responding faster.</w:t>
      </w:r>
      <w:r w:rsidR="00390CB4">
        <w:t xml:space="preserve"> All other effects were not significant</w:t>
      </w:r>
      <w:r w:rsidR="000C7145">
        <w:t>.</w:t>
      </w:r>
      <w:r w:rsidR="00390CB4">
        <w:t xml:space="preserve"> </w:t>
      </w:r>
    </w:p>
    <w:p w:rsidR="003B79E9" w:rsidRPr="003B79E9" w:rsidRDefault="00536CD2" w:rsidP="00FD59DB">
      <w:pPr>
        <w:pStyle w:val="BodyText"/>
        <w:ind w:firstLine="0"/>
        <w:rPr>
          <w:b/>
        </w:rPr>
      </w:pPr>
      <w:r w:rsidRPr="00536CD2">
        <w:rPr>
          <w:b/>
        </w:rPr>
        <w:t xml:space="preserve">Disentangling </w:t>
      </w:r>
      <w:r w:rsidR="009163F9">
        <w:rPr>
          <w:b/>
        </w:rPr>
        <w:t xml:space="preserve">the </w:t>
      </w:r>
      <w:r w:rsidRPr="00536CD2">
        <w:rPr>
          <w:b/>
        </w:rPr>
        <w:t>effect of language from WM</w:t>
      </w:r>
      <w:r w:rsidR="00FD59DB">
        <w:rPr>
          <w:b/>
        </w:rPr>
        <w:t xml:space="preserve"> effects</w:t>
      </w:r>
    </w:p>
    <w:p w:rsidR="00353162" w:rsidRDefault="003B79E9" w:rsidP="00A23A53">
      <w:pPr>
        <w:pStyle w:val="BodyText"/>
        <w:ind w:firstLine="720"/>
        <w:rPr>
          <w:szCs w:val="24"/>
          <w:lang w:eastAsia="en-GB"/>
        </w:rPr>
      </w:pPr>
      <w:r>
        <w:t>Given the relat</w:t>
      </w:r>
      <w:r w:rsidR="00823FC7">
        <w:t xml:space="preserve">ionship between </w:t>
      </w:r>
      <w:r w:rsidR="00571D2C">
        <w:t xml:space="preserve">verbal </w:t>
      </w:r>
      <w:r w:rsidR="00823FC7">
        <w:t xml:space="preserve">WM </w:t>
      </w:r>
      <w:r>
        <w:t xml:space="preserve">and </w:t>
      </w:r>
      <w:r w:rsidR="00123B1B">
        <w:t>the carry effect</w:t>
      </w:r>
      <w:r>
        <w:t xml:space="preserve"> and </w:t>
      </w:r>
      <w:r w:rsidR="00123B1B">
        <w:t xml:space="preserve">the influence of </w:t>
      </w:r>
      <w:r>
        <w:t>split</w:t>
      </w:r>
      <w:r w:rsidR="00571D2C">
        <w:t xml:space="preserve"> size</w:t>
      </w:r>
      <w:r>
        <w:t xml:space="preserve"> described in the previous section and the significant differences </w:t>
      </w:r>
      <w:r w:rsidR="00571D2C">
        <w:t>between</w:t>
      </w:r>
      <w:r>
        <w:t xml:space="preserve"> our language groups on age, CFT and WM </w:t>
      </w:r>
      <w:proofErr w:type="spellStart"/>
      <w:r>
        <w:t>subscores</w:t>
      </w:r>
      <w:proofErr w:type="spellEnd"/>
      <w:r>
        <w:t xml:space="preserve"> we decided to run a</w:t>
      </w:r>
      <w:r w:rsidR="003D370C">
        <w:t>n</w:t>
      </w:r>
      <w:r w:rsidR="008B5BCF">
        <w:t>other</w:t>
      </w:r>
      <w:r w:rsidR="00353162">
        <w:t xml:space="preserve"> repeated-measures ANCOVA with the covariates age, CFT-1 score, verbal WM</w:t>
      </w:r>
      <w:r w:rsidR="00FD59DB">
        <w:t xml:space="preserve"> </w:t>
      </w:r>
      <w:r w:rsidR="00353162">
        <w:t xml:space="preserve">and CE on transformed RT of correct trials with carry (carry, no-carry items) and split (2, 10) as within-subject factors and language (German-speaking, Italian-speaking) as between-subject factor. </w:t>
      </w:r>
      <w:r w:rsidR="00571D2C">
        <w:rPr>
          <w:szCs w:val="24"/>
          <w:lang w:eastAsia="en-GB"/>
        </w:rPr>
        <w:t>The aim of this analysis was to ensure that the language effect described in the first part of the results section were not driven by differences between the language groups</w:t>
      </w:r>
      <w:r w:rsidR="00A23A53">
        <w:rPr>
          <w:szCs w:val="24"/>
          <w:lang w:eastAsia="en-GB"/>
        </w:rPr>
        <w:t xml:space="preserve"> for the respective cognitive variables</w:t>
      </w:r>
      <w:r w:rsidR="00571D2C">
        <w:rPr>
          <w:szCs w:val="24"/>
          <w:lang w:eastAsia="en-GB"/>
        </w:rPr>
        <w:t>.</w:t>
      </w:r>
    </w:p>
    <w:p w:rsidR="00EA7860" w:rsidRDefault="00536CD2" w:rsidP="00A23A53">
      <w:pPr>
        <w:pStyle w:val="BodyText"/>
      </w:pPr>
      <w:proofErr w:type="gramStart"/>
      <w:r w:rsidRPr="00FD59DB">
        <w:rPr>
          <w:i/>
        </w:rPr>
        <w:t>Language effects</w:t>
      </w:r>
      <w:r w:rsidR="00FD59DB" w:rsidRPr="00FD59DB">
        <w:rPr>
          <w:i/>
        </w:rPr>
        <w:t>.</w:t>
      </w:r>
      <w:proofErr w:type="gramEnd"/>
      <w:r w:rsidR="00FD59DB">
        <w:rPr>
          <w:b/>
          <w:i/>
        </w:rPr>
        <w:t xml:space="preserve"> </w:t>
      </w:r>
      <w:r w:rsidR="00EA7860">
        <w:t>There was a significant main effect of language group:</w:t>
      </w:r>
      <w:r w:rsidR="008F0894" w:rsidRPr="00AC1F20">
        <w:t xml:space="preserve"> </w:t>
      </w:r>
      <w:r w:rsidR="00EA7860" w:rsidRPr="00AC1F20">
        <w:t xml:space="preserve">Italian children, </w:t>
      </w:r>
      <w:proofErr w:type="gramStart"/>
      <w:r w:rsidR="00EA7860" w:rsidRPr="00AC1F20">
        <w:rPr>
          <w:i/>
        </w:rPr>
        <w:t>F</w:t>
      </w:r>
      <w:r w:rsidR="006A5539">
        <w:t>(</w:t>
      </w:r>
      <w:proofErr w:type="gramEnd"/>
      <w:r w:rsidR="006A5539">
        <w:t>1, 163) = 3.97</w:t>
      </w:r>
      <w:r w:rsidR="00EA7860" w:rsidRPr="00AC1F20">
        <w:t xml:space="preserve">, </w:t>
      </w:r>
      <w:r w:rsidR="00EA7860" w:rsidRPr="00AC1F20">
        <w:rPr>
          <w:i/>
        </w:rPr>
        <w:t>p</w:t>
      </w:r>
      <w:r w:rsidR="00EA7860" w:rsidRPr="00AC1F20">
        <w:t xml:space="preserve"> </w:t>
      </w:r>
      <w:r w:rsidR="003D370C">
        <w:t xml:space="preserve">&lt; </w:t>
      </w:r>
      <w:r w:rsidR="00EA7860" w:rsidRPr="00AC1F20">
        <w:t xml:space="preserve">0.05, </w:t>
      </w:r>
      <w:r w:rsidR="00EA7860" w:rsidRPr="00AC1F20">
        <w:rPr>
          <w:i/>
        </w:rPr>
        <w:t>η</w:t>
      </w:r>
      <w:r w:rsidR="00EA7860" w:rsidRPr="00AC1F20">
        <w:rPr>
          <w:vertAlign w:val="subscript"/>
        </w:rPr>
        <w:t>p</w:t>
      </w:r>
      <w:r w:rsidR="00EA7860" w:rsidRPr="00AC1F20">
        <w:rPr>
          <w:vertAlign w:val="superscript"/>
        </w:rPr>
        <w:t>2</w:t>
      </w:r>
      <w:r w:rsidR="00EA7860" w:rsidRPr="00AC1F20">
        <w:t xml:space="preserve"> = 0.02, had significantly faster RTs.</w:t>
      </w:r>
      <w:r w:rsidR="00EA7860">
        <w:t xml:space="preserve"> T</w:t>
      </w:r>
      <w:r w:rsidR="00EA7860" w:rsidRPr="00AC1F20">
        <w:t xml:space="preserve">he carry effect was no longer significant, </w:t>
      </w:r>
      <w:proofErr w:type="gramStart"/>
      <w:r w:rsidR="00EA7860" w:rsidRPr="00AC1F20">
        <w:rPr>
          <w:i/>
        </w:rPr>
        <w:t>F</w:t>
      </w:r>
      <w:r w:rsidR="006A5539">
        <w:t>(</w:t>
      </w:r>
      <w:proofErr w:type="gramEnd"/>
      <w:r w:rsidR="006A5539">
        <w:t>1,163) = 1.57</w:t>
      </w:r>
      <w:r w:rsidR="00EA7860" w:rsidRPr="00AC1F20">
        <w:t xml:space="preserve">, </w:t>
      </w:r>
      <w:r w:rsidR="00EA7860" w:rsidRPr="00AC1F20">
        <w:rPr>
          <w:i/>
        </w:rPr>
        <w:t>p</w:t>
      </w:r>
      <w:r w:rsidR="006A5539">
        <w:t xml:space="preserve"> = 0.21</w:t>
      </w:r>
      <w:r w:rsidR="00EA7860" w:rsidRPr="00AC1F20">
        <w:t xml:space="preserve">, </w:t>
      </w:r>
      <w:r w:rsidR="00EA7860" w:rsidRPr="00AC1F20">
        <w:rPr>
          <w:i/>
        </w:rPr>
        <w:t>η</w:t>
      </w:r>
      <w:r w:rsidR="00EA7860" w:rsidRPr="00AC1F20">
        <w:rPr>
          <w:vertAlign w:val="subscript"/>
        </w:rPr>
        <w:t>p</w:t>
      </w:r>
      <w:r w:rsidR="00EA7860" w:rsidRPr="00AC1F20">
        <w:rPr>
          <w:vertAlign w:val="superscript"/>
        </w:rPr>
        <w:t xml:space="preserve">2 </w:t>
      </w:r>
      <w:r w:rsidR="006A5539">
        <w:t>=</w:t>
      </w:r>
      <w:r w:rsidR="00EA7860" w:rsidRPr="00AC1F20">
        <w:t xml:space="preserve"> 0.01, </w:t>
      </w:r>
      <w:r w:rsidR="00EA7860">
        <w:t xml:space="preserve">nor </w:t>
      </w:r>
      <w:r w:rsidR="00EA7860" w:rsidRPr="00AC1F20">
        <w:t xml:space="preserve">was the interaction between carry effect and language group, </w:t>
      </w:r>
      <w:r w:rsidR="00EA7860" w:rsidRPr="00AC1F20">
        <w:rPr>
          <w:i/>
        </w:rPr>
        <w:t>F</w:t>
      </w:r>
      <w:r w:rsidR="006A5539">
        <w:t>(1,163</w:t>
      </w:r>
      <w:r w:rsidR="00EA7860" w:rsidRPr="00AC1F20">
        <w:t xml:space="preserve">) = 1.61, </w:t>
      </w:r>
      <w:r w:rsidR="00EA7860" w:rsidRPr="00AC1F20">
        <w:rPr>
          <w:i/>
        </w:rPr>
        <w:t>p</w:t>
      </w:r>
      <w:r w:rsidR="00EA7860" w:rsidRPr="00AC1F20">
        <w:t xml:space="preserve"> = 0.21, </w:t>
      </w:r>
      <w:r w:rsidR="00EA7860" w:rsidRPr="00AC1F20">
        <w:rPr>
          <w:i/>
        </w:rPr>
        <w:t>η</w:t>
      </w:r>
      <w:r w:rsidR="00EA7860" w:rsidRPr="00AC1F20">
        <w:rPr>
          <w:vertAlign w:val="subscript"/>
        </w:rPr>
        <w:t>p</w:t>
      </w:r>
      <w:r w:rsidR="00EA7860" w:rsidRPr="00AC1F20">
        <w:rPr>
          <w:vertAlign w:val="superscript"/>
        </w:rPr>
        <w:t xml:space="preserve">2 </w:t>
      </w:r>
      <w:r w:rsidR="00EA7860" w:rsidRPr="00AC1F20">
        <w:t>= 0.01. Yet</w:t>
      </w:r>
      <w:r w:rsidR="00A23A53">
        <w:t>,</w:t>
      </w:r>
      <w:r w:rsidR="00EA7860" w:rsidRPr="00AC1F20">
        <w:t xml:space="preserve"> the latter was specified by a marginally significant three-way interaction with split size, </w:t>
      </w:r>
      <w:r w:rsidR="00EA7860" w:rsidRPr="00AC1F20">
        <w:rPr>
          <w:i/>
        </w:rPr>
        <w:t xml:space="preserve">F </w:t>
      </w:r>
      <w:r w:rsidR="006A5539">
        <w:t>(1,163) = 2.88</w:t>
      </w:r>
      <w:r w:rsidR="00EA7860" w:rsidRPr="00AC1F20">
        <w:t xml:space="preserve">, </w:t>
      </w:r>
      <w:r w:rsidR="00EA7860" w:rsidRPr="00AC1F20">
        <w:rPr>
          <w:i/>
        </w:rPr>
        <w:t>p</w:t>
      </w:r>
      <w:r w:rsidR="00EA7860" w:rsidRPr="00AC1F20">
        <w:t xml:space="preserve"> = 0.09, </w:t>
      </w:r>
      <w:r w:rsidR="00EA7860" w:rsidRPr="00AC1F20">
        <w:rPr>
          <w:i/>
        </w:rPr>
        <w:t>η</w:t>
      </w:r>
      <w:r w:rsidR="00EA7860" w:rsidRPr="00AC1F20">
        <w:rPr>
          <w:vertAlign w:val="subscript"/>
        </w:rPr>
        <w:t>p</w:t>
      </w:r>
      <w:r w:rsidR="00EA7860" w:rsidRPr="00AC1F20">
        <w:rPr>
          <w:vertAlign w:val="superscript"/>
        </w:rPr>
        <w:t xml:space="preserve">2 </w:t>
      </w:r>
      <w:r w:rsidR="00EA7860" w:rsidRPr="00AC1F20">
        <w:t xml:space="preserve">= 0.02. </w:t>
      </w:r>
      <w:r w:rsidR="00A23A53">
        <w:t xml:space="preserve">Breaking down this three-way interaction into the constituting two-way interactions to test our hypothesis revealed that </w:t>
      </w:r>
      <w:r w:rsidR="00EA7860" w:rsidRPr="00AC1F20">
        <w:t xml:space="preserve">Austrian children </w:t>
      </w:r>
      <w:r w:rsidR="00A23A53">
        <w:t xml:space="preserve">indeed </w:t>
      </w:r>
      <w:r w:rsidR="00EA7860" w:rsidRPr="00AC1F20">
        <w:t>showed a significantly larger carry effect for split 10 than Italian children</w:t>
      </w:r>
      <w:r w:rsidR="00EA7860" w:rsidRPr="009163F9">
        <w:t xml:space="preserve">, </w:t>
      </w:r>
      <w:r w:rsidR="00EA7860" w:rsidRPr="009163F9">
        <w:rPr>
          <w:i/>
        </w:rPr>
        <w:t>F</w:t>
      </w:r>
      <w:r w:rsidR="009163F9" w:rsidRPr="009163F9">
        <w:t>(1, 163) = 4.75</w:t>
      </w:r>
      <w:r w:rsidR="00EA7860" w:rsidRPr="009163F9">
        <w:t xml:space="preserve">, </w:t>
      </w:r>
      <w:r w:rsidR="00EA7860" w:rsidRPr="009163F9">
        <w:rPr>
          <w:i/>
        </w:rPr>
        <w:t>p</w:t>
      </w:r>
      <w:r w:rsidR="00EA7860" w:rsidRPr="009163F9">
        <w:t xml:space="preserve"> = 0.03,</w:t>
      </w:r>
      <w:r w:rsidR="00EA7860" w:rsidRPr="009163F9">
        <w:rPr>
          <w:i/>
        </w:rPr>
        <w:t xml:space="preserve"> η</w:t>
      </w:r>
      <w:r w:rsidR="00EA7860" w:rsidRPr="009163F9">
        <w:rPr>
          <w:vertAlign w:val="subscript"/>
        </w:rPr>
        <w:t>p</w:t>
      </w:r>
      <w:r w:rsidR="00EA7860" w:rsidRPr="009163F9">
        <w:rPr>
          <w:vertAlign w:val="superscript"/>
        </w:rPr>
        <w:t xml:space="preserve">2 </w:t>
      </w:r>
      <w:r w:rsidR="00EA7860" w:rsidRPr="009163F9">
        <w:t>= 0.03, supporting</w:t>
      </w:r>
      <w:r w:rsidR="00EA7860" w:rsidRPr="00AC1F20">
        <w:t xml:space="preserve"> our hypothesis that number word inversion adversely affects place-value integration. </w:t>
      </w:r>
      <w:r w:rsidR="00123B1B" w:rsidRPr="00AC1F20">
        <w:t xml:space="preserve">Overall, split size had no significant influence on RT, </w:t>
      </w:r>
      <w:proofErr w:type="gramStart"/>
      <w:r w:rsidR="00123B1B" w:rsidRPr="00AC1F20">
        <w:rPr>
          <w:i/>
        </w:rPr>
        <w:t>F</w:t>
      </w:r>
      <w:r w:rsidR="006A5539">
        <w:t>(</w:t>
      </w:r>
      <w:proofErr w:type="gramEnd"/>
      <w:r w:rsidR="006A5539">
        <w:t>1, 163) = 0.02</w:t>
      </w:r>
      <w:r w:rsidR="00123B1B" w:rsidRPr="00AC1F20">
        <w:t xml:space="preserve">, </w:t>
      </w:r>
      <w:r w:rsidR="00123B1B" w:rsidRPr="00AC1F20">
        <w:rPr>
          <w:i/>
        </w:rPr>
        <w:t>p</w:t>
      </w:r>
      <w:r w:rsidR="006A5539">
        <w:t xml:space="preserve"> = 0.88</w:t>
      </w:r>
      <w:r w:rsidR="00123B1B" w:rsidRPr="00AC1F20">
        <w:t>,</w:t>
      </w:r>
      <w:r w:rsidR="00123B1B" w:rsidRPr="00AC1F20">
        <w:rPr>
          <w:i/>
        </w:rPr>
        <w:t xml:space="preserve"> η</w:t>
      </w:r>
      <w:r w:rsidR="00123B1B" w:rsidRPr="00AC1F20">
        <w:rPr>
          <w:vertAlign w:val="subscript"/>
        </w:rPr>
        <w:t>p</w:t>
      </w:r>
      <w:r w:rsidR="00123B1B" w:rsidRPr="00AC1F20">
        <w:rPr>
          <w:vertAlign w:val="superscript"/>
        </w:rPr>
        <w:t xml:space="preserve">2 </w:t>
      </w:r>
      <w:r w:rsidR="00123B1B" w:rsidRPr="00AC1F20">
        <w:t xml:space="preserve">&lt; 0.01, or the carry effect, </w:t>
      </w:r>
      <w:r w:rsidR="00123B1B" w:rsidRPr="00AC1F20">
        <w:rPr>
          <w:i/>
        </w:rPr>
        <w:t>F</w:t>
      </w:r>
      <w:r w:rsidR="006A5539">
        <w:t xml:space="preserve">(1, 163) = </w:t>
      </w:r>
      <w:r w:rsidR="006A5539">
        <w:lastRenderedPageBreak/>
        <w:t>2.09</w:t>
      </w:r>
      <w:r w:rsidR="00123B1B" w:rsidRPr="00AC1F20">
        <w:t xml:space="preserve">, </w:t>
      </w:r>
      <w:r w:rsidR="00123B1B" w:rsidRPr="00AC1F20">
        <w:rPr>
          <w:i/>
        </w:rPr>
        <w:t>p</w:t>
      </w:r>
      <w:r w:rsidR="006A5539">
        <w:t xml:space="preserve"> = 0.15</w:t>
      </w:r>
      <w:r w:rsidR="00123B1B" w:rsidRPr="00AC1F20">
        <w:t xml:space="preserve">, </w:t>
      </w:r>
      <w:r w:rsidR="00123B1B" w:rsidRPr="00AC1F20">
        <w:rPr>
          <w:i/>
        </w:rPr>
        <w:t>η</w:t>
      </w:r>
      <w:r w:rsidR="00123B1B" w:rsidRPr="00AC1F20">
        <w:rPr>
          <w:vertAlign w:val="subscript"/>
        </w:rPr>
        <w:t>p</w:t>
      </w:r>
      <w:r w:rsidR="00123B1B" w:rsidRPr="00AC1F20">
        <w:rPr>
          <w:vertAlign w:val="superscript"/>
        </w:rPr>
        <w:t xml:space="preserve">2 </w:t>
      </w:r>
      <w:r w:rsidR="006A5539">
        <w:t>= 0.01</w:t>
      </w:r>
      <w:r w:rsidR="00123B1B" w:rsidRPr="00AC1F20">
        <w:t>.</w:t>
      </w:r>
      <w:r w:rsidR="003D370C">
        <w:t xml:space="preserve"> There was no significant effect of the covariate age, </w:t>
      </w:r>
      <w:proofErr w:type="gramStart"/>
      <w:r w:rsidR="003D370C" w:rsidRPr="00AC1F20">
        <w:rPr>
          <w:i/>
        </w:rPr>
        <w:t>F</w:t>
      </w:r>
      <w:r w:rsidR="003D370C">
        <w:t>(</w:t>
      </w:r>
      <w:proofErr w:type="gramEnd"/>
      <w:r w:rsidR="003D370C">
        <w:t>1, 163) = 0.82</w:t>
      </w:r>
      <w:r w:rsidR="003D370C" w:rsidRPr="00AC1F20">
        <w:t xml:space="preserve">, </w:t>
      </w:r>
      <w:r w:rsidR="003D370C" w:rsidRPr="00AC1F20">
        <w:rPr>
          <w:i/>
        </w:rPr>
        <w:t>p</w:t>
      </w:r>
      <w:r w:rsidR="003D370C">
        <w:t xml:space="preserve"> = 0.37</w:t>
      </w:r>
      <w:r w:rsidR="003D370C" w:rsidRPr="00AC1F20">
        <w:t xml:space="preserve">, </w:t>
      </w:r>
      <w:r w:rsidR="003D370C" w:rsidRPr="00AC1F20">
        <w:rPr>
          <w:i/>
        </w:rPr>
        <w:t>η</w:t>
      </w:r>
      <w:r w:rsidR="003D370C" w:rsidRPr="00AC1F20">
        <w:rPr>
          <w:vertAlign w:val="subscript"/>
        </w:rPr>
        <w:t>p</w:t>
      </w:r>
      <w:r w:rsidR="003D370C" w:rsidRPr="00AC1F20">
        <w:rPr>
          <w:vertAlign w:val="superscript"/>
        </w:rPr>
        <w:t xml:space="preserve">2 </w:t>
      </w:r>
      <w:r w:rsidR="003D370C">
        <w:t>&lt; 0.01</w:t>
      </w:r>
      <w:r w:rsidR="008C34F9">
        <w:t xml:space="preserve"> and all interactions with age were non-significant.</w:t>
      </w:r>
    </w:p>
    <w:p w:rsidR="008D63C0" w:rsidRPr="00AC1F20" w:rsidRDefault="00536CD2" w:rsidP="00A23A53">
      <w:pPr>
        <w:pStyle w:val="BodyText"/>
      </w:pPr>
      <w:proofErr w:type="gramStart"/>
      <w:r w:rsidRPr="00FD59DB">
        <w:rPr>
          <w:i/>
        </w:rPr>
        <w:t>WM effect</w:t>
      </w:r>
      <w:r w:rsidR="00FD59DB">
        <w:rPr>
          <w:i/>
        </w:rPr>
        <w:t>s.</w:t>
      </w:r>
      <w:proofErr w:type="gramEnd"/>
      <w:r w:rsidR="00125865">
        <w:t xml:space="preserve"> There was a significant effect of </w:t>
      </w:r>
      <w:r w:rsidR="00A23A53">
        <w:t xml:space="preserve">the covariate </w:t>
      </w:r>
      <w:r w:rsidR="00125865">
        <w:t>CE:</w:t>
      </w:r>
      <w:r w:rsidR="00125865" w:rsidRPr="00AC1F20">
        <w:t xml:space="preserve"> children with larger CE</w:t>
      </w:r>
      <w:r w:rsidR="00A23A53">
        <w:t xml:space="preserve"> scores</w:t>
      </w:r>
      <w:r w:rsidR="00125865" w:rsidRPr="00AC1F20">
        <w:t xml:space="preserve">, </w:t>
      </w:r>
      <w:proofErr w:type="gramStart"/>
      <w:r w:rsidR="00125865" w:rsidRPr="00AC1F20">
        <w:rPr>
          <w:i/>
        </w:rPr>
        <w:t>F</w:t>
      </w:r>
      <w:r w:rsidR="00F50A68">
        <w:t>(</w:t>
      </w:r>
      <w:proofErr w:type="gramEnd"/>
      <w:r w:rsidR="00F50A68">
        <w:t>1, 163) = 4.01</w:t>
      </w:r>
      <w:r w:rsidR="00125865" w:rsidRPr="00AC1F20">
        <w:t xml:space="preserve">, </w:t>
      </w:r>
      <w:r w:rsidR="00125865" w:rsidRPr="00AC1F20">
        <w:rPr>
          <w:i/>
        </w:rPr>
        <w:t>p</w:t>
      </w:r>
      <w:r w:rsidR="00F50A68">
        <w:t xml:space="preserve"> = 0.05</w:t>
      </w:r>
      <w:r w:rsidR="00125865" w:rsidRPr="00AC1F20">
        <w:t xml:space="preserve">, </w:t>
      </w:r>
      <w:r w:rsidR="00125865" w:rsidRPr="00AC1F20">
        <w:rPr>
          <w:i/>
        </w:rPr>
        <w:t>η</w:t>
      </w:r>
      <w:r w:rsidR="00125865" w:rsidRPr="00AC1F20">
        <w:rPr>
          <w:vertAlign w:val="subscript"/>
        </w:rPr>
        <w:t>p</w:t>
      </w:r>
      <w:r w:rsidR="00125865" w:rsidRPr="00AC1F20">
        <w:rPr>
          <w:vertAlign w:val="superscript"/>
        </w:rPr>
        <w:t>2</w:t>
      </w:r>
      <w:r w:rsidR="00F50A68">
        <w:t xml:space="preserve"> = 0.02</w:t>
      </w:r>
      <w:r w:rsidR="00125865" w:rsidRPr="00AC1F20">
        <w:t>, had significantly faster RTs.</w:t>
      </w:r>
      <w:r w:rsidR="00F50A68">
        <w:t xml:space="preserve"> Verbal WM did not significantly affect </w:t>
      </w:r>
      <w:r w:rsidR="009163F9">
        <w:t xml:space="preserve">overall </w:t>
      </w:r>
      <w:r w:rsidR="00F50A68">
        <w:t xml:space="preserve">RT, </w:t>
      </w:r>
      <w:r w:rsidR="00F50A68" w:rsidRPr="00AC1F20">
        <w:rPr>
          <w:i/>
        </w:rPr>
        <w:t>F</w:t>
      </w:r>
      <w:r w:rsidR="00F50A68">
        <w:t>(1, 163) = 1.40</w:t>
      </w:r>
      <w:r w:rsidR="00F50A68" w:rsidRPr="00AC1F20">
        <w:t xml:space="preserve">, </w:t>
      </w:r>
      <w:r w:rsidR="00F50A68" w:rsidRPr="00AC1F20">
        <w:rPr>
          <w:i/>
        </w:rPr>
        <w:t>p</w:t>
      </w:r>
      <w:r w:rsidR="00F50A68">
        <w:t xml:space="preserve"> = 0.24</w:t>
      </w:r>
      <w:r w:rsidR="00F50A68" w:rsidRPr="00AC1F20">
        <w:t xml:space="preserve">, </w:t>
      </w:r>
      <w:r w:rsidR="00F50A68" w:rsidRPr="00AC1F20">
        <w:rPr>
          <w:i/>
        </w:rPr>
        <w:t>η</w:t>
      </w:r>
      <w:r w:rsidR="00F50A68" w:rsidRPr="00AC1F20">
        <w:rPr>
          <w:vertAlign w:val="subscript"/>
        </w:rPr>
        <w:t>p</w:t>
      </w:r>
      <w:r w:rsidR="00F50A68" w:rsidRPr="00AC1F20">
        <w:rPr>
          <w:vertAlign w:val="superscript"/>
        </w:rPr>
        <w:t>2</w:t>
      </w:r>
      <w:r w:rsidR="00F50A68">
        <w:t xml:space="preserve"> &lt; 0.01, but</w:t>
      </w:r>
      <w:r w:rsidR="00A23A53">
        <w:t xml:space="preserve"> counter</w:t>
      </w:r>
      <w:r w:rsidR="000A5092">
        <w:t>-</w:t>
      </w:r>
      <w:r w:rsidR="00A23A53">
        <w:t>intuitively</w:t>
      </w:r>
      <w:r w:rsidR="000150F3" w:rsidRPr="00AC1F20">
        <w:t xml:space="preserve"> the carry effect was significantly </w:t>
      </w:r>
      <w:r w:rsidR="00A23A53">
        <w:t>more pronounced</w:t>
      </w:r>
      <w:r w:rsidR="00A23A53" w:rsidRPr="00AC1F20">
        <w:t xml:space="preserve"> </w:t>
      </w:r>
      <w:r w:rsidR="000150F3" w:rsidRPr="00AC1F20">
        <w:t>in children with higher verbal WM</w:t>
      </w:r>
      <w:r w:rsidR="00A23A53">
        <w:t xml:space="preserve"> scores</w:t>
      </w:r>
      <w:r w:rsidR="000150F3" w:rsidRPr="00AC1F20">
        <w:t xml:space="preserve">, </w:t>
      </w:r>
      <w:r w:rsidR="000150F3" w:rsidRPr="00AC1F20">
        <w:rPr>
          <w:i/>
        </w:rPr>
        <w:t>F</w:t>
      </w:r>
      <w:r w:rsidR="000150F3" w:rsidRPr="00AC1F20">
        <w:t>(1, 16</w:t>
      </w:r>
      <w:r w:rsidR="00F50A68">
        <w:t>3</w:t>
      </w:r>
      <w:r w:rsidR="000150F3" w:rsidRPr="00AC1F20">
        <w:t>) = 4.</w:t>
      </w:r>
      <w:r w:rsidR="00F50A68">
        <w:t>58</w:t>
      </w:r>
      <w:r w:rsidR="000150F3" w:rsidRPr="00AC1F20">
        <w:t xml:space="preserve">, </w:t>
      </w:r>
      <w:r w:rsidR="000150F3" w:rsidRPr="00AC1F20">
        <w:rPr>
          <w:i/>
        </w:rPr>
        <w:t>p</w:t>
      </w:r>
      <w:r w:rsidR="000150F3" w:rsidRPr="00AC1F20">
        <w:t xml:space="preserve"> = 0.0</w:t>
      </w:r>
      <w:r w:rsidR="00F50A68">
        <w:t>3</w:t>
      </w:r>
      <w:r w:rsidR="000150F3" w:rsidRPr="00AC1F20">
        <w:t xml:space="preserve">, </w:t>
      </w:r>
      <w:r w:rsidR="000150F3" w:rsidRPr="00AC1F20">
        <w:rPr>
          <w:i/>
        </w:rPr>
        <w:t xml:space="preserve"> η</w:t>
      </w:r>
      <w:r w:rsidR="000150F3" w:rsidRPr="00AC1F20">
        <w:rPr>
          <w:vertAlign w:val="subscript"/>
        </w:rPr>
        <w:t>p</w:t>
      </w:r>
      <w:r w:rsidR="000150F3" w:rsidRPr="00AC1F20">
        <w:rPr>
          <w:vertAlign w:val="superscript"/>
        </w:rPr>
        <w:t xml:space="preserve">2 </w:t>
      </w:r>
      <w:r w:rsidR="000150F3" w:rsidRPr="00AC1F20">
        <w:t>= 0.03</w:t>
      </w:r>
      <w:r w:rsidR="00F50A68">
        <w:t xml:space="preserve">. </w:t>
      </w:r>
      <w:r w:rsidR="00A23A53">
        <w:t>Interestingly, t</w:t>
      </w:r>
      <w:r w:rsidR="000150F3" w:rsidRPr="00AC1F20">
        <w:t xml:space="preserve">his effect was mainly driven by faster responses on non-carry problems: the higher their verbal WM </w:t>
      </w:r>
      <w:r w:rsidR="00A23A53">
        <w:t xml:space="preserve">score </w:t>
      </w:r>
      <w:r w:rsidR="000150F3" w:rsidRPr="00AC1F20">
        <w:t xml:space="preserve">the faster they responded on trials not requiring a carry operation, </w:t>
      </w:r>
      <w:r w:rsidR="000150F3" w:rsidRPr="00AC1F20">
        <w:rPr>
          <w:i/>
        </w:rPr>
        <w:t>r</w:t>
      </w:r>
      <w:r w:rsidR="000150F3" w:rsidRPr="00AC1F20">
        <w:t xml:space="preserve"> = - 0.23, </w:t>
      </w:r>
      <w:r w:rsidR="000150F3" w:rsidRPr="00AC1F20">
        <w:rPr>
          <w:i/>
        </w:rPr>
        <w:t>p</w:t>
      </w:r>
      <w:r w:rsidR="000150F3" w:rsidRPr="00AC1F20">
        <w:t xml:space="preserve"> &lt; 0.01</w:t>
      </w:r>
      <w:r w:rsidR="000150F3">
        <w:t>,</w:t>
      </w:r>
      <w:r w:rsidR="000150F3" w:rsidRPr="00AC1F20">
        <w:t xml:space="preserve"> while the correlation between verbal WM </w:t>
      </w:r>
      <w:r w:rsidR="00A23A53">
        <w:t xml:space="preserve">scores </w:t>
      </w:r>
      <w:r w:rsidR="000150F3" w:rsidRPr="00AC1F20">
        <w:t xml:space="preserve">and RT on carry trials was only marginally significant, </w:t>
      </w:r>
      <w:r w:rsidR="000150F3" w:rsidRPr="00AC1F20">
        <w:rPr>
          <w:i/>
        </w:rPr>
        <w:t>r</w:t>
      </w:r>
      <w:r w:rsidR="000150F3" w:rsidRPr="00AC1F20">
        <w:t xml:space="preserve"> = - 0.14, </w:t>
      </w:r>
      <w:r w:rsidR="000150F3" w:rsidRPr="00AC1F20">
        <w:rPr>
          <w:i/>
        </w:rPr>
        <w:t>p</w:t>
      </w:r>
      <w:r w:rsidR="000150F3" w:rsidRPr="00AC1F20">
        <w:t xml:space="preserve"> = 0.08. </w:t>
      </w:r>
      <w:r w:rsidR="000150F3">
        <w:t xml:space="preserve"> </w:t>
      </w:r>
      <w:r w:rsidR="000A5092">
        <w:t xml:space="preserve">These correlations with verbal WM are significantly different, </w:t>
      </w:r>
      <w:r w:rsidR="000A5092" w:rsidRPr="000A5092">
        <w:rPr>
          <w:i/>
        </w:rPr>
        <w:t>Z</w:t>
      </w:r>
      <w:r w:rsidR="000A5092">
        <w:t xml:space="preserve"> = -2.35, </w:t>
      </w:r>
      <w:r w:rsidR="000A5092" w:rsidRPr="000A5092">
        <w:rPr>
          <w:i/>
        </w:rPr>
        <w:t>p</w:t>
      </w:r>
      <w:r w:rsidR="000A5092">
        <w:t xml:space="preserve"> &lt; 0.05.</w:t>
      </w:r>
    </w:p>
    <w:p w:rsidR="000B7E1F" w:rsidRPr="00364842" w:rsidRDefault="00FC3F72">
      <w:pPr>
        <w:pStyle w:val="BodyText"/>
        <w:jc w:val="center"/>
        <w:rPr>
          <w:b/>
        </w:rPr>
      </w:pPr>
      <w:r w:rsidRPr="00FC3F72">
        <w:rPr>
          <w:b/>
        </w:rPr>
        <w:t>Discussion</w:t>
      </w:r>
    </w:p>
    <w:p w:rsidR="00FC3F72" w:rsidRDefault="00DC31ED" w:rsidP="00FC3F72">
      <w:pPr>
        <w:pStyle w:val="Heading1"/>
        <w:ind w:firstLine="540"/>
        <w:jc w:val="left"/>
      </w:pPr>
      <w:r>
        <w:t xml:space="preserve">In this study </w:t>
      </w:r>
      <w:r w:rsidR="002807BB">
        <w:t xml:space="preserve">we evaluated language influences on the carry effect </w:t>
      </w:r>
      <w:r w:rsidR="00F47F54">
        <w:t xml:space="preserve">in </w:t>
      </w:r>
      <w:r>
        <w:t>7-</w:t>
      </w:r>
      <w:r w:rsidR="00905820">
        <w:t>9</w:t>
      </w:r>
      <w:r>
        <w:t xml:space="preserve"> year old </w:t>
      </w:r>
      <w:r w:rsidR="002807BB">
        <w:t xml:space="preserve">German- and Italian-speaking </w:t>
      </w:r>
      <w:r>
        <w:t>children</w:t>
      </w:r>
      <w:r w:rsidR="002807BB">
        <w:t xml:space="preserve">. For both groups a reliable </w:t>
      </w:r>
      <w:r>
        <w:t>carry</w:t>
      </w:r>
      <w:r w:rsidR="009F35C0">
        <w:t xml:space="preserve"> effect</w:t>
      </w:r>
      <w:r w:rsidR="002807BB">
        <w:t xml:space="preserve"> was observed</w:t>
      </w:r>
      <w:r w:rsidR="004751E2">
        <w:t>: it took children</w:t>
      </w:r>
      <w:r>
        <w:t xml:space="preserve"> longer to choose the correct answer and they made more mistakes when the correct solution </w:t>
      </w:r>
      <w:r w:rsidR="00DF591C">
        <w:t>required a carry operation</w:t>
      </w:r>
      <w:r w:rsidR="00111F13">
        <w:t xml:space="preserve">. </w:t>
      </w:r>
      <w:r>
        <w:t xml:space="preserve">Most importantly, </w:t>
      </w:r>
      <w:r w:rsidR="00111F13">
        <w:t>as expected,</w:t>
      </w:r>
      <w:r w:rsidR="001D289F">
        <w:t xml:space="preserve"> </w:t>
      </w:r>
      <w:r>
        <w:t xml:space="preserve">this </w:t>
      </w:r>
      <w:r w:rsidR="002807BB">
        <w:t xml:space="preserve">carry </w:t>
      </w:r>
      <w:r>
        <w:t>e</w:t>
      </w:r>
      <w:r w:rsidR="000147FB">
        <w:t>ffect was more pronounced in response latencies</w:t>
      </w:r>
      <w:r>
        <w:t xml:space="preserve"> for German- than for </w:t>
      </w:r>
      <w:r w:rsidR="004751E2">
        <w:t xml:space="preserve">Italian-speaking children. </w:t>
      </w:r>
      <w:r w:rsidR="002807BB">
        <w:t>These r</w:t>
      </w:r>
      <w:r w:rsidR="000147FB">
        <w:t>esults a</w:t>
      </w:r>
      <w:r w:rsidR="009B2373">
        <w:t xml:space="preserve">re in line with </w:t>
      </w:r>
      <w:r w:rsidR="00BF2274">
        <w:t>the</w:t>
      </w:r>
      <w:r w:rsidR="009B2373">
        <w:t xml:space="preserve"> hypothesis </w:t>
      </w:r>
      <w:r w:rsidR="007D2CF1">
        <w:t xml:space="preserve">that the carry effect </w:t>
      </w:r>
      <w:r w:rsidR="000147FB">
        <w:t>is</w:t>
      </w:r>
      <w:r w:rsidR="00C224C9">
        <w:t xml:space="preserve"> more pronounced</w:t>
      </w:r>
      <w:r w:rsidR="00BF2274" w:rsidRPr="00BF2274">
        <w:t xml:space="preserve"> </w:t>
      </w:r>
      <w:r w:rsidR="00DD2F83">
        <w:t xml:space="preserve">in German-speaking children </w:t>
      </w:r>
      <w:r w:rsidR="00BF2274">
        <w:t>due to number word inversion in German</w:t>
      </w:r>
      <w:r w:rsidR="00DD2F83">
        <w:t xml:space="preserve"> </w:t>
      </w:r>
      <w:r w:rsidR="002807BB">
        <w:t>number words</w:t>
      </w:r>
      <w:r w:rsidR="007D2CF1">
        <w:t xml:space="preserve">. </w:t>
      </w:r>
      <w:r w:rsidR="002807BB">
        <w:t>As a consequence this</w:t>
      </w:r>
      <w:r w:rsidR="0027024F">
        <w:t xml:space="preserve"> </w:t>
      </w:r>
      <w:r w:rsidR="00BF2274">
        <w:t>suggest</w:t>
      </w:r>
      <w:r w:rsidR="002807BB">
        <w:t>s</w:t>
      </w:r>
      <w:r w:rsidR="00BF2274">
        <w:t xml:space="preserve"> that</w:t>
      </w:r>
      <w:r w:rsidR="00DD3513">
        <w:t xml:space="preserve"> children </w:t>
      </w:r>
      <w:r w:rsidR="00DD2F83">
        <w:t xml:space="preserve">- even when solving addition </w:t>
      </w:r>
      <w:r w:rsidR="00393230">
        <w:t xml:space="preserve">problems </w:t>
      </w:r>
      <w:r w:rsidR="00DD2F83">
        <w:t xml:space="preserve">presented to them in </w:t>
      </w:r>
      <w:r w:rsidR="002807BB">
        <w:t>digital-</w:t>
      </w:r>
      <w:r w:rsidR="00DD2F83">
        <w:t xml:space="preserve">Arabic notation </w:t>
      </w:r>
      <w:r w:rsidR="002807BB">
        <w:t>–</w:t>
      </w:r>
      <w:r w:rsidR="00DD2F83">
        <w:t xml:space="preserve"> </w:t>
      </w:r>
      <w:r w:rsidR="002807BB">
        <w:t xml:space="preserve">at least co-activate </w:t>
      </w:r>
      <w:r w:rsidR="00BF2274">
        <w:t xml:space="preserve">Arabic </w:t>
      </w:r>
      <w:r w:rsidR="00DD3513">
        <w:t>digits into number words</w:t>
      </w:r>
      <w:r w:rsidR="002807BB">
        <w:t xml:space="preserve">; possibly as some kind of </w:t>
      </w:r>
      <w:proofErr w:type="spellStart"/>
      <w:r w:rsidR="00F47F54">
        <w:t>subvocal</w:t>
      </w:r>
      <w:proofErr w:type="spellEnd"/>
      <w:r w:rsidR="00F47F54">
        <w:t xml:space="preserve"> </w:t>
      </w:r>
      <w:r w:rsidR="002807BB">
        <w:t>verbalization of the addition problem</w:t>
      </w:r>
      <w:r w:rsidR="00DD3513">
        <w:t xml:space="preserve">. </w:t>
      </w:r>
      <w:r w:rsidR="00DD2F83">
        <w:t>Furthermore, the</w:t>
      </w:r>
      <w:r w:rsidR="000147FB">
        <w:t xml:space="preserve"> current</w:t>
      </w:r>
      <w:r w:rsidR="00BF2274">
        <w:t xml:space="preserve"> results add to the existing literature by showing that, at least in children, number word inversion specifically </w:t>
      </w:r>
      <w:r w:rsidR="00BF2274">
        <w:lastRenderedPageBreak/>
        <w:t xml:space="preserve">affects the size of the carry effect in addition. </w:t>
      </w:r>
      <w:r w:rsidR="00B469A0">
        <w:t xml:space="preserve">To our knowledge </w:t>
      </w:r>
      <w:r w:rsidR="006E4C6A">
        <w:t xml:space="preserve">such a </w:t>
      </w:r>
      <w:r w:rsidR="00B469A0">
        <w:t xml:space="preserve">language-specific modulation </w:t>
      </w:r>
      <w:r w:rsidR="0027024F">
        <w:t>of the carry</w:t>
      </w:r>
      <w:r w:rsidR="00A516F9">
        <w:t xml:space="preserve"> </w:t>
      </w:r>
      <w:r w:rsidR="0027024F">
        <w:t xml:space="preserve">effect </w:t>
      </w:r>
      <w:r w:rsidR="00B469A0">
        <w:t xml:space="preserve">has not </w:t>
      </w:r>
      <w:r w:rsidR="000147FB">
        <w:t xml:space="preserve">yet </w:t>
      </w:r>
      <w:r w:rsidR="00B469A0">
        <w:t>be</w:t>
      </w:r>
      <w:r w:rsidR="00BF2274">
        <w:t>en</w:t>
      </w:r>
      <w:r w:rsidR="00B469A0">
        <w:t xml:space="preserve"> explored in adults. It </w:t>
      </w:r>
      <w:r w:rsidR="00DD2F83">
        <w:t xml:space="preserve">is conceivable that this language-specific </w:t>
      </w:r>
      <w:r w:rsidR="006E4C6A">
        <w:t xml:space="preserve">influence </w:t>
      </w:r>
      <w:r w:rsidR="00DD2F83">
        <w:t>is only present early in arithmetic development and</w:t>
      </w:r>
      <w:r w:rsidR="00B469A0">
        <w:t xml:space="preserve"> </w:t>
      </w:r>
      <w:r w:rsidR="006E4C6A">
        <w:t xml:space="preserve">diminishes </w:t>
      </w:r>
      <w:r w:rsidR="00080956">
        <w:t xml:space="preserve">with </w:t>
      </w:r>
      <w:r w:rsidR="006E4C6A">
        <w:t>increasing arithmetical experience</w:t>
      </w:r>
      <w:r w:rsidR="004318AB">
        <w:t>:</w:t>
      </w:r>
      <w:r w:rsidR="00B469A0">
        <w:t xml:space="preserve"> children </w:t>
      </w:r>
      <w:r w:rsidR="000147FB">
        <w:t>during early numeracy acquisition</w:t>
      </w:r>
      <w:r w:rsidR="00B469A0">
        <w:t xml:space="preserve"> in school </w:t>
      </w:r>
      <w:r w:rsidR="006E4C6A">
        <w:t xml:space="preserve">may </w:t>
      </w:r>
      <w:r w:rsidR="00B469A0">
        <w:t>call</w:t>
      </w:r>
      <w:r w:rsidR="006E4C6A">
        <w:t xml:space="preserve"> more strongly </w:t>
      </w:r>
      <w:r w:rsidR="00B469A0">
        <w:t>upon a verbal repre</w:t>
      </w:r>
      <w:r w:rsidR="000147FB">
        <w:t>sentation even</w:t>
      </w:r>
      <w:r w:rsidR="004751E2">
        <w:t xml:space="preserve"> with</w:t>
      </w:r>
      <w:r w:rsidR="000147FB">
        <w:t xml:space="preserve"> </w:t>
      </w:r>
      <w:r w:rsidR="004751E2">
        <w:t xml:space="preserve">stimuli </w:t>
      </w:r>
      <w:r w:rsidR="00E30AEE">
        <w:t>presented</w:t>
      </w:r>
      <w:r w:rsidR="00B469A0">
        <w:t xml:space="preserve"> in Arabic notation</w:t>
      </w:r>
      <w:r w:rsidR="00CD748C">
        <w:t>. W</w:t>
      </w:r>
      <w:r w:rsidR="00B469A0">
        <w:t>ith growin</w:t>
      </w:r>
      <w:r w:rsidR="00E30AEE">
        <w:t>g experience</w:t>
      </w:r>
      <w:r w:rsidR="006C3676">
        <w:t>, however,</w:t>
      </w:r>
      <w:r w:rsidR="00E30AEE">
        <w:t xml:space="preserve"> </w:t>
      </w:r>
      <w:r w:rsidR="00B469A0">
        <w:t xml:space="preserve">access </w:t>
      </w:r>
      <w:r w:rsidR="00E30AEE">
        <w:t xml:space="preserve">to numerical magnitude from Arabic notation might become </w:t>
      </w:r>
      <w:r w:rsidR="00B469A0">
        <w:t>automatic</w:t>
      </w:r>
      <w:r w:rsidR="00C224C9">
        <w:t xml:space="preserve"> (</w:t>
      </w:r>
      <w:proofErr w:type="spellStart"/>
      <w:r w:rsidR="006E4F2A">
        <w:t>Girelli</w:t>
      </w:r>
      <w:proofErr w:type="spellEnd"/>
      <w:r w:rsidR="006E4F2A">
        <w:t xml:space="preserve">, </w:t>
      </w:r>
      <w:proofErr w:type="spellStart"/>
      <w:r w:rsidR="006E4F2A">
        <w:t>Lucangeli</w:t>
      </w:r>
      <w:proofErr w:type="spellEnd"/>
      <w:r w:rsidR="006E4F2A">
        <w:t xml:space="preserve">, &amp; Butterworth, </w:t>
      </w:r>
      <w:r w:rsidR="003F0FE3">
        <w:t>2000</w:t>
      </w:r>
      <w:r w:rsidR="00C224C9">
        <w:t>)</w:t>
      </w:r>
      <w:r w:rsidR="00B469A0">
        <w:t xml:space="preserve"> and</w:t>
      </w:r>
      <w:r w:rsidR="001D289F">
        <w:t xml:space="preserve"> </w:t>
      </w:r>
      <w:r w:rsidR="006E4C6A">
        <w:t xml:space="preserve">verbalizing </w:t>
      </w:r>
      <w:r w:rsidR="00C224C9">
        <w:t xml:space="preserve">Arabic digits </w:t>
      </w:r>
      <w:r w:rsidR="006E4C6A">
        <w:t xml:space="preserve">might subside </w:t>
      </w:r>
      <w:r w:rsidR="00E30AEE">
        <w:t>later in development</w:t>
      </w:r>
      <w:r w:rsidR="00B469A0">
        <w:t xml:space="preserve">. </w:t>
      </w:r>
      <w:r w:rsidR="00E30AEE">
        <w:t>A</w:t>
      </w:r>
      <w:r w:rsidR="00C1767E">
        <w:t xml:space="preserve"> study by </w:t>
      </w:r>
      <w:proofErr w:type="spellStart"/>
      <w:r w:rsidR="00C1767E">
        <w:t>Colom</w:t>
      </w:r>
      <w:r w:rsidR="00E3423F">
        <w:t>é</w:t>
      </w:r>
      <w:proofErr w:type="spellEnd"/>
      <w:r w:rsidR="00E3423F">
        <w:t xml:space="preserve">, </w:t>
      </w:r>
      <w:proofErr w:type="spellStart"/>
      <w:r w:rsidR="00E3423F">
        <w:t>Laka</w:t>
      </w:r>
      <w:proofErr w:type="spellEnd"/>
      <w:r w:rsidR="00E3423F">
        <w:t xml:space="preserve"> and</w:t>
      </w:r>
      <w:r w:rsidR="006E4F2A">
        <w:t xml:space="preserve"> </w:t>
      </w:r>
      <w:proofErr w:type="spellStart"/>
      <w:r w:rsidR="006E4F2A">
        <w:t>Sebastián-Gallés</w:t>
      </w:r>
      <w:proofErr w:type="spellEnd"/>
      <w:r w:rsidR="006E4F2A">
        <w:t xml:space="preserve"> (2010</w:t>
      </w:r>
      <w:r w:rsidR="00C1767E">
        <w:t>)</w:t>
      </w:r>
      <w:r w:rsidR="00E30AEE">
        <w:t>, however,</w:t>
      </w:r>
      <w:r w:rsidR="00C1767E">
        <w:t xml:space="preserve"> suggests</w:t>
      </w:r>
      <w:r w:rsidR="00B469A0">
        <w:t xml:space="preserve"> that even after years o</w:t>
      </w:r>
      <w:r w:rsidR="0027024F">
        <w:t>f experience with Arabic digits</w:t>
      </w:r>
      <w:r w:rsidR="00B469A0">
        <w:t xml:space="preserve"> </w:t>
      </w:r>
      <w:r w:rsidR="0027024F">
        <w:t xml:space="preserve">adults </w:t>
      </w:r>
      <w:r w:rsidR="00B469A0">
        <w:t xml:space="preserve">are </w:t>
      </w:r>
      <w:r w:rsidR="006E4C6A">
        <w:t xml:space="preserve">still </w:t>
      </w:r>
      <w:r w:rsidR="00B469A0">
        <w:t>influe</w:t>
      </w:r>
      <w:r w:rsidR="00E30AEE">
        <w:t>nced by number word structure when solving</w:t>
      </w:r>
      <w:r w:rsidR="00B469A0">
        <w:t xml:space="preserve"> </w:t>
      </w:r>
      <w:r w:rsidR="006E4C6A">
        <w:t xml:space="preserve">additions </w:t>
      </w:r>
      <w:r w:rsidR="00E30AEE">
        <w:t xml:space="preserve">in </w:t>
      </w:r>
      <w:r w:rsidR="0027024F">
        <w:t>Arabic notation</w:t>
      </w:r>
      <w:r w:rsidR="00CD748C">
        <w:t xml:space="preserve">. </w:t>
      </w:r>
    </w:p>
    <w:p w:rsidR="000147FB" w:rsidRDefault="004318AB" w:rsidP="00557E0D">
      <w:pPr>
        <w:pStyle w:val="BodyText"/>
      </w:pPr>
      <w:r>
        <w:t>In the current study</w:t>
      </w:r>
      <w:r w:rsidR="004F54BD">
        <w:t>,</w:t>
      </w:r>
      <w:r>
        <w:t xml:space="preserve"> </w:t>
      </w:r>
      <w:r w:rsidR="00703551">
        <w:t xml:space="preserve">responses to carry trials </w:t>
      </w:r>
      <w:r w:rsidR="000147FB">
        <w:t>were infl</w:t>
      </w:r>
      <w:r w:rsidR="00703551">
        <w:t>uenced by number word structure</w:t>
      </w:r>
      <w:r w:rsidR="001B1697">
        <w:t xml:space="preserve"> in children</w:t>
      </w:r>
      <w:r w:rsidR="000147FB">
        <w:t xml:space="preserve">. </w:t>
      </w:r>
      <w:r w:rsidR="00703551">
        <w:t>German-speaking children were overall faster to respond</w:t>
      </w:r>
      <w:r w:rsidR="001B1697">
        <w:t>, but</w:t>
      </w:r>
      <w:r w:rsidR="00703551">
        <w:t xml:space="preserve"> showed a </w:t>
      </w:r>
      <w:r w:rsidR="006E4C6A">
        <w:t xml:space="preserve">relatively </w:t>
      </w:r>
      <w:r w:rsidR="00703551">
        <w:t xml:space="preserve">larger carry effect than Italian children. </w:t>
      </w:r>
      <w:r w:rsidR="006C3676">
        <w:t>We interpret t</w:t>
      </w:r>
      <w:r w:rsidR="004751E2">
        <w:t xml:space="preserve">his </w:t>
      </w:r>
      <w:r w:rsidR="006C3676">
        <w:t>finding a</w:t>
      </w:r>
      <w:r w:rsidR="004751E2">
        <w:t>s evidence for an influence of number word structure on plac</w:t>
      </w:r>
      <w:r w:rsidR="006C3676">
        <w:t>e-value integration and suggest</w:t>
      </w:r>
      <w:r w:rsidR="004751E2">
        <w:t xml:space="preserve"> that place-value integration is easier </w:t>
      </w:r>
      <w:r w:rsidR="006E4C6A">
        <w:t xml:space="preserve">when </w:t>
      </w:r>
      <w:r w:rsidR="004751E2">
        <w:t xml:space="preserve">the mapping between number word structure and Arabic </w:t>
      </w:r>
      <w:r w:rsidR="000A0FD7">
        <w:t xml:space="preserve">notation </w:t>
      </w:r>
      <w:r w:rsidR="004751E2">
        <w:t xml:space="preserve">is consistent. </w:t>
      </w:r>
      <w:r w:rsidR="009745F1">
        <w:t xml:space="preserve">The carry cost was smaller for Italian children because of the consistent mapping between the sequence of </w:t>
      </w:r>
      <w:r w:rsidR="000A0FD7">
        <w:t xml:space="preserve">tens </w:t>
      </w:r>
      <w:r w:rsidR="009745F1">
        <w:t>and</w:t>
      </w:r>
      <w:r w:rsidR="006C3676">
        <w:t xml:space="preserve"> units in Arabic </w:t>
      </w:r>
      <w:r w:rsidR="000A0FD7">
        <w:t xml:space="preserve">notation </w:t>
      </w:r>
      <w:r w:rsidR="006C3676">
        <w:t>and</w:t>
      </w:r>
      <w:r w:rsidR="009745F1">
        <w:t xml:space="preserve"> Italian number words. </w:t>
      </w:r>
      <w:r w:rsidR="000147FB">
        <w:t xml:space="preserve">Positional information </w:t>
      </w:r>
      <w:r w:rsidR="003863E1">
        <w:t>is</w:t>
      </w:r>
      <w:r w:rsidR="000147FB">
        <w:t xml:space="preserve"> more im</w:t>
      </w:r>
      <w:r w:rsidR="003863E1">
        <w:t>portant during carry trials, because</w:t>
      </w:r>
      <w:r w:rsidR="000147FB">
        <w:t xml:space="preserve"> the </w:t>
      </w:r>
      <w:r w:rsidR="000A0FD7">
        <w:t xml:space="preserve">essence </w:t>
      </w:r>
      <w:r w:rsidR="000147FB">
        <w:t xml:space="preserve">of a successful carry operation is carrying the </w:t>
      </w:r>
      <w:r w:rsidR="000A0FD7">
        <w:t xml:space="preserve">tens digit of </w:t>
      </w:r>
      <w:r w:rsidR="000147FB">
        <w:t xml:space="preserve">the unit sum </w:t>
      </w:r>
      <w:r w:rsidR="000A0FD7">
        <w:t>to the tens position of the result</w:t>
      </w:r>
      <w:r w:rsidR="000147FB">
        <w:t>.</w:t>
      </w:r>
      <w:r w:rsidR="003863E1">
        <w:t xml:space="preserve"> </w:t>
      </w:r>
      <w:r w:rsidR="00860634">
        <w:t>I</w:t>
      </w:r>
      <w:r w:rsidR="003863E1">
        <w:t>t is more difficult to clearly identify and keep track of positions during a carry trial when the number word structure adds additional inconsistent positional information</w:t>
      </w:r>
      <w:r w:rsidR="000A0FD7">
        <w:t xml:space="preserve"> as </w:t>
      </w:r>
      <w:r w:rsidR="00F47F54">
        <w:t xml:space="preserve">it is </w:t>
      </w:r>
      <w:r w:rsidR="000A0FD7">
        <w:t>the case for inverted number word in German</w:t>
      </w:r>
      <w:r w:rsidR="009C44BD">
        <w:t>. Our study</w:t>
      </w:r>
      <w:r w:rsidR="005C461F">
        <w:t xml:space="preserve"> </w:t>
      </w:r>
      <w:r w:rsidR="009C44BD">
        <w:t xml:space="preserve">provides direct support for this hypothesis: </w:t>
      </w:r>
      <w:r w:rsidR="0070632B">
        <w:t xml:space="preserve">Italian children </w:t>
      </w:r>
      <w:r w:rsidR="009C44BD">
        <w:t>paid</w:t>
      </w:r>
      <w:r w:rsidR="0070632B">
        <w:t xml:space="preserve"> a smaller cost on carry trials than Austrians</w:t>
      </w:r>
      <w:r w:rsidR="00C55009">
        <w:t>, especially</w:t>
      </w:r>
      <w:r w:rsidR="0070632B">
        <w:t xml:space="preserve"> when the distracter differed </w:t>
      </w:r>
      <w:r w:rsidR="00201DA8">
        <w:t xml:space="preserve">from the correct </w:t>
      </w:r>
      <w:r w:rsidR="00201DA8">
        <w:lastRenderedPageBreak/>
        <w:t xml:space="preserve">response </w:t>
      </w:r>
      <w:r w:rsidR="009C44BD">
        <w:t xml:space="preserve">on the </w:t>
      </w:r>
      <w:r w:rsidR="006C033E">
        <w:t>tens</w:t>
      </w:r>
      <w:r w:rsidR="009C44BD">
        <w:t xml:space="preserve"> position, </w:t>
      </w:r>
      <w:r w:rsidR="006C033E">
        <w:t>indicating</w:t>
      </w:r>
      <w:r w:rsidR="00C55009">
        <w:t xml:space="preserve"> that it</w:t>
      </w:r>
      <w:r w:rsidR="00557E0D">
        <w:t xml:space="preserve"> is easier for children to identify the relevant</w:t>
      </w:r>
      <w:r w:rsidR="0070632B">
        <w:t xml:space="preserve"> </w:t>
      </w:r>
      <w:r w:rsidR="006C033E">
        <w:t>tens</w:t>
      </w:r>
      <w:r w:rsidR="0070632B">
        <w:t xml:space="preserve"> digit of the </w:t>
      </w:r>
      <w:r w:rsidR="00C55009">
        <w:t>solution probes</w:t>
      </w:r>
      <w:r w:rsidR="0070632B">
        <w:t xml:space="preserve"> in carry trials </w:t>
      </w:r>
      <w:r w:rsidR="00557E0D">
        <w:t xml:space="preserve">when the mapping between the sequence of </w:t>
      </w:r>
      <w:r w:rsidR="006C033E">
        <w:t>tens and units in</w:t>
      </w:r>
      <w:r w:rsidR="00557E0D">
        <w:t xml:space="preserve"> number word</w:t>
      </w:r>
      <w:r w:rsidR="001E7318">
        <w:t>s</w:t>
      </w:r>
      <w:r w:rsidR="00557E0D">
        <w:t xml:space="preserve"> is not inverted.</w:t>
      </w:r>
    </w:p>
    <w:p w:rsidR="00F32561" w:rsidRDefault="00ED621A">
      <w:pPr>
        <w:spacing w:line="480" w:lineRule="auto"/>
        <w:ind w:firstLine="540"/>
      </w:pPr>
      <w:r>
        <w:t>O</w:t>
      </w:r>
      <w:r w:rsidR="004950DF" w:rsidRPr="00712D4B">
        <w:t xml:space="preserve">ur </w:t>
      </w:r>
      <w:r w:rsidR="006C3676" w:rsidRPr="00712D4B">
        <w:t>findings suggest that</w:t>
      </w:r>
      <w:r w:rsidR="004950DF" w:rsidRPr="00712D4B">
        <w:t xml:space="preserve"> </w:t>
      </w:r>
      <w:r w:rsidR="007B53D4" w:rsidRPr="00712D4B">
        <w:t xml:space="preserve">when </w:t>
      </w:r>
      <w:r w:rsidR="000A0FD7">
        <w:t>addition problems</w:t>
      </w:r>
      <w:r w:rsidR="000A0FD7" w:rsidRPr="00712D4B">
        <w:t xml:space="preserve"> </w:t>
      </w:r>
      <w:r w:rsidR="004950DF" w:rsidRPr="00712D4B">
        <w:t>are presented in Arabic notation</w:t>
      </w:r>
      <w:r w:rsidR="00F47F54">
        <w:t xml:space="preserve">, </w:t>
      </w:r>
      <w:r w:rsidR="004950DF" w:rsidRPr="00712D4B">
        <w:t>7-</w:t>
      </w:r>
      <w:r w:rsidR="001E7318">
        <w:t>9</w:t>
      </w:r>
      <w:r w:rsidR="004950DF" w:rsidRPr="00712D4B">
        <w:t xml:space="preserve"> year old children </w:t>
      </w:r>
      <w:r w:rsidR="000A0FD7">
        <w:t xml:space="preserve">seem to </w:t>
      </w:r>
      <w:r w:rsidR="004950DF" w:rsidRPr="00712D4B">
        <w:t xml:space="preserve">activate </w:t>
      </w:r>
      <w:r w:rsidR="00B92198" w:rsidRPr="00712D4B">
        <w:t>verbal code</w:t>
      </w:r>
      <w:r w:rsidR="0082340E" w:rsidRPr="00712D4B">
        <w:t xml:space="preserve">s. </w:t>
      </w:r>
      <w:r w:rsidR="000A0FD7">
        <w:t>I</w:t>
      </w:r>
      <w:r w:rsidR="004950DF" w:rsidRPr="00712D4B">
        <w:t xml:space="preserve">n </w:t>
      </w:r>
      <w:r w:rsidR="000A0FD7">
        <w:t>the</w:t>
      </w:r>
      <w:r w:rsidR="000A0FD7" w:rsidRPr="00712D4B">
        <w:t xml:space="preserve"> </w:t>
      </w:r>
      <w:r w:rsidR="004950DF" w:rsidRPr="00712D4B">
        <w:t xml:space="preserve">Triple Code </w:t>
      </w:r>
      <w:r w:rsidR="00FD6C4C" w:rsidRPr="00712D4B">
        <w:t>M</w:t>
      </w:r>
      <w:r w:rsidR="004950DF" w:rsidRPr="00712D4B">
        <w:t>odel</w:t>
      </w:r>
      <w:r w:rsidR="004F54BD">
        <w:t>,</w:t>
      </w:r>
      <w:r w:rsidR="004950DF" w:rsidRPr="00712D4B">
        <w:t xml:space="preserve"> </w:t>
      </w:r>
      <w:proofErr w:type="spellStart"/>
      <w:r w:rsidR="000A0FD7" w:rsidRPr="00712D4B">
        <w:t>Dehaene</w:t>
      </w:r>
      <w:proofErr w:type="spellEnd"/>
      <w:r w:rsidR="000A0FD7" w:rsidRPr="00712D4B">
        <w:t xml:space="preserve"> </w:t>
      </w:r>
      <w:r w:rsidR="009D7ACF">
        <w:t>and</w:t>
      </w:r>
      <w:r w:rsidR="009D7ACF">
        <w:t xml:space="preserve"> </w:t>
      </w:r>
      <w:r w:rsidR="001B6712">
        <w:t xml:space="preserve">Cohen </w:t>
      </w:r>
      <w:r w:rsidR="000A0FD7" w:rsidRPr="00712D4B">
        <w:t>(199</w:t>
      </w:r>
      <w:r w:rsidR="001B6712">
        <w:t>7</w:t>
      </w:r>
      <w:r w:rsidR="000A0FD7" w:rsidRPr="00712D4B">
        <w:t xml:space="preserve">) </w:t>
      </w:r>
      <w:r w:rsidR="004751E2" w:rsidRPr="00712D4B">
        <w:t>proposed three different codes for number processing</w:t>
      </w:r>
      <w:r w:rsidR="007A0F3C" w:rsidRPr="00712D4B">
        <w:t>, an analo</w:t>
      </w:r>
      <w:r w:rsidR="003364A6" w:rsidRPr="00712D4B">
        <w:t xml:space="preserve">gue, a visual and a verbal code. </w:t>
      </w:r>
      <w:r w:rsidR="001D289F">
        <w:t>In</w:t>
      </w:r>
      <w:r w:rsidR="003364A6" w:rsidRPr="00712D4B">
        <w:t xml:space="preserve"> this model simple arithmetic problems can be solved along two basic routes: a direct (between the visual and the verbal code) and an indirect (from the visual to the verbal code via the analogue code)</w:t>
      </w:r>
      <w:r w:rsidR="001D289F">
        <w:t xml:space="preserve"> r</w:t>
      </w:r>
      <w:r w:rsidR="001D289F" w:rsidRPr="00712D4B">
        <w:t>oute</w:t>
      </w:r>
      <w:r w:rsidR="001D289F">
        <w:t>.</w:t>
      </w:r>
      <w:r w:rsidR="001D289F" w:rsidRPr="00712D4B">
        <w:t xml:space="preserve"> </w:t>
      </w:r>
      <w:r w:rsidR="003364A6" w:rsidRPr="00712D4B">
        <w:t xml:space="preserve">The direct route </w:t>
      </w:r>
      <w:r w:rsidR="00CD748C">
        <w:t xml:space="preserve">for calculation </w:t>
      </w:r>
      <w:r w:rsidR="003364A6" w:rsidRPr="00712D4B">
        <w:t xml:space="preserve">is used in particular </w:t>
      </w:r>
      <w:r w:rsidR="00DA7961" w:rsidRPr="00712D4B">
        <w:t xml:space="preserve">when associations between sums and answers have been learned verbally </w:t>
      </w:r>
      <w:r w:rsidR="003364A6" w:rsidRPr="00712D4B">
        <w:t xml:space="preserve">for fact retrieval from </w:t>
      </w:r>
      <w:r w:rsidR="000A0FD7">
        <w:t>long-term</w:t>
      </w:r>
      <w:r w:rsidR="003364A6" w:rsidRPr="00712D4B">
        <w:t xml:space="preserve"> memory</w:t>
      </w:r>
      <w:r w:rsidR="001D289F">
        <w:t>.</w:t>
      </w:r>
      <w:r w:rsidR="00712D4B">
        <w:t xml:space="preserve"> </w:t>
      </w:r>
      <w:r w:rsidR="00DA7961" w:rsidRPr="00712D4B">
        <w:t>Arabic digits are identified</w:t>
      </w:r>
      <w:r w:rsidR="004063FD">
        <w:t xml:space="preserve"> and</w:t>
      </w:r>
      <w:r w:rsidR="00DA7961" w:rsidRPr="00712D4B">
        <w:t xml:space="preserve"> </w:t>
      </w:r>
      <w:proofErr w:type="spellStart"/>
      <w:r w:rsidR="00DA7961" w:rsidRPr="00712D4B">
        <w:t>transcoded</w:t>
      </w:r>
      <w:proofErr w:type="spellEnd"/>
      <w:r w:rsidR="00DA7961" w:rsidRPr="00712D4B">
        <w:t xml:space="preserve"> into number words and the corresponding verbal</w:t>
      </w:r>
      <w:r w:rsidR="000A0FD7">
        <w:t>ly stored</w:t>
      </w:r>
      <w:r w:rsidR="00DA7961" w:rsidRPr="00712D4B">
        <w:t xml:space="preserve"> facts are retrieved</w:t>
      </w:r>
      <w:r w:rsidR="003364A6" w:rsidRPr="00712D4B">
        <w:t xml:space="preserve">. </w:t>
      </w:r>
      <w:r w:rsidR="00DA7961" w:rsidRPr="00712D4B">
        <w:t xml:space="preserve">The degree of </w:t>
      </w:r>
      <w:r w:rsidR="0043081E">
        <w:t>consistency</w:t>
      </w:r>
      <w:r w:rsidR="0043081E" w:rsidRPr="00712D4B">
        <w:t xml:space="preserve"> </w:t>
      </w:r>
      <w:r w:rsidR="00DA7961" w:rsidRPr="00712D4B">
        <w:t xml:space="preserve">of the number word system </w:t>
      </w:r>
      <w:r w:rsidR="000A0FD7">
        <w:t>might</w:t>
      </w:r>
      <w:r w:rsidR="000A0FD7" w:rsidRPr="00712D4B">
        <w:t xml:space="preserve"> </w:t>
      </w:r>
      <w:r w:rsidR="00DA7961" w:rsidRPr="00712D4B">
        <w:t xml:space="preserve">influence the processing time along this route: </w:t>
      </w:r>
      <w:r w:rsidR="000A0FD7">
        <w:t>when</w:t>
      </w:r>
      <w:r w:rsidR="000A0FD7" w:rsidRPr="00712D4B">
        <w:t xml:space="preserve"> </w:t>
      </w:r>
      <w:r w:rsidR="00DA7961" w:rsidRPr="00712D4B">
        <w:t xml:space="preserve">the mapping between the visual and the verbal code </w:t>
      </w:r>
      <w:r w:rsidR="000A0FD7">
        <w:t>is</w:t>
      </w:r>
      <w:r w:rsidR="000A0FD7" w:rsidRPr="00712D4B">
        <w:t xml:space="preserve"> </w:t>
      </w:r>
      <w:r w:rsidR="00DA7961" w:rsidRPr="00712D4B">
        <w:t>inconsistent t</w:t>
      </w:r>
      <w:r w:rsidR="000A0FD7">
        <w:t>his may cause i</w:t>
      </w:r>
      <w:r w:rsidR="00DA7961" w:rsidRPr="00712D4B">
        <w:t>nterference</w:t>
      </w:r>
      <w:r w:rsidR="000A0FD7">
        <w:t>,</w:t>
      </w:r>
      <w:r w:rsidR="00DA7961" w:rsidRPr="00712D4B">
        <w:t xml:space="preserve"> </w:t>
      </w:r>
      <w:r w:rsidR="000A0FD7">
        <w:t>such as</w:t>
      </w:r>
      <w:r w:rsidR="000A0FD7" w:rsidRPr="00712D4B">
        <w:t xml:space="preserve"> </w:t>
      </w:r>
      <w:r w:rsidR="00DA7961" w:rsidRPr="00712D4B">
        <w:t xml:space="preserve">the </w:t>
      </w:r>
      <w:r w:rsidR="000A0FD7">
        <w:t xml:space="preserve">opposing order of tens and units in </w:t>
      </w:r>
      <w:r w:rsidR="00DA7961" w:rsidRPr="00712D4B">
        <w:t xml:space="preserve">Arabic and verbal </w:t>
      </w:r>
      <w:r w:rsidR="000A0FD7">
        <w:t xml:space="preserve">notation in </w:t>
      </w:r>
      <w:r w:rsidR="007A4320">
        <w:t>German,</w:t>
      </w:r>
      <w:r w:rsidR="007A4320" w:rsidRPr="00712D4B">
        <w:t xml:space="preserve"> which</w:t>
      </w:r>
      <w:r w:rsidR="00DA7961" w:rsidRPr="00712D4B">
        <w:t xml:space="preserve"> needs to be resolved. Interference resolution </w:t>
      </w:r>
      <w:r w:rsidR="000A0FD7">
        <w:t>may then</w:t>
      </w:r>
      <w:r w:rsidR="000A0FD7" w:rsidRPr="00712D4B">
        <w:t xml:space="preserve"> </w:t>
      </w:r>
      <w:r w:rsidR="00DA7961" w:rsidRPr="00712D4B">
        <w:t xml:space="preserve">lead to a delay in overall processing speed. </w:t>
      </w:r>
      <w:r w:rsidR="00712D4B" w:rsidRPr="00712D4B">
        <w:t>Given th</w:t>
      </w:r>
      <w:r w:rsidR="008C0360">
        <w:t>is</w:t>
      </w:r>
      <w:r w:rsidR="00712D4B" w:rsidRPr="00712D4B">
        <w:t xml:space="preserve"> difference in the </w:t>
      </w:r>
      <w:r w:rsidR="000A0FD7">
        <w:t>consistency</w:t>
      </w:r>
      <w:r w:rsidR="000A0FD7" w:rsidRPr="00712D4B">
        <w:t xml:space="preserve"> </w:t>
      </w:r>
      <w:r w:rsidR="00712D4B" w:rsidRPr="00712D4B">
        <w:t xml:space="preserve">of the mapping between the visual and </w:t>
      </w:r>
      <w:r w:rsidR="000A0FD7">
        <w:t xml:space="preserve">the </w:t>
      </w:r>
      <w:r w:rsidR="00712D4B" w:rsidRPr="00712D4B">
        <w:t xml:space="preserve">verbal code between German and Italian, interference between the visual and verbal code should be more </w:t>
      </w:r>
      <w:r w:rsidR="008C0360">
        <w:t>pronounced</w:t>
      </w:r>
      <w:r w:rsidR="008C0360" w:rsidRPr="00712D4B">
        <w:t xml:space="preserve"> </w:t>
      </w:r>
      <w:r w:rsidR="00712D4B" w:rsidRPr="00712D4B">
        <w:t xml:space="preserve">in German </w:t>
      </w:r>
      <w:r w:rsidR="008C0360">
        <w:t xml:space="preserve">than </w:t>
      </w:r>
      <w:r w:rsidR="00712D4B" w:rsidRPr="00712D4B">
        <w:t xml:space="preserve">in Italian. </w:t>
      </w:r>
      <w:r w:rsidR="000A25B1" w:rsidRPr="00712D4B">
        <w:t>This</w:t>
      </w:r>
      <w:r w:rsidR="006C033E">
        <w:t xml:space="preserve"> </w:t>
      </w:r>
      <w:r w:rsidR="000A25B1" w:rsidRPr="00712D4B">
        <w:t>predict</w:t>
      </w:r>
      <w:r w:rsidR="00712D4B">
        <w:t>s</w:t>
      </w:r>
      <w:r w:rsidR="000A25B1" w:rsidRPr="00712D4B">
        <w:t xml:space="preserve"> overall longer </w:t>
      </w:r>
      <w:r w:rsidR="006C033E">
        <w:t>RT</w:t>
      </w:r>
      <w:r w:rsidR="001E7318">
        <w:t>s</w:t>
      </w:r>
      <w:r w:rsidR="000A25B1" w:rsidRPr="00712D4B">
        <w:t xml:space="preserve"> for German children</w:t>
      </w:r>
      <w:r w:rsidR="007511A9">
        <w:t xml:space="preserve">, but </w:t>
      </w:r>
      <w:r w:rsidR="00097AA2">
        <w:t xml:space="preserve">it does not predict </w:t>
      </w:r>
      <w:r w:rsidR="003364A6" w:rsidRPr="00712D4B">
        <w:t xml:space="preserve">a stronger effect of language particularly for </w:t>
      </w:r>
      <w:r w:rsidR="0043081E">
        <w:t>addition problems</w:t>
      </w:r>
      <w:r w:rsidR="0043081E" w:rsidRPr="00712D4B" w:rsidDel="008C0360">
        <w:t xml:space="preserve"> </w:t>
      </w:r>
      <w:r w:rsidR="0043081E">
        <w:t xml:space="preserve">with a </w:t>
      </w:r>
      <w:r w:rsidR="003364A6" w:rsidRPr="00712D4B">
        <w:t xml:space="preserve">carry. </w:t>
      </w:r>
      <w:r w:rsidR="00712D4B">
        <w:t xml:space="preserve">We argue that the </w:t>
      </w:r>
      <w:r w:rsidR="00712D4B" w:rsidRPr="00712D4B">
        <w:t xml:space="preserve">cross-linguistic effect is due to </w:t>
      </w:r>
      <w:r w:rsidR="00712D4B">
        <w:t xml:space="preserve">higher demands in terms of </w:t>
      </w:r>
      <w:r w:rsidR="00DC7130">
        <w:t>place-val</w:t>
      </w:r>
      <w:r w:rsidR="00712D4B">
        <w:t>ue understanding for carry trials</w:t>
      </w:r>
      <w:r w:rsidR="00DC7130">
        <w:t xml:space="preserve">. </w:t>
      </w:r>
      <w:r w:rsidR="003364A6" w:rsidRPr="00712D4B">
        <w:t>While in no-carry</w:t>
      </w:r>
      <w:r w:rsidR="00A516F9">
        <w:t xml:space="preserve"> </w:t>
      </w:r>
      <w:r w:rsidR="003364A6" w:rsidRPr="00712D4B">
        <w:t xml:space="preserve">trials </w:t>
      </w:r>
      <w:r w:rsidR="00712D4B">
        <w:t>any</w:t>
      </w:r>
      <w:r w:rsidR="003364A6" w:rsidRPr="00712D4B">
        <w:t xml:space="preserve"> interference between the visual and verbal code in German can be resolved by simply focusing on units and decades separately during calculation and then exchanging the order of </w:t>
      </w:r>
      <w:r w:rsidR="008C0360">
        <w:t xml:space="preserve">the </w:t>
      </w:r>
      <w:r w:rsidR="008C0360">
        <w:lastRenderedPageBreak/>
        <w:t>words for tens and units</w:t>
      </w:r>
      <w:r w:rsidR="003364A6" w:rsidRPr="00712D4B">
        <w:t>, for carry</w:t>
      </w:r>
      <w:r w:rsidR="002D2C04">
        <w:t xml:space="preserve"> </w:t>
      </w:r>
      <w:r w:rsidR="003364A6" w:rsidRPr="00712D4B">
        <w:t xml:space="preserve">trials </w:t>
      </w:r>
      <w:r w:rsidR="008C0360">
        <w:t>the procedure</w:t>
      </w:r>
      <w:r w:rsidR="008C0360" w:rsidRPr="00712D4B">
        <w:t xml:space="preserve"> </w:t>
      </w:r>
      <w:r w:rsidR="003364A6" w:rsidRPr="00712D4B">
        <w:t>is more complex: here</w:t>
      </w:r>
      <w:r w:rsidR="008C0360">
        <w:t>,</w:t>
      </w:r>
      <w:r w:rsidR="003364A6" w:rsidRPr="00712D4B">
        <w:t xml:space="preserve"> it is crucial to increase the decade word, but not the unit word, by one and this increase is a consequence of the operation on the unit</w:t>
      </w:r>
      <w:r w:rsidR="00283459">
        <w:t xml:space="preserve"> </w:t>
      </w:r>
      <w:r w:rsidR="003364A6" w:rsidRPr="00712D4B">
        <w:t xml:space="preserve">digits. There is thus a consequence for the decade position from the calculation performed on the unit position. This process depends </w:t>
      </w:r>
      <w:r w:rsidR="008C0360">
        <w:t xml:space="preserve">vitally </w:t>
      </w:r>
      <w:r w:rsidR="003364A6" w:rsidRPr="00712D4B">
        <w:t xml:space="preserve">upon keeping track of </w:t>
      </w:r>
      <w:r w:rsidR="008C0360">
        <w:t xml:space="preserve">the correct </w:t>
      </w:r>
      <w:r w:rsidR="003364A6" w:rsidRPr="00712D4B">
        <w:t>positions</w:t>
      </w:r>
      <w:r w:rsidR="008C0360">
        <w:t xml:space="preserve"> of tens and units</w:t>
      </w:r>
      <w:r w:rsidR="003364A6" w:rsidRPr="00712D4B">
        <w:t>, i.e.</w:t>
      </w:r>
      <w:r w:rsidR="007A4320">
        <w:t>,</w:t>
      </w:r>
      <w:r w:rsidR="003364A6" w:rsidRPr="00712D4B">
        <w:t xml:space="preserve"> a securely established positional plac</w:t>
      </w:r>
      <w:r w:rsidR="00DC7130">
        <w:t>e-value system, and is more demanding in languages with number word inversion.</w:t>
      </w:r>
      <w:r w:rsidR="00706F27" w:rsidRPr="00706F27">
        <w:rPr>
          <w:rFonts w:ascii="Times New Roman" w:hAnsi="Times New Roman"/>
          <w:szCs w:val="24"/>
          <w:lang w:eastAsia="en-GB"/>
        </w:rPr>
        <w:t xml:space="preserve"> </w:t>
      </w:r>
      <w:r w:rsidR="00B07113">
        <w:rPr>
          <w:rFonts w:ascii="Times New Roman" w:hAnsi="Times New Roman"/>
          <w:szCs w:val="24"/>
          <w:lang w:eastAsia="en-GB"/>
        </w:rPr>
        <w:t xml:space="preserve">As a direct consequence </w:t>
      </w:r>
      <w:r w:rsidR="001D289F">
        <w:rPr>
          <w:rFonts w:ascii="Times New Roman" w:hAnsi="Times New Roman"/>
          <w:szCs w:val="24"/>
          <w:lang w:eastAsia="en-GB"/>
        </w:rPr>
        <w:t xml:space="preserve">further </w:t>
      </w:r>
      <w:r w:rsidR="000C350D">
        <w:rPr>
          <w:rFonts w:ascii="Times New Roman" w:hAnsi="Times New Roman"/>
          <w:szCs w:val="24"/>
          <w:lang w:eastAsia="en-GB"/>
        </w:rPr>
        <w:t>instruction on</w:t>
      </w:r>
      <w:r w:rsidR="001D289F">
        <w:rPr>
          <w:rFonts w:ascii="Times New Roman" w:hAnsi="Times New Roman"/>
          <w:szCs w:val="24"/>
          <w:lang w:eastAsia="en-GB"/>
        </w:rPr>
        <w:t xml:space="preserve"> </w:t>
      </w:r>
      <w:r w:rsidR="00C55009">
        <w:rPr>
          <w:rFonts w:ascii="Times New Roman" w:hAnsi="Times New Roman"/>
          <w:szCs w:val="24"/>
          <w:lang w:eastAsia="en-GB"/>
        </w:rPr>
        <w:t xml:space="preserve">place-value </w:t>
      </w:r>
      <w:r w:rsidR="001D289F">
        <w:rPr>
          <w:rFonts w:ascii="Times New Roman" w:hAnsi="Times New Roman"/>
          <w:szCs w:val="24"/>
          <w:lang w:eastAsia="en-GB"/>
        </w:rPr>
        <w:t xml:space="preserve">understanding </w:t>
      </w:r>
      <w:r w:rsidR="00F305FB">
        <w:rPr>
          <w:rFonts w:ascii="Times New Roman" w:hAnsi="Times New Roman"/>
          <w:szCs w:val="24"/>
          <w:lang w:eastAsia="en-GB"/>
        </w:rPr>
        <w:t xml:space="preserve">should be </w:t>
      </w:r>
      <w:r w:rsidR="00C55009">
        <w:rPr>
          <w:rFonts w:ascii="Times New Roman" w:hAnsi="Times New Roman"/>
          <w:szCs w:val="24"/>
          <w:lang w:eastAsia="en-GB"/>
        </w:rPr>
        <w:t xml:space="preserve">highly </w:t>
      </w:r>
      <w:r w:rsidR="00F305FB">
        <w:rPr>
          <w:rFonts w:ascii="Times New Roman" w:hAnsi="Times New Roman"/>
          <w:szCs w:val="24"/>
          <w:lang w:eastAsia="en-GB"/>
        </w:rPr>
        <w:t xml:space="preserve">beneficial </w:t>
      </w:r>
      <w:r w:rsidR="00C55009">
        <w:rPr>
          <w:rFonts w:ascii="Times New Roman" w:hAnsi="Times New Roman"/>
          <w:szCs w:val="24"/>
          <w:lang w:eastAsia="en-GB"/>
        </w:rPr>
        <w:t xml:space="preserve">especially </w:t>
      </w:r>
      <w:r w:rsidR="00F305FB">
        <w:rPr>
          <w:rFonts w:ascii="Times New Roman" w:hAnsi="Times New Roman"/>
          <w:szCs w:val="24"/>
          <w:lang w:eastAsia="en-GB"/>
        </w:rPr>
        <w:t>for</w:t>
      </w:r>
      <w:r w:rsidR="0025590E">
        <w:rPr>
          <w:rFonts w:ascii="Times New Roman" w:hAnsi="Times New Roman"/>
          <w:szCs w:val="24"/>
          <w:lang w:eastAsia="en-GB"/>
        </w:rPr>
        <w:t xml:space="preserve"> children from</w:t>
      </w:r>
      <w:r w:rsidR="001E7059">
        <w:rPr>
          <w:rFonts w:ascii="Times New Roman" w:hAnsi="Times New Roman"/>
          <w:szCs w:val="24"/>
          <w:lang w:eastAsia="en-GB"/>
        </w:rPr>
        <w:t xml:space="preserve"> languages with number word inversion</w:t>
      </w:r>
      <w:r w:rsidR="0025590E">
        <w:rPr>
          <w:rFonts w:ascii="Times New Roman" w:hAnsi="Times New Roman"/>
          <w:szCs w:val="24"/>
          <w:lang w:eastAsia="en-GB"/>
        </w:rPr>
        <w:t>.</w:t>
      </w:r>
    </w:p>
    <w:p w:rsidR="00C27EFC" w:rsidRPr="001E7318" w:rsidRDefault="00C55009" w:rsidP="000A002B">
      <w:pPr>
        <w:pStyle w:val="BodyText"/>
      </w:pPr>
      <w:r w:rsidRPr="001E7318">
        <w:t>Independent of language and i</w:t>
      </w:r>
      <w:r w:rsidR="000B0D6C" w:rsidRPr="001E7318">
        <w:t xml:space="preserve">n line with previous studies (e.g., </w:t>
      </w:r>
      <w:proofErr w:type="spellStart"/>
      <w:r w:rsidR="000B0D6C" w:rsidRPr="001E7318">
        <w:t>Fürst</w:t>
      </w:r>
      <w:proofErr w:type="spellEnd"/>
      <w:r w:rsidR="000B0D6C" w:rsidRPr="001E7318">
        <w:t xml:space="preserve"> &amp; Hitch, 2000), </w:t>
      </w:r>
      <w:r w:rsidR="00654503" w:rsidRPr="001E7318">
        <w:t xml:space="preserve">the </w:t>
      </w:r>
      <w:r w:rsidR="00654503">
        <w:t xml:space="preserve">size of the </w:t>
      </w:r>
      <w:r w:rsidR="00654503" w:rsidRPr="001E7318">
        <w:t xml:space="preserve">carry effect </w:t>
      </w:r>
      <w:r w:rsidR="00654503">
        <w:t xml:space="preserve">was related to </w:t>
      </w:r>
      <w:r w:rsidR="000B0D6C" w:rsidRPr="001E7318">
        <w:t>verbal WM and</w:t>
      </w:r>
      <w:r w:rsidR="000A002B">
        <w:t>, less consistently,</w:t>
      </w:r>
      <w:r w:rsidR="00654503">
        <w:t xml:space="preserve"> to </w:t>
      </w:r>
      <w:r w:rsidR="000C350D" w:rsidRPr="001E7318">
        <w:t>CE</w:t>
      </w:r>
      <w:r w:rsidR="000B0D6C" w:rsidRPr="001E7318">
        <w:t xml:space="preserve">. </w:t>
      </w:r>
      <w:r w:rsidR="000C350D" w:rsidRPr="001E7318">
        <w:t>Counter</w:t>
      </w:r>
      <w:r w:rsidR="000A5092">
        <w:t>-</w:t>
      </w:r>
      <w:r w:rsidR="000C350D" w:rsidRPr="001E7318">
        <w:t>intuitively</w:t>
      </w:r>
      <w:r w:rsidR="000A5092">
        <w:t xml:space="preserve"> </w:t>
      </w:r>
      <w:r w:rsidR="000B0D6C" w:rsidRPr="001E7318">
        <w:t xml:space="preserve">children with larger verbal WM showed a larger carry effect. However, this was mainly due to faster responses on </w:t>
      </w:r>
      <w:r w:rsidR="000C350D" w:rsidRPr="001E7318">
        <w:t xml:space="preserve">non-carry problems. </w:t>
      </w:r>
      <w:r w:rsidR="008F0894" w:rsidRPr="001E7318">
        <w:t xml:space="preserve">This suggests that the larger a child’s verbal WM the more strongly </w:t>
      </w:r>
      <w:r w:rsidR="000C350D" w:rsidRPr="001E7318">
        <w:t>s</w:t>
      </w:r>
      <w:r w:rsidR="001E7318">
        <w:t>he/</w:t>
      </w:r>
      <w:r w:rsidR="000C350D" w:rsidRPr="001E7318">
        <w:t>he</w:t>
      </w:r>
      <w:r w:rsidR="008F0894" w:rsidRPr="001E7318">
        <w:t xml:space="preserve"> activated the direct route</w:t>
      </w:r>
      <w:r w:rsidR="000C350D" w:rsidRPr="001E7318">
        <w:t xml:space="preserve"> to retrieve arithmetical facts</w:t>
      </w:r>
      <w:r w:rsidR="008F0894" w:rsidRPr="001E7318">
        <w:t xml:space="preserve">, particularly </w:t>
      </w:r>
      <w:r w:rsidR="000C350D" w:rsidRPr="001E7318">
        <w:t>for</w:t>
      </w:r>
      <w:r w:rsidR="008F0894" w:rsidRPr="001E7318">
        <w:t xml:space="preserve"> </w:t>
      </w:r>
      <w:r w:rsidR="000C350D" w:rsidRPr="001E7318">
        <w:t>non-carry problems</w:t>
      </w:r>
      <w:r w:rsidR="008F0894" w:rsidRPr="001E7318">
        <w:t xml:space="preserve">. Thus, verbal working memory might be important for the acquisition of </w:t>
      </w:r>
      <w:r w:rsidR="000C350D" w:rsidRPr="001E7318">
        <w:t>arithmetic</w:t>
      </w:r>
      <w:r w:rsidR="008F0894" w:rsidRPr="001E7318">
        <w:t xml:space="preserve"> facts (Holmes &amp; Adams, 2007), because it supports the direct route in retrieving </w:t>
      </w:r>
      <w:r w:rsidR="000C350D" w:rsidRPr="001E7318">
        <w:t>arithmetic</w:t>
      </w:r>
      <w:r w:rsidR="008F0894" w:rsidRPr="001E7318">
        <w:t xml:space="preserve"> facts from long term memory.</w:t>
      </w:r>
    </w:p>
    <w:p w:rsidR="007D787F" w:rsidRDefault="008F0894" w:rsidP="000A002B">
      <w:pPr>
        <w:spacing w:line="480" w:lineRule="auto"/>
        <w:ind w:firstLine="540"/>
      </w:pPr>
      <w:r w:rsidRPr="001E7318">
        <w:t xml:space="preserve">The contribution of the CE to the carry effect depended on the response options provided: </w:t>
      </w:r>
      <w:r w:rsidR="005F70AB">
        <w:t xml:space="preserve">there was a significant correlation between the size of the carry effect and CE only </w:t>
      </w:r>
      <w:r w:rsidR="000A002B">
        <w:t>for problems</w:t>
      </w:r>
      <w:r w:rsidR="005F70AB">
        <w:t xml:space="preserve"> where</w:t>
      </w:r>
      <w:r w:rsidR="005F70AB" w:rsidRPr="001E7318">
        <w:t xml:space="preserve"> the distracter differed from the </w:t>
      </w:r>
      <w:r w:rsidR="000A002B">
        <w:t xml:space="preserve">correct </w:t>
      </w:r>
      <w:r w:rsidR="005F70AB" w:rsidRPr="001E7318">
        <w:t xml:space="preserve">solution </w:t>
      </w:r>
      <w:r w:rsidR="000A002B">
        <w:t>at</w:t>
      </w:r>
      <w:r w:rsidR="005F70AB" w:rsidRPr="001E7318">
        <w:t xml:space="preserve"> the tens</w:t>
      </w:r>
      <w:r w:rsidR="000A002B">
        <w:t xml:space="preserve"> </w:t>
      </w:r>
      <w:proofErr w:type="gramStart"/>
      <w:r w:rsidR="000A002B">
        <w:t>position</w:t>
      </w:r>
      <w:r w:rsidR="005F70AB" w:rsidRPr="001E7318">
        <w:t xml:space="preserve"> </w:t>
      </w:r>
      <w:r w:rsidRPr="001E7318">
        <w:t>.</w:t>
      </w:r>
      <w:proofErr w:type="gramEnd"/>
      <w:r w:rsidRPr="001E7318">
        <w:t xml:space="preserve"> This </w:t>
      </w:r>
      <w:r w:rsidR="000C350D" w:rsidRPr="001E7318">
        <w:t>might</w:t>
      </w:r>
      <w:r w:rsidRPr="001E7318">
        <w:t xml:space="preserve"> be due to the </w:t>
      </w:r>
      <w:r w:rsidR="000C350D" w:rsidRPr="001E7318">
        <w:t>reliance on</w:t>
      </w:r>
      <w:r w:rsidRPr="001E7318">
        <w:t xml:space="preserve"> different strategies depending on the </w:t>
      </w:r>
      <w:r w:rsidR="000C350D" w:rsidRPr="001E7318">
        <w:t xml:space="preserve">split between the distracter and the correct </w:t>
      </w:r>
      <w:r w:rsidRPr="001E7318">
        <w:t xml:space="preserve">solution in children with smaller CE. Approximation as an alternative to exact calculation is more successful for larger differences between solution and distracter (i.e. split 10). When the correct response differs from the distracter on the unit position (split 2) the exact unit sum will </w:t>
      </w:r>
      <w:r w:rsidRPr="001E7318">
        <w:lastRenderedPageBreak/>
        <w:t xml:space="preserve">have to be calculated in any case, whether the trial requires a carry or not. For carry </w:t>
      </w:r>
      <w:r w:rsidR="000C350D" w:rsidRPr="001E7318">
        <w:t>problems</w:t>
      </w:r>
      <w:r w:rsidRPr="001E7318">
        <w:t xml:space="preserve"> the carry procedure then has to be executed and the </w:t>
      </w:r>
      <w:r w:rsidR="000C350D" w:rsidRPr="001E7318">
        <w:t>tens</w:t>
      </w:r>
      <w:r w:rsidRPr="001E7318">
        <w:t xml:space="preserve"> digit to be increased, leading to a carry cost. However, in cases where the correct response and the distracter differ in the </w:t>
      </w:r>
      <w:r w:rsidR="000C350D" w:rsidRPr="001E7318">
        <w:t>tens</w:t>
      </w:r>
      <w:r w:rsidRPr="001E7318">
        <w:t xml:space="preserve"> position, </w:t>
      </w:r>
      <w:r w:rsidR="000C350D" w:rsidRPr="001E7318">
        <w:t>it is sufficient to establish th</w:t>
      </w:r>
      <w:r w:rsidRPr="001E7318">
        <w:t xml:space="preserve">e correct </w:t>
      </w:r>
      <w:r w:rsidR="000C350D" w:rsidRPr="001E7318">
        <w:t>tens</w:t>
      </w:r>
      <w:r w:rsidRPr="001E7318">
        <w:t xml:space="preserve"> digit </w:t>
      </w:r>
      <w:r w:rsidR="000C350D" w:rsidRPr="001E7318">
        <w:t>which</w:t>
      </w:r>
      <w:r w:rsidRPr="001E7318">
        <w:t xml:space="preserve"> can often be done by simpl</w:t>
      </w:r>
      <w:r w:rsidR="000C350D" w:rsidRPr="001E7318">
        <w:t>e</w:t>
      </w:r>
      <w:r w:rsidRPr="001E7318">
        <w:t xml:space="preserve"> estimati</w:t>
      </w:r>
      <w:r w:rsidR="000C350D" w:rsidRPr="001E7318">
        <w:t>o</w:t>
      </w:r>
      <w:r w:rsidRPr="001E7318">
        <w:t xml:space="preserve">n.  </w:t>
      </w:r>
      <w:r w:rsidR="000C350D" w:rsidRPr="001E7318">
        <w:t>When</w:t>
      </w:r>
      <w:r w:rsidRPr="001E7318">
        <w:t xml:space="preserve"> this strategy is used the size of the carry effect is diminished. Our results support the idea that children with smaller CE are more likely to use estimation strategies, especially when interim results have to be maintained</w:t>
      </w:r>
      <w:r w:rsidR="007D787F">
        <w:t xml:space="preserve">, </w:t>
      </w:r>
      <w:r w:rsidR="000A002B">
        <w:t>for instance,</w:t>
      </w:r>
      <w:r w:rsidR="000C350D" w:rsidRPr="001E7318">
        <w:t xml:space="preserve"> in carry problems</w:t>
      </w:r>
      <w:r w:rsidR="005F70AB">
        <w:t xml:space="preserve"> with split 10</w:t>
      </w:r>
      <w:r w:rsidRPr="001E7318">
        <w:t>.</w:t>
      </w:r>
      <w:r w:rsidR="00C92B16">
        <w:t xml:space="preserve"> </w:t>
      </w:r>
    </w:p>
    <w:p w:rsidR="00C04A6C" w:rsidRDefault="00377131" w:rsidP="00C04A6C">
      <w:pPr>
        <w:spacing w:line="480" w:lineRule="auto"/>
        <w:ind w:firstLine="720"/>
        <w:rPr>
          <w:rFonts w:ascii="Times New Roman" w:hAnsi="Times New Roman"/>
        </w:rPr>
      </w:pPr>
      <w:r>
        <w:t>In summary, our</w:t>
      </w:r>
      <w:r w:rsidR="008C0360">
        <w:t xml:space="preserve"> </w:t>
      </w:r>
      <w:r w:rsidR="009F35C0">
        <w:t xml:space="preserve">results </w:t>
      </w:r>
      <w:r w:rsidR="008C0360">
        <w:t>strongly indicate</w:t>
      </w:r>
      <w:r w:rsidR="001B28FC">
        <w:t xml:space="preserve"> that </w:t>
      </w:r>
      <w:r w:rsidR="005479C4">
        <w:t xml:space="preserve">independent of working memory influences </w:t>
      </w:r>
      <w:r w:rsidR="00111F13">
        <w:t xml:space="preserve">the structure of the </w:t>
      </w:r>
      <w:r w:rsidR="001B28FC">
        <w:t xml:space="preserve">language of instruction </w:t>
      </w:r>
      <w:r w:rsidR="004220DF">
        <w:t xml:space="preserve">is </w:t>
      </w:r>
      <w:r w:rsidR="001B28FC">
        <w:t xml:space="preserve">an important factor in children’s </w:t>
      </w:r>
      <w:r w:rsidR="00DF19F6">
        <w:t xml:space="preserve">numerical development </w:t>
      </w:r>
      <w:r w:rsidR="008C0360">
        <w:t xml:space="preserve">not only in basic numerical tasks such as </w:t>
      </w:r>
      <w:proofErr w:type="spellStart"/>
      <w:r w:rsidR="008C0360">
        <w:t>transcoding</w:t>
      </w:r>
      <w:proofErr w:type="spellEnd"/>
      <w:r w:rsidR="008C0360">
        <w:t xml:space="preserve"> or magnitude comparison but also in more complex arithmetic</w:t>
      </w:r>
      <w:r w:rsidR="00A13706">
        <w:t xml:space="preserve">. Our results highlight that </w:t>
      </w:r>
      <w:r w:rsidR="00706F27">
        <w:t xml:space="preserve">in addition to </w:t>
      </w:r>
      <w:r w:rsidR="00B07113">
        <w:t xml:space="preserve">relevant </w:t>
      </w:r>
      <w:r w:rsidR="00706F27" w:rsidRPr="00E92F2C">
        <w:rPr>
          <w:rFonts w:ascii="Times New Roman" w:hAnsi="Times New Roman"/>
          <w:szCs w:val="24"/>
          <w:lang w:eastAsia="en-GB"/>
        </w:rPr>
        <w:t>other cultural and educational factors</w:t>
      </w:r>
      <w:r w:rsidR="00706F27">
        <w:t xml:space="preserve"> (</w:t>
      </w:r>
      <w:r w:rsidR="0070632B">
        <w:t xml:space="preserve">e.g. </w:t>
      </w:r>
      <w:proofErr w:type="spellStart"/>
      <w:r w:rsidR="00706F27">
        <w:t>Towse</w:t>
      </w:r>
      <w:proofErr w:type="spellEnd"/>
      <w:r w:rsidR="00706F27">
        <w:t xml:space="preserve"> &amp; Saxton, 1997) </w:t>
      </w:r>
      <w:r w:rsidR="00A13706">
        <w:t xml:space="preserve">the precise nature of the language of instruction should be taken into account for </w:t>
      </w:r>
      <w:r w:rsidR="00DF19F6">
        <w:t>math</w:t>
      </w:r>
      <w:r w:rsidR="008C0360">
        <w:t>ematics</w:t>
      </w:r>
      <w:r w:rsidR="00DF19F6">
        <w:t xml:space="preserve"> education</w:t>
      </w:r>
      <w:r w:rsidR="00117455">
        <w:t>.</w:t>
      </w:r>
      <w:r w:rsidR="00706F27" w:rsidDel="00706F27">
        <w:rPr>
          <w:rFonts w:ascii="Times New Roman" w:hAnsi="Times New Roman"/>
        </w:rPr>
        <w:t xml:space="preserve"> </w:t>
      </w:r>
    </w:p>
    <w:p w:rsidR="008F44F8" w:rsidRDefault="00E11542" w:rsidP="00C04A6C">
      <w:pPr>
        <w:spacing w:line="480" w:lineRule="auto"/>
        <w:ind w:firstLine="720"/>
        <w:jc w:val="center"/>
        <w:rPr>
          <w:b/>
        </w:rPr>
      </w:pPr>
      <w:r>
        <w:rPr>
          <w:b/>
        </w:rPr>
        <w:br w:type="page"/>
      </w:r>
    </w:p>
    <w:p w:rsidR="00F32561" w:rsidRDefault="00582A85" w:rsidP="00C04A6C">
      <w:pPr>
        <w:spacing w:line="480" w:lineRule="auto"/>
        <w:ind w:firstLine="720"/>
        <w:jc w:val="center"/>
        <w:rPr>
          <w:b/>
        </w:rPr>
      </w:pPr>
      <w:r w:rsidRPr="00582A85">
        <w:rPr>
          <w:b/>
        </w:rPr>
        <w:lastRenderedPageBreak/>
        <w:t>References</w:t>
      </w:r>
    </w:p>
    <w:p w:rsidR="000F318C" w:rsidRDefault="00431381" w:rsidP="000F318C">
      <w:pPr>
        <w:pStyle w:val="BodyText"/>
        <w:ind w:firstLine="0"/>
      </w:pPr>
      <w:r>
        <w:t>Ashcraft</w:t>
      </w:r>
      <w:r w:rsidR="00A44503">
        <w:t>, M.</w:t>
      </w:r>
      <w:r w:rsidR="00C107A1">
        <w:t xml:space="preserve"> </w:t>
      </w:r>
      <w:r w:rsidR="00A44503">
        <w:t>H.</w:t>
      </w:r>
      <w:r w:rsidR="007F38E2">
        <w:t xml:space="preserve"> (</w:t>
      </w:r>
      <w:r>
        <w:t>1995</w:t>
      </w:r>
      <w:r w:rsidR="007F38E2">
        <w:t>)</w:t>
      </w:r>
      <w:r>
        <w:t xml:space="preserve">. </w:t>
      </w:r>
      <w:r w:rsidR="00A44503">
        <w:t>Cognitive Psychology and simple arithmetic: a review and summary of</w:t>
      </w:r>
    </w:p>
    <w:p w:rsidR="007F38E2" w:rsidRDefault="00A44503" w:rsidP="000F318C">
      <w:pPr>
        <w:pStyle w:val="BodyText"/>
      </w:pPr>
      <w:proofErr w:type="gramStart"/>
      <w:r>
        <w:t>new</w:t>
      </w:r>
      <w:proofErr w:type="gramEnd"/>
      <w:r>
        <w:t xml:space="preserve"> directions. </w:t>
      </w:r>
      <w:r w:rsidR="00431381" w:rsidRPr="00A44503">
        <w:rPr>
          <w:i/>
        </w:rPr>
        <w:t>Mathematical Cognition</w:t>
      </w:r>
      <w:r w:rsidRPr="00A44503">
        <w:rPr>
          <w:i/>
        </w:rPr>
        <w:t>, 1,</w:t>
      </w:r>
      <w:r>
        <w:t xml:space="preserve"> 3-34.</w:t>
      </w:r>
    </w:p>
    <w:p w:rsidR="00FC3F72" w:rsidRPr="003A287D" w:rsidRDefault="000F318C">
      <w:pPr>
        <w:widowControl w:val="0"/>
        <w:autoSpaceDE w:val="0"/>
        <w:autoSpaceDN w:val="0"/>
        <w:adjustRightInd w:val="0"/>
        <w:spacing w:line="480" w:lineRule="auto"/>
        <w:ind w:left="567" w:hanging="567"/>
        <w:rPr>
          <w:rFonts w:ascii="Times New Roman" w:hAnsi="Times New Roman"/>
          <w:lang w:val="de-DE"/>
        </w:rPr>
      </w:pPr>
      <w:proofErr w:type="gramStart"/>
      <w:r>
        <w:rPr>
          <w:rFonts w:ascii="Times New Roman" w:hAnsi="Times New Roman"/>
        </w:rPr>
        <w:t>Campbell, J.</w:t>
      </w:r>
      <w:r w:rsidR="00C107A1">
        <w:rPr>
          <w:rFonts w:ascii="Times New Roman" w:hAnsi="Times New Roman"/>
        </w:rPr>
        <w:t xml:space="preserve"> </w:t>
      </w:r>
      <w:r>
        <w:rPr>
          <w:rFonts w:ascii="Times New Roman" w:hAnsi="Times New Roman"/>
        </w:rPr>
        <w:t>I.</w:t>
      </w:r>
      <w:r w:rsidR="00C107A1">
        <w:rPr>
          <w:rFonts w:ascii="Times New Roman" w:hAnsi="Times New Roman"/>
        </w:rPr>
        <w:t xml:space="preserve"> </w:t>
      </w:r>
      <w:r>
        <w:rPr>
          <w:rFonts w:ascii="Times New Roman" w:hAnsi="Times New Roman"/>
        </w:rPr>
        <w:t xml:space="preserve">D., &amp; </w:t>
      </w:r>
      <w:proofErr w:type="spellStart"/>
      <w:r>
        <w:rPr>
          <w:rFonts w:ascii="Times New Roman" w:hAnsi="Times New Roman"/>
        </w:rPr>
        <w:t>Epp</w:t>
      </w:r>
      <w:proofErr w:type="spellEnd"/>
      <w:r>
        <w:rPr>
          <w:rFonts w:ascii="Times New Roman" w:hAnsi="Times New Roman"/>
        </w:rPr>
        <w:t>, L.</w:t>
      </w:r>
      <w:r w:rsidR="00F14971">
        <w:rPr>
          <w:rFonts w:ascii="Times New Roman" w:hAnsi="Times New Roman"/>
        </w:rPr>
        <w:t xml:space="preserve"> </w:t>
      </w:r>
      <w:r w:rsidRPr="000F318C">
        <w:rPr>
          <w:rFonts w:ascii="Times New Roman" w:hAnsi="Times New Roman"/>
        </w:rPr>
        <w:t>J.</w:t>
      </w:r>
      <w:r>
        <w:rPr>
          <w:rFonts w:ascii="Times New Roman" w:hAnsi="Times New Roman"/>
        </w:rPr>
        <w:t xml:space="preserve"> (2004).</w:t>
      </w:r>
      <w:proofErr w:type="gramEnd"/>
      <w:r>
        <w:rPr>
          <w:rFonts w:ascii="Times New Roman" w:hAnsi="Times New Roman"/>
        </w:rPr>
        <w:t xml:space="preserve"> </w:t>
      </w:r>
      <w:proofErr w:type="gramStart"/>
      <w:r w:rsidRPr="000F318C">
        <w:rPr>
          <w:rFonts w:ascii="Times New Roman" w:hAnsi="Times New Roman"/>
        </w:rPr>
        <w:t>An Encoding-Complex Approach to Numerical Cognition in Chinese-English Bilinguals.</w:t>
      </w:r>
      <w:proofErr w:type="gramEnd"/>
      <w:r>
        <w:rPr>
          <w:rFonts w:ascii="Times New Roman" w:hAnsi="Times New Roman"/>
        </w:rPr>
        <w:t xml:space="preserve"> </w:t>
      </w:r>
      <w:r w:rsidR="003D48A9" w:rsidRPr="003D48A9">
        <w:rPr>
          <w:rFonts w:ascii="Times New Roman" w:hAnsi="Times New Roman"/>
          <w:i/>
          <w:lang w:val="de-DE"/>
        </w:rPr>
        <w:t xml:space="preserve">Canadian Journal of Experimental Psychology, 58, </w:t>
      </w:r>
      <w:r w:rsidR="003D48A9" w:rsidRPr="003D48A9">
        <w:rPr>
          <w:rFonts w:ascii="Times New Roman" w:hAnsi="Times New Roman"/>
          <w:lang w:val="de-DE"/>
        </w:rPr>
        <w:t>229-244</w:t>
      </w:r>
      <w:r w:rsidR="008F0894" w:rsidRPr="008F0894">
        <w:rPr>
          <w:rFonts w:ascii="Times New Roman" w:hAnsi="Times New Roman"/>
          <w:lang w:val="de-DE"/>
        </w:rPr>
        <w:t xml:space="preserve">. doi: </w:t>
      </w:r>
      <w:r w:rsidR="00C46A75">
        <w:fldChar w:fldCharType="begin"/>
      </w:r>
      <w:r w:rsidR="00F90CE1">
        <w:instrText>HYPERLINK "http://dx.doi.org/10.1037/h0087447" \t "_blank"</w:instrText>
      </w:r>
      <w:r w:rsidR="00C46A75">
        <w:fldChar w:fldCharType="separate"/>
      </w:r>
      <w:r w:rsidR="008F0894" w:rsidRPr="008F0894">
        <w:rPr>
          <w:rFonts w:ascii="Times New Roman" w:hAnsi="Times New Roman"/>
          <w:lang w:val="de-DE"/>
        </w:rPr>
        <w:t>10.1037/h0087447</w:t>
      </w:r>
      <w:r w:rsidR="00C46A75">
        <w:fldChar w:fldCharType="end"/>
      </w:r>
    </w:p>
    <w:p w:rsidR="00140F7B" w:rsidRPr="00550203" w:rsidRDefault="00F63C62" w:rsidP="00140F7B">
      <w:pPr>
        <w:autoSpaceDE w:val="0"/>
        <w:autoSpaceDN w:val="0"/>
        <w:adjustRightInd w:val="0"/>
        <w:spacing w:line="480" w:lineRule="auto"/>
        <w:ind w:left="567" w:hanging="567"/>
        <w:rPr>
          <w:rFonts w:ascii="Times New Roman" w:hAnsi="Times New Roman"/>
        </w:rPr>
      </w:pPr>
      <w:r w:rsidRPr="00F63C62">
        <w:rPr>
          <w:rFonts w:ascii="Times New Roman" w:hAnsi="Times New Roman"/>
          <w:lang w:val="de-DE"/>
        </w:rPr>
        <w:t>Cattell, R.</w:t>
      </w:r>
      <w:r w:rsidR="00C107A1">
        <w:rPr>
          <w:rFonts w:ascii="Times New Roman" w:hAnsi="Times New Roman"/>
          <w:lang w:val="de-DE"/>
        </w:rPr>
        <w:t xml:space="preserve"> </w:t>
      </w:r>
      <w:r w:rsidRPr="00F63C62">
        <w:rPr>
          <w:rFonts w:ascii="Times New Roman" w:hAnsi="Times New Roman"/>
          <w:lang w:val="de-DE"/>
        </w:rPr>
        <w:t xml:space="preserve">B., Weiß, R. &amp; Osterland, J. (1997). </w:t>
      </w:r>
      <w:r w:rsidRPr="00F63C62">
        <w:rPr>
          <w:rFonts w:ascii="Times New Roman" w:hAnsi="Times New Roman"/>
          <w:i/>
          <w:lang w:val="de-DE"/>
        </w:rPr>
        <w:t>Grundintelligenztest CFT-1 - Skala 1.</w:t>
      </w:r>
      <w:r w:rsidRPr="00F63C62">
        <w:rPr>
          <w:rFonts w:ascii="Times New Roman" w:hAnsi="Times New Roman"/>
          <w:lang w:val="de-DE"/>
        </w:rPr>
        <w:t xml:space="preserve"> 5.</w:t>
      </w:r>
      <w:r w:rsidR="00C14016">
        <w:rPr>
          <w:rFonts w:ascii="Times New Roman" w:hAnsi="Times New Roman"/>
          <w:lang w:val="de-DE"/>
        </w:rPr>
        <w:t xml:space="preserve"> </w:t>
      </w:r>
      <w:r w:rsidRPr="00F63C62">
        <w:rPr>
          <w:rFonts w:ascii="Times New Roman" w:hAnsi="Times New Roman"/>
          <w:lang w:val="de-DE"/>
        </w:rPr>
        <w:t xml:space="preserve">Auflage. </w:t>
      </w:r>
      <w:proofErr w:type="spellStart"/>
      <w:r w:rsidR="00F90CE1" w:rsidRPr="00F90CE1">
        <w:rPr>
          <w:rFonts w:ascii="Times New Roman" w:hAnsi="Times New Roman"/>
        </w:rPr>
        <w:t>Göttingen</w:t>
      </w:r>
      <w:proofErr w:type="spellEnd"/>
      <w:r w:rsidR="00F90CE1" w:rsidRPr="00F90CE1">
        <w:rPr>
          <w:rFonts w:ascii="Times New Roman" w:hAnsi="Times New Roman"/>
        </w:rPr>
        <w:t xml:space="preserve">: </w:t>
      </w:r>
      <w:proofErr w:type="spellStart"/>
      <w:r w:rsidR="00F90CE1" w:rsidRPr="00F90CE1">
        <w:rPr>
          <w:rFonts w:ascii="Times New Roman" w:hAnsi="Times New Roman"/>
        </w:rPr>
        <w:t>Hogrefe</w:t>
      </w:r>
      <w:proofErr w:type="spellEnd"/>
      <w:r w:rsidR="00F90CE1" w:rsidRPr="00F90CE1">
        <w:rPr>
          <w:rFonts w:ascii="Times New Roman" w:hAnsi="Times New Roman"/>
          <w:sz w:val="23"/>
          <w:szCs w:val="23"/>
          <w:lang w:eastAsia="en-GB"/>
        </w:rPr>
        <w:t>.</w:t>
      </w:r>
    </w:p>
    <w:p w:rsidR="00B34AC3" w:rsidRDefault="00B34AC3" w:rsidP="00140F7B">
      <w:pPr>
        <w:widowControl w:val="0"/>
        <w:autoSpaceDE w:val="0"/>
        <w:autoSpaceDN w:val="0"/>
        <w:adjustRightInd w:val="0"/>
        <w:spacing w:line="480" w:lineRule="auto"/>
        <w:rPr>
          <w:rFonts w:ascii="Times New Roman" w:hAnsi="Times New Roman"/>
        </w:rPr>
      </w:pPr>
      <w:proofErr w:type="spellStart"/>
      <w:proofErr w:type="gramStart"/>
      <w:r w:rsidRPr="00B34AC3">
        <w:rPr>
          <w:rFonts w:ascii="Times New Roman" w:hAnsi="Times New Roman"/>
        </w:rPr>
        <w:t>Colomé</w:t>
      </w:r>
      <w:proofErr w:type="spellEnd"/>
      <w:r>
        <w:rPr>
          <w:rFonts w:ascii="Times New Roman" w:hAnsi="Times New Roman"/>
        </w:rPr>
        <w:t xml:space="preserve">, A., </w:t>
      </w:r>
      <w:proofErr w:type="spellStart"/>
      <w:r w:rsidRPr="00B34AC3">
        <w:rPr>
          <w:rFonts w:ascii="Times New Roman" w:hAnsi="Times New Roman"/>
        </w:rPr>
        <w:t>Laka</w:t>
      </w:r>
      <w:proofErr w:type="spellEnd"/>
      <w:r w:rsidRPr="00B34AC3">
        <w:rPr>
          <w:rFonts w:ascii="Times New Roman" w:hAnsi="Times New Roman"/>
        </w:rPr>
        <w:t>, I.</w:t>
      </w:r>
      <w:r>
        <w:rPr>
          <w:rFonts w:ascii="Times New Roman" w:hAnsi="Times New Roman"/>
        </w:rPr>
        <w:t>,</w:t>
      </w:r>
      <w:r w:rsidRPr="00B34AC3">
        <w:rPr>
          <w:rFonts w:ascii="Times New Roman" w:hAnsi="Times New Roman"/>
        </w:rPr>
        <w:t xml:space="preserve"> &amp; </w:t>
      </w:r>
      <w:proofErr w:type="spellStart"/>
      <w:r w:rsidRPr="00B34AC3">
        <w:rPr>
          <w:rFonts w:ascii="Times New Roman" w:hAnsi="Times New Roman"/>
        </w:rPr>
        <w:t>Sebastián-Gallés</w:t>
      </w:r>
      <w:proofErr w:type="spellEnd"/>
      <w:r w:rsidRPr="00B34AC3">
        <w:rPr>
          <w:rFonts w:ascii="Times New Roman" w:hAnsi="Times New Roman"/>
        </w:rPr>
        <w:t>,</w:t>
      </w:r>
      <w:r>
        <w:rPr>
          <w:rFonts w:ascii="Times New Roman" w:hAnsi="Times New Roman"/>
        </w:rPr>
        <w:t xml:space="preserve"> </w:t>
      </w:r>
      <w:r w:rsidRPr="00B34AC3">
        <w:rPr>
          <w:rFonts w:ascii="Times New Roman" w:hAnsi="Times New Roman"/>
        </w:rPr>
        <w:t>N. (2010).</w:t>
      </w:r>
      <w:proofErr w:type="gramEnd"/>
      <w:r w:rsidRPr="00B34AC3">
        <w:rPr>
          <w:rFonts w:ascii="Times New Roman" w:hAnsi="Times New Roman"/>
        </w:rPr>
        <w:t xml:space="preserve"> Language effects in addition. How you say</w:t>
      </w:r>
    </w:p>
    <w:p w:rsidR="00B34AC3" w:rsidRDefault="00B34AC3" w:rsidP="00C14016">
      <w:pPr>
        <w:widowControl w:val="0"/>
        <w:autoSpaceDE w:val="0"/>
        <w:autoSpaceDN w:val="0"/>
        <w:adjustRightInd w:val="0"/>
        <w:spacing w:line="480" w:lineRule="auto"/>
        <w:ind w:left="540"/>
        <w:rPr>
          <w:rFonts w:ascii="Times New Roman" w:hAnsi="Times New Roman"/>
        </w:rPr>
      </w:pPr>
      <w:proofErr w:type="gramStart"/>
      <w:r w:rsidRPr="00B34AC3">
        <w:rPr>
          <w:rFonts w:ascii="Times New Roman" w:hAnsi="Times New Roman"/>
        </w:rPr>
        <w:t>it</w:t>
      </w:r>
      <w:proofErr w:type="gramEnd"/>
      <w:r w:rsidRPr="00B34AC3">
        <w:rPr>
          <w:rFonts w:ascii="Times New Roman" w:hAnsi="Times New Roman"/>
        </w:rPr>
        <w:t xml:space="preserve"> counts. </w:t>
      </w:r>
      <w:r w:rsidRPr="00B34AC3">
        <w:rPr>
          <w:rFonts w:ascii="Times New Roman" w:hAnsi="Times New Roman"/>
          <w:i/>
        </w:rPr>
        <w:t>Quarterly Journal of Experimental Psychology, 63,</w:t>
      </w:r>
      <w:r w:rsidRPr="00B34AC3">
        <w:rPr>
          <w:rFonts w:ascii="Times New Roman" w:hAnsi="Times New Roman"/>
        </w:rPr>
        <w:t xml:space="preserve"> 965-983</w:t>
      </w:r>
      <w:r w:rsidR="006E3A65">
        <w:rPr>
          <w:rFonts w:ascii="Times New Roman" w:hAnsi="Times New Roman"/>
        </w:rPr>
        <w:t xml:space="preserve">. </w:t>
      </w:r>
      <w:hyperlink r:id="rId9" w:tgtFrame="_blank" w:history="1">
        <w:proofErr w:type="gramStart"/>
        <w:r w:rsidR="006E3A65" w:rsidRPr="00C14016">
          <w:rPr>
            <w:rFonts w:ascii="Times New Roman" w:hAnsi="Times New Roman"/>
          </w:rPr>
          <w:t>doi:</w:t>
        </w:r>
        <w:proofErr w:type="gramEnd"/>
        <w:r w:rsidR="006E3A65" w:rsidRPr="00C14016">
          <w:rPr>
            <w:rFonts w:ascii="Times New Roman" w:hAnsi="Times New Roman"/>
          </w:rPr>
          <w:t>10.1080/17470210903134377</w:t>
        </w:r>
      </w:hyperlink>
    </w:p>
    <w:p w:rsidR="007F38E2" w:rsidRDefault="00F92564" w:rsidP="00C14016">
      <w:pPr>
        <w:widowControl w:val="0"/>
        <w:autoSpaceDE w:val="0"/>
        <w:autoSpaceDN w:val="0"/>
        <w:adjustRightInd w:val="0"/>
        <w:spacing w:line="480" w:lineRule="auto"/>
        <w:ind w:left="567" w:hanging="567"/>
      </w:pPr>
      <w:proofErr w:type="spellStart"/>
      <w:r>
        <w:t>Corsi</w:t>
      </w:r>
      <w:proofErr w:type="spellEnd"/>
      <w:r>
        <w:t>, P</w:t>
      </w:r>
      <w:r w:rsidR="0065512D">
        <w:t>.</w:t>
      </w:r>
      <w:r w:rsidR="00C107A1">
        <w:t xml:space="preserve"> </w:t>
      </w:r>
      <w:r>
        <w:t xml:space="preserve">M. (1972). </w:t>
      </w:r>
      <w:proofErr w:type="gramStart"/>
      <w:r>
        <w:t>Human memory and the medial temporal region of the brain.</w:t>
      </w:r>
      <w:proofErr w:type="gramEnd"/>
      <w:r>
        <w:t xml:space="preserve"> </w:t>
      </w:r>
      <w:r w:rsidRPr="00F92564">
        <w:rPr>
          <w:i/>
        </w:rPr>
        <w:t>Dissertatio</w:t>
      </w:r>
      <w:r>
        <w:rPr>
          <w:i/>
        </w:rPr>
        <w:t>n Abstracts International, 34</w:t>
      </w:r>
      <w:r>
        <w:t>, 891B.</w:t>
      </w:r>
      <w:r w:rsidR="00B34AC3" w:rsidRPr="00B34AC3">
        <w:rPr>
          <w:rStyle w:val="CommentReference"/>
          <w:sz w:val="24"/>
        </w:rPr>
        <w:t>D</w:t>
      </w:r>
      <w:r w:rsidR="007F38E2">
        <w:t>ehaene</w:t>
      </w:r>
      <w:r w:rsidR="00431381">
        <w:t>, S. (1992)</w:t>
      </w:r>
      <w:r w:rsidR="00B34AC3">
        <w:t xml:space="preserve">. </w:t>
      </w:r>
      <w:proofErr w:type="gramStart"/>
      <w:r w:rsidR="00B34AC3">
        <w:t>Varieties of numerical abilities.</w:t>
      </w:r>
      <w:proofErr w:type="gramEnd"/>
      <w:r w:rsidR="00B34AC3">
        <w:t xml:space="preserve"> </w:t>
      </w:r>
      <w:r w:rsidR="00B34AC3" w:rsidRPr="00B34AC3">
        <w:rPr>
          <w:i/>
        </w:rPr>
        <w:t>Cognition, 44,</w:t>
      </w:r>
      <w:r w:rsidR="00B34AC3">
        <w:t xml:space="preserve"> 1-42.</w:t>
      </w:r>
      <w:r w:rsidR="006E3A65" w:rsidRPr="00C14016">
        <w:t xml:space="preserve"> </w:t>
      </w:r>
      <w:hyperlink r:id="rId10" w:tgtFrame="_blank" w:history="1">
        <w:proofErr w:type="gramStart"/>
        <w:r w:rsidR="006E3A65" w:rsidRPr="00C14016">
          <w:t>doi:</w:t>
        </w:r>
        <w:proofErr w:type="gramEnd"/>
        <w:r w:rsidR="006E3A65" w:rsidRPr="00C14016">
          <w:t>10.1016/0010-0277(92)90049-N</w:t>
        </w:r>
      </w:hyperlink>
    </w:p>
    <w:p w:rsidR="00B34AC3" w:rsidRDefault="007F38E2" w:rsidP="00B34AC3">
      <w:pPr>
        <w:pStyle w:val="BodyText"/>
        <w:ind w:firstLine="0"/>
      </w:pPr>
      <w:proofErr w:type="spellStart"/>
      <w:proofErr w:type="gramStart"/>
      <w:r>
        <w:t>Dehaene</w:t>
      </w:r>
      <w:proofErr w:type="spellEnd"/>
      <w:r w:rsidR="00431381">
        <w:t>, S.,</w:t>
      </w:r>
      <w:r>
        <w:t xml:space="preserve"> &amp; Cohen,</w:t>
      </w:r>
      <w:r w:rsidR="00431381">
        <w:t xml:space="preserve"> L.</w:t>
      </w:r>
      <w:r>
        <w:t xml:space="preserve"> </w:t>
      </w:r>
      <w:r w:rsidR="00431381">
        <w:t>(</w:t>
      </w:r>
      <w:r>
        <w:t>1997</w:t>
      </w:r>
      <w:r w:rsidR="00431381">
        <w:t>).</w:t>
      </w:r>
      <w:proofErr w:type="gramEnd"/>
      <w:r w:rsidR="00B34AC3">
        <w:t xml:space="preserve"> Cerebral pathways for calculation: double dissociation</w:t>
      </w:r>
    </w:p>
    <w:p w:rsidR="00431381" w:rsidRDefault="00B34AC3" w:rsidP="00C14016">
      <w:pPr>
        <w:pStyle w:val="BodyText"/>
        <w:ind w:left="540" w:firstLine="0"/>
      </w:pPr>
      <w:proofErr w:type="gramStart"/>
      <w:r>
        <w:t>between</w:t>
      </w:r>
      <w:proofErr w:type="gramEnd"/>
      <w:r>
        <w:t xml:space="preserve"> rote verbal and quantitative knowledge of arithmetic. </w:t>
      </w:r>
      <w:r w:rsidRPr="00B34AC3">
        <w:rPr>
          <w:i/>
        </w:rPr>
        <w:t xml:space="preserve">Cortex, 33, </w:t>
      </w:r>
      <w:r>
        <w:t>219-250.</w:t>
      </w:r>
      <w:r w:rsidR="006E3A65" w:rsidRPr="00C14016">
        <w:t xml:space="preserve"> </w:t>
      </w:r>
      <w:hyperlink r:id="rId11" w:tgtFrame="_blank" w:history="1">
        <w:proofErr w:type="spellStart"/>
        <w:proofErr w:type="gramStart"/>
        <w:r w:rsidR="004B16BD" w:rsidRPr="00C14016">
          <w:t>doi</w:t>
        </w:r>
        <w:proofErr w:type="spellEnd"/>
        <w:proofErr w:type="gramEnd"/>
        <w:r w:rsidR="004B16BD" w:rsidRPr="00C14016">
          <w:t xml:space="preserve">: </w:t>
        </w:r>
        <w:r w:rsidR="006E3A65" w:rsidRPr="00C14016">
          <w:t>10.1016/S0010-9452(08)70002-9</w:t>
        </w:r>
      </w:hyperlink>
    </w:p>
    <w:p w:rsidR="00422607" w:rsidRDefault="00431381" w:rsidP="00422607">
      <w:pPr>
        <w:pStyle w:val="BodyText"/>
        <w:ind w:firstLine="0"/>
      </w:pPr>
      <w:proofErr w:type="spellStart"/>
      <w:r>
        <w:t>Deschuyteneer</w:t>
      </w:r>
      <w:proofErr w:type="spellEnd"/>
      <w:r>
        <w:t>,</w:t>
      </w:r>
      <w:r w:rsidR="00422607">
        <w:t xml:space="preserve"> M.,</w:t>
      </w:r>
      <w:r>
        <w:t xml:space="preserve"> </w:t>
      </w:r>
      <w:r w:rsidR="00422607">
        <w:t xml:space="preserve">De </w:t>
      </w:r>
      <w:proofErr w:type="spellStart"/>
      <w:r>
        <w:t>Rammelaere</w:t>
      </w:r>
      <w:proofErr w:type="spellEnd"/>
      <w:r w:rsidR="00422607">
        <w:t>, S.,</w:t>
      </w:r>
      <w:r>
        <w:t xml:space="preserve"> &amp; </w:t>
      </w:r>
      <w:proofErr w:type="spellStart"/>
      <w:r>
        <w:t>Fias</w:t>
      </w:r>
      <w:proofErr w:type="spellEnd"/>
      <w:r w:rsidR="00422607">
        <w:t>, W.</w:t>
      </w:r>
      <w:r>
        <w:t xml:space="preserve"> (2005)</w:t>
      </w:r>
      <w:r w:rsidR="00422607">
        <w:t>. The additions of two-digit numbers:</w:t>
      </w:r>
    </w:p>
    <w:p w:rsidR="007F38E2" w:rsidRDefault="00422607" w:rsidP="00422607">
      <w:pPr>
        <w:pStyle w:val="BodyText"/>
      </w:pPr>
      <w:proofErr w:type="gramStart"/>
      <w:r>
        <w:t>exploring</w:t>
      </w:r>
      <w:proofErr w:type="gramEnd"/>
      <w:r>
        <w:t xml:space="preserve"> carry versus no-carry problems. </w:t>
      </w:r>
      <w:r w:rsidRPr="00422607">
        <w:rPr>
          <w:i/>
        </w:rPr>
        <w:t>Psychology Science, 47,</w:t>
      </w:r>
      <w:r>
        <w:t xml:space="preserve"> 74-83.</w:t>
      </w:r>
    </w:p>
    <w:p w:rsidR="00F32561" w:rsidRDefault="00E679F5" w:rsidP="0080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rPr>
      </w:pPr>
      <w:proofErr w:type="spellStart"/>
      <w:proofErr w:type="gramStart"/>
      <w:r w:rsidRPr="00E679F5">
        <w:rPr>
          <w:rFonts w:ascii="Times New Roman" w:hAnsi="Times New Roman"/>
        </w:rPr>
        <w:t>Dowker</w:t>
      </w:r>
      <w:proofErr w:type="spellEnd"/>
      <w:r w:rsidRPr="00E679F5">
        <w:rPr>
          <w:rFonts w:ascii="Times New Roman" w:hAnsi="Times New Roman"/>
        </w:rPr>
        <w:t xml:space="preserve">, A., </w:t>
      </w:r>
      <w:proofErr w:type="spellStart"/>
      <w:r w:rsidRPr="00E679F5">
        <w:rPr>
          <w:rFonts w:ascii="Times New Roman" w:hAnsi="Times New Roman"/>
        </w:rPr>
        <w:t>Bala</w:t>
      </w:r>
      <w:proofErr w:type="spellEnd"/>
      <w:r w:rsidRPr="00E679F5">
        <w:rPr>
          <w:rFonts w:ascii="Times New Roman" w:hAnsi="Times New Roman"/>
        </w:rPr>
        <w:t>, S.</w:t>
      </w:r>
      <w:r>
        <w:rPr>
          <w:rFonts w:ascii="Times New Roman" w:hAnsi="Times New Roman"/>
        </w:rPr>
        <w:t>,</w:t>
      </w:r>
      <w:r w:rsidRPr="00E679F5">
        <w:rPr>
          <w:rFonts w:ascii="Times New Roman" w:hAnsi="Times New Roman"/>
        </w:rPr>
        <w:t xml:space="preserve"> &amp; Lloyd, D. (2008).</w:t>
      </w:r>
      <w:proofErr w:type="gramEnd"/>
      <w:r w:rsidRPr="00E679F5">
        <w:rPr>
          <w:rFonts w:ascii="Times New Roman" w:hAnsi="Times New Roman"/>
        </w:rPr>
        <w:t xml:space="preserve"> Linguistic influences on mathematical development: </w:t>
      </w:r>
    </w:p>
    <w:p w:rsidR="00F32561" w:rsidRDefault="00E679F5">
      <w:pPr>
        <w:spacing w:line="480" w:lineRule="auto"/>
        <w:ind w:left="567"/>
        <w:rPr>
          <w:szCs w:val="24"/>
          <w:lang w:val="en-GB" w:eastAsia="en-GB"/>
        </w:rPr>
      </w:pPr>
      <w:proofErr w:type="gramStart"/>
      <w:r w:rsidRPr="00E679F5">
        <w:rPr>
          <w:rFonts w:ascii="Times New Roman" w:hAnsi="Times New Roman"/>
        </w:rPr>
        <w:t>how</w:t>
      </w:r>
      <w:proofErr w:type="gramEnd"/>
      <w:r w:rsidRPr="00E679F5">
        <w:rPr>
          <w:rFonts w:ascii="Times New Roman" w:hAnsi="Times New Roman"/>
        </w:rPr>
        <w:t xml:space="preserve"> important is the transparency of the counting system. </w:t>
      </w:r>
      <w:r w:rsidR="008F0894" w:rsidRPr="008F0894">
        <w:rPr>
          <w:rFonts w:ascii="Times New Roman" w:hAnsi="Times New Roman"/>
          <w:i/>
        </w:rPr>
        <w:t>Philosophical Psychology, 21,</w:t>
      </w:r>
      <w:r w:rsidRPr="00E679F5">
        <w:rPr>
          <w:rFonts w:ascii="Times New Roman" w:hAnsi="Times New Roman"/>
        </w:rPr>
        <w:t xml:space="preserve"> 523-538.</w:t>
      </w:r>
      <w:r w:rsidR="002441AA" w:rsidRPr="002441AA">
        <w:t xml:space="preserve"> </w:t>
      </w:r>
      <w:proofErr w:type="spellStart"/>
      <w:proofErr w:type="gramStart"/>
      <w:r w:rsidR="002441AA">
        <w:rPr>
          <w:rFonts w:ascii="Times New Roman" w:hAnsi="Times New Roman"/>
          <w:bCs/>
          <w:szCs w:val="24"/>
          <w:lang w:val="en-GB" w:eastAsia="en-GB"/>
        </w:rPr>
        <w:t>d</w:t>
      </w:r>
      <w:r w:rsidR="008F0894" w:rsidRPr="008F0894">
        <w:rPr>
          <w:rFonts w:ascii="Times New Roman" w:hAnsi="Times New Roman"/>
          <w:bCs/>
          <w:szCs w:val="24"/>
          <w:lang w:val="en-GB" w:eastAsia="en-GB"/>
        </w:rPr>
        <w:t>oi</w:t>
      </w:r>
      <w:proofErr w:type="spellEnd"/>
      <w:proofErr w:type="gramEnd"/>
      <w:r w:rsidR="008F0894" w:rsidRPr="008F0894">
        <w:rPr>
          <w:rFonts w:ascii="Times New Roman" w:hAnsi="Times New Roman"/>
          <w:bCs/>
          <w:szCs w:val="24"/>
          <w:lang w:val="en-GB" w:eastAsia="en-GB"/>
        </w:rPr>
        <w:t>:</w:t>
      </w:r>
      <w:r w:rsidR="002441AA">
        <w:rPr>
          <w:rFonts w:ascii="Times New Roman" w:hAnsi="Times New Roman"/>
          <w:szCs w:val="24"/>
          <w:lang w:val="en-GB" w:eastAsia="en-GB"/>
        </w:rPr>
        <w:t xml:space="preserve"> </w:t>
      </w:r>
      <w:r w:rsidR="002441AA" w:rsidRPr="002441AA">
        <w:rPr>
          <w:rFonts w:ascii="Times New Roman" w:hAnsi="Times New Roman"/>
          <w:szCs w:val="24"/>
          <w:lang w:val="en-GB" w:eastAsia="en-GB"/>
        </w:rPr>
        <w:t>10.1080/09515080802285511</w:t>
      </w:r>
    </w:p>
    <w:p w:rsidR="00855C06" w:rsidRDefault="003D48A9" w:rsidP="005A03E0">
      <w:pPr>
        <w:pStyle w:val="BodyText"/>
        <w:ind w:firstLine="0"/>
      </w:pPr>
      <w:proofErr w:type="spellStart"/>
      <w:proofErr w:type="gramStart"/>
      <w:r w:rsidRPr="003D48A9">
        <w:t>Fürst</w:t>
      </w:r>
      <w:proofErr w:type="spellEnd"/>
      <w:r w:rsidRPr="003D48A9">
        <w:t>, A. J., &amp; Hitch, G. J. (2000).</w:t>
      </w:r>
      <w:proofErr w:type="gramEnd"/>
      <w:r w:rsidRPr="003D48A9">
        <w:t xml:space="preserve"> </w:t>
      </w:r>
      <w:r w:rsidR="00EF66B2">
        <w:t>Separate roles for executive and phonological components of</w:t>
      </w:r>
    </w:p>
    <w:p w:rsidR="008049B8" w:rsidRDefault="00EF66B2" w:rsidP="008049B8">
      <w:pPr>
        <w:pStyle w:val="BodyText"/>
        <w:ind w:left="720" w:firstLine="0"/>
      </w:pPr>
      <w:proofErr w:type="gramStart"/>
      <w:r>
        <w:lastRenderedPageBreak/>
        <w:t>working</w:t>
      </w:r>
      <w:proofErr w:type="gramEnd"/>
      <w:r>
        <w:t xml:space="preserve"> memory in mental arithmetic. </w:t>
      </w:r>
      <w:r w:rsidRPr="00EF66B2">
        <w:rPr>
          <w:i/>
        </w:rPr>
        <w:t>Memory &amp; Cognition, 28,</w:t>
      </w:r>
      <w:r>
        <w:t xml:space="preserve"> 774-782.</w:t>
      </w:r>
      <w:r w:rsidR="006E3A65" w:rsidRPr="00C14016">
        <w:t xml:space="preserve"> </w:t>
      </w:r>
      <w:hyperlink r:id="rId12" w:tgtFrame="_blank" w:history="1">
        <w:proofErr w:type="spellStart"/>
        <w:proofErr w:type="gramStart"/>
        <w:r w:rsidR="004B16BD" w:rsidRPr="00C14016">
          <w:t>doi</w:t>
        </w:r>
        <w:proofErr w:type="spellEnd"/>
        <w:proofErr w:type="gramEnd"/>
        <w:r w:rsidR="004B16BD" w:rsidRPr="00C14016">
          <w:t xml:space="preserve">: </w:t>
        </w:r>
        <w:r w:rsidR="006E3A65" w:rsidRPr="00C14016">
          <w:t>10.3758/BF03198412</w:t>
        </w:r>
      </w:hyperlink>
    </w:p>
    <w:p w:rsidR="00083793" w:rsidRDefault="00083793" w:rsidP="008049B8">
      <w:pPr>
        <w:pStyle w:val="BodyText"/>
        <w:ind w:firstLine="0"/>
      </w:pPr>
      <w:proofErr w:type="spellStart"/>
      <w:proofErr w:type="gramStart"/>
      <w:r>
        <w:t>Girelli</w:t>
      </w:r>
      <w:proofErr w:type="spellEnd"/>
      <w:r>
        <w:t xml:space="preserve">, L., </w:t>
      </w:r>
      <w:proofErr w:type="spellStart"/>
      <w:r>
        <w:t>Lucangeli</w:t>
      </w:r>
      <w:proofErr w:type="spellEnd"/>
      <w:r>
        <w:t>, D., &amp; Butterworth, B. (2000).</w:t>
      </w:r>
      <w:proofErr w:type="gramEnd"/>
      <w:r>
        <w:t xml:space="preserve"> The development of automaticity in</w:t>
      </w:r>
    </w:p>
    <w:p w:rsidR="00083793" w:rsidRDefault="00083793" w:rsidP="008049B8">
      <w:pPr>
        <w:pStyle w:val="BodyText"/>
        <w:ind w:left="720" w:firstLine="0"/>
      </w:pPr>
      <w:proofErr w:type="gramStart"/>
      <w:r>
        <w:t>accessing</w:t>
      </w:r>
      <w:proofErr w:type="gramEnd"/>
      <w:r>
        <w:t xml:space="preserve"> number magnitude. </w:t>
      </w:r>
      <w:r w:rsidRPr="003F0FE3">
        <w:rPr>
          <w:i/>
        </w:rPr>
        <w:t>Journal of Experimental Child Psychology</w:t>
      </w:r>
      <w:r>
        <w:rPr>
          <w:i/>
        </w:rPr>
        <w:t>,</w:t>
      </w:r>
      <w:r w:rsidR="008C0360">
        <w:rPr>
          <w:i/>
        </w:rPr>
        <w:t xml:space="preserve"> </w:t>
      </w:r>
      <w:r w:rsidRPr="003F0FE3">
        <w:rPr>
          <w:i/>
        </w:rPr>
        <w:t>76,</w:t>
      </w:r>
      <w:r>
        <w:t xml:space="preserve"> 104-122.</w:t>
      </w:r>
      <w:r w:rsidR="006E3A65" w:rsidRPr="006E3A65">
        <w:rPr>
          <w:rFonts w:ascii="Verdana" w:hAnsi="Verdana" w:cs="Arial"/>
          <w:color w:val="444444"/>
          <w:sz w:val="17"/>
          <w:szCs w:val="17"/>
        </w:rPr>
        <w:t xml:space="preserve"> </w:t>
      </w:r>
      <w:hyperlink r:id="rId13" w:tgtFrame="_blank" w:history="1">
        <w:r w:rsidR="004B16BD" w:rsidRPr="00C14016">
          <w:t xml:space="preserve"> </w:t>
        </w:r>
        <w:proofErr w:type="spellStart"/>
        <w:proofErr w:type="gramStart"/>
        <w:r w:rsidR="004B16BD" w:rsidRPr="00C14016">
          <w:t>doi</w:t>
        </w:r>
        <w:proofErr w:type="spellEnd"/>
        <w:proofErr w:type="gramEnd"/>
        <w:r w:rsidR="004B16BD" w:rsidRPr="00C14016">
          <w:t xml:space="preserve">: </w:t>
        </w:r>
        <w:r w:rsidR="006E3A65" w:rsidRPr="00C14016">
          <w:t>10.1006/jecp.2000.2564</w:t>
        </w:r>
      </w:hyperlink>
    </w:p>
    <w:p w:rsidR="00F32561" w:rsidRDefault="008F0894">
      <w:pPr>
        <w:pStyle w:val="BodyText"/>
        <w:ind w:firstLine="0"/>
      </w:pPr>
      <w:proofErr w:type="gramStart"/>
      <w:r w:rsidRPr="008F0894">
        <w:t>Holmes, J., &amp; Adams, J.W. (2007).</w:t>
      </w:r>
      <w:proofErr w:type="gramEnd"/>
      <w:r w:rsidRPr="008F0894">
        <w:t xml:space="preserve"> Working memory and children’s mathematical skills: </w:t>
      </w:r>
    </w:p>
    <w:p w:rsidR="00EB2A60" w:rsidRPr="00550203" w:rsidRDefault="008F0894" w:rsidP="008049B8">
      <w:pPr>
        <w:pStyle w:val="BodyText"/>
        <w:ind w:left="720" w:firstLine="0"/>
      </w:pPr>
      <w:proofErr w:type="gramStart"/>
      <w:r w:rsidRPr="008F0894">
        <w:t>implications</w:t>
      </w:r>
      <w:proofErr w:type="gramEnd"/>
      <w:r w:rsidRPr="008F0894">
        <w:t xml:space="preserve"> for mathematical development and mathematics curricula. </w:t>
      </w:r>
      <w:proofErr w:type="gramStart"/>
      <w:r w:rsidR="00F90CE1" w:rsidRPr="00F90CE1">
        <w:rPr>
          <w:i/>
        </w:rPr>
        <w:t>Educational Psychology, 26 (3),</w:t>
      </w:r>
      <w:r w:rsidR="00F90CE1" w:rsidRPr="00F90CE1">
        <w:t xml:space="preserve"> 339- 366.</w:t>
      </w:r>
      <w:proofErr w:type="gramEnd"/>
      <w:r w:rsidR="00F90CE1" w:rsidRPr="00F90CE1">
        <w:t xml:space="preserve"> </w:t>
      </w:r>
      <w:proofErr w:type="spellStart"/>
      <w:proofErr w:type="gramStart"/>
      <w:r w:rsidR="00F90CE1" w:rsidRPr="00F90CE1">
        <w:t>doi</w:t>
      </w:r>
      <w:proofErr w:type="spellEnd"/>
      <w:proofErr w:type="gramEnd"/>
      <w:r w:rsidR="00F90CE1" w:rsidRPr="00F90CE1">
        <w:t>: 10.1080/01443410500341056.</w:t>
      </w:r>
    </w:p>
    <w:p w:rsidR="00E679F5" w:rsidRDefault="00F90CE1" w:rsidP="00E67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rPr>
      </w:pPr>
      <w:r w:rsidRPr="00F90CE1">
        <w:rPr>
          <w:rFonts w:ascii="Times New Roman" w:hAnsi="Times New Roman"/>
        </w:rPr>
        <w:t xml:space="preserve">Miller, K.F., Smith, C.M., Zhu, J., </w:t>
      </w:r>
      <w:proofErr w:type="gramStart"/>
      <w:r w:rsidRPr="00F90CE1">
        <w:rPr>
          <w:rFonts w:ascii="Times New Roman" w:hAnsi="Times New Roman"/>
        </w:rPr>
        <w:t>&amp;  Zhang</w:t>
      </w:r>
      <w:proofErr w:type="gramEnd"/>
      <w:r w:rsidRPr="00F90CE1">
        <w:rPr>
          <w:rFonts w:ascii="Times New Roman" w:hAnsi="Times New Roman"/>
        </w:rPr>
        <w:t xml:space="preserve">, H. (1995). </w:t>
      </w:r>
      <w:r w:rsidR="00E679F5" w:rsidRPr="00E679F5">
        <w:rPr>
          <w:rFonts w:ascii="Times New Roman" w:hAnsi="Times New Roman"/>
        </w:rPr>
        <w:t xml:space="preserve">Preschool origins of cross-national </w:t>
      </w:r>
    </w:p>
    <w:p w:rsidR="00F32561" w:rsidRDefault="00E679F5" w:rsidP="008049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rFonts w:ascii="Times New Roman" w:hAnsi="Times New Roman"/>
        </w:rPr>
      </w:pPr>
      <w:proofErr w:type="gramStart"/>
      <w:r w:rsidRPr="00E679F5">
        <w:rPr>
          <w:rFonts w:ascii="Times New Roman" w:hAnsi="Times New Roman"/>
        </w:rPr>
        <w:t>differences</w:t>
      </w:r>
      <w:proofErr w:type="gramEnd"/>
      <w:r w:rsidRPr="00E679F5">
        <w:rPr>
          <w:rFonts w:ascii="Times New Roman" w:hAnsi="Times New Roman"/>
        </w:rPr>
        <w:t xml:space="preserve"> in mathematical competence: the role of number-naming systems. </w:t>
      </w:r>
      <w:r w:rsidR="008F0894" w:rsidRPr="008F0894">
        <w:rPr>
          <w:rFonts w:ascii="Times New Roman" w:hAnsi="Times New Roman"/>
          <w:i/>
        </w:rPr>
        <w:t>Psychological Science, 6,</w:t>
      </w:r>
      <w:r w:rsidRPr="00E679F5">
        <w:rPr>
          <w:rFonts w:ascii="Times New Roman" w:hAnsi="Times New Roman"/>
        </w:rPr>
        <w:t xml:space="preserve"> 56-60.</w:t>
      </w:r>
      <w:r w:rsidR="00677904" w:rsidRPr="00677904">
        <w:t xml:space="preserve"> </w:t>
      </w:r>
      <w:proofErr w:type="spellStart"/>
      <w:proofErr w:type="gramStart"/>
      <w:r w:rsidR="00677904">
        <w:t>doi</w:t>
      </w:r>
      <w:proofErr w:type="spellEnd"/>
      <w:proofErr w:type="gramEnd"/>
      <w:r w:rsidR="00677904">
        <w:t xml:space="preserve">: </w:t>
      </w:r>
      <w:r w:rsidR="00677904">
        <w:rPr>
          <w:rStyle w:val="slug-doi"/>
        </w:rPr>
        <w:t>10.1111/j.1467-9280.1995.tb00305.x</w:t>
      </w:r>
    </w:p>
    <w:p w:rsidR="004536F7" w:rsidRPr="00FA6FEB" w:rsidRDefault="008F0894" w:rsidP="004536F7">
      <w:pPr>
        <w:pStyle w:val="BodyText"/>
        <w:ind w:left="720" w:hanging="720"/>
      </w:pPr>
      <w:proofErr w:type="gramStart"/>
      <w:r w:rsidRPr="008F0894">
        <w:t xml:space="preserve">Moeller, K., Klein, E., &amp; </w:t>
      </w:r>
      <w:proofErr w:type="spellStart"/>
      <w:r w:rsidRPr="008F0894">
        <w:t>Nuerk</w:t>
      </w:r>
      <w:proofErr w:type="spellEnd"/>
      <w:r w:rsidRPr="008F0894">
        <w:t>, H.-C.</w:t>
      </w:r>
      <w:proofErr w:type="gramEnd"/>
      <w:r w:rsidRPr="008F0894">
        <w:t xml:space="preserve"> (2011a). </w:t>
      </w:r>
      <w:r w:rsidR="004536F7">
        <w:t xml:space="preserve">(No) Small adults: </w:t>
      </w:r>
      <w:proofErr w:type="gramStart"/>
      <w:r w:rsidR="004536F7">
        <w:t>Children’s</w:t>
      </w:r>
      <w:proofErr w:type="gramEnd"/>
      <w:r w:rsidR="004536F7">
        <w:t xml:space="preserve"> processing </w:t>
      </w:r>
      <w:proofErr w:type="spellStart"/>
      <w:r w:rsidR="004536F7">
        <w:t>ofcarry</w:t>
      </w:r>
      <w:proofErr w:type="spellEnd"/>
      <w:r w:rsidR="004536F7">
        <w:t xml:space="preserve"> addition problems. </w:t>
      </w:r>
      <w:r w:rsidR="004536F7">
        <w:rPr>
          <w:i/>
        </w:rPr>
        <w:t xml:space="preserve">Developmental Neuropsychology, </w:t>
      </w:r>
      <w:r w:rsidR="004536F7" w:rsidRPr="00FA6FEB">
        <w:rPr>
          <w:i/>
        </w:rPr>
        <w:t>36,</w:t>
      </w:r>
      <w:r w:rsidR="004536F7">
        <w:t xml:space="preserve"> 702-720.</w:t>
      </w:r>
      <w:r w:rsidR="006E3A65" w:rsidRPr="00C14016">
        <w:t xml:space="preserve"> </w:t>
      </w:r>
      <w:hyperlink r:id="rId14" w:tgtFrame="_blank" w:history="1">
        <w:proofErr w:type="spellStart"/>
        <w:proofErr w:type="gramStart"/>
        <w:r w:rsidR="004B16BD" w:rsidRPr="00C14016">
          <w:t>doi</w:t>
        </w:r>
        <w:proofErr w:type="spellEnd"/>
        <w:proofErr w:type="gramEnd"/>
        <w:r w:rsidR="004B16BD" w:rsidRPr="00C14016">
          <w:t xml:space="preserve">: </w:t>
        </w:r>
        <w:r w:rsidR="006E3A65" w:rsidRPr="00C14016">
          <w:t>10.1080/87565641.2010.549880</w:t>
        </w:r>
      </w:hyperlink>
    </w:p>
    <w:p w:rsidR="004536F7" w:rsidRPr="008610BB" w:rsidRDefault="00F90CE1" w:rsidP="004536F7">
      <w:pPr>
        <w:pStyle w:val="BodyText"/>
        <w:ind w:left="720" w:hanging="720"/>
        <w:rPr>
          <w:lang w:val="de-DE"/>
        </w:rPr>
      </w:pPr>
      <w:proofErr w:type="gramStart"/>
      <w:r w:rsidRPr="00F90CE1">
        <w:t xml:space="preserve">Moeller, K., Klein, E., &amp; </w:t>
      </w:r>
      <w:proofErr w:type="spellStart"/>
      <w:r w:rsidRPr="00F90CE1">
        <w:t>Nuerk</w:t>
      </w:r>
      <w:proofErr w:type="spellEnd"/>
      <w:r w:rsidRPr="00F90CE1">
        <w:t>, H.-C.</w:t>
      </w:r>
      <w:proofErr w:type="gramEnd"/>
      <w:r w:rsidRPr="00F90CE1">
        <w:t xml:space="preserve"> </w:t>
      </w:r>
      <w:proofErr w:type="gramStart"/>
      <w:r w:rsidRPr="00F90CE1">
        <w:t xml:space="preserve">(2011b). </w:t>
      </w:r>
      <w:r w:rsidR="004536F7">
        <w:t>Three processes underlying the carry effect in addition – Evidence from eye</w:t>
      </w:r>
      <w:r w:rsidR="00A516F9">
        <w:t>-</w:t>
      </w:r>
      <w:r w:rsidR="004536F7">
        <w:t>tracking.</w:t>
      </w:r>
      <w:proofErr w:type="gramEnd"/>
      <w:r w:rsidR="004536F7">
        <w:t xml:space="preserve"> </w:t>
      </w:r>
      <w:r w:rsidR="00F63C62" w:rsidRPr="00F63C62">
        <w:rPr>
          <w:i/>
          <w:lang w:val="de-DE"/>
        </w:rPr>
        <w:t>British Journal of Psychology, 102</w:t>
      </w:r>
      <w:r w:rsidR="00F63C62" w:rsidRPr="00F63C62">
        <w:rPr>
          <w:lang w:val="de-DE"/>
        </w:rPr>
        <w:t>, 623-645.</w:t>
      </w:r>
      <w:r w:rsidRPr="00F90CE1">
        <w:rPr>
          <w:rFonts w:ascii="Verdana" w:hAnsi="Verdana" w:cs="Arial"/>
          <w:color w:val="444444"/>
          <w:sz w:val="17"/>
          <w:szCs w:val="17"/>
          <w:lang w:val="de-DE"/>
        </w:rPr>
        <w:t xml:space="preserve"> </w:t>
      </w:r>
      <w:hyperlink r:id="rId15" w:tgtFrame="_blank" w:history="1">
        <w:r w:rsidR="004B16BD" w:rsidRPr="004B16BD">
          <w:rPr>
            <w:lang w:val="de-DE"/>
          </w:rPr>
          <w:t xml:space="preserve"> </w:t>
        </w:r>
        <w:r w:rsidR="004B16BD">
          <w:rPr>
            <w:lang w:val="de-DE"/>
          </w:rPr>
          <w:t>doi:</w:t>
        </w:r>
        <w:r w:rsidR="004B16BD" w:rsidRPr="00C14016">
          <w:rPr>
            <w:lang w:val="de-DE"/>
          </w:rPr>
          <w:t xml:space="preserve"> </w:t>
        </w:r>
        <w:r w:rsidR="006E3A65" w:rsidRPr="00C14016">
          <w:rPr>
            <w:lang w:val="de-DE"/>
          </w:rPr>
          <w:t>10.1111/j.2044-8295.2011.02034.x</w:t>
        </w:r>
      </w:hyperlink>
    </w:p>
    <w:p w:rsidR="00FC3F72" w:rsidRDefault="00F63C62">
      <w:pPr>
        <w:pStyle w:val="CommentText"/>
        <w:spacing w:line="480" w:lineRule="auto"/>
        <w:rPr>
          <w:rFonts w:ascii="Times New Roman" w:hAnsi="Times New Roman"/>
          <w:sz w:val="24"/>
        </w:rPr>
      </w:pPr>
      <w:r w:rsidRPr="00F63C62">
        <w:rPr>
          <w:rFonts w:ascii="Times New Roman" w:hAnsi="Times New Roman"/>
          <w:sz w:val="24"/>
          <w:lang w:val="de-DE"/>
        </w:rPr>
        <w:t>Moeller, K., Pixner, S., Zuber, J., Kaufmann, L., &amp; Nuerk, H.-C.</w:t>
      </w:r>
      <w:r w:rsidR="008C0360">
        <w:rPr>
          <w:rFonts w:ascii="Times New Roman" w:hAnsi="Times New Roman"/>
          <w:sz w:val="24"/>
          <w:lang w:val="de-DE"/>
        </w:rPr>
        <w:t xml:space="preserve"> </w:t>
      </w:r>
      <w:r w:rsidR="003D48A9" w:rsidRPr="003D48A9">
        <w:rPr>
          <w:rFonts w:ascii="Times New Roman" w:hAnsi="Times New Roman"/>
          <w:sz w:val="24"/>
          <w:lang w:val="de-DE"/>
        </w:rPr>
        <w:t xml:space="preserve">(2011). </w:t>
      </w:r>
      <w:r w:rsidRPr="00F63C62">
        <w:rPr>
          <w:rFonts w:ascii="Times New Roman" w:hAnsi="Times New Roman"/>
          <w:sz w:val="24"/>
        </w:rPr>
        <w:t>Early place-value</w:t>
      </w:r>
    </w:p>
    <w:p w:rsidR="008049B8" w:rsidRDefault="00F63C62" w:rsidP="008049B8">
      <w:pPr>
        <w:pStyle w:val="CommentText"/>
        <w:spacing w:line="480" w:lineRule="auto"/>
        <w:ind w:left="720"/>
      </w:pPr>
      <w:proofErr w:type="gramStart"/>
      <w:r w:rsidRPr="00F63C62">
        <w:rPr>
          <w:rFonts w:ascii="Times New Roman" w:hAnsi="Times New Roman"/>
          <w:sz w:val="24"/>
        </w:rPr>
        <w:t>understanding</w:t>
      </w:r>
      <w:proofErr w:type="gramEnd"/>
      <w:r w:rsidRPr="00F63C62">
        <w:rPr>
          <w:rFonts w:ascii="Times New Roman" w:hAnsi="Times New Roman"/>
          <w:sz w:val="24"/>
        </w:rPr>
        <w:t xml:space="preserve"> as a precursor for later arithmetic performance – a longitudinal study on numerical development</w:t>
      </w:r>
      <w:r w:rsidRPr="003837C1">
        <w:rPr>
          <w:rFonts w:ascii="Times New Roman" w:hAnsi="Times New Roman"/>
          <w:sz w:val="24"/>
        </w:rPr>
        <w:t>.</w:t>
      </w:r>
      <w:r w:rsidR="008C0360" w:rsidRPr="003837C1">
        <w:rPr>
          <w:rFonts w:ascii="Times New Roman" w:hAnsi="Times New Roman"/>
          <w:sz w:val="24"/>
        </w:rPr>
        <w:t xml:space="preserve"> </w:t>
      </w:r>
      <w:r w:rsidRPr="008C5FDA">
        <w:rPr>
          <w:rFonts w:ascii="Times New Roman" w:hAnsi="Times New Roman"/>
          <w:i/>
          <w:sz w:val="24"/>
          <w:szCs w:val="24"/>
        </w:rPr>
        <w:t xml:space="preserve">Research in Developmental Disabilities, 32, </w:t>
      </w:r>
      <w:r w:rsidRPr="008C5FDA">
        <w:rPr>
          <w:rFonts w:ascii="Times New Roman" w:hAnsi="Times New Roman"/>
          <w:sz w:val="24"/>
          <w:szCs w:val="24"/>
        </w:rPr>
        <w:t>1</w:t>
      </w:r>
      <w:r w:rsidRPr="00F63C62">
        <w:rPr>
          <w:rFonts w:ascii="Times New Roman" w:hAnsi="Times New Roman"/>
          <w:sz w:val="24"/>
        </w:rPr>
        <w:t>837-1851</w:t>
      </w:r>
      <w:r w:rsidR="00F90CE1" w:rsidRPr="00F90CE1">
        <w:rPr>
          <w:rFonts w:ascii="Times New Roman" w:hAnsi="Times New Roman"/>
          <w:sz w:val="24"/>
        </w:rPr>
        <w:t xml:space="preserve">. </w:t>
      </w:r>
      <w:hyperlink r:id="rId16" w:tgtFrame="_blank" w:history="1">
        <w:proofErr w:type="spellStart"/>
        <w:proofErr w:type="gramStart"/>
        <w:r w:rsidR="00F90CE1" w:rsidRPr="00F90CE1">
          <w:rPr>
            <w:rFonts w:ascii="Times New Roman" w:hAnsi="Times New Roman"/>
            <w:sz w:val="24"/>
          </w:rPr>
          <w:t>doi</w:t>
        </w:r>
        <w:proofErr w:type="spellEnd"/>
        <w:proofErr w:type="gramEnd"/>
        <w:r w:rsidR="00F90CE1" w:rsidRPr="00F90CE1">
          <w:rPr>
            <w:rFonts w:ascii="Times New Roman" w:hAnsi="Times New Roman"/>
            <w:sz w:val="24"/>
          </w:rPr>
          <w:t>: 10.1016/j.ridd.2011.03.012</w:t>
        </w:r>
      </w:hyperlink>
    </w:p>
    <w:p w:rsidR="008049B8" w:rsidRDefault="00F90CE1" w:rsidP="008049B8">
      <w:pPr>
        <w:pStyle w:val="CommentText"/>
        <w:spacing w:line="480" w:lineRule="auto"/>
        <w:rPr>
          <w:sz w:val="24"/>
          <w:szCs w:val="24"/>
        </w:rPr>
      </w:pPr>
      <w:proofErr w:type="spellStart"/>
      <w:proofErr w:type="gramStart"/>
      <w:r w:rsidRPr="00F90CE1">
        <w:rPr>
          <w:rStyle w:val="Strong"/>
          <w:b w:val="0"/>
          <w:sz w:val="24"/>
          <w:szCs w:val="24"/>
        </w:rPr>
        <w:t>Nuerk</w:t>
      </w:r>
      <w:proofErr w:type="spellEnd"/>
      <w:r w:rsidRPr="00F90CE1">
        <w:rPr>
          <w:rStyle w:val="Strong"/>
          <w:b w:val="0"/>
          <w:sz w:val="24"/>
          <w:szCs w:val="24"/>
        </w:rPr>
        <w:t xml:space="preserve">, H.-C., Kaufmann, L., </w:t>
      </w:r>
      <w:proofErr w:type="spellStart"/>
      <w:r w:rsidRPr="00F90CE1">
        <w:rPr>
          <w:rStyle w:val="Strong"/>
          <w:b w:val="0"/>
          <w:sz w:val="24"/>
          <w:szCs w:val="24"/>
        </w:rPr>
        <w:t>Zoppoth</w:t>
      </w:r>
      <w:proofErr w:type="spellEnd"/>
      <w:r w:rsidRPr="00F90CE1">
        <w:rPr>
          <w:rStyle w:val="Strong"/>
          <w:b w:val="0"/>
          <w:sz w:val="24"/>
          <w:szCs w:val="24"/>
        </w:rPr>
        <w:t xml:space="preserve">, S., &amp; </w:t>
      </w:r>
      <w:proofErr w:type="spellStart"/>
      <w:r w:rsidRPr="00F90CE1">
        <w:rPr>
          <w:rStyle w:val="Strong"/>
          <w:b w:val="0"/>
          <w:sz w:val="24"/>
          <w:szCs w:val="24"/>
        </w:rPr>
        <w:t>Willmes</w:t>
      </w:r>
      <w:proofErr w:type="spellEnd"/>
      <w:r w:rsidRPr="00F90CE1">
        <w:rPr>
          <w:rStyle w:val="Strong"/>
          <w:b w:val="0"/>
          <w:sz w:val="24"/>
          <w:szCs w:val="24"/>
        </w:rPr>
        <w:t>, K.</w:t>
      </w:r>
      <w:r w:rsidRPr="00F90CE1">
        <w:rPr>
          <w:rStyle w:val="Strong"/>
          <w:sz w:val="24"/>
          <w:szCs w:val="24"/>
        </w:rPr>
        <w:t xml:space="preserve"> </w:t>
      </w:r>
      <w:r w:rsidRPr="00F90CE1">
        <w:rPr>
          <w:sz w:val="24"/>
          <w:szCs w:val="24"/>
        </w:rPr>
        <w:t>(2004).</w:t>
      </w:r>
      <w:proofErr w:type="gramEnd"/>
      <w:r w:rsidRPr="00F90CE1">
        <w:rPr>
          <w:sz w:val="24"/>
          <w:szCs w:val="24"/>
        </w:rPr>
        <w:t xml:space="preserve"> </w:t>
      </w:r>
      <w:r w:rsidR="002D6507" w:rsidRPr="008049B8">
        <w:rPr>
          <w:sz w:val="24"/>
          <w:szCs w:val="24"/>
        </w:rPr>
        <w:t xml:space="preserve">On the development of the </w:t>
      </w:r>
    </w:p>
    <w:p w:rsidR="002D6507" w:rsidRPr="008049B8" w:rsidRDefault="002D6507" w:rsidP="008049B8">
      <w:pPr>
        <w:pStyle w:val="CommentText"/>
        <w:spacing w:line="480" w:lineRule="auto"/>
        <w:ind w:left="720"/>
        <w:rPr>
          <w:sz w:val="24"/>
          <w:szCs w:val="24"/>
        </w:rPr>
      </w:pPr>
      <w:proofErr w:type="gramStart"/>
      <w:r w:rsidRPr="008049B8">
        <w:rPr>
          <w:sz w:val="24"/>
          <w:szCs w:val="24"/>
        </w:rPr>
        <w:lastRenderedPageBreak/>
        <w:t>mental</w:t>
      </w:r>
      <w:proofErr w:type="gramEnd"/>
      <w:r w:rsidRPr="008049B8">
        <w:rPr>
          <w:sz w:val="24"/>
          <w:szCs w:val="24"/>
        </w:rPr>
        <w:t xml:space="preserve"> number line. </w:t>
      </w:r>
      <w:proofErr w:type="gramStart"/>
      <w:r w:rsidRPr="008049B8">
        <w:rPr>
          <w:sz w:val="24"/>
          <w:szCs w:val="24"/>
        </w:rPr>
        <w:t>More, less or never holistic with increasing age.</w:t>
      </w:r>
      <w:proofErr w:type="gramEnd"/>
      <w:r w:rsidRPr="008049B8">
        <w:rPr>
          <w:sz w:val="24"/>
          <w:szCs w:val="24"/>
        </w:rPr>
        <w:t xml:space="preserve"> </w:t>
      </w:r>
      <w:r w:rsidRPr="008049B8">
        <w:rPr>
          <w:rStyle w:val="Emphasis"/>
          <w:sz w:val="24"/>
          <w:szCs w:val="24"/>
        </w:rPr>
        <w:t>Developmental Psychology, 40,</w:t>
      </w:r>
      <w:r w:rsidRPr="008049B8">
        <w:rPr>
          <w:sz w:val="24"/>
          <w:szCs w:val="24"/>
        </w:rPr>
        <w:t xml:space="preserve"> 1199-1211.</w:t>
      </w:r>
      <w:r w:rsidR="006E3A65" w:rsidRPr="008049B8">
        <w:rPr>
          <w:rFonts w:ascii="Verdana" w:hAnsi="Verdana" w:cs="Arial"/>
          <w:color w:val="444444"/>
          <w:sz w:val="24"/>
          <w:szCs w:val="24"/>
        </w:rPr>
        <w:t xml:space="preserve"> </w:t>
      </w:r>
      <w:hyperlink r:id="rId17" w:tgtFrame="_blank" w:history="1">
        <w:proofErr w:type="spellStart"/>
        <w:proofErr w:type="gramStart"/>
        <w:r w:rsidR="00F90CE1" w:rsidRPr="00F90CE1">
          <w:rPr>
            <w:sz w:val="24"/>
            <w:szCs w:val="24"/>
          </w:rPr>
          <w:t>doi</w:t>
        </w:r>
        <w:proofErr w:type="spellEnd"/>
        <w:proofErr w:type="gramEnd"/>
        <w:r w:rsidR="00F90CE1" w:rsidRPr="00F90CE1">
          <w:rPr>
            <w:sz w:val="24"/>
            <w:szCs w:val="24"/>
          </w:rPr>
          <w:t>: 10.1037/0012-1649.40.6.1199</w:t>
        </w:r>
      </w:hyperlink>
    </w:p>
    <w:p w:rsidR="00A803F3" w:rsidRDefault="00F90CE1" w:rsidP="00A803F3">
      <w:pPr>
        <w:pStyle w:val="BodyText"/>
        <w:ind w:left="720" w:hanging="720"/>
        <w:rPr>
          <w:lang w:val="de-DE"/>
        </w:rPr>
      </w:pPr>
      <w:proofErr w:type="spellStart"/>
      <w:proofErr w:type="gramStart"/>
      <w:r w:rsidRPr="00F90CE1">
        <w:t>Nuerk</w:t>
      </w:r>
      <w:proofErr w:type="spellEnd"/>
      <w:r w:rsidRPr="00F90CE1">
        <w:t xml:space="preserve">, H.-C., Moeller, K., Klein, E., </w:t>
      </w:r>
      <w:proofErr w:type="spellStart"/>
      <w:r w:rsidRPr="00F90CE1">
        <w:t>Willmes</w:t>
      </w:r>
      <w:proofErr w:type="spellEnd"/>
      <w:r w:rsidRPr="00F90CE1">
        <w:t>, K., &amp; Fischer, M.H. (2011).</w:t>
      </w:r>
      <w:proofErr w:type="gramEnd"/>
      <w:r w:rsidRPr="00F90CE1">
        <w:t xml:space="preserve"> </w:t>
      </w:r>
      <w:proofErr w:type="gramStart"/>
      <w:r w:rsidR="008F0894" w:rsidRPr="008F0894">
        <w:t>Extending the mental number line – a review of multi-digit number processing.</w:t>
      </w:r>
      <w:proofErr w:type="gramEnd"/>
      <w:r w:rsidR="008F0894" w:rsidRPr="008F0894">
        <w:t xml:space="preserve"> </w:t>
      </w:r>
      <w:r w:rsidR="002D6507" w:rsidRPr="002D6507">
        <w:rPr>
          <w:i/>
          <w:lang w:val="de-DE"/>
        </w:rPr>
        <w:t>Zeitschrift für Psychologie/Journal of Psychology, 219(10),</w:t>
      </w:r>
      <w:r w:rsidR="002D6507">
        <w:rPr>
          <w:lang w:val="de-DE"/>
        </w:rPr>
        <w:t xml:space="preserve"> 3-22.</w:t>
      </w:r>
      <w:r w:rsidR="006E3A65" w:rsidRPr="00C14016">
        <w:rPr>
          <w:lang w:val="de-DE"/>
        </w:rPr>
        <w:t xml:space="preserve"> </w:t>
      </w:r>
      <w:hyperlink r:id="rId18" w:tgtFrame="_blank" w:history="1">
        <w:r w:rsidR="004B16BD">
          <w:rPr>
            <w:lang w:val="de-DE"/>
          </w:rPr>
          <w:t>doi:</w:t>
        </w:r>
        <w:r w:rsidR="004B16BD" w:rsidRPr="00C14016">
          <w:rPr>
            <w:lang w:val="de-DE"/>
          </w:rPr>
          <w:t xml:space="preserve"> </w:t>
        </w:r>
        <w:r w:rsidR="006E3A65" w:rsidRPr="00C14016">
          <w:rPr>
            <w:lang w:val="de-DE"/>
          </w:rPr>
          <w:t>10.1027/2151-2604/a000041</w:t>
        </w:r>
      </w:hyperlink>
    </w:p>
    <w:p w:rsidR="004536F7" w:rsidRPr="003A287D" w:rsidRDefault="003D48A9" w:rsidP="004536F7">
      <w:pPr>
        <w:pStyle w:val="BodyText"/>
        <w:ind w:left="720" w:hanging="720"/>
      </w:pPr>
      <w:r w:rsidRPr="003D48A9">
        <w:rPr>
          <w:lang w:val="de-DE"/>
        </w:rPr>
        <w:t xml:space="preserve">Nuerk, H.-C., Weger, U., &amp; Willmes, K. (2001). </w:t>
      </w:r>
      <w:r w:rsidR="004536F7">
        <w:t xml:space="preserve">Decade breaks in the mental number line? </w:t>
      </w:r>
      <w:proofErr w:type="gramStart"/>
      <w:r w:rsidR="004536F7">
        <w:t>Putting the tens and units back in different bins.</w:t>
      </w:r>
      <w:proofErr w:type="gramEnd"/>
      <w:r w:rsidR="004536F7">
        <w:rPr>
          <w:i/>
        </w:rPr>
        <w:t xml:space="preserve"> </w:t>
      </w:r>
      <w:proofErr w:type="gramStart"/>
      <w:r w:rsidR="004536F7">
        <w:rPr>
          <w:i/>
        </w:rPr>
        <w:t xml:space="preserve">Cognition, 82, </w:t>
      </w:r>
      <w:r w:rsidR="004536F7">
        <w:t>B25-B33.</w:t>
      </w:r>
      <w:proofErr w:type="gramEnd"/>
      <w:r w:rsidR="006E3A65">
        <w:t xml:space="preserve"> </w:t>
      </w:r>
      <w:hyperlink r:id="rId19" w:tgtFrame="_blank" w:history="1">
        <w:proofErr w:type="spellStart"/>
        <w:proofErr w:type="gramStart"/>
        <w:r w:rsidR="008F0894" w:rsidRPr="008F0894">
          <w:t>doi</w:t>
        </w:r>
        <w:proofErr w:type="spellEnd"/>
        <w:proofErr w:type="gramEnd"/>
        <w:r w:rsidR="008F0894" w:rsidRPr="008F0894">
          <w:t>: 10.1016/S0010-0277(01)00142-1</w:t>
        </w:r>
      </w:hyperlink>
    </w:p>
    <w:p w:rsidR="004536F7" w:rsidRPr="00550203" w:rsidRDefault="008F0894" w:rsidP="004536F7">
      <w:pPr>
        <w:pStyle w:val="BodyText"/>
        <w:ind w:left="720" w:hanging="720"/>
      </w:pPr>
      <w:proofErr w:type="spellStart"/>
      <w:proofErr w:type="gramStart"/>
      <w:r w:rsidRPr="008F0894">
        <w:t>Nuerk</w:t>
      </w:r>
      <w:proofErr w:type="spellEnd"/>
      <w:r w:rsidRPr="008F0894">
        <w:t xml:space="preserve">, H.-C., </w:t>
      </w:r>
      <w:proofErr w:type="spellStart"/>
      <w:r w:rsidRPr="008F0894">
        <w:t>Weger</w:t>
      </w:r>
      <w:proofErr w:type="spellEnd"/>
      <w:r w:rsidRPr="008F0894">
        <w:t xml:space="preserve">, U., &amp; </w:t>
      </w:r>
      <w:proofErr w:type="spellStart"/>
      <w:r w:rsidRPr="008F0894">
        <w:t>Willmes</w:t>
      </w:r>
      <w:proofErr w:type="spellEnd"/>
      <w:r w:rsidRPr="008F0894">
        <w:t>, K. (2005).</w:t>
      </w:r>
      <w:proofErr w:type="gramEnd"/>
      <w:r w:rsidRPr="008F0894">
        <w:t xml:space="preserve"> </w:t>
      </w:r>
      <w:r w:rsidR="004536F7">
        <w:t xml:space="preserve">Language effects in magnitude comparison: Small but not irrelevant. </w:t>
      </w:r>
      <w:r w:rsidR="004536F7">
        <w:rPr>
          <w:i/>
        </w:rPr>
        <w:t>Brain and Language, 92,</w:t>
      </w:r>
      <w:r w:rsidR="004536F7">
        <w:t xml:space="preserve"> 262-277.</w:t>
      </w:r>
      <w:r w:rsidR="006E3A65">
        <w:t xml:space="preserve"> </w:t>
      </w:r>
      <w:hyperlink r:id="rId20" w:tgtFrame="_blank" w:history="1">
        <w:r w:rsidR="00F90CE1" w:rsidRPr="00F90CE1">
          <w:t xml:space="preserve"> </w:t>
        </w:r>
        <w:proofErr w:type="spellStart"/>
        <w:proofErr w:type="gramStart"/>
        <w:r w:rsidR="00F90CE1" w:rsidRPr="00F90CE1">
          <w:t>doi</w:t>
        </w:r>
        <w:proofErr w:type="spellEnd"/>
        <w:proofErr w:type="gramEnd"/>
        <w:r w:rsidR="00F90CE1" w:rsidRPr="00F90CE1">
          <w:t>: 10.1016/j.bandl.2004.06.107</w:t>
        </w:r>
      </w:hyperlink>
    </w:p>
    <w:p w:rsidR="004536F7" w:rsidRDefault="00F90CE1" w:rsidP="004536F7">
      <w:pPr>
        <w:pStyle w:val="BodyText"/>
        <w:ind w:left="720" w:hanging="720"/>
      </w:pPr>
      <w:proofErr w:type="spellStart"/>
      <w:proofErr w:type="gramStart"/>
      <w:r w:rsidRPr="00F90CE1">
        <w:t>Pixner</w:t>
      </w:r>
      <w:proofErr w:type="spellEnd"/>
      <w:r w:rsidRPr="00F90CE1">
        <w:t xml:space="preserve">, S., Moeller, K., </w:t>
      </w:r>
      <w:proofErr w:type="spellStart"/>
      <w:r w:rsidRPr="00F90CE1">
        <w:t>Hermanova</w:t>
      </w:r>
      <w:proofErr w:type="spellEnd"/>
      <w:r w:rsidRPr="00F90CE1">
        <w:t xml:space="preserve">, V., </w:t>
      </w:r>
      <w:proofErr w:type="spellStart"/>
      <w:r w:rsidRPr="00F90CE1">
        <w:t>Nuerk</w:t>
      </w:r>
      <w:proofErr w:type="spellEnd"/>
      <w:r w:rsidRPr="00F90CE1">
        <w:t>, H.-C., &amp; Kaufmann, L. (2011).</w:t>
      </w:r>
      <w:proofErr w:type="gramEnd"/>
      <w:r w:rsidRPr="00F90CE1">
        <w:t xml:space="preserve"> </w:t>
      </w:r>
      <w:r w:rsidR="004536F7">
        <w:t xml:space="preserve">Whorf reloaded: Language effects on nonverbal number processing in first grade – A trilingual study. </w:t>
      </w:r>
      <w:r w:rsidR="004536F7">
        <w:rPr>
          <w:i/>
        </w:rPr>
        <w:t>Journal of Experimental Child Psychology, 108</w:t>
      </w:r>
      <w:r w:rsidR="004536F7">
        <w:t>, 371-382.</w:t>
      </w:r>
      <w:r w:rsidR="006E3A65">
        <w:t xml:space="preserve"> </w:t>
      </w:r>
      <w:hyperlink r:id="rId21" w:tgtFrame="_blank" w:history="1">
        <w:proofErr w:type="spellStart"/>
        <w:proofErr w:type="gramStart"/>
        <w:r w:rsidR="004B16BD" w:rsidRPr="00C14016">
          <w:t>doi</w:t>
        </w:r>
        <w:proofErr w:type="spellEnd"/>
        <w:proofErr w:type="gramEnd"/>
        <w:r w:rsidR="004B16BD" w:rsidRPr="00C14016">
          <w:t xml:space="preserve">: </w:t>
        </w:r>
        <w:r w:rsidR="006E3A65" w:rsidRPr="00C14016">
          <w:t>10.1016/j.jecp.2010.09.002</w:t>
        </w:r>
      </w:hyperlink>
    </w:p>
    <w:p w:rsidR="00E679F5" w:rsidRDefault="00E679F5" w:rsidP="00E67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rPr>
      </w:pPr>
      <w:proofErr w:type="spellStart"/>
      <w:proofErr w:type="gramStart"/>
      <w:r w:rsidRPr="00E679F5">
        <w:rPr>
          <w:rFonts w:ascii="Times New Roman" w:hAnsi="Times New Roman"/>
        </w:rPr>
        <w:t>Towse</w:t>
      </w:r>
      <w:proofErr w:type="spellEnd"/>
      <w:r w:rsidRPr="00E679F5">
        <w:rPr>
          <w:rFonts w:ascii="Times New Roman" w:hAnsi="Times New Roman"/>
        </w:rPr>
        <w:t>, J.</w:t>
      </w:r>
      <w:r>
        <w:rPr>
          <w:rFonts w:ascii="Times New Roman" w:hAnsi="Times New Roman"/>
        </w:rPr>
        <w:t>,</w:t>
      </w:r>
      <w:r w:rsidR="00385D53">
        <w:rPr>
          <w:rFonts w:ascii="Times New Roman" w:hAnsi="Times New Roman"/>
        </w:rPr>
        <w:t xml:space="preserve"> </w:t>
      </w:r>
      <w:r w:rsidRPr="00E679F5">
        <w:rPr>
          <w:rFonts w:ascii="Times New Roman" w:hAnsi="Times New Roman"/>
        </w:rPr>
        <w:t>&amp; Saxton, M. (1997).</w:t>
      </w:r>
      <w:proofErr w:type="gramEnd"/>
      <w:r w:rsidRPr="00E679F5">
        <w:rPr>
          <w:rFonts w:ascii="Times New Roman" w:hAnsi="Times New Roman"/>
        </w:rPr>
        <w:t xml:space="preserve"> Linguistic influences on children's number concepts: </w:t>
      </w:r>
    </w:p>
    <w:p w:rsidR="00F32561" w:rsidRPr="008049B8" w:rsidRDefault="00E679F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09"/>
        <w:rPr>
          <w:rFonts w:ascii="Times New Roman" w:hAnsi="Times New Roman"/>
          <w:u w:val="single"/>
        </w:rPr>
      </w:pPr>
      <w:proofErr w:type="gramStart"/>
      <w:r w:rsidRPr="00E679F5">
        <w:rPr>
          <w:rFonts w:ascii="Times New Roman" w:hAnsi="Times New Roman"/>
        </w:rPr>
        <w:t>methodological</w:t>
      </w:r>
      <w:proofErr w:type="gramEnd"/>
      <w:r w:rsidRPr="00E679F5">
        <w:rPr>
          <w:rFonts w:ascii="Times New Roman" w:hAnsi="Times New Roman"/>
        </w:rPr>
        <w:t xml:space="preserve"> and theoretical considerations. </w:t>
      </w:r>
      <w:r w:rsidR="008F0894" w:rsidRPr="008F0894">
        <w:rPr>
          <w:rFonts w:ascii="Times New Roman" w:hAnsi="Times New Roman"/>
          <w:i/>
        </w:rPr>
        <w:t xml:space="preserve">Journal of Experimental Child Psychology, 66, </w:t>
      </w:r>
      <w:r w:rsidRPr="00E679F5">
        <w:rPr>
          <w:rFonts w:ascii="Times New Roman" w:hAnsi="Times New Roman"/>
        </w:rPr>
        <w:t>362-375.</w:t>
      </w:r>
      <w:r w:rsidR="00E936E3" w:rsidRPr="00E936E3">
        <w:t xml:space="preserve"> </w:t>
      </w:r>
      <w:proofErr w:type="spellStart"/>
      <w:proofErr w:type="gramStart"/>
      <w:r w:rsidR="00E936E3">
        <w:t>doi</w:t>
      </w:r>
      <w:proofErr w:type="spellEnd"/>
      <w:proofErr w:type="gramEnd"/>
      <w:r w:rsidR="00E936E3">
        <w:t xml:space="preserve">: </w:t>
      </w:r>
      <w:r w:rsidR="008049B8">
        <w:t>10.1006/jecp.1997.2389</w:t>
      </w:r>
    </w:p>
    <w:p w:rsidR="00A6533A" w:rsidRDefault="008F0894" w:rsidP="00FD4F31">
      <w:pPr>
        <w:pStyle w:val="BodyText"/>
        <w:ind w:left="720" w:hanging="720"/>
      </w:pPr>
      <w:r w:rsidRPr="008F0894">
        <w:rPr>
          <w:lang w:val="de-DE"/>
        </w:rPr>
        <w:t xml:space="preserve">Zuber, J., Pixner, S., Moeller, K., &amp; Nuerk, H.-C. (2009). </w:t>
      </w:r>
      <w:r w:rsidR="004536F7">
        <w:t xml:space="preserve">On the language specificity of basic number processing: </w:t>
      </w:r>
      <w:proofErr w:type="spellStart"/>
      <w:r w:rsidR="004536F7">
        <w:t>Transcoding</w:t>
      </w:r>
      <w:proofErr w:type="spellEnd"/>
      <w:r w:rsidR="004536F7">
        <w:t xml:space="preserve"> in a language with inversion and its relation to working memory capacity. </w:t>
      </w:r>
      <w:r w:rsidR="004536F7">
        <w:rPr>
          <w:i/>
        </w:rPr>
        <w:t>Journal of Experimental Child Psychology, 102,</w:t>
      </w:r>
      <w:r w:rsidR="004536F7">
        <w:t xml:space="preserve"> 60-77</w:t>
      </w:r>
      <w:r w:rsidRPr="008F0894">
        <w:t xml:space="preserve">. </w:t>
      </w:r>
      <w:hyperlink r:id="rId22" w:tgtFrame="_blank" w:history="1">
        <w:proofErr w:type="spellStart"/>
        <w:proofErr w:type="gramStart"/>
        <w:r w:rsidRPr="008F0894">
          <w:t>doi</w:t>
        </w:r>
        <w:proofErr w:type="spellEnd"/>
        <w:proofErr w:type="gramEnd"/>
        <w:r w:rsidRPr="008F0894">
          <w:t>: 10.1016/j.jecp.2008.04.003</w:t>
        </w:r>
      </w:hyperlink>
    </w:p>
    <w:p w:rsidR="00C04A6C" w:rsidRDefault="00C04A6C">
      <w:pPr>
        <w:pStyle w:val="BodyText"/>
        <w:spacing w:line="360" w:lineRule="auto"/>
        <w:ind w:left="720" w:hanging="720"/>
        <w:jc w:val="center"/>
        <w:rPr>
          <w:b/>
        </w:rPr>
      </w:pPr>
    </w:p>
    <w:p w:rsidR="00C04A6C" w:rsidRDefault="00C04A6C">
      <w:pPr>
        <w:rPr>
          <w:rFonts w:ascii="Times New Roman" w:hAnsi="Times New Roman"/>
          <w:i/>
          <w:szCs w:val="24"/>
          <w:lang w:eastAsia="en-GB"/>
        </w:rPr>
      </w:pPr>
    </w:p>
    <w:sectPr w:rsidR="00C04A6C" w:rsidSect="001D5854">
      <w:headerReference w:type="default" r:id="rId23"/>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4F9" w:rsidRDefault="008C34F9">
      <w:r>
        <w:separator/>
      </w:r>
    </w:p>
  </w:endnote>
  <w:endnote w:type="continuationSeparator" w:id="0">
    <w:p w:rsidR="008C34F9" w:rsidRDefault="008C3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4F9" w:rsidRDefault="008C34F9">
      <w:r>
        <w:separator/>
      </w:r>
    </w:p>
  </w:footnote>
  <w:footnote w:type="continuationSeparator" w:id="0">
    <w:p w:rsidR="008C34F9" w:rsidRDefault="008C3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7220"/>
      <w:docPartObj>
        <w:docPartGallery w:val="Page Numbers (Top of Page)"/>
        <w:docPartUnique/>
      </w:docPartObj>
    </w:sdtPr>
    <w:sdtContent>
      <w:p w:rsidR="008C34F9" w:rsidRDefault="00C46A75">
        <w:pPr>
          <w:pStyle w:val="Header"/>
          <w:jc w:val="right"/>
        </w:pPr>
        <w:fldSimple w:instr=" PAGE   \* MERGEFORMAT ">
          <w:r w:rsidR="002D4A40">
            <w:rPr>
              <w:noProof/>
            </w:rPr>
            <w:t>1</w:t>
          </w:r>
        </w:fldSimple>
      </w:p>
    </w:sdtContent>
  </w:sdt>
  <w:p w:rsidR="008C34F9" w:rsidRPr="00D6149D" w:rsidRDefault="008C34F9">
    <w:pPr>
      <w:pStyle w:val="Header"/>
      <w:rPr>
        <w:smallCaps/>
      </w:rPr>
    </w:pPr>
    <w:r w:rsidRPr="00D6149D">
      <w:rPr>
        <w:smallCaps/>
      </w:rPr>
      <w:t>Language, addition and the carry effect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082E7691"/>
    <w:multiLevelType w:val="hybridMultilevel"/>
    <w:tmpl w:val="D58E5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8C28C5"/>
    <w:multiLevelType w:val="hybridMultilevel"/>
    <w:tmpl w:val="93F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AB2D90"/>
    <w:multiLevelType w:val="hybridMultilevel"/>
    <w:tmpl w:val="30C8E2C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Arial"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Arial"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Arial"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3">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701"/>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rsids>
    <w:rsidRoot w:val="005D4D77"/>
    <w:rsid w:val="00004A76"/>
    <w:rsid w:val="00011812"/>
    <w:rsid w:val="000147FB"/>
    <w:rsid w:val="000150F3"/>
    <w:rsid w:val="0002491B"/>
    <w:rsid w:val="00025101"/>
    <w:rsid w:val="00030991"/>
    <w:rsid w:val="00031E64"/>
    <w:rsid w:val="00032267"/>
    <w:rsid w:val="000343B6"/>
    <w:rsid w:val="00035D29"/>
    <w:rsid w:val="00042BA4"/>
    <w:rsid w:val="0005447A"/>
    <w:rsid w:val="0005454A"/>
    <w:rsid w:val="0005515F"/>
    <w:rsid w:val="0005557E"/>
    <w:rsid w:val="00060A7C"/>
    <w:rsid w:val="0006168D"/>
    <w:rsid w:val="00061892"/>
    <w:rsid w:val="000620C8"/>
    <w:rsid w:val="00064809"/>
    <w:rsid w:val="000703CC"/>
    <w:rsid w:val="0007276A"/>
    <w:rsid w:val="00080956"/>
    <w:rsid w:val="00083425"/>
    <w:rsid w:val="00083793"/>
    <w:rsid w:val="00083D4F"/>
    <w:rsid w:val="0008757A"/>
    <w:rsid w:val="00097AA2"/>
    <w:rsid w:val="000A002B"/>
    <w:rsid w:val="000A08FC"/>
    <w:rsid w:val="000A0FD7"/>
    <w:rsid w:val="000A25B1"/>
    <w:rsid w:val="000A5092"/>
    <w:rsid w:val="000A5A23"/>
    <w:rsid w:val="000A61D5"/>
    <w:rsid w:val="000B0D6C"/>
    <w:rsid w:val="000B319D"/>
    <w:rsid w:val="000B7E1F"/>
    <w:rsid w:val="000C350D"/>
    <w:rsid w:val="000C4EC3"/>
    <w:rsid w:val="000C58EC"/>
    <w:rsid w:val="000C7145"/>
    <w:rsid w:val="000D2047"/>
    <w:rsid w:val="000D2742"/>
    <w:rsid w:val="000D5496"/>
    <w:rsid w:val="000D65A4"/>
    <w:rsid w:val="000D67A2"/>
    <w:rsid w:val="000D6D49"/>
    <w:rsid w:val="000E23E0"/>
    <w:rsid w:val="000E5AF6"/>
    <w:rsid w:val="000F14D8"/>
    <w:rsid w:val="000F14E5"/>
    <w:rsid w:val="000F183E"/>
    <w:rsid w:val="000F23DF"/>
    <w:rsid w:val="000F318C"/>
    <w:rsid w:val="000F5C54"/>
    <w:rsid w:val="001001B7"/>
    <w:rsid w:val="0010111E"/>
    <w:rsid w:val="00103FF6"/>
    <w:rsid w:val="00105C42"/>
    <w:rsid w:val="00107B76"/>
    <w:rsid w:val="00111F13"/>
    <w:rsid w:val="00113DDD"/>
    <w:rsid w:val="00117455"/>
    <w:rsid w:val="00120ADB"/>
    <w:rsid w:val="00120D81"/>
    <w:rsid w:val="00123B1B"/>
    <w:rsid w:val="00124242"/>
    <w:rsid w:val="00125350"/>
    <w:rsid w:val="00125865"/>
    <w:rsid w:val="00125A2B"/>
    <w:rsid w:val="00132D22"/>
    <w:rsid w:val="00136796"/>
    <w:rsid w:val="00140F7B"/>
    <w:rsid w:val="00150308"/>
    <w:rsid w:val="001560AF"/>
    <w:rsid w:val="00160BA7"/>
    <w:rsid w:val="00163B71"/>
    <w:rsid w:val="00164B71"/>
    <w:rsid w:val="001706D0"/>
    <w:rsid w:val="00172A2F"/>
    <w:rsid w:val="00174175"/>
    <w:rsid w:val="0017657E"/>
    <w:rsid w:val="00193887"/>
    <w:rsid w:val="001A4F52"/>
    <w:rsid w:val="001A6A7C"/>
    <w:rsid w:val="001B1697"/>
    <w:rsid w:val="001B28FC"/>
    <w:rsid w:val="001B4141"/>
    <w:rsid w:val="001B6248"/>
    <w:rsid w:val="001B64F6"/>
    <w:rsid w:val="001B6712"/>
    <w:rsid w:val="001C3A47"/>
    <w:rsid w:val="001C451F"/>
    <w:rsid w:val="001D289F"/>
    <w:rsid w:val="001D5854"/>
    <w:rsid w:val="001D65BA"/>
    <w:rsid w:val="001D6FAB"/>
    <w:rsid w:val="001E1327"/>
    <w:rsid w:val="001E5B37"/>
    <w:rsid w:val="001E7059"/>
    <w:rsid w:val="001E7318"/>
    <w:rsid w:val="001F1EB9"/>
    <w:rsid w:val="001F4AC6"/>
    <w:rsid w:val="001F51D1"/>
    <w:rsid w:val="00200628"/>
    <w:rsid w:val="00200FC9"/>
    <w:rsid w:val="00201703"/>
    <w:rsid w:val="00201DA8"/>
    <w:rsid w:val="002058D8"/>
    <w:rsid w:val="00212FB3"/>
    <w:rsid w:val="0021592A"/>
    <w:rsid w:val="002207E1"/>
    <w:rsid w:val="002210DC"/>
    <w:rsid w:val="00221297"/>
    <w:rsid w:val="0023084A"/>
    <w:rsid w:val="00231D60"/>
    <w:rsid w:val="00235679"/>
    <w:rsid w:val="00237BA1"/>
    <w:rsid w:val="002441AA"/>
    <w:rsid w:val="0024525B"/>
    <w:rsid w:val="00247E38"/>
    <w:rsid w:val="0025590E"/>
    <w:rsid w:val="00255D8B"/>
    <w:rsid w:val="0026674D"/>
    <w:rsid w:val="0027024F"/>
    <w:rsid w:val="00274DCC"/>
    <w:rsid w:val="002777EB"/>
    <w:rsid w:val="002807BB"/>
    <w:rsid w:val="00283459"/>
    <w:rsid w:val="00284F28"/>
    <w:rsid w:val="00285408"/>
    <w:rsid w:val="00287851"/>
    <w:rsid w:val="002A51B9"/>
    <w:rsid w:val="002B24FE"/>
    <w:rsid w:val="002B4001"/>
    <w:rsid w:val="002B6051"/>
    <w:rsid w:val="002B6EDE"/>
    <w:rsid w:val="002C202B"/>
    <w:rsid w:val="002C2CD0"/>
    <w:rsid w:val="002C56BD"/>
    <w:rsid w:val="002D0DDA"/>
    <w:rsid w:val="002D2C04"/>
    <w:rsid w:val="002D4A40"/>
    <w:rsid w:val="002D5BDD"/>
    <w:rsid w:val="002D6507"/>
    <w:rsid w:val="002E615E"/>
    <w:rsid w:val="00305DB5"/>
    <w:rsid w:val="0031173E"/>
    <w:rsid w:val="00313BAA"/>
    <w:rsid w:val="00317BDC"/>
    <w:rsid w:val="00320F44"/>
    <w:rsid w:val="003226A5"/>
    <w:rsid w:val="00325D4B"/>
    <w:rsid w:val="00326D3E"/>
    <w:rsid w:val="00330E83"/>
    <w:rsid w:val="00332318"/>
    <w:rsid w:val="00332920"/>
    <w:rsid w:val="003364A6"/>
    <w:rsid w:val="00351333"/>
    <w:rsid w:val="003526B7"/>
    <w:rsid w:val="00353162"/>
    <w:rsid w:val="0035382F"/>
    <w:rsid w:val="00357F5F"/>
    <w:rsid w:val="00361F7B"/>
    <w:rsid w:val="00364842"/>
    <w:rsid w:val="00374120"/>
    <w:rsid w:val="00377131"/>
    <w:rsid w:val="00381BE6"/>
    <w:rsid w:val="003837C1"/>
    <w:rsid w:val="00384725"/>
    <w:rsid w:val="00385D53"/>
    <w:rsid w:val="0038605F"/>
    <w:rsid w:val="003863E1"/>
    <w:rsid w:val="00390CB4"/>
    <w:rsid w:val="00393230"/>
    <w:rsid w:val="00394427"/>
    <w:rsid w:val="003953A1"/>
    <w:rsid w:val="003977A7"/>
    <w:rsid w:val="00397A79"/>
    <w:rsid w:val="003A21CE"/>
    <w:rsid w:val="003A287D"/>
    <w:rsid w:val="003B1A67"/>
    <w:rsid w:val="003B372C"/>
    <w:rsid w:val="003B689B"/>
    <w:rsid w:val="003B79E9"/>
    <w:rsid w:val="003C3C53"/>
    <w:rsid w:val="003D370C"/>
    <w:rsid w:val="003D48A9"/>
    <w:rsid w:val="003D791A"/>
    <w:rsid w:val="003E007E"/>
    <w:rsid w:val="003E3711"/>
    <w:rsid w:val="003E5DFA"/>
    <w:rsid w:val="003E6A96"/>
    <w:rsid w:val="003F0FE3"/>
    <w:rsid w:val="003F6EA9"/>
    <w:rsid w:val="003F78D0"/>
    <w:rsid w:val="004003F9"/>
    <w:rsid w:val="00400A5A"/>
    <w:rsid w:val="004010E8"/>
    <w:rsid w:val="00401F2B"/>
    <w:rsid w:val="004032D3"/>
    <w:rsid w:val="00404A16"/>
    <w:rsid w:val="00405170"/>
    <w:rsid w:val="004055C8"/>
    <w:rsid w:val="004063FD"/>
    <w:rsid w:val="00406E08"/>
    <w:rsid w:val="0041590E"/>
    <w:rsid w:val="004220DF"/>
    <w:rsid w:val="00422607"/>
    <w:rsid w:val="00425DEC"/>
    <w:rsid w:val="00426A5B"/>
    <w:rsid w:val="00427D80"/>
    <w:rsid w:val="0043081E"/>
    <w:rsid w:val="00430F2E"/>
    <w:rsid w:val="00431381"/>
    <w:rsid w:val="004318AB"/>
    <w:rsid w:val="00432980"/>
    <w:rsid w:val="00433BF9"/>
    <w:rsid w:val="0044042C"/>
    <w:rsid w:val="00442523"/>
    <w:rsid w:val="004433A5"/>
    <w:rsid w:val="00452071"/>
    <w:rsid w:val="004536F7"/>
    <w:rsid w:val="0045503E"/>
    <w:rsid w:val="00457AEC"/>
    <w:rsid w:val="00461634"/>
    <w:rsid w:val="004635E1"/>
    <w:rsid w:val="004667E2"/>
    <w:rsid w:val="004751E2"/>
    <w:rsid w:val="00475308"/>
    <w:rsid w:val="004759ED"/>
    <w:rsid w:val="00476EB2"/>
    <w:rsid w:val="00480A0C"/>
    <w:rsid w:val="0048134E"/>
    <w:rsid w:val="004859B9"/>
    <w:rsid w:val="00485CB6"/>
    <w:rsid w:val="00487873"/>
    <w:rsid w:val="00487DD4"/>
    <w:rsid w:val="004950DF"/>
    <w:rsid w:val="00495144"/>
    <w:rsid w:val="004A6779"/>
    <w:rsid w:val="004A799A"/>
    <w:rsid w:val="004B0414"/>
    <w:rsid w:val="004B16BD"/>
    <w:rsid w:val="004B6432"/>
    <w:rsid w:val="004B798E"/>
    <w:rsid w:val="004C0DCA"/>
    <w:rsid w:val="004D3B89"/>
    <w:rsid w:val="004D3D55"/>
    <w:rsid w:val="004D42CB"/>
    <w:rsid w:val="004D6A3C"/>
    <w:rsid w:val="004D7480"/>
    <w:rsid w:val="004E1179"/>
    <w:rsid w:val="004E5AD4"/>
    <w:rsid w:val="004F091B"/>
    <w:rsid w:val="004F203B"/>
    <w:rsid w:val="004F4157"/>
    <w:rsid w:val="004F54BD"/>
    <w:rsid w:val="005002CB"/>
    <w:rsid w:val="00536CD2"/>
    <w:rsid w:val="00540CCE"/>
    <w:rsid w:val="00541602"/>
    <w:rsid w:val="00546EB9"/>
    <w:rsid w:val="005479C4"/>
    <w:rsid w:val="00550203"/>
    <w:rsid w:val="00551668"/>
    <w:rsid w:val="00551979"/>
    <w:rsid w:val="005527E3"/>
    <w:rsid w:val="00557E0D"/>
    <w:rsid w:val="005662E5"/>
    <w:rsid w:val="00570546"/>
    <w:rsid w:val="00570CE8"/>
    <w:rsid w:val="00571D2C"/>
    <w:rsid w:val="00571FAE"/>
    <w:rsid w:val="00572052"/>
    <w:rsid w:val="00572BE8"/>
    <w:rsid w:val="005753D4"/>
    <w:rsid w:val="0058229A"/>
    <w:rsid w:val="00582A85"/>
    <w:rsid w:val="00582C13"/>
    <w:rsid w:val="005865F9"/>
    <w:rsid w:val="005935CF"/>
    <w:rsid w:val="00596D35"/>
    <w:rsid w:val="005A03E0"/>
    <w:rsid w:val="005A3C10"/>
    <w:rsid w:val="005A4748"/>
    <w:rsid w:val="005A55BC"/>
    <w:rsid w:val="005B2127"/>
    <w:rsid w:val="005B2C8A"/>
    <w:rsid w:val="005B4CAF"/>
    <w:rsid w:val="005C461F"/>
    <w:rsid w:val="005C6C88"/>
    <w:rsid w:val="005D0801"/>
    <w:rsid w:val="005D4D77"/>
    <w:rsid w:val="005D550B"/>
    <w:rsid w:val="005D744F"/>
    <w:rsid w:val="005E02A8"/>
    <w:rsid w:val="005F1D58"/>
    <w:rsid w:val="005F2289"/>
    <w:rsid w:val="005F70AB"/>
    <w:rsid w:val="00604C5D"/>
    <w:rsid w:val="00607AA4"/>
    <w:rsid w:val="00612956"/>
    <w:rsid w:val="0061717A"/>
    <w:rsid w:val="00620880"/>
    <w:rsid w:val="00624F14"/>
    <w:rsid w:val="00626B34"/>
    <w:rsid w:val="00630FFF"/>
    <w:rsid w:val="00631D5D"/>
    <w:rsid w:val="00633CDA"/>
    <w:rsid w:val="00634775"/>
    <w:rsid w:val="006411A0"/>
    <w:rsid w:val="0064578D"/>
    <w:rsid w:val="00651D85"/>
    <w:rsid w:val="00653EA8"/>
    <w:rsid w:val="00654503"/>
    <w:rsid w:val="0065512D"/>
    <w:rsid w:val="00667534"/>
    <w:rsid w:val="0066799F"/>
    <w:rsid w:val="00672202"/>
    <w:rsid w:val="00677904"/>
    <w:rsid w:val="00696DD5"/>
    <w:rsid w:val="0069721F"/>
    <w:rsid w:val="006A1158"/>
    <w:rsid w:val="006A2002"/>
    <w:rsid w:val="006A45A1"/>
    <w:rsid w:val="006A5539"/>
    <w:rsid w:val="006A69DE"/>
    <w:rsid w:val="006A7569"/>
    <w:rsid w:val="006C033E"/>
    <w:rsid w:val="006C3676"/>
    <w:rsid w:val="006C4498"/>
    <w:rsid w:val="006C5E8B"/>
    <w:rsid w:val="006C738B"/>
    <w:rsid w:val="006D2D46"/>
    <w:rsid w:val="006D7BED"/>
    <w:rsid w:val="006E1CB3"/>
    <w:rsid w:val="006E3A65"/>
    <w:rsid w:val="006E4021"/>
    <w:rsid w:val="006E4C6A"/>
    <w:rsid w:val="006E4F2A"/>
    <w:rsid w:val="006E78BD"/>
    <w:rsid w:val="006F44E9"/>
    <w:rsid w:val="006F5309"/>
    <w:rsid w:val="00703551"/>
    <w:rsid w:val="0070632B"/>
    <w:rsid w:val="00706F27"/>
    <w:rsid w:val="00707354"/>
    <w:rsid w:val="0070794E"/>
    <w:rsid w:val="00712D4B"/>
    <w:rsid w:val="007154B6"/>
    <w:rsid w:val="00715599"/>
    <w:rsid w:val="00717130"/>
    <w:rsid w:val="007206CE"/>
    <w:rsid w:val="007209BF"/>
    <w:rsid w:val="007212BB"/>
    <w:rsid w:val="00721835"/>
    <w:rsid w:val="00722AF5"/>
    <w:rsid w:val="00725364"/>
    <w:rsid w:val="00725997"/>
    <w:rsid w:val="00726C78"/>
    <w:rsid w:val="007274A9"/>
    <w:rsid w:val="007275C8"/>
    <w:rsid w:val="007304B4"/>
    <w:rsid w:val="0073200A"/>
    <w:rsid w:val="007406CC"/>
    <w:rsid w:val="007410D4"/>
    <w:rsid w:val="0074126E"/>
    <w:rsid w:val="007465D0"/>
    <w:rsid w:val="00746E6D"/>
    <w:rsid w:val="00750746"/>
    <w:rsid w:val="007511A9"/>
    <w:rsid w:val="00752D73"/>
    <w:rsid w:val="007571A6"/>
    <w:rsid w:val="0076019F"/>
    <w:rsid w:val="00761828"/>
    <w:rsid w:val="007623EC"/>
    <w:rsid w:val="00767E61"/>
    <w:rsid w:val="0079081A"/>
    <w:rsid w:val="00794812"/>
    <w:rsid w:val="007A0F3C"/>
    <w:rsid w:val="007A207D"/>
    <w:rsid w:val="007A4320"/>
    <w:rsid w:val="007A4C4D"/>
    <w:rsid w:val="007B060B"/>
    <w:rsid w:val="007B084C"/>
    <w:rsid w:val="007B0D30"/>
    <w:rsid w:val="007B2701"/>
    <w:rsid w:val="007B53D4"/>
    <w:rsid w:val="007B5CC9"/>
    <w:rsid w:val="007B6C93"/>
    <w:rsid w:val="007B79BD"/>
    <w:rsid w:val="007C0180"/>
    <w:rsid w:val="007C14DF"/>
    <w:rsid w:val="007C30C0"/>
    <w:rsid w:val="007C624D"/>
    <w:rsid w:val="007D2CF1"/>
    <w:rsid w:val="007D4F29"/>
    <w:rsid w:val="007D6764"/>
    <w:rsid w:val="007D787F"/>
    <w:rsid w:val="007E0F16"/>
    <w:rsid w:val="007F38E2"/>
    <w:rsid w:val="007F6422"/>
    <w:rsid w:val="007F7E0C"/>
    <w:rsid w:val="008004A5"/>
    <w:rsid w:val="008049B8"/>
    <w:rsid w:val="00805D31"/>
    <w:rsid w:val="00810CDF"/>
    <w:rsid w:val="00815CD7"/>
    <w:rsid w:val="00817F39"/>
    <w:rsid w:val="0082340E"/>
    <w:rsid w:val="00823FC7"/>
    <w:rsid w:val="00825C07"/>
    <w:rsid w:val="00826ACB"/>
    <w:rsid w:val="00837293"/>
    <w:rsid w:val="00842653"/>
    <w:rsid w:val="008437C6"/>
    <w:rsid w:val="0084737A"/>
    <w:rsid w:val="00855117"/>
    <w:rsid w:val="00855C06"/>
    <w:rsid w:val="00860634"/>
    <w:rsid w:val="008610BB"/>
    <w:rsid w:val="00864300"/>
    <w:rsid w:val="008653C0"/>
    <w:rsid w:val="00873273"/>
    <w:rsid w:val="008766D8"/>
    <w:rsid w:val="00877181"/>
    <w:rsid w:val="0088049B"/>
    <w:rsid w:val="00885EA0"/>
    <w:rsid w:val="008944B7"/>
    <w:rsid w:val="0089537E"/>
    <w:rsid w:val="00895715"/>
    <w:rsid w:val="008A4DAD"/>
    <w:rsid w:val="008A675A"/>
    <w:rsid w:val="008B5BCF"/>
    <w:rsid w:val="008B7819"/>
    <w:rsid w:val="008C0360"/>
    <w:rsid w:val="008C34F9"/>
    <w:rsid w:val="008C3A70"/>
    <w:rsid w:val="008C5FDA"/>
    <w:rsid w:val="008D63C0"/>
    <w:rsid w:val="008E0693"/>
    <w:rsid w:val="008E3AA2"/>
    <w:rsid w:val="008E7BB0"/>
    <w:rsid w:val="008F0894"/>
    <w:rsid w:val="008F0A6A"/>
    <w:rsid w:val="008F44F8"/>
    <w:rsid w:val="00901756"/>
    <w:rsid w:val="00901D16"/>
    <w:rsid w:val="0090485E"/>
    <w:rsid w:val="009054BB"/>
    <w:rsid w:val="00905820"/>
    <w:rsid w:val="0091019D"/>
    <w:rsid w:val="009163F9"/>
    <w:rsid w:val="00922CA2"/>
    <w:rsid w:val="00930310"/>
    <w:rsid w:val="009330BD"/>
    <w:rsid w:val="009363C3"/>
    <w:rsid w:val="00937319"/>
    <w:rsid w:val="0094399A"/>
    <w:rsid w:val="0094399C"/>
    <w:rsid w:val="00961D0E"/>
    <w:rsid w:val="00965FEB"/>
    <w:rsid w:val="0097152B"/>
    <w:rsid w:val="00973C54"/>
    <w:rsid w:val="009745F1"/>
    <w:rsid w:val="00976303"/>
    <w:rsid w:val="00982F0C"/>
    <w:rsid w:val="00996823"/>
    <w:rsid w:val="009A1260"/>
    <w:rsid w:val="009A19EF"/>
    <w:rsid w:val="009A1D0A"/>
    <w:rsid w:val="009A74E8"/>
    <w:rsid w:val="009B2373"/>
    <w:rsid w:val="009C00C9"/>
    <w:rsid w:val="009C0BD3"/>
    <w:rsid w:val="009C3058"/>
    <w:rsid w:val="009C44BD"/>
    <w:rsid w:val="009D0847"/>
    <w:rsid w:val="009D5220"/>
    <w:rsid w:val="009D7ACF"/>
    <w:rsid w:val="009E142E"/>
    <w:rsid w:val="009E61D2"/>
    <w:rsid w:val="009F34C2"/>
    <w:rsid w:val="009F35C0"/>
    <w:rsid w:val="009F5196"/>
    <w:rsid w:val="009F522B"/>
    <w:rsid w:val="00A00489"/>
    <w:rsid w:val="00A02B35"/>
    <w:rsid w:val="00A05B42"/>
    <w:rsid w:val="00A06241"/>
    <w:rsid w:val="00A11883"/>
    <w:rsid w:val="00A13706"/>
    <w:rsid w:val="00A162A8"/>
    <w:rsid w:val="00A17074"/>
    <w:rsid w:val="00A21781"/>
    <w:rsid w:val="00A23A53"/>
    <w:rsid w:val="00A249F3"/>
    <w:rsid w:val="00A26666"/>
    <w:rsid w:val="00A26F87"/>
    <w:rsid w:val="00A31532"/>
    <w:rsid w:val="00A32A93"/>
    <w:rsid w:val="00A40DE2"/>
    <w:rsid w:val="00A44503"/>
    <w:rsid w:val="00A510B8"/>
    <w:rsid w:val="00A516F9"/>
    <w:rsid w:val="00A52B3F"/>
    <w:rsid w:val="00A5437A"/>
    <w:rsid w:val="00A55352"/>
    <w:rsid w:val="00A574A8"/>
    <w:rsid w:val="00A607DF"/>
    <w:rsid w:val="00A64885"/>
    <w:rsid w:val="00A6533A"/>
    <w:rsid w:val="00A71018"/>
    <w:rsid w:val="00A7350E"/>
    <w:rsid w:val="00A74202"/>
    <w:rsid w:val="00A74C35"/>
    <w:rsid w:val="00A770FD"/>
    <w:rsid w:val="00A803F3"/>
    <w:rsid w:val="00A81BB6"/>
    <w:rsid w:val="00A81FB9"/>
    <w:rsid w:val="00A822AC"/>
    <w:rsid w:val="00A901DF"/>
    <w:rsid w:val="00A946D5"/>
    <w:rsid w:val="00A954AA"/>
    <w:rsid w:val="00AA252F"/>
    <w:rsid w:val="00AB2F71"/>
    <w:rsid w:val="00AB400F"/>
    <w:rsid w:val="00AB54CD"/>
    <w:rsid w:val="00AC1F20"/>
    <w:rsid w:val="00AD37E4"/>
    <w:rsid w:val="00AD5569"/>
    <w:rsid w:val="00AE1A53"/>
    <w:rsid w:val="00AE3837"/>
    <w:rsid w:val="00AE448D"/>
    <w:rsid w:val="00B005B2"/>
    <w:rsid w:val="00B07113"/>
    <w:rsid w:val="00B13707"/>
    <w:rsid w:val="00B15131"/>
    <w:rsid w:val="00B168CC"/>
    <w:rsid w:val="00B215B0"/>
    <w:rsid w:val="00B2678C"/>
    <w:rsid w:val="00B26A40"/>
    <w:rsid w:val="00B31705"/>
    <w:rsid w:val="00B34AC3"/>
    <w:rsid w:val="00B34BD0"/>
    <w:rsid w:val="00B35276"/>
    <w:rsid w:val="00B35620"/>
    <w:rsid w:val="00B362C3"/>
    <w:rsid w:val="00B37E9A"/>
    <w:rsid w:val="00B454B7"/>
    <w:rsid w:val="00B469A0"/>
    <w:rsid w:val="00B52CC2"/>
    <w:rsid w:val="00B53E91"/>
    <w:rsid w:val="00B5487A"/>
    <w:rsid w:val="00B56968"/>
    <w:rsid w:val="00B60358"/>
    <w:rsid w:val="00B65E1A"/>
    <w:rsid w:val="00B66792"/>
    <w:rsid w:val="00B676DC"/>
    <w:rsid w:val="00B77438"/>
    <w:rsid w:val="00B80B59"/>
    <w:rsid w:val="00B83A66"/>
    <w:rsid w:val="00B92198"/>
    <w:rsid w:val="00B94611"/>
    <w:rsid w:val="00B956ED"/>
    <w:rsid w:val="00B97999"/>
    <w:rsid w:val="00B979EE"/>
    <w:rsid w:val="00BA2565"/>
    <w:rsid w:val="00BA2F1A"/>
    <w:rsid w:val="00BA321F"/>
    <w:rsid w:val="00BA4807"/>
    <w:rsid w:val="00BA49D2"/>
    <w:rsid w:val="00BB24F9"/>
    <w:rsid w:val="00BB6871"/>
    <w:rsid w:val="00BB7BD5"/>
    <w:rsid w:val="00BC4F58"/>
    <w:rsid w:val="00BD0033"/>
    <w:rsid w:val="00BE4F58"/>
    <w:rsid w:val="00BE6DB9"/>
    <w:rsid w:val="00BE78DF"/>
    <w:rsid w:val="00BF1E88"/>
    <w:rsid w:val="00BF2274"/>
    <w:rsid w:val="00BF5616"/>
    <w:rsid w:val="00C013B1"/>
    <w:rsid w:val="00C0289F"/>
    <w:rsid w:val="00C04A6C"/>
    <w:rsid w:val="00C107A1"/>
    <w:rsid w:val="00C12C4A"/>
    <w:rsid w:val="00C14016"/>
    <w:rsid w:val="00C14B99"/>
    <w:rsid w:val="00C1767E"/>
    <w:rsid w:val="00C224C9"/>
    <w:rsid w:val="00C228BA"/>
    <w:rsid w:val="00C22ABD"/>
    <w:rsid w:val="00C238A8"/>
    <w:rsid w:val="00C2646B"/>
    <w:rsid w:val="00C27EFC"/>
    <w:rsid w:val="00C30D40"/>
    <w:rsid w:val="00C3377F"/>
    <w:rsid w:val="00C33E53"/>
    <w:rsid w:val="00C3755F"/>
    <w:rsid w:val="00C46A75"/>
    <w:rsid w:val="00C527FA"/>
    <w:rsid w:val="00C55009"/>
    <w:rsid w:val="00C67B9B"/>
    <w:rsid w:val="00C708E5"/>
    <w:rsid w:val="00C708EF"/>
    <w:rsid w:val="00C73E5D"/>
    <w:rsid w:val="00C83A94"/>
    <w:rsid w:val="00C9086D"/>
    <w:rsid w:val="00C9118F"/>
    <w:rsid w:val="00C92B16"/>
    <w:rsid w:val="00C958D8"/>
    <w:rsid w:val="00CA233F"/>
    <w:rsid w:val="00CA5DBF"/>
    <w:rsid w:val="00CB3E28"/>
    <w:rsid w:val="00CC0F84"/>
    <w:rsid w:val="00CC0FA6"/>
    <w:rsid w:val="00CC6866"/>
    <w:rsid w:val="00CC6FA1"/>
    <w:rsid w:val="00CD4BCC"/>
    <w:rsid w:val="00CD5E42"/>
    <w:rsid w:val="00CD6E21"/>
    <w:rsid w:val="00CD748C"/>
    <w:rsid w:val="00CF06F8"/>
    <w:rsid w:val="00CF2503"/>
    <w:rsid w:val="00CF3CA8"/>
    <w:rsid w:val="00CF460A"/>
    <w:rsid w:val="00CF5248"/>
    <w:rsid w:val="00D03585"/>
    <w:rsid w:val="00D04368"/>
    <w:rsid w:val="00D059C5"/>
    <w:rsid w:val="00D12A95"/>
    <w:rsid w:val="00D14551"/>
    <w:rsid w:val="00D1629F"/>
    <w:rsid w:val="00D21FD5"/>
    <w:rsid w:val="00D22917"/>
    <w:rsid w:val="00D2426A"/>
    <w:rsid w:val="00D25196"/>
    <w:rsid w:val="00D3037B"/>
    <w:rsid w:val="00D33A26"/>
    <w:rsid w:val="00D35BEF"/>
    <w:rsid w:val="00D35C17"/>
    <w:rsid w:val="00D41A7A"/>
    <w:rsid w:val="00D43DFB"/>
    <w:rsid w:val="00D44263"/>
    <w:rsid w:val="00D46CAF"/>
    <w:rsid w:val="00D5264E"/>
    <w:rsid w:val="00D527EC"/>
    <w:rsid w:val="00D55561"/>
    <w:rsid w:val="00D601B0"/>
    <w:rsid w:val="00D6149D"/>
    <w:rsid w:val="00D63706"/>
    <w:rsid w:val="00D64175"/>
    <w:rsid w:val="00D676C9"/>
    <w:rsid w:val="00D7185D"/>
    <w:rsid w:val="00D73BEF"/>
    <w:rsid w:val="00D77F21"/>
    <w:rsid w:val="00D801C1"/>
    <w:rsid w:val="00D82A09"/>
    <w:rsid w:val="00D8414F"/>
    <w:rsid w:val="00D841A0"/>
    <w:rsid w:val="00D9472C"/>
    <w:rsid w:val="00DA7961"/>
    <w:rsid w:val="00DB1C10"/>
    <w:rsid w:val="00DB3636"/>
    <w:rsid w:val="00DB3D7C"/>
    <w:rsid w:val="00DB5CB1"/>
    <w:rsid w:val="00DB75E4"/>
    <w:rsid w:val="00DC1056"/>
    <w:rsid w:val="00DC31ED"/>
    <w:rsid w:val="00DC436F"/>
    <w:rsid w:val="00DC7130"/>
    <w:rsid w:val="00DD2F83"/>
    <w:rsid w:val="00DD3513"/>
    <w:rsid w:val="00DE71BC"/>
    <w:rsid w:val="00DF19F6"/>
    <w:rsid w:val="00DF591C"/>
    <w:rsid w:val="00DF715C"/>
    <w:rsid w:val="00E02B69"/>
    <w:rsid w:val="00E053F2"/>
    <w:rsid w:val="00E077FC"/>
    <w:rsid w:val="00E11542"/>
    <w:rsid w:val="00E2137E"/>
    <w:rsid w:val="00E22224"/>
    <w:rsid w:val="00E2745D"/>
    <w:rsid w:val="00E27478"/>
    <w:rsid w:val="00E30AEE"/>
    <w:rsid w:val="00E3356C"/>
    <w:rsid w:val="00E3423F"/>
    <w:rsid w:val="00E376D3"/>
    <w:rsid w:val="00E46D91"/>
    <w:rsid w:val="00E50542"/>
    <w:rsid w:val="00E679F5"/>
    <w:rsid w:val="00E735C2"/>
    <w:rsid w:val="00E75654"/>
    <w:rsid w:val="00E7576A"/>
    <w:rsid w:val="00E77D68"/>
    <w:rsid w:val="00E8080D"/>
    <w:rsid w:val="00E81E6D"/>
    <w:rsid w:val="00E8411F"/>
    <w:rsid w:val="00E8583D"/>
    <w:rsid w:val="00E8591C"/>
    <w:rsid w:val="00E8628B"/>
    <w:rsid w:val="00E86808"/>
    <w:rsid w:val="00E92254"/>
    <w:rsid w:val="00E92276"/>
    <w:rsid w:val="00E936E3"/>
    <w:rsid w:val="00E93C9C"/>
    <w:rsid w:val="00E97624"/>
    <w:rsid w:val="00EA2DDC"/>
    <w:rsid w:val="00EA7860"/>
    <w:rsid w:val="00EB051C"/>
    <w:rsid w:val="00EB2A60"/>
    <w:rsid w:val="00EB5837"/>
    <w:rsid w:val="00EB6DAA"/>
    <w:rsid w:val="00EC2EB7"/>
    <w:rsid w:val="00EC44AC"/>
    <w:rsid w:val="00EC5020"/>
    <w:rsid w:val="00ED5A63"/>
    <w:rsid w:val="00ED621A"/>
    <w:rsid w:val="00ED634E"/>
    <w:rsid w:val="00ED7C63"/>
    <w:rsid w:val="00EE18BD"/>
    <w:rsid w:val="00EF5A62"/>
    <w:rsid w:val="00EF66B2"/>
    <w:rsid w:val="00EF6DB0"/>
    <w:rsid w:val="00EF79C6"/>
    <w:rsid w:val="00F00B2E"/>
    <w:rsid w:val="00F0607C"/>
    <w:rsid w:val="00F072FA"/>
    <w:rsid w:val="00F13775"/>
    <w:rsid w:val="00F14971"/>
    <w:rsid w:val="00F3059A"/>
    <w:rsid w:val="00F305FB"/>
    <w:rsid w:val="00F32561"/>
    <w:rsid w:val="00F350BF"/>
    <w:rsid w:val="00F46B44"/>
    <w:rsid w:val="00F47F54"/>
    <w:rsid w:val="00F50A68"/>
    <w:rsid w:val="00F55ADA"/>
    <w:rsid w:val="00F571CA"/>
    <w:rsid w:val="00F57655"/>
    <w:rsid w:val="00F605F2"/>
    <w:rsid w:val="00F6238C"/>
    <w:rsid w:val="00F63C62"/>
    <w:rsid w:val="00F67941"/>
    <w:rsid w:val="00F75EFC"/>
    <w:rsid w:val="00F85EFE"/>
    <w:rsid w:val="00F864BE"/>
    <w:rsid w:val="00F90CE1"/>
    <w:rsid w:val="00F92564"/>
    <w:rsid w:val="00F96FB8"/>
    <w:rsid w:val="00FA5C25"/>
    <w:rsid w:val="00FA6585"/>
    <w:rsid w:val="00FA6AB1"/>
    <w:rsid w:val="00FA7F58"/>
    <w:rsid w:val="00FC3F72"/>
    <w:rsid w:val="00FD0EAE"/>
    <w:rsid w:val="00FD22D0"/>
    <w:rsid w:val="00FD37ED"/>
    <w:rsid w:val="00FD4F31"/>
    <w:rsid w:val="00FD5396"/>
    <w:rsid w:val="00FD59DB"/>
    <w:rsid w:val="00FD6C4C"/>
    <w:rsid w:val="00FD7FAA"/>
    <w:rsid w:val="00FE05F7"/>
    <w:rsid w:val="00FF1628"/>
  </w:rsids>
  <m:mathPr>
    <m:mathFont m:val="Cambria Math"/>
    <m:brkBin m:val="before"/>
    <m:brkBinSub m:val="--"/>
    <m:smallFrac m:val="off"/>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7C6"/>
    <w:rPr>
      <w:sz w:val="24"/>
      <w:lang w:val="en-US" w:eastAsia="en-US"/>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paragraph" w:styleId="Heading3">
    <w:name w:val="heading 3"/>
    <w:basedOn w:val="Normal"/>
    <w:next w:val="Normal"/>
    <w:link w:val="Heading3Char"/>
    <w:semiHidden/>
    <w:unhideWhenUsed/>
    <w:qFormat/>
    <w:rsid w:val="00A26F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link w:val="HeaderChar"/>
    <w:uiPriority w:val="99"/>
    <w:rsid w:val="008437C6"/>
    <w:pPr>
      <w:tabs>
        <w:tab w:val="center" w:pos="4320"/>
        <w:tab w:val="right" w:pos="8640"/>
      </w:tabs>
    </w:pPr>
    <w:rPr>
      <w:rFonts w:ascii="Times New Roman" w:hAnsi="Times New Roman"/>
    </w:rPr>
  </w:style>
  <w:style w:type="character" w:styleId="PageNumber">
    <w:name w:val="page number"/>
    <w:basedOn w:val="DefaultParagraphFont"/>
    <w:rsid w:val="008437C6"/>
  </w:style>
  <w:style w:type="character" w:styleId="Hyperlink">
    <w:name w:val="Hyperlink"/>
    <w:basedOn w:val="DefaultParagraphFont"/>
    <w:rsid w:val="008437C6"/>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link w:val="FooterChar"/>
    <w:uiPriority w:val="99"/>
    <w:rsid w:val="008437C6"/>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character" w:styleId="CommentReference">
    <w:name w:val="annotation reference"/>
    <w:basedOn w:val="DefaultParagraphFont"/>
    <w:rsid w:val="00B35620"/>
    <w:rPr>
      <w:sz w:val="16"/>
      <w:szCs w:val="16"/>
    </w:rPr>
  </w:style>
  <w:style w:type="paragraph" w:styleId="CommentText">
    <w:name w:val="annotation text"/>
    <w:basedOn w:val="Normal"/>
    <w:link w:val="CommentTextChar"/>
    <w:rsid w:val="00B35620"/>
    <w:rPr>
      <w:sz w:val="20"/>
    </w:rPr>
  </w:style>
  <w:style w:type="character" w:customStyle="1" w:styleId="CommentTextChar">
    <w:name w:val="Comment Text Char"/>
    <w:basedOn w:val="DefaultParagraphFont"/>
    <w:link w:val="CommentText"/>
    <w:rsid w:val="00B35620"/>
    <w:rPr>
      <w:lang w:val="en-US" w:eastAsia="en-US"/>
    </w:rPr>
  </w:style>
  <w:style w:type="paragraph" w:styleId="CommentSubject">
    <w:name w:val="annotation subject"/>
    <w:basedOn w:val="CommentText"/>
    <w:next w:val="CommentText"/>
    <w:link w:val="CommentSubjectChar"/>
    <w:rsid w:val="00B35620"/>
    <w:rPr>
      <w:b/>
      <w:bCs/>
    </w:rPr>
  </w:style>
  <w:style w:type="character" w:customStyle="1" w:styleId="CommentSubjectChar">
    <w:name w:val="Comment Subject Char"/>
    <w:basedOn w:val="CommentTextChar"/>
    <w:link w:val="CommentSubject"/>
    <w:rsid w:val="00B35620"/>
    <w:rPr>
      <w:b/>
      <w:bCs/>
      <w:lang w:val="en-US" w:eastAsia="en-US"/>
    </w:rPr>
  </w:style>
  <w:style w:type="paragraph" w:styleId="BalloonText">
    <w:name w:val="Balloon Text"/>
    <w:basedOn w:val="Normal"/>
    <w:link w:val="BalloonTextChar"/>
    <w:rsid w:val="00B35620"/>
    <w:rPr>
      <w:rFonts w:ascii="Tahoma" w:hAnsi="Tahoma" w:cs="Tahoma"/>
      <w:sz w:val="16"/>
      <w:szCs w:val="16"/>
    </w:rPr>
  </w:style>
  <w:style w:type="character" w:customStyle="1" w:styleId="BalloonTextChar">
    <w:name w:val="Balloon Text Char"/>
    <w:basedOn w:val="DefaultParagraphFont"/>
    <w:link w:val="BalloonText"/>
    <w:rsid w:val="00B35620"/>
    <w:rPr>
      <w:rFonts w:ascii="Tahoma" w:hAnsi="Tahoma" w:cs="Tahoma"/>
      <w:sz w:val="16"/>
      <w:szCs w:val="16"/>
      <w:lang w:val="en-US" w:eastAsia="en-US"/>
    </w:rPr>
  </w:style>
  <w:style w:type="table" w:styleId="TableGrid">
    <w:name w:val="Table Grid"/>
    <w:basedOn w:val="TableNormal"/>
    <w:rsid w:val="00274D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3">
    <w:name w:val="Table 3D effects 3"/>
    <w:basedOn w:val="TableNormal"/>
    <w:rsid w:val="00274DC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274DC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Strong">
    <w:name w:val="Strong"/>
    <w:basedOn w:val="DefaultParagraphFont"/>
    <w:uiPriority w:val="22"/>
    <w:qFormat/>
    <w:rsid w:val="007C0180"/>
    <w:rPr>
      <w:b/>
      <w:bCs/>
    </w:rPr>
  </w:style>
  <w:style w:type="character" w:styleId="Emphasis">
    <w:name w:val="Emphasis"/>
    <w:basedOn w:val="DefaultParagraphFont"/>
    <w:uiPriority w:val="20"/>
    <w:qFormat/>
    <w:rsid w:val="007C0180"/>
    <w:rPr>
      <w:i/>
      <w:iCs/>
    </w:rPr>
  </w:style>
  <w:style w:type="paragraph" w:styleId="ListParagraph">
    <w:name w:val="List Paragraph"/>
    <w:basedOn w:val="Normal"/>
    <w:uiPriority w:val="34"/>
    <w:qFormat/>
    <w:rsid w:val="00FD22D0"/>
    <w:pPr>
      <w:spacing w:after="200" w:line="276" w:lineRule="auto"/>
      <w:ind w:left="720"/>
      <w:contextualSpacing/>
    </w:pPr>
    <w:rPr>
      <w:rFonts w:ascii="Calibri" w:hAnsi="Calibri"/>
      <w:sz w:val="20"/>
      <w:lang w:val="en-GB"/>
    </w:rPr>
  </w:style>
  <w:style w:type="character" w:customStyle="1" w:styleId="FooterChar">
    <w:name w:val="Footer Char"/>
    <w:basedOn w:val="DefaultParagraphFont"/>
    <w:link w:val="Footer"/>
    <w:uiPriority w:val="99"/>
    <w:rsid w:val="004D3D55"/>
    <w:rPr>
      <w:sz w:val="24"/>
      <w:lang w:val="en-US" w:eastAsia="en-US"/>
    </w:rPr>
  </w:style>
  <w:style w:type="character" w:customStyle="1" w:styleId="HeaderChar">
    <w:name w:val="Header Char"/>
    <w:basedOn w:val="DefaultParagraphFont"/>
    <w:link w:val="Header"/>
    <w:uiPriority w:val="99"/>
    <w:rsid w:val="004D3D55"/>
    <w:rPr>
      <w:rFonts w:ascii="Times New Roman" w:hAnsi="Times New Roman"/>
      <w:sz w:val="24"/>
      <w:lang w:val="en-US" w:eastAsia="en-US"/>
    </w:rPr>
  </w:style>
  <w:style w:type="character" w:customStyle="1" w:styleId="Heading3Char">
    <w:name w:val="Heading 3 Char"/>
    <w:basedOn w:val="DefaultParagraphFont"/>
    <w:link w:val="Heading3"/>
    <w:semiHidden/>
    <w:rsid w:val="00A26F87"/>
    <w:rPr>
      <w:rFonts w:asciiTheme="majorHAnsi" w:eastAsiaTheme="majorEastAsia" w:hAnsiTheme="majorHAnsi" w:cstheme="majorBidi"/>
      <w:b/>
      <w:bCs/>
      <w:color w:val="4F81BD" w:themeColor="accent1"/>
      <w:sz w:val="24"/>
      <w:lang w:val="en-US" w:eastAsia="en-US"/>
    </w:rPr>
  </w:style>
  <w:style w:type="character" w:customStyle="1" w:styleId="mw-headline">
    <w:name w:val="mw-headline"/>
    <w:basedOn w:val="DefaultParagraphFont"/>
    <w:rsid w:val="00A26F87"/>
  </w:style>
  <w:style w:type="paragraph" w:styleId="NormalWeb">
    <w:name w:val="Normal (Web)"/>
    <w:basedOn w:val="Normal"/>
    <w:uiPriority w:val="99"/>
    <w:unhideWhenUsed/>
    <w:rsid w:val="00A26F87"/>
    <w:pPr>
      <w:spacing w:before="100" w:beforeAutospacing="1" w:after="100" w:afterAutospacing="1"/>
    </w:pPr>
    <w:rPr>
      <w:sz w:val="20"/>
      <w:lang w:val="de-DE" w:eastAsia="de-DE"/>
    </w:rPr>
  </w:style>
  <w:style w:type="paragraph" w:styleId="Revision">
    <w:name w:val="Revision"/>
    <w:hidden/>
    <w:uiPriority w:val="99"/>
    <w:semiHidden/>
    <w:rsid w:val="008610BB"/>
    <w:rPr>
      <w:sz w:val="24"/>
      <w:lang w:val="en-US" w:eastAsia="en-US"/>
    </w:rPr>
  </w:style>
  <w:style w:type="table" w:styleId="TableSimple1">
    <w:name w:val="Table Simple 1"/>
    <w:basedOn w:val="TableNormal"/>
    <w:rsid w:val="00B215B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lug-doi">
    <w:name w:val="slug-doi"/>
    <w:basedOn w:val="DefaultParagraphFont"/>
    <w:rsid w:val="00677904"/>
  </w:style>
</w:styles>
</file>

<file path=word/webSettings.xml><?xml version="1.0" encoding="utf-8"?>
<w:webSettings xmlns:r="http://schemas.openxmlformats.org/officeDocument/2006/relationships" xmlns:w="http://schemas.openxmlformats.org/wordprocessingml/2006/main">
  <w:divs>
    <w:div w:id="350376321">
      <w:bodyDiv w:val="1"/>
      <w:marLeft w:val="0"/>
      <w:marRight w:val="0"/>
      <w:marTop w:val="0"/>
      <w:marBottom w:val="0"/>
      <w:divBdr>
        <w:top w:val="none" w:sz="0" w:space="0" w:color="auto"/>
        <w:left w:val="none" w:sz="0" w:space="0" w:color="auto"/>
        <w:bottom w:val="none" w:sz="0" w:space="0" w:color="auto"/>
        <w:right w:val="none" w:sz="0" w:space="0" w:color="auto"/>
      </w:divBdr>
    </w:div>
    <w:div w:id="406735332">
      <w:bodyDiv w:val="1"/>
      <w:marLeft w:val="0"/>
      <w:marRight w:val="0"/>
      <w:marTop w:val="0"/>
      <w:marBottom w:val="0"/>
      <w:divBdr>
        <w:top w:val="none" w:sz="0" w:space="0" w:color="auto"/>
        <w:left w:val="none" w:sz="0" w:space="0" w:color="auto"/>
        <w:bottom w:val="none" w:sz="0" w:space="0" w:color="auto"/>
        <w:right w:val="none" w:sz="0" w:space="0" w:color="auto"/>
      </w:divBdr>
    </w:div>
    <w:div w:id="1486894809">
      <w:bodyDiv w:val="1"/>
      <w:marLeft w:val="0"/>
      <w:marRight w:val="0"/>
      <w:marTop w:val="0"/>
      <w:marBottom w:val="0"/>
      <w:divBdr>
        <w:top w:val="none" w:sz="0" w:space="0" w:color="auto"/>
        <w:left w:val="none" w:sz="0" w:space="0" w:color="auto"/>
        <w:bottom w:val="none" w:sz="0" w:space="0" w:color="auto"/>
        <w:right w:val="none" w:sz="0" w:space="0" w:color="auto"/>
      </w:divBdr>
    </w:div>
    <w:div w:id="1803159604">
      <w:bodyDiv w:val="1"/>
      <w:marLeft w:val="0"/>
      <w:marRight w:val="0"/>
      <w:marTop w:val="0"/>
      <w:marBottom w:val="0"/>
      <w:divBdr>
        <w:top w:val="none" w:sz="0" w:space="0" w:color="auto"/>
        <w:left w:val="none" w:sz="0" w:space="0" w:color="auto"/>
        <w:bottom w:val="none" w:sz="0" w:space="0" w:color="auto"/>
        <w:right w:val="none" w:sz="0" w:space="0" w:color="auto"/>
      </w:divBdr>
      <w:divsChild>
        <w:div w:id="1607884254">
          <w:marLeft w:val="0"/>
          <w:marRight w:val="0"/>
          <w:marTop w:val="0"/>
          <w:marBottom w:val="0"/>
          <w:divBdr>
            <w:top w:val="none" w:sz="0" w:space="0" w:color="auto"/>
            <w:left w:val="none" w:sz="0" w:space="0" w:color="auto"/>
            <w:bottom w:val="none" w:sz="0" w:space="0" w:color="auto"/>
            <w:right w:val="none" w:sz="0" w:space="0" w:color="auto"/>
          </w:divBdr>
        </w:div>
        <w:div w:id="874081668">
          <w:marLeft w:val="0"/>
          <w:marRight w:val="0"/>
          <w:marTop w:val="0"/>
          <w:marBottom w:val="0"/>
          <w:divBdr>
            <w:top w:val="none" w:sz="0" w:space="0" w:color="auto"/>
            <w:left w:val="none" w:sz="0" w:space="0" w:color="auto"/>
            <w:bottom w:val="none" w:sz="0" w:space="0" w:color="auto"/>
            <w:right w:val="none" w:sz="0" w:space="0" w:color="auto"/>
          </w:divBdr>
        </w:div>
        <w:div w:id="201714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x.doi.org/10.1006/jecp.2000.2564" TargetMode="External"/><Relationship Id="rId18" Type="http://schemas.openxmlformats.org/officeDocument/2006/relationships/hyperlink" Target="http://dx.doi.org/10.1027/2151-2604/a000041" TargetMode="External"/><Relationship Id="rId3" Type="http://schemas.openxmlformats.org/officeDocument/2006/relationships/styles" Target="styles.xml"/><Relationship Id="rId21" Type="http://schemas.openxmlformats.org/officeDocument/2006/relationships/hyperlink" Target="http://dx.doi.org/10.1016/j.jecp.2010.09.002" TargetMode="External"/><Relationship Id="rId7" Type="http://schemas.openxmlformats.org/officeDocument/2006/relationships/endnotes" Target="endnotes.xml"/><Relationship Id="rId12" Type="http://schemas.openxmlformats.org/officeDocument/2006/relationships/hyperlink" Target="http://dx.doi.org/10.3758/BF03198412" TargetMode="External"/><Relationship Id="rId17" Type="http://schemas.openxmlformats.org/officeDocument/2006/relationships/hyperlink" Target="http://dx.doi.org/10.1037/0012-1649.40.6.11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16/j.ridd.2011.03.012" TargetMode="External"/><Relationship Id="rId20" Type="http://schemas.openxmlformats.org/officeDocument/2006/relationships/hyperlink" Target="http://dx.doi.org/10.1016/j.bandl.2004.06.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0010-9452(08)7000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111/j.2044-8295.2011.02034.x" TargetMode="External"/><Relationship Id="rId23" Type="http://schemas.openxmlformats.org/officeDocument/2006/relationships/header" Target="header1.xml"/><Relationship Id="rId10" Type="http://schemas.openxmlformats.org/officeDocument/2006/relationships/hyperlink" Target="http://dx.doi.org/10.1016/0010-0277(92)90049-N" TargetMode="External"/><Relationship Id="rId19" Type="http://schemas.openxmlformats.org/officeDocument/2006/relationships/hyperlink" Target="http://dx.doi.org/10.1016/S0010-0277(01)00142-1" TargetMode="External"/><Relationship Id="rId4" Type="http://schemas.openxmlformats.org/officeDocument/2006/relationships/settings" Target="settings.xml"/><Relationship Id="rId9" Type="http://schemas.openxmlformats.org/officeDocument/2006/relationships/hyperlink" Target="http://dx.doi.org/10.1080/17470210903134377" TargetMode="External"/><Relationship Id="rId14" Type="http://schemas.openxmlformats.org/officeDocument/2006/relationships/hyperlink" Target="http://dx.doi.org/10.1080/87565641.2010.549880" TargetMode="External"/><Relationship Id="rId22" Type="http://schemas.openxmlformats.org/officeDocument/2006/relationships/hyperlink" Target="http://dx.doi.org/10.1016/j.jecp.2008.04.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5E3E-321A-4FA7-A811-850E0A0A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5366</Words>
  <Characters>30591</Characters>
  <Application>Microsoft Office Word</Application>
  <DocSecurity>0</DocSecurity>
  <Lines>254</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vanguard university</Company>
  <LinksUpToDate>false</LinksUpToDate>
  <CharactersWithSpaces>35886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dc:creator>
  <cp:lastModifiedBy>Silke</cp:lastModifiedBy>
  <cp:revision>3</cp:revision>
  <cp:lastPrinted>2013-09-06T15:31:00Z</cp:lastPrinted>
  <dcterms:created xsi:type="dcterms:W3CDTF">2013-10-01T13:26:00Z</dcterms:created>
  <dcterms:modified xsi:type="dcterms:W3CDTF">2013-10-01T13:27:00Z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ies>
</file>