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0"/>
        <w:spacing w:after="0" w:before="0" w:lineRule="auto"/>
        <w:ind w:left="0" w:right="0" w:firstLine="0"/>
        <w:contextualSpacing w:val="0"/>
      </w:pPr>
      <w:r w:rsidDel="00000000" w:rsidR="00000000" w:rsidRPr="00000000">
        <w:rPr>
          <w:rtl w:val="0"/>
        </w:rPr>
      </w:r>
    </w:p>
    <w:p w:rsidR="00000000" w:rsidDel="00000000" w:rsidP="00000000" w:rsidRDefault="00000000" w:rsidRPr="00000000">
      <w:pPr>
        <w:keepNext w:val="0"/>
        <w:keepLines w:val="0"/>
        <w:widowControl w:val="0"/>
        <w:spacing w:after="0" w:before="0" w:lineRule="auto"/>
        <w:ind w:left="0" w:right="0" w:firstLine="0"/>
        <w:contextualSpacing w:val="0"/>
      </w:pPr>
      <w:r w:rsidDel="00000000" w:rsidR="00000000" w:rsidRPr="00000000">
        <w:rPr>
          <w:rtl w:val="0"/>
        </w:rPr>
      </w:r>
    </w:p>
    <w:p w:rsidR="00000000" w:rsidDel="00000000" w:rsidP="00000000" w:rsidRDefault="00000000" w:rsidRPr="00000000">
      <w:pPr>
        <w:keepNext w:val="0"/>
        <w:keepLines w:val="0"/>
        <w:widowControl w:val="0"/>
        <w:spacing w:after="0" w:before="0" w:lineRule="auto"/>
        <w:ind w:left="0" w:right="0" w:firstLine="0"/>
        <w:contextualSpacing w:val="0"/>
      </w:pPr>
      <w:r w:rsidDel="00000000" w:rsidR="00000000" w:rsidRPr="00000000">
        <w:rPr>
          <w:i w:val="1"/>
          <w:rtl w:val="0"/>
        </w:rPr>
        <w:t xml:space="preserve">IN BOX:</w:t>
      </w:r>
    </w:p>
    <w:p w:rsidR="00000000" w:rsidDel="00000000" w:rsidP="00000000" w:rsidRDefault="00000000" w:rsidRPr="00000000">
      <w:pPr>
        <w:keepNext w:val="0"/>
        <w:keepLines w:val="0"/>
        <w:widowControl w:val="0"/>
        <w:spacing w:after="0" w:before="0" w:lineRule="auto"/>
        <w:ind w:left="0" w:right="0" w:firstLine="0"/>
        <w:contextualSpacing w:val="0"/>
      </w:pPr>
      <w:r w:rsidDel="00000000" w:rsidR="00000000" w:rsidRPr="00000000">
        <w:rPr>
          <w:rFonts w:ascii="Verdana" w:cs="Verdana" w:eastAsia="Verdana" w:hAnsi="Verdana"/>
          <w:i w:val="1"/>
          <w:rtl w:val="0"/>
        </w:rPr>
        <w:t xml:space="preserve">Archimedes </w:t>
      </w:r>
      <w:r w:rsidDel="00000000" w:rsidR="00000000" w:rsidRPr="00000000">
        <w:rPr>
          <w:rtl w:val="0"/>
        </w:rPr>
        <w:t xml:space="preserve">seeks to assist practising clinicians by providing “evidence-based” answers to common questions that are not at the forefront of research but are at the core of practice (format adapted from BestBETS published in the </w:t>
      </w:r>
      <w:r w:rsidDel="00000000" w:rsidR="00000000" w:rsidRPr="00000000">
        <w:rPr>
          <w:rFonts w:ascii="Verdana" w:cs="Verdana" w:eastAsia="Verdana" w:hAnsi="Verdana"/>
          <w:i w:val="1"/>
          <w:rtl w:val="0"/>
        </w:rPr>
        <w:t xml:space="preserve">Emergency</w:t>
      </w:r>
      <w:r w:rsidDel="00000000" w:rsidR="00000000" w:rsidRPr="00000000">
        <w:rPr>
          <w:rtl w:val="0"/>
        </w:rPr>
        <w:t xml:space="preserve"> </w:t>
      </w:r>
      <w:r w:rsidDel="00000000" w:rsidR="00000000" w:rsidRPr="00000000">
        <w:rPr>
          <w:rFonts w:ascii="Verdana" w:cs="Verdana" w:eastAsia="Verdana" w:hAnsi="Verdana"/>
          <w:i w:val="1"/>
          <w:rtl w:val="0"/>
        </w:rPr>
        <w:t xml:space="preserve">Medicine Journal</w:t>
      </w:r>
      <w:r w:rsidDel="00000000" w:rsidR="00000000" w:rsidRPr="00000000">
        <w:rPr>
          <w:rtl w:val="0"/>
        </w:rPr>
        <w:t xml:space="preserve">). A full description of the format is available online at http://bit.ly/ArchiTemplate.</w:t>
      </w:r>
    </w:p>
    <w:p w:rsidR="00000000" w:rsidDel="00000000" w:rsidP="00000000" w:rsidRDefault="00000000" w:rsidRPr="00000000">
      <w:pPr>
        <w:keepNext w:val="0"/>
        <w:keepLines w:val="0"/>
        <w:widowControl w:val="0"/>
        <w:spacing w:after="0" w:before="0" w:lineRule="auto"/>
        <w:ind w:left="0" w:right="0" w:firstLine="0"/>
        <w:contextualSpacing w:val="0"/>
      </w:pPr>
      <w:r w:rsidDel="00000000" w:rsidR="00000000" w:rsidRPr="00000000">
        <w:rPr>
          <w:rtl w:val="0"/>
        </w:rPr>
      </w:r>
    </w:p>
    <w:p w:rsidR="00000000" w:rsidDel="00000000" w:rsidP="00000000" w:rsidRDefault="00000000" w:rsidRPr="00000000">
      <w:pPr>
        <w:keepNext w:val="0"/>
        <w:keepLines w:val="0"/>
        <w:widowControl w:val="0"/>
        <w:spacing w:after="0" w:before="0" w:lineRule="auto"/>
        <w:ind w:left="0" w:right="0" w:firstLine="0"/>
        <w:contextualSpacing w:val="0"/>
      </w:pPr>
      <w:r w:rsidDel="00000000" w:rsidR="00000000" w:rsidRPr="00000000">
        <w:rPr>
          <w:rtl w:val="0"/>
        </w:rPr>
        <w:t xml:space="preserve">Readers wishing to submit their own questions—with best evidence answers—are encouraged to review those already proposed at www.bestbets.org. If your question still hasn’t been answered, feel free to submit your summary according to the instructions for authors at http://bit.ly/ArchiInstructions</w:t>
      </w:r>
    </w:p>
    <w:p w:rsidR="00000000" w:rsidDel="00000000" w:rsidP="00000000" w:rsidRDefault="00000000" w:rsidRPr="00000000">
      <w:pPr>
        <w:keepNext w:val="0"/>
        <w:keepLines w:val="0"/>
        <w:widowControl w:val="0"/>
        <w:spacing w:after="0" w:before="0" w:lineRule="auto"/>
        <w:ind w:left="0" w:right="0" w:firstLine="0"/>
        <w:contextualSpacing w:val="0"/>
      </w:pPr>
      <w:r w:rsidDel="00000000" w:rsidR="00000000" w:rsidRPr="00000000">
        <w:rPr>
          <w:rtl w:val="0"/>
        </w:rPr>
        <w:t xml:space="preserve"> </w:t>
      </w:r>
      <w:r w:rsidDel="00000000" w:rsidR="00000000" w:rsidRPr="00000000">
        <w:rPr>
          <w:rtl w:val="0"/>
        </w:rPr>
      </w:r>
    </w:p>
    <w:p w:rsidR="00000000" w:rsidDel="00000000" w:rsidP="00000000" w:rsidRDefault="00000000" w:rsidRPr="00000000">
      <w:pPr>
        <w:keepNext w:val="0"/>
        <w:keepLines w:val="0"/>
        <w:widowControl w:val="0"/>
        <w:spacing w:after="0" w:before="0" w:lineRule="auto"/>
        <w:ind w:left="0" w:right="0" w:firstLine="0"/>
        <w:contextualSpacing w:val="0"/>
      </w:pPr>
      <w:r w:rsidDel="00000000" w:rsidR="00000000" w:rsidRPr="00000000">
        <w:rPr>
          <w:rtl w:val="0"/>
        </w:rPr>
      </w:r>
    </w:p>
    <w:p w:rsidR="00000000" w:rsidDel="00000000" w:rsidP="00000000" w:rsidRDefault="00000000" w:rsidRPr="00000000">
      <w:pPr>
        <w:pStyle w:val="Heading2"/>
        <w:spacing w:after="0" w:before="0" w:line="360" w:lineRule="auto"/>
        <w:ind w:left="0" w:right="0" w:firstLine="0"/>
        <w:contextualSpacing w:val="0"/>
      </w:pPr>
      <w:bookmarkStart w:colFirst="0" w:colLast="0" w:name="h.607qt53g80xg" w:id="0"/>
      <w:bookmarkEnd w:id="0"/>
      <w:hyperlink r:id="rId5">
        <w:r w:rsidDel="00000000" w:rsidR="00000000" w:rsidRPr="00000000">
          <w:rPr>
            <w:rFonts w:ascii="Arial" w:cs="Arial" w:eastAsia="Arial" w:hAnsi="Arial"/>
            <w:color w:val="006699"/>
            <w:sz w:val="62"/>
            <w:rtl w:val="0"/>
          </w:rPr>
          <w:t xml:space="preserve">What about mixedupness?</w:t>
        </w:r>
      </w:hyperlink>
    </w:p>
    <w:p w:rsidR="00000000" w:rsidDel="00000000" w:rsidP="00000000" w:rsidRDefault="00000000" w:rsidRPr="00000000">
      <w:pPr>
        <w:spacing w:after="220" w:before="40" w:line="360" w:lineRule="auto"/>
        <w:ind w:left="0" w:firstLine="0"/>
        <w:contextualSpacing w:val="0"/>
      </w:pPr>
      <w:r w:rsidDel="00000000" w:rsidR="00000000" w:rsidRPr="00000000">
        <w:rPr>
          <w:rtl w:val="0"/>
        </w:rPr>
      </w:r>
    </w:p>
    <w:p w:rsidR="00000000" w:rsidDel="00000000" w:rsidP="00000000" w:rsidRDefault="00000000" w:rsidRPr="00000000">
      <w:pPr>
        <w:spacing w:after="220" w:before="40" w:line="360" w:lineRule="auto"/>
        <w:contextualSpacing w:val="0"/>
      </w:pPr>
      <w:r w:rsidDel="00000000" w:rsidR="00000000" w:rsidRPr="00000000">
        <w:rPr>
          <w:rFonts w:ascii="Arial" w:cs="Arial" w:eastAsia="Arial" w:hAnsi="Arial"/>
          <w:color w:val="333333"/>
          <w:sz w:val="28"/>
          <w:rtl w:val="0"/>
        </w:rPr>
        <w:t xml:space="preserve">The subject of heterogeneity (mixed~up~ness) in systematic reviews is tricky. A bit like ‘</w:t>
      </w:r>
      <w:hyperlink r:id="rId6">
        <w:r w:rsidDel="00000000" w:rsidR="00000000" w:rsidRPr="00000000">
          <w:rPr>
            <w:rFonts w:ascii="Arial" w:cs="Arial" w:eastAsia="Arial" w:hAnsi="Arial"/>
            <w:color w:val="006699"/>
            <w:sz w:val="28"/>
            <w:rtl w:val="0"/>
          </w:rPr>
          <w:t xml:space="preserve">significance</w:t>
        </w:r>
      </w:hyperlink>
      <w:r w:rsidDel="00000000" w:rsidR="00000000" w:rsidRPr="00000000">
        <w:rPr>
          <w:rFonts w:ascii="Arial" w:cs="Arial" w:eastAsia="Arial" w:hAnsi="Arial"/>
          <w:color w:val="333333"/>
          <w:sz w:val="28"/>
          <w:rtl w:val="0"/>
        </w:rPr>
        <w:t xml:space="preserve">‘ you can think about it as both a clinical and statistical concept, and in the same way, you can get results that aren’t always concordant. (Remember the idea of a drug that, for 99.999% sure, reduces your systolic blood pressure by 0.01 mmHg. It’s a statistical association that’s unlikely to be due to chance, but is clinically irrelevant.) The same questions need to be asked of heterogeneity within studies as you do of ‘significance’.</w:t>
      </w:r>
    </w:p>
    <w:p w:rsidR="00000000" w:rsidDel="00000000" w:rsidP="00000000" w:rsidRDefault="00000000" w:rsidRPr="00000000">
      <w:pPr>
        <w:spacing w:after="220" w:before="40" w:line="360" w:lineRule="auto"/>
        <w:contextualSpacing w:val="0"/>
      </w:pPr>
      <w:r w:rsidDel="00000000" w:rsidR="00000000" w:rsidRPr="00000000">
        <w:rPr>
          <w:rFonts w:ascii="Arial" w:cs="Arial" w:eastAsia="Arial" w:hAnsi="Arial"/>
          <w:color w:val="333333"/>
          <w:sz w:val="28"/>
          <w:rtl w:val="0"/>
        </w:rPr>
        <w:t xml:space="preserve">Ask first: are the clinically different, and any attempt to add them up is daft, or are they similar enough to try to combine? Then, if they make sense, you should look at if the results look like they are similar, or different, and perhaps have a look at the </w:t>
      </w:r>
      <w:hyperlink r:id="rId7">
        <w:r w:rsidDel="00000000" w:rsidR="00000000" w:rsidRPr="00000000">
          <w:rPr>
            <w:rFonts w:ascii="Arial" w:cs="Arial" w:eastAsia="Arial" w:hAnsi="Arial"/>
            <w:color w:val="006699"/>
            <w:sz w:val="28"/>
            <w:rtl w:val="0"/>
          </w:rPr>
          <w:t xml:space="preserve">statistical measures of heterogeneity</w:t>
        </w:r>
      </w:hyperlink>
      <w:r w:rsidDel="00000000" w:rsidR="00000000" w:rsidRPr="00000000">
        <w:rPr>
          <w:rFonts w:ascii="Arial" w:cs="Arial" w:eastAsia="Arial" w:hAnsi="Arial"/>
          <w:color w:val="333333"/>
          <w:sz w:val="28"/>
          <w:rtl w:val="0"/>
        </w:rPr>
        <w:t xml:space="preserve"> (which in this setting means “more different than you’d expect by chance”).</w:t>
      </w:r>
    </w:p>
    <w:p w:rsidR="00000000" w:rsidDel="00000000" w:rsidP="00000000" w:rsidRDefault="00000000" w:rsidRPr="00000000">
      <w:pPr>
        <w:spacing w:after="220" w:before="40" w:line="360" w:lineRule="auto"/>
        <w:contextualSpacing w:val="0"/>
      </w:pPr>
      <w:r w:rsidDel="00000000" w:rsidR="00000000" w:rsidRPr="00000000">
        <w:rPr>
          <w:rFonts w:ascii="Arial" w:cs="Arial" w:eastAsia="Arial" w:hAnsi="Arial"/>
          <w:color w:val="333333"/>
          <w:sz w:val="28"/>
          <w:rtl w:val="0"/>
        </w:rPr>
        <w:t xml:space="preserve">But a quick “hold on” before the answer arrives too simply.</w:t>
      </w:r>
    </w:p>
    <w:p w:rsidR="00000000" w:rsidDel="00000000" w:rsidP="00000000" w:rsidRDefault="00000000" w:rsidRPr="00000000">
      <w:pPr>
        <w:spacing w:after="220" w:before="40" w:line="360" w:lineRule="auto"/>
        <w:contextualSpacing w:val="0"/>
      </w:pPr>
      <w:r w:rsidDel="00000000" w:rsidR="00000000" w:rsidRPr="00000000">
        <w:rPr>
          <w:rFonts w:ascii="Arial" w:cs="Arial" w:eastAsia="Arial" w:hAnsi="Arial"/>
          <w:color w:val="333333"/>
          <w:sz w:val="28"/>
          <w:rtl w:val="0"/>
        </w:rPr>
        <w:t xml:space="preserve">What does ‘clinically too mixed up mean’? Remember, the differences between the studies, to make them too heterogenous, should mean that we expect the treatment to actually have a truely different effect in the different study groups.</w:t>
      </w:r>
    </w:p>
    <w:p w:rsidR="00000000" w:rsidDel="00000000" w:rsidP="00000000" w:rsidRDefault="00000000" w:rsidRPr="00000000">
      <w:pPr>
        <w:spacing w:after="220" w:before="40" w:line="360" w:lineRule="auto"/>
        <w:contextualSpacing w:val="0"/>
      </w:pPr>
      <w:r w:rsidDel="00000000" w:rsidR="00000000" w:rsidRPr="00000000">
        <w:rPr>
          <w:rFonts w:ascii="Arial" w:cs="Arial" w:eastAsia="Arial" w:hAnsi="Arial"/>
          <w:color w:val="333333"/>
          <w:sz w:val="28"/>
          <w:rtl w:val="0"/>
        </w:rPr>
        <w:t xml:space="preserve">Then if you can explain why they could be different, and why you might be expecting to need to do something different with those groups of patients, you can quite reasonably say that any sort of lumping is the wrong thing to do and you’ll ignore any meta-analytic results that emerge. Because it might not be statistically heterogenous, but it’s clinically too mixed up to make sense.</w:t>
      </w:r>
    </w:p>
    <w:p w:rsidR="00000000" w:rsidDel="00000000" w:rsidP="00000000" w:rsidRDefault="00000000" w:rsidRPr="00000000">
      <w:pPr>
        <w:spacing w:after="220" w:before="40" w:line="360" w:lineRule="auto"/>
        <w:contextualSpacing w:val="0"/>
        <w:rPr/>
      </w:pPr>
      <w:r w:rsidDel="00000000" w:rsidR="00000000" w:rsidRPr="00000000">
        <w:rPr>
          <w:rtl w:val="0"/>
        </w:rPr>
      </w:r>
    </w:p>
    <w:p w:rsidR="00000000" w:rsidDel="00000000" w:rsidP="00000000" w:rsidRDefault="00000000" w:rsidRPr="00000000">
      <w:pPr>
        <w:spacing w:after="220" w:before="40" w:line="342" w:lineRule="auto"/>
        <w:contextualSpacing w:val="0"/>
        <w:rPr/>
      </w:pPr>
      <w:r w:rsidDel="00000000" w:rsidR="00000000" w:rsidRPr="00000000">
        <w:rPr>
          <w:rtl w:val="0"/>
        </w:rPr>
      </w:r>
    </w:p>
    <w:p w:rsidR="00000000" w:rsidDel="00000000" w:rsidP="00000000" w:rsidRDefault="00000000" w:rsidRPr="00000000">
      <w:pPr>
        <w:spacing w:after="160" w:before="0" w:line="392.712" w:lineRule="auto"/>
        <w:ind w:left="0" w:right="0" w:firstLine="0"/>
        <w:contextualSpacing w:val="0"/>
      </w:pPr>
      <w:r w:rsidDel="00000000" w:rsidR="00000000" w:rsidRPr="00000000">
        <w:rPr>
          <w:rtl w:val="0"/>
        </w:rPr>
      </w:r>
    </w:p>
    <w:p w:rsidR="00000000" w:rsidDel="00000000" w:rsidP="00000000" w:rsidRDefault="00000000" w:rsidRPr="00000000">
      <w:pPr>
        <w:keepNext w:val="0"/>
        <w:keepLines w:val="0"/>
        <w:widowControl w:val="0"/>
        <w:spacing w:after="0" w:before="0" w:line="342" w:lineRule="auto"/>
        <w:ind w:left="0" w:right="0" w:firstLine="0"/>
        <w:contextualSpacing w:val="0"/>
        <w:rPr/>
      </w:pPr>
      <w:r w:rsidDel="00000000" w:rsidR="00000000" w:rsidRPr="00000000">
        <w:rPr>
          <w:rFonts w:ascii="Georgia" w:cs="Georgia" w:eastAsia="Georgia" w:hAnsi="Georgia"/>
          <w:color w:val="333333"/>
          <w:rtl w:val="0"/>
        </w:rPr>
        <w:t xml:space="preserve"> </w:t>
      </w:r>
    </w:p>
    <w:p w:rsidR="00000000" w:rsidDel="00000000" w:rsidP="00000000" w:rsidRDefault="00000000" w:rsidRPr="00000000">
      <w:pPr>
        <w:keepNext w:val="0"/>
        <w:keepLines w:val="0"/>
        <w:widowControl w:val="0"/>
        <w:spacing w:after="0" w:before="0" w:lineRule="auto"/>
        <w:ind w:left="0" w:right="0" w:firstLine="0"/>
        <w:contextualSpacing w:val="0"/>
      </w:pPr>
      <w:r w:rsidDel="00000000" w:rsidR="00000000" w:rsidRPr="00000000">
        <w:rPr>
          <w:rtl w:val="0"/>
        </w:rPr>
      </w:r>
    </w:p>
    <w:p w:rsidR="00000000" w:rsidDel="00000000" w:rsidP="00000000" w:rsidRDefault="00000000" w:rsidRPr="00000000">
      <w:pPr>
        <w:keepNext w:val="0"/>
        <w:keepLines w:val="0"/>
        <w:widowControl w:val="0"/>
        <w:spacing w:after="0" w:before="0" w:lineRule="auto"/>
        <w:ind w:left="0" w:right="0" w:firstLine="0"/>
        <w:contextualSpacing w:val="0"/>
      </w:pPr>
      <w:r w:rsidDel="00000000" w:rsidR="00000000" w:rsidRPr="00000000">
        <w:rPr>
          <w:rFonts w:ascii="Courier New" w:cs="Courier New" w:eastAsia="Courier New" w:hAnsi="Courier New"/>
          <w:color w:val="333333"/>
          <w:rtl w:val="0"/>
        </w:rPr>
        <w:t xml:space="preserve">the Corresponding Author has the right to grant on behalf of all authors and</w:t>
      </w:r>
      <w:r w:rsidDel="00000000" w:rsidR="00000000" w:rsidRPr="00000000">
        <w:rPr>
          <w:rFonts w:ascii="Courier New" w:cs="Courier New" w:eastAsia="Courier New" w:hAnsi="Courier New"/>
          <w:rtl w:val="0"/>
        </w:rPr>
        <w:t xml:space="preserve"> </w:t>
      </w:r>
    </w:p>
    <w:p w:rsidR="00000000" w:rsidDel="00000000" w:rsidP="00000000" w:rsidRDefault="00000000" w:rsidRPr="00000000">
      <w:pPr>
        <w:keepNext w:val="0"/>
        <w:keepLines w:val="0"/>
        <w:widowControl w:val="0"/>
        <w:spacing w:after="0" w:before="0" w:lineRule="auto"/>
        <w:ind w:left="0" w:right="0" w:firstLine="0"/>
        <w:contextualSpacing w:val="0"/>
      </w:pPr>
      <w:r w:rsidDel="00000000" w:rsidR="00000000" w:rsidRPr="00000000">
        <w:rPr>
          <w:rFonts w:ascii="Courier New" w:cs="Courier New" w:eastAsia="Courier New" w:hAnsi="Courier New"/>
          <w:rtl w:val="0"/>
        </w:rPr>
        <w:t xml:space="preserve">does grant on behalf of all authors, an exclusive licence (or non exclusive </w:t>
      </w:r>
    </w:p>
    <w:p w:rsidR="00000000" w:rsidDel="00000000" w:rsidP="00000000" w:rsidRDefault="00000000" w:rsidRPr="00000000">
      <w:pPr>
        <w:keepNext w:val="0"/>
        <w:keepLines w:val="0"/>
        <w:widowControl w:val="0"/>
        <w:spacing w:after="0" w:before="0" w:lineRule="auto"/>
        <w:ind w:left="0" w:right="0" w:firstLine="0"/>
        <w:contextualSpacing w:val="0"/>
      </w:pPr>
      <w:r w:rsidDel="00000000" w:rsidR="00000000" w:rsidRPr="00000000">
        <w:rPr>
          <w:rFonts w:ascii="Courier New" w:cs="Courier New" w:eastAsia="Courier New" w:hAnsi="Courier New"/>
          <w:rtl w:val="0"/>
        </w:rPr>
        <w:t xml:space="preserve">for government employees) on a worldwide basis to the BMJ Publishing Group Ltd </w:t>
      </w:r>
    </w:p>
    <w:p w:rsidR="00000000" w:rsidDel="00000000" w:rsidP="00000000" w:rsidRDefault="00000000" w:rsidRPr="00000000">
      <w:pPr>
        <w:keepNext w:val="0"/>
        <w:keepLines w:val="0"/>
        <w:widowControl w:val="0"/>
        <w:spacing w:after="0" w:before="0" w:lineRule="auto"/>
        <w:ind w:left="0" w:right="0" w:firstLine="0"/>
        <w:contextualSpacing w:val="0"/>
      </w:pPr>
      <w:r w:rsidDel="00000000" w:rsidR="00000000" w:rsidRPr="00000000">
        <w:rPr>
          <w:rFonts w:ascii="Courier New" w:cs="Courier New" w:eastAsia="Courier New" w:hAnsi="Courier New"/>
          <w:rtl w:val="0"/>
        </w:rPr>
        <w:t xml:space="preserve">and its Licensees to permit this article (if accepted) to be published in </w:t>
      </w:r>
    </w:p>
    <w:p w:rsidR="00000000" w:rsidDel="00000000" w:rsidP="00000000" w:rsidRDefault="00000000" w:rsidRPr="00000000">
      <w:pPr>
        <w:keepNext w:val="0"/>
        <w:keepLines w:val="0"/>
        <w:widowControl w:val="0"/>
        <w:spacing w:after="0" w:before="0" w:lineRule="auto"/>
        <w:ind w:left="0" w:right="0" w:firstLine="0"/>
        <w:contextualSpacing w:val="0"/>
      </w:pPr>
      <w:r w:rsidDel="00000000" w:rsidR="00000000" w:rsidRPr="00000000">
        <w:rPr>
          <w:rFonts w:ascii="Courier New" w:cs="Courier New" w:eastAsia="Courier New" w:hAnsi="Courier New"/>
          <w:rtl w:val="0"/>
        </w:rPr>
        <w:t xml:space="preserve">Archives of Disease in Childhood editions and any other BMJPGL products to </w:t>
      </w:r>
    </w:p>
    <w:p w:rsidR="00000000" w:rsidDel="00000000" w:rsidP="00000000" w:rsidRDefault="00000000" w:rsidRPr="00000000">
      <w:pPr>
        <w:keepNext w:val="0"/>
        <w:keepLines w:val="0"/>
        <w:widowControl w:val="0"/>
        <w:spacing w:after="0" w:before="0" w:lineRule="auto"/>
        <w:ind w:left="0" w:right="0" w:firstLine="0"/>
        <w:contextualSpacing w:val="0"/>
      </w:pPr>
      <w:r w:rsidDel="00000000" w:rsidR="00000000" w:rsidRPr="00000000">
        <w:rPr>
          <w:rFonts w:ascii="Courier New" w:cs="Courier New" w:eastAsia="Courier New" w:hAnsi="Courier New"/>
          <w:rtl w:val="0"/>
        </w:rPr>
        <w:t xml:space="preserve">exploit all subsidiary rights, as set out in our licence </w:t>
      </w:r>
    </w:p>
    <w:p w:rsidR="00000000" w:rsidDel="00000000" w:rsidP="00000000" w:rsidRDefault="00000000" w:rsidRPr="00000000">
      <w:pPr>
        <w:keepNext w:val="0"/>
        <w:keepLines w:val="0"/>
        <w:widowControl w:val="0"/>
        <w:spacing w:after="0" w:before="0" w:lineRule="auto"/>
        <w:ind w:left="0" w:right="0" w:firstLine="0"/>
        <w:contextualSpacing w:val="0"/>
      </w:pPr>
      <w:r w:rsidDel="00000000" w:rsidR="00000000" w:rsidRPr="00000000">
        <w:rPr>
          <w:rFonts w:ascii="Courier New" w:cs="Courier New" w:eastAsia="Courier New" w:hAnsi="Courier New"/>
          <w:rtl w:val="0"/>
        </w:rPr>
        <w:t xml:space="preserve">(</w:t>
      </w:r>
      <w:hyperlink r:id="rId8">
        <w:r w:rsidDel="00000000" w:rsidR="00000000" w:rsidRPr="00000000">
          <w:rPr>
            <w:rFonts w:ascii="Courier New" w:cs="Courier New" w:eastAsia="Courier New" w:hAnsi="Courier New"/>
            <w:color w:val="0000ee"/>
            <w:u w:val="single"/>
            <w:rtl w:val="0"/>
          </w:rPr>
          <w:t xml:space="preserve">http://group.bmj.com/products/journals/instructions-for-authors/licence-forms</w:t>
        </w:r>
      </w:hyperlink>
    </w:p>
    <w:p w:rsidR="00000000" w:rsidDel="00000000" w:rsidP="00000000" w:rsidRDefault="00000000" w:rsidRPr="00000000">
      <w:pPr>
        <w:keepNext w:val="0"/>
        <w:keepLines w:val="0"/>
        <w:widowControl w:val="0"/>
        <w:spacing w:after="0" w:before="0" w:lineRule="auto"/>
        <w:ind w:left="0" w:right="0" w:firstLine="0"/>
        <w:contextualSpacing w:val="0"/>
      </w:pPr>
      <w:hyperlink r:id="rId9">
        <w:r w:rsidDel="00000000" w:rsidR="00000000" w:rsidRPr="00000000">
          <w:rPr>
            <w:rtl w:val="0"/>
          </w:rPr>
        </w:r>
      </w:hyperlink>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Verdana"/>
  <w:font w:name="Georgia"/>
  <w:font w:name="Arial"/>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Verdana" w:cs="Verdana" w:eastAsia="Verdana" w:hAnsi="Verdana"/>
        <w:color w:val="000000"/>
        <w:sz w:val="20"/>
      </w:rPr>
    </w:rPrDefault>
    <w:pPrDefault>
      <w:pPr>
        <w:keepNext w:val="0"/>
        <w:keepLines w:val="0"/>
        <w:widowControl w:val="0"/>
        <w:spacing w:after="90" w:before="90" w:line="240" w:lineRule="auto"/>
        <w:ind w:left="90" w:right="90" w:firstLine="0"/>
        <w:contextualSpacing w:val="1"/>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0"/>
      <w:spacing w:after="240" w:before="240" w:lineRule="auto"/>
      <w:ind w:left="0" w:right="0" w:firstLine="0"/>
      <w:contextualSpacing w:val="1"/>
    </w:pPr>
    <w:rPr>
      <w:b w:val="1"/>
      <w:i w:val="0"/>
      <w:sz w:val="36"/>
    </w:rPr>
  </w:style>
  <w:style w:type="paragraph" w:styleId="Heading2">
    <w:name w:val="heading 2"/>
    <w:basedOn w:val="Normal"/>
    <w:next w:val="Normal"/>
    <w:pPr>
      <w:keepNext w:val="0"/>
      <w:keepLines w:val="0"/>
      <w:widowControl w:val="0"/>
      <w:spacing w:after="225" w:before="225" w:lineRule="auto"/>
      <w:ind w:left="0" w:right="0" w:firstLine="0"/>
      <w:contextualSpacing w:val="1"/>
    </w:pPr>
    <w:rPr>
      <w:b w:val="1"/>
      <w:i w:val="0"/>
      <w:sz w:val="28"/>
    </w:rPr>
  </w:style>
  <w:style w:type="paragraph" w:styleId="Heading3">
    <w:name w:val="heading 3"/>
    <w:basedOn w:val="Normal"/>
    <w:next w:val="Normal"/>
    <w:pPr>
      <w:keepNext w:val="0"/>
      <w:keepLines w:val="0"/>
      <w:widowControl w:val="0"/>
      <w:spacing w:after="240" w:before="240" w:lineRule="auto"/>
      <w:ind w:left="0" w:right="0" w:firstLine="0"/>
      <w:contextualSpacing w:val="1"/>
    </w:pPr>
    <w:rPr>
      <w:b w:val="1"/>
      <w:i w:val="0"/>
      <w:sz w:val="24"/>
    </w:rPr>
  </w:style>
  <w:style w:type="paragraph" w:styleId="Heading4">
    <w:name w:val="heading 4"/>
    <w:basedOn w:val="Normal"/>
    <w:next w:val="Normal"/>
    <w:pPr>
      <w:keepNext w:val="0"/>
      <w:keepLines w:val="0"/>
      <w:widowControl w:val="0"/>
      <w:spacing w:after="255" w:before="255" w:lineRule="auto"/>
      <w:ind w:left="0" w:right="0" w:firstLine="0"/>
      <w:contextualSpacing w:val="1"/>
    </w:pPr>
    <w:rPr>
      <w:b w:val="1"/>
      <w:i w:val="0"/>
    </w:rPr>
  </w:style>
  <w:style w:type="paragraph" w:styleId="Heading5">
    <w:name w:val="heading 5"/>
    <w:basedOn w:val="Normal"/>
    <w:next w:val="Normal"/>
    <w:pPr>
      <w:keepNext w:val="0"/>
      <w:keepLines w:val="0"/>
      <w:widowControl w:val="0"/>
      <w:spacing w:after="255" w:before="255" w:lineRule="auto"/>
      <w:ind w:left="0" w:right="0" w:firstLine="0"/>
      <w:contextualSpacing w:val="1"/>
    </w:pPr>
    <w:rPr>
      <w:b w:val="1"/>
      <w:i w:val="0"/>
      <w:sz w:val="16"/>
    </w:rPr>
  </w:style>
  <w:style w:type="paragraph" w:styleId="Heading6">
    <w:name w:val="heading 6"/>
    <w:basedOn w:val="Normal"/>
    <w:next w:val="Normal"/>
    <w:pPr>
      <w:keepNext w:val="0"/>
      <w:keepLines w:val="0"/>
      <w:widowControl w:val="0"/>
      <w:spacing w:after="360" w:before="360" w:lineRule="auto"/>
      <w:ind w:left="0" w:right="0" w:firstLine="0"/>
      <w:contextualSpacing w:val="1"/>
    </w:pPr>
    <w:rPr>
      <w:b w:val="1"/>
      <w:i w:val="0"/>
      <w:sz w:val="16"/>
    </w:rPr>
  </w:style>
  <w:style w:type="paragraph" w:styleId="Title">
    <w:name w:val="Title"/>
    <w:basedOn w:val="Normal"/>
    <w:next w:val="Normal"/>
    <w:pPr>
      <w:keepNext w:val="0"/>
      <w:keepLines w:val="0"/>
      <w:widowControl w:val="0"/>
      <w:spacing w:after="120" w:before="480" w:lineRule="auto"/>
      <w:contextualSpacing w:val="1"/>
    </w:pPr>
    <w:rPr>
      <w:b w:val="1"/>
      <w:sz w:val="72"/>
    </w:rPr>
  </w:style>
  <w:style w:type="paragraph" w:styleId="Subtitle">
    <w:name w:val="Subtitle"/>
    <w:basedOn w:val="Normal"/>
    <w:next w:val="Normal"/>
    <w:pPr>
      <w:keepNext w:val="0"/>
      <w:keepLines w:val="0"/>
      <w:widowControl w:val="0"/>
      <w:spacing w:after="80" w:before="360" w:lineRule="auto"/>
      <w:contextualSpacing w:val="1"/>
    </w:pPr>
    <w:rPr>
      <w:rFonts w:ascii="Georgia" w:cs="Georgia" w:eastAsia="Georgia" w:hAnsi="Georgia"/>
      <w:i w:val="1"/>
      <w:color w:val="666666"/>
      <w:sz w:val="48"/>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 Id="rId9" Type="http://schemas.openxmlformats.org/officeDocument/2006/relationships/hyperlink" Target="http://group.bmj.com/products/journals/instructions-for-authors/licence-forms" TargetMode="External"/><Relationship Id="rId6" Type="http://schemas.openxmlformats.org/officeDocument/2006/relationships/hyperlink" Target="http://blogs.bmj.com/adc/2013/06/26/statsminiblog-significance-tests-step-one/" TargetMode="External"/><Relationship Id="rId5" Type="http://schemas.openxmlformats.org/officeDocument/2006/relationships/hyperlink" Target="http://blogs.bmj.com/adc/2015/03/27/what-about-mixedupness/" TargetMode="External"/><Relationship Id="rId8" Type="http://schemas.openxmlformats.org/officeDocument/2006/relationships/hyperlink" Target="http://group.bmj.com/products/journals/instructions-for-authors/licence-forms" TargetMode="External"/><Relationship Id="rId7" Type="http://schemas.openxmlformats.org/officeDocument/2006/relationships/hyperlink" Target="http://blogs.bmj.com/adc/2011/03/27/its-how-mixed-up-meta-analysis-models-step-one/" TargetMode="External"/></Relationships>
</file>