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Bold" w:hAnsi="JSArialMTBold" w:cs="JSArialMTBold"/>
          <w:b/>
          <w:bCs/>
          <w:sz w:val="14"/>
          <w:szCs w:val="14"/>
        </w:rPr>
        <w:t xml:space="preserve">1579 </w:t>
      </w:r>
      <w:r>
        <w:rPr>
          <w:rFonts w:ascii="JSArialMT" w:hAnsi="JSArialMT" w:cs="JSArialMT"/>
          <w:sz w:val="14"/>
          <w:szCs w:val="14"/>
        </w:rPr>
        <w:t>POSTER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Bold" w:hAnsi="JSArialMTBold" w:cs="JSArialMTBold"/>
          <w:b/>
          <w:bCs/>
          <w:sz w:val="14"/>
          <w:szCs w:val="14"/>
        </w:rPr>
      </w:pPr>
      <w:r>
        <w:rPr>
          <w:rFonts w:ascii="JSArialMTBold" w:hAnsi="JSArialMTBold" w:cs="JSArialMTBold"/>
          <w:b/>
          <w:bCs/>
          <w:sz w:val="14"/>
          <w:szCs w:val="14"/>
        </w:rPr>
        <w:t>Overall treatment utility: A novel outcome measure reflecting the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Bold" w:hAnsi="JSArialMTBold" w:cs="JSArialMTBold"/>
          <w:b/>
          <w:bCs/>
          <w:sz w:val="14"/>
          <w:szCs w:val="14"/>
        </w:rPr>
      </w:pPr>
      <w:proofErr w:type="gramStart"/>
      <w:r>
        <w:rPr>
          <w:rFonts w:ascii="JSArialMTBold" w:hAnsi="JSArialMTBold" w:cs="JSArialMTBold"/>
          <w:b/>
          <w:bCs/>
          <w:sz w:val="14"/>
          <w:szCs w:val="14"/>
        </w:rPr>
        <w:t>balance</w:t>
      </w:r>
      <w:proofErr w:type="gramEnd"/>
      <w:r>
        <w:rPr>
          <w:rFonts w:ascii="JSArialMTBold" w:hAnsi="JSArialMTBold" w:cs="JSArialMTBold"/>
          <w:b/>
          <w:bCs/>
          <w:sz w:val="14"/>
          <w:szCs w:val="14"/>
        </w:rPr>
        <w:t xml:space="preserve"> of benefits and harms from cancer therapy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" w:hAnsi="JSArialMT" w:cs="JSArialMT"/>
          <w:sz w:val="14"/>
          <w:szCs w:val="14"/>
        </w:rPr>
        <w:t>C. Handforth</w:t>
      </w:r>
      <w:r>
        <w:rPr>
          <w:rFonts w:ascii="JSArialMT" w:hAnsi="JSArialMT" w:cs="JSArialMT"/>
          <w:sz w:val="10"/>
          <w:szCs w:val="10"/>
        </w:rPr>
        <w:t>1</w:t>
      </w:r>
      <w:r>
        <w:rPr>
          <w:rFonts w:ascii="JSArialMT" w:hAnsi="JSArialMT" w:cs="JSArialMT"/>
          <w:sz w:val="14"/>
          <w:szCs w:val="14"/>
        </w:rPr>
        <w:t>, P.S. Hall</w:t>
      </w:r>
      <w:r>
        <w:rPr>
          <w:rFonts w:ascii="JSArialMT" w:hAnsi="JSArialMT" w:cs="JSArialMT"/>
          <w:sz w:val="10"/>
          <w:szCs w:val="10"/>
        </w:rPr>
        <w:t>1</w:t>
      </w:r>
      <w:r>
        <w:rPr>
          <w:rFonts w:ascii="JSArialMT" w:hAnsi="JSArialMT" w:cs="JSArialMT"/>
          <w:sz w:val="14"/>
          <w:szCs w:val="14"/>
        </w:rPr>
        <w:t>, H.C. Marshall</w:t>
      </w:r>
      <w:r>
        <w:rPr>
          <w:rFonts w:ascii="JSArialMT" w:hAnsi="JSArialMT" w:cs="JSArialMT"/>
          <w:sz w:val="10"/>
          <w:szCs w:val="10"/>
        </w:rPr>
        <w:t>2</w:t>
      </w:r>
      <w:r>
        <w:rPr>
          <w:rFonts w:ascii="JSArialMT" w:hAnsi="JSArialMT" w:cs="JSArialMT"/>
          <w:sz w:val="14"/>
          <w:szCs w:val="14"/>
        </w:rPr>
        <w:t>, M. Collinson</w:t>
      </w:r>
      <w:r>
        <w:rPr>
          <w:rFonts w:ascii="JSArialMT" w:hAnsi="JSArialMT" w:cs="JSArialMT"/>
          <w:sz w:val="10"/>
          <w:szCs w:val="10"/>
        </w:rPr>
        <w:t>2</w:t>
      </w:r>
      <w:r>
        <w:rPr>
          <w:rFonts w:ascii="JSArialMT" w:hAnsi="JSArialMT" w:cs="JSArialMT"/>
          <w:sz w:val="14"/>
          <w:szCs w:val="14"/>
        </w:rPr>
        <w:t>, M. Jones</w:t>
      </w:r>
      <w:r>
        <w:rPr>
          <w:rFonts w:ascii="JSArialMT" w:hAnsi="JSArialMT" w:cs="JSArialMT"/>
          <w:sz w:val="10"/>
          <w:szCs w:val="10"/>
        </w:rPr>
        <w:t>2</w:t>
      </w:r>
      <w:r>
        <w:rPr>
          <w:rFonts w:ascii="JSArialMT" w:hAnsi="JSArialMT" w:cs="JSArialMT"/>
          <w:sz w:val="14"/>
          <w:szCs w:val="14"/>
        </w:rPr>
        <w:t>,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Italic" w:hAnsi="JSArialMTItalic" w:cs="JSArialMTItalic"/>
          <w:i/>
          <w:iCs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M.T. Seymour</w:t>
      </w:r>
      <w:r>
        <w:rPr>
          <w:rFonts w:ascii="JSArialMT" w:hAnsi="JSArialMT" w:cs="JSArialMT"/>
          <w:sz w:val="10"/>
          <w:szCs w:val="10"/>
        </w:rPr>
        <w:t>1</w:t>
      </w:r>
      <w:r>
        <w:rPr>
          <w:rFonts w:ascii="JSArialMT" w:hAnsi="JSArialMT" w:cs="JSArialMT"/>
          <w:sz w:val="14"/>
          <w:szCs w:val="14"/>
        </w:rPr>
        <w:t>.</w:t>
      </w:r>
      <w:proofErr w:type="gramEnd"/>
      <w:r>
        <w:rPr>
          <w:rFonts w:ascii="JSArialMT" w:hAnsi="JSArialMT" w:cs="JSArialMT"/>
          <w:sz w:val="14"/>
          <w:szCs w:val="14"/>
        </w:rPr>
        <w:t xml:space="preserve"> </w:t>
      </w:r>
      <w:r>
        <w:rPr>
          <w:rFonts w:ascii="JSArialMTItalic" w:hAnsi="JSArialMTItalic" w:cs="JSArialMTItalic"/>
          <w:i/>
          <w:iCs/>
          <w:sz w:val="10"/>
          <w:szCs w:val="10"/>
        </w:rPr>
        <w:t>1</w:t>
      </w:r>
      <w:r>
        <w:rPr>
          <w:rFonts w:ascii="JSArialMTItalic" w:hAnsi="JSArialMTItalic" w:cs="JSArialMTItalic"/>
          <w:i/>
          <w:iCs/>
          <w:sz w:val="14"/>
          <w:szCs w:val="14"/>
        </w:rPr>
        <w:t>St James Institute of Oncology, Leeds, United Kingdom;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Italic" w:hAnsi="JSArialMTItalic" w:cs="JSArialMTItalic"/>
          <w:i/>
          <w:iCs/>
          <w:sz w:val="14"/>
          <w:szCs w:val="14"/>
        </w:rPr>
      </w:pPr>
      <w:r>
        <w:rPr>
          <w:rFonts w:ascii="JSArialMTItalic" w:hAnsi="JSArialMTItalic" w:cs="JSArialMTItalic"/>
          <w:i/>
          <w:iCs/>
          <w:sz w:val="10"/>
          <w:szCs w:val="10"/>
        </w:rPr>
        <w:t>2</w:t>
      </w:r>
      <w:r>
        <w:rPr>
          <w:rFonts w:ascii="JSArialMTItalic" w:hAnsi="JSArialMTItalic" w:cs="JSArialMTItalic"/>
          <w:i/>
          <w:iCs/>
          <w:sz w:val="14"/>
          <w:szCs w:val="14"/>
        </w:rPr>
        <w:t>University of Leeds, Clinical Trials Research Unit, Leeds, United Kingdom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Bold" w:hAnsi="JSArialMTBold" w:cs="JSArialMTBold"/>
          <w:b/>
          <w:bCs/>
          <w:sz w:val="14"/>
          <w:szCs w:val="14"/>
        </w:rPr>
        <w:t xml:space="preserve">Introduction: </w:t>
      </w:r>
      <w:r>
        <w:rPr>
          <w:rFonts w:ascii="JSArialMT" w:hAnsi="JSArialMT" w:cs="JSArialMT"/>
          <w:sz w:val="14"/>
          <w:szCs w:val="14"/>
        </w:rPr>
        <w:t>Established clinical trial endpoints fail to individually capture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the</w:t>
      </w:r>
      <w:proofErr w:type="gramEnd"/>
      <w:r>
        <w:rPr>
          <w:rFonts w:ascii="JSArialMT" w:hAnsi="JSArialMT" w:cs="JSArialMT"/>
          <w:sz w:val="14"/>
          <w:szCs w:val="14"/>
        </w:rPr>
        <w:t xml:space="preserve"> balance of benefits and harms from cancer treatments. ‘Overall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" w:hAnsi="JSArialMT" w:cs="JSArialMT"/>
          <w:sz w:val="14"/>
          <w:szCs w:val="14"/>
        </w:rPr>
        <w:t>Treatment Utility’ (OTU) is a novel composite outcome measure that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was</w:t>
      </w:r>
      <w:proofErr w:type="gramEnd"/>
      <w:r>
        <w:rPr>
          <w:rFonts w:ascii="JSArialMT" w:hAnsi="JSArialMT" w:cs="JSArialMT"/>
          <w:sz w:val="14"/>
          <w:szCs w:val="14"/>
        </w:rPr>
        <w:t xml:space="preserve"> developed within the FOCUS2 trial in elderly patients treated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with</w:t>
      </w:r>
      <w:proofErr w:type="gramEnd"/>
      <w:r>
        <w:rPr>
          <w:rFonts w:ascii="JSArialMT" w:hAnsi="JSArialMT" w:cs="JSArialMT"/>
          <w:sz w:val="14"/>
          <w:szCs w:val="14"/>
        </w:rPr>
        <w:t xml:space="preserve"> chemotherapy for advanced colorectal cancer. It combines clinical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and</w:t>
      </w:r>
      <w:proofErr w:type="gramEnd"/>
      <w:r>
        <w:rPr>
          <w:rFonts w:ascii="JSArialMT" w:hAnsi="JSArialMT" w:cs="JSArialMT"/>
          <w:sz w:val="14"/>
          <w:szCs w:val="14"/>
        </w:rPr>
        <w:t xml:space="preserve"> radiological response, toxicity, adverse events and patient-reported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acceptability</w:t>
      </w:r>
      <w:proofErr w:type="gramEnd"/>
      <w:r>
        <w:rPr>
          <w:rFonts w:ascii="JSArialMT" w:hAnsi="JSArialMT" w:cs="JSArialMT"/>
          <w:sz w:val="14"/>
          <w:szCs w:val="14"/>
        </w:rPr>
        <w:t xml:space="preserve"> of treatment. OTU needs further development and validation.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" w:hAnsi="JSArialMT" w:cs="JSArialMT"/>
          <w:sz w:val="14"/>
          <w:szCs w:val="14"/>
        </w:rPr>
        <w:t>This study aimed to test the feasibility and value of measuring OTU in an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alternative</w:t>
      </w:r>
      <w:proofErr w:type="gramEnd"/>
      <w:r>
        <w:rPr>
          <w:rFonts w:ascii="JSArialMT" w:hAnsi="JSArialMT" w:cs="JSArialMT"/>
          <w:sz w:val="14"/>
          <w:szCs w:val="14"/>
        </w:rPr>
        <w:t xml:space="preserve"> frail/elderly population with advanced gastric or oesophageal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" w:hAnsi="JSArialMT" w:cs="JSArialMT"/>
          <w:sz w:val="14"/>
          <w:szCs w:val="14"/>
        </w:rPr>
        <w:t>(GO) cancer.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Bold" w:hAnsi="JSArialMTBold" w:cs="JSArialMTBold"/>
          <w:b/>
          <w:bCs/>
          <w:sz w:val="14"/>
          <w:szCs w:val="14"/>
        </w:rPr>
        <w:t xml:space="preserve">Methods: </w:t>
      </w:r>
      <w:r>
        <w:rPr>
          <w:rFonts w:ascii="JSArialMT" w:hAnsi="JSArialMT" w:cs="JSArialMT"/>
          <w:sz w:val="14"/>
          <w:szCs w:val="14"/>
        </w:rPr>
        <w:t>Patients were randomised between three treatment arms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containing</w:t>
      </w:r>
      <w:proofErr w:type="gramEnd"/>
      <w:r>
        <w:rPr>
          <w:rFonts w:ascii="JSArialMT" w:hAnsi="JSArialMT" w:cs="JSArialMT"/>
          <w:sz w:val="14"/>
          <w:szCs w:val="14"/>
        </w:rPr>
        <w:t xml:space="preserve"> triplet, doublet or single agent chemotherapy. Details of the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trial</w:t>
      </w:r>
      <w:proofErr w:type="gramEnd"/>
      <w:r>
        <w:rPr>
          <w:rFonts w:ascii="JSArialMT" w:hAnsi="JSArialMT" w:cs="JSArialMT"/>
          <w:sz w:val="14"/>
          <w:szCs w:val="14"/>
        </w:rPr>
        <w:t xml:space="preserve"> and conventional outcomes are reported elsewhere. OTU was scored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according</w:t>
      </w:r>
      <w:proofErr w:type="gramEnd"/>
      <w:r>
        <w:rPr>
          <w:rFonts w:ascii="JSArialMT" w:hAnsi="JSArialMT" w:cs="JSArialMT"/>
          <w:sz w:val="14"/>
          <w:szCs w:val="14"/>
        </w:rPr>
        <w:t xml:space="preserve"> to the algorithm used in the FOCUS2 trial which categorises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outcome</w:t>
      </w:r>
      <w:proofErr w:type="gramEnd"/>
      <w:r>
        <w:rPr>
          <w:rFonts w:ascii="JSArialMT" w:hAnsi="JSArialMT" w:cs="JSArialMT"/>
          <w:sz w:val="14"/>
          <w:szCs w:val="14"/>
        </w:rPr>
        <w:t xml:space="preserve"> into a three-point ordered categorical scale (good/intermediate/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poor</w:t>
      </w:r>
      <w:proofErr w:type="gramEnd"/>
      <w:r>
        <w:rPr>
          <w:rFonts w:ascii="JSArialMT" w:hAnsi="JSArialMT" w:cs="JSArialMT"/>
          <w:sz w:val="14"/>
          <w:szCs w:val="14"/>
        </w:rPr>
        <w:t>). Data return and compliance wi</w:t>
      </w:r>
      <w:bookmarkStart w:id="0" w:name="_GoBack"/>
      <w:bookmarkEnd w:id="0"/>
      <w:r>
        <w:rPr>
          <w:rFonts w:ascii="JSArialMT" w:hAnsi="JSArialMT" w:cs="JSArialMT"/>
          <w:sz w:val="14"/>
          <w:szCs w:val="14"/>
        </w:rPr>
        <w:t>th the patient-reported component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was</w:t>
      </w:r>
      <w:proofErr w:type="gramEnd"/>
      <w:r>
        <w:rPr>
          <w:rFonts w:ascii="JSArialMT" w:hAnsi="JSArialMT" w:cs="JSArialMT"/>
          <w:sz w:val="14"/>
          <w:szCs w:val="14"/>
        </w:rPr>
        <w:t xml:space="preserve"> recorded. Survival analysis was used to correlate OTU with overall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survival</w:t>
      </w:r>
      <w:proofErr w:type="gramEnd"/>
      <w:r>
        <w:rPr>
          <w:rFonts w:ascii="JSArialMT" w:hAnsi="JSArialMT" w:cs="JSArialMT"/>
          <w:sz w:val="14"/>
          <w:szCs w:val="14"/>
        </w:rPr>
        <w:t xml:space="preserve"> (OS) and progression free survival (PFS).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Bold" w:hAnsi="JSArialMTBold" w:cs="JSArialMTBold"/>
          <w:b/>
          <w:bCs/>
          <w:sz w:val="14"/>
          <w:szCs w:val="14"/>
        </w:rPr>
        <w:t xml:space="preserve">Results: </w:t>
      </w:r>
      <w:r>
        <w:rPr>
          <w:rFonts w:ascii="JSArialMT" w:hAnsi="JSArialMT" w:cs="JSArialMT"/>
          <w:sz w:val="14"/>
          <w:szCs w:val="14"/>
        </w:rPr>
        <w:t>The study included 55 patients with a median age of 75 (range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50−87).</w:t>
      </w:r>
      <w:proofErr w:type="gramEnd"/>
      <w:r>
        <w:rPr>
          <w:rFonts w:ascii="JSArialMT" w:hAnsi="JSArialMT" w:cs="JSArialMT"/>
          <w:sz w:val="14"/>
          <w:szCs w:val="14"/>
        </w:rPr>
        <w:t xml:space="preserve"> OTU provided useful information enabling discrimination between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treatment</w:t>
      </w:r>
      <w:proofErr w:type="gramEnd"/>
      <w:r>
        <w:rPr>
          <w:rFonts w:ascii="JSArialMT" w:hAnsi="JSArialMT" w:cs="JSArialMT"/>
          <w:sz w:val="14"/>
          <w:szCs w:val="14"/>
        </w:rPr>
        <w:t xml:space="preserve"> arms. OTU was prognostic for OS in patients alive at Week 12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" w:hAnsi="JSArialMT" w:cs="JSArialMT"/>
          <w:sz w:val="14"/>
          <w:szCs w:val="14"/>
        </w:rPr>
        <w:t>(</w:t>
      </w:r>
      <w:proofErr w:type="spellStart"/>
      <w:proofErr w:type="gramStart"/>
      <w:r>
        <w:rPr>
          <w:rFonts w:ascii="JSArialMT" w:hAnsi="JSArialMT" w:cs="JSArialMT"/>
          <w:sz w:val="14"/>
          <w:szCs w:val="14"/>
        </w:rPr>
        <w:t>logrank</w:t>
      </w:r>
      <w:proofErr w:type="spellEnd"/>
      <w:proofErr w:type="gramEnd"/>
      <w:r>
        <w:rPr>
          <w:rFonts w:ascii="JSArialMT" w:hAnsi="JSArialMT" w:cs="JSArialMT"/>
          <w:sz w:val="14"/>
          <w:szCs w:val="14"/>
        </w:rPr>
        <w:t xml:space="preserve"> test for trend p = 0.0001), PFS in patients alive and progression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free</w:t>
      </w:r>
      <w:proofErr w:type="gramEnd"/>
      <w:r>
        <w:rPr>
          <w:rFonts w:ascii="JSArialMT" w:hAnsi="JSArialMT" w:cs="JSArialMT"/>
          <w:sz w:val="14"/>
          <w:szCs w:val="14"/>
        </w:rPr>
        <w:t xml:space="preserve"> at week 12 (</w:t>
      </w:r>
      <w:proofErr w:type="spellStart"/>
      <w:r>
        <w:rPr>
          <w:rFonts w:ascii="JSArialMT" w:hAnsi="JSArialMT" w:cs="JSArialMT"/>
          <w:sz w:val="14"/>
          <w:szCs w:val="14"/>
        </w:rPr>
        <w:t>logrank</w:t>
      </w:r>
      <w:proofErr w:type="spellEnd"/>
      <w:r>
        <w:rPr>
          <w:rFonts w:ascii="JSArialMT" w:hAnsi="JSArialMT" w:cs="JSArialMT"/>
          <w:sz w:val="14"/>
          <w:szCs w:val="14"/>
        </w:rPr>
        <w:t xml:space="preserve"> test for trend p = 0.0003). Radiological response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" w:hAnsi="JSArialMT" w:cs="JSArialMT"/>
          <w:sz w:val="14"/>
          <w:szCs w:val="14"/>
        </w:rPr>
        <w:t>(RECIST) was less prognostic for OS (</w:t>
      </w:r>
      <w:proofErr w:type="spellStart"/>
      <w:r>
        <w:rPr>
          <w:rFonts w:ascii="JSArialMT" w:hAnsi="JSArialMT" w:cs="JSArialMT"/>
          <w:sz w:val="14"/>
          <w:szCs w:val="14"/>
        </w:rPr>
        <w:t>logrank</w:t>
      </w:r>
      <w:proofErr w:type="spellEnd"/>
      <w:r>
        <w:rPr>
          <w:rFonts w:ascii="JSArialMT" w:hAnsi="JSArialMT" w:cs="JSArialMT"/>
          <w:sz w:val="14"/>
          <w:szCs w:val="14"/>
        </w:rPr>
        <w:t xml:space="preserve"> test for trend p = 0.40).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" w:hAnsi="JSArialMT" w:cs="JSArialMT"/>
          <w:sz w:val="14"/>
          <w:szCs w:val="14"/>
        </w:rPr>
        <w:t>Alternative formulations of OTU were also investigated. The distribution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between</w:t>
      </w:r>
      <w:proofErr w:type="gramEnd"/>
      <w:r>
        <w:rPr>
          <w:rFonts w:ascii="JSArialMT" w:hAnsi="JSArialMT" w:cs="JSArialMT"/>
          <w:sz w:val="14"/>
          <w:szCs w:val="14"/>
        </w:rPr>
        <w:t xml:space="preserve"> good, intermediate and poor OTU varied depending on the </w:t>
      </w:r>
      <w:proofErr w:type="spellStart"/>
      <w:r>
        <w:rPr>
          <w:rFonts w:ascii="JSArialMT" w:hAnsi="JSArialMT" w:cs="JSArialMT"/>
          <w:sz w:val="14"/>
          <w:szCs w:val="14"/>
        </w:rPr>
        <w:t>cutpoint</w:t>
      </w:r>
      <w:proofErr w:type="spellEnd"/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in</w:t>
      </w:r>
      <w:proofErr w:type="gramEnd"/>
      <w:r>
        <w:rPr>
          <w:rFonts w:ascii="JSArialMT" w:hAnsi="JSArialMT" w:cs="JSArialMT"/>
          <w:sz w:val="14"/>
          <w:szCs w:val="14"/>
        </w:rPr>
        <w:t xml:space="preserve"> patient question responses.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Bold" w:hAnsi="JSArialMTBold" w:cs="JSArialMTBold"/>
          <w:b/>
          <w:bCs/>
          <w:sz w:val="14"/>
          <w:szCs w:val="14"/>
        </w:rPr>
        <w:t xml:space="preserve">Conclusion: </w:t>
      </w:r>
      <w:r>
        <w:rPr>
          <w:rFonts w:ascii="JSArialMT" w:hAnsi="JSArialMT" w:cs="JSArialMT"/>
          <w:sz w:val="14"/>
          <w:szCs w:val="14"/>
        </w:rPr>
        <w:t>OTU is a feasible and useful outcome measure that combines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objective</w:t>
      </w:r>
      <w:proofErr w:type="gramEnd"/>
      <w:r>
        <w:rPr>
          <w:rFonts w:ascii="JSArialMT" w:hAnsi="JSArialMT" w:cs="JSArialMT"/>
          <w:sz w:val="14"/>
          <w:szCs w:val="14"/>
        </w:rPr>
        <w:t xml:space="preserve"> and subjective information regarding the balance of benefit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and</w:t>
      </w:r>
      <w:proofErr w:type="gramEnd"/>
      <w:r>
        <w:rPr>
          <w:rFonts w:ascii="JSArialMT" w:hAnsi="JSArialMT" w:cs="JSArialMT"/>
          <w:sz w:val="14"/>
          <w:szCs w:val="14"/>
        </w:rPr>
        <w:t xml:space="preserve"> harm of treatment in a frail/elderly population with GO cancer. It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correlates</w:t>
      </w:r>
      <w:proofErr w:type="gramEnd"/>
      <w:r>
        <w:rPr>
          <w:rFonts w:ascii="JSArialMT" w:hAnsi="JSArialMT" w:cs="JSArialMT"/>
          <w:sz w:val="14"/>
          <w:szCs w:val="14"/>
        </w:rPr>
        <w:t xml:space="preserve"> more strongly with overall survival than radiological response.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r>
        <w:rPr>
          <w:rFonts w:ascii="JSArialMT" w:hAnsi="JSArialMT" w:cs="JSArialMT"/>
          <w:sz w:val="14"/>
          <w:szCs w:val="14"/>
        </w:rPr>
        <w:t>Further research should focus on establishing the optimal definition and</w:t>
      </w:r>
    </w:p>
    <w:p w:rsidR="001568BD" w:rsidRDefault="001568BD" w:rsidP="001568BD">
      <w:pPr>
        <w:autoSpaceDE w:val="0"/>
        <w:autoSpaceDN w:val="0"/>
        <w:adjustRightInd w:val="0"/>
        <w:spacing w:before="0" w:line="240" w:lineRule="auto"/>
        <w:jc w:val="both"/>
        <w:rPr>
          <w:rFonts w:ascii="JSArialMT" w:hAnsi="JSArialMT" w:cs="JSArialMT"/>
          <w:sz w:val="14"/>
          <w:szCs w:val="14"/>
        </w:rPr>
      </w:pPr>
      <w:proofErr w:type="gramStart"/>
      <w:r>
        <w:rPr>
          <w:rFonts w:ascii="JSArialMT" w:hAnsi="JSArialMT" w:cs="JSArialMT"/>
          <w:sz w:val="14"/>
          <w:szCs w:val="14"/>
        </w:rPr>
        <w:t>combination</w:t>
      </w:r>
      <w:proofErr w:type="gramEnd"/>
      <w:r>
        <w:rPr>
          <w:rFonts w:ascii="JSArialMT" w:hAnsi="JSArialMT" w:cs="JSArialMT"/>
          <w:sz w:val="14"/>
          <w:szCs w:val="14"/>
        </w:rPr>
        <w:t xml:space="preserve"> of patient reported outcomes.</w:t>
      </w:r>
    </w:p>
    <w:p w:rsidR="005B0D14" w:rsidRPr="002A237B" w:rsidRDefault="001568BD" w:rsidP="001568BD">
      <w:pPr>
        <w:jc w:val="both"/>
      </w:pPr>
      <w:r>
        <w:rPr>
          <w:rFonts w:ascii="JSArialMTBoldItalic" w:hAnsi="JSArialMTBoldItalic" w:cs="JSArialMTBoldItalic"/>
          <w:b/>
          <w:bCs/>
          <w:i/>
          <w:iCs/>
          <w:sz w:val="14"/>
          <w:szCs w:val="14"/>
        </w:rPr>
        <w:t>No conflict of interest.</w:t>
      </w:r>
    </w:p>
    <w:sectPr w:rsidR="005B0D14" w:rsidRPr="002A237B" w:rsidSect="00C43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S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SArial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SArialM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SArialMT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BD"/>
    <w:rsid w:val="000A395C"/>
    <w:rsid w:val="001568BD"/>
    <w:rsid w:val="001C2F45"/>
    <w:rsid w:val="00273123"/>
    <w:rsid w:val="002A237B"/>
    <w:rsid w:val="00330467"/>
    <w:rsid w:val="003400F1"/>
    <w:rsid w:val="00416AA0"/>
    <w:rsid w:val="0056264E"/>
    <w:rsid w:val="005B0D14"/>
    <w:rsid w:val="005C161B"/>
    <w:rsid w:val="006422C8"/>
    <w:rsid w:val="006F163E"/>
    <w:rsid w:val="00873D7B"/>
    <w:rsid w:val="00880119"/>
    <w:rsid w:val="00890E90"/>
    <w:rsid w:val="0091059B"/>
    <w:rsid w:val="00930117"/>
    <w:rsid w:val="00A36CF5"/>
    <w:rsid w:val="00AD1B4C"/>
    <w:rsid w:val="00AD3173"/>
    <w:rsid w:val="00B23E4E"/>
    <w:rsid w:val="00B3772F"/>
    <w:rsid w:val="00B73992"/>
    <w:rsid w:val="00B7564E"/>
    <w:rsid w:val="00BF7C01"/>
    <w:rsid w:val="00C43089"/>
    <w:rsid w:val="00CA19CD"/>
    <w:rsid w:val="00D00D33"/>
    <w:rsid w:val="00E057DF"/>
    <w:rsid w:val="00E209F2"/>
    <w:rsid w:val="00EB66B1"/>
    <w:rsid w:val="00F367F1"/>
    <w:rsid w:val="00F4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2198</Characters>
  <Application>Microsoft Office Word</Application>
  <DocSecurity>0</DocSecurity>
  <Lines>18</Lines>
  <Paragraphs>5</Paragraphs>
  <ScaleCrop>false</ScaleCrop>
  <Company>University of Leeds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Marshall</dc:creator>
  <cp:lastModifiedBy>Helen Marshall</cp:lastModifiedBy>
  <cp:revision>1</cp:revision>
  <dcterms:created xsi:type="dcterms:W3CDTF">2015-03-16T11:14:00Z</dcterms:created>
  <dcterms:modified xsi:type="dcterms:W3CDTF">2015-03-16T11:17:00Z</dcterms:modified>
</cp:coreProperties>
</file>